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043" w:rsidRPr="008D0043" w:rsidRDefault="008D0043" w:rsidP="008D0043">
      <w:pPr>
        <w:pStyle w:val="SubSubPar"/>
        <w:numPr>
          <w:ilvl w:val="0"/>
          <w:numId w:val="0"/>
        </w:numPr>
        <w:spacing w:after="0"/>
        <w:jc w:val="center"/>
        <w:rPr>
          <w:b/>
          <w:smallCaps/>
          <w:sz w:val="28"/>
          <w:szCs w:val="28"/>
        </w:rPr>
      </w:pPr>
      <w:r w:rsidRPr="008D0043">
        <w:rPr>
          <w:b/>
          <w:smallCaps/>
          <w:sz w:val="28"/>
          <w:szCs w:val="28"/>
        </w:rPr>
        <w:t>Documento del Banco Interamericano de Desarrollo</w:t>
      </w:r>
    </w:p>
    <w:p w:rsidR="006011E0" w:rsidRPr="008D0043" w:rsidRDefault="008D0043" w:rsidP="008D0043">
      <w:pPr>
        <w:tabs>
          <w:tab w:val="left" w:pos="1440"/>
          <w:tab w:val="left" w:pos="3060"/>
        </w:tabs>
        <w:jc w:val="center"/>
        <w:rPr>
          <w:b/>
          <w:smallCaps/>
          <w:sz w:val="28"/>
          <w:szCs w:val="28"/>
          <w:lang w:val="es-CO"/>
        </w:rPr>
      </w:pPr>
      <w:r w:rsidRPr="008D0043">
        <w:rPr>
          <w:b/>
          <w:smallCaps/>
          <w:sz w:val="28"/>
          <w:szCs w:val="28"/>
          <w:lang w:val="es-CL"/>
        </w:rPr>
        <w:t>No Autorizado Para Uso Público</w:t>
      </w:r>
    </w:p>
    <w:p w:rsidR="006011E0" w:rsidRPr="008D0043" w:rsidRDefault="006011E0" w:rsidP="006011E0">
      <w:pPr>
        <w:tabs>
          <w:tab w:val="left" w:pos="1440"/>
          <w:tab w:val="left" w:pos="3060"/>
        </w:tabs>
        <w:jc w:val="center"/>
        <w:rPr>
          <w:b/>
          <w:smallCaps/>
          <w:sz w:val="28"/>
          <w:szCs w:val="28"/>
          <w:lang w:val="es-CO"/>
        </w:rPr>
      </w:pPr>
    </w:p>
    <w:p w:rsidR="006011E0" w:rsidRPr="008D0043" w:rsidRDefault="006011E0" w:rsidP="006011E0">
      <w:pPr>
        <w:pStyle w:val="Newpage"/>
        <w:rPr>
          <w:rFonts w:ascii="Times New Roman Bold" w:hAnsi="Times New Roman Bold"/>
          <w:sz w:val="28"/>
          <w:szCs w:val="28"/>
        </w:rPr>
      </w:pPr>
      <w:bookmarkStart w:id="0" w:name="OLE_LINK5"/>
    </w:p>
    <w:p w:rsidR="006011E0" w:rsidRPr="008D0043" w:rsidRDefault="006011E0" w:rsidP="006011E0">
      <w:pPr>
        <w:pStyle w:val="Newpage"/>
        <w:rPr>
          <w:rFonts w:ascii="Times New Roman Bold" w:hAnsi="Times New Roman Bold"/>
          <w:sz w:val="28"/>
          <w:szCs w:val="28"/>
        </w:rPr>
      </w:pPr>
    </w:p>
    <w:p w:rsidR="006011E0" w:rsidRPr="008D0043" w:rsidRDefault="006011E0" w:rsidP="006011E0">
      <w:pPr>
        <w:pStyle w:val="Newpage"/>
        <w:rPr>
          <w:rFonts w:ascii="Times New Roman Bold" w:hAnsi="Times New Roman Bold"/>
          <w:sz w:val="28"/>
          <w:szCs w:val="28"/>
        </w:rPr>
      </w:pPr>
    </w:p>
    <w:p w:rsidR="006011E0" w:rsidRPr="008D0043" w:rsidRDefault="006011E0" w:rsidP="006011E0">
      <w:pPr>
        <w:pStyle w:val="Newpage"/>
        <w:rPr>
          <w:rFonts w:ascii="Times New Roman Bold" w:hAnsi="Times New Roman Bold"/>
          <w:sz w:val="28"/>
          <w:szCs w:val="28"/>
        </w:rPr>
      </w:pPr>
    </w:p>
    <w:p w:rsidR="006011E0" w:rsidRPr="008D0043" w:rsidRDefault="006011E0" w:rsidP="006011E0">
      <w:pPr>
        <w:pStyle w:val="Newpage"/>
        <w:rPr>
          <w:rFonts w:ascii="Times New Roman Bold" w:hAnsi="Times New Roman Bold"/>
          <w:sz w:val="28"/>
          <w:szCs w:val="28"/>
        </w:rPr>
      </w:pPr>
    </w:p>
    <w:p w:rsidR="006011E0" w:rsidRPr="008D0043" w:rsidRDefault="006011E0" w:rsidP="006011E0">
      <w:pPr>
        <w:pStyle w:val="Newpage"/>
        <w:rPr>
          <w:rFonts w:ascii="Times New Roman Bold" w:hAnsi="Times New Roman Bold"/>
          <w:sz w:val="28"/>
          <w:szCs w:val="28"/>
        </w:rPr>
      </w:pPr>
    </w:p>
    <w:p w:rsidR="008D0043" w:rsidRPr="008D0043" w:rsidRDefault="008D0043" w:rsidP="008D0043">
      <w:pPr>
        <w:tabs>
          <w:tab w:val="left" w:pos="1440"/>
          <w:tab w:val="left" w:pos="3060"/>
        </w:tabs>
        <w:jc w:val="center"/>
        <w:rPr>
          <w:b/>
          <w:smallCaps/>
          <w:sz w:val="28"/>
          <w:szCs w:val="28"/>
          <w:lang w:val="es-ES_tradnl"/>
        </w:rPr>
      </w:pPr>
      <w:r w:rsidRPr="008D0043">
        <w:rPr>
          <w:b/>
          <w:smallCaps/>
          <w:sz w:val="28"/>
          <w:szCs w:val="28"/>
          <w:lang w:val="es-CO"/>
        </w:rPr>
        <w:t>República</w:t>
      </w:r>
      <w:r w:rsidRPr="008D0043">
        <w:rPr>
          <w:b/>
          <w:smallCaps/>
          <w:sz w:val="28"/>
          <w:szCs w:val="28"/>
          <w:lang w:val="es-ES_tradnl"/>
        </w:rPr>
        <w:t xml:space="preserve"> Dominicana</w:t>
      </w:r>
    </w:p>
    <w:p w:rsidR="006011E0" w:rsidRPr="008D0043" w:rsidRDefault="006011E0" w:rsidP="006011E0">
      <w:pPr>
        <w:pStyle w:val="Newpage"/>
        <w:rPr>
          <w:rFonts w:ascii="Times New Roman Bold" w:hAnsi="Times New Roman Bold"/>
          <w:sz w:val="28"/>
          <w:szCs w:val="28"/>
        </w:rPr>
      </w:pPr>
    </w:p>
    <w:p w:rsidR="006011E0" w:rsidRPr="008D0043" w:rsidRDefault="006011E0" w:rsidP="006011E0">
      <w:pPr>
        <w:pStyle w:val="Newpage"/>
        <w:rPr>
          <w:rFonts w:ascii="Times New Roman Bold" w:hAnsi="Times New Roman Bold"/>
          <w:sz w:val="28"/>
          <w:szCs w:val="28"/>
        </w:rPr>
      </w:pPr>
    </w:p>
    <w:p w:rsidR="006011E0" w:rsidRPr="008D0043" w:rsidRDefault="006011E0" w:rsidP="006011E0">
      <w:pPr>
        <w:pStyle w:val="Newpage"/>
        <w:rPr>
          <w:rFonts w:ascii="Times New Roman Bold" w:hAnsi="Times New Roman Bold"/>
          <w:sz w:val="28"/>
          <w:szCs w:val="28"/>
        </w:rPr>
      </w:pPr>
    </w:p>
    <w:p w:rsidR="008D0043" w:rsidRPr="008D0043" w:rsidRDefault="008D0043" w:rsidP="008D0043">
      <w:pPr>
        <w:tabs>
          <w:tab w:val="left" w:pos="1440"/>
          <w:tab w:val="left" w:pos="3060"/>
        </w:tabs>
        <w:jc w:val="center"/>
        <w:rPr>
          <w:b/>
          <w:smallCaps/>
          <w:sz w:val="28"/>
          <w:szCs w:val="28"/>
          <w:lang w:val="es-CL"/>
        </w:rPr>
      </w:pPr>
      <w:r w:rsidRPr="008D0043">
        <w:rPr>
          <w:b/>
          <w:smallCaps/>
          <w:sz w:val="28"/>
          <w:szCs w:val="28"/>
          <w:lang w:val="es-CL"/>
        </w:rPr>
        <w:t>Programa de Modernización de la Red de Distribución y Reducción</w:t>
      </w:r>
      <w:r>
        <w:rPr>
          <w:b/>
          <w:smallCaps/>
          <w:sz w:val="28"/>
          <w:szCs w:val="28"/>
          <w:lang w:val="es-CL"/>
        </w:rPr>
        <w:t xml:space="preserve"> d</w:t>
      </w:r>
      <w:r w:rsidRPr="008D0043">
        <w:rPr>
          <w:b/>
          <w:smallCaps/>
          <w:sz w:val="28"/>
          <w:szCs w:val="28"/>
          <w:lang w:val="es-CL"/>
        </w:rPr>
        <w:t>e Pérdidas Eléctricas</w:t>
      </w:r>
    </w:p>
    <w:p w:rsidR="008D0043" w:rsidRDefault="008D0043" w:rsidP="006011E0">
      <w:pPr>
        <w:pStyle w:val="Newpage"/>
        <w:rPr>
          <w:rFonts w:ascii="Times New Roman Bold" w:hAnsi="Times New Roman Bold"/>
          <w:sz w:val="28"/>
          <w:szCs w:val="28"/>
        </w:rPr>
      </w:pPr>
    </w:p>
    <w:p w:rsidR="006011E0" w:rsidRPr="008D0043" w:rsidRDefault="005C0B1F" w:rsidP="006011E0">
      <w:pPr>
        <w:pStyle w:val="Newpage"/>
        <w:rPr>
          <w:sz w:val="28"/>
          <w:szCs w:val="28"/>
        </w:rPr>
      </w:pPr>
      <w:r>
        <w:rPr>
          <w:sz w:val="28"/>
          <w:szCs w:val="28"/>
        </w:rPr>
        <w:t xml:space="preserve"> </w:t>
      </w:r>
      <w:r w:rsidR="009A5F85">
        <w:rPr>
          <w:sz w:val="28"/>
          <w:szCs w:val="28"/>
        </w:rPr>
        <w:t>DR-L1034</w:t>
      </w:r>
    </w:p>
    <w:bookmarkEnd w:id="0"/>
    <w:p w:rsidR="006011E0" w:rsidRPr="008D0043" w:rsidRDefault="006011E0" w:rsidP="006011E0">
      <w:pPr>
        <w:pStyle w:val="Newpage"/>
        <w:rPr>
          <w:rFonts w:cs="Times New Roman"/>
          <w:b w:val="0"/>
          <w:caps/>
          <w:smallCaps w:val="0"/>
          <w:sz w:val="28"/>
          <w:szCs w:val="28"/>
          <w:lang w:val="es-AR"/>
        </w:rPr>
      </w:pPr>
    </w:p>
    <w:p w:rsidR="006011E0" w:rsidRPr="008D0043" w:rsidRDefault="006011E0" w:rsidP="006011E0">
      <w:pPr>
        <w:tabs>
          <w:tab w:val="left" w:pos="1440"/>
          <w:tab w:val="left" w:pos="3060"/>
        </w:tabs>
        <w:jc w:val="center"/>
        <w:rPr>
          <w:smallCaps/>
          <w:sz w:val="28"/>
          <w:szCs w:val="28"/>
          <w:lang w:val="es-AR"/>
        </w:rPr>
      </w:pPr>
    </w:p>
    <w:p w:rsidR="006011E0" w:rsidRPr="008D0043" w:rsidRDefault="006011E0" w:rsidP="006011E0">
      <w:pPr>
        <w:tabs>
          <w:tab w:val="left" w:pos="1440"/>
          <w:tab w:val="left" w:pos="3060"/>
        </w:tabs>
        <w:jc w:val="center"/>
        <w:rPr>
          <w:smallCaps/>
          <w:sz w:val="28"/>
          <w:szCs w:val="28"/>
          <w:lang w:val="es-AR"/>
        </w:rPr>
      </w:pPr>
    </w:p>
    <w:p w:rsidR="008D0043" w:rsidRPr="008D0043" w:rsidRDefault="008D0043" w:rsidP="006011E0">
      <w:pPr>
        <w:tabs>
          <w:tab w:val="left" w:pos="1440"/>
          <w:tab w:val="left" w:pos="3060"/>
        </w:tabs>
        <w:jc w:val="center"/>
        <w:rPr>
          <w:smallCaps/>
          <w:sz w:val="28"/>
          <w:szCs w:val="28"/>
          <w:lang w:val="es-AR"/>
        </w:rPr>
      </w:pPr>
    </w:p>
    <w:p w:rsidR="006011E0" w:rsidRPr="008D0043" w:rsidRDefault="006011E0" w:rsidP="006011E0">
      <w:pPr>
        <w:tabs>
          <w:tab w:val="left" w:pos="1440"/>
          <w:tab w:val="left" w:pos="3060"/>
        </w:tabs>
        <w:jc w:val="center"/>
        <w:rPr>
          <w:smallCaps/>
          <w:sz w:val="28"/>
          <w:szCs w:val="28"/>
          <w:lang w:val="es-AR"/>
        </w:rPr>
      </w:pPr>
    </w:p>
    <w:p w:rsidR="006011E0" w:rsidRDefault="008D0043" w:rsidP="006011E0">
      <w:pPr>
        <w:tabs>
          <w:tab w:val="left" w:pos="1440"/>
          <w:tab w:val="left" w:pos="3060"/>
        </w:tabs>
        <w:jc w:val="center"/>
        <w:outlineLvl w:val="0"/>
        <w:rPr>
          <w:b/>
          <w:smallCaps/>
          <w:sz w:val="28"/>
          <w:szCs w:val="28"/>
          <w:lang w:val="es-AR"/>
        </w:rPr>
      </w:pPr>
      <w:r>
        <w:rPr>
          <w:b/>
          <w:smallCaps/>
          <w:sz w:val="28"/>
          <w:szCs w:val="28"/>
          <w:lang w:val="es-AR"/>
        </w:rPr>
        <w:t xml:space="preserve">Anexo </w:t>
      </w:r>
      <w:r w:rsidR="006011E0" w:rsidRPr="008D0043">
        <w:rPr>
          <w:b/>
          <w:smallCaps/>
          <w:sz w:val="28"/>
          <w:szCs w:val="28"/>
          <w:lang w:val="es-AR"/>
        </w:rPr>
        <w:t xml:space="preserve">Evaluación Económica </w:t>
      </w:r>
    </w:p>
    <w:p w:rsidR="009A5F85" w:rsidRPr="008D0043" w:rsidRDefault="009A5F85" w:rsidP="006011E0">
      <w:pPr>
        <w:tabs>
          <w:tab w:val="left" w:pos="1440"/>
          <w:tab w:val="left" w:pos="3060"/>
        </w:tabs>
        <w:jc w:val="center"/>
        <w:outlineLvl w:val="0"/>
        <w:rPr>
          <w:b/>
          <w:smallCaps/>
          <w:sz w:val="28"/>
          <w:szCs w:val="28"/>
          <w:lang w:val="es-AR"/>
        </w:rPr>
      </w:pPr>
    </w:p>
    <w:p w:rsidR="006011E0" w:rsidRPr="008D0043" w:rsidRDefault="00EC528C" w:rsidP="006011E0">
      <w:pPr>
        <w:tabs>
          <w:tab w:val="left" w:pos="1440"/>
          <w:tab w:val="left" w:pos="3060"/>
        </w:tabs>
        <w:spacing w:line="276" w:lineRule="auto"/>
        <w:jc w:val="center"/>
        <w:outlineLvl w:val="0"/>
        <w:rPr>
          <w:b/>
          <w:smallCaps/>
          <w:sz w:val="28"/>
          <w:szCs w:val="28"/>
          <w:lang w:val="es-ES_tradnl"/>
        </w:rPr>
      </w:pPr>
      <w:r>
        <w:rPr>
          <w:b/>
          <w:smallCaps/>
          <w:sz w:val="28"/>
          <w:szCs w:val="28"/>
          <w:lang w:val="es-ES_tradnl"/>
        </w:rPr>
        <w:t>Mayo</w:t>
      </w:r>
      <w:bookmarkStart w:id="1" w:name="_GoBack"/>
      <w:bookmarkEnd w:id="1"/>
      <w:r w:rsidR="0038301D" w:rsidRPr="008D0043">
        <w:rPr>
          <w:b/>
          <w:smallCaps/>
          <w:sz w:val="28"/>
          <w:szCs w:val="28"/>
          <w:lang w:val="es-ES_tradnl"/>
        </w:rPr>
        <w:t xml:space="preserve"> 2014</w:t>
      </w:r>
    </w:p>
    <w:p w:rsidR="008D0043" w:rsidRDefault="008D0043" w:rsidP="006011E0">
      <w:pPr>
        <w:pStyle w:val="ColorfulList-Accent11"/>
        <w:spacing w:line="276" w:lineRule="auto"/>
        <w:ind w:left="0"/>
        <w:jc w:val="center"/>
        <w:rPr>
          <w:rFonts w:ascii="Times New Roman" w:hAnsi="Times New Roman"/>
          <w:b/>
          <w:sz w:val="28"/>
          <w:szCs w:val="28"/>
        </w:rPr>
      </w:pPr>
    </w:p>
    <w:p w:rsidR="00444E63" w:rsidRDefault="00444E63" w:rsidP="006011E0">
      <w:pPr>
        <w:pStyle w:val="ColorfulList-Accent11"/>
        <w:spacing w:line="276" w:lineRule="auto"/>
        <w:ind w:left="0"/>
        <w:jc w:val="center"/>
        <w:rPr>
          <w:rFonts w:ascii="Times New Roman" w:hAnsi="Times New Roman"/>
          <w:b/>
          <w:sz w:val="28"/>
          <w:szCs w:val="28"/>
        </w:rPr>
      </w:pPr>
    </w:p>
    <w:p w:rsidR="006011E0" w:rsidRPr="008D0043" w:rsidRDefault="006011E0" w:rsidP="006011E0">
      <w:pPr>
        <w:pStyle w:val="ColorfulList-Accent11"/>
        <w:spacing w:line="276" w:lineRule="auto"/>
        <w:ind w:left="0"/>
        <w:jc w:val="center"/>
        <w:rPr>
          <w:rFonts w:ascii="Times New Roman" w:hAnsi="Times New Roman"/>
          <w:b/>
          <w:sz w:val="28"/>
          <w:szCs w:val="28"/>
        </w:rPr>
      </w:pPr>
    </w:p>
    <w:p w:rsidR="008D0043" w:rsidRPr="008D0043" w:rsidRDefault="008D0043" w:rsidP="003663F5">
      <w:pPr>
        <w:pStyle w:val="ColorfulList-Accent11"/>
        <w:pBdr>
          <w:top w:val="single" w:sz="4" w:space="0" w:color="auto"/>
          <w:left w:val="single" w:sz="4" w:space="4" w:color="auto"/>
          <w:bottom w:val="single" w:sz="4" w:space="1" w:color="auto"/>
          <w:right w:val="single" w:sz="4" w:space="4" w:color="auto"/>
        </w:pBdr>
        <w:ind w:left="0" w:firstLine="0"/>
        <w:rPr>
          <w:rFonts w:ascii="Times New Roman" w:hAnsi="Times New Roman"/>
          <w:sz w:val="24"/>
          <w:szCs w:val="24"/>
        </w:rPr>
      </w:pPr>
      <w:r w:rsidRPr="008D0043">
        <w:rPr>
          <w:rFonts w:ascii="Times New Roman" w:hAnsi="Times New Roman"/>
          <w:sz w:val="24"/>
          <w:szCs w:val="24"/>
        </w:rPr>
        <w:t>E</w:t>
      </w:r>
      <w:r w:rsidR="00CF7221">
        <w:rPr>
          <w:rFonts w:ascii="Times New Roman" w:hAnsi="Times New Roman"/>
          <w:sz w:val="24"/>
          <w:szCs w:val="24"/>
        </w:rPr>
        <w:t xml:space="preserve">ste documento fue preparado </w:t>
      </w:r>
      <w:r w:rsidR="002C29AB">
        <w:rPr>
          <w:rFonts w:ascii="Times New Roman" w:hAnsi="Times New Roman"/>
          <w:sz w:val="24"/>
          <w:szCs w:val="24"/>
        </w:rPr>
        <w:t>por el</w:t>
      </w:r>
      <w:r w:rsidR="00CF7221">
        <w:rPr>
          <w:rFonts w:ascii="Times New Roman" w:hAnsi="Times New Roman"/>
          <w:sz w:val="24"/>
          <w:szCs w:val="24"/>
        </w:rPr>
        <w:t xml:space="preserve"> equipo de proyecto conformado por </w:t>
      </w:r>
      <w:r w:rsidR="0053016F" w:rsidRPr="0053016F">
        <w:rPr>
          <w:rFonts w:ascii="Times New Roman" w:hAnsi="Times New Roman"/>
          <w:sz w:val="24"/>
          <w:szCs w:val="24"/>
        </w:rPr>
        <w:t xml:space="preserve">Jorge E. Mercado </w:t>
      </w:r>
      <w:r w:rsidR="00C660DF">
        <w:rPr>
          <w:rFonts w:ascii="Times New Roman" w:hAnsi="Times New Roman"/>
          <w:sz w:val="24"/>
          <w:szCs w:val="24"/>
        </w:rPr>
        <w:t>(</w:t>
      </w:r>
      <w:r w:rsidR="0053016F" w:rsidRPr="0053016F">
        <w:rPr>
          <w:rFonts w:ascii="Times New Roman" w:hAnsi="Times New Roman"/>
          <w:sz w:val="24"/>
          <w:szCs w:val="24"/>
        </w:rPr>
        <w:t>ENE/CDR</w:t>
      </w:r>
      <w:r w:rsidR="00C660DF">
        <w:rPr>
          <w:rFonts w:ascii="Times New Roman" w:hAnsi="Times New Roman"/>
          <w:sz w:val="24"/>
          <w:szCs w:val="24"/>
        </w:rPr>
        <w:t>)</w:t>
      </w:r>
      <w:r w:rsidR="0053016F" w:rsidRPr="0053016F">
        <w:rPr>
          <w:rFonts w:ascii="Times New Roman" w:hAnsi="Times New Roman"/>
          <w:sz w:val="24"/>
          <w:szCs w:val="24"/>
        </w:rPr>
        <w:t xml:space="preserve">, Jefe del Equipo; Nancy </w:t>
      </w:r>
      <w:proofErr w:type="spellStart"/>
      <w:r w:rsidR="0053016F" w:rsidRPr="0053016F">
        <w:rPr>
          <w:rFonts w:ascii="Times New Roman" w:hAnsi="Times New Roman"/>
          <w:sz w:val="24"/>
          <w:szCs w:val="24"/>
        </w:rPr>
        <w:t>Jesurun-Clements</w:t>
      </w:r>
      <w:proofErr w:type="spellEnd"/>
      <w:r w:rsidR="0053016F" w:rsidRPr="0053016F">
        <w:rPr>
          <w:rFonts w:ascii="Times New Roman" w:hAnsi="Times New Roman"/>
          <w:sz w:val="24"/>
          <w:szCs w:val="24"/>
        </w:rPr>
        <w:t xml:space="preserve">, </w:t>
      </w:r>
      <w:r w:rsidR="00C660DF">
        <w:rPr>
          <w:rFonts w:ascii="Times New Roman" w:hAnsi="Times New Roman"/>
          <w:sz w:val="24"/>
          <w:szCs w:val="24"/>
        </w:rPr>
        <w:t>(</w:t>
      </w:r>
      <w:r w:rsidR="0053016F" w:rsidRPr="0053016F">
        <w:rPr>
          <w:rFonts w:ascii="Times New Roman" w:hAnsi="Times New Roman"/>
          <w:sz w:val="24"/>
          <w:szCs w:val="24"/>
        </w:rPr>
        <w:t>INE/ENE</w:t>
      </w:r>
      <w:r w:rsidR="00C660DF">
        <w:rPr>
          <w:rFonts w:ascii="Times New Roman" w:hAnsi="Times New Roman"/>
          <w:sz w:val="24"/>
          <w:szCs w:val="24"/>
        </w:rPr>
        <w:t>)</w:t>
      </w:r>
      <w:r w:rsidR="0053016F" w:rsidRPr="0053016F">
        <w:rPr>
          <w:rFonts w:ascii="Times New Roman" w:hAnsi="Times New Roman"/>
          <w:sz w:val="24"/>
          <w:szCs w:val="24"/>
        </w:rPr>
        <w:t>,</w:t>
      </w:r>
      <w:r w:rsidR="00343AF1">
        <w:rPr>
          <w:rFonts w:ascii="Times New Roman" w:hAnsi="Times New Roman"/>
          <w:sz w:val="24"/>
          <w:szCs w:val="24"/>
        </w:rPr>
        <w:t xml:space="preserve"> </w:t>
      </w:r>
      <w:proofErr w:type="spellStart"/>
      <w:r w:rsidR="00343AF1">
        <w:rPr>
          <w:rFonts w:ascii="Times New Roman" w:hAnsi="Times New Roman"/>
          <w:sz w:val="24"/>
          <w:szCs w:val="24"/>
        </w:rPr>
        <w:t>co</w:t>
      </w:r>
      <w:proofErr w:type="spellEnd"/>
      <w:r w:rsidR="00343AF1">
        <w:rPr>
          <w:rFonts w:ascii="Times New Roman" w:hAnsi="Times New Roman"/>
          <w:sz w:val="24"/>
          <w:szCs w:val="24"/>
        </w:rPr>
        <w:t>-Jefe de Equipo;</w:t>
      </w:r>
      <w:r w:rsidR="0053016F" w:rsidRPr="0053016F">
        <w:rPr>
          <w:rFonts w:ascii="Times New Roman" w:hAnsi="Times New Roman"/>
          <w:sz w:val="24"/>
          <w:szCs w:val="24"/>
        </w:rPr>
        <w:t xml:space="preserve"> </w:t>
      </w:r>
      <w:r w:rsidR="00343AF1">
        <w:rPr>
          <w:rFonts w:ascii="Times New Roman" w:hAnsi="Times New Roman"/>
          <w:sz w:val="24"/>
          <w:szCs w:val="24"/>
        </w:rPr>
        <w:t>Carlos Trujillo</w:t>
      </w:r>
      <w:r w:rsidR="00343AF1" w:rsidRPr="0053016F">
        <w:rPr>
          <w:rFonts w:ascii="Times New Roman" w:hAnsi="Times New Roman"/>
          <w:sz w:val="24"/>
          <w:szCs w:val="24"/>
        </w:rPr>
        <w:t xml:space="preserve"> </w:t>
      </w:r>
      <w:r w:rsidR="00343AF1">
        <w:rPr>
          <w:rFonts w:ascii="Times New Roman" w:hAnsi="Times New Roman"/>
          <w:sz w:val="24"/>
          <w:szCs w:val="24"/>
        </w:rPr>
        <w:t>(</w:t>
      </w:r>
      <w:r w:rsidR="00343AF1" w:rsidRPr="0053016F">
        <w:rPr>
          <w:rFonts w:ascii="Times New Roman" w:hAnsi="Times New Roman"/>
          <w:sz w:val="24"/>
          <w:szCs w:val="24"/>
        </w:rPr>
        <w:t>INE/ENE</w:t>
      </w:r>
      <w:r w:rsidR="00343AF1">
        <w:rPr>
          <w:rFonts w:ascii="Times New Roman" w:hAnsi="Times New Roman"/>
          <w:sz w:val="24"/>
          <w:szCs w:val="24"/>
        </w:rPr>
        <w:t>)</w:t>
      </w:r>
      <w:r w:rsidR="00343AF1" w:rsidRPr="0053016F">
        <w:rPr>
          <w:rFonts w:ascii="Times New Roman" w:hAnsi="Times New Roman"/>
          <w:sz w:val="24"/>
          <w:szCs w:val="24"/>
        </w:rPr>
        <w:t xml:space="preserve">; </w:t>
      </w:r>
      <w:r w:rsidR="003B599F" w:rsidRPr="0053016F">
        <w:rPr>
          <w:rFonts w:ascii="Times New Roman" w:hAnsi="Times New Roman"/>
          <w:sz w:val="24"/>
          <w:szCs w:val="24"/>
        </w:rPr>
        <w:t xml:space="preserve">Edwin Malagón </w:t>
      </w:r>
      <w:r w:rsidR="003B599F">
        <w:rPr>
          <w:rFonts w:ascii="Times New Roman" w:hAnsi="Times New Roman"/>
          <w:sz w:val="24"/>
          <w:szCs w:val="24"/>
        </w:rPr>
        <w:t>(</w:t>
      </w:r>
      <w:r w:rsidR="003B599F" w:rsidRPr="0053016F">
        <w:rPr>
          <w:rFonts w:ascii="Times New Roman" w:hAnsi="Times New Roman"/>
          <w:sz w:val="24"/>
          <w:szCs w:val="24"/>
        </w:rPr>
        <w:t>INE/ENE</w:t>
      </w:r>
      <w:r w:rsidR="003B599F">
        <w:rPr>
          <w:rFonts w:ascii="Times New Roman" w:hAnsi="Times New Roman"/>
          <w:sz w:val="24"/>
          <w:szCs w:val="24"/>
        </w:rPr>
        <w:t>)</w:t>
      </w:r>
      <w:r w:rsidR="003B599F" w:rsidRPr="0053016F">
        <w:rPr>
          <w:rFonts w:ascii="Times New Roman" w:hAnsi="Times New Roman"/>
          <w:sz w:val="24"/>
          <w:szCs w:val="24"/>
        </w:rPr>
        <w:t xml:space="preserve">; </w:t>
      </w:r>
      <w:r w:rsidR="0053016F" w:rsidRPr="0053016F">
        <w:rPr>
          <w:rFonts w:ascii="Times New Roman" w:hAnsi="Times New Roman"/>
          <w:sz w:val="24"/>
          <w:szCs w:val="24"/>
        </w:rPr>
        <w:t xml:space="preserve">Jesús Tejeda </w:t>
      </w:r>
      <w:r w:rsidR="00C660DF">
        <w:rPr>
          <w:rFonts w:ascii="Times New Roman" w:hAnsi="Times New Roman"/>
          <w:sz w:val="24"/>
          <w:szCs w:val="24"/>
        </w:rPr>
        <w:t>(</w:t>
      </w:r>
      <w:r w:rsidR="0053016F" w:rsidRPr="0053016F">
        <w:rPr>
          <w:rFonts w:ascii="Times New Roman" w:hAnsi="Times New Roman"/>
          <w:sz w:val="24"/>
          <w:szCs w:val="24"/>
        </w:rPr>
        <w:t>ENE/CEC</w:t>
      </w:r>
      <w:r w:rsidR="00C660DF">
        <w:rPr>
          <w:rFonts w:ascii="Times New Roman" w:hAnsi="Times New Roman"/>
          <w:sz w:val="24"/>
          <w:szCs w:val="24"/>
        </w:rPr>
        <w:t>)</w:t>
      </w:r>
      <w:r w:rsidR="0053016F" w:rsidRPr="0053016F">
        <w:rPr>
          <w:rFonts w:ascii="Times New Roman" w:hAnsi="Times New Roman"/>
          <w:sz w:val="24"/>
          <w:szCs w:val="24"/>
        </w:rPr>
        <w:t xml:space="preserve">; Alberto Levy </w:t>
      </w:r>
      <w:r w:rsidR="00C660DF">
        <w:rPr>
          <w:rFonts w:ascii="Times New Roman" w:hAnsi="Times New Roman"/>
          <w:sz w:val="24"/>
          <w:szCs w:val="24"/>
        </w:rPr>
        <w:t>(</w:t>
      </w:r>
      <w:r w:rsidR="0053016F" w:rsidRPr="0053016F">
        <w:rPr>
          <w:rFonts w:ascii="Times New Roman" w:hAnsi="Times New Roman"/>
          <w:sz w:val="24"/>
          <w:szCs w:val="24"/>
        </w:rPr>
        <w:t>INE/ENE</w:t>
      </w:r>
      <w:r w:rsidR="00C660DF">
        <w:rPr>
          <w:rFonts w:ascii="Times New Roman" w:hAnsi="Times New Roman"/>
          <w:sz w:val="24"/>
          <w:szCs w:val="24"/>
        </w:rPr>
        <w:t>)</w:t>
      </w:r>
      <w:r w:rsidR="0053016F" w:rsidRPr="0053016F">
        <w:rPr>
          <w:rFonts w:ascii="Times New Roman" w:hAnsi="Times New Roman"/>
          <w:sz w:val="24"/>
          <w:szCs w:val="24"/>
        </w:rPr>
        <w:t xml:space="preserve">; Rudy </w:t>
      </w:r>
      <w:proofErr w:type="spellStart"/>
      <w:r w:rsidR="0053016F" w:rsidRPr="0053016F">
        <w:rPr>
          <w:rFonts w:ascii="Times New Roman" w:hAnsi="Times New Roman"/>
          <w:sz w:val="24"/>
          <w:szCs w:val="24"/>
        </w:rPr>
        <w:t>Loo</w:t>
      </w:r>
      <w:proofErr w:type="spellEnd"/>
      <w:r w:rsidR="0053016F" w:rsidRPr="0053016F">
        <w:rPr>
          <w:rFonts w:ascii="Times New Roman" w:hAnsi="Times New Roman"/>
          <w:sz w:val="24"/>
          <w:szCs w:val="24"/>
        </w:rPr>
        <w:t xml:space="preserve">-kung Agüero </w:t>
      </w:r>
      <w:r w:rsidR="00C660DF">
        <w:rPr>
          <w:rFonts w:ascii="Times New Roman" w:hAnsi="Times New Roman"/>
          <w:sz w:val="24"/>
          <w:szCs w:val="24"/>
        </w:rPr>
        <w:t>(</w:t>
      </w:r>
      <w:r w:rsidR="0053016F" w:rsidRPr="0053016F">
        <w:rPr>
          <w:rFonts w:ascii="Times New Roman" w:hAnsi="Times New Roman"/>
          <w:sz w:val="24"/>
          <w:szCs w:val="24"/>
        </w:rPr>
        <w:t>CID/CID</w:t>
      </w:r>
      <w:r w:rsidR="00C660DF">
        <w:rPr>
          <w:rFonts w:ascii="Times New Roman" w:hAnsi="Times New Roman"/>
          <w:sz w:val="24"/>
          <w:szCs w:val="24"/>
        </w:rPr>
        <w:t>)</w:t>
      </w:r>
      <w:r w:rsidR="0053016F" w:rsidRPr="0053016F">
        <w:rPr>
          <w:rFonts w:ascii="Times New Roman" w:hAnsi="Times New Roman"/>
          <w:sz w:val="24"/>
          <w:szCs w:val="24"/>
        </w:rPr>
        <w:t xml:space="preserve">; Vinicio Rodríguez </w:t>
      </w:r>
      <w:r w:rsidR="005C0B1F">
        <w:rPr>
          <w:rFonts w:ascii="Times New Roman" w:hAnsi="Times New Roman"/>
          <w:sz w:val="24"/>
          <w:szCs w:val="24"/>
        </w:rPr>
        <w:t xml:space="preserve"> </w:t>
      </w:r>
      <w:r w:rsidR="00C660DF">
        <w:rPr>
          <w:rFonts w:ascii="Times New Roman" w:hAnsi="Times New Roman"/>
          <w:sz w:val="24"/>
          <w:szCs w:val="24"/>
        </w:rPr>
        <w:t>(</w:t>
      </w:r>
      <w:r w:rsidR="0053016F" w:rsidRPr="0053016F">
        <w:rPr>
          <w:rFonts w:ascii="Times New Roman" w:hAnsi="Times New Roman"/>
          <w:sz w:val="24"/>
          <w:szCs w:val="24"/>
        </w:rPr>
        <w:t>FMP/CDR</w:t>
      </w:r>
      <w:r w:rsidR="00C660DF">
        <w:rPr>
          <w:rFonts w:ascii="Times New Roman" w:hAnsi="Times New Roman"/>
          <w:sz w:val="24"/>
          <w:szCs w:val="24"/>
        </w:rPr>
        <w:t>)</w:t>
      </w:r>
      <w:r w:rsidR="0053016F" w:rsidRPr="0053016F">
        <w:rPr>
          <w:rFonts w:ascii="Times New Roman" w:hAnsi="Times New Roman"/>
          <w:sz w:val="24"/>
          <w:szCs w:val="24"/>
        </w:rPr>
        <w:t xml:space="preserve">; Willy </w:t>
      </w:r>
      <w:proofErr w:type="spellStart"/>
      <w:r w:rsidR="0053016F" w:rsidRPr="0053016F">
        <w:rPr>
          <w:rFonts w:ascii="Times New Roman" w:hAnsi="Times New Roman"/>
          <w:sz w:val="24"/>
          <w:szCs w:val="24"/>
        </w:rPr>
        <w:t>Bendix</w:t>
      </w:r>
      <w:proofErr w:type="spellEnd"/>
      <w:r w:rsidR="0053016F" w:rsidRPr="0053016F">
        <w:rPr>
          <w:rFonts w:ascii="Times New Roman" w:hAnsi="Times New Roman"/>
          <w:sz w:val="24"/>
          <w:szCs w:val="24"/>
        </w:rPr>
        <w:t xml:space="preserve"> </w:t>
      </w:r>
      <w:r w:rsidR="005C0B1F">
        <w:rPr>
          <w:rFonts w:ascii="Times New Roman" w:hAnsi="Times New Roman"/>
          <w:sz w:val="24"/>
          <w:szCs w:val="24"/>
        </w:rPr>
        <w:t xml:space="preserve"> </w:t>
      </w:r>
      <w:r w:rsidR="00C660DF">
        <w:rPr>
          <w:rFonts w:ascii="Times New Roman" w:hAnsi="Times New Roman"/>
          <w:sz w:val="24"/>
          <w:szCs w:val="24"/>
        </w:rPr>
        <w:t>(</w:t>
      </w:r>
      <w:r w:rsidR="0053016F" w:rsidRPr="0053016F">
        <w:rPr>
          <w:rFonts w:ascii="Times New Roman" w:hAnsi="Times New Roman"/>
          <w:sz w:val="24"/>
          <w:szCs w:val="24"/>
        </w:rPr>
        <w:t xml:space="preserve">FMP/CDR); Pilar Jiménez </w:t>
      </w:r>
      <w:r w:rsidR="005C0B1F">
        <w:rPr>
          <w:rFonts w:ascii="Times New Roman" w:hAnsi="Times New Roman"/>
          <w:sz w:val="24"/>
          <w:szCs w:val="24"/>
        </w:rPr>
        <w:t xml:space="preserve"> </w:t>
      </w:r>
      <w:r w:rsidR="00C660DF">
        <w:rPr>
          <w:rFonts w:ascii="Times New Roman" w:hAnsi="Times New Roman"/>
          <w:sz w:val="24"/>
          <w:szCs w:val="24"/>
        </w:rPr>
        <w:t>(</w:t>
      </w:r>
      <w:r w:rsidR="0053016F" w:rsidRPr="0053016F">
        <w:rPr>
          <w:rFonts w:ascii="Times New Roman" w:hAnsi="Times New Roman"/>
          <w:sz w:val="24"/>
          <w:szCs w:val="24"/>
        </w:rPr>
        <w:t xml:space="preserve">LEG/SGO); Haydemar Cova León </w:t>
      </w:r>
      <w:r w:rsidR="005C0B1F">
        <w:rPr>
          <w:rFonts w:ascii="Times New Roman" w:hAnsi="Times New Roman"/>
          <w:sz w:val="24"/>
          <w:szCs w:val="24"/>
        </w:rPr>
        <w:t xml:space="preserve"> </w:t>
      </w:r>
      <w:r w:rsidR="00C660DF">
        <w:rPr>
          <w:rFonts w:ascii="Times New Roman" w:hAnsi="Times New Roman"/>
          <w:sz w:val="24"/>
          <w:szCs w:val="24"/>
        </w:rPr>
        <w:t>(</w:t>
      </w:r>
      <w:r w:rsidR="0053016F" w:rsidRPr="0053016F">
        <w:rPr>
          <w:rFonts w:ascii="Times New Roman" w:hAnsi="Times New Roman"/>
          <w:sz w:val="24"/>
          <w:szCs w:val="24"/>
        </w:rPr>
        <w:t>INE/ENE</w:t>
      </w:r>
      <w:r w:rsidR="00C660DF">
        <w:rPr>
          <w:rFonts w:ascii="Times New Roman" w:hAnsi="Times New Roman"/>
          <w:sz w:val="24"/>
          <w:szCs w:val="24"/>
        </w:rPr>
        <w:t>)</w:t>
      </w:r>
      <w:r w:rsidR="002C29AB">
        <w:rPr>
          <w:rFonts w:ascii="Times New Roman" w:hAnsi="Times New Roman"/>
          <w:sz w:val="24"/>
          <w:szCs w:val="24"/>
        </w:rPr>
        <w:t>; y Rodolfo Cabello (consultor)</w:t>
      </w:r>
      <w:r w:rsidR="0053016F">
        <w:rPr>
          <w:rFonts w:ascii="Times New Roman" w:hAnsi="Times New Roman"/>
          <w:sz w:val="24"/>
          <w:szCs w:val="24"/>
        </w:rPr>
        <w:t>.</w:t>
      </w:r>
    </w:p>
    <w:p w:rsidR="00444E63" w:rsidRDefault="00CF7221" w:rsidP="00444E63">
      <w:pPr>
        <w:spacing w:before="0" w:after="120"/>
        <w:jc w:val="center"/>
        <w:rPr>
          <w:b/>
          <w:lang w:val="es-ES_tradnl"/>
        </w:rPr>
      </w:pPr>
      <w:r w:rsidRPr="0053016F">
        <w:rPr>
          <w:b/>
          <w:highlight w:val="lightGray"/>
          <w:lang w:val="es-ES_tradnl"/>
        </w:rPr>
        <w:br w:type="page"/>
      </w:r>
    </w:p>
    <w:p w:rsidR="00946570" w:rsidRDefault="00946570" w:rsidP="00444E63">
      <w:pPr>
        <w:spacing w:before="0" w:after="120"/>
        <w:jc w:val="center"/>
        <w:rPr>
          <w:b/>
          <w:lang w:val="es-ES_tradnl"/>
        </w:rPr>
      </w:pPr>
    </w:p>
    <w:p w:rsidR="00946570" w:rsidRDefault="00946570" w:rsidP="00946570">
      <w:pPr>
        <w:spacing w:before="0" w:after="120"/>
        <w:ind w:left="0" w:firstLine="0"/>
        <w:jc w:val="center"/>
        <w:rPr>
          <w:b/>
          <w:lang w:val="es-ES_tradnl"/>
        </w:rPr>
      </w:pPr>
    </w:p>
    <w:p w:rsidR="00946570" w:rsidRDefault="00946570" w:rsidP="00946570">
      <w:pPr>
        <w:spacing w:before="0" w:after="120"/>
        <w:ind w:left="0" w:firstLine="0"/>
        <w:jc w:val="center"/>
        <w:rPr>
          <w:b/>
          <w:lang w:val="es-ES_tradnl"/>
        </w:rPr>
      </w:pPr>
    </w:p>
    <w:p w:rsidR="00740103" w:rsidRDefault="00740103" w:rsidP="00946570">
      <w:pPr>
        <w:spacing w:before="0" w:after="120"/>
        <w:ind w:left="0" w:firstLine="0"/>
        <w:jc w:val="center"/>
        <w:rPr>
          <w:b/>
          <w:lang w:val="es-ES_tradnl"/>
        </w:rPr>
      </w:pPr>
    </w:p>
    <w:p w:rsidR="00740103" w:rsidRDefault="00740103" w:rsidP="00946570">
      <w:pPr>
        <w:spacing w:before="0" w:after="120"/>
        <w:ind w:left="0" w:firstLine="0"/>
        <w:jc w:val="center"/>
        <w:rPr>
          <w:b/>
          <w:lang w:val="es-ES_tradnl"/>
        </w:rPr>
      </w:pPr>
    </w:p>
    <w:p w:rsidR="00946570" w:rsidRDefault="00946570" w:rsidP="00946570">
      <w:pPr>
        <w:spacing w:before="0" w:after="120"/>
        <w:ind w:left="0" w:firstLine="0"/>
        <w:jc w:val="center"/>
        <w:rPr>
          <w:b/>
          <w:lang w:val="es-ES_tradnl"/>
        </w:rPr>
      </w:pPr>
      <w:r>
        <w:rPr>
          <w:b/>
          <w:lang w:val="es-ES_tradnl"/>
        </w:rPr>
        <w:t>CONTENIDO</w:t>
      </w:r>
    </w:p>
    <w:p w:rsidR="00740103" w:rsidRDefault="00740103" w:rsidP="00946570">
      <w:pPr>
        <w:spacing w:before="0" w:after="120"/>
        <w:ind w:left="0" w:firstLine="0"/>
        <w:jc w:val="center"/>
        <w:rPr>
          <w:b/>
          <w:lang w:val="es-ES_tradnl"/>
        </w:rPr>
      </w:pPr>
    </w:p>
    <w:p w:rsidR="005C3916" w:rsidRDefault="005C3916" w:rsidP="00946570">
      <w:pPr>
        <w:spacing w:before="0" w:after="120"/>
        <w:ind w:left="0" w:firstLine="0"/>
        <w:jc w:val="center"/>
        <w:rPr>
          <w:b/>
          <w:lang w:val="es-ES_tradnl"/>
        </w:rPr>
      </w:pPr>
    </w:p>
    <w:p w:rsidR="00946570" w:rsidRDefault="005C3916" w:rsidP="00946570">
      <w:pPr>
        <w:spacing w:before="0" w:after="120"/>
        <w:ind w:left="0" w:firstLine="0"/>
        <w:jc w:val="center"/>
        <w:rPr>
          <w:b/>
          <w:lang w:val="es-ES_tradnl"/>
        </w:rPr>
      </w:pPr>
      <w:r>
        <w:rPr>
          <w:b/>
          <w:lang w:val="es-ES_tradnl"/>
        </w:rPr>
        <w:tab/>
      </w:r>
      <w:r>
        <w:rPr>
          <w:b/>
          <w:lang w:val="es-ES_tradnl"/>
        </w:rPr>
        <w:tab/>
      </w:r>
      <w:r>
        <w:rPr>
          <w:b/>
          <w:lang w:val="es-ES_tradnl"/>
        </w:rPr>
        <w:tab/>
      </w:r>
      <w:r>
        <w:rPr>
          <w:b/>
          <w:lang w:val="es-ES_tradnl"/>
        </w:rPr>
        <w:tab/>
      </w:r>
      <w:r>
        <w:rPr>
          <w:b/>
          <w:lang w:val="es-ES_tradnl"/>
        </w:rPr>
        <w:tab/>
      </w:r>
      <w:r>
        <w:rPr>
          <w:b/>
          <w:lang w:val="es-ES_tradnl"/>
        </w:rPr>
        <w:tab/>
      </w:r>
      <w:r>
        <w:rPr>
          <w:b/>
          <w:lang w:val="es-ES_tradnl"/>
        </w:rPr>
        <w:tab/>
        <w:t>Pág.</w:t>
      </w:r>
    </w:p>
    <w:p w:rsidR="00946570" w:rsidRDefault="00946570" w:rsidP="00F13F2A">
      <w:pPr>
        <w:pStyle w:val="ListParagraph"/>
        <w:numPr>
          <w:ilvl w:val="0"/>
          <w:numId w:val="18"/>
        </w:numPr>
        <w:spacing w:before="0" w:after="120" w:line="360" w:lineRule="auto"/>
        <w:ind w:left="2250" w:hanging="1170"/>
        <w:jc w:val="left"/>
        <w:rPr>
          <w:b/>
          <w:lang w:val="es-ES_tradnl"/>
        </w:rPr>
      </w:pPr>
      <w:r>
        <w:rPr>
          <w:b/>
          <w:lang w:val="es-ES_tradnl"/>
        </w:rPr>
        <w:t>Introducción</w:t>
      </w:r>
      <w:r w:rsidR="005C3916">
        <w:rPr>
          <w:b/>
          <w:lang w:val="es-ES_tradnl"/>
        </w:rPr>
        <w:tab/>
      </w:r>
      <w:r w:rsidR="005C3916">
        <w:rPr>
          <w:b/>
          <w:lang w:val="es-ES_tradnl"/>
        </w:rPr>
        <w:tab/>
      </w:r>
      <w:r w:rsidR="005C3916">
        <w:rPr>
          <w:b/>
          <w:lang w:val="es-ES_tradnl"/>
        </w:rPr>
        <w:tab/>
      </w:r>
      <w:r w:rsidR="005C3916">
        <w:rPr>
          <w:b/>
          <w:lang w:val="es-ES_tradnl"/>
        </w:rPr>
        <w:tab/>
      </w:r>
      <w:r w:rsidR="005C3916">
        <w:rPr>
          <w:b/>
          <w:lang w:val="es-ES_tradnl"/>
        </w:rPr>
        <w:tab/>
      </w:r>
      <w:r w:rsidR="005C3916">
        <w:rPr>
          <w:b/>
          <w:lang w:val="es-ES_tradnl"/>
        </w:rPr>
        <w:tab/>
      </w:r>
      <w:r w:rsidR="001E05D9">
        <w:rPr>
          <w:b/>
          <w:lang w:val="es-ES_tradnl"/>
        </w:rPr>
        <w:t xml:space="preserve"> </w:t>
      </w:r>
      <w:r w:rsidR="005C3916">
        <w:rPr>
          <w:b/>
          <w:lang w:val="es-ES_tradnl"/>
        </w:rPr>
        <w:t xml:space="preserve"> 1</w:t>
      </w:r>
      <w:r w:rsidR="005C3916">
        <w:rPr>
          <w:b/>
          <w:lang w:val="es-ES_tradnl"/>
        </w:rPr>
        <w:tab/>
      </w:r>
    </w:p>
    <w:p w:rsidR="00946570" w:rsidRDefault="00946570" w:rsidP="00F13F2A">
      <w:pPr>
        <w:pStyle w:val="ListParagraph"/>
        <w:numPr>
          <w:ilvl w:val="0"/>
          <w:numId w:val="18"/>
        </w:numPr>
        <w:spacing w:before="0" w:after="120" w:line="360" w:lineRule="auto"/>
        <w:ind w:left="2250" w:hanging="1170"/>
        <w:jc w:val="left"/>
        <w:rPr>
          <w:b/>
          <w:lang w:val="es-ES_tradnl"/>
        </w:rPr>
      </w:pPr>
      <w:r>
        <w:rPr>
          <w:b/>
          <w:lang w:val="es-ES_tradnl"/>
        </w:rPr>
        <w:t>Supuestos y metodología</w:t>
      </w:r>
      <w:r w:rsidR="004276B7">
        <w:rPr>
          <w:b/>
          <w:lang w:val="es-ES_tradnl"/>
        </w:rPr>
        <w:tab/>
      </w:r>
      <w:r w:rsidR="004276B7">
        <w:rPr>
          <w:b/>
          <w:lang w:val="es-ES_tradnl"/>
        </w:rPr>
        <w:tab/>
      </w:r>
      <w:r w:rsidR="004276B7">
        <w:rPr>
          <w:b/>
          <w:lang w:val="es-ES_tradnl"/>
        </w:rPr>
        <w:tab/>
      </w:r>
      <w:r w:rsidR="004276B7">
        <w:rPr>
          <w:b/>
          <w:lang w:val="es-ES_tradnl"/>
        </w:rPr>
        <w:tab/>
      </w:r>
      <w:r w:rsidR="001E05D9">
        <w:rPr>
          <w:b/>
          <w:lang w:val="es-ES_tradnl"/>
        </w:rPr>
        <w:t xml:space="preserve"> </w:t>
      </w:r>
      <w:r w:rsidR="004276B7">
        <w:rPr>
          <w:b/>
          <w:lang w:val="es-ES_tradnl"/>
        </w:rPr>
        <w:t xml:space="preserve"> 3</w:t>
      </w:r>
    </w:p>
    <w:p w:rsidR="00946570" w:rsidRPr="00946570" w:rsidRDefault="00946570" w:rsidP="00F13F2A">
      <w:pPr>
        <w:pStyle w:val="ListParagraph"/>
        <w:numPr>
          <w:ilvl w:val="0"/>
          <w:numId w:val="18"/>
        </w:numPr>
        <w:spacing w:line="360" w:lineRule="auto"/>
        <w:ind w:left="2250" w:hanging="1170"/>
        <w:rPr>
          <w:b/>
          <w:lang w:val="es-ES_tradnl"/>
        </w:rPr>
      </w:pPr>
      <w:r w:rsidRPr="00946570">
        <w:rPr>
          <w:b/>
          <w:lang w:val="es-ES_tradnl"/>
        </w:rPr>
        <w:t>Beneficios económicos, costos y retorno</w:t>
      </w:r>
      <w:r w:rsidR="005C3916">
        <w:rPr>
          <w:b/>
          <w:lang w:val="es-ES_tradnl"/>
        </w:rPr>
        <w:tab/>
      </w:r>
      <w:r w:rsidR="005C3916">
        <w:rPr>
          <w:b/>
          <w:lang w:val="es-ES_tradnl"/>
        </w:rPr>
        <w:tab/>
        <w:t xml:space="preserve"> </w:t>
      </w:r>
      <w:r w:rsidR="001E05D9">
        <w:rPr>
          <w:b/>
          <w:lang w:val="es-ES_tradnl"/>
        </w:rPr>
        <w:t xml:space="preserve"> 5</w:t>
      </w:r>
    </w:p>
    <w:p w:rsidR="00946570" w:rsidRDefault="00946570" w:rsidP="00F13F2A">
      <w:pPr>
        <w:pStyle w:val="ListParagraph"/>
        <w:numPr>
          <w:ilvl w:val="0"/>
          <w:numId w:val="18"/>
        </w:numPr>
        <w:spacing w:before="0" w:after="120" w:line="360" w:lineRule="auto"/>
        <w:ind w:left="2250" w:hanging="1170"/>
        <w:jc w:val="left"/>
        <w:rPr>
          <w:b/>
          <w:lang w:val="es-ES_tradnl"/>
        </w:rPr>
      </w:pPr>
      <w:r>
        <w:rPr>
          <w:b/>
          <w:lang w:val="es-ES_tradnl"/>
        </w:rPr>
        <w:t>Análisis de Sensibilidad</w:t>
      </w:r>
      <w:r w:rsidR="001E05D9">
        <w:rPr>
          <w:b/>
          <w:lang w:val="es-ES_tradnl"/>
        </w:rPr>
        <w:tab/>
      </w:r>
      <w:r w:rsidR="001E05D9">
        <w:rPr>
          <w:b/>
          <w:lang w:val="es-ES_tradnl"/>
        </w:rPr>
        <w:tab/>
      </w:r>
      <w:r w:rsidR="001E05D9">
        <w:rPr>
          <w:b/>
          <w:lang w:val="es-ES_tradnl"/>
        </w:rPr>
        <w:tab/>
      </w:r>
      <w:r w:rsidR="001E05D9">
        <w:rPr>
          <w:b/>
          <w:lang w:val="es-ES_tradnl"/>
        </w:rPr>
        <w:tab/>
        <w:t>10</w:t>
      </w:r>
    </w:p>
    <w:p w:rsidR="00946570" w:rsidRPr="00946570" w:rsidRDefault="00946570" w:rsidP="00F13F2A">
      <w:pPr>
        <w:pStyle w:val="ListParagraph"/>
        <w:numPr>
          <w:ilvl w:val="0"/>
          <w:numId w:val="18"/>
        </w:numPr>
        <w:spacing w:before="0" w:after="120" w:line="360" w:lineRule="auto"/>
        <w:ind w:left="2250" w:hanging="1170"/>
        <w:jc w:val="left"/>
        <w:rPr>
          <w:b/>
          <w:lang w:val="es-ES_tradnl"/>
        </w:rPr>
      </w:pPr>
      <w:r>
        <w:rPr>
          <w:b/>
          <w:lang w:val="es-ES_tradnl"/>
        </w:rPr>
        <w:t>Conclusiones</w:t>
      </w:r>
      <w:r w:rsidR="005C3916">
        <w:rPr>
          <w:b/>
          <w:lang w:val="es-ES_tradnl"/>
        </w:rPr>
        <w:tab/>
      </w:r>
      <w:r w:rsidR="005C3916">
        <w:rPr>
          <w:b/>
          <w:lang w:val="es-ES_tradnl"/>
        </w:rPr>
        <w:tab/>
      </w:r>
      <w:r w:rsidR="005C3916">
        <w:rPr>
          <w:b/>
          <w:lang w:val="es-ES_tradnl"/>
        </w:rPr>
        <w:tab/>
      </w:r>
      <w:r w:rsidR="005C3916">
        <w:rPr>
          <w:b/>
          <w:lang w:val="es-ES_tradnl"/>
        </w:rPr>
        <w:tab/>
      </w:r>
      <w:r w:rsidR="005C3916">
        <w:rPr>
          <w:b/>
          <w:lang w:val="es-ES_tradnl"/>
        </w:rPr>
        <w:tab/>
      </w:r>
      <w:r w:rsidR="005C3916">
        <w:rPr>
          <w:b/>
          <w:lang w:val="es-ES_tradnl"/>
        </w:rPr>
        <w:tab/>
        <w:t>1</w:t>
      </w:r>
      <w:r w:rsidR="001E05D9">
        <w:rPr>
          <w:b/>
          <w:lang w:val="es-ES_tradnl"/>
        </w:rPr>
        <w:t>2</w:t>
      </w:r>
    </w:p>
    <w:p w:rsidR="004276B7" w:rsidRDefault="004276B7" w:rsidP="005C3916">
      <w:pPr>
        <w:spacing w:before="0" w:after="120" w:line="360" w:lineRule="auto"/>
        <w:rPr>
          <w:b/>
          <w:lang w:val="es-ES_tradnl"/>
        </w:rPr>
        <w:sectPr w:rsidR="004276B7" w:rsidSect="00346AB0">
          <w:headerReference w:type="default" r:id="rId9"/>
          <w:footerReference w:type="default" r:id="rId10"/>
          <w:pgSz w:w="12240" w:h="15840"/>
          <w:pgMar w:top="1440" w:right="1440" w:bottom="1440" w:left="1440" w:header="720" w:footer="720" w:gutter="0"/>
          <w:pgNumType w:fmt="lowerRoman" w:start="1"/>
          <w:cols w:space="720"/>
          <w:titlePg/>
          <w:docGrid w:linePitch="360"/>
        </w:sectPr>
      </w:pPr>
    </w:p>
    <w:p w:rsidR="00444E63" w:rsidRDefault="00444E63" w:rsidP="00444E63">
      <w:pPr>
        <w:spacing w:before="0" w:after="120"/>
        <w:jc w:val="center"/>
        <w:rPr>
          <w:b/>
          <w:lang w:val="es-ES_tradnl"/>
        </w:rPr>
      </w:pPr>
      <w:r w:rsidRPr="00444E63">
        <w:rPr>
          <w:b/>
          <w:lang w:val="es-ES_tradnl"/>
        </w:rPr>
        <w:lastRenderedPageBreak/>
        <w:t>PROGRAMA DE MODERNIZACIÓN DE LA RED DE DISTRIBUCIÓN Y REDUCCIÓN DE PÉRDIDAS ELÉCTRICAS</w:t>
      </w:r>
      <w:r>
        <w:rPr>
          <w:b/>
          <w:lang w:val="es-ES_tradnl"/>
        </w:rPr>
        <w:t xml:space="preserve">  </w:t>
      </w:r>
      <w:r w:rsidR="005C0B1F">
        <w:rPr>
          <w:b/>
          <w:lang w:val="es-ES_tradnl"/>
        </w:rPr>
        <w:t xml:space="preserve"> </w:t>
      </w:r>
      <w:r w:rsidR="00E81E2B">
        <w:rPr>
          <w:b/>
          <w:lang w:val="es-ES_tradnl"/>
        </w:rPr>
        <w:t>(</w:t>
      </w:r>
      <w:r w:rsidRPr="00444E63">
        <w:rPr>
          <w:b/>
          <w:lang w:val="es-ES_tradnl"/>
        </w:rPr>
        <w:t xml:space="preserve">DR-L1034) </w:t>
      </w:r>
    </w:p>
    <w:p w:rsidR="00444E63" w:rsidRDefault="00444E63" w:rsidP="00444E63">
      <w:pPr>
        <w:spacing w:before="0" w:after="120"/>
        <w:jc w:val="center"/>
        <w:rPr>
          <w:b/>
          <w:lang w:val="es-ES_tradnl"/>
        </w:rPr>
      </w:pPr>
      <w:r>
        <w:rPr>
          <w:b/>
          <w:lang w:val="es-ES_tradnl"/>
        </w:rPr>
        <w:t>Evaluación Económica</w:t>
      </w:r>
    </w:p>
    <w:p w:rsidR="003663F5" w:rsidRDefault="003663F5" w:rsidP="00444E63">
      <w:pPr>
        <w:spacing w:before="0" w:after="120"/>
        <w:jc w:val="center"/>
        <w:rPr>
          <w:b/>
          <w:lang w:val="es-ES_tradnl"/>
        </w:rPr>
      </w:pPr>
    </w:p>
    <w:p w:rsidR="00BE5F08" w:rsidRPr="007243AF" w:rsidRDefault="00232ACF" w:rsidP="00DD1BE6">
      <w:pPr>
        <w:pStyle w:val="Banknumbered"/>
        <w:numPr>
          <w:ilvl w:val="0"/>
          <w:numId w:val="8"/>
        </w:numPr>
        <w:rPr>
          <w:b/>
        </w:rPr>
      </w:pPr>
      <w:proofErr w:type="spellStart"/>
      <w:r w:rsidRPr="007243AF">
        <w:rPr>
          <w:b/>
        </w:rPr>
        <w:t>Introducci</w:t>
      </w:r>
      <w:r w:rsidR="008D0043" w:rsidRPr="007243AF">
        <w:rPr>
          <w:b/>
        </w:rPr>
        <w:t>ó</w:t>
      </w:r>
      <w:r w:rsidRPr="007243AF">
        <w:rPr>
          <w:b/>
        </w:rPr>
        <w:t>n</w:t>
      </w:r>
      <w:proofErr w:type="spellEnd"/>
    </w:p>
    <w:p w:rsidR="00C4397E" w:rsidRPr="007243AF" w:rsidRDefault="00C4397E" w:rsidP="00C4397E">
      <w:pPr>
        <w:pStyle w:val="ListParagraph"/>
        <w:spacing w:before="0" w:after="120"/>
        <w:ind w:firstLine="0"/>
        <w:rPr>
          <w:rFonts w:eastAsia="Calibri" w:cs="Times New Roman"/>
          <w:lang w:val="es-CL"/>
        </w:rPr>
      </w:pPr>
    </w:p>
    <w:p w:rsidR="00BE5F08" w:rsidRPr="00184486" w:rsidRDefault="00BE5F08" w:rsidP="00DD1BE6">
      <w:pPr>
        <w:pStyle w:val="ListParagraph"/>
        <w:numPr>
          <w:ilvl w:val="0"/>
          <w:numId w:val="9"/>
        </w:numPr>
        <w:spacing w:before="0" w:after="120"/>
        <w:rPr>
          <w:rFonts w:eastAsia="Calibri" w:cs="Times New Roman"/>
          <w:sz w:val="20"/>
          <w:lang w:val="es-CL"/>
        </w:rPr>
      </w:pPr>
      <w:bookmarkStart w:id="2" w:name="_Toc316925702"/>
      <w:r w:rsidRPr="00C4397E">
        <w:rPr>
          <w:rFonts w:eastAsia="Calibri" w:cs="Times New Roman"/>
          <w:lang w:val="es-CL"/>
        </w:rPr>
        <w:t>La situación deficitaria e insostenible del sector eléctrico en RD presenta desafíos en el corto, mediano y largo plazo en todas sus áreas, tanto institucionales</w:t>
      </w:r>
      <w:r w:rsidR="00C4397E" w:rsidRPr="00C4397E">
        <w:rPr>
          <w:rFonts w:eastAsia="Calibri" w:cs="Times New Roman"/>
          <w:lang w:val="es-CL"/>
        </w:rPr>
        <w:t>,</w:t>
      </w:r>
      <w:r w:rsidRPr="00C4397E">
        <w:rPr>
          <w:rFonts w:eastAsia="Calibri" w:cs="Times New Roman"/>
          <w:lang w:val="es-CL"/>
        </w:rPr>
        <w:t xml:space="preserve"> como </w:t>
      </w:r>
      <w:r w:rsidR="00C4397E" w:rsidRPr="00C4397E">
        <w:rPr>
          <w:rFonts w:eastAsia="Calibri" w:cs="Times New Roman"/>
          <w:lang w:val="es-CL"/>
        </w:rPr>
        <w:t xml:space="preserve">técnicas y financieras </w:t>
      </w:r>
      <w:r w:rsidRPr="00C4397E">
        <w:rPr>
          <w:rFonts w:eastAsia="Calibri" w:cs="Times New Roman"/>
          <w:lang w:val="es-CL"/>
        </w:rPr>
        <w:t>para la provisión del servicio: generación, transmisión y distribución.  Par</w:t>
      </w:r>
      <w:r w:rsidR="00C4397E" w:rsidRPr="00C4397E">
        <w:rPr>
          <w:rFonts w:eastAsia="Calibri" w:cs="Times New Roman"/>
          <w:lang w:val="es-CL"/>
        </w:rPr>
        <w:t>a el caso de</w:t>
      </w:r>
      <w:r w:rsidRPr="00C4397E">
        <w:rPr>
          <w:rFonts w:eastAsia="Calibri" w:cs="Times New Roman"/>
          <w:lang w:val="es-CL"/>
        </w:rPr>
        <w:t xml:space="preserve">l área de distribución </w:t>
      </w:r>
      <w:r w:rsidR="00C4397E" w:rsidRPr="00C4397E">
        <w:rPr>
          <w:rFonts w:eastAsia="Calibri" w:cs="Times New Roman"/>
          <w:lang w:val="es-CL"/>
        </w:rPr>
        <w:t>eléctrica, c</w:t>
      </w:r>
      <w:r w:rsidR="009B1534" w:rsidRPr="00C4397E">
        <w:rPr>
          <w:rFonts w:cs="Times New Roman"/>
          <w:lang w:val="es-CL"/>
        </w:rPr>
        <w:t>on base en</w:t>
      </w:r>
      <w:r w:rsidRPr="00C4397E">
        <w:rPr>
          <w:rFonts w:cs="Times New Roman"/>
          <w:lang w:val="es-CL"/>
        </w:rPr>
        <w:t xml:space="preserve"> </w:t>
      </w:r>
      <w:r w:rsidR="00C4397E" w:rsidRPr="00C4397E">
        <w:rPr>
          <w:rFonts w:cs="Times New Roman"/>
          <w:lang w:val="es-CL"/>
        </w:rPr>
        <w:t xml:space="preserve">la experiencia del Banco y de las entidades sectoriales nacionales y de las evaluaciones y análisis realizados a la situación de pérdidas en distribución eléctrica, las autoridades con apoyo del Banco </w:t>
      </w:r>
      <w:r w:rsidRPr="00C4397E">
        <w:rPr>
          <w:rFonts w:cs="Times New Roman"/>
          <w:lang w:val="es-CL"/>
        </w:rPr>
        <w:t>identific</w:t>
      </w:r>
      <w:r w:rsidR="00C4397E" w:rsidRPr="00C4397E">
        <w:rPr>
          <w:rFonts w:cs="Times New Roman"/>
          <w:lang w:val="es-CL"/>
        </w:rPr>
        <w:t>aron</w:t>
      </w:r>
      <w:r w:rsidRPr="00C4397E">
        <w:rPr>
          <w:rFonts w:cs="Times New Roman"/>
          <w:lang w:val="es-CL"/>
        </w:rPr>
        <w:t xml:space="preserve"> la necesidad de</w:t>
      </w:r>
      <w:r w:rsidR="007065C0" w:rsidRPr="007065C0">
        <w:rPr>
          <w:rFonts w:eastAsia="Calibri" w:cs="Times New Roman"/>
          <w:szCs w:val="24"/>
          <w:lang w:val="es-CL"/>
        </w:rPr>
        <w:t xml:space="preserve"> mejorar el desempeño operativo y comercial de las </w:t>
      </w:r>
      <w:r w:rsidR="00E81E2B">
        <w:rPr>
          <w:rFonts w:cs="Times New Roman"/>
          <w:lang w:val="es-CL"/>
        </w:rPr>
        <w:t>Empresas Distribuidoras de Electricidad</w:t>
      </w:r>
      <w:r w:rsidR="00E81E2B" w:rsidRPr="007065C0">
        <w:rPr>
          <w:rFonts w:eastAsia="Calibri" w:cs="Times New Roman"/>
          <w:szCs w:val="24"/>
          <w:lang w:val="es-CL"/>
        </w:rPr>
        <w:t xml:space="preserve"> </w:t>
      </w:r>
      <w:r w:rsidR="00E81E2B">
        <w:rPr>
          <w:rFonts w:eastAsia="Calibri" w:cs="Times New Roman"/>
          <w:szCs w:val="24"/>
          <w:lang w:val="es-CL"/>
        </w:rPr>
        <w:t>(</w:t>
      </w:r>
      <w:proofErr w:type="spellStart"/>
      <w:r w:rsidR="007065C0" w:rsidRPr="007065C0">
        <w:rPr>
          <w:rFonts w:eastAsia="Calibri" w:cs="Times New Roman"/>
          <w:szCs w:val="24"/>
          <w:lang w:val="es-CL"/>
        </w:rPr>
        <w:t>EDEs</w:t>
      </w:r>
      <w:proofErr w:type="spellEnd"/>
      <w:r w:rsidR="00E81E2B">
        <w:rPr>
          <w:rFonts w:eastAsia="Calibri" w:cs="Times New Roman"/>
          <w:szCs w:val="24"/>
          <w:lang w:val="es-CL"/>
        </w:rPr>
        <w:t>)</w:t>
      </w:r>
      <w:r w:rsidR="007065C0" w:rsidRPr="007065C0">
        <w:rPr>
          <w:rFonts w:eastAsia="Calibri" w:cs="Times New Roman"/>
          <w:szCs w:val="24"/>
          <w:lang w:val="es-CL"/>
        </w:rPr>
        <w:t xml:space="preserve"> y reducir las transferencias del G</w:t>
      </w:r>
      <w:r w:rsidR="003A1DD9">
        <w:rPr>
          <w:rFonts w:eastAsia="Calibri" w:cs="Times New Roman"/>
          <w:szCs w:val="24"/>
          <w:lang w:val="es-CL"/>
        </w:rPr>
        <w:t>obierno de la República Dominicana (G</w:t>
      </w:r>
      <w:r w:rsidR="007065C0" w:rsidRPr="007065C0">
        <w:rPr>
          <w:rFonts w:eastAsia="Calibri" w:cs="Times New Roman"/>
          <w:szCs w:val="24"/>
          <w:lang w:val="es-CL"/>
        </w:rPr>
        <w:t>RD</w:t>
      </w:r>
      <w:r w:rsidR="003A1DD9">
        <w:rPr>
          <w:rFonts w:eastAsia="Calibri" w:cs="Times New Roman"/>
          <w:szCs w:val="24"/>
          <w:lang w:val="es-CL"/>
        </w:rPr>
        <w:t>)</w:t>
      </w:r>
      <w:r w:rsidR="007065C0" w:rsidRPr="007065C0">
        <w:rPr>
          <w:rFonts w:eastAsia="Calibri" w:cs="Times New Roman"/>
          <w:szCs w:val="24"/>
          <w:lang w:val="es-CL"/>
        </w:rPr>
        <w:t xml:space="preserve"> al sector</w:t>
      </w:r>
      <w:r w:rsidR="007065C0">
        <w:rPr>
          <w:rFonts w:eastAsia="Calibri" w:cs="Times New Roman"/>
          <w:szCs w:val="24"/>
          <w:lang w:val="es-CL"/>
        </w:rPr>
        <w:t xml:space="preserve"> mediante: </w:t>
      </w:r>
      <w:r w:rsidR="005C0B1F">
        <w:rPr>
          <w:rFonts w:eastAsia="Calibri" w:cs="Times New Roman"/>
          <w:szCs w:val="24"/>
          <w:lang w:val="es-CL"/>
        </w:rPr>
        <w:t xml:space="preserve"> </w:t>
      </w:r>
      <w:r w:rsidR="007065C0">
        <w:rPr>
          <w:rFonts w:eastAsia="Calibri" w:cs="Times New Roman"/>
          <w:szCs w:val="24"/>
          <w:lang w:val="es-CL"/>
        </w:rPr>
        <w:t>i) la implementación de</w:t>
      </w:r>
      <w:r w:rsidRPr="00C4397E">
        <w:rPr>
          <w:rFonts w:cs="Times New Roman"/>
          <w:lang w:val="es-CL"/>
        </w:rPr>
        <w:t xml:space="preserve"> una serie de proyectos específicos y prioritarios de </w:t>
      </w:r>
      <w:r w:rsidR="007065C0">
        <w:rPr>
          <w:rFonts w:cs="Times New Roman"/>
          <w:lang w:val="es-CL"/>
        </w:rPr>
        <w:t>r</w:t>
      </w:r>
      <w:r w:rsidRPr="00C4397E">
        <w:rPr>
          <w:rFonts w:cs="Times New Roman"/>
          <w:lang w:val="es-CL"/>
        </w:rPr>
        <w:t xml:space="preserve">ehabilitación de circuitos identificados por las </w:t>
      </w:r>
      <w:proofErr w:type="spellStart"/>
      <w:r w:rsidRPr="00C4397E">
        <w:rPr>
          <w:rFonts w:cs="Times New Roman"/>
          <w:lang w:val="es-CL"/>
        </w:rPr>
        <w:t>EDEs</w:t>
      </w:r>
      <w:proofErr w:type="spellEnd"/>
      <w:r w:rsidRPr="00C4397E">
        <w:rPr>
          <w:rFonts w:cs="Times New Roman"/>
          <w:lang w:val="es-CL"/>
        </w:rPr>
        <w:t xml:space="preserve">; </w:t>
      </w:r>
      <w:r w:rsidR="005C0B1F">
        <w:rPr>
          <w:rFonts w:cs="Times New Roman"/>
          <w:lang w:val="es-CL"/>
        </w:rPr>
        <w:t xml:space="preserve"> </w:t>
      </w:r>
      <w:r w:rsidRPr="00C4397E">
        <w:rPr>
          <w:rFonts w:cs="Times New Roman"/>
          <w:lang w:val="es-CL"/>
        </w:rPr>
        <w:t>ii) campañas sociales y uso eficiente de la ener</w:t>
      </w:r>
      <w:r w:rsidR="00A54BE8">
        <w:rPr>
          <w:rFonts w:cs="Times New Roman"/>
          <w:lang w:val="es-CL"/>
        </w:rPr>
        <w:t>gía en las zonas intervenidas; y</w:t>
      </w:r>
      <w:r w:rsidR="005C0B1F">
        <w:rPr>
          <w:rFonts w:cs="Times New Roman"/>
          <w:lang w:val="es-CL"/>
        </w:rPr>
        <w:t xml:space="preserve"> </w:t>
      </w:r>
      <w:r w:rsidRPr="00C4397E">
        <w:rPr>
          <w:rFonts w:cs="Times New Roman"/>
          <w:lang w:val="es-CL"/>
        </w:rPr>
        <w:t>iii) mejora</w:t>
      </w:r>
      <w:r w:rsidR="007065C0">
        <w:rPr>
          <w:rFonts w:cs="Times New Roman"/>
          <w:lang w:val="es-CL"/>
        </w:rPr>
        <w:t>s en</w:t>
      </w:r>
      <w:r w:rsidRPr="00C4397E">
        <w:rPr>
          <w:rFonts w:cs="Times New Roman"/>
          <w:lang w:val="es-CL"/>
        </w:rPr>
        <w:t xml:space="preserve"> las horas de servicio y el número de los clientes regulares de las zonas afectadas por los proyectos.</w:t>
      </w:r>
      <w:r w:rsidR="00C4397E" w:rsidRPr="00C4397E">
        <w:rPr>
          <w:rFonts w:cs="Times New Roman"/>
          <w:lang w:val="es-CL"/>
        </w:rPr>
        <w:t xml:space="preserve"> Con ello se espera </w:t>
      </w:r>
      <w:r w:rsidR="00C4397E" w:rsidRPr="00C4397E">
        <w:rPr>
          <w:rFonts w:eastAsia="Calibri" w:cs="Times New Roman"/>
          <w:lang w:val="es-CL"/>
        </w:rPr>
        <w:t>mejorar de manera considerable y sostenible</w:t>
      </w:r>
      <w:r w:rsidR="00C4397E" w:rsidRPr="00C4397E">
        <w:rPr>
          <w:rFonts w:cs="Times New Roman"/>
          <w:lang w:val="es-CL"/>
        </w:rPr>
        <w:t xml:space="preserve"> los niveles de eficiencia operativa de las </w:t>
      </w:r>
      <w:proofErr w:type="spellStart"/>
      <w:r w:rsidR="00C4397E" w:rsidRPr="00C4397E">
        <w:rPr>
          <w:rFonts w:cs="Times New Roman"/>
          <w:lang w:val="es-CL"/>
        </w:rPr>
        <w:t>EDEs</w:t>
      </w:r>
      <w:proofErr w:type="spellEnd"/>
      <w:r w:rsidR="00C4397E" w:rsidRPr="00C4397E">
        <w:rPr>
          <w:rFonts w:cs="Times New Roman"/>
          <w:lang w:val="es-CL"/>
        </w:rPr>
        <w:t>, lo que se traduce en disminuir sus pérdidas y aumentar las cobranzas a niveles estándares de la región,</w:t>
      </w:r>
      <w:r w:rsidR="00C4397E" w:rsidRPr="00C4397E">
        <w:rPr>
          <w:rFonts w:eastAsia="Calibri" w:cs="Times New Roman"/>
          <w:lang w:val="es-CL"/>
        </w:rPr>
        <w:t xml:space="preserve"> y mejorar la calidad del servicio prestado, tanto en las horas de servicio otorgado como en la regularización de clientes informales</w:t>
      </w:r>
      <w:r w:rsidR="00C4397E" w:rsidRPr="00C4397E">
        <w:rPr>
          <w:rFonts w:cs="Times New Roman"/>
          <w:lang w:val="es-CL"/>
        </w:rPr>
        <w:t>.</w:t>
      </w:r>
    </w:p>
    <w:p w:rsidR="00184486" w:rsidRPr="00184486" w:rsidRDefault="00184486" w:rsidP="00184486">
      <w:pPr>
        <w:pStyle w:val="ListParagraph"/>
        <w:spacing w:before="0" w:after="120"/>
        <w:ind w:firstLine="0"/>
        <w:rPr>
          <w:rFonts w:eastAsia="Calibri" w:cs="Times New Roman"/>
          <w:sz w:val="20"/>
          <w:lang w:val="es-CL"/>
        </w:rPr>
      </w:pPr>
    </w:p>
    <w:p w:rsidR="00184486" w:rsidRDefault="00184486" w:rsidP="002838B0">
      <w:pPr>
        <w:pStyle w:val="ListParagraph"/>
        <w:numPr>
          <w:ilvl w:val="0"/>
          <w:numId w:val="9"/>
        </w:numPr>
        <w:spacing w:before="0" w:after="120"/>
        <w:rPr>
          <w:rFonts w:eastAsia="Calibri" w:cs="Times New Roman"/>
          <w:lang w:val="es-CL"/>
        </w:rPr>
      </w:pPr>
      <w:r w:rsidRPr="00184486">
        <w:rPr>
          <w:rFonts w:eastAsia="Calibri" w:cs="Times New Roman"/>
          <w:szCs w:val="24"/>
          <w:lang w:val="es-CL"/>
        </w:rPr>
        <w:t>Con base en los conocimientos y experiencia adquiridos en</w:t>
      </w:r>
      <w:r w:rsidR="002838B0" w:rsidRPr="002838B0">
        <w:rPr>
          <w:lang w:val="es-ES_tradnl"/>
        </w:rPr>
        <w:t xml:space="preserve"> la </w:t>
      </w:r>
      <w:r w:rsidR="002838B0" w:rsidRPr="002838B0">
        <w:rPr>
          <w:rFonts w:eastAsia="Calibri" w:cs="Times New Roman"/>
          <w:szCs w:val="24"/>
          <w:lang w:val="es-CL"/>
        </w:rPr>
        <w:t>Corporación Dominicana de Empresas Eléctricas Estatales</w:t>
      </w:r>
      <w:r w:rsidR="002838B0">
        <w:rPr>
          <w:rFonts w:eastAsia="Calibri" w:cs="Times New Roman"/>
          <w:szCs w:val="24"/>
          <w:lang w:val="es-CL"/>
        </w:rPr>
        <w:t xml:space="preserve"> (</w:t>
      </w:r>
      <w:r w:rsidRPr="00184486">
        <w:rPr>
          <w:rFonts w:eastAsia="Calibri" w:cs="Times New Roman"/>
          <w:szCs w:val="24"/>
          <w:lang w:val="es-CL"/>
        </w:rPr>
        <w:t>CDEEE</w:t>
      </w:r>
      <w:r w:rsidR="002838B0">
        <w:rPr>
          <w:rFonts w:eastAsia="Calibri" w:cs="Times New Roman"/>
          <w:szCs w:val="24"/>
          <w:lang w:val="es-CL"/>
        </w:rPr>
        <w:t>) y</w:t>
      </w:r>
      <w:r w:rsidRPr="00184486">
        <w:rPr>
          <w:rFonts w:eastAsia="Calibri" w:cs="Times New Roman"/>
          <w:szCs w:val="24"/>
          <w:lang w:val="es-CL"/>
        </w:rPr>
        <w:t xml:space="preserve"> en las </w:t>
      </w:r>
      <w:proofErr w:type="spellStart"/>
      <w:r w:rsidRPr="00184486">
        <w:rPr>
          <w:rFonts w:eastAsia="Calibri" w:cs="Times New Roman"/>
          <w:szCs w:val="24"/>
          <w:lang w:val="es-CL"/>
        </w:rPr>
        <w:t>EDEs</w:t>
      </w:r>
      <w:proofErr w:type="spellEnd"/>
      <w:r w:rsidRPr="00184486">
        <w:rPr>
          <w:rFonts w:eastAsia="Calibri" w:cs="Times New Roman"/>
          <w:szCs w:val="24"/>
          <w:lang w:val="es-CL"/>
        </w:rPr>
        <w:t xml:space="preserve">, el nuevo gobierno que tomó posesión a mediados de 2012, en su Plan Integral del Sector Eléctrico 2013-2016, definió su lineamiento estratégico a seguir en un nuevo </w:t>
      </w:r>
      <w:r w:rsidR="004F322F">
        <w:rPr>
          <w:rFonts w:eastAsia="Calibri" w:cs="Times New Roman"/>
          <w:szCs w:val="24"/>
          <w:lang w:val="es-CL"/>
        </w:rPr>
        <w:t>Plan de Recuperación de Pérdidas y Mejoramiento Comercial (P</w:t>
      </w:r>
      <w:r w:rsidRPr="00184486">
        <w:rPr>
          <w:rFonts w:eastAsia="Calibri" w:cs="Times New Roman"/>
          <w:szCs w:val="24"/>
          <w:lang w:val="es-CL"/>
        </w:rPr>
        <w:t>RPMC</w:t>
      </w:r>
      <w:r w:rsidR="004F322F">
        <w:rPr>
          <w:rFonts w:eastAsia="Calibri" w:cs="Times New Roman"/>
          <w:szCs w:val="24"/>
          <w:lang w:val="es-CL"/>
        </w:rPr>
        <w:t>)</w:t>
      </w:r>
      <w:r w:rsidRPr="00184486">
        <w:rPr>
          <w:rFonts w:eastAsia="Calibri" w:cs="Times New Roman"/>
          <w:szCs w:val="24"/>
          <w:lang w:val="es-CL"/>
        </w:rPr>
        <w:t xml:space="preserve"> que a diferencia del anterior</w:t>
      </w:r>
      <w:r w:rsidR="004F322F">
        <w:rPr>
          <w:rFonts w:eastAsia="Calibri" w:cs="Times New Roman"/>
          <w:szCs w:val="24"/>
          <w:lang w:val="es-CL"/>
        </w:rPr>
        <w:t xml:space="preserve"> plan</w:t>
      </w:r>
      <w:r w:rsidRPr="00184486">
        <w:rPr>
          <w:rFonts w:eastAsia="Calibri" w:cs="Times New Roman"/>
          <w:szCs w:val="24"/>
          <w:lang w:val="es-CL"/>
        </w:rPr>
        <w:t>, se enmarca en el aseguramiento del ciclo comercial completo, incluyendo no solo la rehabilitación</w:t>
      </w:r>
      <w:r w:rsidRPr="00184486">
        <w:rPr>
          <w:rFonts w:eastAsia="Calibri" w:cs="Times New Roman"/>
          <w:lang w:val="es-CL"/>
        </w:rPr>
        <w:t xml:space="preserve"> de las redes, sino también la medición, la facturación y el recaudo de la energía entregada, dando especial énfasis al fortalecimiento institucional de las empresas.</w:t>
      </w:r>
    </w:p>
    <w:p w:rsidR="00184486" w:rsidRPr="00184486" w:rsidRDefault="00184486" w:rsidP="00184486">
      <w:pPr>
        <w:pStyle w:val="ListParagraph"/>
        <w:spacing w:before="0" w:after="120"/>
        <w:ind w:firstLine="0"/>
        <w:rPr>
          <w:rFonts w:eastAsia="Calibri" w:cs="Times New Roman"/>
          <w:lang w:val="es-CL"/>
        </w:rPr>
      </w:pPr>
    </w:p>
    <w:p w:rsidR="00184486" w:rsidRDefault="00184486" w:rsidP="00184486">
      <w:pPr>
        <w:pStyle w:val="ListParagraph"/>
        <w:numPr>
          <w:ilvl w:val="0"/>
          <w:numId w:val="9"/>
        </w:numPr>
        <w:spacing w:before="0" w:after="120"/>
        <w:rPr>
          <w:rFonts w:eastAsia="Calibri" w:cs="Times New Roman"/>
          <w:lang w:val="es-CL"/>
        </w:rPr>
      </w:pPr>
      <w:r w:rsidRPr="00184486">
        <w:rPr>
          <w:rFonts w:eastAsia="Calibri" w:cs="Times New Roman"/>
          <w:lang w:val="es-CL"/>
        </w:rPr>
        <w:t xml:space="preserve">El objetivo del Plan Integral lo constituyen tres ejes: i) aumentar la capacidad instalada y modificar la matriz de generación hacia combustibles más eficientes; ii) reducir las pérdidas eléctricas y iii) mejorar la gestión de las empresas del sector eléctrico. El nuevo PRPMC, correspondiente al segundo eje, establece líneas de trabajo para: i) reducir pérdidas técnicas y no técnicas; ii) mejorar la gestión técnica y comercial, y aumentar el CRI; y iii) mejorar la calidad del suministro. Las acciones específicas del PRPMC son: i) rehabilitación de circuitos eléctricos prioritarios a partir de la normalización de las redes e implementación de medición óptima de los suministros; ii) implementación de campañas de gestión social en las zonas de influencia de circuitos a intervenir, a fin de mejorar la actitud al pago por el servicio y educar a los clientes sobre el uso eficiente de la energía para la sostenibilidad de los resultados; y iii) acciones de fortalecimiento institucional para reducción de pérdidas y monitoreo de la energía servida. </w:t>
      </w:r>
    </w:p>
    <w:p w:rsidR="00184486" w:rsidRPr="00184486" w:rsidRDefault="00184486" w:rsidP="003C361B">
      <w:pPr>
        <w:pStyle w:val="ListParagraph"/>
        <w:numPr>
          <w:ilvl w:val="0"/>
          <w:numId w:val="9"/>
        </w:numPr>
        <w:spacing w:before="0" w:after="120"/>
        <w:rPr>
          <w:rFonts w:eastAsia="Calibri" w:cs="Times New Roman"/>
          <w:lang w:val="es-CL"/>
        </w:rPr>
      </w:pPr>
      <w:r w:rsidRPr="00184486">
        <w:rPr>
          <w:rFonts w:eastAsia="Calibri" w:cs="Times New Roman"/>
          <w:lang w:val="es-CL"/>
        </w:rPr>
        <w:lastRenderedPageBreak/>
        <w:t>Para alcanzar valores cercanos a la referencia regional de pérdidas totales de energía en sistemas de distribución, a alrededor del 14</w:t>
      </w:r>
      <w:proofErr w:type="gramStart"/>
      <w:r w:rsidRPr="00184486">
        <w:rPr>
          <w:rFonts w:eastAsia="Calibri" w:cs="Times New Roman"/>
          <w:lang w:val="es-CL"/>
        </w:rPr>
        <w:t>%</w:t>
      </w:r>
      <w:r w:rsidR="003C361B">
        <w:rPr>
          <w:rFonts w:eastAsia="Calibri" w:cs="Times New Roman"/>
          <w:lang w:val="es-CL"/>
        </w:rPr>
        <w:t xml:space="preserve"> </w:t>
      </w:r>
      <w:proofErr w:type="gramEnd"/>
      <w:r w:rsidR="003C361B" w:rsidRPr="003C361B">
        <w:rPr>
          <w:rFonts w:eastAsia="Times New Roman" w:cs="Times New Roman"/>
          <w:szCs w:val="20"/>
          <w:vertAlign w:val="superscript"/>
          <w:lang w:val="es-ES_tradnl"/>
        </w:rPr>
        <w:footnoteReference w:id="1"/>
      </w:r>
      <w:r w:rsidR="003C361B" w:rsidRPr="003C361B">
        <w:rPr>
          <w:rFonts w:eastAsia="Times New Roman" w:cs="Times New Roman"/>
          <w:szCs w:val="20"/>
          <w:lang w:val="es-ES_tradnl"/>
        </w:rPr>
        <w:t>,</w:t>
      </w:r>
      <w:r w:rsidR="003C361B">
        <w:rPr>
          <w:rFonts w:eastAsia="Calibri" w:cs="Times New Roman"/>
          <w:lang w:val="es-CL"/>
        </w:rPr>
        <w:t xml:space="preserve"> </w:t>
      </w:r>
      <w:r w:rsidRPr="00184486">
        <w:rPr>
          <w:rFonts w:eastAsia="Calibri" w:cs="Times New Roman"/>
          <w:lang w:val="es-CL"/>
        </w:rPr>
        <w:t>se requiere mantener una reducción anual promedio de alrededor del 3% en promedio</w:t>
      </w:r>
      <w:r w:rsidR="003C361B">
        <w:rPr>
          <w:rFonts w:eastAsia="Calibri" w:cs="Times New Roman"/>
          <w:lang w:val="es-CL"/>
        </w:rPr>
        <w:t>,</w:t>
      </w:r>
      <w:r w:rsidRPr="00184486">
        <w:rPr>
          <w:rFonts w:eastAsia="Calibri" w:cs="Times New Roman"/>
          <w:lang w:val="es-CL"/>
        </w:rPr>
        <w:t xml:space="preserve"> durante los próximos seis años, lo que implica sostener un flujo mayor de inversiones encaminadas a ese fin. Se considera viable que las </w:t>
      </w:r>
      <w:proofErr w:type="spellStart"/>
      <w:r w:rsidRPr="00184486">
        <w:rPr>
          <w:rFonts w:eastAsia="Calibri" w:cs="Times New Roman"/>
          <w:lang w:val="es-CL"/>
        </w:rPr>
        <w:t>EDEs</w:t>
      </w:r>
      <w:proofErr w:type="spellEnd"/>
      <w:r w:rsidRPr="00184486">
        <w:rPr>
          <w:rFonts w:eastAsia="Calibri" w:cs="Times New Roman"/>
          <w:lang w:val="es-CL"/>
        </w:rPr>
        <w:t xml:space="preserve"> lleguen a esos niveles de pérdidas en 2019, con inversiones estimadas bajo el PRPMC del orden de US$600 millones en los próximos cuatro años, lo cual se traduciría en ingresos equivalentes a US$418 millones anuales, teniendo en cuenta que cada punto porcentual de pérdidas eléctricas en el sistema está valuado en US$22 millones anuales, referenciado al precio medio de compra de las </w:t>
      </w:r>
      <w:proofErr w:type="spellStart"/>
      <w:r w:rsidRPr="00184486">
        <w:rPr>
          <w:rFonts w:eastAsia="Calibri" w:cs="Times New Roman"/>
          <w:lang w:val="es-CL"/>
        </w:rPr>
        <w:t>EDEs</w:t>
      </w:r>
      <w:proofErr w:type="spellEnd"/>
      <w:r w:rsidRPr="00184486">
        <w:rPr>
          <w:rFonts w:eastAsia="Calibri" w:cs="Times New Roman"/>
          <w:lang w:val="es-CL"/>
        </w:rPr>
        <w:t xml:space="preserve"> (2013). También existe espacio para mejoramiento en el resto de la operación comercial para alcanzar un IC del orden del 98% y por consiguiente, un CRI del 84% en 2019</w:t>
      </w:r>
    </w:p>
    <w:p w:rsidR="007065C0" w:rsidRPr="00184486" w:rsidRDefault="007065C0" w:rsidP="00184486">
      <w:pPr>
        <w:pStyle w:val="ListParagraph"/>
        <w:spacing w:before="0" w:after="120"/>
        <w:ind w:firstLine="0"/>
        <w:rPr>
          <w:rFonts w:eastAsia="Calibri" w:cs="Times New Roman"/>
          <w:lang w:val="es-CL"/>
        </w:rPr>
      </w:pPr>
    </w:p>
    <w:p w:rsidR="007065C0" w:rsidRPr="007065C0" w:rsidRDefault="00174380" w:rsidP="00174380">
      <w:pPr>
        <w:pStyle w:val="ListParagraph"/>
        <w:numPr>
          <w:ilvl w:val="0"/>
          <w:numId w:val="9"/>
        </w:numPr>
        <w:spacing w:before="0" w:after="120"/>
        <w:rPr>
          <w:rFonts w:eastAsia="Calibri" w:cs="Times New Roman"/>
          <w:szCs w:val="24"/>
          <w:lang w:val="es-CL"/>
        </w:rPr>
      </w:pPr>
      <w:r w:rsidRPr="00184486">
        <w:rPr>
          <w:rFonts w:eastAsia="Calibri" w:cs="Times New Roman"/>
          <w:lang w:val="es-CL"/>
        </w:rPr>
        <w:t xml:space="preserve">Con fin de continuar el mejoramiento del desempeño operativo y comercial de las </w:t>
      </w:r>
      <w:proofErr w:type="spellStart"/>
      <w:r w:rsidRPr="00184486">
        <w:rPr>
          <w:rFonts w:eastAsia="Calibri" w:cs="Times New Roman"/>
          <w:lang w:val="es-CL"/>
        </w:rPr>
        <w:t>EDEs</w:t>
      </w:r>
      <w:proofErr w:type="spellEnd"/>
      <w:r w:rsidRPr="00184486">
        <w:rPr>
          <w:rFonts w:eastAsia="Calibri" w:cs="Times New Roman"/>
          <w:lang w:val="es-CL"/>
        </w:rPr>
        <w:t xml:space="preserve"> y reducir las transferencias del GRD al sector, es indispensable realizar inversiones que se estiman en US$600 millones en cuatro años para obtener una reducción de pérdidas totales de 3% en promedio anual. El programa financiaría parcialmente estas inversiones, </w:t>
      </w:r>
      <w:r w:rsidR="00151B83">
        <w:rPr>
          <w:rFonts w:eastAsia="Calibri" w:cs="Times New Roman"/>
          <w:lang w:val="es-CL"/>
        </w:rPr>
        <w:t xml:space="preserve">con US$78 millones, </w:t>
      </w:r>
      <w:r w:rsidRPr="00184486">
        <w:rPr>
          <w:rFonts w:eastAsia="Calibri" w:cs="Times New Roman"/>
          <w:lang w:val="es-CL"/>
        </w:rPr>
        <w:t xml:space="preserve">dirigidas a completar la primera fase del programa de rehabilitación de las líneas de distribución; la normalización de 700.000 clientes; la ampliación de la tele-medición y de la micro y macro medición, instalando 500.000 nuevos medidores con tele-medición y 43.000 equipos de macro-medición; y el desarrollo de un plan de expansión de la infraestructura de distribución de las </w:t>
      </w:r>
      <w:proofErr w:type="spellStart"/>
      <w:r w:rsidRPr="00184486">
        <w:rPr>
          <w:rFonts w:eastAsia="Calibri" w:cs="Times New Roman"/>
          <w:lang w:val="es-CL"/>
        </w:rPr>
        <w:t>EDEs</w:t>
      </w:r>
      <w:proofErr w:type="spellEnd"/>
      <w:r w:rsidRPr="00184486">
        <w:rPr>
          <w:rFonts w:eastAsia="Calibri" w:cs="Times New Roman"/>
          <w:lang w:val="es-CL"/>
        </w:rPr>
        <w:t xml:space="preserve"> para garantizar la calidad del suministro. Se financiarán inversiones para EE y campañas de gestión social para concientizar a 860.000 personas en cultura de pago por servicio eléctrico y uso racional de la energía; acciones de modernización institucional y de gestión de las </w:t>
      </w:r>
      <w:proofErr w:type="spellStart"/>
      <w:r w:rsidRPr="00184486">
        <w:rPr>
          <w:rFonts w:eastAsia="Calibri" w:cs="Times New Roman"/>
          <w:lang w:val="es-CL"/>
        </w:rPr>
        <w:t>EDEs</w:t>
      </w:r>
      <w:proofErr w:type="spellEnd"/>
      <w:r w:rsidRPr="00184486">
        <w:rPr>
          <w:rFonts w:eastAsia="Calibri" w:cs="Times New Roman"/>
          <w:lang w:val="es-CL"/>
        </w:rPr>
        <w:t xml:space="preserve"> para la mejora de la calidad de atención, de las recaudaciones de las </w:t>
      </w:r>
      <w:proofErr w:type="spellStart"/>
      <w:r w:rsidRPr="00184486">
        <w:rPr>
          <w:rFonts w:eastAsia="Calibri" w:cs="Times New Roman"/>
          <w:lang w:val="es-CL"/>
        </w:rPr>
        <w:t>EDEs</w:t>
      </w:r>
      <w:proofErr w:type="spellEnd"/>
      <w:r w:rsidRPr="00184486">
        <w:rPr>
          <w:rFonts w:eastAsia="Calibri" w:cs="Times New Roman"/>
          <w:lang w:val="es-CL"/>
        </w:rPr>
        <w:t xml:space="preserve"> y de la capacidad de financiamiento, incluyendo la optimización la infraestructura tecnológica y el impulso los cambios regulatorios que requiere</w:t>
      </w:r>
      <w:r w:rsidRPr="00174380">
        <w:rPr>
          <w:rFonts w:eastAsia="Calibri" w:cs="Times New Roman"/>
          <w:szCs w:val="24"/>
          <w:lang w:val="es-CL"/>
        </w:rPr>
        <w:t xml:space="preserve"> la ley eléctrica para facilitar la sostenibilidad del sector</w:t>
      </w:r>
      <w:r w:rsidR="007065C0" w:rsidRPr="007065C0">
        <w:rPr>
          <w:rFonts w:eastAsia="Calibri" w:cs="Times New Roman"/>
          <w:szCs w:val="24"/>
          <w:lang w:val="es-CL"/>
        </w:rPr>
        <w:t>.</w:t>
      </w:r>
    </w:p>
    <w:p w:rsidR="00C4397E" w:rsidRPr="007065C0" w:rsidRDefault="00C4397E" w:rsidP="00C4397E">
      <w:pPr>
        <w:pStyle w:val="ListParagraph"/>
        <w:spacing w:before="0" w:after="120"/>
        <w:ind w:firstLine="0"/>
        <w:rPr>
          <w:rFonts w:eastAsia="Calibri" w:cs="Times New Roman"/>
          <w:szCs w:val="24"/>
          <w:lang w:val="es-CL"/>
        </w:rPr>
      </w:pPr>
    </w:p>
    <w:p w:rsidR="00C4397E" w:rsidRPr="007065C0" w:rsidRDefault="003545B2" w:rsidP="00DD1BE6">
      <w:pPr>
        <w:pStyle w:val="ListParagraph"/>
        <w:numPr>
          <w:ilvl w:val="0"/>
          <w:numId w:val="9"/>
        </w:numPr>
        <w:rPr>
          <w:rFonts w:cs="Times New Roman"/>
          <w:szCs w:val="24"/>
          <w:lang w:val="es-CL"/>
        </w:rPr>
      </w:pPr>
      <w:r w:rsidRPr="003545B2">
        <w:rPr>
          <w:rFonts w:cs="Times New Roman"/>
          <w:b/>
          <w:szCs w:val="24"/>
          <w:lang w:val="es-CL"/>
        </w:rPr>
        <w:t>Objetivo del programa</w:t>
      </w:r>
      <w:r>
        <w:rPr>
          <w:rFonts w:cs="Times New Roman"/>
          <w:szCs w:val="24"/>
          <w:lang w:val="es-CL"/>
        </w:rPr>
        <w:t xml:space="preserve">. </w:t>
      </w:r>
      <w:r w:rsidR="00C4397E" w:rsidRPr="007065C0">
        <w:rPr>
          <w:rFonts w:cs="Times New Roman"/>
          <w:szCs w:val="24"/>
          <w:lang w:val="es-CL"/>
        </w:rPr>
        <w:t xml:space="preserve">El objetivo general del programa es aumentar la sostenibilidad financiera del sector eléctrico a través de la reducción de las pérdidas eléctricas totales del sistema de distribución. Los objetivos específicos son la mejora operativa y comercial de las </w:t>
      </w:r>
      <w:proofErr w:type="spellStart"/>
      <w:r w:rsidR="00C4397E" w:rsidRPr="007065C0">
        <w:rPr>
          <w:rFonts w:cs="Times New Roman"/>
          <w:szCs w:val="24"/>
          <w:lang w:val="es-CL"/>
        </w:rPr>
        <w:t>EDEs</w:t>
      </w:r>
      <w:proofErr w:type="spellEnd"/>
      <w:r w:rsidR="00C4397E" w:rsidRPr="007065C0">
        <w:rPr>
          <w:rFonts w:cs="Times New Roman"/>
          <w:szCs w:val="24"/>
          <w:lang w:val="es-CL"/>
        </w:rPr>
        <w:t xml:space="preserve"> y la mejora de la calidad del suministro de electricidad a los clientes finales por medio de: i) la rehabilitación de circuitos eléctricos prioritarios en las </w:t>
      </w:r>
      <w:proofErr w:type="spellStart"/>
      <w:r w:rsidR="00C4397E" w:rsidRPr="007065C0">
        <w:rPr>
          <w:rFonts w:cs="Times New Roman"/>
          <w:szCs w:val="24"/>
          <w:lang w:val="es-CL"/>
        </w:rPr>
        <w:t>EDEs</w:t>
      </w:r>
      <w:proofErr w:type="spellEnd"/>
      <w:r w:rsidR="00C4397E" w:rsidRPr="007065C0">
        <w:rPr>
          <w:rFonts w:cs="Times New Roman"/>
          <w:szCs w:val="24"/>
          <w:lang w:val="es-CL"/>
        </w:rPr>
        <w:t>, y la mejora de los sistemas de medición; ii) el fortalecimiento de la gestión comercial y la gestión social; y iii) la continuidad en el fortalecimiento institucional.</w:t>
      </w:r>
    </w:p>
    <w:p w:rsidR="00C4397E" w:rsidRPr="007065C0" w:rsidRDefault="00C4397E" w:rsidP="00C4397E">
      <w:pPr>
        <w:pStyle w:val="ListParagraph"/>
        <w:rPr>
          <w:rFonts w:cs="Times New Roman"/>
          <w:szCs w:val="24"/>
          <w:lang w:val="es-CL"/>
        </w:rPr>
      </w:pPr>
    </w:p>
    <w:p w:rsidR="00BE5F08" w:rsidRPr="001E05D9" w:rsidRDefault="007065C0" w:rsidP="00DD1BE6">
      <w:pPr>
        <w:pStyle w:val="ListParagraph"/>
        <w:numPr>
          <w:ilvl w:val="0"/>
          <w:numId w:val="9"/>
        </w:numPr>
        <w:spacing w:before="0" w:after="120"/>
        <w:rPr>
          <w:rFonts w:cs="Times New Roman"/>
          <w:szCs w:val="24"/>
          <w:lang w:val="es-CL"/>
        </w:rPr>
      </w:pPr>
      <w:r w:rsidRPr="007065C0">
        <w:rPr>
          <w:rFonts w:cs="Times New Roman"/>
          <w:szCs w:val="24"/>
          <w:lang w:val="es-CL"/>
        </w:rPr>
        <w:t>Mediante la evaluación económica del programa se pretende determinar el beneficio económico y financiero generado por el log</w:t>
      </w:r>
      <w:r w:rsidR="003545B2">
        <w:rPr>
          <w:rFonts w:cs="Times New Roman"/>
          <w:szCs w:val="24"/>
          <w:lang w:val="es-CL"/>
        </w:rPr>
        <w:t>ro de los objetivos planteados.</w:t>
      </w:r>
      <w:r w:rsidRPr="007065C0">
        <w:rPr>
          <w:rFonts w:cs="Times New Roman"/>
          <w:szCs w:val="24"/>
          <w:lang w:val="es-CL"/>
        </w:rPr>
        <w:t xml:space="preserve"> </w:t>
      </w:r>
      <w:r w:rsidR="00BE5F08" w:rsidRPr="007065C0">
        <w:rPr>
          <w:rFonts w:cs="Times New Roman"/>
          <w:szCs w:val="24"/>
          <w:lang w:val="es-CL"/>
        </w:rPr>
        <w:t>Los principales beneficios del Pr</w:t>
      </w:r>
      <w:r w:rsidR="003545B2">
        <w:rPr>
          <w:rFonts w:cs="Times New Roman"/>
          <w:lang w:val="es-CL"/>
        </w:rPr>
        <w:t xml:space="preserve">ograma redundarán en: </w:t>
      </w:r>
      <w:r w:rsidR="00BE5F08" w:rsidRPr="007243AF">
        <w:rPr>
          <w:rFonts w:cs="Times New Roman"/>
          <w:lang w:val="es-CL"/>
        </w:rPr>
        <w:t xml:space="preserve">i) una mejora del CRI de las </w:t>
      </w:r>
      <w:proofErr w:type="spellStart"/>
      <w:r w:rsidR="00BE5F08" w:rsidRPr="007243AF">
        <w:rPr>
          <w:rFonts w:cs="Times New Roman"/>
          <w:lang w:val="es-CL"/>
        </w:rPr>
        <w:t>EDEs</w:t>
      </w:r>
      <w:proofErr w:type="spellEnd"/>
      <w:r w:rsidR="003545B2">
        <w:rPr>
          <w:rFonts w:cs="Times New Roman"/>
          <w:lang w:val="es-CL"/>
        </w:rPr>
        <w:t>;</w:t>
      </w:r>
      <w:r w:rsidR="00BE5F08" w:rsidRPr="007243AF">
        <w:rPr>
          <w:rFonts w:cs="Times New Roman"/>
          <w:lang w:val="es-CL"/>
        </w:rPr>
        <w:t xml:space="preserve"> ii)</w:t>
      </w:r>
      <w:bookmarkEnd w:id="2"/>
      <w:r w:rsidR="00BE5F08" w:rsidRPr="007243AF">
        <w:rPr>
          <w:rFonts w:cs="Times New Roman"/>
          <w:lang w:val="es-CL"/>
        </w:rPr>
        <w:t xml:space="preserve"> mejora en la calidad del servicio prestado</w:t>
      </w:r>
      <w:r w:rsidR="003545B2">
        <w:rPr>
          <w:rFonts w:cs="Times New Roman"/>
          <w:lang w:val="es-CL"/>
        </w:rPr>
        <w:t>;</w:t>
      </w:r>
      <w:r w:rsidR="00BE5F08" w:rsidRPr="007243AF">
        <w:rPr>
          <w:rFonts w:cs="Times New Roman"/>
          <w:lang w:val="es-CL"/>
        </w:rPr>
        <w:t xml:space="preserve"> y </w:t>
      </w:r>
      <w:r w:rsidR="005C0B1F">
        <w:rPr>
          <w:rFonts w:cs="Times New Roman"/>
          <w:lang w:val="es-CL"/>
        </w:rPr>
        <w:t xml:space="preserve"> </w:t>
      </w:r>
      <w:r w:rsidR="00BE5F08" w:rsidRPr="007243AF">
        <w:rPr>
          <w:rFonts w:cs="Times New Roman"/>
          <w:lang w:val="es-CL"/>
        </w:rPr>
        <w:t>iii) contribuir a una disminución del déficit financiero del sector</w:t>
      </w:r>
      <w:r w:rsidR="00BE5F08" w:rsidRPr="007243AF">
        <w:rPr>
          <w:rFonts w:eastAsia="Calibri" w:cs="Times New Roman"/>
          <w:lang w:val="es-CL"/>
        </w:rPr>
        <w:t xml:space="preserve">. </w:t>
      </w:r>
    </w:p>
    <w:p w:rsidR="001E05D9" w:rsidRPr="001E05D9" w:rsidRDefault="001E05D9" w:rsidP="001E05D9">
      <w:pPr>
        <w:pStyle w:val="ListParagraph"/>
        <w:rPr>
          <w:rFonts w:cs="Times New Roman"/>
          <w:szCs w:val="24"/>
          <w:lang w:val="es-CL"/>
        </w:rPr>
      </w:pPr>
    </w:p>
    <w:p w:rsidR="001D63C1" w:rsidRDefault="001D63C1" w:rsidP="00D8193F">
      <w:pPr>
        <w:pStyle w:val="Banknumbered"/>
        <w:numPr>
          <w:ilvl w:val="0"/>
          <w:numId w:val="8"/>
        </w:numPr>
        <w:spacing w:after="120"/>
        <w:rPr>
          <w:b/>
        </w:rPr>
      </w:pPr>
      <w:proofErr w:type="spellStart"/>
      <w:r>
        <w:rPr>
          <w:b/>
        </w:rPr>
        <w:t>Supuestos</w:t>
      </w:r>
      <w:proofErr w:type="spellEnd"/>
      <w:r>
        <w:rPr>
          <w:b/>
        </w:rPr>
        <w:t xml:space="preserve"> y </w:t>
      </w:r>
      <w:proofErr w:type="spellStart"/>
      <w:r>
        <w:rPr>
          <w:b/>
        </w:rPr>
        <w:t>metodología</w:t>
      </w:r>
      <w:proofErr w:type="spellEnd"/>
    </w:p>
    <w:p w:rsidR="00174E6B" w:rsidRPr="00D8193F" w:rsidRDefault="00174E6B" w:rsidP="00D8193F">
      <w:pPr>
        <w:pStyle w:val="ListParagraph"/>
        <w:numPr>
          <w:ilvl w:val="0"/>
          <w:numId w:val="11"/>
        </w:numPr>
        <w:spacing w:after="240"/>
        <w:rPr>
          <w:rFonts w:cs="Times New Roman"/>
          <w:b/>
          <w:szCs w:val="24"/>
          <w:lang w:val="es-CL"/>
        </w:rPr>
      </w:pPr>
      <w:r w:rsidRPr="00512B15">
        <w:rPr>
          <w:b/>
          <w:lang w:val="es-ES"/>
        </w:rPr>
        <w:t>Supuestos</w:t>
      </w:r>
    </w:p>
    <w:p w:rsidR="00D8193F" w:rsidRPr="00D8193F" w:rsidRDefault="00D8193F" w:rsidP="00D8193F">
      <w:pPr>
        <w:pStyle w:val="ListParagraph"/>
        <w:spacing w:after="240"/>
        <w:ind w:left="1080" w:firstLine="0"/>
        <w:rPr>
          <w:rFonts w:cs="Times New Roman"/>
          <w:b/>
          <w:szCs w:val="24"/>
          <w:lang w:val="es-CL"/>
        </w:rPr>
      </w:pPr>
    </w:p>
    <w:p w:rsidR="00174E6B" w:rsidRPr="000A047E" w:rsidRDefault="00174E6B" w:rsidP="00044632">
      <w:pPr>
        <w:pStyle w:val="ListParagraph"/>
        <w:numPr>
          <w:ilvl w:val="0"/>
          <w:numId w:val="10"/>
        </w:numPr>
        <w:spacing w:after="120"/>
        <w:ind w:hanging="720"/>
        <w:rPr>
          <w:rFonts w:cs="Times New Roman"/>
          <w:szCs w:val="24"/>
          <w:lang w:val="es-CL"/>
        </w:rPr>
      </w:pPr>
      <w:r>
        <w:rPr>
          <w:rFonts w:cs="Times New Roman"/>
          <w:szCs w:val="24"/>
          <w:lang w:val="es-CL"/>
        </w:rPr>
        <w:t xml:space="preserve">La evaluación económica </w:t>
      </w:r>
      <w:r w:rsidR="005C0B1F">
        <w:rPr>
          <w:rFonts w:cs="Times New Roman"/>
          <w:szCs w:val="24"/>
          <w:lang w:val="es-CL"/>
        </w:rPr>
        <w:t>asume</w:t>
      </w:r>
      <w:r>
        <w:rPr>
          <w:rFonts w:cs="Times New Roman"/>
          <w:szCs w:val="24"/>
          <w:lang w:val="es-CL"/>
        </w:rPr>
        <w:t xml:space="preserve"> las metas </w:t>
      </w:r>
      <w:r>
        <w:rPr>
          <w:lang w:val="es-ES"/>
        </w:rPr>
        <w:t xml:space="preserve">propuestas por la CDEEE en su </w:t>
      </w:r>
      <w:r w:rsidRPr="0038301D">
        <w:rPr>
          <w:lang w:val="es-ES"/>
        </w:rPr>
        <w:t>“Plan Integral de</w:t>
      </w:r>
      <w:r w:rsidR="005C0B1F">
        <w:rPr>
          <w:lang w:val="es-ES"/>
        </w:rPr>
        <w:t xml:space="preserve">l Sector Eléctrico </w:t>
      </w:r>
      <w:r w:rsidRPr="0038301D">
        <w:rPr>
          <w:lang w:val="es-ES"/>
        </w:rPr>
        <w:t>2013-2016”</w:t>
      </w:r>
      <w:r>
        <w:rPr>
          <w:lang w:val="es-ES"/>
        </w:rPr>
        <w:t xml:space="preserve"> que incluye</w:t>
      </w:r>
      <w:r w:rsidR="000312EF">
        <w:rPr>
          <w:lang w:val="es-ES"/>
        </w:rPr>
        <w:t xml:space="preserve"> en sus tres ejes:</w:t>
      </w:r>
      <w:r w:rsidR="005C0B1F">
        <w:rPr>
          <w:lang w:val="es-CL"/>
        </w:rPr>
        <w:t xml:space="preserve"> </w:t>
      </w:r>
      <w:r w:rsidR="000312EF" w:rsidRPr="000312EF">
        <w:rPr>
          <w:lang w:val="es-CL"/>
        </w:rPr>
        <w:t xml:space="preserve">i) aumentar la capacidad instalada y modificar simultáneamente la matriz de generación hacia combustibles más eficientes; </w:t>
      </w:r>
      <w:r w:rsidR="005C0B1F">
        <w:rPr>
          <w:lang w:val="es-CL"/>
        </w:rPr>
        <w:t xml:space="preserve"> </w:t>
      </w:r>
      <w:r w:rsidR="000312EF" w:rsidRPr="000312EF">
        <w:rPr>
          <w:lang w:val="es-CL"/>
        </w:rPr>
        <w:t xml:space="preserve">ii) reducir las pérdidas eléctricas y </w:t>
      </w:r>
      <w:r w:rsidR="005C0B1F">
        <w:rPr>
          <w:lang w:val="es-CL"/>
        </w:rPr>
        <w:t xml:space="preserve"> </w:t>
      </w:r>
      <w:r w:rsidR="000312EF" w:rsidRPr="000312EF">
        <w:rPr>
          <w:lang w:val="es-CL"/>
        </w:rPr>
        <w:t>iii) mejorar la gestión de las empresas del sector eléctrico</w:t>
      </w:r>
      <w:r w:rsidR="000312EF">
        <w:rPr>
          <w:lang w:val="es-CL"/>
        </w:rPr>
        <w:t>.</w:t>
      </w:r>
    </w:p>
    <w:p w:rsidR="000A047E" w:rsidRPr="000A047E" w:rsidRDefault="000A047E" w:rsidP="000A047E">
      <w:pPr>
        <w:pStyle w:val="ListParagraph"/>
        <w:spacing w:after="120"/>
        <w:ind w:firstLine="0"/>
        <w:rPr>
          <w:rFonts w:cs="Times New Roman"/>
          <w:szCs w:val="24"/>
          <w:lang w:val="es-CL"/>
        </w:rPr>
      </w:pPr>
    </w:p>
    <w:p w:rsidR="000A047E" w:rsidRPr="00D8193F" w:rsidRDefault="000A047E" w:rsidP="00044632">
      <w:pPr>
        <w:pStyle w:val="ListParagraph"/>
        <w:numPr>
          <w:ilvl w:val="0"/>
          <w:numId w:val="10"/>
        </w:numPr>
        <w:spacing w:after="120"/>
        <w:ind w:hanging="720"/>
        <w:rPr>
          <w:rFonts w:cs="Times New Roman"/>
          <w:szCs w:val="24"/>
          <w:lang w:val="es-CL"/>
        </w:rPr>
      </w:pPr>
      <w:r>
        <w:rPr>
          <w:lang w:val="es-CL"/>
        </w:rPr>
        <w:t>La inversión total realizada es de US$600 millones en cuatro años, de los cuales US$78 proviene</w:t>
      </w:r>
      <w:r w:rsidR="00F43396">
        <w:rPr>
          <w:lang w:val="es-CL"/>
        </w:rPr>
        <w:t>n</w:t>
      </w:r>
      <w:r>
        <w:rPr>
          <w:lang w:val="es-CL"/>
        </w:rPr>
        <w:t xml:space="preserve"> del financiamiento del Banco Interamericano de Desarrollo.</w:t>
      </w:r>
    </w:p>
    <w:p w:rsidR="00D8193F" w:rsidRPr="00D8193F" w:rsidRDefault="00D8193F" w:rsidP="00D8193F">
      <w:pPr>
        <w:pStyle w:val="ListParagraph"/>
        <w:spacing w:after="120"/>
        <w:ind w:firstLine="0"/>
        <w:rPr>
          <w:rFonts w:cs="Times New Roman"/>
          <w:szCs w:val="24"/>
          <w:lang w:val="es-CL"/>
        </w:rPr>
      </w:pPr>
    </w:p>
    <w:p w:rsidR="000312EF" w:rsidRDefault="000312EF" w:rsidP="00044632">
      <w:pPr>
        <w:pStyle w:val="ListParagraph"/>
        <w:numPr>
          <w:ilvl w:val="0"/>
          <w:numId w:val="10"/>
        </w:numPr>
        <w:spacing w:after="120"/>
        <w:ind w:hanging="720"/>
        <w:rPr>
          <w:lang w:val="es-CL"/>
        </w:rPr>
      </w:pPr>
      <w:r>
        <w:rPr>
          <w:lang w:val="es-CL"/>
        </w:rPr>
        <w:t>El análisis considera la evaluación del impacto</w:t>
      </w:r>
      <w:r w:rsidR="003B38DD">
        <w:rPr>
          <w:lang w:val="es-CL"/>
        </w:rPr>
        <w:t xml:space="preserve"> de la inversión</w:t>
      </w:r>
      <w:r>
        <w:rPr>
          <w:lang w:val="es-CL"/>
        </w:rPr>
        <w:t xml:space="preserve"> </w:t>
      </w:r>
      <w:r w:rsidR="00FD329F">
        <w:rPr>
          <w:lang w:val="es-CL"/>
        </w:rPr>
        <w:t>en</w:t>
      </w:r>
      <w:r w:rsidR="005C0B1F">
        <w:rPr>
          <w:lang w:val="es-CL"/>
        </w:rPr>
        <w:t>:</w:t>
      </w:r>
      <w:r w:rsidR="00FD329F">
        <w:rPr>
          <w:lang w:val="es-CL"/>
        </w:rPr>
        <w:t xml:space="preserve"> i) la disminución de las pérdidas totales</w:t>
      </w:r>
      <w:r w:rsidR="005C0B1F">
        <w:rPr>
          <w:lang w:val="es-CL"/>
        </w:rPr>
        <w:t>;</w:t>
      </w:r>
      <w:r w:rsidR="00FD329F">
        <w:rPr>
          <w:lang w:val="es-CL"/>
        </w:rPr>
        <w:t xml:space="preserve"> ii) la mejora del índice de cobranzas y por ende del CRI y, iii) el aumento de usuarios con 24 horas de servicio, incluyendo un análisis de sensibilidades.</w:t>
      </w:r>
    </w:p>
    <w:p w:rsidR="00D8193F" w:rsidRPr="00D8193F" w:rsidRDefault="00D8193F" w:rsidP="00D8193F">
      <w:pPr>
        <w:pStyle w:val="ListParagraph"/>
        <w:rPr>
          <w:lang w:val="es-CL"/>
        </w:rPr>
      </w:pPr>
    </w:p>
    <w:p w:rsidR="0047097B" w:rsidRDefault="0047097B" w:rsidP="00044632">
      <w:pPr>
        <w:pStyle w:val="ListParagraph"/>
        <w:numPr>
          <w:ilvl w:val="0"/>
          <w:numId w:val="10"/>
        </w:numPr>
        <w:spacing w:after="120"/>
        <w:ind w:hanging="720"/>
        <w:rPr>
          <w:lang w:val="es-CL"/>
        </w:rPr>
      </w:pPr>
      <w:r w:rsidRPr="005C0B1F">
        <w:rPr>
          <w:lang w:val="es-CL"/>
        </w:rPr>
        <w:t xml:space="preserve">La evaluación económica </w:t>
      </w:r>
      <w:r w:rsidR="005C0B1F">
        <w:rPr>
          <w:lang w:val="es-CL"/>
        </w:rPr>
        <w:t>tiene</w:t>
      </w:r>
      <w:r w:rsidRPr="005C0B1F">
        <w:rPr>
          <w:lang w:val="es-CL"/>
        </w:rPr>
        <w:t xml:space="preserve"> en cuenta supuestos relativos a:</w:t>
      </w:r>
      <w:r w:rsidR="005C0B1F">
        <w:rPr>
          <w:lang w:val="es-CL"/>
        </w:rPr>
        <w:t xml:space="preserve"> </w:t>
      </w:r>
      <w:r w:rsidRPr="009C5F55">
        <w:rPr>
          <w:lang w:val="es-CL"/>
        </w:rPr>
        <w:t>i)</w:t>
      </w:r>
      <w:r>
        <w:rPr>
          <w:lang w:val="es-CL"/>
        </w:rPr>
        <w:t xml:space="preserve"> </w:t>
      </w:r>
      <w:r w:rsidR="0078068B">
        <w:rPr>
          <w:lang w:val="es-CL"/>
        </w:rPr>
        <w:t xml:space="preserve">precio de compra, precio de venta y costo marginal de la energía </w:t>
      </w:r>
      <w:r>
        <w:rPr>
          <w:lang w:val="es-CL"/>
        </w:rPr>
        <w:t>eléctrica</w:t>
      </w:r>
      <w:r w:rsidR="005C0B1F">
        <w:rPr>
          <w:lang w:val="es-CL"/>
        </w:rPr>
        <w:t>;</w:t>
      </w:r>
      <w:r>
        <w:rPr>
          <w:lang w:val="es-CL"/>
        </w:rPr>
        <w:t xml:space="preserve"> ii) elasticidad precio de la demanda</w:t>
      </w:r>
      <w:r w:rsidR="005C0B1F">
        <w:rPr>
          <w:lang w:val="es-CL"/>
        </w:rPr>
        <w:t xml:space="preserve">; </w:t>
      </w:r>
      <w:r>
        <w:rPr>
          <w:lang w:val="es-CL"/>
        </w:rPr>
        <w:t>iii) crecimiento de la demanda</w:t>
      </w:r>
      <w:r w:rsidR="005C0B1F">
        <w:rPr>
          <w:lang w:val="es-CL"/>
        </w:rPr>
        <w:t>;</w:t>
      </w:r>
      <w:r>
        <w:rPr>
          <w:lang w:val="es-CL"/>
        </w:rPr>
        <w:t xml:space="preserve"> y iv) mejoras obtenibles por los proyectos de </w:t>
      </w:r>
      <w:r w:rsidR="005C0B1F">
        <w:rPr>
          <w:lang w:val="es-CL"/>
        </w:rPr>
        <w:t>r</w:t>
      </w:r>
      <w:r>
        <w:rPr>
          <w:lang w:val="es-CL"/>
        </w:rPr>
        <w:t>ehabilitación de circuitos, entre otros.</w:t>
      </w:r>
    </w:p>
    <w:p w:rsidR="00D8193F" w:rsidRPr="00D8193F" w:rsidRDefault="00D8193F" w:rsidP="00D8193F">
      <w:pPr>
        <w:pStyle w:val="ListParagraph"/>
        <w:rPr>
          <w:lang w:val="es-CL"/>
        </w:rPr>
      </w:pPr>
    </w:p>
    <w:p w:rsidR="00EC6D3C" w:rsidRDefault="00EC6D3C" w:rsidP="00044632">
      <w:pPr>
        <w:pStyle w:val="ListParagraph"/>
        <w:numPr>
          <w:ilvl w:val="0"/>
          <w:numId w:val="10"/>
        </w:numPr>
        <w:spacing w:after="120"/>
        <w:ind w:hanging="720"/>
        <w:rPr>
          <w:lang w:val="es-CL"/>
        </w:rPr>
      </w:pPr>
      <w:r w:rsidRPr="005C0B1F">
        <w:rPr>
          <w:lang w:val="es-CL"/>
        </w:rPr>
        <w:t>Aunque no se disponen estudios de elasticidad precio para República Dominicana, p</w:t>
      </w:r>
      <w:r w:rsidR="00FD329F">
        <w:rPr>
          <w:lang w:val="es-CL"/>
        </w:rPr>
        <w:t>ara efectos del análisis se ha supuesto un</w:t>
      </w:r>
      <w:r w:rsidR="00FD329F" w:rsidRPr="005C0B1F">
        <w:rPr>
          <w:lang w:val="es-CL"/>
        </w:rPr>
        <w:t xml:space="preserve"> valor de elasticidad de largo plazo, cuyo valor en sí puede variar considerablemente de acuerdo con la fuente del estudio. En este caso se ha </w:t>
      </w:r>
      <w:r w:rsidR="00EC1A81">
        <w:rPr>
          <w:lang w:val="es-CL"/>
        </w:rPr>
        <w:t>asumid</w:t>
      </w:r>
      <w:r w:rsidR="00FD329F" w:rsidRPr="005C0B1F">
        <w:rPr>
          <w:lang w:val="es-CL"/>
        </w:rPr>
        <w:t xml:space="preserve">o un valor de -0.4 que ha sido utilizado en evaluaciones similares y se fundamenta, en los estudios de G. </w:t>
      </w:r>
      <w:proofErr w:type="spellStart"/>
      <w:r w:rsidR="00FD329F" w:rsidRPr="005C0B1F">
        <w:rPr>
          <w:lang w:val="es-CL"/>
        </w:rPr>
        <w:t>Westley</w:t>
      </w:r>
      <w:proofErr w:type="spellEnd"/>
      <w:r w:rsidR="00FD329F" w:rsidRPr="005C0B1F">
        <w:rPr>
          <w:lang w:val="es-CL"/>
        </w:rPr>
        <w:t xml:space="preserve"> en el BID en la década de los ochentas y noventas. El Federal </w:t>
      </w:r>
      <w:proofErr w:type="spellStart"/>
      <w:r w:rsidR="00FD329F" w:rsidRPr="005C0B1F">
        <w:rPr>
          <w:lang w:val="es-CL"/>
        </w:rPr>
        <w:t>Energy</w:t>
      </w:r>
      <w:proofErr w:type="spellEnd"/>
      <w:r w:rsidR="00FD329F" w:rsidRPr="005C0B1F">
        <w:rPr>
          <w:lang w:val="es-CL"/>
        </w:rPr>
        <w:t xml:space="preserve"> </w:t>
      </w:r>
      <w:proofErr w:type="spellStart"/>
      <w:r w:rsidR="00FD329F" w:rsidRPr="005C0B1F">
        <w:rPr>
          <w:lang w:val="es-CL"/>
        </w:rPr>
        <w:t>Regulatory</w:t>
      </w:r>
      <w:proofErr w:type="spellEnd"/>
      <w:r w:rsidR="00FD329F" w:rsidRPr="005C0B1F">
        <w:rPr>
          <w:lang w:val="es-CL"/>
        </w:rPr>
        <w:t xml:space="preserve"> </w:t>
      </w:r>
      <w:proofErr w:type="spellStart"/>
      <w:r w:rsidR="00FD329F" w:rsidRPr="005C0B1F">
        <w:rPr>
          <w:lang w:val="es-CL"/>
        </w:rPr>
        <w:t>Commission</w:t>
      </w:r>
      <w:proofErr w:type="spellEnd"/>
      <w:r w:rsidR="00FD329F" w:rsidRPr="005C0B1F">
        <w:rPr>
          <w:lang w:val="es-CL"/>
        </w:rPr>
        <w:t xml:space="preserve"> llevó a cabo un estudio comparativo más reciente </w:t>
      </w:r>
      <w:r w:rsidR="005C0B1F">
        <w:rPr>
          <w:lang w:val="es-CL"/>
        </w:rPr>
        <w:t xml:space="preserve"> </w:t>
      </w:r>
      <w:r w:rsidR="00FD329F" w:rsidRPr="005C0B1F">
        <w:rPr>
          <w:lang w:val="es-CL"/>
        </w:rPr>
        <w:t>“</w:t>
      </w:r>
      <w:proofErr w:type="spellStart"/>
      <w:r w:rsidR="00FD329F" w:rsidRPr="005C0B1F">
        <w:rPr>
          <w:lang w:val="es-CL"/>
        </w:rPr>
        <w:t>Demand</w:t>
      </w:r>
      <w:proofErr w:type="spellEnd"/>
      <w:r w:rsidR="00FD329F" w:rsidRPr="005C0B1F">
        <w:rPr>
          <w:lang w:val="es-CL"/>
        </w:rPr>
        <w:t xml:space="preserve"> </w:t>
      </w:r>
      <w:proofErr w:type="spellStart"/>
      <w:r w:rsidR="00FD329F" w:rsidRPr="005C0B1F">
        <w:rPr>
          <w:lang w:val="es-CL"/>
        </w:rPr>
        <w:t>Responsiveness</w:t>
      </w:r>
      <w:proofErr w:type="spellEnd"/>
      <w:r w:rsidR="00FD329F" w:rsidRPr="005C0B1F">
        <w:rPr>
          <w:lang w:val="es-CL"/>
        </w:rPr>
        <w:t xml:space="preserve"> in </w:t>
      </w:r>
      <w:proofErr w:type="spellStart"/>
      <w:r w:rsidR="00FD329F" w:rsidRPr="005C0B1F">
        <w:rPr>
          <w:lang w:val="es-CL"/>
        </w:rPr>
        <w:t>Electricity</w:t>
      </w:r>
      <w:proofErr w:type="spellEnd"/>
      <w:r w:rsidR="00FD329F" w:rsidRPr="005C0B1F">
        <w:rPr>
          <w:lang w:val="es-CL"/>
        </w:rPr>
        <w:t xml:space="preserve"> </w:t>
      </w:r>
      <w:proofErr w:type="spellStart"/>
      <w:r w:rsidR="00FD329F" w:rsidRPr="005C0B1F">
        <w:rPr>
          <w:lang w:val="es-CL"/>
        </w:rPr>
        <w:t>Markets</w:t>
      </w:r>
      <w:proofErr w:type="spellEnd"/>
      <w:r w:rsidR="00FD329F" w:rsidRPr="005C0B1F">
        <w:rPr>
          <w:lang w:val="es-CL"/>
        </w:rPr>
        <w:t xml:space="preserve">”, </w:t>
      </w:r>
      <w:proofErr w:type="spellStart"/>
      <w:r w:rsidR="00FD329F" w:rsidRPr="005C0B1F">
        <w:rPr>
          <w:lang w:val="es-CL"/>
        </w:rPr>
        <w:t>Lafferty</w:t>
      </w:r>
      <w:proofErr w:type="spellEnd"/>
      <w:r w:rsidR="00FD329F" w:rsidRPr="005C0B1F">
        <w:rPr>
          <w:lang w:val="es-CL"/>
        </w:rPr>
        <w:t xml:space="preserve"> </w:t>
      </w:r>
      <w:proofErr w:type="spellStart"/>
      <w:r w:rsidR="00FD329F" w:rsidRPr="005C0B1F">
        <w:rPr>
          <w:lang w:val="es-CL"/>
        </w:rPr>
        <w:t>et.all</w:t>
      </w:r>
      <w:proofErr w:type="spellEnd"/>
      <w:r w:rsidR="00FD329F" w:rsidRPr="005C0B1F">
        <w:rPr>
          <w:lang w:val="es-CL"/>
        </w:rPr>
        <w:t>.).</w:t>
      </w:r>
      <w:r w:rsidRPr="005C0B1F">
        <w:rPr>
          <w:lang w:val="es-CL"/>
        </w:rPr>
        <w:t xml:space="preserve"> Esta cifra coincide con otros estudios recientes realizados en Chile que indican elasticidades precio entre -0,37 y -0,44 </w:t>
      </w:r>
      <w:r w:rsidR="008A638D">
        <w:rPr>
          <w:lang w:val="es-CL"/>
        </w:rPr>
        <w:t>(</w:t>
      </w:r>
      <w:r w:rsidRPr="005C0B1F">
        <w:rPr>
          <w:lang w:val="es-CL"/>
        </w:rPr>
        <w:t>Mar</w:t>
      </w:r>
      <w:r w:rsidR="008A638D">
        <w:rPr>
          <w:lang w:val="es-CL"/>
        </w:rPr>
        <w:t>s</w:t>
      </w:r>
      <w:r w:rsidRPr="005C0B1F">
        <w:rPr>
          <w:lang w:val="es-CL"/>
        </w:rPr>
        <w:t>hall 2010, entre otros, ref. "La Demanda Residencial de Energía Eléctrica en Chile, Revista Economía Chilena", volumen 15, No 3, diciembre 2012</w:t>
      </w:r>
      <w:r w:rsidR="008A638D">
        <w:rPr>
          <w:lang w:val="es-CL"/>
        </w:rPr>
        <w:t>)</w:t>
      </w:r>
      <w:r w:rsidRPr="005C0B1F">
        <w:rPr>
          <w:lang w:val="es-CL"/>
        </w:rPr>
        <w:t>.</w:t>
      </w:r>
    </w:p>
    <w:p w:rsidR="00D8193F" w:rsidRPr="005C0B1F" w:rsidRDefault="00D8193F" w:rsidP="00D8193F">
      <w:pPr>
        <w:pStyle w:val="ListParagraph"/>
        <w:spacing w:after="120"/>
        <w:ind w:firstLine="0"/>
        <w:rPr>
          <w:lang w:val="es-CL"/>
        </w:rPr>
      </w:pPr>
    </w:p>
    <w:p w:rsidR="0047097B" w:rsidRDefault="0047097B" w:rsidP="00044632">
      <w:pPr>
        <w:pStyle w:val="ListParagraph"/>
        <w:numPr>
          <w:ilvl w:val="0"/>
          <w:numId w:val="10"/>
        </w:numPr>
        <w:spacing w:after="120"/>
        <w:ind w:hanging="720"/>
        <w:rPr>
          <w:lang w:val="es-CL"/>
        </w:rPr>
      </w:pPr>
      <w:r w:rsidRPr="005C0B1F">
        <w:rPr>
          <w:lang w:val="es-CL"/>
        </w:rPr>
        <w:t xml:space="preserve">Para efectos de esta evaluación, </w:t>
      </w:r>
      <w:r w:rsidR="00AD054B">
        <w:rPr>
          <w:lang w:val="es-CL"/>
        </w:rPr>
        <w:t>la compra de energía</w:t>
      </w:r>
      <w:r w:rsidR="005C0B1F">
        <w:rPr>
          <w:lang w:val="es-CL"/>
        </w:rPr>
        <w:t xml:space="preserve"> </w:t>
      </w:r>
      <w:r w:rsidR="00520C3A">
        <w:rPr>
          <w:lang w:val="es-CL"/>
        </w:rPr>
        <w:t>(</w:t>
      </w:r>
      <w:r w:rsidR="00BC38B0" w:rsidRPr="005C0B1F">
        <w:rPr>
          <w:lang w:val="es-CL"/>
        </w:rPr>
        <w:t>indirectamente</w:t>
      </w:r>
      <w:r w:rsidR="00AD054B">
        <w:rPr>
          <w:lang w:val="es-CL"/>
        </w:rPr>
        <w:t xml:space="preserve"> medida de</w:t>
      </w:r>
      <w:r w:rsidR="00BC38B0" w:rsidRPr="005C0B1F">
        <w:rPr>
          <w:lang w:val="es-CL"/>
        </w:rPr>
        <w:t xml:space="preserve"> la demanda)</w:t>
      </w:r>
      <w:r w:rsidR="00AD054B">
        <w:rPr>
          <w:lang w:val="es-CL"/>
        </w:rPr>
        <w:t>,</w:t>
      </w:r>
      <w:r w:rsidR="00BC38B0" w:rsidRPr="005C0B1F">
        <w:rPr>
          <w:lang w:val="es-CL"/>
        </w:rPr>
        <w:t xml:space="preserve"> supone un crecimiento anual del 3% y</w:t>
      </w:r>
      <w:r w:rsidR="00520C3A">
        <w:rPr>
          <w:lang w:val="es-CL"/>
        </w:rPr>
        <w:t xml:space="preserve"> para</w:t>
      </w:r>
      <w:r w:rsidRPr="005C0B1F">
        <w:rPr>
          <w:lang w:val="es-CL"/>
        </w:rPr>
        <w:t xml:space="preserve"> los precios, tanto de compra como de venta de energía </w:t>
      </w:r>
      <w:r w:rsidR="00BC38B0" w:rsidRPr="005C0B1F">
        <w:rPr>
          <w:lang w:val="es-CL"/>
        </w:rPr>
        <w:t xml:space="preserve">de las </w:t>
      </w:r>
      <w:proofErr w:type="spellStart"/>
      <w:r w:rsidR="00BC38B0" w:rsidRPr="005C0B1F">
        <w:rPr>
          <w:lang w:val="es-CL"/>
        </w:rPr>
        <w:t>EDEs</w:t>
      </w:r>
      <w:proofErr w:type="spellEnd"/>
      <w:r w:rsidR="00BC38B0" w:rsidRPr="005C0B1F">
        <w:rPr>
          <w:lang w:val="es-CL"/>
        </w:rPr>
        <w:t>, se</w:t>
      </w:r>
      <w:r w:rsidRPr="005C0B1F">
        <w:rPr>
          <w:lang w:val="es-CL"/>
        </w:rPr>
        <w:t xml:space="preserve"> utilizan los precios medios reales del año 2013.</w:t>
      </w:r>
    </w:p>
    <w:p w:rsidR="00D8193F" w:rsidRPr="005C0B1F" w:rsidRDefault="00D8193F" w:rsidP="00D8193F">
      <w:pPr>
        <w:pStyle w:val="ListParagraph"/>
        <w:spacing w:after="120"/>
        <w:ind w:firstLine="0"/>
        <w:rPr>
          <w:lang w:val="es-CL"/>
        </w:rPr>
      </w:pPr>
    </w:p>
    <w:p w:rsidR="001C2CA6" w:rsidRPr="0078068B" w:rsidRDefault="00CB17DC" w:rsidP="001C2CA6">
      <w:pPr>
        <w:pStyle w:val="ListParagraph"/>
        <w:numPr>
          <w:ilvl w:val="0"/>
          <w:numId w:val="10"/>
        </w:numPr>
        <w:spacing w:after="120"/>
        <w:ind w:hanging="720"/>
        <w:rPr>
          <w:lang w:val="es-ES"/>
        </w:rPr>
      </w:pPr>
      <w:r w:rsidRPr="0078068B">
        <w:rPr>
          <w:lang w:val="es-CL"/>
        </w:rPr>
        <w:t xml:space="preserve">El horizonte de evaluación es de </w:t>
      </w:r>
      <w:r w:rsidR="001F7814" w:rsidRPr="0078068B">
        <w:rPr>
          <w:lang w:val="es-CL"/>
        </w:rPr>
        <w:t xml:space="preserve">20 </w:t>
      </w:r>
      <w:r w:rsidRPr="0078068B">
        <w:rPr>
          <w:lang w:val="es-CL"/>
        </w:rPr>
        <w:t>años</w:t>
      </w:r>
      <w:r w:rsidR="001F7814" w:rsidRPr="0078068B">
        <w:rPr>
          <w:lang w:val="es-CL"/>
        </w:rPr>
        <w:t xml:space="preserve"> e incluye las mejoras como resultado de las </w:t>
      </w:r>
      <w:r w:rsidR="001F7814" w:rsidRPr="0078068B">
        <w:rPr>
          <w:lang w:val="es-ES"/>
        </w:rPr>
        <w:t xml:space="preserve">inversiones presupuestadas en el proyecto, hasta llevar las pérdidas totales al </w:t>
      </w:r>
      <w:r w:rsidR="00C6443B" w:rsidRPr="0078068B">
        <w:rPr>
          <w:lang w:val="es-ES"/>
        </w:rPr>
        <w:t>23</w:t>
      </w:r>
      <w:r w:rsidR="001F7814" w:rsidRPr="0078068B">
        <w:rPr>
          <w:lang w:val="es-ES"/>
        </w:rPr>
        <w:t xml:space="preserve">,1% en el </w:t>
      </w:r>
      <w:r w:rsidR="00C6443B" w:rsidRPr="0078068B">
        <w:rPr>
          <w:lang w:val="es-ES"/>
        </w:rPr>
        <w:t>año 2017</w:t>
      </w:r>
      <w:r w:rsidR="0078068B">
        <w:rPr>
          <w:lang w:val="es-CL"/>
        </w:rPr>
        <w:t xml:space="preserve">, después del cual se mantienen en ese mismo nivel hasta el </w:t>
      </w:r>
      <w:proofErr w:type="spellStart"/>
      <w:r w:rsidR="0078068B">
        <w:rPr>
          <w:lang w:val="es-CL"/>
        </w:rPr>
        <w:t>ano</w:t>
      </w:r>
      <w:proofErr w:type="spellEnd"/>
      <w:r w:rsidR="0078068B">
        <w:rPr>
          <w:lang w:val="es-CL"/>
        </w:rPr>
        <w:t xml:space="preserve"> 2023.</w:t>
      </w:r>
    </w:p>
    <w:p w:rsidR="0078068B" w:rsidRPr="0078068B" w:rsidRDefault="0078068B" w:rsidP="0078068B">
      <w:pPr>
        <w:ind w:left="0" w:firstLine="0"/>
        <w:rPr>
          <w:lang w:val="es-ES"/>
        </w:rPr>
      </w:pPr>
    </w:p>
    <w:p w:rsidR="0078068B" w:rsidRPr="0078068B" w:rsidRDefault="0078068B" w:rsidP="0078068B">
      <w:pPr>
        <w:spacing w:after="120"/>
        <w:rPr>
          <w:lang w:val="es-ES"/>
        </w:rPr>
      </w:pPr>
    </w:p>
    <w:p w:rsidR="001C2CA6" w:rsidRDefault="001C2CA6" w:rsidP="00044632">
      <w:pPr>
        <w:pStyle w:val="ListParagraph"/>
        <w:numPr>
          <w:ilvl w:val="0"/>
          <w:numId w:val="10"/>
        </w:numPr>
        <w:spacing w:after="120"/>
        <w:ind w:hanging="720"/>
        <w:rPr>
          <w:lang w:val="es-ES"/>
        </w:rPr>
      </w:pPr>
      <w:r>
        <w:rPr>
          <w:lang w:val="es-ES"/>
        </w:rPr>
        <w:lastRenderedPageBreak/>
        <w:t xml:space="preserve">Para el valor de parámetros de desempeño de las </w:t>
      </w:r>
      <w:proofErr w:type="spellStart"/>
      <w:r>
        <w:rPr>
          <w:lang w:val="es-ES"/>
        </w:rPr>
        <w:t>EDEs</w:t>
      </w:r>
      <w:proofErr w:type="spellEnd"/>
      <w:r>
        <w:rPr>
          <w:lang w:val="es-ES"/>
        </w:rPr>
        <w:t xml:space="preserve"> se toma como base la información del </w:t>
      </w:r>
      <w:r w:rsidR="008426E9">
        <w:rPr>
          <w:lang w:val="es-ES"/>
        </w:rPr>
        <w:t>“</w:t>
      </w:r>
      <w:r>
        <w:rPr>
          <w:lang w:val="es-ES"/>
        </w:rPr>
        <w:t>Informe de Desempeño del Sector Eléctrico 2013” de la CDEEE.</w:t>
      </w:r>
    </w:p>
    <w:p w:rsidR="00093814" w:rsidRPr="00093814" w:rsidRDefault="00093814" w:rsidP="00093814">
      <w:pPr>
        <w:pStyle w:val="ListParagraph"/>
        <w:rPr>
          <w:lang w:val="es-ES"/>
        </w:rPr>
      </w:pPr>
    </w:p>
    <w:p w:rsidR="00EC6D3C" w:rsidRPr="00044632" w:rsidRDefault="00512B15" w:rsidP="00044632">
      <w:pPr>
        <w:pStyle w:val="ListParagraph"/>
        <w:numPr>
          <w:ilvl w:val="0"/>
          <w:numId w:val="10"/>
        </w:numPr>
        <w:spacing w:after="120"/>
        <w:ind w:hanging="720"/>
        <w:rPr>
          <w:lang w:val="es-ES"/>
        </w:rPr>
      </w:pPr>
      <w:r w:rsidRPr="00512B15">
        <w:rPr>
          <w:rFonts w:eastAsia="Times New Roman" w:cs="Times New Roman"/>
          <w:b/>
          <w:szCs w:val="20"/>
          <w:lang w:val="es-ES_tradnl"/>
        </w:rPr>
        <w:t>Pérdidas de energía</w:t>
      </w:r>
      <w:r w:rsidRPr="00243433">
        <w:rPr>
          <w:rFonts w:eastAsia="Times New Roman" w:cs="Times New Roman"/>
          <w:szCs w:val="20"/>
          <w:lang w:val="es-ES_tradnl"/>
        </w:rPr>
        <w:t xml:space="preserve">. </w:t>
      </w:r>
      <w:r w:rsidR="00174E6B" w:rsidRPr="00243433">
        <w:rPr>
          <w:rFonts w:eastAsia="Times New Roman" w:cs="Times New Roman"/>
          <w:szCs w:val="20"/>
          <w:lang w:val="es-ES_tradnl"/>
        </w:rPr>
        <w:t>Las pérdidas</w:t>
      </w:r>
      <w:r w:rsidR="000312EF" w:rsidRPr="00243433">
        <w:rPr>
          <w:rFonts w:eastAsia="Times New Roman" w:cs="Times New Roman"/>
          <w:szCs w:val="20"/>
          <w:lang w:val="es-ES_tradnl"/>
        </w:rPr>
        <w:t xml:space="preserve"> totales </w:t>
      </w:r>
      <w:r w:rsidR="00174E6B" w:rsidRPr="00243433">
        <w:rPr>
          <w:rFonts w:eastAsia="Times New Roman" w:cs="Times New Roman"/>
          <w:szCs w:val="20"/>
          <w:lang w:val="es-ES_tradnl"/>
        </w:rPr>
        <w:t xml:space="preserve">promedio de las </w:t>
      </w:r>
      <w:proofErr w:type="spellStart"/>
      <w:r w:rsidR="00174E6B" w:rsidRPr="00243433">
        <w:rPr>
          <w:rFonts w:eastAsia="Times New Roman" w:cs="Times New Roman"/>
          <w:szCs w:val="20"/>
          <w:lang w:val="es-ES_tradnl"/>
        </w:rPr>
        <w:t>EDEs</w:t>
      </w:r>
      <w:proofErr w:type="spellEnd"/>
      <w:r w:rsidR="00174E6B" w:rsidRPr="00243433">
        <w:rPr>
          <w:rFonts w:eastAsia="Times New Roman" w:cs="Times New Roman"/>
          <w:szCs w:val="20"/>
          <w:lang w:val="es-ES_tradnl"/>
        </w:rPr>
        <w:t xml:space="preserve"> agrupadas durante los años 2012 y 2013 fueron de</w:t>
      </w:r>
      <w:r w:rsidR="00AD054B">
        <w:rPr>
          <w:rFonts w:eastAsia="Times New Roman" w:cs="Times New Roman"/>
          <w:szCs w:val="20"/>
          <w:lang w:val="es-ES_tradnl"/>
        </w:rPr>
        <w:t xml:space="preserve"> 35,5% y 33,1% respectivamente.</w:t>
      </w:r>
      <w:r w:rsidR="00174E6B" w:rsidRPr="00243433">
        <w:rPr>
          <w:rFonts w:eastAsia="Times New Roman" w:cs="Times New Roman"/>
          <w:szCs w:val="20"/>
          <w:lang w:val="es-ES_tradnl"/>
        </w:rPr>
        <w:t xml:space="preserve"> Para el año 2013, se</w:t>
      </w:r>
      <w:r w:rsidR="00243433">
        <w:rPr>
          <w:rFonts w:eastAsia="Times New Roman" w:cs="Times New Roman"/>
          <w:szCs w:val="20"/>
          <w:lang w:val="es-ES_tradnl"/>
        </w:rPr>
        <w:t xml:space="preserve"> estima que </w:t>
      </w:r>
      <w:r w:rsidR="00174E6B" w:rsidRPr="00243433">
        <w:rPr>
          <w:rFonts w:eastAsia="Times New Roman" w:cs="Times New Roman"/>
          <w:szCs w:val="20"/>
          <w:lang w:val="es-ES_tradnl"/>
        </w:rPr>
        <w:t>1</w:t>
      </w:r>
      <w:r w:rsidR="00BC3631" w:rsidRPr="00243433">
        <w:rPr>
          <w:rFonts w:eastAsia="Times New Roman" w:cs="Times New Roman"/>
          <w:szCs w:val="20"/>
          <w:lang w:val="es-ES_tradnl"/>
        </w:rPr>
        <w:t>5</w:t>
      </w:r>
      <w:r w:rsidR="00174E6B" w:rsidRPr="00243433">
        <w:rPr>
          <w:rFonts w:eastAsia="Times New Roman" w:cs="Times New Roman"/>
          <w:szCs w:val="20"/>
          <w:lang w:val="es-ES_tradnl"/>
        </w:rPr>
        <w:t xml:space="preserve">% </w:t>
      </w:r>
      <w:r w:rsidR="00243433">
        <w:rPr>
          <w:rFonts w:eastAsia="Times New Roman" w:cs="Times New Roman"/>
          <w:szCs w:val="20"/>
          <w:lang w:val="es-ES_tradnl"/>
        </w:rPr>
        <w:t>correspondían a</w:t>
      </w:r>
      <w:r w:rsidR="00174E6B" w:rsidRPr="00243433">
        <w:rPr>
          <w:rFonts w:eastAsia="Times New Roman" w:cs="Times New Roman"/>
          <w:szCs w:val="20"/>
          <w:lang w:val="es-ES_tradnl"/>
        </w:rPr>
        <w:t xml:space="preserve"> pérdidas técnicas y 1</w:t>
      </w:r>
      <w:r w:rsidR="00BC3631" w:rsidRPr="00243433">
        <w:rPr>
          <w:rFonts w:eastAsia="Times New Roman" w:cs="Times New Roman"/>
          <w:szCs w:val="20"/>
          <w:lang w:val="es-ES_tradnl"/>
        </w:rPr>
        <w:t>8</w:t>
      </w:r>
      <w:r w:rsidR="00174E6B" w:rsidRPr="00243433">
        <w:rPr>
          <w:rFonts w:eastAsia="Times New Roman" w:cs="Times New Roman"/>
          <w:szCs w:val="20"/>
          <w:lang w:val="es-ES_tradnl"/>
        </w:rPr>
        <w:t xml:space="preserve">,1% </w:t>
      </w:r>
      <w:r w:rsidR="00622B4F">
        <w:rPr>
          <w:rFonts w:eastAsia="Times New Roman" w:cs="Times New Roman"/>
          <w:szCs w:val="20"/>
          <w:lang w:val="es-ES_tradnl"/>
        </w:rPr>
        <w:t>a</w:t>
      </w:r>
      <w:r w:rsidR="00174E6B" w:rsidRPr="00243433">
        <w:rPr>
          <w:rFonts w:eastAsia="Times New Roman" w:cs="Times New Roman"/>
          <w:szCs w:val="20"/>
          <w:lang w:val="es-ES_tradnl"/>
        </w:rPr>
        <w:t xml:space="preserve"> pérdidas </w:t>
      </w:r>
      <w:r w:rsidR="00622B4F">
        <w:rPr>
          <w:rFonts w:eastAsia="Times New Roman" w:cs="Times New Roman"/>
          <w:szCs w:val="20"/>
          <w:lang w:val="es-ES_tradnl"/>
        </w:rPr>
        <w:t>no técnicas (errores en los procesos comerciales o hurto</w:t>
      </w:r>
      <w:r w:rsidR="00AD054B">
        <w:rPr>
          <w:rFonts w:eastAsia="Times New Roman" w:cs="Times New Roman"/>
          <w:szCs w:val="20"/>
          <w:lang w:val="es-ES_tradnl"/>
        </w:rPr>
        <w:t>).</w:t>
      </w:r>
      <w:r w:rsidR="00174E6B" w:rsidRPr="00243433">
        <w:rPr>
          <w:rFonts w:eastAsia="Times New Roman" w:cs="Times New Roman"/>
          <w:szCs w:val="20"/>
          <w:lang w:val="es-ES_tradnl"/>
        </w:rPr>
        <w:t xml:space="preserve"> Para este mismo año, las compras totales</w:t>
      </w:r>
      <w:r w:rsidR="00174E6B" w:rsidRPr="00512B15">
        <w:rPr>
          <w:rFonts w:eastAsia="Times New Roman" w:cs="Times New Roman"/>
          <w:szCs w:val="20"/>
          <w:lang w:val="es-ES_tradnl"/>
        </w:rPr>
        <w:t xml:space="preserve"> de energía de las empresas fueron de 11.946 </w:t>
      </w:r>
      <w:proofErr w:type="spellStart"/>
      <w:r w:rsidR="00174E6B" w:rsidRPr="00512B15">
        <w:rPr>
          <w:rFonts w:eastAsia="Times New Roman" w:cs="Times New Roman"/>
          <w:szCs w:val="20"/>
          <w:lang w:val="es-ES_tradnl"/>
        </w:rPr>
        <w:t>GWh</w:t>
      </w:r>
      <w:proofErr w:type="spellEnd"/>
      <w:r w:rsidR="00174E6B" w:rsidRPr="00512B15">
        <w:rPr>
          <w:rFonts w:eastAsia="Times New Roman" w:cs="Times New Roman"/>
          <w:szCs w:val="20"/>
          <w:lang w:val="es-ES_tradnl"/>
        </w:rPr>
        <w:t xml:space="preserve">, de las cuales se facturaron 7.990,6 </w:t>
      </w:r>
      <w:proofErr w:type="spellStart"/>
      <w:r w:rsidR="00174E6B" w:rsidRPr="00512B15">
        <w:rPr>
          <w:rFonts w:eastAsia="Times New Roman" w:cs="Times New Roman"/>
          <w:szCs w:val="20"/>
          <w:lang w:val="es-ES_tradnl"/>
        </w:rPr>
        <w:t>GWh</w:t>
      </w:r>
      <w:proofErr w:type="spellEnd"/>
      <w:r w:rsidR="00174E6B" w:rsidRPr="00512B15">
        <w:rPr>
          <w:rFonts w:eastAsia="Times New Roman" w:cs="Times New Roman"/>
          <w:szCs w:val="20"/>
          <w:lang w:val="es-ES_tradnl"/>
        </w:rPr>
        <w:t>.</w:t>
      </w:r>
      <w:r w:rsidRPr="00512B15">
        <w:rPr>
          <w:rFonts w:eastAsia="Times New Roman" w:cs="Times New Roman"/>
          <w:szCs w:val="20"/>
          <w:lang w:val="es-ES_tradnl"/>
        </w:rPr>
        <w:t xml:space="preserve"> </w:t>
      </w:r>
      <w:r w:rsidR="00AD054B">
        <w:rPr>
          <w:lang w:val="es-ES"/>
        </w:rPr>
        <w:t>D</w:t>
      </w:r>
      <w:r w:rsidR="00AD054B" w:rsidRPr="00AD054B">
        <w:rPr>
          <w:lang w:val="es-ES"/>
        </w:rPr>
        <w:t>adas las inversiones en rehabilitación de redes,</w:t>
      </w:r>
      <w:r w:rsidR="00AD054B">
        <w:rPr>
          <w:lang w:val="es-ES"/>
        </w:rPr>
        <w:t xml:space="preserve"> e</w:t>
      </w:r>
      <w:r w:rsidR="000312EF" w:rsidRPr="00512B15">
        <w:rPr>
          <w:lang w:val="es-ES"/>
        </w:rPr>
        <w:t xml:space="preserve">l </w:t>
      </w:r>
      <w:r w:rsidR="008A638D">
        <w:rPr>
          <w:lang w:val="es-ES"/>
        </w:rPr>
        <w:t>p</w:t>
      </w:r>
      <w:r w:rsidR="000312EF" w:rsidRPr="00512B15">
        <w:rPr>
          <w:lang w:val="es-ES"/>
        </w:rPr>
        <w:t xml:space="preserve">rograma </w:t>
      </w:r>
      <w:r w:rsidR="00174E6B" w:rsidRPr="00512B15">
        <w:rPr>
          <w:lang w:val="es-ES"/>
        </w:rPr>
        <w:t>propone alcanzar</w:t>
      </w:r>
      <w:r w:rsidR="00243433">
        <w:rPr>
          <w:lang w:val="es-ES"/>
        </w:rPr>
        <w:t xml:space="preserve"> </w:t>
      </w:r>
      <w:r w:rsidR="00174E6B" w:rsidRPr="00512B15">
        <w:rPr>
          <w:lang w:val="es-ES"/>
        </w:rPr>
        <w:t xml:space="preserve">un nivel de pérdidas </w:t>
      </w:r>
      <w:r w:rsidR="00C6443B">
        <w:rPr>
          <w:lang w:val="es-ES"/>
        </w:rPr>
        <w:t>técnicas</w:t>
      </w:r>
      <w:r w:rsidR="00174E6B" w:rsidRPr="00512B15">
        <w:rPr>
          <w:lang w:val="es-ES"/>
        </w:rPr>
        <w:t xml:space="preserve"> para </w:t>
      </w:r>
      <w:r w:rsidR="00C6443B">
        <w:rPr>
          <w:lang w:val="es-ES"/>
        </w:rPr>
        <w:t>2017 d</w:t>
      </w:r>
      <w:r w:rsidR="00174E6B" w:rsidRPr="00512B15">
        <w:rPr>
          <w:lang w:val="es-ES"/>
        </w:rPr>
        <w:t>e 11,</w:t>
      </w:r>
      <w:r w:rsidR="00C6443B">
        <w:rPr>
          <w:lang w:val="es-ES"/>
        </w:rPr>
        <w:t>4</w:t>
      </w:r>
      <w:r w:rsidR="00174E6B" w:rsidRPr="00512B15">
        <w:rPr>
          <w:lang w:val="es-ES"/>
        </w:rPr>
        <w:t xml:space="preserve">% </w:t>
      </w:r>
      <w:r w:rsidR="00C6443B">
        <w:rPr>
          <w:lang w:val="es-ES"/>
        </w:rPr>
        <w:t xml:space="preserve">y no técnicas </w:t>
      </w:r>
      <w:r w:rsidR="00243433">
        <w:rPr>
          <w:lang w:val="es-ES"/>
        </w:rPr>
        <w:t>de 11.7%</w:t>
      </w:r>
      <w:r w:rsidR="00313655" w:rsidRPr="00512B15">
        <w:rPr>
          <w:lang w:val="es-ES"/>
        </w:rPr>
        <w:t>,</w:t>
      </w:r>
      <w:r w:rsidR="00174E6B" w:rsidRPr="00512B15">
        <w:rPr>
          <w:lang w:val="es-ES"/>
        </w:rPr>
        <w:t xml:space="preserve"> lo que significa una meta de 2</w:t>
      </w:r>
      <w:r w:rsidR="00C6443B">
        <w:rPr>
          <w:lang w:val="es-ES"/>
        </w:rPr>
        <w:t>3</w:t>
      </w:r>
      <w:r w:rsidR="00174E6B" w:rsidRPr="00512B15">
        <w:rPr>
          <w:lang w:val="es-ES"/>
        </w:rPr>
        <w:t>,1% de pérdidas totales</w:t>
      </w:r>
      <w:r w:rsidR="00EC6D3C" w:rsidRPr="00512B15">
        <w:rPr>
          <w:lang w:val="es-ES"/>
        </w:rPr>
        <w:t>.</w:t>
      </w:r>
      <w:r w:rsidR="001F7814">
        <w:rPr>
          <w:lang w:val="es-ES"/>
        </w:rPr>
        <w:t xml:space="preserve"> </w:t>
      </w:r>
      <w:r w:rsidR="00C6443B">
        <w:rPr>
          <w:lang w:val="es-ES"/>
        </w:rPr>
        <w:t>P</w:t>
      </w:r>
      <w:r w:rsidR="001F7814">
        <w:rPr>
          <w:lang w:val="es-ES"/>
        </w:rPr>
        <w:t>ara efectos de la evaluación</w:t>
      </w:r>
      <w:r w:rsidR="007D2DE5">
        <w:rPr>
          <w:lang w:val="es-ES"/>
        </w:rPr>
        <w:t xml:space="preserve"> económica</w:t>
      </w:r>
      <w:r w:rsidR="00C6443B">
        <w:rPr>
          <w:lang w:val="es-ES"/>
        </w:rPr>
        <w:t xml:space="preserve"> se supone que estos resultados se mantienen hasta el final del periodo</w:t>
      </w:r>
      <w:r w:rsidR="004F1BA9">
        <w:rPr>
          <w:lang w:val="es-ES"/>
        </w:rPr>
        <w:t xml:space="preserve"> de evaluación</w:t>
      </w:r>
      <w:r w:rsidR="007D2DE5">
        <w:rPr>
          <w:lang w:val="es-ES"/>
        </w:rPr>
        <w:t>.</w:t>
      </w:r>
      <w:r w:rsidR="001F7814">
        <w:rPr>
          <w:lang w:val="es-ES"/>
        </w:rPr>
        <w:t xml:space="preserve"> </w:t>
      </w:r>
    </w:p>
    <w:p w:rsidR="00512B15" w:rsidRPr="00044632" w:rsidRDefault="00512B15" w:rsidP="00044632">
      <w:pPr>
        <w:pStyle w:val="ListParagraph"/>
        <w:spacing w:after="120"/>
        <w:ind w:firstLine="0"/>
        <w:rPr>
          <w:lang w:val="es-ES"/>
        </w:rPr>
      </w:pPr>
    </w:p>
    <w:p w:rsidR="00512B15" w:rsidRPr="00044632" w:rsidRDefault="00512B15" w:rsidP="00044632">
      <w:pPr>
        <w:pStyle w:val="ListParagraph"/>
        <w:numPr>
          <w:ilvl w:val="0"/>
          <w:numId w:val="10"/>
        </w:numPr>
        <w:spacing w:after="120"/>
        <w:ind w:hanging="720"/>
        <w:rPr>
          <w:rFonts w:cs="Times New Roman"/>
          <w:szCs w:val="24"/>
          <w:lang w:val="es-CL"/>
        </w:rPr>
      </w:pPr>
      <w:r w:rsidRPr="00044632">
        <w:rPr>
          <w:b/>
          <w:lang w:val="es-ES"/>
        </w:rPr>
        <w:t>Índice de Cobranza y CRI</w:t>
      </w:r>
      <w:r w:rsidRPr="00044632">
        <w:rPr>
          <w:lang w:val="es-ES"/>
        </w:rPr>
        <w:t xml:space="preserve">. </w:t>
      </w:r>
      <w:r w:rsidR="00EC6D3C" w:rsidRPr="00044632">
        <w:rPr>
          <w:lang w:val="es-ES"/>
        </w:rPr>
        <w:t>El índice de cobranza promedio</w:t>
      </w:r>
      <w:r w:rsidR="005A7BF1" w:rsidRPr="00044632">
        <w:rPr>
          <w:lang w:val="es-ES"/>
        </w:rPr>
        <w:t xml:space="preserve"> móvil</w:t>
      </w:r>
      <w:r w:rsidR="00EC6D3C" w:rsidRPr="00044632">
        <w:rPr>
          <w:lang w:val="es-ES"/>
        </w:rPr>
        <w:t xml:space="preserve"> </w:t>
      </w:r>
      <w:r w:rsidR="005A7BF1" w:rsidRPr="00044632">
        <w:rPr>
          <w:lang w:val="es-ES"/>
        </w:rPr>
        <w:t>durante los años 2012 y</w:t>
      </w:r>
      <w:r w:rsidR="005A7BF1" w:rsidRPr="00512B15">
        <w:rPr>
          <w:rFonts w:eastAsia="Times New Roman" w:cs="Times New Roman"/>
          <w:szCs w:val="20"/>
          <w:lang w:val="es-ES_tradnl"/>
        </w:rPr>
        <w:t xml:space="preserve"> 2013</w:t>
      </w:r>
      <w:r w:rsidR="00313655" w:rsidRPr="00512B15">
        <w:rPr>
          <w:rFonts w:eastAsia="Times New Roman" w:cs="Times New Roman"/>
          <w:szCs w:val="20"/>
          <w:lang w:val="es-ES_tradnl"/>
        </w:rPr>
        <w:t xml:space="preserve"> tuvo valores de</w:t>
      </w:r>
      <w:r w:rsidR="005A7BF1" w:rsidRPr="00512B15">
        <w:rPr>
          <w:rFonts w:eastAsia="Times New Roman" w:cs="Times New Roman"/>
          <w:szCs w:val="20"/>
          <w:lang w:val="es-ES_tradnl"/>
        </w:rPr>
        <w:t xml:space="preserve"> 95,0% y 95,4% para </w:t>
      </w:r>
      <w:r w:rsidR="00174E6B" w:rsidRPr="00512B15">
        <w:rPr>
          <w:lang w:val="es-ES"/>
        </w:rPr>
        <w:t xml:space="preserve">un CRI de </w:t>
      </w:r>
      <w:r w:rsidR="00AD054B">
        <w:rPr>
          <w:lang w:val="es-ES"/>
        </w:rPr>
        <w:t xml:space="preserve">61,2% y 63,8% respectivamente. </w:t>
      </w:r>
      <w:r w:rsidR="005A7BF1" w:rsidRPr="00512B15">
        <w:rPr>
          <w:lang w:val="es-ES"/>
        </w:rPr>
        <w:t>En términos del índice de energía recuperada IER, se pasó de un 61,0% a un 64.1% a diciembre del 2013.</w:t>
      </w:r>
      <w:r w:rsidR="00AD054B">
        <w:rPr>
          <w:lang w:val="es-ES"/>
        </w:rPr>
        <w:t xml:space="preserve"> P</w:t>
      </w:r>
      <w:r w:rsidR="00AD054B" w:rsidRPr="00512B15">
        <w:rPr>
          <w:lang w:val="es-CL"/>
        </w:rPr>
        <w:t xml:space="preserve">ara el 2016 </w:t>
      </w:r>
      <w:r w:rsidR="00AD054B">
        <w:rPr>
          <w:lang w:val="es-CL"/>
        </w:rPr>
        <w:t>e</w:t>
      </w:r>
      <w:r w:rsidR="005A7BF1" w:rsidRPr="00512B15">
        <w:rPr>
          <w:lang w:val="es-CL"/>
        </w:rPr>
        <w:t xml:space="preserve">l Programa contempla una meta del </w:t>
      </w:r>
      <w:r w:rsidR="00174E6B" w:rsidRPr="00512B15">
        <w:rPr>
          <w:lang w:val="es-ES"/>
        </w:rPr>
        <w:t>72%</w:t>
      </w:r>
      <w:r w:rsidR="005A7BF1" w:rsidRPr="00512B15">
        <w:rPr>
          <w:lang w:val="es-ES"/>
        </w:rPr>
        <w:t xml:space="preserve"> para el CRI</w:t>
      </w:r>
      <w:r w:rsidR="00174E6B" w:rsidRPr="00512B15">
        <w:rPr>
          <w:lang w:val="es-ES"/>
        </w:rPr>
        <w:t>, lo que implicaría un nivel de índice de cobranza IC de 96% en promedio</w:t>
      </w:r>
      <w:r w:rsidR="000312EF" w:rsidRPr="00512B15">
        <w:rPr>
          <w:lang w:val="es-ES"/>
        </w:rPr>
        <w:t xml:space="preserve"> para</w:t>
      </w:r>
      <w:r w:rsidR="00313655" w:rsidRPr="00512B15">
        <w:rPr>
          <w:lang w:val="es-ES"/>
        </w:rPr>
        <w:t xml:space="preserve"> todas</w:t>
      </w:r>
      <w:r w:rsidR="000312EF" w:rsidRPr="00512B15">
        <w:rPr>
          <w:lang w:val="es-ES"/>
        </w:rPr>
        <w:t xml:space="preserve"> las </w:t>
      </w:r>
      <w:proofErr w:type="spellStart"/>
      <w:r w:rsidR="000312EF" w:rsidRPr="00512B15">
        <w:rPr>
          <w:lang w:val="es-ES"/>
        </w:rPr>
        <w:t>EDEs</w:t>
      </w:r>
      <w:proofErr w:type="spellEnd"/>
      <w:r w:rsidR="00174E6B" w:rsidRPr="00512B15">
        <w:rPr>
          <w:lang w:val="es-ES"/>
        </w:rPr>
        <w:t>.</w:t>
      </w:r>
    </w:p>
    <w:p w:rsidR="00044632" w:rsidRPr="00512B15" w:rsidRDefault="00044632" w:rsidP="00044632">
      <w:pPr>
        <w:pStyle w:val="ListParagraph"/>
        <w:spacing w:after="120"/>
        <w:ind w:firstLine="0"/>
        <w:rPr>
          <w:rFonts w:cs="Times New Roman"/>
          <w:szCs w:val="24"/>
          <w:lang w:val="es-CL"/>
        </w:rPr>
      </w:pPr>
    </w:p>
    <w:p w:rsidR="00756567" w:rsidRPr="00512B15" w:rsidRDefault="00756567" w:rsidP="00044632">
      <w:pPr>
        <w:pStyle w:val="ListParagraph"/>
        <w:numPr>
          <w:ilvl w:val="0"/>
          <w:numId w:val="10"/>
        </w:numPr>
        <w:spacing w:after="120"/>
        <w:ind w:hanging="720"/>
        <w:rPr>
          <w:rFonts w:cs="Times New Roman"/>
          <w:szCs w:val="24"/>
          <w:lang w:val="es-CL"/>
        </w:rPr>
      </w:pPr>
      <w:r w:rsidRPr="00512B15">
        <w:rPr>
          <w:rFonts w:cs="Times New Roman"/>
          <w:b/>
          <w:szCs w:val="24"/>
          <w:lang w:val="es-CL"/>
        </w:rPr>
        <w:t>A</w:t>
      </w:r>
      <w:r w:rsidRPr="00512B15">
        <w:rPr>
          <w:b/>
          <w:lang w:val="es-CL"/>
        </w:rPr>
        <w:t>umento de usuarios con 24 horas de servicio</w:t>
      </w:r>
      <w:r w:rsidR="00512B15" w:rsidRPr="00512B15">
        <w:rPr>
          <w:rFonts w:cs="Times New Roman"/>
          <w:szCs w:val="24"/>
          <w:lang w:val="es-CL"/>
        </w:rPr>
        <w:t xml:space="preserve">. </w:t>
      </w:r>
      <w:r w:rsidRPr="00512B15">
        <w:rPr>
          <w:lang w:val="es-ES"/>
        </w:rPr>
        <w:t>Actualmente hay una proporción importante de los consumidores que sólo tienen un limitado núme</w:t>
      </w:r>
      <w:r w:rsidR="00AD054B">
        <w:rPr>
          <w:lang w:val="es-ES"/>
        </w:rPr>
        <w:t>ro de horas de servicio al día.</w:t>
      </w:r>
      <w:r w:rsidRPr="00512B15">
        <w:rPr>
          <w:lang w:val="es-ES"/>
        </w:rPr>
        <w:t xml:space="preserve"> Se estima que sólo se abastece un 82,8% de la energía que realmente se demanda.</w:t>
      </w:r>
      <w:r w:rsidR="00512B15" w:rsidRPr="00512B15">
        <w:rPr>
          <w:lang w:val="es-ES"/>
        </w:rPr>
        <w:t xml:space="preserve"> </w:t>
      </w:r>
      <w:r w:rsidR="00E523FC" w:rsidRPr="00512B15">
        <w:rPr>
          <w:lang w:val="es-ES"/>
        </w:rPr>
        <w:t xml:space="preserve">Se estima que a finales del 2013 había 903.811 clientes </w:t>
      </w:r>
      <w:r w:rsidR="00AD054B">
        <w:rPr>
          <w:lang w:val="es-ES"/>
        </w:rPr>
        <w:t xml:space="preserve">con </w:t>
      </w:r>
      <w:r w:rsidR="00E523FC" w:rsidRPr="00512B15">
        <w:rPr>
          <w:lang w:val="es-ES"/>
        </w:rPr>
        <w:t>24 horas</w:t>
      </w:r>
      <w:r w:rsidR="00AD054B">
        <w:rPr>
          <w:lang w:val="es-ES"/>
        </w:rPr>
        <w:t xml:space="preserve"> de servicio</w:t>
      </w:r>
      <w:r w:rsidR="00E523FC" w:rsidRPr="00512B15">
        <w:rPr>
          <w:lang w:val="es-ES"/>
        </w:rPr>
        <w:t>, de un tota</w:t>
      </w:r>
      <w:r w:rsidR="00AD054B">
        <w:rPr>
          <w:lang w:val="es-ES"/>
        </w:rPr>
        <w:t>l de 1.891.975 aproximadamente.</w:t>
      </w:r>
      <w:r w:rsidR="00E523FC" w:rsidRPr="00512B15">
        <w:rPr>
          <w:lang w:val="es-ES"/>
        </w:rPr>
        <w:t xml:space="preserve"> </w:t>
      </w:r>
      <w:r w:rsidR="00044632">
        <w:rPr>
          <w:lang w:val="es-ES"/>
        </w:rPr>
        <w:t>Bajo el programa, l</w:t>
      </w:r>
      <w:r w:rsidR="00E523FC" w:rsidRPr="00512B15">
        <w:rPr>
          <w:lang w:val="es-ES"/>
        </w:rPr>
        <w:t xml:space="preserve">a meta para finales de 2016 es tener un total de 1.318.811 clientes </w:t>
      </w:r>
      <w:r w:rsidR="00AD054B">
        <w:rPr>
          <w:lang w:val="es-ES"/>
        </w:rPr>
        <w:t xml:space="preserve">con </w:t>
      </w:r>
      <w:r w:rsidR="00E523FC" w:rsidRPr="00512B15">
        <w:rPr>
          <w:lang w:val="es-ES"/>
        </w:rPr>
        <w:t>24 horas</w:t>
      </w:r>
      <w:r w:rsidR="00AD054B">
        <w:rPr>
          <w:lang w:val="es-ES"/>
        </w:rPr>
        <w:t xml:space="preserve"> de servicio</w:t>
      </w:r>
      <w:r w:rsidR="00E523FC" w:rsidRPr="00512B15">
        <w:rPr>
          <w:lang w:val="es-ES"/>
        </w:rPr>
        <w:t>, de un total de</w:t>
      </w:r>
      <w:r w:rsidR="00AD054B">
        <w:rPr>
          <w:lang w:val="es-ES"/>
        </w:rPr>
        <w:t xml:space="preserve"> 2.2 millones aproximadamente. </w:t>
      </w:r>
      <w:r w:rsidR="00E523FC" w:rsidRPr="00512B15">
        <w:rPr>
          <w:lang w:val="es-ES"/>
        </w:rPr>
        <w:t xml:space="preserve">El costo asociado con atender </w:t>
      </w:r>
      <w:r w:rsidR="00AD054B">
        <w:rPr>
          <w:lang w:val="es-ES"/>
        </w:rPr>
        <w:t xml:space="preserve">a </w:t>
      </w:r>
      <w:r w:rsidR="00E523FC" w:rsidRPr="00512B15">
        <w:rPr>
          <w:lang w:val="es-ES"/>
        </w:rPr>
        <w:t>los clientes 24 horas</w:t>
      </w:r>
      <w:r w:rsidR="00AD054B">
        <w:rPr>
          <w:lang w:val="es-ES"/>
        </w:rPr>
        <w:t>,</w:t>
      </w:r>
      <w:r w:rsidR="00E523FC" w:rsidRPr="00512B15">
        <w:rPr>
          <w:lang w:val="es-ES"/>
        </w:rPr>
        <w:t xml:space="preserve"> es solamente el costo marginal de suministro, el cual se le cobra al cliente dentro de su tarifa.</w:t>
      </w:r>
    </w:p>
    <w:p w:rsidR="00512B15" w:rsidRPr="00E523FC" w:rsidRDefault="00512B15" w:rsidP="00512B15">
      <w:pPr>
        <w:pStyle w:val="ListParagraph"/>
        <w:spacing w:before="0" w:after="120"/>
        <w:ind w:firstLine="0"/>
        <w:rPr>
          <w:rFonts w:cs="Times New Roman"/>
          <w:szCs w:val="24"/>
          <w:lang w:val="es-CL"/>
        </w:rPr>
      </w:pPr>
    </w:p>
    <w:p w:rsidR="008059B1" w:rsidRDefault="008059B1" w:rsidP="00DD1BE6">
      <w:pPr>
        <w:pStyle w:val="ListParagraph"/>
        <w:numPr>
          <w:ilvl w:val="0"/>
          <w:numId w:val="11"/>
        </w:numPr>
        <w:spacing w:before="0" w:after="120"/>
        <w:rPr>
          <w:rFonts w:cs="Times New Roman"/>
          <w:b/>
          <w:szCs w:val="24"/>
          <w:lang w:val="es-CL"/>
        </w:rPr>
      </w:pPr>
      <w:r w:rsidRPr="00512B15">
        <w:rPr>
          <w:rFonts w:cs="Times New Roman"/>
          <w:b/>
          <w:szCs w:val="24"/>
          <w:lang w:val="es-CL"/>
        </w:rPr>
        <w:t>Metodología</w:t>
      </w:r>
    </w:p>
    <w:p w:rsidR="00512B15" w:rsidRPr="00512B15" w:rsidRDefault="00512B15" w:rsidP="00512B15">
      <w:pPr>
        <w:pStyle w:val="ListParagraph"/>
        <w:spacing w:before="0" w:after="120"/>
        <w:ind w:firstLine="0"/>
        <w:rPr>
          <w:rFonts w:cs="Times New Roman"/>
          <w:b/>
          <w:szCs w:val="24"/>
          <w:lang w:val="es-CL"/>
        </w:rPr>
      </w:pPr>
    </w:p>
    <w:p w:rsidR="0047097B" w:rsidRPr="00512B15" w:rsidRDefault="008059B1" w:rsidP="00044632">
      <w:pPr>
        <w:pStyle w:val="ListParagraph"/>
        <w:numPr>
          <w:ilvl w:val="0"/>
          <w:numId w:val="10"/>
        </w:numPr>
        <w:spacing w:after="120"/>
        <w:ind w:hanging="720"/>
        <w:rPr>
          <w:rFonts w:cs="Times New Roman"/>
          <w:szCs w:val="24"/>
          <w:lang w:val="es-CL"/>
        </w:rPr>
      </w:pPr>
      <w:r w:rsidRPr="00512B15">
        <w:rPr>
          <w:rFonts w:cs="Times New Roman"/>
          <w:szCs w:val="24"/>
          <w:lang w:val="es-CL"/>
        </w:rPr>
        <w:t xml:space="preserve">La metodología se basa en la aplicación de los principios económicos y técnicas de </w:t>
      </w:r>
      <w:r w:rsidRPr="00512B15">
        <w:rPr>
          <w:lang w:val="es-ES"/>
        </w:rPr>
        <w:t>evaluación</w:t>
      </w:r>
      <w:r w:rsidRPr="00512B15">
        <w:rPr>
          <w:rFonts w:cs="Times New Roman"/>
          <w:szCs w:val="24"/>
          <w:lang w:val="es-CL"/>
        </w:rPr>
        <w:t xml:space="preserve"> de proyectos</w:t>
      </w:r>
      <w:r w:rsidR="0009357C">
        <w:rPr>
          <w:rFonts w:cs="Times New Roman"/>
          <w:szCs w:val="24"/>
          <w:lang w:val="es-CL"/>
        </w:rPr>
        <w:t>.</w:t>
      </w:r>
      <w:r w:rsidR="0009357C" w:rsidRPr="0009357C">
        <w:rPr>
          <w:rFonts w:cs="Times New Roman"/>
          <w:szCs w:val="24"/>
          <w:lang w:val="es-CL"/>
        </w:rPr>
        <w:t xml:space="preserve"> </w:t>
      </w:r>
      <w:r w:rsidR="0009357C">
        <w:rPr>
          <w:rFonts w:cs="Times New Roman"/>
          <w:szCs w:val="24"/>
          <w:lang w:val="es-CL"/>
        </w:rPr>
        <w:t>Se realiza un análisis costo-beneficio,</w:t>
      </w:r>
      <w:r w:rsidRPr="00512B15">
        <w:rPr>
          <w:rFonts w:cs="Times New Roman"/>
          <w:szCs w:val="24"/>
          <w:lang w:val="es-CL"/>
        </w:rPr>
        <w:t xml:space="preserve"> incorporando una valoración del impacto del</w:t>
      </w:r>
      <w:r w:rsidR="0009357C">
        <w:rPr>
          <w:rFonts w:cs="Times New Roman"/>
          <w:szCs w:val="24"/>
          <w:lang w:val="es-CL"/>
        </w:rPr>
        <w:t xml:space="preserve"> programa, tanto a nivel </w:t>
      </w:r>
      <w:r w:rsidR="000805D5">
        <w:rPr>
          <w:rFonts w:cs="Times New Roman"/>
          <w:szCs w:val="24"/>
          <w:lang w:val="es-CL"/>
        </w:rPr>
        <w:t>económico</w:t>
      </w:r>
      <w:r w:rsidR="005C0B1F" w:rsidRPr="00512B15">
        <w:rPr>
          <w:rFonts w:cs="Times New Roman"/>
          <w:szCs w:val="24"/>
          <w:lang w:val="es-CL"/>
        </w:rPr>
        <w:t xml:space="preserve"> </w:t>
      </w:r>
      <w:r w:rsidR="00512B15" w:rsidRPr="00512B15">
        <w:rPr>
          <w:rFonts w:cs="Times New Roman"/>
          <w:szCs w:val="24"/>
          <w:lang w:val="es-CL"/>
        </w:rPr>
        <w:t>para toda la sociedad,</w:t>
      </w:r>
      <w:r w:rsidRPr="00512B15">
        <w:rPr>
          <w:rFonts w:cs="Times New Roman"/>
          <w:szCs w:val="24"/>
          <w:lang w:val="es-CL"/>
        </w:rPr>
        <w:t xml:space="preserve"> como financiero </w:t>
      </w:r>
      <w:r w:rsidR="005C0B1F" w:rsidRPr="00512B15">
        <w:rPr>
          <w:rFonts w:cs="Times New Roman"/>
          <w:szCs w:val="24"/>
          <w:lang w:val="es-CL"/>
        </w:rPr>
        <w:t xml:space="preserve"> </w:t>
      </w:r>
      <w:r w:rsidRPr="00512B15">
        <w:rPr>
          <w:rFonts w:cs="Times New Roman"/>
          <w:szCs w:val="24"/>
          <w:lang w:val="es-CL"/>
        </w:rPr>
        <w:t>desde el p</w:t>
      </w:r>
      <w:r w:rsidR="0009357C">
        <w:rPr>
          <w:rFonts w:cs="Times New Roman"/>
          <w:szCs w:val="24"/>
          <w:lang w:val="es-CL"/>
        </w:rPr>
        <w:t xml:space="preserve">unto de vista de las </w:t>
      </w:r>
      <w:proofErr w:type="spellStart"/>
      <w:r w:rsidR="0009357C">
        <w:rPr>
          <w:rFonts w:cs="Times New Roman"/>
          <w:szCs w:val="24"/>
          <w:lang w:val="es-CL"/>
        </w:rPr>
        <w:t>EDEs</w:t>
      </w:r>
      <w:proofErr w:type="spellEnd"/>
      <w:r w:rsidR="0009357C">
        <w:rPr>
          <w:rFonts w:cs="Times New Roman"/>
          <w:szCs w:val="24"/>
          <w:lang w:val="es-CL"/>
        </w:rPr>
        <w:t xml:space="preserve">. </w:t>
      </w:r>
      <w:r w:rsidRPr="00512B15">
        <w:rPr>
          <w:rFonts w:cs="Times New Roman"/>
          <w:szCs w:val="24"/>
          <w:lang w:val="es-CL"/>
        </w:rPr>
        <w:t xml:space="preserve">Para la evaluación se incorpora la información del estado actual de las </w:t>
      </w:r>
      <w:proofErr w:type="spellStart"/>
      <w:r w:rsidRPr="00512B15">
        <w:rPr>
          <w:rFonts w:cs="Times New Roman"/>
          <w:szCs w:val="24"/>
          <w:lang w:val="es-CL"/>
        </w:rPr>
        <w:t>EDEs</w:t>
      </w:r>
      <w:proofErr w:type="spellEnd"/>
      <w:r w:rsidRPr="00512B15">
        <w:rPr>
          <w:rFonts w:cs="Times New Roman"/>
          <w:szCs w:val="24"/>
          <w:lang w:val="es-CL"/>
        </w:rPr>
        <w:t xml:space="preserve"> en sus parámetros principales de: </w:t>
      </w:r>
      <w:r w:rsidR="0047097B" w:rsidRPr="00512B15">
        <w:rPr>
          <w:rFonts w:cs="Times New Roman"/>
          <w:szCs w:val="24"/>
          <w:lang w:val="es-CL"/>
        </w:rPr>
        <w:t xml:space="preserve">i) </w:t>
      </w:r>
      <w:r w:rsidR="00512B15" w:rsidRPr="00512B15">
        <w:rPr>
          <w:rFonts w:cs="Times New Roman"/>
          <w:szCs w:val="24"/>
          <w:lang w:val="es-CL"/>
        </w:rPr>
        <w:t>pérdidas;</w:t>
      </w:r>
      <w:r w:rsidRPr="00512B15">
        <w:rPr>
          <w:rFonts w:cs="Times New Roman"/>
          <w:szCs w:val="24"/>
          <w:lang w:val="es-CL"/>
        </w:rPr>
        <w:t xml:space="preserve"> </w:t>
      </w:r>
      <w:r w:rsidR="005C0B1F" w:rsidRPr="00512B15">
        <w:rPr>
          <w:rFonts w:cs="Times New Roman"/>
          <w:szCs w:val="24"/>
          <w:lang w:val="es-CL"/>
        </w:rPr>
        <w:t xml:space="preserve"> </w:t>
      </w:r>
      <w:r w:rsidR="0047097B" w:rsidRPr="00512B15">
        <w:rPr>
          <w:rFonts w:cs="Times New Roman"/>
          <w:szCs w:val="24"/>
          <w:lang w:val="es-CL"/>
        </w:rPr>
        <w:t>ii) cobranzas y</w:t>
      </w:r>
      <w:r w:rsidRPr="00512B15">
        <w:rPr>
          <w:rFonts w:cs="Times New Roman"/>
          <w:szCs w:val="24"/>
          <w:lang w:val="es-CL"/>
        </w:rPr>
        <w:t xml:space="preserve"> CRI</w:t>
      </w:r>
      <w:r w:rsidR="00512B15" w:rsidRPr="00512B15">
        <w:rPr>
          <w:rFonts w:cs="Times New Roman"/>
          <w:szCs w:val="24"/>
          <w:lang w:val="es-CL"/>
        </w:rPr>
        <w:t xml:space="preserve">; </w:t>
      </w:r>
      <w:r w:rsidR="0047097B" w:rsidRPr="00512B15">
        <w:rPr>
          <w:rFonts w:cs="Times New Roman"/>
          <w:szCs w:val="24"/>
          <w:lang w:val="es-CL"/>
        </w:rPr>
        <w:t>y</w:t>
      </w:r>
      <w:r w:rsidRPr="00512B15">
        <w:rPr>
          <w:rFonts w:cs="Times New Roman"/>
          <w:szCs w:val="24"/>
          <w:lang w:val="es-CL"/>
        </w:rPr>
        <w:t xml:space="preserve"> </w:t>
      </w:r>
      <w:r w:rsidR="005C0B1F" w:rsidRPr="00512B15">
        <w:rPr>
          <w:rFonts w:cs="Times New Roman"/>
          <w:szCs w:val="24"/>
          <w:lang w:val="es-CL"/>
        </w:rPr>
        <w:t xml:space="preserve"> </w:t>
      </w:r>
      <w:r w:rsidR="0047097B" w:rsidRPr="00512B15">
        <w:rPr>
          <w:rFonts w:cs="Times New Roman"/>
          <w:szCs w:val="24"/>
          <w:lang w:val="es-CL"/>
        </w:rPr>
        <w:t xml:space="preserve">iii) </w:t>
      </w:r>
      <w:r w:rsidRPr="00512B15">
        <w:rPr>
          <w:rFonts w:cs="Times New Roman"/>
          <w:szCs w:val="24"/>
          <w:lang w:val="es-CL"/>
        </w:rPr>
        <w:t>calidad de servicio</w:t>
      </w:r>
      <w:r w:rsidR="0047097B" w:rsidRPr="00512B15">
        <w:rPr>
          <w:rFonts w:cs="Times New Roman"/>
          <w:szCs w:val="24"/>
          <w:lang w:val="es-CL"/>
        </w:rPr>
        <w:t>.</w:t>
      </w:r>
    </w:p>
    <w:p w:rsidR="00512B15" w:rsidRDefault="00512B15" w:rsidP="00512B15">
      <w:pPr>
        <w:pStyle w:val="ListParagraph"/>
        <w:spacing w:before="0" w:after="120"/>
        <w:ind w:firstLine="0"/>
        <w:rPr>
          <w:rFonts w:cs="Times New Roman"/>
          <w:szCs w:val="24"/>
          <w:lang w:val="es-CL"/>
        </w:rPr>
      </w:pPr>
    </w:p>
    <w:p w:rsidR="00D8193F" w:rsidRDefault="0047097B" w:rsidP="00044632">
      <w:pPr>
        <w:pStyle w:val="ListParagraph"/>
        <w:numPr>
          <w:ilvl w:val="0"/>
          <w:numId w:val="10"/>
        </w:numPr>
        <w:spacing w:after="120"/>
        <w:ind w:hanging="720"/>
        <w:rPr>
          <w:rFonts w:cs="Times New Roman"/>
          <w:szCs w:val="24"/>
          <w:lang w:val="es-CL"/>
        </w:rPr>
      </w:pPr>
      <w:r>
        <w:rPr>
          <w:rFonts w:cs="Times New Roman"/>
          <w:szCs w:val="24"/>
          <w:lang w:val="es-CL"/>
        </w:rPr>
        <w:t>S</w:t>
      </w:r>
      <w:r w:rsidR="008059B1" w:rsidRPr="008059B1">
        <w:rPr>
          <w:rFonts w:cs="Times New Roman"/>
          <w:szCs w:val="24"/>
          <w:lang w:val="es-CL"/>
        </w:rPr>
        <w:t>e observan las mejoras obtenible</w:t>
      </w:r>
      <w:r>
        <w:rPr>
          <w:rFonts w:cs="Times New Roman"/>
          <w:szCs w:val="24"/>
          <w:lang w:val="es-CL"/>
        </w:rPr>
        <w:t>s con la ejecución del proyecto</w:t>
      </w:r>
      <w:r w:rsidR="008059B1" w:rsidRPr="008059B1">
        <w:rPr>
          <w:rFonts w:cs="Times New Roman"/>
          <w:szCs w:val="24"/>
          <w:lang w:val="es-CL"/>
        </w:rPr>
        <w:t xml:space="preserve"> y se comparan en el valor presente de los flujos con las necesidades de inversión del mismo. Asimismo, para verificar la robustez del proyecto, se hace una valoración de sensibilidades a los principales parámetros y metas alcanzables con la implementación del proyecto</w:t>
      </w:r>
      <w:r>
        <w:rPr>
          <w:rFonts w:cs="Times New Roman"/>
          <w:szCs w:val="24"/>
          <w:lang w:val="es-CL"/>
        </w:rPr>
        <w:t>.</w:t>
      </w:r>
      <w:r w:rsidR="0078068B">
        <w:rPr>
          <w:rFonts w:cs="Times New Roman"/>
          <w:szCs w:val="24"/>
          <w:lang w:val="es-CL"/>
        </w:rPr>
        <w:t xml:space="preserve"> El análisis se realiza independientemente para cada EDE y agregado para las tres compañías.</w:t>
      </w:r>
    </w:p>
    <w:p w:rsidR="00A54BE8" w:rsidRDefault="00A54BE8" w:rsidP="00A54BE8">
      <w:pPr>
        <w:pStyle w:val="ListParagraph"/>
        <w:rPr>
          <w:rFonts w:cs="Times New Roman"/>
          <w:szCs w:val="24"/>
          <w:lang w:val="es-CL"/>
        </w:rPr>
      </w:pPr>
    </w:p>
    <w:p w:rsidR="009B7FDF" w:rsidRPr="00A54BE8" w:rsidRDefault="009B7FDF" w:rsidP="00A54BE8">
      <w:pPr>
        <w:pStyle w:val="ListParagraph"/>
        <w:rPr>
          <w:rFonts w:cs="Times New Roman"/>
          <w:szCs w:val="24"/>
          <w:lang w:val="es-CL"/>
        </w:rPr>
      </w:pPr>
    </w:p>
    <w:p w:rsidR="003A2AD4" w:rsidRDefault="003A2AD4" w:rsidP="00D8193F">
      <w:pPr>
        <w:pStyle w:val="Banknumbered"/>
        <w:numPr>
          <w:ilvl w:val="0"/>
          <w:numId w:val="8"/>
        </w:numPr>
        <w:rPr>
          <w:b/>
          <w:lang w:val="es-CL"/>
        </w:rPr>
      </w:pPr>
      <w:r w:rsidRPr="00CB17DC">
        <w:rPr>
          <w:b/>
          <w:lang w:val="es-CL"/>
        </w:rPr>
        <w:lastRenderedPageBreak/>
        <w:t>Beneficios económicos</w:t>
      </w:r>
      <w:r w:rsidR="00C15FEC" w:rsidRPr="00CB17DC">
        <w:rPr>
          <w:b/>
          <w:lang w:val="es-CL"/>
        </w:rPr>
        <w:t>, costos y retorno</w:t>
      </w:r>
    </w:p>
    <w:p w:rsidR="00D8193F" w:rsidRPr="00D8193F" w:rsidRDefault="00E0531E" w:rsidP="00D8193F">
      <w:pPr>
        <w:pStyle w:val="ListParagraph"/>
        <w:numPr>
          <w:ilvl w:val="0"/>
          <w:numId w:val="12"/>
        </w:numPr>
        <w:rPr>
          <w:b/>
          <w:lang w:val="es-ES"/>
        </w:rPr>
      </w:pPr>
      <w:r>
        <w:rPr>
          <w:rFonts w:cs="Times New Roman"/>
          <w:b/>
          <w:szCs w:val="24"/>
          <w:lang w:val="es-CL"/>
        </w:rPr>
        <w:t>Reducción de p</w:t>
      </w:r>
      <w:r w:rsidR="008334A4" w:rsidRPr="00512B15">
        <w:rPr>
          <w:rFonts w:cs="Times New Roman"/>
          <w:b/>
          <w:szCs w:val="24"/>
          <w:lang w:val="es-CL"/>
        </w:rPr>
        <w:t>érdidas</w:t>
      </w:r>
      <w:r>
        <w:rPr>
          <w:rFonts w:cs="Times New Roman"/>
          <w:b/>
          <w:szCs w:val="24"/>
          <w:lang w:val="es-CL"/>
        </w:rPr>
        <w:t xml:space="preserve"> de energía</w:t>
      </w:r>
    </w:p>
    <w:p w:rsidR="008334A4" w:rsidRDefault="008334A4" w:rsidP="00D8193F">
      <w:pPr>
        <w:pStyle w:val="ListParagraph"/>
        <w:ind w:left="1080" w:firstLine="0"/>
        <w:rPr>
          <w:b/>
          <w:lang w:val="es-ES"/>
        </w:rPr>
      </w:pPr>
    </w:p>
    <w:p w:rsidR="00522A8F" w:rsidRDefault="00522A8F" w:rsidP="00522A8F">
      <w:pPr>
        <w:pStyle w:val="ListParagraph"/>
        <w:numPr>
          <w:ilvl w:val="0"/>
          <w:numId w:val="13"/>
        </w:numPr>
        <w:ind w:hanging="720"/>
        <w:rPr>
          <w:lang w:val="es-ES"/>
        </w:rPr>
      </w:pPr>
      <w:r w:rsidRPr="00B72028">
        <w:rPr>
          <w:b/>
          <w:lang w:val="es-ES"/>
        </w:rPr>
        <w:t>Beneficio económico:</w:t>
      </w:r>
      <w:r w:rsidRPr="00522A8F">
        <w:rPr>
          <w:lang w:val="es-ES"/>
        </w:rPr>
        <w:t xml:space="preserve"> </w:t>
      </w:r>
      <w:r w:rsidR="000D4398" w:rsidRPr="00522A8F">
        <w:rPr>
          <w:lang w:val="es-ES"/>
        </w:rPr>
        <w:t xml:space="preserve">El beneficio económico del programa se debe a la menor generación de energía requerida para satisfacer la demanda de los </w:t>
      </w:r>
      <w:r w:rsidR="000D4398" w:rsidRPr="00522A8F">
        <w:rPr>
          <w:rFonts w:cs="Times New Roman"/>
          <w:szCs w:val="24"/>
          <w:lang w:val="es-CL"/>
        </w:rPr>
        <w:t>usuarios</w:t>
      </w:r>
      <w:r w:rsidR="009B7FDF">
        <w:rPr>
          <w:lang w:val="es-ES"/>
        </w:rPr>
        <w:t xml:space="preserve"> finales. E</w:t>
      </w:r>
      <w:r w:rsidR="000D4398" w:rsidRPr="00522A8F">
        <w:rPr>
          <w:lang w:val="es-ES"/>
        </w:rPr>
        <w:t xml:space="preserve">sta menor generación está dada por dos factores: la reducción de las pérdidas técnicas </w:t>
      </w:r>
      <w:r w:rsidR="009B7FDF">
        <w:rPr>
          <w:lang w:val="es-ES"/>
        </w:rPr>
        <w:t xml:space="preserve">de </w:t>
      </w:r>
      <w:r w:rsidR="000D4398" w:rsidRPr="00522A8F">
        <w:rPr>
          <w:lang w:val="es-ES"/>
        </w:rPr>
        <w:t>energía y la reducción del consumo de energía de los usuarios normalizados</w:t>
      </w:r>
      <w:r w:rsidR="009B7FDF">
        <w:rPr>
          <w:lang w:val="es-ES"/>
        </w:rPr>
        <w:t>,</w:t>
      </w:r>
      <w:r w:rsidR="000D4398" w:rsidRPr="00522A8F">
        <w:rPr>
          <w:lang w:val="es-ES"/>
        </w:rPr>
        <w:t xml:space="preserve"> asociada a la reducción de pérdidas no técnicas.</w:t>
      </w:r>
      <w:r w:rsidRPr="00522A8F">
        <w:rPr>
          <w:lang w:val="es-ES"/>
        </w:rPr>
        <w:t xml:space="preserve"> Para la valoración de este beneficio se utiliza el costo marginal de la energía, el cual corresponde al costo de la última planta de generación despachada para a</w:t>
      </w:r>
      <w:r w:rsidR="009B7FDF">
        <w:rPr>
          <w:lang w:val="es-ES"/>
        </w:rPr>
        <w:t>tender la demanda. D</w:t>
      </w:r>
      <w:r w:rsidRPr="00522A8F">
        <w:rPr>
          <w:lang w:val="es-ES"/>
        </w:rPr>
        <w:t>e acuerdo a los informes de la CDEEE se espera que este costo esté alrededor de los 148,3 US$/</w:t>
      </w:r>
      <w:proofErr w:type="spellStart"/>
      <w:r w:rsidRPr="00522A8F">
        <w:rPr>
          <w:lang w:val="es-ES"/>
        </w:rPr>
        <w:t>MWh</w:t>
      </w:r>
      <w:proofErr w:type="spellEnd"/>
      <w:r w:rsidRPr="00522A8F">
        <w:rPr>
          <w:lang w:val="es-ES"/>
        </w:rPr>
        <w:t>.</w:t>
      </w:r>
    </w:p>
    <w:p w:rsidR="00522A8F" w:rsidRPr="00522A8F" w:rsidRDefault="00522A8F" w:rsidP="00522A8F">
      <w:pPr>
        <w:pStyle w:val="ListParagraph"/>
        <w:ind w:firstLine="0"/>
        <w:rPr>
          <w:lang w:val="es-ES"/>
        </w:rPr>
      </w:pPr>
    </w:p>
    <w:p w:rsidR="007B2D05" w:rsidRPr="000D4398" w:rsidRDefault="00522A8F" w:rsidP="00B32299">
      <w:pPr>
        <w:pStyle w:val="ListParagraph"/>
        <w:numPr>
          <w:ilvl w:val="0"/>
          <w:numId w:val="13"/>
        </w:numPr>
        <w:ind w:hanging="720"/>
        <w:rPr>
          <w:lang w:val="es-ES"/>
        </w:rPr>
      </w:pPr>
      <w:r w:rsidRPr="00B72028">
        <w:rPr>
          <w:b/>
          <w:lang w:val="es-ES"/>
        </w:rPr>
        <w:t>Beneficio financiero</w:t>
      </w:r>
      <w:r w:rsidRPr="00B72028">
        <w:rPr>
          <w:b/>
          <w:i/>
          <w:lang w:val="es-ES"/>
        </w:rPr>
        <w:t>:</w:t>
      </w:r>
      <w:r w:rsidRPr="000D4398">
        <w:rPr>
          <w:lang w:val="es-ES"/>
        </w:rPr>
        <w:t xml:space="preserve"> </w:t>
      </w:r>
      <w:r w:rsidR="00D65865" w:rsidRPr="000D4398">
        <w:rPr>
          <w:lang w:val="es-ES"/>
        </w:rPr>
        <w:t>El beneficio financiero del programa de reducción de pérdidas proviene del incremento de los ingresos</w:t>
      </w:r>
      <w:r w:rsidR="00A435EC">
        <w:rPr>
          <w:lang w:val="es-ES"/>
        </w:rPr>
        <w:t>,</w:t>
      </w:r>
      <w:r w:rsidR="00D65865" w:rsidRPr="000D4398">
        <w:rPr>
          <w:lang w:val="es-ES"/>
        </w:rPr>
        <w:t xml:space="preserve"> asociados al aumento de la energía facturada por la recuperación de pérdidas no técnicas o comerciales y</w:t>
      </w:r>
      <w:r w:rsidR="00A435EC">
        <w:rPr>
          <w:lang w:val="es-ES"/>
        </w:rPr>
        <w:t xml:space="preserve"> a</w:t>
      </w:r>
      <w:r w:rsidR="00D65865" w:rsidRPr="000D4398">
        <w:rPr>
          <w:lang w:val="es-ES"/>
        </w:rPr>
        <w:t xml:space="preserve"> la reducción de </w:t>
      </w:r>
      <w:r w:rsidR="00DA247F" w:rsidRPr="000D4398">
        <w:rPr>
          <w:lang w:val="es-ES"/>
        </w:rPr>
        <w:t>los</w:t>
      </w:r>
      <w:r w:rsidR="00D65865" w:rsidRPr="000D4398">
        <w:rPr>
          <w:lang w:val="es-ES"/>
        </w:rPr>
        <w:t xml:space="preserve"> costos </w:t>
      </w:r>
      <w:r w:rsidR="00DA247F" w:rsidRPr="000D4398">
        <w:rPr>
          <w:lang w:val="es-ES"/>
        </w:rPr>
        <w:t>de</w:t>
      </w:r>
      <w:r w:rsidR="00D65865" w:rsidRPr="000D4398">
        <w:rPr>
          <w:lang w:val="es-ES"/>
        </w:rPr>
        <w:t xml:space="preserve"> compras de energía en el mercado mayorista</w:t>
      </w:r>
      <w:r w:rsidR="00DA247F" w:rsidRPr="000D4398">
        <w:rPr>
          <w:lang w:val="es-ES"/>
        </w:rPr>
        <w:t xml:space="preserve"> para abastecer la demanda, gracias a la reducción de las pérdidas totales.</w:t>
      </w:r>
      <w:r w:rsidR="00D65865" w:rsidRPr="000D4398">
        <w:rPr>
          <w:lang w:val="es-ES"/>
        </w:rPr>
        <w:t xml:space="preserve"> </w:t>
      </w:r>
      <w:r>
        <w:rPr>
          <w:lang w:val="es-ES"/>
        </w:rPr>
        <w:t>Para la valoración de este beneficio se utiliza el pecio de venta para calcular los ingresos y el costo medio de compra de energía para calcular los costos de cada EDE.</w:t>
      </w:r>
    </w:p>
    <w:p w:rsidR="007B2D05" w:rsidRPr="008334A4" w:rsidRDefault="007B2D05" w:rsidP="00D8193F">
      <w:pPr>
        <w:pStyle w:val="ListParagraph"/>
        <w:ind w:left="1080" w:firstLine="0"/>
        <w:rPr>
          <w:b/>
          <w:lang w:val="es-ES"/>
        </w:rPr>
      </w:pPr>
    </w:p>
    <w:p w:rsidR="00B32299" w:rsidRPr="000D4398" w:rsidRDefault="00B32299" w:rsidP="004021D4">
      <w:pPr>
        <w:pStyle w:val="ListParagraph"/>
        <w:numPr>
          <w:ilvl w:val="0"/>
          <w:numId w:val="13"/>
        </w:numPr>
        <w:ind w:hanging="720"/>
        <w:rPr>
          <w:rFonts w:cs="Times New Roman"/>
          <w:szCs w:val="24"/>
          <w:lang w:val="es-CL"/>
        </w:rPr>
      </w:pPr>
      <w:r w:rsidRPr="00B72028">
        <w:rPr>
          <w:rFonts w:cs="Times New Roman"/>
          <w:b/>
          <w:szCs w:val="24"/>
          <w:lang w:val="es-CL"/>
        </w:rPr>
        <w:t>Reducción de pérdidas técnicas:</w:t>
      </w:r>
      <w:r w:rsidRPr="000D4398">
        <w:rPr>
          <w:rFonts w:cs="Times New Roman"/>
          <w:szCs w:val="24"/>
          <w:lang w:val="es-CL"/>
        </w:rPr>
        <w:t xml:space="preserve"> Las pérdidas técnicas se presentan </w:t>
      </w:r>
      <w:r w:rsidR="00DA6B3C" w:rsidRPr="000D4398">
        <w:rPr>
          <w:rFonts w:cs="Times New Roman"/>
          <w:szCs w:val="24"/>
          <w:lang w:val="es-CL"/>
        </w:rPr>
        <w:t>en el proceso de transporte de la energía en forma de calor en los conductores eléctricos y en los equipos de sistemas de potencia utilizados. A pesar de que estas pérdidas no se pueden eliminar completamente las inversiones en el mejoramiento de la infraestructura eléctrica permiten reducirlas hasta llegar a niveles estándar entre el 6% y 7%.</w:t>
      </w:r>
      <w:r w:rsidR="00FC3A7E" w:rsidRPr="000D4398">
        <w:rPr>
          <w:rFonts w:cs="Times New Roman"/>
          <w:szCs w:val="24"/>
          <w:lang w:val="es-CL"/>
        </w:rPr>
        <w:t xml:space="preserve"> La reducción de las pérdidas eléctricas permite abastecer el mismo nivel de demanda de los usuarios finales con una menor generación. Por lo tanto es un beneficio para la economía al representar una asignación más eficiente de lo</w:t>
      </w:r>
      <w:r w:rsidR="000D4398">
        <w:rPr>
          <w:rFonts w:cs="Times New Roman"/>
          <w:szCs w:val="24"/>
          <w:lang w:val="es-CL"/>
        </w:rPr>
        <w:t>s recursos energéticos del país y a su vez representan un menor costo para las empresas distribuidoras.</w:t>
      </w:r>
    </w:p>
    <w:p w:rsidR="00B32299" w:rsidRPr="00B32299" w:rsidRDefault="00B32299" w:rsidP="00B32299">
      <w:pPr>
        <w:pStyle w:val="ListParagraph"/>
        <w:rPr>
          <w:rFonts w:cs="Times New Roman"/>
          <w:szCs w:val="24"/>
          <w:lang w:val="es-CL"/>
        </w:rPr>
      </w:pPr>
    </w:p>
    <w:p w:rsidR="009B2551" w:rsidRDefault="00522A8F" w:rsidP="004021D4">
      <w:pPr>
        <w:pStyle w:val="ListParagraph"/>
        <w:numPr>
          <w:ilvl w:val="0"/>
          <w:numId w:val="13"/>
        </w:numPr>
        <w:ind w:hanging="720"/>
        <w:rPr>
          <w:rFonts w:cs="Times New Roman"/>
          <w:szCs w:val="24"/>
          <w:lang w:val="es-CL"/>
        </w:rPr>
      </w:pPr>
      <w:r w:rsidRPr="00B72028">
        <w:rPr>
          <w:rFonts w:cs="Times New Roman"/>
          <w:b/>
          <w:szCs w:val="24"/>
          <w:lang w:val="es-CL"/>
        </w:rPr>
        <w:t>Reducción de pérdidas no técnicas:</w:t>
      </w:r>
      <w:r w:rsidRPr="009B2551">
        <w:rPr>
          <w:rFonts w:cs="Times New Roman"/>
          <w:szCs w:val="24"/>
          <w:lang w:val="es-CL"/>
        </w:rPr>
        <w:t xml:space="preserve"> </w:t>
      </w:r>
      <w:r w:rsidR="009B2551" w:rsidRPr="009B2551">
        <w:rPr>
          <w:rFonts w:cs="Times New Roman"/>
          <w:szCs w:val="24"/>
          <w:lang w:val="es-CL"/>
        </w:rPr>
        <w:t xml:space="preserve">La reducción de las pérdidas no técnicas o comerciales se produce dada la normalización de clientes que no pagan por el servicio o que se les factura una cantidad menor de energía, por razones como la falta de medición del consumo, conexión fraudulenta o por no estar incluidos en las bases de datos de las empresas. Una vez la instalación de un cliente es normalizada y el servicio es facturado correctamente se espera que el cliente reduzca su consumo frente a lo que solía consumir cuando no pagaba por el servicio. </w:t>
      </w:r>
    </w:p>
    <w:p w:rsidR="009B2551" w:rsidRDefault="009B2551" w:rsidP="009B2551">
      <w:pPr>
        <w:pStyle w:val="ListParagraph"/>
        <w:ind w:firstLine="0"/>
        <w:rPr>
          <w:rFonts w:cs="Times New Roman"/>
          <w:szCs w:val="24"/>
          <w:lang w:val="es-CL"/>
        </w:rPr>
      </w:pPr>
    </w:p>
    <w:p w:rsidR="009413E4" w:rsidRPr="009B2551" w:rsidRDefault="00023A22" w:rsidP="004021D4">
      <w:pPr>
        <w:pStyle w:val="ListParagraph"/>
        <w:numPr>
          <w:ilvl w:val="0"/>
          <w:numId w:val="13"/>
        </w:numPr>
        <w:ind w:hanging="720"/>
        <w:rPr>
          <w:rFonts w:cs="Times New Roman"/>
          <w:szCs w:val="24"/>
          <w:lang w:val="es-CL"/>
        </w:rPr>
      </w:pPr>
      <w:r w:rsidRPr="009B2551">
        <w:rPr>
          <w:rFonts w:cs="Times New Roman"/>
          <w:szCs w:val="24"/>
          <w:lang w:val="es-CL"/>
        </w:rPr>
        <w:t>L</w:t>
      </w:r>
      <w:r w:rsidR="009413E4" w:rsidRPr="009B2551">
        <w:rPr>
          <w:rFonts w:cs="Times New Roman"/>
          <w:szCs w:val="24"/>
          <w:lang w:val="es-CL"/>
        </w:rPr>
        <w:t xml:space="preserve">a evaluación de las </w:t>
      </w:r>
      <w:r w:rsidR="00522A8F" w:rsidRPr="009B2551">
        <w:rPr>
          <w:rFonts w:cs="Times New Roman"/>
          <w:szCs w:val="24"/>
          <w:lang w:val="es-CL"/>
        </w:rPr>
        <w:t xml:space="preserve">pérdidas </w:t>
      </w:r>
      <w:r w:rsidR="00E81E2B" w:rsidRPr="009B2551">
        <w:rPr>
          <w:rFonts w:cs="Times New Roman"/>
          <w:szCs w:val="24"/>
          <w:lang w:val="es-CL"/>
        </w:rPr>
        <w:t>no</w:t>
      </w:r>
      <w:r w:rsidR="007F3A87">
        <w:rPr>
          <w:rFonts w:cs="Times New Roman"/>
          <w:szCs w:val="24"/>
          <w:lang w:val="es-CL"/>
        </w:rPr>
        <w:t xml:space="preserve"> </w:t>
      </w:r>
      <w:r w:rsidR="00E81E2B" w:rsidRPr="009B2551">
        <w:rPr>
          <w:rFonts w:cs="Times New Roman"/>
          <w:szCs w:val="24"/>
          <w:lang w:val="es-CL"/>
        </w:rPr>
        <w:t>técnicas</w:t>
      </w:r>
      <w:r w:rsidRPr="009B2551">
        <w:rPr>
          <w:rFonts w:cs="Times New Roman"/>
          <w:szCs w:val="24"/>
          <w:lang w:val="es-CL"/>
        </w:rPr>
        <w:t>,</w:t>
      </w:r>
      <w:r w:rsidR="00E81E2B" w:rsidRPr="009B2551">
        <w:rPr>
          <w:rFonts w:cs="Times New Roman"/>
          <w:szCs w:val="24"/>
          <w:lang w:val="es-CL"/>
        </w:rPr>
        <w:t xml:space="preserve"> </w:t>
      </w:r>
      <w:r w:rsidR="009413E4" w:rsidRPr="009B2551">
        <w:rPr>
          <w:rFonts w:cs="Times New Roman"/>
          <w:szCs w:val="24"/>
          <w:lang w:val="es-CL"/>
        </w:rPr>
        <w:t>en la situación sin proyecto</w:t>
      </w:r>
      <w:r w:rsidRPr="009B2551">
        <w:rPr>
          <w:rFonts w:cs="Times New Roman"/>
          <w:szCs w:val="24"/>
          <w:lang w:val="es-CL"/>
        </w:rPr>
        <w:t>,</w:t>
      </w:r>
      <w:r w:rsidR="009413E4" w:rsidRPr="009B2551">
        <w:rPr>
          <w:rFonts w:cs="Times New Roman"/>
          <w:szCs w:val="24"/>
          <w:lang w:val="es-CL"/>
        </w:rPr>
        <w:t xml:space="preserve"> puede hacerse con referencia a la Figura 1, la cual se refiere </w:t>
      </w:r>
      <w:r w:rsidR="00512B15" w:rsidRPr="009B2551">
        <w:rPr>
          <w:rFonts w:cs="Times New Roman"/>
          <w:szCs w:val="24"/>
          <w:lang w:val="es-CL"/>
        </w:rPr>
        <w:t>sólo a las pérdidas comerciales</w:t>
      </w:r>
      <w:r w:rsidR="009413E4" w:rsidRPr="009B2551">
        <w:rPr>
          <w:rFonts w:cs="Times New Roman"/>
          <w:szCs w:val="24"/>
          <w:lang w:val="es-CL"/>
        </w:rPr>
        <w:t xml:space="preserve"> y no abarca la curva de demanda agregada total de electricidad.</w:t>
      </w:r>
    </w:p>
    <w:p w:rsidR="000A047E" w:rsidRDefault="000A047E" w:rsidP="00512B15">
      <w:pPr>
        <w:spacing w:before="0" w:after="120"/>
        <w:rPr>
          <w:rFonts w:cs="Times New Roman"/>
          <w:szCs w:val="24"/>
          <w:lang w:val="es-CL"/>
        </w:rPr>
      </w:pPr>
    </w:p>
    <w:p w:rsidR="001E05D9" w:rsidRDefault="001E05D9" w:rsidP="00512B15">
      <w:pPr>
        <w:spacing w:before="0" w:after="120"/>
        <w:rPr>
          <w:rFonts w:cs="Times New Roman"/>
          <w:szCs w:val="24"/>
          <w:lang w:val="es-CL"/>
        </w:rPr>
      </w:pPr>
    </w:p>
    <w:p w:rsidR="001E05D9" w:rsidRDefault="001E05D9" w:rsidP="00512B15">
      <w:pPr>
        <w:spacing w:before="0" w:after="120"/>
        <w:rPr>
          <w:rFonts w:cs="Times New Roman"/>
          <w:szCs w:val="24"/>
          <w:lang w:val="es-CL"/>
        </w:rPr>
      </w:pPr>
    </w:p>
    <w:p w:rsidR="001E05D9" w:rsidRDefault="001E05D9" w:rsidP="00512B15">
      <w:pPr>
        <w:spacing w:before="0" w:after="120"/>
        <w:rPr>
          <w:rFonts w:cs="Times New Roman"/>
          <w:szCs w:val="24"/>
          <w:lang w:val="es-CL"/>
        </w:rPr>
      </w:pPr>
    </w:p>
    <w:p w:rsidR="009413E4" w:rsidRPr="00512B15" w:rsidRDefault="009413E4" w:rsidP="009413E4">
      <w:pPr>
        <w:spacing w:before="0" w:after="120"/>
        <w:jc w:val="center"/>
        <w:rPr>
          <w:rFonts w:cs="Times New Roman"/>
          <w:b/>
          <w:szCs w:val="24"/>
          <w:lang w:val="es-CL"/>
        </w:rPr>
      </w:pPr>
      <w:r w:rsidRPr="00512B15">
        <w:rPr>
          <w:rFonts w:cs="Times New Roman"/>
          <w:b/>
          <w:szCs w:val="24"/>
          <w:lang w:val="es-CL"/>
        </w:rPr>
        <w:lastRenderedPageBreak/>
        <w:t>Figura 1: Curva de demanda y variaciones en el excedente al consumidor</w:t>
      </w:r>
    </w:p>
    <w:p w:rsidR="009413E4" w:rsidRPr="009413E4" w:rsidRDefault="009413E4" w:rsidP="009413E4">
      <w:pPr>
        <w:spacing w:before="0" w:after="120"/>
        <w:ind w:firstLine="0"/>
        <w:jc w:val="center"/>
        <w:rPr>
          <w:rFonts w:cs="Times New Roman"/>
          <w:szCs w:val="24"/>
          <w:lang w:val="es-CL"/>
        </w:rPr>
      </w:pPr>
      <w:r w:rsidRPr="00B46DA8">
        <w:rPr>
          <w:noProof/>
        </w:rPr>
        <w:drawing>
          <wp:inline distT="0" distB="0" distL="0" distR="0" wp14:anchorId="5478111C" wp14:editId="1D353664">
            <wp:extent cx="5943600" cy="272415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943600" cy="2724150"/>
                    </a:xfrm>
                    <a:prstGeom prst="rect">
                      <a:avLst/>
                    </a:prstGeom>
                    <a:noFill/>
                    <a:ln w="9525">
                      <a:noFill/>
                      <a:miter lim="800000"/>
                      <a:headEnd/>
                      <a:tailEnd/>
                    </a:ln>
                  </pic:spPr>
                </pic:pic>
              </a:graphicData>
            </a:graphic>
          </wp:inline>
        </w:drawing>
      </w:r>
    </w:p>
    <w:p w:rsidR="009413E4" w:rsidRPr="00512B15" w:rsidRDefault="009413E4" w:rsidP="004021D4">
      <w:pPr>
        <w:pStyle w:val="ListParagraph"/>
        <w:numPr>
          <w:ilvl w:val="0"/>
          <w:numId w:val="13"/>
        </w:numPr>
        <w:ind w:hanging="720"/>
        <w:rPr>
          <w:rFonts w:cs="Times New Roman"/>
          <w:szCs w:val="24"/>
          <w:lang w:val="es-CL"/>
        </w:rPr>
      </w:pPr>
      <w:r w:rsidRPr="009413E4">
        <w:rPr>
          <w:rFonts w:cs="Times New Roman"/>
          <w:szCs w:val="24"/>
          <w:lang w:val="es-CL"/>
        </w:rPr>
        <w:t xml:space="preserve">El precio pagado por </w:t>
      </w:r>
      <w:r w:rsidRPr="001038B2">
        <w:rPr>
          <w:rFonts w:cs="Times New Roman"/>
          <w:szCs w:val="24"/>
          <w:lang w:val="es-CL"/>
        </w:rPr>
        <w:t>esta</w:t>
      </w:r>
      <w:r w:rsidRPr="009413E4">
        <w:rPr>
          <w:rFonts w:cs="Times New Roman"/>
          <w:szCs w:val="24"/>
          <w:lang w:val="es-CL"/>
        </w:rPr>
        <w:t xml:space="preserve"> energía por los consumidores que no son facturados es esencialmente cero, punto en el cual consumen Q</w:t>
      </w:r>
      <w:r w:rsidRPr="00E058E9">
        <w:rPr>
          <w:rFonts w:cs="Times New Roman"/>
          <w:szCs w:val="24"/>
          <w:vertAlign w:val="subscript"/>
          <w:lang w:val="es-CL"/>
        </w:rPr>
        <w:t>0</w:t>
      </w:r>
      <w:r w:rsidR="001038B2">
        <w:rPr>
          <w:rFonts w:cs="Times New Roman"/>
          <w:szCs w:val="24"/>
          <w:lang w:val="es-CL"/>
        </w:rPr>
        <w:t xml:space="preserve">. </w:t>
      </w:r>
      <w:r w:rsidRPr="009413E4">
        <w:rPr>
          <w:rFonts w:cs="Times New Roman"/>
          <w:szCs w:val="24"/>
          <w:lang w:val="es-CL"/>
        </w:rPr>
        <w:t xml:space="preserve">Estos consumidores perciben beneficios </w:t>
      </w:r>
      <w:r w:rsidR="001038B2">
        <w:rPr>
          <w:rFonts w:cs="Times New Roman"/>
          <w:szCs w:val="24"/>
          <w:lang w:val="es-CL"/>
        </w:rPr>
        <w:t xml:space="preserve">(excedentes) </w:t>
      </w:r>
      <w:r w:rsidRPr="009413E4">
        <w:rPr>
          <w:rFonts w:cs="Times New Roman"/>
          <w:szCs w:val="24"/>
          <w:lang w:val="es-CL"/>
        </w:rPr>
        <w:t xml:space="preserve">brutos </w:t>
      </w:r>
      <w:r w:rsidR="001038B2">
        <w:rPr>
          <w:rFonts w:cs="Times New Roman"/>
          <w:szCs w:val="24"/>
          <w:lang w:val="es-CL"/>
        </w:rPr>
        <w:t>bajo</w:t>
      </w:r>
      <w:r w:rsidRPr="009413E4">
        <w:rPr>
          <w:rFonts w:cs="Times New Roman"/>
          <w:szCs w:val="24"/>
          <w:lang w:val="es-CL"/>
        </w:rPr>
        <w:t xml:space="preserve"> la curva de demanda iguales a las áreas 1+2+3. El productor pierde el </w:t>
      </w:r>
      <w:r w:rsidRPr="00512B15">
        <w:rPr>
          <w:rFonts w:cs="Times New Roman"/>
          <w:szCs w:val="24"/>
          <w:lang w:val="es-CL"/>
        </w:rPr>
        <w:t xml:space="preserve">equivalente </w:t>
      </w:r>
      <w:r w:rsidR="001038B2">
        <w:rPr>
          <w:rFonts w:cs="Times New Roman"/>
          <w:szCs w:val="24"/>
          <w:lang w:val="es-CL"/>
        </w:rPr>
        <w:t>a</w:t>
      </w:r>
      <w:r w:rsidRPr="00512B15">
        <w:rPr>
          <w:rFonts w:cs="Times New Roman"/>
          <w:szCs w:val="24"/>
          <w:lang w:val="es-CL"/>
        </w:rPr>
        <w:t xml:space="preserve"> las áreas 2+3+4, </w:t>
      </w:r>
      <w:r w:rsidR="001038B2">
        <w:rPr>
          <w:rFonts w:cs="Times New Roman"/>
          <w:szCs w:val="24"/>
          <w:lang w:val="es-CL"/>
        </w:rPr>
        <w:t xml:space="preserve">su costo de producción </w:t>
      </w:r>
      <w:r w:rsidRPr="00512B15">
        <w:rPr>
          <w:rFonts w:cs="Times New Roman"/>
          <w:szCs w:val="24"/>
          <w:lang w:val="es-CL"/>
        </w:rPr>
        <w:t>por debajo de la tarifa de costo marginal P</w:t>
      </w:r>
      <w:r w:rsidRPr="004021D4">
        <w:rPr>
          <w:rFonts w:cs="Times New Roman"/>
          <w:szCs w:val="24"/>
          <w:lang w:val="es-CL"/>
        </w:rPr>
        <w:t>1</w:t>
      </w:r>
      <w:r w:rsidR="001038B2">
        <w:rPr>
          <w:rFonts w:cs="Times New Roman"/>
          <w:szCs w:val="24"/>
          <w:lang w:val="es-CL"/>
        </w:rPr>
        <w:t xml:space="preserve">. </w:t>
      </w:r>
      <w:r w:rsidRPr="00512B15">
        <w:rPr>
          <w:rFonts w:cs="Times New Roman"/>
          <w:szCs w:val="24"/>
          <w:lang w:val="es-CL"/>
        </w:rPr>
        <w:t>El excedente neto para la sociedad es el área 1 menos el área 4.</w:t>
      </w:r>
    </w:p>
    <w:p w:rsidR="00512B15" w:rsidRPr="00512B15" w:rsidRDefault="00512B15" w:rsidP="004021D4">
      <w:pPr>
        <w:pStyle w:val="ListParagraph"/>
        <w:ind w:firstLine="0"/>
        <w:rPr>
          <w:rFonts w:cs="Times New Roman"/>
          <w:szCs w:val="24"/>
          <w:lang w:val="es-CL"/>
        </w:rPr>
      </w:pPr>
    </w:p>
    <w:p w:rsidR="009413E4" w:rsidRPr="00512B15" w:rsidRDefault="001038B2" w:rsidP="004021D4">
      <w:pPr>
        <w:pStyle w:val="ListParagraph"/>
        <w:numPr>
          <w:ilvl w:val="0"/>
          <w:numId w:val="13"/>
        </w:numPr>
        <w:ind w:hanging="720"/>
        <w:rPr>
          <w:rFonts w:cs="Times New Roman"/>
          <w:szCs w:val="24"/>
          <w:lang w:val="es-CL"/>
        </w:rPr>
      </w:pPr>
      <w:r>
        <w:rPr>
          <w:rFonts w:cs="Times New Roman"/>
          <w:szCs w:val="24"/>
          <w:lang w:val="es-CL"/>
        </w:rPr>
        <w:t>M</w:t>
      </w:r>
      <w:r w:rsidR="009413E4" w:rsidRPr="00512B15">
        <w:rPr>
          <w:rFonts w:cs="Times New Roman"/>
          <w:szCs w:val="24"/>
          <w:lang w:val="es-CL"/>
        </w:rPr>
        <w:t xml:space="preserve">ediante mejoras en el control de pérdidas </w:t>
      </w:r>
      <w:r>
        <w:rPr>
          <w:rFonts w:cs="Times New Roman"/>
          <w:szCs w:val="24"/>
          <w:lang w:val="es-CL"/>
        </w:rPr>
        <w:t>con el proyecto,</w:t>
      </w:r>
      <w:r w:rsidR="009413E4" w:rsidRPr="00512B15">
        <w:rPr>
          <w:rFonts w:cs="Times New Roman"/>
          <w:szCs w:val="24"/>
          <w:lang w:val="es-CL"/>
        </w:rPr>
        <w:t xml:space="preserve"> el precio puede llevarse a P</w:t>
      </w:r>
      <w:r w:rsidR="009413E4" w:rsidRPr="004021D4">
        <w:rPr>
          <w:rFonts w:cs="Times New Roman"/>
          <w:szCs w:val="24"/>
          <w:lang w:val="es-CL"/>
        </w:rPr>
        <w:t>1</w:t>
      </w:r>
      <w:r w:rsidR="009413E4" w:rsidRPr="00512B15">
        <w:rPr>
          <w:rFonts w:cs="Times New Roman"/>
          <w:szCs w:val="24"/>
          <w:lang w:val="es-CL"/>
        </w:rPr>
        <w:t xml:space="preserve"> y la cantidad suministrada a Q</w:t>
      </w:r>
      <w:r w:rsidR="009413E4" w:rsidRPr="004021D4">
        <w:rPr>
          <w:rFonts w:cs="Times New Roman"/>
          <w:szCs w:val="24"/>
          <w:lang w:val="es-CL"/>
        </w:rPr>
        <w:t>1</w:t>
      </w:r>
      <w:r w:rsidR="009413E4" w:rsidRPr="00512B15">
        <w:rPr>
          <w:rFonts w:cs="Times New Roman"/>
          <w:szCs w:val="24"/>
          <w:lang w:val="es-CL"/>
        </w:rPr>
        <w:t>, los beneficios económicos bruto</w:t>
      </w:r>
      <w:r>
        <w:rPr>
          <w:rFonts w:cs="Times New Roman"/>
          <w:szCs w:val="24"/>
          <w:lang w:val="es-CL"/>
        </w:rPr>
        <w:t xml:space="preserve">s equivalen a las áreas 1 + 2. </w:t>
      </w:r>
      <w:r w:rsidR="009413E4" w:rsidRPr="00512B15">
        <w:rPr>
          <w:rFonts w:cs="Times New Roman"/>
          <w:szCs w:val="24"/>
          <w:lang w:val="es-CL"/>
        </w:rPr>
        <w:t>Los pagos que recibe el product</w:t>
      </w:r>
      <w:r>
        <w:rPr>
          <w:rFonts w:cs="Times New Roman"/>
          <w:szCs w:val="24"/>
          <w:lang w:val="es-CL"/>
        </w:rPr>
        <w:t xml:space="preserve">or son equivalentes al área 2. </w:t>
      </w:r>
      <w:r w:rsidR="009413E4" w:rsidRPr="00512B15">
        <w:rPr>
          <w:rFonts w:cs="Times New Roman"/>
          <w:szCs w:val="24"/>
          <w:lang w:val="es-CL"/>
        </w:rPr>
        <w:t>El nuevo excedente a</w:t>
      </w:r>
      <w:r>
        <w:rPr>
          <w:rFonts w:cs="Times New Roman"/>
          <w:szCs w:val="24"/>
          <w:lang w:val="es-CL"/>
        </w:rPr>
        <w:t>l consumidor equivale al área 1</w:t>
      </w:r>
      <w:r w:rsidR="009413E4" w:rsidRPr="00512B15">
        <w:rPr>
          <w:rFonts w:cs="Times New Roman"/>
          <w:szCs w:val="24"/>
          <w:lang w:val="es-CL"/>
        </w:rPr>
        <w:t xml:space="preserve"> y el excedente neto para la sociedad se ve incrementado relativamente</w:t>
      </w:r>
      <w:r w:rsidR="009413E4" w:rsidRPr="009413E4">
        <w:rPr>
          <w:rFonts w:cs="Times New Roman"/>
          <w:szCs w:val="24"/>
          <w:lang w:val="es-CL"/>
        </w:rPr>
        <w:t xml:space="preserve"> a la situación en la cual no se factura al consumidor por u</w:t>
      </w:r>
      <w:r>
        <w:rPr>
          <w:rFonts w:cs="Times New Roman"/>
          <w:szCs w:val="24"/>
          <w:lang w:val="es-CL"/>
        </w:rPr>
        <w:t xml:space="preserve">n monto equivalente al área 4. </w:t>
      </w:r>
      <w:r w:rsidR="009413E4" w:rsidRPr="009413E4">
        <w:rPr>
          <w:rFonts w:cs="Times New Roman"/>
          <w:szCs w:val="24"/>
          <w:lang w:val="es-CL"/>
        </w:rPr>
        <w:t xml:space="preserve">Dicha área 4 constituye el beneficio económico de la reducción de pérdidas </w:t>
      </w:r>
      <w:r w:rsidR="009413E4" w:rsidRPr="00512B15">
        <w:rPr>
          <w:rFonts w:cs="Times New Roman"/>
          <w:szCs w:val="24"/>
          <w:lang w:val="es-CL"/>
        </w:rPr>
        <w:t>comerciales.</w:t>
      </w:r>
    </w:p>
    <w:p w:rsidR="00512B15" w:rsidRPr="00512B15" w:rsidRDefault="00512B15" w:rsidP="004021D4">
      <w:pPr>
        <w:pStyle w:val="ListParagraph"/>
        <w:ind w:firstLine="0"/>
        <w:rPr>
          <w:rFonts w:cs="Times New Roman"/>
          <w:szCs w:val="24"/>
          <w:lang w:val="es-CL"/>
        </w:rPr>
      </w:pPr>
    </w:p>
    <w:p w:rsidR="009413E4" w:rsidRDefault="009413E4" w:rsidP="00D65865">
      <w:pPr>
        <w:pStyle w:val="ListParagraph"/>
        <w:numPr>
          <w:ilvl w:val="0"/>
          <w:numId w:val="13"/>
        </w:numPr>
        <w:spacing w:after="240"/>
        <w:ind w:hanging="720"/>
        <w:rPr>
          <w:rFonts w:cs="Times New Roman"/>
          <w:szCs w:val="24"/>
          <w:lang w:val="es-CL"/>
        </w:rPr>
      </w:pPr>
      <w:r w:rsidRPr="00512B15">
        <w:rPr>
          <w:rFonts w:cs="Times New Roman"/>
          <w:szCs w:val="24"/>
          <w:lang w:val="es-CL"/>
        </w:rPr>
        <w:t>En resumen, el beneficio de la reducción de pérdidas comerciales se traduce en un beneficio financiero y constituye un ahorro</w:t>
      </w:r>
      <w:r w:rsidRPr="009413E4">
        <w:rPr>
          <w:rFonts w:cs="Times New Roman"/>
          <w:szCs w:val="24"/>
          <w:lang w:val="es-CL"/>
        </w:rPr>
        <w:t xml:space="preserve"> de la sociedad, pues se deja de </w:t>
      </w:r>
      <w:r w:rsidR="009B2551">
        <w:rPr>
          <w:rFonts w:cs="Times New Roman"/>
          <w:szCs w:val="24"/>
          <w:lang w:val="es-CL"/>
        </w:rPr>
        <w:t>generar</w:t>
      </w:r>
      <w:r w:rsidRPr="009413E4">
        <w:rPr>
          <w:rFonts w:cs="Times New Roman"/>
          <w:szCs w:val="24"/>
          <w:lang w:val="es-CL"/>
        </w:rPr>
        <w:t xml:space="preserve"> la cantidad Q</w:t>
      </w:r>
      <w:r w:rsidRPr="004021D4">
        <w:rPr>
          <w:rFonts w:cs="Times New Roman"/>
          <w:szCs w:val="24"/>
          <w:lang w:val="es-CL"/>
        </w:rPr>
        <w:t>0</w:t>
      </w:r>
      <w:r w:rsidRPr="009413E4">
        <w:rPr>
          <w:rFonts w:cs="Times New Roman"/>
          <w:szCs w:val="24"/>
          <w:lang w:val="es-CL"/>
        </w:rPr>
        <w:t xml:space="preserve"> - Q</w:t>
      </w:r>
      <w:r w:rsidRPr="004021D4">
        <w:rPr>
          <w:rFonts w:cs="Times New Roman"/>
          <w:szCs w:val="24"/>
          <w:lang w:val="es-CL"/>
        </w:rPr>
        <w:t>1</w:t>
      </w:r>
      <w:r w:rsidRPr="009413E4">
        <w:rPr>
          <w:rFonts w:cs="Times New Roman"/>
          <w:szCs w:val="24"/>
          <w:lang w:val="es-CL"/>
        </w:rPr>
        <w:t xml:space="preserve"> que sólo tiene una utilidad dada por el área 3</w:t>
      </w:r>
      <w:r w:rsidR="001038B2">
        <w:rPr>
          <w:rFonts w:cs="Times New Roman"/>
          <w:szCs w:val="24"/>
          <w:lang w:val="es-CL"/>
        </w:rPr>
        <w:t>.</w:t>
      </w:r>
      <w:r>
        <w:rPr>
          <w:rFonts w:cs="Times New Roman"/>
          <w:szCs w:val="24"/>
          <w:lang w:val="es-CL"/>
        </w:rPr>
        <w:t xml:space="preserve"> </w:t>
      </w:r>
    </w:p>
    <w:p w:rsidR="00D65865" w:rsidRPr="00D65865" w:rsidRDefault="00D65865" w:rsidP="00D65865">
      <w:pPr>
        <w:pStyle w:val="ListParagraph"/>
        <w:rPr>
          <w:rFonts w:cs="Times New Roman"/>
          <w:szCs w:val="24"/>
          <w:lang w:val="es-CL"/>
        </w:rPr>
      </w:pPr>
    </w:p>
    <w:p w:rsidR="009413E4" w:rsidRDefault="009413E4" w:rsidP="004021D4">
      <w:pPr>
        <w:pStyle w:val="ListParagraph"/>
        <w:numPr>
          <w:ilvl w:val="0"/>
          <w:numId w:val="13"/>
        </w:numPr>
        <w:ind w:hanging="720"/>
        <w:rPr>
          <w:lang w:val="es-ES"/>
        </w:rPr>
      </w:pPr>
      <w:r w:rsidRPr="009413E4">
        <w:rPr>
          <w:rFonts w:cs="Times New Roman"/>
          <w:szCs w:val="24"/>
          <w:lang w:val="es-CL"/>
        </w:rPr>
        <w:t xml:space="preserve">Los beneficios financieros o privados del proyecto para las </w:t>
      </w:r>
      <w:proofErr w:type="spellStart"/>
      <w:r>
        <w:rPr>
          <w:rFonts w:cs="Times New Roman"/>
          <w:szCs w:val="24"/>
          <w:lang w:val="es-CL"/>
        </w:rPr>
        <w:t>EDEs</w:t>
      </w:r>
      <w:proofErr w:type="spellEnd"/>
      <w:r w:rsidRPr="009413E4">
        <w:rPr>
          <w:rFonts w:cs="Times New Roman"/>
          <w:szCs w:val="24"/>
          <w:lang w:val="es-CL"/>
        </w:rPr>
        <w:t xml:space="preserve"> están representadas por las áreas 2 + 3 + 4 en la Figura 1. Esto se explica como sigue: sin el proyecto el ingreso al productor es cero y sus costos, equivalentes a la energía entregada en pérdidas comerciales, son iguales a las áreas 2+3+4</w:t>
      </w:r>
      <w:r w:rsidR="004C3F83">
        <w:rPr>
          <w:rFonts w:cs="Times New Roman"/>
          <w:szCs w:val="24"/>
          <w:lang w:val="es-CL"/>
        </w:rPr>
        <w:t>. C</w:t>
      </w:r>
      <w:r w:rsidRPr="009413E4">
        <w:rPr>
          <w:rFonts w:cs="Times New Roman"/>
          <w:szCs w:val="24"/>
          <w:lang w:val="es-CL"/>
        </w:rPr>
        <w:t xml:space="preserve">on el proyecto, el ingreso equivale al área 2 y el </w:t>
      </w:r>
      <w:r w:rsidRPr="004021D4">
        <w:rPr>
          <w:lang w:val="es-ES"/>
        </w:rPr>
        <w:t xml:space="preserve">costo de producción equivale también al área 2, con un resultado neto de cero.  Por lo tanto el beneficio financiero </w:t>
      </w:r>
      <w:r w:rsidR="004C3F83" w:rsidRPr="004021D4">
        <w:rPr>
          <w:lang w:val="es-ES"/>
        </w:rPr>
        <w:t>neto equivale a las áreas 2 (recuperación de costos) +3+4 (costos de energía no producida)</w:t>
      </w:r>
      <w:r w:rsidRPr="004021D4">
        <w:rPr>
          <w:lang w:val="es-ES"/>
        </w:rPr>
        <w:t xml:space="preserve"> </w:t>
      </w:r>
    </w:p>
    <w:p w:rsidR="000D4398" w:rsidRPr="000D4398" w:rsidRDefault="000D4398" w:rsidP="000D4398">
      <w:pPr>
        <w:pStyle w:val="ListParagraph"/>
        <w:rPr>
          <w:lang w:val="es-ES"/>
        </w:rPr>
      </w:pPr>
    </w:p>
    <w:p w:rsidR="000D4398" w:rsidRDefault="000D4398" w:rsidP="000D4398">
      <w:pPr>
        <w:pStyle w:val="ListParagraph"/>
        <w:ind w:firstLine="0"/>
        <w:rPr>
          <w:lang w:val="es-ES"/>
        </w:rPr>
      </w:pPr>
    </w:p>
    <w:p w:rsidR="00636E9A" w:rsidRPr="00E0531E" w:rsidRDefault="00636E9A" w:rsidP="00CE5A48">
      <w:pPr>
        <w:pStyle w:val="ListParagraph"/>
        <w:ind w:firstLine="0"/>
        <w:rPr>
          <w:rFonts w:cs="Times New Roman"/>
          <w:szCs w:val="24"/>
          <w:lang w:val="es-CL"/>
        </w:rPr>
      </w:pPr>
    </w:p>
    <w:p w:rsidR="00A36A52" w:rsidRDefault="00A36A52" w:rsidP="004021D4">
      <w:pPr>
        <w:pStyle w:val="ListParagraph"/>
        <w:numPr>
          <w:ilvl w:val="0"/>
          <w:numId w:val="13"/>
        </w:numPr>
        <w:ind w:hanging="720"/>
        <w:rPr>
          <w:lang w:val="es-ES"/>
        </w:rPr>
      </w:pPr>
      <w:r>
        <w:rPr>
          <w:lang w:val="es-ES"/>
        </w:rPr>
        <w:lastRenderedPageBreak/>
        <w:t xml:space="preserve">Los costos asociados a la reducción de pérdidas comerciales incluyen las inversiones </w:t>
      </w:r>
      <w:r w:rsidR="00904E5A">
        <w:rPr>
          <w:lang w:val="es-ES"/>
        </w:rPr>
        <w:t xml:space="preserve">indicadas en el </w:t>
      </w:r>
      <w:r w:rsidR="00904E5A" w:rsidRPr="0038301D">
        <w:rPr>
          <w:lang w:val="es-ES"/>
        </w:rPr>
        <w:t xml:space="preserve">“Plan Integral </w:t>
      </w:r>
      <w:r w:rsidR="0075702C">
        <w:rPr>
          <w:lang w:val="es-ES"/>
        </w:rPr>
        <w:t>del Sector Eléctrico</w:t>
      </w:r>
      <w:r w:rsidR="00904E5A" w:rsidRPr="0038301D">
        <w:rPr>
          <w:lang w:val="es-ES"/>
        </w:rPr>
        <w:t xml:space="preserve"> 2013-2016”</w:t>
      </w:r>
      <w:r w:rsidR="00812327">
        <w:rPr>
          <w:lang w:val="es-ES"/>
        </w:rPr>
        <w:t xml:space="preserve">, US$600 millones, </w:t>
      </w:r>
      <w:r w:rsidR="00904E5A">
        <w:rPr>
          <w:lang w:val="es-ES"/>
        </w:rPr>
        <w:t>corregidas por el valor real ejecutado en el 2013 y lo incluido en el Presupuesto del 2014,</w:t>
      </w:r>
      <w:r>
        <w:rPr>
          <w:lang w:val="es-ES"/>
        </w:rPr>
        <w:t xml:space="preserve"> en equipos de medición remota, software de control y costos de personal para ide</w:t>
      </w:r>
      <w:r w:rsidR="006E1676">
        <w:rPr>
          <w:lang w:val="es-ES"/>
        </w:rPr>
        <w:t>ntificar y corregir fraudes</w:t>
      </w:r>
      <w:r w:rsidR="004021D4">
        <w:rPr>
          <w:lang w:val="es-ES"/>
        </w:rPr>
        <w:t>.</w:t>
      </w:r>
    </w:p>
    <w:p w:rsidR="004021D4" w:rsidRDefault="004021D4" w:rsidP="004021D4">
      <w:pPr>
        <w:pStyle w:val="ListParagraph"/>
        <w:ind w:firstLine="0"/>
        <w:rPr>
          <w:lang w:val="es-ES"/>
        </w:rPr>
      </w:pPr>
    </w:p>
    <w:p w:rsidR="00636E9A" w:rsidRPr="007648EC" w:rsidRDefault="007648EC" w:rsidP="004021D4">
      <w:pPr>
        <w:pStyle w:val="ListParagraph"/>
        <w:numPr>
          <w:ilvl w:val="0"/>
          <w:numId w:val="13"/>
        </w:numPr>
        <w:ind w:hanging="720"/>
        <w:rPr>
          <w:rFonts w:cs="Times New Roman"/>
          <w:szCs w:val="24"/>
          <w:lang w:val="es-CL"/>
        </w:rPr>
      </w:pPr>
      <w:r w:rsidRPr="007648EC">
        <w:rPr>
          <w:lang w:val="es-ES"/>
        </w:rPr>
        <w:t>El siguiente</w:t>
      </w:r>
      <w:r w:rsidRPr="007648EC">
        <w:rPr>
          <w:rFonts w:cs="Times New Roman"/>
          <w:szCs w:val="24"/>
          <w:lang w:val="es-CL"/>
        </w:rPr>
        <w:t xml:space="preserve"> cuadro presenta el resumen de los resultados del modelo de evaluación para cada </w:t>
      </w:r>
      <w:proofErr w:type="spellStart"/>
      <w:r w:rsidRPr="007648EC">
        <w:rPr>
          <w:rFonts w:cs="Times New Roman"/>
          <w:szCs w:val="24"/>
          <w:lang w:val="es-CL"/>
        </w:rPr>
        <w:t>EDEs</w:t>
      </w:r>
      <w:proofErr w:type="spellEnd"/>
      <w:r w:rsidRPr="007648EC">
        <w:rPr>
          <w:rFonts w:cs="Times New Roman"/>
          <w:szCs w:val="24"/>
          <w:lang w:val="es-CL"/>
        </w:rPr>
        <w:t xml:space="preserve"> y agregado</w:t>
      </w:r>
      <w:r>
        <w:rPr>
          <w:rFonts w:cs="Times New Roman"/>
          <w:szCs w:val="24"/>
          <w:lang w:val="es-CL"/>
        </w:rPr>
        <w:t xml:space="preserve"> </w:t>
      </w:r>
      <w:r w:rsidR="008334A4" w:rsidRPr="007648EC">
        <w:rPr>
          <w:lang w:val="es-ES"/>
        </w:rPr>
        <w:t xml:space="preserve">descontado </w:t>
      </w:r>
      <w:r w:rsidR="00636E9A" w:rsidRPr="007648EC">
        <w:rPr>
          <w:lang w:val="es-ES"/>
        </w:rPr>
        <w:t>a una tasa social de descuento del 12%:</w:t>
      </w:r>
    </w:p>
    <w:tbl>
      <w:tblPr>
        <w:tblpPr w:leftFromText="180" w:rightFromText="180" w:vertAnchor="text" w:horzAnchor="margin" w:tblpXSpec="center" w:tblpY="314"/>
        <w:tblW w:w="6408" w:type="dxa"/>
        <w:tblLook w:val="04A0" w:firstRow="1" w:lastRow="0" w:firstColumn="1" w:lastColumn="0" w:noHBand="0" w:noVBand="1"/>
      </w:tblPr>
      <w:tblGrid>
        <w:gridCol w:w="2140"/>
        <w:gridCol w:w="1180"/>
        <w:gridCol w:w="920"/>
        <w:gridCol w:w="880"/>
        <w:gridCol w:w="1288"/>
      </w:tblGrid>
      <w:tr w:rsidR="007648EC" w:rsidRPr="007648EC" w:rsidTr="007648EC">
        <w:trPr>
          <w:trHeight w:val="261"/>
        </w:trPr>
        <w:tc>
          <w:tcPr>
            <w:tcW w:w="21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E5A48" w:rsidRPr="002C29AB" w:rsidRDefault="00CE5A48" w:rsidP="00CE5A48">
            <w:pPr>
              <w:spacing w:before="0"/>
              <w:ind w:left="0" w:firstLine="0"/>
              <w:jc w:val="center"/>
              <w:rPr>
                <w:rFonts w:ascii="Calibri" w:eastAsia="Times New Roman" w:hAnsi="Calibri" w:cs="Times New Roman"/>
                <w:b/>
                <w:bCs/>
                <w:sz w:val="20"/>
                <w:szCs w:val="20"/>
                <w:lang w:val="es-ES_tradnl"/>
              </w:rPr>
            </w:pPr>
          </w:p>
        </w:tc>
        <w:tc>
          <w:tcPr>
            <w:tcW w:w="11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E5A48" w:rsidRPr="00CE5A48" w:rsidRDefault="00CE5A48" w:rsidP="00CE5A48">
            <w:pPr>
              <w:spacing w:before="0"/>
              <w:ind w:left="0" w:firstLine="0"/>
              <w:jc w:val="center"/>
              <w:rPr>
                <w:rFonts w:ascii="Calibri" w:eastAsia="Times New Roman" w:hAnsi="Calibri" w:cs="Times New Roman"/>
                <w:b/>
                <w:bCs/>
                <w:sz w:val="20"/>
                <w:szCs w:val="20"/>
              </w:rPr>
            </w:pPr>
            <w:r w:rsidRPr="00CE5A48">
              <w:rPr>
                <w:rFonts w:ascii="Calibri" w:eastAsia="Times New Roman" w:hAnsi="Calibri" w:cs="Times New Roman"/>
                <w:b/>
                <w:bCs/>
                <w:sz w:val="20"/>
                <w:szCs w:val="20"/>
              </w:rPr>
              <w:t>EDENORTE</w:t>
            </w:r>
          </w:p>
        </w:tc>
        <w:tc>
          <w:tcPr>
            <w:tcW w:w="9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E5A48" w:rsidRPr="00CE5A48" w:rsidRDefault="00CE5A48" w:rsidP="00CE5A48">
            <w:pPr>
              <w:spacing w:before="0"/>
              <w:ind w:left="0" w:firstLine="0"/>
              <w:jc w:val="center"/>
              <w:rPr>
                <w:rFonts w:ascii="Calibri" w:eastAsia="Times New Roman" w:hAnsi="Calibri" w:cs="Times New Roman"/>
                <w:b/>
                <w:bCs/>
                <w:sz w:val="20"/>
                <w:szCs w:val="20"/>
              </w:rPr>
            </w:pPr>
            <w:r w:rsidRPr="00CE5A48">
              <w:rPr>
                <w:rFonts w:ascii="Calibri" w:eastAsia="Times New Roman" w:hAnsi="Calibri" w:cs="Times New Roman"/>
                <w:b/>
                <w:bCs/>
                <w:sz w:val="20"/>
                <w:szCs w:val="20"/>
              </w:rPr>
              <w:t>EDESUR</w:t>
            </w:r>
          </w:p>
        </w:tc>
        <w:tc>
          <w:tcPr>
            <w:tcW w:w="8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E5A48" w:rsidRPr="00CE5A48" w:rsidRDefault="00CE5A48" w:rsidP="00CE5A48">
            <w:pPr>
              <w:spacing w:before="0"/>
              <w:ind w:left="0" w:firstLine="0"/>
              <w:jc w:val="center"/>
              <w:rPr>
                <w:rFonts w:ascii="Calibri" w:eastAsia="Times New Roman" w:hAnsi="Calibri" w:cs="Times New Roman"/>
                <w:b/>
                <w:bCs/>
                <w:sz w:val="20"/>
                <w:szCs w:val="20"/>
              </w:rPr>
            </w:pPr>
            <w:r w:rsidRPr="00CE5A48">
              <w:rPr>
                <w:rFonts w:ascii="Calibri" w:eastAsia="Times New Roman" w:hAnsi="Calibri" w:cs="Times New Roman"/>
                <w:b/>
                <w:bCs/>
                <w:sz w:val="20"/>
                <w:szCs w:val="20"/>
              </w:rPr>
              <w:t>EDESTE</w:t>
            </w:r>
          </w:p>
        </w:tc>
        <w:tc>
          <w:tcPr>
            <w:tcW w:w="12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E5A48" w:rsidRPr="00CE5A48" w:rsidRDefault="00CE5A48" w:rsidP="00CE5A48">
            <w:pPr>
              <w:spacing w:before="0"/>
              <w:ind w:left="0" w:firstLine="0"/>
              <w:jc w:val="center"/>
              <w:rPr>
                <w:rFonts w:ascii="Calibri" w:eastAsia="Times New Roman" w:hAnsi="Calibri" w:cs="Times New Roman"/>
                <w:b/>
                <w:bCs/>
                <w:sz w:val="20"/>
                <w:szCs w:val="20"/>
              </w:rPr>
            </w:pPr>
            <w:r w:rsidRPr="00CE5A48">
              <w:rPr>
                <w:rFonts w:ascii="Calibri" w:eastAsia="Times New Roman" w:hAnsi="Calibri" w:cs="Times New Roman"/>
                <w:b/>
                <w:bCs/>
                <w:sz w:val="20"/>
                <w:szCs w:val="20"/>
              </w:rPr>
              <w:t>TOTAL EDES</w:t>
            </w:r>
          </w:p>
        </w:tc>
      </w:tr>
      <w:tr w:rsidR="007648EC" w:rsidRPr="007648EC" w:rsidTr="007648EC">
        <w:trPr>
          <w:trHeight w:val="180"/>
        </w:trPr>
        <w:tc>
          <w:tcPr>
            <w:tcW w:w="2140" w:type="dxa"/>
            <w:tcBorders>
              <w:top w:val="single" w:sz="4" w:space="0" w:color="auto"/>
              <w:left w:val="nil"/>
              <w:bottom w:val="nil"/>
              <w:right w:val="nil"/>
            </w:tcBorders>
            <w:shd w:val="clear" w:color="auto" w:fill="auto"/>
            <w:vAlign w:val="center"/>
          </w:tcPr>
          <w:p w:rsidR="007648EC" w:rsidRPr="00CE5A48" w:rsidRDefault="007648EC" w:rsidP="00CE5A48">
            <w:pPr>
              <w:spacing w:before="0"/>
              <w:ind w:left="0" w:firstLine="0"/>
              <w:jc w:val="center"/>
              <w:rPr>
                <w:rFonts w:ascii="Calibri" w:eastAsia="Times New Roman" w:hAnsi="Calibri" w:cs="Times New Roman"/>
                <w:b/>
                <w:bCs/>
                <w:sz w:val="20"/>
                <w:szCs w:val="20"/>
              </w:rPr>
            </w:pPr>
          </w:p>
        </w:tc>
        <w:tc>
          <w:tcPr>
            <w:tcW w:w="1180" w:type="dxa"/>
            <w:tcBorders>
              <w:top w:val="single" w:sz="4" w:space="0" w:color="auto"/>
              <w:left w:val="nil"/>
              <w:bottom w:val="nil"/>
              <w:right w:val="nil"/>
            </w:tcBorders>
            <w:shd w:val="clear" w:color="auto" w:fill="auto"/>
            <w:vAlign w:val="center"/>
          </w:tcPr>
          <w:p w:rsidR="007648EC" w:rsidRPr="00CE5A48" w:rsidRDefault="007648EC" w:rsidP="00CE5A48">
            <w:pPr>
              <w:spacing w:before="0"/>
              <w:ind w:left="0" w:firstLine="0"/>
              <w:jc w:val="center"/>
              <w:rPr>
                <w:rFonts w:ascii="Calibri" w:eastAsia="Times New Roman" w:hAnsi="Calibri" w:cs="Times New Roman"/>
                <w:b/>
                <w:bCs/>
                <w:sz w:val="20"/>
                <w:szCs w:val="20"/>
              </w:rPr>
            </w:pPr>
          </w:p>
        </w:tc>
        <w:tc>
          <w:tcPr>
            <w:tcW w:w="920" w:type="dxa"/>
            <w:tcBorders>
              <w:top w:val="single" w:sz="4" w:space="0" w:color="auto"/>
              <w:left w:val="nil"/>
              <w:bottom w:val="nil"/>
              <w:right w:val="nil"/>
            </w:tcBorders>
            <w:shd w:val="clear" w:color="auto" w:fill="auto"/>
            <w:vAlign w:val="center"/>
          </w:tcPr>
          <w:p w:rsidR="007648EC" w:rsidRPr="00CE5A48" w:rsidRDefault="007648EC" w:rsidP="00CE5A48">
            <w:pPr>
              <w:spacing w:before="0"/>
              <w:ind w:left="0" w:firstLine="0"/>
              <w:jc w:val="center"/>
              <w:rPr>
                <w:rFonts w:ascii="Calibri" w:eastAsia="Times New Roman" w:hAnsi="Calibri" w:cs="Times New Roman"/>
                <w:b/>
                <w:bCs/>
                <w:sz w:val="20"/>
                <w:szCs w:val="20"/>
              </w:rPr>
            </w:pPr>
          </w:p>
        </w:tc>
        <w:tc>
          <w:tcPr>
            <w:tcW w:w="880" w:type="dxa"/>
            <w:tcBorders>
              <w:top w:val="single" w:sz="4" w:space="0" w:color="auto"/>
              <w:left w:val="nil"/>
              <w:bottom w:val="nil"/>
              <w:right w:val="nil"/>
            </w:tcBorders>
            <w:shd w:val="clear" w:color="auto" w:fill="auto"/>
            <w:vAlign w:val="center"/>
          </w:tcPr>
          <w:p w:rsidR="007648EC" w:rsidRPr="00CE5A48" w:rsidRDefault="007648EC" w:rsidP="00CE5A48">
            <w:pPr>
              <w:spacing w:before="0"/>
              <w:ind w:left="0" w:firstLine="0"/>
              <w:jc w:val="center"/>
              <w:rPr>
                <w:rFonts w:ascii="Calibri" w:eastAsia="Times New Roman" w:hAnsi="Calibri" w:cs="Times New Roman"/>
                <w:b/>
                <w:bCs/>
                <w:sz w:val="20"/>
                <w:szCs w:val="20"/>
              </w:rPr>
            </w:pPr>
          </w:p>
        </w:tc>
        <w:tc>
          <w:tcPr>
            <w:tcW w:w="1288" w:type="dxa"/>
            <w:tcBorders>
              <w:top w:val="single" w:sz="4" w:space="0" w:color="auto"/>
              <w:left w:val="nil"/>
              <w:bottom w:val="nil"/>
              <w:right w:val="nil"/>
            </w:tcBorders>
            <w:shd w:val="clear" w:color="auto" w:fill="auto"/>
            <w:vAlign w:val="center"/>
          </w:tcPr>
          <w:p w:rsidR="007648EC" w:rsidRPr="00CE5A48" w:rsidRDefault="007648EC" w:rsidP="00CE5A48">
            <w:pPr>
              <w:spacing w:before="0"/>
              <w:ind w:left="0" w:firstLine="0"/>
              <w:jc w:val="center"/>
              <w:rPr>
                <w:rFonts w:ascii="Calibri" w:eastAsia="Times New Roman" w:hAnsi="Calibri" w:cs="Times New Roman"/>
                <w:b/>
                <w:bCs/>
                <w:sz w:val="20"/>
                <w:szCs w:val="20"/>
              </w:rPr>
            </w:pPr>
          </w:p>
        </w:tc>
      </w:tr>
      <w:tr w:rsidR="00CE5A48" w:rsidRPr="00CE5A48" w:rsidTr="007648EC">
        <w:trPr>
          <w:trHeight w:val="255"/>
        </w:trPr>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A48" w:rsidRPr="00CE5A48" w:rsidRDefault="00CE5A48" w:rsidP="00CE5A48">
            <w:pPr>
              <w:spacing w:before="0"/>
              <w:ind w:left="0" w:firstLine="0"/>
              <w:jc w:val="center"/>
              <w:rPr>
                <w:rFonts w:ascii="Calibri" w:eastAsia="Times New Roman" w:hAnsi="Calibri" w:cs="Times New Roman"/>
                <w:color w:val="000000"/>
                <w:sz w:val="20"/>
                <w:szCs w:val="20"/>
              </w:rPr>
            </w:pPr>
            <w:r w:rsidRPr="00CE5A48">
              <w:rPr>
                <w:rFonts w:ascii="Calibri" w:eastAsia="Times New Roman" w:hAnsi="Calibri" w:cs="Times New Roman"/>
                <w:color w:val="000000"/>
                <w:sz w:val="20"/>
                <w:szCs w:val="20"/>
              </w:rPr>
              <w:t xml:space="preserve">VPN </w:t>
            </w:r>
            <w:proofErr w:type="spellStart"/>
            <w:r w:rsidRPr="00CE5A48">
              <w:rPr>
                <w:rFonts w:ascii="Calibri" w:eastAsia="Times New Roman" w:hAnsi="Calibri" w:cs="Times New Roman"/>
                <w:color w:val="000000"/>
                <w:sz w:val="20"/>
                <w:szCs w:val="20"/>
              </w:rPr>
              <w:t>Costos</w:t>
            </w:r>
            <w:proofErr w:type="spellEnd"/>
            <w:r w:rsidRPr="00CE5A48">
              <w:rPr>
                <w:rFonts w:ascii="Calibri" w:eastAsia="Times New Roman" w:hAnsi="Calibri" w:cs="Times New Roman"/>
                <w:color w:val="000000"/>
                <w:sz w:val="20"/>
                <w:szCs w:val="20"/>
              </w:rPr>
              <w:t xml:space="preserve"> MUS$</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CE5A48" w:rsidRPr="00CE5A48" w:rsidRDefault="00CE5A48" w:rsidP="00CE5A48">
            <w:pPr>
              <w:spacing w:before="0"/>
              <w:ind w:left="0" w:firstLine="0"/>
              <w:jc w:val="center"/>
              <w:rPr>
                <w:rFonts w:ascii="Calibri" w:eastAsia="Times New Roman" w:hAnsi="Calibri" w:cs="Times New Roman"/>
                <w:color w:val="000000"/>
                <w:sz w:val="20"/>
                <w:szCs w:val="20"/>
              </w:rPr>
            </w:pPr>
            <w:r w:rsidRPr="00CE5A48">
              <w:rPr>
                <w:rFonts w:ascii="Calibri" w:eastAsia="Times New Roman" w:hAnsi="Calibri" w:cs="Times New Roman"/>
                <w:color w:val="000000"/>
                <w:sz w:val="20"/>
                <w:szCs w:val="20"/>
              </w:rPr>
              <w:t>136,68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CE5A48" w:rsidRPr="00CE5A48" w:rsidRDefault="00CE5A48" w:rsidP="00CE5A48">
            <w:pPr>
              <w:spacing w:before="0"/>
              <w:ind w:left="0" w:firstLine="0"/>
              <w:jc w:val="center"/>
              <w:rPr>
                <w:rFonts w:ascii="Calibri" w:eastAsia="Times New Roman" w:hAnsi="Calibri" w:cs="Times New Roman"/>
                <w:color w:val="000000"/>
                <w:sz w:val="20"/>
                <w:szCs w:val="20"/>
              </w:rPr>
            </w:pPr>
            <w:r w:rsidRPr="00CE5A48">
              <w:rPr>
                <w:rFonts w:ascii="Calibri" w:eastAsia="Times New Roman" w:hAnsi="Calibri" w:cs="Times New Roman"/>
                <w:color w:val="000000"/>
                <w:sz w:val="20"/>
                <w:szCs w:val="20"/>
              </w:rPr>
              <w:t>171,95</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CE5A48" w:rsidRPr="00CE5A48" w:rsidRDefault="00CE5A48" w:rsidP="00CE5A48">
            <w:pPr>
              <w:spacing w:before="0"/>
              <w:ind w:left="0" w:firstLine="0"/>
              <w:jc w:val="center"/>
              <w:rPr>
                <w:rFonts w:ascii="Calibri" w:eastAsia="Times New Roman" w:hAnsi="Calibri" w:cs="Times New Roman"/>
                <w:color w:val="000000"/>
                <w:sz w:val="20"/>
                <w:szCs w:val="20"/>
              </w:rPr>
            </w:pPr>
            <w:r w:rsidRPr="00CE5A48">
              <w:rPr>
                <w:rFonts w:ascii="Calibri" w:eastAsia="Times New Roman" w:hAnsi="Calibri" w:cs="Times New Roman"/>
                <w:color w:val="000000"/>
                <w:sz w:val="20"/>
                <w:szCs w:val="20"/>
              </w:rPr>
              <w:t>132,27</w:t>
            </w:r>
          </w:p>
        </w:tc>
        <w:tc>
          <w:tcPr>
            <w:tcW w:w="1288" w:type="dxa"/>
            <w:tcBorders>
              <w:top w:val="single" w:sz="4" w:space="0" w:color="auto"/>
              <w:left w:val="nil"/>
              <w:bottom w:val="single" w:sz="4" w:space="0" w:color="auto"/>
              <w:right w:val="single" w:sz="4" w:space="0" w:color="auto"/>
            </w:tcBorders>
            <w:shd w:val="clear" w:color="000000" w:fill="D9D9D9"/>
            <w:vAlign w:val="center"/>
            <w:hideMark/>
          </w:tcPr>
          <w:p w:rsidR="00CE5A48" w:rsidRPr="00CE5A48" w:rsidRDefault="00CE5A48" w:rsidP="00CE5A48">
            <w:pPr>
              <w:spacing w:before="0"/>
              <w:ind w:left="0" w:firstLine="0"/>
              <w:jc w:val="center"/>
              <w:rPr>
                <w:rFonts w:ascii="Calibri" w:eastAsia="Times New Roman" w:hAnsi="Calibri" w:cs="Times New Roman"/>
                <w:sz w:val="20"/>
                <w:szCs w:val="20"/>
              </w:rPr>
            </w:pPr>
            <w:r w:rsidRPr="00CE5A48">
              <w:rPr>
                <w:rFonts w:ascii="Calibri" w:eastAsia="Times New Roman" w:hAnsi="Calibri" w:cs="Times New Roman"/>
                <w:sz w:val="20"/>
                <w:szCs w:val="20"/>
              </w:rPr>
              <w:t>440,90</w:t>
            </w:r>
          </w:p>
        </w:tc>
      </w:tr>
      <w:tr w:rsidR="00CE5A48" w:rsidRPr="00CE5A48" w:rsidTr="007648EC">
        <w:trPr>
          <w:trHeight w:val="165"/>
        </w:trPr>
        <w:tc>
          <w:tcPr>
            <w:tcW w:w="2140" w:type="dxa"/>
            <w:tcBorders>
              <w:top w:val="nil"/>
              <w:left w:val="nil"/>
              <w:bottom w:val="nil"/>
              <w:right w:val="nil"/>
            </w:tcBorders>
            <w:shd w:val="clear" w:color="auto" w:fill="auto"/>
            <w:vAlign w:val="center"/>
            <w:hideMark/>
          </w:tcPr>
          <w:p w:rsidR="00CE5A48" w:rsidRPr="00CE5A48" w:rsidRDefault="00CE5A48" w:rsidP="00CE5A48">
            <w:pPr>
              <w:spacing w:before="0"/>
              <w:ind w:left="0" w:firstLine="0"/>
              <w:jc w:val="center"/>
              <w:rPr>
                <w:rFonts w:ascii="Calibri" w:eastAsia="Times New Roman" w:hAnsi="Calibri" w:cs="Times New Roman"/>
                <w:color w:val="000000"/>
                <w:sz w:val="20"/>
                <w:szCs w:val="20"/>
              </w:rPr>
            </w:pPr>
          </w:p>
        </w:tc>
        <w:tc>
          <w:tcPr>
            <w:tcW w:w="1180" w:type="dxa"/>
            <w:tcBorders>
              <w:top w:val="nil"/>
              <w:left w:val="nil"/>
              <w:bottom w:val="nil"/>
              <w:right w:val="nil"/>
            </w:tcBorders>
            <w:shd w:val="clear" w:color="auto" w:fill="auto"/>
            <w:vAlign w:val="center"/>
            <w:hideMark/>
          </w:tcPr>
          <w:p w:rsidR="00CE5A48" w:rsidRPr="00CE5A48" w:rsidRDefault="00CE5A48" w:rsidP="00CE5A48">
            <w:pPr>
              <w:spacing w:before="0"/>
              <w:ind w:left="0" w:firstLine="0"/>
              <w:jc w:val="center"/>
              <w:rPr>
                <w:rFonts w:ascii="Calibri" w:eastAsia="Times New Roman" w:hAnsi="Calibri" w:cs="Times New Roman"/>
                <w:color w:val="000000"/>
                <w:sz w:val="20"/>
                <w:szCs w:val="20"/>
              </w:rPr>
            </w:pPr>
          </w:p>
        </w:tc>
        <w:tc>
          <w:tcPr>
            <w:tcW w:w="920" w:type="dxa"/>
            <w:tcBorders>
              <w:top w:val="nil"/>
              <w:left w:val="nil"/>
              <w:bottom w:val="nil"/>
              <w:right w:val="nil"/>
            </w:tcBorders>
            <w:shd w:val="clear" w:color="auto" w:fill="auto"/>
            <w:vAlign w:val="center"/>
            <w:hideMark/>
          </w:tcPr>
          <w:p w:rsidR="00CE5A48" w:rsidRPr="00CE5A48" w:rsidRDefault="00CE5A48" w:rsidP="00CE5A48">
            <w:pPr>
              <w:spacing w:before="0"/>
              <w:ind w:left="0" w:firstLine="0"/>
              <w:jc w:val="center"/>
              <w:rPr>
                <w:rFonts w:ascii="Calibri" w:eastAsia="Times New Roman" w:hAnsi="Calibri" w:cs="Times New Roman"/>
                <w:color w:val="000000"/>
                <w:sz w:val="20"/>
                <w:szCs w:val="20"/>
              </w:rPr>
            </w:pPr>
          </w:p>
        </w:tc>
        <w:tc>
          <w:tcPr>
            <w:tcW w:w="880" w:type="dxa"/>
            <w:tcBorders>
              <w:top w:val="nil"/>
              <w:left w:val="nil"/>
              <w:bottom w:val="nil"/>
              <w:right w:val="nil"/>
            </w:tcBorders>
            <w:shd w:val="clear" w:color="auto" w:fill="auto"/>
            <w:vAlign w:val="center"/>
            <w:hideMark/>
          </w:tcPr>
          <w:p w:rsidR="00CE5A48" w:rsidRPr="00CE5A48" w:rsidRDefault="00CE5A48" w:rsidP="00CE5A48">
            <w:pPr>
              <w:spacing w:before="0"/>
              <w:ind w:left="0" w:firstLine="0"/>
              <w:jc w:val="center"/>
              <w:rPr>
                <w:rFonts w:ascii="Calibri" w:eastAsia="Times New Roman" w:hAnsi="Calibri" w:cs="Times New Roman"/>
                <w:color w:val="000000"/>
                <w:sz w:val="20"/>
                <w:szCs w:val="20"/>
              </w:rPr>
            </w:pPr>
          </w:p>
        </w:tc>
        <w:tc>
          <w:tcPr>
            <w:tcW w:w="1288" w:type="dxa"/>
            <w:tcBorders>
              <w:top w:val="nil"/>
              <w:left w:val="nil"/>
              <w:bottom w:val="nil"/>
              <w:right w:val="nil"/>
            </w:tcBorders>
            <w:shd w:val="clear" w:color="auto" w:fill="auto"/>
            <w:vAlign w:val="center"/>
            <w:hideMark/>
          </w:tcPr>
          <w:p w:rsidR="00CE5A48" w:rsidRPr="00CE5A48" w:rsidRDefault="00CE5A48" w:rsidP="00CE5A48">
            <w:pPr>
              <w:spacing w:before="0"/>
              <w:ind w:left="0" w:firstLine="0"/>
              <w:jc w:val="center"/>
              <w:rPr>
                <w:rFonts w:ascii="Calibri" w:eastAsia="Times New Roman" w:hAnsi="Calibri" w:cs="Times New Roman"/>
                <w:color w:val="000000"/>
                <w:sz w:val="20"/>
                <w:szCs w:val="20"/>
              </w:rPr>
            </w:pPr>
          </w:p>
        </w:tc>
      </w:tr>
      <w:tr w:rsidR="00CE5A48" w:rsidRPr="00CE5A48" w:rsidTr="007648EC">
        <w:trPr>
          <w:trHeight w:val="510"/>
        </w:trPr>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A48" w:rsidRPr="00CE5A48" w:rsidRDefault="00CE5A48" w:rsidP="00CE5A48">
            <w:pPr>
              <w:spacing w:before="0"/>
              <w:ind w:left="0" w:firstLine="0"/>
              <w:jc w:val="center"/>
              <w:rPr>
                <w:rFonts w:ascii="Calibri" w:eastAsia="Times New Roman" w:hAnsi="Calibri" w:cs="Times New Roman"/>
                <w:color w:val="000000"/>
                <w:sz w:val="20"/>
                <w:szCs w:val="20"/>
              </w:rPr>
            </w:pPr>
            <w:r w:rsidRPr="00CE5A48">
              <w:rPr>
                <w:rFonts w:ascii="Calibri" w:eastAsia="Times New Roman" w:hAnsi="Calibri" w:cs="Times New Roman"/>
                <w:color w:val="000000"/>
                <w:sz w:val="20"/>
                <w:szCs w:val="20"/>
              </w:rPr>
              <w:t xml:space="preserve">VPN </w:t>
            </w:r>
            <w:proofErr w:type="spellStart"/>
            <w:r w:rsidRPr="00CE5A48">
              <w:rPr>
                <w:rFonts w:ascii="Calibri" w:eastAsia="Times New Roman" w:hAnsi="Calibri" w:cs="Times New Roman"/>
                <w:color w:val="000000"/>
                <w:sz w:val="20"/>
                <w:szCs w:val="20"/>
              </w:rPr>
              <w:t>Beneficios</w:t>
            </w:r>
            <w:proofErr w:type="spellEnd"/>
            <w:r w:rsidRPr="00CE5A48">
              <w:rPr>
                <w:rFonts w:ascii="Calibri" w:eastAsia="Times New Roman" w:hAnsi="Calibri" w:cs="Times New Roman"/>
                <w:color w:val="000000"/>
                <w:sz w:val="20"/>
                <w:szCs w:val="20"/>
              </w:rPr>
              <w:t xml:space="preserve"> </w:t>
            </w:r>
            <w:proofErr w:type="spellStart"/>
            <w:r w:rsidRPr="00CE5A48">
              <w:rPr>
                <w:rFonts w:ascii="Calibri" w:eastAsia="Times New Roman" w:hAnsi="Calibri" w:cs="Times New Roman"/>
                <w:color w:val="000000"/>
                <w:sz w:val="20"/>
                <w:szCs w:val="20"/>
              </w:rPr>
              <w:t>Económicos</w:t>
            </w:r>
            <w:proofErr w:type="spellEnd"/>
            <w:r w:rsidRPr="00CE5A48">
              <w:rPr>
                <w:rFonts w:ascii="Calibri" w:eastAsia="Times New Roman" w:hAnsi="Calibri" w:cs="Times New Roman"/>
                <w:color w:val="000000"/>
                <w:sz w:val="20"/>
                <w:szCs w:val="20"/>
              </w:rPr>
              <w:t xml:space="preserve"> MUS$</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CE5A48" w:rsidRPr="00CE5A48" w:rsidRDefault="00CE5A48" w:rsidP="00CE5A48">
            <w:pPr>
              <w:spacing w:before="0"/>
              <w:ind w:left="0" w:firstLine="0"/>
              <w:jc w:val="center"/>
              <w:rPr>
                <w:rFonts w:ascii="Calibri" w:eastAsia="Times New Roman" w:hAnsi="Calibri" w:cs="Times New Roman"/>
                <w:color w:val="000000"/>
                <w:sz w:val="20"/>
                <w:szCs w:val="20"/>
              </w:rPr>
            </w:pPr>
            <w:r w:rsidRPr="00CE5A48">
              <w:rPr>
                <w:rFonts w:ascii="Calibri" w:eastAsia="Times New Roman" w:hAnsi="Calibri" w:cs="Times New Roman"/>
                <w:color w:val="000000"/>
                <w:sz w:val="20"/>
                <w:szCs w:val="20"/>
              </w:rPr>
              <w:t>263,16</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CE5A48" w:rsidRPr="00CE5A48" w:rsidRDefault="00CE5A48" w:rsidP="00CE5A48">
            <w:pPr>
              <w:spacing w:before="0"/>
              <w:ind w:left="0" w:firstLine="0"/>
              <w:jc w:val="center"/>
              <w:rPr>
                <w:rFonts w:ascii="Calibri" w:eastAsia="Times New Roman" w:hAnsi="Calibri" w:cs="Times New Roman"/>
                <w:color w:val="000000"/>
                <w:sz w:val="20"/>
                <w:szCs w:val="20"/>
              </w:rPr>
            </w:pPr>
            <w:r w:rsidRPr="00CE5A48">
              <w:rPr>
                <w:rFonts w:ascii="Calibri" w:eastAsia="Times New Roman" w:hAnsi="Calibri" w:cs="Times New Roman"/>
                <w:color w:val="000000"/>
                <w:sz w:val="20"/>
                <w:szCs w:val="20"/>
              </w:rPr>
              <w:t>305,03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CE5A48" w:rsidRPr="00CE5A48" w:rsidRDefault="00CE5A48" w:rsidP="00CE5A48">
            <w:pPr>
              <w:spacing w:before="0"/>
              <w:ind w:left="0" w:firstLine="0"/>
              <w:jc w:val="center"/>
              <w:rPr>
                <w:rFonts w:ascii="Calibri" w:eastAsia="Times New Roman" w:hAnsi="Calibri" w:cs="Times New Roman"/>
                <w:color w:val="000000"/>
                <w:sz w:val="20"/>
                <w:szCs w:val="20"/>
              </w:rPr>
            </w:pPr>
            <w:r w:rsidRPr="00CE5A48">
              <w:rPr>
                <w:rFonts w:ascii="Calibri" w:eastAsia="Times New Roman" w:hAnsi="Calibri" w:cs="Times New Roman"/>
                <w:color w:val="000000"/>
                <w:sz w:val="20"/>
                <w:szCs w:val="20"/>
              </w:rPr>
              <w:t>276,45</w:t>
            </w:r>
          </w:p>
        </w:tc>
        <w:tc>
          <w:tcPr>
            <w:tcW w:w="1288" w:type="dxa"/>
            <w:tcBorders>
              <w:top w:val="single" w:sz="4" w:space="0" w:color="auto"/>
              <w:left w:val="nil"/>
              <w:bottom w:val="single" w:sz="4" w:space="0" w:color="auto"/>
              <w:right w:val="single" w:sz="4" w:space="0" w:color="auto"/>
            </w:tcBorders>
            <w:shd w:val="clear" w:color="000000" w:fill="D9D9D9"/>
            <w:vAlign w:val="center"/>
            <w:hideMark/>
          </w:tcPr>
          <w:p w:rsidR="00CE5A48" w:rsidRPr="00CE5A48" w:rsidRDefault="00CE5A48" w:rsidP="00CE5A48">
            <w:pPr>
              <w:spacing w:before="0"/>
              <w:ind w:left="0" w:firstLine="0"/>
              <w:jc w:val="center"/>
              <w:rPr>
                <w:rFonts w:ascii="Calibri" w:eastAsia="Times New Roman" w:hAnsi="Calibri" w:cs="Times New Roman"/>
                <w:sz w:val="20"/>
                <w:szCs w:val="20"/>
              </w:rPr>
            </w:pPr>
            <w:r w:rsidRPr="00CE5A48">
              <w:rPr>
                <w:rFonts w:ascii="Calibri" w:eastAsia="Times New Roman" w:hAnsi="Calibri" w:cs="Times New Roman"/>
                <w:sz w:val="20"/>
                <w:szCs w:val="20"/>
              </w:rPr>
              <w:t>844,65</w:t>
            </w:r>
          </w:p>
        </w:tc>
      </w:tr>
      <w:tr w:rsidR="00CE5A48" w:rsidRPr="00CE5A48" w:rsidTr="007648EC">
        <w:trPr>
          <w:trHeight w:val="51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CE5A48" w:rsidRPr="00CE5A48" w:rsidRDefault="00CE5A48" w:rsidP="00CE5A48">
            <w:pPr>
              <w:spacing w:before="0"/>
              <w:ind w:left="0" w:firstLine="0"/>
              <w:jc w:val="center"/>
              <w:rPr>
                <w:rFonts w:ascii="Calibri" w:eastAsia="Times New Roman" w:hAnsi="Calibri" w:cs="Times New Roman"/>
                <w:color w:val="000000"/>
                <w:sz w:val="20"/>
                <w:szCs w:val="20"/>
              </w:rPr>
            </w:pPr>
            <w:r w:rsidRPr="00CE5A48">
              <w:rPr>
                <w:rFonts w:ascii="Calibri" w:eastAsia="Times New Roman" w:hAnsi="Calibri" w:cs="Times New Roman"/>
                <w:color w:val="000000"/>
                <w:sz w:val="20"/>
                <w:szCs w:val="20"/>
                <w:lang w:val="es-AR"/>
              </w:rPr>
              <w:t>Tasa Interna de Retorno Económico (TIRE)</w:t>
            </w:r>
          </w:p>
        </w:tc>
        <w:tc>
          <w:tcPr>
            <w:tcW w:w="1180" w:type="dxa"/>
            <w:tcBorders>
              <w:top w:val="nil"/>
              <w:left w:val="nil"/>
              <w:bottom w:val="single" w:sz="4" w:space="0" w:color="auto"/>
              <w:right w:val="single" w:sz="4" w:space="0" w:color="auto"/>
            </w:tcBorders>
            <w:shd w:val="clear" w:color="auto" w:fill="auto"/>
            <w:vAlign w:val="center"/>
            <w:hideMark/>
          </w:tcPr>
          <w:p w:rsidR="00CE5A48" w:rsidRPr="00CE5A48" w:rsidRDefault="00CE5A48" w:rsidP="00CE5A48">
            <w:pPr>
              <w:spacing w:before="0"/>
              <w:ind w:left="0" w:firstLine="0"/>
              <w:jc w:val="center"/>
              <w:rPr>
                <w:rFonts w:ascii="Calibri" w:eastAsia="Times New Roman" w:hAnsi="Calibri" w:cs="Times New Roman"/>
                <w:color w:val="000000"/>
                <w:sz w:val="20"/>
                <w:szCs w:val="20"/>
              </w:rPr>
            </w:pPr>
            <w:r w:rsidRPr="00CE5A48">
              <w:rPr>
                <w:rFonts w:ascii="Calibri" w:eastAsia="Times New Roman" w:hAnsi="Calibri" w:cs="Times New Roman"/>
                <w:color w:val="000000"/>
                <w:sz w:val="20"/>
                <w:szCs w:val="20"/>
              </w:rPr>
              <w:t>24,94%</w:t>
            </w:r>
          </w:p>
        </w:tc>
        <w:tc>
          <w:tcPr>
            <w:tcW w:w="920" w:type="dxa"/>
            <w:tcBorders>
              <w:top w:val="nil"/>
              <w:left w:val="nil"/>
              <w:bottom w:val="single" w:sz="4" w:space="0" w:color="auto"/>
              <w:right w:val="single" w:sz="4" w:space="0" w:color="auto"/>
            </w:tcBorders>
            <w:shd w:val="clear" w:color="auto" w:fill="auto"/>
            <w:vAlign w:val="center"/>
            <w:hideMark/>
          </w:tcPr>
          <w:p w:rsidR="00CE5A48" w:rsidRPr="00CE5A48" w:rsidRDefault="00CE5A48" w:rsidP="00CE5A48">
            <w:pPr>
              <w:spacing w:before="0"/>
              <w:ind w:left="0" w:firstLine="0"/>
              <w:jc w:val="center"/>
              <w:rPr>
                <w:rFonts w:ascii="Calibri" w:eastAsia="Times New Roman" w:hAnsi="Calibri" w:cs="Times New Roman"/>
                <w:color w:val="000000"/>
                <w:sz w:val="20"/>
                <w:szCs w:val="20"/>
              </w:rPr>
            </w:pPr>
            <w:r w:rsidRPr="00CE5A48">
              <w:rPr>
                <w:rFonts w:ascii="Calibri" w:eastAsia="Times New Roman" w:hAnsi="Calibri" w:cs="Times New Roman"/>
                <w:color w:val="000000"/>
                <w:sz w:val="20"/>
                <w:szCs w:val="20"/>
              </w:rPr>
              <w:t>22,93%</w:t>
            </w:r>
          </w:p>
        </w:tc>
        <w:tc>
          <w:tcPr>
            <w:tcW w:w="880" w:type="dxa"/>
            <w:tcBorders>
              <w:top w:val="nil"/>
              <w:left w:val="nil"/>
              <w:bottom w:val="single" w:sz="4" w:space="0" w:color="auto"/>
              <w:right w:val="single" w:sz="4" w:space="0" w:color="auto"/>
            </w:tcBorders>
            <w:shd w:val="clear" w:color="auto" w:fill="auto"/>
            <w:vAlign w:val="center"/>
            <w:hideMark/>
          </w:tcPr>
          <w:p w:rsidR="00CE5A48" w:rsidRPr="00CE5A48" w:rsidRDefault="00CE5A48" w:rsidP="00CE5A48">
            <w:pPr>
              <w:spacing w:before="0"/>
              <w:ind w:left="0" w:firstLine="0"/>
              <w:jc w:val="center"/>
              <w:rPr>
                <w:rFonts w:ascii="Calibri" w:eastAsia="Times New Roman" w:hAnsi="Calibri" w:cs="Times New Roman"/>
                <w:color w:val="000000"/>
                <w:sz w:val="20"/>
                <w:szCs w:val="20"/>
              </w:rPr>
            </w:pPr>
            <w:r w:rsidRPr="00CE5A48">
              <w:rPr>
                <w:rFonts w:ascii="Calibri" w:eastAsia="Times New Roman" w:hAnsi="Calibri" w:cs="Times New Roman"/>
                <w:color w:val="000000"/>
                <w:sz w:val="20"/>
                <w:szCs w:val="20"/>
              </w:rPr>
              <w:t>27,09%</w:t>
            </w:r>
          </w:p>
        </w:tc>
        <w:tc>
          <w:tcPr>
            <w:tcW w:w="1288" w:type="dxa"/>
            <w:tcBorders>
              <w:top w:val="nil"/>
              <w:left w:val="nil"/>
              <w:bottom w:val="single" w:sz="4" w:space="0" w:color="auto"/>
              <w:right w:val="single" w:sz="4" w:space="0" w:color="auto"/>
            </w:tcBorders>
            <w:shd w:val="clear" w:color="000000" w:fill="D9D9D9"/>
            <w:vAlign w:val="center"/>
            <w:hideMark/>
          </w:tcPr>
          <w:p w:rsidR="00CE5A48" w:rsidRPr="00CE5A48" w:rsidRDefault="00CE5A48" w:rsidP="00CE5A48">
            <w:pPr>
              <w:spacing w:before="0"/>
              <w:ind w:left="0" w:firstLine="0"/>
              <w:jc w:val="center"/>
              <w:rPr>
                <w:rFonts w:ascii="Calibri" w:eastAsia="Times New Roman" w:hAnsi="Calibri" w:cs="Times New Roman"/>
                <w:b/>
                <w:sz w:val="20"/>
                <w:szCs w:val="20"/>
              </w:rPr>
            </w:pPr>
            <w:r w:rsidRPr="00CE5A48">
              <w:rPr>
                <w:rFonts w:ascii="Calibri" w:eastAsia="Times New Roman" w:hAnsi="Calibri" w:cs="Times New Roman"/>
                <w:b/>
                <w:sz w:val="20"/>
                <w:szCs w:val="20"/>
              </w:rPr>
              <w:t>24,81%</w:t>
            </w:r>
          </w:p>
        </w:tc>
      </w:tr>
      <w:tr w:rsidR="00CE5A48" w:rsidRPr="00CE5A48" w:rsidTr="007648EC">
        <w:trPr>
          <w:trHeight w:val="225"/>
        </w:trPr>
        <w:tc>
          <w:tcPr>
            <w:tcW w:w="2140" w:type="dxa"/>
            <w:tcBorders>
              <w:top w:val="nil"/>
              <w:left w:val="nil"/>
              <w:bottom w:val="nil"/>
              <w:right w:val="nil"/>
            </w:tcBorders>
            <w:shd w:val="clear" w:color="auto" w:fill="auto"/>
            <w:vAlign w:val="center"/>
            <w:hideMark/>
          </w:tcPr>
          <w:p w:rsidR="00CE5A48" w:rsidRPr="00CE5A48" w:rsidRDefault="00CE5A48" w:rsidP="00CE5A48">
            <w:pPr>
              <w:spacing w:before="0"/>
              <w:ind w:left="0" w:firstLine="0"/>
              <w:jc w:val="center"/>
              <w:rPr>
                <w:rFonts w:ascii="Calibri" w:eastAsia="Times New Roman" w:hAnsi="Calibri" w:cs="Times New Roman"/>
                <w:color w:val="000000"/>
                <w:sz w:val="20"/>
                <w:szCs w:val="20"/>
              </w:rPr>
            </w:pPr>
          </w:p>
        </w:tc>
        <w:tc>
          <w:tcPr>
            <w:tcW w:w="1180" w:type="dxa"/>
            <w:tcBorders>
              <w:top w:val="nil"/>
              <w:left w:val="nil"/>
              <w:bottom w:val="nil"/>
              <w:right w:val="nil"/>
            </w:tcBorders>
            <w:shd w:val="clear" w:color="auto" w:fill="auto"/>
            <w:vAlign w:val="center"/>
            <w:hideMark/>
          </w:tcPr>
          <w:p w:rsidR="00CE5A48" w:rsidRPr="00CE5A48" w:rsidRDefault="00CE5A48" w:rsidP="00CE5A48">
            <w:pPr>
              <w:spacing w:before="0"/>
              <w:ind w:left="0" w:firstLine="0"/>
              <w:jc w:val="center"/>
              <w:rPr>
                <w:rFonts w:ascii="Calibri" w:eastAsia="Times New Roman" w:hAnsi="Calibri" w:cs="Times New Roman"/>
                <w:color w:val="000000"/>
                <w:sz w:val="20"/>
                <w:szCs w:val="20"/>
              </w:rPr>
            </w:pPr>
          </w:p>
        </w:tc>
        <w:tc>
          <w:tcPr>
            <w:tcW w:w="920" w:type="dxa"/>
            <w:tcBorders>
              <w:top w:val="nil"/>
              <w:left w:val="nil"/>
              <w:bottom w:val="nil"/>
              <w:right w:val="nil"/>
            </w:tcBorders>
            <w:shd w:val="clear" w:color="auto" w:fill="auto"/>
            <w:vAlign w:val="center"/>
            <w:hideMark/>
          </w:tcPr>
          <w:p w:rsidR="00CE5A48" w:rsidRPr="00CE5A48" w:rsidRDefault="00CE5A48" w:rsidP="00CE5A48">
            <w:pPr>
              <w:spacing w:before="0"/>
              <w:ind w:left="0" w:firstLine="0"/>
              <w:jc w:val="center"/>
              <w:rPr>
                <w:rFonts w:ascii="Calibri" w:eastAsia="Times New Roman" w:hAnsi="Calibri" w:cs="Times New Roman"/>
                <w:color w:val="000000"/>
                <w:sz w:val="20"/>
                <w:szCs w:val="20"/>
              </w:rPr>
            </w:pPr>
          </w:p>
        </w:tc>
        <w:tc>
          <w:tcPr>
            <w:tcW w:w="880" w:type="dxa"/>
            <w:tcBorders>
              <w:top w:val="nil"/>
              <w:left w:val="nil"/>
              <w:bottom w:val="nil"/>
              <w:right w:val="nil"/>
            </w:tcBorders>
            <w:shd w:val="clear" w:color="auto" w:fill="auto"/>
            <w:vAlign w:val="center"/>
            <w:hideMark/>
          </w:tcPr>
          <w:p w:rsidR="00CE5A48" w:rsidRPr="00CE5A48" w:rsidRDefault="00CE5A48" w:rsidP="00CE5A48">
            <w:pPr>
              <w:spacing w:before="0"/>
              <w:ind w:left="0" w:firstLine="0"/>
              <w:jc w:val="center"/>
              <w:rPr>
                <w:rFonts w:ascii="Calibri" w:eastAsia="Times New Roman" w:hAnsi="Calibri" w:cs="Times New Roman"/>
                <w:color w:val="000000"/>
                <w:sz w:val="20"/>
                <w:szCs w:val="20"/>
              </w:rPr>
            </w:pPr>
          </w:p>
        </w:tc>
        <w:tc>
          <w:tcPr>
            <w:tcW w:w="1288" w:type="dxa"/>
            <w:tcBorders>
              <w:top w:val="nil"/>
              <w:left w:val="nil"/>
              <w:bottom w:val="nil"/>
              <w:right w:val="nil"/>
            </w:tcBorders>
            <w:shd w:val="clear" w:color="auto" w:fill="auto"/>
            <w:vAlign w:val="center"/>
            <w:hideMark/>
          </w:tcPr>
          <w:p w:rsidR="00CE5A48" w:rsidRPr="00CE5A48" w:rsidRDefault="00CE5A48" w:rsidP="00CE5A48">
            <w:pPr>
              <w:spacing w:before="0"/>
              <w:ind w:left="0" w:firstLine="0"/>
              <w:jc w:val="center"/>
              <w:rPr>
                <w:rFonts w:ascii="Calibri" w:eastAsia="Times New Roman" w:hAnsi="Calibri" w:cs="Times New Roman"/>
                <w:color w:val="000000"/>
                <w:sz w:val="20"/>
                <w:szCs w:val="20"/>
              </w:rPr>
            </w:pPr>
          </w:p>
        </w:tc>
      </w:tr>
      <w:tr w:rsidR="00CE5A48" w:rsidRPr="00CE5A48" w:rsidTr="007648EC">
        <w:trPr>
          <w:trHeight w:val="510"/>
        </w:trPr>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A48" w:rsidRPr="00CE5A48" w:rsidRDefault="00CE5A48" w:rsidP="00CE5A48">
            <w:pPr>
              <w:spacing w:before="0"/>
              <w:ind w:left="0" w:firstLine="0"/>
              <w:jc w:val="center"/>
              <w:rPr>
                <w:rFonts w:ascii="Calibri" w:eastAsia="Times New Roman" w:hAnsi="Calibri" w:cs="Times New Roman"/>
                <w:color w:val="000000"/>
                <w:sz w:val="20"/>
                <w:szCs w:val="20"/>
              </w:rPr>
            </w:pPr>
            <w:r w:rsidRPr="00CE5A48">
              <w:rPr>
                <w:rFonts w:ascii="Calibri" w:eastAsia="Times New Roman" w:hAnsi="Calibri" w:cs="Times New Roman"/>
                <w:color w:val="000000"/>
                <w:sz w:val="20"/>
                <w:szCs w:val="20"/>
              </w:rPr>
              <w:t xml:space="preserve">VPN </w:t>
            </w:r>
            <w:proofErr w:type="spellStart"/>
            <w:r w:rsidRPr="00CE5A48">
              <w:rPr>
                <w:rFonts w:ascii="Calibri" w:eastAsia="Times New Roman" w:hAnsi="Calibri" w:cs="Times New Roman"/>
                <w:color w:val="000000"/>
                <w:sz w:val="20"/>
                <w:szCs w:val="20"/>
              </w:rPr>
              <w:t>Beneficios</w:t>
            </w:r>
            <w:proofErr w:type="spellEnd"/>
            <w:r w:rsidRPr="00CE5A48">
              <w:rPr>
                <w:rFonts w:ascii="Calibri" w:eastAsia="Times New Roman" w:hAnsi="Calibri" w:cs="Times New Roman"/>
                <w:color w:val="000000"/>
                <w:sz w:val="20"/>
                <w:szCs w:val="20"/>
              </w:rPr>
              <w:t xml:space="preserve"> </w:t>
            </w:r>
            <w:proofErr w:type="spellStart"/>
            <w:r w:rsidRPr="00CE5A48">
              <w:rPr>
                <w:rFonts w:ascii="Calibri" w:eastAsia="Times New Roman" w:hAnsi="Calibri" w:cs="Times New Roman"/>
                <w:color w:val="000000"/>
                <w:sz w:val="20"/>
                <w:szCs w:val="20"/>
              </w:rPr>
              <w:t>Financieros</w:t>
            </w:r>
            <w:proofErr w:type="spellEnd"/>
            <w:r w:rsidRPr="00CE5A48">
              <w:rPr>
                <w:rFonts w:ascii="Calibri" w:eastAsia="Times New Roman" w:hAnsi="Calibri" w:cs="Times New Roman"/>
                <w:color w:val="000000"/>
                <w:sz w:val="20"/>
                <w:szCs w:val="20"/>
              </w:rPr>
              <w:t xml:space="preserve"> MUS$</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CE5A48" w:rsidRPr="00CE5A48" w:rsidRDefault="00CE5A48" w:rsidP="00CE5A48">
            <w:pPr>
              <w:spacing w:before="0"/>
              <w:ind w:left="0" w:firstLine="0"/>
              <w:jc w:val="center"/>
              <w:rPr>
                <w:rFonts w:ascii="Calibri" w:eastAsia="Times New Roman" w:hAnsi="Calibri" w:cs="Times New Roman"/>
                <w:color w:val="000000"/>
                <w:sz w:val="20"/>
                <w:szCs w:val="20"/>
              </w:rPr>
            </w:pPr>
            <w:r w:rsidRPr="00CE5A48">
              <w:rPr>
                <w:rFonts w:ascii="Calibri" w:eastAsia="Times New Roman" w:hAnsi="Calibri" w:cs="Times New Roman"/>
                <w:color w:val="000000"/>
                <w:sz w:val="20"/>
                <w:szCs w:val="20"/>
              </w:rPr>
              <w:t>571,38</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CE5A48" w:rsidRPr="00CE5A48" w:rsidRDefault="00CE5A48" w:rsidP="00CE5A48">
            <w:pPr>
              <w:spacing w:before="0"/>
              <w:ind w:left="0" w:firstLine="0"/>
              <w:jc w:val="center"/>
              <w:rPr>
                <w:rFonts w:ascii="Calibri" w:eastAsia="Times New Roman" w:hAnsi="Calibri" w:cs="Times New Roman"/>
                <w:color w:val="000000"/>
                <w:sz w:val="20"/>
                <w:szCs w:val="20"/>
              </w:rPr>
            </w:pPr>
            <w:r w:rsidRPr="00CE5A48">
              <w:rPr>
                <w:rFonts w:ascii="Calibri" w:eastAsia="Times New Roman" w:hAnsi="Calibri" w:cs="Times New Roman"/>
                <w:color w:val="000000"/>
                <w:sz w:val="20"/>
                <w:szCs w:val="20"/>
              </w:rPr>
              <w:t>666,75</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CE5A48" w:rsidRPr="00CE5A48" w:rsidRDefault="00CE5A48" w:rsidP="00CE5A48">
            <w:pPr>
              <w:spacing w:before="0"/>
              <w:ind w:left="0" w:firstLine="0"/>
              <w:jc w:val="center"/>
              <w:rPr>
                <w:rFonts w:ascii="Calibri" w:eastAsia="Times New Roman" w:hAnsi="Calibri" w:cs="Times New Roman"/>
                <w:color w:val="000000"/>
                <w:sz w:val="20"/>
                <w:szCs w:val="20"/>
              </w:rPr>
            </w:pPr>
            <w:r w:rsidRPr="00CE5A48">
              <w:rPr>
                <w:rFonts w:ascii="Calibri" w:eastAsia="Times New Roman" w:hAnsi="Calibri" w:cs="Times New Roman"/>
                <w:color w:val="000000"/>
                <w:sz w:val="20"/>
                <w:szCs w:val="20"/>
              </w:rPr>
              <w:t>509,56</w:t>
            </w:r>
          </w:p>
        </w:tc>
        <w:tc>
          <w:tcPr>
            <w:tcW w:w="1288" w:type="dxa"/>
            <w:tcBorders>
              <w:top w:val="single" w:sz="4" w:space="0" w:color="auto"/>
              <w:left w:val="nil"/>
              <w:bottom w:val="single" w:sz="4" w:space="0" w:color="auto"/>
              <w:right w:val="single" w:sz="4" w:space="0" w:color="auto"/>
            </w:tcBorders>
            <w:shd w:val="clear" w:color="000000" w:fill="D9D9D9"/>
            <w:vAlign w:val="center"/>
            <w:hideMark/>
          </w:tcPr>
          <w:p w:rsidR="00CE5A48" w:rsidRPr="00CE5A48" w:rsidRDefault="00CE5A48" w:rsidP="00CE5A48">
            <w:pPr>
              <w:spacing w:before="0"/>
              <w:ind w:left="0" w:firstLine="0"/>
              <w:jc w:val="center"/>
              <w:rPr>
                <w:rFonts w:ascii="Calibri" w:eastAsia="Times New Roman" w:hAnsi="Calibri" w:cs="Times New Roman"/>
                <w:color w:val="000000"/>
                <w:sz w:val="20"/>
                <w:szCs w:val="20"/>
              </w:rPr>
            </w:pPr>
            <w:r w:rsidRPr="00CE5A48">
              <w:rPr>
                <w:rFonts w:ascii="Calibri" w:eastAsia="Times New Roman" w:hAnsi="Calibri" w:cs="Times New Roman"/>
                <w:color w:val="000000"/>
                <w:sz w:val="20"/>
                <w:szCs w:val="20"/>
              </w:rPr>
              <w:t>1.747,69</w:t>
            </w:r>
          </w:p>
        </w:tc>
      </w:tr>
      <w:tr w:rsidR="00CE5A48" w:rsidRPr="00CE5A48" w:rsidTr="007648EC">
        <w:trPr>
          <w:trHeight w:val="51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CE5A48" w:rsidRPr="00CE5A48" w:rsidRDefault="00CE5A48" w:rsidP="00CE5A48">
            <w:pPr>
              <w:spacing w:before="0"/>
              <w:ind w:left="0" w:firstLine="0"/>
              <w:jc w:val="center"/>
              <w:rPr>
                <w:rFonts w:ascii="Calibri" w:eastAsia="Times New Roman" w:hAnsi="Calibri" w:cs="Times New Roman"/>
                <w:color w:val="000000"/>
                <w:sz w:val="20"/>
                <w:szCs w:val="20"/>
              </w:rPr>
            </w:pPr>
            <w:r w:rsidRPr="00CE5A48">
              <w:rPr>
                <w:rFonts w:ascii="Calibri" w:eastAsia="Times New Roman" w:hAnsi="Calibri" w:cs="Times New Roman"/>
                <w:color w:val="000000"/>
                <w:sz w:val="20"/>
                <w:szCs w:val="20"/>
                <w:lang w:val="es-AR"/>
              </w:rPr>
              <w:t>Tasa Interna de Retorno Financiero (TIR)</w:t>
            </w:r>
          </w:p>
        </w:tc>
        <w:tc>
          <w:tcPr>
            <w:tcW w:w="1180" w:type="dxa"/>
            <w:tcBorders>
              <w:top w:val="nil"/>
              <w:left w:val="nil"/>
              <w:bottom w:val="single" w:sz="4" w:space="0" w:color="auto"/>
              <w:right w:val="single" w:sz="4" w:space="0" w:color="auto"/>
            </w:tcBorders>
            <w:shd w:val="clear" w:color="auto" w:fill="auto"/>
            <w:vAlign w:val="center"/>
            <w:hideMark/>
          </w:tcPr>
          <w:p w:rsidR="00CE5A48" w:rsidRPr="00CE5A48" w:rsidRDefault="00CE5A48" w:rsidP="00CE5A48">
            <w:pPr>
              <w:spacing w:before="0"/>
              <w:ind w:left="0" w:firstLine="0"/>
              <w:jc w:val="center"/>
              <w:rPr>
                <w:rFonts w:ascii="Calibri" w:eastAsia="Times New Roman" w:hAnsi="Calibri" w:cs="Times New Roman"/>
                <w:color w:val="000000"/>
                <w:sz w:val="20"/>
                <w:szCs w:val="20"/>
              </w:rPr>
            </w:pPr>
            <w:r w:rsidRPr="00CE5A48">
              <w:rPr>
                <w:rFonts w:ascii="Calibri" w:eastAsia="Times New Roman" w:hAnsi="Calibri" w:cs="Times New Roman"/>
                <w:color w:val="000000"/>
                <w:sz w:val="20"/>
                <w:szCs w:val="20"/>
              </w:rPr>
              <w:t>54,07%</w:t>
            </w:r>
          </w:p>
        </w:tc>
        <w:tc>
          <w:tcPr>
            <w:tcW w:w="920" w:type="dxa"/>
            <w:tcBorders>
              <w:top w:val="nil"/>
              <w:left w:val="nil"/>
              <w:bottom w:val="single" w:sz="4" w:space="0" w:color="auto"/>
              <w:right w:val="single" w:sz="4" w:space="0" w:color="auto"/>
            </w:tcBorders>
            <w:shd w:val="clear" w:color="auto" w:fill="auto"/>
            <w:vAlign w:val="center"/>
            <w:hideMark/>
          </w:tcPr>
          <w:p w:rsidR="00CE5A48" w:rsidRPr="00CE5A48" w:rsidRDefault="00CE5A48" w:rsidP="00CE5A48">
            <w:pPr>
              <w:spacing w:before="0"/>
              <w:ind w:left="0" w:firstLine="0"/>
              <w:jc w:val="center"/>
              <w:rPr>
                <w:rFonts w:ascii="Calibri" w:eastAsia="Times New Roman" w:hAnsi="Calibri" w:cs="Times New Roman"/>
                <w:color w:val="000000"/>
                <w:sz w:val="20"/>
                <w:szCs w:val="20"/>
              </w:rPr>
            </w:pPr>
            <w:r w:rsidRPr="00CE5A48">
              <w:rPr>
                <w:rFonts w:ascii="Calibri" w:eastAsia="Times New Roman" w:hAnsi="Calibri" w:cs="Times New Roman"/>
                <w:color w:val="000000"/>
                <w:sz w:val="20"/>
                <w:szCs w:val="20"/>
              </w:rPr>
              <w:t>50,15%</w:t>
            </w:r>
          </w:p>
        </w:tc>
        <w:tc>
          <w:tcPr>
            <w:tcW w:w="880" w:type="dxa"/>
            <w:tcBorders>
              <w:top w:val="nil"/>
              <w:left w:val="nil"/>
              <w:bottom w:val="single" w:sz="4" w:space="0" w:color="auto"/>
              <w:right w:val="single" w:sz="4" w:space="0" w:color="auto"/>
            </w:tcBorders>
            <w:shd w:val="clear" w:color="auto" w:fill="auto"/>
            <w:vAlign w:val="center"/>
            <w:hideMark/>
          </w:tcPr>
          <w:p w:rsidR="00CE5A48" w:rsidRPr="00CE5A48" w:rsidRDefault="00CE5A48" w:rsidP="00CE5A48">
            <w:pPr>
              <w:spacing w:before="0"/>
              <w:ind w:left="0" w:firstLine="0"/>
              <w:jc w:val="center"/>
              <w:rPr>
                <w:rFonts w:ascii="Calibri" w:eastAsia="Times New Roman" w:hAnsi="Calibri" w:cs="Times New Roman"/>
                <w:color w:val="000000"/>
                <w:sz w:val="20"/>
                <w:szCs w:val="20"/>
              </w:rPr>
            </w:pPr>
            <w:r w:rsidRPr="00CE5A48">
              <w:rPr>
                <w:rFonts w:ascii="Calibri" w:eastAsia="Times New Roman" w:hAnsi="Calibri" w:cs="Times New Roman"/>
                <w:color w:val="000000"/>
                <w:sz w:val="20"/>
                <w:szCs w:val="20"/>
              </w:rPr>
              <w:t>49,85%</w:t>
            </w:r>
          </w:p>
        </w:tc>
        <w:tc>
          <w:tcPr>
            <w:tcW w:w="1288" w:type="dxa"/>
            <w:tcBorders>
              <w:top w:val="nil"/>
              <w:left w:val="nil"/>
              <w:bottom w:val="single" w:sz="4" w:space="0" w:color="auto"/>
              <w:right w:val="single" w:sz="4" w:space="0" w:color="auto"/>
            </w:tcBorders>
            <w:shd w:val="clear" w:color="000000" w:fill="D9D9D9"/>
            <w:vAlign w:val="center"/>
            <w:hideMark/>
          </w:tcPr>
          <w:p w:rsidR="00CE5A48" w:rsidRPr="00CE5A48" w:rsidRDefault="00CE5A48" w:rsidP="00CE5A48">
            <w:pPr>
              <w:spacing w:before="0"/>
              <w:ind w:left="0" w:firstLine="0"/>
              <w:jc w:val="center"/>
              <w:rPr>
                <w:rFonts w:ascii="Calibri" w:eastAsia="Times New Roman" w:hAnsi="Calibri" w:cs="Times New Roman"/>
                <w:b/>
                <w:color w:val="000000"/>
                <w:sz w:val="20"/>
                <w:szCs w:val="20"/>
              </w:rPr>
            </w:pPr>
            <w:r w:rsidRPr="00CE5A48">
              <w:rPr>
                <w:rFonts w:ascii="Calibri" w:eastAsia="Times New Roman" w:hAnsi="Calibri" w:cs="Times New Roman"/>
                <w:b/>
                <w:color w:val="000000"/>
                <w:sz w:val="20"/>
                <w:szCs w:val="20"/>
              </w:rPr>
              <w:t>51,27%</w:t>
            </w:r>
          </w:p>
        </w:tc>
      </w:tr>
    </w:tbl>
    <w:p w:rsidR="00904E5A" w:rsidRDefault="00904E5A" w:rsidP="00812327">
      <w:pPr>
        <w:spacing w:before="0" w:after="120"/>
        <w:ind w:firstLine="0"/>
        <w:jc w:val="right"/>
        <w:rPr>
          <w:noProof/>
        </w:rPr>
      </w:pPr>
    </w:p>
    <w:p w:rsidR="00CE5A48" w:rsidRDefault="00CE5A48" w:rsidP="00812327">
      <w:pPr>
        <w:spacing w:before="0" w:after="120"/>
        <w:ind w:firstLine="0"/>
        <w:jc w:val="right"/>
        <w:rPr>
          <w:noProof/>
        </w:rPr>
      </w:pPr>
    </w:p>
    <w:p w:rsidR="00CE5A48" w:rsidRDefault="00CE5A48" w:rsidP="00812327">
      <w:pPr>
        <w:spacing w:before="0" w:after="120"/>
        <w:ind w:firstLine="0"/>
        <w:jc w:val="right"/>
        <w:rPr>
          <w:noProof/>
        </w:rPr>
      </w:pPr>
    </w:p>
    <w:p w:rsidR="00CE5A48" w:rsidRDefault="00CE5A48" w:rsidP="00812327">
      <w:pPr>
        <w:spacing w:before="0" w:after="120"/>
        <w:ind w:firstLine="0"/>
        <w:jc w:val="right"/>
        <w:rPr>
          <w:noProof/>
        </w:rPr>
      </w:pPr>
    </w:p>
    <w:p w:rsidR="00CE5A48" w:rsidRDefault="00CE5A48" w:rsidP="00812327">
      <w:pPr>
        <w:spacing w:before="0" w:after="120"/>
        <w:ind w:firstLine="0"/>
        <w:jc w:val="right"/>
        <w:rPr>
          <w:noProof/>
        </w:rPr>
      </w:pPr>
    </w:p>
    <w:p w:rsidR="00CE5A48" w:rsidRDefault="00CE5A48" w:rsidP="00812327">
      <w:pPr>
        <w:spacing w:before="0" w:after="120"/>
        <w:ind w:firstLine="0"/>
        <w:jc w:val="right"/>
        <w:rPr>
          <w:noProof/>
        </w:rPr>
      </w:pPr>
    </w:p>
    <w:p w:rsidR="00CE5A48" w:rsidRDefault="00CE5A48" w:rsidP="00812327">
      <w:pPr>
        <w:spacing w:before="0" w:after="120"/>
        <w:ind w:firstLine="0"/>
        <w:jc w:val="right"/>
        <w:rPr>
          <w:noProof/>
        </w:rPr>
      </w:pPr>
    </w:p>
    <w:p w:rsidR="00CE5A48" w:rsidRDefault="00CE5A48" w:rsidP="00812327">
      <w:pPr>
        <w:spacing w:before="0" w:after="120"/>
        <w:ind w:firstLine="0"/>
        <w:jc w:val="right"/>
        <w:rPr>
          <w:noProof/>
        </w:rPr>
      </w:pPr>
    </w:p>
    <w:p w:rsidR="00CE5A48" w:rsidRDefault="00CE5A48" w:rsidP="00812327">
      <w:pPr>
        <w:spacing w:before="0" w:after="120"/>
        <w:ind w:firstLine="0"/>
        <w:jc w:val="right"/>
        <w:rPr>
          <w:noProof/>
        </w:rPr>
      </w:pPr>
    </w:p>
    <w:p w:rsidR="00CE5A48" w:rsidRDefault="00CE5A48" w:rsidP="00812327">
      <w:pPr>
        <w:spacing w:before="0" w:after="120"/>
        <w:ind w:firstLine="0"/>
        <w:jc w:val="right"/>
        <w:rPr>
          <w:noProof/>
        </w:rPr>
      </w:pPr>
    </w:p>
    <w:p w:rsidR="00CE5A48" w:rsidRDefault="00CE5A48" w:rsidP="00812327">
      <w:pPr>
        <w:spacing w:before="0" w:after="120"/>
        <w:ind w:firstLine="0"/>
        <w:jc w:val="right"/>
        <w:rPr>
          <w:noProof/>
        </w:rPr>
      </w:pPr>
    </w:p>
    <w:p w:rsidR="00CE5A48" w:rsidRPr="00904E5A" w:rsidRDefault="00CE5A48" w:rsidP="00812327">
      <w:pPr>
        <w:spacing w:before="0" w:after="120"/>
        <w:ind w:firstLine="0"/>
        <w:jc w:val="right"/>
        <w:rPr>
          <w:rFonts w:cs="Times New Roman"/>
          <w:szCs w:val="24"/>
          <w:lang w:val="es-CL"/>
        </w:rPr>
      </w:pPr>
    </w:p>
    <w:p w:rsidR="00904E5A" w:rsidRPr="004C3F83" w:rsidRDefault="004C3F83" w:rsidP="004C3F83">
      <w:pPr>
        <w:pStyle w:val="ListParagraph"/>
        <w:numPr>
          <w:ilvl w:val="0"/>
          <w:numId w:val="13"/>
        </w:numPr>
        <w:spacing w:before="0" w:after="120"/>
        <w:ind w:hanging="720"/>
        <w:rPr>
          <w:rFonts w:cs="Times New Roman"/>
          <w:szCs w:val="24"/>
          <w:lang w:val="es-CL"/>
        </w:rPr>
      </w:pPr>
      <w:r>
        <w:rPr>
          <w:lang w:val="es-ES"/>
        </w:rPr>
        <w:t xml:space="preserve">En cuanto al </w:t>
      </w:r>
      <w:r w:rsidRPr="00904E5A">
        <w:rPr>
          <w:lang w:val="es-ES"/>
        </w:rPr>
        <w:t>análisis financiero</w:t>
      </w:r>
      <w:r w:rsidR="00904E5A" w:rsidRPr="00904E5A">
        <w:rPr>
          <w:lang w:val="es-ES"/>
        </w:rPr>
        <w:t>, se tienen resultados más positivos, puesto que en este caso la transferencia</w:t>
      </w:r>
      <w:r>
        <w:rPr>
          <w:lang w:val="es-ES"/>
        </w:rPr>
        <w:t xml:space="preserve"> de efectivo</w:t>
      </w:r>
      <w:r w:rsidR="00904E5A" w:rsidRPr="00904E5A">
        <w:rPr>
          <w:lang w:val="es-ES"/>
        </w:rPr>
        <w:t xml:space="preserve"> de los consumidores al productor</w:t>
      </w:r>
      <w:r w:rsidR="004021D4">
        <w:rPr>
          <w:lang w:val="es-ES"/>
        </w:rPr>
        <w:t>,</w:t>
      </w:r>
      <w:r>
        <w:rPr>
          <w:lang w:val="es-ES"/>
        </w:rPr>
        <w:t xml:space="preserve"> </w:t>
      </w:r>
      <w:r w:rsidR="00904E5A" w:rsidRPr="00904E5A">
        <w:rPr>
          <w:lang w:val="es-ES"/>
        </w:rPr>
        <w:t xml:space="preserve">genera </w:t>
      </w:r>
      <w:r>
        <w:rPr>
          <w:lang w:val="es-ES"/>
        </w:rPr>
        <w:t xml:space="preserve">beneficios por ingresos incrementales a la distribuidora. Esta transferencia no representa </w:t>
      </w:r>
      <w:r w:rsidRPr="00904E5A">
        <w:rPr>
          <w:lang w:val="es-ES"/>
        </w:rPr>
        <w:t>beneficios en el análisis económico</w:t>
      </w:r>
      <w:r>
        <w:rPr>
          <w:lang w:val="es-ES"/>
        </w:rPr>
        <w:t xml:space="preserve"> pues los consumidores siguen obteniendo la utilidad del servicio, independiente de quién paga por él.</w:t>
      </w:r>
      <w:r w:rsidR="007648EC">
        <w:rPr>
          <w:lang w:val="es-ES"/>
        </w:rPr>
        <w:t xml:space="preserve"> (Ver Anexo 1 con los flujos de efectivo)</w:t>
      </w:r>
    </w:p>
    <w:p w:rsidR="004C3F83" w:rsidRDefault="004C3F83" w:rsidP="004C3F83">
      <w:pPr>
        <w:pStyle w:val="ListParagraph"/>
        <w:spacing w:before="0" w:after="120"/>
        <w:ind w:firstLine="0"/>
        <w:rPr>
          <w:rFonts w:cs="Times New Roman"/>
          <w:szCs w:val="24"/>
          <w:lang w:val="es-CL"/>
        </w:rPr>
      </w:pPr>
    </w:p>
    <w:p w:rsidR="00904E5A" w:rsidRDefault="00904E5A" w:rsidP="00904E5A">
      <w:pPr>
        <w:spacing w:before="0" w:after="120"/>
        <w:rPr>
          <w:rFonts w:cs="Times New Roman"/>
          <w:szCs w:val="24"/>
          <w:lang w:val="es-CL"/>
        </w:rPr>
      </w:pPr>
    </w:p>
    <w:p w:rsidR="0030590C" w:rsidRDefault="005C0B1F" w:rsidP="00DD1BE6">
      <w:pPr>
        <w:pStyle w:val="ListParagraph"/>
        <w:numPr>
          <w:ilvl w:val="0"/>
          <w:numId w:val="12"/>
        </w:numPr>
        <w:spacing w:before="0" w:after="120"/>
        <w:rPr>
          <w:rFonts w:cs="Times New Roman"/>
          <w:b/>
          <w:szCs w:val="24"/>
          <w:lang w:val="es-CL"/>
        </w:rPr>
      </w:pPr>
      <w:r>
        <w:rPr>
          <w:rFonts w:cs="Times New Roman"/>
          <w:b/>
          <w:szCs w:val="24"/>
          <w:lang w:val="es-CL"/>
        </w:rPr>
        <w:t xml:space="preserve"> </w:t>
      </w:r>
      <w:r w:rsidR="0030590C" w:rsidRPr="00227420">
        <w:rPr>
          <w:rFonts w:cs="Times New Roman"/>
          <w:b/>
          <w:szCs w:val="24"/>
          <w:lang w:val="es-CL"/>
        </w:rPr>
        <w:t>Índice de Cobranza y CRI</w:t>
      </w:r>
    </w:p>
    <w:p w:rsidR="00512B15" w:rsidRPr="00227420" w:rsidRDefault="00512B15" w:rsidP="00512B15">
      <w:pPr>
        <w:pStyle w:val="ListParagraph"/>
        <w:spacing w:before="0" w:after="120"/>
        <w:ind w:left="1080" w:firstLine="0"/>
        <w:rPr>
          <w:rFonts w:cs="Times New Roman"/>
          <w:b/>
          <w:szCs w:val="24"/>
          <w:lang w:val="es-CL"/>
        </w:rPr>
      </w:pPr>
    </w:p>
    <w:p w:rsidR="0030590C" w:rsidRDefault="0030590C" w:rsidP="004C3F83">
      <w:pPr>
        <w:pStyle w:val="ListParagraph"/>
        <w:numPr>
          <w:ilvl w:val="0"/>
          <w:numId w:val="13"/>
        </w:numPr>
        <w:spacing w:before="0" w:after="120"/>
        <w:ind w:hanging="720"/>
        <w:rPr>
          <w:rFonts w:cs="Times New Roman"/>
          <w:szCs w:val="24"/>
          <w:lang w:val="es-CL"/>
        </w:rPr>
      </w:pPr>
      <w:r w:rsidRPr="0030590C">
        <w:rPr>
          <w:rFonts w:cs="Times New Roman"/>
          <w:szCs w:val="24"/>
          <w:lang w:val="es-CL"/>
        </w:rPr>
        <w:t>El índice</w:t>
      </w:r>
      <w:r w:rsidR="00512B15">
        <w:rPr>
          <w:rFonts w:cs="Times New Roman"/>
          <w:szCs w:val="24"/>
          <w:lang w:val="es-CL"/>
        </w:rPr>
        <w:t xml:space="preserve"> de Recuperación de Efectivo,</w:t>
      </w:r>
      <w:r w:rsidRPr="0030590C">
        <w:rPr>
          <w:rFonts w:cs="Times New Roman"/>
          <w:szCs w:val="24"/>
          <w:lang w:val="es-CL"/>
        </w:rPr>
        <w:t xml:space="preserve"> CRI </w:t>
      </w:r>
      <w:r w:rsidR="005C0B1F">
        <w:rPr>
          <w:rFonts w:cs="Times New Roman"/>
          <w:szCs w:val="24"/>
          <w:lang w:val="es-CL"/>
        </w:rPr>
        <w:t xml:space="preserve"> </w:t>
      </w:r>
      <w:r w:rsidR="00512B15">
        <w:rPr>
          <w:rFonts w:cs="Times New Roman"/>
          <w:szCs w:val="24"/>
          <w:lang w:val="es-CL"/>
        </w:rPr>
        <w:t>(</w:t>
      </w:r>
      <w:r w:rsidRPr="00512B15">
        <w:rPr>
          <w:lang w:val="es-ES"/>
        </w:rPr>
        <w:t>Cash</w:t>
      </w:r>
      <w:r w:rsidRPr="0030590C">
        <w:rPr>
          <w:rFonts w:cs="Times New Roman"/>
          <w:szCs w:val="24"/>
          <w:lang w:val="es-CL"/>
        </w:rPr>
        <w:t xml:space="preserve"> </w:t>
      </w:r>
      <w:proofErr w:type="spellStart"/>
      <w:r w:rsidRPr="0030590C">
        <w:rPr>
          <w:rFonts w:cs="Times New Roman"/>
          <w:szCs w:val="24"/>
          <w:lang w:val="es-CL"/>
        </w:rPr>
        <w:t>Recovery</w:t>
      </w:r>
      <w:proofErr w:type="spellEnd"/>
      <w:r w:rsidRPr="0030590C">
        <w:rPr>
          <w:rFonts w:cs="Times New Roman"/>
          <w:szCs w:val="24"/>
          <w:lang w:val="es-CL"/>
        </w:rPr>
        <w:t xml:space="preserve"> </w:t>
      </w:r>
      <w:proofErr w:type="spellStart"/>
      <w:r w:rsidRPr="0030590C">
        <w:rPr>
          <w:rFonts w:cs="Times New Roman"/>
          <w:szCs w:val="24"/>
          <w:lang w:val="es-CL"/>
        </w:rPr>
        <w:t>Index</w:t>
      </w:r>
      <w:proofErr w:type="spellEnd"/>
      <w:r w:rsidRPr="0030590C">
        <w:rPr>
          <w:rFonts w:cs="Times New Roman"/>
          <w:szCs w:val="24"/>
          <w:lang w:val="es-CL"/>
        </w:rPr>
        <w:t>) se define como</w:t>
      </w:r>
      <w:r w:rsidR="00512B15">
        <w:rPr>
          <w:rFonts w:cs="Times New Roman"/>
          <w:szCs w:val="24"/>
          <w:lang w:val="es-CL"/>
        </w:rPr>
        <w:t>:</w:t>
      </w:r>
    </w:p>
    <w:p w:rsidR="0030590C" w:rsidRPr="00CD12A1" w:rsidRDefault="0030590C" w:rsidP="0030590C">
      <w:pPr>
        <w:spacing w:before="0" w:after="120"/>
        <w:ind w:left="0" w:firstLine="0"/>
        <w:rPr>
          <w:rFonts w:cs="Times New Roman"/>
          <w:szCs w:val="24"/>
          <w:lang w:val="es-CL"/>
        </w:rPr>
      </w:pPr>
    </w:p>
    <w:p w:rsidR="0030590C" w:rsidRPr="00CD12A1" w:rsidRDefault="0030590C" w:rsidP="0030590C">
      <w:pPr>
        <w:spacing w:before="0" w:after="120"/>
        <w:rPr>
          <w:rFonts w:eastAsiaTheme="minorEastAsia" w:cs="Times New Roman"/>
          <w:szCs w:val="24"/>
          <w:lang w:val="es-CL"/>
        </w:rPr>
      </w:pPr>
      <m:oMathPara>
        <m:oMath>
          <m:r>
            <w:rPr>
              <w:rFonts w:ascii="Cambria Math" w:hAnsi="Cambria Math" w:cs="Times New Roman"/>
              <w:szCs w:val="24"/>
              <w:lang w:val="es-CL"/>
            </w:rPr>
            <m:t>CRI</m:t>
          </m:r>
          <m:r>
            <m:rPr>
              <m:sty m:val="p"/>
            </m:rPr>
            <w:rPr>
              <w:rFonts w:ascii="Cambria Math" w:cs="Times New Roman"/>
              <w:szCs w:val="24"/>
              <w:lang w:val="es-CL"/>
            </w:rPr>
            <m:t>=</m:t>
          </m:r>
          <m:f>
            <m:fPr>
              <m:ctrlPr>
                <w:rPr>
                  <w:rFonts w:ascii="Cambria Math" w:hAnsi="Cambria Math" w:cs="Times New Roman"/>
                  <w:szCs w:val="24"/>
                  <w:lang w:val="es-CL"/>
                </w:rPr>
              </m:ctrlPr>
            </m:fPr>
            <m:num>
              <m:r>
                <m:rPr>
                  <m:sty m:val="p"/>
                </m:rPr>
                <w:rPr>
                  <w:rFonts w:ascii="Cambria Math" w:cs="Times New Roman"/>
                  <w:szCs w:val="24"/>
                  <w:lang w:val="es-CL"/>
                </w:rPr>
                <m:t>Energ</m:t>
              </m:r>
              <m:r>
                <m:rPr>
                  <m:sty m:val="p"/>
                </m:rPr>
                <w:rPr>
                  <w:rFonts w:ascii="Cambria Math" w:hAnsi="Cambria Math" w:cs="Times New Roman"/>
                  <w:szCs w:val="24"/>
                  <w:lang w:val="es-CL"/>
                </w:rPr>
                <m:t>í</m:t>
              </m:r>
              <m:r>
                <m:rPr>
                  <m:sty m:val="p"/>
                </m:rPr>
                <w:rPr>
                  <w:rFonts w:ascii="Cambria Math" w:cs="Times New Roman"/>
                  <w:szCs w:val="24"/>
                  <w:lang w:val="es-CL"/>
                </w:rPr>
                <m:t>a Facturada  GWh</m:t>
              </m:r>
            </m:num>
            <m:den>
              <m:r>
                <m:rPr>
                  <m:sty m:val="p"/>
                </m:rPr>
                <w:rPr>
                  <w:rFonts w:ascii="Cambria Math" w:cs="Times New Roman"/>
                  <w:szCs w:val="24"/>
                  <w:lang w:val="es-CL"/>
                </w:rPr>
                <m:t>Energ</m:t>
              </m:r>
              <m:r>
                <m:rPr>
                  <m:sty m:val="p"/>
                </m:rPr>
                <w:rPr>
                  <w:rFonts w:ascii="Cambria Math" w:hAnsi="Cambria Math" w:cs="Times New Roman"/>
                  <w:szCs w:val="24"/>
                  <w:lang w:val="es-CL"/>
                </w:rPr>
                <m:t>í</m:t>
              </m:r>
              <m:r>
                <m:rPr>
                  <m:sty m:val="p"/>
                </m:rPr>
                <w:rPr>
                  <w:rFonts w:ascii="Cambria Math" w:cs="Times New Roman"/>
                  <w:szCs w:val="24"/>
                  <w:lang w:val="es-CL"/>
                </w:rPr>
                <m:t>a Comprada  GWh</m:t>
              </m:r>
            </m:den>
          </m:f>
          <m:r>
            <m:rPr>
              <m:sty m:val="p"/>
            </m:rPr>
            <w:rPr>
              <w:rFonts w:ascii="Cambria Math" w:hAnsi="Cambria Math" w:cs="Times New Roman"/>
              <w:szCs w:val="24"/>
              <w:lang w:val="es-CL"/>
            </w:rPr>
            <m:t>×</m:t>
          </m:r>
          <m:f>
            <m:fPr>
              <m:ctrlPr>
                <w:rPr>
                  <w:rFonts w:ascii="Cambria Math" w:hAnsi="Cambria Math" w:cs="Times New Roman"/>
                  <w:szCs w:val="24"/>
                  <w:lang w:val="es-CL"/>
                </w:rPr>
              </m:ctrlPr>
            </m:fPr>
            <m:num>
              <m:r>
                <m:rPr>
                  <m:sty m:val="p"/>
                </m:rPr>
                <w:rPr>
                  <w:rFonts w:ascii="Cambria Math" w:cs="Times New Roman"/>
                  <w:szCs w:val="24"/>
                  <w:lang w:val="es-CL"/>
                </w:rPr>
                <m:t>Energ</m:t>
              </m:r>
              <m:r>
                <m:rPr>
                  <m:sty m:val="p"/>
                </m:rPr>
                <w:rPr>
                  <w:rFonts w:ascii="Cambria Math" w:hAnsi="Cambria Math" w:cs="Times New Roman"/>
                  <w:szCs w:val="24"/>
                  <w:lang w:val="es-CL"/>
                </w:rPr>
                <m:t>í</m:t>
              </m:r>
              <m:r>
                <m:rPr>
                  <m:sty m:val="p"/>
                </m:rPr>
                <w:rPr>
                  <w:rFonts w:ascii="Cambria Math" w:cs="Times New Roman"/>
                  <w:szCs w:val="24"/>
                  <w:lang w:val="es-CL"/>
                </w:rPr>
                <m:t>a Cobrada  $</m:t>
              </m:r>
            </m:num>
            <m:den>
              <m:r>
                <m:rPr>
                  <m:sty m:val="p"/>
                </m:rPr>
                <w:rPr>
                  <w:rFonts w:ascii="Cambria Math" w:cs="Times New Roman"/>
                  <w:szCs w:val="24"/>
                  <w:lang w:val="es-CL"/>
                </w:rPr>
                <m:t>Energ</m:t>
              </m:r>
              <m:r>
                <m:rPr>
                  <m:sty m:val="p"/>
                </m:rPr>
                <w:rPr>
                  <w:rFonts w:ascii="Cambria Math" w:hAnsi="Cambria Math" w:cs="Times New Roman"/>
                  <w:szCs w:val="24"/>
                  <w:lang w:val="es-CL"/>
                </w:rPr>
                <m:t>í</m:t>
              </m:r>
              <m:r>
                <m:rPr>
                  <m:sty m:val="p"/>
                </m:rPr>
                <w:rPr>
                  <w:rFonts w:ascii="Cambria Math" w:cs="Times New Roman"/>
                  <w:szCs w:val="24"/>
                  <w:lang w:val="es-CL"/>
                </w:rPr>
                <m:t>a Facturada  $</m:t>
              </m:r>
            </m:den>
          </m:f>
        </m:oMath>
      </m:oMathPara>
    </w:p>
    <w:p w:rsidR="0030590C" w:rsidRPr="0030590C" w:rsidRDefault="0030590C" w:rsidP="0030590C">
      <w:pPr>
        <w:spacing w:before="0" w:after="120"/>
        <w:rPr>
          <w:rFonts w:cs="Times New Roman"/>
          <w:szCs w:val="24"/>
          <w:lang w:val="es-CL"/>
        </w:rPr>
      </w:pPr>
    </w:p>
    <w:p w:rsidR="0030590C" w:rsidRDefault="0030590C" w:rsidP="004C3F83">
      <w:pPr>
        <w:pStyle w:val="ListParagraph"/>
        <w:numPr>
          <w:ilvl w:val="0"/>
          <w:numId w:val="13"/>
        </w:numPr>
        <w:spacing w:before="0" w:after="120"/>
        <w:ind w:hanging="720"/>
        <w:rPr>
          <w:rFonts w:cs="Times New Roman"/>
          <w:szCs w:val="24"/>
          <w:lang w:val="es-CL"/>
        </w:rPr>
      </w:pPr>
      <w:r w:rsidRPr="0030590C">
        <w:rPr>
          <w:rFonts w:cs="Times New Roman"/>
          <w:szCs w:val="24"/>
          <w:lang w:val="es-CL"/>
        </w:rPr>
        <w:t xml:space="preserve">Para una empresa </w:t>
      </w:r>
      <w:r w:rsidR="00CD12A1">
        <w:rPr>
          <w:rFonts w:cs="Times New Roman"/>
          <w:szCs w:val="24"/>
          <w:lang w:val="es-CL"/>
        </w:rPr>
        <w:t>de estándares normales,</w:t>
      </w:r>
      <w:r w:rsidRPr="0030590C">
        <w:rPr>
          <w:rFonts w:cs="Times New Roman"/>
          <w:szCs w:val="24"/>
          <w:lang w:val="es-CL"/>
        </w:rPr>
        <w:t xml:space="preserve"> con pérdidas técnicas de 10% y pérdidas </w:t>
      </w:r>
      <w:r w:rsidR="00CD12A1" w:rsidRPr="0030590C">
        <w:rPr>
          <w:rFonts w:cs="Times New Roman"/>
          <w:szCs w:val="24"/>
          <w:lang w:val="es-CL"/>
        </w:rPr>
        <w:t xml:space="preserve">comerciales </w:t>
      </w:r>
      <w:r w:rsidR="00CD12A1">
        <w:rPr>
          <w:rFonts w:cs="Times New Roman"/>
          <w:szCs w:val="24"/>
          <w:lang w:val="es-CL"/>
        </w:rPr>
        <w:t>o</w:t>
      </w:r>
      <w:r w:rsidR="00CD12A1" w:rsidRPr="0030590C">
        <w:rPr>
          <w:rFonts w:cs="Times New Roman"/>
          <w:szCs w:val="24"/>
          <w:lang w:val="es-CL"/>
        </w:rPr>
        <w:t xml:space="preserve"> </w:t>
      </w:r>
      <w:r w:rsidR="00CD12A1">
        <w:rPr>
          <w:rFonts w:cs="Times New Roman"/>
          <w:szCs w:val="24"/>
          <w:lang w:val="es-CL"/>
        </w:rPr>
        <w:t xml:space="preserve">no-técnicas del </w:t>
      </w:r>
      <w:r w:rsidRPr="0030590C">
        <w:rPr>
          <w:rFonts w:cs="Times New Roman"/>
          <w:szCs w:val="24"/>
          <w:lang w:val="es-CL"/>
        </w:rPr>
        <w:t xml:space="preserve">3%, el primer término sería alrededor de 87%; la tasa de cobranza debería ser del orden de 98%, resultando en un CRI aceptable de 85%.  En el caso de las </w:t>
      </w:r>
      <w:proofErr w:type="spellStart"/>
      <w:r w:rsidRPr="0030590C">
        <w:rPr>
          <w:rFonts w:cs="Times New Roman"/>
          <w:szCs w:val="24"/>
          <w:lang w:val="es-CL"/>
        </w:rPr>
        <w:t>E</w:t>
      </w:r>
      <w:r w:rsidR="00CD12A1">
        <w:rPr>
          <w:rFonts w:cs="Times New Roman"/>
          <w:szCs w:val="24"/>
          <w:lang w:val="es-CL"/>
        </w:rPr>
        <w:t>DEs</w:t>
      </w:r>
      <w:proofErr w:type="spellEnd"/>
      <w:r w:rsidRPr="0030590C">
        <w:rPr>
          <w:rFonts w:cs="Times New Roman"/>
          <w:szCs w:val="24"/>
          <w:lang w:val="es-CL"/>
        </w:rPr>
        <w:t xml:space="preserve">, estos indicadores tienen los siguientes valores </w:t>
      </w:r>
      <w:r w:rsidR="00CD12A1">
        <w:rPr>
          <w:rFonts w:cs="Times New Roman"/>
          <w:szCs w:val="24"/>
          <w:lang w:val="es-CL"/>
        </w:rPr>
        <w:t xml:space="preserve">en el </w:t>
      </w:r>
      <w:r w:rsidRPr="0030590C">
        <w:rPr>
          <w:rFonts w:cs="Times New Roman"/>
          <w:szCs w:val="24"/>
          <w:lang w:val="es-CL"/>
        </w:rPr>
        <w:t>2013:</w:t>
      </w:r>
    </w:p>
    <w:tbl>
      <w:tblPr>
        <w:tblStyle w:val="TableGrid"/>
        <w:tblW w:w="7770" w:type="dxa"/>
        <w:jc w:val="center"/>
        <w:tblInd w:w="528" w:type="dxa"/>
        <w:tblBorders>
          <w:left w:val="none" w:sz="0" w:space="0" w:color="auto"/>
          <w:right w:val="none" w:sz="0" w:space="0" w:color="auto"/>
          <w:insideV w:val="none" w:sz="0" w:space="0" w:color="auto"/>
        </w:tblBorders>
        <w:tblLook w:val="04A0" w:firstRow="1" w:lastRow="0" w:firstColumn="1" w:lastColumn="0" w:noHBand="0" w:noVBand="1"/>
      </w:tblPr>
      <w:tblGrid>
        <w:gridCol w:w="1650"/>
        <w:gridCol w:w="1890"/>
        <w:gridCol w:w="1980"/>
        <w:gridCol w:w="2250"/>
      </w:tblGrid>
      <w:tr w:rsidR="00CD12A1" w:rsidRPr="009B7FDF" w:rsidTr="00CD12A1">
        <w:trPr>
          <w:jc w:val="center"/>
        </w:trPr>
        <w:tc>
          <w:tcPr>
            <w:tcW w:w="7770" w:type="dxa"/>
            <w:gridSpan w:val="4"/>
          </w:tcPr>
          <w:p w:rsidR="00CD12A1" w:rsidRPr="00CD12A1" w:rsidRDefault="00CD12A1" w:rsidP="00CD12A1">
            <w:pPr>
              <w:jc w:val="center"/>
              <w:rPr>
                <w:rFonts w:cs="Times New Roman"/>
                <w:szCs w:val="24"/>
                <w:lang w:val="es-ES"/>
              </w:rPr>
            </w:pPr>
            <w:r w:rsidRPr="00CD12A1">
              <w:rPr>
                <w:rFonts w:cs="Times New Roman"/>
                <w:szCs w:val="24"/>
                <w:lang w:val="es-ES"/>
              </w:rPr>
              <w:lastRenderedPageBreak/>
              <w:t xml:space="preserve">Índices de Pérdidas, Cobranza y CRI para </w:t>
            </w:r>
            <w:r>
              <w:rPr>
                <w:rFonts w:cs="Times New Roman"/>
                <w:szCs w:val="24"/>
                <w:lang w:val="es-ES"/>
              </w:rPr>
              <w:t>las</w:t>
            </w:r>
            <w:r w:rsidRPr="00CD12A1">
              <w:rPr>
                <w:rFonts w:cs="Times New Roman"/>
                <w:szCs w:val="24"/>
                <w:lang w:val="es-ES"/>
              </w:rPr>
              <w:t xml:space="preserve"> empresas distribuidoras </w:t>
            </w:r>
            <w:r w:rsidR="005C0B1F">
              <w:rPr>
                <w:rFonts w:cs="Times New Roman"/>
                <w:szCs w:val="24"/>
                <w:lang w:val="es-ES"/>
              </w:rPr>
              <w:t xml:space="preserve"> </w:t>
            </w:r>
            <w:r w:rsidRPr="00CD12A1">
              <w:rPr>
                <w:rFonts w:cs="Times New Roman"/>
                <w:szCs w:val="24"/>
                <w:lang w:val="es-ES"/>
              </w:rPr>
              <w:t>2013)</w:t>
            </w:r>
          </w:p>
        </w:tc>
      </w:tr>
      <w:tr w:rsidR="00CD12A1" w:rsidRPr="00CD12A1" w:rsidTr="00CD12A1">
        <w:trPr>
          <w:jc w:val="center"/>
        </w:trPr>
        <w:tc>
          <w:tcPr>
            <w:tcW w:w="1650" w:type="dxa"/>
          </w:tcPr>
          <w:p w:rsidR="00CD12A1" w:rsidRPr="00CD12A1" w:rsidRDefault="00CD12A1" w:rsidP="007D2DE5">
            <w:pPr>
              <w:rPr>
                <w:rFonts w:cs="Times New Roman"/>
                <w:b/>
                <w:szCs w:val="24"/>
                <w:lang w:val="es-ES"/>
              </w:rPr>
            </w:pPr>
          </w:p>
        </w:tc>
        <w:tc>
          <w:tcPr>
            <w:tcW w:w="1890" w:type="dxa"/>
          </w:tcPr>
          <w:p w:rsidR="00CD12A1" w:rsidRPr="00CD12A1" w:rsidRDefault="00CD12A1" w:rsidP="007D2DE5">
            <w:pPr>
              <w:jc w:val="center"/>
              <w:rPr>
                <w:rFonts w:cs="Times New Roman"/>
                <w:b/>
                <w:szCs w:val="24"/>
                <w:lang w:val="es-ES"/>
              </w:rPr>
            </w:pPr>
            <w:r w:rsidRPr="00CD12A1">
              <w:rPr>
                <w:rFonts w:cs="Times New Roman"/>
                <w:b/>
                <w:szCs w:val="24"/>
                <w:lang w:val="es-ES"/>
              </w:rPr>
              <w:t>Pérdidas</w:t>
            </w:r>
          </w:p>
        </w:tc>
        <w:tc>
          <w:tcPr>
            <w:tcW w:w="1980" w:type="dxa"/>
          </w:tcPr>
          <w:p w:rsidR="00CD12A1" w:rsidRPr="00CD12A1" w:rsidRDefault="00CD12A1" w:rsidP="007D2DE5">
            <w:pPr>
              <w:jc w:val="center"/>
              <w:rPr>
                <w:rFonts w:cs="Times New Roman"/>
                <w:b/>
                <w:szCs w:val="24"/>
                <w:lang w:val="es-ES"/>
              </w:rPr>
            </w:pPr>
            <w:r w:rsidRPr="00CD12A1">
              <w:rPr>
                <w:rFonts w:cs="Times New Roman"/>
                <w:b/>
                <w:szCs w:val="24"/>
                <w:lang w:val="es-ES"/>
              </w:rPr>
              <w:t>Cobranza</w:t>
            </w:r>
          </w:p>
        </w:tc>
        <w:tc>
          <w:tcPr>
            <w:tcW w:w="2250" w:type="dxa"/>
          </w:tcPr>
          <w:p w:rsidR="00CD12A1" w:rsidRPr="00CD12A1" w:rsidRDefault="00CD12A1" w:rsidP="007D2DE5">
            <w:pPr>
              <w:jc w:val="center"/>
              <w:rPr>
                <w:rFonts w:cs="Times New Roman"/>
                <w:b/>
                <w:szCs w:val="24"/>
                <w:lang w:val="es-ES"/>
              </w:rPr>
            </w:pPr>
            <w:r w:rsidRPr="00CD12A1">
              <w:rPr>
                <w:rFonts w:cs="Times New Roman"/>
                <w:b/>
                <w:szCs w:val="24"/>
                <w:lang w:val="es-ES"/>
              </w:rPr>
              <w:t>CRI</w:t>
            </w:r>
          </w:p>
        </w:tc>
      </w:tr>
      <w:tr w:rsidR="00CD12A1" w:rsidRPr="00CD12A1" w:rsidTr="00CD12A1">
        <w:trPr>
          <w:jc w:val="center"/>
        </w:trPr>
        <w:tc>
          <w:tcPr>
            <w:tcW w:w="1650" w:type="dxa"/>
          </w:tcPr>
          <w:p w:rsidR="00CD12A1" w:rsidRPr="00CD12A1" w:rsidRDefault="00CD12A1" w:rsidP="007D2DE5">
            <w:pPr>
              <w:rPr>
                <w:rFonts w:cs="Times New Roman"/>
                <w:szCs w:val="24"/>
                <w:lang w:val="es-ES"/>
              </w:rPr>
            </w:pPr>
            <w:proofErr w:type="spellStart"/>
            <w:r w:rsidRPr="00CD12A1">
              <w:rPr>
                <w:rFonts w:cs="Times New Roman"/>
                <w:szCs w:val="24"/>
                <w:lang w:val="es-ES"/>
              </w:rPr>
              <w:t>EDEs</w:t>
            </w:r>
            <w:proofErr w:type="spellEnd"/>
          </w:p>
        </w:tc>
        <w:tc>
          <w:tcPr>
            <w:tcW w:w="1890" w:type="dxa"/>
            <w:vAlign w:val="center"/>
          </w:tcPr>
          <w:p w:rsidR="00CD12A1" w:rsidRPr="00CD12A1" w:rsidRDefault="00CD12A1" w:rsidP="007D2DE5">
            <w:pPr>
              <w:jc w:val="center"/>
              <w:rPr>
                <w:rFonts w:cs="Times New Roman"/>
                <w:bCs/>
                <w:color w:val="0F253F"/>
                <w:szCs w:val="24"/>
              </w:rPr>
            </w:pPr>
            <w:r w:rsidRPr="00CD12A1">
              <w:rPr>
                <w:rFonts w:cs="Times New Roman"/>
                <w:bCs/>
                <w:color w:val="0F253F"/>
                <w:szCs w:val="24"/>
              </w:rPr>
              <w:t>33,1%</w:t>
            </w:r>
          </w:p>
        </w:tc>
        <w:tc>
          <w:tcPr>
            <w:tcW w:w="1980" w:type="dxa"/>
            <w:vAlign w:val="center"/>
          </w:tcPr>
          <w:p w:rsidR="00CD12A1" w:rsidRPr="00CD12A1" w:rsidRDefault="00CD12A1" w:rsidP="007D2DE5">
            <w:pPr>
              <w:jc w:val="center"/>
              <w:rPr>
                <w:rFonts w:cs="Times New Roman"/>
                <w:bCs/>
                <w:color w:val="0F253F"/>
                <w:szCs w:val="24"/>
              </w:rPr>
            </w:pPr>
            <w:r w:rsidRPr="00CD12A1">
              <w:rPr>
                <w:rFonts w:cs="Times New Roman"/>
                <w:bCs/>
                <w:color w:val="0F253F"/>
                <w:szCs w:val="24"/>
              </w:rPr>
              <w:t>95,4%</w:t>
            </w:r>
          </w:p>
        </w:tc>
        <w:tc>
          <w:tcPr>
            <w:tcW w:w="2250" w:type="dxa"/>
            <w:vAlign w:val="center"/>
          </w:tcPr>
          <w:p w:rsidR="00CD12A1" w:rsidRPr="00CD12A1" w:rsidRDefault="00CD12A1" w:rsidP="007D2DE5">
            <w:pPr>
              <w:jc w:val="center"/>
              <w:rPr>
                <w:rFonts w:cs="Times New Roman"/>
                <w:bCs/>
                <w:color w:val="0F253F"/>
                <w:szCs w:val="24"/>
              </w:rPr>
            </w:pPr>
            <w:r w:rsidRPr="00CD12A1">
              <w:rPr>
                <w:rFonts w:cs="Times New Roman"/>
                <w:bCs/>
                <w:color w:val="0F253F"/>
                <w:szCs w:val="24"/>
              </w:rPr>
              <w:t>63,8%</w:t>
            </w:r>
          </w:p>
        </w:tc>
      </w:tr>
      <w:tr w:rsidR="00CD12A1" w:rsidRPr="00CD12A1" w:rsidTr="00CD12A1">
        <w:trPr>
          <w:jc w:val="center"/>
        </w:trPr>
        <w:tc>
          <w:tcPr>
            <w:tcW w:w="1650" w:type="dxa"/>
          </w:tcPr>
          <w:p w:rsidR="00CD12A1" w:rsidRPr="00CD12A1" w:rsidRDefault="00CD12A1" w:rsidP="007D2DE5">
            <w:pPr>
              <w:rPr>
                <w:rFonts w:cs="Times New Roman"/>
                <w:szCs w:val="24"/>
                <w:lang w:val="es-ES"/>
              </w:rPr>
            </w:pPr>
            <w:r w:rsidRPr="00CD12A1">
              <w:rPr>
                <w:rFonts w:cs="Times New Roman"/>
                <w:szCs w:val="24"/>
                <w:lang w:val="es-ES"/>
              </w:rPr>
              <w:t>EDENORTE</w:t>
            </w:r>
          </w:p>
        </w:tc>
        <w:tc>
          <w:tcPr>
            <w:tcW w:w="1890" w:type="dxa"/>
            <w:vAlign w:val="center"/>
          </w:tcPr>
          <w:p w:rsidR="00CD12A1" w:rsidRPr="00CD12A1" w:rsidRDefault="00CD12A1" w:rsidP="007D2DE5">
            <w:pPr>
              <w:jc w:val="center"/>
              <w:rPr>
                <w:rFonts w:cs="Times New Roman"/>
                <w:bCs/>
                <w:color w:val="0F253F"/>
                <w:szCs w:val="24"/>
              </w:rPr>
            </w:pPr>
            <w:r w:rsidRPr="00CD12A1">
              <w:rPr>
                <w:rFonts w:cs="Times New Roman"/>
                <w:bCs/>
                <w:color w:val="0F253F"/>
                <w:szCs w:val="24"/>
              </w:rPr>
              <w:t>34,9%</w:t>
            </w:r>
          </w:p>
        </w:tc>
        <w:tc>
          <w:tcPr>
            <w:tcW w:w="1980" w:type="dxa"/>
            <w:vAlign w:val="center"/>
          </w:tcPr>
          <w:p w:rsidR="00CD12A1" w:rsidRPr="00CD12A1" w:rsidRDefault="00CD12A1" w:rsidP="007D2DE5">
            <w:pPr>
              <w:jc w:val="center"/>
              <w:rPr>
                <w:rFonts w:cs="Times New Roman"/>
                <w:bCs/>
                <w:color w:val="0F253F"/>
                <w:szCs w:val="24"/>
              </w:rPr>
            </w:pPr>
            <w:r w:rsidRPr="00CD12A1">
              <w:rPr>
                <w:rFonts w:cs="Times New Roman"/>
                <w:bCs/>
                <w:color w:val="0F253F"/>
                <w:szCs w:val="24"/>
              </w:rPr>
              <w:t>96,2%</w:t>
            </w:r>
          </w:p>
        </w:tc>
        <w:tc>
          <w:tcPr>
            <w:tcW w:w="2250" w:type="dxa"/>
            <w:vAlign w:val="center"/>
          </w:tcPr>
          <w:p w:rsidR="00CD12A1" w:rsidRPr="00CD12A1" w:rsidRDefault="00CD12A1" w:rsidP="007D2DE5">
            <w:pPr>
              <w:jc w:val="center"/>
              <w:rPr>
                <w:rFonts w:cs="Times New Roman"/>
                <w:bCs/>
                <w:color w:val="0F253F"/>
                <w:szCs w:val="24"/>
              </w:rPr>
            </w:pPr>
            <w:r w:rsidRPr="00CD12A1">
              <w:rPr>
                <w:rFonts w:cs="Times New Roman"/>
                <w:bCs/>
                <w:color w:val="0F253F"/>
                <w:szCs w:val="24"/>
              </w:rPr>
              <w:t>62,6%</w:t>
            </w:r>
          </w:p>
        </w:tc>
      </w:tr>
      <w:tr w:rsidR="00CD12A1" w:rsidRPr="00CD12A1" w:rsidTr="00CD12A1">
        <w:trPr>
          <w:jc w:val="center"/>
        </w:trPr>
        <w:tc>
          <w:tcPr>
            <w:tcW w:w="1650" w:type="dxa"/>
          </w:tcPr>
          <w:p w:rsidR="00CD12A1" w:rsidRPr="00CD12A1" w:rsidRDefault="00CD12A1" w:rsidP="007D2DE5">
            <w:pPr>
              <w:rPr>
                <w:rFonts w:cs="Times New Roman"/>
                <w:szCs w:val="24"/>
                <w:lang w:val="es-ES"/>
              </w:rPr>
            </w:pPr>
            <w:r w:rsidRPr="00CD12A1">
              <w:rPr>
                <w:rFonts w:cs="Times New Roman"/>
                <w:szCs w:val="24"/>
                <w:lang w:val="es-ES"/>
              </w:rPr>
              <w:t>EDESUR</w:t>
            </w:r>
          </w:p>
        </w:tc>
        <w:tc>
          <w:tcPr>
            <w:tcW w:w="1890" w:type="dxa"/>
            <w:vAlign w:val="center"/>
          </w:tcPr>
          <w:p w:rsidR="00CD12A1" w:rsidRPr="00CD12A1" w:rsidRDefault="00CD12A1" w:rsidP="007D2DE5">
            <w:pPr>
              <w:jc w:val="center"/>
              <w:rPr>
                <w:rFonts w:cs="Times New Roman"/>
                <w:bCs/>
                <w:color w:val="0F253F"/>
                <w:szCs w:val="24"/>
              </w:rPr>
            </w:pPr>
            <w:r w:rsidRPr="00CD12A1">
              <w:rPr>
                <w:rFonts w:cs="Times New Roman"/>
                <w:bCs/>
                <w:color w:val="0F253F"/>
                <w:szCs w:val="24"/>
              </w:rPr>
              <w:t>28,8%</w:t>
            </w:r>
          </w:p>
        </w:tc>
        <w:tc>
          <w:tcPr>
            <w:tcW w:w="1980" w:type="dxa"/>
            <w:vAlign w:val="center"/>
          </w:tcPr>
          <w:p w:rsidR="00CD12A1" w:rsidRPr="00CD12A1" w:rsidRDefault="00CD12A1" w:rsidP="007D2DE5">
            <w:pPr>
              <w:jc w:val="center"/>
              <w:rPr>
                <w:rFonts w:cs="Times New Roman"/>
                <w:bCs/>
                <w:color w:val="0F253F"/>
                <w:szCs w:val="24"/>
              </w:rPr>
            </w:pPr>
            <w:r w:rsidRPr="00CD12A1">
              <w:rPr>
                <w:rFonts w:cs="Times New Roman"/>
                <w:bCs/>
                <w:color w:val="0F253F"/>
                <w:szCs w:val="24"/>
              </w:rPr>
              <w:t>95,4%</w:t>
            </w:r>
          </w:p>
        </w:tc>
        <w:tc>
          <w:tcPr>
            <w:tcW w:w="2250" w:type="dxa"/>
            <w:vAlign w:val="center"/>
          </w:tcPr>
          <w:p w:rsidR="00CD12A1" w:rsidRPr="00CD12A1" w:rsidRDefault="00CD12A1" w:rsidP="007D2DE5">
            <w:pPr>
              <w:jc w:val="center"/>
              <w:rPr>
                <w:rFonts w:cs="Times New Roman"/>
                <w:bCs/>
                <w:color w:val="0F253F"/>
                <w:szCs w:val="24"/>
              </w:rPr>
            </w:pPr>
            <w:r w:rsidRPr="00CD12A1">
              <w:rPr>
                <w:rFonts w:cs="Times New Roman"/>
                <w:bCs/>
                <w:color w:val="0F253F"/>
                <w:szCs w:val="24"/>
              </w:rPr>
              <w:t>67,9%</w:t>
            </w:r>
          </w:p>
        </w:tc>
      </w:tr>
      <w:tr w:rsidR="00CD12A1" w:rsidRPr="00CD12A1" w:rsidTr="00CD12A1">
        <w:trPr>
          <w:jc w:val="center"/>
        </w:trPr>
        <w:tc>
          <w:tcPr>
            <w:tcW w:w="1650" w:type="dxa"/>
          </w:tcPr>
          <w:p w:rsidR="00CD12A1" w:rsidRPr="00CD12A1" w:rsidRDefault="00CD12A1" w:rsidP="007D2DE5">
            <w:pPr>
              <w:rPr>
                <w:rFonts w:cs="Times New Roman"/>
                <w:szCs w:val="24"/>
                <w:lang w:val="es-ES"/>
              </w:rPr>
            </w:pPr>
            <w:r w:rsidRPr="00CD12A1">
              <w:rPr>
                <w:rFonts w:cs="Times New Roman"/>
                <w:szCs w:val="24"/>
                <w:lang w:val="es-ES"/>
              </w:rPr>
              <w:t>EDEESTE</w:t>
            </w:r>
          </w:p>
        </w:tc>
        <w:tc>
          <w:tcPr>
            <w:tcW w:w="1890" w:type="dxa"/>
            <w:vAlign w:val="center"/>
          </w:tcPr>
          <w:p w:rsidR="00CD12A1" w:rsidRPr="00CD12A1" w:rsidRDefault="00CD12A1" w:rsidP="007D2DE5">
            <w:pPr>
              <w:jc w:val="center"/>
              <w:rPr>
                <w:rFonts w:cs="Times New Roman"/>
                <w:bCs/>
                <w:color w:val="0F253F"/>
                <w:szCs w:val="24"/>
              </w:rPr>
            </w:pPr>
            <w:r w:rsidRPr="00CD12A1">
              <w:rPr>
                <w:rFonts w:cs="Times New Roman"/>
                <w:bCs/>
                <w:color w:val="0F253F"/>
                <w:szCs w:val="24"/>
              </w:rPr>
              <w:t>36,3%</w:t>
            </w:r>
          </w:p>
        </w:tc>
        <w:tc>
          <w:tcPr>
            <w:tcW w:w="1980" w:type="dxa"/>
            <w:vAlign w:val="center"/>
          </w:tcPr>
          <w:p w:rsidR="00CD12A1" w:rsidRPr="00CD12A1" w:rsidRDefault="00CD12A1" w:rsidP="007D2DE5">
            <w:pPr>
              <w:jc w:val="center"/>
              <w:rPr>
                <w:rFonts w:cs="Times New Roman"/>
                <w:bCs/>
                <w:color w:val="0F253F"/>
                <w:szCs w:val="24"/>
              </w:rPr>
            </w:pPr>
            <w:r w:rsidRPr="00CD12A1">
              <w:rPr>
                <w:rFonts w:cs="Times New Roman"/>
                <w:bCs/>
                <w:color w:val="0F253F"/>
                <w:szCs w:val="24"/>
              </w:rPr>
              <w:t>94,7%</w:t>
            </w:r>
          </w:p>
        </w:tc>
        <w:tc>
          <w:tcPr>
            <w:tcW w:w="2250" w:type="dxa"/>
            <w:vAlign w:val="center"/>
          </w:tcPr>
          <w:p w:rsidR="00CD12A1" w:rsidRPr="00CD12A1" w:rsidRDefault="00CD12A1" w:rsidP="007D2DE5">
            <w:pPr>
              <w:jc w:val="center"/>
              <w:rPr>
                <w:rFonts w:cs="Times New Roman"/>
                <w:bCs/>
                <w:color w:val="0F253F"/>
                <w:szCs w:val="24"/>
              </w:rPr>
            </w:pPr>
            <w:r w:rsidRPr="00CD12A1">
              <w:rPr>
                <w:rFonts w:cs="Times New Roman"/>
                <w:bCs/>
                <w:color w:val="0F253F"/>
                <w:szCs w:val="24"/>
              </w:rPr>
              <w:t>60,4%</w:t>
            </w:r>
          </w:p>
        </w:tc>
      </w:tr>
    </w:tbl>
    <w:p w:rsidR="00CD12A1" w:rsidRPr="00CD12A1" w:rsidRDefault="00CD12A1" w:rsidP="00CD12A1">
      <w:pPr>
        <w:spacing w:before="0" w:after="120"/>
        <w:rPr>
          <w:rFonts w:cs="Times New Roman"/>
          <w:szCs w:val="24"/>
          <w:lang w:val="es-CL"/>
        </w:rPr>
      </w:pPr>
    </w:p>
    <w:p w:rsidR="00BA46AE" w:rsidRDefault="0030590C" w:rsidP="00B53778">
      <w:pPr>
        <w:pStyle w:val="ListParagraph"/>
        <w:numPr>
          <w:ilvl w:val="0"/>
          <w:numId w:val="13"/>
        </w:numPr>
        <w:ind w:hanging="720"/>
        <w:rPr>
          <w:rFonts w:cs="Times New Roman"/>
          <w:szCs w:val="24"/>
          <w:lang w:val="es-CL"/>
        </w:rPr>
      </w:pPr>
      <w:r w:rsidRPr="00B72980">
        <w:rPr>
          <w:rFonts w:cs="Times New Roman"/>
          <w:szCs w:val="24"/>
          <w:lang w:val="es-CL"/>
        </w:rPr>
        <w:t>Como puede observarse, el CRI de la</w:t>
      </w:r>
      <w:r w:rsidR="00CD12A1" w:rsidRPr="00B72980">
        <w:rPr>
          <w:rFonts w:cs="Times New Roman"/>
          <w:szCs w:val="24"/>
          <w:lang w:val="es-CL"/>
        </w:rPr>
        <w:t xml:space="preserve">s </w:t>
      </w:r>
      <w:proofErr w:type="spellStart"/>
      <w:r w:rsidR="00CD12A1" w:rsidRPr="00B72980">
        <w:rPr>
          <w:rFonts w:cs="Times New Roman"/>
          <w:szCs w:val="24"/>
          <w:lang w:val="es-CL"/>
        </w:rPr>
        <w:t>EDEs</w:t>
      </w:r>
      <w:proofErr w:type="spellEnd"/>
      <w:r w:rsidRPr="00B72980">
        <w:rPr>
          <w:rFonts w:cs="Times New Roman"/>
          <w:szCs w:val="24"/>
          <w:lang w:val="es-CL"/>
        </w:rPr>
        <w:t xml:space="preserve"> está lejos de ser aceptable.  La meta propuesta para el 2016 por la CDEEE sería un CRI de 72%, junto con una meta de pérdidas totales de 25,1%, esto implicaría una cobranza de 96% en comparaci</w:t>
      </w:r>
      <w:r w:rsidR="00BA46AE" w:rsidRPr="00B72980">
        <w:rPr>
          <w:rFonts w:cs="Times New Roman"/>
          <w:szCs w:val="24"/>
          <w:lang w:val="es-CL"/>
        </w:rPr>
        <w:t>ón con el actual valor de 95,4%.</w:t>
      </w:r>
    </w:p>
    <w:p w:rsidR="00B53778" w:rsidRPr="00B72980" w:rsidRDefault="00B53778" w:rsidP="00B53778">
      <w:pPr>
        <w:pStyle w:val="ListParagraph"/>
        <w:ind w:firstLine="0"/>
        <w:rPr>
          <w:rFonts w:cs="Times New Roman"/>
          <w:szCs w:val="24"/>
          <w:lang w:val="es-CL"/>
        </w:rPr>
      </w:pPr>
    </w:p>
    <w:p w:rsidR="00904E5A" w:rsidRDefault="0030590C" w:rsidP="00BA46AE">
      <w:pPr>
        <w:pStyle w:val="ListParagraph"/>
        <w:numPr>
          <w:ilvl w:val="0"/>
          <w:numId w:val="13"/>
        </w:numPr>
        <w:ind w:hanging="720"/>
        <w:rPr>
          <w:rFonts w:cs="Times New Roman"/>
          <w:szCs w:val="24"/>
          <w:lang w:val="es-CL"/>
        </w:rPr>
      </w:pPr>
      <w:r w:rsidRPr="0030590C">
        <w:rPr>
          <w:rFonts w:cs="Times New Roman"/>
          <w:szCs w:val="24"/>
          <w:lang w:val="es-CL"/>
        </w:rPr>
        <w:t>Los costos de mejorar la cobranza son sobre todo de ín</w:t>
      </w:r>
      <w:r w:rsidR="00CD12A1">
        <w:rPr>
          <w:rFonts w:cs="Times New Roman"/>
          <w:szCs w:val="24"/>
          <w:lang w:val="es-CL"/>
        </w:rPr>
        <w:t>dole administrativo,</w:t>
      </w:r>
      <w:r w:rsidRPr="0030590C">
        <w:rPr>
          <w:rFonts w:cs="Times New Roman"/>
          <w:szCs w:val="24"/>
          <w:lang w:val="es-CL"/>
        </w:rPr>
        <w:t xml:space="preserve"> en el sentido de</w:t>
      </w:r>
      <w:r w:rsidR="00125D5A">
        <w:rPr>
          <w:rFonts w:cs="Times New Roman"/>
          <w:szCs w:val="24"/>
          <w:lang w:val="es-CL"/>
        </w:rPr>
        <w:t xml:space="preserve"> introducir medidas para</w:t>
      </w:r>
      <w:r w:rsidRPr="0030590C">
        <w:rPr>
          <w:rFonts w:cs="Times New Roman"/>
          <w:szCs w:val="24"/>
          <w:lang w:val="es-CL"/>
        </w:rPr>
        <w:t xml:space="preserve"> facilitar el pago de las facturas y para inducir el pago</w:t>
      </w:r>
      <w:r w:rsidR="00125D5A">
        <w:rPr>
          <w:rFonts w:cs="Times New Roman"/>
          <w:szCs w:val="24"/>
          <w:lang w:val="es-CL"/>
        </w:rPr>
        <w:t>,</w:t>
      </w:r>
      <w:r w:rsidR="005C0B1F">
        <w:rPr>
          <w:rFonts w:cs="Times New Roman"/>
          <w:szCs w:val="24"/>
          <w:lang w:val="es-CL"/>
        </w:rPr>
        <w:t xml:space="preserve"> </w:t>
      </w:r>
      <w:r w:rsidRPr="0030590C">
        <w:rPr>
          <w:rFonts w:cs="Times New Roman"/>
          <w:szCs w:val="24"/>
          <w:lang w:val="es-CL"/>
        </w:rPr>
        <w:t>tales como el corte del servicio por no pago.  Las estimaciones de beneficios financieros asociados con la mejora de la cobranza se resumen en el siguiente cuadro:</w:t>
      </w:r>
    </w:p>
    <w:p w:rsidR="006F54C9" w:rsidRPr="00227420" w:rsidRDefault="006F54C9" w:rsidP="006F54C9">
      <w:pPr>
        <w:pStyle w:val="ListParagraph"/>
        <w:ind w:firstLine="0"/>
        <w:rPr>
          <w:rFonts w:cs="Times New Roman"/>
          <w:szCs w:val="24"/>
          <w:lang w:val="es-CL"/>
        </w:rPr>
      </w:pPr>
    </w:p>
    <w:p w:rsidR="00904E5A" w:rsidRDefault="006F54C9" w:rsidP="00CD12A1">
      <w:pPr>
        <w:spacing w:before="0" w:after="120"/>
        <w:jc w:val="right"/>
        <w:rPr>
          <w:rFonts w:cs="Times New Roman"/>
          <w:szCs w:val="24"/>
          <w:lang w:val="es-CL"/>
        </w:rPr>
      </w:pPr>
      <w:r w:rsidRPr="006F54C9">
        <w:rPr>
          <w:noProof/>
        </w:rPr>
        <w:drawing>
          <wp:inline distT="0" distB="0" distL="0" distR="0" wp14:anchorId="6178103B" wp14:editId="561384A5">
            <wp:extent cx="5539575" cy="257524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42004" cy="2576378"/>
                    </a:xfrm>
                    <a:prstGeom prst="rect">
                      <a:avLst/>
                    </a:prstGeom>
                    <a:noFill/>
                    <a:ln>
                      <a:noFill/>
                    </a:ln>
                  </pic:spPr>
                </pic:pic>
              </a:graphicData>
            </a:graphic>
          </wp:inline>
        </w:drawing>
      </w:r>
    </w:p>
    <w:p w:rsidR="00A435EC" w:rsidRPr="00A435EC" w:rsidRDefault="00A435EC" w:rsidP="00A435EC">
      <w:pPr>
        <w:pStyle w:val="ListParagraph"/>
        <w:spacing w:before="0" w:after="120"/>
        <w:ind w:firstLine="0"/>
        <w:rPr>
          <w:rFonts w:cs="Times New Roman"/>
          <w:szCs w:val="24"/>
          <w:lang w:val="es-CL"/>
        </w:rPr>
      </w:pPr>
    </w:p>
    <w:p w:rsidR="002B6C5A" w:rsidRPr="00A54BE8" w:rsidRDefault="002B6C5A" w:rsidP="00BA46AE">
      <w:pPr>
        <w:pStyle w:val="ListParagraph"/>
        <w:numPr>
          <w:ilvl w:val="0"/>
          <w:numId w:val="13"/>
        </w:numPr>
        <w:spacing w:before="0" w:after="120"/>
        <w:ind w:hanging="720"/>
        <w:rPr>
          <w:rFonts w:cs="Times New Roman"/>
          <w:szCs w:val="24"/>
          <w:lang w:val="es-CL"/>
        </w:rPr>
      </w:pPr>
      <w:r>
        <w:rPr>
          <w:lang w:val="es-ES"/>
        </w:rPr>
        <w:t xml:space="preserve">Los beneficios asociados con una mejor cobranza exceden ampliamente los costos, incluso manteniéndose en </w:t>
      </w:r>
      <w:r w:rsidRPr="002C05EE">
        <w:rPr>
          <w:rFonts w:cs="Times New Roman"/>
          <w:szCs w:val="24"/>
          <w:lang w:val="es-CL"/>
        </w:rPr>
        <w:t>el</w:t>
      </w:r>
      <w:r>
        <w:rPr>
          <w:lang w:val="es-ES"/>
        </w:rPr>
        <w:t xml:space="preserve"> 96% de la meta propuesta.</w:t>
      </w:r>
      <w:r w:rsidR="006B52BC">
        <w:rPr>
          <w:lang w:val="es-ES"/>
        </w:rPr>
        <w:t xml:space="preserve"> El ingreso proveniente del mayor recaudo, refleja el ahorro fiscal por</w:t>
      </w:r>
      <w:r w:rsidR="000805D5">
        <w:rPr>
          <w:lang w:val="es-ES"/>
        </w:rPr>
        <w:t xml:space="preserve"> </w:t>
      </w:r>
      <w:r w:rsidR="006B52BC">
        <w:rPr>
          <w:lang w:val="es-ES"/>
        </w:rPr>
        <w:t xml:space="preserve">la reducción del subsidio del GRD al sector. </w:t>
      </w:r>
    </w:p>
    <w:p w:rsidR="00A54BE8" w:rsidRPr="00E05B88" w:rsidRDefault="00A54BE8" w:rsidP="00A54BE8">
      <w:pPr>
        <w:pStyle w:val="ListParagraph"/>
        <w:spacing w:before="0" w:after="120"/>
        <w:ind w:firstLine="0"/>
        <w:rPr>
          <w:rFonts w:cs="Times New Roman"/>
          <w:szCs w:val="24"/>
          <w:lang w:val="es-CL"/>
        </w:rPr>
      </w:pPr>
    </w:p>
    <w:p w:rsidR="00E05B88" w:rsidRPr="002C05EE" w:rsidRDefault="00E05B88" w:rsidP="00DD1BE6">
      <w:pPr>
        <w:pStyle w:val="ListParagraph"/>
        <w:numPr>
          <w:ilvl w:val="0"/>
          <w:numId w:val="12"/>
        </w:numPr>
        <w:spacing w:before="0" w:after="120"/>
        <w:rPr>
          <w:rFonts w:cs="Times New Roman"/>
          <w:b/>
          <w:szCs w:val="24"/>
          <w:lang w:val="es-CL"/>
        </w:rPr>
      </w:pPr>
      <w:r w:rsidRPr="00E05B88">
        <w:rPr>
          <w:rFonts w:cs="Times New Roman"/>
          <w:b/>
          <w:szCs w:val="24"/>
          <w:lang w:val="es-CL"/>
        </w:rPr>
        <w:t>A</w:t>
      </w:r>
      <w:r w:rsidRPr="00E05B88">
        <w:rPr>
          <w:b/>
          <w:lang w:val="es-CL"/>
        </w:rPr>
        <w:t>umento de usuarios con 24 horas de servicio</w:t>
      </w:r>
    </w:p>
    <w:p w:rsidR="002C05EE" w:rsidRPr="00E05B88" w:rsidRDefault="002C05EE" w:rsidP="002C05EE">
      <w:pPr>
        <w:pStyle w:val="ListParagraph"/>
        <w:spacing w:before="0" w:after="120"/>
        <w:ind w:left="1080" w:firstLine="0"/>
        <w:rPr>
          <w:rFonts w:cs="Times New Roman"/>
          <w:b/>
          <w:szCs w:val="24"/>
          <w:lang w:val="es-CL"/>
        </w:rPr>
      </w:pPr>
    </w:p>
    <w:p w:rsidR="00E05B88" w:rsidRPr="00227420" w:rsidRDefault="00E05B88" w:rsidP="00BA46AE">
      <w:pPr>
        <w:pStyle w:val="ListParagraph"/>
        <w:numPr>
          <w:ilvl w:val="0"/>
          <w:numId w:val="13"/>
        </w:numPr>
        <w:spacing w:before="0" w:after="120"/>
        <w:ind w:hanging="720"/>
        <w:rPr>
          <w:rFonts w:cs="Times New Roman"/>
          <w:szCs w:val="24"/>
          <w:lang w:val="es-CL"/>
        </w:rPr>
      </w:pPr>
      <w:r>
        <w:rPr>
          <w:lang w:val="es-ES"/>
        </w:rPr>
        <w:t>Actualmente hay una proporción importante de los consumidores que sólo tienen un limitado número de horas de servicio al día, estimándose que sólo se abastece 82,8% de la energía que realmente se demanda. El beneficio puede explicarse a través de la siguiente figura:</w:t>
      </w:r>
    </w:p>
    <w:p w:rsidR="00E05B88" w:rsidRDefault="00E05B88" w:rsidP="00E05B88">
      <w:pPr>
        <w:spacing w:before="0" w:after="120"/>
        <w:jc w:val="center"/>
        <w:rPr>
          <w:rFonts w:cs="Times New Roman"/>
          <w:szCs w:val="24"/>
          <w:lang w:val="es-CL"/>
        </w:rPr>
      </w:pPr>
      <w:r w:rsidRPr="00E05B88">
        <w:rPr>
          <w:rFonts w:cs="Times New Roman"/>
          <w:noProof/>
          <w:szCs w:val="24"/>
        </w:rPr>
        <w:lastRenderedPageBreak/>
        <w:drawing>
          <wp:inline distT="0" distB="0" distL="0" distR="0" wp14:anchorId="2ACBB990" wp14:editId="649A9D3B">
            <wp:extent cx="5310836" cy="2783082"/>
            <wp:effectExtent l="0" t="0" r="4445" b="0"/>
            <wp:docPr id="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307535" cy="2781352"/>
                    </a:xfrm>
                    <a:prstGeom prst="rect">
                      <a:avLst/>
                    </a:prstGeom>
                    <a:noFill/>
                    <a:ln w="9525">
                      <a:noFill/>
                      <a:miter lim="800000"/>
                      <a:headEnd/>
                      <a:tailEnd/>
                    </a:ln>
                  </pic:spPr>
                </pic:pic>
              </a:graphicData>
            </a:graphic>
          </wp:inline>
        </w:drawing>
      </w:r>
    </w:p>
    <w:p w:rsidR="00227420" w:rsidRPr="00497572" w:rsidRDefault="00E05B88" w:rsidP="00153266">
      <w:pPr>
        <w:pStyle w:val="ListParagraph"/>
        <w:numPr>
          <w:ilvl w:val="0"/>
          <w:numId w:val="13"/>
        </w:numPr>
        <w:ind w:hanging="720"/>
        <w:rPr>
          <w:rFonts w:cs="Times New Roman"/>
          <w:szCs w:val="24"/>
          <w:lang w:val="es-CL"/>
        </w:rPr>
      </w:pPr>
      <w:r>
        <w:rPr>
          <w:lang w:val="es-CL"/>
        </w:rPr>
        <w:t xml:space="preserve">Supóngase </w:t>
      </w:r>
      <w:r>
        <w:rPr>
          <w:lang w:val="es-ES"/>
        </w:rPr>
        <w:t>la tarifa vigente P</w:t>
      </w:r>
      <w:r>
        <w:rPr>
          <w:vertAlign w:val="subscript"/>
          <w:lang w:val="es-ES"/>
        </w:rPr>
        <w:t>1,</w:t>
      </w:r>
      <w:r>
        <w:rPr>
          <w:lang w:val="es-ES"/>
        </w:rPr>
        <w:t xml:space="preserve"> para la cual los consumidores querrían adquirir Q</w:t>
      </w:r>
      <w:r>
        <w:rPr>
          <w:vertAlign w:val="subscript"/>
          <w:lang w:val="es-ES"/>
        </w:rPr>
        <w:t>1</w:t>
      </w:r>
      <w:r>
        <w:rPr>
          <w:lang w:val="es-ES"/>
        </w:rPr>
        <w:t>, pero el sistema sólo les proporciona Q</w:t>
      </w:r>
      <w:r>
        <w:rPr>
          <w:vertAlign w:val="subscript"/>
          <w:lang w:val="es-ES"/>
        </w:rPr>
        <w:t>0</w:t>
      </w:r>
      <w:r>
        <w:rPr>
          <w:lang w:val="es-ES"/>
        </w:rPr>
        <w:t xml:space="preserve"> por cuyo valor estarían dispuesto a pagar P</w:t>
      </w:r>
      <w:r>
        <w:rPr>
          <w:vertAlign w:val="subscript"/>
          <w:lang w:val="es-ES"/>
        </w:rPr>
        <w:t>0</w:t>
      </w:r>
      <w:r>
        <w:rPr>
          <w:lang w:val="es-ES"/>
        </w:rPr>
        <w:t>. Al haber mayor disponibilidad de energía, el beneficio de pasar de un suministro de Q</w:t>
      </w:r>
      <w:r>
        <w:rPr>
          <w:vertAlign w:val="subscript"/>
          <w:lang w:val="es-ES"/>
        </w:rPr>
        <w:t>0</w:t>
      </w:r>
      <w:r>
        <w:rPr>
          <w:lang w:val="es-ES"/>
        </w:rPr>
        <w:t xml:space="preserve"> a Q</w:t>
      </w:r>
      <w:r>
        <w:rPr>
          <w:vertAlign w:val="subscript"/>
          <w:lang w:val="es-ES"/>
        </w:rPr>
        <w:t>1</w:t>
      </w:r>
      <w:r>
        <w:rPr>
          <w:lang w:val="es-ES"/>
        </w:rPr>
        <w:t xml:space="preserve"> estaría dado por el área bajo la curva de demanda comprendido entre Q</w:t>
      </w:r>
      <w:r>
        <w:rPr>
          <w:vertAlign w:val="subscript"/>
          <w:lang w:val="es-ES"/>
        </w:rPr>
        <w:t>0</w:t>
      </w:r>
      <w:r>
        <w:rPr>
          <w:lang w:val="es-ES"/>
        </w:rPr>
        <w:t xml:space="preserve"> y Q</w:t>
      </w:r>
      <w:r>
        <w:rPr>
          <w:vertAlign w:val="subscript"/>
          <w:lang w:val="es-ES"/>
        </w:rPr>
        <w:t>1</w:t>
      </w:r>
      <w:r>
        <w:rPr>
          <w:lang w:val="es-ES"/>
        </w:rPr>
        <w:t>, la cual tiene dos partes: el cobro de la empresa por el suministro adicional, el cual compensa sus costos</w:t>
      </w:r>
      <w:r w:rsidR="00BA46AE">
        <w:rPr>
          <w:lang w:val="es-ES"/>
        </w:rPr>
        <w:t xml:space="preserve"> marginales</w:t>
      </w:r>
      <w:r>
        <w:rPr>
          <w:lang w:val="es-ES"/>
        </w:rPr>
        <w:t xml:space="preserve"> que pueden suponerse iguales a P</w:t>
      </w:r>
      <w:r>
        <w:rPr>
          <w:vertAlign w:val="subscript"/>
          <w:lang w:val="es-ES"/>
        </w:rPr>
        <w:t>1</w:t>
      </w:r>
      <w:r>
        <w:rPr>
          <w:lang w:val="es-ES"/>
        </w:rPr>
        <w:t xml:space="preserve"> y el triángulo de bienestar que representa la ganancia neta de bienestar al expandir el suministro.</w:t>
      </w:r>
    </w:p>
    <w:p w:rsidR="00497572" w:rsidRPr="00E05B88" w:rsidRDefault="00497572" w:rsidP="00497572">
      <w:pPr>
        <w:pStyle w:val="ListParagraph"/>
        <w:spacing w:before="0" w:after="120"/>
        <w:ind w:firstLine="0"/>
        <w:rPr>
          <w:rFonts w:cs="Times New Roman"/>
          <w:szCs w:val="24"/>
          <w:lang w:val="es-CL"/>
        </w:rPr>
      </w:pPr>
    </w:p>
    <w:p w:rsidR="00E05B88" w:rsidRDefault="00E05B88" w:rsidP="00153266">
      <w:pPr>
        <w:pStyle w:val="ListParagraph"/>
        <w:numPr>
          <w:ilvl w:val="0"/>
          <w:numId w:val="13"/>
        </w:numPr>
        <w:ind w:hanging="720"/>
        <w:rPr>
          <w:lang w:val="es-ES"/>
        </w:rPr>
      </w:pPr>
      <w:r>
        <w:rPr>
          <w:lang w:val="es-ES"/>
        </w:rPr>
        <w:t>Para un consumi</w:t>
      </w:r>
      <w:r w:rsidR="00BA46AE">
        <w:rPr>
          <w:lang w:val="es-ES"/>
        </w:rPr>
        <w:t xml:space="preserve">dor típico de 200 </w:t>
      </w:r>
      <w:proofErr w:type="spellStart"/>
      <w:r w:rsidR="00BA46AE">
        <w:rPr>
          <w:lang w:val="es-ES"/>
        </w:rPr>
        <w:t>kWh</w:t>
      </w:r>
      <w:proofErr w:type="spellEnd"/>
      <w:r w:rsidR="00BA46AE">
        <w:rPr>
          <w:lang w:val="es-ES"/>
        </w:rPr>
        <w:t xml:space="preserve"> mensuales</w:t>
      </w:r>
      <w:r>
        <w:rPr>
          <w:lang w:val="es-ES"/>
        </w:rPr>
        <w:t xml:space="preserve"> usando los valores tarifarios de 2013, se obtiene:</w:t>
      </w:r>
    </w:p>
    <w:p w:rsidR="00E05B88" w:rsidRDefault="00E05B88" w:rsidP="00E05B88">
      <w:pPr>
        <w:pStyle w:val="Banknumbered"/>
        <w:numPr>
          <w:ilvl w:val="0"/>
          <w:numId w:val="0"/>
        </w:numPr>
        <w:jc w:val="center"/>
        <w:rPr>
          <w:lang w:val="es-ES"/>
        </w:rPr>
      </w:pPr>
      <w:r>
        <w:rPr>
          <w:noProof/>
        </w:rPr>
        <w:drawing>
          <wp:inline distT="0" distB="0" distL="0" distR="0" wp14:anchorId="1A8ECB0F" wp14:editId="7310C421">
            <wp:extent cx="3260090" cy="1534795"/>
            <wp:effectExtent l="19050" t="0" r="0" b="0"/>
            <wp:docPr id="3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srcRect/>
                    <a:stretch>
                      <a:fillRect/>
                    </a:stretch>
                  </pic:blipFill>
                  <pic:spPr bwMode="auto">
                    <a:xfrm>
                      <a:off x="0" y="0"/>
                      <a:ext cx="3260090" cy="1534795"/>
                    </a:xfrm>
                    <a:prstGeom prst="rect">
                      <a:avLst/>
                    </a:prstGeom>
                    <a:noFill/>
                    <a:ln w="9525">
                      <a:noFill/>
                      <a:miter lim="800000"/>
                      <a:headEnd/>
                      <a:tailEnd/>
                    </a:ln>
                  </pic:spPr>
                </pic:pic>
              </a:graphicData>
            </a:graphic>
          </wp:inline>
        </w:drawing>
      </w:r>
    </w:p>
    <w:p w:rsidR="00E05B88" w:rsidRDefault="00E05B88" w:rsidP="00DF2CA5">
      <w:pPr>
        <w:pStyle w:val="ListParagraph"/>
        <w:numPr>
          <w:ilvl w:val="0"/>
          <w:numId w:val="13"/>
        </w:numPr>
        <w:ind w:hanging="720"/>
        <w:rPr>
          <w:lang w:val="es-ES"/>
        </w:rPr>
      </w:pPr>
      <w:r w:rsidRPr="00E05B88">
        <w:rPr>
          <w:lang w:val="es-ES"/>
        </w:rPr>
        <w:t>Para el consumidor con las características del cuadro anterior, los beneficios económicos anuales serían del orden de US$19,3</w:t>
      </w:r>
      <w:r>
        <w:rPr>
          <w:lang w:val="es-ES"/>
        </w:rPr>
        <w:t>.</w:t>
      </w:r>
    </w:p>
    <w:p w:rsidR="00497572" w:rsidRDefault="00497572" w:rsidP="00497572">
      <w:pPr>
        <w:pStyle w:val="ListParagraph"/>
        <w:spacing w:before="0" w:after="120"/>
        <w:ind w:firstLine="0"/>
        <w:rPr>
          <w:lang w:val="es-ES"/>
        </w:rPr>
      </w:pPr>
    </w:p>
    <w:p w:rsidR="00E05B88" w:rsidRDefault="00E05B88" w:rsidP="00DF2CA5">
      <w:pPr>
        <w:pStyle w:val="ListParagraph"/>
        <w:numPr>
          <w:ilvl w:val="0"/>
          <w:numId w:val="13"/>
        </w:numPr>
        <w:ind w:hanging="720"/>
        <w:rPr>
          <w:lang w:val="es-ES"/>
        </w:rPr>
      </w:pPr>
      <w:r>
        <w:rPr>
          <w:lang w:val="es-ES"/>
        </w:rPr>
        <w:t xml:space="preserve">Se estima que a finales del 2013 había 903.811 clientes 24 horas, de un total de 1.891.975 </w:t>
      </w:r>
      <w:r w:rsidRPr="00DD363D">
        <w:rPr>
          <w:lang w:val="es-ES"/>
        </w:rPr>
        <w:t>aproximadamente</w:t>
      </w:r>
      <w:r>
        <w:rPr>
          <w:lang w:val="es-ES"/>
        </w:rPr>
        <w:t>.  La meta para finales de 2016 es tener un total de 1.318.811 clientes 24 horas, de un total de 2.2 millones aproximadamente.  El costo asociado con atender los clientes 24 horas es solamente el costo marginal de suministro, el cual se le cobra al cliente dentro de su tarifa.</w:t>
      </w:r>
    </w:p>
    <w:p w:rsidR="00497572" w:rsidRDefault="00497572" w:rsidP="00DF2CA5">
      <w:pPr>
        <w:pStyle w:val="ListParagraph"/>
        <w:ind w:firstLine="0"/>
        <w:rPr>
          <w:lang w:val="es-ES"/>
        </w:rPr>
      </w:pPr>
    </w:p>
    <w:p w:rsidR="00E05B88" w:rsidRDefault="00E05B88" w:rsidP="00DF2CA5">
      <w:pPr>
        <w:pStyle w:val="ListParagraph"/>
        <w:numPr>
          <w:ilvl w:val="0"/>
          <w:numId w:val="13"/>
        </w:numPr>
        <w:ind w:hanging="720"/>
        <w:rPr>
          <w:lang w:val="es-ES"/>
        </w:rPr>
      </w:pPr>
      <w:r>
        <w:rPr>
          <w:lang w:val="es-ES"/>
        </w:rPr>
        <w:t>El siguiente cuadro provee una cuantificación de los beneficios económicos estimados mediante el método indicado, el cual arroja un VPN de US$9,8 millones.</w:t>
      </w:r>
    </w:p>
    <w:p w:rsidR="00E05B88" w:rsidRDefault="00E05B88" w:rsidP="00E05B88">
      <w:pPr>
        <w:jc w:val="right"/>
        <w:rPr>
          <w:lang w:val="es-ES"/>
        </w:rPr>
      </w:pPr>
      <w:r>
        <w:rPr>
          <w:noProof/>
        </w:rPr>
        <w:lastRenderedPageBreak/>
        <w:drawing>
          <wp:inline distT="0" distB="0" distL="0" distR="0" wp14:anchorId="65412357" wp14:editId="0EF5BC77">
            <wp:extent cx="5435193" cy="770931"/>
            <wp:effectExtent l="19050" t="0" r="0" b="0"/>
            <wp:docPr id="3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print"/>
                    <a:srcRect/>
                    <a:stretch>
                      <a:fillRect/>
                    </a:stretch>
                  </pic:blipFill>
                  <pic:spPr bwMode="auto">
                    <a:xfrm>
                      <a:off x="0" y="0"/>
                      <a:ext cx="5437072" cy="771197"/>
                    </a:xfrm>
                    <a:prstGeom prst="rect">
                      <a:avLst/>
                    </a:prstGeom>
                    <a:noFill/>
                    <a:ln w="9525">
                      <a:noFill/>
                      <a:miter lim="800000"/>
                      <a:headEnd/>
                      <a:tailEnd/>
                    </a:ln>
                  </pic:spPr>
                </pic:pic>
              </a:graphicData>
            </a:graphic>
          </wp:inline>
        </w:drawing>
      </w:r>
    </w:p>
    <w:p w:rsidR="00C15FEC" w:rsidRDefault="00C15FEC" w:rsidP="00C15FEC">
      <w:pPr>
        <w:spacing w:before="0" w:after="120"/>
        <w:rPr>
          <w:rFonts w:cs="Times New Roman"/>
          <w:szCs w:val="24"/>
          <w:lang w:val="es-CL"/>
        </w:rPr>
      </w:pPr>
    </w:p>
    <w:p w:rsidR="00C15FEC" w:rsidRDefault="00C15FEC" w:rsidP="00DD1BE6">
      <w:pPr>
        <w:pStyle w:val="Banknumbered"/>
        <w:numPr>
          <w:ilvl w:val="0"/>
          <w:numId w:val="8"/>
        </w:numPr>
        <w:rPr>
          <w:b/>
          <w:lang w:val="es-CL"/>
        </w:rPr>
      </w:pPr>
      <w:r w:rsidRPr="00C15FEC">
        <w:rPr>
          <w:b/>
          <w:lang w:val="es-CL"/>
        </w:rPr>
        <w:t>Análisis de sensibilidad</w:t>
      </w:r>
    </w:p>
    <w:p w:rsidR="00C15FEC" w:rsidRPr="00497572" w:rsidRDefault="001E5F6E" w:rsidP="00DD1BE6">
      <w:pPr>
        <w:pStyle w:val="ListParagraph"/>
        <w:numPr>
          <w:ilvl w:val="0"/>
          <w:numId w:val="14"/>
        </w:numPr>
        <w:ind w:left="1080"/>
        <w:rPr>
          <w:b/>
          <w:lang w:val="es-ES"/>
        </w:rPr>
      </w:pPr>
      <w:r>
        <w:rPr>
          <w:b/>
          <w:lang w:val="es-ES"/>
        </w:rPr>
        <w:t>Reducción de p</w:t>
      </w:r>
      <w:r w:rsidR="00C15FEC" w:rsidRPr="00497572">
        <w:rPr>
          <w:b/>
          <w:lang w:val="es-ES"/>
        </w:rPr>
        <w:t xml:space="preserve">érdidas </w:t>
      </w:r>
      <w:r>
        <w:rPr>
          <w:b/>
          <w:lang w:val="es-ES"/>
        </w:rPr>
        <w:t>de energía</w:t>
      </w:r>
    </w:p>
    <w:p w:rsidR="00C15FEC" w:rsidRDefault="00C15FEC" w:rsidP="00E11E02">
      <w:pPr>
        <w:pStyle w:val="Banknumbered"/>
        <w:numPr>
          <w:ilvl w:val="0"/>
          <w:numId w:val="15"/>
        </w:numPr>
        <w:ind w:hanging="720"/>
        <w:rPr>
          <w:lang w:val="es-ES"/>
        </w:rPr>
      </w:pPr>
      <w:r>
        <w:rPr>
          <w:lang w:val="es-ES"/>
        </w:rPr>
        <w:t>En el caso de la evaluación del impacto por disminución de pérdidas se estudiaron los siguientes casos:</w:t>
      </w:r>
      <w:r w:rsidRPr="00C15FEC">
        <w:rPr>
          <w:lang w:val="es-ES"/>
        </w:rPr>
        <w:t xml:space="preserve"> </w:t>
      </w:r>
    </w:p>
    <w:p w:rsidR="001C0B23" w:rsidRDefault="001C0B23" w:rsidP="009D61EB">
      <w:pPr>
        <w:pStyle w:val="Bullet"/>
        <w:rPr>
          <w:lang w:val="es-ES"/>
        </w:rPr>
      </w:pPr>
      <w:r>
        <w:rPr>
          <w:lang w:val="es-ES"/>
        </w:rPr>
        <w:t>Caso A: sensibilidad a la elasticidad precio de la demanda</w:t>
      </w:r>
      <w:r w:rsidR="00DF2CA5">
        <w:rPr>
          <w:lang w:val="es-ES"/>
        </w:rPr>
        <w:t>:</w:t>
      </w:r>
      <w:r>
        <w:rPr>
          <w:lang w:val="es-ES"/>
        </w:rPr>
        <w:t xml:space="preserve"> una menor elasticidad reduce los beneficios económicos </w:t>
      </w:r>
      <w:r w:rsidR="00DF2CA5">
        <w:rPr>
          <w:lang w:val="es-ES"/>
        </w:rPr>
        <w:t>al producir menores cambios en el consumo como resultado de cambios en el precio. P</w:t>
      </w:r>
      <w:r>
        <w:rPr>
          <w:lang w:val="es-ES"/>
        </w:rPr>
        <w:t>ara evaluar su efecto se analizó</w:t>
      </w:r>
      <w:r w:rsidR="0070162A">
        <w:rPr>
          <w:lang w:val="es-ES"/>
        </w:rPr>
        <w:t xml:space="preserve"> una elasticidad precio de -0.1.</w:t>
      </w:r>
      <w:r w:rsidR="00980654">
        <w:rPr>
          <w:lang w:val="es-ES"/>
        </w:rPr>
        <w:t>+</w:t>
      </w:r>
    </w:p>
    <w:p w:rsidR="00980654" w:rsidRPr="00980654" w:rsidRDefault="00980654" w:rsidP="00980654">
      <w:pPr>
        <w:pStyle w:val="Bullet"/>
        <w:rPr>
          <w:lang w:val="es-ES"/>
        </w:rPr>
      </w:pPr>
      <w:r>
        <w:rPr>
          <w:lang w:val="es-ES"/>
        </w:rPr>
        <w:t>Caso B: sensibilidad a los costos. Se analizó el efecto de aumentar los costos de inversión en 20%.</w:t>
      </w:r>
    </w:p>
    <w:p w:rsidR="001C0B23" w:rsidRDefault="001C0B23" w:rsidP="009D61EB">
      <w:pPr>
        <w:pStyle w:val="Bullet"/>
        <w:rPr>
          <w:lang w:val="es-ES"/>
        </w:rPr>
      </w:pPr>
      <w:r>
        <w:rPr>
          <w:lang w:val="es-ES"/>
        </w:rPr>
        <w:t xml:space="preserve">Caso </w:t>
      </w:r>
      <w:r w:rsidR="00980654">
        <w:rPr>
          <w:lang w:val="es-ES"/>
        </w:rPr>
        <w:t>C</w:t>
      </w:r>
      <w:r>
        <w:rPr>
          <w:lang w:val="es-ES"/>
        </w:rPr>
        <w:t>: sen</w:t>
      </w:r>
      <w:r w:rsidR="00812327">
        <w:rPr>
          <w:lang w:val="es-ES"/>
        </w:rPr>
        <w:t>sibilidad a la meta de pérdidas totales</w:t>
      </w:r>
      <w:r>
        <w:rPr>
          <w:lang w:val="es-ES"/>
        </w:rPr>
        <w:t xml:space="preserve"> de </w:t>
      </w:r>
      <w:r w:rsidR="00812327">
        <w:rPr>
          <w:lang w:val="es-ES"/>
        </w:rPr>
        <w:t>23</w:t>
      </w:r>
      <w:r w:rsidR="00774C3B">
        <w:rPr>
          <w:lang w:val="es-ES"/>
        </w:rPr>
        <w:t>.1</w:t>
      </w:r>
      <w:r>
        <w:rPr>
          <w:lang w:val="es-ES"/>
        </w:rPr>
        <w:t>%</w:t>
      </w:r>
      <w:r w:rsidR="00C147D7">
        <w:rPr>
          <w:lang w:val="es-ES"/>
        </w:rPr>
        <w:t xml:space="preserve"> al 201</w:t>
      </w:r>
      <w:r w:rsidR="00812327">
        <w:rPr>
          <w:lang w:val="es-ES"/>
        </w:rPr>
        <w:t>7</w:t>
      </w:r>
      <w:r w:rsidR="0070162A">
        <w:rPr>
          <w:lang w:val="es-ES"/>
        </w:rPr>
        <w:t>. S</w:t>
      </w:r>
      <w:r>
        <w:rPr>
          <w:lang w:val="es-ES"/>
        </w:rPr>
        <w:t xml:space="preserve">e analizó el caso en el cual la meta no se cumple y </w:t>
      </w:r>
      <w:r w:rsidR="006676C0">
        <w:rPr>
          <w:lang w:val="es-ES"/>
        </w:rPr>
        <w:t xml:space="preserve">se alcanza solamente </w:t>
      </w:r>
      <w:r w:rsidR="00812327">
        <w:rPr>
          <w:lang w:val="es-ES"/>
        </w:rPr>
        <w:t>2</w:t>
      </w:r>
      <w:r w:rsidR="006676C0">
        <w:rPr>
          <w:lang w:val="es-ES"/>
        </w:rPr>
        <w:t>8</w:t>
      </w:r>
      <w:r w:rsidR="00812327">
        <w:rPr>
          <w:lang w:val="es-ES"/>
        </w:rPr>
        <w:t>,</w:t>
      </w:r>
      <w:r w:rsidR="001A6B73">
        <w:rPr>
          <w:lang w:val="es-ES"/>
        </w:rPr>
        <w:t>2</w:t>
      </w:r>
      <w:r w:rsidR="0070162A">
        <w:rPr>
          <w:lang w:val="es-ES"/>
        </w:rPr>
        <w:t>%.</w:t>
      </w:r>
    </w:p>
    <w:p w:rsidR="00C15FEC" w:rsidRDefault="001C0B23" w:rsidP="00153266">
      <w:pPr>
        <w:pStyle w:val="Banknumbered"/>
        <w:numPr>
          <w:ilvl w:val="0"/>
          <w:numId w:val="15"/>
        </w:numPr>
        <w:ind w:hanging="720"/>
        <w:rPr>
          <w:lang w:val="es-ES"/>
        </w:rPr>
      </w:pPr>
      <w:r>
        <w:rPr>
          <w:lang w:val="es-ES"/>
        </w:rPr>
        <w:t>Los resultados</w:t>
      </w:r>
      <w:r w:rsidR="006116C9">
        <w:rPr>
          <w:lang w:val="es-ES"/>
        </w:rPr>
        <w:t xml:space="preserve"> económicos y financieros</w:t>
      </w:r>
      <w:r w:rsidR="007B0E87">
        <w:rPr>
          <w:lang w:val="es-ES"/>
        </w:rPr>
        <w:t xml:space="preserve"> para el agregado de las 3 </w:t>
      </w:r>
      <w:proofErr w:type="spellStart"/>
      <w:r w:rsidR="007B0E87">
        <w:rPr>
          <w:lang w:val="es-ES"/>
        </w:rPr>
        <w:t>EDEs</w:t>
      </w:r>
      <w:proofErr w:type="spellEnd"/>
      <w:r w:rsidR="007B0E87">
        <w:rPr>
          <w:lang w:val="es-ES"/>
        </w:rPr>
        <w:t xml:space="preserve"> se resumen</w:t>
      </w:r>
      <w:r>
        <w:rPr>
          <w:lang w:val="es-ES"/>
        </w:rPr>
        <w:t xml:space="preserve"> en las siguiente</w:t>
      </w:r>
      <w:r w:rsidR="006116C9">
        <w:rPr>
          <w:lang w:val="es-ES"/>
        </w:rPr>
        <w:t>s</w:t>
      </w:r>
      <w:r>
        <w:rPr>
          <w:lang w:val="es-ES"/>
        </w:rPr>
        <w:t xml:space="preserve"> tabla:</w:t>
      </w:r>
    </w:p>
    <w:p w:rsidR="001A6B73" w:rsidRDefault="001A6B73" w:rsidP="001A6B73">
      <w:pPr>
        <w:pStyle w:val="Banknumbered"/>
        <w:numPr>
          <w:ilvl w:val="0"/>
          <w:numId w:val="0"/>
        </w:numPr>
        <w:ind w:left="720"/>
        <w:rPr>
          <w:lang w:val="es-ES"/>
        </w:rPr>
      </w:pPr>
    </w:p>
    <w:tbl>
      <w:tblPr>
        <w:tblW w:w="7319" w:type="dxa"/>
        <w:jc w:val="center"/>
        <w:tblInd w:w="-784" w:type="dxa"/>
        <w:tblLook w:val="04A0" w:firstRow="1" w:lastRow="0" w:firstColumn="1" w:lastColumn="0" w:noHBand="0" w:noVBand="1"/>
      </w:tblPr>
      <w:tblGrid>
        <w:gridCol w:w="3602"/>
        <w:gridCol w:w="925"/>
        <w:gridCol w:w="978"/>
        <w:gridCol w:w="925"/>
        <w:gridCol w:w="889"/>
      </w:tblGrid>
      <w:tr w:rsidR="001A6B73" w:rsidRPr="001A6B73" w:rsidTr="00980654">
        <w:trPr>
          <w:trHeight w:val="255"/>
          <w:jc w:val="center"/>
        </w:trPr>
        <w:tc>
          <w:tcPr>
            <w:tcW w:w="360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A6B73" w:rsidRPr="001A6B73" w:rsidRDefault="001A6B73" w:rsidP="001A6B73">
            <w:pPr>
              <w:spacing w:before="0"/>
              <w:ind w:left="0" w:firstLine="0"/>
              <w:jc w:val="center"/>
              <w:rPr>
                <w:rFonts w:ascii="Calibri" w:eastAsia="Times New Roman" w:hAnsi="Calibri" w:cs="Times New Roman"/>
                <w:b/>
                <w:bCs/>
                <w:color w:val="1F497D"/>
                <w:sz w:val="20"/>
                <w:szCs w:val="20"/>
              </w:rPr>
            </w:pPr>
            <w:r>
              <w:rPr>
                <w:rFonts w:ascii="Calibri" w:eastAsia="Times New Roman" w:hAnsi="Calibri" w:cs="Times New Roman"/>
                <w:b/>
                <w:bCs/>
                <w:color w:val="1F497D"/>
                <w:sz w:val="20"/>
                <w:szCs w:val="20"/>
              </w:rPr>
              <w:t>CASOS</w:t>
            </w:r>
          </w:p>
        </w:tc>
        <w:tc>
          <w:tcPr>
            <w:tcW w:w="925" w:type="dxa"/>
            <w:tcBorders>
              <w:top w:val="single" w:sz="4" w:space="0" w:color="auto"/>
              <w:left w:val="nil"/>
              <w:bottom w:val="single" w:sz="4" w:space="0" w:color="auto"/>
              <w:right w:val="single" w:sz="4" w:space="0" w:color="auto"/>
            </w:tcBorders>
            <w:shd w:val="clear" w:color="000000" w:fill="D9D9D9"/>
            <w:vAlign w:val="center"/>
            <w:hideMark/>
          </w:tcPr>
          <w:p w:rsidR="001A6B73" w:rsidRPr="001A6B73" w:rsidRDefault="001A6B73" w:rsidP="001A6B73">
            <w:pPr>
              <w:spacing w:before="0"/>
              <w:ind w:left="0" w:firstLine="0"/>
              <w:jc w:val="center"/>
              <w:rPr>
                <w:rFonts w:ascii="Calibri" w:eastAsia="Times New Roman" w:hAnsi="Calibri" w:cs="Times New Roman"/>
                <w:b/>
                <w:bCs/>
                <w:sz w:val="20"/>
                <w:szCs w:val="20"/>
              </w:rPr>
            </w:pPr>
            <w:r w:rsidRPr="001A6B73">
              <w:rPr>
                <w:rFonts w:ascii="Calibri" w:eastAsia="Times New Roman" w:hAnsi="Calibri" w:cs="Times New Roman"/>
                <w:b/>
                <w:bCs/>
                <w:sz w:val="20"/>
                <w:szCs w:val="20"/>
              </w:rPr>
              <w:t>BASE</w:t>
            </w:r>
          </w:p>
        </w:tc>
        <w:tc>
          <w:tcPr>
            <w:tcW w:w="978" w:type="dxa"/>
            <w:tcBorders>
              <w:top w:val="single" w:sz="4" w:space="0" w:color="auto"/>
              <w:left w:val="nil"/>
              <w:bottom w:val="single" w:sz="4" w:space="0" w:color="auto"/>
              <w:right w:val="single" w:sz="4" w:space="0" w:color="auto"/>
            </w:tcBorders>
            <w:shd w:val="clear" w:color="000000" w:fill="D9D9D9"/>
            <w:vAlign w:val="center"/>
            <w:hideMark/>
          </w:tcPr>
          <w:p w:rsidR="001A6B73" w:rsidRPr="001A6B73" w:rsidRDefault="001A6B73" w:rsidP="001A6B73">
            <w:pPr>
              <w:spacing w:before="0"/>
              <w:ind w:left="0" w:firstLine="0"/>
              <w:jc w:val="center"/>
              <w:rPr>
                <w:rFonts w:ascii="Calibri" w:eastAsia="Times New Roman" w:hAnsi="Calibri" w:cs="Times New Roman"/>
                <w:b/>
                <w:bCs/>
                <w:sz w:val="20"/>
                <w:szCs w:val="20"/>
              </w:rPr>
            </w:pPr>
            <w:r w:rsidRPr="001A6B73">
              <w:rPr>
                <w:rFonts w:ascii="Calibri" w:eastAsia="Times New Roman" w:hAnsi="Calibri" w:cs="Times New Roman"/>
                <w:b/>
                <w:bCs/>
                <w:sz w:val="20"/>
                <w:szCs w:val="20"/>
              </w:rPr>
              <w:t>A</w:t>
            </w:r>
          </w:p>
        </w:tc>
        <w:tc>
          <w:tcPr>
            <w:tcW w:w="925" w:type="dxa"/>
            <w:tcBorders>
              <w:top w:val="single" w:sz="4" w:space="0" w:color="auto"/>
              <w:left w:val="nil"/>
              <w:bottom w:val="single" w:sz="4" w:space="0" w:color="auto"/>
              <w:right w:val="single" w:sz="4" w:space="0" w:color="auto"/>
            </w:tcBorders>
            <w:shd w:val="clear" w:color="000000" w:fill="D9D9D9"/>
            <w:vAlign w:val="center"/>
            <w:hideMark/>
          </w:tcPr>
          <w:p w:rsidR="001A6B73" w:rsidRPr="001A6B73" w:rsidRDefault="001A6B73" w:rsidP="001A6B73">
            <w:pPr>
              <w:spacing w:before="0"/>
              <w:ind w:left="0" w:firstLine="0"/>
              <w:jc w:val="center"/>
              <w:rPr>
                <w:rFonts w:ascii="Calibri" w:eastAsia="Times New Roman" w:hAnsi="Calibri" w:cs="Times New Roman"/>
                <w:b/>
                <w:bCs/>
                <w:sz w:val="20"/>
                <w:szCs w:val="20"/>
              </w:rPr>
            </w:pPr>
            <w:r w:rsidRPr="001A6B73">
              <w:rPr>
                <w:rFonts w:ascii="Calibri" w:eastAsia="Times New Roman" w:hAnsi="Calibri" w:cs="Times New Roman"/>
                <w:b/>
                <w:bCs/>
                <w:sz w:val="20"/>
                <w:szCs w:val="20"/>
              </w:rPr>
              <w:t>B</w:t>
            </w:r>
          </w:p>
        </w:tc>
        <w:tc>
          <w:tcPr>
            <w:tcW w:w="889" w:type="dxa"/>
            <w:tcBorders>
              <w:top w:val="single" w:sz="4" w:space="0" w:color="auto"/>
              <w:left w:val="nil"/>
              <w:bottom w:val="single" w:sz="4" w:space="0" w:color="auto"/>
              <w:right w:val="single" w:sz="4" w:space="0" w:color="auto"/>
            </w:tcBorders>
            <w:shd w:val="clear" w:color="000000" w:fill="D9D9D9"/>
            <w:vAlign w:val="center"/>
            <w:hideMark/>
          </w:tcPr>
          <w:p w:rsidR="001A6B73" w:rsidRPr="001A6B73" w:rsidRDefault="001A6B73" w:rsidP="001A6B73">
            <w:pPr>
              <w:spacing w:before="0"/>
              <w:ind w:left="0" w:firstLine="0"/>
              <w:jc w:val="center"/>
              <w:rPr>
                <w:rFonts w:ascii="Calibri" w:eastAsia="Times New Roman" w:hAnsi="Calibri" w:cs="Times New Roman"/>
                <w:b/>
                <w:bCs/>
                <w:sz w:val="20"/>
                <w:szCs w:val="20"/>
              </w:rPr>
            </w:pPr>
            <w:r w:rsidRPr="001A6B73">
              <w:rPr>
                <w:rFonts w:ascii="Calibri" w:eastAsia="Times New Roman" w:hAnsi="Calibri" w:cs="Times New Roman"/>
                <w:b/>
                <w:bCs/>
                <w:sz w:val="20"/>
                <w:szCs w:val="20"/>
              </w:rPr>
              <w:t>C</w:t>
            </w:r>
          </w:p>
        </w:tc>
      </w:tr>
      <w:tr w:rsidR="001A6B73" w:rsidRPr="001A6B73" w:rsidTr="00980654">
        <w:trPr>
          <w:trHeight w:val="105"/>
          <w:jc w:val="center"/>
        </w:trPr>
        <w:tc>
          <w:tcPr>
            <w:tcW w:w="3602" w:type="dxa"/>
            <w:tcBorders>
              <w:top w:val="nil"/>
              <w:left w:val="nil"/>
              <w:bottom w:val="nil"/>
              <w:right w:val="nil"/>
            </w:tcBorders>
            <w:shd w:val="clear" w:color="auto" w:fill="auto"/>
            <w:vAlign w:val="center"/>
            <w:hideMark/>
          </w:tcPr>
          <w:p w:rsidR="001A6B73" w:rsidRPr="001A6B73" w:rsidRDefault="001A6B73" w:rsidP="001A6B73">
            <w:pPr>
              <w:spacing w:before="0"/>
              <w:ind w:left="0" w:firstLine="0"/>
              <w:jc w:val="center"/>
              <w:rPr>
                <w:rFonts w:ascii="Calibri" w:eastAsia="Times New Roman" w:hAnsi="Calibri" w:cs="Times New Roman"/>
                <w:color w:val="000000"/>
                <w:sz w:val="20"/>
                <w:szCs w:val="20"/>
              </w:rPr>
            </w:pPr>
          </w:p>
        </w:tc>
        <w:tc>
          <w:tcPr>
            <w:tcW w:w="925" w:type="dxa"/>
            <w:tcBorders>
              <w:top w:val="nil"/>
              <w:left w:val="nil"/>
              <w:bottom w:val="nil"/>
              <w:right w:val="nil"/>
            </w:tcBorders>
            <w:shd w:val="clear" w:color="auto" w:fill="auto"/>
            <w:vAlign w:val="center"/>
            <w:hideMark/>
          </w:tcPr>
          <w:p w:rsidR="001A6B73" w:rsidRPr="001A6B73" w:rsidRDefault="001A6B73" w:rsidP="001A6B73">
            <w:pPr>
              <w:spacing w:before="0"/>
              <w:ind w:left="0" w:firstLine="0"/>
              <w:jc w:val="center"/>
              <w:rPr>
                <w:rFonts w:ascii="Calibri" w:eastAsia="Times New Roman" w:hAnsi="Calibri" w:cs="Times New Roman"/>
                <w:color w:val="000000"/>
                <w:sz w:val="20"/>
                <w:szCs w:val="20"/>
              </w:rPr>
            </w:pPr>
          </w:p>
        </w:tc>
        <w:tc>
          <w:tcPr>
            <w:tcW w:w="978" w:type="dxa"/>
            <w:tcBorders>
              <w:top w:val="nil"/>
              <w:left w:val="nil"/>
              <w:bottom w:val="nil"/>
              <w:right w:val="nil"/>
            </w:tcBorders>
            <w:shd w:val="clear" w:color="auto" w:fill="auto"/>
            <w:vAlign w:val="center"/>
            <w:hideMark/>
          </w:tcPr>
          <w:p w:rsidR="001A6B73" w:rsidRPr="001A6B73" w:rsidRDefault="001A6B73" w:rsidP="001A6B73">
            <w:pPr>
              <w:spacing w:before="0"/>
              <w:ind w:left="0" w:firstLine="0"/>
              <w:jc w:val="center"/>
              <w:rPr>
                <w:rFonts w:ascii="Calibri" w:eastAsia="Times New Roman" w:hAnsi="Calibri" w:cs="Times New Roman"/>
                <w:color w:val="000000"/>
                <w:sz w:val="20"/>
                <w:szCs w:val="20"/>
              </w:rPr>
            </w:pPr>
          </w:p>
        </w:tc>
        <w:tc>
          <w:tcPr>
            <w:tcW w:w="925" w:type="dxa"/>
            <w:tcBorders>
              <w:top w:val="nil"/>
              <w:left w:val="nil"/>
              <w:bottom w:val="nil"/>
              <w:right w:val="nil"/>
            </w:tcBorders>
            <w:shd w:val="clear" w:color="auto" w:fill="auto"/>
            <w:vAlign w:val="center"/>
            <w:hideMark/>
          </w:tcPr>
          <w:p w:rsidR="001A6B73" w:rsidRPr="001A6B73" w:rsidRDefault="001A6B73" w:rsidP="001A6B73">
            <w:pPr>
              <w:spacing w:before="0"/>
              <w:ind w:left="0" w:firstLine="0"/>
              <w:jc w:val="center"/>
              <w:rPr>
                <w:rFonts w:ascii="Calibri" w:eastAsia="Times New Roman" w:hAnsi="Calibri" w:cs="Times New Roman"/>
                <w:color w:val="000000"/>
                <w:sz w:val="20"/>
                <w:szCs w:val="20"/>
              </w:rPr>
            </w:pPr>
          </w:p>
        </w:tc>
        <w:tc>
          <w:tcPr>
            <w:tcW w:w="889" w:type="dxa"/>
            <w:tcBorders>
              <w:top w:val="nil"/>
              <w:left w:val="nil"/>
              <w:bottom w:val="nil"/>
              <w:right w:val="nil"/>
            </w:tcBorders>
            <w:shd w:val="clear" w:color="auto" w:fill="auto"/>
            <w:vAlign w:val="center"/>
            <w:hideMark/>
          </w:tcPr>
          <w:p w:rsidR="001A6B73" w:rsidRPr="001A6B73" w:rsidRDefault="001A6B73" w:rsidP="001A6B73">
            <w:pPr>
              <w:spacing w:before="0"/>
              <w:ind w:left="0" w:firstLine="0"/>
              <w:jc w:val="center"/>
              <w:rPr>
                <w:rFonts w:ascii="Calibri" w:eastAsia="Times New Roman" w:hAnsi="Calibri" w:cs="Times New Roman"/>
                <w:color w:val="000000"/>
                <w:sz w:val="20"/>
                <w:szCs w:val="20"/>
              </w:rPr>
            </w:pPr>
          </w:p>
        </w:tc>
      </w:tr>
      <w:tr w:rsidR="001A6B73" w:rsidRPr="001A6B73" w:rsidTr="00980654">
        <w:trPr>
          <w:trHeight w:val="255"/>
          <w:jc w:val="center"/>
        </w:trPr>
        <w:tc>
          <w:tcPr>
            <w:tcW w:w="36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B73" w:rsidRPr="001A6B73" w:rsidRDefault="001A6B73" w:rsidP="001A6B73">
            <w:pPr>
              <w:spacing w:before="0"/>
              <w:ind w:left="0" w:firstLine="0"/>
              <w:jc w:val="center"/>
              <w:rPr>
                <w:rFonts w:ascii="Calibri" w:eastAsia="Times New Roman" w:hAnsi="Calibri" w:cs="Times New Roman"/>
                <w:color w:val="000000"/>
                <w:sz w:val="20"/>
                <w:szCs w:val="20"/>
              </w:rPr>
            </w:pPr>
            <w:r w:rsidRPr="001A6B73">
              <w:rPr>
                <w:rFonts w:ascii="Calibri" w:eastAsia="Times New Roman" w:hAnsi="Calibri" w:cs="Times New Roman"/>
                <w:color w:val="000000"/>
                <w:sz w:val="20"/>
                <w:szCs w:val="20"/>
              </w:rPr>
              <w:t xml:space="preserve">VPN </w:t>
            </w:r>
            <w:proofErr w:type="spellStart"/>
            <w:r w:rsidRPr="001A6B73">
              <w:rPr>
                <w:rFonts w:ascii="Calibri" w:eastAsia="Times New Roman" w:hAnsi="Calibri" w:cs="Times New Roman"/>
                <w:color w:val="000000"/>
                <w:sz w:val="20"/>
                <w:szCs w:val="20"/>
              </w:rPr>
              <w:t>Costos</w:t>
            </w:r>
            <w:proofErr w:type="spellEnd"/>
            <w:r w:rsidRPr="001A6B73">
              <w:rPr>
                <w:rFonts w:ascii="Calibri" w:eastAsia="Times New Roman" w:hAnsi="Calibri" w:cs="Times New Roman"/>
                <w:color w:val="000000"/>
                <w:sz w:val="20"/>
                <w:szCs w:val="20"/>
              </w:rPr>
              <w:t xml:space="preserve"> MUS$</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1A6B73" w:rsidRPr="001A6B73" w:rsidRDefault="001A6B73" w:rsidP="001A6B73">
            <w:pPr>
              <w:spacing w:before="0"/>
              <w:ind w:left="0" w:firstLine="0"/>
              <w:jc w:val="center"/>
              <w:rPr>
                <w:rFonts w:ascii="Calibri" w:eastAsia="Times New Roman" w:hAnsi="Calibri" w:cs="Times New Roman"/>
                <w:color w:val="000000"/>
                <w:sz w:val="20"/>
                <w:szCs w:val="20"/>
              </w:rPr>
            </w:pPr>
            <w:r w:rsidRPr="001A6B73">
              <w:rPr>
                <w:rFonts w:ascii="Calibri" w:eastAsia="Times New Roman" w:hAnsi="Calibri" w:cs="Times New Roman"/>
                <w:color w:val="000000"/>
                <w:sz w:val="20"/>
                <w:szCs w:val="20"/>
              </w:rPr>
              <w:t>440,90</w:t>
            </w:r>
          </w:p>
        </w:tc>
        <w:tc>
          <w:tcPr>
            <w:tcW w:w="978" w:type="dxa"/>
            <w:tcBorders>
              <w:top w:val="single" w:sz="4" w:space="0" w:color="auto"/>
              <w:left w:val="nil"/>
              <w:bottom w:val="single" w:sz="4" w:space="0" w:color="auto"/>
              <w:right w:val="single" w:sz="4" w:space="0" w:color="auto"/>
            </w:tcBorders>
            <w:shd w:val="clear" w:color="auto" w:fill="auto"/>
            <w:vAlign w:val="center"/>
            <w:hideMark/>
          </w:tcPr>
          <w:p w:rsidR="001A6B73" w:rsidRPr="001A6B73" w:rsidRDefault="001A6B73" w:rsidP="001A6B73">
            <w:pPr>
              <w:spacing w:before="0"/>
              <w:ind w:left="0" w:firstLine="0"/>
              <w:jc w:val="center"/>
              <w:rPr>
                <w:rFonts w:ascii="Calibri" w:eastAsia="Times New Roman" w:hAnsi="Calibri" w:cs="Times New Roman"/>
                <w:color w:val="000000"/>
                <w:sz w:val="20"/>
                <w:szCs w:val="20"/>
              </w:rPr>
            </w:pPr>
            <w:r w:rsidRPr="001A6B73">
              <w:rPr>
                <w:rFonts w:ascii="Calibri" w:eastAsia="Times New Roman" w:hAnsi="Calibri" w:cs="Times New Roman"/>
                <w:color w:val="000000"/>
                <w:sz w:val="20"/>
                <w:szCs w:val="20"/>
              </w:rPr>
              <w:t>440,90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1A6B73" w:rsidRPr="001A6B73" w:rsidRDefault="001A6B73" w:rsidP="001A6B73">
            <w:pPr>
              <w:spacing w:before="0"/>
              <w:ind w:left="0" w:firstLine="0"/>
              <w:jc w:val="center"/>
              <w:rPr>
                <w:rFonts w:ascii="Calibri" w:eastAsia="Times New Roman" w:hAnsi="Calibri" w:cs="Times New Roman"/>
                <w:color w:val="000000"/>
                <w:sz w:val="20"/>
                <w:szCs w:val="20"/>
              </w:rPr>
            </w:pPr>
            <w:r w:rsidRPr="001A6B73">
              <w:rPr>
                <w:rFonts w:ascii="Calibri" w:eastAsia="Times New Roman" w:hAnsi="Calibri" w:cs="Times New Roman"/>
                <w:color w:val="000000"/>
                <w:sz w:val="20"/>
                <w:szCs w:val="20"/>
              </w:rPr>
              <w:t>529,08</w:t>
            </w:r>
          </w:p>
        </w:tc>
        <w:tc>
          <w:tcPr>
            <w:tcW w:w="889" w:type="dxa"/>
            <w:tcBorders>
              <w:top w:val="single" w:sz="4" w:space="0" w:color="auto"/>
              <w:left w:val="nil"/>
              <w:bottom w:val="single" w:sz="4" w:space="0" w:color="auto"/>
              <w:right w:val="single" w:sz="4" w:space="0" w:color="auto"/>
            </w:tcBorders>
            <w:shd w:val="clear" w:color="auto" w:fill="auto"/>
            <w:vAlign w:val="center"/>
            <w:hideMark/>
          </w:tcPr>
          <w:p w:rsidR="001A6B73" w:rsidRPr="001A6B73" w:rsidRDefault="001A6B73" w:rsidP="001A6B73">
            <w:pPr>
              <w:spacing w:before="0"/>
              <w:ind w:left="0" w:firstLine="0"/>
              <w:jc w:val="center"/>
              <w:rPr>
                <w:rFonts w:ascii="Calibri" w:eastAsia="Times New Roman" w:hAnsi="Calibri" w:cs="Times New Roman"/>
                <w:color w:val="000000"/>
                <w:sz w:val="20"/>
                <w:szCs w:val="20"/>
              </w:rPr>
            </w:pPr>
            <w:r w:rsidRPr="001A6B73">
              <w:rPr>
                <w:rFonts w:ascii="Calibri" w:eastAsia="Times New Roman" w:hAnsi="Calibri" w:cs="Times New Roman"/>
                <w:color w:val="000000"/>
                <w:sz w:val="20"/>
                <w:szCs w:val="20"/>
              </w:rPr>
              <w:t>440,90</w:t>
            </w:r>
          </w:p>
        </w:tc>
      </w:tr>
      <w:tr w:rsidR="001A6B73" w:rsidRPr="001A6B73" w:rsidTr="00980654">
        <w:trPr>
          <w:trHeight w:val="120"/>
          <w:jc w:val="center"/>
        </w:trPr>
        <w:tc>
          <w:tcPr>
            <w:tcW w:w="3602" w:type="dxa"/>
            <w:tcBorders>
              <w:top w:val="nil"/>
              <w:left w:val="nil"/>
              <w:bottom w:val="nil"/>
              <w:right w:val="nil"/>
            </w:tcBorders>
            <w:shd w:val="clear" w:color="auto" w:fill="auto"/>
            <w:vAlign w:val="center"/>
            <w:hideMark/>
          </w:tcPr>
          <w:p w:rsidR="001A6B73" w:rsidRPr="001A6B73" w:rsidRDefault="001A6B73" w:rsidP="001A6B73">
            <w:pPr>
              <w:spacing w:before="0"/>
              <w:ind w:left="0" w:firstLine="0"/>
              <w:jc w:val="center"/>
              <w:rPr>
                <w:rFonts w:ascii="Calibri" w:eastAsia="Times New Roman" w:hAnsi="Calibri" w:cs="Times New Roman"/>
                <w:color w:val="000000"/>
                <w:sz w:val="20"/>
                <w:szCs w:val="20"/>
              </w:rPr>
            </w:pPr>
          </w:p>
        </w:tc>
        <w:tc>
          <w:tcPr>
            <w:tcW w:w="925" w:type="dxa"/>
            <w:tcBorders>
              <w:top w:val="nil"/>
              <w:left w:val="nil"/>
              <w:bottom w:val="nil"/>
              <w:right w:val="nil"/>
            </w:tcBorders>
            <w:shd w:val="clear" w:color="auto" w:fill="auto"/>
            <w:vAlign w:val="center"/>
            <w:hideMark/>
          </w:tcPr>
          <w:p w:rsidR="001A6B73" w:rsidRPr="001A6B73" w:rsidRDefault="001A6B73" w:rsidP="001A6B73">
            <w:pPr>
              <w:spacing w:before="0"/>
              <w:ind w:left="0" w:firstLine="0"/>
              <w:jc w:val="center"/>
              <w:rPr>
                <w:rFonts w:ascii="Calibri" w:eastAsia="Times New Roman" w:hAnsi="Calibri" w:cs="Times New Roman"/>
                <w:color w:val="000000"/>
                <w:sz w:val="20"/>
                <w:szCs w:val="20"/>
              </w:rPr>
            </w:pPr>
          </w:p>
        </w:tc>
        <w:tc>
          <w:tcPr>
            <w:tcW w:w="978" w:type="dxa"/>
            <w:tcBorders>
              <w:top w:val="nil"/>
              <w:left w:val="nil"/>
              <w:bottom w:val="nil"/>
              <w:right w:val="nil"/>
            </w:tcBorders>
            <w:shd w:val="clear" w:color="auto" w:fill="auto"/>
            <w:vAlign w:val="center"/>
            <w:hideMark/>
          </w:tcPr>
          <w:p w:rsidR="001A6B73" w:rsidRPr="001A6B73" w:rsidRDefault="001A6B73" w:rsidP="001A6B73">
            <w:pPr>
              <w:spacing w:before="0"/>
              <w:ind w:left="0" w:firstLine="0"/>
              <w:jc w:val="center"/>
              <w:rPr>
                <w:rFonts w:ascii="Calibri" w:eastAsia="Times New Roman" w:hAnsi="Calibri" w:cs="Times New Roman"/>
                <w:color w:val="000000"/>
                <w:sz w:val="20"/>
                <w:szCs w:val="20"/>
              </w:rPr>
            </w:pPr>
          </w:p>
        </w:tc>
        <w:tc>
          <w:tcPr>
            <w:tcW w:w="925" w:type="dxa"/>
            <w:tcBorders>
              <w:top w:val="nil"/>
              <w:left w:val="nil"/>
              <w:bottom w:val="nil"/>
              <w:right w:val="nil"/>
            </w:tcBorders>
            <w:shd w:val="clear" w:color="auto" w:fill="auto"/>
            <w:vAlign w:val="center"/>
            <w:hideMark/>
          </w:tcPr>
          <w:p w:rsidR="001A6B73" w:rsidRPr="001A6B73" w:rsidRDefault="001A6B73" w:rsidP="001A6B73">
            <w:pPr>
              <w:spacing w:before="0"/>
              <w:ind w:left="0" w:firstLine="0"/>
              <w:jc w:val="center"/>
              <w:rPr>
                <w:rFonts w:ascii="Calibri" w:eastAsia="Times New Roman" w:hAnsi="Calibri" w:cs="Times New Roman"/>
                <w:color w:val="000000"/>
                <w:sz w:val="20"/>
                <w:szCs w:val="20"/>
              </w:rPr>
            </w:pPr>
          </w:p>
        </w:tc>
        <w:tc>
          <w:tcPr>
            <w:tcW w:w="889" w:type="dxa"/>
            <w:tcBorders>
              <w:top w:val="nil"/>
              <w:left w:val="nil"/>
              <w:bottom w:val="nil"/>
              <w:right w:val="nil"/>
            </w:tcBorders>
            <w:shd w:val="clear" w:color="auto" w:fill="auto"/>
            <w:vAlign w:val="center"/>
            <w:hideMark/>
          </w:tcPr>
          <w:p w:rsidR="001A6B73" w:rsidRPr="001A6B73" w:rsidRDefault="001A6B73" w:rsidP="001A6B73">
            <w:pPr>
              <w:spacing w:before="0"/>
              <w:ind w:left="0" w:firstLine="0"/>
              <w:jc w:val="center"/>
              <w:rPr>
                <w:rFonts w:ascii="Calibri" w:eastAsia="Times New Roman" w:hAnsi="Calibri" w:cs="Times New Roman"/>
                <w:color w:val="000000"/>
                <w:sz w:val="20"/>
                <w:szCs w:val="20"/>
              </w:rPr>
            </w:pPr>
          </w:p>
        </w:tc>
      </w:tr>
      <w:tr w:rsidR="001A6B73" w:rsidRPr="001A6B73" w:rsidTr="00980654">
        <w:trPr>
          <w:trHeight w:val="510"/>
          <w:jc w:val="center"/>
        </w:trPr>
        <w:tc>
          <w:tcPr>
            <w:tcW w:w="36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B73" w:rsidRPr="001A6B73" w:rsidRDefault="001A6B73" w:rsidP="001A6B73">
            <w:pPr>
              <w:spacing w:before="0"/>
              <w:ind w:left="0" w:firstLine="0"/>
              <w:jc w:val="center"/>
              <w:rPr>
                <w:rFonts w:ascii="Calibri" w:eastAsia="Times New Roman" w:hAnsi="Calibri" w:cs="Times New Roman"/>
                <w:color w:val="000000"/>
                <w:sz w:val="20"/>
                <w:szCs w:val="20"/>
              </w:rPr>
            </w:pPr>
            <w:r w:rsidRPr="001A6B73">
              <w:rPr>
                <w:rFonts w:ascii="Calibri" w:eastAsia="Times New Roman" w:hAnsi="Calibri" w:cs="Times New Roman"/>
                <w:color w:val="000000"/>
                <w:sz w:val="20"/>
                <w:szCs w:val="20"/>
                <w:lang w:val="es-AR"/>
              </w:rPr>
              <w:t>Tasa Interna de Retorno Económico (TIRE)</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1A6B73" w:rsidRPr="001A6B73" w:rsidRDefault="001A6B73" w:rsidP="001A6B73">
            <w:pPr>
              <w:spacing w:before="0"/>
              <w:ind w:left="0" w:firstLine="0"/>
              <w:jc w:val="center"/>
              <w:rPr>
                <w:rFonts w:ascii="Calibri" w:eastAsia="Times New Roman" w:hAnsi="Calibri" w:cs="Times New Roman"/>
                <w:color w:val="000000"/>
                <w:sz w:val="20"/>
                <w:szCs w:val="20"/>
              </w:rPr>
            </w:pPr>
            <w:r w:rsidRPr="001A6B73">
              <w:rPr>
                <w:rFonts w:ascii="Calibri" w:eastAsia="Times New Roman" w:hAnsi="Calibri" w:cs="Times New Roman"/>
                <w:color w:val="000000"/>
                <w:sz w:val="20"/>
                <w:szCs w:val="20"/>
              </w:rPr>
              <w:t>24,81%</w:t>
            </w:r>
          </w:p>
        </w:tc>
        <w:tc>
          <w:tcPr>
            <w:tcW w:w="978" w:type="dxa"/>
            <w:tcBorders>
              <w:top w:val="single" w:sz="4" w:space="0" w:color="auto"/>
              <w:left w:val="nil"/>
              <w:bottom w:val="single" w:sz="4" w:space="0" w:color="auto"/>
              <w:right w:val="single" w:sz="4" w:space="0" w:color="auto"/>
            </w:tcBorders>
            <w:shd w:val="clear" w:color="auto" w:fill="auto"/>
            <w:vAlign w:val="center"/>
            <w:hideMark/>
          </w:tcPr>
          <w:p w:rsidR="001A6B73" w:rsidRPr="001A6B73" w:rsidRDefault="001A6B73" w:rsidP="001A6B73">
            <w:pPr>
              <w:spacing w:before="0"/>
              <w:ind w:left="0" w:firstLine="0"/>
              <w:jc w:val="center"/>
              <w:rPr>
                <w:rFonts w:ascii="Calibri" w:eastAsia="Times New Roman" w:hAnsi="Calibri" w:cs="Times New Roman"/>
                <w:color w:val="000000"/>
                <w:sz w:val="20"/>
                <w:szCs w:val="20"/>
              </w:rPr>
            </w:pPr>
            <w:r w:rsidRPr="001A6B73">
              <w:rPr>
                <w:rFonts w:ascii="Calibri" w:eastAsia="Times New Roman" w:hAnsi="Calibri" w:cs="Times New Roman"/>
                <w:color w:val="000000"/>
                <w:sz w:val="20"/>
                <w:szCs w:val="20"/>
              </w:rPr>
              <w:t>18,41%</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1A6B73" w:rsidRPr="001A6B73" w:rsidRDefault="001A6B73" w:rsidP="001A6B73">
            <w:pPr>
              <w:spacing w:before="0"/>
              <w:ind w:left="0" w:firstLine="0"/>
              <w:jc w:val="center"/>
              <w:rPr>
                <w:rFonts w:ascii="Calibri" w:eastAsia="Times New Roman" w:hAnsi="Calibri" w:cs="Times New Roman"/>
                <w:color w:val="000000"/>
                <w:sz w:val="20"/>
                <w:szCs w:val="20"/>
              </w:rPr>
            </w:pPr>
            <w:r w:rsidRPr="001A6B73">
              <w:rPr>
                <w:rFonts w:ascii="Calibri" w:eastAsia="Times New Roman" w:hAnsi="Calibri" w:cs="Times New Roman"/>
                <w:color w:val="000000"/>
                <w:sz w:val="20"/>
                <w:szCs w:val="20"/>
              </w:rPr>
              <w:t>20,56%</w:t>
            </w:r>
          </w:p>
        </w:tc>
        <w:tc>
          <w:tcPr>
            <w:tcW w:w="889" w:type="dxa"/>
            <w:tcBorders>
              <w:top w:val="single" w:sz="4" w:space="0" w:color="auto"/>
              <w:left w:val="nil"/>
              <w:bottom w:val="single" w:sz="4" w:space="0" w:color="auto"/>
              <w:right w:val="single" w:sz="4" w:space="0" w:color="auto"/>
            </w:tcBorders>
            <w:shd w:val="clear" w:color="auto" w:fill="auto"/>
            <w:vAlign w:val="center"/>
            <w:hideMark/>
          </w:tcPr>
          <w:p w:rsidR="001A6B73" w:rsidRPr="001A6B73" w:rsidRDefault="001A6B73" w:rsidP="001A6B73">
            <w:pPr>
              <w:spacing w:before="0"/>
              <w:ind w:left="0" w:firstLine="0"/>
              <w:jc w:val="center"/>
              <w:rPr>
                <w:rFonts w:ascii="Calibri" w:eastAsia="Times New Roman" w:hAnsi="Calibri" w:cs="Times New Roman"/>
                <w:color w:val="000000"/>
                <w:sz w:val="20"/>
                <w:szCs w:val="20"/>
              </w:rPr>
            </w:pPr>
            <w:r w:rsidRPr="001A6B73">
              <w:rPr>
                <w:rFonts w:ascii="Calibri" w:eastAsia="Times New Roman" w:hAnsi="Calibri" w:cs="Times New Roman"/>
                <w:color w:val="000000"/>
                <w:sz w:val="20"/>
                <w:szCs w:val="20"/>
              </w:rPr>
              <w:t>11,68%</w:t>
            </w:r>
          </w:p>
        </w:tc>
      </w:tr>
      <w:tr w:rsidR="001A6B73" w:rsidRPr="001A6B73" w:rsidTr="00980654">
        <w:trPr>
          <w:trHeight w:val="510"/>
          <w:jc w:val="center"/>
        </w:trPr>
        <w:tc>
          <w:tcPr>
            <w:tcW w:w="3602" w:type="dxa"/>
            <w:tcBorders>
              <w:top w:val="nil"/>
              <w:left w:val="single" w:sz="4" w:space="0" w:color="auto"/>
              <w:bottom w:val="single" w:sz="4" w:space="0" w:color="auto"/>
              <w:right w:val="single" w:sz="4" w:space="0" w:color="auto"/>
            </w:tcBorders>
            <w:shd w:val="clear" w:color="auto" w:fill="auto"/>
            <w:vAlign w:val="center"/>
            <w:hideMark/>
          </w:tcPr>
          <w:p w:rsidR="001A6B73" w:rsidRPr="001A6B73" w:rsidRDefault="001A6B73" w:rsidP="001A6B73">
            <w:pPr>
              <w:spacing w:before="0"/>
              <w:ind w:left="0" w:firstLine="0"/>
              <w:jc w:val="center"/>
              <w:rPr>
                <w:rFonts w:ascii="Calibri" w:eastAsia="Times New Roman" w:hAnsi="Calibri" w:cs="Times New Roman"/>
                <w:color w:val="000000"/>
                <w:sz w:val="20"/>
                <w:szCs w:val="20"/>
              </w:rPr>
            </w:pPr>
            <w:r w:rsidRPr="001A6B73">
              <w:rPr>
                <w:rFonts w:ascii="Calibri" w:eastAsia="Times New Roman" w:hAnsi="Calibri" w:cs="Times New Roman"/>
                <w:color w:val="000000"/>
                <w:sz w:val="20"/>
                <w:szCs w:val="20"/>
              </w:rPr>
              <w:t xml:space="preserve">VPN </w:t>
            </w:r>
            <w:proofErr w:type="spellStart"/>
            <w:r w:rsidRPr="001A6B73">
              <w:rPr>
                <w:rFonts w:ascii="Calibri" w:eastAsia="Times New Roman" w:hAnsi="Calibri" w:cs="Times New Roman"/>
                <w:color w:val="000000"/>
                <w:sz w:val="20"/>
                <w:szCs w:val="20"/>
              </w:rPr>
              <w:t>Beneficios</w:t>
            </w:r>
            <w:proofErr w:type="spellEnd"/>
            <w:r w:rsidRPr="001A6B73">
              <w:rPr>
                <w:rFonts w:ascii="Calibri" w:eastAsia="Times New Roman" w:hAnsi="Calibri" w:cs="Times New Roman"/>
                <w:color w:val="000000"/>
                <w:sz w:val="20"/>
                <w:szCs w:val="20"/>
              </w:rPr>
              <w:t xml:space="preserve"> </w:t>
            </w:r>
            <w:proofErr w:type="spellStart"/>
            <w:r w:rsidRPr="001A6B73">
              <w:rPr>
                <w:rFonts w:ascii="Calibri" w:eastAsia="Times New Roman" w:hAnsi="Calibri" w:cs="Times New Roman"/>
                <w:color w:val="000000"/>
                <w:sz w:val="20"/>
                <w:szCs w:val="20"/>
              </w:rPr>
              <w:t>Económicos</w:t>
            </w:r>
            <w:proofErr w:type="spellEnd"/>
            <w:r w:rsidRPr="001A6B73">
              <w:rPr>
                <w:rFonts w:ascii="Calibri" w:eastAsia="Times New Roman" w:hAnsi="Calibri" w:cs="Times New Roman"/>
                <w:color w:val="000000"/>
                <w:sz w:val="20"/>
                <w:szCs w:val="20"/>
              </w:rPr>
              <w:t xml:space="preserve"> MUS$</w:t>
            </w:r>
          </w:p>
        </w:tc>
        <w:tc>
          <w:tcPr>
            <w:tcW w:w="925" w:type="dxa"/>
            <w:tcBorders>
              <w:top w:val="nil"/>
              <w:left w:val="nil"/>
              <w:bottom w:val="single" w:sz="4" w:space="0" w:color="auto"/>
              <w:right w:val="single" w:sz="4" w:space="0" w:color="auto"/>
            </w:tcBorders>
            <w:shd w:val="clear" w:color="auto" w:fill="auto"/>
            <w:vAlign w:val="center"/>
            <w:hideMark/>
          </w:tcPr>
          <w:p w:rsidR="001A6B73" w:rsidRPr="001A6B73" w:rsidRDefault="001A6B73" w:rsidP="001A6B73">
            <w:pPr>
              <w:spacing w:before="0"/>
              <w:ind w:left="0" w:firstLine="0"/>
              <w:jc w:val="center"/>
              <w:rPr>
                <w:rFonts w:ascii="Calibri" w:eastAsia="Times New Roman" w:hAnsi="Calibri" w:cs="Times New Roman"/>
                <w:color w:val="000000"/>
                <w:sz w:val="20"/>
                <w:szCs w:val="20"/>
              </w:rPr>
            </w:pPr>
            <w:r w:rsidRPr="001A6B73">
              <w:rPr>
                <w:rFonts w:ascii="Calibri" w:eastAsia="Times New Roman" w:hAnsi="Calibri" w:cs="Times New Roman"/>
                <w:color w:val="000000"/>
                <w:sz w:val="20"/>
                <w:szCs w:val="20"/>
              </w:rPr>
              <w:t>844,65</w:t>
            </w:r>
          </w:p>
        </w:tc>
        <w:tc>
          <w:tcPr>
            <w:tcW w:w="978" w:type="dxa"/>
            <w:tcBorders>
              <w:top w:val="nil"/>
              <w:left w:val="nil"/>
              <w:bottom w:val="single" w:sz="4" w:space="0" w:color="auto"/>
              <w:right w:val="single" w:sz="4" w:space="0" w:color="auto"/>
            </w:tcBorders>
            <w:shd w:val="clear" w:color="auto" w:fill="auto"/>
            <w:vAlign w:val="center"/>
            <w:hideMark/>
          </w:tcPr>
          <w:p w:rsidR="001A6B73" w:rsidRPr="001A6B73" w:rsidRDefault="001A6B73" w:rsidP="001A6B73">
            <w:pPr>
              <w:spacing w:before="0"/>
              <w:ind w:left="0" w:firstLine="0"/>
              <w:jc w:val="center"/>
              <w:rPr>
                <w:rFonts w:ascii="Calibri" w:eastAsia="Times New Roman" w:hAnsi="Calibri" w:cs="Times New Roman"/>
                <w:color w:val="000000"/>
                <w:sz w:val="20"/>
                <w:szCs w:val="20"/>
              </w:rPr>
            </w:pPr>
            <w:r w:rsidRPr="001A6B73">
              <w:rPr>
                <w:rFonts w:ascii="Calibri" w:eastAsia="Times New Roman" w:hAnsi="Calibri" w:cs="Times New Roman"/>
                <w:color w:val="000000"/>
                <w:sz w:val="20"/>
                <w:szCs w:val="20"/>
              </w:rPr>
              <w:t>634,87</w:t>
            </w:r>
          </w:p>
        </w:tc>
        <w:tc>
          <w:tcPr>
            <w:tcW w:w="925" w:type="dxa"/>
            <w:tcBorders>
              <w:top w:val="nil"/>
              <w:left w:val="nil"/>
              <w:bottom w:val="single" w:sz="4" w:space="0" w:color="auto"/>
              <w:right w:val="single" w:sz="4" w:space="0" w:color="auto"/>
            </w:tcBorders>
            <w:shd w:val="clear" w:color="auto" w:fill="auto"/>
            <w:vAlign w:val="center"/>
            <w:hideMark/>
          </w:tcPr>
          <w:p w:rsidR="001A6B73" w:rsidRPr="001A6B73" w:rsidRDefault="001A6B73" w:rsidP="001A6B73">
            <w:pPr>
              <w:spacing w:before="0"/>
              <w:ind w:left="0" w:firstLine="0"/>
              <w:jc w:val="center"/>
              <w:rPr>
                <w:rFonts w:ascii="Calibri" w:eastAsia="Times New Roman" w:hAnsi="Calibri" w:cs="Times New Roman"/>
                <w:color w:val="000000"/>
                <w:sz w:val="20"/>
                <w:szCs w:val="20"/>
              </w:rPr>
            </w:pPr>
            <w:r w:rsidRPr="001A6B73">
              <w:rPr>
                <w:rFonts w:ascii="Calibri" w:eastAsia="Times New Roman" w:hAnsi="Calibri" w:cs="Times New Roman"/>
                <w:color w:val="000000"/>
                <w:sz w:val="20"/>
                <w:szCs w:val="20"/>
              </w:rPr>
              <w:t>844,65</w:t>
            </w:r>
          </w:p>
        </w:tc>
        <w:tc>
          <w:tcPr>
            <w:tcW w:w="889" w:type="dxa"/>
            <w:tcBorders>
              <w:top w:val="nil"/>
              <w:left w:val="nil"/>
              <w:bottom w:val="single" w:sz="4" w:space="0" w:color="auto"/>
              <w:right w:val="single" w:sz="4" w:space="0" w:color="auto"/>
            </w:tcBorders>
            <w:shd w:val="clear" w:color="auto" w:fill="auto"/>
            <w:vAlign w:val="center"/>
            <w:hideMark/>
          </w:tcPr>
          <w:p w:rsidR="001A6B73" w:rsidRPr="001A6B73" w:rsidRDefault="001A6B73" w:rsidP="001A6B73">
            <w:pPr>
              <w:spacing w:before="0"/>
              <w:ind w:left="0" w:firstLine="0"/>
              <w:jc w:val="center"/>
              <w:rPr>
                <w:rFonts w:ascii="Calibri" w:eastAsia="Times New Roman" w:hAnsi="Calibri" w:cs="Times New Roman"/>
                <w:color w:val="000000"/>
                <w:sz w:val="20"/>
                <w:szCs w:val="20"/>
              </w:rPr>
            </w:pPr>
            <w:r w:rsidRPr="001A6B73">
              <w:rPr>
                <w:rFonts w:ascii="Calibri" w:eastAsia="Times New Roman" w:hAnsi="Calibri" w:cs="Times New Roman"/>
                <w:color w:val="000000"/>
                <w:sz w:val="20"/>
                <w:szCs w:val="20"/>
              </w:rPr>
              <w:t>431,86</w:t>
            </w:r>
          </w:p>
        </w:tc>
      </w:tr>
      <w:tr w:rsidR="001A6B73" w:rsidRPr="001A6B73" w:rsidTr="00980654">
        <w:trPr>
          <w:trHeight w:val="330"/>
          <w:jc w:val="center"/>
        </w:trPr>
        <w:tc>
          <w:tcPr>
            <w:tcW w:w="3602" w:type="dxa"/>
            <w:tcBorders>
              <w:top w:val="nil"/>
              <w:left w:val="single" w:sz="4" w:space="0" w:color="auto"/>
              <w:bottom w:val="single" w:sz="4" w:space="0" w:color="auto"/>
              <w:right w:val="single" w:sz="4" w:space="0" w:color="auto"/>
            </w:tcBorders>
            <w:shd w:val="clear" w:color="auto" w:fill="auto"/>
            <w:vAlign w:val="center"/>
            <w:hideMark/>
          </w:tcPr>
          <w:p w:rsidR="001A6B73" w:rsidRPr="001A6B73" w:rsidRDefault="001A6B73" w:rsidP="001A6B73">
            <w:pPr>
              <w:spacing w:before="0"/>
              <w:ind w:left="0" w:firstLine="0"/>
              <w:jc w:val="center"/>
              <w:rPr>
                <w:rFonts w:ascii="Calibri" w:eastAsia="Times New Roman" w:hAnsi="Calibri" w:cs="Times New Roman"/>
                <w:color w:val="000000"/>
                <w:sz w:val="20"/>
                <w:szCs w:val="20"/>
              </w:rPr>
            </w:pPr>
            <w:proofErr w:type="spellStart"/>
            <w:r w:rsidRPr="001A6B73">
              <w:rPr>
                <w:rFonts w:ascii="Calibri" w:eastAsia="Times New Roman" w:hAnsi="Calibri" w:cs="Times New Roman"/>
                <w:color w:val="000000"/>
                <w:sz w:val="20"/>
                <w:szCs w:val="20"/>
              </w:rPr>
              <w:t>Relación</w:t>
            </w:r>
            <w:proofErr w:type="spellEnd"/>
            <w:r w:rsidRPr="001A6B73">
              <w:rPr>
                <w:rFonts w:ascii="Calibri" w:eastAsia="Times New Roman" w:hAnsi="Calibri" w:cs="Times New Roman"/>
                <w:color w:val="000000"/>
                <w:sz w:val="20"/>
                <w:szCs w:val="20"/>
              </w:rPr>
              <w:t xml:space="preserve"> B/C</w:t>
            </w:r>
          </w:p>
        </w:tc>
        <w:tc>
          <w:tcPr>
            <w:tcW w:w="925" w:type="dxa"/>
            <w:tcBorders>
              <w:top w:val="nil"/>
              <w:left w:val="nil"/>
              <w:bottom w:val="single" w:sz="4" w:space="0" w:color="auto"/>
              <w:right w:val="single" w:sz="4" w:space="0" w:color="auto"/>
            </w:tcBorders>
            <w:shd w:val="clear" w:color="auto" w:fill="auto"/>
            <w:vAlign w:val="center"/>
            <w:hideMark/>
          </w:tcPr>
          <w:p w:rsidR="001A6B73" w:rsidRPr="001A6B73" w:rsidRDefault="001A6B73" w:rsidP="001A6B73">
            <w:pPr>
              <w:spacing w:before="0"/>
              <w:ind w:left="0" w:firstLine="0"/>
              <w:jc w:val="center"/>
              <w:rPr>
                <w:rFonts w:ascii="Calibri" w:eastAsia="Times New Roman" w:hAnsi="Calibri" w:cs="Times New Roman"/>
                <w:color w:val="000000"/>
                <w:sz w:val="20"/>
                <w:szCs w:val="20"/>
              </w:rPr>
            </w:pPr>
            <w:r w:rsidRPr="001A6B73">
              <w:rPr>
                <w:rFonts w:ascii="Calibri" w:eastAsia="Times New Roman" w:hAnsi="Calibri" w:cs="Times New Roman"/>
                <w:color w:val="000000"/>
                <w:sz w:val="20"/>
                <w:szCs w:val="20"/>
              </w:rPr>
              <w:t>1,92</w:t>
            </w:r>
          </w:p>
        </w:tc>
        <w:tc>
          <w:tcPr>
            <w:tcW w:w="978" w:type="dxa"/>
            <w:tcBorders>
              <w:top w:val="nil"/>
              <w:left w:val="nil"/>
              <w:bottom w:val="single" w:sz="4" w:space="0" w:color="auto"/>
              <w:right w:val="single" w:sz="4" w:space="0" w:color="auto"/>
            </w:tcBorders>
            <w:shd w:val="clear" w:color="auto" w:fill="auto"/>
            <w:vAlign w:val="center"/>
            <w:hideMark/>
          </w:tcPr>
          <w:p w:rsidR="001A6B73" w:rsidRPr="001A6B73" w:rsidRDefault="001A6B73" w:rsidP="001A6B73">
            <w:pPr>
              <w:spacing w:before="0"/>
              <w:ind w:left="0" w:firstLine="0"/>
              <w:jc w:val="center"/>
              <w:rPr>
                <w:rFonts w:ascii="Calibri" w:eastAsia="Times New Roman" w:hAnsi="Calibri" w:cs="Times New Roman"/>
                <w:color w:val="000000"/>
                <w:sz w:val="20"/>
                <w:szCs w:val="20"/>
              </w:rPr>
            </w:pPr>
            <w:r w:rsidRPr="001A6B73">
              <w:rPr>
                <w:rFonts w:ascii="Calibri" w:eastAsia="Times New Roman" w:hAnsi="Calibri" w:cs="Times New Roman"/>
                <w:color w:val="000000"/>
                <w:sz w:val="20"/>
                <w:szCs w:val="20"/>
              </w:rPr>
              <w:t>1,44</w:t>
            </w:r>
          </w:p>
        </w:tc>
        <w:tc>
          <w:tcPr>
            <w:tcW w:w="925" w:type="dxa"/>
            <w:tcBorders>
              <w:top w:val="nil"/>
              <w:left w:val="nil"/>
              <w:bottom w:val="single" w:sz="4" w:space="0" w:color="auto"/>
              <w:right w:val="single" w:sz="4" w:space="0" w:color="auto"/>
            </w:tcBorders>
            <w:shd w:val="clear" w:color="auto" w:fill="auto"/>
            <w:vAlign w:val="center"/>
            <w:hideMark/>
          </w:tcPr>
          <w:p w:rsidR="001A6B73" w:rsidRPr="001A6B73" w:rsidRDefault="001A6B73" w:rsidP="001A6B73">
            <w:pPr>
              <w:spacing w:before="0"/>
              <w:ind w:left="0" w:firstLine="0"/>
              <w:jc w:val="center"/>
              <w:rPr>
                <w:rFonts w:ascii="Calibri" w:eastAsia="Times New Roman" w:hAnsi="Calibri" w:cs="Times New Roman"/>
                <w:color w:val="000000"/>
                <w:sz w:val="20"/>
                <w:szCs w:val="20"/>
              </w:rPr>
            </w:pPr>
            <w:r w:rsidRPr="001A6B73">
              <w:rPr>
                <w:rFonts w:ascii="Calibri" w:eastAsia="Times New Roman" w:hAnsi="Calibri" w:cs="Times New Roman"/>
                <w:color w:val="000000"/>
                <w:sz w:val="20"/>
                <w:szCs w:val="20"/>
              </w:rPr>
              <w:t>1,60</w:t>
            </w:r>
          </w:p>
        </w:tc>
        <w:tc>
          <w:tcPr>
            <w:tcW w:w="889" w:type="dxa"/>
            <w:tcBorders>
              <w:top w:val="nil"/>
              <w:left w:val="nil"/>
              <w:bottom w:val="single" w:sz="4" w:space="0" w:color="auto"/>
              <w:right w:val="single" w:sz="4" w:space="0" w:color="auto"/>
            </w:tcBorders>
            <w:shd w:val="clear" w:color="auto" w:fill="auto"/>
            <w:vAlign w:val="center"/>
            <w:hideMark/>
          </w:tcPr>
          <w:p w:rsidR="001A6B73" w:rsidRPr="001A6B73" w:rsidRDefault="001A6B73" w:rsidP="001A6B73">
            <w:pPr>
              <w:spacing w:before="0"/>
              <w:ind w:left="0" w:firstLine="0"/>
              <w:jc w:val="center"/>
              <w:rPr>
                <w:rFonts w:ascii="Calibri" w:eastAsia="Times New Roman" w:hAnsi="Calibri" w:cs="Times New Roman"/>
                <w:color w:val="000000"/>
                <w:sz w:val="20"/>
                <w:szCs w:val="20"/>
              </w:rPr>
            </w:pPr>
            <w:r w:rsidRPr="001A6B73">
              <w:rPr>
                <w:rFonts w:ascii="Calibri" w:eastAsia="Times New Roman" w:hAnsi="Calibri" w:cs="Times New Roman"/>
                <w:color w:val="000000"/>
                <w:sz w:val="20"/>
                <w:szCs w:val="20"/>
              </w:rPr>
              <w:t>0,98</w:t>
            </w:r>
          </w:p>
        </w:tc>
      </w:tr>
      <w:tr w:rsidR="001A6B73" w:rsidRPr="001A6B73" w:rsidTr="00980654">
        <w:trPr>
          <w:trHeight w:val="315"/>
          <w:jc w:val="center"/>
        </w:trPr>
        <w:tc>
          <w:tcPr>
            <w:tcW w:w="3602" w:type="dxa"/>
            <w:tcBorders>
              <w:top w:val="nil"/>
              <w:left w:val="nil"/>
              <w:bottom w:val="nil"/>
              <w:right w:val="nil"/>
            </w:tcBorders>
            <w:shd w:val="clear" w:color="auto" w:fill="auto"/>
            <w:noWrap/>
            <w:vAlign w:val="bottom"/>
            <w:hideMark/>
          </w:tcPr>
          <w:p w:rsidR="001A6B73" w:rsidRPr="001A6B73" w:rsidRDefault="001A6B73" w:rsidP="001A6B73">
            <w:pPr>
              <w:spacing w:before="0"/>
              <w:ind w:left="0" w:firstLine="0"/>
              <w:jc w:val="center"/>
              <w:rPr>
                <w:rFonts w:ascii="Calibri" w:eastAsia="Times New Roman" w:hAnsi="Calibri" w:cs="Times New Roman"/>
                <w:color w:val="000000"/>
                <w:szCs w:val="24"/>
              </w:rPr>
            </w:pPr>
          </w:p>
        </w:tc>
        <w:tc>
          <w:tcPr>
            <w:tcW w:w="925" w:type="dxa"/>
            <w:tcBorders>
              <w:top w:val="nil"/>
              <w:left w:val="nil"/>
              <w:bottom w:val="nil"/>
              <w:right w:val="nil"/>
            </w:tcBorders>
            <w:shd w:val="clear" w:color="000000" w:fill="FFFFFF"/>
            <w:noWrap/>
            <w:vAlign w:val="bottom"/>
            <w:hideMark/>
          </w:tcPr>
          <w:p w:rsidR="001A6B73" w:rsidRPr="001A6B73" w:rsidRDefault="001A6B73" w:rsidP="001A6B73">
            <w:pPr>
              <w:spacing w:before="0"/>
              <w:ind w:left="0" w:firstLine="0"/>
              <w:jc w:val="center"/>
              <w:rPr>
                <w:rFonts w:ascii="Calibri" w:eastAsia="Times New Roman" w:hAnsi="Calibri" w:cs="Times New Roman"/>
                <w:szCs w:val="24"/>
              </w:rPr>
            </w:pPr>
          </w:p>
        </w:tc>
        <w:tc>
          <w:tcPr>
            <w:tcW w:w="978" w:type="dxa"/>
            <w:tcBorders>
              <w:top w:val="nil"/>
              <w:left w:val="nil"/>
              <w:bottom w:val="nil"/>
              <w:right w:val="nil"/>
            </w:tcBorders>
            <w:shd w:val="clear" w:color="auto" w:fill="auto"/>
            <w:noWrap/>
            <w:vAlign w:val="center"/>
            <w:hideMark/>
          </w:tcPr>
          <w:p w:rsidR="001A6B73" w:rsidRPr="001A6B73" w:rsidRDefault="001A6B73" w:rsidP="001A6B73">
            <w:pPr>
              <w:spacing w:before="0"/>
              <w:ind w:left="0" w:firstLine="0"/>
              <w:jc w:val="center"/>
              <w:rPr>
                <w:rFonts w:ascii="Calibri" w:eastAsia="Times New Roman" w:hAnsi="Calibri" w:cs="Times New Roman"/>
                <w:color w:val="000000"/>
                <w:sz w:val="20"/>
                <w:szCs w:val="20"/>
              </w:rPr>
            </w:pPr>
          </w:p>
        </w:tc>
        <w:tc>
          <w:tcPr>
            <w:tcW w:w="925" w:type="dxa"/>
            <w:tcBorders>
              <w:top w:val="nil"/>
              <w:left w:val="nil"/>
              <w:bottom w:val="nil"/>
              <w:right w:val="nil"/>
            </w:tcBorders>
            <w:shd w:val="clear" w:color="auto" w:fill="auto"/>
            <w:noWrap/>
            <w:vAlign w:val="center"/>
            <w:hideMark/>
          </w:tcPr>
          <w:p w:rsidR="001A6B73" w:rsidRPr="001A6B73" w:rsidRDefault="001A6B73" w:rsidP="001A6B73">
            <w:pPr>
              <w:spacing w:before="0"/>
              <w:ind w:left="0" w:firstLine="0"/>
              <w:jc w:val="center"/>
              <w:rPr>
                <w:rFonts w:ascii="Calibri" w:eastAsia="Times New Roman" w:hAnsi="Calibri" w:cs="Times New Roman"/>
                <w:color w:val="000000"/>
                <w:sz w:val="20"/>
                <w:szCs w:val="20"/>
              </w:rPr>
            </w:pPr>
          </w:p>
        </w:tc>
        <w:tc>
          <w:tcPr>
            <w:tcW w:w="889" w:type="dxa"/>
            <w:tcBorders>
              <w:top w:val="nil"/>
              <w:left w:val="nil"/>
              <w:bottom w:val="nil"/>
              <w:right w:val="nil"/>
            </w:tcBorders>
            <w:shd w:val="clear" w:color="auto" w:fill="auto"/>
            <w:noWrap/>
            <w:vAlign w:val="center"/>
            <w:hideMark/>
          </w:tcPr>
          <w:p w:rsidR="001A6B73" w:rsidRPr="001A6B73" w:rsidRDefault="001A6B73" w:rsidP="001A6B73">
            <w:pPr>
              <w:spacing w:before="0"/>
              <w:ind w:left="0" w:firstLine="0"/>
              <w:jc w:val="center"/>
              <w:rPr>
                <w:rFonts w:ascii="Calibri" w:eastAsia="Times New Roman" w:hAnsi="Calibri" w:cs="Times New Roman"/>
                <w:color w:val="000000"/>
                <w:sz w:val="20"/>
                <w:szCs w:val="20"/>
              </w:rPr>
            </w:pPr>
          </w:p>
        </w:tc>
      </w:tr>
      <w:tr w:rsidR="001A6B73" w:rsidRPr="001A6B73" w:rsidTr="00980654">
        <w:trPr>
          <w:trHeight w:val="510"/>
          <w:jc w:val="center"/>
        </w:trPr>
        <w:tc>
          <w:tcPr>
            <w:tcW w:w="36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6B73" w:rsidRPr="001A6B73" w:rsidRDefault="001A6B73" w:rsidP="001A6B73">
            <w:pPr>
              <w:spacing w:before="0"/>
              <w:ind w:left="0" w:firstLine="0"/>
              <w:jc w:val="center"/>
              <w:rPr>
                <w:rFonts w:ascii="Calibri" w:eastAsia="Times New Roman" w:hAnsi="Calibri" w:cs="Times New Roman"/>
                <w:color w:val="000000"/>
                <w:sz w:val="20"/>
                <w:szCs w:val="20"/>
              </w:rPr>
            </w:pPr>
            <w:r w:rsidRPr="001A6B73">
              <w:rPr>
                <w:rFonts w:ascii="Calibri" w:eastAsia="Times New Roman" w:hAnsi="Calibri" w:cs="Times New Roman"/>
                <w:color w:val="000000"/>
                <w:sz w:val="20"/>
                <w:szCs w:val="20"/>
                <w:lang w:val="es-AR"/>
              </w:rPr>
              <w:t>Tasa Interna de Retorno Financiera (TIR)</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1A6B73" w:rsidRPr="001A6B73" w:rsidRDefault="001A6B73" w:rsidP="001A6B73">
            <w:pPr>
              <w:spacing w:before="0"/>
              <w:ind w:left="0" w:firstLine="0"/>
              <w:jc w:val="center"/>
              <w:rPr>
                <w:rFonts w:ascii="Calibri" w:eastAsia="Times New Roman" w:hAnsi="Calibri" w:cs="Times New Roman"/>
                <w:color w:val="000000"/>
                <w:sz w:val="20"/>
                <w:szCs w:val="20"/>
              </w:rPr>
            </w:pPr>
            <w:r w:rsidRPr="001A6B73">
              <w:rPr>
                <w:rFonts w:ascii="Calibri" w:eastAsia="Times New Roman" w:hAnsi="Calibri" w:cs="Times New Roman"/>
                <w:color w:val="000000"/>
                <w:sz w:val="20"/>
                <w:szCs w:val="20"/>
              </w:rPr>
              <w:t>51,27%</w:t>
            </w:r>
          </w:p>
        </w:tc>
        <w:tc>
          <w:tcPr>
            <w:tcW w:w="978" w:type="dxa"/>
            <w:tcBorders>
              <w:top w:val="single" w:sz="4" w:space="0" w:color="auto"/>
              <w:left w:val="nil"/>
              <w:bottom w:val="single" w:sz="4" w:space="0" w:color="auto"/>
              <w:right w:val="single" w:sz="4" w:space="0" w:color="auto"/>
            </w:tcBorders>
            <w:shd w:val="clear" w:color="auto" w:fill="auto"/>
            <w:vAlign w:val="center"/>
            <w:hideMark/>
          </w:tcPr>
          <w:p w:rsidR="001A6B73" w:rsidRPr="001A6B73" w:rsidRDefault="001A6B73" w:rsidP="001A6B73">
            <w:pPr>
              <w:spacing w:before="0"/>
              <w:ind w:left="0" w:firstLine="0"/>
              <w:jc w:val="center"/>
              <w:rPr>
                <w:rFonts w:ascii="Calibri" w:eastAsia="Times New Roman" w:hAnsi="Calibri" w:cs="Times New Roman"/>
                <w:color w:val="000000"/>
                <w:sz w:val="20"/>
                <w:szCs w:val="20"/>
              </w:rPr>
            </w:pPr>
            <w:r w:rsidRPr="001A6B73">
              <w:rPr>
                <w:rFonts w:ascii="Calibri" w:eastAsia="Times New Roman" w:hAnsi="Calibri" w:cs="Times New Roman"/>
                <w:color w:val="000000"/>
                <w:sz w:val="20"/>
                <w:szCs w:val="20"/>
              </w:rPr>
              <w:t>50,40%</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1A6B73" w:rsidRPr="001A6B73" w:rsidRDefault="001A6B73" w:rsidP="001A6B73">
            <w:pPr>
              <w:spacing w:before="0"/>
              <w:ind w:left="0" w:firstLine="0"/>
              <w:jc w:val="center"/>
              <w:rPr>
                <w:rFonts w:ascii="Calibri" w:eastAsia="Times New Roman" w:hAnsi="Calibri" w:cs="Times New Roman"/>
                <w:color w:val="000000"/>
                <w:sz w:val="20"/>
                <w:szCs w:val="20"/>
              </w:rPr>
            </w:pPr>
            <w:r w:rsidRPr="001A6B73">
              <w:rPr>
                <w:rFonts w:ascii="Calibri" w:eastAsia="Times New Roman" w:hAnsi="Calibri" w:cs="Times New Roman"/>
                <w:color w:val="000000"/>
                <w:sz w:val="20"/>
                <w:szCs w:val="20"/>
              </w:rPr>
              <w:t>42,75%</w:t>
            </w:r>
          </w:p>
        </w:tc>
        <w:tc>
          <w:tcPr>
            <w:tcW w:w="889" w:type="dxa"/>
            <w:tcBorders>
              <w:top w:val="single" w:sz="4" w:space="0" w:color="auto"/>
              <w:left w:val="nil"/>
              <w:bottom w:val="single" w:sz="4" w:space="0" w:color="auto"/>
              <w:right w:val="single" w:sz="4" w:space="0" w:color="auto"/>
            </w:tcBorders>
            <w:shd w:val="clear" w:color="auto" w:fill="auto"/>
            <w:vAlign w:val="center"/>
            <w:hideMark/>
          </w:tcPr>
          <w:p w:rsidR="001A6B73" w:rsidRPr="001A6B73" w:rsidRDefault="001A6B73" w:rsidP="001A6B73">
            <w:pPr>
              <w:spacing w:before="0"/>
              <w:ind w:left="0" w:firstLine="0"/>
              <w:jc w:val="center"/>
              <w:rPr>
                <w:rFonts w:ascii="Calibri" w:eastAsia="Times New Roman" w:hAnsi="Calibri" w:cs="Times New Roman"/>
                <w:color w:val="000000"/>
                <w:sz w:val="20"/>
                <w:szCs w:val="20"/>
              </w:rPr>
            </w:pPr>
            <w:r w:rsidRPr="001A6B73">
              <w:rPr>
                <w:rFonts w:ascii="Calibri" w:eastAsia="Times New Roman" w:hAnsi="Calibri" w:cs="Times New Roman"/>
                <w:color w:val="000000"/>
                <w:sz w:val="20"/>
                <w:szCs w:val="20"/>
              </w:rPr>
              <w:t>26,46%</w:t>
            </w:r>
          </w:p>
        </w:tc>
      </w:tr>
      <w:tr w:rsidR="001A6B73" w:rsidRPr="001A6B73" w:rsidTr="00980654">
        <w:trPr>
          <w:trHeight w:val="510"/>
          <w:jc w:val="center"/>
        </w:trPr>
        <w:tc>
          <w:tcPr>
            <w:tcW w:w="3602" w:type="dxa"/>
            <w:tcBorders>
              <w:top w:val="nil"/>
              <w:left w:val="single" w:sz="4" w:space="0" w:color="auto"/>
              <w:bottom w:val="single" w:sz="4" w:space="0" w:color="auto"/>
              <w:right w:val="single" w:sz="4" w:space="0" w:color="auto"/>
            </w:tcBorders>
            <w:shd w:val="clear" w:color="auto" w:fill="auto"/>
            <w:vAlign w:val="center"/>
            <w:hideMark/>
          </w:tcPr>
          <w:p w:rsidR="001A6B73" w:rsidRPr="001A6B73" w:rsidRDefault="001A6B73" w:rsidP="001A6B73">
            <w:pPr>
              <w:spacing w:before="0"/>
              <w:ind w:left="0" w:firstLine="0"/>
              <w:jc w:val="center"/>
              <w:rPr>
                <w:rFonts w:ascii="Calibri" w:eastAsia="Times New Roman" w:hAnsi="Calibri" w:cs="Times New Roman"/>
                <w:color w:val="000000"/>
                <w:sz w:val="20"/>
                <w:szCs w:val="20"/>
              </w:rPr>
            </w:pPr>
            <w:r w:rsidRPr="001A6B73">
              <w:rPr>
                <w:rFonts w:ascii="Calibri" w:eastAsia="Times New Roman" w:hAnsi="Calibri" w:cs="Times New Roman"/>
                <w:color w:val="000000"/>
                <w:sz w:val="20"/>
                <w:szCs w:val="20"/>
              </w:rPr>
              <w:t xml:space="preserve">VPN </w:t>
            </w:r>
            <w:proofErr w:type="spellStart"/>
            <w:r w:rsidRPr="001A6B73">
              <w:rPr>
                <w:rFonts w:ascii="Calibri" w:eastAsia="Times New Roman" w:hAnsi="Calibri" w:cs="Times New Roman"/>
                <w:color w:val="000000"/>
                <w:sz w:val="20"/>
                <w:szCs w:val="20"/>
              </w:rPr>
              <w:t>Beneficios</w:t>
            </w:r>
            <w:proofErr w:type="spellEnd"/>
            <w:r w:rsidRPr="001A6B73">
              <w:rPr>
                <w:rFonts w:ascii="Calibri" w:eastAsia="Times New Roman" w:hAnsi="Calibri" w:cs="Times New Roman"/>
                <w:color w:val="000000"/>
                <w:sz w:val="20"/>
                <w:szCs w:val="20"/>
              </w:rPr>
              <w:t xml:space="preserve"> </w:t>
            </w:r>
            <w:proofErr w:type="spellStart"/>
            <w:r w:rsidRPr="001A6B73">
              <w:rPr>
                <w:rFonts w:ascii="Calibri" w:eastAsia="Times New Roman" w:hAnsi="Calibri" w:cs="Times New Roman"/>
                <w:color w:val="000000"/>
                <w:sz w:val="20"/>
                <w:szCs w:val="20"/>
              </w:rPr>
              <w:t>Financieros</w:t>
            </w:r>
            <w:proofErr w:type="spellEnd"/>
            <w:r w:rsidRPr="001A6B73">
              <w:rPr>
                <w:rFonts w:ascii="Calibri" w:eastAsia="Times New Roman" w:hAnsi="Calibri" w:cs="Times New Roman"/>
                <w:color w:val="000000"/>
                <w:sz w:val="20"/>
                <w:szCs w:val="20"/>
              </w:rPr>
              <w:t xml:space="preserve"> MUS$</w:t>
            </w:r>
          </w:p>
        </w:tc>
        <w:tc>
          <w:tcPr>
            <w:tcW w:w="925" w:type="dxa"/>
            <w:tcBorders>
              <w:top w:val="nil"/>
              <w:left w:val="nil"/>
              <w:bottom w:val="single" w:sz="4" w:space="0" w:color="auto"/>
              <w:right w:val="single" w:sz="4" w:space="0" w:color="auto"/>
            </w:tcBorders>
            <w:shd w:val="clear" w:color="auto" w:fill="auto"/>
            <w:vAlign w:val="center"/>
            <w:hideMark/>
          </w:tcPr>
          <w:p w:rsidR="001A6B73" w:rsidRPr="001A6B73" w:rsidRDefault="001A6B73" w:rsidP="001A6B73">
            <w:pPr>
              <w:spacing w:before="0"/>
              <w:ind w:left="0" w:firstLine="0"/>
              <w:jc w:val="center"/>
              <w:rPr>
                <w:rFonts w:ascii="Calibri" w:eastAsia="Times New Roman" w:hAnsi="Calibri" w:cs="Times New Roman"/>
                <w:color w:val="000000"/>
                <w:sz w:val="20"/>
                <w:szCs w:val="20"/>
              </w:rPr>
            </w:pPr>
            <w:r w:rsidRPr="001A6B73">
              <w:rPr>
                <w:rFonts w:ascii="Calibri" w:eastAsia="Times New Roman" w:hAnsi="Calibri" w:cs="Times New Roman"/>
                <w:color w:val="000000"/>
                <w:sz w:val="20"/>
                <w:szCs w:val="20"/>
              </w:rPr>
              <w:t>1.747,69</w:t>
            </w:r>
          </w:p>
        </w:tc>
        <w:tc>
          <w:tcPr>
            <w:tcW w:w="978" w:type="dxa"/>
            <w:tcBorders>
              <w:top w:val="nil"/>
              <w:left w:val="nil"/>
              <w:bottom w:val="single" w:sz="4" w:space="0" w:color="auto"/>
              <w:right w:val="single" w:sz="4" w:space="0" w:color="auto"/>
            </w:tcBorders>
            <w:shd w:val="clear" w:color="auto" w:fill="auto"/>
            <w:vAlign w:val="center"/>
            <w:hideMark/>
          </w:tcPr>
          <w:p w:rsidR="001A6B73" w:rsidRPr="001A6B73" w:rsidRDefault="001A6B73" w:rsidP="001A6B73">
            <w:pPr>
              <w:spacing w:before="0"/>
              <w:ind w:left="0" w:firstLine="0"/>
              <w:jc w:val="center"/>
              <w:rPr>
                <w:rFonts w:ascii="Calibri" w:eastAsia="Times New Roman" w:hAnsi="Calibri" w:cs="Times New Roman"/>
                <w:color w:val="000000"/>
                <w:sz w:val="20"/>
                <w:szCs w:val="20"/>
              </w:rPr>
            </w:pPr>
            <w:r w:rsidRPr="001A6B73">
              <w:rPr>
                <w:rFonts w:ascii="Calibri" w:eastAsia="Times New Roman" w:hAnsi="Calibri" w:cs="Times New Roman"/>
                <w:color w:val="000000"/>
                <w:sz w:val="20"/>
                <w:szCs w:val="20"/>
              </w:rPr>
              <w:t>1.722,42</w:t>
            </w:r>
          </w:p>
        </w:tc>
        <w:tc>
          <w:tcPr>
            <w:tcW w:w="925" w:type="dxa"/>
            <w:tcBorders>
              <w:top w:val="nil"/>
              <w:left w:val="nil"/>
              <w:bottom w:val="single" w:sz="4" w:space="0" w:color="auto"/>
              <w:right w:val="single" w:sz="4" w:space="0" w:color="auto"/>
            </w:tcBorders>
            <w:shd w:val="clear" w:color="auto" w:fill="auto"/>
            <w:vAlign w:val="center"/>
            <w:hideMark/>
          </w:tcPr>
          <w:p w:rsidR="001A6B73" w:rsidRPr="001A6B73" w:rsidRDefault="001A6B73" w:rsidP="001A6B73">
            <w:pPr>
              <w:spacing w:before="0"/>
              <w:ind w:left="0" w:firstLine="0"/>
              <w:jc w:val="center"/>
              <w:rPr>
                <w:rFonts w:ascii="Calibri" w:eastAsia="Times New Roman" w:hAnsi="Calibri" w:cs="Times New Roman"/>
                <w:color w:val="000000"/>
                <w:sz w:val="20"/>
                <w:szCs w:val="20"/>
              </w:rPr>
            </w:pPr>
            <w:r w:rsidRPr="001A6B73">
              <w:rPr>
                <w:rFonts w:ascii="Calibri" w:eastAsia="Times New Roman" w:hAnsi="Calibri" w:cs="Times New Roman"/>
                <w:color w:val="000000"/>
                <w:sz w:val="20"/>
                <w:szCs w:val="20"/>
              </w:rPr>
              <w:t>1.747,69</w:t>
            </w:r>
          </w:p>
        </w:tc>
        <w:tc>
          <w:tcPr>
            <w:tcW w:w="889" w:type="dxa"/>
            <w:tcBorders>
              <w:top w:val="nil"/>
              <w:left w:val="nil"/>
              <w:bottom w:val="single" w:sz="4" w:space="0" w:color="auto"/>
              <w:right w:val="single" w:sz="4" w:space="0" w:color="auto"/>
            </w:tcBorders>
            <w:shd w:val="clear" w:color="auto" w:fill="auto"/>
            <w:vAlign w:val="center"/>
            <w:hideMark/>
          </w:tcPr>
          <w:p w:rsidR="001A6B73" w:rsidRPr="001A6B73" w:rsidRDefault="001A6B73" w:rsidP="001A6B73">
            <w:pPr>
              <w:spacing w:before="0"/>
              <w:ind w:left="0" w:firstLine="0"/>
              <w:jc w:val="center"/>
              <w:rPr>
                <w:rFonts w:ascii="Calibri" w:eastAsia="Times New Roman" w:hAnsi="Calibri" w:cs="Times New Roman"/>
                <w:color w:val="000000"/>
                <w:sz w:val="20"/>
                <w:szCs w:val="20"/>
              </w:rPr>
            </w:pPr>
            <w:r w:rsidRPr="001A6B73">
              <w:rPr>
                <w:rFonts w:ascii="Calibri" w:eastAsia="Times New Roman" w:hAnsi="Calibri" w:cs="Times New Roman"/>
                <w:color w:val="000000"/>
                <w:sz w:val="20"/>
                <w:szCs w:val="20"/>
              </w:rPr>
              <w:t>901,15</w:t>
            </w:r>
          </w:p>
        </w:tc>
      </w:tr>
      <w:tr w:rsidR="001A6B73" w:rsidRPr="001A6B73" w:rsidTr="00980654">
        <w:trPr>
          <w:trHeight w:val="350"/>
          <w:jc w:val="center"/>
        </w:trPr>
        <w:tc>
          <w:tcPr>
            <w:tcW w:w="3602" w:type="dxa"/>
            <w:tcBorders>
              <w:top w:val="nil"/>
              <w:left w:val="single" w:sz="4" w:space="0" w:color="auto"/>
              <w:bottom w:val="single" w:sz="4" w:space="0" w:color="auto"/>
              <w:right w:val="single" w:sz="4" w:space="0" w:color="auto"/>
            </w:tcBorders>
            <w:shd w:val="clear" w:color="auto" w:fill="auto"/>
            <w:vAlign w:val="center"/>
            <w:hideMark/>
          </w:tcPr>
          <w:p w:rsidR="001A6B73" w:rsidRPr="001A6B73" w:rsidRDefault="001A6B73" w:rsidP="001A6B73">
            <w:pPr>
              <w:spacing w:before="0"/>
              <w:ind w:left="0" w:firstLine="0"/>
              <w:jc w:val="center"/>
              <w:rPr>
                <w:rFonts w:ascii="Calibri" w:eastAsia="Times New Roman" w:hAnsi="Calibri" w:cs="Times New Roman"/>
                <w:color w:val="000000"/>
                <w:sz w:val="20"/>
                <w:szCs w:val="20"/>
              </w:rPr>
            </w:pPr>
            <w:proofErr w:type="spellStart"/>
            <w:r w:rsidRPr="001A6B73">
              <w:rPr>
                <w:rFonts w:ascii="Calibri" w:eastAsia="Times New Roman" w:hAnsi="Calibri" w:cs="Times New Roman"/>
                <w:color w:val="000000"/>
                <w:sz w:val="20"/>
                <w:szCs w:val="20"/>
              </w:rPr>
              <w:t>Relación</w:t>
            </w:r>
            <w:proofErr w:type="spellEnd"/>
            <w:r w:rsidRPr="001A6B73">
              <w:rPr>
                <w:rFonts w:ascii="Calibri" w:eastAsia="Times New Roman" w:hAnsi="Calibri" w:cs="Times New Roman"/>
                <w:color w:val="000000"/>
                <w:sz w:val="20"/>
                <w:szCs w:val="20"/>
              </w:rPr>
              <w:t xml:space="preserve"> B/C</w:t>
            </w:r>
          </w:p>
        </w:tc>
        <w:tc>
          <w:tcPr>
            <w:tcW w:w="925" w:type="dxa"/>
            <w:tcBorders>
              <w:top w:val="nil"/>
              <w:left w:val="nil"/>
              <w:bottom w:val="single" w:sz="4" w:space="0" w:color="auto"/>
              <w:right w:val="single" w:sz="4" w:space="0" w:color="auto"/>
            </w:tcBorders>
            <w:shd w:val="clear" w:color="auto" w:fill="auto"/>
            <w:vAlign w:val="center"/>
            <w:hideMark/>
          </w:tcPr>
          <w:p w:rsidR="001A6B73" w:rsidRPr="001A6B73" w:rsidRDefault="001A6B73" w:rsidP="001A6B73">
            <w:pPr>
              <w:spacing w:before="0"/>
              <w:ind w:left="0" w:firstLine="0"/>
              <w:jc w:val="center"/>
              <w:rPr>
                <w:rFonts w:ascii="Calibri" w:eastAsia="Times New Roman" w:hAnsi="Calibri" w:cs="Times New Roman"/>
                <w:color w:val="000000"/>
                <w:sz w:val="20"/>
                <w:szCs w:val="20"/>
              </w:rPr>
            </w:pPr>
            <w:r w:rsidRPr="001A6B73">
              <w:rPr>
                <w:rFonts w:ascii="Calibri" w:eastAsia="Times New Roman" w:hAnsi="Calibri" w:cs="Times New Roman"/>
                <w:color w:val="000000"/>
                <w:sz w:val="20"/>
                <w:szCs w:val="20"/>
              </w:rPr>
              <w:t>3,96</w:t>
            </w:r>
          </w:p>
        </w:tc>
        <w:tc>
          <w:tcPr>
            <w:tcW w:w="978" w:type="dxa"/>
            <w:tcBorders>
              <w:top w:val="nil"/>
              <w:left w:val="nil"/>
              <w:bottom w:val="single" w:sz="4" w:space="0" w:color="auto"/>
              <w:right w:val="single" w:sz="4" w:space="0" w:color="auto"/>
            </w:tcBorders>
            <w:shd w:val="clear" w:color="auto" w:fill="auto"/>
            <w:vAlign w:val="center"/>
            <w:hideMark/>
          </w:tcPr>
          <w:p w:rsidR="001A6B73" w:rsidRPr="001A6B73" w:rsidRDefault="001A6B73" w:rsidP="001A6B73">
            <w:pPr>
              <w:spacing w:before="0"/>
              <w:ind w:left="0" w:firstLine="0"/>
              <w:jc w:val="center"/>
              <w:rPr>
                <w:rFonts w:ascii="Calibri" w:eastAsia="Times New Roman" w:hAnsi="Calibri" w:cs="Times New Roman"/>
                <w:color w:val="000000"/>
                <w:sz w:val="20"/>
                <w:szCs w:val="20"/>
              </w:rPr>
            </w:pPr>
            <w:r w:rsidRPr="001A6B73">
              <w:rPr>
                <w:rFonts w:ascii="Calibri" w:eastAsia="Times New Roman" w:hAnsi="Calibri" w:cs="Times New Roman"/>
                <w:color w:val="000000"/>
                <w:sz w:val="20"/>
                <w:szCs w:val="20"/>
              </w:rPr>
              <w:t>3,91</w:t>
            </w:r>
          </w:p>
        </w:tc>
        <w:tc>
          <w:tcPr>
            <w:tcW w:w="925" w:type="dxa"/>
            <w:tcBorders>
              <w:top w:val="nil"/>
              <w:left w:val="nil"/>
              <w:bottom w:val="single" w:sz="4" w:space="0" w:color="auto"/>
              <w:right w:val="single" w:sz="4" w:space="0" w:color="auto"/>
            </w:tcBorders>
            <w:shd w:val="clear" w:color="auto" w:fill="auto"/>
            <w:vAlign w:val="center"/>
            <w:hideMark/>
          </w:tcPr>
          <w:p w:rsidR="001A6B73" w:rsidRPr="001A6B73" w:rsidRDefault="001A6B73" w:rsidP="001A6B73">
            <w:pPr>
              <w:spacing w:before="0"/>
              <w:ind w:left="0" w:firstLine="0"/>
              <w:jc w:val="center"/>
              <w:rPr>
                <w:rFonts w:ascii="Calibri" w:eastAsia="Times New Roman" w:hAnsi="Calibri" w:cs="Times New Roman"/>
                <w:color w:val="000000"/>
                <w:sz w:val="20"/>
                <w:szCs w:val="20"/>
              </w:rPr>
            </w:pPr>
            <w:r w:rsidRPr="001A6B73">
              <w:rPr>
                <w:rFonts w:ascii="Calibri" w:eastAsia="Times New Roman" w:hAnsi="Calibri" w:cs="Times New Roman"/>
                <w:color w:val="000000"/>
                <w:sz w:val="20"/>
                <w:szCs w:val="20"/>
              </w:rPr>
              <w:t>3,30</w:t>
            </w:r>
          </w:p>
        </w:tc>
        <w:tc>
          <w:tcPr>
            <w:tcW w:w="889" w:type="dxa"/>
            <w:tcBorders>
              <w:top w:val="nil"/>
              <w:left w:val="nil"/>
              <w:bottom w:val="single" w:sz="4" w:space="0" w:color="auto"/>
              <w:right w:val="single" w:sz="4" w:space="0" w:color="auto"/>
            </w:tcBorders>
            <w:shd w:val="clear" w:color="auto" w:fill="auto"/>
            <w:vAlign w:val="center"/>
            <w:hideMark/>
          </w:tcPr>
          <w:p w:rsidR="001A6B73" w:rsidRPr="001A6B73" w:rsidRDefault="001A6B73" w:rsidP="001A6B73">
            <w:pPr>
              <w:spacing w:before="0"/>
              <w:ind w:left="0" w:firstLine="0"/>
              <w:jc w:val="center"/>
              <w:rPr>
                <w:rFonts w:ascii="Calibri" w:eastAsia="Times New Roman" w:hAnsi="Calibri" w:cs="Times New Roman"/>
                <w:color w:val="000000"/>
                <w:sz w:val="20"/>
                <w:szCs w:val="20"/>
              </w:rPr>
            </w:pPr>
            <w:r w:rsidRPr="001A6B73">
              <w:rPr>
                <w:rFonts w:ascii="Calibri" w:eastAsia="Times New Roman" w:hAnsi="Calibri" w:cs="Times New Roman"/>
                <w:color w:val="000000"/>
                <w:sz w:val="20"/>
                <w:szCs w:val="20"/>
              </w:rPr>
              <w:t>2,04</w:t>
            </w:r>
          </w:p>
        </w:tc>
      </w:tr>
    </w:tbl>
    <w:p w:rsidR="00A435EC" w:rsidRDefault="00A435EC" w:rsidP="00A435EC">
      <w:pPr>
        <w:pStyle w:val="Banknumbered"/>
        <w:numPr>
          <w:ilvl w:val="0"/>
          <w:numId w:val="0"/>
        </w:numPr>
        <w:ind w:left="720"/>
        <w:rPr>
          <w:lang w:val="es-ES"/>
        </w:rPr>
      </w:pPr>
    </w:p>
    <w:p w:rsidR="006116C9" w:rsidRDefault="006116C9" w:rsidP="00153266">
      <w:pPr>
        <w:pStyle w:val="Banknumbered"/>
        <w:numPr>
          <w:ilvl w:val="0"/>
          <w:numId w:val="15"/>
        </w:numPr>
        <w:ind w:hanging="720"/>
        <w:rPr>
          <w:lang w:val="es-ES"/>
        </w:rPr>
      </w:pPr>
      <w:r w:rsidRPr="00980654">
        <w:rPr>
          <w:lang w:val="es-ES"/>
        </w:rPr>
        <w:t>El resultado económico es particularmente sensible a la elasticidad precio</w:t>
      </w:r>
      <w:r w:rsidR="00DF2CA5" w:rsidRPr="00980654">
        <w:rPr>
          <w:lang w:val="es-ES"/>
        </w:rPr>
        <w:t>. C</w:t>
      </w:r>
      <w:r w:rsidRPr="00980654">
        <w:rPr>
          <w:lang w:val="es-ES"/>
        </w:rPr>
        <w:t xml:space="preserve">omo lo muestra el caso A, cuando la elasticidad es baja los beneficios se reducen a </w:t>
      </w:r>
      <w:r w:rsidR="00EE6446" w:rsidRPr="00980654">
        <w:rPr>
          <w:lang w:val="es-ES"/>
        </w:rPr>
        <w:t>casi un tercio</w:t>
      </w:r>
      <w:r w:rsidRPr="00980654">
        <w:rPr>
          <w:lang w:val="es-ES"/>
        </w:rPr>
        <w:t>.</w:t>
      </w:r>
      <w:r w:rsidR="00980654">
        <w:rPr>
          <w:lang w:val="es-ES"/>
        </w:rPr>
        <w:t xml:space="preserve"> </w:t>
      </w:r>
      <w:r w:rsidRPr="00980654">
        <w:rPr>
          <w:lang w:val="es-ES"/>
        </w:rPr>
        <w:t>E</w:t>
      </w:r>
      <w:r w:rsidR="001C0B23" w:rsidRPr="00980654">
        <w:rPr>
          <w:lang w:val="es-ES"/>
        </w:rPr>
        <w:t>n contraste con los beneficios económicos, los beneficios financieros no se ven afectados por la elasticidad precio</w:t>
      </w:r>
      <w:r w:rsidR="00DF2CA5" w:rsidRPr="00980654">
        <w:rPr>
          <w:lang w:val="es-ES"/>
        </w:rPr>
        <w:t>. C</w:t>
      </w:r>
      <w:r w:rsidR="001C0B23" w:rsidRPr="00980654">
        <w:rPr>
          <w:lang w:val="es-ES"/>
        </w:rPr>
        <w:t>on referencia a la Figura 1, esto se explica porque el área 2</w:t>
      </w:r>
      <w:r w:rsidR="00EE6446" w:rsidRPr="00980654">
        <w:rPr>
          <w:lang w:val="es-ES"/>
        </w:rPr>
        <w:t xml:space="preserve"> </w:t>
      </w:r>
      <w:r w:rsidR="001C0B23" w:rsidRPr="00980654">
        <w:rPr>
          <w:lang w:val="es-ES"/>
        </w:rPr>
        <w:t>+</w:t>
      </w:r>
      <w:r w:rsidR="00EE6446" w:rsidRPr="00980654">
        <w:rPr>
          <w:lang w:val="es-ES"/>
        </w:rPr>
        <w:t xml:space="preserve"> </w:t>
      </w:r>
      <w:r w:rsidR="001C0B23" w:rsidRPr="00980654">
        <w:rPr>
          <w:lang w:val="es-ES"/>
        </w:rPr>
        <w:t>3</w:t>
      </w:r>
      <w:r w:rsidR="00EE6446" w:rsidRPr="00980654">
        <w:rPr>
          <w:lang w:val="es-ES"/>
        </w:rPr>
        <w:t xml:space="preserve"> </w:t>
      </w:r>
      <w:r w:rsidR="001C0B23" w:rsidRPr="00980654">
        <w:rPr>
          <w:lang w:val="es-ES"/>
        </w:rPr>
        <w:t>+</w:t>
      </w:r>
      <w:r w:rsidR="00EE6446" w:rsidRPr="00980654">
        <w:rPr>
          <w:lang w:val="es-ES"/>
        </w:rPr>
        <w:t xml:space="preserve"> </w:t>
      </w:r>
      <w:r w:rsidR="001C0B23" w:rsidRPr="00980654">
        <w:rPr>
          <w:lang w:val="es-ES"/>
        </w:rPr>
        <w:t>4, que constituye el beneficio financiero, no varía con la pendiente de la curva que pasa por el punto Q</w:t>
      </w:r>
      <w:r w:rsidR="001C0B23" w:rsidRPr="00980654">
        <w:rPr>
          <w:vertAlign w:val="subscript"/>
          <w:lang w:val="es-ES"/>
        </w:rPr>
        <w:t>0</w:t>
      </w:r>
      <w:r w:rsidR="001C0B23" w:rsidRPr="00980654">
        <w:rPr>
          <w:lang w:val="es-ES"/>
        </w:rPr>
        <w:t>.</w:t>
      </w:r>
      <w:r w:rsidRPr="00980654">
        <w:rPr>
          <w:lang w:val="es-ES"/>
        </w:rPr>
        <w:t xml:space="preserve"> </w:t>
      </w:r>
    </w:p>
    <w:p w:rsidR="00980654" w:rsidRDefault="00980654" w:rsidP="00980654">
      <w:pPr>
        <w:pStyle w:val="Banknumbered"/>
        <w:numPr>
          <w:ilvl w:val="0"/>
          <w:numId w:val="15"/>
        </w:numPr>
        <w:ind w:hanging="720"/>
        <w:rPr>
          <w:lang w:val="es-ES"/>
        </w:rPr>
      </w:pPr>
      <w:r w:rsidRPr="00980654">
        <w:rPr>
          <w:lang w:val="es-ES"/>
        </w:rPr>
        <w:lastRenderedPageBreak/>
        <w:t xml:space="preserve">El incremento de los costos en 20% tiene un impacto alrededor del 4% y 9% en las tasas de retorno económico y financiera respectivamente, mientras que el caso C, donde solo se alcanzan una reducción de las pérdidas de </w:t>
      </w:r>
      <w:r>
        <w:rPr>
          <w:lang w:val="es-ES"/>
        </w:rPr>
        <w:t>la mitad de las metas previstas, es el caso con mayor impacto ya que las tasas de retorno se reducen también a la mitad, siendo la TIRE de 11.68% y la TIR de 26.46%.</w:t>
      </w:r>
    </w:p>
    <w:p w:rsidR="00980654" w:rsidRPr="00980654" w:rsidRDefault="00980654" w:rsidP="00980654">
      <w:pPr>
        <w:pStyle w:val="Banknumbered"/>
        <w:numPr>
          <w:ilvl w:val="0"/>
          <w:numId w:val="0"/>
        </w:numPr>
        <w:ind w:left="720"/>
        <w:rPr>
          <w:lang w:val="es-ES"/>
        </w:rPr>
      </w:pPr>
    </w:p>
    <w:p w:rsidR="00EE6446" w:rsidRPr="00EE6446" w:rsidRDefault="005C0B1F" w:rsidP="002A2690">
      <w:pPr>
        <w:pStyle w:val="ListParagraph"/>
        <w:numPr>
          <w:ilvl w:val="0"/>
          <w:numId w:val="14"/>
        </w:numPr>
        <w:ind w:left="1080"/>
        <w:rPr>
          <w:rFonts w:cs="Times New Roman"/>
          <w:b/>
          <w:szCs w:val="24"/>
          <w:lang w:val="es-CL"/>
        </w:rPr>
      </w:pPr>
      <w:r>
        <w:rPr>
          <w:rFonts w:cs="Times New Roman"/>
          <w:b/>
          <w:szCs w:val="24"/>
          <w:lang w:val="es-CL"/>
        </w:rPr>
        <w:t xml:space="preserve"> </w:t>
      </w:r>
      <w:r w:rsidR="00EE6446" w:rsidRPr="00EE6446">
        <w:rPr>
          <w:rFonts w:cs="Times New Roman"/>
          <w:b/>
          <w:szCs w:val="24"/>
          <w:lang w:val="es-CL"/>
        </w:rPr>
        <w:t>Índice de Cobranza y CRI</w:t>
      </w:r>
    </w:p>
    <w:p w:rsidR="00EE6446" w:rsidRDefault="00EE6446" w:rsidP="00DD1BE6">
      <w:pPr>
        <w:pStyle w:val="Banknumbered"/>
        <w:numPr>
          <w:ilvl w:val="0"/>
          <w:numId w:val="9"/>
        </w:numPr>
        <w:rPr>
          <w:lang w:val="es-ES"/>
        </w:rPr>
      </w:pPr>
      <w:r>
        <w:rPr>
          <w:lang w:val="es-ES"/>
        </w:rPr>
        <w:t xml:space="preserve">La sensibilidad realizada en este caso fue evaluar si se logra un valor de cobranza de 98%, en vez del 96% propuesto como meta en el 2016.  Se obtiene un mayor VPN del Beneficio en US$ 47,7 millones, tal como lo indica la tabla del punto </w:t>
      </w:r>
      <w:r w:rsidR="000B6FDA">
        <w:rPr>
          <w:lang w:val="es-ES"/>
        </w:rPr>
        <w:t xml:space="preserve">III.13 </w:t>
      </w:r>
      <w:r>
        <w:rPr>
          <w:lang w:val="es-ES"/>
        </w:rPr>
        <w:t>de este Anexo.</w:t>
      </w:r>
      <w:r w:rsidRPr="00EE6446">
        <w:rPr>
          <w:lang w:val="es-ES"/>
        </w:rPr>
        <w:t xml:space="preserve"> </w:t>
      </w:r>
      <w:r>
        <w:rPr>
          <w:lang w:val="es-ES"/>
        </w:rPr>
        <w:t>La diferencia de sólo dos puntos porcentuales en la meta de cobranza tiene un gran impacto sobre las finanzas de CDEEE al mejorar los beneficios en 7.6%.</w:t>
      </w:r>
    </w:p>
    <w:p w:rsidR="00B53778" w:rsidRDefault="00B53778" w:rsidP="00EE6446">
      <w:pPr>
        <w:pStyle w:val="Banknumbered"/>
        <w:numPr>
          <w:ilvl w:val="0"/>
          <w:numId w:val="0"/>
        </w:numPr>
        <w:rPr>
          <w:lang w:val="es-ES"/>
        </w:rPr>
      </w:pPr>
    </w:p>
    <w:p w:rsidR="00EE6446" w:rsidRPr="00EE6446" w:rsidRDefault="005C0B1F" w:rsidP="00DD1BE6">
      <w:pPr>
        <w:pStyle w:val="ListParagraph"/>
        <w:numPr>
          <w:ilvl w:val="0"/>
          <w:numId w:val="14"/>
        </w:numPr>
        <w:ind w:left="1080"/>
        <w:rPr>
          <w:rFonts w:cs="Times New Roman"/>
          <w:b/>
          <w:szCs w:val="24"/>
          <w:lang w:val="es-CL"/>
        </w:rPr>
      </w:pPr>
      <w:r>
        <w:rPr>
          <w:rFonts w:cs="Times New Roman"/>
          <w:b/>
          <w:szCs w:val="24"/>
          <w:lang w:val="es-CL"/>
        </w:rPr>
        <w:t xml:space="preserve"> </w:t>
      </w:r>
      <w:r w:rsidR="00EE6446" w:rsidRPr="00DD1BE6">
        <w:rPr>
          <w:b/>
          <w:lang w:val="es-ES"/>
        </w:rPr>
        <w:t>Aumento</w:t>
      </w:r>
      <w:r w:rsidR="00EE6446" w:rsidRPr="00EE6446">
        <w:rPr>
          <w:b/>
          <w:lang w:val="es-CL"/>
        </w:rPr>
        <w:t xml:space="preserve"> de usuarios con 24 horas de servicio</w:t>
      </w:r>
    </w:p>
    <w:p w:rsidR="00EE6446" w:rsidRDefault="00B87C5A" w:rsidP="00DD1BE6">
      <w:pPr>
        <w:pStyle w:val="Banknumbered"/>
        <w:numPr>
          <w:ilvl w:val="0"/>
          <w:numId w:val="9"/>
        </w:numPr>
        <w:rPr>
          <w:lang w:val="es-ES"/>
        </w:rPr>
      </w:pPr>
      <w:r>
        <w:rPr>
          <w:lang w:val="es-ES"/>
        </w:rPr>
        <w:t>La mayor fuente de incertidumbre es la elasticidad precio de la demanda.  En este caso, una menor elasticidad precio resulta en una pérdida de bienestar mucho más considerable y por lo tanto en beneficios mayores con respecto al caso base.</w:t>
      </w:r>
    </w:p>
    <w:p w:rsidR="00B87C5A" w:rsidRDefault="00B87C5A" w:rsidP="00B87C5A">
      <w:pPr>
        <w:pStyle w:val="Banknumbered"/>
        <w:numPr>
          <w:ilvl w:val="0"/>
          <w:numId w:val="0"/>
        </w:numPr>
        <w:ind w:left="360"/>
        <w:jc w:val="center"/>
        <w:rPr>
          <w:lang w:val="es-ES"/>
        </w:rPr>
      </w:pPr>
      <w:r>
        <w:rPr>
          <w:noProof/>
        </w:rPr>
        <w:drawing>
          <wp:inline distT="0" distB="0" distL="0" distR="0" wp14:anchorId="044BDE60" wp14:editId="6D9EC4BE">
            <wp:extent cx="3260090" cy="1534795"/>
            <wp:effectExtent l="19050" t="0" r="0" b="0"/>
            <wp:docPr id="3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srcRect/>
                    <a:stretch>
                      <a:fillRect/>
                    </a:stretch>
                  </pic:blipFill>
                  <pic:spPr bwMode="auto">
                    <a:xfrm>
                      <a:off x="0" y="0"/>
                      <a:ext cx="3260090" cy="1534795"/>
                    </a:xfrm>
                    <a:prstGeom prst="rect">
                      <a:avLst/>
                    </a:prstGeom>
                    <a:noFill/>
                    <a:ln w="9525">
                      <a:noFill/>
                      <a:miter lim="800000"/>
                      <a:headEnd/>
                      <a:tailEnd/>
                    </a:ln>
                  </pic:spPr>
                </pic:pic>
              </a:graphicData>
            </a:graphic>
          </wp:inline>
        </w:drawing>
      </w:r>
    </w:p>
    <w:p w:rsidR="00B87C5A" w:rsidRDefault="00B87C5A" w:rsidP="00DD1BE6">
      <w:pPr>
        <w:pStyle w:val="Banknumbered"/>
        <w:numPr>
          <w:ilvl w:val="0"/>
          <w:numId w:val="9"/>
        </w:numPr>
        <w:rPr>
          <w:lang w:val="es-ES"/>
        </w:rPr>
      </w:pPr>
      <w:r w:rsidRPr="00E05B88">
        <w:rPr>
          <w:lang w:val="es-ES"/>
        </w:rPr>
        <w:t>Para el consumidor con las características del cuadro anterior, los beneficios económicos anuales serían del orden de US$19,3</w:t>
      </w:r>
      <w:r>
        <w:rPr>
          <w:lang w:val="es-ES"/>
        </w:rPr>
        <w:t xml:space="preserve">. </w:t>
      </w:r>
      <w:r w:rsidR="00E11E02">
        <w:rPr>
          <w:lang w:val="es-ES"/>
        </w:rPr>
        <w:t>C</w:t>
      </w:r>
      <w:r>
        <w:rPr>
          <w:lang w:val="es-ES"/>
        </w:rPr>
        <w:t>onsiderando el supuesto de incremento de usuarios se obtiene:</w:t>
      </w:r>
    </w:p>
    <w:p w:rsidR="00EE6446" w:rsidRDefault="00B87C5A" w:rsidP="00B87C5A">
      <w:pPr>
        <w:pStyle w:val="Banknumbered"/>
        <w:numPr>
          <w:ilvl w:val="0"/>
          <w:numId w:val="0"/>
        </w:numPr>
        <w:ind w:left="360"/>
        <w:jc w:val="right"/>
        <w:rPr>
          <w:lang w:val="es-ES"/>
        </w:rPr>
      </w:pPr>
      <w:r>
        <w:rPr>
          <w:noProof/>
        </w:rPr>
        <w:drawing>
          <wp:inline distT="0" distB="0" distL="0" distR="0" wp14:anchorId="7EEE8BE1" wp14:editId="2079354B">
            <wp:extent cx="5515058" cy="782259"/>
            <wp:effectExtent l="19050" t="0" r="9442" b="0"/>
            <wp:docPr id="3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srcRect/>
                    <a:stretch>
                      <a:fillRect/>
                    </a:stretch>
                  </pic:blipFill>
                  <pic:spPr bwMode="auto">
                    <a:xfrm>
                      <a:off x="0" y="0"/>
                      <a:ext cx="5514290" cy="782150"/>
                    </a:xfrm>
                    <a:prstGeom prst="rect">
                      <a:avLst/>
                    </a:prstGeom>
                    <a:noFill/>
                    <a:ln w="9525">
                      <a:noFill/>
                      <a:miter lim="800000"/>
                      <a:headEnd/>
                      <a:tailEnd/>
                    </a:ln>
                  </pic:spPr>
                </pic:pic>
              </a:graphicData>
            </a:graphic>
          </wp:inline>
        </w:drawing>
      </w:r>
    </w:p>
    <w:p w:rsidR="00E058E9" w:rsidRDefault="00E058E9" w:rsidP="00E058E9">
      <w:pPr>
        <w:pStyle w:val="Banknumbered"/>
        <w:numPr>
          <w:ilvl w:val="0"/>
          <w:numId w:val="0"/>
        </w:numPr>
        <w:ind w:left="720"/>
        <w:rPr>
          <w:lang w:val="es-ES"/>
        </w:rPr>
      </w:pPr>
    </w:p>
    <w:p w:rsidR="00B87C5A" w:rsidRDefault="00B87C5A" w:rsidP="00DD1BE6">
      <w:pPr>
        <w:pStyle w:val="Banknumbered"/>
        <w:numPr>
          <w:ilvl w:val="0"/>
          <w:numId w:val="9"/>
        </w:numPr>
        <w:rPr>
          <w:lang w:val="es-ES"/>
        </w:rPr>
      </w:pPr>
      <w:r>
        <w:rPr>
          <w:lang w:val="es-ES"/>
        </w:rPr>
        <w:t xml:space="preserve">El triángulo de bienestar se </w:t>
      </w:r>
      <w:r w:rsidRPr="00B87C5A">
        <w:rPr>
          <w:lang w:val="es-ES"/>
        </w:rPr>
        <w:t>cuadruplica</w:t>
      </w:r>
      <w:r>
        <w:rPr>
          <w:lang w:val="es-ES"/>
        </w:rPr>
        <w:t xml:space="preserve"> en valor con una menor elasticidad precio, justificando ampliamente la medida de abastecimiento de 24 horas.</w:t>
      </w:r>
    </w:p>
    <w:p w:rsidR="00A54BE8" w:rsidRDefault="00A54BE8" w:rsidP="00A54BE8">
      <w:pPr>
        <w:pStyle w:val="Banknumbered"/>
        <w:numPr>
          <w:ilvl w:val="0"/>
          <w:numId w:val="0"/>
        </w:numPr>
        <w:ind w:left="720" w:hanging="360"/>
        <w:rPr>
          <w:lang w:val="es-ES"/>
        </w:rPr>
      </w:pPr>
    </w:p>
    <w:p w:rsidR="00B87C5A" w:rsidRDefault="00B87C5A" w:rsidP="00DD1BE6">
      <w:pPr>
        <w:pStyle w:val="Banknumbered"/>
        <w:numPr>
          <w:ilvl w:val="0"/>
          <w:numId w:val="8"/>
        </w:numPr>
        <w:rPr>
          <w:b/>
          <w:lang w:val="es-CL"/>
        </w:rPr>
      </w:pPr>
      <w:r>
        <w:rPr>
          <w:b/>
          <w:lang w:val="es-CL"/>
        </w:rPr>
        <w:t>Conclusiones</w:t>
      </w:r>
    </w:p>
    <w:p w:rsidR="00B87C5A" w:rsidRDefault="00AA686E" w:rsidP="00E11E02">
      <w:pPr>
        <w:pStyle w:val="Banknumbered"/>
        <w:numPr>
          <w:ilvl w:val="0"/>
          <w:numId w:val="16"/>
        </w:numPr>
        <w:ind w:hanging="630"/>
        <w:rPr>
          <w:lang w:val="es-ES"/>
        </w:rPr>
      </w:pPr>
      <w:r>
        <w:rPr>
          <w:lang w:val="es-ES"/>
        </w:rPr>
        <w:t>A continuación se resumen los resultados encontrados en la evaluación.</w:t>
      </w:r>
      <w:r w:rsidR="00B87C5A" w:rsidRPr="00B87C5A">
        <w:rPr>
          <w:lang w:val="es-ES"/>
        </w:rPr>
        <w:t xml:space="preserve"> </w:t>
      </w:r>
    </w:p>
    <w:p w:rsidR="001E5F6E" w:rsidRDefault="001E5F6E" w:rsidP="001E5F6E">
      <w:pPr>
        <w:pStyle w:val="Banknumbered"/>
        <w:numPr>
          <w:ilvl w:val="0"/>
          <w:numId w:val="0"/>
        </w:numPr>
        <w:ind w:left="720"/>
        <w:rPr>
          <w:lang w:val="es-ES"/>
        </w:rPr>
      </w:pPr>
    </w:p>
    <w:tbl>
      <w:tblPr>
        <w:tblStyle w:val="TableGrid"/>
        <w:tblW w:w="8742" w:type="dxa"/>
        <w:jc w:val="center"/>
        <w:tblBorders>
          <w:top w:val="single" w:sz="6" w:space="0" w:color="auto"/>
          <w:left w:val="none" w:sz="0" w:space="0" w:color="auto"/>
          <w:bottom w:val="single" w:sz="6" w:space="0" w:color="auto"/>
          <w:right w:val="none" w:sz="0" w:space="0" w:color="auto"/>
          <w:insideH w:val="single" w:sz="6" w:space="0" w:color="auto"/>
          <w:insideV w:val="none" w:sz="0" w:space="0" w:color="auto"/>
        </w:tblBorders>
        <w:tblLook w:val="04A0" w:firstRow="1" w:lastRow="0" w:firstColumn="1" w:lastColumn="0" w:noHBand="0" w:noVBand="1"/>
      </w:tblPr>
      <w:tblGrid>
        <w:gridCol w:w="1998"/>
        <w:gridCol w:w="360"/>
        <w:gridCol w:w="1596"/>
        <w:gridCol w:w="1596"/>
        <w:gridCol w:w="1596"/>
        <w:gridCol w:w="1596"/>
      </w:tblGrid>
      <w:tr w:rsidR="00AA686E" w:rsidRPr="00B87C5A" w:rsidTr="00B87C5A">
        <w:trPr>
          <w:jc w:val="center"/>
        </w:trPr>
        <w:tc>
          <w:tcPr>
            <w:tcW w:w="8742" w:type="dxa"/>
            <w:gridSpan w:val="6"/>
          </w:tcPr>
          <w:p w:rsidR="00AA686E" w:rsidRPr="00B87C5A" w:rsidRDefault="00AA686E" w:rsidP="007D2DE5">
            <w:pPr>
              <w:keepNext/>
              <w:jc w:val="center"/>
              <w:rPr>
                <w:rFonts w:cs="Times New Roman"/>
                <w:sz w:val="20"/>
                <w:szCs w:val="20"/>
                <w:lang w:val="es-ES"/>
              </w:rPr>
            </w:pPr>
            <w:r w:rsidRPr="00B87C5A">
              <w:rPr>
                <w:rFonts w:cs="Times New Roman"/>
                <w:sz w:val="20"/>
                <w:szCs w:val="20"/>
                <w:lang w:val="es-ES"/>
              </w:rPr>
              <w:lastRenderedPageBreak/>
              <w:t>Evaluación Económica—Cuadro Resumen</w:t>
            </w:r>
          </w:p>
        </w:tc>
      </w:tr>
      <w:tr w:rsidR="00AA686E" w:rsidRPr="00B87C5A" w:rsidTr="00B87C5A">
        <w:trPr>
          <w:jc w:val="center"/>
        </w:trPr>
        <w:tc>
          <w:tcPr>
            <w:tcW w:w="1998" w:type="dxa"/>
          </w:tcPr>
          <w:p w:rsidR="00AA686E" w:rsidRPr="00B87C5A" w:rsidRDefault="00AA686E" w:rsidP="007D2DE5">
            <w:pPr>
              <w:keepNext/>
              <w:jc w:val="center"/>
              <w:rPr>
                <w:rFonts w:cs="Times New Roman"/>
                <w:sz w:val="20"/>
                <w:szCs w:val="20"/>
                <w:lang w:val="es-ES"/>
              </w:rPr>
            </w:pPr>
          </w:p>
        </w:tc>
        <w:tc>
          <w:tcPr>
            <w:tcW w:w="360" w:type="dxa"/>
          </w:tcPr>
          <w:p w:rsidR="00AA686E" w:rsidRPr="00B87C5A" w:rsidRDefault="00AA686E" w:rsidP="007D2DE5">
            <w:pPr>
              <w:keepNext/>
              <w:jc w:val="center"/>
              <w:rPr>
                <w:rFonts w:cs="Times New Roman"/>
                <w:sz w:val="20"/>
                <w:szCs w:val="20"/>
                <w:lang w:val="es-ES"/>
              </w:rPr>
            </w:pPr>
          </w:p>
        </w:tc>
        <w:tc>
          <w:tcPr>
            <w:tcW w:w="1596" w:type="dxa"/>
          </w:tcPr>
          <w:p w:rsidR="00AA686E" w:rsidRPr="00B87C5A" w:rsidRDefault="00AA686E" w:rsidP="007D2DE5">
            <w:pPr>
              <w:keepNext/>
              <w:jc w:val="center"/>
              <w:rPr>
                <w:rFonts w:cs="Times New Roman"/>
                <w:sz w:val="20"/>
                <w:szCs w:val="20"/>
                <w:lang w:val="es-ES"/>
              </w:rPr>
            </w:pPr>
            <w:r w:rsidRPr="00B87C5A">
              <w:rPr>
                <w:rFonts w:cs="Times New Roman"/>
                <w:sz w:val="20"/>
                <w:szCs w:val="20"/>
                <w:lang w:val="es-ES"/>
              </w:rPr>
              <w:t xml:space="preserve">Reducción de Pérdidas </w:t>
            </w:r>
            <w:r w:rsidR="005C0B1F">
              <w:rPr>
                <w:rFonts w:cs="Times New Roman"/>
                <w:sz w:val="20"/>
                <w:szCs w:val="20"/>
                <w:lang w:val="es-ES"/>
              </w:rPr>
              <w:t xml:space="preserve"> </w:t>
            </w:r>
            <w:r w:rsidR="001E5F6E">
              <w:rPr>
                <w:rFonts w:cs="Times New Roman"/>
                <w:sz w:val="20"/>
                <w:szCs w:val="20"/>
                <w:lang w:val="es-ES"/>
              </w:rPr>
              <w:t>evaluación económica</w:t>
            </w:r>
          </w:p>
        </w:tc>
        <w:tc>
          <w:tcPr>
            <w:tcW w:w="1596" w:type="dxa"/>
          </w:tcPr>
          <w:p w:rsidR="00AA686E" w:rsidRPr="00B87C5A" w:rsidRDefault="00AA686E" w:rsidP="007D2DE5">
            <w:pPr>
              <w:keepNext/>
              <w:jc w:val="center"/>
              <w:rPr>
                <w:rFonts w:cs="Times New Roman"/>
                <w:sz w:val="20"/>
                <w:szCs w:val="20"/>
                <w:lang w:val="es-ES"/>
              </w:rPr>
            </w:pPr>
            <w:r w:rsidRPr="00B87C5A">
              <w:rPr>
                <w:rFonts w:cs="Times New Roman"/>
                <w:sz w:val="20"/>
                <w:szCs w:val="20"/>
                <w:lang w:val="es-ES"/>
              </w:rPr>
              <w:t xml:space="preserve">Reducción de Pérdidas </w:t>
            </w:r>
            <w:r w:rsidR="005C0B1F">
              <w:rPr>
                <w:rFonts w:cs="Times New Roman"/>
                <w:sz w:val="20"/>
                <w:szCs w:val="20"/>
                <w:lang w:val="es-ES"/>
              </w:rPr>
              <w:t xml:space="preserve"> </w:t>
            </w:r>
            <w:r w:rsidRPr="00B87C5A">
              <w:rPr>
                <w:rFonts w:cs="Times New Roman"/>
                <w:sz w:val="20"/>
                <w:szCs w:val="20"/>
                <w:lang w:val="es-ES"/>
              </w:rPr>
              <w:t>evaluación financiera)</w:t>
            </w:r>
          </w:p>
        </w:tc>
        <w:tc>
          <w:tcPr>
            <w:tcW w:w="1596" w:type="dxa"/>
          </w:tcPr>
          <w:p w:rsidR="00AA686E" w:rsidRPr="00B87C5A" w:rsidRDefault="00AA686E" w:rsidP="007D2DE5">
            <w:pPr>
              <w:keepNext/>
              <w:jc w:val="center"/>
              <w:rPr>
                <w:rFonts w:cs="Times New Roman"/>
                <w:sz w:val="20"/>
                <w:szCs w:val="20"/>
                <w:lang w:val="es-ES"/>
              </w:rPr>
            </w:pPr>
            <w:r w:rsidRPr="00B87C5A">
              <w:rPr>
                <w:rFonts w:cs="Times New Roman"/>
                <w:sz w:val="20"/>
                <w:szCs w:val="20"/>
                <w:lang w:val="es-ES"/>
              </w:rPr>
              <w:t xml:space="preserve">Mejoría </w:t>
            </w:r>
            <w:r w:rsidR="001415F6" w:rsidRPr="00B87C5A">
              <w:rPr>
                <w:rFonts w:cs="Times New Roman"/>
                <w:sz w:val="20"/>
                <w:szCs w:val="20"/>
                <w:lang w:val="es-ES"/>
              </w:rPr>
              <w:t>Cobros</w:t>
            </w:r>
          </w:p>
        </w:tc>
        <w:tc>
          <w:tcPr>
            <w:tcW w:w="1596" w:type="dxa"/>
          </w:tcPr>
          <w:p w:rsidR="00AA686E" w:rsidRPr="00B87C5A" w:rsidRDefault="00AA686E" w:rsidP="007D2DE5">
            <w:pPr>
              <w:keepNext/>
              <w:jc w:val="center"/>
              <w:rPr>
                <w:rFonts w:cs="Times New Roman"/>
                <w:sz w:val="20"/>
                <w:szCs w:val="20"/>
                <w:lang w:val="es-ES"/>
              </w:rPr>
            </w:pPr>
            <w:r w:rsidRPr="00B87C5A">
              <w:rPr>
                <w:rFonts w:cs="Times New Roman"/>
                <w:sz w:val="20"/>
                <w:szCs w:val="20"/>
                <w:lang w:val="es-ES"/>
              </w:rPr>
              <w:t>Usuarios 24 horas de servicio</w:t>
            </w:r>
          </w:p>
        </w:tc>
      </w:tr>
      <w:tr w:rsidR="00AA686E" w:rsidRPr="00B87C5A" w:rsidTr="00B87C5A">
        <w:trPr>
          <w:jc w:val="center"/>
        </w:trPr>
        <w:tc>
          <w:tcPr>
            <w:tcW w:w="1998" w:type="dxa"/>
          </w:tcPr>
          <w:p w:rsidR="00AA686E" w:rsidRPr="00B87C5A" w:rsidRDefault="001E5F6E" w:rsidP="007D2DE5">
            <w:pPr>
              <w:keepNext/>
              <w:rPr>
                <w:rFonts w:cs="Times New Roman"/>
                <w:sz w:val="20"/>
                <w:szCs w:val="20"/>
                <w:lang w:val="es-ES"/>
              </w:rPr>
            </w:pPr>
            <w:r>
              <w:rPr>
                <w:rFonts w:cs="Times New Roman"/>
                <w:sz w:val="20"/>
                <w:szCs w:val="20"/>
                <w:lang w:val="es-ES"/>
              </w:rPr>
              <w:t>TIRE</w:t>
            </w:r>
          </w:p>
        </w:tc>
        <w:tc>
          <w:tcPr>
            <w:tcW w:w="360" w:type="dxa"/>
          </w:tcPr>
          <w:p w:rsidR="00AA686E" w:rsidRPr="00B87C5A" w:rsidRDefault="00AA686E" w:rsidP="007D2DE5">
            <w:pPr>
              <w:keepNext/>
              <w:jc w:val="center"/>
              <w:rPr>
                <w:rFonts w:cs="Times New Roman"/>
                <w:sz w:val="20"/>
                <w:szCs w:val="20"/>
                <w:lang w:val="es-ES"/>
              </w:rPr>
            </w:pPr>
          </w:p>
        </w:tc>
        <w:tc>
          <w:tcPr>
            <w:tcW w:w="1596" w:type="dxa"/>
          </w:tcPr>
          <w:p w:rsidR="00AA686E" w:rsidRPr="00CF48C3" w:rsidRDefault="00CF48C3" w:rsidP="00CF48C3">
            <w:pPr>
              <w:keepNext/>
              <w:jc w:val="center"/>
              <w:rPr>
                <w:rFonts w:cs="Times New Roman"/>
                <w:sz w:val="18"/>
                <w:szCs w:val="20"/>
                <w:lang w:val="es-ES"/>
              </w:rPr>
            </w:pPr>
            <w:r w:rsidRPr="00CF48C3">
              <w:rPr>
                <w:rFonts w:cs="Times New Roman"/>
                <w:sz w:val="18"/>
                <w:szCs w:val="20"/>
                <w:lang w:val="es-ES"/>
              </w:rPr>
              <w:t>11,68%</w:t>
            </w:r>
            <w:r w:rsidR="00855496" w:rsidRPr="00CF48C3">
              <w:rPr>
                <w:rFonts w:cs="Times New Roman"/>
                <w:sz w:val="18"/>
                <w:szCs w:val="20"/>
                <w:lang w:val="es-ES"/>
              </w:rPr>
              <w:t xml:space="preserve"> – </w:t>
            </w:r>
            <w:r w:rsidRPr="00CF48C3">
              <w:rPr>
                <w:rFonts w:cs="Times New Roman"/>
                <w:sz w:val="18"/>
                <w:szCs w:val="20"/>
                <w:lang w:val="es-ES"/>
              </w:rPr>
              <w:t>24,82</w:t>
            </w:r>
            <w:r w:rsidR="00085504" w:rsidRPr="00CF48C3">
              <w:rPr>
                <w:rFonts w:cs="Times New Roman"/>
                <w:sz w:val="18"/>
                <w:szCs w:val="20"/>
                <w:lang w:val="es-ES"/>
              </w:rPr>
              <w:t>%</w:t>
            </w:r>
          </w:p>
        </w:tc>
        <w:tc>
          <w:tcPr>
            <w:tcW w:w="1596" w:type="dxa"/>
          </w:tcPr>
          <w:p w:rsidR="00AA686E" w:rsidRPr="00CF48C3" w:rsidRDefault="00CF48C3" w:rsidP="00CF48C3">
            <w:pPr>
              <w:keepNext/>
              <w:jc w:val="center"/>
              <w:rPr>
                <w:rFonts w:cs="Times New Roman"/>
                <w:sz w:val="18"/>
                <w:szCs w:val="20"/>
                <w:lang w:val="es-ES"/>
              </w:rPr>
            </w:pPr>
            <w:r>
              <w:rPr>
                <w:sz w:val="18"/>
                <w:szCs w:val="20"/>
              </w:rPr>
              <w:t>51.27</w:t>
            </w:r>
            <w:r w:rsidR="008857A7" w:rsidRPr="00CF48C3">
              <w:rPr>
                <w:sz w:val="18"/>
                <w:szCs w:val="20"/>
              </w:rPr>
              <w:t>%</w:t>
            </w:r>
            <w:r w:rsidR="00AA686E" w:rsidRPr="00CF48C3">
              <w:rPr>
                <w:rFonts w:cs="Times New Roman"/>
                <w:sz w:val="18"/>
                <w:szCs w:val="20"/>
                <w:lang w:val="es-ES"/>
              </w:rPr>
              <w:t>–</w:t>
            </w:r>
            <w:r>
              <w:rPr>
                <w:sz w:val="18"/>
                <w:szCs w:val="20"/>
              </w:rPr>
              <w:t>26.46</w:t>
            </w:r>
            <w:r w:rsidR="008857A7" w:rsidRPr="00CF48C3">
              <w:rPr>
                <w:sz w:val="18"/>
                <w:szCs w:val="20"/>
              </w:rPr>
              <w:t>%</w:t>
            </w:r>
          </w:p>
        </w:tc>
        <w:tc>
          <w:tcPr>
            <w:tcW w:w="1596" w:type="dxa"/>
          </w:tcPr>
          <w:p w:rsidR="00AA686E" w:rsidRPr="00B87C5A" w:rsidRDefault="00AA686E" w:rsidP="007D2DE5">
            <w:pPr>
              <w:keepNext/>
              <w:jc w:val="center"/>
              <w:rPr>
                <w:rFonts w:cs="Times New Roman"/>
                <w:sz w:val="20"/>
                <w:szCs w:val="20"/>
                <w:lang w:val="es-ES"/>
              </w:rPr>
            </w:pPr>
          </w:p>
        </w:tc>
        <w:tc>
          <w:tcPr>
            <w:tcW w:w="1596" w:type="dxa"/>
          </w:tcPr>
          <w:p w:rsidR="00AA686E" w:rsidRPr="00B87C5A" w:rsidRDefault="00AA686E" w:rsidP="007D2DE5">
            <w:pPr>
              <w:keepNext/>
              <w:jc w:val="center"/>
              <w:rPr>
                <w:rFonts w:cs="Times New Roman"/>
                <w:sz w:val="20"/>
                <w:szCs w:val="20"/>
                <w:lang w:val="es-ES"/>
              </w:rPr>
            </w:pPr>
          </w:p>
        </w:tc>
      </w:tr>
      <w:tr w:rsidR="00AA686E" w:rsidRPr="00CF48C3" w:rsidTr="00B87C5A">
        <w:trPr>
          <w:jc w:val="center"/>
        </w:trPr>
        <w:tc>
          <w:tcPr>
            <w:tcW w:w="1998" w:type="dxa"/>
          </w:tcPr>
          <w:p w:rsidR="00AA686E" w:rsidRPr="00CF48C3" w:rsidRDefault="00AA686E" w:rsidP="007D2DE5">
            <w:pPr>
              <w:keepNext/>
              <w:rPr>
                <w:rFonts w:cs="Times New Roman"/>
                <w:sz w:val="18"/>
                <w:szCs w:val="20"/>
                <w:lang w:val="es-ES"/>
              </w:rPr>
            </w:pPr>
            <w:r w:rsidRPr="00CF48C3">
              <w:rPr>
                <w:rFonts w:cs="Times New Roman"/>
                <w:sz w:val="18"/>
                <w:szCs w:val="20"/>
                <w:lang w:val="es-ES"/>
              </w:rPr>
              <w:t>VP Beneficios M$</w:t>
            </w:r>
          </w:p>
        </w:tc>
        <w:tc>
          <w:tcPr>
            <w:tcW w:w="360" w:type="dxa"/>
          </w:tcPr>
          <w:p w:rsidR="00AA686E" w:rsidRPr="00CF48C3" w:rsidRDefault="00AA686E" w:rsidP="007D2DE5">
            <w:pPr>
              <w:keepNext/>
              <w:jc w:val="center"/>
              <w:rPr>
                <w:rFonts w:cs="Times New Roman"/>
                <w:sz w:val="18"/>
                <w:szCs w:val="20"/>
                <w:lang w:val="es-ES"/>
              </w:rPr>
            </w:pPr>
          </w:p>
        </w:tc>
        <w:tc>
          <w:tcPr>
            <w:tcW w:w="1596" w:type="dxa"/>
          </w:tcPr>
          <w:p w:rsidR="00AA686E" w:rsidRPr="00CF48C3" w:rsidRDefault="00CF48C3" w:rsidP="00CF48C3">
            <w:pPr>
              <w:keepNext/>
              <w:jc w:val="center"/>
              <w:rPr>
                <w:rFonts w:cs="Times New Roman"/>
                <w:sz w:val="18"/>
                <w:szCs w:val="20"/>
                <w:lang w:val="es-ES"/>
              </w:rPr>
            </w:pPr>
            <w:r>
              <w:rPr>
                <w:rFonts w:cs="Times New Roman"/>
                <w:sz w:val="18"/>
                <w:szCs w:val="20"/>
                <w:lang w:val="es-ES"/>
              </w:rPr>
              <w:t>844</w:t>
            </w:r>
            <w:r w:rsidR="00AA686E" w:rsidRPr="00CF48C3">
              <w:rPr>
                <w:rFonts w:cs="Times New Roman"/>
                <w:sz w:val="18"/>
                <w:szCs w:val="20"/>
                <w:lang w:val="es-ES"/>
              </w:rPr>
              <w:t>–</w:t>
            </w:r>
            <w:r>
              <w:rPr>
                <w:rFonts w:cs="Times New Roman"/>
                <w:sz w:val="18"/>
                <w:szCs w:val="20"/>
                <w:lang w:val="es-ES"/>
              </w:rPr>
              <w:t>431</w:t>
            </w:r>
          </w:p>
        </w:tc>
        <w:tc>
          <w:tcPr>
            <w:tcW w:w="1596" w:type="dxa"/>
          </w:tcPr>
          <w:p w:rsidR="00AA686E" w:rsidRPr="00CF48C3" w:rsidRDefault="00CF48C3" w:rsidP="00CF48C3">
            <w:pPr>
              <w:keepNext/>
              <w:jc w:val="center"/>
              <w:rPr>
                <w:rFonts w:cs="Times New Roman"/>
                <w:sz w:val="18"/>
                <w:szCs w:val="20"/>
                <w:lang w:val="es-ES"/>
              </w:rPr>
            </w:pPr>
            <w:r>
              <w:rPr>
                <w:sz w:val="18"/>
                <w:szCs w:val="20"/>
                <w:lang w:val="es-CL"/>
              </w:rPr>
              <w:t>1,747</w:t>
            </w:r>
            <w:r w:rsidR="00AA686E" w:rsidRPr="00CF48C3">
              <w:rPr>
                <w:rFonts w:cs="Times New Roman"/>
                <w:sz w:val="18"/>
                <w:szCs w:val="20"/>
                <w:lang w:val="es-ES"/>
              </w:rPr>
              <w:t>–</w:t>
            </w:r>
            <w:r>
              <w:rPr>
                <w:sz w:val="18"/>
                <w:szCs w:val="20"/>
                <w:lang w:val="es-CL"/>
              </w:rPr>
              <w:t>901</w:t>
            </w:r>
          </w:p>
        </w:tc>
        <w:tc>
          <w:tcPr>
            <w:tcW w:w="1596" w:type="dxa"/>
          </w:tcPr>
          <w:p w:rsidR="00AA686E" w:rsidRPr="00CF48C3" w:rsidRDefault="00CA6871" w:rsidP="00CA6871">
            <w:pPr>
              <w:keepNext/>
              <w:jc w:val="center"/>
              <w:rPr>
                <w:rFonts w:cs="Times New Roman"/>
                <w:sz w:val="18"/>
                <w:szCs w:val="20"/>
                <w:lang w:val="es-ES"/>
              </w:rPr>
            </w:pPr>
            <w:r>
              <w:rPr>
                <w:rFonts w:cs="Times New Roman"/>
                <w:sz w:val="18"/>
                <w:szCs w:val="20"/>
                <w:lang w:val="es-ES"/>
              </w:rPr>
              <w:t>30,4</w:t>
            </w:r>
            <w:r w:rsidR="00AA686E" w:rsidRPr="00CF48C3">
              <w:rPr>
                <w:rFonts w:cs="Times New Roman"/>
                <w:sz w:val="18"/>
                <w:szCs w:val="20"/>
                <w:lang w:val="es-ES"/>
              </w:rPr>
              <w:t>–</w:t>
            </w:r>
            <w:r>
              <w:rPr>
                <w:rFonts w:cs="Times New Roman"/>
                <w:sz w:val="18"/>
                <w:szCs w:val="20"/>
                <w:lang w:val="es-ES"/>
              </w:rPr>
              <w:t>83,1</w:t>
            </w:r>
          </w:p>
        </w:tc>
        <w:tc>
          <w:tcPr>
            <w:tcW w:w="1596" w:type="dxa"/>
          </w:tcPr>
          <w:p w:rsidR="00AA686E" w:rsidRPr="00CF48C3" w:rsidRDefault="001415F6" w:rsidP="007D2DE5">
            <w:pPr>
              <w:keepNext/>
              <w:jc w:val="center"/>
              <w:rPr>
                <w:rFonts w:cs="Times New Roman"/>
                <w:sz w:val="18"/>
                <w:szCs w:val="20"/>
                <w:lang w:val="es-ES"/>
              </w:rPr>
            </w:pPr>
            <w:r w:rsidRPr="00CF48C3">
              <w:rPr>
                <w:rFonts w:cs="Times New Roman"/>
                <w:sz w:val="18"/>
                <w:szCs w:val="20"/>
                <w:lang w:val="es-ES"/>
              </w:rPr>
              <w:t>9,8</w:t>
            </w:r>
            <w:r w:rsidR="00AA686E" w:rsidRPr="00CF48C3">
              <w:rPr>
                <w:rFonts w:cs="Times New Roman"/>
                <w:sz w:val="18"/>
                <w:szCs w:val="20"/>
                <w:lang w:val="es-ES"/>
              </w:rPr>
              <w:t>–</w:t>
            </w:r>
            <w:r w:rsidRPr="00CF48C3">
              <w:rPr>
                <w:rFonts w:cs="Times New Roman"/>
                <w:sz w:val="18"/>
                <w:szCs w:val="20"/>
                <w:lang w:val="es-ES"/>
              </w:rPr>
              <w:t>39,3</w:t>
            </w:r>
          </w:p>
        </w:tc>
      </w:tr>
      <w:tr w:rsidR="00AA686E" w:rsidRPr="00CF48C3" w:rsidTr="00B87C5A">
        <w:trPr>
          <w:jc w:val="center"/>
        </w:trPr>
        <w:tc>
          <w:tcPr>
            <w:tcW w:w="1998" w:type="dxa"/>
          </w:tcPr>
          <w:p w:rsidR="00AA686E" w:rsidRPr="00CF48C3" w:rsidRDefault="00AA686E" w:rsidP="007D2DE5">
            <w:pPr>
              <w:keepNext/>
              <w:rPr>
                <w:rFonts w:cs="Times New Roman"/>
                <w:sz w:val="18"/>
                <w:szCs w:val="20"/>
                <w:lang w:val="es-ES"/>
              </w:rPr>
            </w:pPr>
            <w:r w:rsidRPr="00CF48C3">
              <w:rPr>
                <w:rFonts w:cs="Times New Roman"/>
                <w:sz w:val="18"/>
                <w:szCs w:val="20"/>
                <w:lang w:val="es-ES"/>
              </w:rPr>
              <w:t>VP Costos M$</w:t>
            </w:r>
          </w:p>
        </w:tc>
        <w:tc>
          <w:tcPr>
            <w:tcW w:w="360" w:type="dxa"/>
          </w:tcPr>
          <w:p w:rsidR="00AA686E" w:rsidRPr="00CF48C3" w:rsidRDefault="00AA686E" w:rsidP="007D2DE5">
            <w:pPr>
              <w:keepNext/>
              <w:jc w:val="center"/>
              <w:rPr>
                <w:rFonts w:cs="Times New Roman"/>
                <w:sz w:val="18"/>
                <w:szCs w:val="20"/>
                <w:lang w:val="es-ES"/>
              </w:rPr>
            </w:pPr>
          </w:p>
        </w:tc>
        <w:tc>
          <w:tcPr>
            <w:tcW w:w="1596" w:type="dxa"/>
          </w:tcPr>
          <w:p w:rsidR="00AA686E" w:rsidRPr="00CF48C3" w:rsidRDefault="008857A7" w:rsidP="007D67F9">
            <w:pPr>
              <w:keepNext/>
              <w:jc w:val="center"/>
              <w:rPr>
                <w:rFonts w:cs="Times New Roman"/>
                <w:sz w:val="18"/>
                <w:szCs w:val="20"/>
                <w:lang w:val="es-ES"/>
              </w:rPr>
            </w:pPr>
            <w:r w:rsidRPr="00CF48C3">
              <w:rPr>
                <w:sz w:val="18"/>
                <w:szCs w:val="20"/>
                <w:lang w:val="es-CL"/>
              </w:rPr>
              <w:t>440,9</w:t>
            </w:r>
            <w:r w:rsidR="00AA686E" w:rsidRPr="00CF48C3">
              <w:rPr>
                <w:rFonts w:cs="Times New Roman"/>
                <w:sz w:val="18"/>
                <w:szCs w:val="20"/>
                <w:lang w:val="es-ES"/>
              </w:rPr>
              <w:t>–</w:t>
            </w:r>
            <w:r w:rsidRPr="00CF48C3">
              <w:rPr>
                <w:sz w:val="18"/>
                <w:szCs w:val="20"/>
                <w:lang w:val="es-ES"/>
              </w:rPr>
              <w:t>529,1</w:t>
            </w:r>
          </w:p>
        </w:tc>
        <w:tc>
          <w:tcPr>
            <w:tcW w:w="1596" w:type="dxa"/>
          </w:tcPr>
          <w:p w:rsidR="00AA686E" w:rsidRPr="00CF48C3" w:rsidRDefault="008857A7" w:rsidP="007D2DE5">
            <w:pPr>
              <w:keepNext/>
              <w:jc w:val="center"/>
              <w:rPr>
                <w:rFonts w:cs="Times New Roman"/>
                <w:sz w:val="18"/>
                <w:szCs w:val="20"/>
                <w:lang w:val="es-ES"/>
              </w:rPr>
            </w:pPr>
            <w:r w:rsidRPr="00CF48C3">
              <w:rPr>
                <w:sz w:val="18"/>
                <w:szCs w:val="20"/>
                <w:lang w:val="es-CL"/>
              </w:rPr>
              <w:t>440,9</w:t>
            </w:r>
            <w:r w:rsidR="007D67F9" w:rsidRPr="00CF48C3">
              <w:rPr>
                <w:rFonts w:cs="Times New Roman"/>
                <w:sz w:val="18"/>
                <w:szCs w:val="20"/>
                <w:lang w:val="es-ES"/>
              </w:rPr>
              <w:t>–</w:t>
            </w:r>
            <w:r w:rsidRPr="00CF48C3">
              <w:rPr>
                <w:sz w:val="18"/>
                <w:szCs w:val="20"/>
                <w:lang w:val="es-ES"/>
              </w:rPr>
              <w:t>529,1</w:t>
            </w:r>
          </w:p>
        </w:tc>
        <w:tc>
          <w:tcPr>
            <w:tcW w:w="1596" w:type="dxa"/>
          </w:tcPr>
          <w:p w:rsidR="00AA686E" w:rsidRPr="00CF48C3" w:rsidRDefault="00CA6871" w:rsidP="007D2DE5">
            <w:pPr>
              <w:keepNext/>
              <w:jc w:val="center"/>
              <w:rPr>
                <w:rFonts w:cs="Times New Roman"/>
                <w:sz w:val="18"/>
                <w:szCs w:val="20"/>
                <w:lang w:val="es-ES"/>
              </w:rPr>
            </w:pPr>
            <w:r>
              <w:rPr>
                <w:rFonts w:cs="Times New Roman"/>
                <w:sz w:val="18"/>
                <w:szCs w:val="20"/>
                <w:lang w:val="es-ES"/>
              </w:rPr>
              <w:t>7,2</w:t>
            </w:r>
          </w:p>
        </w:tc>
        <w:tc>
          <w:tcPr>
            <w:tcW w:w="1596" w:type="dxa"/>
          </w:tcPr>
          <w:p w:rsidR="00AA686E" w:rsidRPr="00CF48C3" w:rsidRDefault="00AA686E" w:rsidP="007D2DE5">
            <w:pPr>
              <w:keepNext/>
              <w:jc w:val="center"/>
              <w:rPr>
                <w:rFonts w:cs="Times New Roman"/>
                <w:sz w:val="18"/>
                <w:szCs w:val="20"/>
                <w:lang w:val="es-ES"/>
              </w:rPr>
            </w:pPr>
          </w:p>
        </w:tc>
      </w:tr>
      <w:tr w:rsidR="00AA686E" w:rsidRPr="00CF48C3" w:rsidTr="00B87C5A">
        <w:trPr>
          <w:jc w:val="center"/>
        </w:trPr>
        <w:tc>
          <w:tcPr>
            <w:tcW w:w="1998" w:type="dxa"/>
          </w:tcPr>
          <w:p w:rsidR="00AA686E" w:rsidRPr="00CF48C3" w:rsidRDefault="00AA686E" w:rsidP="007D2DE5">
            <w:pPr>
              <w:rPr>
                <w:rFonts w:cs="Times New Roman"/>
                <w:sz w:val="18"/>
                <w:szCs w:val="20"/>
                <w:lang w:val="es-ES"/>
              </w:rPr>
            </w:pPr>
            <w:r w:rsidRPr="00CF48C3">
              <w:rPr>
                <w:rFonts w:cs="Times New Roman"/>
                <w:sz w:val="18"/>
                <w:szCs w:val="20"/>
                <w:lang w:val="es-ES"/>
              </w:rPr>
              <w:t>Relación B/C</w:t>
            </w:r>
          </w:p>
        </w:tc>
        <w:tc>
          <w:tcPr>
            <w:tcW w:w="360" w:type="dxa"/>
          </w:tcPr>
          <w:p w:rsidR="00AA686E" w:rsidRPr="00CF48C3" w:rsidRDefault="00AA686E" w:rsidP="007D2DE5">
            <w:pPr>
              <w:jc w:val="center"/>
              <w:rPr>
                <w:rFonts w:cs="Times New Roman"/>
                <w:sz w:val="18"/>
                <w:szCs w:val="20"/>
                <w:lang w:val="es-ES"/>
              </w:rPr>
            </w:pPr>
          </w:p>
        </w:tc>
        <w:tc>
          <w:tcPr>
            <w:tcW w:w="1596" w:type="dxa"/>
          </w:tcPr>
          <w:p w:rsidR="00AA686E" w:rsidRPr="00CF48C3" w:rsidRDefault="00CF48C3" w:rsidP="00CF48C3">
            <w:pPr>
              <w:jc w:val="center"/>
              <w:rPr>
                <w:rFonts w:cs="Times New Roman"/>
                <w:sz w:val="18"/>
                <w:szCs w:val="20"/>
                <w:lang w:val="es-ES"/>
              </w:rPr>
            </w:pPr>
            <w:r>
              <w:rPr>
                <w:sz w:val="18"/>
                <w:szCs w:val="20"/>
                <w:lang w:val="es-ES"/>
              </w:rPr>
              <w:t>1,92</w:t>
            </w:r>
            <w:r w:rsidR="00AA686E" w:rsidRPr="00CF48C3">
              <w:rPr>
                <w:rFonts w:cs="Times New Roman"/>
                <w:sz w:val="18"/>
                <w:szCs w:val="20"/>
                <w:lang w:val="es-ES"/>
              </w:rPr>
              <w:t>–</w:t>
            </w:r>
            <w:r>
              <w:rPr>
                <w:sz w:val="18"/>
                <w:szCs w:val="20"/>
                <w:lang w:val="es-ES"/>
              </w:rPr>
              <w:t>0.98</w:t>
            </w:r>
          </w:p>
        </w:tc>
        <w:tc>
          <w:tcPr>
            <w:tcW w:w="1596" w:type="dxa"/>
          </w:tcPr>
          <w:p w:rsidR="00AA686E" w:rsidRPr="00CF48C3" w:rsidRDefault="00CF48C3" w:rsidP="00CF48C3">
            <w:pPr>
              <w:jc w:val="center"/>
              <w:rPr>
                <w:rFonts w:cs="Times New Roman"/>
                <w:sz w:val="18"/>
                <w:szCs w:val="20"/>
                <w:lang w:val="es-ES"/>
              </w:rPr>
            </w:pPr>
            <w:r>
              <w:rPr>
                <w:sz w:val="18"/>
                <w:szCs w:val="20"/>
                <w:lang w:val="es-CL"/>
              </w:rPr>
              <w:t>3,96</w:t>
            </w:r>
            <w:r w:rsidR="00AA686E" w:rsidRPr="00CF48C3">
              <w:rPr>
                <w:rFonts w:cs="Times New Roman"/>
                <w:sz w:val="18"/>
                <w:szCs w:val="20"/>
                <w:lang w:val="es-ES"/>
              </w:rPr>
              <w:t>–</w:t>
            </w:r>
            <w:r>
              <w:rPr>
                <w:rFonts w:cs="Times New Roman"/>
                <w:sz w:val="18"/>
                <w:szCs w:val="20"/>
                <w:lang w:val="es-ES"/>
              </w:rPr>
              <w:t>2</w:t>
            </w:r>
            <w:r w:rsidR="007D67F9" w:rsidRPr="00CF48C3">
              <w:rPr>
                <w:rFonts w:cs="Times New Roman"/>
                <w:sz w:val="18"/>
                <w:szCs w:val="20"/>
                <w:lang w:val="es-ES"/>
              </w:rPr>
              <w:t>,</w:t>
            </w:r>
            <w:r>
              <w:rPr>
                <w:rFonts w:cs="Times New Roman"/>
                <w:sz w:val="18"/>
                <w:szCs w:val="20"/>
                <w:lang w:val="es-ES"/>
              </w:rPr>
              <w:t>0</w:t>
            </w:r>
            <w:r w:rsidR="008857A7" w:rsidRPr="00CF48C3">
              <w:rPr>
                <w:rFonts w:cs="Times New Roman"/>
                <w:sz w:val="18"/>
                <w:szCs w:val="20"/>
                <w:lang w:val="es-ES"/>
              </w:rPr>
              <w:t>4</w:t>
            </w:r>
          </w:p>
        </w:tc>
        <w:tc>
          <w:tcPr>
            <w:tcW w:w="1596" w:type="dxa"/>
          </w:tcPr>
          <w:p w:rsidR="00AA686E" w:rsidRPr="00CF48C3" w:rsidRDefault="001415F6" w:rsidP="007D2DE5">
            <w:pPr>
              <w:jc w:val="center"/>
              <w:rPr>
                <w:rFonts w:cs="Times New Roman"/>
                <w:sz w:val="18"/>
                <w:szCs w:val="20"/>
                <w:lang w:val="es-ES"/>
              </w:rPr>
            </w:pPr>
            <w:r w:rsidRPr="00CF48C3">
              <w:rPr>
                <w:rFonts w:cs="Times New Roman"/>
                <w:sz w:val="18"/>
                <w:szCs w:val="20"/>
                <w:lang w:val="es-ES"/>
              </w:rPr>
              <w:t>11,6</w:t>
            </w:r>
          </w:p>
        </w:tc>
        <w:tc>
          <w:tcPr>
            <w:tcW w:w="1596" w:type="dxa"/>
          </w:tcPr>
          <w:p w:rsidR="00AA686E" w:rsidRPr="00CF48C3" w:rsidRDefault="00AA686E" w:rsidP="007D2DE5">
            <w:pPr>
              <w:jc w:val="center"/>
              <w:rPr>
                <w:rFonts w:cs="Times New Roman"/>
                <w:sz w:val="18"/>
                <w:szCs w:val="20"/>
                <w:lang w:val="es-ES"/>
              </w:rPr>
            </w:pPr>
          </w:p>
        </w:tc>
      </w:tr>
    </w:tbl>
    <w:p w:rsidR="002A2690" w:rsidRDefault="002A2690" w:rsidP="00AA686E">
      <w:pPr>
        <w:rPr>
          <w:lang w:val="es-ES"/>
        </w:rPr>
      </w:pPr>
    </w:p>
    <w:p w:rsidR="007D67F9" w:rsidRDefault="0027088F" w:rsidP="00E11E02">
      <w:pPr>
        <w:pStyle w:val="Banknumbered"/>
        <w:numPr>
          <w:ilvl w:val="0"/>
          <w:numId w:val="16"/>
        </w:numPr>
        <w:ind w:hanging="630"/>
        <w:rPr>
          <w:lang w:val="es-ES"/>
        </w:rPr>
      </w:pPr>
      <w:r>
        <w:rPr>
          <w:lang w:val="es-ES"/>
        </w:rPr>
        <w:t xml:space="preserve">El </w:t>
      </w:r>
      <w:r w:rsidR="002529B0">
        <w:rPr>
          <w:lang w:val="es-ES"/>
        </w:rPr>
        <w:t>análisis de</w:t>
      </w:r>
      <w:r>
        <w:rPr>
          <w:lang w:val="es-ES"/>
        </w:rPr>
        <w:t xml:space="preserve"> </w:t>
      </w:r>
      <w:r w:rsidR="002529B0">
        <w:rPr>
          <w:lang w:val="es-ES"/>
        </w:rPr>
        <w:t xml:space="preserve">los indicadores </w:t>
      </w:r>
      <w:r>
        <w:rPr>
          <w:lang w:val="es-ES"/>
        </w:rPr>
        <w:t>de evaluación de los</w:t>
      </w:r>
      <w:r w:rsidR="007D67F9">
        <w:rPr>
          <w:lang w:val="es-ES"/>
        </w:rPr>
        <w:t xml:space="preserve"> tres componentes del Programa:</w:t>
      </w:r>
      <w:r w:rsidR="007D67F9" w:rsidRPr="007D67F9">
        <w:rPr>
          <w:lang w:val="es-ES"/>
        </w:rPr>
        <w:t xml:space="preserve"> </w:t>
      </w:r>
    </w:p>
    <w:p w:rsidR="0027088F" w:rsidRPr="00001538" w:rsidRDefault="0027088F" w:rsidP="007D67F9">
      <w:pPr>
        <w:pStyle w:val="ListParagraph"/>
        <w:numPr>
          <w:ilvl w:val="0"/>
          <w:numId w:val="3"/>
        </w:numPr>
        <w:rPr>
          <w:rFonts w:cstheme="minorHAnsi"/>
          <w:lang w:val="es-ES_tradnl"/>
        </w:rPr>
      </w:pPr>
      <w:r w:rsidRPr="0027088F">
        <w:rPr>
          <w:rFonts w:cstheme="minorHAnsi"/>
          <w:bCs/>
          <w:lang w:val="es-ES_tradnl"/>
        </w:rPr>
        <w:t xml:space="preserve">Reducción de las pérdidas </w:t>
      </w:r>
      <w:r w:rsidRPr="00001538">
        <w:rPr>
          <w:rFonts w:cstheme="minorHAnsi"/>
          <w:bCs/>
          <w:lang w:val="es-ES_tradnl"/>
        </w:rPr>
        <w:t xml:space="preserve">totales del sistema con </w:t>
      </w:r>
      <w:r w:rsidRPr="00001538">
        <w:rPr>
          <w:rFonts w:cstheme="minorHAnsi"/>
          <w:lang w:val="es-ES_tradnl"/>
        </w:rPr>
        <w:t xml:space="preserve">una Tasa Interna de Retorno </w:t>
      </w:r>
      <w:r w:rsidR="005C0B1F" w:rsidRPr="00001538">
        <w:rPr>
          <w:rFonts w:cstheme="minorHAnsi"/>
          <w:lang w:val="es-ES_tradnl"/>
        </w:rPr>
        <w:t xml:space="preserve"> </w:t>
      </w:r>
      <w:r w:rsidR="00905B97">
        <w:rPr>
          <w:rFonts w:cstheme="minorHAnsi"/>
          <w:lang w:val="es-ES_tradnl"/>
        </w:rPr>
        <w:t>(</w:t>
      </w:r>
      <w:r w:rsidR="00547B3D">
        <w:rPr>
          <w:rFonts w:cstheme="minorHAnsi"/>
          <w:lang w:val="es-ES_tradnl"/>
        </w:rPr>
        <w:t>TIR</w:t>
      </w:r>
      <w:r w:rsidRPr="00001538">
        <w:rPr>
          <w:rFonts w:cstheme="minorHAnsi"/>
          <w:lang w:val="es-ES_tradnl"/>
        </w:rPr>
        <w:t>)</w:t>
      </w:r>
      <w:r w:rsidR="007D67F9" w:rsidRPr="00001538">
        <w:rPr>
          <w:rFonts w:cstheme="minorHAnsi"/>
          <w:lang w:val="es-ES_tradnl"/>
        </w:rPr>
        <w:t xml:space="preserve"> </w:t>
      </w:r>
      <w:r w:rsidR="005B36D5">
        <w:rPr>
          <w:rFonts w:cstheme="minorHAnsi"/>
          <w:lang w:val="es-ES_tradnl"/>
        </w:rPr>
        <w:t xml:space="preserve">del </w:t>
      </w:r>
      <w:r w:rsidR="00F62B3B">
        <w:rPr>
          <w:rFonts w:cstheme="minorHAnsi"/>
          <w:lang w:val="es-ES_tradnl"/>
        </w:rPr>
        <w:t>24,81</w:t>
      </w:r>
      <w:r w:rsidR="005B36D5">
        <w:rPr>
          <w:rFonts w:cstheme="minorHAnsi"/>
          <w:lang w:val="es-ES_tradnl"/>
        </w:rPr>
        <w:t xml:space="preserve">% </w:t>
      </w:r>
      <w:r w:rsidR="007D67F9" w:rsidRPr="00001538">
        <w:rPr>
          <w:rFonts w:cstheme="minorHAnsi"/>
          <w:lang w:val="es-ES_tradnl"/>
        </w:rPr>
        <w:t>para la evaluación</w:t>
      </w:r>
      <w:r w:rsidR="005B36D5">
        <w:rPr>
          <w:rFonts w:cstheme="minorHAnsi"/>
          <w:lang w:val="es-ES_tradnl"/>
        </w:rPr>
        <w:t xml:space="preserve"> económica y del </w:t>
      </w:r>
      <w:r w:rsidR="00CF48C3">
        <w:rPr>
          <w:rFonts w:cstheme="minorHAnsi"/>
          <w:lang w:val="es-ES_tradnl"/>
        </w:rPr>
        <w:t>51.27</w:t>
      </w:r>
      <w:r w:rsidR="005B36D5">
        <w:rPr>
          <w:rFonts w:cstheme="minorHAnsi"/>
          <w:lang w:val="es-ES_tradnl"/>
        </w:rPr>
        <w:t xml:space="preserve">% para la evaluación </w:t>
      </w:r>
      <w:r w:rsidR="007D67F9" w:rsidRPr="00001538">
        <w:rPr>
          <w:rFonts w:cstheme="minorHAnsi"/>
          <w:lang w:val="es-ES_tradnl"/>
        </w:rPr>
        <w:t>financiera</w:t>
      </w:r>
      <w:r w:rsidRPr="00001538">
        <w:rPr>
          <w:rFonts w:cstheme="minorHAnsi"/>
          <w:lang w:val="es-ES_tradnl"/>
        </w:rPr>
        <w:t xml:space="preserve"> del</w:t>
      </w:r>
      <w:r w:rsidR="005B36D5">
        <w:rPr>
          <w:rFonts w:cstheme="minorHAnsi"/>
          <w:lang w:val="es-ES_tradnl"/>
        </w:rPr>
        <w:t xml:space="preserve"> proyecto.</w:t>
      </w:r>
    </w:p>
    <w:p w:rsidR="0027088F" w:rsidRPr="00001538" w:rsidRDefault="0027088F" w:rsidP="006B52BC">
      <w:pPr>
        <w:pStyle w:val="ListParagraph"/>
        <w:numPr>
          <w:ilvl w:val="0"/>
          <w:numId w:val="3"/>
        </w:numPr>
        <w:rPr>
          <w:lang w:val="es-ES"/>
        </w:rPr>
      </w:pPr>
      <w:r w:rsidRPr="00001538">
        <w:rPr>
          <w:rFonts w:cstheme="minorHAnsi"/>
          <w:lang w:val="es-ES_tradnl"/>
        </w:rPr>
        <w:t>M</w:t>
      </w:r>
      <w:r w:rsidRPr="00001538">
        <w:rPr>
          <w:rFonts w:cstheme="minorHAnsi"/>
          <w:bCs/>
          <w:lang w:val="es-ES_tradnl"/>
        </w:rPr>
        <w:t xml:space="preserve">ejoría en </w:t>
      </w:r>
      <w:r w:rsidR="001415F6" w:rsidRPr="00001538">
        <w:rPr>
          <w:rFonts w:cstheme="minorHAnsi"/>
          <w:bCs/>
          <w:lang w:val="es-ES_tradnl"/>
        </w:rPr>
        <w:t>las cobranzas</w:t>
      </w:r>
      <w:r w:rsidRPr="00001538">
        <w:rPr>
          <w:rFonts w:cstheme="minorHAnsi"/>
          <w:bCs/>
          <w:lang w:val="es-ES_tradnl"/>
        </w:rPr>
        <w:t>, con</w:t>
      </w:r>
      <w:r w:rsidRPr="00001538">
        <w:rPr>
          <w:rFonts w:cstheme="minorHAnsi"/>
          <w:bCs/>
          <w:i/>
          <w:iCs/>
          <w:lang w:val="es-ES_tradnl"/>
        </w:rPr>
        <w:t xml:space="preserve"> </w:t>
      </w:r>
      <w:r w:rsidRPr="00001538">
        <w:rPr>
          <w:rFonts w:cstheme="minorHAnsi"/>
          <w:bCs/>
          <w:iCs/>
          <w:lang w:val="es-ES_tradnl"/>
        </w:rPr>
        <w:t xml:space="preserve">una relación B-C de </w:t>
      </w:r>
      <w:r w:rsidR="001415F6" w:rsidRPr="00001538">
        <w:rPr>
          <w:rFonts w:cstheme="minorHAnsi"/>
          <w:bCs/>
          <w:iCs/>
          <w:lang w:val="es-ES_tradnl"/>
        </w:rPr>
        <w:t>11,6</w:t>
      </w:r>
      <w:r w:rsidR="00C071C4">
        <w:rPr>
          <w:rFonts w:cstheme="minorHAnsi"/>
          <w:bCs/>
          <w:iCs/>
          <w:lang w:val="es-ES_tradnl"/>
        </w:rPr>
        <w:t>.</w:t>
      </w:r>
      <w:r w:rsidRPr="00001538">
        <w:rPr>
          <w:rFonts w:cstheme="minorHAnsi"/>
          <w:bCs/>
          <w:iCs/>
          <w:lang w:val="es-ES_tradnl"/>
        </w:rPr>
        <w:t xml:space="preserve"> </w:t>
      </w:r>
      <w:r w:rsidR="006B52BC" w:rsidRPr="006B52BC">
        <w:rPr>
          <w:rFonts w:cstheme="minorHAnsi"/>
          <w:bCs/>
          <w:iCs/>
          <w:lang w:val="es-ES_tradnl"/>
        </w:rPr>
        <w:t>El ingreso</w:t>
      </w:r>
      <w:r w:rsidR="006B52BC">
        <w:rPr>
          <w:rFonts w:cstheme="minorHAnsi"/>
          <w:bCs/>
          <w:iCs/>
          <w:lang w:val="es-ES_tradnl"/>
        </w:rPr>
        <w:t xml:space="preserve"> a las </w:t>
      </w:r>
      <w:proofErr w:type="spellStart"/>
      <w:r w:rsidR="006B52BC">
        <w:rPr>
          <w:rFonts w:cstheme="minorHAnsi"/>
          <w:bCs/>
          <w:iCs/>
          <w:lang w:val="es-ES_tradnl"/>
        </w:rPr>
        <w:t>EDEs</w:t>
      </w:r>
      <w:proofErr w:type="spellEnd"/>
      <w:r w:rsidR="00E11E02">
        <w:rPr>
          <w:rFonts w:cstheme="minorHAnsi"/>
          <w:bCs/>
          <w:iCs/>
          <w:lang w:val="es-ES_tradnl"/>
        </w:rPr>
        <w:t xml:space="preserve"> proveniente del mayor recaudo</w:t>
      </w:r>
      <w:r w:rsidR="006B52BC" w:rsidRPr="006B52BC">
        <w:rPr>
          <w:rFonts w:cstheme="minorHAnsi"/>
          <w:bCs/>
          <w:iCs/>
          <w:lang w:val="es-ES_tradnl"/>
        </w:rPr>
        <w:t xml:space="preserve"> refleja el ahorro fiscal por la reducción del subsidio del GRD al sector</w:t>
      </w:r>
      <w:r w:rsidR="006B52BC">
        <w:rPr>
          <w:rFonts w:cstheme="minorHAnsi"/>
          <w:bCs/>
          <w:iCs/>
          <w:lang w:val="es-ES_tradnl"/>
        </w:rPr>
        <w:t>.</w:t>
      </w:r>
    </w:p>
    <w:p w:rsidR="002529B0" w:rsidRPr="00001538" w:rsidRDefault="0027088F" w:rsidP="007D67F9">
      <w:pPr>
        <w:pStyle w:val="ListParagraph"/>
        <w:numPr>
          <w:ilvl w:val="0"/>
          <w:numId w:val="3"/>
        </w:numPr>
        <w:rPr>
          <w:lang w:val="es-ES"/>
        </w:rPr>
      </w:pPr>
      <w:r w:rsidRPr="00001538">
        <w:rPr>
          <w:rFonts w:cstheme="minorHAnsi"/>
          <w:bCs/>
          <w:lang w:val="es-ES_tradnl"/>
        </w:rPr>
        <w:t xml:space="preserve">Incremento en el número de usuarios con 24 horas de servicio, con un VPN de </w:t>
      </w:r>
      <w:r w:rsidR="00946445" w:rsidRPr="00001538">
        <w:rPr>
          <w:rFonts w:cstheme="minorHAnsi"/>
          <w:bCs/>
          <w:lang w:val="es-ES_tradnl"/>
        </w:rPr>
        <w:t>US</w:t>
      </w:r>
      <w:r w:rsidR="00D826C7" w:rsidRPr="00001538">
        <w:rPr>
          <w:rFonts w:cstheme="minorHAnsi"/>
          <w:bCs/>
          <w:lang w:val="es-ES_tradnl"/>
        </w:rPr>
        <w:t>$</w:t>
      </w:r>
      <w:r w:rsidR="001415F6" w:rsidRPr="00001538">
        <w:rPr>
          <w:rFonts w:cstheme="minorHAnsi"/>
          <w:bCs/>
          <w:lang w:val="es-ES_tradnl"/>
        </w:rPr>
        <w:t>9,8</w:t>
      </w:r>
      <w:r w:rsidR="00DE79A1">
        <w:rPr>
          <w:rFonts w:cstheme="minorHAnsi"/>
          <w:bCs/>
          <w:lang w:val="es-ES_tradnl"/>
        </w:rPr>
        <w:t xml:space="preserve"> millones.</w:t>
      </w:r>
    </w:p>
    <w:p w:rsidR="007D67F9" w:rsidRDefault="00D826C7" w:rsidP="00E11E02">
      <w:pPr>
        <w:pStyle w:val="Banknumbered"/>
        <w:numPr>
          <w:ilvl w:val="0"/>
          <w:numId w:val="16"/>
        </w:numPr>
        <w:ind w:hanging="630"/>
        <w:rPr>
          <w:lang w:val="es-ES"/>
        </w:rPr>
      </w:pPr>
      <w:r w:rsidRPr="00001538">
        <w:rPr>
          <w:lang w:val="es-ES"/>
        </w:rPr>
        <w:t xml:space="preserve">Los resultados </w:t>
      </w:r>
      <w:r w:rsidR="00F33A3D" w:rsidRPr="00001538">
        <w:rPr>
          <w:lang w:val="es-ES"/>
        </w:rPr>
        <w:t>p</w:t>
      </w:r>
      <w:r w:rsidR="0027088F" w:rsidRPr="00001538">
        <w:rPr>
          <w:lang w:val="es-ES"/>
        </w:rPr>
        <w:t>ermite</w:t>
      </w:r>
      <w:r w:rsidRPr="00001538">
        <w:rPr>
          <w:lang w:val="es-ES"/>
        </w:rPr>
        <w:t>n</w:t>
      </w:r>
      <w:r w:rsidR="0027088F" w:rsidRPr="00001538">
        <w:rPr>
          <w:lang w:val="es-ES"/>
        </w:rPr>
        <w:t xml:space="preserve"> verificar su </w:t>
      </w:r>
      <w:r w:rsidR="002A3933" w:rsidRPr="00001538">
        <w:rPr>
          <w:lang w:val="es-ES"/>
        </w:rPr>
        <w:t>interacción</w:t>
      </w:r>
      <w:r w:rsidR="0027088F" w:rsidRPr="00001538">
        <w:rPr>
          <w:lang w:val="es-ES"/>
        </w:rPr>
        <w:t xml:space="preserve"> </w:t>
      </w:r>
      <w:r w:rsidR="00B53778">
        <w:rPr>
          <w:lang w:val="es-ES"/>
        </w:rPr>
        <w:t xml:space="preserve">y </w:t>
      </w:r>
      <w:r w:rsidR="0027088F">
        <w:rPr>
          <w:lang w:val="es-ES"/>
        </w:rPr>
        <w:t>su complementariedad</w:t>
      </w:r>
      <w:r w:rsidR="00B53778">
        <w:rPr>
          <w:lang w:val="es-ES"/>
        </w:rPr>
        <w:t>,</w:t>
      </w:r>
      <w:r w:rsidR="0027088F">
        <w:rPr>
          <w:lang w:val="es-ES"/>
        </w:rPr>
        <w:t xml:space="preserve"> </w:t>
      </w:r>
      <w:r w:rsidR="00FC6F29">
        <w:rPr>
          <w:lang w:val="es-ES"/>
        </w:rPr>
        <w:t xml:space="preserve">al contribuir cada uno de ellos con la </w:t>
      </w:r>
      <w:r w:rsidR="00E11E02">
        <w:rPr>
          <w:lang w:val="es-ES"/>
        </w:rPr>
        <w:t>identificac</w:t>
      </w:r>
      <w:r w:rsidR="002A3933">
        <w:rPr>
          <w:lang w:val="es-ES"/>
        </w:rPr>
        <w:t>ión</w:t>
      </w:r>
      <w:r w:rsidR="00FC6F29">
        <w:rPr>
          <w:lang w:val="es-ES"/>
        </w:rPr>
        <w:t xml:space="preserve"> de beneficios netos a la evaluación del mismo, aunque sus indicadores no puedan ser adicionados. En el caso particular de la mejoría del CRI y la </w:t>
      </w:r>
      <w:r w:rsidR="002A3933">
        <w:rPr>
          <w:lang w:val="es-ES"/>
        </w:rPr>
        <w:t>Reducción</w:t>
      </w:r>
      <w:r w:rsidR="00FC6F29">
        <w:rPr>
          <w:lang w:val="es-ES"/>
        </w:rPr>
        <w:t xml:space="preserve"> de </w:t>
      </w:r>
      <w:r w:rsidR="002A3933">
        <w:rPr>
          <w:lang w:val="es-ES"/>
        </w:rPr>
        <w:t>Pérdidas</w:t>
      </w:r>
      <w:r w:rsidR="00FC6F29">
        <w:rPr>
          <w:lang w:val="es-ES"/>
        </w:rPr>
        <w:t xml:space="preserve"> Totales, la </w:t>
      </w:r>
      <w:r w:rsidR="002A3933">
        <w:rPr>
          <w:lang w:val="es-ES"/>
        </w:rPr>
        <w:t>complementariedad</w:t>
      </w:r>
      <w:r w:rsidR="00FC6F29">
        <w:rPr>
          <w:lang w:val="es-ES"/>
        </w:rPr>
        <w:t xml:space="preserve"> es </w:t>
      </w:r>
      <w:r w:rsidR="002A3933">
        <w:rPr>
          <w:lang w:val="es-ES"/>
        </w:rPr>
        <w:t>más</w:t>
      </w:r>
      <w:r w:rsidR="00FC6F29">
        <w:rPr>
          <w:lang w:val="es-ES"/>
        </w:rPr>
        <w:t xml:space="preserve"> marcada</w:t>
      </w:r>
      <w:r w:rsidR="00E11E02">
        <w:rPr>
          <w:lang w:val="es-ES"/>
        </w:rPr>
        <w:t>,</w:t>
      </w:r>
      <w:r w:rsidR="00FC6F29">
        <w:rPr>
          <w:lang w:val="es-ES"/>
        </w:rPr>
        <w:t xml:space="preserve"> puesto que el resultado de la evaluación del CRI tiene en cuenta el comportamiento de las </w:t>
      </w:r>
      <w:r w:rsidR="002A3933">
        <w:rPr>
          <w:lang w:val="es-ES"/>
        </w:rPr>
        <w:t>pérdidas</w:t>
      </w:r>
      <w:r w:rsidR="00FC6F29">
        <w:rPr>
          <w:lang w:val="es-ES"/>
        </w:rPr>
        <w:t xml:space="preserve"> totales. En el presente análisis, en la evaluación económica de la mejoría en el CRI se ha considerado únicamente el efecto en el indicador del porcentaje de cobranza, a fin de evitar la doble contabilidad de beneficios</w:t>
      </w:r>
      <w:r w:rsidR="002A3933">
        <w:rPr>
          <w:lang w:val="es-ES"/>
        </w:rPr>
        <w:t xml:space="preserve"> por la reducción de las pérdidas totales, las cuales se consideraron por separado.</w:t>
      </w:r>
    </w:p>
    <w:p w:rsidR="00C071C4" w:rsidRPr="00C071C4" w:rsidRDefault="00C071C4" w:rsidP="00E11E02">
      <w:pPr>
        <w:pStyle w:val="Banknumbered"/>
        <w:numPr>
          <w:ilvl w:val="0"/>
          <w:numId w:val="16"/>
        </w:numPr>
        <w:ind w:hanging="630"/>
        <w:rPr>
          <w:rFonts w:cs="Times New Roman"/>
          <w:lang w:val="es-CL"/>
        </w:rPr>
      </w:pPr>
      <w:r>
        <w:rPr>
          <w:rFonts w:cs="Times New Roman"/>
          <w:lang w:val="es-CL"/>
        </w:rPr>
        <w:t xml:space="preserve">La justificación financiera del programa se basa en el incremento del recaudo de efectivo </w:t>
      </w:r>
      <w:r w:rsidRPr="00E11E02">
        <w:rPr>
          <w:lang w:val="es-ES"/>
        </w:rPr>
        <w:t>como</w:t>
      </w:r>
      <w:r>
        <w:rPr>
          <w:rFonts w:cs="Times New Roman"/>
          <w:lang w:val="es-CL"/>
        </w:rPr>
        <w:t xml:space="preserve"> resultado de </w:t>
      </w:r>
      <w:r w:rsidR="00514F4F">
        <w:rPr>
          <w:rFonts w:cs="Times New Roman"/>
          <w:lang w:val="es-CL"/>
        </w:rPr>
        <w:t xml:space="preserve">la </w:t>
      </w:r>
      <w:r w:rsidR="00514F4F" w:rsidRPr="001D63C1">
        <w:rPr>
          <w:rFonts w:cs="Times New Roman"/>
          <w:lang w:val="es-CL"/>
        </w:rPr>
        <w:t xml:space="preserve"> mejoría en la eficiencia operativa de las </w:t>
      </w:r>
      <w:proofErr w:type="spellStart"/>
      <w:r w:rsidR="00514F4F" w:rsidRPr="001D63C1">
        <w:rPr>
          <w:rFonts w:cs="Times New Roman"/>
          <w:lang w:val="es-CL"/>
        </w:rPr>
        <w:t>EDEs</w:t>
      </w:r>
      <w:proofErr w:type="spellEnd"/>
      <w:r w:rsidR="00F43396">
        <w:rPr>
          <w:rFonts w:cs="Times New Roman"/>
          <w:lang w:val="es-CL"/>
        </w:rPr>
        <w:t>,</w:t>
      </w:r>
      <w:r w:rsidR="00514F4F" w:rsidRPr="001D63C1">
        <w:rPr>
          <w:rFonts w:cs="Times New Roman"/>
          <w:lang w:val="es-CL"/>
        </w:rPr>
        <w:t xml:space="preserve"> a través de una disminución de las pérdidas comerc</w:t>
      </w:r>
      <w:r w:rsidR="00514F4F">
        <w:rPr>
          <w:rFonts w:cs="Times New Roman"/>
          <w:lang w:val="es-CL"/>
        </w:rPr>
        <w:t xml:space="preserve">iales y aumento de la cobranza </w:t>
      </w:r>
      <w:r>
        <w:rPr>
          <w:rFonts w:cs="Times New Roman"/>
          <w:lang w:val="es-CL"/>
        </w:rPr>
        <w:t xml:space="preserve">y la reducción de compras de energía </w:t>
      </w:r>
      <w:r w:rsidR="00514F4F">
        <w:rPr>
          <w:rFonts w:cs="Times New Roman"/>
          <w:lang w:val="es-CL"/>
        </w:rPr>
        <w:t>por reducción</w:t>
      </w:r>
      <w:r w:rsidR="00F43396">
        <w:rPr>
          <w:rFonts w:cs="Times New Roman"/>
          <w:lang w:val="es-CL"/>
        </w:rPr>
        <w:t xml:space="preserve"> de las</w:t>
      </w:r>
      <w:r w:rsidR="00514F4F">
        <w:rPr>
          <w:rFonts w:cs="Times New Roman"/>
          <w:lang w:val="es-CL"/>
        </w:rPr>
        <w:t xml:space="preserve"> pérdidas técnicas.</w:t>
      </w:r>
    </w:p>
    <w:p w:rsidR="00CB17DC" w:rsidRDefault="00CB17DC" w:rsidP="00E11E02">
      <w:pPr>
        <w:pStyle w:val="Banknumbered"/>
        <w:numPr>
          <w:ilvl w:val="0"/>
          <w:numId w:val="16"/>
        </w:numPr>
        <w:ind w:hanging="630"/>
        <w:rPr>
          <w:rFonts w:cs="Times New Roman"/>
          <w:lang w:val="es-CL"/>
        </w:rPr>
      </w:pPr>
      <w:r w:rsidRPr="00DD1BE6">
        <w:rPr>
          <w:lang w:val="es-ES"/>
        </w:rPr>
        <w:t xml:space="preserve">La justificación económica del </w:t>
      </w:r>
      <w:r w:rsidR="00DD1BE6">
        <w:rPr>
          <w:lang w:val="es-ES"/>
        </w:rPr>
        <w:t>programa</w:t>
      </w:r>
      <w:r w:rsidRPr="00DD1BE6">
        <w:rPr>
          <w:lang w:val="es-ES"/>
        </w:rPr>
        <w:t xml:space="preserve"> se centra en la valoración económica y financiera de las </w:t>
      </w:r>
      <w:proofErr w:type="spellStart"/>
      <w:r w:rsidRPr="00DD1BE6">
        <w:rPr>
          <w:lang w:val="es-ES"/>
        </w:rPr>
        <w:t>EDEs</w:t>
      </w:r>
      <w:proofErr w:type="spellEnd"/>
      <w:r w:rsidRPr="00DD1BE6">
        <w:rPr>
          <w:lang w:val="es-ES"/>
        </w:rPr>
        <w:t>, la sociedad y el GRD, al poder hacer una mejor asignación de los recursos que</w:t>
      </w:r>
      <w:r w:rsidR="00C071C4">
        <w:rPr>
          <w:lang w:val="es-ES"/>
        </w:rPr>
        <w:t xml:space="preserve"> se le</w:t>
      </w:r>
      <w:r w:rsidRPr="00DD1BE6">
        <w:rPr>
          <w:lang w:val="es-ES"/>
        </w:rPr>
        <w:t xml:space="preserve"> viene entregando en subsidios al sector. El </w:t>
      </w:r>
      <w:r w:rsidR="00DD1BE6">
        <w:rPr>
          <w:lang w:val="es-ES"/>
        </w:rPr>
        <w:t>programa</w:t>
      </w:r>
      <w:r w:rsidRPr="00DD1BE6">
        <w:rPr>
          <w:lang w:val="es-ES"/>
        </w:rPr>
        <w:t xml:space="preserve"> tiene como principales beneficios económicos: i) una mejor asignación de los recursos económicos de la sociedad</w:t>
      </w:r>
      <w:r w:rsidR="00514F4F">
        <w:rPr>
          <w:lang w:val="es-ES"/>
        </w:rPr>
        <w:t xml:space="preserve"> por reducción de </w:t>
      </w:r>
      <w:r w:rsidR="00860603">
        <w:rPr>
          <w:lang w:val="es-ES"/>
        </w:rPr>
        <w:t xml:space="preserve">producción resultante de menores </w:t>
      </w:r>
      <w:r w:rsidR="00514F4F">
        <w:rPr>
          <w:lang w:val="es-ES"/>
        </w:rPr>
        <w:t>pérdidas técnicas</w:t>
      </w:r>
      <w:r w:rsidR="00860603">
        <w:rPr>
          <w:lang w:val="es-ES"/>
        </w:rPr>
        <w:t xml:space="preserve"> y no técnicas</w:t>
      </w:r>
      <w:r w:rsidR="00514F4F">
        <w:rPr>
          <w:lang w:val="es-ES"/>
        </w:rPr>
        <w:t>;</w:t>
      </w:r>
      <w:r w:rsidRPr="00DD1BE6">
        <w:rPr>
          <w:lang w:val="es-ES"/>
        </w:rPr>
        <w:t xml:space="preserve"> ii) una reducción</w:t>
      </w:r>
      <w:r w:rsidRPr="001D63C1">
        <w:rPr>
          <w:rFonts w:cs="Times New Roman"/>
          <w:lang w:val="es-CL"/>
        </w:rPr>
        <w:t xml:space="preserve"> de los subsidios por parte del GRD al sector</w:t>
      </w:r>
      <w:r w:rsidR="00514F4F">
        <w:rPr>
          <w:rFonts w:cs="Times New Roman"/>
          <w:lang w:val="es-CL"/>
        </w:rPr>
        <w:t>;</w:t>
      </w:r>
      <w:r w:rsidR="005C0B1F">
        <w:rPr>
          <w:rFonts w:cs="Times New Roman"/>
          <w:lang w:val="es-CL"/>
        </w:rPr>
        <w:t xml:space="preserve"> </w:t>
      </w:r>
      <w:r w:rsidR="00514F4F">
        <w:rPr>
          <w:rFonts w:cs="Times New Roman"/>
          <w:lang w:val="es-CL"/>
        </w:rPr>
        <w:t>y iii</w:t>
      </w:r>
      <w:r w:rsidRPr="001D63C1">
        <w:rPr>
          <w:rFonts w:cs="Times New Roman"/>
          <w:lang w:val="es-CL"/>
        </w:rPr>
        <w:t xml:space="preserve">) una mejoría en la calidad de servicio, y por ende una contribución a una mejor calidad de vida de la población. </w:t>
      </w:r>
    </w:p>
    <w:p w:rsidR="007648EC" w:rsidRDefault="007648EC">
      <w:pPr>
        <w:spacing w:before="0" w:after="120"/>
        <w:rPr>
          <w:lang w:val="es-CL"/>
        </w:rPr>
      </w:pPr>
      <w:r>
        <w:rPr>
          <w:lang w:val="es-CL"/>
        </w:rPr>
        <w:br w:type="page"/>
      </w:r>
    </w:p>
    <w:p w:rsidR="007648EC" w:rsidRDefault="007648EC" w:rsidP="002A3933">
      <w:pPr>
        <w:rPr>
          <w:lang w:val="es-CL"/>
        </w:rPr>
        <w:sectPr w:rsidR="007648EC" w:rsidSect="00355F25">
          <w:pgSz w:w="12240" w:h="15840"/>
          <w:pgMar w:top="1440" w:right="1440" w:bottom="1440" w:left="1440" w:header="720" w:footer="720" w:gutter="0"/>
          <w:pgNumType w:fmt="numberInDash" w:start="1"/>
          <w:cols w:space="720"/>
          <w:docGrid w:linePitch="360"/>
        </w:sectPr>
      </w:pPr>
    </w:p>
    <w:p w:rsidR="007648EC" w:rsidRPr="002C29AB" w:rsidRDefault="007648EC" w:rsidP="002A3933">
      <w:pPr>
        <w:rPr>
          <w:lang w:val="es-ES_tradnl"/>
        </w:rPr>
      </w:pPr>
    </w:p>
    <w:p w:rsidR="007648EC" w:rsidRPr="002C29AB" w:rsidRDefault="00A96257" w:rsidP="002A3933">
      <w:pPr>
        <w:rPr>
          <w:b/>
          <w:lang w:val="es-ES_tradnl"/>
        </w:rPr>
      </w:pPr>
      <w:r w:rsidRPr="002C29AB">
        <w:rPr>
          <w:b/>
          <w:lang w:val="es-ES_tradnl"/>
        </w:rPr>
        <w:t xml:space="preserve">Anexo 1A. Flujo de caja agregado para las </w:t>
      </w:r>
      <w:proofErr w:type="spellStart"/>
      <w:r w:rsidRPr="002C29AB">
        <w:rPr>
          <w:b/>
          <w:lang w:val="es-ES_tradnl"/>
        </w:rPr>
        <w:t>EDEs</w:t>
      </w:r>
      <w:proofErr w:type="spellEnd"/>
      <w:r w:rsidRPr="002C29AB">
        <w:rPr>
          <w:b/>
          <w:lang w:val="es-ES_tradnl"/>
        </w:rPr>
        <w:t>.</w:t>
      </w:r>
    </w:p>
    <w:p w:rsidR="00A96257" w:rsidRPr="002C29AB" w:rsidRDefault="00A96257" w:rsidP="002A3933">
      <w:pPr>
        <w:rPr>
          <w:b/>
          <w:lang w:val="es-ES_tradnl"/>
        </w:rPr>
      </w:pPr>
    </w:p>
    <w:p w:rsidR="00A96257" w:rsidRDefault="00A96257" w:rsidP="002A3933">
      <w:pPr>
        <w:rPr>
          <w:lang w:val="es-CL"/>
        </w:rPr>
      </w:pPr>
      <w:r w:rsidRPr="00A96257">
        <w:rPr>
          <w:noProof/>
        </w:rPr>
        <w:drawing>
          <wp:inline distT="0" distB="0" distL="0" distR="0" wp14:anchorId="4B569DE5" wp14:editId="54F43621">
            <wp:extent cx="8229600" cy="38714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29600" cy="3871418"/>
                    </a:xfrm>
                    <a:prstGeom prst="rect">
                      <a:avLst/>
                    </a:prstGeom>
                    <a:noFill/>
                    <a:ln>
                      <a:noFill/>
                    </a:ln>
                  </pic:spPr>
                </pic:pic>
              </a:graphicData>
            </a:graphic>
          </wp:inline>
        </w:drawing>
      </w:r>
    </w:p>
    <w:p w:rsidR="00A96257" w:rsidRDefault="00A96257">
      <w:pPr>
        <w:spacing w:before="0" w:after="120"/>
        <w:rPr>
          <w:lang w:val="es-CL"/>
        </w:rPr>
      </w:pPr>
      <w:r>
        <w:rPr>
          <w:lang w:val="es-CL"/>
        </w:rPr>
        <w:br w:type="page"/>
      </w:r>
    </w:p>
    <w:p w:rsidR="00A96257" w:rsidRPr="002C29AB" w:rsidRDefault="00A96257" w:rsidP="00A96257">
      <w:pPr>
        <w:rPr>
          <w:b/>
          <w:lang w:val="es-ES_tradnl"/>
        </w:rPr>
      </w:pPr>
      <w:r w:rsidRPr="002C29AB">
        <w:rPr>
          <w:b/>
          <w:lang w:val="es-ES_tradnl"/>
        </w:rPr>
        <w:lastRenderedPageBreak/>
        <w:t>Anexo 1B. Flujo de caja EDENORTE</w:t>
      </w:r>
    </w:p>
    <w:p w:rsidR="00A96257" w:rsidRDefault="00A96257" w:rsidP="002A3933">
      <w:pPr>
        <w:rPr>
          <w:lang w:val="es-CL"/>
        </w:rPr>
      </w:pPr>
      <w:r w:rsidRPr="00A96257">
        <w:rPr>
          <w:noProof/>
        </w:rPr>
        <w:drawing>
          <wp:inline distT="0" distB="0" distL="0" distR="0" wp14:anchorId="2555F4F3" wp14:editId="6DA2D60E">
            <wp:extent cx="8229600" cy="4547428"/>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29600" cy="4547428"/>
                    </a:xfrm>
                    <a:prstGeom prst="rect">
                      <a:avLst/>
                    </a:prstGeom>
                    <a:noFill/>
                    <a:ln>
                      <a:noFill/>
                    </a:ln>
                  </pic:spPr>
                </pic:pic>
              </a:graphicData>
            </a:graphic>
          </wp:inline>
        </w:drawing>
      </w:r>
    </w:p>
    <w:p w:rsidR="00A96257" w:rsidRDefault="00A96257">
      <w:pPr>
        <w:spacing w:before="0" w:after="120"/>
        <w:rPr>
          <w:lang w:val="es-CL"/>
        </w:rPr>
      </w:pPr>
      <w:r>
        <w:rPr>
          <w:lang w:val="es-CL"/>
        </w:rPr>
        <w:br w:type="page"/>
      </w:r>
    </w:p>
    <w:p w:rsidR="00A96257" w:rsidRPr="002C29AB" w:rsidRDefault="00A96257" w:rsidP="00A96257">
      <w:pPr>
        <w:rPr>
          <w:b/>
          <w:lang w:val="es-ES_tradnl"/>
        </w:rPr>
      </w:pPr>
      <w:r w:rsidRPr="002C29AB">
        <w:rPr>
          <w:b/>
          <w:lang w:val="es-ES_tradnl"/>
        </w:rPr>
        <w:lastRenderedPageBreak/>
        <w:t>Anexo 1C. Flujo de caja EDESUR</w:t>
      </w:r>
    </w:p>
    <w:p w:rsidR="00A96257" w:rsidRDefault="00A96257" w:rsidP="002A3933">
      <w:pPr>
        <w:rPr>
          <w:lang w:val="es-CL"/>
        </w:rPr>
      </w:pPr>
      <w:r w:rsidRPr="00A96257">
        <w:rPr>
          <w:noProof/>
        </w:rPr>
        <w:drawing>
          <wp:inline distT="0" distB="0" distL="0" distR="0" wp14:anchorId="4F15FCFF" wp14:editId="1997A1F3">
            <wp:extent cx="8229600" cy="4448358"/>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29600" cy="4448358"/>
                    </a:xfrm>
                    <a:prstGeom prst="rect">
                      <a:avLst/>
                    </a:prstGeom>
                    <a:noFill/>
                    <a:ln>
                      <a:noFill/>
                    </a:ln>
                  </pic:spPr>
                </pic:pic>
              </a:graphicData>
            </a:graphic>
          </wp:inline>
        </w:drawing>
      </w:r>
    </w:p>
    <w:p w:rsidR="00A96257" w:rsidRDefault="00A96257">
      <w:pPr>
        <w:spacing w:before="0" w:after="120"/>
        <w:rPr>
          <w:lang w:val="es-CL"/>
        </w:rPr>
      </w:pPr>
      <w:r>
        <w:rPr>
          <w:lang w:val="es-CL"/>
        </w:rPr>
        <w:br w:type="page"/>
      </w:r>
    </w:p>
    <w:p w:rsidR="00A96257" w:rsidRPr="002C29AB" w:rsidRDefault="00A96257" w:rsidP="00A96257">
      <w:pPr>
        <w:rPr>
          <w:b/>
          <w:lang w:val="es-ES_tradnl"/>
        </w:rPr>
      </w:pPr>
      <w:r w:rsidRPr="002C29AB">
        <w:rPr>
          <w:b/>
          <w:lang w:val="es-ES_tradnl"/>
        </w:rPr>
        <w:lastRenderedPageBreak/>
        <w:t>Anexo 1C. Flujo de caja EDEESTE</w:t>
      </w:r>
    </w:p>
    <w:p w:rsidR="00A96257" w:rsidRDefault="00A96257" w:rsidP="00A96257">
      <w:pPr>
        <w:rPr>
          <w:b/>
        </w:rPr>
      </w:pPr>
      <w:r w:rsidRPr="00A96257">
        <w:rPr>
          <w:noProof/>
        </w:rPr>
        <w:drawing>
          <wp:inline distT="0" distB="0" distL="0" distR="0" wp14:anchorId="095E49DD" wp14:editId="01445F4F">
            <wp:extent cx="8229600" cy="4448358"/>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29600" cy="4448358"/>
                    </a:xfrm>
                    <a:prstGeom prst="rect">
                      <a:avLst/>
                    </a:prstGeom>
                    <a:noFill/>
                    <a:ln>
                      <a:noFill/>
                    </a:ln>
                  </pic:spPr>
                </pic:pic>
              </a:graphicData>
            </a:graphic>
          </wp:inline>
        </w:drawing>
      </w:r>
    </w:p>
    <w:p w:rsidR="0027088F" w:rsidRPr="00CB17DC" w:rsidRDefault="0027088F" w:rsidP="002A3933">
      <w:pPr>
        <w:rPr>
          <w:lang w:val="es-CL"/>
        </w:rPr>
      </w:pPr>
    </w:p>
    <w:sectPr w:rsidR="0027088F" w:rsidRPr="00CB17DC" w:rsidSect="00A96257">
      <w:pgSz w:w="15840" w:h="12240" w:orient="landscape"/>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D5F" w:rsidRDefault="00CA2D5F" w:rsidP="006C3DA2">
      <w:pPr>
        <w:spacing w:before="0"/>
      </w:pPr>
      <w:r>
        <w:separator/>
      </w:r>
    </w:p>
  </w:endnote>
  <w:endnote w:type="continuationSeparator" w:id="0">
    <w:p w:rsidR="00CA2D5F" w:rsidRDefault="00CA2D5F" w:rsidP="006C3DA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732767"/>
      <w:docPartObj>
        <w:docPartGallery w:val="Page Numbers (Bottom of Page)"/>
        <w:docPartUnique/>
      </w:docPartObj>
    </w:sdtPr>
    <w:sdtEndPr>
      <w:rPr>
        <w:noProof/>
      </w:rPr>
    </w:sdtEndPr>
    <w:sdtContent>
      <w:p w:rsidR="004276B7" w:rsidRDefault="004276B7">
        <w:pPr>
          <w:pStyle w:val="Footer"/>
          <w:jc w:val="center"/>
        </w:pPr>
        <w:r>
          <w:fldChar w:fldCharType="begin"/>
        </w:r>
        <w:r>
          <w:instrText xml:space="preserve"> PAGE   \* MERGEFORMAT </w:instrText>
        </w:r>
        <w:r>
          <w:fldChar w:fldCharType="separate"/>
        </w:r>
        <w:r w:rsidR="00BE2794">
          <w:rPr>
            <w:noProof/>
          </w:rPr>
          <w:t>- 10 -</w:t>
        </w:r>
        <w:r>
          <w:rPr>
            <w:noProof/>
          </w:rPr>
          <w:fldChar w:fldCharType="end"/>
        </w:r>
      </w:p>
    </w:sdtContent>
  </w:sdt>
  <w:p w:rsidR="007D2DE5" w:rsidRDefault="007D2D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D5F" w:rsidRDefault="00CA2D5F" w:rsidP="006C3DA2">
      <w:pPr>
        <w:spacing w:before="0"/>
      </w:pPr>
      <w:r>
        <w:separator/>
      </w:r>
    </w:p>
  </w:footnote>
  <w:footnote w:type="continuationSeparator" w:id="0">
    <w:p w:rsidR="00CA2D5F" w:rsidRDefault="00CA2D5F" w:rsidP="006C3DA2">
      <w:pPr>
        <w:spacing w:before="0"/>
      </w:pPr>
      <w:r>
        <w:continuationSeparator/>
      </w:r>
    </w:p>
  </w:footnote>
  <w:footnote w:id="1">
    <w:p w:rsidR="003C361B" w:rsidRPr="0037059D" w:rsidRDefault="003C361B" w:rsidP="003C361B">
      <w:pPr>
        <w:pStyle w:val="FootnoteText"/>
        <w:ind w:left="720" w:hanging="720"/>
      </w:pPr>
      <w:r w:rsidRPr="00B934FC">
        <w:rPr>
          <w:rStyle w:val="FootnoteReference"/>
          <w:sz w:val="18"/>
        </w:rPr>
        <w:footnoteRef/>
      </w:r>
      <w:r w:rsidRPr="00B934FC">
        <w:rPr>
          <w:sz w:val="18"/>
        </w:rPr>
        <w:t xml:space="preserve"> </w:t>
      </w:r>
      <w:r>
        <w:rPr>
          <w:sz w:val="18"/>
        </w:rPr>
        <w:tab/>
      </w:r>
      <w:r w:rsidRPr="00545587">
        <w:rPr>
          <w:spacing w:val="-3"/>
          <w:sz w:val="18"/>
        </w:rPr>
        <w:t xml:space="preserve">Según informes de Comisión de Integración Energética Regional (CIER), San Salvador (Brasil), </w:t>
      </w:r>
      <w:proofErr w:type="spellStart"/>
      <w:r w:rsidRPr="00545587">
        <w:rPr>
          <w:spacing w:val="-3"/>
          <w:sz w:val="18"/>
        </w:rPr>
        <w:t>Electricaribe</w:t>
      </w:r>
      <w:proofErr w:type="spellEnd"/>
      <w:r w:rsidRPr="00545587">
        <w:rPr>
          <w:spacing w:val="-3"/>
          <w:sz w:val="18"/>
        </w:rPr>
        <w:t xml:space="preserve"> y </w:t>
      </w:r>
      <w:proofErr w:type="spellStart"/>
      <w:r w:rsidRPr="00545587">
        <w:rPr>
          <w:spacing w:val="-3"/>
          <w:sz w:val="18"/>
        </w:rPr>
        <w:t>Electrocosta</w:t>
      </w:r>
      <w:proofErr w:type="spellEnd"/>
      <w:r w:rsidRPr="00545587">
        <w:rPr>
          <w:spacing w:val="-3"/>
          <w:sz w:val="18"/>
        </w:rPr>
        <w:t xml:space="preserve"> (Costa Norte de Colombia), Tegucigalpa (Honduras) y Regiones del Norte y Sur de Chile son ejemplos de sistemas </w:t>
      </w:r>
      <w:r>
        <w:rPr>
          <w:spacing w:val="-3"/>
          <w:sz w:val="18"/>
        </w:rPr>
        <w:t xml:space="preserve">comparables con el sistema dominicano </w:t>
      </w:r>
      <w:r w:rsidRPr="00545587">
        <w:rPr>
          <w:spacing w:val="-3"/>
          <w:sz w:val="18"/>
        </w:rPr>
        <w:t>con</w:t>
      </w:r>
      <w:r>
        <w:rPr>
          <w:spacing w:val="-3"/>
          <w:sz w:val="18"/>
        </w:rPr>
        <w:t xml:space="preserve"> </w:t>
      </w:r>
      <w:r w:rsidRPr="00545587">
        <w:rPr>
          <w:spacing w:val="-3"/>
          <w:sz w:val="18"/>
        </w:rPr>
        <w:t xml:space="preserve">poca densidad, niveles socioeconómicos con capacidad de pago media o baja, presencia de marginalidad y dispersión que han alcanzado niveles de pérdidas totales </w:t>
      </w:r>
      <w:r>
        <w:rPr>
          <w:spacing w:val="-3"/>
          <w:sz w:val="18"/>
        </w:rPr>
        <w:t xml:space="preserve">que no superan el </w:t>
      </w:r>
      <w:r w:rsidRPr="00545587">
        <w:rPr>
          <w:spacing w:val="-3"/>
          <w:sz w:val="18"/>
        </w:rPr>
        <w:t>14%.</w:t>
      </w:r>
      <w:r>
        <w:rPr>
          <w:spacing w:val="-3"/>
          <w:sz w:val="18"/>
        </w:rPr>
        <w:t xml:space="preserve"> </w:t>
      </w:r>
      <w:r>
        <w:rPr>
          <w:sz w:val="18"/>
        </w:rPr>
        <w:t>Para esta</w:t>
      </w:r>
      <w:r w:rsidRPr="003F6F35">
        <w:rPr>
          <w:sz w:val="18"/>
        </w:rPr>
        <w:t xml:space="preserve">s </w:t>
      </w:r>
      <w:r>
        <w:rPr>
          <w:sz w:val="18"/>
        </w:rPr>
        <w:t>mismas empresas</w:t>
      </w:r>
      <w:r w:rsidRPr="003F6F35">
        <w:rPr>
          <w:sz w:val="18"/>
        </w:rPr>
        <w:t xml:space="preserve">, los niveles de CRI son superiores al 86%, lo cual implica cobranzas de, al menos, 95%.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6EA" w:rsidRDefault="000B66EA" w:rsidP="00355F25">
    <w:pPr>
      <w:pStyle w:val="Header"/>
      <w:ind w:left="72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B7FC9"/>
    <w:multiLevelType w:val="multilevel"/>
    <w:tmpl w:val="566CED7E"/>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rPr>
        <w:b w:val="0"/>
        <w:lang w:val="es-ES_tradnl"/>
      </w:r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1">
    <w:nsid w:val="0E0B6CF3"/>
    <w:multiLevelType w:val="hybridMultilevel"/>
    <w:tmpl w:val="7F2077CE"/>
    <w:lvl w:ilvl="0" w:tplc="8FF89194">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50533F"/>
    <w:multiLevelType w:val="hybridMultilevel"/>
    <w:tmpl w:val="10366544"/>
    <w:lvl w:ilvl="0" w:tplc="26A03E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2660ED"/>
    <w:multiLevelType w:val="multilevel"/>
    <w:tmpl w:val="E1F400A8"/>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nsid w:val="213B79E2"/>
    <w:multiLevelType w:val="hybridMultilevel"/>
    <w:tmpl w:val="A8A2F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3E6B89"/>
    <w:multiLevelType w:val="hybridMultilevel"/>
    <w:tmpl w:val="CFF2FB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134313"/>
    <w:multiLevelType w:val="hybridMultilevel"/>
    <w:tmpl w:val="2F72A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C4232B"/>
    <w:multiLevelType w:val="hybridMultilevel"/>
    <w:tmpl w:val="5448A330"/>
    <w:lvl w:ilvl="0" w:tplc="0E3C676A">
      <w:start w:val="1"/>
      <w:numFmt w:val="decimal"/>
      <w:pStyle w:val="Banknumbered"/>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7F0309"/>
    <w:multiLevelType w:val="hybridMultilevel"/>
    <w:tmpl w:val="79123298"/>
    <w:lvl w:ilvl="0" w:tplc="B44423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7C0072E"/>
    <w:multiLevelType w:val="singleLevel"/>
    <w:tmpl w:val="7F882BA0"/>
    <w:lvl w:ilvl="0">
      <w:start w:val="1"/>
      <w:numFmt w:val="bullet"/>
      <w:pStyle w:val="bullets"/>
      <w:lvlText w:val=""/>
      <w:lvlJc w:val="left"/>
      <w:pPr>
        <w:tabs>
          <w:tab w:val="num" w:pos="1296"/>
        </w:tabs>
        <w:ind w:left="1296" w:hanging="576"/>
      </w:pPr>
      <w:rPr>
        <w:rFonts w:ascii="Symbol" w:hAnsi="Symbol" w:hint="default"/>
      </w:rPr>
    </w:lvl>
  </w:abstractNum>
  <w:abstractNum w:abstractNumId="10">
    <w:nsid w:val="3B6674A1"/>
    <w:multiLevelType w:val="multilevel"/>
    <w:tmpl w:val="3DBE0026"/>
    <w:lvl w:ilvl="0">
      <w:start w:val="1"/>
      <w:numFmt w:val="decimal"/>
      <w:lvlText w:val="%1."/>
      <w:lvlJc w:val="right"/>
      <w:pPr>
        <w:ind w:left="720" w:hanging="360"/>
      </w:pPr>
      <w:rPr>
        <w:rFonts w:ascii="Times New Roman" w:hAnsi="Times New Roman" w:hint="default"/>
        <w:b w:val="0"/>
        <w:i w:val="0"/>
        <w:caps w:val="0"/>
        <w:strike w:val="0"/>
        <w:dstrike w:val="0"/>
        <w:vanish w:val="0"/>
        <w:sz w:val="24"/>
        <w:vertAlign w:val="baseline"/>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1">
    <w:nsid w:val="3C6E07F4"/>
    <w:multiLevelType w:val="singleLevel"/>
    <w:tmpl w:val="ED72EBE2"/>
    <w:lvl w:ilvl="0">
      <w:start w:val="1"/>
      <w:numFmt w:val="upperLetter"/>
      <w:lvlRestart w:val="0"/>
      <w:pStyle w:val="Heading2"/>
      <w:lvlText w:val="%1."/>
      <w:lvlJc w:val="left"/>
      <w:pPr>
        <w:tabs>
          <w:tab w:val="num" w:pos="720"/>
        </w:tabs>
        <w:ind w:left="720" w:hanging="720"/>
      </w:pPr>
      <w:rPr>
        <w:rFonts w:ascii="Times New Roman Bold" w:hAnsi="Times New Roman Bold" w:hint="default"/>
        <w:b/>
        <w:i w:val="0"/>
        <w:sz w:val="24"/>
      </w:rPr>
    </w:lvl>
  </w:abstractNum>
  <w:abstractNum w:abstractNumId="12">
    <w:nsid w:val="44621C98"/>
    <w:multiLevelType w:val="hybridMultilevel"/>
    <w:tmpl w:val="7A8E00B8"/>
    <w:lvl w:ilvl="0" w:tplc="E92E2C72">
      <w:start w:val="1"/>
      <w:numFmt w:val="upperRoman"/>
      <w:lvlText w:val="%1."/>
      <w:lvlJc w:val="right"/>
      <w:pPr>
        <w:ind w:left="720" w:hanging="360"/>
      </w:pPr>
      <w:rPr>
        <w:lang w:val="es-E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9D3AA7"/>
    <w:multiLevelType w:val="hybridMultilevel"/>
    <w:tmpl w:val="68841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3A22DF"/>
    <w:multiLevelType w:val="hybridMultilevel"/>
    <w:tmpl w:val="2124C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9923C8"/>
    <w:multiLevelType w:val="multilevel"/>
    <w:tmpl w:val="09D0DD06"/>
    <w:lvl w:ilvl="0">
      <w:start w:val="1"/>
      <w:numFmt w:val="upperRoman"/>
      <w:pStyle w:val="Heading1"/>
      <w:lvlText w:val="%1."/>
      <w:lvlJc w:val="center"/>
      <w:pPr>
        <w:tabs>
          <w:tab w:val="num" w:pos="360"/>
        </w:tabs>
        <w:ind w:left="288" w:hanging="288"/>
      </w:pPr>
      <w:rPr>
        <w:rFonts w:ascii="Times New Roman Bold" w:hAnsi="Times New Roman Bold" w:hint="default"/>
        <w:b/>
        <w:i w:val="0"/>
        <w:sz w:val="24"/>
      </w:rPr>
    </w:lvl>
    <w:lvl w:ilvl="1">
      <w:start w:val="1"/>
      <w:numFmt w:val="decimal"/>
      <w:pStyle w:val="AutoNumpara"/>
      <w:isLgl/>
      <w:lvlText w:val="%1.%2"/>
      <w:lvlJc w:val="left"/>
      <w:pPr>
        <w:tabs>
          <w:tab w:val="num" w:pos="720"/>
        </w:tabs>
        <w:ind w:left="720" w:hanging="720"/>
      </w:pPr>
      <w:rPr>
        <w:rFonts w:hint="default"/>
      </w:rPr>
    </w:lvl>
    <w:lvl w:ilvl="2">
      <w:start w:val="1"/>
      <w:numFmt w:val="lowerLetter"/>
      <w:lvlRestart w:val="0"/>
      <w:pStyle w:val="Heading4"/>
      <w:lvlText w:val="%3."/>
      <w:lvlJc w:val="left"/>
      <w:pPr>
        <w:tabs>
          <w:tab w:val="num" w:pos="1800"/>
        </w:tabs>
        <w:ind w:left="1800" w:hanging="360"/>
      </w:pPr>
      <w:rPr>
        <w:rFonts w:ascii="Times New Roman Bold" w:hAnsi="Times New Roman Bold" w:hint="default"/>
        <w:b/>
        <w:i w:val="0"/>
        <w:sz w:val="24"/>
      </w:rPr>
    </w:lvl>
    <w:lvl w:ilvl="3">
      <w:start w:val="1"/>
      <w:numFmt w:val="lowerRoman"/>
      <w:lvlRestart w:val="0"/>
      <w:pStyle w:val="Heading5"/>
      <w:lvlText w:val="(%4)"/>
      <w:lvlJc w:val="right"/>
      <w:pPr>
        <w:tabs>
          <w:tab w:val="num" w:pos="2088"/>
        </w:tabs>
        <w:ind w:left="2088" w:hanging="288"/>
      </w:pPr>
      <w:rPr>
        <w:rFonts w:ascii="Times New Roman Bold" w:hAnsi="Times New Roman Bold" w:hint="default"/>
        <w:b/>
        <w:i w:val="0"/>
        <w:sz w:val="24"/>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16">
    <w:nsid w:val="64A273CD"/>
    <w:multiLevelType w:val="hybridMultilevel"/>
    <w:tmpl w:val="B4A0E52E"/>
    <w:lvl w:ilvl="0" w:tplc="510CD0F4">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7A782029"/>
    <w:multiLevelType w:val="hybridMultilevel"/>
    <w:tmpl w:val="BA8660F0"/>
    <w:lvl w:ilvl="0" w:tplc="8AAA3B42">
      <w:start w:val="1"/>
      <w:numFmt w:val="upperLetter"/>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7"/>
  </w:num>
  <w:num w:numId="3">
    <w:abstractNumId w:val="3"/>
  </w:num>
  <w:num w:numId="4">
    <w:abstractNumId w:val="9"/>
  </w:num>
  <w:num w:numId="5">
    <w:abstractNumId w:val="11"/>
  </w:num>
  <w:num w:numId="6">
    <w:abstractNumId w:val="15"/>
  </w:num>
  <w:num w:numId="7">
    <w:abstractNumId w:val="0"/>
  </w:num>
  <w:num w:numId="8">
    <w:abstractNumId w:val="12"/>
  </w:num>
  <w:num w:numId="9">
    <w:abstractNumId w:val="10"/>
  </w:num>
  <w:num w:numId="10">
    <w:abstractNumId w:val="2"/>
  </w:num>
  <w:num w:numId="11">
    <w:abstractNumId w:val="17"/>
  </w:num>
  <w:num w:numId="12">
    <w:abstractNumId w:val="8"/>
  </w:num>
  <w:num w:numId="13">
    <w:abstractNumId w:val="4"/>
  </w:num>
  <w:num w:numId="14">
    <w:abstractNumId w:val="5"/>
  </w:num>
  <w:num w:numId="15">
    <w:abstractNumId w:val="13"/>
  </w:num>
  <w:num w:numId="16">
    <w:abstractNumId w:val="6"/>
  </w:num>
  <w:num w:numId="17">
    <w:abstractNumId w:val="7"/>
  </w:num>
  <w:num w:numId="18">
    <w:abstractNumId w:val="16"/>
  </w:num>
  <w:num w:numId="19">
    <w:abstractNumId w:val="14"/>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10E"/>
    <w:rsid w:val="00001538"/>
    <w:rsid w:val="00002ECC"/>
    <w:rsid w:val="000201C7"/>
    <w:rsid w:val="00023A22"/>
    <w:rsid w:val="000312EF"/>
    <w:rsid w:val="00044632"/>
    <w:rsid w:val="00054BD1"/>
    <w:rsid w:val="000754F3"/>
    <w:rsid w:val="000805D5"/>
    <w:rsid w:val="00082216"/>
    <w:rsid w:val="00085504"/>
    <w:rsid w:val="000926B0"/>
    <w:rsid w:val="0009357C"/>
    <w:rsid w:val="00093814"/>
    <w:rsid w:val="00095951"/>
    <w:rsid w:val="00096007"/>
    <w:rsid w:val="000A047E"/>
    <w:rsid w:val="000B66EA"/>
    <w:rsid w:val="000B6FDA"/>
    <w:rsid w:val="000C5CAE"/>
    <w:rsid w:val="000D4398"/>
    <w:rsid w:val="000F05BA"/>
    <w:rsid w:val="001038B2"/>
    <w:rsid w:val="0011597C"/>
    <w:rsid w:val="00125D5A"/>
    <w:rsid w:val="001415F6"/>
    <w:rsid w:val="00151B83"/>
    <w:rsid w:val="00153266"/>
    <w:rsid w:val="00166CE9"/>
    <w:rsid w:val="00174380"/>
    <w:rsid w:val="00174E6B"/>
    <w:rsid w:val="00184486"/>
    <w:rsid w:val="001A14B2"/>
    <w:rsid w:val="001A6B73"/>
    <w:rsid w:val="001C0B23"/>
    <w:rsid w:val="001C2CA6"/>
    <w:rsid w:val="001D63C1"/>
    <w:rsid w:val="001E05D9"/>
    <w:rsid w:val="001E5F6E"/>
    <w:rsid w:val="001F6222"/>
    <w:rsid w:val="001F7814"/>
    <w:rsid w:val="00204975"/>
    <w:rsid w:val="0021333B"/>
    <w:rsid w:val="00227420"/>
    <w:rsid w:val="00231F65"/>
    <w:rsid w:val="002325CA"/>
    <w:rsid w:val="00232ACF"/>
    <w:rsid w:val="00240383"/>
    <w:rsid w:val="00241BCA"/>
    <w:rsid w:val="00243433"/>
    <w:rsid w:val="002529B0"/>
    <w:rsid w:val="0027088F"/>
    <w:rsid w:val="002838B0"/>
    <w:rsid w:val="002864F8"/>
    <w:rsid w:val="00293B0F"/>
    <w:rsid w:val="002A2690"/>
    <w:rsid w:val="002A3933"/>
    <w:rsid w:val="002B2115"/>
    <w:rsid w:val="002B6C5A"/>
    <w:rsid w:val="002C05EE"/>
    <w:rsid w:val="002C29AB"/>
    <w:rsid w:val="002C75AA"/>
    <w:rsid w:val="002D4036"/>
    <w:rsid w:val="002D5EF5"/>
    <w:rsid w:val="002D602D"/>
    <w:rsid w:val="002D7D3B"/>
    <w:rsid w:val="002F272F"/>
    <w:rsid w:val="002F2EC8"/>
    <w:rsid w:val="0030590C"/>
    <w:rsid w:val="00313655"/>
    <w:rsid w:val="00343AF1"/>
    <w:rsid w:val="00346AB0"/>
    <w:rsid w:val="003545B2"/>
    <w:rsid w:val="00355F25"/>
    <w:rsid w:val="003663F5"/>
    <w:rsid w:val="0038301D"/>
    <w:rsid w:val="00387C12"/>
    <w:rsid w:val="00395EE8"/>
    <w:rsid w:val="003A1DD9"/>
    <w:rsid w:val="003A2AD4"/>
    <w:rsid w:val="003B38DD"/>
    <w:rsid w:val="003B599F"/>
    <w:rsid w:val="003C361B"/>
    <w:rsid w:val="003C6FB4"/>
    <w:rsid w:val="003D5311"/>
    <w:rsid w:val="003E1AB2"/>
    <w:rsid w:val="003E7456"/>
    <w:rsid w:val="004021D4"/>
    <w:rsid w:val="004276B7"/>
    <w:rsid w:val="00444E63"/>
    <w:rsid w:val="004659CE"/>
    <w:rsid w:val="0047097B"/>
    <w:rsid w:val="0047651F"/>
    <w:rsid w:val="00497572"/>
    <w:rsid w:val="004A3D33"/>
    <w:rsid w:val="004B0672"/>
    <w:rsid w:val="004B70E7"/>
    <w:rsid w:val="004C17C9"/>
    <w:rsid w:val="004C39F2"/>
    <w:rsid w:val="004C3F83"/>
    <w:rsid w:val="004F1BA9"/>
    <w:rsid w:val="004F322F"/>
    <w:rsid w:val="004F36E8"/>
    <w:rsid w:val="004F40DC"/>
    <w:rsid w:val="004F766D"/>
    <w:rsid w:val="00512B15"/>
    <w:rsid w:val="00514F4F"/>
    <w:rsid w:val="005167F0"/>
    <w:rsid w:val="00520C3A"/>
    <w:rsid w:val="00522A8F"/>
    <w:rsid w:val="0053016F"/>
    <w:rsid w:val="00547B3D"/>
    <w:rsid w:val="005870F5"/>
    <w:rsid w:val="00593914"/>
    <w:rsid w:val="005A510E"/>
    <w:rsid w:val="005A7BF1"/>
    <w:rsid w:val="005B36D5"/>
    <w:rsid w:val="005B6D2B"/>
    <w:rsid w:val="005C0B1F"/>
    <w:rsid w:val="005C3916"/>
    <w:rsid w:val="005C739A"/>
    <w:rsid w:val="006011E0"/>
    <w:rsid w:val="006116C9"/>
    <w:rsid w:val="00622B4F"/>
    <w:rsid w:val="0063131A"/>
    <w:rsid w:val="00636E9A"/>
    <w:rsid w:val="00661271"/>
    <w:rsid w:val="006676C0"/>
    <w:rsid w:val="00671C90"/>
    <w:rsid w:val="006960E9"/>
    <w:rsid w:val="006A0089"/>
    <w:rsid w:val="006A4BD6"/>
    <w:rsid w:val="006B0BAF"/>
    <w:rsid w:val="006B52BC"/>
    <w:rsid w:val="006C3DA2"/>
    <w:rsid w:val="006D6FF9"/>
    <w:rsid w:val="006E1676"/>
    <w:rsid w:val="006F4EF0"/>
    <w:rsid w:val="006F54C9"/>
    <w:rsid w:val="0070162A"/>
    <w:rsid w:val="007065C0"/>
    <w:rsid w:val="00710F1A"/>
    <w:rsid w:val="007243AF"/>
    <w:rsid w:val="00724DA7"/>
    <w:rsid w:val="00740103"/>
    <w:rsid w:val="00746CFA"/>
    <w:rsid w:val="00756383"/>
    <w:rsid w:val="00756567"/>
    <w:rsid w:val="0075702C"/>
    <w:rsid w:val="007648EC"/>
    <w:rsid w:val="00774C3B"/>
    <w:rsid w:val="0078068B"/>
    <w:rsid w:val="007B0E87"/>
    <w:rsid w:val="007B2D05"/>
    <w:rsid w:val="007D2DE5"/>
    <w:rsid w:val="007D67F9"/>
    <w:rsid w:val="007E297E"/>
    <w:rsid w:val="007F3A87"/>
    <w:rsid w:val="007F7C0D"/>
    <w:rsid w:val="008059B1"/>
    <w:rsid w:val="00812327"/>
    <w:rsid w:val="0082137F"/>
    <w:rsid w:val="00825452"/>
    <w:rsid w:val="0083276B"/>
    <w:rsid w:val="008334A4"/>
    <w:rsid w:val="008426E9"/>
    <w:rsid w:val="00850E6D"/>
    <w:rsid w:val="00855496"/>
    <w:rsid w:val="00856AFF"/>
    <w:rsid w:val="00860603"/>
    <w:rsid w:val="008667AA"/>
    <w:rsid w:val="00874C2C"/>
    <w:rsid w:val="00877177"/>
    <w:rsid w:val="008857A7"/>
    <w:rsid w:val="008A638D"/>
    <w:rsid w:val="008D0043"/>
    <w:rsid w:val="008D12C5"/>
    <w:rsid w:val="00904E5A"/>
    <w:rsid w:val="00905B97"/>
    <w:rsid w:val="00916851"/>
    <w:rsid w:val="009413E4"/>
    <w:rsid w:val="00946445"/>
    <w:rsid w:val="00946570"/>
    <w:rsid w:val="00952790"/>
    <w:rsid w:val="00954566"/>
    <w:rsid w:val="00976560"/>
    <w:rsid w:val="00980654"/>
    <w:rsid w:val="009A5F85"/>
    <w:rsid w:val="009B1534"/>
    <w:rsid w:val="009B214B"/>
    <w:rsid w:val="009B2551"/>
    <w:rsid w:val="009B7FDF"/>
    <w:rsid w:val="009D163A"/>
    <w:rsid w:val="009D61EB"/>
    <w:rsid w:val="00A0581D"/>
    <w:rsid w:val="00A36A52"/>
    <w:rsid w:val="00A435EC"/>
    <w:rsid w:val="00A458B5"/>
    <w:rsid w:val="00A51C58"/>
    <w:rsid w:val="00A54BE8"/>
    <w:rsid w:val="00A57DB3"/>
    <w:rsid w:val="00A60587"/>
    <w:rsid w:val="00A8115E"/>
    <w:rsid w:val="00A85FEB"/>
    <w:rsid w:val="00A93448"/>
    <w:rsid w:val="00A96257"/>
    <w:rsid w:val="00AA686E"/>
    <w:rsid w:val="00AA7AE5"/>
    <w:rsid w:val="00AA7DD2"/>
    <w:rsid w:val="00AB13EC"/>
    <w:rsid w:val="00AC59D4"/>
    <w:rsid w:val="00AD054B"/>
    <w:rsid w:val="00AD1366"/>
    <w:rsid w:val="00B11AC4"/>
    <w:rsid w:val="00B243CD"/>
    <w:rsid w:val="00B32299"/>
    <w:rsid w:val="00B36077"/>
    <w:rsid w:val="00B401A5"/>
    <w:rsid w:val="00B43262"/>
    <w:rsid w:val="00B44671"/>
    <w:rsid w:val="00B53778"/>
    <w:rsid w:val="00B72028"/>
    <w:rsid w:val="00B72980"/>
    <w:rsid w:val="00B87C5A"/>
    <w:rsid w:val="00BA46AE"/>
    <w:rsid w:val="00BC3631"/>
    <w:rsid w:val="00BC38B0"/>
    <w:rsid w:val="00BC5FD8"/>
    <w:rsid w:val="00BE2794"/>
    <w:rsid w:val="00BE5F08"/>
    <w:rsid w:val="00BF4750"/>
    <w:rsid w:val="00C071C4"/>
    <w:rsid w:val="00C147D7"/>
    <w:rsid w:val="00C15FEC"/>
    <w:rsid w:val="00C4397E"/>
    <w:rsid w:val="00C60D92"/>
    <w:rsid w:val="00C6443B"/>
    <w:rsid w:val="00C660DF"/>
    <w:rsid w:val="00C81B9C"/>
    <w:rsid w:val="00CA2D5F"/>
    <w:rsid w:val="00CA5E89"/>
    <w:rsid w:val="00CA6871"/>
    <w:rsid w:val="00CA760E"/>
    <w:rsid w:val="00CB17DC"/>
    <w:rsid w:val="00CB57F8"/>
    <w:rsid w:val="00CD12A1"/>
    <w:rsid w:val="00CE5A48"/>
    <w:rsid w:val="00CF48C3"/>
    <w:rsid w:val="00CF7221"/>
    <w:rsid w:val="00D066A0"/>
    <w:rsid w:val="00D30B84"/>
    <w:rsid w:val="00D32EBC"/>
    <w:rsid w:val="00D65865"/>
    <w:rsid w:val="00D7515F"/>
    <w:rsid w:val="00D7743D"/>
    <w:rsid w:val="00D8193F"/>
    <w:rsid w:val="00D826C7"/>
    <w:rsid w:val="00D91BEC"/>
    <w:rsid w:val="00DA247F"/>
    <w:rsid w:val="00DA6B3C"/>
    <w:rsid w:val="00DA7499"/>
    <w:rsid w:val="00DD13B6"/>
    <w:rsid w:val="00DD1BE6"/>
    <w:rsid w:val="00DD363D"/>
    <w:rsid w:val="00DE79A1"/>
    <w:rsid w:val="00DF2CA5"/>
    <w:rsid w:val="00E0531E"/>
    <w:rsid w:val="00E058E9"/>
    <w:rsid w:val="00E05B88"/>
    <w:rsid w:val="00E11E02"/>
    <w:rsid w:val="00E25CCC"/>
    <w:rsid w:val="00E47BEA"/>
    <w:rsid w:val="00E500D5"/>
    <w:rsid w:val="00E523FC"/>
    <w:rsid w:val="00E75E65"/>
    <w:rsid w:val="00E81E2B"/>
    <w:rsid w:val="00EA6F68"/>
    <w:rsid w:val="00EC1A81"/>
    <w:rsid w:val="00EC528C"/>
    <w:rsid w:val="00EC6D3C"/>
    <w:rsid w:val="00EE3731"/>
    <w:rsid w:val="00EE6446"/>
    <w:rsid w:val="00EF5EBB"/>
    <w:rsid w:val="00F13F2A"/>
    <w:rsid w:val="00F33A3D"/>
    <w:rsid w:val="00F43396"/>
    <w:rsid w:val="00F62B3B"/>
    <w:rsid w:val="00FA7E22"/>
    <w:rsid w:val="00FC3A7E"/>
    <w:rsid w:val="00FC6F29"/>
    <w:rsid w:val="00FD3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ind w:left="36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B23"/>
    <w:pPr>
      <w:spacing w:before="120" w:after="0"/>
    </w:pPr>
    <w:rPr>
      <w:rFonts w:ascii="Times New Roman" w:hAnsi="Times New Roman"/>
      <w:sz w:val="24"/>
    </w:rPr>
  </w:style>
  <w:style w:type="paragraph" w:styleId="Heading1">
    <w:name w:val="heading 1"/>
    <w:aliases w:val="Heading 1.I"/>
    <w:next w:val="Normal"/>
    <w:link w:val="Heading1Char"/>
    <w:qFormat/>
    <w:rsid w:val="00BE5F08"/>
    <w:pPr>
      <w:keepNext/>
      <w:numPr>
        <w:numId w:val="6"/>
      </w:numPr>
      <w:spacing w:before="240" w:after="240"/>
      <w:jc w:val="center"/>
      <w:outlineLvl w:val="0"/>
    </w:pPr>
    <w:rPr>
      <w:rFonts w:ascii="Times New Roman Bold" w:eastAsia="Times New Roman" w:hAnsi="Times New Roman Bold" w:cs="Times New Roman"/>
      <w:b/>
      <w:smallCaps/>
      <w:noProof/>
      <w:sz w:val="28"/>
      <w:szCs w:val="20"/>
    </w:rPr>
  </w:style>
  <w:style w:type="paragraph" w:styleId="Heading2">
    <w:name w:val="heading 2"/>
    <w:aliases w:val="Heading 2.A,Paranum"/>
    <w:next w:val="Normal"/>
    <w:link w:val="Heading2Char"/>
    <w:uiPriority w:val="99"/>
    <w:qFormat/>
    <w:rsid w:val="00BE5F08"/>
    <w:pPr>
      <w:keepNext/>
      <w:numPr>
        <w:numId w:val="5"/>
      </w:numPr>
      <w:spacing w:before="120"/>
      <w:outlineLvl w:val="1"/>
    </w:pPr>
    <w:rPr>
      <w:rFonts w:ascii="Times New Roman Bold" w:eastAsia="Times New Roman" w:hAnsi="Times New Roman Bold" w:cs="Times New Roman"/>
      <w:b/>
      <w:noProof/>
      <w:sz w:val="24"/>
      <w:szCs w:val="20"/>
    </w:rPr>
  </w:style>
  <w:style w:type="paragraph" w:styleId="Heading4">
    <w:name w:val="heading 4"/>
    <w:aliases w:val="Heading 4.a"/>
    <w:next w:val="Normal"/>
    <w:link w:val="Heading4Char"/>
    <w:qFormat/>
    <w:rsid w:val="00BE5F08"/>
    <w:pPr>
      <w:keepNext/>
      <w:numPr>
        <w:ilvl w:val="2"/>
        <w:numId w:val="6"/>
      </w:numPr>
      <w:tabs>
        <w:tab w:val="left" w:pos="1440"/>
      </w:tabs>
      <w:spacing w:before="120"/>
      <w:outlineLvl w:val="3"/>
    </w:pPr>
    <w:rPr>
      <w:rFonts w:ascii="Times New Roman Bold" w:eastAsia="Times New Roman" w:hAnsi="Times New Roman Bold" w:cs="Times New Roman"/>
      <w:b/>
      <w:noProof/>
      <w:sz w:val="24"/>
      <w:szCs w:val="20"/>
    </w:rPr>
  </w:style>
  <w:style w:type="paragraph" w:styleId="Heading5">
    <w:name w:val="heading 5"/>
    <w:aliases w:val="Heading 5.(i)"/>
    <w:next w:val="Normal"/>
    <w:link w:val="Heading5Char"/>
    <w:qFormat/>
    <w:rsid w:val="00BE5F08"/>
    <w:pPr>
      <w:keepNext/>
      <w:numPr>
        <w:ilvl w:val="3"/>
        <w:numId w:val="6"/>
      </w:numPr>
      <w:spacing w:before="120"/>
      <w:outlineLvl w:val="4"/>
    </w:pPr>
    <w:rPr>
      <w:rFonts w:ascii="Times New Roman Bold" w:eastAsia="Times New Roman" w:hAnsi="Times New Roman Bold" w:cs="Times New Roman"/>
      <w:b/>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umbered">
    <w:name w:val="Bank numbered"/>
    <w:link w:val="BanknumberedChar"/>
    <w:qFormat/>
    <w:rsid w:val="001C0B23"/>
    <w:pPr>
      <w:numPr>
        <w:numId w:val="2"/>
      </w:numPr>
      <w:spacing w:before="120" w:after="0"/>
    </w:pPr>
    <w:rPr>
      <w:rFonts w:ascii="Times New Roman" w:hAnsi="Times New Roman"/>
      <w:sz w:val="24"/>
      <w:szCs w:val="24"/>
    </w:rPr>
  </w:style>
  <w:style w:type="character" w:customStyle="1" w:styleId="BanknumberedChar">
    <w:name w:val="Bank numbered Char"/>
    <w:basedOn w:val="DefaultParagraphFont"/>
    <w:link w:val="Banknumbered"/>
    <w:rsid w:val="001C0B23"/>
    <w:rPr>
      <w:rFonts w:ascii="Times New Roman" w:hAnsi="Times New Roman"/>
      <w:sz w:val="24"/>
      <w:szCs w:val="24"/>
    </w:rPr>
  </w:style>
  <w:style w:type="paragraph" w:customStyle="1" w:styleId="Bullet">
    <w:name w:val="Bullet"/>
    <w:basedOn w:val="ListParagraph"/>
    <w:link w:val="BulletChar"/>
    <w:qFormat/>
    <w:rsid w:val="001C0B23"/>
    <w:pPr>
      <w:numPr>
        <w:numId w:val="1"/>
      </w:numPr>
      <w:contextualSpacing w:val="0"/>
    </w:pPr>
  </w:style>
  <w:style w:type="character" w:customStyle="1" w:styleId="BulletChar">
    <w:name w:val="Bullet Char"/>
    <w:basedOn w:val="DefaultParagraphFont"/>
    <w:link w:val="Bullet"/>
    <w:rsid w:val="001C0B23"/>
    <w:rPr>
      <w:rFonts w:ascii="Times New Roman" w:hAnsi="Times New Roman"/>
      <w:sz w:val="24"/>
    </w:rPr>
  </w:style>
  <w:style w:type="table" w:styleId="TableGrid">
    <w:name w:val="Table Grid"/>
    <w:basedOn w:val="TableNormal"/>
    <w:uiPriority w:val="59"/>
    <w:rsid w:val="001C0B23"/>
    <w:pPr>
      <w:spacing w:after="0"/>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0B23"/>
    <w:pPr>
      <w:ind w:left="720"/>
      <w:contextualSpacing/>
    </w:pPr>
  </w:style>
  <w:style w:type="paragraph" w:styleId="BalloonText">
    <w:name w:val="Balloon Text"/>
    <w:basedOn w:val="Normal"/>
    <w:link w:val="BalloonTextChar"/>
    <w:uiPriority w:val="99"/>
    <w:semiHidden/>
    <w:unhideWhenUsed/>
    <w:rsid w:val="001C0B2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B23"/>
    <w:rPr>
      <w:rFonts w:ascii="Tahoma" w:hAnsi="Tahoma" w:cs="Tahoma"/>
      <w:sz w:val="16"/>
      <w:szCs w:val="16"/>
    </w:rPr>
  </w:style>
  <w:style w:type="character" w:styleId="CommentReference">
    <w:name w:val="annotation reference"/>
    <w:basedOn w:val="DefaultParagraphFont"/>
    <w:uiPriority w:val="99"/>
    <w:semiHidden/>
    <w:unhideWhenUsed/>
    <w:rsid w:val="00856AFF"/>
    <w:rPr>
      <w:sz w:val="16"/>
      <w:szCs w:val="16"/>
    </w:rPr>
  </w:style>
  <w:style w:type="paragraph" w:styleId="CommentText">
    <w:name w:val="annotation text"/>
    <w:basedOn w:val="Normal"/>
    <w:link w:val="CommentTextChar"/>
    <w:uiPriority w:val="99"/>
    <w:semiHidden/>
    <w:unhideWhenUsed/>
    <w:rsid w:val="00856AFF"/>
    <w:rPr>
      <w:sz w:val="20"/>
      <w:szCs w:val="20"/>
    </w:rPr>
  </w:style>
  <w:style w:type="character" w:customStyle="1" w:styleId="CommentTextChar">
    <w:name w:val="Comment Text Char"/>
    <w:basedOn w:val="DefaultParagraphFont"/>
    <w:link w:val="CommentText"/>
    <w:uiPriority w:val="99"/>
    <w:semiHidden/>
    <w:rsid w:val="00856AF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56AFF"/>
    <w:rPr>
      <w:b/>
      <w:bCs/>
    </w:rPr>
  </w:style>
  <w:style w:type="character" w:customStyle="1" w:styleId="CommentSubjectChar">
    <w:name w:val="Comment Subject Char"/>
    <w:basedOn w:val="CommentTextChar"/>
    <w:link w:val="CommentSubject"/>
    <w:uiPriority w:val="99"/>
    <w:semiHidden/>
    <w:rsid w:val="00856AFF"/>
    <w:rPr>
      <w:rFonts w:ascii="Times New Roman" w:hAnsi="Times New Roman"/>
      <w:b/>
      <w:bCs/>
      <w:sz w:val="20"/>
      <w:szCs w:val="20"/>
    </w:rPr>
  </w:style>
  <w:style w:type="paragraph" w:customStyle="1" w:styleId="ColorfulList-Accent11">
    <w:name w:val="Colorful List - Accent 11"/>
    <w:basedOn w:val="Normal"/>
    <w:link w:val="ColorfulList-Accent1Char"/>
    <w:uiPriority w:val="34"/>
    <w:qFormat/>
    <w:rsid w:val="006011E0"/>
    <w:pPr>
      <w:spacing w:before="0"/>
      <w:ind w:left="720"/>
      <w:contextualSpacing/>
    </w:pPr>
    <w:rPr>
      <w:rFonts w:ascii="Calibri" w:eastAsia="Calibri" w:hAnsi="Calibri" w:cs="Times New Roman"/>
      <w:sz w:val="22"/>
      <w:lang w:val="es-ES_tradnl"/>
    </w:rPr>
  </w:style>
  <w:style w:type="paragraph" w:customStyle="1" w:styleId="Newpage">
    <w:name w:val="Newpage"/>
    <w:basedOn w:val="Normal"/>
    <w:rsid w:val="006011E0"/>
    <w:pPr>
      <w:tabs>
        <w:tab w:val="left" w:pos="1440"/>
        <w:tab w:val="left" w:pos="3060"/>
      </w:tabs>
      <w:spacing w:before="0"/>
      <w:jc w:val="center"/>
    </w:pPr>
    <w:rPr>
      <w:rFonts w:eastAsia="Times New Roman" w:cs="Arial"/>
      <w:b/>
      <w:smallCaps/>
      <w:spacing w:val="-3"/>
      <w:szCs w:val="20"/>
      <w:lang w:val="es-ES_tradnl"/>
    </w:rPr>
  </w:style>
  <w:style w:type="character" w:customStyle="1" w:styleId="ColorfulList-Accent1Char">
    <w:name w:val="Colorful List - Accent 1 Char"/>
    <w:link w:val="ColorfulList-Accent11"/>
    <w:uiPriority w:val="34"/>
    <w:rsid w:val="006011E0"/>
    <w:rPr>
      <w:rFonts w:ascii="Calibri" w:eastAsia="Calibri" w:hAnsi="Calibri" w:cs="Times New Roman"/>
      <w:lang w:val="es-ES_tradnl"/>
    </w:rPr>
  </w:style>
  <w:style w:type="paragraph" w:customStyle="1" w:styleId="bullets">
    <w:name w:val="bullets"/>
    <w:rsid w:val="006011E0"/>
    <w:pPr>
      <w:numPr>
        <w:numId w:val="4"/>
      </w:numPr>
      <w:spacing w:before="120"/>
    </w:pPr>
    <w:rPr>
      <w:rFonts w:ascii="Times New Roman" w:eastAsia="Times New Roman" w:hAnsi="Times New Roman" w:cs="Times New Roman"/>
      <w:spacing w:val="-2"/>
      <w:sz w:val="24"/>
      <w:szCs w:val="20"/>
    </w:rPr>
  </w:style>
  <w:style w:type="character" w:customStyle="1" w:styleId="Heading1Char">
    <w:name w:val="Heading 1 Char"/>
    <w:aliases w:val="Heading 1.I Char"/>
    <w:basedOn w:val="DefaultParagraphFont"/>
    <w:link w:val="Heading1"/>
    <w:rsid w:val="00BE5F08"/>
    <w:rPr>
      <w:rFonts w:ascii="Times New Roman Bold" w:eastAsia="Times New Roman" w:hAnsi="Times New Roman Bold" w:cs="Times New Roman"/>
      <w:b/>
      <w:smallCaps/>
      <w:noProof/>
      <w:sz w:val="28"/>
      <w:szCs w:val="20"/>
    </w:rPr>
  </w:style>
  <w:style w:type="character" w:customStyle="1" w:styleId="Heading2Char">
    <w:name w:val="Heading 2 Char"/>
    <w:aliases w:val="Heading 2.A Char,Paranum Char"/>
    <w:basedOn w:val="DefaultParagraphFont"/>
    <w:link w:val="Heading2"/>
    <w:uiPriority w:val="99"/>
    <w:rsid w:val="00BE5F08"/>
    <w:rPr>
      <w:rFonts w:ascii="Times New Roman Bold" w:eastAsia="Times New Roman" w:hAnsi="Times New Roman Bold" w:cs="Times New Roman"/>
      <w:b/>
      <w:noProof/>
      <w:sz w:val="24"/>
      <w:szCs w:val="20"/>
    </w:rPr>
  </w:style>
  <w:style w:type="character" w:customStyle="1" w:styleId="Heading4Char">
    <w:name w:val="Heading 4 Char"/>
    <w:aliases w:val="Heading 4.a Char"/>
    <w:basedOn w:val="DefaultParagraphFont"/>
    <w:link w:val="Heading4"/>
    <w:rsid w:val="00BE5F08"/>
    <w:rPr>
      <w:rFonts w:ascii="Times New Roman Bold" w:eastAsia="Times New Roman" w:hAnsi="Times New Roman Bold" w:cs="Times New Roman"/>
      <w:b/>
      <w:noProof/>
      <w:sz w:val="24"/>
      <w:szCs w:val="20"/>
    </w:rPr>
  </w:style>
  <w:style w:type="character" w:customStyle="1" w:styleId="Heading5Char">
    <w:name w:val="Heading 5 Char"/>
    <w:aliases w:val="Heading 5.(i) Char"/>
    <w:basedOn w:val="DefaultParagraphFont"/>
    <w:link w:val="Heading5"/>
    <w:rsid w:val="00BE5F08"/>
    <w:rPr>
      <w:rFonts w:ascii="Times New Roman Bold" w:eastAsia="Times New Roman" w:hAnsi="Times New Roman Bold" w:cs="Times New Roman"/>
      <w:b/>
      <w:noProof/>
      <w:sz w:val="24"/>
      <w:szCs w:val="20"/>
    </w:rPr>
  </w:style>
  <w:style w:type="paragraph" w:customStyle="1" w:styleId="AutoNumpara">
    <w:name w:val="AutoNumpara"/>
    <w:basedOn w:val="BodyTextIndent"/>
    <w:rsid w:val="00BE5F08"/>
    <w:pPr>
      <w:numPr>
        <w:ilvl w:val="1"/>
        <w:numId w:val="6"/>
      </w:numPr>
    </w:pPr>
    <w:rPr>
      <w:rFonts w:eastAsia="Times New Roman" w:cs="Times New Roman"/>
      <w:noProof/>
      <w:spacing w:val="-2"/>
      <w:szCs w:val="20"/>
      <w:lang w:val="es-ES_tradnl"/>
    </w:rPr>
  </w:style>
  <w:style w:type="paragraph" w:styleId="BodyTextIndent">
    <w:name w:val="Body Text Indent"/>
    <w:basedOn w:val="Normal"/>
    <w:link w:val="BodyTextIndentChar"/>
    <w:uiPriority w:val="99"/>
    <w:semiHidden/>
    <w:unhideWhenUsed/>
    <w:rsid w:val="00BE5F08"/>
    <w:pPr>
      <w:spacing w:after="120"/>
    </w:pPr>
  </w:style>
  <w:style w:type="character" w:customStyle="1" w:styleId="BodyTextIndentChar">
    <w:name w:val="Body Text Indent Char"/>
    <w:basedOn w:val="DefaultParagraphFont"/>
    <w:link w:val="BodyTextIndent"/>
    <w:uiPriority w:val="99"/>
    <w:semiHidden/>
    <w:rsid w:val="00BE5F08"/>
    <w:rPr>
      <w:rFonts w:ascii="Times New Roman" w:hAnsi="Times New Roman"/>
      <w:sz w:val="24"/>
    </w:rPr>
  </w:style>
  <w:style w:type="paragraph" w:styleId="FootnoteText">
    <w:name w:val="footnote text"/>
    <w:aliases w:val="fn,Texto de rodapé,nota_rodapé,nota de rodapé,FOOTNOTES,single space,footnote text,Footnote Text Char Char,Footnote text Char Char,Footnote text,foottextfra,footnote,ADB,foottextf,F,Style 25"/>
    <w:basedOn w:val="Normal"/>
    <w:link w:val="FootnoteTextChar"/>
    <w:uiPriority w:val="99"/>
    <w:rsid w:val="006C3DA2"/>
    <w:pPr>
      <w:spacing w:before="0"/>
    </w:pPr>
    <w:rPr>
      <w:rFonts w:eastAsia="Times New Roman" w:cs="Times New Roman"/>
      <w:sz w:val="20"/>
      <w:szCs w:val="20"/>
      <w:lang w:val="es-ES_tradnl"/>
    </w:rPr>
  </w:style>
  <w:style w:type="character" w:customStyle="1" w:styleId="FootnoteTextChar">
    <w:name w:val="Footnote Text Char"/>
    <w:aliases w:val="fn Char,Texto de rodapé Char,nota_rodapé Char,nota de rodapé Char,FOOTNOTES Char,single space Char,footnote text Char,Footnote Text Char Char Char,Footnote text Char Char Char,Footnote text Char,foottextfra Char,footnote Char,ADB Char"/>
    <w:basedOn w:val="DefaultParagraphFont"/>
    <w:link w:val="FootnoteText"/>
    <w:uiPriority w:val="99"/>
    <w:rsid w:val="006C3DA2"/>
    <w:rPr>
      <w:rFonts w:ascii="Times New Roman" w:eastAsia="Times New Roman" w:hAnsi="Times New Roman" w:cs="Times New Roman"/>
      <w:sz w:val="20"/>
      <w:szCs w:val="20"/>
      <w:lang w:val="es-ES_tradnl"/>
    </w:rPr>
  </w:style>
  <w:style w:type="character" w:styleId="FootnoteReference">
    <w:name w:val="footnote reference"/>
    <w:aliases w:val="Footnote Referencefra,FC"/>
    <w:semiHidden/>
    <w:rsid w:val="006C3DA2"/>
    <w:rPr>
      <w:vertAlign w:val="superscript"/>
    </w:rPr>
  </w:style>
  <w:style w:type="paragraph" w:styleId="Header">
    <w:name w:val="header"/>
    <w:basedOn w:val="Normal"/>
    <w:link w:val="HeaderChar"/>
    <w:uiPriority w:val="99"/>
    <w:unhideWhenUsed/>
    <w:rsid w:val="000F05BA"/>
    <w:pPr>
      <w:tabs>
        <w:tab w:val="center" w:pos="4680"/>
        <w:tab w:val="right" w:pos="9360"/>
      </w:tabs>
      <w:spacing w:before="0"/>
    </w:pPr>
  </w:style>
  <w:style w:type="character" w:customStyle="1" w:styleId="HeaderChar">
    <w:name w:val="Header Char"/>
    <w:basedOn w:val="DefaultParagraphFont"/>
    <w:link w:val="Header"/>
    <w:uiPriority w:val="99"/>
    <w:rsid w:val="000F05BA"/>
    <w:rPr>
      <w:rFonts w:ascii="Times New Roman" w:hAnsi="Times New Roman"/>
      <w:sz w:val="24"/>
    </w:rPr>
  </w:style>
  <w:style w:type="paragraph" w:styleId="Footer">
    <w:name w:val="footer"/>
    <w:basedOn w:val="Normal"/>
    <w:link w:val="FooterChar"/>
    <w:uiPriority w:val="99"/>
    <w:unhideWhenUsed/>
    <w:rsid w:val="000F05BA"/>
    <w:pPr>
      <w:tabs>
        <w:tab w:val="center" w:pos="4680"/>
        <w:tab w:val="right" w:pos="9360"/>
      </w:tabs>
      <w:spacing w:before="0"/>
    </w:pPr>
  </w:style>
  <w:style w:type="character" w:customStyle="1" w:styleId="FooterChar">
    <w:name w:val="Footer Char"/>
    <w:basedOn w:val="DefaultParagraphFont"/>
    <w:link w:val="Footer"/>
    <w:uiPriority w:val="99"/>
    <w:rsid w:val="000F05BA"/>
    <w:rPr>
      <w:rFonts w:ascii="Times New Roman" w:hAnsi="Times New Roman"/>
      <w:sz w:val="24"/>
    </w:rPr>
  </w:style>
  <w:style w:type="paragraph" w:styleId="EndnoteText">
    <w:name w:val="endnote text"/>
    <w:basedOn w:val="Normal"/>
    <w:link w:val="EndnoteTextChar"/>
    <w:uiPriority w:val="99"/>
    <w:semiHidden/>
    <w:unhideWhenUsed/>
    <w:rsid w:val="000F05BA"/>
    <w:pPr>
      <w:spacing w:before="0"/>
    </w:pPr>
    <w:rPr>
      <w:sz w:val="20"/>
      <w:szCs w:val="20"/>
    </w:rPr>
  </w:style>
  <w:style w:type="character" w:customStyle="1" w:styleId="EndnoteTextChar">
    <w:name w:val="Endnote Text Char"/>
    <w:basedOn w:val="DefaultParagraphFont"/>
    <w:link w:val="EndnoteText"/>
    <w:uiPriority w:val="99"/>
    <w:semiHidden/>
    <w:rsid w:val="000F05BA"/>
    <w:rPr>
      <w:rFonts w:ascii="Times New Roman" w:hAnsi="Times New Roman"/>
      <w:sz w:val="20"/>
      <w:szCs w:val="20"/>
    </w:rPr>
  </w:style>
  <w:style w:type="character" w:styleId="EndnoteReference">
    <w:name w:val="endnote reference"/>
    <w:basedOn w:val="DefaultParagraphFont"/>
    <w:uiPriority w:val="99"/>
    <w:semiHidden/>
    <w:unhideWhenUsed/>
    <w:rsid w:val="000F05BA"/>
    <w:rPr>
      <w:vertAlign w:val="superscript"/>
    </w:rPr>
  </w:style>
  <w:style w:type="paragraph" w:customStyle="1" w:styleId="Chapter">
    <w:name w:val="Chapter"/>
    <w:basedOn w:val="Normal"/>
    <w:next w:val="Normal"/>
    <w:uiPriority w:val="99"/>
    <w:rsid w:val="008D0043"/>
    <w:pPr>
      <w:numPr>
        <w:numId w:val="7"/>
      </w:numPr>
      <w:tabs>
        <w:tab w:val="left" w:pos="1440"/>
      </w:tabs>
      <w:spacing w:before="240" w:after="240"/>
      <w:jc w:val="center"/>
    </w:pPr>
    <w:rPr>
      <w:rFonts w:eastAsia="Times New Roman" w:cs="Times New Roman"/>
      <w:b/>
      <w:smallCaps/>
      <w:szCs w:val="20"/>
      <w:lang w:val="es-ES"/>
    </w:rPr>
  </w:style>
  <w:style w:type="paragraph" w:customStyle="1" w:styleId="Paragraph">
    <w:name w:val="Paragraph"/>
    <w:aliases w:val="paragraph,p,PARAGRAPH,PG,pa,at"/>
    <w:basedOn w:val="BodyTextIndent"/>
    <w:uiPriority w:val="99"/>
    <w:rsid w:val="008D0043"/>
    <w:pPr>
      <w:numPr>
        <w:ilvl w:val="1"/>
        <w:numId w:val="7"/>
      </w:numPr>
      <w:outlineLvl w:val="1"/>
    </w:pPr>
    <w:rPr>
      <w:rFonts w:eastAsia="Times New Roman" w:cs="Times New Roman"/>
      <w:szCs w:val="20"/>
      <w:lang w:val="es-ES"/>
    </w:rPr>
  </w:style>
  <w:style w:type="paragraph" w:customStyle="1" w:styleId="subpar">
    <w:name w:val="subpar"/>
    <w:basedOn w:val="BodyTextIndent3"/>
    <w:uiPriority w:val="99"/>
    <w:rsid w:val="008D0043"/>
    <w:pPr>
      <w:numPr>
        <w:ilvl w:val="2"/>
        <w:numId w:val="7"/>
      </w:numPr>
      <w:outlineLvl w:val="2"/>
    </w:pPr>
    <w:rPr>
      <w:rFonts w:eastAsia="Times New Roman" w:cs="Times New Roman"/>
      <w:sz w:val="24"/>
      <w:szCs w:val="20"/>
      <w:lang w:val="es-ES_tradnl"/>
    </w:rPr>
  </w:style>
  <w:style w:type="paragraph" w:customStyle="1" w:styleId="SubSubPar">
    <w:name w:val="SubSubPar"/>
    <w:basedOn w:val="subpar"/>
    <w:uiPriority w:val="99"/>
    <w:rsid w:val="008D0043"/>
    <w:pPr>
      <w:numPr>
        <w:ilvl w:val="3"/>
      </w:numPr>
      <w:tabs>
        <w:tab w:val="left" w:pos="0"/>
      </w:tabs>
    </w:pPr>
  </w:style>
  <w:style w:type="paragraph" w:styleId="BodyTextIndent3">
    <w:name w:val="Body Text Indent 3"/>
    <w:basedOn w:val="Normal"/>
    <w:link w:val="BodyTextIndent3Char"/>
    <w:uiPriority w:val="99"/>
    <w:semiHidden/>
    <w:unhideWhenUsed/>
    <w:rsid w:val="008D0043"/>
    <w:pPr>
      <w:spacing w:after="120"/>
    </w:pPr>
    <w:rPr>
      <w:sz w:val="16"/>
      <w:szCs w:val="16"/>
    </w:rPr>
  </w:style>
  <w:style w:type="character" w:customStyle="1" w:styleId="BodyTextIndent3Char">
    <w:name w:val="Body Text Indent 3 Char"/>
    <w:basedOn w:val="DefaultParagraphFont"/>
    <w:link w:val="BodyTextIndent3"/>
    <w:uiPriority w:val="99"/>
    <w:semiHidden/>
    <w:rsid w:val="008D0043"/>
    <w:rPr>
      <w:rFonts w:ascii="Times New Roman" w:hAnsi="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ind w:left="36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B23"/>
    <w:pPr>
      <w:spacing w:before="120" w:after="0"/>
    </w:pPr>
    <w:rPr>
      <w:rFonts w:ascii="Times New Roman" w:hAnsi="Times New Roman"/>
      <w:sz w:val="24"/>
    </w:rPr>
  </w:style>
  <w:style w:type="paragraph" w:styleId="Heading1">
    <w:name w:val="heading 1"/>
    <w:aliases w:val="Heading 1.I"/>
    <w:next w:val="Normal"/>
    <w:link w:val="Heading1Char"/>
    <w:qFormat/>
    <w:rsid w:val="00BE5F08"/>
    <w:pPr>
      <w:keepNext/>
      <w:numPr>
        <w:numId w:val="6"/>
      </w:numPr>
      <w:spacing w:before="240" w:after="240"/>
      <w:jc w:val="center"/>
      <w:outlineLvl w:val="0"/>
    </w:pPr>
    <w:rPr>
      <w:rFonts w:ascii="Times New Roman Bold" w:eastAsia="Times New Roman" w:hAnsi="Times New Roman Bold" w:cs="Times New Roman"/>
      <w:b/>
      <w:smallCaps/>
      <w:noProof/>
      <w:sz w:val="28"/>
      <w:szCs w:val="20"/>
    </w:rPr>
  </w:style>
  <w:style w:type="paragraph" w:styleId="Heading2">
    <w:name w:val="heading 2"/>
    <w:aliases w:val="Heading 2.A,Paranum"/>
    <w:next w:val="Normal"/>
    <w:link w:val="Heading2Char"/>
    <w:uiPriority w:val="99"/>
    <w:qFormat/>
    <w:rsid w:val="00BE5F08"/>
    <w:pPr>
      <w:keepNext/>
      <w:numPr>
        <w:numId w:val="5"/>
      </w:numPr>
      <w:spacing w:before="120"/>
      <w:outlineLvl w:val="1"/>
    </w:pPr>
    <w:rPr>
      <w:rFonts w:ascii="Times New Roman Bold" w:eastAsia="Times New Roman" w:hAnsi="Times New Roman Bold" w:cs="Times New Roman"/>
      <w:b/>
      <w:noProof/>
      <w:sz w:val="24"/>
      <w:szCs w:val="20"/>
    </w:rPr>
  </w:style>
  <w:style w:type="paragraph" w:styleId="Heading4">
    <w:name w:val="heading 4"/>
    <w:aliases w:val="Heading 4.a"/>
    <w:next w:val="Normal"/>
    <w:link w:val="Heading4Char"/>
    <w:qFormat/>
    <w:rsid w:val="00BE5F08"/>
    <w:pPr>
      <w:keepNext/>
      <w:numPr>
        <w:ilvl w:val="2"/>
        <w:numId w:val="6"/>
      </w:numPr>
      <w:tabs>
        <w:tab w:val="left" w:pos="1440"/>
      </w:tabs>
      <w:spacing w:before="120"/>
      <w:outlineLvl w:val="3"/>
    </w:pPr>
    <w:rPr>
      <w:rFonts w:ascii="Times New Roman Bold" w:eastAsia="Times New Roman" w:hAnsi="Times New Roman Bold" w:cs="Times New Roman"/>
      <w:b/>
      <w:noProof/>
      <w:sz w:val="24"/>
      <w:szCs w:val="20"/>
    </w:rPr>
  </w:style>
  <w:style w:type="paragraph" w:styleId="Heading5">
    <w:name w:val="heading 5"/>
    <w:aliases w:val="Heading 5.(i)"/>
    <w:next w:val="Normal"/>
    <w:link w:val="Heading5Char"/>
    <w:qFormat/>
    <w:rsid w:val="00BE5F08"/>
    <w:pPr>
      <w:keepNext/>
      <w:numPr>
        <w:ilvl w:val="3"/>
        <w:numId w:val="6"/>
      </w:numPr>
      <w:spacing w:before="120"/>
      <w:outlineLvl w:val="4"/>
    </w:pPr>
    <w:rPr>
      <w:rFonts w:ascii="Times New Roman Bold" w:eastAsia="Times New Roman" w:hAnsi="Times New Roman Bold" w:cs="Times New Roman"/>
      <w:b/>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umbered">
    <w:name w:val="Bank numbered"/>
    <w:link w:val="BanknumberedChar"/>
    <w:qFormat/>
    <w:rsid w:val="001C0B23"/>
    <w:pPr>
      <w:numPr>
        <w:numId w:val="2"/>
      </w:numPr>
      <w:spacing w:before="120" w:after="0"/>
    </w:pPr>
    <w:rPr>
      <w:rFonts w:ascii="Times New Roman" w:hAnsi="Times New Roman"/>
      <w:sz w:val="24"/>
      <w:szCs w:val="24"/>
    </w:rPr>
  </w:style>
  <w:style w:type="character" w:customStyle="1" w:styleId="BanknumberedChar">
    <w:name w:val="Bank numbered Char"/>
    <w:basedOn w:val="DefaultParagraphFont"/>
    <w:link w:val="Banknumbered"/>
    <w:rsid w:val="001C0B23"/>
    <w:rPr>
      <w:rFonts w:ascii="Times New Roman" w:hAnsi="Times New Roman"/>
      <w:sz w:val="24"/>
      <w:szCs w:val="24"/>
    </w:rPr>
  </w:style>
  <w:style w:type="paragraph" w:customStyle="1" w:styleId="Bullet">
    <w:name w:val="Bullet"/>
    <w:basedOn w:val="ListParagraph"/>
    <w:link w:val="BulletChar"/>
    <w:qFormat/>
    <w:rsid w:val="001C0B23"/>
    <w:pPr>
      <w:numPr>
        <w:numId w:val="1"/>
      </w:numPr>
      <w:contextualSpacing w:val="0"/>
    </w:pPr>
  </w:style>
  <w:style w:type="character" w:customStyle="1" w:styleId="BulletChar">
    <w:name w:val="Bullet Char"/>
    <w:basedOn w:val="DefaultParagraphFont"/>
    <w:link w:val="Bullet"/>
    <w:rsid w:val="001C0B23"/>
    <w:rPr>
      <w:rFonts w:ascii="Times New Roman" w:hAnsi="Times New Roman"/>
      <w:sz w:val="24"/>
    </w:rPr>
  </w:style>
  <w:style w:type="table" w:styleId="TableGrid">
    <w:name w:val="Table Grid"/>
    <w:basedOn w:val="TableNormal"/>
    <w:uiPriority w:val="59"/>
    <w:rsid w:val="001C0B23"/>
    <w:pPr>
      <w:spacing w:after="0"/>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0B23"/>
    <w:pPr>
      <w:ind w:left="720"/>
      <w:contextualSpacing/>
    </w:pPr>
  </w:style>
  <w:style w:type="paragraph" w:styleId="BalloonText">
    <w:name w:val="Balloon Text"/>
    <w:basedOn w:val="Normal"/>
    <w:link w:val="BalloonTextChar"/>
    <w:uiPriority w:val="99"/>
    <w:semiHidden/>
    <w:unhideWhenUsed/>
    <w:rsid w:val="001C0B2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B23"/>
    <w:rPr>
      <w:rFonts w:ascii="Tahoma" w:hAnsi="Tahoma" w:cs="Tahoma"/>
      <w:sz w:val="16"/>
      <w:szCs w:val="16"/>
    </w:rPr>
  </w:style>
  <w:style w:type="character" w:styleId="CommentReference">
    <w:name w:val="annotation reference"/>
    <w:basedOn w:val="DefaultParagraphFont"/>
    <w:uiPriority w:val="99"/>
    <w:semiHidden/>
    <w:unhideWhenUsed/>
    <w:rsid w:val="00856AFF"/>
    <w:rPr>
      <w:sz w:val="16"/>
      <w:szCs w:val="16"/>
    </w:rPr>
  </w:style>
  <w:style w:type="paragraph" w:styleId="CommentText">
    <w:name w:val="annotation text"/>
    <w:basedOn w:val="Normal"/>
    <w:link w:val="CommentTextChar"/>
    <w:uiPriority w:val="99"/>
    <w:semiHidden/>
    <w:unhideWhenUsed/>
    <w:rsid w:val="00856AFF"/>
    <w:rPr>
      <w:sz w:val="20"/>
      <w:szCs w:val="20"/>
    </w:rPr>
  </w:style>
  <w:style w:type="character" w:customStyle="1" w:styleId="CommentTextChar">
    <w:name w:val="Comment Text Char"/>
    <w:basedOn w:val="DefaultParagraphFont"/>
    <w:link w:val="CommentText"/>
    <w:uiPriority w:val="99"/>
    <w:semiHidden/>
    <w:rsid w:val="00856AF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56AFF"/>
    <w:rPr>
      <w:b/>
      <w:bCs/>
    </w:rPr>
  </w:style>
  <w:style w:type="character" w:customStyle="1" w:styleId="CommentSubjectChar">
    <w:name w:val="Comment Subject Char"/>
    <w:basedOn w:val="CommentTextChar"/>
    <w:link w:val="CommentSubject"/>
    <w:uiPriority w:val="99"/>
    <w:semiHidden/>
    <w:rsid w:val="00856AFF"/>
    <w:rPr>
      <w:rFonts w:ascii="Times New Roman" w:hAnsi="Times New Roman"/>
      <w:b/>
      <w:bCs/>
      <w:sz w:val="20"/>
      <w:szCs w:val="20"/>
    </w:rPr>
  </w:style>
  <w:style w:type="paragraph" w:customStyle="1" w:styleId="ColorfulList-Accent11">
    <w:name w:val="Colorful List - Accent 11"/>
    <w:basedOn w:val="Normal"/>
    <w:link w:val="ColorfulList-Accent1Char"/>
    <w:uiPriority w:val="34"/>
    <w:qFormat/>
    <w:rsid w:val="006011E0"/>
    <w:pPr>
      <w:spacing w:before="0"/>
      <w:ind w:left="720"/>
      <w:contextualSpacing/>
    </w:pPr>
    <w:rPr>
      <w:rFonts w:ascii="Calibri" w:eastAsia="Calibri" w:hAnsi="Calibri" w:cs="Times New Roman"/>
      <w:sz w:val="22"/>
      <w:lang w:val="es-ES_tradnl"/>
    </w:rPr>
  </w:style>
  <w:style w:type="paragraph" w:customStyle="1" w:styleId="Newpage">
    <w:name w:val="Newpage"/>
    <w:basedOn w:val="Normal"/>
    <w:rsid w:val="006011E0"/>
    <w:pPr>
      <w:tabs>
        <w:tab w:val="left" w:pos="1440"/>
        <w:tab w:val="left" w:pos="3060"/>
      </w:tabs>
      <w:spacing w:before="0"/>
      <w:jc w:val="center"/>
    </w:pPr>
    <w:rPr>
      <w:rFonts w:eastAsia="Times New Roman" w:cs="Arial"/>
      <w:b/>
      <w:smallCaps/>
      <w:spacing w:val="-3"/>
      <w:szCs w:val="20"/>
      <w:lang w:val="es-ES_tradnl"/>
    </w:rPr>
  </w:style>
  <w:style w:type="character" w:customStyle="1" w:styleId="ColorfulList-Accent1Char">
    <w:name w:val="Colorful List - Accent 1 Char"/>
    <w:link w:val="ColorfulList-Accent11"/>
    <w:uiPriority w:val="34"/>
    <w:rsid w:val="006011E0"/>
    <w:rPr>
      <w:rFonts w:ascii="Calibri" w:eastAsia="Calibri" w:hAnsi="Calibri" w:cs="Times New Roman"/>
      <w:lang w:val="es-ES_tradnl"/>
    </w:rPr>
  </w:style>
  <w:style w:type="paragraph" w:customStyle="1" w:styleId="bullets">
    <w:name w:val="bullets"/>
    <w:rsid w:val="006011E0"/>
    <w:pPr>
      <w:numPr>
        <w:numId w:val="4"/>
      </w:numPr>
      <w:spacing w:before="120"/>
    </w:pPr>
    <w:rPr>
      <w:rFonts w:ascii="Times New Roman" w:eastAsia="Times New Roman" w:hAnsi="Times New Roman" w:cs="Times New Roman"/>
      <w:spacing w:val="-2"/>
      <w:sz w:val="24"/>
      <w:szCs w:val="20"/>
    </w:rPr>
  </w:style>
  <w:style w:type="character" w:customStyle="1" w:styleId="Heading1Char">
    <w:name w:val="Heading 1 Char"/>
    <w:aliases w:val="Heading 1.I Char"/>
    <w:basedOn w:val="DefaultParagraphFont"/>
    <w:link w:val="Heading1"/>
    <w:rsid w:val="00BE5F08"/>
    <w:rPr>
      <w:rFonts w:ascii="Times New Roman Bold" w:eastAsia="Times New Roman" w:hAnsi="Times New Roman Bold" w:cs="Times New Roman"/>
      <w:b/>
      <w:smallCaps/>
      <w:noProof/>
      <w:sz w:val="28"/>
      <w:szCs w:val="20"/>
    </w:rPr>
  </w:style>
  <w:style w:type="character" w:customStyle="1" w:styleId="Heading2Char">
    <w:name w:val="Heading 2 Char"/>
    <w:aliases w:val="Heading 2.A Char,Paranum Char"/>
    <w:basedOn w:val="DefaultParagraphFont"/>
    <w:link w:val="Heading2"/>
    <w:uiPriority w:val="99"/>
    <w:rsid w:val="00BE5F08"/>
    <w:rPr>
      <w:rFonts w:ascii="Times New Roman Bold" w:eastAsia="Times New Roman" w:hAnsi="Times New Roman Bold" w:cs="Times New Roman"/>
      <w:b/>
      <w:noProof/>
      <w:sz w:val="24"/>
      <w:szCs w:val="20"/>
    </w:rPr>
  </w:style>
  <w:style w:type="character" w:customStyle="1" w:styleId="Heading4Char">
    <w:name w:val="Heading 4 Char"/>
    <w:aliases w:val="Heading 4.a Char"/>
    <w:basedOn w:val="DefaultParagraphFont"/>
    <w:link w:val="Heading4"/>
    <w:rsid w:val="00BE5F08"/>
    <w:rPr>
      <w:rFonts w:ascii="Times New Roman Bold" w:eastAsia="Times New Roman" w:hAnsi="Times New Roman Bold" w:cs="Times New Roman"/>
      <w:b/>
      <w:noProof/>
      <w:sz w:val="24"/>
      <w:szCs w:val="20"/>
    </w:rPr>
  </w:style>
  <w:style w:type="character" w:customStyle="1" w:styleId="Heading5Char">
    <w:name w:val="Heading 5 Char"/>
    <w:aliases w:val="Heading 5.(i) Char"/>
    <w:basedOn w:val="DefaultParagraphFont"/>
    <w:link w:val="Heading5"/>
    <w:rsid w:val="00BE5F08"/>
    <w:rPr>
      <w:rFonts w:ascii="Times New Roman Bold" w:eastAsia="Times New Roman" w:hAnsi="Times New Roman Bold" w:cs="Times New Roman"/>
      <w:b/>
      <w:noProof/>
      <w:sz w:val="24"/>
      <w:szCs w:val="20"/>
    </w:rPr>
  </w:style>
  <w:style w:type="paragraph" w:customStyle="1" w:styleId="AutoNumpara">
    <w:name w:val="AutoNumpara"/>
    <w:basedOn w:val="BodyTextIndent"/>
    <w:rsid w:val="00BE5F08"/>
    <w:pPr>
      <w:numPr>
        <w:ilvl w:val="1"/>
        <w:numId w:val="6"/>
      </w:numPr>
    </w:pPr>
    <w:rPr>
      <w:rFonts w:eastAsia="Times New Roman" w:cs="Times New Roman"/>
      <w:noProof/>
      <w:spacing w:val="-2"/>
      <w:szCs w:val="20"/>
      <w:lang w:val="es-ES_tradnl"/>
    </w:rPr>
  </w:style>
  <w:style w:type="paragraph" w:styleId="BodyTextIndent">
    <w:name w:val="Body Text Indent"/>
    <w:basedOn w:val="Normal"/>
    <w:link w:val="BodyTextIndentChar"/>
    <w:uiPriority w:val="99"/>
    <w:semiHidden/>
    <w:unhideWhenUsed/>
    <w:rsid w:val="00BE5F08"/>
    <w:pPr>
      <w:spacing w:after="120"/>
    </w:pPr>
  </w:style>
  <w:style w:type="character" w:customStyle="1" w:styleId="BodyTextIndentChar">
    <w:name w:val="Body Text Indent Char"/>
    <w:basedOn w:val="DefaultParagraphFont"/>
    <w:link w:val="BodyTextIndent"/>
    <w:uiPriority w:val="99"/>
    <w:semiHidden/>
    <w:rsid w:val="00BE5F08"/>
    <w:rPr>
      <w:rFonts w:ascii="Times New Roman" w:hAnsi="Times New Roman"/>
      <w:sz w:val="24"/>
    </w:rPr>
  </w:style>
  <w:style w:type="paragraph" w:styleId="FootnoteText">
    <w:name w:val="footnote text"/>
    <w:aliases w:val="fn,Texto de rodapé,nota_rodapé,nota de rodapé,FOOTNOTES,single space,footnote text,Footnote Text Char Char,Footnote text Char Char,Footnote text,foottextfra,footnote,ADB,foottextf,F,Style 25"/>
    <w:basedOn w:val="Normal"/>
    <w:link w:val="FootnoteTextChar"/>
    <w:uiPriority w:val="99"/>
    <w:rsid w:val="006C3DA2"/>
    <w:pPr>
      <w:spacing w:before="0"/>
    </w:pPr>
    <w:rPr>
      <w:rFonts w:eastAsia="Times New Roman" w:cs="Times New Roman"/>
      <w:sz w:val="20"/>
      <w:szCs w:val="20"/>
      <w:lang w:val="es-ES_tradnl"/>
    </w:rPr>
  </w:style>
  <w:style w:type="character" w:customStyle="1" w:styleId="FootnoteTextChar">
    <w:name w:val="Footnote Text Char"/>
    <w:aliases w:val="fn Char,Texto de rodapé Char,nota_rodapé Char,nota de rodapé Char,FOOTNOTES Char,single space Char,footnote text Char,Footnote Text Char Char Char,Footnote text Char Char Char,Footnote text Char,foottextfra Char,footnote Char,ADB Char"/>
    <w:basedOn w:val="DefaultParagraphFont"/>
    <w:link w:val="FootnoteText"/>
    <w:uiPriority w:val="99"/>
    <w:rsid w:val="006C3DA2"/>
    <w:rPr>
      <w:rFonts w:ascii="Times New Roman" w:eastAsia="Times New Roman" w:hAnsi="Times New Roman" w:cs="Times New Roman"/>
      <w:sz w:val="20"/>
      <w:szCs w:val="20"/>
      <w:lang w:val="es-ES_tradnl"/>
    </w:rPr>
  </w:style>
  <w:style w:type="character" w:styleId="FootnoteReference">
    <w:name w:val="footnote reference"/>
    <w:aliases w:val="Footnote Referencefra,FC"/>
    <w:semiHidden/>
    <w:rsid w:val="006C3DA2"/>
    <w:rPr>
      <w:vertAlign w:val="superscript"/>
    </w:rPr>
  </w:style>
  <w:style w:type="paragraph" w:styleId="Header">
    <w:name w:val="header"/>
    <w:basedOn w:val="Normal"/>
    <w:link w:val="HeaderChar"/>
    <w:uiPriority w:val="99"/>
    <w:unhideWhenUsed/>
    <w:rsid w:val="000F05BA"/>
    <w:pPr>
      <w:tabs>
        <w:tab w:val="center" w:pos="4680"/>
        <w:tab w:val="right" w:pos="9360"/>
      </w:tabs>
      <w:spacing w:before="0"/>
    </w:pPr>
  </w:style>
  <w:style w:type="character" w:customStyle="1" w:styleId="HeaderChar">
    <w:name w:val="Header Char"/>
    <w:basedOn w:val="DefaultParagraphFont"/>
    <w:link w:val="Header"/>
    <w:uiPriority w:val="99"/>
    <w:rsid w:val="000F05BA"/>
    <w:rPr>
      <w:rFonts w:ascii="Times New Roman" w:hAnsi="Times New Roman"/>
      <w:sz w:val="24"/>
    </w:rPr>
  </w:style>
  <w:style w:type="paragraph" w:styleId="Footer">
    <w:name w:val="footer"/>
    <w:basedOn w:val="Normal"/>
    <w:link w:val="FooterChar"/>
    <w:uiPriority w:val="99"/>
    <w:unhideWhenUsed/>
    <w:rsid w:val="000F05BA"/>
    <w:pPr>
      <w:tabs>
        <w:tab w:val="center" w:pos="4680"/>
        <w:tab w:val="right" w:pos="9360"/>
      </w:tabs>
      <w:spacing w:before="0"/>
    </w:pPr>
  </w:style>
  <w:style w:type="character" w:customStyle="1" w:styleId="FooterChar">
    <w:name w:val="Footer Char"/>
    <w:basedOn w:val="DefaultParagraphFont"/>
    <w:link w:val="Footer"/>
    <w:uiPriority w:val="99"/>
    <w:rsid w:val="000F05BA"/>
    <w:rPr>
      <w:rFonts w:ascii="Times New Roman" w:hAnsi="Times New Roman"/>
      <w:sz w:val="24"/>
    </w:rPr>
  </w:style>
  <w:style w:type="paragraph" w:styleId="EndnoteText">
    <w:name w:val="endnote text"/>
    <w:basedOn w:val="Normal"/>
    <w:link w:val="EndnoteTextChar"/>
    <w:uiPriority w:val="99"/>
    <w:semiHidden/>
    <w:unhideWhenUsed/>
    <w:rsid w:val="000F05BA"/>
    <w:pPr>
      <w:spacing w:before="0"/>
    </w:pPr>
    <w:rPr>
      <w:sz w:val="20"/>
      <w:szCs w:val="20"/>
    </w:rPr>
  </w:style>
  <w:style w:type="character" w:customStyle="1" w:styleId="EndnoteTextChar">
    <w:name w:val="Endnote Text Char"/>
    <w:basedOn w:val="DefaultParagraphFont"/>
    <w:link w:val="EndnoteText"/>
    <w:uiPriority w:val="99"/>
    <w:semiHidden/>
    <w:rsid w:val="000F05BA"/>
    <w:rPr>
      <w:rFonts w:ascii="Times New Roman" w:hAnsi="Times New Roman"/>
      <w:sz w:val="20"/>
      <w:szCs w:val="20"/>
    </w:rPr>
  </w:style>
  <w:style w:type="character" w:styleId="EndnoteReference">
    <w:name w:val="endnote reference"/>
    <w:basedOn w:val="DefaultParagraphFont"/>
    <w:uiPriority w:val="99"/>
    <w:semiHidden/>
    <w:unhideWhenUsed/>
    <w:rsid w:val="000F05BA"/>
    <w:rPr>
      <w:vertAlign w:val="superscript"/>
    </w:rPr>
  </w:style>
  <w:style w:type="paragraph" w:customStyle="1" w:styleId="Chapter">
    <w:name w:val="Chapter"/>
    <w:basedOn w:val="Normal"/>
    <w:next w:val="Normal"/>
    <w:uiPriority w:val="99"/>
    <w:rsid w:val="008D0043"/>
    <w:pPr>
      <w:numPr>
        <w:numId w:val="7"/>
      </w:numPr>
      <w:tabs>
        <w:tab w:val="left" w:pos="1440"/>
      </w:tabs>
      <w:spacing w:before="240" w:after="240"/>
      <w:jc w:val="center"/>
    </w:pPr>
    <w:rPr>
      <w:rFonts w:eastAsia="Times New Roman" w:cs="Times New Roman"/>
      <w:b/>
      <w:smallCaps/>
      <w:szCs w:val="20"/>
      <w:lang w:val="es-ES"/>
    </w:rPr>
  </w:style>
  <w:style w:type="paragraph" w:customStyle="1" w:styleId="Paragraph">
    <w:name w:val="Paragraph"/>
    <w:aliases w:val="paragraph,p,PARAGRAPH,PG,pa,at"/>
    <w:basedOn w:val="BodyTextIndent"/>
    <w:uiPriority w:val="99"/>
    <w:rsid w:val="008D0043"/>
    <w:pPr>
      <w:numPr>
        <w:ilvl w:val="1"/>
        <w:numId w:val="7"/>
      </w:numPr>
      <w:outlineLvl w:val="1"/>
    </w:pPr>
    <w:rPr>
      <w:rFonts w:eastAsia="Times New Roman" w:cs="Times New Roman"/>
      <w:szCs w:val="20"/>
      <w:lang w:val="es-ES"/>
    </w:rPr>
  </w:style>
  <w:style w:type="paragraph" w:customStyle="1" w:styleId="subpar">
    <w:name w:val="subpar"/>
    <w:basedOn w:val="BodyTextIndent3"/>
    <w:uiPriority w:val="99"/>
    <w:rsid w:val="008D0043"/>
    <w:pPr>
      <w:numPr>
        <w:ilvl w:val="2"/>
        <w:numId w:val="7"/>
      </w:numPr>
      <w:outlineLvl w:val="2"/>
    </w:pPr>
    <w:rPr>
      <w:rFonts w:eastAsia="Times New Roman" w:cs="Times New Roman"/>
      <w:sz w:val="24"/>
      <w:szCs w:val="20"/>
      <w:lang w:val="es-ES_tradnl"/>
    </w:rPr>
  </w:style>
  <w:style w:type="paragraph" w:customStyle="1" w:styleId="SubSubPar">
    <w:name w:val="SubSubPar"/>
    <w:basedOn w:val="subpar"/>
    <w:uiPriority w:val="99"/>
    <w:rsid w:val="008D0043"/>
    <w:pPr>
      <w:numPr>
        <w:ilvl w:val="3"/>
      </w:numPr>
      <w:tabs>
        <w:tab w:val="left" w:pos="0"/>
      </w:tabs>
    </w:pPr>
  </w:style>
  <w:style w:type="paragraph" w:styleId="BodyTextIndent3">
    <w:name w:val="Body Text Indent 3"/>
    <w:basedOn w:val="Normal"/>
    <w:link w:val="BodyTextIndent3Char"/>
    <w:uiPriority w:val="99"/>
    <w:semiHidden/>
    <w:unhideWhenUsed/>
    <w:rsid w:val="008D0043"/>
    <w:pPr>
      <w:spacing w:after="120"/>
    </w:pPr>
    <w:rPr>
      <w:sz w:val="16"/>
      <w:szCs w:val="16"/>
    </w:rPr>
  </w:style>
  <w:style w:type="character" w:customStyle="1" w:styleId="BodyTextIndent3Char">
    <w:name w:val="Body Text Indent 3 Char"/>
    <w:basedOn w:val="DefaultParagraphFont"/>
    <w:link w:val="BodyTextIndent3"/>
    <w:uiPriority w:val="99"/>
    <w:semiHidden/>
    <w:rsid w:val="008D0043"/>
    <w:rPr>
      <w:rFonts w:ascii="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562">
      <w:bodyDiv w:val="1"/>
      <w:marLeft w:val="0"/>
      <w:marRight w:val="0"/>
      <w:marTop w:val="0"/>
      <w:marBottom w:val="0"/>
      <w:divBdr>
        <w:top w:val="none" w:sz="0" w:space="0" w:color="auto"/>
        <w:left w:val="none" w:sz="0" w:space="0" w:color="auto"/>
        <w:bottom w:val="none" w:sz="0" w:space="0" w:color="auto"/>
        <w:right w:val="none" w:sz="0" w:space="0" w:color="auto"/>
      </w:divBdr>
    </w:div>
    <w:div w:id="86080537">
      <w:bodyDiv w:val="1"/>
      <w:marLeft w:val="0"/>
      <w:marRight w:val="0"/>
      <w:marTop w:val="0"/>
      <w:marBottom w:val="0"/>
      <w:divBdr>
        <w:top w:val="none" w:sz="0" w:space="0" w:color="auto"/>
        <w:left w:val="none" w:sz="0" w:space="0" w:color="auto"/>
        <w:bottom w:val="none" w:sz="0" w:space="0" w:color="auto"/>
        <w:right w:val="none" w:sz="0" w:space="0" w:color="auto"/>
      </w:divBdr>
    </w:div>
    <w:div w:id="849219742">
      <w:bodyDiv w:val="1"/>
      <w:marLeft w:val="0"/>
      <w:marRight w:val="0"/>
      <w:marTop w:val="0"/>
      <w:marBottom w:val="0"/>
      <w:divBdr>
        <w:top w:val="none" w:sz="0" w:space="0" w:color="auto"/>
        <w:left w:val="none" w:sz="0" w:space="0" w:color="auto"/>
        <w:bottom w:val="none" w:sz="0" w:space="0" w:color="auto"/>
        <w:right w:val="none" w:sz="0" w:space="0" w:color="auto"/>
      </w:divBdr>
    </w:div>
    <w:div w:id="129205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png"/><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theme" Target="theme/theme1.xml"/><Relationship Id="rId28" Type="http://schemas.openxmlformats.org/officeDocument/2006/relationships/customXml" Target="../customXml/item6.xml"/><Relationship Id="rId10" Type="http://schemas.openxmlformats.org/officeDocument/2006/relationships/footer" Target="footer1.xml"/><Relationship Id="rId19" Type="http://schemas.openxmlformats.org/officeDocument/2006/relationships/image" Target="media/image9.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fontTable" Target="fontTable.xml"/><Relationship Id="rId27"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f0be0ad-272c-4e7f-a157-3f0abda6cde5" ContentTypeId="0x01010046CF21643EE8D14686A648AA6DAD0892" PreviousValue="false"/>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8BE9C79D6357674994FA7CA241803E68" ma:contentTypeVersion="0" ma:contentTypeDescription="A content type to manage public (operations) IDB documents" ma:contentTypeScope="" ma:versionID="f7832e390608caa81586020525bfca85">
  <xsd:schema xmlns:xsd="http://www.w3.org/2001/XMLSchema" xmlns:xs="http://www.w3.org/2001/XMLSchema" xmlns:p="http://schemas.microsoft.com/office/2006/metadata/properties" xmlns:ns2="9c571b2f-e523-4ab2-ba2e-09e151a03ef4" targetNamespace="http://schemas.microsoft.com/office/2006/metadata/properties" ma:root="true" ma:fieldsID="6ea6d61a7ad7d64d7d317954e0798297"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950fe0f-781d-4eb3-a432-36b824324f74}" ma:internalName="TaxCatchAll" ma:showField="CatchAllData" ma:web="5edba027-932f-4932-b4c4-b13ec54d8ce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950fe0f-781d-4eb3-a432-36b824324f74}" ma:internalName="TaxCatchAllLabel" ma:readOnly="true" ma:showField="CatchAllDataLabel" ma:web="5edba027-932f-4932-b4c4-b13ec54d8ce1">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j8b96605ee2f4c4e988849e658583fee xmlns="9c571b2f-e523-4ab2-ba2e-09e151a03ef4">
      <Terms xmlns="http://schemas.microsoft.com/office/infopath/2007/PartnerControls"/>
    </j8b96605ee2f4c4e988849e658583fee>
    <Disclosure_x0020_Activity xmlns="9c571b2f-e523-4ab2-ba2e-09e151a03ef4">Loan Proposal</Disclosure_x0020_Activity>
    <Key_x0020_Document xmlns="9c571b2f-e523-4ab2-ba2e-09e151a03ef4">false</Key_x0020_Document>
    <Division_x0020_or_x0020_Unit xmlns="9c571b2f-e523-4ab2-ba2e-09e151a03ef4">INE/ENE</Division_x0020_or_x0020_Unit>
    <Other_x0020_Author xmlns="9c571b2f-e523-4ab2-ba2e-09e151a03ef4" xsi:nil="true"/>
    <Region xmlns="9c571b2f-e523-4ab2-ba2e-09e151a03ef4" xsi:nil="true"/>
    <IDBDocs_x0020_Number xmlns="9c571b2f-e523-4ab2-ba2e-09e151a03ef4">38693336</IDBDocs_x0020_Number>
    <Document_x0020_Author xmlns="9c571b2f-e523-4ab2-ba2e-09e151a03ef4">Mercado Diaz, Jorge Enrique</Document_x0020_Author>
    <Publication_x0020_Type xmlns="9c571b2f-e523-4ab2-ba2e-09e151a03ef4" xsi:nil="true"/>
    <Operation_x0020_Type xmlns="9c571b2f-e523-4ab2-ba2e-09e151a03ef4" xsi:nil="true"/>
    <TaxCatchAll xmlns="9c571b2f-e523-4ab2-ba2e-09e151a03ef4">
      <Value>11</Value>
      <Value>12</Value>
    </TaxCatchAll>
    <Fiscal_x0020_Year_x0020_IDB xmlns="9c571b2f-e523-4ab2-ba2e-09e151a03ef4">2014</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DR-L1034</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Package_x0020_Code xmlns="9c571b2f-e523-4ab2-ba2e-09e151a03ef4" xsi:nil="true"/>
    <Migration_x0020_Info xmlns="9c571b2f-e523-4ab2-ba2e-09e151a03ef4">&lt;Data&gt;&lt;APPLICATION&gt;MS WORD&lt;/APPLICATION&gt;&lt;USER_STAGE&gt;Loan Proposal&lt;/USER_STAGE&gt;&lt;PD_OBJ_TYPE&gt;0&lt;/PD_OBJ_TYPE&gt;&lt;MAKERECORD&gt;N&lt;/MAKERECORD&gt;&lt;/Data&gt;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en-eng</Webtopic>
    <Identifier xmlns="9c571b2f-e523-4ab2-ba2e-09e151a03ef4"> TECFILE</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documentManagement>
</p:properties>
</file>

<file path=customXml/itemProps1.xml><?xml version="1.0" encoding="utf-8"?>
<ds:datastoreItem xmlns:ds="http://schemas.openxmlformats.org/officeDocument/2006/customXml" ds:itemID="{F8238E44-432D-4D08-A737-6A985AC63F9A}"/>
</file>

<file path=customXml/itemProps2.xml><?xml version="1.0" encoding="utf-8"?>
<ds:datastoreItem xmlns:ds="http://schemas.openxmlformats.org/officeDocument/2006/customXml" ds:itemID="{A8915BEF-2BDC-4D50-BD8F-A5CC32912BD5}"/>
</file>

<file path=customXml/itemProps3.xml><?xml version="1.0" encoding="utf-8"?>
<ds:datastoreItem xmlns:ds="http://schemas.openxmlformats.org/officeDocument/2006/customXml" ds:itemID="{07B20218-7B57-4034-AE8F-8E5B5CFC3B30}"/>
</file>

<file path=customXml/itemProps4.xml><?xml version="1.0" encoding="utf-8"?>
<ds:datastoreItem xmlns:ds="http://schemas.openxmlformats.org/officeDocument/2006/customXml" ds:itemID="{09EC3A94-9142-4B95-97DE-42495C54180E}"/>
</file>

<file path=customXml/itemProps5.xml><?xml version="1.0" encoding="utf-8"?>
<ds:datastoreItem xmlns:ds="http://schemas.openxmlformats.org/officeDocument/2006/customXml" ds:itemID="{D370D7D0-E34B-47C1-AFC7-B046F71460D9}"/>
</file>

<file path=customXml/itemProps6.xml><?xml version="1.0" encoding="utf-8"?>
<ds:datastoreItem xmlns:ds="http://schemas.openxmlformats.org/officeDocument/2006/customXml" ds:itemID="{C9A823BF-E9D2-462A-9F65-B14A5FA215FD}"/>
</file>

<file path=docProps/app.xml><?xml version="1.0" encoding="utf-8"?>
<Properties xmlns="http://schemas.openxmlformats.org/officeDocument/2006/extended-properties" xmlns:vt="http://schemas.openxmlformats.org/officeDocument/2006/docPropsVTypes">
  <Template>Normal.dotm</Template>
  <TotalTime>6</TotalTime>
  <Pages>18</Pages>
  <Words>4197</Words>
  <Characters>23928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28069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Evaluación Económica del Programa</dc:title>
  <dc:creator>Inter-American Development Bank</dc:creator>
  <cp:lastModifiedBy>Inter-American Development Bank</cp:lastModifiedBy>
  <cp:revision>6</cp:revision>
  <cp:lastPrinted>2012-10-30T22:42:00Z</cp:lastPrinted>
  <dcterms:created xsi:type="dcterms:W3CDTF">2014-06-01T16:00:00Z</dcterms:created>
  <dcterms:modified xsi:type="dcterms:W3CDTF">2014-06-01T16:05:00Z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0x01010046CF21643EE8D14686A648AA6DAD0892008BE9C79D6357674994FA7CA241803E68</vt:lpwstr>
  </property>
  <property fmtid="{D5CDD505-2E9C-101B-9397-08002B2CF9AE}" pid="5" name="TaxKeywordTaxHTField">
    <vt:lpwstr/>
  </property>
  <property fmtid="{D5CDD505-2E9C-101B-9397-08002B2CF9AE}" pid="6" name="Series Operations IDB">
    <vt:lpwstr>11;#Unclassified|a6dff32e-d477-44cd-a56b-85efe9e0a56c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11;#Unclassified|a6dff32e-d477-44cd-a56b-85efe9e0a56c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12;#IDBDocs|cca77002-e150-4b2d-ab1f-1d7a7cdcae16</vt:lpwstr>
  </property>
</Properties>
</file>