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0D" w:rsidRPr="00761BD1" w:rsidRDefault="00244CB7">
      <w:pPr>
        <w:spacing w:before="200" w:after="200"/>
        <w:jc w:val="center"/>
        <w:rPr>
          <w:lang w:val="es-ES_tradnl"/>
        </w:rPr>
      </w:pPr>
      <w:r w:rsidRPr="00761BD1">
        <w:rPr>
          <w:rFonts w:ascii="Arial" w:hAnsi="Arial" w:cs="Arial"/>
          <w:b/>
          <w:lang w:val="es-ES_tradnl"/>
        </w:rPr>
        <w:t>Resumen de C</w:t>
      </w:r>
      <w:r w:rsidR="00761BD1">
        <w:rPr>
          <w:rFonts w:ascii="Arial" w:hAnsi="Arial" w:cs="Arial"/>
          <w:b/>
          <w:lang w:val="es-ES_tradnl"/>
        </w:rPr>
        <w:t>ooperación Técnica</w:t>
      </w:r>
    </w:p>
    <w:p w:rsidR="00D8700D" w:rsidRPr="00761BD1" w:rsidRDefault="00EA68A3">
      <w:pPr>
        <w:spacing w:before="120" w:after="120"/>
        <w:ind w:left="579" w:hanging="579"/>
        <w:rPr>
          <w:lang w:val="es-ES_tradnl"/>
        </w:rPr>
      </w:pPr>
      <w:r w:rsidRPr="00761BD1">
        <w:rPr>
          <w:rFonts w:ascii="Arial" w:hAnsi="Arial" w:cs="Arial"/>
          <w:b/>
          <w:lang w:val="es-ES_tradnl"/>
        </w:rPr>
        <w:t>I.</w:t>
      </w:r>
      <w:r w:rsidRPr="00761BD1">
        <w:rPr>
          <w:rFonts w:ascii="Arial" w:hAnsi="Arial" w:cs="Arial"/>
          <w:b/>
          <w:lang w:val="es-ES_tradnl"/>
        </w:rPr>
        <w:tab/>
      </w:r>
      <w:r w:rsidR="00244CB7" w:rsidRPr="00761BD1">
        <w:rPr>
          <w:rFonts w:ascii="Arial" w:hAnsi="Arial" w:cs="Arial"/>
          <w:b/>
          <w:lang w:val="es-ES_tradnl"/>
        </w:rPr>
        <w:t>Datos básicos del proyecto</w:t>
      </w:r>
    </w:p>
    <w:tbl>
      <w:tblPr>
        <w:tblStyle w:val="TableGrid"/>
        <w:tblW w:w="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013"/>
        <w:gridCol w:w="5007"/>
      </w:tblGrid>
      <w:tr w:rsidR="00CA2919" w:rsidRPr="00A30514" w:rsidTr="00761BD1">
        <w:trPr>
          <w:jc w:val="center"/>
        </w:trPr>
        <w:tc>
          <w:tcPr>
            <w:tcW w:w="4099" w:type="dxa"/>
          </w:tcPr>
          <w:p w:rsidR="00D8700D" w:rsidRDefault="00EA68A3">
            <w:pPr>
              <w:spacing w:before="40" w:after="40"/>
              <w:ind w:left="115" w:hanging="115"/>
            </w:pPr>
            <w:r>
              <w:rPr>
                <w:rFonts w:ascii="Arial" w:hAnsi="Arial" w:cs="Arial"/>
                <w:sz w:val="18"/>
                <w:szCs w:val="18"/>
              </w:rPr>
              <w:t xml:space="preserve">▪ </w:t>
            </w:r>
            <w:r w:rsidR="00CA2919">
              <w:rPr>
                <w:rFonts w:ascii="Arial" w:hAnsi="Arial" w:cs="Arial"/>
                <w:sz w:val="18"/>
                <w:szCs w:val="18"/>
              </w:rPr>
              <w:t>País</w:t>
            </w:r>
            <w:r>
              <w:rPr>
                <w:rFonts w:ascii="Arial" w:hAnsi="Arial" w:cs="Arial"/>
                <w:sz w:val="18"/>
                <w:szCs w:val="18"/>
              </w:rPr>
              <w:t>/</w:t>
            </w:r>
            <w:proofErr w:type="spellStart"/>
            <w:r>
              <w:rPr>
                <w:rFonts w:ascii="Arial" w:hAnsi="Arial" w:cs="Arial"/>
                <w:sz w:val="18"/>
                <w:szCs w:val="18"/>
              </w:rPr>
              <w:t>Regi</w:t>
            </w:r>
            <w:r w:rsidR="00CA2919">
              <w:rPr>
                <w:rFonts w:ascii="Arial" w:hAnsi="Arial" w:cs="Arial"/>
                <w:sz w:val="18"/>
                <w:szCs w:val="18"/>
              </w:rPr>
              <w:t>ó</w:t>
            </w:r>
            <w:r>
              <w:rPr>
                <w:rFonts w:ascii="Arial" w:hAnsi="Arial" w:cs="Arial"/>
                <w:sz w:val="18"/>
                <w:szCs w:val="18"/>
              </w:rPr>
              <w:t>n</w:t>
            </w:r>
            <w:proofErr w:type="spellEnd"/>
            <w:r>
              <w:rPr>
                <w:rFonts w:ascii="Arial" w:hAnsi="Arial" w:cs="Arial"/>
                <w:sz w:val="18"/>
                <w:szCs w:val="18"/>
              </w:rPr>
              <w:t>:</w:t>
            </w:r>
          </w:p>
        </w:tc>
        <w:tc>
          <w:tcPr>
            <w:tcW w:w="5143" w:type="dxa"/>
          </w:tcPr>
          <w:p w:rsidR="00D8700D" w:rsidRPr="00761BD1" w:rsidRDefault="00CA2919">
            <w:pPr>
              <w:spacing w:before="40" w:after="40"/>
              <w:rPr>
                <w:lang w:val="pt-BR"/>
              </w:rPr>
            </w:pPr>
            <w:r w:rsidRPr="00761BD1">
              <w:rPr>
                <w:rFonts w:ascii="Arial" w:hAnsi="Arial" w:cs="Arial"/>
                <w:sz w:val="18"/>
                <w:szCs w:val="18"/>
                <w:lang w:val="pt-BR"/>
              </w:rPr>
              <w:t xml:space="preserve">República Dominicana </w:t>
            </w:r>
            <w:r w:rsidR="00EA68A3" w:rsidRPr="00761BD1">
              <w:rPr>
                <w:rFonts w:ascii="Arial" w:hAnsi="Arial" w:cs="Arial"/>
                <w:sz w:val="18"/>
                <w:szCs w:val="18"/>
                <w:lang w:val="pt-BR"/>
              </w:rPr>
              <w:t xml:space="preserve">/CID - </w:t>
            </w:r>
            <w:proofErr w:type="spellStart"/>
            <w:r w:rsidR="00EA68A3" w:rsidRPr="00761BD1">
              <w:rPr>
                <w:rFonts w:ascii="Arial" w:hAnsi="Arial" w:cs="Arial"/>
                <w:sz w:val="18"/>
                <w:szCs w:val="18"/>
                <w:lang w:val="pt-BR"/>
              </w:rPr>
              <w:t>Isthmus</w:t>
            </w:r>
            <w:proofErr w:type="spellEnd"/>
            <w:r w:rsidR="00EA68A3" w:rsidRPr="00761BD1">
              <w:rPr>
                <w:rFonts w:ascii="Arial" w:hAnsi="Arial" w:cs="Arial"/>
                <w:sz w:val="18"/>
                <w:szCs w:val="18"/>
                <w:lang w:val="pt-BR"/>
              </w:rPr>
              <w:t xml:space="preserve"> &amp; DR</w:t>
            </w:r>
          </w:p>
        </w:tc>
      </w:tr>
      <w:tr w:rsidR="00CA2919" w:rsidRPr="00A30514" w:rsidTr="00761BD1">
        <w:trPr>
          <w:jc w:val="center"/>
        </w:trPr>
        <w:tc>
          <w:tcPr>
            <w:tcW w:w="4099" w:type="dxa"/>
          </w:tcPr>
          <w:p w:rsidR="00D8700D" w:rsidRDefault="00EA68A3">
            <w:pPr>
              <w:spacing w:before="40" w:after="40"/>
              <w:ind w:left="115" w:hanging="115"/>
            </w:pPr>
            <w:r>
              <w:rPr>
                <w:rFonts w:ascii="Arial" w:hAnsi="Arial" w:cs="Arial"/>
                <w:sz w:val="18"/>
                <w:szCs w:val="18"/>
              </w:rPr>
              <w:t xml:space="preserve">▪ </w:t>
            </w:r>
            <w:proofErr w:type="spellStart"/>
            <w:r w:rsidR="00CA2919">
              <w:rPr>
                <w:rFonts w:ascii="Arial" w:hAnsi="Arial" w:cs="Arial"/>
                <w:sz w:val="18"/>
                <w:szCs w:val="18"/>
              </w:rPr>
              <w:t>Nombre</w:t>
            </w:r>
            <w:proofErr w:type="spellEnd"/>
            <w:r w:rsidR="00761BD1">
              <w:rPr>
                <w:rFonts w:ascii="Arial" w:hAnsi="Arial" w:cs="Arial"/>
                <w:sz w:val="18"/>
                <w:szCs w:val="18"/>
              </w:rPr>
              <w:t xml:space="preserve"> de</w:t>
            </w:r>
            <w:r w:rsidR="00CA2919">
              <w:rPr>
                <w:rFonts w:ascii="Arial" w:hAnsi="Arial" w:cs="Arial"/>
                <w:sz w:val="18"/>
                <w:szCs w:val="18"/>
              </w:rPr>
              <w:t xml:space="preserve"> C</w:t>
            </w:r>
            <w:r>
              <w:rPr>
                <w:rFonts w:ascii="Arial" w:hAnsi="Arial" w:cs="Arial"/>
                <w:sz w:val="18"/>
                <w:szCs w:val="18"/>
              </w:rPr>
              <w:t>T:</w:t>
            </w:r>
          </w:p>
        </w:tc>
        <w:tc>
          <w:tcPr>
            <w:tcW w:w="5143" w:type="dxa"/>
          </w:tcPr>
          <w:p w:rsidR="00D8700D" w:rsidRPr="00761BD1" w:rsidRDefault="00CA2919">
            <w:pPr>
              <w:spacing w:before="40" w:after="40"/>
              <w:rPr>
                <w:lang w:val="es-ES_tradnl"/>
              </w:rPr>
            </w:pPr>
            <w:r w:rsidRPr="00761BD1">
              <w:rPr>
                <w:rFonts w:ascii="Arial" w:hAnsi="Arial" w:cs="Arial"/>
                <w:sz w:val="18"/>
                <w:szCs w:val="18"/>
                <w:lang w:val="es-ES_tradnl"/>
              </w:rPr>
              <w:t>Modernización del modelo de aprendices vinculado al sector productivo</w:t>
            </w:r>
          </w:p>
        </w:tc>
      </w:tr>
      <w:tr w:rsidR="00CA2919" w:rsidTr="00761BD1">
        <w:trPr>
          <w:trHeight w:val="382"/>
          <w:jc w:val="center"/>
        </w:trPr>
        <w:tc>
          <w:tcPr>
            <w:tcW w:w="4099" w:type="dxa"/>
          </w:tcPr>
          <w:p w:rsidR="00D8700D" w:rsidRDefault="00EA68A3">
            <w:pPr>
              <w:spacing w:before="40" w:after="40"/>
              <w:ind w:left="115" w:hanging="115"/>
            </w:pPr>
            <w:proofErr w:type="gramStart"/>
            <w:r>
              <w:rPr>
                <w:rFonts w:ascii="Arial" w:hAnsi="Arial" w:cs="Arial"/>
                <w:sz w:val="18"/>
                <w:szCs w:val="18"/>
              </w:rPr>
              <w:t xml:space="preserve">▪ </w:t>
            </w:r>
            <w:r w:rsidR="00CA2919">
              <w:rPr>
                <w:rFonts w:ascii="Arial" w:hAnsi="Arial" w:cs="Arial"/>
                <w:sz w:val="18"/>
                <w:szCs w:val="18"/>
              </w:rPr>
              <w:t xml:space="preserve"> </w:t>
            </w:r>
            <w:proofErr w:type="spellStart"/>
            <w:r w:rsidR="00CA2919">
              <w:rPr>
                <w:rFonts w:ascii="Arial" w:hAnsi="Arial" w:cs="Arial"/>
                <w:sz w:val="18"/>
                <w:szCs w:val="18"/>
              </w:rPr>
              <w:t>Número</w:t>
            </w:r>
            <w:proofErr w:type="spellEnd"/>
            <w:proofErr w:type="gramEnd"/>
            <w:r w:rsidR="00CA2919">
              <w:rPr>
                <w:rFonts w:ascii="Arial" w:hAnsi="Arial" w:cs="Arial"/>
                <w:sz w:val="18"/>
                <w:szCs w:val="18"/>
              </w:rPr>
              <w:t xml:space="preserve"> de C</w:t>
            </w:r>
            <w:r>
              <w:rPr>
                <w:rFonts w:ascii="Arial" w:hAnsi="Arial" w:cs="Arial"/>
                <w:sz w:val="18"/>
                <w:szCs w:val="18"/>
              </w:rPr>
              <w:t>T:</w:t>
            </w:r>
          </w:p>
        </w:tc>
        <w:tc>
          <w:tcPr>
            <w:tcW w:w="5143" w:type="dxa"/>
          </w:tcPr>
          <w:p w:rsidR="00D8700D" w:rsidRDefault="00EA68A3">
            <w:pPr>
              <w:spacing w:before="40" w:after="40"/>
            </w:pPr>
            <w:r>
              <w:rPr>
                <w:rFonts w:ascii="Arial" w:hAnsi="Arial" w:cs="Arial"/>
                <w:sz w:val="18"/>
                <w:szCs w:val="18"/>
              </w:rPr>
              <w:t>DR-T1166</w:t>
            </w:r>
          </w:p>
        </w:tc>
      </w:tr>
      <w:tr w:rsidR="00CA2919" w:rsidRPr="00A30514" w:rsidTr="00761BD1">
        <w:trPr>
          <w:jc w:val="center"/>
        </w:trPr>
        <w:tc>
          <w:tcPr>
            <w:tcW w:w="4099" w:type="dxa"/>
          </w:tcPr>
          <w:p w:rsidR="00D8700D" w:rsidRPr="00A13343" w:rsidRDefault="00EA68A3">
            <w:pPr>
              <w:spacing w:before="40" w:after="40"/>
              <w:ind w:left="115" w:hanging="115"/>
              <w:rPr>
                <w:lang w:val="es-ES_tradnl"/>
              </w:rPr>
            </w:pPr>
            <w:r w:rsidRPr="00A13343">
              <w:rPr>
                <w:rFonts w:ascii="Arial" w:hAnsi="Arial" w:cs="Arial"/>
                <w:sz w:val="18"/>
                <w:szCs w:val="18"/>
                <w:lang w:val="es-ES_tradnl"/>
              </w:rPr>
              <w:t xml:space="preserve">▪ </w:t>
            </w:r>
            <w:proofErr w:type="gramStart"/>
            <w:r w:rsidR="00761BD1" w:rsidRPr="00A13343">
              <w:rPr>
                <w:rFonts w:ascii="Arial" w:hAnsi="Arial" w:cs="Arial"/>
                <w:sz w:val="18"/>
                <w:szCs w:val="18"/>
                <w:lang w:val="es-ES_tradnl"/>
              </w:rPr>
              <w:t>Jefe</w:t>
            </w:r>
            <w:proofErr w:type="gramEnd"/>
            <w:r w:rsidR="00761BD1" w:rsidRPr="00A13343">
              <w:rPr>
                <w:rFonts w:ascii="Arial" w:hAnsi="Arial" w:cs="Arial"/>
                <w:sz w:val="18"/>
                <w:szCs w:val="18"/>
                <w:lang w:val="es-ES_tradnl"/>
              </w:rPr>
              <w:t xml:space="preserve"> de equipo/Miembros</w:t>
            </w:r>
            <w:r w:rsidRPr="00A13343">
              <w:rPr>
                <w:rFonts w:ascii="Arial" w:hAnsi="Arial" w:cs="Arial"/>
                <w:sz w:val="18"/>
                <w:szCs w:val="18"/>
                <w:lang w:val="es-ES_tradnl"/>
              </w:rPr>
              <w:t>:</w:t>
            </w:r>
          </w:p>
        </w:tc>
        <w:tc>
          <w:tcPr>
            <w:tcW w:w="5143" w:type="dxa"/>
          </w:tcPr>
          <w:p w:rsidR="00D8700D" w:rsidRPr="00A13343" w:rsidRDefault="00CA2919" w:rsidP="00CA2919">
            <w:pPr>
              <w:spacing w:before="40" w:after="40"/>
              <w:jc w:val="both"/>
              <w:rPr>
                <w:lang w:val="es-ES_tradnl"/>
              </w:rPr>
            </w:pPr>
            <w:r w:rsidRPr="00A13343">
              <w:rPr>
                <w:rFonts w:ascii="Arial" w:hAnsi="Arial" w:cs="Arial"/>
                <w:sz w:val="18"/>
                <w:szCs w:val="18"/>
                <w:lang w:val="es-ES_tradnl"/>
              </w:rPr>
              <w:t xml:space="preserve">Fazio, Maria Victoria </w:t>
            </w:r>
            <w:r w:rsidR="00EA68A3" w:rsidRPr="00A13343">
              <w:rPr>
                <w:rFonts w:ascii="Arial" w:hAnsi="Arial" w:cs="Arial"/>
                <w:sz w:val="18"/>
                <w:szCs w:val="18"/>
                <w:lang w:val="es-ES_tradnl"/>
              </w:rPr>
              <w:t xml:space="preserve">(SCL/LMK) </w:t>
            </w:r>
            <w:proofErr w:type="spellStart"/>
            <w:r w:rsidR="00EA68A3" w:rsidRPr="00A13343">
              <w:rPr>
                <w:rFonts w:ascii="Arial" w:hAnsi="Arial" w:cs="Arial"/>
                <w:sz w:val="18"/>
                <w:szCs w:val="18"/>
                <w:lang w:val="es-ES_tradnl"/>
              </w:rPr>
              <w:t>Team</w:t>
            </w:r>
            <w:proofErr w:type="spellEnd"/>
            <w:r w:rsidR="00EA68A3" w:rsidRPr="00A13343">
              <w:rPr>
                <w:rFonts w:ascii="Arial" w:hAnsi="Arial" w:cs="Arial"/>
                <w:sz w:val="18"/>
                <w:szCs w:val="18"/>
                <w:lang w:val="es-ES_tradnl"/>
              </w:rPr>
              <w:t xml:space="preserve"> Leader; </w:t>
            </w:r>
            <w:r w:rsidRPr="00A13343">
              <w:rPr>
                <w:rFonts w:ascii="Arial" w:hAnsi="Arial" w:cs="Arial"/>
                <w:sz w:val="18"/>
                <w:szCs w:val="18"/>
                <w:lang w:val="es-ES_tradnl"/>
              </w:rPr>
              <w:t xml:space="preserve">Garcia </w:t>
            </w:r>
            <w:r w:rsidR="00761BD1" w:rsidRPr="00A13343">
              <w:rPr>
                <w:rFonts w:ascii="Arial" w:hAnsi="Arial" w:cs="Arial"/>
                <w:sz w:val="18"/>
                <w:szCs w:val="18"/>
                <w:lang w:val="es-ES_tradnl"/>
              </w:rPr>
              <w:t>Rodriguez,</w:t>
            </w:r>
            <w:r w:rsidRPr="00A13343">
              <w:rPr>
                <w:rFonts w:ascii="Arial" w:hAnsi="Arial" w:cs="Arial"/>
                <w:sz w:val="18"/>
                <w:szCs w:val="18"/>
                <w:lang w:val="es-ES_tradnl"/>
              </w:rPr>
              <w:t xml:space="preserve"> Yocauris Del Carmen</w:t>
            </w:r>
            <w:r w:rsidR="00EA68A3" w:rsidRPr="00A13343">
              <w:rPr>
                <w:rFonts w:ascii="Arial" w:hAnsi="Arial" w:cs="Arial"/>
                <w:sz w:val="18"/>
                <w:szCs w:val="18"/>
                <w:lang w:val="es-ES_tradnl"/>
              </w:rPr>
              <w:t xml:space="preserve"> (CID/CDR); </w:t>
            </w:r>
            <w:r w:rsidRPr="00A13343">
              <w:rPr>
                <w:rFonts w:ascii="Arial" w:hAnsi="Arial" w:cs="Arial"/>
                <w:sz w:val="18"/>
                <w:szCs w:val="18"/>
                <w:lang w:val="es-ES_tradnl"/>
              </w:rPr>
              <w:t xml:space="preserve">Bendix, Willy </w:t>
            </w:r>
            <w:r w:rsidR="00EA68A3" w:rsidRPr="00A13343">
              <w:rPr>
                <w:rFonts w:ascii="Arial" w:hAnsi="Arial" w:cs="Arial"/>
                <w:sz w:val="18"/>
                <w:szCs w:val="18"/>
                <w:lang w:val="es-ES_tradnl"/>
              </w:rPr>
              <w:t xml:space="preserve">(VPC/FMP); </w:t>
            </w:r>
            <w:r w:rsidRPr="00A13343">
              <w:rPr>
                <w:rFonts w:ascii="Arial" w:hAnsi="Arial" w:cs="Arial"/>
                <w:sz w:val="18"/>
                <w:szCs w:val="18"/>
                <w:lang w:val="es-ES_tradnl"/>
              </w:rPr>
              <w:t xml:space="preserve">Gaona, Tania Lucia </w:t>
            </w:r>
            <w:r w:rsidR="00EA68A3" w:rsidRPr="00A13343">
              <w:rPr>
                <w:rFonts w:ascii="Arial" w:hAnsi="Arial" w:cs="Arial"/>
                <w:sz w:val="18"/>
                <w:szCs w:val="18"/>
                <w:lang w:val="es-ES_tradnl"/>
              </w:rPr>
              <w:t xml:space="preserve">(SCL/LMK); </w:t>
            </w:r>
            <w:r w:rsidRPr="00A13343">
              <w:rPr>
                <w:rFonts w:ascii="Arial" w:hAnsi="Arial" w:cs="Arial"/>
                <w:sz w:val="18"/>
                <w:szCs w:val="18"/>
                <w:lang w:val="es-ES_tradnl"/>
              </w:rPr>
              <w:t xml:space="preserve">Muhlstein, Ethel </w:t>
            </w:r>
            <w:r w:rsidR="00EA68A3" w:rsidRPr="00A13343">
              <w:rPr>
                <w:rFonts w:ascii="Arial" w:hAnsi="Arial" w:cs="Arial"/>
                <w:sz w:val="18"/>
                <w:szCs w:val="18"/>
                <w:lang w:val="es-ES_tradnl"/>
              </w:rPr>
              <w:t xml:space="preserve">(SCL/LMK); </w:t>
            </w:r>
            <w:r w:rsidR="00A30514">
              <w:rPr>
                <w:rFonts w:ascii="Arial" w:hAnsi="Arial" w:cs="Arial"/>
                <w:sz w:val="18"/>
                <w:szCs w:val="18"/>
                <w:lang w:val="es-ES_tradnl"/>
              </w:rPr>
              <w:t xml:space="preserve">y </w:t>
            </w:r>
            <w:bookmarkStart w:id="0" w:name="_GoBack"/>
            <w:bookmarkEnd w:id="0"/>
            <w:r w:rsidRPr="00A13343">
              <w:rPr>
                <w:rFonts w:ascii="Arial" w:hAnsi="Arial" w:cs="Arial"/>
                <w:sz w:val="18"/>
                <w:szCs w:val="18"/>
                <w:lang w:val="es-ES_tradnl"/>
              </w:rPr>
              <w:t xml:space="preserve">Greco, Maria Sofia </w:t>
            </w:r>
            <w:r w:rsidR="00EA68A3" w:rsidRPr="00A13343">
              <w:rPr>
                <w:rFonts w:ascii="Arial" w:hAnsi="Arial" w:cs="Arial"/>
                <w:sz w:val="18"/>
                <w:szCs w:val="18"/>
                <w:lang w:val="es-ES_tradnl"/>
              </w:rPr>
              <w:t>(LEG/SGO)</w:t>
            </w:r>
            <w:r w:rsidRPr="00A13343">
              <w:rPr>
                <w:rFonts w:ascii="Arial" w:hAnsi="Arial" w:cs="Arial"/>
                <w:sz w:val="18"/>
                <w:szCs w:val="18"/>
                <w:lang w:val="es-ES_tradnl"/>
              </w:rPr>
              <w:t>.</w:t>
            </w:r>
          </w:p>
        </w:tc>
      </w:tr>
      <w:tr w:rsidR="00CA2919" w:rsidTr="00761BD1">
        <w:trPr>
          <w:jc w:val="center"/>
        </w:trPr>
        <w:tc>
          <w:tcPr>
            <w:tcW w:w="4099" w:type="dxa"/>
          </w:tcPr>
          <w:p w:rsidR="00D8700D" w:rsidRPr="00A13343" w:rsidRDefault="00761BD1">
            <w:pPr>
              <w:spacing w:before="40" w:after="40"/>
              <w:ind w:left="115" w:hanging="115"/>
              <w:rPr>
                <w:lang w:val="es-ES_tradnl"/>
              </w:rPr>
            </w:pPr>
            <w:r w:rsidRPr="00A13343">
              <w:rPr>
                <w:rFonts w:ascii="Arial" w:hAnsi="Arial" w:cs="Arial"/>
                <w:sz w:val="18"/>
                <w:szCs w:val="18"/>
                <w:lang w:val="es-ES_tradnl"/>
              </w:rPr>
              <w:t xml:space="preserve">Indicar si es: Apoyo Operativo, Apoyo al Cliente, o Investigación y Difusión  </w:t>
            </w:r>
          </w:p>
        </w:tc>
        <w:tc>
          <w:tcPr>
            <w:tcW w:w="5143" w:type="dxa"/>
          </w:tcPr>
          <w:p w:rsidR="00D8700D" w:rsidRDefault="00CA2919">
            <w:pPr>
              <w:spacing w:before="40" w:after="40"/>
            </w:pPr>
            <w:proofErr w:type="spellStart"/>
            <w:r>
              <w:rPr>
                <w:rFonts w:ascii="Arial" w:hAnsi="Arial" w:cs="Arial"/>
                <w:sz w:val="18"/>
                <w:szCs w:val="18"/>
              </w:rPr>
              <w:t>Apoyo</w:t>
            </w:r>
            <w:proofErr w:type="spellEnd"/>
            <w:r>
              <w:rPr>
                <w:rFonts w:ascii="Arial" w:hAnsi="Arial" w:cs="Arial"/>
                <w:sz w:val="18"/>
                <w:szCs w:val="18"/>
              </w:rPr>
              <w:t xml:space="preserve"> al </w:t>
            </w:r>
            <w:proofErr w:type="spellStart"/>
            <w:r>
              <w:rPr>
                <w:rFonts w:ascii="Arial" w:hAnsi="Arial" w:cs="Arial"/>
                <w:sz w:val="18"/>
                <w:szCs w:val="18"/>
              </w:rPr>
              <w:t>cliente</w:t>
            </w:r>
            <w:proofErr w:type="spellEnd"/>
          </w:p>
        </w:tc>
      </w:tr>
      <w:tr w:rsidR="00CA2919" w:rsidTr="00761BD1">
        <w:trPr>
          <w:jc w:val="center"/>
        </w:trPr>
        <w:tc>
          <w:tcPr>
            <w:tcW w:w="4099" w:type="dxa"/>
          </w:tcPr>
          <w:p w:rsidR="00D8700D" w:rsidRPr="00CA2919" w:rsidRDefault="00EA68A3">
            <w:pPr>
              <w:spacing w:before="40" w:after="40"/>
              <w:ind w:left="115" w:hanging="115"/>
              <w:rPr>
                <w:lang w:val="es-ES_tradnl"/>
              </w:rPr>
            </w:pPr>
            <w:r w:rsidRPr="00CA2919">
              <w:rPr>
                <w:rFonts w:ascii="Arial" w:hAnsi="Arial" w:cs="Arial"/>
                <w:sz w:val="18"/>
                <w:szCs w:val="18"/>
                <w:lang w:val="es-ES_tradnl"/>
              </w:rPr>
              <w:t xml:space="preserve">▪ </w:t>
            </w:r>
            <w:r w:rsidR="00CA2919" w:rsidRPr="00CA2919">
              <w:rPr>
                <w:rFonts w:ascii="Arial" w:hAnsi="Arial" w:cs="Arial"/>
                <w:sz w:val="18"/>
                <w:szCs w:val="18"/>
                <w:lang w:val="es-ES_tradnl"/>
              </w:rPr>
              <w:t>Fecha del Resumen de CT</w:t>
            </w:r>
            <w:r w:rsidRPr="00CA2919">
              <w:rPr>
                <w:rFonts w:ascii="Arial" w:hAnsi="Arial" w:cs="Arial"/>
                <w:sz w:val="18"/>
                <w:szCs w:val="18"/>
                <w:lang w:val="es-ES_tradnl"/>
              </w:rPr>
              <w:t>:</w:t>
            </w:r>
          </w:p>
        </w:tc>
        <w:tc>
          <w:tcPr>
            <w:tcW w:w="5143" w:type="dxa"/>
          </w:tcPr>
          <w:p w:rsidR="00D8700D" w:rsidRDefault="00EA68A3">
            <w:pPr>
              <w:spacing w:before="40" w:after="40"/>
            </w:pPr>
            <w:r>
              <w:rPr>
                <w:rFonts w:ascii="Arial" w:hAnsi="Arial" w:cs="Arial"/>
                <w:sz w:val="18"/>
                <w:szCs w:val="18"/>
              </w:rPr>
              <w:t>03May2018</w:t>
            </w:r>
          </w:p>
        </w:tc>
      </w:tr>
      <w:tr w:rsidR="00CA2919" w:rsidTr="00761BD1">
        <w:trPr>
          <w:jc w:val="center"/>
        </w:trPr>
        <w:tc>
          <w:tcPr>
            <w:tcW w:w="4099" w:type="dxa"/>
          </w:tcPr>
          <w:p w:rsidR="00D8700D" w:rsidRDefault="00EA68A3">
            <w:pPr>
              <w:spacing w:before="40" w:after="40"/>
              <w:ind w:left="115" w:hanging="115"/>
            </w:pPr>
            <w:r>
              <w:rPr>
                <w:rFonts w:ascii="Arial" w:hAnsi="Arial" w:cs="Arial"/>
                <w:sz w:val="18"/>
                <w:szCs w:val="18"/>
              </w:rPr>
              <w:t xml:space="preserve">▪ </w:t>
            </w:r>
            <w:proofErr w:type="spellStart"/>
            <w:r>
              <w:rPr>
                <w:rFonts w:ascii="Arial" w:hAnsi="Arial" w:cs="Arial"/>
                <w:sz w:val="18"/>
                <w:szCs w:val="18"/>
              </w:rPr>
              <w:t>Beneficiar</w:t>
            </w:r>
            <w:r w:rsidR="00CA2919">
              <w:rPr>
                <w:rFonts w:ascii="Arial" w:hAnsi="Arial" w:cs="Arial"/>
                <w:sz w:val="18"/>
                <w:szCs w:val="18"/>
              </w:rPr>
              <w:t>io</w:t>
            </w:r>
            <w:proofErr w:type="spellEnd"/>
            <w:r>
              <w:rPr>
                <w:rFonts w:ascii="Arial" w:hAnsi="Arial" w:cs="Arial"/>
                <w:sz w:val="18"/>
                <w:szCs w:val="18"/>
              </w:rPr>
              <w:t>:</w:t>
            </w:r>
          </w:p>
        </w:tc>
        <w:tc>
          <w:tcPr>
            <w:tcW w:w="5143" w:type="dxa"/>
          </w:tcPr>
          <w:p w:rsidR="00D8700D" w:rsidRDefault="00CA2919">
            <w:pPr>
              <w:spacing w:before="40" w:after="40"/>
            </w:pPr>
            <w:proofErr w:type="spellStart"/>
            <w:r>
              <w:rPr>
                <w:rFonts w:ascii="Arial" w:hAnsi="Arial" w:cs="Arial"/>
                <w:sz w:val="18"/>
                <w:szCs w:val="18"/>
              </w:rPr>
              <w:t>República</w:t>
            </w:r>
            <w:proofErr w:type="spellEnd"/>
            <w:r>
              <w:rPr>
                <w:rFonts w:ascii="Arial" w:hAnsi="Arial" w:cs="Arial"/>
                <w:sz w:val="18"/>
                <w:szCs w:val="18"/>
              </w:rPr>
              <w:t xml:space="preserve"> </w:t>
            </w:r>
            <w:proofErr w:type="spellStart"/>
            <w:r>
              <w:rPr>
                <w:rFonts w:ascii="Arial" w:hAnsi="Arial" w:cs="Arial"/>
                <w:sz w:val="18"/>
                <w:szCs w:val="18"/>
              </w:rPr>
              <w:t>Dominicana</w:t>
            </w:r>
            <w:proofErr w:type="spellEnd"/>
            <w:r>
              <w:rPr>
                <w:rFonts w:ascii="Arial" w:hAnsi="Arial" w:cs="Arial"/>
                <w:sz w:val="18"/>
                <w:szCs w:val="18"/>
              </w:rPr>
              <w:t xml:space="preserve"> </w:t>
            </w:r>
          </w:p>
        </w:tc>
      </w:tr>
      <w:tr w:rsidR="00CA2919" w:rsidRPr="00A30514" w:rsidTr="00761BD1">
        <w:trPr>
          <w:jc w:val="center"/>
        </w:trPr>
        <w:tc>
          <w:tcPr>
            <w:tcW w:w="4099" w:type="dxa"/>
          </w:tcPr>
          <w:p w:rsidR="00D8700D" w:rsidRDefault="00EA68A3">
            <w:pPr>
              <w:spacing w:before="40" w:after="40"/>
              <w:ind w:left="115" w:hanging="115"/>
            </w:pPr>
            <w:r>
              <w:rPr>
                <w:rFonts w:ascii="Arial" w:hAnsi="Arial" w:cs="Arial"/>
                <w:sz w:val="18"/>
                <w:szCs w:val="18"/>
              </w:rPr>
              <w:t xml:space="preserve">▪ </w:t>
            </w:r>
            <w:proofErr w:type="spellStart"/>
            <w:r w:rsidR="00CA2919">
              <w:rPr>
                <w:rFonts w:ascii="Arial" w:hAnsi="Arial" w:cs="Arial"/>
                <w:sz w:val="18"/>
                <w:szCs w:val="18"/>
              </w:rPr>
              <w:t>Agencia</w:t>
            </w:r>
            <w:proofErr w:type="spellEnd"/>
            <w:r w:rsidR="00CA2919">
              <w:rPr>
                <w:rFonts w:ascii="Arial" w:hAnsi="Arial" w:cs="Arial"/>
                <w:sz w:val="18"/>
                <w:szCs w:val="18"/>
              </w:rPr>
              <w:t xml:space="preserve"> </w:t>
            </w:r>
            <w:proofErr w:type="spellStart"/>
            <w:r>
              <w:rPr>
                <w:rFonts w:ascii="Arial" w:hAnsi="Arial" w:cs="Arial"/>
                <w:sz w:val="18"/>
                <w:szCs w:val="18"/>
              </w:rPr>
              <w:t>Execut</w:t>
            </w:r>
            <w:r w:rsidR="00CA2919">
              <w:rPr>
                <w:rFonts w:ascii="Arial" w:hAnsi="Arial" w:cs="Arial"/>
                <w:sz w:val="18"/>
                <w:szCs w:val="18"/>
              </w:rPr>
              <w:t>ora</w:t>
            </w:r>
            <w:proofErr w:type="spellEnd"/>
            <w:r>
              <w:rPr>
                <w:rFonts w:ascii="Arial" w:hAnsi="Arial" w:cs="Arial"/>
                <w:sz w:val="18"/>
                <w:szCs w:val="18"/>
              </w:rPr>
              <w:t>:</w:t>
            </w:r>
          </w:p>
        </w:tc>
        <w:tc>
          <w:tcPr>
            <w:tcW w:w="5143" w:type="dxa"/>
          </w:tcPr>
          <w:p w:rsidR="00D8700D" w:rsidRPr="00CA2919" w:rsidRDefault="00CA2919">
            <w:pPr>
              <w:spacing w:before="40" w:after="40"/>
              <w:rPr>
                <w:lang w:val="es-ES_tradnl"/>
              </w:rPr>
            </w:pPr>
            <w:r w:rsidRPr="00CA2919">
              <w:rPr>
                <w:rFonts w:ascii="Arial" w:hAnsi="Arial" w:cs="Arial"/>
                <w:sz w:val="18"/>
                <w:szCs w:val="18"/>
                <w:lang w:val="es-ES_tradnl"/>
              </w:rPr>
              <w:t>Banco Interamericano de Desarrollo, S</w:t>
            </w:r>
            <w:r>
              <w:rPr>
                <w:rFonts w:ascii="Arial" w:hAnsi="Arial" w:cs="Arial"/>
                <w:sz w:val="18"/>
                <w:szCs w:val="18"/>
                <w:lang w:val="es-ES_tradnl"/>
              </w:rPr>
              <w:t>ector Social, División de Mercados Laborales (SCL/LMK)</w:t>
            </w:r>
          </w:p>
        </w:tc>
      </w:tr>
      <w:tr w:rsidR="00CA2919" w:rsidTr="00761BD1">
        <w:trPr>
          <w:jc w:val="center"/>
        </w:trPr>
        <w:tc>
          <w:tcPr>
            <w:tcW w:w="4099" w:type="dxa"/>
          </w:tcPr>
          <w:p w:rsidR="00D8700D" w:rsidRDefault="00EA68A3">
            <w:pPr>
              <w:spacing w:before="40" w:after="40"/>
              <w:ind w:left="115" w:hanging="115"/>
            </w:pPr>
            <w:r>
              <w:rPr>
                <w:rFonts w:ascii="Arial" w:hAnsi="Arial" w:cs="Arial"/>
                <w:sz w:val="18"/>
                <w:szCs w:val="18"/>
              </w:rPr>
              <w:t xml:space="preserve">▪ </w:t>
            </w:r>
            <w:proofErr w:type="spellStart"/>
            <w:r w:rsidR="00CA2919">
              <w:rPr>
                <w:rFonts w:ascii="Arial" w:hAnsi="Arial" w:cs="Arial"/>
                <w:sz w:val="18"/>
                <w:szCs w:val="18"/>
              </w:rPr>
              <w:t>F</w:t>
            </w:r>
            <w:r w:rsidR="00761BD1">
              <w:rPr>
                <w:rFonts w:ascii="Arial" w:hAnsi="Arial" w:cs="Arial"/>
                <w:sz w:val="18"/>
                <w:szCs w:val="18"/>
              </w:rPr>
              <w:t>inanciamiento</w:t>
            </w:r>
            <w:proofErr w:type="spellEnd"/>
            <w:r w:rsidR="00761BD1">
              <w:rPr>
                <w:rFonts w:ascii="Arial" w:hAnsi="Arial" w:cs="Arial"/>
                <w:sz w:val="18"/>
                <w:szCs w:val="18"/>
              </w:rPr>
              <w:t xml:space="preserve"> </w:t>
            </w:r>
            <w:proofErr w:type="spellStart"/>
            <w:r w:rsidR="00CA2919">
              <w:rPr>
                <w:rFonts w:ascii="Arial" w:hAnsi="Arial" w:cs="Arial"/>
                <w:sz w:val="18"/>
                <w:szCs w:val="18"/>
              </w:rPr>
              <w:t>solicitado</w:t>
            </w:r>
            <w:proofErr w:type="spellEnd"/>
            <w:r w:rsidR="00CA2919">
              <w:rPr>
                <w:rFonts w:ascii="Arial" w:hAnsi="Arial" w:cs="Arial"/>
                <w:sz w:val="18"/>
                <w:szCs w:val="18"/>
              </w:rPr>
              <w:t xml:space="preserve"> B</w:t>
            </w:r>
            <w:r>
              <w:rPr>
                <w:rFonts w:ascii="Arial" w:hAnsi="Arial" w:cs="Arial"/>
                <w:sz w:val="18"/>
                <w:szCs w:val="18"/>
              </w:rPr>
              <w:t>ID:</w:t>
            </w:r>
          </w:p>
        </w:tc>
        <w:tc>
          <w:tcPr>
            <w:tcW w:w="5143" w:type="dxa"/>
          </w:tcPr>
          <w:p w:rsidR="00D8700D" w:rsidRDefault="00CA2919">
            <w:pPr>
              <w:bidi/>
              <w:spacing w:before="40" w:after="40"/>
            </w:pPr>
            <w:r>
              <w:rPr>
                <w:rFonts w:ascii="Arial" w:hAnsi="Arial" w:cs="Arial"/>
                <w:sz w:val="18"/>
                <w:szCs w:val="18"/>
              </w:rPr>
              <w:t>US</w:t>
            </w:r>
            <w:r w:rsidR="00EA68A3">
              <w:rPr>
                <w:rFonts w:ascii="Arial" w:hAnsi="Arial" w:cs="Arial"/>
                <w:sz w:val="18"/>
                <w:szCs w:val="18"/>
              </w:rPr>
              <w:t>$ 300,000</w:t>
            </w:r>
          </w:p>
        </w:tc>
      </w:tr>
      <w:tr w:rsidR="00CA2919" w:rsidTr="00761BD1">
        <w:trPr>
          <w:jc w:val="center"/>
        </w:trPr>
        <w:tc>
          <w:tcPr>
            <w:tcW w:w="4099" w:type="dxa"/>
          </w:tcPr>
          <w:p w:rsidR="00D8700D" w:rsidRDefault="00EA68A3">
            <w:pPr>
              <w:spacing w:before="40" w:after="40"/>
              <w:ind w:left="115" w:hanging="115"/>
            </w:pPr>
            <w:r>
              <w:rPr>
                <w:rFonts w:ascii="Arial" w:hAnsi="Arial" w:cs="Arial"/>
                <w:sz w:val="18"/>
                <w:szCs w:val="18"/>
              </w:rPr>
              <w:t xml:space="preserve">▪ </w:t>
            </w:r>
            <w:proofErr w:type="spellStart"/>
            <w:r w:rsidR="00761BD1">
              <w:rPr>
                <w:rFonts w:ascii="Arial" w:hAnsi="Arial" w:cs="Arial"/>
                <w:sz w:val="18"/>
                <w:szCs w:val="18"/>
              </w:rPr>
              <w:t>C</w:t>
            </w:r>
            <w:r w:rsidR="00CA2919">
              <w:rPr>
                <w:rFonts w:ascii="Arial" w:hAnsi="Arial" w:cs="Arial"/>
                <w:sz w:val="18"/>
                <w:szCs w:val="18"/>
              </w:rPr>
              <w:t>ontrapartida</w:t>
            </w:r>
            <w:proofErr w:type="spellEnd"/>
            <w:r w:rsidR="00CA2919">
              <w:rPr>
                <w:rFonts w:ascii="Arial" w:hAnsi="Arial" w:cs="Arial"/>
                <w:sz w:val="18"/>
                <w:szCs w:val="18"/>
              </w:rPr>
              <w:t xml:space="preserve"> l</w:t>
            </w:r>
            <w:r>
              <w:rPr>
                <w:rFonts w:ascii="Arial" w:hAnsi="Arial" w:cs="Arial"/>
                <w:sz w:val="18"/>
                <w:szCs w:val="18"/>
              </w:rPr>
              <w:t>:</w:t>
            </w:r>
          </w:p>
        </w:tc>
        <w:tc>
          <w:tcPr>
            <w:tcW w:w="5143" w:type="dxa"/>
          </w:tcPr>
          <w:p w:rsidR="00D8700D" w:rsidRDefault="00EA68A3">
            <w:pPr>
              <w:bidi/>
              <w:spacing w:before="40" w:after="40"/>
            </w:pPr>
            <w:r>
              <w:rPr>
                <w:rFonts w:ascii="Arial" w:hAnsi="Arial" w:cs="Arial"/>
                <w:sz w:val="18"/>
                <w:szCs w:val="18"/>
              </w:rPr>
              <w:t>$ 0</w:t>
            </w:r>
          </w:p>
        </w:tc>
      </w:tr>
      <w:tr w:rsidR="00A13343" w:rsidRPr="00A13343" w:rsidTr="00761BD1">
        <w:trPr>
          <w:jc w:val="center"/>
        </w:trPr>
        <w:tc>
          <w:tcPr>
            <w:tcW w:w="4099" w:type="dxa"/>
          </w:tcPr>
          <w:p w:rsidR="00D8700D" w:rsidRPr="00A13343" w:rsidRDefault="00EA68A3">
            <w:pPr>
              <w:spacing w:before="40" w:after="40"/>
              <w:ind w:left="115" w:hanging="115"/>
              <w:rPr>
                <w:lang w:val="es-ES_tradnl"/>
              </w:rPr>
            </w:pPr>
            <w:r w:rsidRPr="00A13343">
              <w:rPr>
                <w:rFonts w:ascii="Arial" w:hAnsi="Arial" w:cs="Arial"/>
                <w:sz w:val="18"/>
                <w:szCs w:val="18"/>
                <w:lang w:val="es-ES_tradnl"/>
              </w:rPr>
              <w:t xml:space="preserve">▪ </w:t>
            </w:r>
            <w:r w:rsidR="00CA2919" w:rsidRPr="00A13343">
              <w:rPr>
                <w:rFonts w:ascii="Arial" w:hAnsi="Arial" w:cs="Arial"/>
                <w:sz w:val="18"/>
                <w:szCs w:val="18"/>
                <w:lang w:val="es-ES_tradnl"/>
              </w:rPr>
              <w:t>Períodos de ejecución y desembolso</w:t>
            </w:r>
            <w:r w:rsidRPr="00A13343">
              <w:rPr>
                <w:rFonts w:ascii="Arial" w:hAnsi="Arial" w:cs="Arial"/>
                <w:sz w:val="18"/>
                <w:szCs w:val="18"/>
                <w:lang w:val="es-ES_tradnl"/>
              </w:rPr>
              <w:t>:</w:t>
            </w:r>
          </w:p>
        </w:tc>
        <w:tc>
          <w:tcPr>
            <w:tcW w:w="5143" w:type="dxa"/>
          </w:tcPr>
          <w:p w:rsidR="00D8700D" w:rsidRPr="00A13343" w:rsidRDefault="00EA68A3">
            <w:pPr>
              <w:bidi/>
              <w:spacing w:before="40" w:after="40"/>
            </w:pPr>
            <w:r w:rsidRPr="00A13343">
              <w:rPr>
                <w:rFonts w:ascii="Arial" w:hAnsi="Arial" w:cs="Arial"/>
                <w:sz w:val="18"/>
                <w:szCs w:val="18"/>
              </w:rPr>
              <w:t>36 months</w:t>
            </w:r>
          </w:p>
        </w:tc>
      </w:tr>
      <w:tr w:rsidR="00A13343" w:rsidRPr="00A13343" w:rsidTr="00761BD1">
        <w:trPr>
          <w:jc w:val="center"/>
        </w:trPr>
        <w:tc>
          <w:tcPr>
            <w:tcW w:w="4099" w:type="dxa"/>
          </w:tcPr>
          <w:p w:rsidR="00D8700D" w:rsidRPr="00A13343" w:rsidRDefault="00EA68A3">
            <w:pPr>
              <w:spacing w:before="40" w:after="40"/>
              <w:ind w:left="115" w:hanging="115"/>
            </w:pPr>
            <w:r w:rsidRPr="00A13343">
              <w:rPr>
                <w:rFonts w:ascii="Arial" w:hAnsi="Arial" w:cs="Arial"/>
                <w:sz w:val="18"/>
                <w:szCs w:val="18"/>
              </w:rPr>
              <w:t xml:space="preserve">▪ </w:t>
            </w:r>
            <w:proofErr w:type="spellStart"/>
            <w:r w:rsidR="00A13343">
              <w:rPr>
                <w:rFonts w:ascii="Arial" w:hAnsi="Arial" w:cs="Arial"/>
                <w:sz w:val="18"/>
                <w:szCs w:val="18"/>
              </w:rPr>
              <w:t>T</w:t>
            </w:r>
            <w:r w:rsidR="00CA2919" w:rsidRPr="00A13343">
              <w:rPr>
                <w:rFonts w:ascii="Arial" w:hAnsi="Arial" w:cs="Arial"/>
                <w:sz w:val="18"/>
                <w:szCs w:val="18"/>
              </w:rPr>
              <w:t>ipos</w:t>
            </w:r>
            <w:proofErr w:type="spellEnd"/>
            <w:r w:rsidR="00CA2919" w:rsidRPr="00A13343">
              <w:rPr>
                <w:rFonts w:ascii="Arial" w:hAnsi="Arial" w:cs="Arial"/>
                <w:sz w:val="18"/>
                <w:szCs w:val="18"/>
              </w:rPr>
              <w:t xml:space="preserve"> de </w:t>
            </w:r>
            <w:proofErr w:type="spellStart"/>
            <w:r w:rsidR="00CA2919" w:rsidRPr="00A13343">
              <w:rPr>
                <w:rFonts w:ascii="Arial" w:hAnsi="Arial" w:cs="Arial"/>
                <w:sz w:val="18"/>
                <w:szCs w:val="18"/>
              </w:rPr>
              <w:t>consultores</w:t>
            </w:r>
            <w:proofErr w:type="spellEnd"/>
            <w:r w:rsidRPr="00A13343">
              <w:rPr>
                <w:rFonts w:ascii="Arial" w:hAnsi="Arial" w:cs="Arial"/>
                <w:sz w:val="18"/>
                <w:szCs w:val="18"/>
              </w:rPr>
              <w:t>:</w:t>
            </w:r>
          </w:p>
        </w:tc>
        <w:tc>
          <w:tcPr>
            <w:tcW w:w="5143" w:type="dxa"/>
          </w:tcPr>
          <w:p w:rsidR="00D8700D" w:rsidRPr="00A13343" w:rsidRDefault="00EA68A3">
            <w:pPr>
              <w:spacing w:before="40" w:after="40"/>
            </w:pPr>
            <w:r w:rsidRPr="00A13343">
              <w:rPr>
                <w:rFonts w:ascii="Arial" w:hAnsi="Arial" w:cs="Arial"/>
                <w:sz w:val="18"/>
                <w:szCs w:val="18"/>
              </w:rPr>
              <w:t>Individual</w:t>
            </w:r>
            <w:r w:rsidR="00D27425" w:rsidRPr="00A13343">
              <w:rPr>
                <w:rFonts w:ascii="Arial" w:hAnsi="Arial" w:cs="Arial"/>
                <w:sz w:val="18"/>
                <w:szCs w:val="18"/>
              </w:rPr>
              <w:t xml:space="preserve"> consultant</w:t>
            </w:r>
            <w:r w:rsidRPr="00A13343">
              <w:rPr>
                <w:rFonts w:ascii="Arial" w:hAnsi="Arial" w:cs="Arial"/>
                <w:sz w:val="18"/>
                <w:szCs w:val="18"/>
              </w:rPr>
              <w:t>s</w:t>
            </w:r>
            <w:r w:rsidR="00344B86" w:rsidRPr="00A13343">
              <w:rPr>
                <w:rFonts w:ascii="Arial" w:hAnsi="Arial" w:cs="Arial"/>
                <w:sz w:val="18"/>
                <w:szCs w:val="18"/>
              </w:rPr>
              <w:t xml:space="preserve"> and firms</w:t>
            </w:r>
          </w:p>
        </w:tc>
      </w:tr>
      <w:tr w:rsidR="00A13343" w:rsidRPr="00A30514" w:rsidTr="00761BD1">
        <w:trPr>
          <w:jc w:val="center"/>
        </w:trPr>
        <w:tc>
          <w:tcPr>
            <w:tcW w:w="4099" w:type="dxa"/>
          </w:tcPr>
          <w:p w:rsidR="00D8700D" w:rsidRPr="00A13343" w:rsidRDefault="00EA68A3">
            <w:pPr>
              <w:spacing w:before="40" w:after="40"/>
              <w:ind w:left="115" w:hanging="115"/>
            </w:pPr>
            <w:r w:rsidRPr="00A13343">
              <w:rPr>
                <w:rFonts w:ascii="Arial" w:hAnsi="Arial" w:cs="Arial"/>
                <w:sz w:val="18"/>
                <w:szCs w:val="18"/>
              </w:rPr>
              <w:t xml:space="preserve">▪ </w:t>
            </w:r>
            <w:proofErr w:type="spellStart"/>
            <w:r w:rsidRPr="00A13343">
              <w:rPr>
                <w:rFonts w:ascii="Arial" w:hAnsi="Arial" w:cs="Arial"/>
                <w:sz w:val="18"/>
                <w:szCs w:val="18"/>
              </w:rPr>
              <w:t>Prepar</w:t>
            </w:r>
            <w:r w:rsidR="00CA2919" w:rsidRPr="00A13343">
              <w:rPr>
                <w:rFonts w:ascii="Arial" w:hAnsi="Arial" w:cs="Arial"/>
                <w:sz w:val="18"/>
                <w:szCs w:val="18"/>
              </w:rPr>
              <w:t>ado</w:t>
            </w:r>
            <w:proofErr w:type="spellEnd"/>
            <w:r w:rsidR="00CA2919" w:rsidRPr="00A13343">
              <w:rPr>
                <w:rFonts w:ascii="Arial" w:hAnsi="Arial" w:cs="Arial"/>
                <w:sz w:val="18"/>
                <w:szCs w:val="18"/>
              </w:rPr>
              <w:t xml:space="preserve"> por Unidad</w:t>
            </w:r>
            <w:r w:rsidRPr="00A13343">
              <w:rPr>
                <w:rFonts w:ascii="Arial" w:hAnsi="Arial" w:cs="Arial"/>
                <w:sz w:val="18"/>
                <w:szCs w:val="18"/>
              </w:rPr>
              <w:t>:</w:t>
            </w:r>
          </w:p>
        </w:tc>
        <w:tc>
          <w:tcPr>
            <w:tcW w:w="5143" w:type="dxa"/>
          </w:tcPr>
          <w:p w:rsidR="00D8700D" w:rsidRPr="00A13343" w:rsidRDefault="00CA2919">
            <w:pPr>
              <w:spacing w:before="40" w:after="40"/>
              <w:rPr>
                <w:lang w:val="es-ES_tradnl"/>
              </w:rPr>
            </w:pPr>
            <w:r w:rsidRPr="00A13343">
              <w:rPr>
                <w:rFonts w:ascii="Arial" w:hAnsi="Arial" w:cs="Arial"/>
                <w:sz w:val="18"/>
                <w:szCs w:val="18"/>
                <w:lang w:val="es-ES_tradnl"/>
              </w:rPr>
              <w:t>División de Mercados Laborales</w:t>
            </w:r>
            <w:r w:rsidR="00D27425" w:rsidRPr="00A13343">
              <w:rPr>
                <w:rFonts w:ascii="Arial" w:hAnsi="Arial" w:cs="Arial"/>
                <w:sz w:val="18"/>
                <w:szCs w:val="18"/>
                <w:lang w:val="es-ES_tradnl"/>
              </w:rPr>
              <w:t xml:space="preserve"> (SCL/LMK)</w:t>
            </w:r>
          </w:p>
        </w:tc>
      </w:tr>
      <w:tr w:rsidR="00A13343" w:rsidRPr="00A13343" w:rsidTr="00761BD1">
        <w:trPr>
          <w:jc w:val="center"/>
        </w:trPr>
        <w:tc>
          <w:tcPr>
            <w:tcW w:w="4099" w:type="dxa"/>
          </w:tcPr>
          <w:p w:rsidR="00D8700D" w:rsidRPr="00A13343" w:rsidRDefault="00EA68A3">
            <w:pPr>
              <w:spacing w:before="40" w:after="40"/>
              <w:ind w:left="115" w:hanging="115"/>
              <w:rPr>
                <w:lang w:val="es-ES_tradnl"/>
              </w:rPr>
            </w:pPr>
            <w:r w:rsidRPr="00A13343">
              <w:rPr>
                <w:rFonts w:ascii="Arial" w:hAnsi="Arial" w:cs="Arial"/>
                <w:sz w:val="18"/>
                <w:szCs w:val="18"/>
                <w:lang w:val="es-ES_tradnl"/>
              </w:rPr>
              <w:t xml:space="preserve">▪ </w:t>
            </w:r>
            <w:r w:rsidR="00761BD1" w:rsidRPr="00A13343">
              <w:rPr>
                <w:rFonts w:ascii="Arial" w:hAnsi="Arial" w:cs="Arial"/>
                <w:sz w:val="18"/>
                <w:szCs w:val="18"/>
                <w:lang w:val="es-ES_tradnl"/>
              </w:rPr>
              <w:t xml:space="preserve">Unidad con </w:t>
            </w:r>
            <w:r w:rsidR="00A30514" w:rsidRPr="00A13343">
              <w:rPr>
                <w:rFonts w:ascii="Arial" w:hAnsi="Arial" w:cs="Arial"/>
                <w:sz w:val="18"/>
                <w:szCs w:val="18"/>
                <w:lang w:val="es-ES_tradnl"/>
              </w:rPr>
              <w:t>Responsabilidad</w:t>
            </w:r>
            <w:r w:rsidR="00761BD1" w:rsidRPr="00A13343">
              <w:rPr>
                <w:rFonts w:ascii="Arial" w:hAnsi="Arial" w:cs="Arial"/>
                <w:sz w:val="18"/>
                <w:szCs w:val="18"/>
                <w:lang w:val="es-ES_tradnl"/>
              </w:rPr>
              <w:t xml:space="preserve"> de Desembolso</w:t>
            </w:r>
            <w:r w:rsidRPr="00A13343">
              <w:rPr>
                <w:rFonts w:ascii="Arial" w:hAnsi="Arial" w:cs="Arial"/>
                <w:sz w:val="18"/>
                <w:szCs w:val="18"/>
                <w:lang w:val="es-ES_tradnl"/>
              </w:rPr>
              <w:t>:</w:t>
            </w:r>
          </w:p>
        </w:tc>
        <w:tc>
          <w:tcPr>
            <w:tcW w:w="5143" w:type="dxa"/>
          </w:tcPr>
          <w:p w:rsidR="00D8700D" w:rsidRPr="00A30514" w:rsidRDefault="00EA68A3">
            <w:pPr>
              <w:spacing w:before="40" w:after="40"/>
            </w:pPr>
            <w:r w:rsidRPr="00A30514">
              <w:rPr>
                <w:rFonts w:ascii="Arial" w:hAnsi="Arial" w:cs="Arial"/>
                <w:sz w:val="18"/>
                <w:szCs w:val="18"/>
              </w:rPr>
              <w:t>Country Off</w:t>
            </w:r>
            <w:r w:rsidR="00D27425" w:rsidRPr="00A30514">
              <w:rPr>
                <w:rFonts w:ascii="Arial" w:hAnsi="Arial" w:cs="Arial"/>
                <w:sz w:val="18"/>
                <w:szCs w:val="18"/>
              </w:rPr>
              <w:t>ice</w:t>
            </w:r>
            <w:r w:rsidRPr="00A30514">
              <w:rPr>
                <w:rFonts w:ascii="Arial" w:hAnsi="Arial" w:cs="Arial"/>
                <w:sz w:val="18"/>
                <w:szCs w:val="18"/>
              </w:rPr>
              <w:t xml:space="preserve"> Dominican Republic</w:t>
            </w:r>
            <w:r w:rsidR="00D27425" w:rsidRPr="00A30514">
              <w:rPr>
                <w:rFonts w:ascii="Arial" w:hAnsi="Arial" w:cs="Arial"/>
                <w:sz w:val="18"/>
                <w:szCs w:val="18"/>
              </w:rPr>
              <w:t xml:space="preserve"> (COF/CDR)</w:t>
            </w:r>
          </w:p>
        </w:tc>
      </w:tr>
      <w:tr w:rsidR="00A13343" w:rsidRPr="00A13343" w:rsidTr="00761BD1">
        <w:trPr>
          <w:jc w:val="center"/>
        </w:trPr>
        <w:tc>
          <w:tcPr>
            <w:tcW w:w="4099" w:type="dxa"/>
          </w:tcPr>
          <w:p w:rsidR="00D8700D" w:rsidRPr="00A13343" w:rsidRDefault="00EA68A3">
            <w:pPr>
              <w:spacing w:before="40" w:after="40"/>
              <w:rPr>
                <w:lang w:val="es-ES_tradnl"/>
              </w:rPr>
            </w:pPr>
            <w:r w:rsidRPr="00A13343">
              <w:rPr>
                <w:rFonts w:ascii="Arial" w:hAnsi="Arial" w:cs="Arial"/>
                <w:sz w:val="18"/>
                <w:szCs w:val="18"/>
                <w:lang w:val="es-ES_tradnl"/>
              </w:rPr>
              <w:t xml:space="preserve">▪ </w:t>
            </w:r>
            <w:r w:rsidR="00761BD1" w:rsidRPr="00A13343">
              <w:rPr>
                <w:rFonts w:ascii="Arial" w:hAnsi="Arial" w:cs="Arial"/>
                <w:sz w:val="18"/>
                <w:szCs w:val="18"/>
                <w:lang w:val="es-ES_tradnl"/>
              </w:rPr>
              <w:t>C</w:t>
            </w:r>
            <w:r w:rsidRPr="00A13343">
              <w:rPr>
                <w:rFonts w:ascii="Arial" w:hAnsi="Arial" w:cs="Arial"/>
                <w:sz w:val="18"/>
                <w:szCs w:val="18"/>
                <w:lang w:val="es-ES_tradnl"/>
              </w:rPr>
              <w:t>T</w:t>
            </w:r>
            <w:r w:rsidR="00761BD1" w:rsidRPr="00A13343">
              <w:rPr>
                <w:rFonts w:ascii="Arial" w:hAnsi="Arial" w:cs="Arial"/>
                <w:sz w:val="18"/>
                <w:szCs w:val="18"/>
                <w:lang w:val="es-ES_tradnl"/>
              </w:rPr>
              <w:t xml:space="preserve"> incluida en Estrategia de País</w:t>
            </w:r>
            <w:r w:rsidRPr="00A13343">
              <w:rPr>
                <w:rFonts w:ascii="Arial" w:hAnsi="Arial" w:cs="Arial"/>
                <w:sz w:val="18"/>
                <w:szCs w:val="18"/>
                <w:lang w:val="es-ES_tradnl"/>
              </w:rPr>
              <w:t xml:space="preserve"> (y/n):</w:t>
            </w:r>
            <w:r w:rsidRPr="00A13343">
              <w:rPr>
                <w:rFonts w:ascii="Arial" w:hAnsi="Arial" w:cs="Arial"/>
                <w:sz w:val="18"/>
                <w:szCs w:val="18"/>
                <w:lang w:val="es-ES_tradnl"/>
              </w:rPr>
              <w:br/>
              <w:t xml:space="preserve">▪ </w:t>
            </w:r>
            <w:r w:rsidR="00761BD1" w:rsidRPr="00A13343">
              <w:rPr>
                <w:rFonts w:ascii="Arial" w:hAnsi="Arial" w:cs="Arial"/>
                <w:sz w:val="18"/>
                <w:szCs w:val="18"/>
                <w:lang w:val="es-ES_tradnl"/>
              </w:rPr>
              <w:t>C</w:t>
            </w:r>
            <w:r w:rsidRPr="00A13343">
              <w:rPr>
                <w:rFonts w:ascii="Arial" w:hAnsi="Arial" w:cs="Arial"/>
                <w:sz w:val="18"/>
                <w:szCs w:val="18"/>
                <w:lang w:val="es-ES_tradnl"/>
              </w:rPr>
              <w:t>T</w:t>
            </w:r>
            <w:r w:rsidR="00761BD1" w:rsidRPr="00A13343">
              <w:rPr>
                <w:rFonts w:ascii="Arial" w:hAnsi="Arial" w:cs="Arial"/>
                <w:sz w:val="18"/>
                <w:szCs w:val="18"/>
                <w:lang w:val="es-ES_tradnl"/>
              </w:rPr>
              <w:t xml:space="preserve"> incluida en </w:t>
            </w:r>
            <w:r w:rsidRPr="00A13343">
              <w:rPr>
                <w:rFonts w:ascii="Arial" w:hAnsi="Arial" w:cs="Arial"/>
                <w:sz w:val="18"/>
                <w:szCs w:val="18"/>
                <w:lang w:val="es-ES_tradnl"/>
              </w:rPr>
              <w:t>CPD (y/n):</w:t>
            </w:r>
          </w:p>
        </w:tc>
        <w:tc>
          <w:tcPr>
            <w:tcW w:w="5143" w:type="dxa"/>
          </w:tcPr>
          <w:p w:rsidR="00D8700D" w:rsidRPr="00A13343" w:rsidRDefault="00761BD1">
            <w:pPr>
              <w:spacing w:before="40" w:after="40"/>
            </w:pPr>
            <w:r w:rsidRPr="00A13343">
              <w:rPr>
                <w:rFonts w:ascii="Arial" w:hAnsi="Arial" w:cs="Arial"/>
                <w:sz w:val="18"/>
                <w:szCs w:val="18"/>
              </w:rPr>
              <w:t>Si</w:t>
            </w:r>
            <w:r w:rsidR="00EA68A3" w:rsidRPr="00A13343">
              <w:rPr>
                <w:rFonts w:ascii="Arial" w:hAnsi="Arial" w:cs="Arial"/>
                <w:sz w:val="18"/>
                <w:szCs w:val="18"/>
              </w:rPr>
              <w:br/>
            </w:r>
            <w:r w:rsidRPr="00A13343">
              <w:rPr>
                <w:rFonts w:ascii="Arial" w:hAnsi="Arial" w:cs="Arial"/>
                <w:sz w:val="18"/>
                <w:szCs w:val="18"/>
              </w:rPr>
              <w:t>Si</w:t>
            </w:r>
          </w:p>
        </w:tc>
      </w:tr>
      <w:tr w:rsidR="00A13343" w:rsidRPr="00A30514" w:rsidTr="00761BD1">
        <w:trPr>
          <w:jc w:val="center"/>
        </w:trPr>
        <w:tc>
          <w:tcPr>
            <w:tcW w:w="4099" w:type="dxa"/>
          </w:tcPr>
          <w:p w:rsidR="00D8700D" w:rsidRPr="00A13343" w:rsidRDefault="00EA68A3">
            <w:pPr>
              <w:spacing w:before="40" w:after="40"/>
              <w:ind w:left="115" w:hanging="115"/>
              <w:rPr>
                <w:lang w:val="es-ES_tradnl"/>
              </w:rPr>
            </w:pPr>
            <w:r w:rsidRPr="00A13343">
              <w:rPr>
                <w:rFonts w:ascii="Arial" w:hAnsi="Arial" w:cs="Arial"/>
                <w:sz w:val="18"/>
                <w:szCs w:val="18"/>
                <w:lang w:val="es-ES_tradnl"/>
              </w:rPr>
              <w:t xml:space="preserve">▪ </w:t>
            </w:r>
            <w:r w:rsidR="00761BD1" w:rsidRPr="00A13343">
              <w:rPr>
                <w:rFonts w:ascii="Arial" w:hAnsi="Arial" w:cs="Arial"/>
                <w:sz w:val="18"/>
                <w:szCs w:val="18"/>
                <w:lang w:val="es-ES_tradnl"/>
              </w:rPr>
              <w:t xml:space="preserve">Alineación a la Actualización de la Estrategia Institucional </w:t>
            </w:r>
            <w:r w:rsidRPr="00A13343">
              <w:rPr>
                <w:rFonts w:ascii="Arial" w:hAnsi="Arial" w:cs="Arial"/>
                <w:sz w:val="18"/>
                <w:szCs w:val="18"/>
                <w:lang w:val="es-ES_tradnl"/>
              </w:rPr>
              <w:t>2010-2020:</w:t>
            </w:r>
          </w:p>
        </w:tc>
        <w:tc>
          <w:tcPr>
            <w:tcW w:w="5143" w:type="dxa"/>
          </w:tcPr>
          <w:p w:rsidR="00D8700D" w:rsidRPr="00A13343" w:rsidRDefault="00761BD1">
            <w:pPr>
              <w:spacing w:before="40" w:after="40"/>
              <w:rPr>
                <w:lang w:val="es-ES_tradnl"/>
              </w:rPr>
            </w:pPr>
            <w:r w:rsidRPr="00A13343">
              <w:rPr>
                <w:rFonts w:ascii="Arial" w:hAnsi="Arial" w:cs="Arial"/>
                <w:sz w:val="18"/>
                <w:szCs w:val="18"/>
                <w:lang w:val="es-ES_tradnl"/>
              </w:rPr>
              <w:t>Inclusión y equidad social</w:t>
            </w:r>
            <w:r w:rsidR="00EA68A3" w:rsidRPr="00A13343">
              <w:rPr>
                <w:rFonts w:ascii="Arial" w:hAnsi="Arial" w:cs="Arial"/>
                <w:sz w:val="18"/>
                <w:szCs w:val="18"/>
                <w:lang w:val="es-ES_tradnl"/>
              </w:rPr>
              <w:t>;</w:t>
            </w:r>
            <w:r w:rsidRPr="00A13343">
              <w:rPr>
                <w:rFonts w:ascii="Arial" w:hAnsi="Arial" w:cs="Arial"/>
                <w:sz w:val="18"/>
                <w:szCs w:val="18"/>
                <w:lang w:val="es-ES_tradnl"/>
              </w:rPr>
              <w:t xml:space="preserve"> productividad e innovación</w:t>
            </w:r>
          </w:p>
        </w:tc>
      </w:tr>
    </w:tbl>
    <w:p w:rsidR="00D8700D" w:rsidRPr="00A13343" w:rsidRDefault="00EA68A3">
      <w:pPr>
        <w:spacing w:before="120" w:after="120"/>
        <w:ind w:left="579" w:hanging="579"/>
        <w:rPr>
          <w:lang w:val="es-ES_tradnl"/>
        </w:rPr>
      </w:pPr>
      <w:r w:rsidRPr="00A13343">
        <w:rPr>
          <w:rFonts w:ascii="Arial" w:hAnsi="Arial" w:cs="Arial"/>
          <w:b/>
          <w:lang w:val="es-ES_tradnl"/>
        </w:rPr>
        <w:t>II.</w:t>
      </w:r>
      <w:r w:rsidRPr="00A13343">
        <w:rPr>
          <w:rFonts w:ascii="Arial" w:hAnsi="Arial" w:cs="Arial"/>
          <w:b/>
          <w:lang w:val="es-ES_tradnl"/>
        </w:rPr>
        <w:tab/>
        <w:t>Objetiv</w:t>
      </w:r>
      <w:r w:rsidR="00244CB7" w:rsidRPr="00A13343">
        <w:rPr>
          <w:rFonts w:ascii="Arial" w:hAnsi="Arial" w:cs="Arial"/>
          <w:b/>
          <w:lang w:val="es-ES_tradnl"/>
        </w:rPr>
        <w:t>o y Justificación</w:t>
      </w:r>
    </w:p>
    <w:p w:rsidR="00D8700D" w:rsidRDefault="00EA68A3">
      <w:pPr>
        <w:spacing w:before="120" w:after="120"/>
        <w:ind w:left="579" w:hanging="579"/>
        <w:jc w:val="both"/>
        <w:rPr>
          <w:rFonts w:ascii="Arial" w:hAnsi="Arial" w:cs="Arial"/>
          <w:lang w:val="es-ES_tradnl"/>
        </w:rPr>
      </w:pPr>
      <w:r w:rsidRPr="00761BD1">
        <w:rPr>
          <w:rFonts w:ascii="Arial" w:hAnsi="Arial" w:cs="Arial"/>
          <w:lang w:val="es-ES_tradnl"/>
        </w:rPr>
        <w:t>2.1</w:t>
      </w:r>
      <w:r w:rsidRPr="00761BD1">
        <w:rPr>
          <w:rFonts w:ascii="Arial" w:hAnsi="Arial" w:cs="Arial"/>
          <w:lang w:val="es-ES_tradnl"/>
        </w:rPr>
        <w:tab/>
      </w:r>
      <w:r w:rsidR="00CA2919" w:rsidRPr="00761BD1">
        <w:rPr>
          <w:rFonts w:ascii="Arial" w:hAnsi="Arial" w:cs="Arial"/>
          <w:lang w:val="es-ES_tradnl"/>
        </w:rPr>
        <w:t>El objetivo de esta TC es generar evidencia y apoyo técn</w:t>
      </w:r>
      <w:r w:rsidR="00CA2919">
        <w:rPr>
          <w:rFonts w:ascii="Arial" w:hAnsi="Arial" w:cs="Arial"/>
          <w:lang w:val="es-ES_tradnl"/>
        </w:rPr>
        <w:t>ico para modernizar el diseño y expandir la cobertura de los programas de capacitación dual (modelo de aprendices que combina capacitación en aula y en el trabajo) de</w:t>
      </w:r>
      <w:r w:rsidR="00761BD1">
        <w:rPr>
          <w:rFonts w:ascii="Arial" w:hAnsi="Arial" w:cs="Arial"/>
          <w:lang w:val="es-ES_tradnl"/>
        </w:rPr>
        <w:t xml:space="preserve">l </w:t>
      </w:r>
      <w:r w:rsidR="00CA2919">
        <w:rPr>
          <w:rFonts w:ascii="Arial" w:hAnsi="Arial" w:cs="Arial"/>
          <w:lang w:val="es-ES_tradnl"/>
        </w:rPr>
        <w:t>Instituto Nacional de Formación Técnica Profesional</w:t>
      </w:r>
      <w:r w:rsidR="00761BD1">
        <w:rPr>
          <w:rFonts w:ascii="Arial" w:hAnsi="Arial" w:cs="Arial"/>
          <w:lang w:val="es-ES_tradnl"/>
        </w:rPr>
        <w:t xml:space="preserve"> (INFOTEP</w:t>
      </w:r>
      <w:r w:rsidR="00CA2919">
        <w:rPr>
          <w:rFonts w:ascii="Arial" w:hAnsi="Arial" w:cs="Arial"/>
          <w:lang w:val="es-ES_tradnl"/>
        </w:rPr>
        <w:t>)</w:t>
      </w:r>
      <w:r w:rsidR="00244CB7">
        <w:rPr>
          <w:rFonts w:ascii="Arial" w:hAnsi="Arial" w:cs="Arial"/>
          <w:lang w:val="es-ES_tradnl"/>
        </w:rPr>
        <w:t>.</w:t>
      </w:r>
    </w:p>
    <w:p w:rsidR="00D8700D" w:rsidRPr="00D27425" w:rsidRDefault="00EA68A3">
      <w:pPr>
        <w:spacing w:before="120" w:after="120"/>
        <w:ind w:left="579" w:hanging="579"/>
        <w:jc w:val="both"/>
        <w:rPr>
          <w:lang w:val="es-ES_tradnl"/>
        </w:rPr>
      </w:pPr>
      <w:r w:rsidRPr="00D27425">
        <w:rPr>
          <w:rFonts w:ascii="Arial" w:hAnsi="Arial" w:cs="Arial"/>
          <w:lang w:val="es-ES_tradnl"/>
        </w:rPr>
        <w:t>2.2</w:t>
      </w:r>
      <w:r w:rsidRPr="00D27425">
        <w:rPr>
          <w:rFonts w:ascii="Arial" w:hAnsi="Arial" w:cs="Arial"/>
          <w:lang w:val="es-ES_tradnl"/>
        </w:rPr>
        <w:tab/>
        <w:t>El INFOTEP ha identificado cuellos de botella a la ampliación de sus actividades de formación dual a más empresas, al tiempo que ha identificado al modelo dual como el proceso de formación con mayores resultados positivos en cuanto a empleabilidad y productividad. Por lo cual está buscando fortalecer su modelo y obtener apoyo técnico y financiero para llegar a más empresarios, y ampliar su escala.</w:t>
      </w:r>
    </w:p>
    <w:p w:rsidR="00D8700D" w:rsidRPr="00D27425" w:rsidRDefault="00EA68A3">
      <w:pPr>
        <w:spacing w:before="120" w:after="120"/>
        <w:ind w:left="579" w:hanging="579"/>
        <w:jc w:val="both"/>
        <w:rPr>
          <w:lang w:val="es-ES_tradnl"/>
        </w:rPr>
      </w:pPr>
      <w:r w:rsidRPr="00D27425">
        <w:rPr>
          <w:rFonts w:ascii="Arial" w:hAnsi="Arial" w:cs="Arial"/>
          <w:lang w:val="es-ES_tradnl"/>
        </w:rPr>
        <w:t>2.3</w:t>
      </w:r>
      <w:r w:rsidRPr="00D27425">
        <w:rPr>
          <w:rFonts w:ascii="Arial" w:hAnsi="Arial" w:cs="Arial"/>
          <w:lang w:val="es-ES_tradnl"/>
        </w:rPr>
        <w:tab/>
        <w:t>Invertir a escala en este proyecto supondría un cambio de paradigma en la formación para el trabajo en el país, logrando una transformación en el modelo de desarrollo de capital humano alineada al desarrollo productivo, que incluya: (i) un liderazgo fuerte del sector productivo en el sistema, que propicie una mayor inversión del mismo en formación; (ii) aumento de la pertinencia; (iii) un fortalecido aseguramiento de la calidad;  y (i</w:t>
      </w:r>
      <w:r w:rsidR="00D27425">
        <w:rPr>
          <w:rFonts w:ascii="Arial" w:hAnsi="Arial" w:cs="Arial"/>
          <w:lang w:val="es-ES_tradnl"/>
        </w:rPr>
        <w:t>v</w:t>
      </w:r>
      <w:r w:rsidRPr="00D27425">
        <w:rPr>
          <w:rFonts w:ascii="Arial" w:hAnsi="Arial" w:cs="Arial"/>
          <w:lang w:val="es-ES_tradnl"/>
        </w:rPr>
        <w:t>) una definición de los currículos, de la certificación de competencias, acorde a las necesidades de aprendices y empleadores. Esta transformación ser</w:t>
      </w:r>
      <w:r w:rsidR="00D27425">
        <w:rPr>
          <w:rFonts w:ascii="Arial" w:hAnsi="Arial" w:cs="Arial"/>
          <w:lang w:val="es-ES_tradnl"/>
        </w:rPr>
        <w:t>í</w:t>
      </w:r>
      <w:r w:rsidRPr="00D27425">
        <w:rPr>
          <w:rFonts w:ascii="Arial" w:hAnsi="Arial" w:cs="Arial"/>
          <w:lang w:val="es-ES_tradnl"/>
        </w:rPr>
        <w:t>a una estrategia ganar-ganar-ganar para el gobierno, los empleadores y los trabajadores, por lo cual su desarrollo debería constituirse en una alta prioridad para el país.</w:t>
      </w:r>
    </w:p>
    <w:p w:rsidR="00D8700D" w:rsidRPr="00761BD1" w:rsidRDefault="00EA68A3" w:rsidP="00D27425">
      <w:pPr>
        <w:keepNext/>
        <w:spacing w:before="120" w:after="120"/>
        <w:ind w:left="576" w:hanging="576"/>
        <w:rPr>
          <w:lang w:val="es-ES_tradnl"/>
        </w:rPr>
      </w:pPr>
      <w:r w:rsidRPr="00761BD1">
        <w:rPr>
          <w:rFonts w:ascii="Arial" w:hAnsi="Arial" w:cs="Arial"/>
          <w:b/>
          <w:lang w:val="es-ES_tradnl"/>
        </w:rPr>
        <w:t>III.</w:t>
      </w:r>
      <w:r w:rsidRPr="00761BD1">
        <w:rPr>
          <w:rFonts w:ascii="Arial" w:hAnsi="Arial" w:cs="Arial"/>
          <w:b/>
          <w:lang w:val="es-ES_tradnl"/>
        </w:rPr>
        <w:tab/>
      </w:r>
      <w:r w:rsidR="00244CB7" w:rsidRPr="00761BD1">
        <w:rPr>
          <w:rFonts w:ascii="Arial" w:hAnsi="Arial" w:cs="Arial"/>
          <w:b/>
          <w:lang w:val="es-ES_tradnl"/>
        </w:rPr>
        <w:t xml:space="preserve">Descripción de </w:t>
      </w:r>
      <w:r w:rsidR="00244CB7">
        <w:rPr>
          <w:rFonts w:ascii="Arial" w:hAnsi="Arial" w:cs="Arial"/>
          <w:b/>
          <w:lang w:val="es-ES_tradnl"/>
        </w:rPr>
        <w:t>A</w:t>
      </w:r>
      <w:r w:rsidR="00244CB7" w:rsidRPr="00761BD1">
        <w:rPr>
          <w:rFonts w:ascii="Arial" w:hAnsi="Arial" w:cs="Arial"/>
          <w:b/>
          <w:lang w:val="es-ES_tradnl"/>
        </w:rPr>
        <w:t>ctividades y Productos</w:t>
      </w:r>
    </w:p>
    <w:p w:rsidR="00D8700D" w:rsidRPr="00D27425" w:rsidRDefault="00EA68A3" w:rsidP="00D27425">
      <w:pPr>
        <w:keepNext/>
        <w:spacing w:before="120" w:after="120"/>
        <w:ind w:left="576" w:hanging="576"/>
        <w:jc w:val="both"/>
        <w:rPr>
          <w:lang w:val="es-ES_tradnl"/>
        </w:rPr>
      </w:pPr>
      <w:r w:rsidRPr="00D27425">
        <w:rPr>
          <w:rFonts w:ascii="Arial" w:hAnsi="Arial" w:cs="Arial"/>
          <w:lang w:val="es-ES_tradnl"/>
        </w:rPr>
        <w:t>3.1</w:t>
      </w:r>
      <w:r w:rsidRPr="00D27425">
        <w:rPr>
          <w:rFonts w:ascii="Arial" w:hAnsi="Arial" w:cs="Arial"/>
          <w:lang w:val="es-ES_tradnl"/>
        </w:rPr>
        <w:tab/>
      </w:r>
      <w:r w:rsidRPr="00CA2919">
        <w:rPr>
          <w:rFonts w:ascii="Arial" w:hAnsi="Arial" w:cs="Arial"/>
          <w:b/>
          <w:lang w:val="es-ES_tradnl"/>
        </w:rPr>
        <w:t>Componente I. Articulación con el sector productivo (US$130,000)</w:t>
      </w:r>
      <w:r w:rsidRPr="00D27425">
        <w:rPr>
          <w:rFonts w:ascii="Arial" w:hAnsi="Arial" w:cs="Arial"/>
          <w:lang w:val="es-ES_tradnl"/>
        </w:rPr>
        <w:t xml:space="preserve">. El objetivo de este componente es generar productos de conocimiento innovadores para mejorar el </w:t>
      </w:r>
      <w:r w:rsidRPr="00D27425">
        <w:rPr>
          <w:rFonts w:ascii="Arial" w:hAnsi="Arial" w:cs="Arial"/>
          <w:lang w:val="es-ES_tradnl"/>
        </w:rPr>
        <w:lastRenderedPageBreak/>
        <w:t>diseño del programa de aprendices en República Dominicana acorde a las necesidades del sector productivo. Las actividades de este componente incluyen: (i)</w:t>
      </w:r>
      <w:r w:rsidR="00D27425">
        <w:rPr>
          <w:rFonts w:ascii="Arial" w:hAnsi="Arial" w:cs="Arial"/>
          <w:lang w:val="es-ES_tradnl"/>
        </w:rPr>
        <w:t> </w:t>
      </w:r>
      <w:r w:rsidRPr="00D27425">
        <w:rPr>
          <w:rFonts w:ascii="Arial" w:hAnsi="Arial" w:cs="Arial"/>
          <w:lang w:val="es-ES_tradnl"/>
        </w:rPr>
        <w:t>estudio de costo-beneficio de la formación dual para los empleadores y mecanismos de incentivos para aumentar el involucramiento del sector productivo; (ii) diseño del mecanismo de gobernanza o coordinación entre el sector público y privado para el desarrollo de contenidos y provisión del programa de aprendices; (iii) diseño y apoyo técnico a un piloto del modelo de aprendices para el sector turismo, que tendrá el acompañamiento de la Asociación Nacional de Hoteles y Turismo de República Dominicana (ASONAHORES); y (iv) plan de comunicación estratégico del programa para empresas y aprendices.</w:t>
      </w:r>
    </w:p>
    <w:p w:rsidR="00D8700D" w:rsidRPr="00D27425" w:rsidRDefault="00EA68A3">
      <w:pPr>
        <w:spacing w:before="120" w:after="120"/>
        <w:ind w:left="579" w:hanging="579"/>
        <w:jc w:val="both"/>
        <w:rPr>
          <w:lang w:val="es-ES_tradnl"/>
        </w:rPr>
      </w:pPr>
      <w:r w:rsidRPr="00D27425">
        <w:rPr>
          <w:rFonts w:ascii="Arial" w:hAnsi="Arial" w:cs="Arial"/>
          <w:lang w:val="es-ES_tradnl"/>
        </w:rPr>
        <w:t>3.2</w:t>
      </w:r>
      <w:r w:rsidRPr="00D27425">
        <w:rPr>
          <w:rFonts w:ascii="Arial" w:hAnsi="Arial" w:cs="Arial"/>
          <w:lang w:val="es-ES_tradnl"/>
        </w:rPr>
        <w:tab/>
      </w:r>
      <w:r w:rsidRPr="00344B86">
        <w:rPr>
          <w:rFonts w:ascii="Arial" w:hAnsi="Arial" w:cs="Arial"/>
          <w:b/>
          <w:lang w:val="es-ES_tradnl"/>
        </w:rPr>
        <w:t>Componente II. Fortalecimiento institucional del INFOTEP (US$100,000)</w:t>
      </w:r>
      <w:r w:rsidRPr="00D27425">
        <w:rPr>
          <w:rFonts w:ascii="Arial" w:hAnsi="Arial" w:cs="Arial"/>
          <w:lang w:val="es-ES_tradnl"/>
        </w:rPr>
        <w:t>. En este componente se apoyar</w:t>
      </w:r>
      <w:r w:rsidR="00D27425">
        <w:rPr>
          <w:rFonts w:ascii="Arial" w:hAnsi="Arial" w:cs="Arial"/>
          <w:lang w:val="es-ES_tradnl"/>
        </w:rPr>
        <w:t>á</w:t>
      </w:r>
      <w:r w:rsidRPr="00D27425">
        <w:rPr>
          <w:rFonts w:ascii="Arial" w:hAnsi="Arial" w:cs="Arial"/>
          <w:lang w:val="es-ES_tradnl"/>
        </w:rPr>
        <w:t xml:space="preserve">n actividades para el fortalecimiento de los componentes institucionales que son clave en la modernización de la provisión del programa de formación dual, incluyendo: (i) levantamiento y análisis de la capacidad instalada </w:t>
      </w:r>
      <w:r w:rsidRPr="006F7773">
        <w:rPr>
          <w:rFonts w:ascii="Arial" w:hAnsi="Arial" w:cs="Arial"/>
          <w:lang w:val="es-ES_tradnl"/>
        </w:rPr>
        <w:t>INFOTEP (C</w:t>
      </w:r>
      <w:r w:rsidR="00D24538" w:rsidRPr="00A13343">
        <w:rPr>
          <w:rFonts w:ascii="Arial" w:hAnsi="Arial" w:cs="Arial"/>
          <w:lang w:val="es-ES_tradnl"/>
        </w:rPr>
        <w:t>entros Operativos del sistema (COS)</w:t>
      </w:r>
      <w:r w:rsidRPr="006F7773">
        <w:rPr>
          <w:rFonts w:ascii="Arial" w:hAnsi="Arial" w:cs="Arial"/>
          <w:lang w:val="es-ES_tradnl"/>
        </w:rPr>
        <w:t xml:space="preserve">, centros fijos, ONGS ) y </w:t>
      </w:r>
      <w:r w:rsidR="006F7773">
        <w:rPr>
          <w:rFonts w:ascii="Arial" w:hAnsi="Arial" w:cs="Arial"/>
          <w:lang w:val="es-ES_tradnl"/>
        </w:rPr>
        <w:t>el Ministerio de Educación (</w:t>
      </w:r>
      <w:r w:rsidRPr="006F7773">
        <w:rPr>
          <w:rFonts w:ascii="Arial" w:hAnsi="Arial" w:cs="Arial"/>
          <w:lang w:val="es-ES_tradnl"/>
        </w:rPr>
        <w:t>MINERD</w:t>
      </w:r>
      <w:r w:rsidR="006F7773">
        <w:rPr>
          <w:rFonts w:ascii="Arial" w:hAnsi="Arial" w:cs="Arial"/>
          <w:lang w:val="es-ES_tradnl"/>
        </w:rPr>
        <w:t>)</w:t>
      </w:r>
      <w:r w:rsidRPr="006F7773">
        <w:rPr>
          <w:rFonts w:ascii="Arial" w:hAnsi="Arial" w:cs="Arial"/>
          <w:lang w:val="es-ES_tradnl"/>
        </w:rPr>
        <w:t>,</w:t>
      </w:r>
      <w:r w:rsidRPr="00D27425">
        <w:rPr>
          <w:rFonts w:ascii="Arial" w:hAnsi="Arial" w:cs="Arial"/>
          <w:lang w:val="es-ES_tradnl"/>
        </w:rPr>
        <w:t xml:space="preserve"> y de necesidades de sistemas y tecnológicas para ampliar la cobertura de la Formación Dual; y (ii) diseño de plataformas tecnológicas y de información requeridas para ampliar la cobertura de la formación dual (tanto a nivel de personas inscriptas).</w:t>
      </w:r>
    </w:p>
    <w:p w:rsidR="00D8700D" w:rsidRPr="00D27425" w:rsidRDefault="00EA68A3">
      <w:pPr>
        <w:spacing w:before="120" w:after="120"/>
        <w:ind w:left="579" w:hanging="579"/>
        <w:jc w:val="both"/>
        <w:rPr>
          <w:lang w:val="es-ES_tradnl"/>
        </w:rPr>
      </w:pPr>
      <w:r w:rsidRPr="00D27425">
        <w:rPr>
          <w:rFonts w:ascii="Arial" w:hAnsi="Arial" w:cs="Arial"/>
          <w:lang w:val="es-ES_tradnl"/>
        </w:rPr>
        <w:t>3.3</w:t>
      </w:r>
      <w:r w:rsidRPr="00D27425">
        <w:rPr>
          <w:rFonts w:ascii="Arial" w:hAnsi="Arial" w:cs="Arial"/>
          <w:lang w:val="es-ES_tradnl"/>
        </w:rPr>
        <w:tab/>
      </w:r>
      <w:r w:rsidRPr="00D27425">
        <w:rPr>
          <w:rFonts w:ascii="Arial" w:hAnsi="Arial" w:cs="Arial"/>
          <w:b/>
          <w:lang w:val="es-ES_tradnl"/>
        </w:rPr>
        <w:t>Componente III. Desarrollo Curricular y Medios de Implementación (US$30,000)</w:t>
      </w:r>
      <w:r w:rsidRPr="00D27425">
        <w:rPr>
          <w:rFonts w:ascii="Arial" w:hAnsi="Arial" w:cs="Arial"/>
          <w:lang w:val="es-ES_tradnl"/>
        </w:rPr>
        <w:t>. Este componente financiaría consultorías para: (i) el diseño de procesos de desarrollo y actualización del currículo del programa de aprendices y de planes de aprendizajes para las ocupaciones nuevas a incluir en el programa; y (ii) diseño de capacitación para formadores de INFOTEP y capacitadores en las empresas.</w:t>
      </w:r>
    </w:p>
    <w:p w:rsidR="00D8700D" w:rsidRPr="00D27425" w:rsidRDefault="00EA68A3">
      <w:pPr>
        <w:spacing w:before="120" w:after="120"/>
        <w:ind w:left="579" w:hanging="579"/>
        <w:jc w:val="both"/>
        <w:rPr>
          <w:lang w:val="es-ES_tradnl"/>
        </w:rPr>
      </w:pPr>
      <w:r w:rsidRPr="00D27425">
        <w:rPr>
          <w:rFonts w:ascii="Arial" w:hAnsi="Arial" w:cs="Arial"/>
          <w:lang w:val="es-ES_tradnl"/>
        </w:rPr>
        <w:t>3.4</w:t>
      </w:r>
      <w:r w:rsidRPr="00D27425">
        <w:rPr>
          <w:rFonts w:ascii="Arial" w:hAnsi="Arial" w:cs="Arial"/>
          <w:lang w:val="es-ES_tradnl"/>
        </w:rPr>
        <w:tab/>
      </w:r>
      <w:r w:rsidRPr="00D27425">
        <w:rPr>
          <w:rFonts w:ascii="Arial" w:hAnsi="Arial" w:cs="Arial"/>
          <w:b/>
          <w:lang w:val="es-ES_tradnl"/>
        </w:rPr>
        <w:t>Componente IV. Evaluación y Monitoreo (US$40,000)</w:t>
      </w:r>
      <w:r w:rsidRPr="00D27425">
        <w:rPr>
          <w:rFonts w:ascii="Arial" w:hAnsi="Arial" w:cs="Arial"/>
          <w:lang w:val="es-ES_tradnl"/>
        </w:rPr>
        <w:t>. Este componente financiara consultorías para: (i) el diseño del sistema de indicadores de resultados y procesos del programa y de la línea de base para la evaluación de resultados y procesos del programa de formación dual. La evaluación y monitoreo del programa será crucial para entender el alcance de la modernización y expansión del programa de formación dual y proveerá información única para la generación de conocimiento sobre estos programas y la toma de decisiones. Se documentará el proceso de monitoreo y evaluación de impacto para el objetivo de alcanzar más de 12</w:t>
      </w:r>
      <w:r w:rsidR="00D27425">
        <w:rPr>
          <w:rFonts w:ascii="Arial" w:hAnsi="Arial" w:cs="Arial"/>
          <w:lang w:val="es-ES_tradnl"/>
        </w:rPr>
        <w:t>.</w:t>
      </w:r>
      <w:r w:rsidRPr="00D27425">
        <w:rPr>
          <w:rFonts w:ascii="Arial" w:hAnsi="Arial" w:cs="Arial"/>
          <w:lang w:val="es-ES_tradnl"/>
        </w:rPr>
        <w:t>000 personas certificadas mediante modalidad dual (aprendices) de manera acumulada entre 2019 y 2022 en las ocupaciones que requiere el sector privado dominicano.</w:t>
      </w:r>
    </w:p>
    <w:p w:rsidR="00D8700D" w:rsidRPr="00D27425" w:rsidRDefault="00D8700D" w:rsidP="00A13343">
      <w:pPr>
        <w:spacing w:before="120" w:after="120"/>
        <w:ind w:left="579" w:hanging="579"/>
        <w:jc w:val="both"/>
        <w:rPr>
          <w:lang w:val="es-ES_tradnl"/>
        </w:rPr>
      </w:pPr>
    </w:p>
    <w:p w:rsidR="00D8700D" w:rsidRPr="00A30514" w:rsidRDefault="00EA68A3">
      <w:pPr>
        <w:spacing w:before="120" w:after="120"/>
        <w:ind w:left="579" w:hanging="579"/>
      </w:pPr>
      <w:r w:rsidRPr="00A30514">
        <w:rPr>
          <w:rFonts w:ascii="Arial" w:hAnsi="Arial" w:cs="Arial"/>
          <w:b/>
        </w:rPr>
        <w:t>IV.</w:t>
      </w:r>
      <w:r w:rsidRPr="00A30514">
        <w:rPr>
          <w:rFonts w:ascii="Arial" w:hAnsi="Arial" w:cs="Arial"/>
          <w:b/>
        </w:rPr>
        <w:tab/>
      </w:r>
      <w:proofErr w:type="spellStart"/>
      <w:r w:rsidR="00244CB7" w:rsidRPr="00A30514">
        <w:rPr>
          <w:rFonts w:ascii="Arial" w:hAnsi="Arial" w:cs="Arial"/>
          <w:b/>
        </w:rPr>
        <w:t>Presupuesto</w:t>
      </w:r>
      <w:proofErr w:type="spellEnd"/>
    </w:p>
    <w:p w:rsidR="00D8700D" w:rsidRDefault="00EA68A3">
      <w:pPr>
        <w:spacing w:before="240" w:after="120"/>
        <w:jc w:val="center"/>
      </w:pPr>
      <w:r>
        <w:rPr>
          <w:rFonts w:ascii="Arial" w:hAnsi="Arial" w:cs="Arial"/>
          <w:b/>
          <w:sz w:val="18"/>
          <w:szCs w:val="18"/>
        </w:rPr>
        <w:t>Indicative Budget</w:t>
      </w:r>
      <w:r w:rsidR="00D27425">
        <w:rPr>
          <w:rFonts w:ascii="Arial" w:hAnsi="Arial" w:cs="Arial"/>
          <w:b/>
          <w:sz w:val="18"/>
          <w:szCs w:val="18"/>
        </w:rPr>
        <w:t xml:space="preserve"> (US$)</w:t>
      </w:r>
    </w:p>
    <w:tbl>
      <w:tblPr>
        <w:tblStyle w:val="TableGrid"/>
        <w:tblW w:w="5000" w:type="auto"/>
        <w:tblLook w:val="04A0" w:firstRow="1" w:lastRow="0" w:firstColumn="1" w:lastColumn="0" w:noHBand="0" w:noVBand="1"/>
      </w:tblPr>
      <w:tblGrid>
        <w:gridCol w:w="2301"/>
        <w:gridCol w:w="2257"/>
        <w:gridCol w:w="2246"/>
        <w:gridCol w:w="2212"/>
      </w:tblGrid>
      <w:tr w:rsidR="00D8700D">
        <w:tc>
          <w:tcPr>
            <w:tcW w:w="2310" w:type="dxa"/>
            <w:vAlign w:val="center"/>
          </w:tcPr>
          <w:p w:rsidR="00D8700D" w:rsidRDefault="00EA68A3">
            <w:pPr>
              <w:spacing w:before="40" w:after="40"/>
              <w:jc w:val="center"/>
            </w:pPr>
            <w:proofErr w:type="spellStart"/>
            <w:r>
              <w:rPr>
                <w:rFonts w:ascii="Arial" w:hAnsi="Arial" w:cs="Arial"/>
                <w:b/>
                <w:sz w:val="18"/>
                <w:szCs w:val="18"/>
              </w:rPr>
              <w:t>Activi</w:t>
            </w:r>
            <w:r w:rsidR="00244CB7">
              <w:rPr>
                <w:rFonts w:ascii="Arial" w:hAnsi="Arial" w:cs="Arial"/>
                <w:b/>
                <w:sz w:val="18"/>
                <w:szCs w:val="18"/>
              </w:rPr>
              <w:t>dad</w:t>
            </w:r>
            <w:proofErr w:type="spellEnd"/>
            <w:r>
              <w:rPr>
                <w:rFonts w:ascii="Arial" w:hAnsi="Arial" w:cs="Arial"/>
                <w:b/>
                <w:sz w:val="18"/>
                <w:szCs w:val="18"/>
              </w:rPr>
              <w:t>/</w:t>
            </w:r>
            <w:proofErr w:type="spellStart"/>
            <w:r>
              <w:rPr>
                <w:rFonts w:ascii="Arial" w:hAnsi="Arial" w:cs="Arial"/>
                <w:b/>
                <w:sz w:val="18"/>
                <w:szCs w:val="18"/>
              </w:rPr>
              <w:t>Component</w:t>
            </w:r>
            <w:r w:rsidR="00244CB7">
              <w:rPr>
                <w:rFonts w:ascii="Arial" w:hAnsi="Arial" w:cs="Arial"/>
                <w:b/>
                <w:sz w:val="18"/>
                <w:szCs w:val="18"/>
              </w:rPr>
              <w:t>e</w:t>
            </w:r>
            <w:proofErr w:type="spellEnd"/>
          </w:p>
        </w:tc>
        <w:tc>
          <w:tcPr>
            <w:tcW w:w="2310" w:type="dxa"/>
          </w:tcPr>
          <w:p w:rsidR="00D8700D" w:rsidRDefault="00244CB7">
            <w:pPr>
              <w:spacing w:before="40" w:after="40"/>
              <w:jc w:val="center"/>
            </w:pPr>
            <w:proofErr w:type="spellStart"/>
            <w:r>
              <w:rPr>
                <w:rFonts w:ascii="Arial" w:hAnsi="Arial" w:cs="Arial"/>
                <w:b/>
                <w:sz w:val="18"/>
                <w:szCs w:val="18"/>
              </w:rPr>
              <w:t>Fondo</w:t>
            </w:r>
            <w:proofErr w:type="spellEnd"/>
            <w:r>
              <w:rPr>
                <w:rFonts w:ascii="Arial" w:hAnsi="Arial" w:cs="Arial"/>
                <w:b/>
                <w:sz w:val="18"/>
                <w:szCs w:val="18"/>
              </w:rPr>
              <w:t xml:space="preserve"> </w:t>
            </w:r>
            <w:proofErr w:type="spellStart"/>
            <w:r>
              <w:rPr>
                <w:rFonts w:ascii="Arial" w:hAnsi="Arial" w:cs="Arial"/>
                <w:b/>
                <w:sz w:val="18"/>
                <w:szCs w:val="18"/>
              </w:rPr>
              <w:t>Financiamiento</w:t>
            </w:r>
            <w:proofErr w:type="spellEnd"/>
            <w:r>
              <w:rPr>
                <w:rFonts w:ascii="Arial" w:hAnsi="Arial" w:cs="Arial"/>
                <w:b/>
                <w:sz w:val="18"/>
                <w:szCs w:val="18"/>
              </w:rPr>
              <w:t xml:space="preserve"> B</w:t>
            </w:r>
            <w:r w:rsidR="00EA68A3">
              <w:rPr>
                <w:rFonts w:ascii="Arial" w:hAnsi="Arial" w:cs="Arial"/>
                <w:b/>
                <w:sz w:val="18"/>
                <w:szCs w:val="18"/>
              </w:rPr>
              <w:t>ID</w:t>
            </w:r>
          </w:p>
        </w:tc>
        <w:tc>
          <w:tcPr>
            <w:tcW w:w="2310" w:type="dxa"/>
          </w:tcPr>
          <w:p w:rsidR="00D8700D" w:rsidRDefault="00244CB7">
            <w:pPr>
              <w:spacing w:before="40" w:after="40"/>
              <w:jc w:val="center"/>
            </w:pPr>
            <w:proofErr w:type="spellStart"/>
            <w:r>
              <w:rPr>
                <w:rFonts w:ascii="Arial" w:hAnsi="Arial" w:cs="Arial"/>
                <w:b/>
                <w:sz w:val="18"/>
                <w:szCs w:val="18"/>
              </w:rPr>
              <w:t>Fondo</w:t>
            </w:r>
            <w:proofErr w:type="spellEnd"/>
            <w:r>
              <w:rPr>
                <w:rFonts w:ascii="Arial" w:hAnsi="Arial" w:cs="Arial"/>
                <w:b/>
                <w:sz w:val="18"/>
                <w:szCs w:val="18"/>
              </w:rPr>
              <w:t xml:space="preserve"> </w:t>
            </w:r>
            <w:proofErr w:type="spellStart"/>
            <w:r>
              <w:rPr>
                <w:rFonts w:ascii="Arial" w:hAnsi="Arial" w:cs="Arial"/>
                <w:b/>
                <w:sz w:val="18"/>
                <w:szCs w:val="18"/>
              </w:rPr>
              <w:t>contrapartida</w:t>
            </w:r>
            <w:proofErr w:type="spellEnd"/>
          </w:p>
        </w:tc>
        <w:tc>
          <w:tcPr>
            <w:tcW w:w="2310" w:type="dxa"/>
          </w:tcPr>
          <w:p w:rsidR="00D8700D" w:rsidRDefault="00EA68A3">
            <w:pPr>
              <w:spacing w:before="40" w:after="40"/>
              <w:jc w:val="center"/>
            </w:pPr>
            <w:r>
              <w:rPr>
                <w:rFonts w:ascii="Arial" w:hAnsi="Arial" w:cs="Arial"/>
                <w:b/>
                <w:sz w:val="18"/>
                <w:szCs w:val="18"/>
              </w:rPr>
              <w:t xml:space="preserve">Total </w:t>
            </w:r>
          </w:p>
        </w:tc>
      </w:tr>
      <w:tr w:rsidR="00D8700D">
        <w:tc>
          <w:tcPr>
            <w:tcW w:w="2310" w:type="dxa"/>
            <w:vAlign w:val="center"/>
          </w:tcPr>
          <w:p w:rsidR="00D8700D" w:rsidRPr="00D27425" w:rsidRDefault="00EA68A3">
            <w:pPr>
              <w:spacing w:before="40" w:after="40"/>
              <w:rPr>
                <w:lang w:val="es-ES_tradnl"/>
              </w:rPr>
            </w:pPr>
            <w:r w:rsidRPr="00D27425">
              <w:rPr>
                <w:rFonts w:ascii="Arial" w:hAnsi="Arial" w:cs="Arial"/>
                <w:sz w:val="18"/>
                <w:szCs w:val="18"/>
                <w:lang w:val="es-ES_tradnl"/>
              </w:rPr>
              <w:t>Componente I. Articulación con el sector productivo</w:t>
            </w:r>
          </w:p>
        </w:tc>
        <w:tc>
          <w:tcPr>
            <w:tcW w:w="2310" w:type="dxa"/>
            <w:vAlign w:val="center"/>
          </w:tcPr>
          <w:p w:rsidR="00D8700D" w:rsidRDefault="00EA68A3">
            <w:pPr>
              <w:spacing w:before="40" w:after="40"/>
              <w:jc w:val="right"/>
            </w:pPr>
            <w:r w:rsidRPr="00A13343">
              <w:rPr>
                <w:rFonts w:ascii="Arial" w:hAnsi="Arial" w:cs="Arial"/>
                <w:sz w:val="18"/>
                <w:szCs w:val="18"/>
                <w:lang w:val="es-ES_tradnl"/>
              </w:rPr>
              <w:t xml:space="preserve"> </w:t>
            </w:r>
            <w:r>
              <w:rPr>
                <w:rFonts w:ascii="Arial" w:hAnsi="Arial" w:cs="Arial"/>
                <w:sz w:val="18"/>
                <w:szCs w:val="18"/>
              </w:rPr>
              <w:t>130,000</w:t>
            </w:r>
          </w:p>
        </w:tc>
        <w:tc>
          <w:tcPr>
            <w:tcW w:w="2310" w:type="dxa"/>
            <w:vAlign w:val="center"/>
          </w:tcPr>
          <w:p w:rsidR="00D8700D" w:rsidRDefault="00EA68A3">
            <w:pPr>
              <w:spacing w:before="40" w:after="40"/>
              <w:jc w:val="right"/>
            </w:pPr>
            <w:r>
              <w:rPr>
                <w:rFonts w:ascii="Arial" w:hAnsi="Arial" w:cs="Arial"/>
                <w:sz w:val="18"/>
                <w:szCs w:val="18"/>
              </w:rPr>
              <w:t xml:space="preserve"> 0</w:t>
            </w:r>
          </w:p>
        </w:tc>
        <w:tc>
          <w:tcPr>
            <w:tcW w:w="2310" w:type="dxa"/>
            <w:vAlign w:val="center"/>
          </w:tcPr>
          <w:p w:rsidR="00D8700D" w:rsidRDefault="00EA68A3">
            <w:pPr>
              <w:spacing w:before="40" w:after="40"/>
              <w:jc w:val="right"/>
            </w:pPr>
            <w:r>
              <w:rPr>
                <w:rFonts w:ascii="Arial" w:hAnsi="Arial" w:cs="Arial"/>
                <w:sz w:val="18"/>
                <w:szCs w:val="18"/>
              </w:rPr>
              <w:t xml:space="preserve"> 130,000</w:t>
            </w:r>
          </w:p>
        </w:tc>
      </w:tr>
      <w:tr w:rsidR="00D8700D">
        <w:tc>
          <w:tcPr>
            <w:tcW w:w="2310" w:type="dxa"/>
            <w:vAlign w:val="center"/>
          </w:tcPr>
          <w:p w:rsidR="00D8700D" w:rsidRPr="00D27425" w:rsidRDefault="00EA68A3">
            <w:pPr>
              <w:spacing w:before="40" w:after="40"/>
              <w:rPr>
                <w:lang w:val="es-ES_tradnl"/>
              </w:rPr>
            </w:pPr>
            <w:r w:rsidRPr="00D27425">
              <w:rPr>
                <w:rFonts w:ascii="Arial" w:hAnsi="Arial" w:cs="Arial"/>
                <w:sz w:val="18"/>
                <w:szCs w:val="18"/>
                <w:lang w:val="es-ES_tradnl"/>
              </w:rPr>
              <w:t xml:space="preserve">Componente II. Fortalecimiento institucional del INFOTEP </w:t>
            </w:r>
          </w:p>
        </w:tc>
        <w:tc>
          <w:tcPr>
            <w:tcW w:w="2310" w:type="dxa"/>
            <w:vAlign w:val="center"/>
          </w:tcPr>
          <w:p w:rsidR="00D8700D" w:rsidRDefault="00EA68A3">
            <w:pPr>
              <w:spacing w:before="40" w:after="40"/>
              <w:jc w:val="right"/>
            </w:pPr>
            <w:r w:rsidRPr="00A13343">
              <w:rPr>
                <w:rFonts w:ascii="Arial" w:hAnsi="Arial" w:cs="Arial"/>
                <w:sz w:val="18"/>
                <w:szCs w:val="18"/>
                <w:lang w:val="es-ES_tradnl"/>
              </w:rPr>
              <w:t xml:space="preserve"> </w:t>
            </w:r>
            <w:r>
              <w:rPr>
                <w:rFonts w:ascii="Arial" w:hAnsi="Arial" w:cs="Arial"/>
                <w:sz w:val="18"/>
                <w:szCs w:val="18"/>
              </w:rPr>
              <w:t>100,000</w:t>
            </w:r>
          </w:p>
        </w:tc>
        <w:tc>
          <w:tcPr>
            <w:tcW w:w="2310" w:type="dxa"/>
            <w:vAlign w:val="center"/>
          </w:tcPr>
          <w:p w:rsidR="00D8700D" w:rsidRDefault="00EA68A3">
            <w:pPr>
              <w:spacing w:before="40" w:after="40"/>
              <w:jc w:val="right"/>
            </w:pPr>
            <w:r>
              <w:rPr>
                <w:rFonts w:ascii="Arial" w:hAnsi="Arial" w:cs="Arial"/>
                <w:sz w:val="18"/>
                <w:szCs w:val="18"/>
              </w:rPr>
              <w:t xml:space="preserve"> 0</w:t>
            </w:r>
          </w:p>
        </w:tc>
        <w:tc>
          <w:tcPr>
            <w:tcW w:w="2310" w:type="dxa"/>
            <w:vAlign w:val="center"/>
          </w:tcPr>
          <w:p w:rsidR="00D8700D" w:rsidRDefault="00EA68A3">
            <w:pPr>
              <w:spacing w:before="40" w:after="40"/>
              <w:jc w:val="right"/>
            </w:pPr>
            <w:r>
              <w:rPr>
                <w:rFonts w:ascii="Arial" w:hAnsi="Arial" w:cs="Arial"/>
                <w:sz w:val="18"/>
                <w:szCs w:val="18"/>
              </w:rPr>
              <w:t xml:space="preserve"> 100,000</w:t>
            </w:r>
          </w:p>
        </w:tc>
      </w:tr>
      <w:tr w:rsidR="00D8700D">
        <w:tc>
          <w:tcPr>
            <w:tcW w:w="2310" w:type="dxa"/>
            <w:vAlign w:val="center"/>
          </w:tcPr>
          <w:p w:rsidR="00D8700D" w:rsidRPr="00D27425" w:rsidRDefault="00EA68A3">
            <w:pPr>
              <w:spacing w:before="40" w:after="40"/>
              <w:rPr>
                <w:lang w:val="es-ES_tradnl"/>
              </w:rPr>
            </w:pPr>
            <w:r w:rsidRPr="00D27425">
              <w:rPr>
                <w:rFonts w:ascii="Arial" w:hAnsi="Arial" w:cs="Arial"/>
                <w:sz w:val="18"/>
                <w:szCs w:val="18"/>
                <w:lang w:val="es-ES_tradnl"/>
              </w:rPr>
              <w:t>Componente III. Desarrollo Curricular y Medios de Implementación</w:t>
            </w:r>
          </w:p>
        </w:tc>
        <w:tc>
          <w:tcPr>
            <w:tcW w:w="2310" w:type="dxa"/>
            <w:vAlign w:val="center"/>
          </w:tcPr>
          <w:p w:rsidR="00D8700D" w:rsidRDefault="00EA68A3">
            <w:pPr>
              <w:spacing w:before="40" w:after="40"/>
              <w:jc w:val="right"/>
            </w:pPr>
            <w:r w:rsidRPr="00A13343">
              <w:rPr>
                <w:rFonts w:ascii="Arial" w:hAnsi="Arial" w:cs="Arial"/>
                <w:sz w:val="18"/>
                <w:szCs w:val="18"/>
                <w:lang w:val="es-ES_tradnl"/>
              </w:rPr>
              <w:t xml:space="preserve"> </w:t>
            </w:r>
            <w:r>
              <w:rPr>
                <w:rFonts w:ascii="Arial" w:hAnsi="Arial" w:cs="Arial"/>
                <w:sz w:val="18"/>
                <w:szCs w:val="18"/>
              </w:rPr>
              <w:t>30,000</w:t>
            </w:r>
          </w:p>
        </w:tc>
        <w:tc>
          <w:tcPr>
            <w:tcW w:w="2310" w:type="dxa"/>
            <w:vAlign w:val="center"/>
          </w:tcPr>
          <w:p w:rsidR="00D8700D" w:rsidRDefault="00EA68A3">
            <w:pPr>
              <w:spacing w:before="40" w:after="40"/>
              <w:jc w:val="right"/>
            </w:pPr>
            <w:r>
              <w:rPr>
                <w:rFonts w:ascii="Arial" w:hAnsi="Arial" w:cs="Arial"/>
                <w:sz w:val="18"/>
                <w:szCs w:val="18"/>
              </w:rPr>
              <w:t xml:space="preserve"> 0</w:t>
            </w:r>
          </w:p>
        </w:tc>
        <w:tc>
          <w:tcPr>
            <w:tcW w:w="2310" w:type="dxa"/>
            <w:vAlign w:val="center"/>
          </w:tcPr>
          <w:p w:rsidR="00D8700D" w:rsidRDefault="00EA68A3">
            <w:pPr>
              <w:spacing w:before="40" w:after="40"/>
              <w:jc w:val="right"/>
            </w:pPr>
            <w:r>
              <w:rPr>
                <w:rFonts w:ascii="Arial" w:hAnsi="Arial" w:cs="Arial"/>
                <w:sz w:val="18"/>
                <w:szCs w:val="18"/>
              </w:rPr>
              <w:t xml:space="preserve"> 30,000</w:t>
            </w:r>
          </w:p>
        </w:tc>
      </w:tr>
      <w:tr w:rsidR="00D8700D">
        <w:tc>
          <w:tcPr>
            <w:tcW w:w="2310" w:type="dxa"/>
            <w:vAlign w:val="center"/>
          </w:tcPr>
          <w:p w:rsidR="00D8700D" w:rsidRPr="00D27425" w:rsidRDefault="00EA68A3">
            <w:pPr>
              <w:spacing w:before="40" w:after="40"/>
              <w:rPr>
                <w:lang w:val="es-ES_tradnl"/>
              </w:rPr>
            </w:pPr>
            <w:r w:rsidRPr="00D27425">
              <w:rPr>
                <w:rFonts w:ascii="Arial" w:hAnsi="Arial" w:cs="Arial"/>
                <w:sz w:val="18"/>
                <w:szCs w:val="18"/>
                <w:lang w:val="es-ES_tradnl"/>
              </w:rPr>
              <w:t>Componente IV. Evaluación y Monitoreo</w:t>
            </w:r>
          </w:p>
        </w:tc>
        <w:tc>
          <w:tcPr>
            <w:tcW w:w="2310" w:type="dxa"/>
            <w:vAlign w:val="center"/>
          </w:tcPr>
          <w:p w:rsidR="00D8700D" w:rsidRDefault="00EA68A3">
            <w:pPr>
              <w:spacing w:before="40" w:after="40"/>
              <w:jc w:val="right"/>
            </w:pPr>
            <w:r w:rsidRPr="00A13343">
              <w:rPr>
                <w:rFonts w:ascii="Arial" w:hAnsi="Arial" w:cs="Arial"/>
                <w:sz w:val="18"/>
                <w:szCs w:val="18"/>
                <w:lang w:val="es-ES_tradnl"/>
              </w:rPr>
              <w:t xml:space="preserve"> </w:t>
            </w:r>
            <w:r>
              <w:rPr>
                <w:rFonts w:ascii="Arial" w:hAnsi="Arial" w:cs="Arial"/>
                <w:sz w:val="18"/>
                <w:szCs w:val="18"/>
              </w:rPr>
              <w:t>40,000</w:t>
            </w:r>
          </w:p>
        </w:tc>
        <w:tc>
          <w:tcPr>
            <w:tcW w:w="2310" w:type="dxa"/>
            <w:vAlign w:val="center"/>
          </w:tcPr>
          <w:p w:rsidR="00D8700D" w:rsidRDefault="00EA68A3">
            <w:pPr>
              <w:spacing w:before="40" w:after="40"/>
              <w:jc w:val="right"/>
            </w:pPr>
            <w:r>
              <w:rPr>
                <w:rFonts w:ascii="Arial" w:hAnsi="Arial" w:cs="Arial"/>
                <w:sz w:val="18"/>
                <w:szCs w:val="18"/>
              </w:rPr>
              <w:t xml:space="preserve"> 0</w:t>
            </w:r>
          </w:p>
        </w:tc>
        <w:tc>
          <w:tcPr>
            <w:tcW w:w="2310" w:type="dxa"/>
            <w:vAlign w:val="center"/>
          </w:tcPr>
          <w:p w:rsidR="00D8700D" w:rsidRDefault="00EA68A3">
            <w:pPr>
              <w:spacing w:before="40" w:after="40"/>
              <w:jc w:val="right"/>
            </w:pPr>
            <w:r>
              <w:rPr>
                <w:rFonts w:ascii="Arial" w:hAnsi="Arial" w:cs="Arial"/>
                <w:sz w:val="18"/>
                <w:szCs w:val="18"/>
              </w:rPr>
              <w:t xml:space="preserve"> 40,000</w:t>
            </w:r>
          </w:p>
        </w:tc>
      </w:tr>
      <w:tr w:rsidR="00344B86">
        <w:tc>
          <w:tcPr>
            <w:tcW w:w="2310" w:type="dxa"/>
            <w:vAlign w:val="center"/>
          </w:tcPr>
          <w:p w:rsidR="00344B86" w:rsidRPr="00D27425" w:rsidRDefault="00344B86">
            <w:pPr>
              <w:spacing w:before="40" w:after="40"/>
              <w:rPr>
                <w:rFonts w:ascii="Arial" w:hAnsi="Arial" w:cs="Arial"/>
                <w:sz w:val="18"/>
                <w:szCs w:val="18"/>
                <w:lang w:val="es-ES_tradnl"/>
              </w:rPr>
            </w:pPr>
            <w:r>
              <w:rPr>
                <w:rFonts w:ascii="Arial" w:hAnsi="Arial" w:cs="Arial"/>
                <w:sz w:val="18"/>
                <w:szCs w:val="18"/>
                <w:lang w:val="es-ES_tradnl"/>
              </w:rPr>
              <w:t>TOTAL</w:t>
            </w:r>
          </w:p>
        </w:tc>
        <w:tc>
          <w:tcPr>
            <w:tcW w:w="2310" w:type="dxa"/>
            <w:vAlign w:val="center"/>
          </w:tcPr>
          <w:p w:rsidR="00344B86" w:rsidRDefault="00344B86">
            <w:pPr>
              <w:spacing w:before="40" w:after="40"/>
              <w:jc w:val="right"/>
              <w:rPr>
                <w:rFonts w:ascii="Arial" w:hAnsi="Arial" w:cs="Arial"/>
                <w:sz w:val="18"/>
                <w:szCs w:val="18"/>
              </w:rPr>
            </w:pPr>
            <w:r>
              <w:rPr>
                <w:rFonts w:ascii="Arial" w:hAnsi="Arial" w:cs="Arial"/>
                <w:sz w:val="18"/>
                <w:szCs w:val="18"/>
              </w:rPr>
              <w:t>300,000</w:t>
            </w:r>
          </w:p>
        </w:tc>
        <w:tc>
          <w:tcPr>
            <w:tcW w:w="2310" w:type="dxa"/>
            <w:vAlign w:val="center"/>
          </w:tcPr>
          <w:p w:rsidR="00344B86" w:rsidRDefault="00344B86">
            <w:pPr>
              <w:spacing w:before="40" w:after="40"/>
              <w:jc w:val="right"/>
              <w:rPr>
                <w:rFonts w:ascii="Arial" w:hAnsi="Arial" w:cs="Arial"/>
                <w:sz w:val="18"/>
                <w:szCs w:val="18"/>
              </w:rPr>
            </w:pPr>
            <w:r>
              <w:rPr>
                <w:rFonts w:ascii="Arial" w:hAnsi="Arial" w:cs="Arial"/>
                <w:sz w:val="18"/>
                <w:szCs w:val="18"/>
              </w:rPr>
              <w:t>0</w:t>
            </w:r>
          </w:p>
        </w:tc>
        <w:tc>
          <w:tcPr>
            <w:tcW w:w="2310" w:type="dxa"/>
            <w:vAlign w:val="center"/>
          </w:tcPr>
          <w:p w:rsidR="00344B86" w:rsidRDefault="00344B86">
            <w:pPr>
              <w:spacing w:before="40" w:after="40"/>
              <w:jc w:val="right"/>
              <w:rPr>
                <w:rFonts w:ascii="Arial" w:hAnsi="Arial" w:cs="Arial"/>
                <w:sz w:val="18"/>
                <w:szCs w:val="18"/>
              </w:rPr>
            </w:pPr>
            <w:r>
              <w:rPr>
                <w:rFonts w:ascii="Arial" w:hAnsi="Arial" w:cs="Arial"/>
                <w:sz w:val="18"/>
                <w:szCs w:val="18"/>
              </w:rPr>
              <w:t>300,000</w:t>
            </w:r>
          </w:p>
        </w:tc>
      </w:tr>
    </w:tbl>
    <w:p w:rsidR="00D8700D" w:rsidRPr="00244CB7" w:rsidRDefault="00EA68A3" w:rsidP="00344B86">
      <w:pPr>
        <w:spacing w:before="240" w:after="120"/>
        <w:ind w:left="579" w:hanging="579"/>
        <w:rPr>
          <w:lang w:val="es-ES_tradnl"/>
        </w:rPr>
      </w:pPr>
      <w:r w:rsidRPr="00244CB7">
        <w:rPr>
          <w:rFonts w:ascii="Arial" w:hAnsi="Arial" w:cs="Arial"/>
          <w:b/>
          <w:lang w:val="es-ES_tradnl"/>
        </w:rPr>
        <w:t>V.</w:t>
      </w:r>
      <w:r w:rsidRPr="00244CB7">
        <w:rPr>
          <w:rFonts w:ascii="Arial" w:hAnsi="Arial" w:cs="Arial"/>
          <w:b/>
          <w:lang w:val="es-ES_tradnl"/>
        </w:rPr>
        <w:tab/>
      </w:r>
      <w:r w:rsidR="00244CB7" w:rsidRPr="00244CB7">
        <w:rPr>
          <w:rFonts w:ascii="Arial" w:hAnsi="Arial" w:cs="Arial"/>
          <w:b/>
          <w:lang w:val="es-ES_tradnl"/>
        </w:rPr>
        <w:t xml:space="preserve">Agencia </w:t>
      </w:r>
      <w:r w:rsidR="00244CB7">
        <w:rPr>
          <w:rFonts w:ascii="Arial" w:hAnsi="Arial" w:cs="Arial"/>
          <w:b/>
          <w:lang w:val="es-ES_tradnl"/>
        </w:rPr>
        <w:t>E</w:t>
      </w:r>
      <w:r w:rsidR="00244CB7" w:rsidRPr="00244CB7">
        <w:rPr>
          <w:rFonts w:ascii="Arial" w:hAnsi="Arial" w:cs="Arial"/>
          <w:b/>
          <w:lang w:val="es-ES_tradnl"/>
        </w:rPr>
        <w:t xml:space="preserve">jecutora y </w:t>
      </w:r>
      <w:r w:rsidR="00244CB7">
        <w:rPr>
          <w:rFonts w:ascii="Arial" w:hAnsi="Arial" w:cs="Arial"/>
          <w:b/>
          <w:lang w:val="es-ES_tradnl"/>
        </w:rPr>
        <w:t>E</w:t>
      </w:r>
      <w:r w:rsidR="00244CB7" w:rsidRPr="00244CB7">
        <w:rPr>
          <w:rFonts w:ascii="Arial" w:hAnsi="Arial" w:cs="Arial"/>
          <w:b/>
          <w:lang w:val="es-ES_tradnl"/>
        </w:rPr>
        <w:t>structura de Ejecución</w:t>
      </w:r>
    </w:p>
    <w:p w:rsidR="00D8700D" w:rsidRPr="00D27425" w:rsidRDefault="00EA68A3">
      <w:pPr>
        <w:spacing w:before="200" w:after="200"/>
        <w:ind w:left="579" w:hanging="579"/>
        <w:jc w:val="both"/>
        <w:rPr>
          <w:lang w:val="es-ES_tradnl"/>
        </w:rPr>
      </w:pPr>
      <w:r w:rsidRPr="00D27425">
        <w:rPr>
          <w:rFonts w:ascii="Arial" w:hAnsi="Arial" w:cs="Arial"/>
          <w:lang w:val="es-ES_tradnl"/>
        </w:rPr>
        <w:t>5.1</w:t>
      </w:r>
      <w:r w:rsidRPr="00D27425">
        <w:rPr>
          <w:rFonts w:ascii="Arial" w:hAnsi="Arial" w:cs="Arial"/>
          <w:lang w:val="es-ES_tradnl"/>
        </w:rPr>
        <w:tab/>
      </w:r>
      <w:r w:rsidR="00244CB7">
        <w:rPr>
          <w:rFonts w:ascii="Arial" w:hAnsi="Arial" w:cs="Arial"/>
          <w:lang w:val="es-ES_tradnl"/>
        </w:rPr>
        <w:t xml:space="preserve">Adquisiciones. </w:t>
      </w:r>
      <w:r w:rsidRPr="00D27425">
        <w:rPr>
          <w:rFonts w:ascii="Arial" w:hAnsi="Arial" w:cs="Arial"/>
          <w:lang w:val="es-ES_tradnl"/>
        </w:rPr>
        <w:t>El Banco contratará los servicios de consultores individuales, firmas consultoras y servicios diferentes de consultoría, de conformidad con las políticas y procedimientos vigentes en el Banco. Para este fin, serán aplicadas la Sección AM-650 del Manual Administrativo “Fuerza de Trabajo Complementaria” para consultores individuales, la política para la Selección y Contratación de Empresas Consultoras para Trabajo Operativo Ejecutado por el Banco (GN-2765-1) y sus directrices operativas (OP-1155</w:t>
      </w:r>
      <w:r w:rsidR="00344B86">
        <w:rPr>
          <w:rFonts w:ascii="Arial" w:hAnsi="Arial" w:cs="Arial"/>
          <w:lang w:val="es-ES_tradnl"/>
        </w:rPr>
        <w:noBreakHyphen/>
      </w:r>
      <w:r w:rsidR="00344B86">
        <w:rPr>
          <w:rFonts w:ascii="Arial" w:hAnsi="Arial" w:cs="Arial"/>
          <w:lang w:val="es-ES_tradnl"/>
        </w:rPr>
        <w:noBreakHyphen/>
      </w:r>
      <w:r w:rsidRPr="00D27425">
        <w:rPr>
          <w:rFonts w:ascii="Arial" w:hAnsi="Arial" w:cs="Arial"/>
          <w:lang w:val="es-ES_tradnl"/>
        </w:rPr>
        <w:t>4) y la política de adquisiciones institucionales del BID GN</w:t>
      </w:r>
      <w:r w:rsidR="00E86BE5">
        <w:rPr>
          <w:rFonts w:ascii="Arial" w:hAnsi="Arial" w:cs="Arial"/>
          <w:lang w:val="es-ES_tradnl"/>
        </w:rPr>
        <w:noBreakHyphen/>
      </w:r>
      <w:r w:rsidR="00E86BE5">
        <w:rPr>
          <w:rFonts w:ascii="Arial" w:hAnsi="Arial" w:cs="Arial"/>
          <w:lang w:val="es-ES_tradnl"/>
        </w:rPr>
        <w:noBreakHyphen/>
      </w:r>
      <w:r w:rsidRPr="00D27425">
        <w:rPr>
          <w:rFonts w:ascii="Arial" w:hAnsi="Arial" w:cs="Arial"/>
          <w:lang w:val="es-ES_tradnl"/>
        </w:rPr>
        <w:t>2303-20 para servicios diferentes de consultoría.</w:t>
      </w:r>
    </w:p>
    <w:p w:rsidR="00D8700D" w:rsidRPr="00D27425" w:rsidRDefault="00EA68A3">
      <w:pPr>
        <w:spacing w:before="200" w:after="200"/>
        <w:ind w:left="579" w:hanging="579"/>
        <w:jc w:val="both"/>
        <w:rPr>
          <w:lang w:val="es-ES_tradnl"/>
        </w:rPr>
      </w:pPr>
      <w:r w:rsidRPr="00D27425">
        <w:rPr>
          <w:rFonts w:ascii="Arial" w:hAnsi="Arial" w:cs="Arial"/>
          <w:lang w:val="es-ES_tradnl"/>
        </w:rPr>
        <w:t>5.2</w:t>
      </w:r>
      <w:r w:rsidRPr="00D27425">
        <w:rPr>
          <w:rFonts w:ascii="Arial" w:hAnsi="Arial" w:cs="Arial"/>
          <w:lang w:val="es-ES_tradnl"/>
        </w:rPr>
        <w:tab/>
        <w:t xml:space="preserve">El </w:t>
      </w:r>
      <w:r w:rsidR="00244CB7">
        <w:rPr>
          <w:rFonts w:ascii="Arial" w:hAnsi="Arial" w:cs="Arial"/>
          <w:lang w:val="es-ES_tradnl"/>
        </w:rPr>
        <w:t>G</w:t>
      </w:r>
      <w:r w:rsidRPr="00D27425">
        <w:rPr>
          <w:rFonts w:ascii="Arial" w:hAnsi="Arial" w:cs="Arial"/>
          <w:lang w:val="es-ES_tradnl"/>
        </w:rPr>
        <w:t>obierno de República Dominicana ha solicitado que el Banco ejecute esta cooperación técnica. La División de Mercados Laborales (SCL/LMK) cuenta con los antecedentes, habilidades, y experiencia técnica relevante para llevar a cabo esta cooperación técnica. SCL/LMK será responsable de la dirección, supervisión y coordinación de la CT. SCL/LMK someterá reportes anuales y un reporte final al donante.</w:t>
      </w:r>
    </w:p>
    <w:p w:rsidR="00D8700D" w:rsidRPr="00D27425" w:rsidRDefault="00EA68A3" w:rsidP="00344B86">
      <w:pPr>
        <w:keepNext/>
        <w:spacing w:before="120" w:after="120"/>
        <w:ind w:left="576" w:hanging="576"/>
        <w:rPr>
          <w:lang w:val="es-ES_tradnl"/>
        </w:rPr>
      </w:pPr>
      <w:r w:rsidRPr="00D27425">
        <w:rPr>
          <w:rFonts w:ascii="Arial" w:hAnsi="Arial" w:cs="Arial"/>
          <w:b/>
          <w:lang w:val="es-ES_tradnl"/>
        </w:rPr>
        <w:t>VI.</w:t>
      </w:r>
      <w:r w:rsidRPr="00D27425">
        <w:rPr>
          <w:rFonts w:ascii="Arial" w:hAnsi="Arial" w:cs="Arial"/>
          <w:b/>
          <w:lang w:val="es-ES_tradnl"/>
        </w:rPr>
        <w:tab/>
      </w:r>
      <w:r w:rsidR="00244CB7">
        <w:rPr>
          <w:rFonts w:ascii="Arial" w:hAnsi="Arial" w:cs="Arial"/>
          <w:b/>
          <w:lang w:val="es-ES_tradnl"/>
        </w:rPr>
        <w:t>Riesgos y temas del proyecto</w:t>
      </w:r>
    </w:p>
    <w:p w:rsidR="00D8700D" w:rsidRPr="00D27425" w:rsidRDefault="00EA68A3" w:rsidP="00344B86">
      <w:pPr>
        <w:keepNext/>
        <w:spacing w:before="200" w:after="200"/>
        <w:ind w:left="576" w:hanging="576"/>
        <w:jc w:val="both"/>
        <w:rPr>
          <w:lang w:val="es-ES_tradnl"/>
        </w:rPr>
      </w:pPr>
      <w:r w:rsidRPr="00D27425">
        <w:rPr>
          <w:rFonts w:ascii="Arial" w:hAnsi="Arial" w:cs="Arial"/>
          <w:lang w:val="es-ES_tradnl"/>
        </w:rPr>
        <w:t>6.1</w:t>
      </w:r>
      <w:r w:rsidRPr="00D27425">
        <w:rPr>
          <w:rFonts w:ascii="Arial" w:hAnsi="Arial" w:cs="Arial"/>
          <w:lang w:val="es-ES_tradnl"/>
        </w:rPr>
        <w:tab/>
        <w:t xml:space="preserve">Se identificaron dos potenciales riesgos, al igual que sus medidas de mitigación para asegurar la ejecución a tiempo de la CT. Uno de los riesgos claves para la ejecución de la CT es que INFOTEP tenga algún cambio de prioridad en estos temas. La medida de mitigación en este caso es tener un diálogo continuo de la Representación, y </w:t>
      </w:r>
      <w:r w:rsidR="00344B86">
        <w:rPr>
          <w:rFonts w:ascii="Arial" w:hAnsi="Arial" w:cs="Arial"/>
          <w:lang w:val="es-ES_tradnl"/>
        </w:rPr>
        <w:t>SCL/</w:t>
      </w:r>
      <w:r w:rsidRPr="00D27425">
        <w:rPr>
          <w:rFonts w:ascii="Arial" w:hAnsi="Arial" w:cs="Arial"/>
          <w:lang w:val="es-ES_tradnl"/>
        </w:rPr>
        <w:t>LMK con los directivos principales.</w:t>
      </w:r>
    </w:p>
    <w:p w:rsidR="00D8700D" w:rsidRPr="00D27425" w:rsidRDefault="00EA68A3">
      <w:pPr>
        <w:spacing w:before="200" w:after="200"/>
        <w:ind w:left="579" w:hanging="579"/>
        <w:jc w:val="both"/>
        <w:rPr>
          <w:lang w:val="es-ES_tradnl"/>
        </w:rPr>
      </w:pPr>
      <w:r w:rsidRPr="00D27425">
        <w:rPr>
          <w:rFonts w:ascii="Arial" w:hAnsi="Arial" w:cs="Arial"/>
          <w:lang w:val="es-ES_tradnl"/>
        </w:rPr>
        <w:t>6.2</w:t>
      </w:r>
      <w:r w:rsidRPr="00D27425">
        <w:rPr>
          <w:rFonts w:ascii="Arial" w:hAnsi="Arial" w:cs="Arial"/>
          <w:lang w:val="es-ES_tradnl"/>
        </w:rPr>
        <w:tab/>
        <w:t>Otro posible riesgo puede deberse a demoras al tener múltiples puntos de interacción con sector privado, laboral y académico que diluya enfoque. Para mitigar esto, se seguirán planes de acción y reuniones frecuentes con las contrapartes para identificar cuellos de botella y desarrollar estrategias para avanzar en el plan de acción.</w:t>
      </w:r>
    </w:p>
    <w:p w:rsidR="00D8700D" w:rsidRPr="00244CB7" w:rsidRDefault="00EA68A3">
      <w:pPr>
        <w:spacing w:before="120" w:after="120"/>
        <w:ind w:left="579" w:hanging="579"/>
        <w:rPr>
          <w:lang w:val="es-ES_tradnl"/>
        </w:rPr>
      </w:pPr>
      <w:r w:rsidRPr="00A13343">
        <w:rPr>
          <w:rFonts w:ascii="Arial" w:hAnsi="Arial" w:cs="Arial"/>
          <w:b/>
          <w:lang w:val="es-ES_tradnl"/>
        </w:rPr>
        <w:t>VII.</w:t>
      </w:r>
      <w:r w:rsidRPr="00A13343">
        <w:rPr>
          <w:rFonts w:ascii="Arial" w:hAnsi="Arial" w:cs="Arial"/>
          <w:b/>
          <w:lang w:val="es-ES_tradnl"/>
        </w:rPr>
        <w:tab/>
      </w:r>
      <w:r w:rsidR="00244CB7" w:rsidRPr="00244CB7">
        <w:rPr>
          <w:rFonts w:ascii="Arial" w:hAnsi="Arial" w:cs="Arial"/>
          <w:b/>
          <w:lang w:val="es-ES_tradnl"/>
        </w:rPr>
        <w:t>Clasificación ambiental y social</w:t>
      </w:r>
    </w:p>
    <w:p w:rsidR="00D8700D" w:rsidRDefault="00EA68A3">
      <w:pPr>
        <w:spacing w:before="240" w:after="120"/>
        <w:ind w:left="579" w:hanging="579"/>
        <w:jc w:val="both"/>
        <w:rPr>
          <w:rFonts w:ascii="Arial" w:hAnsi="Arial" w:cs="Arial"/>
          <w:lang w:val="es-ES_tradnl"/>
        </w:rPr>
      </w:pPr>
      <w:r w:rsidRPr="00244CB7">
        <w:rPr>
          <w:rFonts w:ascii="Arial" w:hAnsi="Arial" w:cs="Arial"/>
          <w:lang w:val="es-ES_tradnl"/>
        </w:rPr>
        <w:t>7.1</w:t>
      </w:r>
      <w:r w:rsidRPr="00244CB7">
        <w:rPr>
          <w:rFonts w:ascii="Arial" w:hAnsi="Arial" w:cs="Arial"/>
          <w:lang w:val="es-ES_tradnl"/>
        </w:rPr>
        <w:tab/>
      </w:r>
      <w:r w:rsidR="00244CB7">
        <w:rPr>
          <w:rFonts w:ascii="Arial" w:hAnsi="Arial" w:cs="Arial"/>
          <w:lang w:val="es-ES_tradnl"/>
        </w:rPr>
        <w:t xml:space="preserve">Dada su naturaleza, se estima que esta operación no </w:t>
      </w:r>
      <w:r w:rsidR="00E86BE5">
        <w:rPr>
          <w:rFonts w:ascii="Arial" w:hAnsi="Arial" w:cs="Arial"/>
          <w:lang w:val="es-ES_tradnl"/>
        </w:rPr>
        <w:t>tendrá</w:t>
      </w:r>
      <w:r w:rsidR="00244CB7">
        <w:rPr>
          <w:rFonts w:ascii="Arial" w:hAnsi="Arial" w:cs="Arial"/>
          <w:lang w:val="es-ES_tradnl"/>
        </w:rPr>
        <w:t xml:space="preserve"> </w:t>
      </w:r>
      <w:r w:rsidR="00E86BE5">
        <w:rPr>
          <w:rFonts w:ascii="Arial" w:hAnsi="Arial" w:cs="Arial"/>
          <w:lang w:val="es-ES_tradnl"/>
        </w:rPr>
        <w:t xml:space="preserve">impactos </w:t>
      </w:r>
      <w:r w:rsidR="00244CB7">
        <w:rPr>
          <w:rFonts w:ascii="Arial" w:hAnsi="Arial" w:cs="Arial"/>
          <w:lang w:val="es-ES_tradnl"/>
        </w:rPr>
        <w:t xml:space="preserve">ambientales o sociales negativos significativos. </w:t>
      </w:r>
      <w:r w:rsidR="00244CB7" w:rsidRPr="00244CB7">
        <w:rPr>
          <w:rFonts w:ascii="Arial" w:hAnsi="Arial" w:cs="Arial"/>
          <w:lang w:val="es-ES_tradnl"/>
        </w:rPr>
        <w:t>La clasificación de esta op</w:t>
      </w:r>
      <w:r w:rsidR="00244CB7">
        <w:rPr>
          <w:rFonts w:ascii="Arial" w:hAnsi="Arial" w:cs="Arial"/>
          <w:lang w:val="es-ES_tradnl"/>
        </w:rPr>
        <w:t xml:space="preserve">eración es </w:t>
      </w:r>
      <w:r w:rsidR="00344B86" w:rsidRPr="00244CB7">
        <w:rPr>
          <w:rFonts w:ascii="Arial" w:hAnsi="Arial" w:cs="Arial"/>
          <w:lang w:val="es-ES_tradnl"/>
        </w:rPr>
        <w:t>C</w:t>
      </w:r>
      <w:r w:rsidRPr="00244CB7">
        <w:rPr>
          <w:rFonts w:ascii="Arial" w:hAnsi="Arial" w:cs="Arial"/>
          <w:lang w:val="es-ES_tradnl"/>
        </w:rPr>
        <w:t>".</w:t>
      </w:r>
    </w:p>
    <w:p w:rsidR="00244CB7" w:rsidRDefault="00244CB7">
      <w:pPr>
        <w:spacing w:before="240" w:after="120"/>
        <w:ind w:left="579" w:hanging="579"/>
        <w:jc w:val="both"/>
        <w:rPr>
          <w:lang w:val="es-ES_tradnl"/>
        </w:rPr>
      </w:pPr>
    </w:p>
    <w:p w:rsidR="00244CB7" w:rsidRPr="00A13343" w:rsidRDefault="00244CB7" w:rsidP="00A13343">
      <w:pPr>
        <w:spacing w:before="240" w:after="120"/>
        <w:ind w:left="579"/>
        <w:jc w:val="both"/>
        <w:rPr>
          <w:sz w:val="40"/>
          <w:szCs w:val="40"/>
          <w:lang w:val="es-ES_tradnl"/>
        </w:rPr>
      </w:pPr>
    </w:p>
    <w:sectPr w:rsidR="00244CB7" w:rsidRPr="00A13343" w:rsidSect="00FC3028">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547" w:rsidRDefault="00D91547">
      <w:r>
        <w:separator/>
      </w:r>
    </w:p>
  </w:endnote>
  <w:endnote w:type="continuationSeparator" w:id="0">
    <w:p w:rsidR="00D91547" w:rsidRDefault="00D9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D915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D91547"/>
  <w:p w:rsidR="00D8700D" w:rsidRDefault="00EA68A3">
    <w:pPr>
      <w:jc w:val="center"/>
    </w:pPr>
    <w:r>
      <w:t xml:space="preserve">-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D91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547" w:rsidRDefault="00D91547">
      <w:r>
        <w:separator/>
      </w:r>
    </w:p>
  </w:footnote>
  <w:footnote w:type="continuationSeparator" w:id="0">
    <w:p w:rsidR="00D91547" w:rsidRDefault="00D9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13852"/>
    <w:rsid w:val="001915A3"/>
    <w:rsid w:val="001E2874"/>
    <w:rsid w:val="00217F62"/>
    <w:rsid w:val="00244CB7"/>
    <w:rsid w:val="00344B86"/>
    <w:rsid w:val="006F7773"/>
    <w:rsid w:val="00761BD1"/>
    <w:rsid w:val="008212ED"/>
    <w:rsid w:val="00824F51"/>
    <w:rsid w:val="00A13343"/>
    <w:rsid w:val="00A30514"/>
    <w:rsid w:val="00A906D8"/>
    <w:rsid w:val="00AB5A74"/>
    <w:rsid w:val="00CA2919"/>
    <w:rsid w:val="00D24538"/>
    <w:rsid w:val="00D27425"/>
    <w:rsid w:val="00D8700D"/>
    <w:rsid w:val="00D91547"/>
    <w:rsid w:val="00E86BE5"/>
    <w:rsid w:val="00EA68A3"/>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2773"/>
  <w15:docId w15:val="{55C7F09D-1D0E-43BB-9EEE-EA880BB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27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25"/>
    <w:rPr>
      <w:rFonts w:ascii="Segoe UI" w:hAnsi="Segoe UI" w:cs="Segoe UI"/>
      <w:sz w:val="18"/>
      <w:szCs w:val="18"/>
    </w:rPr>
  </w:style>
  <w:style w:type="paragraph" w:styleId="NormalWeb">
    <w:name w:val="Normal (Web)"/>
    <w:basedOn w:val="Normal"/>
    <w:uiPriority w:val="99"/>
    <w:semiHidden/>
    <w:unhideWhenUsed/>
    <w:rsid w:val="00761BD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settings" Target="settings.xml"/><Relationship Id="rId16" Type="http://schemas.openxmlformats.org/officeDocument/2006/relationships/customXml" Target="../customXml/item6.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BC1287993818F4B8B6BE1977B21F999" ma:contentTypeVersion="556" ma:contentTypeDescription="A content type to manage public (operations) IDB documents" ma:contentTypeScope="" ma:versionID="aea7b17673fae75f92e6d6bbe18b5464">
  <xsd:schema xmlns:xsd="http://www.w3.org/2001/XMLSchema" xmlns:xs="http://www.w3.org/2001/XMLSchema" xmlns:p="http://schemas.microsoft.com/office/2006/metadata/properties" xmlns:ns2="cdc7663a-08f0-4737-9e8c-148ce897a09c" targetNamespace="http://schemas.microsoft.com/office/2006/metadata/properties" ma:root="true" ma:fieldsID="c90cf6a0645584e5ba71eecf85634e4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DR-T116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_catalogs/masterpage/ECMForms/OperationsCT/View.aspx</Display>
  <Edit>_catalogs/masterpage/ECMForms/OperationsCT/Edit.aspx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SCL/LMK</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Fazio, Maria Victoria</Other_x0020_Author>
    <Migration_x0020_Info xmlns="cdc7663a-08f0-4737-9e8c-148ce897a09c" xsi:nil="true"/>
    <Approval_x0020_Number xmlns="cdc7663a-08f0-4737-9e8c-148ce897a09c" xsi:nil="true"/>
    <Phase xmlns="cdc7663a-08f0-4737-9e8c-148ce897a09c" xsi:nil="true"/>
    <Document_x0020_Author xmlns="cdc7663a-08f0-4737-9e8c-148ce897a09c">Muhlstein, Ethel Rosa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VOCATIONAL AND WORKFORCE TRAINING</TermName>
          <TermId xmlns="http://schemas.microsoft.com/office/infopath/2007/PartnerControls">8404f753-fb1a-4c37-9f07-9c666bbff14a</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Related_x0020_SisCor_x0020_Number xmlns="cdc7663a-08f0-4737-9e8c-148ce897a09c" xsi:nil="true"/>
    <TaxCatchAll xmlns="cdc7663a-08f0-4737-9e8c-148ce897a09c">
      <Value>48</Value>
      <Value>47</Value>
      <Value>4</Value>
      <Value>185</Value>
      <Value>29</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DR-T1166</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SOCIAL INVESTMENT</TermName>
          <TermId xmlns="http://schemas.microsoft.com/office/infopath/2007/PartnerControls">3f908695-d5b5-49f6-941f-76876b39564f</TermId>
        </TermInfo>
      </Terms>
    </nddeef1749674d76abdbe4b239a70bc6>
    <Record_x0020_Number xmlns="cdc7663a-08f0-4737-9e8c-148ce897a09c">R0002361124</Record_x0020_Number>
    <_dlc_DocId xmlns="cdc7663a-08f0-4737-9e8c-148ce897a09c">EZSHARE-2029639717-2</_dlc_DocId>
    <_dlc_DocIdUrl xmlns="cdc7663a-08f0-4737-9e8c-148ce897a09c">
      <Url>https://idbg.sharepoint.com/teams/EZ-DR-TCP/DR-T1166/_layouts/15/DocIdRedir.aspx?ID=EZSHARE-2029639717-2</Url>
      <Description>EZSHARE-2029639717-2</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Labor and Training;</Webtopic>
    <Abstract xmlns="cdc7663a-08f0-4737-9e8c-148ce897a09c" xsi:nil="true"/>
    <Publishing_x0020_House xmlns="cdc7663a-08f0-4737-9e8c-148ce897a09c" xsi:nil="true"/>
  </documentManagement>
</p:properties>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DDF0CA65-E911-4DB9-BA71-46E8BB665C70}"/>
</file>

<file path=customXml/itemProps2.xml><?xml version="1.0" encoding="utf-8"?>
<ds:datastoreItem xmlns:ds="http://schemas.openxmlformats.org/officeDocument/2006/customXml" ds:itemID="{A2B8D6EA-312C-46E8-83D2-B3AEC68DABAB}"/>
</file>

<file path=customXml/itemProps3.xml><?xml version="1.0" encoding="utf-8"?>
<ds:datastoreItem xmlns:ds="http://schemas.openxmlformats.org/officeDocument/2006/customXml" ds:itemID="{CA3A344F-C014-4C0E-AD7A-1C67A8983366}"/>
</file>

<file path=customXml/itemProps4.xml><?xml version="1.0" encoding="utf-8"?>
<ds:datastoreItem xmlns:ds="http://schemas.openxmlformats.org/officeDocument/2006/customXml" ds:itemID="{7A33ED02-D218-477C-A71C-86E3C348C931}"/>
</file>

<file path=customXml/itemProps5.xml><?xml version="1.0" encoding="utf-8"?>
<ds:datastoreItem xmlns:ds="http://schemas.openxmlformats.org/officeDocument/2006/customXml" ds:itemID="{AC2AE05A-D3B2-4C81-9CA5-9FAA9E33DC36}"/>
</file>

<file path=customXml/itemProps6.xml><?xml version="1.0" encoding="utf-8"?>
<ds:datastoreItem xmlns:ds="http://schemas.openxmlformats.org/officeDocument/2006/customXml" ds:itemID="{E079E6FD-89E8-46E0-AE66-DFC26558A846}"/>
</file>

<file path=customXml/itemProps7.xml><?xml version="1.0" encoding="utf-8"?>
<ds:datastoreItem xmlns:ds="http://schemas.openxmlformats.org/officeDocument/2006/customXml" ds:itemID="{F53FD632-E23E-474F-B547-E68A8CEEC382}"/>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Muhlstein, Ethel Rosa</dc:creator>
  <cp:keywords/>
  <cp:lastModifiedBy>Muhlstein, Ethel Rosa</cp:lastModifiedBy>
  <cp:revision>2</cp:revision>
  <dcterms:created xsi:type="dcterms:W3CDTF">2018-07-03T17:02:00Z</dcterms:created>
  <dcterms:modified xsi:type="dcterms:W3CDTF">2018-07-03T17:02:00Z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48;#VOCATIONAL AND WORKFORCE TRAINING|8404f753-fb1a-4c37-9f07-9c666bbff14a</vt:lpwstr>
  </property>
  <property fmtid="{D5CDD505-2E9C-101B-9397-08002B2CF9AE}" pid="7" name="Fund IDB">
    <vt:lpwstr>185;#SOC|3086ce3f-38db-462a-ad79-6fb1ca9264c8</vt:lpwstr>
  </property>
  <property fmtid="{D5CDD505-2E9C-101B-9397-08002B2CF9AE}" pid="8" name="Country">
    <vt:lpwstr>29;#Dominican Republic|19e8fe34-75bb-4d09-b676-0e9a3c6f1862</vt:lpwstr>
  </property>
  <property fmtid="{D5CDD505-2E9C-101B-9397-08002B2CF9AE}" pid="9" name="Sector IDB">
    <vt:lpwstr>47;#SOCIAL INVESTMENT|3f908695-d5b5-49f6-941f-76876b39564f</vt:lpwstr>
  </property>
  <property fmtid="{D5CDD505-2E9C-101B-9397-08002B2CF9AE}" pid="10" name="Function Operations IDB">
    <vt:lpwstr>4;#Project Preparation, Planning and Design|29ca0c72-1fc4-435f-a09c-28585cb5eac9</vt:lpwstr>
  </property>
  <property fmtid="{D5CDD505-2E9C-101B-9397-08002B2CF9AE}" pid="11" name="_dlc_DocIdItemGuid">
    <vt:lpwstr>5cda2b70-0df4-4d31-9691-1dc515144c5e</vt:lpwstr>
  </property>
  <property fmtid="{D5CDD505-2E9C-101B-9397-08002B2CF9AE}" pid="12" name="Disclosure Activity">
    <vt:lpwstr>TC Abstract</vt:lpwstr>
  </property>
  <property fmtid="{D5CDD505-2E9C-101B-9397-08002B2CF9AE}" pid="13" name="ContentTypeId">
    <vt:lpwstr>0x0101001A458A224826124E8B45B1D613300CFC006BC1287993818F4B8B6BE1977B21F999</vt:lpwstr>
  </property>
</Properties>
</file>