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3.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690" w:rsidRPr="00EC49D7" w:rsidRDefault="009B0690" w:rsidP="009B0690">
      <w:pPr>
        <w:tabs>
          <w:tab w:val="left" w:pos="2127"/>
          <w:tab w:val="right" w:pos="2410"/>
        </w:tabs>
        <w:spacing w:after="120"/>
        <w:ind w:left="-108" w:right="-53"/>
        <w:jc w:val="center"/>
        <w:rPr>
          <w:b/>
          <w:sz w:val="28"/>
          <w:szCs w:val="28"/>
          <w:lang w:val="es-AR"/>
        </w:rPr>
      </w:pPr>
      <w:r w:rsidRPr="00EC49D7">
        <w:rPr>
          <w:b/>
          <w:sz w:val="28"/>
          <w:szCs w:val="28"/>
          <w:lang w:val="es-AR"/>
        </w:rPr>
        <w:t>Uruguay Global: Programa de promoción de destrezas digitales para la internacionalización</w:t>
      </w:r>
    </w:p>
    <w:p w:rsidR="009B0690" w:rsidRPr="00EC49D7" w:rsidRDefault="009B0690">
      <w:pPr>
        <w:rPr>
          <w:lang w:val="es-AR"/>
        </w:rPr>
      </w:pPr>
    </w:p>
    <w:p w:rsidR="009B0690" w:rsidRPr="00EC49D7" w:rsidRDefault="009B0690" w:rsidP="00D17CE3">
      <w:pPr>
        <w:jc w:val="center"/>
        <w:rPr>
          <w:b/>
          <w:lang w:val="es-AR"/>
        </w:rPr>
      </w:pPr>
      <w:r w:rsidRPr="00EC49D7">
        <w:rPr>
          <w:b/>
          <w:lang w:val="es-AR"/>
        </w:rPr>
        <w:t>Análisis económico del proyecto</w:t>
      </w:r>
    </w:p>
    <w:p w:rsidR="009B0690" w:rsidRPr="00EC49D7" w:rsidRDefault="009B0690" w:rsidP="009B0690">
      <w:pPr>
        <w:rPr>
          <w:lang w:val="es-AR"/>
        </w:rPr>
      </w:pPr>
    </w:p>
    <w:p w:rsidR="009B0690" w:rsidRPr="00EC49D7" w:rsidRDefault="009B0690" w:rsidP="009C36FE">
      <w:pPr>
        <w:pStyle w:val="ListParagraph"/>
        <w:numPr>
          <w:ilvl w:val="0"/>
          <w:numId w:val="1"/>
        </w:numPr>
        <w:rPr>
          <w:b/>
          <w:szCs w:val="24"/>
          <w:lang w:val="es-AR"/>
        </w:rPr>
      </w:pPr>
      <w:r w:rsidRPr="00EC49D7">
        <w:rPr>
          <w:b/>
          <w:szCs w:val="24"/>
          <w:lang w:val="es-AR"/>
        </w:rPr>
        <w:t xml:space="preserve">Introducción: </w:t>
      </w:r>
    </w:p>
    <w:p w:rsidR="009B0690" w:rsidRPr="00EC49D7" w:rsidRDefault="009B0690" w:rsidP="009B0690">
      <w:pPr>
        <w:rPr>
          <w:szCs w:val="24"/>
          <w:lang w:val="es-AR"/>
        </w:rPr>
      </w:pPr>
    </w:p>
    <w:p w:rsidR="009B0690" w:rsidRPr="00EC49D7" w:rsidRDefault="009B0690" w:rsidP="009B0690">
      <w:pPr>
        <w:jc w:val="both"/>
        <w:rPr>
          <w:szCs w:val="24"/>
          <w:lang w:val="es-AR"/>
        </w:rPr>
      </w:pPr>
      <w:r w:rsidRPr="00EC49D7">
        <w:rPr>
          <w:szCs w:val="24"/>
          <w:lang w:val="es-AR"/>
        </w:rPr>
        <w:t xml:space="preserve">El Programa </w:t>
      </w:r>
      <w:r w:rsidR="00240305" w:rsidRPr="00EC49D7">
        <w:rPr>
          <w:szCs w:val="24"/>
          <w:lang w:val="es-AR"/>
        </w:rPr>
        <w:t xml:space="preserve">de promoción de destrezas digitales para la internacionalización </w:t>
      </w:r>
      <w:r w:rsidR="005C7274" w:rsidRPr="00EC49D7">
        <w:rPr>
          <w:szCs w:val="24"/>
          <w:lang w:val="es-AR"/>
        </w:rPr>
        <w:t xml:space="preserve">busca fortalecer la oferta nacional de </w:t>
      </w:r>
      <w:r w:rsidRPr="00EC49D7">
        <w:rPr>
          <w:szCs w:val="24"/>
          <w:lang w:val="es-AR"/>
        </w:rPr>
        <w:t xml:space="preserve">servicios y bienes intensivos en conocimiento (SBIC) a través de aumentar la oferta de capital humano con competencias digitales demandadas por el sector SBIC y fortalecer el ecosistema digital para la internacionalización. </w:t>
      </w:r>
    </w:p>
    <w:p w:rsidR="009B0690" w:rsidRPr="00EC49D7" w:rsidRDefault="009B0690" w:rsidP="009B0690">
      <w:pPr>
        <w:jc w:val="both"/>
        <w:rPr>
          <w:szCs w:val="24"/>
          <w:lang w:val="es-AR"/>
        </w:rPr>
      </w:pPr>
    </w:p>
    <w:p w:rsidR="009B0690" w:rsidRPr="00EC49D7" w:rsidRDefault="009B0690" w:rsidP="009B0690">
      <w:pPr>
        <w:jc w:val="both"/>
        <w:rPr>
          <w:szCs w:val="24"/>
          <w:lang w:val="es-AR"/>
        </w:rPr>
      </w:pPr>
      <w:r w:rsidRPr="00EC49D7">
        <w:rPr>
          <w:szCs w:val="24"/>
          <w:lang w:val="es-AR"/>
        </w:rPr>
        <w:t>A través del Programa, se espera aumentar el número de graduados en competencias digitales avanzadas, contribuir a la formación de capacitadores locales, favorecer la creación de emprendimientos orientados a la internacionalización de SBIC y</w:t>
      </w:r>
      <w:r w:rsidRPr="00EC49D7">
        <w:rPr>
          <w:b/>
          <w:szCs w:val="24"/>
          <w:lang w:val="es-AR"/>
        </w:rPr>
        <w:t xml:space="preserve"> </w:t>
      </w:r>
      <w:r w:rsidRPr="00EC49D7">
        <w:rPr>
          <w:szCs w:val="24"/>
          <w:lang w:val="es-AR"/>
        </w:rPr>
        <w:t xml:space="preserve">aumentar el volumen de exportaciones e inversiones en SBIC. </w:t>
      </w:r>
    </w:p>
    <w:p w:rsidR="009B0690" w:rsidRPr="00EC49D7" w:rsidRDefault="009B0690" w:rsidP="009B0690">
      <w:pPr>
        <w:jc w:val="both"/>
        <w:rPr>
          <w:szCs w:val="24"/>
          <w:lang w:val="es-AR"/>
        </w:rPr>
      </w:pPr>
    </w:p>
    <w:p w:rsidR="009B0690" w:rsidRPr="00EC49D7" w:rsidRDefault="00FB16A9" w:rsidP="009B0690">
      <w:pPr>
        <w:jc w:val="both"/>
        <w:rPr>
          <w:szCs w:val="24"/>
          <w:lang w:val="es-AR"/>
        </w:rPr>
      </w:pPr>
      <w:r w:rsidRPr="00EC49D7">
        <w:rPr>
          <w:szCs w:val="24"/>
          <w:lang w:val="es-AR"/>
        </w:rPr>
        <w:t xml:space="preserve">Los componentes del programa buscan formar capital humano a través de la implementación de alianzas entre centros de capacitación locales y extranjeros, que permitan ofrecer programas de especialización en disciplinas digitales relacionadas con </w:t>
      </w:r>
      <w:proofErr w:type="spellStart"/>
      <w:r w:rsidRPr="00EC49D7">
        <w:rPr>
          <w:szCs w:val="24"/>
          <w:lang w:val="es-AR"/>
        </w:rPr>
        <w:t>SBICs</w:t>
      </w:r>
      <w:proofErr w:type="spellEnd"/>
      <w:r w:rsidRPr="00EC49D7">
        <w:rPr>
          <w:szCs w:val="24"/>
          <w:lang w:val="es-AR"/>
        </w:rPr>
        <w:t xml:space="preserve">, combinando formación técnica como inteligencia artificial y ciencias de los datos con habilidades blandas como emprendimiento y liderazgo. Por otra parte, también se buscará fomentar la internacionalización en la industria de </w:t>
      </w:r>
      <w:proofErr w:type="spellStart"/>
      <w:r w:rsidRPr="00EC49D7">
        <w:rPr>
          <w:szCs w:val="24"/>
          <w:lang w:val="es-AR"/>
        </w:rPr>
        <w:t>SBICs</w:t>
      </w:r>
      <w:proofErr w:type="spellEnd"/>
      <w:r w:rsidRPr="00EC49D7">
        <w:rPr>
          <w:szCs w:val="24"/>
          <w:lang w:val="es-AR"/>
        </w:rPr>
        <w:t xml:space="preserve"> a través de la atracción de inversión extranjera y la promoción de exportaciones de las empresas locales.</w:t>
      </w:r>
    </w:p>
    <w:p w:rsidR="00FB16A9" w:rsidRPr="00EC49D7" w:rsidRDefault="00FB16A9" w:rsidP="009B0690">
      <w:pPr>
        <w:jc w:val="both"/>
        <w:rPr>
          <w:szCs w:val="24"/>
          <w:lang w:val="es-AR"/>
        </w:rPr>
      </w:pPr>
    </w:p>
    <w:p w:rsidR="00FB16A9" w:rsidRPr="00EC49D7" w:rsidRDefault="00FB16A9" w:rsidP="009B0690">
      <w:pPr>
        <w:jc w:val="both"/>
        <w:rPr>
          <w:szCs w:val="24"/>
          <w:lang w:val="es-AR"/>
        </w:rPr>
      </w:pPr>
      <w:r w:rsidRPr="00EC49D7">
        <w:rPr>
          <w:b/>
          <w:szCs w:val="24"/>
          <w:lang w:val="es-AR"/>
        </w:rPr>
        <w:t>Componente 1. Capital Humano</w:t>
      </w:r>
      <w:r w:rsidR="00A25E81" w:rsidRPr="00EC49D7">
        <w:rPr>
          <w:b/>
          <w:szCs w:val="24"/>
          <w:lang w:val="es-AR"/>
        </w:rPr>
        <w:t xml:space="preserve"> Digital (US$ </w:t>
      </w:r>
      <w:r w:rsidR="000D2DAC" w:rsidRPr="00EC49D7">
        <w:rPr>
          <w:b/>
          <w:szCs w:val="24"/>
          <w:lang w:val="es-AR"/>
        </w:rPr>
        <w:t>9.527</w:t>
      </w:r>
      <w:r w:rsidRPr="00EC49D7">
        <w:rPr>
          <w:b/>
          <w:szCs w:val="24"/>
          <w:lang w:val="es-AR"/>
        </w:rPr>
        <w:t xml:space="preserve">.000). </w:t>
      </w:r>
      <w:r w:rsidRPr="00EC49D7">
        <w:rPr>
          <w:szCs w:val="24"/>
          <w:lang w:val="es-AR"/>
        </w:rPr>
        <w:t xml:space="preserve">Dentro de este componente, se financiarán las siguientes actividades: (i) retribución a universidades internacionales por el desarrollo de los programas académicos, ya sean servicios de desarrollo de programas a medida o reproducción de contenidos existentes; (ii) gastos relacionados con participación de profesores internacionales en la impartición de los cursos, incluyendo honorarios y gastos de viaje a Uruguay; (iii) formación de profesores locales; (iv) becas para profesores y estudiantes residentes que cumplan los requisitos técnicos de participación en el Programa, con un enfoque de género basado en preferencias en los criterios de admisión al programa; (v) reclutamiento de estudiantes con un enfoque de género; y (vi) plataformas de e-learning y soporte tecnológico.   </w:t>
      </w:r>
    </w:p>
    <w:p w:rsidR="009B0690" w:rsidRPr="00EC49D7" w:rsidRDefault="009B0690" w:rsidP="009B0690">
      <w:pPr>
        <w:jc w:val="both"/>
        <w:rPr>
          <w:lang w:val="es-AR"/>
        </w:rPr>
      </w:pPr>
    </w:p>
    <w:p w:rsidR="00FB16A9" w:rsidRPr="00EC49D7" w:rsidRDefault="00FB16A9" w:rsidP="00FB16A9">
      <w:pPr>
        <w:tabs>
          <w:tab w:val="left" w:pos="2127"/>
          <w:tab w:val="right" w:pos="2410"/>
        </w:tabs>
        <w:spacing w:before="120" w:after="120"/>
        <w:jc w:val="both"/>
        <w:rPr>
          <w:szCs w:val="24"/>
          <w:lang w:val="es-AR"/>
        </w:rPr>
      </w:pPr>
      <w:r w:rsidRPr="00EC49D7">
        <w:rPr>
          <w:b/>
          <w:szCs w:val="24"/>
          <w:lang w:val="es-AR"/>
        </w:rPr>
        <w:t>Componente 2. Fortalecimiento de ecosistema digital para</w:t>
      </w:r>
      <w:r w:rsidR="007E48A0" w:rsidRPr="00EC49D7">
        <w:rPr>
          <w:b/>
          <w:szCs w:val="24"/>
          <w:lang w:val="es-AR"/>
        </w:rPr>
        <w:t xml:space="preserve"> la internacionalización. (US$ </w:t>
      </w:r>
      <w:r w:rsidR="000D2DAC" w:rsidRPr="00EC49D7">
        <w:rPr>
          <w:b/>
          <w:szCs w:val="24"/>
          <w:lang w:val="es-AR"/>
        </w:rPr>
        <w:t>2</w:t>
      </w:r>
      <w:r w:rsidRPr="00EC49D7">
        <w:rPr>
          <w:b/>
          <w:szCs w:val="24"/>
          <w:lang w:val="es-AR"/>
        </w:rPr>
        <w:t>.</w:t>
      </w:r>
      <w:r w:rsidR="000D2DAC" w:rsidRPr="00EC49D7">
        <w:rPr>
          <w:b/>
          <w:szCs w:val="24"/>
          <w:lang w:val="es-AR"/>
        </w:rPr>
        <w:t>332</w:t>
      </w:r>
      <w:r w:rsidRPr="00EC49D7">
        <w:rPr>
          <w:b/>
          <w:szCs w:val="24"/>
          <w:lang w:val="es-AR"/>
        </w:rPr>
        <w:t>.</w:t>
      </w:r>
      <w:r w:rsidR="000D2DAC" w:rsidRPr="00EC49D7">
        <w:rPr>
          <w:b/>
          <w:szCs w:val="24"/>
          <w:lang w:val="es-AR"/>
        </w:rPr>
        <w:t>5</w:t>
      </w:r>
      <w:r w:rsidRPr="00EC49D7">
        <w:rPr>
          <w:b/>
          <w:szCs w:val="24"/>
          <w:lang w:val="es-AR"/>
        </w:rPr>
        <w:t xml:space="preserve">00). </w:t>
      </w:r>
      <w:r w:rsidRPr="00EC49D7">
        <w:rPr>
          <w:szCs w:val="24"/>
          <w:lang w:val="es-AR"/>
        </w:rPr>
        <w:t xml:space="preserve">Por este componente se financiarán las siguientes actividades: (i) promoción internacional del Programa; (ii) coordinación entre empresas </w:t>
      </w:r>
      <w:proofErr w:type="spellStart"/>
      <w:r w:rsidRPr="00EC49D7">
        <w:rPr>
          <w:szCs w:val="24"/>
          <w:lang w:val="es-AR"/>
        </w:rPr>
        <w:t>SBICs</w:t>
      </w:r>
      <w:proofErr w:type="spellEnd"/>
      <w:r w:rsidRPr="00EC49D7">
        <w:rPr>
          <w:szCs w:val="24"/>
          <w:lang w:val="es-AR"/>
        </w:rPr>
        <w:t xml:space="preserve"> con las universidades participantes del Programa, a través de proyectos de investigación aplicada, mentorías y pasantías para estudiantes; (iii) fomento a la internacionalización de emprendimientos, a través de capital semilla para nuevas empresas </w:t>
      </w:r>
      <w:proofErr w:type="spellStart"/>
      <w:r w:rsidRPr="00EC49D7">
        <w:rPr>
          <w:szCs w:val="24"/>
          <w:lang w:val="es-AR"/>
        </w:rPr>
        <w:t>SBICs</w:t>
      </w:r>
      <w:proofErr w:type="spellEnd"/>
      <w:r w:rsidRPr="00EC49D7">
        <w:rPr>
          <w:szCs w:val="24"/>
          <w:lang w:val="es-AR"/>
        </w:rPr>
        <w:t>; (</w:t>
      </w:r>
      <w:proofErr w:type="spellStart"/>
      <w:r w:rsidRPr="00EC49D7">
        <w:rPr>
          <w:szCs w:val="24"/>
          <w:lang w:val="es-AR"/>
        </w:rPr>
        <w:t>iv</w:t>
      </w:r>
      <w:proofErr w:type="spellEnd"/>
      <w:r w:rsidRPr="00EC49D7">
        <w:rPr>
          <w:szCs w:val="24"/>
          <w:lang w:val="es-AR"/>
        </w:rPr>
        <w:t xml:space="preserve">) incentivos para la incorporación de capital humano avanzado en empresas locales con enfoque de género; (v) financiamiento de proyectos de investigación para profesores internacionales, enfocados en el desarrollo del mercado de </w:t>
      </w:r>
      <w:proofErr w:type="spellStart"/>
      <w:r w:rsidRPr="00EC49D7">
        <w:rPr>
          <w:szCs w:val="24"/>
          <w:lang w:val="es-AR"/>
        </w:rPr>
        <w:t>SBICs</w:t>
      </w:r>
      <w:proofErr w:type="spellEnd"/>
      <w:r w:rsidRPr="00EC49D7">
        <w:rPr>
          <w:szCs w:val="24"/>
          <w:lang w:val="es-AR"/>
        </w:rPr>
        <w:t xml:space="preserve"> en Uruguay; (vi) facilitación de búsqueda de empleo; (vii) servicios de desarrollo </w:t>
      </w:r>
      <w:r w:rsidRPr="00EC49D7">
        <w:rPr>
          <w:szCs w:val="24"/>
          <w:lang w:val="es-AR"/>
        </w:rPr>
        <w:lastRenderedPageBreak/>
        <w:t>empresarial para estudiantes del programa con enfoque de género; y (viii) facilidades migratorias, visas y residencias de trabajo.</w:t>
      </w:r>
      <w:r w:rsidRPr="00EC49D7">
        <w:rPr>
          <w:szCs w:val="24"/>
          <w:highlight w:val="yellow"/>
          <w:lang w:val="es-AR"/>
        </w:rPr>
        <w:t xml:space="preserve"> </w:t>
      </w:r>
    </w:p>
    <w:p w:rsidR="00FB16A9" w:rsidRPr="00EC49D7" w:rsidRDefault="007E48A0" w:rsidP="007E48A0">
      <w:pPr>
        <w:tabs>
          <w:tab w:val="left" w:pos="2127"/>
          <w:tab w:val="right" w:pos="2410"/>
        </w:tabs>
        <w:spacing w:before="120" w:after="120"/>
        <w:jc w:val="both"/>
        <w:rPr>
          <w:lang w:val="es-AR"/>
        </w:rPr>
      </w:pPr>
      <w:r w:rsidRPr="00EC49D7">
        <w:rPr>
          <w:szCs w:val="24"/>
          <w:lang w:val="es-AR"/>
        </w:rPr>
        <w:t xml:space="preserve">El programa también incluye un componente de administración y monitoreo que asciende a USD </w:t>
      </w:r>
      <w:r w:rsidR="00A25E81" w:rsidRPr="00EC49D7">
        <w:rPr>
          <w:szCs w:val="24"/>
          <w:lang w:val="es-AR"/>
        </w:rPr>
        <w:t>390</w:t>
      </w:r>
      <w:r w:rsidRPr="00EC49D7">
        <w:rPr>
          <w:szCs w:val="24"/>
          <w:lang w:val="es-AR"/>
        </w:rPr>
        <w:t xml:space="preserve"> mil. </w:t>
      </w:r>
      <w:r w:rsidR="00FB16A9" w:rsidRPr="00EC49D7">
        <w:rPr>
          <w:lang w:val="es-AR"/>
        </w:rPr>
        <w:t xml:space="preserve">El proyecto será ejecutado por el </w:t>
      </w:r>
      <w:r w:rsidR="00FB16A9" w:rsidRPr="00EC49D7">
        <w:rPr>
          <w:szCs w:val="24"/>
          <w:lang w:val="es-AR"/>
        </w:rPr>
        <w:t>Ministerio de Educación y Cultura, a través del Centro Ceibal</w:t>
      </w:r>
      <w:r w:rsidR="00FB16A9" w:rsidRPr="00EC49D7">
        <w:rPr>
          <w:lang w:val="es-AR"/>
        </w:rPr>
        <w:t xml:space="preserve">. </w:t>
      </w:r>
    </w:p>
    <w:p w:rsidR="00E90D62" w:rsidRPr="00EC49D7" w:rsidRDefault="00E90D62" w:rsidP="009B0690">
      <w:pPr>
        <w:jc w:val="both"/>
        <w:rPr>
          <w:lang w:val="es-AR"/>
        </w:rPr>
      </w:pPr>
    </w:p>
    <w:p w:rsidR="00E90D62" w:rsidRPr="00EC49D7" w:rsidRDefault="00E90D62" w:rsidP="009B0690">
      <w:pPr>
        <w:jc w:val="both"/>
        <w:rPr>
          <w:lang w:val="es-AR"/>
        </w:rPr>
      </w:pPr>
      <w:r w:rsidRPr="00EC49D7">
        <w:rPr>
          <w:lang w:val="es-AR"/>
        </w:rPr>
        <w:t>El siguiente documento acompaña al POD y, además de esta introducción (I), contiene las siguientes secciones: Identificación de los principales costos y beneficios más relevantes asociados</w:t>
      </w:r>
      <w:r w:rsidR="00240305" w:rsidRPr="00EC49D7">
        <w:rPr>
          <w:lang w:val="es-AR"/>
        </w:rPr>
        <w:t xml:space="preserve"> a cada componente del proyecto, las fuentes de estimación y la metodología de cálculo (I</w:t>
      </w:r>
      <w:r w:rsidRPr="00EC49D7">
        <w:rPr>
          <w:lang w:val="es-AR"/>
        </w:rPr>
        <w:t>I);</w:t>
      </w:r>
      <w:r w:rsidR="002D61A5" w:rsidRPr="00EC49D7">
        <w:rPr>
          <w:lang w:val="es-AR"/>
        </w:rPr>
        <w:t xml:space="preserve"> la estimación de los beneficios, cos</w:t>
      </w:r>
      <w:r w:rsidR="00240305" w:rsidRPr="00EC49D7">
        <w:rPr>
          <w:lang w:val="es-AR"/>
        </w:rPr>
        <w:t>tos y resultados del proyecto (III</w:t>
      </w:r>
      <w:r w:rsidR="002D61A5" w:rsidRPr="00EC49D7">
        <w:rPr>
          <w:lang w:val="es-AR"/>
        </w:rPr>
        <w:t xml:space="preserve">) y finalmente el documento incluye un análisis de sensibilidad de los resultados a variaciones en algunos parámetros utilizados en el proyecto (VI). </w:t>
      </w:r>
    </w:p>
    <w:p w:rsidR="000C5ABD" w:rsidRPr="00EC49D7" w:rsidRDefault="000C5ABD" w:rsidP="009B0690">
      <w:pPr>
        <w:jc w:val="both"/>
        <w:rPr>
          <w:lang w:val="es-AR"/>
        </w:rPr>
      </w:pPr>
    </w:p>
    <w:p w:rsidR="009C36FE" w:rsidRPr="00EC49D7" w:rsidRDefault="009C36FE" w:rsidP="009B0690">
      <w:pPr>
        <w:jc w:val="both"/>
        <w:rPr>
          <w:lang w:val="es-AR"/>
        </w:rPr>
      </w:pPr>
    </w:p>
    <w:p w:rsidR="009C36FE" w:rsidRPr="00EC49D7" w:rsidRDefault="009C36FE" w:rsidP="009C36FE">
      <w:pPr>
        <w:pStyle w:val="ListParagraph"/>
        <w:numPr>
          <w:ilvl w:val="0"/>
          <w:numId w:val="1"/>
        </w:numPr>
        <w:jc w:val="both"/>
        <w:rPr>
          <w:b/>
          <w:sz w:val="28"/>
          <w:szCs w:val="28"/>
          <w:lang w:val="es-AR"/>
        </w:rPr>
      </w:pPr>
      <w:r w:rsidRPr="00EC49D7">
        <w:rPr>
          <w:b/>
          <w:sz w:val="28"/>
          <w:szCs w:val="28"/>
          <w:lang w:val="es-AR"/>
        </w:rPr>
        <w:t>Identificación de costos y beneficios</w:t>
      </w:r>
    </w:p>
    <w:p w:rsidR="009C36FE" w:rsidRPr="00EC49D7" w:rsidRDefault="009C36FE" w:rsidP="009B0690">
      <w:pPr>
        <w:jc w:val="both"/>
        <w:rPr>
          <w:lang w:val="es-AR"/>
        </w:rPr>
      </w:pPr>
    </w:p>
    <w:p w:rsidR="00060FDC" w:rsidRPr="00EC49D7" w:rsidRDefault="000C5ABD" w:rsidP="009C36FE">
      <w:pPr>
        <w:tabs>
          <w:tab w:val="left" w:pos="6180"/>
        </w:tabs>
        <w:jc w:val="both"/>
        <w:rPr>
          <w:b/>
          <w:sz w:val="28"/>
          <w:szCs w:val="28"/>
          <w:lang w:val="es-UY"/>
        </w:rPr>
      </w:pPr>
      <w:r w:rsidRPr="00EC49D7">
        <w:rPr>
          <w:b/>
          <w:sz w:val="28"/>
          <w:szCs w:val="28"/>
          <w:lang w:val="es-UY"/>
        </w:rPr>
        <w:t xml:space="preserve">II.1 </w:t>
      </w:r>
      <w:r w:rsidR="00060FDC" w:rsidRPr="00EC49D7">
        <w:rPr>
          <w:b/>
          <w:sz w:val="28"/>
          <w:szCs w:val="28"/>
          <w:lang w:val="es-UY"/>
        </w:rPr>
        <w:t>Costos:</w:t>
      </w:r>
    </w:p>
    <w:p w:rsidR="00060FDC" w:rsidRPr="00EC49D7" w:rsidRDefault="00060FDC" w:rsidP="009C36FE">
      <w:pPr>
        <w:tabs>
          <w:tab w:val="left" w:pos="6180"/>
        </w:tabs>
        <w:jc w:val="both"/>
        <w:rPr>
          <w:lang w:val="es-UY"/>
        </w:rPr>
      </w:pPr>
    </w:p>
    <w:p w:rsidR="003F003A" w:rsidRPr="00EC49D7" w:rsidRDefault="009C36FE" w:rsidP="009C36FE">
      <w:pPr>
        <w:tabs>
          <w:tab w:val="left" w:pos="6180"/>
        </w:tabs>
        <w:jc w:val="both"/>
        <w:rPr>
          <w:lang w:val="es-UY"/>
        </w:rPr>
      </w:pPr>
      <w:r w:rsidRPr="00EC49D7">
        <w:rPr>
          <w:lang w:val="es-UY"/>
        </w:rPr>
        <w:t xml:space="preserve">Los costos sociales incrementales del proyecto </w:t>
      </w:r>
      <w:r w:rsidR="00B74EE8" w:rsidRPr="00EC49D7">
        <w:rPr>
          <w:lang w:val="es-UY"/>
        </w:rPr>
        <w:t xml:space="preserve">están asociados a la ejecución de los ítems incluidos en cada componente. </w:t>
      </w:r>
      <w:r w:rsidR="003F003A" w:rsidRPr="00EC49D7">
        <w:rPr>
          <w:lang w:val="es-UY"/>
        </w:rPr>
        <w:t>El componente 1 incluye</w:t>
      </w:r>
      <w:r w:rsidR="00B74EE8" w:rsidRPr="00EC49D7">
        <w:rPr>
          <w:lang w:val="es-UY"/>
        </w:rPr>
        <w:t xml:space="preserve"> </w:t>
      </w:r>
      <w:r w:rsidR="00C72F7E" w:rsidRPr="00EC49D7">
        <w:rPr>
          <w:lang w:val="es-UY"/>
        </w:rPr>
        <w:t xml:space="preserve">los costos de ejecución de los programas académicos, gastos relacionados con la participación de profesores para dictar cursos y formar profesores locales y contratación de plataformas de </w:t>
      </w:r>
      <w:r w:rsidR="00C72F7E" w:rsidRPr="00EC49D7">
        <w:rPr>
          <w:i/>
          <w:lang w:val="es-UY"/>
        </w:rPr>
        <w:t>e-learning</w:t>
      </w:r>
      <w:r w:rsidR="00C72F7E" w:rsidRPr="00EC49D7">
        <w:rPr>
          <w:lang w:val="es-UY"/>
        </w:rPr>
        <w:t xml:space="preserve">. se completa con pago de becas para profesores y estudiantes residentes. El componente 2 incluye gastos relacionados con el fomento </w:t>
      </w:r>
      <w:r w:rsidR="007A36BA" w:rsidRPr="00EC49D7">
        <w:rPr>
          <w:lang w:val="es-UY"/>
        </w:rPr>
        <w:t>de</w:t>
      </w:r>
      <w:r w:rsidR="00C72F7E" w:rsidRPr="00EC49D7">
        <w:rPr>
          <w:lang w:val="es-UY"/>
        </w:rPr>
        <w:t xml:space="preserve"> emprendimientos </w:t>
      </w:r>
      <w:r w:rsidR="007A36BA" w:rsidRPr="00EC49D7">
        <w:rPr>
          <w:lang w:val="es-UY"/>
        </w:rPr>
        <w:t xml:space="preserve">y gastos de relacionamiento internacional. </w:t>
      </w:r>
      <w:r w:rsidR="003F003A" w:rsidRPr="00EC49D7">
        <w:rPr>
          <w:lang w:val="es-UY"/>
        </w:rPr>
        <w:t xml:space="preserve">Finalmente, se detallan algunos gastos de administración, los cuales serán asignados a cada componente de forma proporcional. </w:t>
      </w:r>
    </w:p>
    <w:p w:rsidR="00747B88" w:rsidRPr="00EC49D7" w:rsidRDefault="00747B88" w:rsidP="009C36FE">
      <w:pPr>
        <w:tabs>
          <w:tab w:val="left" w:pos="6180"/>
        </w:tabs>
        <w:jc w:val="both"/>
        <w:rPr>
          <w:lang w:val="es-UY"/>
        </w:rPr>
      </w:pPr>
    </w:p>
    <w:p w:rsidR="00747B88" w:rsidRPr="00EC49D7" w:rsidRDefault="003F003A" w:rsidP="009C36FE">
      <w:pPr>
        <w:tabs>
          <w:tab w:val="left" w:pos="6180"/>
        </w:tabs>
        <w:jc w:val="both"/>
        <w:rPr>
          <w:b/>
          <w:lang w:val="es-UY"/>
        </w:rPr>
      </w:pPr>
      <w:r w:rsidRPr="00EC49D7">
        <w:rPr>
          <w:b/>
          <w:lang w:val="es-UY"/>
        </w:rPr>
        <w:t>Presupuesto</w:t>
      </w:r>
      <w:r w:rsidR="00453CAE" w:rsidRPr="00EC49D7">
        <w:rPr>
          <w:b/>
          <w:lang w:val="es-UY"/>
        </w:rPr>
        <w:t xml:space="preserve"> del proyecto según </w:t>
      </w:r>
      <w:r w:rsidRPr="00EC49D7">
        <w:rPr>
          <w:b/>
          <w:lang w:val="es-UY"/>
        </w:rPr>
        <w:t>componente</w:t>
      </w:r>
    </w:p>
    <w:tbl>
      <w:tblPr>
        <w:tblW w:w="5085" w:type="pct"/>
        <w:tblLayout w:type="fixed"/>
        <w:tblLook w:val="04A0" w:firstRow="1" w:lastRow="0" w:firstColumn="1" w:lastColumn="0" w:noHBand="0" w:noVBand="1"/>
      </w:tblPr>
      <w:tblGrid>
        <w:gridCol w:w="3353"/>
        <w:gridCol w:w="1079"/>
        <w:gridCol w:w="1040"/>
        <w:gridCol w:w="1030"/>
        <w:gridCol w:w="1081"/>
        <w:gridCol w:w="989"/>
        <w:gridCol w:w="1167"/>
      </w:tblGrid>
      <w:tr w:rsidR="00CA23A9" w:rsidRPr="00EC49D7" w:rsidTr="00EC49D7">
        <w:trPr>
          <w:trHeight w:val="240"/>
        </w:trPr>
        <w:tc>
          <w:tcPr>
            <w:tcW w:w="172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3F003A">
            <w:pPr>
              <w:rPr>
                <w:b/>
                <w:bCs/>
                <w:color w:val="000000"/>
                <w:sz w:val="18"/>
                <w:szCs w:val="18"/>
                <w:lang w:val="es-UY" w:eastAsia="en-US"/>
              </w:rPr>
            </w:pPr>
            <w:r w:rsidRPr="00EC49D7">
              <w:rPr>
                <w:b/>
                <w:bCs/>
                <w:color w:val="000000"/>
                <w:sz w:val="18"/>
                <w:szCs w:val="18"/>
                <w:lang w:val="es-UY" w:eastAsia="en-US"/>
              </w:rPr>
              <w:t>Año</w:t>
            </w:r>
          </w:p>
        </w:tc>
        <w:tc>
          <w:tcPr>
            <w:tcW w:w="554" w:type="pct"/>
            <w:tcBorders>
              <w:top w:val="single" w:sz="4" w:space="0" w:color="auto"/>
              <w:left w:val="nil"/>
              <w:bottom w:val="single" w:sz="4" w:space="0" w:color="auto"/>
              <w:right w:val="single" w:sz="4" w:space="0" w:color="auto"/>
            </w:tcBorders>
            <w:shd w:val="clear" w:color="000000" w:fill="BFBFBF"/>
            <w:noWrap/>
            <w:vAlign w:val="bottom"/>
            <w:hideMark/>
          </w:tcPr>
          <w:p w:rsidR="009E2C82" w:rsidRPr="00EC49D7" w:rsidRDefault="009E2C82" w:rsidP="003F003A">
            <w:pPr>
              <w:jc w:val="center"/>
              <w:rPr>
                <w:b/>
                <w:bCs/>
                <w:color w:val="000000"/>
                <w:sz w:val="18"/>
                <w:szCs w:val="18"/>
                <w:lang w:val="es-UY" w:eastAsia="en-US"/>
              </w:rPr>
            </w:pPr>
            <w:r w:rsidRPr="00EC49D7">
              <w:rPr>
                <w:b/>
                <w:bCs/>
                <w:color w:val="000000"/>
                <w:sz w:val="18"/>
                <w:szCs w:val="18"/>
                <w:lang w:val="es-UY" w:eastAsia="en-US"/>
              </w:rPr>
              <w:t>1</w:t>
            </w:r>
          </w:p>
        </w:tc>
        <w:tc>
          <w:tcPr>
            <w:tcW w:w="534" w:type="pct"/>
            <w:tcBorders>
              <w:top w:val="single" w:sz="4" w:space="0" w:color="auto"/>
              <w:left w:val="nil"/>
              <w:bottom w:val="single" w:sz="4" w:space="0" w:color="auto"/>
              <w:right w:val="single" w:sz="4" w:space="0" w:color="auto"/>
            </w:tcBorders>
            <w:shd w:val="clear" w:color="000000" w:fill="BFBFBF"/>
            <w:noWrap/>
            <w:vAlign w:val="bottom"/>
            <w:hideMark/>
          </w:tcPr>
          <w:p w:rsidR="009E2C82" w:rsidRPr="00EC49D7" w:rsidRDefault="009E2C82" w:rsidP="003F003A">
            <w:pPr>
              <w:jc w:val="center"/>
              <w:rPr>
                <w:b/>
                <w:bCs/>
                <w:color w:val="000000"/>
                <w:sz w:val="18"/>
                <w:szCs w:val="18"/>
                <w:lang w:val="en-US" w:eastAsia="en-US"/>
              </w:rPr>
            </w:pPr>
            <w:r w:rsidRPr="00EC49D7">
              <w:rPr>
                <w:b/>
                <w:bCs/>
                <w:color w:val="000000"/>
                <w:sz w:val="18"/>
                <w:szCs w:val="18"/>
                <w:lang w:val="en-US" w:eastAsia="en-US"/>
              </w:rPr>
              <w:t>2</w:t>
            </w:r>
          </w:p>
        </w:tc>
        <w:tc>
          <w:tcPr>
            <w:tcW w:w="529" w:type="pct"/>
            <w:tcBorders>
              <w:top w:val="single" w:sz="4" w:space="0" w:color="auto"/>
              <w:left w:val="nil"/>
              <w:bottom w:val="single" w:sz="4" w:space="0" w:color="auto"/>
              <w:right w:val="single" w:sz="4" w:space="0" w:color="auto"/>
            </w:tcBorders>
            <w:shd w:val="clear" w:color="000000" w:fill="BFBFBF"/>
            <w:noWrap/>
            <w:vAlign w:val="bottom"/>
            <w:hideMark/>
          </w:tcPr>
          <w:p w:rsidR="009E2C82" w:rsidRPr="00EC49D7" w:rsidRDefault="009E2C82" w:rsidP="003F003A">
            <w:pPr>
              <w:jc w:val="center"/>
              <w:rPr>
                <w:b/>
                <w:bCs/>
                <w:color w:val="000000"/>
                <w:sz w:val="18"/>
                <w:szCs w:val="18"/>
                <w:lang w:val="en-US" w:eastAsia="en-US"/>
              </w:rPr>
            </w:pPr>
            <w:r w:rsidRPr="00EC49D7">
              <w:rPr>
                <w:b/>
                <w:bCs/>
                <w:color w:val="000000"/>
                <w:sz w:val="18"/>
                <w:szCs w:val="18"/>
                <w:lang w:val="en-US" w:eastAsia="en-US"/>
              </w:rPr>
              <w:t>3</w:t>
            </w:r>
          </w:p>
        </w:tc>
        <w:tc>
          <w:tcPr>
            <w:tcW w:w="555" w:type="pct"/>
            <w:tcBorders>
              <w:top w:val="single" w:sz="4" w:space="0" w:color="auto"/>
              <w:left w:val="nil"/>
              <w:bottom w:val="single" w:sz="4" w:space="0" w:color="auto"/>
              <w:right w:val="single" w:sz="4" w:space="0" w:color="auto"/>
            </w:tcBorders>
            <w:shd w:val="clear" w:color="000000" w:fill="BFBFBF"/>
            <w:noWrap/>
            <w:vAlign w:val="bottom"/>
            <w:hideMark/>
          </w:tcPr>
          <w:p w:rsidR="009E2C82" w:rsidRPr="00EC49D7" w:rsidRDefault="009E2C82" w:rsidP="003F003A">
            <w:pPr>
              <w:jc w:val="center"/>
              <w:rPr>
                <w:b/>
                <w:bCs/>
                <w:color w:val="000000"/>
                <w:sz w:val="18"/>
                <w:szCs w:val="18"/>
                <w:lang w:val="en-US" w:eastAsia="en-US"/>
              </w:rPr>
            </w:pPr>
            <w:r w:rsidRPr="00EC49D7">
              <w:rPr>
                <w:b/>
                <w:bCs/>
                <w:color w:val="000000"/>
                <w:sz w:val="18"/>
                <w:szCs w:val="18"/>
                <w:lang w:val="en-US" w:eastAsia="en-US"/>
              </w:rPr>
              <w:t>4</w:t>
            </w:r>
          </w:p>
        </w:tc>
        <w:tc>
          <w:tcPr>
            <w:tcW w:w="508" w:type="pct"/>
            <w:tcBorders>
              <w:top w:val="single" w:sz="4" w:space="0" w:color="auto"/>
              <w:left w:val="nil"/>
              <w:bottom w:val="single" w:sz="4" w:space="0" w:color="auto"/>
              <w:right w:val="single" w:sz="4" w:space="0" w:color="auto"/>
            </w:tcBorders>
            <w:shd w:val="clear" w:color="000000" w:fill="BFBFBF"/>
          </w:tcPr>
          <w:p w:rsidR="009E2C82" w:rsidRPr="00EC49D7" w:rsidRDefault="009E2C82" w:rsidP="003F003A">
            <w:pPr>
              <w:rPr>
                <w:b/>
                <w:bCs/>
                <w:color w:val="000000"/>
                <w:sz w:val="18"/>
                <w:szCs w:val="18"/>
                <w:lang w:val="en-US" w:eastAsia="en-US"/>
              </w:rPr>
            </w:pPr>
            <w:r w:rsidRPr="00EC49D7">
              <w:rPr>
                <w:b/>
                <w:bCs/>
                <w:color w:val="000000"/>
                <w:sz w:val="18"/>
                <w:szCs w:val="18"/>
                <w:lang w:val="en-US" w:eastAsia="en-US"/>
              </w:rPr>
              <w:t>5</w:t>
            </w:r>
          </w:p>
        </w:tc>
        <w:tc>
          <w:tcPr>
            <w:tcW w:w="6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3F003A">
            <w:pPr>
              <w:rPr>
                <w:b/>
                <w:bCs/>
                <w:color w:val="000000"/>
                <w:sz w:val="18"/>
                <w:szCs w:val="18"/>
                <w:lang w:val="en-US" w:eastAsia="en-US"/>
              </w:rPr>
            </w:pPr>
            <w:r w:rsidRPr="00EC49D7">
              <w:rPr>
                <w:b/>
                <w:bCs/>
                <w:color w:val="000000"/>
                <w:sz w:val="18"/>
                <w:szCs w:val="18"/>
                <w:lang w:val="en-US" w:eastAsia="en-US"/>
              </w:rPr>
              <w:t>TOTAL</w:t>
            </w:r>
          </w:p>
        </w:tc>
      </w:tr>
      <w:tr w:rsidR="00CA23A9" w:rsidRPr="00EC49D7" w:rsidTr="00EC49D7">
        <w:trPr>
          <w:trHeight w:val="240"/>
        </w:trPr>
        <w:tc>
          <w:tcPr>
            <w:tcW w:w="172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3F003A">
            <w:pPr>
              <w:rPr>
                <w:b/>
                <w:bCs/>
                <w:color w:val="000000"/>
                <w:sz w:val="18"/>
                <w:szCs w:val="18"/>
                <w:lang w:val="es-UY" w:eastAsia="en-US"/>
              </w:rPr>
            </w:pPr>
            <w:r w:rsidRPr="00EC49D7">
              <w:rPr>
                <w:b/>
                <w:bCs/>
                <w:color w:val="000000"/>
                <w:sz w:val="18"/>
                <w:szCs w:val="18"/>
                <w:lang w:val="es-UY" w:eastAsia="en-US"/>
              </w:rPr>
              <w:t>Componente I - Capital Humano Digital</w:t>
            </w:r>
          </w:p>
        </w:tc>
        <w:tc>
          <w:tcPr>
            <w:tcW w:w="554" w:type="pct"/>
            <w:tcBorders>
              <w:top w:val="single" w:sz="4" w:space="0" w:color="auto"/>
              <w:left w:val="nil"/>
              <w:bottom w:val="single" w:sz="4" w:space="0" w:color="auto"/>
              <w:right w:val="single" w:sz="4" w:space="0" w:color="auto"/>
            </w:tcBorders>
            <w:shd w:val="clear" w:color="000000" w:fill="BFBFBF"/>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s-UY" w:eastAsia="en-US"/>
              </w:rPr>
              <w:t xml:space="preserve">          </w:t>
            </w:r>
            <w:r w:rsidRPr="00EC49D7">
              <w:rPr>
                <w:bCs/>
                <w:color w:val="000000"/>
                <w:sz w:val="18"/>
                <w:szCs w:val="18"/>
                <w:lang w:val="en-US" w:eastAsia="en-US"/>
              </w:rPr>
              <w:t>2,59</w:t>
            </w:r>
            <w:r w:rsidR="001A6D86" w:rsidRPr="00EC49D7">
              <w:rPr>
                <w:bCs/>
                <w:color w:val="000000"/>
                <w:sz w:val="18"/>
                <w:szCs w:val="18"/>
                <w:lang w:val="en-US" w:eastAsia="en-US"/>
              </w:rPr>
              <w:t>7,278</w:t>
            </w:r>
            <w:r w:rsidRPr="00EC49D7">
              <w:rPr>
                <w:bCs/>
                <w:color w:val="000000"/>
                <w:sz w:val="18"/>
                <w:szCs w:val="18"/>
                <w:lang w:val="en-US" w:eastAsia="en-US"/>
              </w:rPr>
              <w:t xml:space="preserve"> </w:t>
            </w:r>
          </w:p>
        </w:tc>
        <w:tc>
          <w:tcPr>
            <w:tcW w:w="534" w:type="pct"/>
            <w:tcBorders>
              <w:top w:val="single" w:sz="4" w:space="0" w:color="auto"/>
              <w:left w:val="nil"/>
              <w:bottom w:val="single" w:sz="4" w:space="0" w:color="auto"/>
              <w:right w:val="single" w:sz="4" w:space="0" w:color="auto"/>
            </w:tcBorders>
            <w:shd w:val="clear" w:color="000000" w:fill="BFBFBF"/>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3,071,509</w:t>
            </w:r>
            <w:r w:rsidRPr="00EC49D7">
              <w:rPr>
                <w:bCs/>
                <w:color w:val="000000"/>
                <w:sz w:val="18"/>
                <w:szCs w:val="18"/>
                <w:lang w:val="en-US" w:eastAsia="en-US"/>
              </w:rPr>
              <w:t xml:space="preserve"> </w:t>
            </w:r>
          </w:p>
        </w:tc>
        <w:tc>
          <w:tcPr>
            <w:tcW w:w="529" w:type="pct"/>
            <w:tcBorders>
              <w:top w:val="single" w:sz="4" w:space="0" w:color="auto"/>
              <w:left w:val="nil"/>
              <w:bottom w:val="single" w:sz="4" w:space="0" w:color="auto"/>
              <w:right w:val="single" w:sz="4" w:space="0" w:color="auto"/>
            </w:tcBorders>
            <w:shd w:val="clear" w:color="000000" w:fill="BFBFBF"/>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2,</w:t>
            </w:r>
            <w:r w:rsidR="001A6D86" w:rsidRPr="00EC49D7">
              <w:rPr>
                <w:bCs/>
                <w:color w:val="000000"/>
                <w:sz w:val="18"/>
                <w:szCs w:val="18"/>
                <w:lang w:val="en-US" w:eastAsia="en-US"/>
              </w:rPr>
              <w:t>751</w:t>
            </w:r>
            <w:r w:rsidRPr="00EC49D7">
              <w:rPr>
                <w:bCs/>
                <w:color w:val="000000"/>
                <w:sz w:val="18"/>
                <w:szCs w:val="18"/>
                <w:lang w:val="en-US" w:eastAsia="en-US"/>
              </w:rPr>
              <w:t>,</w:t>
            </w:r>
            <w:r w:rsidR="001A6D86" w:rsidRPr="00EC49D7">
              <w:rPr>
                <w:bCs/>
                <w:color w:val="000000"/>
                <w:sz w:val="18"/>
                <w:szCs w:val="18"/>
                <w:lang w:val="en-US" w:eastAsia="en-US"/>
              </w:rPr>
              <w:t>793</w:t>
            </w:r>
            <w:r w:rsidRPr="00EC49D7">
              <w:rPr>
                <w:bCs/>
                <w:color w:val="000000"/>
                <w:sz w:val="18"/>
                <w:szCs w:val="18"/>
                <w:lang w:val="en-US" w:eastAsia="en-US"/>
              </w:rPr>
              <w:t xml:space="preserve"> </w:t>
            </w:r>
          </w:p>
        </w:tc>
        <w:tc>
          <w:tcPr>
            <w:tcW w:w="555" w:type="pct"/>
            <w:tcBorders>
              <w:top w:val="single" w:sz="4" w:space="0" w:color="auto"/>
              <w:left w:val="nil"/>
              <w:bottom w:val="single" w:sz="4" w:space="0" w:color="auto"/>
              <w:right w:val="single" w:sz="4" w:space="0" w:color="auto"/>
            </w:tcBorders>
            <w:shd w:val="clear" w:color="000000" w:fill="BFBFBF"/>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660</w:t>
            </w:r>
            <w:r w:rsidRPr="00EC49D7">
              <w:rPr>
                <w:bCs/>
                <w:color w:val="000000"/>
                <w:sz w:val="18"/>
                <w:szCs w:val="18"/>
                <w:lang w:val="en-US" w:eastAsia="en-US"/>
              </w:rPr>
              <w:t>,</w:t>
            </w:r>
            <w:r w:rsidR="001A6D86" w:rsidRPr="00EC49D7">
              <w:rPr>
                <w:bCs/>
                <w:color w:val="000000"/>
                <w:sz w:val="18"/>
                <w:szCs w:val="18"/>
                <w:lang w:val="en-US" w:eastAsia="en-US"/>
              </w:rPr>
              <w:t>21</w:t>
            </w:r>
            <w:r w:rsidRPr="00EC49D7">
              <w:rPr>
                <w:bCs/>
                <w:color w:val="000000"/>
                <w:sz w:val="18"/>
                <w:szCs w:val="18"/>
                <w:lang w:val="en-US" w:eastAsia="en-US"/>
              </w:rPr>
              <w:t xml:space="preserve">0 </w:t>
            </w:r>
          </w:p>
        </w:tc>
        <w:tc>
          <w:tcPr>
            <w:tcW w:w="508" w:type="pct"/>
            <w:tcBorders>
              <w:top w:val="single" w:sz="4" w:space="0" w:color="auto"/>
              <w:left w:val="nil"/>
              <w:bottom w:val="single" w:sz="4" w:space="0" w:color="auto"/>
              <w:right w:val="single" w:sz="4" w:space="0" w:color="auto"/>
            </w:tcBorders>
            <w:shd w:val="clear" w:color="000000" w:fill="BFBFBF"/>
          </w:tcPr>
          <w:p w:rsidR="001A6D86" w:rsidRPr="00EC49D7" w:rsidRDefault="001A6D86" w:rsidP="003F003A">
            <w:pPr>
              <w:jc w:val="right"/>
              <w:rPr>
                <w:bCs/>
                <w:color w:val="000000"/>
                <w:sz w:val="18"/>
                <w:szCs w:val="18"/>
                <w:lang w:val="es-UY" w:eastAsia="en-US"/>
              </w:rPr>
            </w:pPr>
          </w:p>
          <w:p w:rsidR="009E2C82" w:rsidRPr="00EC49D7" w:rsidRDefault="001A6D86" w:rsidP="003F003A">
            <w:pPr>
              <w:jc w:val="right"/>
              <w:rPr>
                <w:bCs/>
                <w:color w:val="000000"/>
                <w:sz w:val="18"/>
                <w:szCs w:val="18"/>
                <w:lang w:val="es-UY" w:eastAsia="en-US"/>
              </w:rPr>
            </w:pPr>
            <w:r w:rsidRPr="00EC49D7">
              <w:rPr>
                <w:bCs/>
                <w:color w:val="000000"/>
                <w:sz w:val="18"/>
                <w:szCs w:val="18"/>
                <w:lang w:val="es-UY" w:eastAsia="en-US"/>
              </w:rPr>
              <w:t>446,710</w:t>
            </w:r>
          </w:p>
        </w:tc>
        <w:tc>
          <w:tcPr>
            <w:tcW w:w="6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9,527,5</w:t>
            </w:r>
            <w:r w:rsidRPr="00EC49D7">
              <w:rPr>
                <w:bCs/>
                <w:color w:val="000000"/>
                <w:sz w:val="18"/>
                <w:szCs w:val="18"/>
                <w:lang w:val="en-US" w:eastAsia="en-US"/>
              </w:rPr>
              <w:t xml:space="preserve">00 </w:t>
            </w:r>
          </w:p>
        </w:tc>
      </w:tr>
      <w:tr w:rsidR="00CA23A9" w:rsidRPr="00EC49D7" w:rsidTr="00EC49D7">
        <w:trPr>
          <w:trHeight w:val="240"/>
        </w:trPr>
        <w:tc>
          <w:tcPr>
            <w:tcW w:w="1721"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rPr>
                <w:b/>
                <w:bCs/>
                <w:color w:val="000000"/>
                <w:sz w:val="18"/>
                <w:szCs w:val="18"/>
                <w:lang w:val="en-US" w:eastAsia="en-US"/>
              </w:rPr>
            </w:pPr>
            <w:proofErr w:type="spellStart"/>
            <w:r w:rsidRPr="00EC49D7">
              <w:rPr>
                <w:b/>
                <w:bCs/>
                <w:color w:val="000000"/>
                <w:sz w:val="18"/>
                <w:szCs w:val="18"/>
                <w:lang w:val="en-US" w:eastAsia="en-US"/>
              </w:rPr>
              <w:t>Membresías</w:t>
            </w:r>
            <w:proofErr w:type="spellEnd"/>
            <w:r w:rsidRPr="00EC49D7">
              <w:rPr>
                <w:b/>
                <w:bCs/>
                <w:color w:val="000000"/>
                <w:sz w:val="18"/>
                <w:szCs w:val="18"/>
                <w:lang w:val="en-US" w:eastAsia="en-US"/>
              </w:rPr>
              <w:t xml:space="preserve"> a las </w:t>
            </w:r>
            <w:proofErr w:type="spellStart"/>
            <w:r w:rsidRPr="00EC49D7">
              <w:rPr>
                <w:b/>
                <w:bCs/>
                <w:color w:val="000000"/>
                <w:sz w:val="18"/>
                <w:szCs w:val="18"/>
                <w:lang w:val="en-US" w:eastAsia="en-US"/>
              </w:rPr>
              <w:t>universidades</w:t>
            </w:r>
            <w:proofErr w:type="spellEnd"/>
          </w:p>
        </w:tc>
        <w:tc>
          <w:tcPr>
            <w:tcW w:w="55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1,</w:t>
            </w:r>
            <w:r w:rsidRPr="00EC49D7">
              <w:rPr>
                <w:bCs/>
                <w:color w:val="000000"/>
                <w:sz w:val="18"/>
                <w:szCs w:val="18"/>
                <w:lang w:val="en-US" w:eastAsia="en-US"/>
              </w:rPr>
              <w:t>7</w:t>
            </w:r>
            <w:r w:rsidR="001A6D86" w:rsidRPr="00EC49D7">
              <w:rPr>
                <w:bCs/>
                <w:color w:val="000000"/>
                <w:sz w:val="18"/>
                <w:szCs w:val="18"/>
                <w:lang w:val="en-US" w:eastAsia="en-US"/>
              </w:rPr>
              <w:t>40</w:t>
            </w:r>
            <w:r w:rsidRPr="00EC49D7">
              <w:rPr>
                <w:bCs/>
                <w:color w:val="000000"/>
                <w:sz w:val="18"/>
                <w:szCs w:val="18"/>
                <w:lang w:val="en-US" w:eastAsia="en-US"/>
              </w:rPr>
              <w:t>,</w:t>
            </w:r>
            <w:r w:rsidR="001A6D86" w:rsidRPr="00EC49D7">
              <w:rPr>
                <w:bCs/>
                <w:color w:val="000000"/>
                <w:sz w:val="18"/>
                <w:szCs w:val="18"/>
                <w:lang w:val="en-US" w:eastAsia="en-US"/>
              </w:rPr>
              <w:t>565</w:t>
            </w:r>
            <w:r w:rsidRPr="00EC49D7">
              <w:rPr>
                <w:bCs/>
                <w:color w:val="000000"/>
                <w:sz w:val="18"/>
                <w:szCs w:val="18"/>
                <w:lang w:val="en-US" w:eastAsia="en-US"/>
              </w:rPr>
              <w:t xml:space="preserve"> </w:t>
            </w:r>
          </w:p>
        </w:tc>
        <w:tc>
          <w:tcPr>
            <w:tcW w:w="534" w:type="pct"/>
            <w:tcBorders>
              <w:top w:val="nil"/>
              <w:left w:val="nil"/>
              <w:bottom w:val="single" w:sz="4" w:space="0" w:color="auto"/>
              <w:right w:val="single" w:sz="4" w:space="0" w:color="auto"/>
            </w:tcBorders>
            <w:shd w:val="clear" w:color="auto" w:fill="auto"/>
            <w:noWrap/>
            <w:vAlign w:val="bottom"/>
            <w:hideMark/>
          </w:tcPr>
          <w:p w:rsidR="009E2C82" w:rsidRPr="00EC49D7" w:rsidRDefault="001A6D86" w:rsidP="00A25E81">
            <w:pPr>
              <w:jc w:val="right"/>
              <w:rPr>
                <w:bCs/>
                <w:color w:val="000000"/>
                <w:sz w:val="18"/>
                <w:szCs w:val="18"/>
                <w:lang w:val="en-US" w:eastAsia="en-US"/>
              </w:rPr>
            </w:pPr>
            <w:r w:rsidRPr="00EC49D7">
              <w:rPr>
                <w:bCs/>
                <w:color w:val="000000"/>
                <w:sz w:val="18"/>
                <w:szCs w:val="18"/>
                <w:lang w:val="en-US" w:eastAsia="en-US"/>
              </w:rPr>
              <w:t>2,4</w:t>
            </w:r>
            <w:r w:rsidR="005D234E" w:rsidRPr="00EC49D7">
              <w:rPr>
                <w:bCs/>
                <w:color w:val="000000"/>
                <w:sz w:val="18"/>
                <w:szCs w:val="18"/>
                <w:lang w:val="en-US" w:eastAsia="en-US"/>
              </w:rPr>
              <w:t>0</w:t>
            </w:r>
            <w:r w:rsidRPr="00EC49D7">
              <w:rPr>
                <w:bCs/>
                <w:color w:val="000000"/>
                <w:sz w:val="18"/>
                <w:szCs w:val="18"/>
                <w:lang w:val="en-US" w:eastAsia="en-US"/>
              </w:rPr>
              <w:t>4,796</w:t>
            </w:r>
          </w:p>
        </w:tc>
        <w:tc>
          <w:tcPr>
            <w:tcW w:w="529" w:type="pct"/>
            <w:tcBorders>
              <w:top w:val="nil"/>
              <w:left w:val="nil"/>
              <w:bottom w:val="single" w:sz="4" w:space="0" w:color="auto"/>
              <w:right w:val="single" w:sz="4" w:space="0" w:color="auto"/>
            </w:tcBorders>
            <w:shd w:val="clear" w:color="auto" w:fill="auto"/>
            <w:noWrap/>
            <w:vAlign w:val="bottom"/>
            <w:hideMark/>
          </w:tcPr>
          <w:p w:rsidR="009E2C82" w:rsidRPr="00EC49D7" w:rsidRDefault="001A6D86" w:rsidP="00A25E81">
            <w:pPr>
              <w:jc w:val="right"/>
              <w:rPr>
                <w:bCs/>
                <w:color w:val="000000"/>
                <w:sz w:val="18"/>
                <w:szCs w:val="18"/>
                <w:lang w:val="en-US" w:eastAsia="en-US"/>
              </w:rPr>
            </w:pPr>
            <w:r w:rsidRPr="00EC49D7">
              <w:rPr>
                <w:bCs/>
                <w:color w:val="000000"/>
                <w:sz w:val="18"/>
                <w:szCs w:val="18"/>
                <w:lang w:val="en-US" w:eastAsia="en-US"/>
              </w:rPr>
              <w:t>2,125,080</w:t>
            </w:r>
          </w:p>
        </w:tc>
        <w:tc>
          <w:tcPr>
            <w:tcW w:w="555" w:type="pct"/>
            <w:tcBorders>
              <w:top w:val="nil"/>
              <w:left w:val="nil"/>
              <w:bottom w:val="single" w:sz="4" w:space="0" w:color="auto"/>
              <w:right w:val="single" w:sz="4" w:space="0" w:color="auto"/>
            </w:tcBorders>
            <w:shd w:val="clear" w:color="auto" w:fill="auto"/>
            <w:noWrap/>
            <w:vAlign w:val="bottom"/>
            <w:hideMark/>
          </w:tcPr>
          <w:p w:rsidR="009E2C82" w:rsidRPr="00EC49D7" w:rsidRDefault="001A6D86" w:rsidP="00A25E81">
            <w:pPr>
              <w:jc w:val="right"/>
              <w:rPr>
                <w:bCs/>
                <w:color w:val="000000"/>
                <w:sz w:val="18"/>
                <w:szCs w:val="18"/>
                <w:lang w:val="en-US" w:eastAsia="en-US"/>
              </w:rPr>
            </w:pPr>
            <w:r w:rsidRPr="00EC49D7">
              <w:rPr>
                <w:bCs/>
                <w:color w:val="000000"/>
                <w:sz w:val="18"/>
                <w:szCs w:val="18"/>
                <w:lang w:val="en-US" w:eastAsia="en-US"/>
              </w:rPr>
              <w:t>203,500</w:t>
            </w:r>
          </w:p>
        </w:tc>
        <w:tc>
          <w:tcPr>
            <w:tcW w:w="508" w:type="pct"/>
            <w:tcBorders>
              <w:top w:val="single" w:sz="4" w:space="0" w:color="auto"/>
              <w:left w:val="nil"/>
              <w:bottom w:val="single" w:sz="4" w:space="0" w:color="auto"/>
              <w:right w:val="single" w:sz="4" w:space="0" w:color="auto"/>
            </w:tcBorders>
          </w:tcPr>
          <w:p w:rsidR="001A6D86" w:rsidRPr="00EC49D7" w:rsidRDefault="001A6D86" w:rsidP="003F003A">
            <w:pPr>
              <w:jc w:val="right"/>
              <w:rPr>
                <w:bCs/>
                <w:color w:val="000000"/>
                <w:sz w:val="18"/>
                <w:szCs w:val="18"/>
                <w:lang w:val="en-US" w:eastAsia="en-US"/>
              </w:rPr>
            </w:pPr>
          </w:p>
          <w:p w:rsidR="001A6D86" w:rsidRPr="00EC49D7" w:rsidRDefault="001A6D86" w:rsidP="003F003A">
            <w:pPr>
              <w:jc w:val="right"/>
              <w:rPr>
                <w:bCs/>
                <w:color w:val="000000"/>
                <w:sz w:val="18"/>
                <w:szCs w:val="18"/>
                <w:lang w:val="en-US" w:eastAsia="en-US"/>
              </w:rPr>
            </w:pPr>
          </w:p>
          <w:p w:rsidR="009E2C82" w:rsidRPr="00EC49D7" w:rsidRDefault="001A6D86" w:rsidP="003F003A">
            <w:pPr>
              <w:jc w:val="right"/>
              <w:rPr>
                <w:bCs/>
                <w:color w:val="000000"/>
                <w:sz w:val="18"/>
                <w:szCs w:val="18"/>
                <w:lang w:val="en-US" w:eastAsia="en-US"/>
              </w:rPr>
            </w:pPr>
            <w:r w:rsidRPr="00EC49D7">
              <w:rPr>
                <w:bCs/>
                <w:color w:val="000000"/>
                <w:sz w:val="18"/>
                <w:szCs w:val="18"/>
                <w:lang w:val="en-US" w:eastAsia="en-US"/>
              </w:rPr>
              <w:t>200,000</w:t>
            </w:r>
          </w:p>
        </w:tc>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1A6D86" w:rsidP="003F003A">
            <w:pPr>
              <w:jc w:val="right"/>
              <w:rPr>
                <w:bCs/>
                <w:color w:val="000000"/>
                <w:sz w:val="18"/>
                <w:szCs w:val="18"/>
                <w:lang w:val="en-US" w:eastAsia="en-US"/>
              </w:rPr>
            </w:pPr>
            <w:r w:rsidRPr="00EC49D7">
              <w:rPr>
                <w:bCs/>
                <w:color w:val="000000"/>
                <w:sz w:val="18"/>
                <w:szCs w:val="18"/>
                <w:lang w:val="en-US" w:eastAsia="en-US"/>
              </w:rPr>
              <w:t>6,673,941</w:t>
            </w:r>
          </w:p>
        </w:tc>
      </w:tr>
      <w:tr w:rsidR="00CA23A9" w:rsidRPr="00EC49D7" w:rsidTr="00EC49D7">
        <w:trPr>
          <w:trHeight w:val="240"/>
        </w:trPr>
        <w:tc>
          <w:tcPr>
            <w:tcW w:w="1721"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rPr>
                <w:b/>
                <w:bCs/>
                <w:color w:val="000000"/>
                <w:sz w:val="18"/>
                <w:szCs w:val="18"/>
                <w:lang w:val="en-US" w:eastAsia="en-US"/>
              </w:rPr>
            </w:pPr>
            <w:proofErr w:type="spellStart"/>
            <w:r w:rsidRPr="00EC49D7">
              <w:rPr>
                <w:b/>
                <w:bCs/>
                <w:color w:val="000000"/>
                <w:sz w:val="18"/>
                <w:szCs w:val="18"/>
                <w:lang w:val="en-US" w:eastAsia="en-US"/>
              </w:rPr>
              <w:t>Participación</w:t>
            </w:r>
            <w:proofErr w:type="spellEnd"/>
            <w:r w:rsidRPr="00EC49D7">
              <w:rPr>
                <w:b/>
                <w:bCs/>
                <w:color w:val="000000"/>
                <w:sz w:val="18"/>
                <w:szCs w:val="18"/>
                <w:lang w:val="en-US" w:eastAsia="en-US"/>
              </w:rPr>
              <w:t xml:space="preserve"> de </w:t>
            </w:r>
            <w:proofErr w:type="spellStart"/>
            <w:r w:rsidRPr="00EC49D7">
              <w:rPr>
                <w:b/>
                <w:bCs/>
                <w:color w:val="000000"/>
                <w:sz w:val="18"/>
                <w:szCs w:val="18"/>
                <w:lang w:val="en-US" w:eastAsia="en-US"/>
              </w:rPr>
              <w:t>profesores</w:t>
            </w:r>
            <w:proofErr w:type="spellEnd"/>
            <w:r w:rsidRPr="00EC49D7">
              <w:rPr>
                <w:b/>
                <w:bCs/>
                <w:color w:val="000000"/>
                <w:sz w:val="18"/>
                <w:szCs w:val="18"/>
                <w:lang w:val="en-US" w:eastAsia="en-US"/>
              </w:rPr>
              <w:t xml:space="preserve"> </w:t>
            </w:r>
            <w:proofErr w:type="spellStart"/>
            <w:r w:rsidRPr="00EC49D7">
              <w:rPr>
                <w:b/>
                <w:bCs/>
                <w:color w:val="000000"/>
                <w:sz w:val="18"/>
                <w:szCs w:val="18"/>
                <w:lang w:val="en-US" w:eastAsia="en-US"/>
              </w:rPr>
              <w:t>internacionales</w:t>
            </w:r>
            <w:proofErr w:type="spellEnd"/>
          </w:p>
        </w:tc>
        <w:tc>
          <w:tcPr>
            <w:tcW w:w="55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50,000 </w:t>
            </w:r>
          </w:p>
        </w:tc>
        <w:tc>
          <w:tcPr>
            <w:tcW w:w="53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50,000 </w:t>
            </w:r>
          </w:p>
        </w:tc>
        <w:tc>
          <w:tcPr>
            <w:tcW w:w="529"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50,000 </w:t>
            </w:r>
          </w:p>
        </w:tc>
        <w:tc>
          <w:tcPr>
            <w:tcW w:w="555" w:type="pct"/>
            <w:tcBorders>
              <w:top w:val="nil"/>
              <w:left w:val="nil"/>
              <w:bottom w:val="single" w:sz="4" w:space="0" w:color="auto"/>
              <w:right w:val="single" w:sz="4" w:space="0" w:color="auto"/>
            </w:tcBorders>
            <w:shd w:val="clear" w:color="auto" w:fill="auto"/>
            <w:noWrap/>
            <w:vAlign w:val="bottom"/>
            <w:hideMark/>
          </w:tcPr>
          <w:p w:rsidR="009E2C82" w:rsidRPr="00EC49D7" w:rsidRDefault="001A6D86" w:rsidP="00A25E81">
            <w:pPr>
              <w:jc w:val="right"/>
              <w:rPr>
                <w:bCs/>
                <w:color w:val="000000"/>
                <w:sz w:val="18"/>
                <w:szCs w:val="18"/>
                <w:lang w:val="en-US" w:eastAsia="en-US"/>
              </w:rPr>
            </w:pPr>
            <w:r w:rsidRPr="00EC49D7">
              <w:rPr>
                <w:bCs/>
                <w:color w:val="000000"/>
                <w:sz w:val="18"/>
                <w:szCs w:val="18"/>
                <w:lang w:val="en-US" w:eastAsia="en-US"/>
              </w:rPr>
              <w:t>0</w:t>
            </w:r>
          </w:p>
        </w:tc>
        <w:tc>
          <w:tcPr>
            <w:tcW w:w="508" w:type="pct"/>
            <w:tcBorders>
              <w:top w:val="single" w:sz="4" w:space="0" w:color="auto"/>
              <w:left w:val="nil"/>
              <w:bottom w:val="single" w:sz="4" w:space="0" w:color="auto"/>
              <w:right w:val="single" w:sz="4" w:space="0" w:color="auto"/>
            </w:tcBorders>
          </w:tcPr>
          <w:p w:rsidR="001A6D86" w:rsidRPr="00EC49D7" w:rsidRDefault="001A6D86" w:rsidP="003F003A">
            <w:pPr>
              <w:jc w:val="right"/>
              <w:rPr>
                <w:bCs/>
                <w:color w:val="000000"/>
                <w:sz w:val="18"/>
                <w:szCs w:val="18"/>
                <w:lang w:val="en-US" w:eastAsia="en-US"/>
              </w:rPr>
            </w:pPr>
          </w:p>
          <w:p w:rsidR="009E2C82" w:rsidRPr="00EC49D7" w:rsidRDefault="001A6D86" w:rsidP="003F003A">
            <w:pPr>
              <w:jc w:val="right"/>
              <w:rPr>
                <w:bCs/>
                <w:color w:val="000000"/>
                <w:sz w:val="18"/>
                <w:szCs w:val="18"/>
                <w:lang w:val="en-US" w:eastAsia="en-US"/>
              </w:rPr>
            </w:pPr>
            <w:r w:rsidRPr="00EC49D7">
              <w:rPr>
                <w:bCs/>
                <w:color w:val="000000"/>
                <w:sz w:val="18"/>
                <w:szCs w:val="18"/>
                <w:lang w:val="en-US" w:eastAsia="en-US"/>
              </w:rPr>
              <w:t>0</w:t>
            </w:r>
          </w:p>
        </w:tc>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15</w:t>
            </w:r>
            <w:r w:rsidRPr="00EC49D7">
              <w:rPr>
                <w:bCs/>
                <w:color w:val="000000"/>
                <w:sz w:val="18"/>
                <w:szCs w:val="18"/>
                <w:lang w:val="en-US" w:eastAsia="en-US"/>
              </w:rPr>
              <w:t xml:space="preserve">0,000 </w:t>
            </w:r>
          </w:p>
        </w:tc>
      </w:tr>
      <w:tr w:rsidR="00CA23A9" w:rsidRPr="00EC49D7" w:rsidTr="00EC49D7">
        <w:trPr>
          <w:trHeight w:val="240"/>
        </w:trPr>
        <w:tc>
          <w:tcPr>
            <w:tcW w:w="1721"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rPr>
                <w:b/>
                <w:bCs/>
                <w:color w:val="000000"/>
                <w:sz w:val="18"/>
                <w:szCs w:val="18"/>
                <w:lang w:val="en-US" w:eastAsia="en-US"/>
              </w:rPr>
            </w:pPr>
            <w:proofErr w:type="spellStart"/>
            <w:r w:rsidRPr="00EC49D7">
              <w:rPr>
                <w:b/>
                <w:bCs/>
                <w:color w:val="000000"/>
                <w:sz w:val="18"/>
                <w:szCs w:val="18"/>
                <w:lang w:val="en-US" w:eastAsia="en-US"/>
              </w:rPr>
              <w:t>Formación</w:t>
            </w:r>
            <w:proofErr w:type="spellEnd"/>
            <w:r w:rsidRPr="00EC49D7">
              <w:rPr>
                <w:b/>
                <w:bCs/>
                <w:color w:val="000000"/>
                <w:sz w:val="18"/>
                <w:szCs w:val="18"/>
                <w:lang w:val="en-US" w:eastAsia="en-US"/>
              </w:rPr>
              <w:t xml:space="preserve"> de </w:t>
            </w:r>
            <w:proofErr w:type="spellStart"/>
            <w:r w:rsidRPr="00EC49D7">
              <w:rPr>
                <w:b/>
                <w:bCs/>
                <w:color w:val="000000"/>
                <w:sz w:val="18"/>
                <w:szCs w:val="18"/>
                <w:lang w:val="en-US" w:eastAsia="en-US"/>
              </w:rPr>
              <w:t>profesores</w:t>
            </w:r>
            <w:proofErr w:type="spellEnd"/>
            <w:r w:rsidRPr="00EC49D7">
              <w:rPr>
                <w:b/>
                <w:bCs/>
                <w:color w:val="000000"/>
                <w:sz w:val="18"/>
                <w:szCs w:val="18"/>
                <w:lang w:val="en-US" w:eastAsia="en-US"/>
              </w:rPr>
              <w:t xml:space="preserve"> locales</w:t>
            </w:r>
          </w:p>
        </w:tc>
        <w:tc>
          <w:tcPr>
            <w:tcW w:w="55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26</w:t>
            </w:r>
            <w:r w:rsidRPr="00EC49D7">
              <w:rPr>
                <w:bCs/>
                <w:color w:val="000000"/>
                <w:sz w:val="18"/>
                <w:szCs w:val="18"/>
                <w:lang w:val="en-US" w:eastAsia="en-US"/>
              </w:rPr>
              <w:t xml:space="preserve">0,000 </w:t>
            </w:r>
          </w:p>
        </w:tc>
        <w:tc>
          <w:tcPr>
            <w:tcW w:w="53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26</w:t>
            </w:r>
            <w:r w:rsidRPr="00EC49D7">
              <w:rPr>
                <w:bCs/>
                <w:color w:val="000000"/>
                <w:sz w:val="18"/>
                <w:szCs w:val="18"/>
                <w:lang w:val="en-US" w:eastAsia="en-US"/>
              </w:rPr>
              <w:t xml:space="preserve">0,000 </w:t>
            </w:r>
          </w:p>
        </w:tc>
        <w:tc>
          <w:tcPr>
            <w:tcW w:w="529"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26</w:t>
            </w:r>
            <w:r w:rsidRPr="00EC49D7">
              <w:rPr>
                <w:bCs/>
                <w:color w:val="000000"/>
                <w:sz w:val="18"/>
                <w:szCs w:val="18"/>
                <w:lang w:val="en-US" w:eastAsia="en-US"/>
              </w:rPr>
              <w:t xml:space="preserve">0,000 </w:t>
            </w:r>
          </w:p>
        </w:tc>
        <w:tc>
          <w:tcPr>
            <w:tcW w:w="555"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1</w:t>
            </w:r>
            <w:r w:rsidR="001A6D86" w:rsidRPr="00EC49D7">
              <w:rPr>
                <w:bCs/>
                <w:color w:val="000000"/>
                <w:sz w:val="18"/>
                <w:szCs w:val="18"/>
                <w:lang w:val="en-US" w:eastAsia="en-US"/>
              </w:rPr>
              <w:t>6</w:t>
            </w:r>
            <w:r w:rsidRPr="00EC49D7">
              <w:rPr>
                <w:bCs/>
                <w:color w:val="000000"/>
                <w:sz w:val="18"/>
                <w:szCs w:val="18"/>
                <w:lang w:val="en-US" w:eastAsia="en-US"/>
              </w:rPr>
              <w:t xml:space="preserve">0,000 </w:t>
            </w:r>
          </w:p>
        </w:tc>
        <w:tc>
          <w:tcPr>
            <w:tcW w:w="508" w:type="pct"/>
            <w:tcBorders>
              <w:top w:val="single" w:sz="4" w:space="0" w:color="auto"/>
              <w:left w:val="nil"/>
              <w:bottom w:val="single" w:sz="4" w:space="0" w:color="auto"/>
              <w:right w:val="single" w:sz="4" w:space="0" w:color="auto"/>
            </w:tcBorders>
          </w:tcPr>
          <w:p w:rsidR="009E2C82" w:rsidRPr="00EC49D7" w:rsidRDefault="001A6D86" w:rsidP="003F003A">
            <w:pPr>
              <w:jc w:val="right"/>
              <w:rPr>
                <w:bCs/>
                <w:color w:val="000000"/>
                <w:sz w:val="18"/>
                <w:szCs w:val="18"/>
                <w:lang w:val="en-US" w:eastAsia="en-US"/>
              </w:rPr>
            </w:pPr>
            <w:r w:rsidRPr="00EC49D7">
              <w:rPr>
                <w:bCs/>
                <w:color w:val="000000"/>
                <w:sz w:val="18"/>
                <w:szCs w:val="18"/>
                <w:lang w:val="en-US" w:eastAsia="en-US"/>
              </w:rPr>
              <w:t>100,000</w:t>
            </w:r>
          </w:p>
        </w:tc>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1,0</w:t>
            </w:r>
            <w:r w:rsidRPr="00EC49D7">
              <w:rPr>
                <w:bCs/>
                <w:color w:val="000000"/>
                <w:sz w:val="18"/>
                <w:szCs w:val="18"/>
                <w:lang w:val="en-US" w:eastAsia="en-US"/>
              </w:rPr>
              <w:t xml:space="preserve">40,000 </w:t>
            </w:r>
          </w:p>
        </w:tc>
      </w:tr>
      <w:tr w:rsidR="00CA23A9" w:rsidRPr="00EC49D7" w:rsidTr="00EC49D7">
        <w:trPr>
          <w:trHeight w:val="240"/>
        </w:trPr>
        <w:tc>
          <w:tcPr>
            <w:tcW w:w="1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rPr>
                <w:b/>
                <w:bCs/>
                <w:color w:val="000000"/>
                <w:sz w:val="18"/>
                <w:szCs w:val="18"/>
                <w:lang w:val="en-US" w:eastAsia="en-US"/>
              </w:rPr>
            </w:pPr>
            <w:proofErr w:type="spellStart"/>
            <w:r w:rsidRPr="00EC49D7">
              <w:rPr>
                <w:b/>
                <w:bCs/>
                <w:color w:val="000000"/>
                <w:sz w:val="18"/>
                <w:szCs w:val="18"/>
                <w:lang w:val="en-US" w:eastAsia="en-US"/>
              </w:rPr>
              <w:t>Reclutamiento</w:t>
            </w:r>
            <w:proofErr w:type="spellEnd"/>
            <w:r w:rsidRPr="00EC49D7">
              <w:rPr>
                <w:b/>
                <w:bCs/>
                <w:color w:val="000000"/>
                <w:sz w:val="18"/>
                <w:szCs w:val="18"/>
                <w:lang w:val="en-US" w:eastAsia="en-US"/>
              </w:rPr>
              <w:t xml:space="preserve"> de </w:t>
            </w:r>
            <w:proofErr w:type="spellStart"/>
            <w:r w:rsidRPr="00EC49D7">
              <w:rPr>
                <w:b/>
                <w:bCs/>
                <w:color w:val="000000"/>
                <w:sz w:val="18"/>
                <w:szCs w:val="18"/>
                <w:lang w:val="en-US" w:eastAsia="en-US"/>
              </w:rPr>
              <w:t>estudiantes</w:t>
            </w:r>
            <w:proofErr w:type="spellEnd"/>
            <w:r w:rsidRPr="00EC49D7">
              <w:rPr>
                <w:b/>
                <w:bCs/>
                <w:color w:val="000000"/>
                <w:sz w:val="18"/>
                <w:szCs w:val="18"/>
                <w:lang w:val="en-US" w:eastAsia="en-US"/>
              </w:rPr>
              <w:t xml:space="preserve"> </w:t>
            </w:r>
          </w:p>
        </w:tc>
        <w:tc>
          <w:tcPr>
            <w:tcW w:w="55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1</w:t>
            </w:r>
            <w:r w:rsidRPr="00EC49D7">
              <w:rPr>
                <w:bCs/>
                <w:color w:val="000000"/>
                <w:sz w:val="18"/>
                <w:szCs w:val="18"/>
                <w:lang w:val="en-US" w:eastAsia="en-US"/>
              </w:rPr>
              <w:t xml:space="preserve">00,000 </w:t>
            </w:r>
          </w:p>
        </w:tc>
        <w:tc>
          <w:tcPr>
            <w:tcW w:w="53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7</w:t>
            </w:r>
            <w:r w:rsidRPr="00EC49D7">
              <w:rPr>
                <w:bCs/>
                <w:color w:val="000000"/>
                <w:sz w:val="18"/>
                <w:szCs w:val="18"/>
                <w:lang w:val="en-US" w:eastAsia="en-US"/>
              </w:rPr>
              <w:t xml:space="preserve">0,000 </w:t>
            </w:r>
          </w:p>
        </w:tc>
        <w:tc>
          <w:tcPr>
            <w:tcW w:w="529"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4</w:t>
            </w:r>
            <w:r w:rsidRPr="00EC49D7">
              <w:rPr>
                <w:bCs/>
                <w:color w:val="000000"/>
                <w:sz w:val="18"/>
                <w:szCs w:val="18"/>
                <w:lang w:val="en-US" w:eastAsia="en-US"/>
              </w:rPr>
              <w:t xml:space="preserve">0,000 </w:t>
            </w:r>
          </w:p>
        </w:tc>
        <w:tc>
          <w:tcPr>
            <w:tcW w:w="555"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30</w:t>
            </w:r>
            <w:r w:rsidRPr="00EC49D7">
              <w:rPr>
                <w:bCs/>
                <w:color w:val="000000"/>
                <w:sz w:val="18"/>
                <w:szCs w:val="18"/>
                <w:lang w:val="en-US" w:eastAsia="en-US"/>
              </w:rPr>
              <w:t xml:space="preserve">,000 </w:t>
            </w:r>
          </w:p>
        </w:tc>
        <w:tc>
          <w:tcPr>
            <w:tcW w:w="508" w:type="pct"/>
            <w:tcBorders>
              <w:top w:val="single" w:sz="4" w:space="0" w:color="auto"/>
              <w:left w:val="nil"/>
              <w:bottom w:val="single" w:sz="4" w:space="0" w:color="auto"/>
              <w:right w:val="single" w:sz="4" w:space="0" w:color="auto"/>
            </w:tcBorders>
          </w:tcPr>
          <w:p w:rsidR="009E2C82" w:rsidRPr="00EC49D7" w:rsidRDefault="001A6D86" w:rsidP="00A25E81">
            <w:pPr>
              <w:jc w:val="right"/>
              <w:rPr>
                <w:bCs/>
                <w:color w:val="000000"/>
                <w:sz w:val="18"/>
                <w:szCs w:val="18"/>
                <w:lang w:val="en-US" w:eastAsia="en-US"/>
              </w:rPr>
            </w:pPr>
            <w:r w:rsidRPr="00EC49D7">
              <w:rPr>
                <w:bCs/>
                <w:color w:val="000000"/>
                <w:sz w:val="18"/>
                <w:szCs w:val="18"/>
                <w:lang w:val="en-US" w:eastAsia="en-US"/>
              </w:rPr>
              <w:t>0</w:t>
            </w:r>
          </w:p>
        </w:tc>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24</w:t>
            </w:r>
            <w:r w:rsidRPr="00EC49D7">
              <w:rPr>
                <w:bCs/>
                <w:color w:val="000000"/>
                <w:sz w:val="18"/>
                <w:szCs w:val="18"/>
                <w:lang w:val="en-US" w:eastAsia="en-US"/>
              </w:rPr>
              <w:t xml:space="preserve">0,000 </w:t>
            </w:r>
          </w:p>
        </w:tc>
      </w:tr>
      <w:tr w:rsidR="00CA23A9" w:rsidRPr="00EC49D7" w:rsidTr="00EC49D7">
        <w:trPr>
          <w:trHeight w:val="240"/>
        </w:trPr>
        <w:tc>
          <w:tcPr>
            <w:tcW w:w="1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82" w:rsidRPr="00EC49D7" w:rsidRDefault="001A6D86" w:rsidP="003F003A">
            <w:pPr>
              <w:rPr>
                <w:b/>
                <w:bCs/>
                <w:color w:val="000000"/>
                <w:sz w:val="18"/>
                <w:szCs w:val="18"/>
                <w:lang w:val="es-UY" w:eastAsia="en-US"/>
              </w:rPr>
            </w:pPr>
            <w:r w:rsidRPr="00EC49D7">
              <w:rPr>
                <w:b/>
                <w:bCs/>
                <w:color w:val="000000"/>
                <w:sz w:val="18"/>
                <w:szCs w:val="18"/>
                <w:lang w:val="es-UY" w:eastAsia="en-US"/>
              </w:rPr>
              <w:t>Tecnología</w:t>
            </w:r>
            <w:r w:rsidR="009E2C82" w:rsidRPr="00EC49D7">
              <w:rPr>
                <w:b/>
                <w:bCs/>
                <w:color w:val="000000"/>
                <w:sz w:val="18"/>
                <w:szCs w:val="18"/>
                <w:lang w:val="es-UY" w:eastAsia="en-US"/>
              </w:rPr>
              <w:t>, Plataforma de e-learning y soporte TI</w:t>
            </w:r>
          </w:p>
        </w:tc>
        <w:tc>
          <w:tcPr>
            <w:tcW w:w="55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s-UY" w:eastAsia="en-US"/>
              </w:rPr>
              <w:t xml:space="preserve">             </w:t>
            </w:r>
            <w:r w:rsidRPr="00EC49D7">
              <w:rPr>
                <w:bCs/>
                <w:color w:val="000000"/>
                <w:sz w:val="18"/>
                <w:szCs w:val="18"/>
                <w:lang w:val="en-US" w:eastAsia="en-US"/>
              </w:rPr>
              <w:t xml:space="preserve">250,000 </w:t>
            </w:r>
          </w:p>
        </w:tc>
        <w:tc>
          <w:tcPr>
            <w:tcW w:w="53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12</w:t>
            </w:r>
            <w:r w:rsidRPr="00EC49D7">
              <w:rPr>
                <w:bCs/>
                <w:color w:val="000000"/>
                <w:sz w:val="18"/>
                <w:szCs w:val="18"/>
                <w:lang w:val="en-US" w:eastAsia="en-US"/>
              </w:rPr>
              <w:t xml:space="preserve">0,000 </w:t>
            </w:r>
          </w:p>
        </w:tc>
        <w:tc>
          <w:tcPr>
            <w:tcW w:w="529"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11</w:t>
            </w:r>
            <w:r w:rsidRPr="00EC49D7">
              <w:rPr>
                <w:bCs/>
                <w:color w:val="000000"/>
                <w:sz w:val="18"/>
                <w:szCs w:val="18"/>
                <w:lang w:val="en-US" w:eastAsia="en-US"/>
              </w:rPr>
              <w:t xml:space="preserve">0,000 </w:t>
            </w:r>
          </w:p>
        </w:tc>
        <w:tc>
          <w:tcPr>
            <w:tcW w:w="555"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10</w:t>
            </w:r>
            <w:r w:rsidRPr="00EC49D7">
              <w:rPr>
                <w:bCs/>
                <w:color w:val="000000"/>
                <w:sz w:val="18"/>
                <w:szCs w:val="18"/>
                <w:lang w:val="en-US" w:eastAsia="en-US"/>
              </w:rPr>
              <w:t xml:space="preserve">0,000 </w:t>
            </w:r>
          </w:p>
        </w:tc>
        <w:tc>
          <w:tcPr>
            <w:tcW w:w="508" w:type="pct"/>
            <w:tcBorders>
              <w:top w:val="single" w:sz="4" w:space="0" w:color="auto"/>
              <w:left w:val="nil"/>
              <w:bottom w:val="single" w:sz="4" w:space="0" w:color="auto"/>
              <w:right w:val="single" w:sz="4" w:space="0" w:color="auto"/>
            </w:tcBorders>
          </w:tcPr>
          <w:p w:rsidR="009E2C82" w:rsidRPr="00EC49D7" w:rsidRDefault="001A6D86" w:rsidP="003F003A">
            <w:pPr>
              <w:jc w:val="right"/>
              <w:rPr>
                <w:bCs/>
                <w:color w:val="000000"/>
                <w:sz w:val="18"/>
                <w:szCs w:val="18"/>
                <w:lang w:val="en-US" w:eastAsia="en-US"/>
              </w:rPr>
            </w:pPr>
            <w:r w:rsidRPr="00EC49D7">
              <w:rPr>
                <w:bCs/>
                <w:color w:val="000000"/>
                <w:sz w:val="18"/>
                <w:szCs w:val="18"/>
                <w:lang w:val="en-US" w:eastAsia="en-US"/>
              </w:rPr>
              <w:t>20,000</w:t>
            </w:r>
          </w:p>
        </w:tc>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6</w:t>
            </w:r>
            <w:r w:rsidRPr="00EC49D7">
              <w:rPr>
                <w:bCs/>
                <w:color w:val="000000"/>
                <w:sz w:val="18"/>
                <w:szCs w:val="18"/>
                <w:lang w:val="en-US" w:eastAsia="en-US"/>
              </w:rPr>
              <w:t xml:space="preserve">00,000 </w:t>
            </w:r>
          </w:p>
        </w:tc>
      </w:tr>
      <w:tr w:rsidR="00CA23A9" w:rsidRPr="00EC49D7" w:rsidTr="00EC49D7">
        <w:trPr>
          <w:trHeight w:val="240"/>
        </w:trPr>
        <w:tc>
          <w:tcPr>
            <w:tcW w:w="1721" w:type="pct"/>
            <w:tcBorders>
              <w:top w:val="single" w:sz="4" w:space="0" w:color="auto"/>
              <w:left w:val="single" w:sz="4" w:space="0" w:color="auto"/>
              <w:bottom w:val="single" w:sz="4" w:space="0" w:color="auto"/>
              <w:right w:val="nil"/>
            </w:tcBorders>
            <w:shd w:val="clear" w:color="auto" w:fill="auto"/>
            <w:noWrap/>
            <w:vAlign w:val="bottom"/>
            <w:hideMark/>
          </w:tcPr>
          <w:p w:rsidR="009E2C82" w:rsidRPr="00EC49D7" w:rsidRDefault="009E2C82" w:rsidP="003F003A">
            <w:pPr>
              <w:rPr>
                <w:b/>
                <w:bCs/>
                <w:color w:val="000000"/>
                <w:sz w:val="18"/>
                <w:szCs w:val="18"/>
                <w:lang w:val="en-US" w:eastAsia="en-US"/>
              </w:rPr>
            </w:pPr>
            <w:proofErr w:type="spellStart"/>
            <w:r w:rsidRPr="00EC49D7">
              <w:rPr>
                <w:b/>
                <w:bCs/>
                <w:color w:val="000000"/>
                <w:sz w:val="18"/>
                <w:szCs w:val="18"/>
                <w:lang w:val="en-US" w:eastAsia="en-US"/>
              </w:rPr>
              <w:t>Otros</w:t>
            </w:r>
            <w:proofErr w:type="spellEnd"/>
            <w:r w:rsidRPr="00EC49D7">
              <w:rPr>
                <w:b/>
                <w:bCs/>
                <w:color w:val="000000"/>
                <w:sz w:val="18"/>
                <w:szCs w:val="18"/>
                <w:lang w:val="en-US" w:eastAsia="en-US"/>
              </w:rPr>
              <w:t xml:space="preserve"> </w:t>
            </w:r>
            <w:proofErr w:type="spellStart"/>
            <w:r w:rsidRPr="00EC49D7">
              <w:rPr>
                <w:b/>
                <w:bCs/>
                <w:color w:val="000000"/>
                <w:sz w:val="18"/>
                <w:szCs w:val="18"/>
                <w:lang w:val="en-US" w:eastAsia="en-US"/>
              </w:rPr>
              <w:t>Rubros</w:t>
            </w:r>
            <w:proofErr w:type="spellEnd"/>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196,713</w:t>
            </w:r>
            <w:r w:rsidRPr="00EC49D7">
              <w:rPr>
                <w:bCs/>
                <w:color w:val="000000"/>
                <w:sz w:val="18"/>
                <w:szCs w:val="18"/>
                <w:lang w:val="en-US" w:eastAsia="en-US"/>
              </w:rPr>
              <w:t xml:space="preserve"> </w:t>
            </w:r>
          </w:p>
        </w:tc>
        <w:tc>
          <w:tcPr>
            <w:tcW w:w="53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1A6D86" w:rsidRPr="00EC49D7">
              <w:rPr>
                <w:bCs/>
                <w:color w:val="000000"/>
                <w:sz w:val="18"/>
                <w:szCs w:val="18"/>
                <w:lang w:val="en-US" w:eastAsia="en-US"/>
              </w:rPr>
              <w:t>166,713</w:t>
            </w:r>
          </w:p>
        </w:tc>
        <w:tc>
          <w:tcPr>
            <w:tcW w:w="529"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166,713</w:t>
            </w:r>
          </w:p>
        </w:tc>
        <w:tc>
          <w:tcPr>
            <w:tcW w:w="555"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166,710</w:t>
            </w:r>
          </w:p>
        </w:tc>
        <w:tc>
          <w:tcPr>
            <w:tcW w:w="508" w:type="pct"/>
            <w:tcBorders>
              <w:top w:val="single" w:sz="4" w:space="0" w:color="auto"/>
              <w:left w:val="nil"/>
              <w:bottom w:val="single" w:sz="4" w:space="0" w:color="auto"/>
              <w:right w:val="single" w:sz="4" w:space="0" w:color="auto"/>
            </w:tcBorders>
          </w:tcPr>
          <w:p w:rsidR="009E2C82" w:rsidRPr="00EC49D7" w:rsidRDefault="00FA1BED" w:rsidP="003F003A">
            <w:pPr>
              <w:jc w:val="right"/>
              <w:rPr>
                <w:bCs/>
                <w:color w:val="000000"/>
                <w:sz w:val="18"/>
                <w:szCs w:val="18"/>
                <w:lang w:val="en-US" w:eastAsia="en-US"/>
              </w:rPr>
            </w:pPr>
            <w:r w:rsidRPr="00EC49D7">
              <w:rPr>
                <w:bCs/>
                <w:color w:val="000000"/>
                <w:sz w:val="18"/>
                <w:szCs w:val="18"/>
                <w:lang w:val="en-US" w:eastAsia="en-US"/>
              </w:rPr>
              <w:t>126,710</w:t>
            </w:r>
          </w:p>
        </w:tc>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823,559</w:t>
            </w:r>
            <w:r w:rsidRPr="00EC49D7">
              <w:rPr>
                <w:bCs/>
                <w:color w:val="000000"/>
                <w:sz w:val="18"/>
                <w:szCs w:val="18"/>
                <w:lang w:val="en-US" w:eastAsia="en-US"/>
              </w:rPr>
              <w:t xml:space="preserve"> </w:t>
            </w:r>
          </w:p>
        </w:tc>
      </w:tr>
      <w:tr w:rsidR="00CA23A9" w:rsidRPr="00EC49D7" w:rsidTr="00EC49D7">
        <w:trPr>
          <w:trHeight w:val="240"/>
        </w:trPr>
        <w:tc>
          <w:tcPr>
            <w:tcW w:w="172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3F003A">
            <w:pPr>
              <w:rPr>
                <w:b/>
                <w:bCs/>
                <w:color w:val="000000"/>
                <w:sz w:val="18"/>
                <w:szCs w:val="18"/>
                <w:lang w:val="es-UY" w:eastAsia="en-US"/>
              </w:rPr>
            </w:pPr>
            <w:r w:rsidRPr="00EC49D7">
              <w:rPr>
                <w:b/>
                <w:bCs/>
                <w:color w:val="000000"/>
                <w:sz w:val="18"/>
                <w:szCs w:val="18"/>
                <w:lang w:val="es-UY" w:eastAsia="en-US"/>
              </w:rPr>
              <w:t>Componente II - Fomento del Ecosistema SBIC</w:t>
            </w:r>
          </w:p>
        </w:tc>
        <w:tc>
          <w:tcPr>
            <w:tcW w:w="554" w:type="pct"/>
            <w:tcBorders>
              <w:top w:val="nil"/>
              <w:left w:val="nil"/>
              <w:bottom w:val="single" w:sz="4" w:space="0" w:color="auto"/>
              <w:right w:val="single" w:sz="4" w:space="0" w:color="auto"/>
            </w:tcBorders>
            <w:shd w:val="clear" w:color="000000" w:fill="BFBFBF"/>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s-UY" w:eastAsia="en-US"/>
              </w:rPr>
              <w:t xml:space="preserve">             </w:t>
            </w:r>
            <w:r w:rsidR="00FA1BED" w:rsidRPr="00EC49D7">
              <w:rPr>
                <w:bCs/>
                <w:color w:val="000000"/>
                <w:sz w:val="18"/>
                <w:szCs w:val="18"/>
                <w:lang w:val="en-US" w:eastAsia="en-US"/>
              </w:rPr>
              <w:t>162</w:t>
            </w:r>
            <w:r w:rsidRPr="00EC49D7">
              <w:rPr>
                <w:bCs/>
                <w:color w:val="000000"/>
                <w:sz w:val="18"/>
                <w:szCs w:val="18"/>
                <w:lang w:val="en-US" w:eastAsia="en-US"/>
              </w:rPr>
              <w:t>,</w:t>
            </w:r>
            <w:r w:rsidR="00FA1BED" w:rsidRPr="00EC49D7">
              <w:rPr>
                <w:bCs/>
                <w:color w:val="000000"/>
                <w:sz w:val="18"/>
                <w:szCs w:val="18"/>
                <w:lang w:val="en-US" w:eastAsia="en-US"/>
              </w:rPr>
              <w:t>5</w:t>
            </w:r>
            <w:r w:rsidRPr="00EC49D7">
              <w:rPr>
                <w:bCs/>
                <w:color w:val="000000"/>
                <w:sz w:val="18"/>
                <w:szCs w:val="18"/>
                <w:lang w:val="en-US" w:eastAsia="en-US"/>
              </w:rPr>
              <w:t xml:space="preserve">00 </w:t>
            </w:r>
          </w:p>
        </w:tc>
        <w:tc>
          <w:tcPr>
            <w:tcW w:w="534" w:type="pct"/>
            <w:tcBorders>
              <w:top w:val="nil"/>
              <w:left w:val="nil"/>
              <w:bottom w:val="single" w:sz="4" w:space="0" w:color="auto"/>
              <w:right w:val="single" w:sz="4" w:space="0" w:color="auto"/>
            </w:tcBorders>
            <w:shd w:val="clear" w:color="000000" w:fill="BFBFBF"/>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382,5</w:t>
            </w:r>
            <w:r w:rsidRPr="00EC49D7">
              <w:rPr>
                <w:bCs/>
                <w:color w:val="000000"/>
                <w:sz w:val="18"/>
                <w:szCs w:val="18"/>
                <w:lang w:val="en-US" w:eastAsia="en-US"/>
              </w:rPr>
              <w:t xml:space="preserve">00 </w:t>
            </w:r>
          </w:p>
        </w:tc>
        <w:tc>
          <w:tcPr>
            <w:tcW w:w="529" w:type="pct"/>
            <w:tcBorders>
              <w:top w:val="nil"/>
              <w:left w:val="nil"/>
              <w:bottom w:val="single" w:sz="4" w:space="0" w:color="auto"/>
              <w:right w:val="single" w:sz="4" w:space="0" w:color="auto"/>
            </w:tcBorders>
            <w:shd w:val="clear" w:color="000000" w:fill="BFBFBF"/>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63</w:t>
            </w:r>
            <w:r w:rsidRPr="00EC49D7">
              <w:rPr>
                <w:bCs/>
                <w:color w:val="000000"/>
                <w:sz w:val="18"/>
                <w:szCs w:val="18"/>
                <w:lang w:val="en-US" w:eastAsia="en-US"/>
              </w:rPr>
              <w:t xml:space="preserve">0,000 </w:t>
            </w:r>
          </w:p>
        </w:tc>
        <w:tc>
          <w:tcPr>
            <w:tcW w:w="555" w:type="pct"/>
            <w:tcBorders>
              <w:top w:val="nil"/>
              <w:left w:val="nil"/>
              <w:bottom w:val="single" w:sz="4" w:space="0" w:color="auto"/>
              <w:right w:val="single" w:sz="4" w:space="0" w:color="auto"/>
            </w:tcBorders>
            <w:shd w:val="clear" w:color="000000" w:fill="BFBFBF"/>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1,</w:t>
            </w:r>
            <w:r w:rsidR="00FA1BED" w:rsidRPr="00EC49D7">
              <w:rPr>
                <w:bCs/>
                <w:color w:val="000000"/>
                <w:sz w:val="18"/>
                <w:szCs w:val="18"/>
                <w:lang w:val="en-US" w:eastAsia="en-US"/>
              </w:rPr>
              <w:t>0</w:t>
            </w:r>
            <w:r w:rsidRPr="00EC49D7">
              <w:rPr>
                <w:bCs/>
                <w:color w:val="000000"/>
                <w:sz w:val="18"/>
                <w:szCs w:val="18"/>
                <w:lang w:val="en-US" w:eastAsia="en-US"/>
              </w:rPr>
              <w:t xml:space="preserve">10,000 </w:t>
            </w:r>
          </w:p>
        </w:tc>
        <w:tc>
          <w:tcPr>
            <w:tcW w:w="508" w:type="pct"/>
            <w:tcBorders>
              <w:top w:val="single" w:sz="4" w:space="0" w:color="auto"/>
              <w:left w:val="nil"/>
              <w:bottom w:val="single" w:sz="4" w:space="0" w:color="auto"/>
              <w:right w:val="single" w:sz="4" w:space="0" w:color="auto"/>
            </w:tcBorders>
            <w:shd w:val="clear" w:color="000000" w:fill="BFBFBF"/>
          </w:tcPr>
          <w:p w:rsidR="00FA1BED" w:rsidRPr="00EC49D7" w:rsidRDefault="00FA1BED" w:rsidP="003F003A">
            <w:pPr>
              <w:jc w:val="right"/>
              <w:rPr>
                <w:bCs/>
                <w:color w:val="000000"/>
                <w:sz w:val="18"/>
                <w:szCs w:val="18"/>
                <w:lang w:val="en-US" w:eastAsia="en-US"/>
              </w:rPr>
            </w:pPr>
          </w:p>
          <w:p w:rsidR="009E2C82" w:rsidRPr="00EC49D7" w:rsidRDefault="00FA1BED" w:rsidP="003F003A">
            <w:pPr>
              <w:jc w:val="right"/>
              <w:rPr>
                <w:bCs/>
                <w:color w:val="000000"/>
                <w:sz w:val="18"/>
                <w:szCs w:val="18"/>
                <w:lang w:val="en-US" w:eastAsia="en-US"/>
              </w:rPr>
            </w:pPr>
            <w:r w:rsidRPr="00EC49D7">
              <w:rPr>
                <w:bCs/>
                <w:color w:val="000000"/>
                <w:sz w:val="18"/>
                <w:szCs w:val="18"/>
                <w:lang w:val="en-US" w:eastAsia="en-US"/>
              </w:rPr>
              <w:t>137,500</w:t>
            </w:r>
          </w:p>
        </w:tc>
        <w:tc>
          <w:tcPr>
            <w:tcW w:w="600" w:type="pct"/>
            <w:tcBorders>
              <w:top w:val="nil"/>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2,332,500</w:t>
            </w:r>
            <w:r w:rsidRPr="00EC49D7">
              <w:rPr>
                <w:bCs/>
                <w:color w:val="000000"/>
                <w:sz w:val="18"/>
                <w:szCs w:val="18"/>
                <w:lang w:val="en-US" w:eastAsia="en-US"/>
              </w:rPr>
              <w:t xml:space="preserve"> </w:t>
            </w:r>
          </w:p>
        </w:tc>
      </w:tr>
      <w:tr w:rsidR="00CA23A9" w:rsidRPr="00EC49D7" w:rsidTr="00EC49D7">
        <w:trPr>
          <w:trHeight w:val="240"/>
        </w:trPr>
        <w:tc>
          <w:tcPr>
            <w:tcW w:w="1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rPr>
                <w:b/>
                <w:bCs/>
                <w:color w:val="000000"/>
                <w:sz w:val="18"/>
                <w:szCs w:val="18"/>
                <w:lang w:val="en-US" w:eastAsia="en-US"/>
              </w:rPr>
            </w:pPr>
            <w:proofErr w:type="spellStart"/>
            <w:r w:rsidRPr="00EC49D7">
              <w:rPr>
                <w:b/>
                <w:bCs/>
                <w:color w:val="000000"/>
                <w:sz w:val="18"/>
                <w:szCs w:val="18"/>
                <w:lang w:val="en-US" w:eastAsia="en-US"/>
              </w:rPr>
              <w:t>Promoción</w:t>
            </w:r>
            <w:proofErr w:type="spellEnd"/>
            <w:r w:rsidRPr="00EC49D7">
              <w:rPr>
                <w:b/>
                <w:bCs/>
                <w:color w:val="000000"/>
                <w:sz w:val="18"/>
                <w:szCs w:val="18"/>
                <w:lang w:val="en-US" w:eastAsia="en-US"/>
              </w:rPr>
              <w:t xml:space="preserve"> </w:t>
            </w:r>
            <w:proofErr w:type="spellStart"/>
            <w:r w:rsidRPr="00EC49D7">
              <w:rPr>
                <w:b/>
                <w:bCs/>
                <w:color w:val="000000"/>
                <w:sz w:val="18"/>
                <w:szCs w:val="18"/>
                <w:lang w:val="en-US" w:eastAsia="en-US"/>
              </w:rPr>
              <w:t>internacional</w:t>
            </w:r>
            <w:proofErr w:type="spellEnd"/>
            <w:r w:rsidRPr="00EC49D7">
              <w:rPr>
                <w:b/>
                <w:bCs/>
                <w:color w:val="000000"/>
                <w:sz w:val="18"/>
                <w:szCs w:val="18"/>
                <w:lang w:val="en-US" w:eastAsia="en-US"/>
              </w:rPr>
              <w:t xml:space="preserve"> </w:t>
            </w:r>
          </w:p>
        </w:tc>
        <w:tc>
          <w:tcPr>
            <w:tcW w:w="55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100,000 </w:t>
            </w:r>
          </w:p>
        </w:tc>
        <w:tc>
          <w:tcPr>
            <w:tcW w:w="53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70</w:t>
            </w:r>
            <w:r w:rsidRPr="00EC49D7">
              <w:rPr>
                <w:bCs/>
                <w:color w:val="000000"/>
                <w:sz w:val="18"/>
                <w:szCs w:val="18"/>
                <w:lang w:val="en-US" w:eastAsia="en-US"/>
              </w:rPr>
              <w:t xml:space="preserve">,000 </w:t>
            </w:r>
          </w:p>
        </w:tc>
        <w:tc>
          <w:tcPr>
            <w:tcW w:w="529"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50,000 </w:t>
            </w:r>
          </w:p>
        </w:tc>
        <w:tc>
          <w:tcPr>
            <w:tcW w:w="555"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4</w:t>
            </w:r>
            <w:r w:rsidRPr="00EC49D7">
              <w:rPr>
                <w:bCs/>
                <w:color w:val="000000"/>
                <w:sz w:val="18"/>
                <w:szCs w:val="18"/>
                <w:lang w:val="en-US" w:eastAsia="en-US"/>
              </w:rPr>
              <w:t xml:space="preserve">0,000 </w:t>
            </w:r>
          </w:p>
        </w:tc>
        <w:tc>
          <w:tcPr>
            <w:tcW w:w="508" w:type="pct"/>
            <w:tcBorders>
              <w:top w:val="single" w:sz="4" w:space="0" w:color="auto"/>
              <w:left w:val="nil"/>
              <w:bottom w:val="single" w:sz="4" w:space="0" w:color="auto"/>
              <w:right w:val="single" w:sz="4" w:space="0" w:color="auto"/>
            </w:tcBorders>
          </w:tcPr>
          <w:p w:rsidR="00FA1BED" w:rsidRPr="00EC49D7" w:rsidRDefault="00FA1BED" w:rsidP="003F003A">
            <w:pPr>
              <w:jc w:val="right"/>
              <w:rPr>
                <w:bCs/>
                <w:color w:val="000000"/>
                <w:sz w:val="18"/>
                <w:szCs w:val="18"/>
                <w:lang w:val="en-US" w:eastAsia="en-US"/>
              </w:rPr>
            </w:pPr>
          </w:p>
          <w:p w:rsidR="009E2C82" w:rsidRPr="00EC49D7" w:rsidRDefault="00FA1BED" w:rsidP="003F003A">
            <w:pPr>
              <w:jc w:val="right"/>
              <w:rPr>
                <w:bCs/>
                <w:color w:val="000000"/>
                <w:sz w:val="18"/>
                <w:szCs w:val="18"/>
                <w:lang w:val="en-US" w:eastAsia="en-US"/>
              </w:rPr>
            </w:pPr>
            <w:r w:rsidRPr="00EC49D7">
              <w:rPr>
                <w:bCs/>
                <w:color w:val="000000"/>
                <w:sz w:val="18"/>
                <w:szCs w:val="18"/>
                <w:lang w:val="en-US" w:eastAsia="en-US"/>
              </w:rPr>
              <w:t>30,000</w:t>
            </w:r>
          </w:p>
        </w:tc>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29</w:t>
            </w:r>
            <w:r w:rsidRPr="00EC49D7">
              <w:rPr>
                <w:bCs/>
                <w:color w:val="000000"/>
                <w:sz w:val="18"/>
                <w:szCs w:val="18"/>
                <w:lang w:val="en-US" w:eastAsia="en-US"/>
              </w:rPr>
              <w:t xml:space="preserve">0,000 </w:t>
            </w:r>
          </w:p>
        </w:tc>
      </w:tr>
      <w:tr w:rsidR="00CA23A9" w:rsidRPr="00EC49D7" w:rsidTr="00EC49D7">
        <w:trPr>
          <w:trHeight w:val="240"/>
        </w:trPr>
        <w:tc>
          <w:tcPr>
            <w:tcW w:w="1721"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rPr>
                <w:b/>
                <w:bCs/>
                <w:color w:val="000000"/>
                <w:sz w:val="18"/>
                <w:szCs w:val="18"/>
                <w:lang w:val="es-UY" w:eastAsia="en-US"/>
              </w:rPr>
            </w:pPr>
            <w:r w:rsidRPr="00EC49D7">
              <w:rPr>
                <w:b/>
                <w:bCs/>
                <w:color w:val="000000"/>
                <w:sz w:val="18"/>
                <w:szCs w:val="18"/>
                <w:lang w:val="es-UY" w:eastAsia="en-US"/>
              </w:rPr>
              <w:t>Instrumentos para la atracción y creación de emprendimientos</w:t>
            </w:r>
          </w:p>
        </w:tc>
        <w:tc>
          <w:tcPr>
            <w:tcW w:w="55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s-UY" w:eastAsia="en-US"/>
              </w:rPr>
              <w:t xml:space="preserve">             </w:t>
            </w:r>
            <w:r w:rsidR="00FA1BED" w:rsidRPr="00EC49D7">
              <w:rPr>
                <w:bCs/>
                <w:color w:val="000000"/>
                <w:sz w:val="18"/>
                <w:szCs w:val="18"/>
                <w:lang w:val="en-US" w:eastAsia="en-US"/>
              </w:rPr>
              <w:t>62,5</w:t>
            </w:r>
            <w:r w:rsidRPr="00EC49D7">
              <w:rPr>
                <w:bCs/>
                <w:color w:val="000000"/>
                <w:sz w:val="18"/>
                <w:szCs w:val="18"/>
                <w:lang w:val="en-US" w:eastAsia="en-US"/>
              </w:rPr>
              <w:t xml:space="preserve">00 </w:t>
            </w:r>
          </w:p>
        </w:tc>
        <w:tc>
          <w:tcPr>
            <w:tcW w:w="53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321</w:t>
            </w:r>
            <w:r w:rsidRPr="00EC49D7">
              <w:rPr>
                <w:bCs/>
                <w:color w:val="000000"/>
                <w:sz w:val="18"/>
                <w:szCs w:val="18"/>
                <w:lang w:val="en-US" w:eastAsia="en-US"/>
              </w:rPr>
              <w:t>,</w:t>
            </w:r>
            <w:r w:rsidR="00FA1BED" w:rsidRPr="00EC49D7">
              <w:rPr>
                <w:bCs/>
                <w:color w:val="000000"/>
                <w:sz w:val="18"/>
                <w:szCs w:val="18"/>
                <w:lang w:val="en-US" w:eastAsia="en-US"/>
              </w:rPr>
              <w:t>5</w:t>
            </w:r>
            <w:r w:rsidRPr="00EC49D7">
              <w:rPr>
                <w:bCs/>
                <w:color w:val="000000"/>
                <w:sz w:val="18"/>
                <w:szCs w:val="18"/>
                <w:lang w:val="en-US" w:eastAsia="en-US"/>
              </w:rPr>
              <w:t xml:space="preserve">00 </w:t>
            </w:r>
          </w:p>
        </w:tc>
        <w:tc>
          <w:tcPr>
            <w:tcW w:w="529"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580</w:t>
            </w:r>
            <w:r w:rsidRPr="00EC49D7">
              <w:rPr>
                <w:bCs/>
                <w:color w:val="000000"/>
                <w:sz w:val="18"/>
                <w:szCs w:val="18"/>
                <w:lang w:val="en-US" w:eastAsia="en-US"/>
              </w:rPr>
              <w:t xml:space="preserve">,000 </w:t>
            </w:r>
          </w:p>
        </w:tc>
        <w:tc>
          <w:tcPr>
            <w:tcW w:w="555"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97</w:t>
            </w:r>
            <w:r w:rsidRPr="00EC49D7">
              <w:rPr>
                <w:bCs/>
                <w:color w:val="000000"/>
                <w:sz w:val="18"/>
                <w:szCs w:val="18"/>
                <w:lang w:val="en-US" w:eastAsia="en-US"/>
              </w:rPr>
              <w:t xml:space="preserve">0,000 </w:t>
            </w:r>
          </w:p>
        </w:tc>
        <w:tc>
          <w:tcPr>
            <w:tcW w:w="508" w:type="pct"/>
            <w:tcBorders>
              <w:top w:val="single" w:sz="4" w:space="0" w:color="auto"/>
              <w:left w:val="nil"/>
              <w:bottom w:val="single" w:sz="4" w:space="0" w:color="auto"/>
              <w:right w:val="single" w:sz="4" w:space="0" w:color="auto"/>
            </w:tcBorders>
          </w:tcPr>
          <w:p w:rsidR="00FA1BED" w:rsidRPr="00EC49D7" w:rsidRDefault="00FA1BED" w:rsidP="003F003A">
            <w:pPr>
              <w:jc w:val="right"/>
              <w:rPr>
                <w:bCs/>
                <w:color w:val="000000"/>
                <w:sz w:val="18"/>
                <w:szCs w:val="18"/>
                <w:lang w:val="en-US" w:eastAsia="en-US"/>
              </w:rPr>
            </w:pPr>
          </w:p>
          <w:p w:rsidR="009E2C82" w:rsidRPr="00EC49D7" w:rsidRDefault="00FA1BED" w:rsidP="003F003A">
            <w:pPr>
              <w:jc w:val="right"/>
              <w:rPr>
                <w:bCs/>
                <w:color w:val="000000"/>
                <w:sz w:val="18"/>
                <w:szCs w:val="18"/>
                <w:lang w:val="en-US" w:eastAsia="en-US"/>
              </w:rPr>
            </w:pPr>
            <w:r w:rsidRPr="00EC49D7">
              <w:rPr>
                <w:bCs/>
                <w:color w:val="000000"/>
                <w:sz w:val="18"/>
                <w:szCs w:val="18"/>
                <w:lang w:val="en-US" w:eastAsia="en-US"/>
              </w:rPr>
              <w:t>107,500</w:t>
            </w:r>
          </w:p>
        </w:tc>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2,</w:t>
            </w:r>
            <w:r w:rsidR="00FA1BED" w:rsidRPr="00EC49D7">
              <w:rPr>
                <w:bCs/>
                <w:color w:val="000000"/>
                <w:sz w:val="18"/>
                <w:szCs w:val="18"/>
                <w:lang w:val="en-US" w:eastAsia="en-US"/>
              </w:rPr>
              <w:t>032</w:t>
            </w:r>
            <w:r w:rsidRPr="00EC49D7">
              <w:rPr>
                <w:bCs/>
                <w:color w:val="000000"/>
                <w:sz w:val="18"/>
                <w:szCs w:val="18"/>
                <w:lang w:val="en-US" w:eastAsia="en-US"/>
              </w:rPr>
              <w:t>,</w:t>
            </w:r>
            <w:r w:rsidR="00FA1BED" w:rsidRPr="00EC49D7">
              <w:rPr>
                <w:bCs/>
                <w:color w:val="000000"/>
                <w:sz w:val="18"/>
                <w:szCs w:val="18"/>
                <w:lang w:val="en-US" w:eastAsia="en-US"/>
              </w:rPr>
              <w:t>5</w:t>
            </w:r>
            <w:r w:rsidRPr="00EC49D7">
              <w:rPr>
                <w:bCs/>
                <w:color w:val="000000"/>
                <w:sz w:val="18"/>
                <w:szCs w:val="18"/>
                <w:lang w:val="en-US" w:eastAsia="en-US"/>
              </w:rPr>
              <w:t xml:space="preserve">00 </w:t>
            </w:r>
          </w:p>
        </w:tc>
      </w:tr>
      <w:tr w:rsidR="00CA23A9" w:rsidRPr="00EC49D7" w:rsidTr="00EC49D7">
        <w:trPr>
          <w:trHeight w:val="240"/>
        </w:trPr>
        <w:tc>
          <w:tcPr>
            <w:tcW w:w="172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3F003A">
            <w:pPr>
              <w:rPr>
                <w:b/>
                <w:bCs/>
                <w:color w:val="000000"/>
                <w:sz w:val="18"/>
                <w:szCs w:val="18"/>
                <w:lang w:val="en-US" w:eastAsia="en-US"/>
              </w:rPr>
            </w:pPr>
            <w:proofErr w:type="spellStart"/>
            <w:r w:rsidRPr="00EC49D7">
              <w:rPr>
                <w:b/>
                <w:bCs/>
                <w:color w:val="000000"/>
                <w:sz w:val="18"/>
                <w:szCs w:val="18"/>
                <w:lang w:val="en-US" w:eastAsia="en-US"/>
              </w:rPr>
              <w:lastRenderedPageBreak/>
              <w:t>Administración</w:t>
            </w:r>
            <w:proofErr w:type="spellEnd"/>
            <w:r w:rsidRPr="00EC49D7">
              <w:rPr>
                <w:b/>
                <w:bCs/>
                <w:color w:val="000000"/>
                <w:sz w:val="18"/>
                <w:szCs w:val="18"/>
                <w:lang w:val="en-US" w:eastAsia="en-US"/>
              </w:rPr>
              <w:t xml:space="preserve">; </w:t>
            </w:r>
            <w:proofErr w:type="spellStart"/>
            <w:r w:rsidRPr="00EC49D7">
              <w:rPr>
                <w:b/>
                <w:bCs/>
                <w:color w:val="000000"/>
                <w:sz w:val="18"/>
                <w:szCs w:val="18"/>
                <w:lang w:val="en-US" w:eastAsia="en-US"/>
              </w:rPr>
              <w:t>seguimiento</w:t>
            </w:r>
            <w:proofErr w:type="spellEnd"/>
            <w:r w:rsidRPr="00EC49D7">
              <w:rPr>
                <w:b/>
                <w:bCs/>
                <w:color w:val="000000"/>
                <w:sz w:val="18"/>
                <w:szCs w:val="18"/>
                <w:lang w:val="en-US" w:eastAsia="en-US"/>
              </w:rPr>
              <w:t xml:space="preserve"> y </w:t>
            </w:r>
            <w:proofErr w:type="spellStart"/>
            <w:r w:rsidRPr="00EC49D7">
              <w:rPr>
                <w:b/>
                <w:bCs/>
                <w:color w:val="000000"/>
                <w:sz w:val="18"/>
                <w:szCs w:val="18"/>
                <w:lang w:val="en-US" w:eastAsia="en-US"/>
              </w:rPr>
              <w:t>monitoreo</w:t>
            </w:r>
            <w:proofErr w:type="spellEnd"/>
          </w:p>
        </w:tc>
        <w:tc>
          <w:tcPr>
            <w:tcW w:w="55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A25E81">
            <w:pPr>
              <w:jc w:val="right"/>
              <w:rPr>
                <w:bCs/>
                <w:color w:val="000000"/>
                <w:sz w:val="18"/>
                <w:szCs w:val="18"/>
                <w:lang w:val="es-UY" w:eastAsia="en-US"/>
              </w:rPr>
            </w:pPr>
            <w:r w:rsidRPr="00EC49D7">
              <w:rPr>
                <w:bCs/>
                <w:color w:val="000000"/>
                <w:sz w:val="18"/>
                <w:szCs w:val="18"/>
                <w:lang w:val="es-UY" w:eastAsia="en-US"/>
              </w:rPr>
              <w:t xml:space="preserve">               </w:t>
            </w:r>
            <w:r w:rsidR="00FA1BED" w:rsidRPr="00EC49D7">
              <w:rPr>
                <w:bCs/>
                <w:color w:val="000000"/>
                <w:sz w:val="18"/>
                <w:szCs w:val="18"/>
                <w:lang w:val="es-UY" w:eastAsia="en-US"/>
              </w:rPr>
              <w:t>1</w:t>
            </w:r>
            <w:r w:rsidRPr="00EC49D7">
              <w:rPr>
                <w:bCs/>
                <w:color w:val="000000"/>
                <w:sz w:val="18"/>
                <w:szCs w:val="18"/>
                <w:lang w:val="es-UY" w:eastAsia="en-US"/>
              </w:rPr>
              <w:t xml:space="preserve">8,500 </w:t>
            </w:r>
          </w:p>
        </w:tc>
        <w:tc>
          <w:tcPr>
            <w:tcW w:w="5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A25E81">
            <w:pPr>
              <w:jc w:val="right"/>
              <w:rPr>
                <w:bCs/>
                <w:color w:val="000000"/>
                <w:sz w:val="18"/>
                <w:szCs w:val="18"/>
                <w:lang w:val="es-UY" w:eastAsia="en-US"/>
              </w:rPr>
            </w:pPr>
            <w:r w:rsidRPr="00EC49D7">
              <w:rPr>
                <w:bCs/>
                <w:color w:val="000000"/>
                <w:sz w:val="18"/>
                <w:szCs w:val="18"/>
                <w:lang w:val="es-UY" w:eastAsia="en-US"/>
              </w:rPr>
              <w:t xml:space="preserve">             </w:t>
            </w:r>
            <w:r w:rsidR="00FA1BED" w:rsidRPr="00EC49D7">
              <w:rPr>
                <w:bCs/>
                <w:color w:val="000000"/>
                <w:sz w:val="18"/>
                <w:szCs w:val="18"/>
                <w:lang w:val="es-UY" w:eastAsia="en-US"/>
              </w:rPr>
              <w:t>48</w:t>
            </w:r>
            <w:r w:rsidRPr="00EC49D7">
              <w:rPr>
                <w:bCs/>
                <w:color w:val="000000"/>
                <w:sz w:val="18"/>
                <w:szCs w:val="18"/>
                <w:lang w:val="es-UY" w:eastAsia="en-US"/>
              </w:rPr>
              <w:t xml:space="preserve">,500 </w:t>
            </w:r>
          </w:p>
        </w:tc>
        <w:tc>
          <w:tcPr>
            <w:tcW w:w="52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A25E81">
            <w:pPr>
              <w:jc w:val="right"/>
              <w:rPr>
                <w:bCs/>
                <w:color w:val="000000"/>
                <w:sz w:val="18"/>
                <w:szCs w:val="18"/>
                <w:lang w:val="es-UY" w:eastAsia="en-US"/>
              </w:rPr>
            </w:pPr>
            <w:r w:rsidRPr="00EC49D7">
              <w:rPr>
                <w:bCs/>
                <w:color w:val="000000"/>
                <w:sz w:val="18"/>
                <w:szCs w:val="18"/>
                <w:lang w:val="es-UY" w:eastAsia="en-US"/>
              </w:rPr>
              <w:t xml:space="preserve">               </w:t>
            </w:r>
            <w:r w:rsidR="00FA1BED" w:rsidRPr="00EC49D7">
              <w:rPr>
                <w:bCs/>
                <w:color w:val="000000"/>
                <w:sz w:val="18"/>
                <w:szCs w:val="18"/>
                <w:lang w:val="es-UY" w:eastAsia="en-US"/>
              </w:rPr>
              <w:t>18</w:t>
            </w:r>
            <w:r w:rsidRPr="00EC49D7">
              <w:rPr>
                <w:bCs/>
                <w:color w:val="000000"/>
                <w:sz w:val="18"/>
                <w:szCs w:val="18"/>
                <w:lang w:val="es-UY" w:eastAsia="en-US"/>
              </w:rPr>
              <w:t xml:space="preserve">,500 </w:t>
            </w:r>
          </w:p>
        </w:tc>
        <w:tc>
          <w:tcPr>
            <w:tcW w:w="55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A25E81">
            <w:pPr>
              <w:jc w:val="right"/>
              <w:rPr>
                <w:bCs/>
                <w:color w:val="000000"/>
                <w:sz w:val="18"/>
                <w:szCs w:val="18"/>
                <w:lang w:val="es-UY" w:eastAsia="en-US"/>
              </w:rPr>
            </w:pPr>
            <w:r w:rsidRPr="00EC49D7">
              <w:rPr>
                <w:bCs/>
                <w:color w:val="000000"/>
                <w:sz w:val="18"/>
                <w:szCs w:val="18"/>
                <w:lang w:val="es-UY" w:eastAsia="en-US"/>
              </w:rPr>
              <w:t xml:space="preserve">             1</w:t>
            </w:r>
            <w:r w:rsidR="00FA1BED" w:rsidRPr="00EC49D7">
              <w:rPr>
                <w:bCs/>
                <w:color w:val="000000"/>
                <w:sz w:val="18"/>
                <w:szCs w:val="18"/>
                <w:lang w:val="es-UY" w:eastAsia="en-US"/>
              </w:rPr>
              <w:t>8</w:t>
            </w:r>
            <w:r w:rsidRPr="00EC49D7">
              <w:rPr>
                <w:bCs/>
                <w:color w:val="000000"/>
                <w:sz w:val="18"/>
                <w:szCs w:val="18"/>
                <w:lang w:val="es-UY" w:eastAsia="en-US"/>
              </w:rPr>
              <w:t xml:space="preserve">,500 </w:t>
            </w:r>
          </w:p>
        </w:tc>
        <w:tc>
          <w:tcPr>
            <w:tcW w:w="508" w:type="pct"/>
            <w:tcBorders>
              <w:top w:val="single" w:sz="4" w:space="0" w:color="auto"/>
              <w:left w:val="single" w:sz="4" w:space="0" w:color="auto"/>
              <w:bottom w:val="single" w:sz="4" w:space="0" w:color="auto"/>
              <w:right w:val="single" w:sz="4" w:space="0" w:color="auto"/>
            </w:tcBorders>
            <w:shd w:val="clear" w:color="000000" w:fill="BFBFBF"/>
          </w:tcPr>
          <w:p w:rsidR="00FA1BED" w:rsidRPr="00EC49D7" w:rsidRDefault="00FA1BED" w:rsidP="00A25E81">
            <w:pPr>
              <w:jc w:val="right"/>
              <w:rPr>
                <w:bCs/>
                <w:color w:val="000000"/>
                <w:sz w:val="18"/>
                <w:szCs w:val="18"/>
                <w:lang w:val="es-UY" w:eastAsia="en-US"/>
              </w:rPr>
            </w:pPr>
          </w:p>
          <w:p w:rsidR="00FA1BED" w:rsidRPr="00EC49D7" w:rsidRDefault="00FA1BED" w:rsidP="00A25E81">
            <w:pPr>
              <w:jc w:val="right"/>
              <w:rPr>
                <w:bCs/>
                <w:color w:val="000000"/>
                <w:sz w:val="18"/>
                <w:szCs w:val="18"/>
                <w:lang w:val="es-UY" w:eastAsia="en-US"/>
              </w:rPr>
            </w:pPr>
          </w:p>
          <w:p w:rsidR="00CA23A9" w:rsidRPr="00EC49D7" w:rsidRDefault="00FA1BED">
            <w:pPr>
              <w:jc w:val="center"/>
              <w:rPr>
                <w:bCs/>
                <w:color w:val="000000"/>
                <w:sz w:val="18"/>
                <w:szCs w:val="18"/>
                <w:lang w:val="es-UY" w:eastAsia="en-US"/>
              </w:rPr>
            </w:pPr>
            <w:r w:rsidRPr="00EC49D7">
              <w:rPr>
                <w:bCs/>
                <w:color w:val="000000"/>
                <w:sz w:val="18"/>
                <w:szCs w:val="18"/>
                <w:lang w:val="es-UY" w:eastAsia="en-US"/>
              </w:rPr>
              <w:t>48,000</w:t>
            </w:r>
          </w:p>
        </w:tc>
        <w:tc>
          <w:tcPr>
            <w:tcW w:w="6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A25E81">
            <w:pPr>
              <w:jc w:val="right"/>
              <w:rPr>
                <w:bCs/>
                <w:color w:val="000000"/>
                <w:sz w:val="18"/>
                <w:szCs w:val="18"/>
                <w:lang w:val="es-UY" w:eastAsia="en-US"/>
              </w:rPr>
            </w:pPr>
            <w:r w:rsidRPr="00EC49D7">
              <w:rPr>
                <w:bCs/>
                <w:color w:val="000000"/>
                <w:sz w:val="18"/>
                <w:szCs w:val="18"/>
                <w:lang w:val="es-UY" w:eastAsia="en-US"/>
              </w:rPr>
              <w:t xml:space="preserve">           </w:t>
            </w:r>
            <w:r w:rsidR="00FA1BED" w:rsidRPr="00EC49D7">
              <w:rPr>
                <w:bCs/>
                <w:color w:val="000000"/>
                <w:sz w:val="18"/>
                <w:szCs w:val="18"/>
                <w:lang w:val="es-UY" w:eastAsia="en-US"/>
              </w:rPr>
              <w:t>150</w:t>
            </w:r>
            <w:r w:rsidRPr="00EC49D7">
              <w:rPr>
                <w:bCs/>
                <w:color w:val="000000"/>
                <w:sz w:val="18"/>
                <w:szCs w:val="18"/>
                <w:lang w:val="es-UY" w:eastAsia="en-US"/>
              </w:rPr>
              <w:t xml:space="preserve">,000 </w:t>
            </w:r>
          </w:p>
        </w:tc>
      </w:tr>
      <w:tr w:rsidR="00CA23A9" w:rsidRPr="00EC49D7" w:rsidTr="00EC49D7">
        <w:trPr>
          <w:trHeight w:val="240"/>
        </w:trPr>
        <w:tc>
          <w:tcPr>
            <w:tcW w:w="1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rPr>
                <w:b/>
                <w:bCs/>
                <w:color w:val="000000"/>
                <w:sz w:val="18"/>
                <w:szCs w:val="18"/>
                <w:lang w:val="en-US" w:eastAsia="en-US"/>
              </w:rPr>
            </w:pPr>
            <w:proofErr w:type="spellStart"/>
            <w:r w:rsidRPr="00EC49D7">
              <w:rPr>
                <w:b/>
                <w:bCs/>
                <w:color w:val="000000"/>
                <w:sz w:val="18"/>
                <w:szCs w:val="18"/>
                <w:lang w:val="en-US" w:eastAsia="en-US"/>
              </w:rPr>
              <w:t>Evaluación</w:t>
            </w:r>
            <w:proofErr w:type="spellEnd"/>
            <w:r w:rsidRPr="00EC49D7">
              <w:rPr>
                <w:b/>
                <w:bCs/>
                <w:color w:val="000000"/>
                <w:sz w:val="18"/>
                <w:szCs w:val="18"/>
                <w:lang w:val="en-US" w:eastAsia="en-US"/>
              </w:rPr>
              <w:t xml:space="preserve"> y </w:t>
            </w:r>
            <w:proofErr w:type="spellStart"/>
            <w:r w:rsidRPr="00EC49D7">
              <w:rPr>
                <w:b/>
                <w:bCs/>
                <w:color w:val="000000"/>
                <w:sz w:val="18"/>
                <w:szCs w:val="18"/>
                <w:lang w:val="en-US" w:eastAsia="en-US"/>
              </w:rPr>
              <w:t>Monitoreo</w:t>
            </w:r>
            <w:proofErr w:type="spellEnd"/>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9E2C82" w:rsidRPr="00EC49D7" w:rsidRDefault="00FA1BED" w:rsidP="003F003A">
            <w:pPr>
              <w:jc w:val="right"/>
              <w:rPr>
                <w:bCs/>
                <w:color w:val="000000"/>
                <w:sz w:val="18"/>
                <w:szCs w:val="18"/>
                <w:lang w:val="en-US" w:eastAsia="en-US"/>
              </w:rPr>
            </w:pPr>
            <w:r w:rsidRPr="00EC49D7">
              <w:rPr>
                <w:bCs/>
                <w:color w:val="000000"/>
                <w:sz w:val="18"/>
                <w:szCs w:val="18"/>
                <w:lang w:val="en-US" w:eastAsia="en-US"/>
              </w:rPr>
              <w:t>6</w:t>
            </w:r>
            <w:r w:rsidR="009E2C82" w:rsidRPr="00EC49D7">
              <w:rPr>
                <w:bCs/>
                <w:color w:val="000000"/>
                <w:sz w:val="18"/>
                <w:szCs w:val="18"/>
                <w:lang w:val="en-US" w:eastAsia="en-US"/>
              </w:rPr>
              <w:t>,000</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9E2C82" w:rsidRPr="00EC49D7" w:rsidRDefault="00FA1BED" w:rsidP="003F003A">
            <w:pPr>
              <w:jc w:val="right"/>
              <w:rPr>
                <w:bCs/>
                <w:color w:val="000000"/>
                <w:sz w:val="18"/>
                <w:szCs w:val="18"/>
                <w:lang w:val="en-US" w:eastAsia="en-US"/>
              </w:rPr>
            </w:pPr>
            <w:r w:rsidRPr="00EC49D7">
              <w:rPr>
                <w:bCs/>
                <w:color w:val="000000"/>
                <w:sz w:val="18"/>
                <w:szCs w:val="18"/>
                <w:lang w:val="en-US" w:eastAsia="en-US"/>
              </w:rPr>
              <w:t>36</w:t>
            </w:r>
            <w:r w:rsidR="009E2C82" w:rsidRPr="00EC49D7">
              <w:rPr>
                <w:bCs/>
                <w:color w:val="000000"/>
                <w:sz w:val="18"/>
                <w:szCs w:val="18"/>
                <w:lang w:val="en-US" w:eastAsia="en-US"/>
              </w:rPr>
              <w:t>,000</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9E2C82" w:rsidRPr="00EC49D7" w:rsidRDefault="00FA1BED" w:rsidP="003F003A">
            <w:pPr>
              <w:jc w:val="right"/>
              <w:rPr>
                <w:bCs/>
                <w:color w:val="000000"/>
                <w:sz w:val="18"/>
                <w:szCs w:val="18"/>
                <w:lang w:val="en-US" w:eastAsia="en-US"/>
              </w:rPr>
            </w:pPr>
            <w:r w:rsidRPr="00EC49D7">
              <w:rPr>
                <w:bCs/>
                <w:color w:val="000000"/>
                <w:sz w:val="18"/>
                <w:szCs w:val="18"/>
                <w:lang w:val="en-US" w:eastAsia="en-US"/>
              </w:rPr>
              <w:t>6</w:t>
            </w:r>
            <w:r w:rsidR="009E2C82" w:rsidRPr="00EC49D7">
              <w:rPr>
                <w:bCs/>
                <w:color w:val="000000"/>
                <w:sz w:val="18"/>
                <w:szCs w:val="18"/>
                <w:lang w:val="en-US" w:eastAsia="en-US"/>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9E2C82" w:rsidRPr="00EC49D7" w:rsidRDefault="00FA1BED" w:rsidP="003F003A">
            <w:pPr>
              <w:jc w:val="right"/>
              <w:rPr>
                <w:bCs/>
                <w:color w:val="000000"/>
                <w:sz w:val="18"/>
                <w:szCs w:val="18"/>
                <w:lang w:val="en-US" w:eastAsia="en-US"/>
              </w:rPr>
            </w:pPr>
            <w:r w:rsidRPr="00EC49D7">
              <w:rPr>
                <w:bCs/>
                <w:color w:val="000000"/>
                <w:sz w:val="18"/>
                <w:szCs w:val="18"/>
                <w:lang w:val="en-US" w:eastAsia="en-US"/>
              </w:rPr>
              <w:t>6</w:t>
            </w:r>
            <w:r w:rsidR="009E2C82" w:rsidRPr="00EC49D7">
              <w:rPr>
                <w:bCs/>
                <w:color w:val="000000"/>
                <w:sz w:val="18"/>
                <w:szCs w:val="18"/>
                <w:lang w:val="en-US" w:eastAsia="en-US"/>
              </w:rPr>
              <w:t>,000</w:t>
            </w:r>
          </w:p>
        </w:tc>
        <w:tc>
          <w:tcPr>
            <w:tcW w:w="508" w:type="pct"/>
            <w:tcBorders>
              <w:top w:val="single" w:sz="4" w:space="0" w:color="auto"/>
              <w:left w:val="nil"/>
              <w:bottom w:val="single" w:sz="4" w:space="0" w:color="auto"/>
              <w:right w:val="single" w:sz="4" w:space="0" w:color="auto"/>
            </w:tcBorders>
          </w:tcPr>
          <w:p w:rsidR="009E2C82" w:rsidRPr="00EC49D7" w:rsidRDefault="00FA1BED" w:rsidP="003F003A">
            <w:pPr>
              <w:jc w:val="right"/>
              <w:rPr>
                <w:bCs/>
                <w:color w:val="000000"/>
                <w:sz w:val="18"/>
                <w:szCs w:val="18"/>
                <w:lang w:val="en-US" w:eastAsia="en-US"/>
              </w:rPr>
            </w:pPr>
            <w:r w:rsidRPr="00EC49D7">
              <w:rPr>
                <w:bCs/>
                <w:color w:val="000000"/>
                <w:sz w:val="18"/>
                <w:szCs w:val="18"/>
                <w:lang w:val="en-US" w:eastAsia="en-US"/>
              </w:rPr>
              <w:t>46,000</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100</w:t>
            </w:r>
            <w:r w:rsidRPr="00EC49D7">
              <w:rPr>
                <w:bCs/>
                <w:color w:val="000000"/>
                <w:sz w:val="18"/>
                <w:szCs w:val="18"/>
                <w:lang w:val="en-US" w:eastAsia="en-US"/>
              </w:rPr>
              <w:t xml:space="preserve">,000 </w:t>
            </w:r>
          </w:p>
        </w:tc>
      </w:tr>
      <w:tr w:rsidR="00CA23A9" w:rsidRPr="00EC49D7" w:rsidTr="00EC49D7">
        <w:trPr>
          <w:trHeight w:val="240"/>
        </w:trPr>
        <w:tc>
          <w:tcPr>
            <w:tcW w:w="1721"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3F003A">
            <w:pPr>
              <w:rPr>
                <w:b/>
                <w:bCs/>
                <w:color w:val="000000"/>
                <w:sz w:val="18"/>
                <w:szCs w:val="18"/>
                <w:lang w:val="es-UY" w:eastAsia="en-US"/>
              </w:rPr>
            </w:pPr>
            <w:r w:rsidRPr="00EC49D7">
              <w:rPr>
                <w:b/>
                <w:bCs/>
                <w:color w:val="000000"/>
                <w:sz w:val="18"/>
                <w:szCs w:val="18"/>
                <w:lang w:val="es-UY" w:eastAsia="en-US"/>
              </w:rPr>
              <w:t>Auditoria Financiera y Auditoria de Hitos</w:t>
            </w:r>
          </w:p>
        </w:tc>
        <w:tc>
          <w:tcPr>
            <w:tcW w:w="55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s-UY" w:eastAsia="en-US"/>
              </w:rPr>
              <w:t xml:space="preserve">               </w:t>
            </w:r>
            <w:r w:rsidR="00FA1BED" w:rsidRPr="00EC49D7">
              <w:rPr>
                <w:bCs/>
                <w:color w:val="000000"/>
                <w:sz w:val="18"/>
                <w:szCs w:val="18"/>
                <w:lang w:val="en-US" w:eastAsia="en-US"/>
              </w:rPr>
              <w:t>1</w:t>
            </w:r>
            <w:r w:rsidRPr="00EC49D7">
              <w:rPr>
                <w:bCs/>
                <w:color w:val="000000"/>
                <w:sz w:val="18"/>
                <w:szCs w:val="18"/>
                <w:lang w:val="en-US" w:eastAsia="en-US"/>
              </w:rPr>
              <w:t xml:space="preserve">2,500 </w:t>
            </w:r>
          </w:p>
        </w:tc>
        <w:tc>
          <w:tcPr>
            <w:tcW w:w="534"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1</w:t>
            </w:r>
            <w:r w:rsidRPr="00EC49D7">
              <w:rPr>
                <w:bCs/>
                <w:color w:val="000000"/>
                <w:sz w:val="18"/>
                <w:szCs w:val="18"/>
                <w:lang w:val="en-US" w:eastAsia="en-US"/>
              </w:rPr>
              <w:t xml:space="preserve">2,500 </w:t>
            </w:r>
          </w:p>
        </w:tc>
        <w:tc>
          <w:tcPr>
            <w:tcW w:w="529"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1</w:t>
            </w:r>
            <w:r w:rsidRPr="00EC49D7">
              <w:rPr>
                <w:bCs/>
                <w:color w:val="000000"/>
                <w:sz w:val="18"/>
                <w:szCs w:val="18"/>
                <w:lang w:val="en-US" w:eastAsia="en-US"/>
              </w:rPr>
              <w:t xml:space="preserve">2,500 </w:t>
            </w:r>
          </w:p>
        </w:tc>
        <w:tc>
          <w:tcPr>
            <w:tcW w:w="555" w:type="pct"/>
            <w:tcBorders>
              <w:top w:val="nil"/>
              <w:left w:val="nil"/>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1</w:t>
            </w:r>
            <w:r w:rsidRPr="00EC49D7">
              <w:rPr>
                <w:bCs/>
                <w:color w:val="000000"/>
                <w:sz w:val="18"/>
                <w:szCs w:val="18"/>
                <w:lang w:val="en-US" w:eastAsia="en-US"/>
              </w:rPr>
              <w:t xml:space="preserve">2,500 </w:t>
            </w:r>
          </w:p>
        </w:tc>
        <w:tc>
          <w:tcPr>
            <w:tcW w:w="508" w:type="pct"/>
            <w:tcBorders>
              <w:top w:val="single" w:sz="4" w:space="0" w:color="auto"/>
              <w:left w:val="nil"/>
              <w:bottom w:val="single" w:sz="4" w:space="0" w:color="auto"/>
              <w:right w:val="single" w:sz="4" w:space="0" w:color="auto"/>
            </w:tcBorders>
          </w:tcPr>
          <w:p w:rsidR="009E2C82" w:rsidRPr="00EC49D7" w:rsidRDefault="00FA1BED" w:rsidP="00A25E81">
            <w:pPr>
              <w:jc w:val="right"/>
              <w:rPr>
                <w:bCs/>
                <w:color w:val="000000"/>
                <w:sz w:val="18"/>
                <w:szCs w:val="18"/>
                <w:lang w:val="en-US" w:eastAsia="en-US"/>
              </w:rPr>
            </w:pPr>
            <w:r w:rsidRPr="00EC49D7">
              <w:rPr>
                <w:bCs/>
                <w:color w:val="000000"/>
                <w:sz w:val="18"/>
                <w:szCs w:val="18"/>
                <w:lang w:val="en-US" w:eastAsia="en-US"/>
              </w:rPr>
              <w:t>2,000</w:t>
            </w:r>
          </w:p>
        </w:tc>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9E2C82" w:rsidRPr="00EC49D7" w:rsidRDefault="009E2C82" w:rsidP="00A25E81">
            <w:pPr>
              <w:jc w:val="right"/>
              <w:rPr>
                <w:bCs/>
                <w:color w:val="000000"/>
                <w:sz w:val="18"/>
                <w:szCs w:val="18"/>
                <w:lang w:val="en-US" w:eastAsia="en-US"/>
              </w:rPr>
            </w:pPr>
            <w:r w:rsidRPr="00EC49D7">
              <w:rPr>
                <w:bCs/>
                <w:color w:val="000000"/>
                <w:sz w:val="18"/>
                <w:szCs w:val="18"/>
                <w:lang w:val="en-US" w:eastAsia="en-US"/>
              </w:rPr>
              <w:t xml:space="preserve">           </w:t>
            </w:r>
            <w:r w:rsidR="00FA1BED" w:rsidRPr="00EC49D7">
              <w:rPr>
                <w:bCs/>
                <w:color w:val="000000"/>
                <w:sz w:val="18"/>
                <w:szCs w:val="18"/>
                <w:lang w:val="en-US" w:eastAsia="en-US"/>
              </w:rPr>
              <w:t>5</w:t>
            </w:r>
            <w:r w:rsidRPr="00EC49D7">
              <w:rPr>
                <w:bCs/>
                <w:color w:val="000000"/>
                <w:sz w:val="18"/>
                <w:szCs w:val="18"/>
                <w:lang w:val="en-US" w:eastAsia="en-US"/>
              </w:rPr>
              <w:t xml:space="preserve">0,000 </w:t>
            </w:r>
          </w:p>
        </w:tc>
      </w:tr>
      <w:tr w:rsidR="00CA23A9" w:rsidRPr="00EC49D7" w:rsidTr="00EC49D7">
        <w:trPr>
          <w:trHeight w:val="240"/>
        </w:trPr>
        <w:tc>
          <w:tcPr>
            <w:tcW w:w="1721" w:type="pct"/>
            <w:tcBorders>
              <w:top w:val="nil"/>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3F003A">
            <w:pPr>
              <w:rPr>
                <w:b/>
                <w:bCs/>
                <w:color w:val="000000"/>
                <w:sz w:val="18"/>
                <w:szCs w:val="18"/>
                <w:lang w:val="en-US" w:eastAsia="en-US"/>
              </w:rPr>
            </w:pPr>
            <w:proofErr w:type="spellStart"/>
            <w:r w:rsidRPr="00EC49D7">
              <w:rPr>
                <w:b/>
                <w:bCs/>
                <w:color w:val="000000"/>
                <w:sz w:val="18"/>
                <w:szCs w:val="18"/>
                <w:lang w:val="en-US" w:eastAsia="en-US"/>
              </w:rPr>
              <w:t>Costos</w:t>
            </w:r>
            <w:proofErr w:type="spellEnd"/>
            <w:r w:rsidRPr="00EC49D7">
              <w:rPr>
                <w:b/>
                <w:bCs/>
                <w:color w:val="000000"/>
                <w:sz w:val="18"/>
                <w:szCs w:val="18"/>
                <w:lang w:val="en-US" w:eastAsia="en-US"/>
              </w:rPr>
              <w:t xml:space="preserve"> </w:t>
            </w:r>
            <w:proofErr w:type="spellStart"/>
            <w:r w:rsidRPr="00EC49D7">
              <w:rPr>
                <w:b/>
                <w:bCs/>
                <w:color w:val="000000"/>
                <w:sz w:val="18"/>
                <w:szCs w:val="18"/>
                <w:lang w:val="en-US" w:eastAsia="en-US"/>
              </w:rPr>
              <w:t>Totales</w:t>
            </w:r>
            <w:proofErr w:type="spellEnd"/>
          </w:p>
        </w:tc>
        <w:tc>
          <w:tcPr>
            <w:tcW w:w="554" w:type="pct"/>
            <w:tcBorders>
              <w:top w:val="nil"/>
              <w:left w:val="nil"/>
              <w:bottom w:val="single" w:sz="4" w:space="0" w:color="auto"/>
              <w:right w:val="single" w:sz="4" w:space="0" w:color="auto"/>
            </w:tcBorders>
            <w:shd w:val="clear" w:color="000000" w:fill="BFBFBF"/>
            <w:noWrap/>
            <w:vAlign w:val="bottom"/>
            <w:hideMark/>
          </w:tcPr>
          <w:p w:rsidR="009E2C82" w:rsidRPr="00EC49D7" w:rsidRDefault="009E2C82" w:rsidP="00A25E81">
            <w:pPr>
              <w:jc w:val="right"/>
              <w:rPr>
                <w:bCs/>
                <w:color w:val="000000"/>
                <w:sz w:val="18"/>
                <w:szCs w:val="18"/>
                <w:lang w:val="es-UY" w:eastAsia="en-US"/>
              </w:rPr>
            </w:pPr>
            <w:r w:rsidRPr="00EC49D7">
              <w:rPr>
                <w:bCs/>
                <w:color w:val="000000"/>
                <w:sz w:val="18"/>
                <w:szCs w:val="18"/>
                <w:lang w:val="es-UY" w:eastAsia="en-US"/>
              </w:rPr>
              <w:t xml:space="preserve">          2,</w:t>
            </w:r>
            <w:r w:rsidR="00FA1BED" w:rsidRPr="00EC49D7">
              <w:rPr>
                <w:bCs/>
                <w:color w:val="000000"/>
                <w:sz w:val="18"/>
                <w:szCs w:val="18"/>
                <w:lang w:val="es-UY" w:eastAsia="en-US"/>
              </w:rPr>
              <w:t>778,278</w:t>
            </w:r>
            <w:r w:rsidRPr="00EC49D7">
              <w:rPr>
                <w:bCs/>
                <w:color w:val="000000"/>
                <w:sz w:val="18"/>
                <w:szCs w:val="18"/>
                <w:lang w:val="es-UY" w:eastAsia="en-US"/>
              </w:rPr>
              <w:t xml:space="preserve"> </w:t>
            </w:r>
          </w:p>
        </w:tc>
        <w:tc>
          <w:tcPr>
            <w:tcW w:w="534" w:type="pct"/>
            <w:tcBorders>
              <w:top w:val="nil"/>
              <w:left w:val="nil"/>
              <w:bottom w:val="single" w:sz="4" w:space="0" w:color="auto"/>
              <w:right w:val="single" w:sz="4" w:space="0" w:color="auto"/>
            </w:tcBorders>
            <w:shd w:val="clear" w:color="000000" w:fill="BFBFBF"/>
            <w:noWrap/>
            <w:vAlign w:val="bottom"/>
            <w:hideMark/>
          </w:tcPr>
          <w:p w:rsidR="009E2C82" w:rsidRPr="00EC49D7" w:rsidRDefault="009E2C82" w:rsidP="00A25E81">
            <w:pPr>
              <w:jc w:val="right"/>
              <w:rPr>
                <w:bCs/>
                <w:color w:val="000000"/>
                <w:sz w:val="18"/>
                <w:szCs w:val="18"/>
                <w:lang w:val="es-UY" w:eastAsia="en-US"/>
              </w:rPr>
            </w:pPr>
            <w:r w:rsidRPr="00EC49D7">
              <w:rPr>
                <w:bCs/>
                <w:color w:val="000000"/>
                <w:sz w:val="18"/>
                <w:szCs w:val="18"/>
                <w:lang w:val="es-UY" w:eastAsia="en-US"/>
              </w:rPr>
              <w:t xml:space="preserve">          </w:t>
            </w:r>
            <w:r w:rsidR="00BE18FF" w:rsidRPr="00EC49D7">
              <w:rPr>
                <w:bCs/>
                <w:color w:val="000000"/>
                <w:sz w:val="18"/>
                <w:szCs w:val="18"/>
                <w:lang w:val="es-UY" w:eastAsia="en-US"/>
              </w:rPr>
              <w:t>3,502,509</w:t>
            </w:r>
            <w:r w:rsidRPr="00EC49D7">
              <w:rPr>
                <w:bCs/>
                <w:color w:val="000000"/>
                <w:sz w:val="18"/>
                <w:szCs w:val="18"/>
                <w:lang w:val="es-UY" w:eastAsia="en-US"/>
              </w:rPr>
              <w:t xml:space="preserve"> </w:t>
            </w:r>
          </w:p>
        </w:tc>
        <w:tc>
          <w:tcPr>
            <w:tcW w:w="529" w:type="pct"/>
            <w:tcBorders>
              <w:top w:val="nil"/>
              <w:left w:val="nil"/>
              <w:bottom w:val="single" w:sz="4" w:space="0" w:color="auto"/>
              <w:right w:val="single" w:sz="4" w:space="0" w:color="auto"/>
            </w:tcBorders>
            <w:shd w:val="clear" w:color="000000" w:fill="BFBFBF"/>
            <w:noWrap/>
            <w:vAlign w:val="bottom"/>
            <w:hideMark/>
          </w:tcPr>
          <w:p w:rsidR="009E2C82" w:rsidRPr="00EC49D7" w:rsidRDefault="009E2C82" w:rsidP="00A25E81">
            <w:pPr>
              <w:jc w:val="right"/>
              <w:rPr>
                <w:bCs/>
                <w:color w:val="000000"/>
                <w:sz w:val="18"/>
                <w:szCs w:val="18"/>
                <w:lang w:val="es-UY" w:eastAsia="en-US"/>
              </w:rPr>
            </w:pPr>
            <w:r w:rsidRPr="00EC49D7">
              <w:rPr>
                <w:bCs/>
                <w:color w:val="000000"/>
                <w:sz w:val="18"/>
                <w:szCs w:val="18"/>
                <w:lang w:val="es-UY" w:eastAsia="en-US"/>
              </w:rPr>
              <w:t xml:space="preserve">          3,</w:t>
            </w:r>
            <w:r w:rsidR="00BE18FF" w:rsidRPr="00EC49D7">
              <w:rPr>
                <w:bCs/>
                <w:color w:val="000000"/>
                <w:sz w:val="18"/>
                <w:szCs w:val="18"/>
                <w:lang w:val="es-UY" w:eastAsia="en-US"/>
              </w:rPr>
              <w:t>400</w:t>
            </w:r>
            <w:r w:rsidRPr="00EC49D7">
              <w:rPr>
                <w:bCs/>
                <w:color w:val="000000"/>
                <w:sz w:val="18"/>
                <w:szCs w:val="18"/>
                <w:lang w:val="es-UY" w:eastAsia="en-US"/>
              </w:rPr>
              <w:t>,</w:t>
            </w:r>
            <w:r w:rsidR="00BE18FF" w:rsidRPr="00EC49D7">
              <w:rPr>
                <w:bCs/>
                <w:color w:val="000000"/>
                <w:sz w:val="18"/>
                <w:szCs w:val="18"/>
                <w:lang w:val="es-UY" w:eastAsia="en-US"/>
              </w:rPr>
              <w:t xml:space="preserve">293 </w:t>
            </w:r>
          </w:p>
        </w:tc>
        <w:tc>
          <w:tcPr>
            <w:tcW w:w="555" w:type="pct"/>
            <w:tcBorders>
              <w:top w:val="nil"/>
              <w:left w:val="nil"/>
              <w:bottom w:val="single" w:sz="4" w:space="0" w:color="auto"/>
              <w:right w:val="single" w:sz="4" w:space="0" w:color="auto"/>
            </w:tcBorders>
            <w:shd w:val="clear" w:color="000000" w:fill="BFBFBF"/>
            <w:noWrap/>
            <w:vAlign w:val="bottom"/>
            <w:hideMark/>
          </w:tcPr>
          <w:p w:rsidR="009E2C82" w:rsidRPr="00EC49D7" w:rsidRDefault="009E2C82" w:rsidP="00A25E81">
            <w:pPr>
              <w:jc w:val="right"/>
              <w:rPr>
                <w:bCs/>
                <w:color w:val="000000"/>
                <w:sz w:val="18"/>
                <w:szCs w:val="18"/>
                <w:lang w:val="es-UY" w:eastAsia="en-US"/>
              </w:rPr>
            </w:pPr>
            <w:r w:rsidRPr="00EC49D7">
              <w:rPr>
                <w:bCs/>
                <w:color w:val="000000"/>
                <w:sz w:val="18"/>
                <w:szCs w:val="18"/>
                <w:lang w:val="es-UY" w:eastAsia="en-US"/>
              </w:rPr>
              <w:t xml:space="preserve">          </w:t>
            </w:r>
            <w:r w:rsidR="00BE18FF" w:rsidRPr="00EC49D7">
              <w:rPr>
                <w:bCs/>
                <w:color w:val="000000"/>
                <w:sz w:val="18"/>
                <w:szCs w:val="18"/>
                <w:lang w:val="es-UY" w:eastAsia="en-US"/>
              </w:rPr>
              <w:t>1,688,710</w:t>
            </w:r>
            <w:r w:rsidRPr="00EC49D7">
              <w:rPr>
                <w:bCs/>
                <w:color w:val="000000"/>
                <w:sz w:val="18"/>
                <w:szCs w:val="18"/>
                <w:lang w:val="es-UY" w:eastAsia="en-US"/>
              </w:rPr>
              <w:t xml:space="preserve"> </w:t>
            </w:r>
          </w:p>
        </w:tc>
        <w:tc>
          <w:tcPr>
            <w:tcW w:w="508" w:type="pct"/>
            <w:tcBorders>
              <w:top w:val="single" w:sz="4" w:space="0" w:color="auto"/>
              <w:left w:val="nil"/>
              <w:bottom w:val="single" w:sz="4" w:space="0" w:color="auto"/>
              <w:right w:val="single" w:sz="4" w:space="0" w:color="auto"/>
            </w:tcBorders>
            <w:shd w:val="clear" w:color="000000" w:fill="BFBFBF"/>
          </w:tcPr>
          <w:p w:rsidR="009E2C82" w:rsidRPr="00EC49D7" w:rsidRDefault="00BE18FF" w:rsidP="003F003A">
            <w:pPr>
              <w:jc w:val="right"/>
              <w:rPr>
                <w:bCs/>
                <w:color w:val="000000"/>
                <w:sz w:val="18"/>
                <w:szCs w:val="18"/>
                <w:lang w:val="en-US" w:eastAsia="en-US"/>
              </w:rPr>
            </w:pPr>
            <w:r w:rsidRPr="00EC49D7">
              <w:rPr>
                <w:bCs/>
                <w:color w:val="000000"/>
                <w:sz w:val="18"/>
                <w:szCs w:val="18"/>
                <w:lang w:val="en-US" w:eastAsia="en-US"/>
              </w:rPr>
              <w:t>632,210</w:t>
            </w:r>
          </w:p>
        </w:tc>
        <w:tc>
          <w:tcPr>
            <w:tcW w:w="600" w:type="pct"/>
            <w:tcBorders>
              <w:top w:val="nil"/>
              <w:left w:val="single" w:sz="4" w:space="0" w:color="auto"/>
              <w:bottom w:val="single" w:sz="4" w:space="0" w:color="auto"/>
              <w:right w:val="single" w:sz="4" w:space="0" w:color="auto"/>
            </w:tcBorders>
            <w:shd w:val="clear" w:color="000000" w:fill="BFBFBF"/>
            <w:noWrap/>
            <w:vAlign w:val="bottom"/>
            <w:hideMark/>
          </w:tcPr>
          <w:p w:rsidR="009E2C82" w:rsidRPr="00EC49D7" w:rsidRDefault="009E2C82" w:rsidP="003F003A">
            <w:pPr>
              <w:jc w:val="right"/>
              <w:rPr>
                <w:bCs/>
                <w:color w:val="000000"/>
                <w:sz w:val="18"/>
                <w:szCs w:val="18"/>
                <w:lang w:val="en-US" w:eastAsia="en-US"/>
              </w:rPr>
            </w:pPr>
            <w:r w:rsidRPr="00EC49D7">
              <w:rPr>
                <w:bCs/>
                <w:color w:val="000000"/>
                <w:sz w:val="18"/>
                <w:szCs w:val="18"/>
                <w:lang w:val="en-US" w:eastAsia="en-US"/>
              </w:rPr>
              <w:t xml:space="preserve">     12,000,000 </w:t>
            </w:r>
          </w:p>
        </w:tc>
      </w:tr>
    </w:tbl>
    <w:p w:rsidR="009E0604" w:rsidRPr="00EC49D7" w:rsidRDefault="009E0604" w:rsidP="009C36FE">
      <w:pPr>
        <w:tabs>
          <w:tab w:val="left" w:pos="6180"/>
        </w:tabs>
        <w:jc w:val="both"/>
        <w:rPr>
          <w:lang w:val="es-UY"/>
        </w:rPr>
      </w:pPr>
    </w:p>
    <w:p w:rsidR="003F003A" w:rsidRPr="00EC49D7" w:rsidRDefault="00A01D4D" w:rsidP="009C36FE">
      <w:pPr>
        <w:tabs>
          <w:tab w:val="left" w:pos="6180"/>
        </w:tabs>
        <w:jc w:val="both"/>
        <w:rPr>
          <w:b/>
          <w:sz w:val="28"/>
          <w:szCs w:val="28"/>
          <w:lang w:val="es-UY"/>
        </w:rPr>
      </w:pPr>
      <w:r w:rsidRPr="00EC49D7">
        <w:rPr>
          <w:b/>
          <w:sz w:val="28"/>
          <w:szCs w:val="28"/>
          <w:lang w:val="es-UY"/>
        </w:rPr>
        <w:t xml:space="preserve">II.2 </w:t>
      </w:r>
      <w:r w:rsidR="003F003A" w:rsidRPr="00EC49D7">
        <w:rPr>
          <w:b/>
          <w:sz w:val="28"/>
          <w:szCs w:val="28"/>
          <w:lang w:val="es-UY"/>
        </w:rPr>
        <w:t>Beneficios:</w:t>
      </w:r>
    </w:p>
    <w:p w:rsidR="003F003A" w:rsidRPr="00EC49D7" w:rsidRDefault="003F003A" w:rsidP="009C36FE">
      <w:pPr>
        <w:tabs>
          <w:tab w:val="left" w:pos="6180"/>
        </w:tabs>
        <w:jc w:val="both"/>
        <w:rPr>
          <w:lang w:val="es-UY"/>
        </w:rPr>
      </w:pPr>
    </w:p>
    <w:p w:rsidR="003F003A" w:rsidRPr="00EC49D7" w:rsidRDefault="00BF2E90" w:rsidP="009C36FE">
      <w:pPr>
        <w:tabs>
          <w:tab w:val="left" w:pos="6180"/>
        </w:tabs>
        <w:jc w:val="both"/>
        <w:rPr>
          <w:lang w:val="es-UY"/>
        </w:rPr>
      </w:pPr>
      <w:r w:rsidRPr="00EC49D7">
        <w:rPr>
          <w:lang w:val="es-UY"/>
        </w:rPr>
        <w:t xml:space="preserve">Los beneficios están </w:t>
      </w:r>
      <w:r w:rsidR="008D7673" w:rsidRPr="00EC49D7">
        <w:rPr>
          <w:lang w:val="es-UY"/>
        </w:rPr>
        <w:t xml:space="preserve">directamente </w:t>
      </w:r>
      <w:r w:rsidRPr="00EC49D7">
        <w:rPr>
          <w:lang w:val="es-UY"/>
        </w:rPr>
        <w:t>asociados a la matriz de r</w:t>
      </w:r>
      <w:r w:rsidR="000C5ABD" w:rsidRPr="00EC49D7">
        <w:rPr>
          <w:lang w:val="es-UY"/>
        </w:rPr>
        <w:t>esultados incluida en el anexo.</w:t>
      </w:r>
      <w:r w:rsidR="008D7673" w:rsidRPr="00EC49D7">
        <w:rPr>
          <w:lang w:val="es-UY"/>
        </w:rPr>
        <w:t xml:space="preserve"> A lo largo de este análisis se indicará explícitamente a cual resultado </w:t>
      </w:r>
      <w:r w:rsidR="00052B44" w:rsidRPr="00EC49D7">
        <w:rPr>
          <w:lang w:val="es-UY"/>
        </w:rPr>
        <w:t xml:space="preserve">de la matriz </w:t>
      </w:r>
      <w:r w:rsidR="008D7673" w:rsidRPr="00EC49D7">
        <w:rPr>
          <w:lang w:val="es-UY"/>
        </w:rPr>
        <w:t xml:space="preserve">se vincula la variable utilizada. </w:t>
      </w:r>
    </w:p>
    <w:p w:rsidR="0084340E" w:rsidRPr="00EC49D7" w:rsidRDefault="0084340E" w:rsidP="009C36FE">
      <w:pPr>
        <w:tabs>
          <w:tab w:val="left" w:pos="6180"/>
        </w:tabs>
        <w:jc w:val="both"/>
        <w:rPr>
          <w:lang w:val="es-UY"/>
        </w:rPr>
      </w:pPr>
    </w:p>
    <w:p w:rsidR="00B00D57" w:rsidRPr="00EC49D7" w:rsidRDefault="00B00D57" w:rsidP="00B00D57">
      <w:pPr>
        <w:tabs>
          <w:tab w:val="left" w:pos="6180"/>
        </w:tabs>
        <w:spacing w:after="200" w:line="276" w:lineRule="auto"/>
        <w:jc w:val="both"/>
        <w:rPr>
          <w:b/>
          <w:lang w:val="es-UY"/>
        </w:rPr>
      </w:pPr>
      <w:r w:rsidRPr="00EC49D7">
        <w:rPr>
          <w:b/>
          <w:lang w:val="es-UY"/>
        </w:rPr>
        <w:t>COMPONENTE 1-</w:t>
      </w:r>
      <w:r w:rsidR="00863334" w:rsidRPr="00EC49D7">
        <w:rPr>
          <w:b/>
          <w:lang w:val="es-UY"/>
        </w:rPr>
        <w:t xml:space="preserve"> Capital Humano Digital</w:t>
      </w:r>
      <w:r w:rsidRPr="00EC49D7">
        <w:rPr>
          <w:b/>
          <w:lang w:val="es-UY"/>
        </w:rPr>
        <w:t xml:space="preserve"> </w:t>
      </w:r>
    </w:p>
    <w:p w:rsidR="00BD4911" w:rsidRPr="00EC49D7" w:rsidRDefault="0084340E" w:rsidP="00B00D57">
      <w:pPr>
        <w:tabs>
          <w:tab w:val="left" w:pos="6180"/>
        </w:tabs>
        <w:spacing w:after="200" w:line="276" w:lineRule="auto"/>
        <w:jc w:val="both"/>
        <w:rPr>
          <w:lang w:val="es-UY"/>
        </w:rPr>
      </w:pPr>
      <w:r w:rsidRPr="00EC49D7">
        <w:rPr>
          <w:lang w:val="es-UY"/>
        </w:rPr>
        <w:t>El programa está destinado a estudiantes nacionales y</w:t>
      </w:r>
      <w:r w:rsidR="00863334" w:rsidRPr="00EC49D7">
        <w:rPr>
          <w:lang w:val="es-UY"/>
        </w:rPr>
        <w:t xml:space="preserve"> extranjeros, y además contiene</w:t>
      </w:r>
      <w:r w:rsidRPr="00EC49D7">
        <w:rPr>
          <w:lang w:val="es-UY"/>
        </w:rPr>
        <w:t xml:space="preserve"> un sistema de becas para algunos estudiantes nacionales. Se asume que las empresas donde </w:t>
      </w:r>
      <w:r w:rsidR="007E48A0" w:rsidRPr="00EC49D7">
        <w:rPr>
          <w:lang w:val="es-UY"/>
        </w:rPr>
        <w:t>estos</w:t>
      </w:r>
      <w:r w:rsidRPr="00EC49D7">
        <w:rPr>
          <w:lang w:val="es-UY"/>
        </w:rPr>
        <w:t xml:space="preserve"> alumnos trabajan son las que financian a sus trabajadores, y a su vez se benefician de la mayor productividad de los calificados. </w:t>
      </w:r>
      <w:r w:rsidR="00342C0B" w:rsidRPr="00EC49D7">
        <w:rPr>
          <w:lang w:val="es-UY"/>
        </w:rPr>
        <w:t xml:space="preserve">El programa asume que </w:t>
      </w:r>
      <w:r w:rsidR="008D7673" w:rsidRPr="00EC49D7">
        <w:rPr>
          <w:lang w:val="es-UY"/>
        </w:rPr>
        <w:t>la mayoría</w:t>
      </w:r>
      <w:r w:rsidR="00342C0B" w:rsidRPr="00EC49D7">
        <w:rPr>
          <w:lang w:val="es-UY"/>
        </w:rPr>
        <w:t xml:space="preserve"> de los alumnos procederán del extranjero</w:t>
      </w:r>
      <w:r w:rsidR="008D7673" w:rsidRPr="00EC49D7">
        <w:rPr>
          <w:lang w:val="es-UY"/>
        </w:rPr>
        <w:t xml:space="preserve"> (ver Indicadores de tracking 1.1 de la matriz de impacto)</w:t>
      </w:r>
      <w:r w:rsidR="00342C0B" w:rsidRPr="00EC49D7">
        <w:rPr>
          <w:lang w:val="es-UY"/>
        </w:rPr>
        <w:t>. Asimismo, el programa también asume (ver Resultado 1.</w:t>
      </w:r>
      <w:r w:rsidR="008D7673" w:rsidRPr="00EC49D7">
        <w:rPr>
          <w:lang w:val="es-UY"/>
        </w:rPr>
        <w:t>4</w:t>
      </w:r>
      <w:r w:rsidR="00342C0B" w:rsidRPr="00EC49D7">
        <w:rPr>
          <w:lang w:val="es-UY"/>
        </w:rPr>
        <w:t xml:space="preserve"> de la matriz de impacto) una determinada empleabilidad en el Sector SBIC nacional. Para que se cumpla este nivel de empleo de los nuevos capacitados en el mercado nacional, así como con la alta proporción de extranjeros en el proyecto, es necesario asumir cierto nivel de migración.</w:t>
      </w:r>
      <w:r w:rsidR="008D7673" w:rsidRPr="00EC49D7">
        <w:rPr>
          <w:lang w:val="es-UY"/>
        </w:rPr>
        <w:t xml:space="preserve"> </w:t>
      </w:r>
      <w:r w:rsidR="00342C0B" w:rsidRPr="00EC49D7">
        <w:rPr>
          <w:lang w:val="es-UY"/>
        </w:rPr>
        <w:t xml:space="preserve">En este proyecto la migración será determinada endógenamente como la diferencia entre los egresados nacionales y los empleados en el sector SBIC (resultado 1.6). </w:t>
      </w:r>
      <w:r w:rsidR="00D62690" w:rsidRPr="00EC49D7">
        <w:rPr>
          <w:lang w:val="es-UY"/>
        </w:rPr>
        <w:t xml:space="preserve">Si bien </w:t>
      </w:r>
      <w:r w:rsidR="00D32DB5" w:rsidRPr="00EC49D7">
        <w:rPr>
          <w:lang w:val="es-UY"/>
        </w:rPr>
        <w:t>n</w:t>
      </w:r>
      <w:r w:rsidR="00342C0B" w:rsidRPr="00EC49D7">
        <w:rPr>
          <w:lang w:val="es-UY"/>
        </w:rPr>
        <w:t xml:space="preserve">o se consideran </w:t>
      </w:r>
      <w:r w:rsidR="00B00D57" w:rsidRPr="00EC49D7">
        <w:rPr>
          <w:lang w:val="es-UY"/>
        </w:rPr>
        <w:t>las externalidades que este migrante calificado tiene en el mercado de trabajo nacional</w:t>
      </w:r>
      <w:r w:rsidR="00B00D57" w:rsidRPr="00EC49D7">
        <w:rPr>
          <w:rStyle w:val="FootnoteReference"/>
          <w:lang w:val="es-UY"/>
        </w:rPr>
        <w:footnoteReference w:id="1"/>
      </w:r>
      <w:r w:rsidR="00D62690" w:rsidRPr="00EC49D7">
        <w:rPr>
          <w:lang w:val="es-UY"/>
        </w:rPr>
        <w:t xml:space="preserve">, la valoración de un nuevo puesto de trabajo en el sector SBIC será diferente según si se trata de un migrante o no, como se verá más adelante. </w:t>
      </w:r>
    </w:p>
    <w:p w:rsidR="0084340E" w:rsidRPr="00EC49D7" w:rsidRDefault="0084340E" w:rsidP="009C36FE">
      <w:pPr>
        <w:tabs>
          <w:tab w:val="left" w:pos="6180"/>
        </w:tabs>
        <w:jc w:val="both"/>
        <w:rPr>
          <w:lang w:val="es-UY"/>
        </w:rPr>
      </w:pPr>
    </w:p>
    <w:p w:rsidR="0084340E" w:rsidRPr="00EC49D7" w:rsidRDefault="0084340E" w:rsidP="008D7673">
      <w:pPr>
        <w:tabs>
          <w:tab w:val="left" w:pos="6180"/>
        </w:tabs>
        <w:spacing w:line="276" w:lineRule="auto"/>
        <w:jc w:val="both"/>
        <w:rPr>
          <w:lang w:val="es-UY"/>
        </w:rPr>
      </w:pPr>
      <w:r w:rsidRPr="00EC49D7">
        <w:rPr>
          <w:lang w:val="es-UY"/>
        </w:rPr>
        <w:t>Los beneficios del programa se evalúan en conjunto para el prestador del programa (gobierno) y las empresas</w:t>
      </w:r>
      <w:r w:rsidR="00970877" w:rsidRPr="00EC49D7">
        <w:rPr>
          <w:lang w:val="es-UY"/>
        </w:rPr>
        <w:t>/personas</w:t>
      </w:r>
      <w:r w:rsidRPr="00EC49D7">
        <w:rPr>
          <w:lang w:val="es-UY"/>
        </w:rPr>
        <w:t xml:space="preserve"> nacionales. </w:t>
      </w:r>
      <w:r w:rsidR="00265893" w:rsidRPr="00EC49D7">
        <w:rPr>
          <w:lang w:val="es-UY"/>
        </w:rPr>
        <w:t xml:space="preserve">Con la excepción de los becados, los participantes del programa pagan una matrícula por participar y como contrapartida reciben en el futuro un salario </w:t>
      </w:r>
      <w:r w:rsidR="00265893" w:rsidRPr="00EC49D7">
        <w:rPr>
          <w:lang w:val="es-UY"/>
        </w:rPr>
        <w:lastRenderedPageBreak/>
        <w:t xml:space="preserve">mayor por el hecho de estar calificados. </w:t>
      </w:r>
      <w:r w:rsidR="0070419E" w:rsidRPr="00EC49D7">
        <w:rPr>
          <w:lang w:val="es-UY"/>
        </w:rPr>
        <w:t xml:space="preserve">Parte del costo del programa será financiado directamente con el dinero de las matrículas, que pagaran tanto extranjeros como nacionales no becados. </w:t>
      </w:r>
      <w:r w:rsidRPr="00EC49D7">
        <w:rPr>
          <w:lang w:val="es-UY"/>
        </w:rPr>
        <w:t>En el caso de los trabajadores extranjeros</w:t>
      </w:r>
      <w:r w:rsidR="0070419E" w:rsidRPr="00EC49D7">
        <w:rPr>
          <w:lang w:val="es-UY"/>
        </w:rPr>
        <w:t xml:space="preserve"> que no migran</w:t>
      </w:r>
      <w:r w:rsidRPr="00EC49D7">
        <w:rPr>
          <w:lang w:val="es-UY"/>
        </w:rPr>
        <w:t xml:space="preserve"> (que se asume que pertenecen a empresas radicadas en el exterior), los beneficios del p</w:t>
      </w:r>
      <w:r w:rsidR="00AB3900" w:rsidRPr="00EC49D7">
        <w:rPr>
          <w:lang w:val="es-UY"/>
        </w:rPr>
        <w:t xml:space="preserve">royecto son las matriculaciones </w:t>
      </w:r>
      <w:r w:rsidR="00E20F08" w:rsidRPr="00EC49D7">
        <w:rPr>
          <w:lang w:val="es-UY"/>
        </w:rPr>
        <w:t xml:space="preserve">realizadas, que son </w:t>
      </w:r>
      <w:r w:rsidR="00AB3900" w:rsidRPr="00EC49D7">
        <w:rPr>
          <w:lang w:val="es-UY"/>
        </w:rPr>
        <w:t>un costo para las empresas</w:t>
      </w:r>
      <w:r w:rsidR="00970877" w:rsidRPr="00EC49D7">
        <w:rPr>
          <w:lang w:val="es-UY"/>
        </w:rPr>
        <w:t>/personas</w:t>
      </w:r>
      <w:r w:rsidR="0070419E" w:rsidRPr="00EC49D7">
        <w:rPr>
          <w:lang w:val="es-UY"/>
        </w:rPr>
        <w:t>, puesto que los mayores salarios que recibirán no serán aprovechados en el país</w:t>
      </w:r>
      <w:r w:rsidR="00AB3900" w:rsidRPr="00EC49D7">
        <w:rPr>
          <w:lang w:val="es-UY"/>
        </w:rPr>
        <w:t xml:space="preserve">. En el caso de las  nacionales, el </w:t>
      </w:r>
      <w:r w:rsidR="00F9523A" w:rsidRPr="00EC49D7">
        <w:rPr>
          <w:lang w:val="es-UY"/>
        </w:rPr>
        <w:t xml:space="preserve">valor </w:t>
      </w:r>
      <w:r w:rsidR="00AB3900" w:rsidRPr="00EC49D7">
        <w:rPr>
          <w:lang w:val="es-UY"/>
        </w:rPr>
        <w:t xml:space="preserve">de la </w:t>
      </w:r>
      <w:r w:rsidR="0070419E" w:rsidRPr="00EC49D7">
        <w:rPr>
          <w:lang w:val="es-UY"/>
        </w:rPr>
        <w:t>matrícula</w:t>
      </w:r>
      <w:r w:rsidR="00AB3900" w:rsidRPr="00EC49D7">
        <w:rPr>
          <w:lang w:val="es-UY"/>
        </w:rPr>
        <w:t xml:space="preserve"> es por un lado un beneficio para el programa y por otro lado un costo para las empresas</w:t>
      </w:r>
      <w:r w:rsidR="00970877" w:rsidRPr="00EC49D7">
        <w:rPr>
          <w:lang w:val="es-UY"/>
        </w:rPr>
        <w:t>/personas</w:t>
      </w:r>
      <w:r w:rsidR="00AB3900" w:rsidRPr="00EC49D7">
        <w:rPr>
          <w:lang w:val="es-UY"/>
        </w:rPr>
        <w:t>, por lo que dicha erogación se compensa en la maximización conjunta de empresas</w:t>
      </w:r>
      <w:r w:rsidR="00970877" w:rsidRPr="00EC49D7">
        <w:rPr>
          <w:lang w:val="es-UY"/>
        </w:rPr>
        <w:t>/personas</w:t>
      </w:r>
      <w:r w:rsidR="00AB3900" w:rsidRPr="00EC49D7">
        <w:rPr>
          <w:lang w:val="es-UY"/>
        </w:rPr>
        <w:t xml:space="preserve"> y gobierno. Por otra part</w:t>
      </w:r>
      <w:r w:rsidR="00970877" w:rsidRPr="00EC49D7">
        <w:rPr>
          <w:lang w:val="es-UY"/>
        </w:rPr>
        <w:t xml:space="preserve">e, el </w:t>
      </w:r>
      <w:r w:rsidR="00F9523A" w:rsidRPr="00EC49D7">
        <w:rPr>
          <w:lang w:val="es-UY"/>
        </w:rPr>
        <w:t xml:space="preserve">mayor salario </w:t>
      </w:r>
      <w:r w:rsidR="00970877" w:rsidRPr="00EC49D7">
        <w:rPr>
          <w:lang w:val="es-UY"/>
        </w:rPr>
        <w:t xml:space="preserve">que reciben los capacitados </w:t>
      </w:r>
      <w:r w:rsidR="008F3D81" w:rsidRPr="00EC49D7">
        <w:rPr>
          <w:lang w:val="es-UY"/>
        </w:rPr>
        <w:t xml:space="preserve">nacionales </w:t>
      </w:r>
      <w:r w:rsidR="00970877" w:rsidRPr="00EC49D7">
        <w:rPr>
          <w:lang w:val="es-UY"/>
        </w:rPr>
        <w:t xml:space="preserve">y los extranjeros que migran </w:t>
      </w:r>
      <w:r w:rsidR="00AB3900" w:rsidRPr="00EC49D7">
        <w:rPr>
          <w:lang w:val="es-UY"/>
        </w:rPr>
        <w:t>se considera un beneficio del proye</w:t>
      </w:r>
      <w:r w:rsidR="008F3D81" w:rsidRPr="00EC49D7">
        <w:rPr>
          <w:lang w:val="es-UY"/>
        </w:rPr>
        <w:t>cto. Finalmente, las empresas</w:t>
      </w:r>
      <w:r w:rsidR="00970877" w:rsidRPr="00EC49D7">
        <w:rPr>
          <w:lang w:val="es-UY"/>
        </w:rPr>
        <w:t>/personas</w:t>
      </w:r>
      <w:r w:rsidR="008F3D81" w:rsidRPr="00EC49D7">
        <w:rPr>
          <w:lang w:val="es-UY"/>
        </w:rPr>
        <w:t xml:space="preserve"> nacionales que reciben becas se tratan de la misma forma, puesto que las becas suponen el no percibir un ingreso para la administración del programa pero al mismo tiempo las empresas</w:t>
      </w:r>
      <w:r w:rsidR="00970877" w:rsidRPr="00EC49D7">
        <w:rPr>
          <w:lang w:val="es-UY"/>
        </w:rPr>
        <w:t>/personas</w:t>
      </w:r>
      <w:r w:rsidR="008F3D81" w:rsidRPr="00EC49D7">
        <w:rPr>
          <w:lang w:val="es-UY"/>
        </w:rPr>
        <w:t xml:space="preserve"> becadas no afrontan un costo asociado. El siguiente cuadro resume la </w:t>
      </w:r>
      <w:r w:rsidR="005F1D5B" w:rsidRPr="00EC49D7">
        <w:rPr>
          <w:lang w:val="es-UY"/>
        </w:rPr>
        <w:t>el tratamiento de los casos</w:t>
      </w:r>
      <w:r w:rsidR="008F3D81" w:rsidRPr="00EC49D7">
        <w:rPr>
          <w:lang w:val="es-UY"/>
        </w:rPr>
        <w:t>:</w:t>
      </w:r>
    </w:p>
    <w:p w:rsidR="00A01D4D" w:rsidRPr="00EC49D7" w:rsidRDefault="00A01D4D" w:rsidP="009C36FE">
      <w:pPr>
        <w:tabs>
          <w:tab w:val="left" w:pos="6180"/>
        </w:tabs>
        <w:jc w:val="both"/>
        <w:rPr>
          <w:lang w:val="es-UY"/>
        </w:rPr>
      </w:pPr>
    </w:p>
    <w:p w:rsidR="008F3D81" w:rsidRPr="00EC49D7" w:rsidRDefault="00A01D4D" w:rsidP="009C36FE">
      <w:pPr>
        <w:tabs>
          <w:tab w:val="left" w:pos="6180"/>
        </w:tabs>
        <w:jc w:val="both"/>
        <w:rPr>
          <w:b/>
          <w:lang w:val="es-UY"/>
        </w:rPr>
      </w:pPr>
      <w:r w:rsidRPr="00EC49D7">
        <w:rPr>
          <w:b/>
          <w:lang w:val="es-UY"/>
        </w:rPr>
        <w:t xml:space="preserve">Cuadro: Tratamiento de los beneficios según origen del alumno </w:t>
      </w:r>
    </w:p>
    <w:tbl>
      <w:tblPr>
        <w:tblStyle w:val="TableGrid"/>
        <w:tblW w:w="0" w:type="auto"/>
        <w:tblLayout w:type="fixed"/>
        <w:tblLook w:val="04A0" w:firstRow="1" w:lastRow="0" w:firstColumn="1" w:lastColumn="0" w:noHBand="0" w:noVBand="1"/>
      </w:tblPr>
      <w:tblGrid>
        <w:gridCol w:w="1638"/>
        <w:gridCol w:w="900"/>
        <w:gridCol w:w="1260"/>
        <w:gridCol w:w="1980"/>
        <w:gridCol w:w="1980"/>
        <w:gridCol w:w="1710"/>
      </w:tblGrid>
      <w:tr w:rsidR="008F3D81" w:rsidRPr="00EC49D7" w:rsidTr="00C518CC">
        <w:tc>
          <w:tcPr>
            <w:tcW w:w="1638" w:type="dxa"/>
          </w:tcPr>
          <w:p w:rsidR="008F3D81" w:rsidRPr="00EC49D7" w:rsidRDefault="008F3D81" w:rsidP="009C36FE">
            <w:pPr>
              <w:tabs>
                <w:tab w:val="left" w:pos="6180"/>
              </w:tabs>
              <w:jc w:val="both"/>
              <w:rPr>
                <w:lang w:val="es-UY"/>
              </w:rPr>
            </w:pPr>
            <w:r w:rsidRPr="00EC49D7">
              <w:rPr>
                <w:lang w:val="es-UY"/>
              </w:rPr>
              <w:t>Origen de la empresa / alumno</w:t>
            </w:r>
          </w:p>
        </w:tc>
        <w:tc>
          <w:tcPr>
            <w:tcW w:w="900" w:type="dxa"/>
          </w:tcPr>
          <w:p w:rsidR="008F3D81" w:rsidRPr="00EC49D7" w:rsidRDefault="00945509" w:rsidP="009C36FE">
            <w:pPr>
              <w:tabs>
                <w:tab w:val="left" w:pos="6180"/>
              </w:tabs>
              <w:jc w:val="both"/>
              <w:rPr>
                <w:lang w:val="es-UY"/>
              </w:rPr>
            </w:pPr>
            <w:proofErr w:type="gramStart"/>
            <w:r w:rsidRPr="00EC49D7">
              <w:rPr>
                <w:lang w:val="es-UY"/>
              </w:rPr>
              <w:t xml:space="preserve">Tiene </w:t>
            </w:r>
            <w:r w:rsidR="008F3D81" w:rsidRPr="00EC49D7">
              <w:rPr>
                <w:lang w:val="es-UY"/>
              </w:rPr>
              <w:t>Beca</w:t>
            </w:r>
            <w:r w:rsidRPr="00EC49D7">
              <w:rPr>
                <w:lang w:val="es-UY"/>
              </w:rPr>
              <w:t>?</w:t>
            </w:r>
            <w:proofErr w:type="gramEnd"/>
          </w:p>
        </w:tc>
        <w:tc>
          <w:tcPr>
            <w:tcW w:w="1260" w:type="dxa"/>
          </w:tcPr>
          <w:p w:rsidR="008F3D81" w:rsidRPr="00EC49D7" w:rsidRDefault="00945509" w:rsidP="00945509">
            <w:pPr>
              <w:tabs>
                <w:tab w:val="left" w:pos="6180"/>
              </w:tabs>
              <w:jc w:val="both"/>
              <w:rPr>
                <w:lang w:val="es-UY"/>
              </w:rPr>
            </w:pPr>
            <w:r w:rsidRPr="00EC49D7">
              <w:rPr>
                <w:lang w:val="es-UY"/>
              </w:rPr>
              <w:t xml:space="preserve">Paga </w:t>
            </w:r>
            <w:proofErr w:type="gramStart"/>
            <w:r w:rsidRPr="00EC49D7">
              <w:rPr>
                <w:lang w:val="es-UY"/>
              </w:rPr>
              <w:t xml:space="preserve">la </w:t>
            </w:r>
            <w:r w:rsidR="008F3D81" w:rsidRPr="00EC49D7">
              <w:rPr>
                <w:lang w:val="es-UY"/>
              </w:rPr>
              <w:t xml:space="preserve"> Matrícula</w:t>
            </w:r>
            <w:proofErr w:type="gramEnd"/>
            <w:r w:rsidRPr="00EC49D7">
              <w:rPr>
                <w:lang w:val="es-UY"/>
              </w:rPr>
              <w:t>?</w:t>
            </w:r>
          </w:p>
        </w:tc>
        <w:tc>
          <w:tcPr>
            <w:tcW w:w="1980" w:type="dxa"/>
          </w:tcPr>
          <w:p w:rsidR="008F3D81" w:rsidRPr="00EC49D7" w:rsidRDefault="008F3D81" w:rsidP="00945509">
            <w:pPr>
              <w:tabs>
                <w:tab w:val="left" w:pos="6180"/>
              </w:tabs>
              <w:jc w:val="both"/>
              <w:rPr>
                <w:lang w:val="es-UY"/>
              </w:rPr>
            </w:pPr>
            <w:proofErr w:type="gramStart"/>
            <w:r w:rsidRPr="00EC49D7">
              <w:rPr>
                <w:lang w:val="es-UY"/>
              </w:rPr>
              <w:t xml:space="preserve">Beneficio </w:t>
            </w:r>
            <w:r w:rsidR="008C08A0" w:rsidRPr="00EC49D7">
              <w:rPr>
                <w:lang w:val="es-UY"/>
              </w:rPr>
              <w:t xml:space="preserve">por </w:t>
            </w:r>
            <w:r w:rsidR="00945509" w:rsidRPr="00EC49D7">
              <w:rPr>
                <w:lang w:val="es-UY"/>
              </w:rPr>
              <w:t xml:space="preserve">mejor </w:t>
            </w:r>
            <w:r w:rsidR="00970877" w:rsidRPr="00EC49D7">
              <w:rPr>
                <w:lang w:val="es-UY"/>
              </w:rPr>
              <w:t>salario</w:t>
            </w:r>
            <w:r w:rsidR="00945509" w:rsidRPr="00EC49D7">
              <w:rPr>
                <w:lang w:val="es-UY"/>
              </w:rPr>
              <w:t xml:space="preserve"> o puesto de trabajo en economía local?</w:t>
            </w:r>
            <w:proofErr w:type="gramEnd"/>
          </w:p>
        </w:tc>
        <w:tc>
          <w:tcPr>
            <w:tcW w:w="1980" w:type="dxa"/>
          </w:tcPr>
          <w:p w:rsidR="008F3D81" w:rsidRPr="00EC49D7" w:rsidRDefault="008F3D81" w:rsidP="008F3D81">
            <w:pPr>
              <w:tabs>
                <w:tab w:val="left" w:pos="6180"/>
              </w:tabs>
              <w:jc w:val="both"/>
              <w:rPr>
                <w:lang w:val="es-UY"/>
              </w:rPr>
            </w:pPr>
            <w:r w:rsidRPr="00EC49D7">
              <w:rPr>
                <w:lang w:val="es-UY"/>
              </w:rPr>
              <w:t>Ingreso Matrícula a prestador</w:t>
            </w:r>
          </w:p>
        </w:tc>
        <w:tc>
          <w:tcPr>
            <w:tcW w:w="1710" w:type="dxa"/>
          </w:tcPr>
          <w:p w:rsidR="008F3D81" w:rsidRPr="00EC49D7" w:rsidRDefault="008F3D81" w:rsidP="008F3D81">
            <w:pPr>
              <w:tabs>
                <w:tab w:val="left" w:pos="6180"/>
              </w:tabs>
              <w:jc w:val="both"/>
              <w:rPr>
                <w:lang w:val="es-UY"/>
              </w:rPr>
            </w:pPr>
            <w:r w:rsidRPr="00EC49D7">
              <w:rPr>
                <w:lang w:val="es-UY"/>
              </w:rPr>
              <w:t>Tratamiento</w:t>
            </w:r>
          </w:p>
        </w:tc>
      </w:tr>
      <w:tr w:rsidR="008F3D81" w:rsidRPr="00EC49D7" w:rsidTr="00C518CC">
        <w:tc>
          <w:tcPr>
            <w:tcW w:w="1638" w:type="dxa"/>
          </w:tcPr>
          <w:p w:rsidR="008F3D81" w:rsidRPr="00EC49D7" w:rsidRDefault="008F3D81" w:rsidP="009C36FE">
            <w:pPr>
              <w:tabs>
                <w:tab w:val="left" w:pos="6180"/>
              </w:tabs>
              <w:jc w:val="both"/>
              <w:rPr>
                <w:lang w:val="es-UY"/>
              </w:rPr>
            </w:pPr>
            <w:r w:rsidRPr="00EC49D7">
              <w:rPr>
                <w:lang w:val="es-UY"/>
              </w:rPr>
              <w:t>Extranjero</w:t>
            </w:r>
            <w:r w:rsidR="00970877" w:rsidRPr="00EC49D7">
              <w:rPr>
                <w:lang w:val="es-UY"/>
              </w:rPr>
              <w:t xml:space="preserve"> que no migra</w:t>
            </w:r>
          </w:p>
        </w:tc>
        <w:tc>
          <w:tcPr>
            <w:tcW w:w="900" w:type="dxa"/>
          </w:tcPr>
          <w:p w:rsidR="008F3D81" w:rsidRPr="00EC49D7" w:rsidRDefault="008F3D81" w:rsidP="00C518CC">
            <w:pPr>
              <w:tabs>
                <w:tab w:val="left" w:pos="6180"/>
              </w:tabs>
              <w:jc w:val="center"/>
              <w:rPr>
                <w:lang w:val="es-UY"/>
              </w:rPr>
            </w:pPr>
            <w:r w:rsidRPr="00EC49D7">
              <w:rPr>
                <w:lang w:val="es-UY"/>
              </w:rPr>
              <w:t>No</w:t>
            </w:r>
          </w:p>
        </w:tc>
        <w:tc>
          <w:tcPr>
            <w:tcW w:w="1260" w:type="dxa"/>
          </w:tcPr>
          <w:p w:rsidR="008F3D81" w:rsidRPr="00EC49D7" w:rsidRDefault="008F3D81" w:rsidP="00C518CC">
            <w:pPr>
              <w:tabs>
                <w:tab w:val="left" w:pos="6180"/>
              </w:tabs>
              <w:jc w:val="center"/>
              <w:rPr>
                <w:lang w:val="es-UY"/>
              </w:rPr>
            </w:pPr>
            <w:r w:rsidRPr="00EC49D7">
              <w:rPr>
                <w:lang w:val="es-UY"/>
              </w:rPr>
              <w:t>Sí</w:t>
            </w:r>
          </w:p>
        </w:tc>
        <w:tc>
          <w:tcPr>
            <w:tcW w:w="1980" w:type="dxa"/>
          </w:tcPr>
          <w:p w:rsidR="008F3D81" w:rsidRPr="00EC49D7" w:rsidRDefault="008F3D81" w:rsidP="00945509">
            <w:pPr>
              <w:tabs>
                <w:tab w:val="left" w:pos="6180"/>
              </w:tabs>
              <w:jc w:val="center"/>
              <w:rPr>
                <w:lang w:val="es-UY"/>
              </w:rPr>
            </w:pPr>
            <w:r w:rsidRPr="00EC49D7">
              <w:rPr>
                <w:lang w:val="es-UY"/>
              </w:rPr>
              <w:t xml:space="preserve">No </w:t>
            </w:r>
          </w:p>
        </w:tc>
        <w:tc>
          <w:tcPr>
            <w:tcW w:w="1980" w:type="dxa"/>
          </w:tcPr>
          <w:p w:rsidR="008F3D81" w:rsidRPr="00EC49D7" w:rsidRDefault="008F3D81" w:rsidP="00C518CC">
            <w:pPr>
              <w:tabs>
                <w:tab w:val="left" w:pos="6180"/>
              </w:tabs>
              <w:jc w:val="center"/>
              <w:rPr>
                <w:lang w:val="es-UY"/>
              </w:rPr>
            </w:pPr>
            <w:r w:rsidRPr="00EC49D7">
              <w:rPr>
                <w:lang w:val="es-UY"/>
              </w:rPr>
              <w:t>Sí</w:t>
            </w:r>
          </w:p>
        </w:tc>
        <w:tc>
          <w:tcPr>
            <w:tcW w:w="1710" w:type="dxa"/>
          </w:tcPr>
          <w:p w:rsidR="008F3D81" w:rsidRPr="00EC49D7" w:rsidRDefault="008F3D81" w:rsidP="009C36FE">
            <w:pPr>
              <w:tabs>
                <w:tab w:val="left" w:pos="6180"/>
              </w:tabs>
              <w:jc w:val="both"/>
              <w:rPr>
                <w:lang w:val="es-UY"/>
              </w:rPr>
            </w:pPr>
            <w:r w:rsidRPr="00EC49D7">
              <w:rPr>
                <w:lang w:val="es-UY"/>
              </w:rPr>
              <w:t>Beneficio es la matrícula</w:t>
            </w:r>
          </w:p>
        </w:tc>
      </w:tr>
      <w:tr w:rsidR="00970877" w:rsidRPr="00EC49D7" w:rsidTr="00C518CC">
        <w:tc>
          <w:tcPr>
            <w:tcW w:w="1638" w:type="dxa"/>
          </w:tcPr>
          <w:p w:rsidR="00970877" w:rsidRPr="00EC49D7" w:rsidRDefault="00970877" w:rsidP="004C2AAF">
            <w:pPr>
              <w:tabs>
                <w:tab w:val="left" w:pos="6180"/>
              </w:tabs>
              <w:jc w:val="both"/>
              <w:rPr>
                <w:lang w:val="es-UY"/>
              </w:rPr>
            </w:pPr>
            <w:r w:rsidRPr="00EC49D7">
              <w:rPr>
                <w:lang w:val="es-UY"/>
              </w:rPr>
              <w:t>Extranjero que migra</w:t>
            </w:r>
          </w:p>
        </w:tc>
        <w:tc>
          <w:tcPr>
            <w:tcW w:w="900" w:type="dxa"/>
          </w:tcPr>
          <w:p w:rsidR="00970877" w:rsidRPr="00EC49D7" w:rsidRDefault="00970877" w:rsidP="00C518CC">
            <w:pPr>
              <w:tabs>
                <w:tab w:val="left" w:pos="6180"/>
              </w:tabs>
              <w:jc w:val="center"/>
              <w:rPr>
                <w:lang w:val="es-UY"/>
              </w:rPr>
            </w:pPr>
            <w:r w:rsidRPr="00EC49D7">
              <w:rPr>
                <w:lang w:val="es-UY"/>
              </w:rPr>
              <w:t>No</w:t>
            </w:r>
          </w:p>
        </w:tc>
        <w:tc>
          <w:tcPr>
            <w:tcW w:w="1260" w:type="dxa"/>
          </w:tcPr>
          <w:p w:rsidR="00970877" w:rsidRPr="00EC49D7" w:rsidRDefault="008C08A0" w:rsidP="00C518CC">
            <w:pPr>
              <w:tabs>
                <w:tab w:val="left" w:pos="6180"/>
              </w:tabs>
              <w:jc w:val="center"/>
              <w:rPr>
                <w:lang w:val="es-UY"/>
              </w:rPr>
            </w:pPr>
            <w:r w:rsidRPr="00EC49D7">
              <w:rPr>
                <w:lang w:val="es-UY"/>
              </w:rPr>
              <w:t>Sí</w:t>
            </w:r>
          </w:p>
        </w:tc>
        <w:tc>
          <w:tcPr>
            <w:tcW w:w="1980" w:type="dxa"/>
          </w:tcPr>
          <w:p w:rsidR="00970877" w:rsidRPr="00EC49D7" w:rsidRDefault="00970877" w:rsidP="00D36466">
            <w:pPr>
              <w:tabs>
                <w:tab w:val="left" w:pos="6180"/>
              </w:tabs>
              <w:jc w:val="center"/>
              <w:rPr>
                <w:lang w:val="es-UY"/>
              </w:rPr>
            </w:pPr>
            <w:r w:rsidRPr="00EC49D7">
              <w:rPr>
                <w:lang w:val="es-UY"/>
              </w:rPr>
              <w:t>Sí</w:t>
            </w:r>
          </w:p>
        </w:tc>
        <w:tc>
          <w:tcPr>
            <w:tcW w:w="1980" w:type="dxa"/>
          </w:tcPr>
          <w:p w:rsidR="00970877" w:rsidRPr="00EC49D7" w:rsidRDefault="008C08A0" w:rsidP="00D36466">
            <w:pPr>
              <w:tabs>
                <w:tab w:val="left" w:pos="6180"/>
              </w:tabs>
              <w:jc w:val="center"/>
              <w:rPr>
                <w:lang w:val="es-UY"/>
              </w:rPr>
            </w:pPr>
            <w:r w:rsidRPr="00EC49D7">
              <w:rPr>
                <w:lang w:val="es-UY"/>
              </w:rPr>
              <w:t>Sí</w:t>
            </w:r>
          </w:p>
        </w:tc>
        <w:tc>
          <w:tcPr>
            <w:tcW w:w="1710" w:type="dxa"/>
          </w:tcPr>
          <w:p w:rsidR="00970877" w:rsidRPr="00EC49D7" w:rsidRDefault="00970877" w:rsidP="008C08A0">
            <w:pPr>
              <w:tabs>
                <w:tab w:val="left" w:pos="6180"/>
              </w:tabs>
              <w:jc w:val="both"/>
              <w:rPr>
                <w:lang w:val="es-UY"/>
              </w:rPr>
            </w:pPr>
            <w:r w:rsidRPr="00EC49D7">
              <w:rPr>
                <w:lang w:val="es-UY"/>
              </w:rPr>
              <w:t xml:space="preserve">Beneficio es </w:t>
            </w:r>
            <w:r w:rsidR="008C08A0" w:rsidRPr="00EC49D7">
              <w:rPr>
                <w:lang w:val="es-UY"/>
              </w:rPr>
              <w:t>el salario</w:t>
            </w:r>
          </w:p>
        </w:tc>
      </w:tr>
      <w:tr w:rsidR="00970877" w:rsidRPr="00EC49D7" w:rsidTr="00C518CC">
        <w:tc>
          <w:tcPr>
            <w:tcW w:w="1638" w:type="dxa"/>
          </w:tcPr>
          <w:p w:rsidR="00970877" w:rsidRPr="00EC49D7" w:rsidRDefault="00970877" w:rsidP="00D36466">
            <w:pPr>
              <w:tabs>
                <w:tab w:val="left" w:pos="6180"/>
              </w:tabs>
              <w:jc w:val="both"/>
              <w:rPr>
                <w:lang w:val="es-UY"/>
              </w:rPr>
            </w:pPr>
            <w:r w:rsidRPr="00EC49D7">
              <w:rPr>
                <w:lang w:val="es-UY"/>
              </w:rPr>
              <w:t>Nacional</w:t>
            </w:r>
          </w:p>
        </w:tc>
        <w:tc>
          <w:tcPr>
            <w:tcW w:w="900" w:type="dxa"/>
          </w:tcPr>
          <w:p w:rsidR="00970877" w:rsidRPr="00EC49D7" w:rsidRDefault="00970877" w:rsidP="00D36466">
            <w:pPr>
              <w:tabs>
                <w:tab w:val="left" w:pos="6180"/>
              </w:tabs>
              <w:jc w:val="center"/>
              <w:rPr>
                <w:lang w:val="es-UY"/>
              </w:rPr>
            </w:pPr>
            <w:r w:rsidRPr="00EC49D7">
              <w:rPr>
                <w:lang w:val="es-UY"/>
              </w:rPr>
              <w:t>No</w:t>
            </w:r>
          </w:p>
        </w:tc>
        <w:tc>
          <w:tcPr>
            <w:tcW w:w="1260" w:type="dxa"/>
          </w:tcPr>
          <w:p w:rsidR="00970877" w:rsidRPr="00EC49D7" w:rsidRDefault="00970877" w:rsidP="00D36466">
            <w:pPr>
              <w:tabs>
                <w:tab w:val="left" w:pos="6180"/>
              </w:tabs>
              <w:jc w:val="center"/>
              <w:rPr>
                <w:lang w:val="es-UY"/>
              </w:rPr>
            </w:pPr>
            <w:r w:rsidRPr="00EC49D7">
              <w:rPr>
                <w:lang w:val="es-UY"/>
              </w:rPr>
              <w:t>Sí</w:t>
            </w:r>
          </w:p>
        </w:tc>
        <w:tc>
          <w:tcPr>
            <w:tcW w:w="1980" w:type="dxa"/>
          </w:tcPr>
          <w:p w:rsidR="00970877" w:rsidRPr="00EC49D7" w:rsidRDefault="00970877" w:rsidP="00D36466">
            <w:pPr>
              <w:tabs>
                <w:tab w:val="left" w:pos="6180"/>
              </w:tabs>
              <w:jc w:val="center"/>
              <w:rPr>
                <w:lang w:val="es-UY"/>
              </w:rPr>
            </w:pPr>
            <w:r w:rsidRPr="00EC49D7">
              <w:rPr>
                <w:lang w:val="es-UY"/>
              </w:rPr>
              <w:t>Sí</w:t>
            </w:r>
          </w:p>
        </w:tc>
        <w:tc>
          <w:tcPr>
            <w:tcW w:w="1980" w:type="dxa"/>
          </w:tcPr>
          <w:p w:rsidR="00970877" w:rsidRPr="00EC49D7" w:rsidRDefault="00970877" w:rsidP="00D36466">
            <w:pPr>
              <w:tabs>
                <w:tab w:val="left" w:pos="6180"/>
              </w:tabs>
              <w:jc w:val="center"/>
              <w:rPr>
                <w:lang w:val="es-UY"/>
              </w:rPr>
            </w:pPr>
            <w:r w:rsidRPr="00EC49D7">
              <w:rPr>
                <w:lang w:val="es-UY"/>
              </w:rPr>
              <w:t>Sí</w:t>
            </w:r>
          </w:p>
        </w:tc>
        <w:tc>
          <w:tcPr>
            <w:tcW w:w="1710" w:type="dxa"/>
          </w:tcPr>
          <w:p w:rsidR="00970877" w:rsidRPr="00EC49D7" w:rsidRDefault="00970877" w:rsidP="008C08A0">
            <w:pPr>
              <w:tabs>
                <w:tab w:val="left" w:pos="6180"/>
              </w:tabs>
              <w:jc w:val="both"/>
              <w:rPr>
                <w:lang w:val="es-UY"/>
              </w:rPr>
            </w:pPr>
            <w:r w:rsidRPr="00EC49D7">
              <w:rPr>
                <w:lang w:val="es-UY"/>
              </w:rPr>
              <w:t xml:space="preserve">Beneficio es </w:t>
            </w:r>
            <w:r w:rsidR="008C08A0" w:rsidRPr="00EC49D7">
              <w:rPr>
                <w:lang w:val="es-UY"/>
              </w:rPr>
              <w:t xml:space="preserve">el salario </w:t>
            </w:r>
          </w:p>
        </w:tc>
      </w:tr>
      <w:tr w:rsidR="00970877" w:rsidRPr="00EC49D7" w:rsidTr="00C518CC">
        <w:tc>
          <w:tcPr>
            <w:tcW w:w="1638" w:type="dxa"/>
          </w:tcPr>
          <w:p w:rsidR="00970877" w:rsidRPr="00EC49D7" w:rsidRDefault="00970877" w:rsidP="009C36FE">
            <w:pPr>
              <w:tabs>
                <w:tab w:val="left" w:pos="6180"/>
              </w:tabs>
              <w:jc w:val="both"/>
              <w:rPr>
                <w:lang w:val="es-UY"/>
              </w:rPr>
            </w:pPr>
            <w:r w:rsidRPr="00EC49D7">
              <w:rPr>
                <w:lang w:val="es-UY"/>
              </w:rPr>
              <w:t>Nacional</w:t>
            </w:r>
          </w:p>
        </w:tc>
        <w:tc>
          <w:tcPr>
            <w:tcW w:w="900" w:type="dxa"/>
          </w:tcPr>
          <w:p w:rsidR="00970877" w:rsidRPr="00EC49D7" w:rsidRDefault="00970877" w:rsidP="00C518CC">
            <w:pPr>
              <w:tabs>
                <w:tab w:val="left" w:pos="6180"/>
              </w:tabs>
              <w:jc w:val="center"/>
              <w:rPr>
                <w:lang w:val="es-UY"/>
              </w:rPr>
            </w:pPr>
            <w:r w:rsidRPr="00EC49D7">
              <w:rPr>
                <w:lang w:val="es-UY"/>
              </w:rPr>
              <w:t>Sí</w:t>
            </w:r>
          </w:p>
        </w:tc>
        <w:tc>
          <w:tcPr>
            <w:tcW w:w="1260" w:type="dxa"/>
          </w:tcPr>
          <w:p w:rsidR="00970877" w:rsidRPr="00EC49D7" w:rsidRDefault="00970877" w:rsidP="00C518CC">
            <w:pPr>
              <w:tabs>
                <w:tab w:val="left" w:pos="6180"/>
              </w:tabs>
              <w:jc w:val="center"/>
              <w:rPr>
                <w:lang w:val="es-UY"/>
              </w:rPr>
            </w:pPr>
            <w:r w:rsidRPr="00EC49D7">
              <w:rPr>
                <w:lang w:val="es-UY"/>
              </w:rPr>
              <w:t>No</w:t>
            </w:r>
          </w:p>
        </w:tc>
        <w:tc>
          <w:tcPr>
            <w:tcW w:w="1980" w:type="dxa"/>
          </w:tcPr>
          <w:p w:rsidR="00970877" w:rsidRPr="00EC49D7" w:rsidRDefault="00970877" w:rsidP="00C518CC">
            <w:pPr>
              <w:tabs>
                <w:tab w:val="left" w:pos="6180"/>
              </w:tabs>
              <w:jc w:val="center"/>
              <w:rPr>
                <w:lang w:val="es-UY"/>
              </w:rPr>
            </w:pPr>
            <w:r w:rsidRPr="00EC49D7">
              <w:rPr>
                <w:lang w:val="es-UY"/>
              </w:rPr>
              <w:t>Sí</w:t>
            </w:r>
          </w:p>
        </w:tc>
        <w:tc>
          <w:tcPr>
            <w:tcW w:w="1980" w:type="dxa"/>
          </w:tcPr>
          <w:p w:rsidR="00970877" w:rsidRPr="00EC49D7" w:rsidRDefault="00970877" w:rsidP="00C518CC">
            <w:pPr>
              <w:tabs>
                <w:tab w:val="left" w:pos="6180"/>
              </w:tabs>
              <w:jc w:val="center"/>
              <w:rPr>
                <w:lang w:val="es-UY"/>
              </w:rPr>
            </w:pPr>
            <w:r w:rsidRPr="00EC49D7">
              <w:rPr>
                <w:lang w:val="es-UY"/>
              </w:rPr>
              <w:t>No</w:t>
            </w:r>
          </w:p>
        </w:tc>
        <w:tc>
          <w:tcPr>
            <w:tcW w:w="1710" w:type="dxa"/>
          </w:tcPr>
          <w:p w:rsidR="00970877" w:rsidRPr="00EC49D7" w:rsidRDefault="00970877" w:rsidP="008C08A0">
            <w:pPr>
              <w:tabs>
                <w:tab w:val="left" w:pos="6180"/>
              </w:tabs>
              <w:jc w:val="both"/>
              <w:rPr>
                <w:lang w:val="es-UY"/>
              </w:rPr>
            </w:pPr>
            <w:r w:rsidRPr="00EC49D7">
              <w:rPr>
                <w:lang w:val="es-UY"/>
              </w:rPr>
              <w:t xml:space="preserve">Beneficio es </w:t>
            </w:r>
            <w:r w:rsidR="008C08A0" w:rsidRPr="00EC49D7">
              <w:rPr>
                <w:lang w:val="es-UY"/>
              </w:rPr>
              <w:t>el salario</w:t>
            </w:r>
          </w:p>
        </w:tc>
      </w:tr>
    </w:tbl>
    <w:p w:rsidR="008F3D81" w:rsidRPr="00EC49D7" w:rsidRDefault="008F3D81" w:rsidP="009C36FE">
      <w:pPr>
        <w:tabs>
          <w:tab w:val="left" w:pos="6180"/>
        </w:tabs>
        <w:jc w:val="both"/>
        <w:rPr>
          <w:lang w:val="es-UY"/>
        </w:rPr>
      </w:pPr>
    </w:p>
    <w:p w:rsidR="00C518CC" w:rsidRPr="00EC49D7" w:rsidRDefault="00C518CC" w:rsidP="00C518CC">
      <w:pPr>
        <w:tabs>
          <w:tab w:val="left" w:pos="6180"/>
        </w:tabs>
        <w:jc w:val="both"/>
        <w:rPr>
          <w:b/>
          <w:lang w:val="es-UY"/>
        </w:rPr>
      </w:pPr>
      <w:r w:rsidRPr="00EC49D7">
        <w:rPr>
          <w:b/>
          <w:lang w:val="es-UY"/>
        </w:rPr>
        <w:t>Ingresos por capacitados extranjeros</w:t>
      </w:r>
      <w:r w:rsidR="00970877" w:rsidRPr="00EC49D7">
        <w:rPr>
          <w:b/>
          <w:lang w:val="es-UY"/>
        </w:rPr>
        <w:t xml:space="preserve"> que no migran</w:t>
      </w:r>
      <w:r w:rsidRPr="00EC49D7">
        <w:rPr>
          <w:b/>
          <w:lang w:val="es-UY"/>
        </w:rPr>
        <w:t>:</w:t>
      </w:r>
    </w:p>
    <w:p w:rsidR="00C518CC" w:rsidRPr="00EC49D7" w:rsidRDefault="00C518CC" w:rsidP="00C518CC">
      <w:pPr>
        <w:tabs>
          <w:tab w:val="left" w:pos="6180"/>
        </w:tabs>
        <w:jc w:val="both"/>
        <w:rPr>
          <w:lang w:val="es-UY"/>
        </w:rPr>
      </w:pPr>
    </w:p>
    <w:p w:rsidR="00C518CC" w:rsidRPr="00EC49D7" w:rsidRDefault="000C5ABD" w:rsidP="00C518CC">
      <w:pPr>
        <w:tabs>
          <w:tab w:val="left" w:pos="6180"/>
        </w:tabs>
        <w:jc w:val="both"/>
        <w:rPr>
          <w:lang w:val="es-UY"/>
        </w:rPr>
      </w:pPr>
      <w:r w:rsidRPr="00EC49D7">
        <w:rPr>
          <w:lang w:val="es-UY"/>
        </w:rPr>
        <w:t xml:space="preserve">El programa asume que el </w:t>
      </w:r>
      <w:r w:rsidR="00D32DB5" w:rsidRPr="00EC49D7">
        <w:rPr>
          <w:lang w:val="es-UY"/>
        </w:rPr>
        <w:t>60</w:t>
      </w:r>
      <w:r w:rsidR="00D74A2E" w:rsidRPr="00EC49D7">
        <w:rPr>
          <w:lang w:val="es-UY"/>
        </w:rPr>
        <w:t>% de los alumnos matriculados son extranjeros. El beneficio para el proyecto de cada alu</w:t>
      </w:r>
      <w:r w:rsidR="009271B9" w:rsidRPr="00EC49D7">
        <w:rPr>
          <w:lang w:val="es-UY"/>
        </w:rPr>
        <w:t>m</w:t>
      </w:r>
      <w:r w:rsidR="00D74A2E" w:rsidRPr="00EC49D7">
        <w:rPr>
          <w:lang w:val="es-UY"/>
        </w:rPr>
        <w:t xml:space="preserve">no extranjero matriculado </w:t>
      </w:r>
      <w:r w:rsidR="00D32DB5" w:rsidRPr="00EC49D7">
        <w:rPr>
          <w:lang w:val="es-UY"/>
        </w:rPr>
        <w:t>es</w:t>
      </w:r>
      <w:r w:rsidR="00D74A2E" w:rsidRPr="00EC49D7">
        <w:rPr>
          <w:lang w:val="es-UY"/>
        </w:rPr>
        <w:t xml:space="preserve"> el costo de la </w:t>
      </w:r>
      <w:r w:rsidR="004E08AC" w:rsidRPr="00EC49D7">
        <w:rPr>
          <w:lang w:val="es-UY"/>
        </w:rPr>
        <w:t>matrícula</w:t>
      </w:r>
      <w:r w:rsidR="0070419E" w:rsidRPr="00EC49D7">
        <w:rPr>
          <w:lang w:val="es-UY"/>
        </w:rPr>
        <w:t xml:space="preserve"> (F)</w:t>
      </w:r>
      <w:r w:rsidR="004E08AC" w:rsidRPr="00EC49D7">
        <w:rPr>
          <w:lang w:val="es-UY"/>
        </w:rPr>
        <w:t>, que se establece en 15</w:t>
      </w:r>
      <w:r w:rsidR="00D74A2E" w:rsidRPr="00EC49D7">
        <w:rPr>
          <w:lang w:val="es-UY"/>
        </w:rPr>
        <w:t xml:space="preserve">.000 dólares. </w:t>
      </w:r>
      <w:r w:rsidR="00D62690" w:rsidRPr="00EC49D7">
        <w:rPr>
          <w:lang w:val="es-UY"/>
        </w:rPr>
        <w:t>En el caso de l</w:t>
      </w:r>
      <w:r w:rsidR="00D32DB5" w:rsidRPr="00EC49D7">
        <w:rPr>
          <w:lang w:val="es-UY"/>
        </w:rPr>
        <w:t>os extranjeros q</w:t>
      </w:r>
      <w:r w:rsidR="00D62690" w:rsidRPr="00EC49D7">
        <w:rPr>
          <w:lang w:val="es-UY"/>
        </w:rPr>
        <w:t xml:space="preserve">ue </w:t>
      </w:r>
      <w:r w:rsidR="006302CE" w:rsidRPr="00EC49D7">
        <w:rPr>
          <w:lang w:val="es-UY"/>
        </w:rPr>
        <w:t>como resultado</w:t>
      </w:r>
      <w:r w:rsidR="00F9523A" w:rsidRPr="00EC49D7">
        <w:rPr>
          <w:lang w:val="es-UY"/>
        </w:rPr>
        <w:t xml:space="preserve"> del proyecto terminan </w:t>
      </w:r>
      <w:r w:rsidR="00D62690" w:rsidRPr="00EC49D7">
        <w:rPr>
          <w:lang w:val="es-UY"/>
        </w:rPr>
        <w:t>migran</w:t>
      </w:r>
      <w:r w:rsidR="00F9523A" w:rsidRPr="00EC49D7">
        <w:rPr>
          <w:lang w:val="es-UY"/>
        </w:rPr>
        <w:t>do</w:t>
      </w:r>
      <w:r w:rsidR="00D62690" w:rsidRPr="00EC49D7">
        <w:rPr>
          <w:lang w:val="es-UY"/>
        </w:rPr>
        <w:t xml:space="preserve"> hacia el país no se considera su matrícula. </w:t>
      </w:r>
      <w:r w:rsidR="006D0A4D" w:rsidRPr="00EC49D7">
        <w:rPr>
          <w:lang w:val="es-UY"/>
        </w:rPr>
        <w:t xml:space="preserve">Entonces, para </w:t>
      </w:r>
      <w:r w:rsidR="0070419E" w:rsidRPr="00EC49D7">
        <w:rPr>
          <w:lang w:val="es-UY"/>
        </w:rPr>
        <w:t xml:space="preserve">el beneficio del proyecto asociado a la matriculación de cada </w:t>
      </w:r>
      <w:r w:rsidR="006D0A4D" w:rsidRPr="00EC49D7">
        <w:rPr>
          <w:lang w:val="es-UY"/>
        </w:rPr>
        <w:t xml:space="preserve"> extranjero que no migra </w:t>
      </w:r>
      <w:r w:rsidR="0070419E" w:rsidRPr="00EC49D7">
        <w:rPr>
          <w:lang w:val="es-UY"/>
        </w:rPr>
        <w:t>es</w:t>
      </w:r>
      <w:r w:rsidR="006D0A4D" w:rsidRPr="00EC49D7">
        <w:rPr>
          <w:lang w:val="es-UY"/>
        </w:rPr>
        <w:t xml:space="preserve">: </w:t>
      </w:r>
    </w:p>
    <w:p w:rsidR="006D0A4D" w:rsidRPr="00EC49D7" w:rsidRDefault="006D0A4D" w:rsidP="00C518CC">
      <w:pPr>
        <w:tabs>
          <w:tab w:val="left" w:pos="6180"/>
        </w:tabs>
        <w:jc w:val="both"/>
        <w:rPr>
          <w:lang w:val="es-UY"/>
        </w:rPr>
      </w:pPr>
    </w:p>
    <w:p w:rsidR="006D0A4D" w:rsidRPr="00EC49D7" w:rsidRDefault="009B3E42" w:rsidP="00C518CC">
      <w:pPr>
        <w:tabs>
          <w:tab w:val="left" w:pos="6180"/>
        </w:tabs>
        <w:jc w:val="both"/>
        <w:rPr>
          <w:lang w:val="es-UY"/>
        </w:rPr>
      </w:pPr>
      <m:oMathPara>
        <m:oMath>
          <m:sSub>
            <m:sSubPr>
              <m:ctrlPr>
                <w:rPr>
                  <w:rFonts w:ascii="Cambria Math" w:hAnsi="Cambria Math"/>
                  <w:i/>
                  <w:lang w:val="es-UY"/>
                </w:rPr>
              </m:ctrlPr>
            </m:sSubPr>
            <m:e>
              <m:sSup>
                <m:sSupPr>
                  <m:ctrlPr>
                    <w:rPr>
                      <w:rFonts w:ascii="Cambria Math" w:hAnsi="Cambria Math"/>
                      <w:i/>
                      <w:lang w:val="es-UY"/>
                    </w:rPr>
                  </m:ctrlPr>
                </m:sSupPr>
                <m:e>
                  <m:r>
                    <w:rPr>
                      <w:rFonts w:ascii="Cambria Math" w:hAnsi="Cambria Math"/>
                      <w:lang w:val="es-UY"/>
                    </w:rPr>
                    <m:t>π</m:t>
                  </m:r>
                </m:e>
                <m:sup>
                  <m:r>
                    <w:rPr>
                      <w:rFonts w:ascii="Cambria Math" w:hAnsi="Cambria Math"/>
                      <w:lang w:val="es-UY"/>
                    </w:rPr>
                    <m:t>E</m:t>
                  </m:r>
                </m:sup>
              </m:sSup>
            </m:e>
            <m:sub>
              <m:r>
                <w:rPr>
                  <w:rFonts w:ascii="Cambria Math" w:hAnsi="Cambria Math"/>
                  <w:lang w:val="es-UY"/>
                </w:rPr>
                <m:t>t</m:t>
              </m:r>
            </m:sub>
          </m:sSub>
          <m:r>
            <w:rPr>
              <w:rFonts w:ascii="Cambria Math" w:hAnsi="Cambria Math"/>
              <w:lang w:val="es-UY"/>
            </w:rPr>
            <m:t>=F</m:t>
          </m:r>
        </m:oMath>
      </m:oMathPara>
    </w:p>
    <w:p w:rsidR="009271B9" w:rsidRPr="00EC49D7" w:rsidRDefault="009271B9" w:rsidP="00C518CC">
      <w:pPr>
        <w:tabs>
          <w:tab w:val="left" w:pos="6180"/>
        </w:tabs>
        <w:jc w:val="both"/>
        <w:rPr>
          <w:lang w:val="es-UY"/>
        </w:rPr>
      </w:pPr>
    </w:p>
    <w:p w:rsidR="009271B9" w:rsidRPr="00EC49D7" w:rsidRDefault="009271B9" w:rsidP="00C518CC">
      <w:pPr>
        <w:tabs>
          <w:tab w:val="left" w:pos="6180"/>
        </w:tabs>
        <w:jc w:val="both"/>
        <w:rPr>
          <w:b/>
          <w:lang w:val="es-UY"/>
        </w:rPr>
      </w:pPr>
      <w:r w:rsidRPr="00EC49D7">
        <w:rPr>
          <w:b/>
          <w:lang w:val="es-UY"/>
        </w:rPr>
        <w:t>Ingresos por capacitados nacionales</w:t>
      </w:r>
      <w:r w:rsidR="00D32DB5" w:rsidRPr="00EC49D7">
        <w:rPr>
          <w:b/>
          <w:lang w:val="es-UY"/>
        </w:rPr>
        <w:t xml:space="preserve"> y migrantes</w:t>
      </w:r>
    </w:p>
    <w:p w:rsidR="00C518CC" w:rsidRPr="00EC49D7" w:rsidRDefault="00C518CC" w:rsidP="00C518CC">
      <w:pPr>
        <w:tabs>
          <w:tab w:val="left" w:pos="6180"/>
        </w:tabs>
        <w:jc w:val="both"/>
        <w:rPr>
          <w:lang w:val="es-UY"/>
        </w:rPr>
      </w:pPr>
    </w:p>
    <w:p w:rsidR="00D62690" w:rsidRPr="00EC49D7" w:rsidRDefault="006302CE" w:rsidP="009271B9">
      <w:pPr>
        <w:tabs>
          <w:tab w:val="left" w:pos="6180"/>
        </w:tabs>
        <w:jc w:val="both"/>
        <w:rPr>
          <w:lang w:val="es-UY"/>
        </w:rPr>
      </w:pPr>
      <w:r w:rsidRPr="00EC49D7">
        <w:rPr>
          <w:lang w:val="es-UY"/>
        </w:rPr>
        <w:t xml:space="preserve">El programa asume que no todos los enrolados en el programa logran ser luego contratados en el sector SBIC. Entonces, en el caso de los beneficios por capacitación de nacionales y migrantes no se toma en cuenta a los enrolados sino solamente a los contratados en el sector como </w:t>
      </w:r>
      <w:r w:rsidRPr="00EC49D7">
        <w:rPr>
          <w:lang w:val="es-UY"/>
        </w:rPr>
        <w:lastRenderedPageBreak/>
        <w:t>resultado del programa</w:t>
      </w:r>
      <w:r w:rsidR="0070419E" w:rsidRPr="00EC49D7">
        <w:rPr>
          <w:rStyle w:val="FootnoteReference"/>
          <w:lang w:val="es-UY"/>
        </w:rPr>
        <w:footnoteReference w:id="2"/>
      </w:r>
      <w:r w:rsidRPr="00EC49D7">
        <w:rPr>
          <w:lang w:val="es-UY"/>
        </w:rPr>
        <w:t>. Se asume que la nueva contratación</w:t>
      </w:r>
      <w:r w:rsidRPr="00EC49D7">
        <w:rPr>
          <w:rStyle w:val="FootnoteReference"/>
          <w:lang w:val="es-UY"/>
        </w:rPr>
        <w:footnoteReference w:id="3"/>
      </w:r>
      <w:r w:rsidRPr="00EC49D7">
        <w:rPr>
          <w:lang w:val="es-UY"/>
        </w:rPr>
        <w:t xml:space="preserve"> se realiza una vez terminada la capacitación del primer año, por lo que el primer año no hay contratados. </w:t>
      </w:r>
      <w:r w:rsidR="00C518CC" w:rsidRPr="00EC49D7">
        <w:rPr>
          <w:lang w:val="es-UY"/>
        </w:rPr>
        <w:t xml:space="preserve">La manera más habitual de evaluar los retornos a la capacitación es a través de mejoras en la remuneración de los capacitados. </w:t>
      </w:r>
      <w:r w:rsidR="009271B9" w:rsidRPr="00EC49D7">
        <w:rPr>
          <w:lang w:val="es-UY"/>
        </w:rPr>
        <w:t>La mejora en la capacitación se asimila a un cambio en la categoría ocupacional del trabajador</w:t>
      </w:r>
      <w:r w:rsidR="00D62690" w:rsidRPr="00EC49D7">
        <w:rPr>
          <w:lang w:val="es-UY"/>
        </w:rPr>
        <w:t xml:space="preserve">. </w:t>
      </w:r>
      <w:r w:rsidR="00C30A25" w:rsidRPr="00EC49D7">
        <w:rPr>
          <w:lang w:val="es-UY"/>
        </w:rPr>
        <w:t xml:space="preserve">Los datos de cambio en el salario se toman de la información de remuneraciones anuales en dólares (incluyendo remuneración variable) de la última encuesta disponible de CUTI. </w:t>
      </w:r>
      <w:r w:rsidR="00AF74D1" w:rsidRPr="00EC49D7">
        <w:rPr>
          <w:lang w:val="es-UY"/>
        </w:rPr>
        <w:t>Se asume que los trabajadores antes del proyecto tienen como salario la mediana de salarios de un desarrollador (</w:t>
      </w:r>
      <w:proofErr w:type="spellStart"/>
      <w:r w:rsidR="00AF74D1" w:rsidRPr="00EC49D7">
        <w:rPr>
          <w:i/>
          <w:lang w:val="es-UY"/>
        </w:rPr>
        <w:t>developer</w:t>
      </w:r>
      <w:proofErr w:type="spellEnd"/>
      <w:r w:rsidR="00AF74D1" w:rsidRPr="00EC49D7">
        <w:rPr>
          <w:lang w:val="es-UY"/>
        </w:rPr>
        <w:t>) intermedio</w:t>
      </w:r>
      <w:r w:rsidR="00C30A25" w:rsidRPr="00EC49D7">
        <w:rPr>
          <w:lang w:val="es-UY"/>
        </w:rPr>
        <w:t xml:space="preserve"> </w:t>
      </w:r>
      <w:r w:rsidR="00AF74D1" w:rsidRPr="00EC49D7">
        <w:rPr>
          <w:lang w:val="es-UY"/>
        </w:rPr>
        <w:t>y que como producto de la capac</w:t>
      </w:r>
      <w:r w:rsidR="005F1D5B" w:rsidRPr="00EC49D7">
        <w:rPr>
          <w:lang w:val="es-UY"/>
        </w:rPr>
        <w:t>itación pasan de ser D</w:t>
      </w:r>
      <w:r w:rsidR="00AF74D1" w:rsidRPr="00EC49D7">
        <w:rPr>
          <w:lang w:val="es-UY"/>
        </w:rPr>
        <w:t>es</w:t>
      </w:r>
      <w:r w:rsidR="005F1D5B" w:rsidRPr="00EC49D7">
        <w:rPr>
          <w:lang w:val="es-UY"/>
        </w:rPr>
        <w:t>arrolladores a ser Gerentes de Proyecto</w:t>
      </w:r>
      <w:r w:rsidR="00AF74D1" w:rsidRPr="00EC49D7">
        <w:rPr>
          <w:lang w:val="es-UY"/>
        </w:rPr>
        <w:t xml:space="preserve"> </w:t>
      </w:r>
      <w:r w:rsidR="005F1D5B" w:rsidRPr="00EC49D7">
        <w:rPr>
          <w:lang w:val="es-UY"/>
        </w:rPr>
        <w:t xml:space="preserve">o Gerente </w:t>
      </w:r>
      <w:r w:rsidR="00AF74D1" w:rsidRPr="00EC49D7">
        <w:rPr>
          <w:lang w:val="es-UY"/>
        </w:rPr>
        <w:t>de segundo nivel. Esto es razonable dado el tipo de capacidad que van a adquirir durante el proyecto. La mediana de estas diferencias de salarios es de 20</w:t>
      </w:r>
      <w:r w:rsidR="005F1D5B" w:rsidRPr="00EC49D7">
        <w:rPr>
          <w:lang w:val="es-UY"/>
        </w:rPr>
        <w:t>.</w:t>
      </w:r>
      <w:r w:rsidR="00AF74D1" w:rsidRPr="00EC49D7">
        <w:rPr>
          <w:lang w:val="es-UY"/>
        </w:rPr>
        <w:t>688 dólares por año</w:t>
      </w:r>
      <w:r w:rsidR="00AF74D1" w:rsidRPr="00EC49D7">
        <w:rPr>
          <w:rStyle w:val="FootnoteReference"/>
          <w:lang w:val="es-UY"/>
        </w:rPr>
        <w:footnoteReference w:id="4"/>
      </w:r>
      <w:r w:rsidR="00AF74D1" w:rsidRPr="00EC49D7">
        <w:rPr>
          <w:lang w:val="es-UY"/>
        </w:rPr>
        <w:t xml:space="preserve">. </w:t>
      </w:r>
      <w:r w:rsidR="00D62690" w:rsidRPr="00EC49D7">
        <w:rPr>
          <w:lang w:val="es-UY"/>
        </w:rPr>
        <w:t xml:space="preserve">Los cambios en la remuneración de los capacitados son consistentes con los que se indican como resultado 3 de la matriz de impacto esperado, </w:t>
      </w:r>
      <w:r w:rsidR="005F1D5B" w:rsidRPr="00EC49D7">
        <w:rPr>
          <w:lang w:val="es-UY"/>
        </w:rPr>
        <w:t>que indica que el</w:t>
      </w:r>
      <w:r w:rsidR="00D62690" w:rsidRPr="00EC49D7">
        <w:rPr>
          <w:lang w:val="es-UY"/>
        </w:rPr>
        <w:t xml:space="preserve"> salario anual de los calificados pasa de 30</w:t>
      </w:r>
      <w:r w:rsidR="00F9523A" w:rsidRPr="00EC49D7">
        <w:rPr>
          <w:lang w:val="es-UY"/>
        </w:rPr>
        <w:t>.</w:t>
      </w:r>
      <w:r w:rsidR="00D62690" w:rsidRPr="00EC49D7">
        <w:rPr>
          <w:lang w:val="es-UY"/>
        </w:rPr>
        <w:t>000 a 50</w:t>
      </w:r>
      <w:r w:rsidR="00F9523A" w:rsidRPr="00EC49D7">
        <w:rPr>
          <w:lang w:val="es-UY"/>
        </w:rPr>
        <w:t>.</w:t>
      </w:r>
      <w:r w:rsidR="00D62690" w:rsidRPr="00EC49D7">
        <w:rPr>
          <w:lang w:val="es-UY"/>
        </w:rPr>
        <w:t xml:space="preserve">000 USD anuales. </w:t>
      </w:r>
      <w:r w:rsidR="002A4F06" w:rsidRPr="00EC49D7">
        <w:rPr>
          <w:lang w:val="es-UY"/>
        </w:rPr>
        <w:t>Dado que este segmento en particular de las TICS es sumamente</w:t>
      </w:r>
      <w:r w:rsidR="009271B9" w:rsidRPr="00EC49D7">
        <w:rPr>
          <w:lang w:val="es-UY"/>
        </w:rPr>
        <w:t xml:space="preserve"> </w:t>
      </w:r>
      <w:r w:rsidR="002A4F06" w:rsidRPr="00EC49D7">
        <w:rPr>
          <w:lang w:val="es-UY"/>
        </w:rPr>
        <w:t xml:space="preserve">dinámico y competitivo, la depreciación del nuevo capital humano adquirido es mucho más rápida que en otros sectores. Por esto se asume que </w:t>
      </w:r>
      <w:r w:rsidR="00F9523A" w:rsidRPr="00EC49D7">
        <w:rPr>
          <w:lang w:val="es-UY"/>
        </w:rPr>
        <w:t xml:space="preserve">la </w:t>
      </w:r>
      <w:r w:rsidR="002A4F06" w:rsidRPr="00EC49D7">
        <w:rPr>
          <w:lang w:val="es-UY"/>
        </w:rPr>
        <w:t>tasa de depreciación del nuevo capital humano es de 20% en el escenario base. Con una depreciación lineal los beneficios del proyecto se extinguen luego del quinto año. Para cada alumno nacional</w:t>
      </w:r>
      <w:r w:rsidR="006D0A4D" w:rsidRPr="00EC49D7">
        <w:rPr>
          <w:lang w:val="es-UY"/>
        </w:rPr>
        <w:t xml:space="preserve"> </w:t>
      </w:r>
      <w:r w:rsidR="00F9523A" w:rsidRPr="00EC49D7">
        <w:rPr>
          <w:lang w:val="es-UY"/>
        </w:rPr>
        <w:t xml:space="preserve">(o migrante) </w:t>
      </w:r>
      <w:r w:rsidRPr="00EC49D7">
        <w:rPr>
          <w:lang w:val="es-UY"/>
        </w:rPr>
        <w:t xml:space="preserve">contratado en el sector SBIC </w:t>
      </w:r>
      <w:r w:rsidR="006D0A4D" w:rsidRPr="00EC49D7">
        <w:rPr>
          <w:lang w:val="es-UY"/>
        </w:rPr>
        <w:t>en t-n</w:t>
      </w:r>
      <w:r w:rsidR="002A4F06" w:rsidRPr="00EC49D7">
        <w:rPr>
          <w:lang w:val="es-UY"/>
        </w:rPr>
        <w:t>, los beneficios en el momento</w:t>
      </w:r>
      <w:r w:rsidR="00970877" w:rsidRPr="00EC49D7">
        <w:rPr>
          <w:lang w:val="es-UY"/>
        </w:rPr>
        <w:t xml:space="preserve"> t</w:t>
      </w:r>
      <w:r w:rsidR="002A4F06" w:rsidRPr="00EC49D7">
        <w:rPr>
          <w:lang w:val="es-UY"/>
        </w:rPr>
        <w:t xml:space="preserve"> se estiman como </w:t>
      </w:r>
    </w:p>
    <w:p w:rsidR="00D62690" w:rsidRPr="00EC49D7" w:rsidRDefault="00D62690" w:rsidP="009271B9">
      <w:pPr>
        <w:tabs>
          <w:tab w:val="left" w:pos="6180"/>
        </w:tabs>
        <w:jc w:val="both"/>
        <w:rPr>
          <w:lang w:val="es-UY"/>
        </w:rPr>
      </w:pPr>
    </w:p>
    <w:p w:rsidR="00CE2162" w:rsidRPr="00EC49D7" w:rsidRDefault="00CE2162" w:rsidP="00C518CC">
      <w:pPr>
        <w:tabs>
          <w:tab w:val="left" w:pos="6180"/>
        </w:tabs>
        <w:jc w:val="both"/>
        <w:rPr>
          <w:lang w:val="es-UY"/>
        </w:rPr>
      </w:pPr>
    </w:p>
    <w:p w:rsidR="00630C23" w:rsidRPr="00EC49D7" w:rsidRDefault="009B3E42" w:rsidP="00630C23">
      <w:pPr>
        <w:tabs>
          <w:tab w:val="left" w:pos="6180"/>
        </w:tabs>
        <w:jc w:val="center"/>
        <w:rPr>
          <w:lang w:val="es-ES"/>
        </w:rPr>
      </w:pPr>
      <m:oMath>
        <m:sSub>
          <m:sSubPr>
            <m:ctrlPr>
              <w:rPr>
                <w:rFonts w:ascii="Cambria Math" w:hAnsi="Cambria Math"/>
                <w:i/>
                <w:lang w:val="es-UY"/>
              </w:rPr>
            </m:ctrlPr>
          </m:sSubPr>
          <m:e>
            <m:sSup>
              <m:sSupPr>
                <m:ctrlPr>
                  <w:rPr>
                    <w:rFonts w:ascii="Cambria Math" w:hAnsi="Cambria Math"/>
                    <w:i/>
                    <w:lang w:val="es-UY"/>
                  </w:rPr>
                </m:ctrlPr>
              </m:sSupPr>
              <m:e>
                <m:r>
                  <w:rPr>
                    <w:rFonts w:ascii="Cambria Math" w:hAnsi="Cambria Math"/>
                    <w:lang w:val="es-UY"/>
                  </w:rPr>
                  <m:t>π</m:t>
                </m:r>
              </m:e>
              <m:sup>
                <m:r>
                  <w:rPr>
                    <w:rFonts w:ascii="Cambria Math" w:hAnsi="Cambria Math"/>
                    <w:lang w:val="es-UY"/>
                  </w:rPr>
                  <m:t>N</m:t>
                </m:r>
              </m:sup>
            </m:sSup>
          </m:e>
          <m:sub>
            <m:r>
              <w:rPr>
                <w:rFonts w:ascii="Cambria Math" w:hAnsi="Cambria Math"/>
                <w:lang w:val="es-UY"/>
              </w:rPr>
              <m:t>t,t-n</m:t>
            </m:r>
          </m:sub>
        </m:sSub>
        <m:r>
          <w:rPr>
            <w:rFonts w:ascii="Cambria Math" w:hAnsi="Cambria Math"/>
            <w:lang w:val="es-UY"/>
          </w:rPr>
          <m:t>=</m:t>
        </m:r>
        <m:d>
          <m:dPr>
            <m:ctrlPr>
              <w:rPr>
                <w:rFonts w:ascii="Cambria Math" w:hAnsi="Cambria Math"/>
                <w:i/>
                <w:lang w:val="es-UY"/>
              </w:rPr>
            </m:ctrlPr>
          </m:dPr>
          <m:e>
            <m:sSub>
              <m:sSubPr>
                <m:ctrlPr>
                  <w:rPr>
                    <w:rFonts w:ascii="Cambria Math" w:hAnsi="Cambria Math"/>
                    <w:i/>
                    <w:lang w:val="es-UY"/>
                  </w:rPr>
                </m:ctrlPr>
              </m:sSubPr>
              <m:e>
                <m:r>
                  <w:rPr>
                    <w:rFonts w:ascii="Cambria Math" w:hAnsi="Cambria Math"/>
                    <w:lang w:val="es-UY"/>
                  </w:rPr>
                  <m:t>S</m:t>
                </m:r>
              </m:e>
              <m:sub>
                <m:r>
                  <w:rPr>
                    <w:rFonts w:ascii="Cambria Math" w:hAnsi="Cambria Math"/>
                    <w:lang w:val="es-UY"/>
                  </w:rPr>
                  <m:t>1</m:t>
                </m:r>
              </m:sub>
            </m:sSub>
            <m:r>
              <w:rPr>
                <w:rFonts w:ascii="Cambria Math" w:hAnsi="Cambria Math"/>
                <w:lang w:val="es-UY"/>
              </w:rPr>
              <m:t>-</m:t>
            </m:r>
            <m:sSub>
              <m:sSubPr>
                <m:ctrlPr>
                  <w:rPr>
                    <w:rFonts w:ascii="Cambria Math" w:hAnsi="Cambria Math"/>
                    <w:i/>
                    <w:lang w:val="es-UY"/>
                  </w:rPr>
                </m:ctrlPr>
              </m:sSubPr>
              <m:e>
                <m:r>
                  <w:rPr>
                    <w:rFonts w:ascii="Cambria Math" w:hAnsi="Cambria Math"/>
                    <w:lang w:val="es-UY"/>
                  </w:rPr>
                  <m:t>S</m:t>
                </m:r>
              </m:e>
              <m:sub>
                <m:r>
                  <w:rPr>
                    <w:rFonts w:ascii="Cambria Math" w:hAnsi="Cambria Math"/>
                    <w:lang w:val="es-UY"/>
                  </w:rPr>
                  <m:t>0</m:t>
                </m:r>
              </m:sub>
            </m:sSub>
          </m:e>
        </m:d>
        <m:r>
          <w:rPr>
            <w:rFonts w:ascii="Cambria Math" w:hAnsi="Cambria Math"/>
            <w:lang w:val="es-UY"/>
          </w:rPr>
          <m:t>.</m:t>
        </m:r>
        <m:d>
          <m:dPr>
            <m:ctrlPr>
              <w:rPr>
                <w:rFonts w:ascii="Cambria Math" w:hAnsi="Cambria Math"/>
                <w:i/>
                <w:lang w:val="es-UY"/>
              </w:rPr>
            </m:ctrlPr>
          </m:dPr>
          <m:e>
            <m:r>
              <w:rPr>
                <w:rFonts w:ascii="Cambria Math" w:hAnsi="Cambria Math"/>
                <w:lang w:val="es-UY"/>
              </w:rPr>
              <m:t>1-∂n</m:t>
            </m:r>
          </m:e>
        </m:d>
      </m:oMath>
      <w:r w:rsidR="00CE2162" w:rsidRPr="00EC49D7">
        <w:rPr>
          <w:lang w:val="es-UY"/>
        </w:rPr>
        <w:t xml:space="preserve"> </w:t>
      </w:r>
      <w:r w:rsidR="00630C23" w:rsidRPr="00EC49D7">
        <w:rPr>
          <w:lang w:val="es-UY"/>
        </w:rPr>
        <w:t xml:space="preserve">        </w:t>
      </w:r>
      <w:r w:rsidR="00CE2162" w:rsidRPr="00EC49D7">
        <w:rPr>
          <w:lang w:val="es-UY"/>
        </w:rPr>
        <w:t xml:space="preserve">si </w:t>
      </w:r>
      <m:oMath>
        <m:r>
          <w:rPr>
            <w:rFonts w:ascii="Cambria Math" w:hAnsi="Cambria Math"/>
            <w:lang w:val="es-UY"/>
          </w:rPr>
          <m:t>∂n</m:t>
        </m:r>
        <m:r>
          <w:rPr>
            <w:rFonts w:ascii="Cambria Math" w:hAnsi="Cambria Math"/>
            <w:lang w:val="es-ES"/>
          </w:rPr>
          <m:t>≤1</m:t>
        </m:r>
      </m:oMath>
    </w:p>
    <w:p w:rsidR="00D43B80" w:rsidRPr="00EC49D7" w:rsidRDefault="00630C23" w:rsidP="00C518CC">
      <w:pPr>
        <w:tabs>
          <w:tab w:val="left" w:pos="6180"/>
        </w:tabs>
        <w:jc w:val="both"/>
        <w:rPr>
          <w:lang w:val="es-ES"/>
        </w:rPr>
      </w:pPr>
      <w:r w:rsidRPr="00EC49D7">
        <w:rPr>
          <w:lang w:val="es-ES"/>
        </w:rPr>
        <w:t xml:space="preserve">                                                                 0                                si  </w:t>
      </w:r>
      <m:oMath>
        <m:r>
          <w:rPr>
            <w:rFonts w:ascii="Cambria Math" w:hAnsi="Cambria Math"/>
            <w:lang w:val="es-UY"/>
          </w:rPr>
          <m:t>∂n&gt;</m:t>
        </m:r>
        <m:r>
          <w:rPr>
            <w:rFonts w:ascii="Cambria Math" w:hAnsi="Cambria Math"/>
            <w:lang w:val="es-ES"/>
          </w:rPr>
          <m:t>1</m:t>
        </m:r>
      </m:oMath>
    </w:p>
    <w:p w:rsidR="006D0A4D" w:rsidRPr="00EC49D7" w:rsidRDefault="006D0A4D" w:rsidP="00C518CC">
      <w:pPr>
        <w:tabs>
          <w:tab w:val="left" w:pos="6180"/>
        </w:tabs>
        <w:jc w:val="both"/>
        <w:rPr>
          <w:lang w:val="es-UY"/>
        </w:rPr>
      </w:pPr>
    </w:p>
    <w:p w:rsidR="006D0A4D" w:rsidRPr="00EC49D7" w:rsidRDefault="006D0A4D" w:rsidP="006D0A4D">
      <w:pPr>
        <w:tabs>
          <w:tab w:val="left" w:pos="6180"/>
        </w:tabs>
        <w:jc w:val="both"/>
        <w:rPr>
          <w:lang w:val="es-UY"/>
        </w:rPr>
      </w:pPr>
      <w:r w:rsidRPr="00EC49D7">
        <w:rPr>
          <w:lang w:val="es-UY"/>
        </w:rPr>
        <w:t xml:space="preserve">Donde </w:t>
      </w:r>
      <m:oMath>
        <m:sSub>
          <m:sSubPr>
            <m:ctrlPr>
              <w:rPr>
                <w:rFonts w:ascii="Cambria Math" w:hAnsi="Cambria Math"/>
                <w:i/>
                <w:lang w:val="es-UY"/>
              </w:rPr>
            </m:ctrlPr>
          </m:sSubPr>
          <m:e>
            <m:r>
              <w:rPr>
                <w:rFonts w:ascii="Cambria Math" w:hAnsi="Cambria Math"/>
                <w:lang w:val="es-UY"/>
              </w:rPr>
              <m:t>S</m:t>
            </m:r>
          </m:e>
          <m:sub>
            <m:r>
              <w:rPr>
                <w:rFonts w:ascii="Cambria Math" w:hAnsi="Cambria Math"/>
                <w:lang w:val="es-UY"/>
              </w:rPr>
              <m:t>1</m:t>
            </m:r>
          </m:sub>
        </m:sSub>
      </m:oMath>
      <w:r w:rsidRPr="00EC49D7">
        <w:rPr>
          <w:lang w:val="es-UY"/>
        </w:rPr>
        <w:t xml:space="preserve"> es el salario que surge como resultado del cambio de escalafón del empleado luego de la capacitación, </w:t>
      </w:r>
      <m:oMath>
        <m:sSub>
          <m:sSubPr>
            <m:ctrlPr>
              <w:rPr>
                <w:rFonts w:ascii="Cambria Math" w:hAnsi="Cambria Math"/>
                <w:i/>
                <w:lang w:val="es-UY"/>
              </w:rPr>
            </m:ctrlPr>
          </m:sSubPr>
          <m:e>
            <m:r>
              <w:rPr>
                <w:rFonts w:ascii="Cambria Math" w:hAnsi="Cambria Math"/>
                <w:lang w:val="es-UY"/>
              </w:rPr>
              <m:t>S</m:t>
            </m:r>
          </m:e>
          <m:sub>
            <m:r>
              <w:rPr>
                <w:rFonts w:ascii="Cambria Math" w:hAnsi="Cambria Math"/>
                <w:lang w:val="es-UY"/>
              </w:rPr>
              <m:t>0</m:t>
            </m:r>
          </m:sub>
        </m:sSub>
      </m:oMath>
      <w:r w:rsidRPr="00EC49D7">
        <w:rPr>
          <w:lang w:val="es-UY"/>
        </w:rPr>
        <w:t xml:space="preserve"> es el salario sin proyecto,  y </w:t>
      </w:r>
      <m:oMath>
        <m:r>
          <w:rPr>
            <w:rFonts w:ascii="Cambria Math" w:hAnsi="Cambria Math"/>
            <w:lang w:val="es-UY"/>
          </w:rPr>
          <m:t>∂</m:t>
        </m:r>
      </m:oMath>
      <w:r w:rsidRPr="00EC49D7">
        <w:rPr>
          <w:lang w:val="es-UY"/>
        </w:rPr>
        <w:t xml:space="preserve"> es la tasa constante de depreciación del capital humano en el sector. </w:t>
      </w:r>
    </w:p>
    <w:p w:rsidR="006D0A4D" w:rsidRPr="00EC49D7" w:rsidRDefault="006D0A4D" w:rsidP="006D0A4D">
      <w:pPr>
        <w:tabs>
          <w:tab w:val="left" w:pos="6180"/>
        </w:tabs>
        <w:jc w:val="both"/>
        <w:rPr>
          <w:lang w:val="es-UY"/>
        </w:rPr>
      </w:pPr>
    </w:p>
    <w:p w:rsidR="006D0A4D" w:rsidRPr="00EC49D7" w:rsidRDefault="006D0A4D" w:rsidP="00C518CC">
      <w:pPr>
        <w:tabs>
          <w:tab w:val="left" w:pos="6180"/>
        </w:tabs>
        <w:jc w:val="both"/>
        <w:rPr>
          <w:lang w:val="es-UY"/>
        </w:rPr>
      </w:pPr>
      <w:r w:rsidRPr="00EC49D7">
        <w:rPr>
          <w:lang w:val="es-UY"/>
        </w:rPr>
        <w:t>En el caso de los alumnos que migran</w:t>
      </w:r>
      <w:r w:rsidR="00380DFC" w:rsidRPr="00EC49D7">
        <w:rPr>
          <w:lang w:val="es-UY"/>
        </w:rPr>
        <w:t xml:space="preserve"> y son contratados en el sector SBIC</w:t>
      </w:r>
      <w:r w:rsidRPr="00EC49D7">
        <w:rPr>
          <w:lang w:val="es-UY"/>
        </w:rPr>
        <w:t xml:space="preserve">, los beneficios </w:t>
      </w:r>
      <w:r w:rsidR="00383669" w:rsidRPr="00EC49D7">
        <w:rPr>
          <w:lang w:val="es-UY"/>
        </w:rPr>
        <w:t>toma</w:t>
      </w:r>
      <w:r w:rsidR="005F1D5B" w:rsidRPr="00EC49D7">
        <w:rPr>
          <w:lang w:val="es-UY"/>
        </w:rPr>
        <w:t>n</w:t>
      </w:r>
      <w:r w:rsidR="00383669" w:rsidRPr="00EC49D7">
        <w:rPr>
          <w:lang w:val="es-UY"/>
        </w:rPr>
        <w:t xml:space="preserve"> en cuenta que se está creando un nuevo puesto de trabajo</w:t>
      </w:r>
      <w:r w:rsidRPr="00EC49D7">
        <w:rPr>
          <w:lang w:val="es-UY"/>
        </w:rPr>
        <w:t>:</w:t>
      </w:r>
    </w:p>
    <w:p w:rsidR="00D43B80" w:rsidRPr="00EC49D7" w:rsidRDefault="006D0A4D" w:rsidP="00C518CC">
      <w:pPr>
        <w:tabs>
          <w:tab w:val="left" w:pos="6180"/>
        </w:tabs>
        <w:jc w:val="both"/>
        <w:rPr>
          <w:lang w:val="es-UY"/>
        </w:rPr>
      </w:pPr>
      <w:r w:rsidRPr="00EC49D7">
        <w:rPr>
          <w:lang w:val="es-UY"/>
        </w:rPr>
        <w:t xml:space="preserve"> </w:t>
      </w:r>
    </w:p>
    <w:p w:rsidR="006D0A4D" w:rsidRPr="00EC49D7" w:rsidRDefault="009B3E42" w:rsidP="006D0A4D">
      <w:pPr>
        <w:tabs>
          <w:tab w:val="left" w:pos="6180"/>
        </w:tabs>
        <w:jc w:val="center"/>
        <w:rPr>
          <w:lang w:val="es-ES"/>
        </w:rPr>
      </w:pPr>
      <m:oMath>
        <m:sSub>
          <m:sSubPr>
            <m:ctrlPr>
              <w:rPr>
                <w:rFonts w:ascii="Cambria Math" w:hAnsi="Cambria Math"/>
                <w:i/>
                <w:lang w:val="es-UY"/>
              </w:rPr>
            </m:ctrlPr>
          </m:sSubPr>
          <m:e>
            <m:sSup>
              <m:sSupPr>
                <m:ctrlPr>
                  <w:rPr>
                    <w:rFonts w:ascii="Cambria Math" w:hAnsi="Cambria Math"/>
                    <w:i/>
                    <w:lang w:val="es-UY"/>
                  </w:rPr>
                </m:ctrlPr>
              </m:sSupPr>
              <m:e>
                <m:r>
                  <w:rPr>
                    <w:rFonts w:ascii="Cambria Math" w:hAnsi="Cambria Math"/>
                    <w:lang w:val="es-UY"/>
                  </w:rPr>
                  <m:t>π</m:t>
                </m:r>
              </m:e>
              <m:sup>
                <m:r>
                  <w:rPr>
                    <w:rFonts w:ascii="Cambria Math" w:hAnsi="Cambria Math"/>
                    <w:lang w:val="es-UY"/>
                  </w:rPr>
                  <m:t>M</m:t>
                </m:r>
              </m:sup>
            </m:sSup>
          </m:e>
          <m:sub>
            <m:r>
              <w:rPr>
                <w:rFonts w:ascii="Cambria Math" w:hAnsi="Cambria Math"/>
                <w:lang w:val="es-UY"/>
              </w:rPr>
              <m:t>t,t-n</m:t>
            </m:r>
          </m:sub>
        </m:sSub>
        <m:r>
          <w:rPr>
            <w:rFonts w:ascii="Cambria Math" w:hAnsi="Cambria Math"/>
            <w:lang w:val="es-UY"/>
          </w:rPr>
          <m:t>=</m:t>
        </m:r>
        <m:d>
          <m:dPr>
            <m:ctrlPr>
              <w:rPr>
                <w:rFonts w:ascii="Cambria Math" w:hAnsi="Cambria Math"/>
                <w:i/>
                <w:lang w:val="es-UY"/>
              </w:rPr>
            </m:ctrlPr>
          </m:dPr>
          <m:e>
            <m:sSub>
              <m:sSubPr>
                <m:ctrlPr>
                  <w:rPr>
                    <w:rFonts w:ascii="Cambria Math" w:hAnsi="Cambria Math"/>
                    <w:i/>
                    <w:lang w:val="es-UY"/>
                  </w:rPr>
                </m:ctrlPr>
              </m:sSubPr>
              <m:e>
                <m:r>
                  <w:rPr>
                    <w:rFonts w:ascii="Cambria Math" w:hAnsi="Cambria Math"/>
                    <w:lang w:val="es-UY"/>
                  </w:rPr>
                  <m:t>S</m:t>
                </m:r>
              </m:e>
              <m:sub>
                <m:r>
                  <w:rPr>
                    <w:rFonts w:ascii="Cambria Math" w:hAnsi="Cambria Math"/>
                    <w:lang w:val="es-UY"/>
                  </w:rPr>
                  <m:t>1</m:t>
                </m:r>
              </m:sub>
            </m:sSub>
          </m:e>
        </m:d>
        <m:r>
          <w:rPr>
            <w:rFonts w:ascii="Cambria Math" w:hAnsi="Cambria Math"/>
            <w:lang w:val="es-UY"/>
          </w:rPr>
          <m:t>.</m:t>
        </m:r>
        <m:d>
          <m:dPr>
            <m:ctrlPr>
              <w:rPr>
                <w:rFonts w:ascii="Cambria Math" w:hAnsi="Cambria Math"/>
                <w:i/>
                <w:lang w:val="es-UY"/>
              </w:rPr>
            </m:ctrlPr>
          </m:dPr>
          <m:e>
            <m:r>
              <w:rPr>
                <w:rFonts w:ascii="Cambria Math" w:hAnsi="Cambria Math"/>
                <w:lang w:val="es-UY"/>
              </w:rPr>
              <m:t>1-∂n</m:t>
            </m:r>
          </m:e>
        </m:d>
      </m:oMath>
      <w:r w:rsidR="006D0A4D" w:rsidRPr="00EC49D7">
        <w:rPr>
          <w:lang w:val="es-UY"/>
        </w:rPr>
        <w:t xml:space="preserve">         si </w:t>
      </w:r>
      <m:oMath>
        <m:r>
          <w:rPr>
            <w:rFonts w:ascii="Cambria Math" w:hAnsi="Cambria Math"/>
            <w:lang w:val="es-UY"/>
          </w:rPr>
          <m:t>∂n</m:t>
        </m:r>
        <m:r>
          <w:rPr>
            <w:rFonts w:ascii="Cambria Math" w:hAnsi="Cambria Math"/>
            <w:lang w:val="es-ES"/>
          </w:rPr>
          <m:t>≤1</m:t>
        </m:r>
      </m:oMath>
    </w:p>
    <w:p w:rsidR="006D0A4D" w:rsidRPr="00EC49D7" w:rsidRDefault="006D0A4D" w:rsidP="006D0A4D">
      <w:pPr>
        <w:tabs>
          <w:tab w:val="left" w:pos="6180"/>
        </w:tabs>
        <w:jc w:val="both"/>
        <w:rPr>
          <w:lang w:val="es-ES"/>
        </w:rPr>
      </w:pPr>
      <w:r w:rsidRPr="00EC49D7">
        <w:rPr>
          <w:lang w:val="es-ES"/>
        </w:rPr>
        <w:t xml:space="preserve">                                                                 0                                si  </w:t>
      </w:r>
      <m:oMath>
        <m:r>
          <w:rPr>
            <w:rFonts w:ascii="Cambria Math" w:hAnsi="Cambria Math"/>
            <w:lang w:val="es-UY"/>
          </w:rPr>
          <m:t>∂n&gt;</m:t>
        </m:r>
        <m:r>
          <w:rPr>
            <w:rFonts w:ascii="Cambria Math" w:hAnsi="Cambria Math"/>
            <w:lang w:val="es-ES"/>
          </w:rPr>
          <m:t>1</m:t>
        </m:r>
      </m:oMath>
    </w:p>
    <w:p w:rsidR="006D0A4D" w:rsidRPr="00EC49D7" w:rsidRDefault="006D0A4D" w:rsidP="00C518CC">
      <w:pPr>
        <w:tabs>
          <w:tab w:val="left" w:pos="6180"/>
        </w:tabs>
        <w:jc w:val="both"/>
        <w:rPr>
          <w:lang w:val="es-UY"/>
        </w:rPr>
      </w:pPr>
    </w:p>
    <w:p w:rsidR="00CC2D45" w:rsidRPr="00EC49D7" w:rsidRDefault="00CC2D45" w:rsidP="00C518CC">
      <w:pPr>
        <w:tabs>
          <w:tab w:val="left" w:pos="6180"/>
        </w:tabs>
        <w:jc w:val="both"/>
        <w:rPr>
          <w:lang w:val="es-UY"/>
        </w:rPr>
      </w:pPr>
    </w:p>
    <w:p w:rsidR="002A4F06" w:rsidRPr="00EC49D7" w:rsidRDefault="002A4F06" w:rsidP="00C518CC">
      <w:pPr>
        <w:tabs>
          <w:tab w:val="left" w:pos="6180"/>
        </w:tabs>
        <w:jc w:val="both"/>
        <w:rPr>
          <w:lang w:val="es-UY"/>
        </w:rPr>
      </w:pPr>
    </w:p>
    <w:p w:rsidR="002A4F06" w:rsidRPr="00EC49D7" w:rsidRDefault="00973DFA" w:rsidP="00C518CC">
      <w:pPr>
        <w:tabs>
          <w:tab w:val="left" w:pos="6180"/>
        </w:tabs>
        <w:jc w:val="both"/>
        <w:rPr>
          <w:b/>
          <w:lang w:val="es-UY"/>
        </w:rPr>
      </w:pPr>
      <w:r w:rsidRPr="00EC49D7">
        <w:rPr>
          <w:b/>
          <w:lang w:val="es-UY"/>
        </w:rPr>
        <w:t>Resumen de Beneficios del Componente I</w:t>
      </w:r>
    </w:p>
    <w:p w:rsidR="00973DFA" w:rsidRPr="00EC49D7" w:rsidRDefault="00973DFA" w:rsidP="00C518CC">
      <w:pPr>
        <w:tabs>
          <w:tab w:val="left" w:pos="6180"/>
        </w:tabs>
        <w:jc w:val="both"/>
        <w:rPr>
          <w:lang w:val="es-UY"/>
        </w:rPr>
      </w:pPr>
    </w:p>
    <w:p w:rsidR="00CC2D45" w:rsidRPr="00EC49D7" w:rsidRDefault="00383669" w:rsidP="00C518CC">
      <w:pPr>
        <w:tabs>
          <w:tab w:val="left" w:pos="6180"/>
        </w:tabs>
        <w:jc w:val="both"/>
        <w:rPr>
          <w:lang w:val="es-UY"/>
        </w:rPr>
      </w:pPr>
      <w:r w:rsidRPr="00EC49D7">
        <w:rPr>
          <w:lang w:val="es-UY"/>
        </w:rPr>
        <w:t>La</w:t>
      </w:r>
      <w:r w:rsidR="00CC2D45" w:rsidRPr="00EC49D7">
        <w:rPr>
          <w:lang w:val="es-UY"/>
        </w:rPr>
        <w:t xml:space="preserve"> siguiente ecuaci</w:t>
      </w:r>
      <w:r w:rsidRPr="00EC49D7">
        <w:rPr>
          <w:lang w:val="es-UY"/>
        </w:rPr>
        <w:t>ón</w:t>
      </w:r>
      <w:r w:rsidR="00CC2D45" w:rsidRPr="00EC49D7">
        <w:rPr>
          <w:lang w:val="es-UY"/>
        </w:rPr>
        <w:t xml:space="preserve"> resume los beneficios del componente I. </w:t>
      </w:r>
      <w:r w:rsidR="006D0A4D" w:rsidRPr="00EC49D7">
        <w:rPr>
          <w:lang w:val="es-UY"/>
        </w:rPr>
        <w:t xml:space="preserve">El número de extranjeros, migrantes y nacionales se determina de forma endógena. </w:t>
      </w:r>
    </w:p>
    <w:p w:rsidR="00CC2D45" w:rsidRPr="00EC49D7" w:rsidRDefault="00CC2D45" w:rsidP="00C518CC">
      <w:pPr>
        <w:tabs>
          <w:tab w:val="left" w:pos="6180"/>
        </w:tabs>
        <w:jc w:val="both"/>
        <w:rPr>
          <w:lang w:val="es-UY"/>
        </w:rPr>
      </w:pPr>
    </w:p>
    <w:p w:rsidR="00CC2D45" w:rsidRPr="00EC49D7" w:rsidRDefault="009B3E42" w:rsidP="00C518CC">
      <w:pPr>
        <w:tabs>
          <w:tab w:val="left" w:pos="6180"/>
        </w:tabs>
        <w:jc w:val="both"/>
        <w:rPr>
          <w:lang w:val="es-UY"/>
        </w:rPr>
      </w:pPr>
      <m:oMathPara>
        <m:oMath>
          <m:sSubSup>
            <m:sSubSupPr>
              <m:ctrlPr>
                <w:rPr>
                  <w:rFonts w:ascii="Cambria Math" w:hAnsi="Cambria Math"/>
                  <w:i/>
                  <w:lang w:val="es-UY"/>
                </w:rPr>
              </m:ctrlPr>
            </m:sSubSupPr>
            <m:e>
              <m:r>
                <w:rPr>
                  <w:rFonts w:ascii="Cambria Math" w:hAnsi="Cambria Math"/>
                  <w:lang w:val="es-UY"/>
                </w:rPr>
                <m:t>π</m:t>
              </m:r>
            </m:e>
            <m:sub>
              <m:r>
                <w:rPr>
                  <w:rFonts w:ascii="Cambria Math" w:hAnsi="Cambria Math"/>
                  <w:lang w:val="es-UY"/>
                </w:rPr>
                <m:t>t</m:t>
              </m:r>
            </m:sub>
            <m:sup>
              <m:r>
                <w:rPr>
                  <w:rFonts w:ascii="Cambria Math" w:hAnsi="Cambria Math"/>
                  <w:lang w:val="es-UY"/>
                </w:rPr>
                <m:t>cI</m:t>
              </m:r>
            </m:sup>
          </m:sSubSup>
          <m:r>
            <w:rPr>
              <w:rFonts w:ascii="Cambria Math" w:hAnsi="Cambria Math"/>
              <w:lang w:val="es-UY"/>
            </w:rPr>
            <m:t>=</m:t>
          </m:r>
          <m:sSub>
            <m:sSubPr>
              <m:ctrlPr>
                <w:rPr>
                  <w:rFonts w:ascii="Cambria Math" w:hAnsi="Cambria Math"/>
                  <w:i/>
                  <w:lang w:val="es-UY"/>
                </w:rPr>
              </m:ctrlPr>
            </m:sSubPr>
            <m:e>
              <m:sSup>
                <m:sSupPr>
                  <m:ctrlPr>
                    <w:rPr>
                      <w:rFonts w:ascii="Cambria Math" w:hAnsi="Cambria Math"/>
                      <w:i/>
                      <w:lang w:val="es-UY"/>
                    </w:rPr>
                  </m:ctrlPr>
                </m:sSupPr>
                <m:e>
                  <m:r>
                    <w:rPr>
                      <w:rFonts w:ascii="Cambria Math" w:hAnsi="Cambria Math"/>
                      <w:lang w:val="es-UY"/>
                    </w:rPr>
                    <m:t>π</m:t>
                  </m:r>
                </m:e>
                <m:sup>
                  <m:r>
                    <w:rPr>
                      <w:rFonts w:ascii="Cambria Math" w:hAnsi="Cambria Math"/>
                      <w:lang w:val="es-UY"/>
                    </w:rPr>
                    <m:t>E</m:t>
                  </m:r>
                </m:sup>
              </m:sSup>
            </m:e>
            <m:sub>
              <m:r>
                <w:rPr>
                  <w:rFonts w:ascii="Cambria Math" w:hAnsi="Cambria Math"/>
                  <w:lang w:val="es-UY"/>
                </w:rPr>
                <m:t>t</m:t>
              </m:r>
            </m:sub>
          </m:sSub>
          <m:d>
            <m:dPr>
              <m:ctrlPr>
                <w:rPr>
                  <w:rFonts w:ascii="Cambria Math" w:hAnsi="Cambria Math"/>
                  <w:i/>
                  <w:lang w:val="es-UY"/>
                </w:rPr>
              </m:ctrlPr>
            </m:dPr>
            <m:e>
              <m:sSub>
                <m:sSubPr>
                  <m:ctrlPr>
                    <w:rPr>
                      <w:rFonts w:ascii="Cambria Math" w:hAnsi="Cambria Math"/>
                      <w:i/>
                      <w:lang w:val="es-UY"/>
                    </w:rPr>
                  </m:ctrlPr>
                </m:sSubPr>
                <m:e>
                  <m:r>
                    <w:rPr>
                      <w:rFonts w:ascii="Cambria Math" w:hAnsi="Cambria Math"/>
                      <w:lang w:val="es-UY"/>
                    </w:rPr>
                    <m:t>T</m:t>
                  </m:r>
                </m:e>
                <m:sub>
                  <m:r>
                    <w:rPr>
                      <w:rFonts w:ascii="Cambria Math" w:hAnsi="Cambria Math"/>
                      <w:lang w:val="es-UY"/>
                    </w:rPr>
                    <m:t>t</m:t>
                  </m:r>
                </m:sub>
              </m:sSub>
              <m:r>
                <w:rPr>
                  <w:rFonts w:ascii="Cambria Math" w:hAnsi="Cambria Math"/>
                  <w:lang w:val="es-UY"/>
                </w:rPr>
                <m:t>*α-</m:t>
              </m:r>
              <m:sSub>
                <m:sSubPr>
                  <m:ctrlPr>
                    <w:rPr>
                      <w:rFonts w:ascii="Cambria Math" w:hAnsi="Cambria Math"/>
                      <w:i/>
                      <w:lang w:val="es-UY"/>
                    </w:rPr>
                  </m:ctrlPr>
                </m:sSubPr>
                <m:e>
                  <m:r>
                    <w:rPr>
                      <w:rFonts w:ascii="Cambria Math" w:hAnsi="Cambria Math"/>
                      <w:lang w:val="es-UY"/>
                    </w:rPr>
                    <m:t>M</m:t>
                  </m:r>
                </m:e>
                <m:sub>
                  <m:r>
                    <w:rPr>
                      <w:rFonts w:ascii="Cambria Math" w:hAnsi="Cambria Math"/>
                      <w:lang w:val="es-UY"/>
                    </w:rPr>
                    <m:t>t</m:t>
                  </m:r>
                </m:sub>
              </m:sSub>
            </m:e>
          </m:d>
          <m:r>
            <w:rPr>
              <w:rFonts w:ascii="Cambria Math" w:hAnsi="Cambria Math"/>
              <w:lang w:val="es-UY"/>
            </w:rPr>
            <m:t>+</m:t>
          </m:r>
          <m:nary>
            <m:naryPr>
              <m:chr m:val="∑"/>
              <m:limLoc m:val="undOvr"/>
              <m:supHide m:val="1"/>
              <m:ctrlPr>
                <w:rPr>
                  <w:rFonts w:ascii="Cambria Math" w:hAnsi="Cambria Math"/>
                  <w:i/>
                  <w:lang w:val="es-UY"/>
                </w:rPr>
              </m:ctrlPr>
            </m:naryPr>
            <m:sub>
              <m:r>
                <w:rPr>
                  <w:rFonts w:ascii="Cambria Math" w:hAnsi="Cambria Math"/>
                  <w:lang w:val="es-UY"/>
                </w:rPr>
                <m:t>n</m:t>
              </m:r>
            </m:sub>
            <m:sup/>
            <m:e>
              <m:sSub>
                <m:sSubPr>
                  <m:ctrlPr>
                    <w:rPr>
                      <w:rFonts w:ascii="Cambria Math" w:hAnsi="Cambria Math"/>
                      <w:i/>
                      <w:lang w:val="es-UY"/>
                    </w:rPr>
                  </m:ctrlPr>
                </m:sSubPr>
                <m:e>
                  <m:sSup>
                    <m:sSupPr>
                      <m:ctrlPr>
                        <w:rPr>
                          <w:rFonts w:ascii="Cambria Math" w:hAnsi="Cambria Math"/>
                          <w:i/>
                          <w:lang w:val="es-UY"/>
                        </w:rPr>
                      </m:ctrlPr>
                    </m:sSupPr>
                    <m:e>
                      <m:r>
                        <w:rPr>
                          <w:rFonts w:ascii="Cambria Math" w:hAnsi="Cambria Math"/>
                          <w:lang w:val="es-UY"/>
                        </w:rPr>
                        <m:t>π</m:t>
                      </m:r>
                    </m:e>
                    <m:sup>
                      <m:r>
                        <w:rPr>
                          <w:rFonts w:ascii="Cambria Math" w:hAnsi="Cambria Math"/>
                          <w:lang w:val="es-UY"/>
                        </w:rPr>
                        <m:t>M</m:t>
                      </m:r>
                    </m:sup>
                  </m:sSup>
                </m:e>
                <m:sub>
                  <m:r>
                    <w:rPr>
                      <w:rFonts w:ascii="Cambria Math" w:hAnsi="Cambria Math"/>
                      <w:lang w:val="es-UY"/>
                    </w:rPr>
                    <m:t>t,t-n</m:t>
                  </m:r>
                </m:sub>
              </m:sSub>
              <m:sSub>
                <m:sSubPr>
                  <m:ctrlPr>
                    <w:rPr>
                      <w:rFonts w:ascii="Cambria Math" w:hAnsi="Cambria Math"/>
                      <w:i/>
                      <w:lang w:val="es-UY"/>
                    </w:rPr>
                  </m:ctrlPr>
                </m:sSubPr>
                <m:e>
                  <m:r>
                    <w:rPr>
                      <w:rFonts w:ascii="Cambria Math" w:hAnsi="Cambria Math"/>
                      <w:lang w:val="es-UY"/>
                    </w:rPr>
                    <m:t>M</m:t>
                  </m:r>
                </m:e>
                <m:sub>
                  <m:r>
                    <w:rPr>
                      <w:rFonts w:ascii="Cambria Math" w:hAnsi="Cambria Math"/>
                      <w:lang w:val="es-UY"/>
                    </w:rPr>
                    <m:t>t-n</m:t>
                  </m:r>
                </m:sub>
              </m:sSub>
            </m:e>
          </m:nary>
          <m:r>
            <w:rPr>
              <w:rFonts w:ascii="Cambria Math" w:hAnsi="Cambria Math"/>
              <w:lang w:val="es-UY"/>
            </w:rPr>
            <m:t>+</m:t>
          </m:r>
          <m:nary>
            <m:naryPr>
              <m:chr m:val="∑"/>
              <m:limLoc m:val="undOvr"/>
              <m:supHide m:val="1"/>
              <m:ctrlPr>
                <w:rPr>
                  <w:rFonts w:ascii="Cambria Math" w:hAnsi="Cambria Math"/>
                  <w:i/>
                  <w:lang w:val="es-UY"/>
                </w:rPr>
              </m:ctrlPr>
            </m:naryPr>
            <m:sub>
              <m:r>
                <w:rPr>
                  <w:rFonts w:ascii="Cambria Math" w:hAnsi="Cambria Math"/>
                  <w:lang w:val="es-UY"/>
                </w:rPr>
                <m:t>n</m:t>
              </m:r>
            </m:sub>
            <m:sup/>
            <m:e>
              <m:sSub>
                <m:sSubPr>
                  <m:ctrlPr>
                    <w:rPr>
                      <w:rFonts w:ascii="Cambria Math" w:hAnsi="Cambria Math"/>
                      <w:i/>
                      <w:lang w:val="es-UY"/>
                    </w:rPr>
                  </m:ctrlPr>
                </m:sSubPr>
                <m:e>
                  <m:sSup>
                    <m:sSupPr>
                      <m:ctrlPr>
                        <w:rPr>
                          <w:rFonts w:ascii="Cambria Math" w:hAnsi="Cambria Math"/>
                          <w:i/>
                          <w:lang w:val="es-UY"/>
                        </w:rPr>
                      </m:ctrlPr>
                    </m:sSupPr>
                    <m:e>
                      <m:r>
                        <w:rPr>
                          <w:rFonts w:ascii="Cambria Math" w:hAnsi="Cambria Math"/>
                          <w:lang w:val="es-UY"/>
                        </w:rPr>
                        <m:t>π</m:t>
                      </m:r>
                    </m:e>
                    <m:sup>
                      <m:r>
                        <w:rPr>
                          <w:rFonts w:ascii="Cambria Math" w:hAnsi="Cambria Math"/>
                          <w:lang w:val="es-UY"/>
                        </w:rPr>
                        <m:t>N</m:t>
                      </m:r>
                    </m:sup>
                  </m:sSup>
                </m:e>
                <m:sub>
                  <m:r>
                    <w:rPr>
                      <w:rFonts w:ascii="Cambria Math" w:hAnsi="Cambria Math"/>
                      <w:lang w:val="es-UY"/>
                    </w:rPr>
                    <m:t>t,t-n</m:t>
                  </m:r>
                </m:sub>
              </m:sSub>
              <m:sSub>
                <m:sSubPr>
                  <m:ctrlPr>
                    <w:rPr>
                      <w:rFonts w:ascii="Cambria Math" w:hAnsi="Cambria Math"/>
                      <w:i/>
                      <w:lang w:val="es-UY"/>
                    </w:rPr>
                  </m:ctrlPr>
                </m:sSubPr>
                <m:e>
                  <m:r>
                    <w:rPr>
                      <w:rFonts w:ascii="Cambria Math" w:hAnsi="Cambria Math"/>
                      <w:lang w:val="es-UY"/>
                    </w:rPr>
                    <m:t>N</m:t>
                  </m:r>
                </m:e>
                <m:sub>
                  <m:r>
                    <w:rPr>
                      <w:rFonts w:ascii="Cambria Math" w:hAnsi="Cambria Math"/>
                      <w:lang w:val="es-UY"/>
                    </w:rPr>
                    <m:t>t-n</m:t>
                  </m:r>
                </m:sub>
              </m:sSub>
            </m:e>
          </m:nary>
        </m:oMath>
      </m:oMathPara>
    </w:p>
    <w:p w:rsidR="006D0A4D" w:rsidRPr="00EC49D7" w:rsidRDefault="006D0A4D" w:rsidP="00C518CC">
      <w:pPr>
        <w:tabs>
          <w:tab w:val="left" w:pos="6180"/>
        </w:tabs>
        <w:jc w:val="both"/>
        <w:rPr>
          <w:lang w:val="es-UY"/>
        </w:rPr>
      </w:pPr>
    </w:p>
    <w:p w:rsidR="006D0A4D" w:rsidRPr="00EC49D7" w:rsidRDefault="006D0A4D" w:rsidP="00C518CC">
      <w:pPr>
        <w:tabs>
          <w:tab w:val="left" w:pos="6180"/>
        </w:tabs>
        <w:jc w:val="both"/>
        <w:rPr>
          <w:lang w:val="es-UY"/>
        </w:rPr>
      </w:pPr>
      <w:r w:rsidRPr="00EC49D7">
        <w:rPr>
          <w:lang w:val="es-UY"/>
        </w:rPr>
        <w:t xml:space="preserve">Donde </w:t>
      </w:r>
      <m:oMath>
        <m:sSub>
          <m:sSubPr>
            <m:ctrlPr>
              <w:rPr>
                <w:rFonts w:ascii="Cambria Math" w:hAnsi="Cambria Math"/>
                <w:i/>
                <w:lang w:val="es-UY"/>
              </w:rPr>
            </m:ctrlPr>
          </m:sSubPr>
          <m:e>
            <m:r>
              <w:rPr>
                <w:rFonts w:ascii="Cambria Math" w:hAnsi="Cambria Math"/>
                <w:lang w:val="es-UY"/>
              </w:rPr>
              <m:t>T</m:t>
            </m:r>
          </m:e>
          <m:sub>
            <m:r>
              <w:rPr>
                <w:rFonts w:ascii="Cambria Math" w:hAnsi="Cambria Math"/>
                <w:lang w:val="es-UY"/>
              </w:rPr>
              <m:t>t</m:t>
            </m:r>
          </m:sub>
        </m:sSub>
      </m:oMath>
      <w:r w:rsidRPr="00EC49D7">
        <w:rPr>
          <w:lang w:val="es-UY"/>
        </w:rPr>
        <w:t xml:space="preserve"> es el total de matriculados en el momento </w:t>
      </w:r>
      <w:r w:rsidR="00970877" w:rsidRPr="00EC49D7">
        <w:rPr>
          <w:lang w:val="es-UY"/>
        </w:rPr>
        <w:t xml:space="preserve">t, </w:t>
      </w:r>
      <m:oMath>
        <m:r>
          <w:rPr>
            <w:rFonts w:ascii="Cambria Math" w:hAnsi="Cambria Math"/>
            <w:lang w:val="es-UY"/>
          </w:rPr>
          <m:t>α</m:t>
        </m:r>
      </m:oMath>
      <w:r w:rsidR="00973DFA" w:rsidRPr="00EC49D7">
        <w:rPr>
          <w:lang w:val="es-UY"/>
        </w:rPr>
        <w:t xml:space="preserve"> </w:t>
      </w:r>
      <w:r w:rsidR="00970877" w:rsidRPr="00EC49D7">
        <w:rPr>
          <w:lang w:val="es-UY"/>
        </w:rPr>
        <w:t xml:space="preserve">es la proporción de extranjeros que se matricula, </w:t>
      </w:r>
      <m:oMath>
        <m:sSub>
          <m:sSubPr>
            <m:ctrlPr>
              <w:rPr>
                <w:rFonts w:ascii="Cambria Math" w:hAnsi="Cambria Math"/>
                <w:i/>
                <w:lang w:val="es-UY"/>
              </w:rPr>
            </m:ctrlPr>
          </m:sSubPr>
          <m:e>
            <m:r>
              <w:rPr>
                <w:rFonts w:ascii="Cambria Math" w:hAnsi="Cambria Math"/>
                <w:lang w:val="es-UY"/>
              </w:rPr>
              <m:t>M</m:t>
            </m:r>
          </m:e>
          <m:sub>
            <m:r>
              <w:rPr>
                <w:rFonts w:ascii="Cambria Math" w:hAnsi="Cambria Math"/>
                <w:lang w:val="es-UY"/>
              </w:rPr>
              <m:t>t</m:t>
            </m:r>
          </m:sub>
        </m:sSub>
      </m:oMath>
      <w:r w:rsidR="00973DFA" w:rsidRPr="00EC49D7">
        <w:rPr>
          <w:lang w:val="es-UY"/>
        </w:rPr>
        <w:t xml:space="preserve"> es el total de extranjeros graduados y migrados </w:t>
      </w:r>
      <w:r w:rsidR="00912798" w:rsidRPr="00EC49D7">
        <w:rPr>
          <w:lang w:val="es-UY"/>
        </w:rPr>
        <w:t xml:space="preserve">contratados </w:t>
      </w:r>
      <w:r w:rsidR="00973DFA" w:rsidRPr="00EC49D7">
        <w:rPr>
          <w:lang w:val="es-UY"/>
        </w:rPr>
        <w:t xml:space="preserve">en SBIC </w:t>
      </w:r>
      <w:r w:rsidR="00912798" w:rsidRPr="00EC49D7">
        <w:rPr>
          <w:lang w:val="es-UY"/>
        </w:rPr>
        <w:t xml:space="preserve">en el momento t </w:t>
      </w:r>
      <w:r w:rsidR="00973DFA" w:rsidRPr="00EC49D7">
        <w:rPr>
          <w:lang w:val="es-UY"/>
        </w:rPr>
        <w:t>y</w:t>
      </w:r>
      <m:oMath>
        <m:sSub>
          <m:sSubPr>
            <m:ctrlPr>
              <w:rPr>
                <w:rFonts w:ascii="Cambria Math" w:hAnsi="Cambria Math"/>
                <w:i/>
                <w:lang w:val="es-UY"/>
              </w:rPr>
            </m:ctrlPr>
          </m:sSubPr>
          <m:e>
            <m:r>
              <w:rPr>
                <w:rFonts w:ascii="Cambria Math" w:hAnsi="Cambria Math"/>
                <w:lang w:val="es-UY"/>
              </w:rPr>
              <m:t xml:space="preserve"> N</m:t>
            </m:r>
          </m:e>
          <m:sub>
            <m:r>
              <w:rPr>
                <w:rFonts w:ascii="Cambria Math" w:hAnsi="Cambria Math"/>
                <w:lang w:val="es-UY"/>
              </w:rPr>
              <m:t>t</m:t>
            </m:r>
          </m:sub>
        </m:sSub>
      </m:oMath>
      <w:r w:rsidR="00973DFA" w:rsidRPr="00EC49D7">
        <w:rPr>
          <w:lang w:val="es-UY"/>
        </w:rPr>
        <w:t xml:space="preserve"> es el total de nacionales graduados </w:t>
      </w:r>
      <w:r w:rsidR="00912798" w:rsidRPr="00EC49D7">
        <w:rPr>
          <w:lang w:val="es-UY"/>
        </w:rPr>
        <w:t xml:space="preserve">contratados por las empresas </w:t>
      </w:r>
      <w:r w:rsidR="00973DFA" w:rsidRPr="00EC49D7">
        <w:rPr>
          <w:lang w:val="es-UY"/>
        </w:rPr>
        <w:t>SBIC</w:t>
      </w:r>
      <w:r w:rsidR="00912798" w:rsidRPr="00EC49D7">
        <w:rPr>
          <w:lang w:val="es-UY"/>
        </w:rPr>
        <w:t xml:space="preserve"> en el momento t</w:t>
      </w:r>
      <w:r w:rsidR="00973DFA" w:rsidRPr="00EC49D7">
        <w:rPr>
          <w:lang w:val="es-UY"/>
        </w:rPr>
        <w:t xml:space="preserve">. Todos los valores </w:t>
      </w:r>
      <w:r w:rsidR="00912798" w:rsidRPr="00EC49D7">
        <w:rPr>
          <w:lang w:val="es-UY"/>
        </w:rPr>
        <w:t xml:space="preserve">de estas poblaciones </w:t>
      </w:r>
      <w:r w:rsidR="00973DFA" w:rsidRPr="00EC49D7">
        <w:rPr>
          <w:lang w:val="es-UY"/>
        </w:rPr>
        <w:t>son tomados de la matriz de resultados</w:t>
      </w:r>
      <w:r w:rsidR="00970877" w:rsidRPr="00EC49D7">
        <w:rPr>
          <w:lang w:val="es-UY"/>
        </w:rPr>
        <w:t xml:space="preserve"> del anexo</w:t>
      </w:r>
      <w:r w:rsidR="00973DFA" w:rsidRPr="00EC49D7">
        <w:rPr>
          <w:lang w:val="es-UY"/>
        </w:rPr>
        <w:t xml:space="preserve">. </w:t>
      </w:r>
      <w:r w:rsidR="00970877" w:rsidRPr="00EC49D7">
        <w:rPr>
          <w:lang w:val="es-UY"/>
        </w:rPr>
        <w:t>Se asume que la tasa de egreso de los nacionales y los extranjeros es la misma (70%</w:t>
      </w:r>
      <w:r w:rsidR="002246A2" w:rsidRPr="00EC49D7">
        <w:rPr>
          <w:lang w:val="es-UY"/>
        </w:rPr>
        <w:t>, según el resultado 1.2 de la matriz del anexo</w:t>
      </w:r>
      <w:r w:rsidR="00970877" w:rsidRPr="00EC49D7">
        <w:rPr>
          <w:lang w:val="es-UY"/>
        </w:rPr>
        <w:t xml:space="preserve">). </w:t>
      </w:r>
    </w:p>
    <w:p w:rsidR="00CC2D45" w:rsidRPr="00EC49D7" w:rsidRDefault="00CC2D45" w:rsidP="00C518CC">
      <w:pPr>
        <w:tabs>
          <w:tab w:val="left" w:pos="6180"/>
        </w:tabs>
        <w:jc w:val="both"/>
        <w:rPr>
          <w:lang w:val="es-UY"/>
        </w:rPr>
      </w:pPr>
    </w:p>
    <w:p w:rsidR="00561B3B" w:rsidRPr="00EC49D7" w:rsidRDefault="00561B3B" w:rsidP="00C518CC">
      <w:pPr>
        <w:tabs>
          <w:tab w:val="left" w:pos="6180"/>
        </w:tabs>
        <w:jc w:val="both"/>
        <w:rPr>
          <w:lang w:val="es-UY"/>
        </w:rPr>
      </w:pPr>
    </w:p>
    <w:p w:rsidR="0031407C" w:rsidRPr="00EC49D7" w:rsidRDefault="0031407C" w:rsidP="0031407C">
      <w:pPr>
        <w:tabs>
          <w:tab w:val="left" w:pos="6180"/>
        </w:tabs>
        <w:spacing w:after="200" w:line="276" w:lineRule="auto"/>
        <w:jc w:val="both"/>
        <w:rPr>
          <w:b/>
          <w:lang w:val="es-UY"/>
        </w:rPr>
      </w:pPr>
      <w:r w:rsidRPr="00EC49D7">
        <w:rPr>
          <w:b/>
          <w:lang w:val="es-UY"/>
        </w:rPr>
        <w:t>COMPONENTE 2- Fomento del ecosistema SBIC</w:t>
      </w:r>
    </w:p>
    <w:p w:rsidR="000E163A" w:rsidRPr="00EC49D7" w:rsidRDefault="00DA2FF4" w:rsidP="000E163A">
      <w:pPr>
        <w:tabs>
          <w:tab w:val="left" w:pos="6180"/>
        </w:tabs>
        <w:spacing w:after="200" w:line="276" w:lineRule="auto"/>
        <w:jc w:val="both"/>
        <w:rPr>
          <w:lang w:val="es-UY"/>
        </w:rPr>
      </w:pPr>
      <w:r w:rsidRPr="00EC49D7">
        <w:rPr>
          <w:lang w:val="es-UY"/>
        </w:rPr>
        <w:t>El</w:t>
      </w:r>
      <w:r w:rsidR="0031407C" w:rsidRPr="00EC49D7">
        <w:rPr>
          <w:lang w:val="es-UY"/>
        </w:rPr>
        <w:t xml:space="preserve"> segundo componente del proyecto tiene como objetivo aprovechar la realización del programa para generar emprendimientos en el área SBIC, a partir de la interacción entre profesores, alumnos nacionales y extranjeros y empresas. </w:t>
      </w:r>
      <w:r w:rsidRPr="00EC49D7">
        <w:rPr>
          <w:lang w:val="es-UY"/>
        </w:rPr>
        <w:t>En ese sentido, se puede evaluar de forma similar al Componente 1 del Proyecto de Innovación Empresarial y Empre</w:t>
      </w:r>
      <w:r w:rsidR="004E08AC" w:rsidRPr="00EC49D7">
        <w:rPr>
          <w:lang w:val="es-UY"/>
        </w:rPr>
        <w:t xml:space="preserve">ndimiento (UR L1142), por el </w:t>
      </w:r>
      <w:proofErr w:type="spellStart"/>
      <w:r w:rsidR="004E08AC" w:rsidRPr="00EC49D7">
        <w:rPr>
          <w:lang w:val="es-UY"/>
        </w:rPr>
        <w:t>cuá</w:t>
      </w:r>
      <w:r w:rsidRPr="00EC49D7">
        <w:rPr>
          <w:lang w:val="es-UY"/>
        </w:rPr>
        <w:t>l</w:t>
      </w:r>
      <w:proofErr w:type="spellEnd"/>
      <w:r w:rsidRPr="00EC49D7">
        <w:rPr>
          <w:lang w:val="es-UY"/>
        </w:rPr>
        <w:t xml:space="preserve"> se crean mecanismos de apoyo a los emprendimientos innovadores. La evaluación económica del mencionado componente del proyecto estimó los beneficios incrementales que genera la innovación adicional sobre los beneficios de las empresas participantes del proyecto. Los parámetros utilizados para estimar estos impactos (las elasticidades ventas y empleo a inversión en innovación rezagada) </w:t>
      </w:r>
      <w:r w:rsidR="00A208E2" w:rsidRPr="00EC49D7">
        <w:rPr>
          <w:lang w:val="es-UY"/>
        </w:rPr>
        <w:t>fueron obtenidos utilizando datos de la Encuesta de Actividades de Innovación de la ANII para el período 2013-2015. Para la evaluación de este componente se seguirá la misma estrategia. La evaluación del mencionado proyecto se realizó sobre toda la muestra</w:t>
      </w:r>
      <w:r w:rsidR="005F1D5B" w:rsidRPr="00EC49D7">
        <w:rPr>
          <w:lang w:val="es-UY"/>
        </w:rPr>
        <w:t xml:space="preserve"> de empresas</w:t>
      </w:r>
      <w:r w:rsidR="00A208E2" w:rsidRPr="00EC49D7">
        <w:rPr>
          <w:lang w:val="es-UY"/>
        </w:rPr>
        <w:t xml:space="preserve">. En este caso, a pesar de que las empresas objetivo del proyecto son solamente una porción del universo de la EAI y además se trata principalmente de empresas jóvenes, se entiende conveniente no estimar elasticidades para subconjuntos tales como las empresas nuevas o las que realizan actividades consideradas SBIC (ver parte 1 – Caracterización del entorno SBIC), porque las estimaciones </w:t>
      </w:r>
      <w:r w:rsidR="005F1D5B" w:rsidRPr="00EC49D7">
        <w:rPr>
          <w:lang w:val="es-UY"/>
        </w:rPr>
        <w:t xml:space="preserve">podrían </w:t>
      </w:r>
      <w:r w:rsidR="00A208E2" w:rsidRPr="00EC49D7">
        <w:rPr>
          <w:lang w:val="es-UY"/>
        </w:rPr>
        <w:t xml:space="preserve">no resultar robustas. </w:t>
      </w:r>
    </w:p>
    <w:p w:rsidR="003A0EFC" w:rsidRPr="00EC49D7" w:rsidRDefault="000E163A" w:rsidP="008226A8">
      <w:pPr>
        <w:tabs>
          <w:tab w:val="left" w:pos="6180"/>
        </w:tabs>
        <w:spacing w:after="200" w:line="276" w:lineRule="auto"/>
        <w:jc w:val="both"/>
        <w:rPr>
          <w:lang w:val="es-UY"/>
        </w:rPr>
      </w:pPr>
      <w:r w:rsidRPr="00EC49D7">
        <w:rPr>
          <w:lang w:val="es-UY"/>
        </w:rPr>
        <w:t>Según el modelo presentado en la Evaluación Económica del mencionado proyecto</w:t>
      </w:r>
      <w:r w:rsidR="003A0EFC" w:rsidRPr="00EC49D7">
        <w:rPr>
          <w:rStyle w:val="FootnoteReference"/>
          <w:lang w:val="es-UY"/>
        </w:rPr>
        <w:footnoteReference w:id="5"/>
      </w:r>
      <w:r w:rsidRPr="00EC49D7">
        <w:rPr>
          <w:lang w:val="es-UY"/>
        </w:rPr>
        <w:t>, los beneficios de las empresas participantes</w:t>
      </w:r>
      <w:r w:rsidR="004E08AC" w:rsidRPr="00EC49D7">
        <w:rPr>
          <w:lang w:val="es-UY"/>
        </w:rPr>
        <w:t xml:space="preserve"> se modelan</w:t>
      </w:r>
      <w:r w:rsidR="00B50A2F" w:rsidRPr="00EC49D7">
        <w:rPr>
          <w:lang w:val="es-UY"/>
        </w:rPr>
        <w:t xml:space="preserve"> como un margen </w:t>
      </w:r>
      <w:r w:rsidR="007C18ED" w:rsidRPr="00EC49D7">
        <w:rPr>
          <w:lang w:val="es-UY"/>
        </w:rPr>
        <w:t xml:space="preserve">fijo </w:t>
      </w:r>
      <w:r w:rsidR="00B50A2F" w:rsidRPr="00EC49D7">
        <w:rPr>
          <w:lang w:val="es-UY"/>
        </w:rPr>
        <w:t xml:space="preserve">sobre ventas </w:t>
      </w:r>
      <w:r w:rsidR="007C18ED" w:rsidRPr="00EC49D7">
        <w:rPr>
          <w:lang w:val="es-UY"/>
        </w:rPr>
        <w:t xml:space="preserve">adicionales que genera la inversión en innovación multiplicado por la </w:t>
      </w:r>
      <w:r w:rsidRPr="00EC49D7">
        <w:rPr>
          <w:lang w:val="es-UY"/>
        </w:rPr>
        <w:t xml:space="preserve"> probabilidad de sobrevida de la empresa</w:t>
      </w:r>
      <w:r w:rsidR="007C18ED" w:rsidRPr="00EC49D7">
        <w:rPr>
          <w:lang w:val="es-UY"/>
        </w:rPr>
        <w:t>, dado que, como es usual en la teoría de la organización industrial, existen shocks exógenos que determinan la salida de una firma del mercado</w:t>
      </w:r>
      <w:r w:rsidRPr="00EC49D7">
        <w:rPr>
          <w:lang w:val="es-UY"/>
        </w:rPr>
        <w:t>.</w:t>
      </w:r>
      <w:r w:rsidR="003A0EFC" w:rsidRPr="00EC49D7">
        <w:rPr>
          <w:lang w:val="es-UY"/>
        </w:rPr>
        <w:t xml:space="preserve"> </w:t>
      </w:r>
      <w:r w:rsidR="007C18ED" w:rsidRPr="00EC49D7">
        <w:rPr>
          <w:lang w:val="es-UY"/>
        </w:rPr>
        <w:t xml:space="preserve">Asimismo, el impacto asume </w:t>
      </w:r>
      <w:r w:rsidR="00E272D7" w:rsidRPr="00EC49D7">
        <w:rPr>
          <w:lang w:val="es-UY"/>
        </w:rPr>
        <w:t>que</w:t>
      </w:r>
      <w:r w:rsidR="007C18ED" w:rsidRPr="00EC49D7">
        <w:rPr>
          <w:lang w:val="es-UY"/>
        </w:rPr>
        <w:t xml:space="preserve"> la inversión</w:t>
      </w:r>
      <w:r w:rsidR="00E272D7" w:rsidRPr="00EC49D7">
        <w:rPr>
          <w:lang w:val="es-UY"/>
        </w:rPr>
        <w:t xml:space="preserve"> del proyecto tiene capacidad de apalancamiento de inversión privada. </w:t>
      </w:r>
      <w:r w:rsidR="00470E20" w:rsidRPr="00EC49D7">
        <w:rPr>
          <w:lang w:val="es-UY"/>
        </w:rPr>
        <w:t xml:space="preserve">Para este proyecto se </w:t>
      </w:r>
      <w:r w:rsidR="00973DFA" w:rsidRPr="00EC49D7">
        <w:rPr>
          <w:lang w:val="es-UY"/>
        </w:rPr>
        <w:t xml:space="preserve">asume una inversión financiada por el proyecto consistente con el rubro </w:t>
      </w:r>
      <w:r w:rsidR="00973DFA" w:rsidRPr="00EC49D7">
        <w:rPr>
          <w:lang w:val="es-UY"/>
        </w:rPr>
        <w:lastRenderedPageBreak/>
        <w:t>“Instrumentos para la atracción y creación de emprendimiento” del presupuesto del proyecto. Si se asumen unos costos promedio de 1</w:t>
      </w:r>
      <w:r w:rsidR="00F21157" w:rsidRPr="00EC49D7">
        <w:rPr>
          <w:lang w:val="es-UY"/>
        </w:rPr>
        <w:t>2</w:t>
      </w:r>
      <w:r w:rsidR="00973DFA" w:rsidRPr="00EC49D7">
        <w:rPr>
          <w:lang w:val="es-UY"/>
        </w:rPr>
        <w:t xml:space="preserve">0.000 USD por proyecto </w:t>
      </w:r>
      <w:r w:rsidR="00970877" w:rsidRPr="00EC49D7">
        <w:rPr>
          <w:lang w:val="es-UY"/>
        </w:rPr>
        <w:t xml:space="preserve">entonces </w:t>
      </w:r>
      <w:r w:rsidR="00973DFA" w:rsidRPr="00EC49D7">
        <w:rPr>
          <w:lang w:val="es-UY"/>
        </w:rPr>
        <w:t xml:space="preserve">se financian 18 proyectos, lo cual es consistente con el resultado </w:t>
      </w:r>
      <w:r w:rsidR="00F84757" w:rsidRPr="00EC49D7">
        <w:rPr>
          <w:lang w:val="es-UY"/>
        </w:rPr>
        <w:t>2.1 “Porcentajes de graduados totales que inician empresas SBIC”.</w:t>
      </w:r>
      <w:r w:rsidR="003F3028" w:rsidRPr="00EC49D7">
        <w:rPr>
          <w:lang w:val="es-UY"/>
        </w:rPr>
        <w:t xml:space="preserve"> </w:t>
      </w:r>
      <w:r w:rsidR="00276BAC" w:rsidRPr="00EC49D7">
        <w:rPr>
          <w:lang w:val="es-UY"/>
        </w:rPr>
        <w:t>Dado que las empresas de este segmento se mueven en un context</w:t>
      </w:r>
      <w:r w:rsidR="008226A8" w:rsidRPr="00EC49D7">
        <w:rPr>
          <w:lang w:val="es-UY"/>
        </w:rPr>
        <w:t xml:space="preserve">o de gran innovación y la velocidad de obsolescencia es particularmente alta, se entiende que, de forma análoga a lo que sucede con los beneficios por capacitación del componente I, en este componente también opera una tasa de depreciación. En este caso no sería atribuible específicamente al conocimiento del capacitado sino al impacto que tiene el proyecto, idea o emprendimiento que surgió como resultado del proyecto. </w:t>
      </w:r>
    </w:p>
    <w:p w:rsidR="00F95435" w:rsidRPr="00EC49D7" w:rsidRDefault="00F95435" w:rsidP="000E163A">
      <w:pPr>
        <w:tabs>
          <w:tab w:val="left" w:pos="6180"/>
        </w:tabs>
        <w:spacing w:after="200" w:line="276" w:lineRule="auto"/>
        <w:jc w:val="both"/>
        <w:rPr>
          <w:lang w:val="es-UY"/>
        </w:rPr>
      </w:pPr>
      <w:r w:rsidRPr="00EC49D7">
        <w:rPr>
          <w:lang w:val="es-UY"/>
        </w:rPr>
        <w:t xml:space="preserve">Nótese que las empresas que inician un nuevo proyecto SBIC en el marco de los instrumentos incluidos en este componente pueden incluir trabajadores capacitados en el proyecto. Los beneficios de esta capacitación serían evaluados por el </w:t>
      </w:r>
      <w:r w:rsidR="007C18ED" w:rsidRPr="00EC49D7">
        <w:rPr>
          <w:lang w:val="es-UY"/>
        </w:rPr>
        <w:t>c</w:t>
      </w:r>
      <w:r w:rsidRPr="00EC49D7">
        <w:rPr>
          <w:lang w:val="es-UY"/>
        </w:rPr>
        <w:t xml:space="preserve">omponente I. La evaluación del componente II no refiere a los beneficios “regulares” por tener trabajadores más calificados sino a los efectos </w:t>
      </w:r>
      <w:r w:rsidR="0032523A" w:rsidRPr="00EC49D7">
        <w:rPr>
          <w:lang w:val="es-UY"/>
        </w:rPr>
        <w:t>increment</w:t>
      </w:r>
      <w:r w:rsidRPr="00EC49D7">
        <w:rPr>
          <w:lang w:val="es-UY"/>
        </w:rPr>
        <w:t xml:space="preserve">ales que tiene la inversión en actividades innovadoras sobre </w:t>
      </w:r>
      <w:r w:rsidR="0032523A" w:rsidRPr="00EC49D7">
        <w:rPr>
          <w:lang w:val="es-UY"/>
        </w:rPr>
        <w:t xml:space="preserve">las ventas de las empresas. </w:t>
      </w:r>
      <w:r w:rsidR="003610FF" w:rsidRPr="00EC49D7">
        <w:rPr>
          <w:lang w:val="es-UY"/>
        </w:rPr>
        <w:t xml:space="preserve">De esta manera se entiende que los beneficios del componente II no se superponen a los del componente I sino que surgen de fuentes distintas y son evaluados de forma diferente. </w:t>
      </w:r>
      <w:r w:rsidR="00CF3247" w:rsidRPr="00EC49D7">
        <w:rPr>
          <w:lang w:val="es-UY"/>
        </w:rPr>
        <w:t xml:space="preserve">En el componente I se califica a un recurso humano mientras que en el II se genera un proyecto nuevo y se lo capitaliza. </w:t>
      </w:r>
    </w:p>
    <w:p w:rsidR="008226A8" w:rsidRPr="00EC49D7" w:rsidRDefault="008226A8" w:rsidP="008226A8">
      <w:pPr>
        <w:tabs>
          <w:tab w:val="left" w:pos="6180"/>
        </w:tabs>
        <w:spacing w:after="200" w:line="276" w:lineRule="auto"/>
        <w:jc w:val="both"/>
        <w:rPr>
          <w:lang w:val="es-UY"/>
        </w:rPr>
      </w:pPr>
      <w:r w:rsidRPr="00EC49D7">
        <w:rPr>
          <w:lang w:val="es-UY"/>
        </w:rPr>
        <w:t xml:space="preserve">El beneficio del proyecto </w:t>
      </w:r>
      <w:r w:rsidR="00081A60" w:rsidRPr="00EC49D7">
        <w:rPr>
          <w:lang w:val="es-UY"/>
        </w:rPr>
        <w:t xml:space="preserve">en el período t </w:t>
      </w:r>
      <w:r w:rsidRPr="00EC49D7">
        <w:rPr>
          <w:lang w:val="es-UY"/>
        </w:rPr>
        <w:t>p</w:t>
      </w:r>
      <w:r w:rsidR="00081A60" w:rsidRPr="00EC49D7">
        <w:rPr>
          <w:lang w:val="es-UY"/>
        </w:rPr>
        <w:t>ara una empresa apoyada en t-n</w:t>
      </w:r>
      <w:r w:rsidRPr="00EC49D7">
        <w:rPr>
          <w:lang w:val="es-UY"/>
        </w:rPr>
        <w:t xml:space="preserve">, es: </w:t>
      </w:r>
    </w:p>
    <w:p w:rsidR="008226A8" w:rsidRPr="00EC49D7" w:rsidRDefault="009B3E42" w:rsidP="008226A8">
      <w:pPr>
        <w:pStyle w:val="AutoNumpara"/>
        <w:numPr>
          <w:ilvl w:val="0"/>
          <w:numId w:val="0"/>
        </w:numPr>
        <w:tabs>
          <w:tab w:val="num" w:pos="720"/>
        </w:tabs>
        <w:spacing w:before="0" w:after="0"/>
        <w:ind w:left="720"/>
        <w:rPr>
          <w:noProof w:val="0"/>
          <w:sz w:val="22"/>
          <w:szCs w:val="22"/>
        </w:rPr>
      </w:pPr>
      <m:oMath>
        <m:sSubSup>
          <m:sSubSupPr>
            <m:ctrlPr>
              <w:rPr>
                <w:rFonts w:ascii="Cambria Math" w:hAnsi="Cambria Math"/>
                <w:i/>
                <w:noProof w:val="0"/>
                <w:sz w:val="22"/>
                <w:szCs w:val="22"/>
              </w:rPr>
            </m:ctrlPr>
          </m:sSubSupPr>
          <m:e>
            <m:r>
              <w:rPr>
                <w:rFonts w:ascii="Cambria Math" w:hAnsi="Cambria Math"/>
                <w:noProof w:val="0"/>
                <w:sz w:val="22"/>
                <w:szCs w:val="22"/>
              </w:rPr>
              <m:t>π</m:t>
            </m:r>
          </m:e>
          <m:sub>
            <m:r>
              <w:rPr>
                <w:rFonts w:ascii="Cambria Math" w:hAnsi="Cambria Math"/>
                <w:noProof w:val="0"/>
                <w:sz w:val="22"/>
                <w:szCs w:val="22"/>
              </w:rPr>
              <m:t>t,t-n</m:t>
            </m:r>
          </m:sub>
          <m:sup>
            <m:r>
              <w:rPr>
                <w:rFonts w:ascii="Cambria Math" w:hAnsi="Cambria Math"/>
                <w:noProof w:val="0"/>
                <w:sz w:val="22"/>
                <w:szCs w:val="22"/>
              </w:rPr>
              <m:t>I</m:t>
            </m:r>
          </m:sup>
        </m:sSubSup>
        <m:r>
          <w:rPr>
            <w:rFonts w:ascii="Cambria Math" w:hAnsi="Cambria Math"/>
            <w:noProof w:val="0"/>
            <w:sz w:val="22"/>
            <w:szCs w:val="22"/>
          </w:rPr>
          <m:t>=I.τ(1+β)</m:t>
        </m:r>
        <m:sSup>
          <m:sSupPr>
            <m:ctrlPr>
              <w:rPr>
                <w:rFonts w:ascii="Cambria Math" w:hAnsi="Cambria Math"/>
                <w:i/>
                <w:noProof w:val="0"/>
                <w:sz w:val="22"/>
                <w:szCs w:val="22"/>
              </w:rPr>
            </m:ctrlPr>
          </m:sSupPr>
          <m:e>
            <m:r>
              <w:rPr>
                <w:rFonts w:ascii="Cambria Math" w:hAnsi="Cambria Math"/>
                <w:noProof w:val="0"/>
                <w:sz w:val="22"/>
                <w:szCs w:val="22"/>
              </w:rPr>
              <m:t>ϑ</m:t>
            </m:r>
          </m:e>
          <m:sup>
            <m:r>
              <w:rPr>
                <w:rFonts w:ascii="Cambria Math" w:hAnsi="Cambria Math"/>
                <w:noProof w:val="0"/>
                <w:sz w:val="22"/>
                <w:szCs w:val="22"/>
              </w:rPr>
              <m:t>n</m:t>
            </m:r>
          </m:sup>
        </m:sSup>
        <m:r>
          <w:rPr>
            <w:rFonts w:ascii="Cambria Math" w:hAnsi="Cambria Math"/>
            <w:noProof w:val="0"/>
            <w:sz w:val="22"/>
            <w:szCs w:val="22"/>
          </w:rPr>
          <m:t>θ(1-δ</m:t>
        </m:r>
        <m:d>
          <m:dPr>
            <m:ctrlPr>
              <w:rPr>
                <w:rFonts w:ascii="Cambria Math" w:hAnsi="Cambria Math"/>
                <w:i/>
                <w:noProof w:val="0"/>
                <w:sz w:val="22"/>
                <w:szCs w:val="22"/>
              </w:rPr>
            </m:ctrlPr>
          </m:dPr>
          <m:e>
            <m:r>
              <w:rPr>
                <w:rFonts w:ascii="Cambria Math" w:hAnsi="Cambria Math"/>
                <w:noProof w:val="0"/>
                <w:sz w:val="22"/>
                <w:szCs w:val="22"/>
              </w:rPr>
              <m:t>n-1</m:t>
            </m:r>
          </m:e>
        </m:d>
        <m:r>
          <w:rPr>
            <w:rFonts w:ascii="Cambria Math" w:hAnsi="Cambria Math"/>
            <w:noProof w:val="0"/>
            <w:sz w:val="22"/>
            <w:szCs w:val="22"/>
          </w:rPr>
          <m:t>)</m:t>
        </m:r>
      </m:oMath>
      <w:r w:rsidR="00081A60" w:rsidRPr="00EC49D7">
        <w:rPr>
          <w:noProof w:val="0"/>
          <w:sz w:val="22"/>
          <w:szCs w:val="22"/>
        </w:rPr>
        <w:t xml:space="preserve"> </w:t>
      </w:r>
      <w:r w:rsidR="00081A60" w:rsidRPr="00EC49D7">
        <w:rPr>
          <w:noProof w:val="0"/>
          <w:sz w:val="22"/>
          <w:szCs w:val="22"/>
        </w:rPr>
        <w:tab/>
      </w:r>
      <w:r w:rsidR="00081A60" w:rsidRPr="00EC49D7">
        <w:rPr>
          <w:noProof w:val="0"/>
          <w:sz w:val="22"/>
          <w:szCs w:val="22"/>
        </w:rPr>
        <w:tab/>
        <w:t xml:space="preserve">si </w:t>
      </w:r>
      <m:oMath>
        <m:r>
          <w:rPr>
            <w:rFonts w:ascii="Cambria Math" w:hAnsi="Cambria Math"/>
            <w:noProof w:val="0"/>
            <w:sz w:val="22"/>
            <w:szCs w:val="22"/>
          </w:rPr>
          <m:t>-δ&lt;δ</m:t>
        </m:r>
        <m:d>
          <m:dPr>
            <m:ctrlPr>
              <w:rPr>
                <w:rFonts w:ascii="Cambria Math" w:hAnsi="Cambria Math"/>
                <w:i/>
                <w:noProof w:val="0"/>
                <w:sz w:val="22"/>
                <w:szCs w:val="22"/>
              </w:rPr>
            </m:ctrlPr>
          </m:dPr>
          <m:e>
            <m:r>
              <w:rPr>
                <w:rFonts w:ascii="Cambria Math" w:hAnsi="Cambria Math"/>
                <w:noProof w:val="0"/>
                <w:sz w:val="22"/>
                <w:szCs w:val="22"/>
              </w:rPr>
              <m:t>n-1</m:t>
            </m:r>
          </m:e>
        </m:d>
        <m:r>
          <w:rPr>
            <w:rFonts w:ascii="Cambria Math" w:hAnsi="Cambria Math"/>
            <w:noProof w:val="0"/>
            <w:sz w:val="22"/>
            <w:szCs w:val="22"/>
          </w:rPr>
          <m:t>≤1</m:t>
        </m:r>
      </m:oMath>
    </w:p>
    <w:p w:rsidR="00081A60" w:rsidRPr="00EC49D7" w:rsidRDefault="00081A60" w:rsidP="008226A8">
      <w:pPr>
        <w:pStyle w:val="AutoNumpara"/>
        <w:numPr>
          <w:ilvl w:val="0"/>
          <w:numId w:val="0"/>
        </w:numPr>
        <w:tabs>
          <w:tab w:val="num" w:pos="720"/>
        </w:tabs>
        <w:spacing w:before="0" w:after="0"/>
        <w:ind w:left="720"/>
        <w:rPr>
          <w:noProof w:val="0"/>
          <w:szCs w:val="24"/>
        </w:rPr>
      </w:pPr>
      <w:r w:rsidRPr="00EC49D7">
        <w:rPr>
          <w:noProof w:val="0"/>
          <w:szCs w:val="24"/>
        </w:rPr>
        <w:tab/>
      </w:r>
      <w:r w:rsidRPr="00EC49D7">
        <w:rPr>
          <w:noProof w:val="0"/>
          <w:szCs w:val="24"/>
        </w:rPr>
        <w:tab/>
      </w:r>
      <w:r w:rsidRPr="00EC49D7">
        <w:rPr>
          <w:noProof w:val="0"/>
          <w:szCs w:val="24"/>
        </w:rPr>
        <w:tab/>
        <w:t>0</w:t>
      </w:r>
      <w:r w:rsidRPr="00EC49D7">
        <w:rPr>
          <w:noProof w:val="0"/>
          <w:szCs w:val="24"/>
        </w:rPr>
        <w:tab/>
      </w:r>
      <w:r w:rsidRPr="00EC49D7">
        <w:rPr>
          <w:noProof w:val="0"/>
          <w:szCs w:val="24"/>
        </w:rPr>
        <w:tab/>
      </w:r>
      <w:r w:rsidRPr="00EC49D7">
        <w:rPr>
          <w:noProof w:val="0"/>
          <w:szCs w:val="24"/>
        </w:rPr>
        <w:tab/>
      </w:r>
      <w:r w:rsidRPr="00EC49D7">
        <w:rPr>
          <w:noProof w:val="0"/>
          <w:szCs w:val="24"/>
        </w:rPr>
        <w:tab/>
      </w:r>
      <w:r w:rsidR="00980415" w:rsidRPr="00EC49D7">
        <w:rPr>
          <w:noProof w:val="0"/>
          <w:szCs w:val="24"/>
        </w:rPr>
        <w:t>en otro caso</w:t>
      </w:r>
    </w:p>
    <w:p w:rsidR="00081A60" w:rsidRPr="00EC49D7" w:rsidRDefault="00081A60" w:rsidP="008226A8">
      <w:pPr>
        <w:pStyle w:val="AutoNumpara"/>
        <w:numPr>
          <w:ilvl w:val="0"/>
          <w:numId w:val="0"/>
        </w:numPr>
        <w:tabs>
          <w:tab w:val="num" w:pos="720"/>
        </w:tabs>
        <w:spacing w:before="0" w:after="0"/>
        <w:ind w:left="720"/>
        <w:rPr>
          <w:noProof w:val="0"/>
          <w:sz w:val="22"/>
          <w:szCs w:val="22"/>
        </w:rPr>
      </w:pPr>
    </w:p>
    <w:p w:rsidR="008226A8" w:rsidRPr="00EC49D7" w:rsidRDefault="008226A8" w:rsidP="008226A8">
      <w:pPr>
        <w:pStyle w:val="AutoNumpara"/>
        <w:numPr>
          <w:ilvl w:val="0"/>
          <w:numId w:val="0"/>
        </w:numPr>
        <w:tabs>
          <w:tab w:val="num" w:pos="720"/>
        </w:tabs>
        <w:spacing w:before="0" w:after="0"/>
        <w:ind w:left="720"/>
        <w:jc w:val="center"/>
        <w:rPr>
          <w:noProof w:val="0"/>
          <w:spacing w:val="0"/>
          <w:lang w:val="es-UY"/>
        </w:rPr>
      </w:pPr>
    </w:p>
    <w:p w:rsidR="00970877" w:rsidRPr="00EC49D7" w:rsidRDefault="008226A8" w:rsidP="008226A8">
      <w:pPr>
        <w:tabs>
          <w:tab w:val="left" w:pos="6180"/>
        </w:tabs>
        <w:spacing w:after="200" w:line="276" w:lineRule="auto"/>
        <w:jc w:val="both"/>
        <w:rPr>
          <w:lang w:val="es-UY"/>
        </w:rPr>
      </w:pPr>
      <w:r w:rsidRPr="00EC49D7">
        <w:rPr>
          <w:lang w:val="es-UY"/>
        </w:rPr>
        <w:t xml:space="preserve">Donde </w:t>
      </w:r>
      <w:r w:rsidR="00081A60" w:rsidRPr="00EC49D7">
        <w:rPr>
          <w:i/>
          <w:lang w:val="es-UY"/>
        </w:rPr>
        <w:t>I</w:t>
      </w:r>
      <w:r w:rsidR="00081A60" w:rsidRPr="00EC49D7">
        <w:rPr>
          <w:lang w:val="es-UY"/>
        </w:rPr>
        <w:t xml:space="preserve"> es el monto del apoyo, </w:t>
      </w:r>
      <w:r w:rsidRPr="00EC49D7">
        <w:rPr>
          <w:lang w:val="es-UY"/>
        </w:rPr>
        <w:t xml:space="preserve">ϴ (0,1) es el margen de beneficio de la empresa tratada, ϑ es la probabilidad de supervivencia de la empresa tratada, </w:t>
      </w:r>
      <m:oMath>
        <m:r>
          <m:rPr>
            <m:sty m:val="p"/>
          </m:rPr>
          <w:rPr>
            <w:rFonts w:ascii="Cambria Math" w:hAnsi="Cambria Math"/>
            <w:lang w:val="es-UY"/>
          </w:rPr>
          <m:t>β</m:t>
        </m:r>
      </m:oMath>
      <w:r w:rsidRPr="00EC49D7">
        <w:rPr>
          <w:lang w:val="es-UY"/>
        </w:rPr>
        <w:t xml:space="preserve"> es la elasticidad de la producción a inversión en innovación rezagada</w:t>
      </w:r>
      <w:r w:rsidR="00081A60" w:rsidRPr="00EC49D7">
        <w:rPr>
          <w:lang w:val="es-UY"/>
        </w:rPr>
        <w:t>,</w:t>
      </w:r>
      <w:r w:rsidRPr="00EC49D7">
        <w:rPr>
          <w:lang w:val="es-UY"/>
        </w:rPr>
        <w:t xml:space="preserve"> </w:t>
      </w:r>
      <m:oMath>
        <m:r>
          <m:rPr>
            <m:sty m:val="p"/>
          </m:rPr>
          <w:rPr>
            <w:rFonts w:ascii="Cambria Math" w:hAnsi="Cambria Math"/>
            <w:lang w:val="es-UY"/>
          </w:rPr>
          <m:t>τ</m:t>
        </m:r>
      </m:oMath>
      <w:r w:rsidRPr="00EC49D7">
        <w:rPr>
          <w:lang w:val="es-UY"/>
        </w:rPr>
        <w:t xml:space="preserve"> es la adicionalidad privada al esfuerzo de inversión del proyecto</w:t>
      </w:r>
      <w:r w:rsidR="00081A60" w:rsidRPr="00EC49D7">
        <w:rPr>
          <w:lang w:val="es-UY"/>
        </w:rPr>
        <w:t xml:space="preserve"> y </w:t>
      </w:r>
      <m:oMath>
        <m:r>
          <w:rPr>
            <w:rFonts w:ascii="Cambria Math" w:hAnsi="Cambria Math"/>
            <w:sz w:val="22"/>
            <w:szCs w:val="22"/>
          </w:rPr>
          <m:t>δ</m:t>
        </m:r>
      </m:oMath>
      <w:r w:rsidR="00081A60" w:rsidRPr="00EC49D7">
        <w:rPr>
          <w:sz w:val="22"/>
          <w:szCs w:val="22"/>
        </w:rPr>
        <w:t xml:space="preserve"> es la tasa de depreciación de las ideas innovadoras</w:t>
      </w:r>
      <w:r w:rsidRPr="00EC49D7">
        <w:rPr>
          <w:lang w:val="es-UY"/>
        </w:rPr>
        <w:t>.</w:t>
      </w:r>
      <w:r w:rsidR="00081A60" w:rsidRPr="00EC49D7">
        <w:rPr>
          <w:lang w:val="es-UY"/>
        </w:rPr>
        <w:t xml:space="preserve"> </w:t>
      </w:r>
      <w:r w:rsidR="009F6272" w:rsidRPr="00EC49D7">
        <w:rPr>
          <w:lang w:val="es-UY"/>
        </w:rPr>
        <w:t>Entonces, los beneficios del proyecto por el componente II en el momento t son:</w:t>
      </w:r>
    </w:p>
    <w:p w:rsidR="007C18ED" w:rsidRPr="00EC49D7" w:rsidRDefault="009B3E42" w:rsidP="008226A8">
      <w:pPr>
        <w:tabs>
          <w:tab w:val="left" w:pos="6180"/>
        </w:tabs>
        <w:spacing w:after="200" w:line="276" w:lineRule="auto"/>
        <w:jc w:val="both"/>
        <w:rPr>
          <w:lang w:val="es-UY"/>
        </w:rPr>
      </w:pPr>
      <m:oMath>
        <m:sSubSup>
          <m:sSubSupPr>
            <m:ctrlPr>
              <w:rPr>
                <w:rFonts w:ascii="Cambria Math" w:hAnsi="Cambria Math"/>
                <w:i/>
                <w:lang w:val="es-UY"/>
              </w:rPr>
            </m:ctrlPr>
          </m:sSubSupPr>
          <m:e>
            <m:r>
              <w:rPr>
                <w:rFonts w:ascii="Cambria Math" w:hAnsi="Cambria Math"/>
                <w:lang w:val="es-UY"/>
              </w:rPr>
              <m:t>π</m:t>
            </m:r>
          </m:e>
          <m:sub>
            <m:r>
              <w:rPr>
                <w:rFonts w:ascii="Cambria Math" w:hAnsi="Cambria Math"/>
                <w:lang w:val="es-UY"/>
              </w:rPr>
              <m:t>t</m:t>
            </m:r>
          </m:sub>
          <m:sup>
            <m:r>
              <w:rPr>
                <w:rFonts w:ascii="Cambria Math" w:hAnsi="Cambria Math"/>
                <w:lang w:val="es-UY"/>
              </w:rPr>
              <m:t>cII</m:t>
            </m:r>
          </m:sup>
        </m:sSubSup>
        <m:r>
          <w:rPr>
            <w:rFonts w:ascii="Cambria Math" w:hAnsi="Cambria Math"/>
            <w:lang w:val="es-UY"/>
          </w:rPr>
          <m:t>=</m:t>
        </m:r>
        <m:nary>
          <m:naryPr>
            <m:chr m:val="∑"/>
            <m:limLoc m:val="undOvr"/>
            <m:supHide m:val="1"/>
            <m:ctrlPr>
              <w:rPr>
                <w:rFonts w:ascii="Cambria Math" w:hAnsi="Cambria Math"/>
                <w:i/>
                <w:lang w:val="es-UY"/>
              </w:rPr>
            </m:ctrlPr>
          </m:naryPr>
          <m:sub>
            <m:r>
              <w:rPr>
                <w:rFonts w:ascii="Cambria Math" w:hAnsi="Cambria Math"/>
                <w:lang w:val="es-UY"/>
              </w:rPr>
              <m:t>n</m:t>
            </m:r>
          </m:sub>
          <m:sup/>
          <m:e>
            <m:sSubSup>
              <m:sSubSupPr>
                <m:ctrlPr>
                  <w:rPr>
                    <w:rFonts w:ascii="Cambria Math" w:hAnsi="Cambria Math"/>
                    <w:i/>
                    <w:lang w:val="es-UY"/>
                  </w:rPr>
                </m:ctrlPr>
              </m:sSubSupPr>
              <m:e>
                <m:r>
                  <w:rPr>
                    <w:rFonts w:ascii="Cambria Math" w:hAnsi="Cambria Math"/>
                    <w:lang w:val="es-UY"/>
                  </w:rPr>
                  <m:t>π</m:t>
                </m:r>
              </m:e>
              <m:sub>
                <m:r>
                  <w:rPr>
                    <w:rFonts w:ascii="Cambria Math" w:hAnsi="Cambria Math"/>
                    <w:lang w:val="es-UY"/>
                  </w:rPr>
                  <m:t>t,t-n</m:t>
                </m:r>
              </m:sub>
              <m:sup>
                <m:r>
                  <w:rPr>
                    <w:rFonts w:ascii="Cambria Math" w:hAnsi="Cambria Math"/>
                    <w:lang w:val="es-UY"/>
                  </w:rPr>
                  <m:t>I</m:t>
                </m:r>
              </m:sup>
            </m:sSubSup>
            <m:sSub>
              <m:sSubPr>
                <m:ctrlPr>
                  <w:rPr>
                    <w:rFonts w:ascii="Cambria Math" w:hAnsi="Cambria Math"/>
                    <w:i/>
                    <w:lang w:val="es-UY"/>
                  </w:rPr>
                </m:ctrlPr>
              </m:sSubPr>
              <m:e>
                <m:r>
                  <w:rPr>
                    <w:rFonts w:ascii="Cambria Math" w:hAnsi="Cambria Math"/>
                    <w:lang w:val="es-UY"/>
                  </w:rPr>
                  <m:t>A</m:t>
                </m:r>
              </m:e>
              <m:sub>
                <m:r>
                  <w:rPr>
                    <w:rFonts w:ascii="Cambria Math" w:hAnsi="Cambria Math"/>
                    <w:lang w:val="es-UY"/>
                  </w:rPr>
                  <m:t>t-n</m:t>
                </m:r>
              </m:sub>
            </m:sSub>
          </m:e>
        </m:nary>
      </m:oMath>
      <w:r w:rsidR="009F6272" w:rsidRPr="00EC49D7">
        <w:rPr>
          <w:lang w:val="es-UY"/>
        </w:rPr>
        <w:t xml:space="preserve">Donde </w:t>
      </w:r>
      <m:oMath>
        <m:sSub>
          <m:sSubPr>
            <m:ctrlPr>
              <w:rPr>
                <w:rFonts w:ascii="Cambria Math" w:hAnsi="Cambria Math"/>
                <w:i/>
                <w:lang w:val="es-UY"/>
              </w:rPr>
            </m:ctrlPr>
          </m:sSubPr>
          <m:e>
            <m:r>
              <w:rPr>
                <w:rFonts w:ascii="Cambria Math" w:hAnsi="Cambria Math"/>
                <w:lang w:val="es-UY"/>
              </w:rPr>
              <m:t>A</m:t>
            </m:r>
          </m:e>
          <m:sub>
            <m:r>
              <w:rPr>
                <w:rFonts w:ascii="Cambria Math" w:hAnsi="Cambria Math"/>
                <w:lang w:val="es-UY"/>
              </w:rPr>
              <m:t>t-n</m:t>
            </m:r>
          </m:sub>
        </m:sSub>
      </m:oMath>
      <w:r w:rsidR="009F6272" w:rsidRPr="00EC49D7">
        <w:rPr>
          <w:lang w:val="es-UY"/>
        </w:rPr>
        <w:t xml:space="preserve">es el número de empresas apoyadas </w:t>
      </w:r>
      <w:r w:rsidR="00980415" w:rsidRPr="00EC49D7">
        <w:rPr>
          <w:lang w:val="es-UY"/>
        </w:rPr>
        <w:t xml:space="preserve">en el período t-n. </w:t>
      </w:r>
    </w:p>
    <w:p w:rsidR="003610FF" w:rsidRPr="00EC49D7" w:rsidRDefault="003610FF" w:rsidP="008226A8">
      <w:pPr>
        <w:tabs>
          <w:tab w:val="left" w:pos="6180"/>
        </w:tabs>
        <w:spacing w:after="200" w:line="276" w:lineRule="auto"/>
        <w:jc w:val="both"/>
        <w:rPr>
          <w:lang w:val="es-UY"/>
        </w:rPr>
      </w:pPr>
      <w:r w:rsidRPr="00EC49D7">
        <w:rPr>
          <w:lang w:val="es-UY"/>
        </w:rPr>
        <w:t>En definitiva, los beneficios del proyecto dependen positivamente del número de empresas apoyadas (</w:t>
      </w:r>
      <m:oMath>
        <m:sSub>
          <m:sSubPr>
            <m:ctrlPr>
              <w:rPr>
                <w:rFonts w:ascii="Cambria Math" w:hAnsi="Cambria Math"/>
                <w:i/>
                <w:lang w:val="es-UY"/>
              </w:rPr>
            </m:ctrlPr>
          </m:sSubPr>
          <m:e>
            <m:r>
              <w:rPr>
                <w:rFonts w:ascii="Cambria Math" w:hAnsi="Cambria Math"/>
                <w:lang w:val="es-UY"/>
              </w:rPr>
              <m:t>A</m:t>
            </m:r>
          </m:e>
          <m:sub>
            <m:r>
              <w:rPr>
                <w:rFonts w:ascii="Cambria Math" w:hAnsi="Cambria Math"/>
                <w:lang w:val="es-UY"/>
              </w:rPr>
              <m:t>t-n</m:t>
            </m:r>
          </m:sub>
        </m:sSub>
        <m:r>
          <w:rPr>
            <w:rFonts w:ascii="Cambria Math" w:hAnsi="Cambria Math"/>
            <w:lang w:val="es-UY"/>
          </w:rPr>
          <m:t>)</m:t>
        </m:r>
      </m:oMath>
      <w:r w:rsidRPr="00EC49D7">
        <w:rPr>
          <w:lang w:val="es-UY"/>
        </w:rPr>
        <w:t>, del monto del apoyo (</w:t>
      </w:r>
      <w:r w:rsidRPr="00EC49D7">
        <w:rPr>
          <w:i/>
          <w:lang w:val="es-UY"/>
        </w:rPr>
        <w:t>I)</w:t>
      </w:r>
      <w:r w:rsidRPr="00EC49D7">
        <w:rPr>
          <w:lang w:val="es-UY"/>
        </w:rPr>
        <w:t xml:space="preserve">, </w:t>
      </w:r>
      <w:r w:rsidR="008A299A" w:rsidRPr="00EC49D7">
        <w:rPr>
          <w:lang w:val="es-UY"/>
        </w:rPr>
        <w:t>del margen de beneficios de las empresas apoyadas (ϴ), de la probabilidad de supervivencia de las empresas (ϑ), del apalancamiento que realiza la inversión del proyecto sobre la inversión privada (</w:t>
      </w:r>
      <m:oMath>
        <m:r>
          <m:rPr>
            <m:sty m:val="p"/>
          </m:rPr>
          <w:rPr>
            <w:rFonts w:ascii="Cambria Math" w:hAnsi="Cambria Math"/>
            <w:lang w:val="es-UY"/>
          </w:rPr>
          <m:t>τ</m:t>
        </m:r>
      </m:oMath>
      <w:r w:rsidR="008A299A" w:rsidRPr="00EC49D7">
        <w:rPr>
          <w:lang w:val="es-UY"/>
        </w:rPr>
        <w:t xml:space="preserve">) y de la elasticidad de la producción a la inversión. En cambio, dependen negativamente de la depreciación de las ideas innovadoras que surgieron del proyecto (obsolescencia). </w:t>
      </w:r>
    </w:p>
    <w:p w:rsidR="009F6272" w:rsidRPr="00EC49D7" w:rsidRDefault="007C18ED" w:rsidP="008226A8">
      <w:pPr>
        <w:tabs>
          <w:tab w:val="left" w:pos="6180"/>
        </w:tabs>
        <w:spacing w:after="200" w:line="276" w:lineRule="auto"/>
        <w:jc w:val="both"/>
        <w:rPr>
          <w:lang w:val="es-UY"/>
        </w:rPr>
      </w:pPr>
      <w:r w:rsidRPr="00EC49D7">
        <w:rPr>
          <w:lang w:val="es-UY"/>
        </w:rPr>
        <w:t>El siguiente cuadro muestra todos los parámetros utilizados en la evaluación económica.</w:t>
      </w:r>
    </w:p>
    <w:p w:rsidR="00CF489F" w:rsidRPr="00EC49D7" w:rsidRDefault="00CF489F" w:rsidP="0027466B">
      <w:pPr>
        <w:tabs>
          <w:tab w:val="left" w:pos="6180"/>
        </w:tabs>
        <w:spacing w:after="200" w:line="276" w:lineRule="auto"/>
        <w:jc w:val="both"/>
        <w:rPr>
          <w:b/>
          <w:lang w:val="es-UY"/>
        </w:rPr>
      </w:pPr>
    </w:p>
    <w:p w:rsidR="003A0EFC" w:rsidRPr="00EC49D7" w:rsidRDefault="00A01D4D" w:rsidP="000E163A">
      <w:pPr>
        <w:tabs>
          <w:tab w:val="left" w:pos="6180"/>
        </w:tabs>
        <w:spacing w:after="200" w:line="276" w:lineRule="auto"/>
        <w:jc w:val="both"/>
        <w:rPr>
          <w:b/>
          <w:lang w:val="es-UY"/>
        </w:rPr>
      </w:pPr>
      <w:r w:rsidRPr="00EC49D7">
        <w:rPr>
          <w:b/>
          <w:lang w:val="es-UY"/>
        </w:rPr>
        <w:t xml:space="preserve">Evaluación de los beneficios. Parámetros utilizados </w:t>
      </w:r>
    </w:p>
    <w:p w:rsidR="00F84757" w:rsidRPr="00EC49D7" w:rsidRDefault="00970877" w:rsidP="000E163A">
      <w:pPr>
        <w:tabs>
          <w:tab w:val="left" w:pos="6180"/>
        </w:tabs>
        <w:spacing w:after="200" w:line="276" w:lineRule="auto"/>
        <w:jc w:val="both"/>
        <w:rPr>
          <w:b/>
          <w:lang w:val="es-UY"/>
        </w:rPr>
      </w:pPr>
      <w:r w:rsidRPr="00EC49D7">
        <w:rPr>
          <w:b/>
          <w:lang w:val="es-UY"/>
        </w:rPr>
        <w:t xml:space="preserve">        </w:t>
      </w:r>
      <w:r w:rsidR="00F84757" w:rsidRPr="00EC49D7">
        <w:rPr>
          <w:b/>
          <w:lang w:val="es-UY"/>
        </w:rPr>
        <w:t xml:space="preserve">Componente I- </w:t>
      </w:r>
    </w:p>
    <w:tbl>
      <w:tblPr>
        <w:tblStyle w:val="TableGrid"/>
        <w:tblW w:w="9288" w:type="dxa"/>
        <w:tblLook w:val="04A0" w:firstRow="1" w:lastRow="0" w:firstColumn="1" w:lastColumn="0" w:noHBand="0" w:noVBand="1"/>
      </w:tblPr>
      <w:tblGrid>
        <w:gridCol w:w="3438"/>
        <w:gridCol w:w="2160"/>
        <w:gridCol w:w="3690"/>
      </w:tblGrid>
      <w:tr w:rsidR="00F84757" w:rsidRPr="00EC49D7" w:rsidTr="00970877">
        <w:tc>
          <w:tcPr>
            <w:tcW w:w="3438" w:type="dxa"/>
          </w:tcPr>
          <w:p w:rsidR="00F84757" w:rsidRPr="00EC49D7" w:rsidRDefault="00F84757" w:rsidP="00B738A3">
            <w:pPr>
              <w:tabs>
                <w:tab w:val="left" w:pos="6180"/>
              </w:tabs>
              <w:spacing w:after="200" w:line="276" w:lineRule="auto"/>
              <w:jc w:val="both"/>
              <w:rPr>
                <w:b/>
                <w:lang w:val="es-UY"/>
              </w:rPr>
            </w:pPr>
            <w:r w:rsidRPr="00EC49D7">
              <w:rPr>
                <w:b/>
                <w:lang w:val="es-UY"/>
              </w:rPr>
              <w:t>Variable</w:t>
            </w:r>
          </w:p>
        </w:tc>
        <w:tc>
          <w:tcPr>
            <w:tcW w:w="2160" w:type="dxa"/>
          </w:tcPr>
          <w:p w:rsidR="00F84757" w:rsidRPr="00EC49D7" w:rsidRDefault="00F84757" w:rsidP="00B738A3">
            <w:pPr>
              <w:tabs>
                <w:tab w:val="left" w:pos="6180"/>
              </w:tabs>
              <w:spacing w:after="200" w:line="276" w:lineRule="auto"/>
              <w:jc w:val="both"/>
              <w:rPr>
                <w:b/>
                <w:lang w:val="es-UY"/>
              </w:rPr>
            </w:pPr>
            <w:r w:rsidRPr="00EC49D7">
              <w:rPr>
                <w:b/>
                <w:lang w:val="es-UY"/>
              </w:rPr>
              <w:t>Valor</w:t>
            </w:r>
          </w:p>
        </w:tc>
        <w:tc>
          <w:tcPr>
            <w:tcW w:w="3690" w:type="dxa"/>
          </w:tcPr>
          <w:p w:rsidR="00F84757" w:rsidRPr="00EC49D7" w:rsidRDefault="00F84757" w:rsidP="00B738A3">
            <w:pPr>
              <w:tabs>
                <w:tab w:val="left" w:pos="6180"/>
              </w:tabs>
              <w:spacing w:after="200" w:line="276" w:lineRule="auto"/>
              <w:jc w:val="both"/>
              <w:rPr>
                <w:b/>
                <w:lang w:val="es-UY"/>
              </w:rPr>
            </w:pPr>
            <w:r w:rsidRPr="00EC49D7">
              <w:rPr>
                <w:b/>
                <w:lang w:val="es-UY"/>
              </w:rPr>
              <w:t>Referencia</w:t>
            </w:r>
          </w:p>
        </w:tc>
      </w:tr>
      <w:tr w:rsidR="00F84757" w:rsidRPr="00EC49D7" w:rsidTr="00970877">
        <w:tc>
          <w:tcPr>
            <w:tcW w:w="3438" w:type="dxa"/>
          </w:tcPr>
          <w:p w:rsidR="00F84757" w:rsidRPr="00EC49D7" w:rsidRDefault="00F84757" w:rsidP="00B738A3">
            <w:pPr>
              <w:tabs>
                <w:tab w:val="left" w:pos="6180"/>
              </w:tabs>
              <w:jc w:val="both"/>
              <w:rPr>
                <w:lang w:val="es-UY"/>
              </w:rPr>
            </w:pPr>
            <w:r w:rsidRPr="00EC49D7">
              <w:rPr>
                <w:lang w:val="es-UY"/>
              </w:rPr>
              <w:t>Alumnos matriculados en el programa</w:t>
            </w:r>
          </w:p>
        </w:tc>
        <w:tc>
          <w:tcPr>
            <w:tcW w:w="2160" w:type="dxa"/>
          </w:tcPr>
          <w:p w:rsidR="00F84757" w:rsidRPr="00EC49D7" w:rsidRDefault="00F84757" w:rsidP="00B738A3">
            <w:pPr>
              <w:tabs>
                <w:tab w:val="left" w:pos="6180"/>
              </w:tabs>
              <w:jc w:val="both"/>
              <w:rPr>
                <w:lang w:val="es-UY"/>
              </w:rPr>
            </w:pPr>
            <w:r w:rsidRPr="00EC49D7">
              <w:rPr>
                <w:lang w:val="es-UY"/>
              </w:rPr>
              <w:t>Número por año</w:t>
            </w:r>
          </w:p>
        </w:tc>
        <w:tc>
          <w:tcPr>
            <w:tcW w:w="3690" w:type="dxa"/>
          </w:tcPr>
          <w:p w:rsidR="00F84757" w:rsidRPr="00EC49D7" w:rsidRDefault="00F84757" w:rsidP="00B738A3">
            <w:pPr>
              <w:tabs>
                <w:tab w:val="left" w:pos="6180"/>
              </w:tabs>
              <w:jc w:val="both"/>
              <w:rPr>
                <w:lang w:val="es-UY"/>
              </w:rPr>
            </w:pPr>
            <w:r w:rsidRPr="00EC49D7">
              <w:rPr>
                <w:lang w:val="es-UY"/>
              </w:rPr>
              <w:t>Matriz de impacto: Resultado 1.1</w:t>
            </w:r>
          </w:p>
        </w:tc>
      </w:tr>
      <w:tr w:rsidR="00F84757" w:rsidRPr="00EC49D7" w:rsidTr="00970877">
        <w:tc>
          <w:tcPr>
            <w:tcW w:w="3438" w:type="dxa"/>
          </w:tcPr>
          <w:p w:rsidR="00F84757" w:rsidRPr="00EC49D7" w:rsidRDefault="00F84757" w:rsidP="00B738A3">
            <w:pPr>
              <w:tabs>
                <w:tab w:val="left" w:pos="6180"/>
              </w:tabs>
              <w:jc w:val="both"/>
              <w:rPr>
                <w:lang w:val="es-UY"/>
              </w:rPr>
            </w:pPr>
            <w:r w:rsidRPr="00EC49D7">
              <w:rPr>
                <w:lang w:val="es-UY"/>
              </w:rPr>
              <w:t>% de alumnos extranjeros</w:t>
            </w:r>
          </w:p>
        </w:tc>
        <w:tc>
          <w:tcPr>
            <w:tcW w:w="2160" w:type="dxa"/>
          </w:tcPr>
          <w:p w:rsidR="00F84757" w:rsidRPr="00EC49D7" w:rsidRDefault="00F84757" w:rsidP="00B738A3">
            <w:pPr>
              <w:tabs>
                <w:tab w:val="left" w:pos="6180"/>
              </w:tabs>
              <w:jc w:val="both"/>
              <w:rPr>
                <w:lang w:val="es-UY"/>
              </w:rPr>
            </w:pPr>
            <w:r w:rsidRPr="00EC49D7">
              <w:rPr>
                <w:lang w:val="es-UY"/>
              </w:rPr>
              <w:t>%</w:t>
            </w:r>
          </w:p>
        </w:tc>
        <w:tc>
          <w:tcPr>
            <w:tcW w:w="3690" w:type="dxa"/>
          </w:tcPr>
          <w:p w:rsidR="00F84757" w:rsidRPr="00EC49D7" w:rsidRDefault="00F84757" w:rsidP="00B738A3">
            <w:pPr>
              <w:tabs>
                <w:tab w:val="left" w:pos="6180"/>
              </w:tabs>
              <w:jc w:val="both"/>
              <w:rPr>
                <w:lang w:val="es-UY"/>
              </w:rPr>
            </w:pPr>
            <w:r w:rsidRPr="00EC49D7">
              <w:rPr>
                <w:lang w:val="es-UY"/>
              </w:rPr>
              <w:t>Indicadores de tracking #1</w:t>
            </w:r>
          </w:p>
        </w:tc>
      </w:tr>
      <w:tr w:rsidR="00F84757" w:rsidRPr="00EC49D7" w:rsidTr="00970877">
        <w:tc>
          <w:tcPr>
            <w:tcW w:w="3438" w:type="dxa"/>
          </w:tcPr>
          <w:p w:rsidR="00F84757" w:rsidRPr="00EC49D7" w:rsidRDefault="00F84757" w:rsidP="00B738A3">
            <w:pPr>
              <w:tabs>
                <w:tab w:val="left" w:pos="6180"/>
              </w:tabs>
              <w:jc w:val="both"/>
              <w:rPr>
                <w:lang w:val="es-UY"/>
              </w:rPr>
            </w:pPr>
            <w:r w:rsidRPr="00EC49D7">
              <w:rPr>
                <w:lang w:val="es-UY"/>
              </w:rPr>
              <w:t>% de alumnos graduados</w:t>
            </w:r>
          </w:p>
        </w:tc>
        <w:tc>
          <w:tcPr>
            <w:tcW w:w="2160" w:type="dxa"/>
          </w:tcPr>
          <w:p w:rsidR="00F84757" w:rsidRPr="00EC49D7" w:rsidRDefault="00F84757" w:rsidP="00B738A3">
            <w:pPr>
              <w:tabs>
                <w:tab w:val="left" w:pos="6180"/>
              </w:tabs>
              <w:jc w:val="both"/>
              <w:rPr>
                <w:lang w:val="es-UY"/>
              </w:rPr>
            </w:pPr>
            <w:r w:rsidRPr="00EC49D7">
              <w:rPr>
                <w:lang w:val="es-UY"/>
              </w:rPr>
              <w:t>%</w:t>
            </w:r>
          </w:p>
        </w:tc>
        <w:tc>
          <w:tcPr>
            <w:tcW w:w="3690" w:type="dxa"/>
          </w:tcPr>
          <w:p w:rsidR="00F84757" w:rsidRPr="00EC49D7" w:rsidRDefault="00F84757" w:rsidP="00B738A3">
            <w:pPr>
              <w:tabs>
                <w:tab w:val="left" w:pos="6180"/>
              </w:tabs>
              <w:jc w:val="both"/>
              <w:rPr>
                <w:lang w:val="es-UY"/>
              </w:rPr>
            </w:pPr>
            <w:r w:rsidRPr="00EC49D7">
              <w:rPr>
                <w:lang w:val="es-UY"/>
              </w:rPr>
              <w:t>Matriz de impacto: Resultado 1.2</w:t>
            </w:r>
          </w:p>
        </w:tc>
      </w:tr>
      <w:tr w:rsidR="00F84757" w:rsidRPr="00EC49D7" w:rsidTr="00970877">
        <w:tc>
          <w:tcPr>
            <w:tcW w:w="3438" w:type="dxa"/>
          </w:tcPr>
          <w:p w:rsidR="00F84757" w:rsidRPr="00EC49D7" w:rsidRDefault="00F84757" w:rsidP="00B738A3">
            <w:pPr>
              <w:tabs>
                <w:tab w:val="left" w:pos="6180"/>
              </w:tabs>
              <w:jc w:val="both"/>
              <w:rPr>
                <w:lang w:val="es-UY"/>
              </w:rPr>
            </w:pPr>
            <w:r w:rsidRPr="00EC49D7">
              <w:rPr>
                <w:lang w:val="es-UY"/>
              </w:rPr>
              <w:t>Graduados del programa contratados por el sector SBIC</w:t>
            </w:r>
          </w:p>
        </w:tc>
        <w:tc>
          <w:tcPr>
            <w:tcW w:w="2160" w:type="dxa"/>
          </w:tcPr>
          <w:p w:rsidR="00F84757" w:rsidRPr="00EC49D7" w:rsidRDefault="00F84757" w:rsidP="00B738A3">
            <w:pPr>
              <w:tabs>
                <w:tab w:val="left" w:pos="6180"/>
              </w:tabs>
              <w:jc w:val="both"/>
              <w:rPr>
                <w:lang w:val="es-UY"/>
              </w:rPr>
            </w:pPr>
            <w:r w:rsidRPr="00EC49D7">
              <w:rPr>
                <w:lang w:val="es-UY"/>
              </w:rPr>
              <w:t>Número por año</w:t>
            </w:r>
          </w:p>
        </w:tc>
        <w:tc>
          <w:tcPr>
            <w:tcW w:w="3690" w:type="dxa"/>
          </w:tcPr>
          <w:p w:rsidR="00F84757" w:rsidRPr="00EC49D7" w:rsidRDefault="00F84757" w:rsidP="00B738A3">
            <w:pPr>
              <w:tabs>
                <w:tab w:val="left" w:pos="6180"/>
              </w:tabs>
              <w:jc w:val="both"/>
              <w:rPr>
                <w:lang w:val="es-UY"/>
              </w:rPr>
            </w:pPr>
            <w:r w:rsidRPr="00EC49D7">
              <w:rPr>
                <w:lang w:val="es-UY"/>
              </w:rPr>
              <w:t>Matriz de impacto: Resultado 1.4</w:t>
            </w:r>
          </w:p>
        </w:tc>
      </w:tr>
      <w:tr w:rsidR="00F84757" w:rsidRPr="00EC49D7" w:rsidTr="00970877">
        <w:tc>
          <w:tcPr>
            <w:tcW w:w="3438" w:type="dxa"/>
          </w:tcPr>
          <w:p w:rsidR="00F84757" w:rsidRPr="00EC49D7" w:rsidRDefault="00F84757" w:rsidP="00F84757">
            <w:pPr>
              <w:tabs>
                <w:tab w:val="left" w:pos="6180"/>
              </w:tabs>
              <w:jc w:val="both"/>
              <w:rPr>
                <w:lang w:val="es-UY"/>
              </w:rPr>
            </w:pPr>
            <w:r w:rsidRPr="00EC49D7">
              <w:rPr>
                <w:lang w:val="es-UY"/>
              </w:rPr>
              <w:t xml:space="preserve">Ingresos antes del programa </w:t>
            </w:r>
          </w:p>
        </w:tc>
        <w:tc>
          <w:tcPr>
            <w:tcW w:w="2160" w:type="dxa"/>
          </w:tcPr>
          <w:p w:rsidR="00F84757" w:rsidRPr="00EC49D7" w:rsidRDefault="00F84757" w:rsidP="00B738A3">
            <w:pPr>
              <w:tabs>
                <w:tab w:val="left" w:pos="6180"/>
              </w:tabs>
              <w:jc w:val="both"/>
              <w:rPr>
                <w:lang w:val="es-UY"/>
              </w:rPr>
            </w:pPr>
            <w:r w:rsidRPr="00EC49D7">
              <w:rPr>
                <w:lang w:val="es-UY"/>
              </w:rPr>
              <w:t>USD</w:t>
            </w:r>
            <w:r w:rsidR="00217AC5" w:rsidRPr="00EC49D7">
              <w:rPr>
                <w:lang w:val="es-UY"/>
              </w:rPr>
              <w:t xml:space="preserve"> 26472</w:t>
            </w:r>
          </w:p>
        </w:tc>
        <w:tc>
          <w:tcPr>
            <w:tcW w:w="3690" w:type="dxa"/>
          </w:tcPr>
          <w:p w:rsidR="00F84757" w:rsidRPr="00EC49D7" w:rsidRDefault="00217AC5" w:rsidP="00217AC5">
            <w:pPr>
              <w:tabs>
                <w:tab w:val="left" w:pos="6180"/>
              </w:tabs>
              <w:jc w:val="both"/>
              <w:rPr>
                <w:lang w:val="es-UY"/>
              </w:rPr>
            </w:pPr>
            <w:r w:rsidRPr="00EC49D7">
              <w:rPr>
                <w:lang w:val="es-UY"/>
              </w:rPr>
              <w:t xml:space="preserve">Ingreso mediano (fijo y variable) </w:t>
            </w:r>
            <w:proofErr w:type="spellStart"/>
            <w:r w:rsidRPr="00EC49D7">
              <w:rPr>
                <w:lang w:val="es-UY"/>
              </w:rPr>
              <w:t>developer</w:t>
            </w:r>
            <w:proofErr w:type="spellEnd"/>
            <w:r w:rsidRPr="00EC49D7">
              <w:rPr>
                <w:lang w:val="es-UY"/>
              </w:rPr>
              <w:t xml:space="preserve"> intermedio. Encuesta CUTI. </w:t>
            </w:r>
            <w:r w:rsidR="00F84757" w:rsidRPr="00EC49D7">
              <w:rPr>
                <w:lang w:val="es-UY"/>
              </w:rPr>
              <w:t>Impacto #3</w:t>
            </w:r>
          </w:p>
        </w:tc>
      </w:tr>
      <w:tr w:rsidR="00F84757" w:rsidRPr="00EC49D7" w:rsidTr="00970877">
        <w:tc>
          <w:tcPr>
            <w:tcW w:w="3438" w:type="dxa"/>
          </w:tcPr>
          <w:p w:rsidR="00F84757" w:rsidRPr="00EC49D7" w:rsidRDefault="00F84757" w:rsidP="00F84757">
            <w:pPr>
              <w:tabs>
                <w:tab w:val="left" w:pos="6180"/>
              </w:tabs>
              <w:jc w:val="both"/>
              <w:rPr>
                <w:lang w:val="es-UY"/>
              </w:rPr>
            </w:pPr>
            <w:r w:rsidRPr="00EC49D7">
              <w:rPr>
                <w:lang w:val="es-UY"/>
              </w:rPr>
              <w:t xml:space="preserve">Ingresos de los graduados residentes del Programa </w:t>
            </w:r>
          </w:p>
        </w:tc>
        <w:tc>
          <w:tcPr>
            <w:tcW w:w="2160" w:type="dxa"/>
          </w:tcPr>
          <w:p w:rsidR="00F84757" w:rsidRPr="00EC49D7" w:rsidRDefault="00F84757" w:rsidP="00B738A3">
            <w:pPr>
              <w:tabs>
                <w:tab w:val="left" w:pos="6180"/>
              </w:tabs>
              <w:jc w:val="both"/>
              <w:rPr>
                <w:lang w:val="es-UY"/>
              </w:rPr>
            </w:pPr>
            <w:r w:rsidRPr="00EC49D7">
              <w:rPr>
                <w:lang w:val="es-UY"/>
              </w:rPr>
              <w:t>USD</w:t>
            </w:r>
            <w:r w:rsidR="00217AC5" w:rsidRPr="00EC49D7">
              <w:rPr>
                <w:lang w:val="es-UY"/>
              </w:rPr>
              <w:t xml:space="preserve"> 47160</w:t>
            </w:r>
          </w:p>
        </w:tc>
        <w:tc>
          <w:tcPr>
            <w:tcW w:w="3690" w:type="dxa"/>
          </w:tcPr>
          <w:p w:rsidR="00F84757" w:rsidRPr="00EC49D7" w:rsidRDefault="00217AC5" w:rsidP="00217AC5">
            <w:pPr>
              <w:tabs>
                <w:tab w:val="left" w:pos="6180"/>
              </w:tabs>
              <w:jc w:val="both"/>
              <w:rPr>
                <w:lang w:val="es-UY"/>
              </w:rPr>
            </w:pPr>
            <w:r w:rsidRPr="00EC49D7">
              <w:rPr>
                <w:lang w:val="es-UY"/>
              </w:rPr>
              <w:t xml:space="preserve">Ingreso mediano (fijo y variable) gerente de proyecto de segundo nivel. Encuesta CUTI. </w:t>
            </w:r>
            <w:r w:rsidR="00F84757" w:rsidRPr="00EC49D7">
              <w:rPr>
                <w:lang w:val="es-UY"/>
              </w:rPr>
              <w:t>Impacto #3</w:t>
            </w:r>
          </w:p>
        </w:tc>
      </w:tr>
      <w:tr w:rsidR="00F84757" w:rsidRPr="00EC49D7" w:rsidTr="00970877">
        <w:tc>
          <w:tcPr>
            <w:tcW w:w="3438" w:type="dxa"/>
          </w:tcPr>
          <w:p w:rsidR="00F84757" w:rsidRPr="00EC49D7" w:rsidRDefault="00F84757" w:rsidP="00B738A3">
            <w:pPr>
              <w:tabs>
                <w:tab w:val="left" w:pos="6180"/>
              </w:tabs>
              <w:jc w:val="both"/>
              <w:rPr>
                <w:lang w:val="es-UY"/>
              </w:rPr>
            </w:pPr>
            <w:r w:rsidRPr="00EC49D7">
              <w:rPr>
                <w:lang w:val="es-UY"/>
              </w:rPr>
              <w:t xml:space="preserve">Depreciación anual de la inversión en Capital Humano </w:t>
            </w:r>
          </w:p>
        </w:tc>
        <w:tc>
          <w:tcPr>
            <w:tcW w:w="2160" w:type="dxa"/>
          </w:tcPr>
          <w:p w:rsidR="00F84757" w:rsidRPr="00EC49D7" w:rsidRDefault="00F84757" w:rsidP="00B738A3">
            <w:pPr>
              <w:tabs>
                <w:tab w:val="left" w:pos="6180"/>
              </w:tabs>
              <w:jc w:val="both"/>
              <w:rPr>
                <w:lang w:val="es-UY"/>
              </w:rPr>
            </w:pPr>
            <w:r w:rsidRPr="00EC49D7">
              <w:rPr>
                <w:lang w:val="es-UY"/>
              </w:rPr>
              <w:t>20%</w:t>
            </w:r>
          </w:p>
        </w:tc>
        <w:tc>
          <w:tcPr>
            <w:tcW w:w="3690" w:type="dxa"/>
          </w:tcPr>
          <w:p w:rsidR="00F84757" w:rsidRPr="00EC49D7" w:rsidRDefault="00F84757" w:rsidP="00B738A3">
            <w:pPr>
              <w:tabs>
                <w:tab w:val="left" w:pos="6180"/>
              </w:tabs>
              <w:jc w:val="both"/>
              <w:rPr>
                <w:lang w:val="es-UY"/>
              </w:rPr>
            </w:pPr>
            <w:r w:rsidRPr="00EC49D7">
              <w:rPr>
                <w:lang w:val="es-UY"/>
              </w:rPr>
              <w:t>Supuesto</w:t>
            </w:r>
          </w:p>
        </w:tc>
      </w:tr>
      <w:tr w:rsidR="00F84757" w:rsidRPr="00EC49D7" w:rsidTr="00970877">
        <w:tc>
          <w:tcPr>
            <w:tcW w:w="3438" w:type="dxa"/>
          </w:tcPr>
          <w:p w:rsidR="00F84757" w:rsidRPr="00EC49D7" w:rsidRDefault="00F84757" w:rsidP="00B738A3">
            <w:pPr>
              <w:tabs>
                <w:tab w:val="left" w:pos="6180"/>
              </w:tabs>
              <w:jc w:val="both"/>
              <w:rPr>
                <w:lang w:val="es-UY"/>
              </w:rPr>
            </w:pPr>
            <w:r w:rsidRPr="00EC49D7">
              <w:rPr>
                <w:lang w:val="es-UY"/>
              </w:rPr>
              <w:t>Costo de la matrícula para extranjeros</w:t>
            </w:r>
          </w:p>
        </w:tc>
        <w:tc>
          <w:tcPr>
            <w:tcW w:w="2160" w:type="dxa"/>
          </w:tcPr>
          <w:p w:rsidR="00F84757" w:rsidRPr="00EC49D7" w:rsidRDefault="00F84757" w:rsidP="00B738A3">
            <w:pPr>
              <w:tabs>
                <w:tab w:val="left" w:pos="6180"/>
              </w:tabs>
              <w:jc w:val="both"/>
              <w:rPr>
                <w:lang w:val="es-UY"/>
              </w:rPr>
            </w:pPr>
            <w:r w:rsidRPr="00EC49D7">
              <w:rPr>
                <w:lang w:val="es-UY"/>
              </w:rPr>
              <w:t>15000</w:t>
            </w:r>
          </w:p>
        </w:tc>
        <w:tc>
          <w:tcPr>
            <w:tcW w:w="3690" w:type="dxa"/>
          </w:tcPr>
          <w:p w:rsidR="00F84757" w:rsidRPr="00EC49D7" w:rsidRDefault="00F84757" w:rsidP="00B738A3">
            <w:pPr>
              <w:tabs>
                <w:tab w:val="left" w:pos="6180"/>
              </w:tabs>
              <w:jc w:val="both"/>
              <w:rPr>
                <w:lang w:val="es-UY"/>
              </w:rPr>
            </w:pPr>
            <w:r w:rsidRPr="00EC49D7">
              <w:rPr>
                <w:lang w:val="es-UY"/>
              </w:rPr>
              <w:t>Documento LATAM COLAB</w:t>
            </w:r>
          </w:p>
        </w:tc>
      </w:tr>
    </w:tbl>
    <w:p w:rsidR="00356E59" w:rsidRPr="00EC49D7" w:rsidRDefault="00970877" w:rsidP="00F84757">
      <w:pPr>
        <w:tabs>
          <w:tab w:val="left" w:pos="6180"/>
        </w:tabs>
        <w:spacing w:after="200" w:line="276" w:lineRule="auto"/>
        <w:jc w:val="both"/>
        <w:rPr>
          <w:b/>
          <w:lang w:val="es-UY"/>
        </w:rPr>
      </w:pPr>
      <w:r w:rsidRPr="00EC49D7">
        <w:rPr>
          <w:b/>
          <w:lang w:val="es-UY"/>
        </w:rPr>
        <w:t xml:space="preserve">        </w:t>
      </w:r>
      <w:r w:rsidR="00F84757" w:rsidRPr="00EC49D7">
        <w:rPr>
          <w:b/>
          <w:lang w:val="es-UY"/>
        </w:rPr>
        <w:t xml:space="preserve">Componente II- </w:t>
      </w:r>
    </w:p>
    <w:tbl>
      <w:tblPr>
        <w:tblStyle w:val="TableGrid"/>
        <w:tblW w:w="9288" w:type="dxa"/>
        <w:tblLook w:val="04A0" w:firstRow="1" w:lastRow="0" w:firstColumn="1" w:lastColumn="0" w:noHBand="0" w:noVBand="1"/>
      </w:tblPr>
      <w:tblGrid>
        <w:gridCol w:w="3528"/>
        <w:gridCol w:w="2070"/>
        <w:gridCol w:w="3690"/>
      </w:tblGrid>
      <w:tr w:rsidR="00F84757" w:rsidRPr="00EC49D7" w:rsidTr="00970877">
        <w:tc>
          <w:tcPr>
            <w:tcW w:w="3528" w:type="dxa"/>
          </w:tcPr>
          <w:p w:rsidR="00F84757" w:rsidRPr="00EC49D7" w:rsidRDefault="00F84757" w:rsidP="00B738A3">
            <w:pPr>
              <w:tabs>
                <w:tab w:val="left" w:pos="6180"/>
              </w:tabs>
              <w:spacing w:after="200" w:line="276" w:lineRule="auto"/>
              <w:jc w:val="both"/>
              <w:rPr>
                <w:b/>
                <w:lang w:val="es-UY"/>
              </w:rPr>
            </w:pPr>
            <w:r w:rsidRPr="00EC49D7">
              <w:rPr>
                <w:b/>
                <w:lang w:val="es-UY"/>
              </w:rPr>
              <w:t>Variable</w:t>
            </w:r>
          </w:p>
        </w:tc>
        <w:tc>
          <w:tcPr>
            <w:tcW w:w="2070" w:type="dxa"/>
          </w:tcPr>
          <w:p w:rsidR="00F84757" w:rsidRPr="00EC49D7" w:rsidRDefault="00F84757" w:rsidP="00B738A3">
            <w:pPr>
              <w:tabs>
                <w:tab w:val="left" w:pos="6180"/>
              </w:tabs>
              <w:spacing w:after="200" w:line="276" w:lineRule="auto"/>
              <w:jc w:val="both"/>
              <w:rPr>
                <w:b/>
                <w:lang w:val="es-UY"/>
              </w:rPr>
            </w:pPr>
            <w:r w:rsidRPr="00EC49D7">
              <w:rPr>
                <w:b/>
                <w:lang w:val="es-UY"/>
              </w:rPr>
              <w:t>Valor</w:t>
            </w:r>
          </w:p>
        </w:tc>
        <w:tc>
          <w:tcPr>
            <w:tcW w:w="3690" w:type="dxa"/>
          </w:tcPr>
          <w:p w:rsidR="00F84757" w:rsidRPr="00EC49D7" w:rsidRDefault="00F84757" w:rsidP="00B738A3">
            <w:pPr>
              <w:tabs>
                <w:tab w:val="left" w:pos="6180"/>
              </w:tabs>
              <w:spacing w:after="200" w:line="276" w:lineRule="auto"/>
              <w:jc w:val="both"/>
              <w:rPr>
                <w:b/>
                <w:lang w:val="es-UY"/>
              </w:rPr>
            </w:pPr>
            <w:r w:rsidRPr="00EC49D7">
              <w:rPr>
                <w:b/>
                <w:lang w:val="es-UY"/>
              </w:rPr>
              <w:t>Referencia</w:t>
            </w:r>
          </w:p>
        </w:tc>
      </w:tr>
      <w:tr w:rsidR="00B738A3" w:rsidRPr="00EC49D7" w:rsidTr="00970877">
        <w:tc>
          <w:tcPr>
            <w:tcW w:w="3528" w:type="dxa"/>
          </w:tcPr>
          <w:p w:rsidR="00B738A3" w:rsidRPr="00EC49D7" w:rsidRDefault="00B738A3" w:rsidP="00B738A3">
            <w:pPr>
              <w:tabs>
                <w:tab w:val="left" w:pos="6180"/>
              </w:tabs>
              <w:jc w:val="both"/>
              <w:rPr>
                <w:lang w:val="es-UY"/>
              </w:rPr>
            </w:pPr>
            <w:r w:rsidRPr="00EC49D7">
              <w:rPr>
                <w:lang w:val="es-UY"/>
              </w:rPr>
              <w:t>Elasticidad de facturación a inversión en innovación rezagada</w:t>
            </w:r>
          </w:p>
        </w:tc>
        <w:tc>
          <w:tcPr>
            <w:tcW w:w="2070" w:type="dxa"/>
          </w:tcPr>
          <w:p w:rsidR="00B738A3" w:rsidRPr="00EC49D7" w:rsidRDefault="00B738A3" w:rsidP="00B738A3">
            <w:pPr>
              <w:tabs>
                <w:tab w:val="left" w:pos="6180"/>
              </w:tabs>
              <w:jc w:val="center"/>
              <w:rPr>
                <w:lang w:val="es-UY"/>
              </w:rPr>
            </w:pPr>
            <w:r w:rsidRPr="00EC49D7">
              <w:rPr>
                <w:lang w:val="es-UY"/>
              </w:rPr>
              <w:t>0.121</w:t>
            </w:r>
          </w:p>
        </w:tc>
        <w:tc>
          <w:tcPr>
            <w:tcW w:w="3690" w:type="dxa"/>
          </w:tcPr>
          <w:p w:rsidR="00B738A3" w:rsidRPr="00EC49D7" w:rsidRDefault="00B738A3" w:rsidP="00B738A3">
            <w:pPr>
              <w:tabs>
                <w:tab w:val="left" w:pos="6180"/>
              </w:tabs>
              <w:jc w:val="both"/>
              <w:rPr>
                <w:lang w:val="es-UY"/>
              </w:rPr>
            </w:pPr>
            <w:r w:rsidRPr="00EC49D7">
              <w:rPr>
                <w:lang w:val="es-UY"/>
              </w:rPr>
              <w:t>Análisis Económico (UR-L1142) en base a E</w:t>
            </w:r>
            <w:r w:rsidR="00980415" w:rsidRPr="00EC49D7">
              <w:rPr>
                <w:lang w:val="es-UY"/>
              </w:rPr>
              <w:t xml:space="preserve">ncuesta de </w:t>
            </w:r>
            <w:r w:rsidRPr="00EC49D7">
              <w:rPr>
                <w:lang w:val="es-UY"/>
              </w:rPr>
              <w:t>A</w:t>
            </w:r>
            <w:r w:rsidR="00980415" w:rsidRPr="00EC49D7">
              <w:rPr>
                <w:lang w:val="es-UY"/>
              </w:rPr>
              <w:t xml:space="preserve">ctividades de </w:t>
            </w:r>
            <w:r w:rsidRPr="00EC49D7">
              <w:rPr>
                <w:lang w:val="es-UY"/>
              </w:rPr>
              <w:t>I</w:t>
            </w:r>
            <w:r w:rsidR="00980415" w:rsidRPr="00EC49D7">
              <w:rPr>
                <w:lang w:val="es-UY"/>
              </w:rPr>
              <w:t>nnovación</w:t>
            </w:r>
          </w:p>
        </w:tc>
      </w:tr>
      <w:tr w:rsidR="00B738A3" w:rsidRPr="00EC49D7" w:rsidTr="00970877">
        <w:tc>
          <w:tcPr>
            <w:tcW w:w="3528" w:type="dxa"/>
          </w:tcPr>
          <w:p w:rsidR="00B738A3" w:rsidRPr="00EC49D7" w:rsidRDefault="00B738A3" w:rsidP="00B738A3">
            <w:pPr>
              <w:tabs>
                <w:tab w:val="left" w:pos="6180"/>
              </w:tabs>
              <w:jc w:val="both"/>
              <w:rPr>
                <w:lang w:val="es-UY"/>
              </w:rPr>
            </w:pPr>
            <w:r w:rsidRPr="00EC49D7">
              <w:rPr>
                <w:lang w:val="es-UY"/>
              </w:rPr>
              <w:t>Mark-up</w:t>
            </w:r>
          </w:p>
        </w:tc>
        <w:tc>
          <w:tcPr>
            <w:tcW w:w="2070" w:type="dxa"/>
          </w:tcPr>
          <w:p w:rsidR="00B738A3" w:rsidRPr="00EC49D7" w:rsidRDefault="00B738A3" w:rsidP="00B738A3">
            <w:pPr>
              <w:tabs>
                <w:tab w:val="left" w:pos="6180"/>
              </w:tabs>
              <w:jc w:val="center"/>
              <w:rPr>
                <w:lang w:val="es-UY"/>
              </w:rPr>
            </w:pPr>
            <w:r w:rsidRPr="00EC49D7">
              <w:rPr>
                <w:lang w:val="es-UY"/>
              </w:rPr>
              <w:t>30%</w:t>
            </w:r>
          </w:p>
        </w:tc>
        <w:tc>
          <w:tcPr>
            <w:tcW w:w="3690" w:type="dxa"/>
          </w:tcPr>
          <w:p w:rsidR="00B738A3" w:rsidRPr="00EC49D7" w:rsidRDefault="00B738A3" w:rsidP="00B738A3">
            <w:pPr>
              <w:tabs>
                <w:tab w:val="left" w:pos="6180"/>
              </w:tabs>
              <w:jc w:val="center"/>
              <w:rPr>
                <w:lang w:val="es-UY"/>
              </w:rPr>
            </w:pPr>
            <w:r w:rsidRPr="00EC49D7">
              <w:rPr>
                <w:lang w:val="es-UY"/>
              </w:rPr>
              <w:t>Ídem</w:t>
            </w:r>
          </w:p>
        </w:tc>
      </w:tr>
      <w:tr w:rsidR="00B738A3" w:rsidRPr="00EC49D7" w:rsidTr="00970877">
        <w:tc>
          <w:tcPr>
            <w:tcW w:w="3528" w:type="dxa"/>
          </w:tcPr>
          <w:p w:rsidR="00B738A3" w:rsidRPr="00EC49D7" w:rsidRDefault="00B738A3" w:rsidP="00B738A3">
            <w:pPr>
              <w:tabs>
                <w:tab w:val="left" w:pos="6180"/>
              </w:tabs>
              <w:jc w:val="both"/>
              <w:rPr>
                <w:lang w:val="es-UY"/>
              </w:rPr>
            </w:pPr>
            <w:r w:rsidRPr="00EC49D7">
              <w:rPr>
                <w:lang w:val="es-UY"/>
              </w:rPr>
              <w:t>Tasa de sobrevida de las empresas a cinco años</w:t>
            </w:r>
          </w:p>
        </w:tc>
        <w:tc>
          <w:tcPr>
            <w:tcW w:w="2070" w:type="dxa"/>
          </w:tcPr>
          <w:p w:rsidR="00B738A3" w:rsidRPr="00EC49D7" w:rsidRDefault="00B738A3" w:rsidP="00B738A3">
            <w:pPr>
              <w:tabs>
                <w:tab w:val="left" w:pos="6180"/>
              </w:tabs>
              <w:jc w:val="center"/>
              <w:rPr>
                <w:lang w:val="es-UY"/>
              </w:rPr>
            </w:pPr>
            <w:r w:rsidRPr="00EC49D7">
              <w:rPr>
                <w:lang w:val="es-UY"/>
              </w:rPr>
              <w:t>70%</w:t>
            </w:r>
          </w:p>
        </w:tc>
        <w:tc>
          <w:tcPr>
            <w:tcW w:w="3690" w:type="dxa"/>
          </w:tcPr>
          <w:p w:rsidR="00B738A3" w:rsidRPr="00EC49D7" w:rsidRDefault="00B738A3" w:rsidP="00B738A3">
            <w:pPr>
              <w:tabs>
                <w:tab w:val="left" w:pos="6180"/>
              </w:tabs>
              <w:jc w:val="center"/>
              <w:rPr>
                <w:lang w:val="es-UY"/>
              </w:rPr>
            </w:pPr>
            <w:r w:rsidRPr="00EC49D7">
              <w:rPr>
                <w:lang w:val="es-UY"/>
              </w:rPr>
              <w:t>Ídem</w:t>
            </w:r>
          </w:p>
        </w:tc>
      </w:tr>
      <w:tr w:rsidR="00B738A3" w:rsidRPr="00EC49D7" w:rsidTr="00970877">
        <w:tc>
          <w:tcPr>
            <w:tcW w:w="3528" w:type="dxa"/>
          </w:tcPr>
          <w:p w:rsidR="00B738A3" w:rsidRPr="00EC49D7" w:rsidRDefault="00B738A3" w:rsidP="00B738A3">
            <w:pPr>
              <w:tabs>
                <w:tab w:val="left" w:pos="6180"/>
              </w:tabs>
              <w:jc w:val="both"/>
              <w:rPr>
                <w:lang w:val="es-UY"/>
              </w:rPr>
            </w:pPr>
            <w:r w:rsidRPr="00EC49D7">
              <w:rPr>
                <w:lang w:val="es-UY"/>
              </w:rPr>
              <w:t>Adicionalidad del gasto en innovación</w:t>
            </w:r>
          </w:p>
        </w:tc>
        <w:tc>
          <w:tcPr>
            <w:tcW w:w="2070" w:type="dxa"/>
          </w:tcPr>
          <w:p w:rsidR="00B738A3" w:rsidRPr="00EC49D7" w:rsidRDefault="00B738A3" w:rsidP="00B738A3">
            <w:pPr>
              <w:tabs>
                <w:tab w:val="left" w:pos="6180"/>
              </w:tabs>
              <w:jc w:val="center"/>
              <w:rPr>
                <w:lang w:val="es-UY"/>
              </w:rPr>
            </w:pPr>
            <w:r w:rsidRPr="00EC49D7">
              <w:rPr>
                <w:lang w:val="es-UY"/>
              </w:rPr>
              <w:t>2.2</w:t>
            </w:r>
          </w:p>
        </w:tc>
        <w:tc>
          <w:tcPr>
            <w:tcW w:w="3690" w:type="dxa"/>
          </w:tcPr>
          <w:p w:rsidR="00B738A3" w:rsidRPr="00EC49D7" w:rsidRDefault="00B738A3" w:rsidP="00B738A3">
            <w:pPr>
              <w:tabs>
                <w:tab w:val="left" w:pos="6180"/>
              </w:tabs>
              <w:jc w:val="center"/>
              <w:rPr>
                <w:lang w:val="es-UY"/>
              </w:rPr>
            </w:pPr>
            <w:r w:rsidRPr="00EC49D7">
              <w:rPr>
                <w:lang w:val="es-UY"/>
              </w:rPr>
              <w:t>Ídem</w:t>
            </w:r>
          </w:p>
        </w:tc>
      </w:tr>
      <w:tr w:rsidR="00B738A3" w:rsidRPr="00EC49D7" w:rsidTr="00970877">
        <w:tc>
          <w:tcPr>
            <w:tcW w:w="3528" w:type="dxa"/>
          </w:tcPr>
          <w:p w:rsidR="00B738A3" w:rsidRPr="00EC49D7" w:rsidRDefault="00B738A3" w:rsidP="00B738A3">
            <w:pPr>
              <w:tabs>
                <w:tab w:val="left" w:pos="6180"/>
              </w:tabs>
              <w:jc w:val="both"/>
              <w:rPr>
                <w:lang w:val="es-UY"/>
              </w:rPr>
            </w:pPr>
            <w:r w:rsidRPr="00EC49D7">
              <w:rPr>
                <w:lang w:val="es-UY"/>
              </w:rPr>
              <w:t>Depreciación anual de la inversión en Capital Humano</w:t>
            </w:r>
            <w:r w:rsidR="009F6272" w:rsidRPr="00EC49D7">
              <w:rPr>
                <w:lang w:val="es-UY"/>
              </w:rPr>
              <w:t xml:space="preserve"> o ideas </w:t>
            </w:r>
            <w:r w:rsidR="00EC49D7" w:rsidRPr="00EC49D7">
              <w:rPr>
                <w:lang w:val="es-UY"/>
              </w:rPr>
              <w:t>innovadoras del</w:t>
            </w:r>
            <w:r w:rsidR="009F6272" w:rsidRPr="00EC49D7">
              <w:rPr>
                <w:lang w:val="es-UY"/>
              </w:rPr>
              <w:t xml:space="preserve"> proyecto</w:t>
            </w:r>
          </w:p>
        </w:tc>
        <w:tc>
          <w:tcPr>
            <w:tcW w:w="2070" w:type="dxa"/>
          </w:tcPr>
          <w:p w:rsidR="00B738A3" w:rsidRPr="00EC49D7" w:rsidRDefault="00B738A3" w:rsidP="00B738A3">
            <w:pPr>
              <w:tabs>
                <w:tab w:val="left" w:pos="6180"/>
              </w:tabs>
              <w:jc w:val="both"/>
              <w:rPr>
                <w:lang w:val="es-UY"/>
              </w:rPr>
            </w:pPr>
            <w:r w:rsidRPr="00EC49D7">
              <w:rPr>
                <w:lang w:val="es-UY"/>
              </w:rPr>
              <w:t>20%</w:t>
            </w:r>
          </w:p>
        </w:tc>
        <w:tc>
          <w:tcPr>
            <w:tcW w:w="3690" w:type="dxa"/>
          </w:tcPr>
          <w:p w:rsidR="00B738A3" w:rsidRPr="00EC49D7" w:rsidRDefault="00B738A3" w:rsidP="00B738A3">
            <w:pPr>
              <w:tabs>
                <w:tab w:val="left" w:pos="6180"/>
              </w:tabs>
              <w:jc w:val="both"/>
              <w:rPr>
                <w:lang w:val="es-UY"/>
              </w:rPr>
            </w:pPr>
            <w:r w:rsidRPr="00EC49D7">
              <w:rPr>
                <w:lang w:val="es-UY"/>
              </w:rPr>
              <w:t>Supuesto</w:t>
            </w:r>
          </w:p>
        </w:tc>
      </w:tr>
    </w:tbl>
    <w:p w:rsidR="000C5ABD" w:rsidRPr="00EC49D7" w:rsidRDefault="000C5ABD" w:rsidP="00356E59">
      <w:pPr>
        <w:tabs>
          <w:tab w:val="left" w:pos="6180"/>
        </w:tabs>
        <w:jc w:val="both"/>
        <w:rPr>
          <w:lang w:val="es-UY"/>
        </w:rPr>
      </w:pPr>
    </w:p>
    <w:p w:rsidR="00CF489F" w:rsidRPr="00EC49D7" w:rsidRDefault="0032523A" w:rsidP="00356E59">
      <w:pPr>
        <w:tabs>
          <w:tab w:val="left" w:pos="6180"/>
        </w:tabs>
        <w:jc w:val="both"/>
        <w:rPr>
          <w:szCs w:val="24"/>
          <w:lang w:val="es-UY"/>
        </w:rPr>
      </w:pPr>
      <w:r w:rsidRPr="00EC49D7">
        <w:rPr>
          <w:szCs w:val="24"/>
          <w:lang w:val="es-UY"/>
        </w:rPr>
        <w:t>El siguiente cuadro resume la temporalidad de los beneficios analizados</w:t>
      </w:r>
      <w:r w:rsidR="005950D7" w:rsidRPr="00EC49D7">
        <w:rPr>
          <w:szCs w:val="24"/>
          <w:lang w:val="es-UY"/>
        </w:rPr>
        <w:t xml:space="preserve"> para cada uno de los cuatro años de operación del programa</w:t>
      </w:r>
    </w:p>
    <w:p w:rsidR="00E232C9" w:rsidRDefault="00E232C9" w:rsidP="00356E59">
      <w:pPr>
        <w:tabs>
          <w:tab w:val="left" w:pos="6180"/>
        </w:tabs>
        <w:jc w:val="both"/>
        <w:rPr>
          <w:szCs w:val="24"/>
          <w:lang w:val="es-UY"/>
        </w:rPr>
      </w:pPr>
    </w:p>
    <w:p w:rsidR="00EC49D7" w:rsidRDefault="00EC49D7" w:rsidP="00356E59">
      <w:pPr>
        <w:tabs>
          <w:tab w:val="left" w:pos="6180"/>
        </w:tabs>
        <w:jc w:val="both"/>
        <w:rPr>
          <w:szCs w:val="24"/>
          <w:lang w:val="es-UY"/>
        </w:rPr>
      </w:pPr>
    </w:p>
    <w:p w:rsidR="00EC49D7" w:rsidRDefault="00EC49D7" w:rsidP="00356E59">
      <w:pPr>
        <w:tabs>
          <w:tab w:val="left" w:pos="6180"/>
        </w:tabs>
        <w:jc w:val="both"/>
        <w:rPr>
          <w:szCs w:val="24"/>
          <w:lang w:val="es-UY"/>
        </w:rPr>
      </w:pPr>
    </w:p>
    <w:p w:rsidR="00EC49D7" w:rsidRDefault="00EC49D7" w:rsidP="00356E59">
      <w:pPr>
        <w:tabs>
          <w:tab w:val="left" w:pos="6180"/>
        </w:tabs>
        <w:jc w:val="both"/>
        <w:rPr>
          <w:szCs w:val="24"/>
          <w:lang w:val="es-UY"/>
        </w:rPr>
      </w:pPr>
    </w:p>
    <w:p w:rsidR="00EC49D7" w:rsidRPr="00EC49D7" w:rsidRDefault="00EC49D7" w:rsidP="00356E59">
      <w:pPr>
        <w:tabs>
          <w:tab w:val="left" w:pos="6180"/>
        </w:tabs>
        <w:jc w:val="both"/>
        <w:rPr>
          <w:szCs w:val="24"/>
          <w:lang w:val="es-UY"/>
        </w:rPr>
      </w:pPr>
    </w:p>
    <w:p w:rsidR="00E232C9" w:rsidRPr="00EC49D7" w:rsidRDefault="00E232C9" w:rsidP="00356E59">
      <w:pPr>
        <w:tabs>
          <w:tab w:val="left" w:pos="6180"/>
        </w:tabs>
        <w:jc w:val="both"/>
        <w:rPr>
          <w:szCs w:val="24"/>
          <w:lang w:val="es-UY"/>
        </w:rPr>
      </w:pPr>
      <w:r w:rsidRPr="00EC49D7">
        <w:rPr>
          <w:szCs w:val="24"/>
          <w:lang w:val="es-UY"/>
        </w:rPr>
        <w:lastRenderedPageBreak/>
        <w:t>Cuadro. Temporalidad de los beneficios utilizados</w:t>
      </w:r>
    </w:p>
    <w:tbl>
      <w:tblPr>
        <w:tblStyle w:val="TableGrid"/>
        <w:tblW w:w="0" w:type="auto"/>
        <w:tblLayout w:type="fixed"/>
        <w:tblLook w:val="04A0" w:firstRow="1" w:lastRow="0" w:firstColumn="1" w:lastColumn="0" w:noHBand="0" w:noVBand="1"/>
      </w:tblPr>
      <w:tblGrid>
        <w:gridCol w:w="1458"/>
        <w:gridCol w:w="1627"/>
        <w:gridCol w:w="2126"/>
        <w:gridCol w:w="2268"/>
        <w:gridCol w:w="2021"/>
      </w:tblGrid>
      <w:tr w:rsidR="00B850BC" w:rsidRPr="00EC49D7" w:rsidTr="00EC49D7">
        <w:tc>
          <w:tcPr>
            <w:tcW w:w="1458" w:type="dxa"/>
          </w:tcPr>
          <w:p w:rsidR="00B850BC" w:rsidRPr="00EC49D7" w:rsidRDefault="00B850BC" w:rsidP="00356E59">
            <w:pPr>
              <w:tabs>
                <w:tab w:val="left" w:pos="6180"/>
              </w:tabs>
              <w:jc w:val="both"/>
              <w:rPr>
                <w:b/>
                <w:sz w:val="22"/>
                <w:szCs w:val="22"/>
                <w:lang w:val="es-UY"/>
              </w:rPr>
            </w:pPr>
            <w:r w:rsidRPr="00EC49D7">
              <w:rPr>
                <w:b/>
                <w:sz w:val="22"/>
                <w:szCs w:val="22"/>
                <w:lang w:val="es-UY"/>
              </w:rPr>
              <w:t>Componente</w:t>
            </w:r>
          </w:p>
        </w:tc>
        <w:tc>
          <w:tcPr>
            <w:tcW w:w="1627" w:type="dxa"/>
          </w:tcPr>
          <w:p w:rsidR="00B850BC" w:rsidRPr="00EC49D7" w:rsidRDefault="00B850BC" w:rsidP="00356E59">
            <w:pPr>
              <w:tabs>
                <w:tab w:val="left" w:pos="6180"/>
              </w:tabs>
              <w:jc w:val="both"/>
              <w:rPr>
                <w:b/>
                <w:sz w:val="22"/>
                <w:szCs w:val="22"/>
                <w:lang w:val="es-UY"/>
              </w:rPr>
            </w:pPr>
            <w:r w:rsidRPr="00EC49D7">
              <w:rPr>
                <w:b/>
                <w:sz w:val="22"/>
                <w:szCs w:val="22"/>
                <w:lang w:val="es-UY"/>
              </w:rPr>
              <w:t>Población</w:t>
            </w:r>
          </w:p>
        </w:tc>
        <w:tc>
          <w:tcPr>
            <w:tcW w:w="2126" w:type="dxa"/>
          </w:tcPr>
          <w:p w:rsidR="00B850BC" w:rsidRPr="00EC49D7" w:rsidRDefault="00B850BC" w:rsidP="00356E59">
            <w:pPr>
              <w:tabs>
                <w:tab w:val="left" w:pos="6180"/>
              </w:tabs>
              <w:jc w:val="both"/>
              <w:rPr>
                <w:b/>
                <w:sz w:val="22"/>
                <w:szCs w:val="22"/>
                <w:lang w:val="es-UY"/>
              </w:rPr>
            </w:pPr>
            <w:r w:rsidRPr="00EC49D7">
              <w:rPr>
                <w:b/>
                <w:sz w:val="22"/>
                <w:szCs w:val="22"/>
                <w:lang w:val="es-UY"/>
              </w:rPr>
              <w:t>Acción</w:t>
            </w:r>
          </w:p>
        </w:tc>
        <w:tc>
          <w:tcPr>
            <w:tcW w:w="2268" w:type="dxa"/>
          </w:tcPr>
          <w:p w:rsidR="00B850BC" w:rsidRPr="00EC49D7" w:rsidRDefault="00B850BC" w:rsidP="00356E59">
            <w:pPr>
              <w:tabs>
                <w:tab w:val="left" w:pos="6180"/>
              </w:tabs>
              <w:jc w:val="both"/>
              <w:rPr>
                <w:b/>
                <w:sz w:val="22"/>
                <w:szCs w:val="22"/>
                <w:lang w:val="es-UY"/>
              </w:rPr>
            </w:pPr>
            <w:r w:rsidRPr="00EC49D7">
              <w:rPr>
                <w:b/>
                <w:sz w:val="22"/>
                <w:szCs w:val="22"/>
                <w:lang w:val="es-UY"/>
              </w:rPr>
              <w:t>Temporalidad de los beneficios</w:t>
            </w:r>
          </w:p>
        </w:tc>
        <w:tc>
          <w:tcPr>
            <w:tcW w:w="2021" w:type="dxa"/>
          </w:tcPr>
          <w:p w:rsidR="00B850BC" w:rsidRPr="00EC49D7" w:rsidRDefault="005950D7" w:rsidP="00356E59">
            <w:pPr>
              <w:tabs>
                <w:tab w:val="left" w:pos="6180"/>
              </w:tabs>
              <w:jc w:val="both"/>
              <w:rPr>
                <w:b/>
                <w:sz w:val="22"/>
                <w:szCs w:val="22"/>
                <w:lang w:val="es-UY"/>
              </w:rPr>
            </w:pPr>
            <w:r w:rsidRPr="00EC49D7">
              <w:rPr>
                <w:b/>
                <w:sz w:val="22"/>
                <w:szCs w:val="22"/>
                <w:lang w:val="es-UY"/>
              </w:rPr>
              <w:t xml:space="preserve">Cantidad  total de beneficiarios </w:t>
            </w:r>
            <w:r w:rsidR="00CF3247" w:rsidRPr="00EC49D7">
              <w:rPr>
                <w:b/>
                <w:sz w:val="22"/>
                <w:szCs w:val="22"/>
                <w:lang w:val="es-UY"/>
              </w:rPr>
              <w:t xml:space="preserve">en escenario </w:t>
            </w:r>
            <w:r w:rsidRPr="00EC49D7">
              <w:rPr>
                <w:b/>
                <w:sz w:val="22"/>
                <w:szCs w:val="22"/>
                <w:lang w:val="es-UY"/>
              </w:rPr>
              <w:t>base</w:t>
            </w:r>
          </w:p>
        </w:tc>
      </w:tr>
      <w:tr w:rsidR="00B850BC" w:rsidRPr="00EC49D7" w:rsidTr="00EC49D7">
        <w:tc>
          <w:tcPr>
            <w:tcW w:w="1458" w:type="dxa"/>
          </w:tcPr>
          <w:p w:rsidR="00B850BC" w:rsidRPr="00EC49D7" w:rsidRDefault="00B850BC" w:rsidP="00356E59">
            <w:pPr>
              <w:tabs>
                <w:tab w:val="left" w:pos="6180"/>
              </w:tabs>
              <w:jc w:val="both"/>
              <w:rPr>
                <w:sz w:val="22"/>
                <w:szCs w:val="22"/>
                <w:lang w:val="es-UY"/>
              </w:rPr>
            </w:pPr>
            <w:r w:rsidRPr="00EC49D7">
              <w:rPr>
                <w:sz w:val="22"/>
                <w:szCs w:val="22"/>
                <w:lang w:val="es-UY"/>
              </w:rPr>
              <w:t>I</w:t>
            </w:r>
          </w:p>
        </w:tc>
        <w:tc>
          <w:tcPr>
            <w:tcW w:w="1627" w:type="dxa"/>
          </w:tcPr>
          <w:p w:rsidR="00B850BC" w:rsidRPr="00EC49D7" w:rsidRDefault="00B850BC" w:rsidP="00356E59">
            <w:pPr>
              <w:tabs>
                <w:tab w:val="left" w:pos="6180"/>
              </w:tabs>
              <w:jc w:val="both"/>
              <w:rPr>
                <w:sz w:val="22"/>
                <w:szCs w:val="22"/>
                <w:lang w:val="es-UY"/>
              </w:rPr>
            </w:pPr>
            <w:r w:rsidRPr="00EC49D7">
              <w:rPr>
                <w:sz w:val="22"/>
                <w:szCs w:val="22"/>
                <w:lang w:val="es-UY"/>
              </w:rPr>
              <w:t>Extranjeros que no migran</w:t>
            </w:r>
          </w:p>
        </w:tc>
        <w:tc>
          <w:tcPr>
            <w:tcW w:w="2126" w:type="dxa"/>
          </w:tcPr>
          <w:p w:rsidR="00B850BC" w:rsidRPr="00EC49D7" w:rsidRDefault="00B850BC" w:rsidP="00356E59">
            <w:pPr>
              <w:tabs>
                <w:tab w:val="left" w:pos="6180"/>
              </w:tabs>
              <w:jc w:val="both"/>
              <w:rPr>
                <w:sz w:val="22"/>
                <w:szCs w:val="22"/>
                <w:lang w:val="es-UY"/>
              </w:rPr>
            </w:pPr>
            <w:r w:rsidRPr="00EC49D7">
              <w:rPr>
                <w:sz w:val="22"/>
                <w:szCs w:val="22"/>
                <w:lang w:val="es-UY"/>
              </w:rPr>
              <w:t>Matriculación</w:t>
            </w:r>
          </w:p>
        </w:tc>
        <w:tc>
          <w:tcPr>
            <w:tcW w:w="2268" w:type="dxa"/>
          </w:tcPr>
          <w:p w:rsidR="00B850BC" w:rsidRPr="00EC49D7" w:rsidRDefault="00B850BC" w:rsidP="00356E59">
            <w:pPr>
              <w:tabs>
                <w:tab w:val="left" w:pos="6180"/>
              </w:tabs>
              <w:jc w:val="both"/>
              <w:rPr>
                <w:sz w:val="22"/>
                <w:szCs w:val="22"/>
                <w:lang w:val="es-UY"/>
              </w:rPr>
            </w:pPr>
            <w:r w:rsidRPr="00EC49D7">
              <w:rPr>
                <w:sz w:val="22"/>
                <w:szCs w:val="22"/>
                <w:lang w:val="es-UY"/>
              </w:rPr>
              <w:t>Momento t</w:t>
            </w:r>
          </w:p>
        </w:tc>
        <w:tc>
          <w:tcPr>
            <w:tcW w:w="2021" w:type="dxa"/>
          </w:tcPr>
          <w:p w:rsidR="00B850BC" w:rsidRPr="00EC49D7" w:rsidRDefault="005950D7" w:rsidP="005950D7">
            <w:pPr>
              <w:tabs>
                <w:tab w:val="left" w:pos="6180"/>
              </w:tabs>
              <w:jc w:val="both"/>
              <w:rPr>
                <w:sz w:val="22"/>
                <w:szCs w:val="22"/>
                <w:lang w:val="es-UY"/>
              </w:rPr>
            </w:pPr>
            <w:r w:rsidRPr="00EC49D7">
              <w:rPr>
                <w:sz w:val="22"/>
                <w:szCs w:val="22"/>
                <w:lang w:val="es-UY"/>
              </w:rPr>
              <w:t xml:space="preserve">289 </w:t>
            </w:r>
          </w:p>
        </w:tc>
      </w:tr>
      <w:tr w:rsidR="00B850BC" w:rsidRPr="00EC49D7" w:rsidTr="00EC49D7">
        <w:tc>
          <w:tcPr>
            <w:tcW w:w="1458" w:type="dxa"/>
          </w:tcPr>
          <w:p w:rsidR="00B850BC" w:rsidRPr="00EC49D7" w:rsidRDefault="00B850BC" w:rsidP="00356E59">
            <w:pPr>
              <w:tabs>
                <w:tab w:val="left" w:pos="6180"/>
              </w:tabs>
              <w:jc w:val="both"/>
              <w:rPr>
                <w:sz w:val="22"/>
                <w:szCs w:val="22"/>
                <w:lang w:val="es-UY"/>
              </w:rPr>
            </w:pPr>
            <w:r w:rsidRPr="00EC49D7">
              <w:rPr>
                <w:sz w:val="22"/>
                <w:szCs w:val="22"/>
                <w:lang w:val="es-UY"/>
              </w:rPr>
              <w:t>I</w:t>
            </w:r>
          </w:p>
        </w:tc>
        <w:tc>
          <w:tcPr>
            <w:tcW w:w="1627" w:type="dxa"/>
          </w:tcPr>
          <w:p w:rsidR="00B850BC" w:rsidRPr="00EC49D7" w:rsidRDefault="00B850BC" w:rsidP="00356E59">
            <w:pPr>
              <w:tabs>
                <w:tab w:val="left" w:pos="6180"/>
              </w:tabs>
              <w:jc w:val="both"/>
              <w:rPr>
                <w:sz w:val="22"/>
                <w:szCs w:val="22"/>
                <w:lang w:val="es-UY"/>
              </w:rPr>
            </w:pPr>
            <w:r w:rsidRPr="00EC49D7">
              <w:rPr>
                <w:sz w:val="22"/>
                <w:szCs w:val="22"/>
                <w:lang w:val="es-UY"/>
              </w:rPr>
              <w:t>Nacionales (ya capacitados en un año anterior)</w:t>
            </w:r>
          </w:p>
        </w:tc>
        <w:tc>
          <w:tcPr>
            <w:tcW w:w="2126" w:type="dxa"/>
          </w:tcPr>
          <w:p w:rsidR="00B850BC" w:rsidRPr="00EC49D7" w:rsidRDefault="00B850BC" w:rsidP="00356E59">
            <w:pPr>
              <w:tabs>
                <w:tab w:val="left" w:pos="6180"/>
              </w:tabs>
              <w:jc w:val="both"/>
              <w:rPr>
                <w:sz w:val="22"/>
                <w:szCs w:val="22"/>
                <w:lang w:val="es-UY"/>
              </w:rPr>
            </w:pPr>
            <w:r w:rsidRPr="00EC49D7">
              <w:rPr>
                <w:sz w:val="22"/>
                <w:szCs w:val="22"/>
                <w:lang w:val="es-UY"/>
              </w:rPr>
              <w:t>Enrolamiento en actividades SBIC (o mejora en condiciones)</w:t>
            </w:r>
          </w:p>
        </w:tc>
        <w:tc>
          <w:tcPr>
            <w:tcW w:w="2268" w:type="dxa"/>
          </w:tcPr>
          <w:p w:rsidR="00B850BC" w:rsidRPr="00EC49D7" w:rsidRDefault="00B850BC" w:rsidP="00356E59">
            <w:pPr>
              <w:tabs>
                <w:tab w:val="left" w:pos="6180"/>
              </w:tabs>
              <w:jc w:val="both"/>
              <w:rPr>
                <w:sz w:val="22"/>
                <w:szCs w:val="22"/>
                <w:lang w:val="es-UY"/>
              </w:rPr>
            </w:pPr>
            <w:r w:rsidRPr="00EC49D7">
              <w:rPr>
                <w:sz w:val="22"/>
                <w:szCs w:val="22"/>
                <w:lang w:val="es-UY"/>
              </w:rPr>
              <w:t>Momento t , mientras dure el KH diferencial (5 años en base)</w:t>
            </w:r>
          </w:p>
        </w:tc>
        <w:tc>
          <w:tcPr>
            <w:tcW w:w="2021" w:type="dxa"/>
          </w:tcPr>
          <w:p w:rsidR="00B850BC" w:rsidRPr="00EC49D7" w:rsidRDefault="005950D7" w:rsidP="00356E59">
            <w:pPr>
              <w:tabs>
                <w:tab w:val="left" w:pos="6180"/>
              </w:tabs>
              <w:jc w:val="both"/>
              <w:rPr>
                <w:sz w:val="22"/>
                <w:szCs w:val="22"/>
                <w:lang w:val="es-UY"/>
              </w:rPr>
            </w:pPr>
            <w:r w:rsidRPr="00EC49D7">
              <w:rPr>
                <w:sz w:val="22"/>
                <w:szCs w:val="22"/>
                <w:lang w:val="es-UY"/>
              </w:rPr>
              <w:t>130</w:t>
            </w:r>
          </w:p>
        </w:tc>
      </w:tr>
      <w:tr w:rsidR="00B850BC" w:rsidRPr="00EC49D7" w:rsidTr="00EC49D7">
        <w:tc>
          <w:tcPr>
            <w:tcW w:w="1458" w:type="dxa"/>
          </w:tcPr>
          <w:p w:rsidR="00B850BC" w:rsidRPr="00EC49D7" w:rsidRDefault="00B850BC" w:rsidP="00356E59">
            <w:pPr>
              <w:tabs>
                <w:tab w:val="left" w:pos="6180"/>
              </w:tabs>
              <w:jc w:val="both"/>
              <w:rPr>
                <w:sz w:val="22"/>
                <w:szCs w:val="22"/>
                <w:lang w:val="es-UY"/>
              </w:rPr>
            </w:pPr>
            <w:r w:rsidRPr="00EC49D7">
              <w:rPr>
                <w:sz w:val="22"/>
                <w:szCs w:val="22"/>
                <w:lang w:val="es-UY"/>
              </w:rPr>
              <w:t>I</w:t>
            </w:r>
          </w:p>
        </w:tc>
        <w:tc>
          <w:tcPr>
            <w:tcW w:w="1627" w:type="dxa"/>
          </w:tcPr>
          <w:p w:rsidR="00B850BC" w:rsidRPr="00EC49D7" w:rsidRDefault="00B850BC" w:rsidP="00356E59">
            <w:pPr>
              <w:tabs>
                <w:tab w:val="left" w:pos="6180"/>
              </w:tabs>
              <w:jc w:val="both"/>
              <w:rPr>
                <w:sz w:val="22"/>
                <w:szCs w:val="22"/>
                <w:lang w:val="es-UY"/>
              </w:rPr>
            </w:pPr>
            <w:r w:rsidRPr="00EC49D7">
              <w:rPr>
                <w:sz w:val="22"/>
                <w:szCs w:val="22"/>
                <w:lang w:val="es-UY"/>
              </w:rPr>
              <w:t>Migrantes (ya capacitados en un año anterior)</w:t>
            </w:r>
          </w:p>
        </w:tc>
        <w:tc>
          <w:tcPr>
            <w:tcW w:w="2126" w:type="dxa"/>
          </w:tcPr>
          <w:p w:rsidR="00B850BC" w:rsidRPr="00EC49D7" w:rsidRDefault="00B850BC" w:rsidP="00356E59">
            <w:pPr>
              <w:tabs>
                <w:tab w:val="left" w:pos="6180"/>
              </w:tabs>
              <w:jc w:val="both"/>
              <w:rPr>
                <w:sz w:val="22"/>
                <w:szCs w:val="22"/>
                <w:lang w:val="es-UY"/>
              </w:rPr>
            </w:pPr>
            <w:r w:rsidRPr="00EC49D7">
              <w:rPr>
                <w:sz w:val="22"/>
                <w:szCs w:val="22"/>
                <w:lang w:val="es-UY"/>
              </w:rPr>
              <w:t>Enrolamiento en actividades SBIC</w:t>
            </w:r>
          </w:p>
        </w:tc>
        <w:tc>
          <w:tcPr>
            <w:tcW w:w="2268" w:type="dxa"/>
          </w:tcPr>
          <w:p w:rsidR="00B850BC" w:rsidRPr="00EC49D7" w:rsidRDefault="00B850BC" w:rsidP="00356E59">
            <w:pPr>
              <w:tabs>
                <w:tab w:val="left" w:pos="6180"/>
              </w:tabs>
              <w:jc w:val="both"/>
              <w:rPr>
                <w:sz w:val="22"/>
                <w:szCs w:val="22"/>
                <w:lang w:val="es-UY"/>
              </w:rPr>
            </w:pPr>
            <w:r w:rsidRPr="00EC49D7">
              <w:rPr>
                <w:sz w:val="22"/>
                <w:szCs w:val="22"/>
                <w:lang w:val="es-UY"/>
              </w:rPr>
              <w:t>Momento t mientras dure el KH diferencial (5 años en base)</w:t>
            </w:r>
          </w:p>
        </w:tc>
        <w:tc>
          <w:tcPr>
            <w:tcW w:w="2021" w:type="dxa"/>
          </w:tcPr>
          <w:p w:rsidR="00B850BC" w:rsidRPr="00EC49D7" w:rsidRDefault="005950D7" w:rsidP="00356E59">
            <w:pPr>
              <w:tabs>
                <w:tab w:val="left" w:pos="6180"/>
              </w:tabs>
              <w:jc w:val="both"/>
              <w:rPr>
                <w:sz w:val="22"/>
                <w:szCs w:val="22"/>
                <w:lang w:val="es-UY"/>
              </w:rPr>
            </w:pPr>
            <w:r w:rsidRPr="00EC49D7">
              <w:rPr>
                <w:sz w:val="22"/>
                <w:szCs w:val="22"/>
                <w:lang w:val="es-UY"/>
              </w:rPr>
              <w:t>11</w:t>
            </w:r>
          </w:p>
        </w:tc>
      </w:tr>
      <w:tr w:rsidR="00B850BC" w:rsidRPr="00EC49D7" w:rsidTr="00EC49D7">
        <w:tc>
          <w:tcPr>
            <w:tcW w:w="1458" w:type="dxa"/>
          </w:tcPr>
          <w:p w:rsidR="00B850BC" w:rsidRPr="00EC49D7" w:rsidRDefault="00B850BC" w:rsidP="00356E59">
            <w:pPr>
              <w:tabs>
                <w:tab w:val="left" w:pos="6180"/>
              </w:tabs>
              <w:jc w:val="both"/>
              <w:rPr>
                <w:sz w:val="22"/>
                <w:szCs w:val="22"/>
                <w:lang w:val="es-UY"/>
              </w:rPr>
            </w:pPr>
            <w:r w:rsidRPr="00EC49D7">
              <w:rPr>
                <w:sz w:val="22"/>
                <w:szCs w:val="22"/>
                <w:lang w:val="es-UY"/>
              </w:rPr>
              <w:t>II</w:t>
            </w:r>
          </w:p>
        </w:tc>
        <w:tc>
          <w:tcPr>
            <w:tcW w:w="1627" w:type="dxa"/>
          </w:tcPr>
          <w:p w:rsidR="00B850BC" w:rsidRPr="00EC49D7" w:rsidRDefault="00B850BC" w:rsidP="00356E59">
            <w:pPr>
              <w:tabs>
                <w:tab w:val="left" w:pos="6180"/>
              </w:tabs>
              <w:jc w:val="both"/>
              <w:rPr>
                <w:sz w:val="22"/>
                <w:szCs w:val="22"/>
                <w:lang w:val="es-UY"/>
              </w:rPr>
            </w:pPr>
            <w:r w:rsidRPr="00EC49D7">
              <w:rPr>
                <w:sz w:val="22"/>
                <w:szCs w:val="22"/>
                <w:lang w:val="es-UY"/>
              </w:rPr>
              <w:t>Empresas apoyadas</w:t>
            </w:r>
          </w:p>
        </w:tc>
        <w:tc>
          <w:tcPr>
            <w:tcW w:w="2126" w:type="dxa"/>
          </w:tcPr>
          <w:p w:rsidR="00B850BC" w:rsidRPr="00EC49D7" w:rsidRDefault="00B850BC" w:rsidP="00356E59">
            <w:pPr>
              <w:tabs>
                <w:tab w:val="left" w:pos="6180"/>
              </w:tabs>
              <w:jc w:val="both"/>
              <w:rPr>
                <w:sz w:val="22"/>
                <w:szCs w:val="22"/>
                <w:lang w:val="es-UY"/>
              </w:rPr>
            </w:pPr>
            <w:r w:rsidRPr="00EC49D7">
              <w:rPr>
                <w:sz w:val="22"/>
                <w:szCs w:val="22"/>
                <w:lang w:val="es-UY"/>
              </w:rPr>
              <w:t>Acceso a capital y asesoramiento</w:t>
            </w:r>
          </w:p>
        </w:tc>
        <w:tc>
          <w:tcPr>
            <w:tcW w:w="2268" w:type="dxa"/>
          </w:tcPr>
          <w:p w:rsidR="00B850BC" w:rsidRPr="00EC49D7" w:rsidRDefault="005950D7" w:rsidP="00356E59">
            <w:pPr>
              <w:tabs>
                <w:tab w:val="left" w:pos="6180"/>
              </w:tabs>
              <w:jc w:val="both"/>
              <w:rPr>
                <w:sz w:val="22"/>
                <w:szCs w:val="22"/>
                <w:lang w:val="es-UY"/>
              </w:rPr>
            </w:pPr>
            <w:r w:rsidRPr="00EC49D7">
              <w:rPr>
                <w:sz w:val="22"/>
                <w:szCs w:val="22"/>
                <w:lang w:val="es-UY"/>
              </w:rPr>
              <w:t>Momento t+1 mientras dure el KH diferencial (5 años en base)</w:t>
            </w:r>
          </w:p>
        </w:tc>
        <w:tc>
          <w:tcPr>
            <w:tcW w:w="2021" w:type="dxa"/>
          </w:tcPr>
          <w:p w:rsidR="00B850BC" w:rsidRPr="00EC49D7" w:rsidRDefault="005950D7" w:rsidP="00356E59">
            <w:pPr>
              <w:tabs>
                <w:tab w:val="left" w:pos="6180"/>
              </w:tabs>
              <w:jc w:val="both"/>
              <w:rPr>
                <w:sz w:val="22"/>
                <w:szCs w:val="22"/>
                <w:lang w:val="es-UY"/>
              </w:rPr>
            </w:pPr>
            <w:r w:rsidRPr="00EC49D7">
              <w:rPr>
                <w:sz w:val="22"/>
                <w:szCs w:val="22"/>
                <w:lang w:val="es-UY"/>
              </w:rPr>
              <w:t>18</w:t>
            </w:r>
          </w:p>
        </w:tc>
      </w:tr>
    </w:tbl>
    <w:p w:rsidR="00CF489F" w:rsidRPr="00EC49D7" w:rsidRDefault="00CF489F" w:rsidP="00356E59">
      <w:pPr>
        <w:tabs>
          <w:tab w:val="left" w:pos="6180"/>
        </w:tabs>
        <w:jc w:val="both"/>
        <w:rPr>
          <w:b/>
          <w:sz w:val="28"/>
          <w:szCs w:val="28"/>
          <w:lang w:val="es-UY"/>
        </w:rPr>
      </w:pPr>
    </w:p>
    <w:p w:rsidR="00E232C9" w:rsidRPr="00EC49D7" w:rsidRDefault="007F539A" w:rsidP="00356E59">
      <w:pPr>
        <w:tabs>
          <w:tab w:val="left" w:pos="6180"/>
        </w:tabs>
        <w:jc w:val="both"/>
        <w:rPr>
          <w:szCs w:val="24"/>
          <w:lang w:val="es-UY"/>
        </w:rPr>
      </w:pPr>
      <w:r w:rsidRPr="00EC49D7">
        <w:rPr>
          <w:szCs w:val="24"/>
          <w:lang w:val="es-UY"/>
        </w:rPr>
        <w:t xml:space="preserve">El proyecto generará unos 350 nuevos capacitados en competencias de avanzada y con herramientas para la generación de emprendimientos novedosos en el sector. Se espera que unos 140 de estos se inserten en el ecosistema local o mejoren sus posiciones actuales. Asimismo, el proyecto asume que el programa tiene la capacidad de captar calificados del exterior, que como resultado de su interacción con locales se incorporarán al ecosistema local. </w:t>
      </w:r>
      <w:r w:rsidR="00811851" w:rsidRPr="00EC49D7">
        <w:rPr>
          <w:szCs w:val="24"/>
          <w:lang w:val="es-UY"/>
        </w:rPr>
        <w:t xml:space="preserve">Finalmente, el proyecto incluye instrumentos financieros para el apoyo de 18 emprendimientos relacionados con la innovación en las tecnologías de las que trata el programa. </w:t>
      </w:r>
    </w:p>
    <w:p w:rsidR="00811851" w:rsidRPr="00EC49D7" w:rsidRDefault="00811851" w:rsidP="00356E59">
      <w:pPr>
        <w:tabs>
          <w:tab w:val="left" w:pos="6180"/>
        </w:tabs>
        <w:jc w:val="both"/>
        <w:rPr>
          <w:szCs w:val="24"/>
          <w:lang w:val="es-UY"/>
        </w:rPr>
      </w:pPr>
    </w:p>
    <w:p w:rsidR="00811851" w:rsidRPr="00EC49D7" w:rsidRDefault="00811851" w:rsidP="00356E59">
      <w:pPr>
        <w:tabs>
          <w:tab w:val="left" w:pos="6180"/>
        </w:tabs>
        <w:jc w:val="both"/>
        <w:rPr>
          <w:szCs w:val="24"/>
          <w:lang w:val="es-UY"/>
        </w:rPr>
      </w:pPr>
      <w:r w:rsidRPr="00EC49D7">
        <w:rPr>
          <w:szCs w:val="24"/>
          <w:lang w:val="es-UY"/>
        </w:rPr>
        <w:t xml:space="preserve">El análisis no incluye una evaluación de otros beneficios también importantes, como ser el aumento de la calificación de los docentes nacionales, el fortalecimiento de las instituciones en las que se desempeñan estos docentes y efectos dinámicos que se pueden esperar por el hecho de mejorar las redes internacionales en las que se desarrolla el sistema educativo y empresarial del entorno. A modo de ejemplo, si bien el 70% de las ventas actuales de las empresas de TICS en el país se destinan al mercado doméstico, es esperable que los nuevos proyectos tengan una inserción exportadora mayor, por tratarse de un segmento especialmente dinámico dentro del sistema. </w:t>
      </w:r>
    </w:p>
    <w:p w:rsidR="00CF489F" w:rsidRPr="00EC49D7" w:rsidRDefault="00CF489F" w:rsidP="00356E59">
      <w:pPr>
        <w:tabs>
          <w:tab w:val="left" w:pos="6180"/>
        </w:tabs>
        <w:jc w:val="both"/>
        <w:rPr>
          <w:b/>
          <w:sz w:val="28"/>
          <w:szCs w:val="28"/>
          <w:lang w:val="es-UY"/>
        </w:rPr>
      </w:pPr>
    </w:p>
    <w:p w:rsidR="0032523A" w:rsidRPr="00EC49D7" w:rsidRDefault="0032523A" w:rsidP="00356E59">
      <w:pPr>
        <w:tabs>
          <w:tab w:val="left" w:pos="6180"/>
        </w:tabs>
        <w:jc w:val="both"/>
        <w:rPr>
          <w:b/>
          <w:sz w:val="28"/>
          <w:szCs w:val="28"/>
          <w:lang w:val="es-UY"/>
        </w:rPr>
      </w:pPr>
    </w:p>
    <w:p w:rsidR="00356E59" w:rsidRPr="00EC49D7" w:rsidRDefault="000C5ABD" w:rsidP="00356E59">
      <w:pPr>
        <w:tabs>
          <w:tab w:val="left" w:pos="6180"/>
        </w:tabs>
        <w:jc w:val="both"/>
        <w:rPr>
          <w:b/>
          <w:sz w:val="28"/>
          <w:szCs w:val="28"/>
        </w:rPr>
      </w:pPr>
      <w:r w:rsidRPr="00EC49D7">
        <w:rPr>
          <w:b/>
          <w:sz w:val="28"/>
          <w:szCs w:val="28"/>
          <w:lang w:val="es-UY"/>
        </w:rPr>
        <w:t xml:space="preserve">III- </w:t>
      </w:r>
      <w:r w:rsidR="00356E59" w:rsidRPr="00EC49D7">
        <w:rPr>
          <w:b/>
          <w:sz w:val="28"/>
          <w:szCs w:val="28"/>
          <w:lang w:val="es-UY"/>
        </w:rPr>
        <w:t>Resultados</w:t>
      </w:r>
      <w:r w:rsidR="00356E59" w:rsidRPr="00EC49D7">
        <w:rPr>
          <w:b/>
          <w:sz w:val="28"/>
          <w:szCs w:val="28"/>
        </w:rPr>
        <w:t>:</w:t>
      </w:r>
    </w:p>
    <w:p w:rsidR="00356E59" w:rsidRPr="00EC49D7" w:rsidRDefault="00356E59" w:rsidP="00356E59">
      <w:pPr>
        <w:tabs>
          <w:tab w:val="left" w:pos="6180"/>
        </w:tabs>
        <w:jc w:val="both"/>
      </w:pPr>
    </w:p>
    <w:p w:rsidR="00356E59" w:rsidRPr="00EC49D7" w:rsidRDefault="00356E59" w:rsidP="00356E59">
      <w:pPr>
        <w:tabs>
          <w:tab w:val="left" w:pos="6180"/>
        </w:tabs>
        <w:jc w:val="both"/>
      </w:pPr>
      <w:r w:rsidRPr="00EC49D7">
        <w:t>El siguiente cuadro muestra los flujos de costos y beneficios del programa</w:t>
      </w:r>
      <w:r w:rsidR="00B738A3" w:rsidRPr="00EC49D7">
        <w:t xml:space="preserve">. La tasa de descuento utilizada es 12%. </w:t>
      </w:r>
    </w:p>
    <w:p w:rsidR="003A0EFC" w:rsidRPr="00EC49D7" w:rsidRDefault="003A0EFC" w:rsidP="000E163A">
      <w:pPr>
        <w:tabs>
          <w:tab w:val="left" w:pos="6180"/>
        </w:tabs>
        <w:spacing w:after="200" w:line="276" w:lineRule="auto"/>
        <w:jc w:val="both"/>
        <w:rPr>
          <w:lang w:val="es-UY"/>
        </w:rPr>
      </w:pPr>
    </w:p>
    <w:p w:rsidR="009358E2" w:rsidRPr="00EC49D7" w:rsidRDefault="009358E2" w:rsidP="009C36FE">
      <w:pPr>
        <w:tabs>
          <w:tab w:val="left" w:pos="6180"/>
        </w:tabs>
        <w:jc w:val="both"/>
        <w:rPr>
          <w:lang w:val="es-UY"/>
        </w:rPr>
        <w:sectPr w:rsidR="009358E2" w:rsidRPr="00EC49D7" w:rsidSect="005D4E71">
          <w:pgSz w:w="12240" w:h="15840"/>
          <w:pgMar w:top="1440" w:right="1440" w:bottom="1440" w:left="1440" w:header="720" w:footer="720" w:gutter="0"/>
          <w:cols w:space="720"/>
          <w:docGrid w:linePitch="360"/>
        </w:sectPr>
      </w:pPr>
    </w:p>
    <w:p w:rsidR="009358E2" w:rsidRPr="00EC49D7" w:rsidRDefault="009358E2" w:rsidP="009C36FE">
      <w:pPr>
        <w:tabs>
          <w:tab w:val="left" w:pos="6180"/>
        </w:tabs>
        <w:jc w:val="both"/>
      </w:pPr>
    </w:p>
    <w:p w:rsidR="00356E59" w:rsidRPr="00EC49D7" w:rsidRDefault="00356E59" w:rsidP="009C36FE">
      <w:pPr>
        <w:tabs>
          <w:tab w:val="left" w:pos="6180"/>
        </w:tabs>
        <w:jc w:val="both"/>
        <w:rPr>
          <w:b/>
        </w:rPr>
      </w:pPr>
      <w:r w:rsidRPr="00EC49D7">
        <w:rPr>
          <w:b/>
        </w:rPr>
        <w:t>Cuadro: Flujo de costos y beneficios del proyecto</w:t>
      </w:r>
    </w:p>
    <w:p w:rsidR="00127554" w:rsidRPr="00EC49D7" w:rsidRDefault="00127554" w:rsidP="009C36FE">
      <w:pPr>
        <w:tabs>
          <w:tab w:val="left" w:pos="6180"/>
        </w:tabs>
        <w:jc w:val="both"/>
        <w:rPr>
          <w:lang w:val="es-UY"/>
        </w:rPr>
      </w:pPr>
    </w:p>
    <w:tbl>
      <w:tblPr>
        <w:tblW w:w="12747" w:type="dxa"/>
        <w:tblInd w:w="93" w:type="dxa"/>
        <w:tblLook w:val="04A0" w:firstRow="1" w:lastRow="0" w:firstColumn="1" w:lastColumn="0" w:noHBand="0" w:noVBand="1"/>
      </w:tblPr>
      <w:tblGrid>
        <w:gridCol w:w="2535"/>
        <w:gridCol w:w="1297"/>
        <w:gridCol w:w="1223"/>
        <w:gridCol w:w="1117"/>
        <w:gridCol w:w="1230"/>
        <w:gridCol w:w="1230"/>
        <w:gridCol w:w="1110"/>
        <w:gridCol w:w="1110"/>
        <w:gridCol w:w="953"/>
        <w:gridCol w:w="942"/>
      </w:tblGrid>
      <w:tr w:rsidR="00F21157" w:rsidRPr="00EC49D7" w:rsidTr="00EC49D7">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8A3" w:rsidRPr="00EC49D7" w:rsidRDefault="00B738A3" w:rsidP="00B738A3">
            <w:pPr>
              <w:jc w:val="center"/>
              <w:rPr>
                <w:b/>
                <w:bCs/>
                <w:color w:val="000000"/>
                <w:szCs w:val="22"/>
                <w:lang w:val="es-UY" w:eastAsia="en-US"/>
              </w:rPr>
            </w:pPr>
            <w:r w:rsidRPr="00EC49D7">
              <w:rPr>
                <w:b/>
                <w:bCs/>
                <w:color w:val="000000"/>
                <w:sz w:val="22"/>
                <w:szCs w:val="22"/>
                <w:lang w:val="es-UY" w:eastAsia="en-US"/>
              </w:rPr>
              <w:t>Año</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B738A3" w:rsidRPr="00EC49D7" w:rsidRDefault="00B738A3" w:rsidP="00B738A3">
            <w:pPr>
              <w:jc w:val="center"/>
              <w:rPr>
                <w:b/>
                <w:bCs/>
                <w:color w:val="000000"/>
                <w:szCs w:val="22"/>
                <w:lang w:val="es-UY" w:eastAsia="en-US"/>
              </w:rPr>
            </w:pPr>
            <w:r w:rsidRPr="00EC49D7">
              <w:rPr>
                <w:b/>
                <w:bCs/>
                <w:color w:val="000000"/>
                <w:sz w:val="22"/>
                <w:szCs w:val="22"/>
                <w:lang w:val="es-UY" w:eastAsia="en-US"/>
              </w:rPr>
              <w:t>1</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B738A3" w:rsidRPr="00EC49D7" w:rsidRDefault="00B738A3" w:rsidP="00B738A3">
            <w:pPr>
              <w:jc w:val="center"/>
              <w:rPr>
                <w:b/>
                <w:bCs/>
                <w:color w:val="000000"/>
                <w:szCs w:val="22"/>
                <w:lang w:val="es-UY" w:eastAsia="en-US"/>
              </w:rPr>
            </w:pPr>
            <w:r w:rsidRPr="00EC49D7">
              <w:rPr>
                <w:b/>
                <w:bCs/>
                <w:color w:val="000000"/>
                <w:sz w:val="22"/>
                <w:szCs w:val="22"/>
                <w:lang w:val="es-UY" w:eastAsia="en-US"/>
              </w:rPr>
              <w:t>2</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B738A3" w:rsidRPr="00EC49D7" w:rsidRDefault="00B738A3" w:rsidP="00B738A3">
            <w:pPr>
              <w:jc w:val="center"/>
              <w:rPr>
                <w:b/>
                <w:bCs/>
                <w:color w:val="000000"/>
                <w:szCs w:val="22"/>
                <w:lang w:val="es-UY" w:eastAsia="en-US"/>
              </w:rPr>
            </w:pPr>
            <w:r w:rsidRPr="00EC49D7">
              <w:rPr>
                <w:b/>
                <w:bCs/>
                <w:color w:val="000000"/>
                <w:sz w:val="22"/>
                <w:szCs w:val="22"/>
                <w:lang w:val="es-UY" w:eastAsia="en-US"/>
              </w:rPr>
              <w:t>3</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B738A3" w:rsidRPr="00EC49D7" w:rsidRDefault="00B738A3" w:rsidP="00B738A3">
            <w:pPr>
              <w:jc w:val="center"/>
              <w:rPr>
                <w:b/>
                <w:bCs/>
                <w:color w:val="000000"/>
                <w:szCs w:val="22"/>
                <w:lang w:val="es-UY" w:eastAsia="en-US"/>
              </w:rPr>
            </w:pPr>
            <w:r w:rsidRPr="00EC49D7">
              <w:rPr>
                <w:b/>
                <w:bCs/>
                <w:color w:val="000000"/>
                <w:sz w:val="22"/>
                <w:szCs w:val="22"/>
                <w:lang w:val="es-UY" w:eastAsia="en-US"/>
              </w:rPr>
              <w:t>4</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B738A3" w:rsidRPr="00EC49D7" w:rsidRDefault="00B738A3" w:rsidP="00B738A3">
            <w:pPr>
              <w:jc w:val="center"/>
              <w:rPr>
                <w:b/>
                <w:bCs/>
                <w:color w:val="000000"/>
                <w:szCs w:val="22"/>
                <w:lang w:val="es-UY" w:eastAsia="en-US"/>
              </w:rPr>
            </w:pPr>
            <w:r w:rsidRPr="00EC49D7">
              <w:rPr>
                <w:b/>
                <w:bCs/>
                <w:color w:val="000000"/>
                <w:sz w:val="22"/>
                <w:szCs w:val="22"/>
                <w:lang w:val="es-UY" w:eastAsia="en-US"/>
              </w:rPr>
              <w:t>5</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B738A3" w:rsidRPr="00EC49D7" w:rsidRDefault="00B738A3" w:rsidP="00B738A3">
            <w:pPr>
              <w:jc w:val="center"/>
              <w:rPr>
                <w:b/>
                <w:bCs/>
                <w:color w:val="000000"/>
                <w:szCs w:val="22"/>
                <w:lang w:val="es-UY" w:eastAsia="en-US"/>
              </w:rPr>
            </w:pPr>
            <w:r w:rsidRPr="00EC49D7">
              <w:rPr>
                <w:b/>
                <w:bCs/>
                <w:color w:val="000000"/>
                <w:sz w:val="22"/>
                <w:szCs w:val="22"/>
                <w:lang w:val="es-UY" w:eastAsia="en-US"/>
              </w:rPr>
              <w:t>6</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B738A3" w:rsidRPr="00EC49D7" w:rsidRDefault="00B738A3" w:rsidP="00B738A3">
            <w:pPr>
              <w:jc w:val="center"/>
              <w:rPr>
                <w:b/>
                <w:bCs/>
                <w:color w:val="000000"/>
                <w:szCs w:val="22"/>
                <w:lang w:val="es-UY" w:eastAsia="en-US"/>
              </w:rPr>
            </w:pPr>
            <w:r w:rsidRPr="00EC49D7">
              <w:rPr>
                <w:b/>
                <w:bCs/>
                <w:color w:val="000000"/>
                <w:sz w:val="22"/>
                <w:szCs w:val="22"/>
                <w:lang w:val="es-UY" w:eastAsia="en-US"/>
              </w:rPr>
              <w:t>7</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B738A3" w:rsidRPr="00EC49D7" w:rsidRDefault="00B738A3" w:rsidP="00B738A3">
            <w:pPr>
              <w:jc w:val="center"/>
              <w:rPr>
                <w:b/>
                <w:bCs/>
                <w:color w:val="000000"/>
                <w:szCs w:val="22"/>
                <w:lang w:val="es-UY" w:eastAsia="en-US"/>
              </w:rPr>
            </w:pPr>
            <w:r w:rsidRPr="00EC49D7">
              <w:rPr>
                <w:b/>
                <w:bCs/>
                <w:color w:val="000000"/>
                <w:sz w:val="22"/>
                <w:szCs w:val="22"/>
                <w:lang w:val="es-UY" w:eastAsia="en-US"/>
              </w:rPr>
              <w:t>8</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B738A3" w:rsidRPr="00EC49D7" w:rsidRDefault="00B738A3" w:rsidP="00B738A3">
            <w:pPr>
              <w:jc w:val="center"/>
              <w:rPr>
                <w:b/>
                <w:bCs/>
                <w:color w:val="000000"/>
                <w:szCs w:val="22"/>
                <w:lang w:val="es-UY" w:eastAsia="en-US"/>
              </w:rPr>
            </w:pPr>
            <w:r w:rsidRPr="00EC49D7">
              <w:rPr>
                <w:b/>
                <w:bCs/>
                <w:color w:val="000000"/>
                <w:sz w:val="22"/>
                <w:szCs w:val="22"/>
                <w:lang w:val="es-UY" w:eastAsia="en-US"/>
              </w:rPr>
              <w:t>9</w:t>
            </w:r>
          </w:p>
        </w:tc>
      </w:tr>
      <w:tr w:rsidR="00F21157" w:rsidRPr="00EC49D7" w:rsidTr="00EC49D7">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21157" w:rsidRPr="00EC49D7" w:rsidRDefault="00F21157" w:rsidP="00B738A3">
            <w:pPr>
              <w:rPr>
                <w:b/>
                <w:bCs/>
                <w:color w:val="000000"/>
                <w:szCs w:val="22"/>
                <w:lang w:val="es-UY" w:eastAsia="en-US"/>
              </w:rPr>
            </w:pPr>
            <w:r w:rsidRPr="00EC49D7">
              <w:rPr>
                <w:b/>
                <w:bCs/>
                <w:color w:val="000000"/>
                <w:sz w:val="22"/>
                <w:szCs w:val="22"/>
                <w:lang w:val="es-UY" w:eastAsia="en-US"/>
              </w:rPr>
              <w:t>Costos totales</w:t>
            </w:r>
          </w:p>
        </w:tc>
        <w:tc>
          <w:tcPr>
            <w:tcW w:w="129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s-UY" w:eastAsia="en-US"/>
              </w:rPr>
            </w:pPr>
            <w:r w:rsidRPr="00EC49D7">
              <w:rPr>
                <w:b/>
                <w:bCs/>
                <w:color w:val="000000"/>
                <w:sz w:val="22"/>
                <w:szCs w:val="22"/>
              </w:rPr>
              <w:t>2,778,278</w:t>
            </w:r>
          </w:p>
        </w:tc>
        <w:tc>
          <w:tcPr>
            <w:tcW w:w="122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s-UY" w:eastAsia="en-US"/>
              </w:rPr>
            </w:pPr>
            <w:r w:rsidRPr="00EC49D7">
              <w:rPr>
                <w:b/>
                <w:bCs/>
                <w:color w:val="000000"/>
                <w:sz w:val="22"/>
                <w:szCs w:val="22"/>
              </w:rPr>
              <w:t>3,511,509</w:t>
            </w:r>
          </w:p>
        </w:tc>
        <w:tc>
          <w:tcPr>
            <w:tcW w:w="111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s-UY" w:eastAsia="en-US"/>
              </w:rPr>
            </w:pPr>
            <w:r w:rsidRPr="00EC49D7">
              <w:rPr>
                <w:b/>
                <w:bCs/>
                <w:color w:val="000000"/>
                <w:sz w:val="22"/>
                <w:szCs w:val="22"/>
              </w:rPr>
              <w:t>3,400,293</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1,688,710</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632,210</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lang w:val="en-US" w:eastAsia="en-US"/>
              </w:rPr>
              <w:t>0</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lang w:val="en-US" w:eastAsia="en-US"/>
              </w:rPr>
              <w:t>0</w:t>
            </w:r>
          </w:p>
        </w:tc>
        <w:tc>
          <w:tcPr>
            <w:tcW w:w="95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lang w:val="en-US" w:eastAsia="en-US"/>
              </w:rPr>
              <w:t>0</w:t>
            </w:r>
          </w:p>
        </w:tc>
      </w:tr>
      <w:tr w:rsidR="00F21157" w:rsidRPr="00EC49D7" w:rsidTr="00EC49D7">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21157" w:rsidRPr="00EC49D7" w:rsidRDefault="00F21157" w:rsidP="00B738A3">
            <w:pPr>
              <w:rPr>
                <w:color w:val="000000"/>
                <w:szCs w:val="22"/>
                <w:lang w:val="en-US" w:eastAsia="en-US"/>
              </w:rPr>
            </w:pPr>
            <w:proofErr w:type="spellStart"/>
            <w:r w:rsidRPr="00EC49D7">
              <w:rPr>
                <w:color w:val="000000"/>
                <w:sz w:val="22"/>
                <w:szCs w:val="22"/>
                <w:lang w:val="en-US" w:eastAsia="en-US"/>
              </w:rPr>
              <w:t>Componente</w:t>
            </w:r>
            <w:proofErr w:type="spellEnd"/>
            <w:r w:rsidRPr="00EC49D7">
              <w:rPr>
                <w:color w:val="000000"/>
                <w:sz w:val="22"/>
                <w:szCs w:val="22"/>
                <w:lang w:val="en-US" w:eastAsia="en-US"/>
              </w:rPr>
              <w:t xml:space="preserve"> I</w:t>
            </w:r>
          </w:p>
        </w:tc>
        <w:tc>
          <w:tcPr>
            <w:tcW w:w="129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2,614,689</w:t>
            </w:r>
          </w:p>
        </w:tc>
        <w:tc>
          <w:tcPr>
            <w:tcW w:w="122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3,114,526</w:t>
            </w:r>
          </w:p>
        </w:tc>
        <w:tc>
          <w:tcPr>
            <w:tcW w:w="111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2,766,847</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667,523</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EC49D7">
            <w:pPr>
              <w:jc w:val="right"/>
              <w:rPr>
                <w:color w:val="000000"/>
                <w:szCs w:val="22"/>
                <w:lang w:val="en-US" w:eastAsia="en-US"/>
              </w:rPr>
            </w:pPr>
            <w:r w:rsidRPr="00EC49D7">
              <w:rPr>
                <w:color w:val="000000"/>
                <w:sz w:val="22"/>
                <w:szCs w:val="22"/>
              </w:rPr>
              <w:t>483,413</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rPr>
                <w:color w:val="000000"/>
                <w:szCs w:val="22"/>
                <w:lang w:val="en-US" w:eastAsia="en-US"/>
              </w:rPr>
            </w:pPr>
            <w:r w:rsidRPr="00EC49D7">
              <w:rPr>
                <w:color w:val="000000"/>
                <w:sz w:val="22"/>
                <w:szCs w:val="22"/>
                <w:lang w:val="en-US" w:eastAsia="en-US"/>
              </w:rPr>
              <w:t> </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rPr>
                <w:color w:val="000000"/>
                <w:szCs w:val="22"/>
                <w:lang w:val="en-US" w:eastAsia="en-US"/>
              </w:rPr>
            </w:pPr>
            <w:r w:rsidRPr="00EC49D7">
              <w:rPr>
                <w:color w:val="000000"/>
                <w:sz w:val="22"/>
                <w:szCs w:val="22"/>
                <w:lang w:val="en-US" w:eastAsia="en-US"/>
              </w:rPr>
              <w:t> </w:t>
            </w:r>
          </w:p>
        </w:tc>
        <w:tc>
          <w:tcPr>
            <w:tcW w:w="95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rPr>
                <w:color w:val="000000"/>
                <w:szCs w:val="22"/>
                <w:lang w:val="en-US" w:eastAsia="en-US"/>
              </w:rPr>
            </w:pPr>
            <w:r w:rsidRPr="00EC49D7">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rPr>
                <w:color w:val="000000"/>
                <w:szCs w:val="22"/>
                <w:lang w:val="en-US" w:eastAsia="en-US"/>
              </w:rPr>
            </w:pPr>
            <w:r w:rsidRPr="00EC49D7">
              <w:rPr>
                <w:color w:val="000000"/>
                <w:sz w:val="22"/>
                <w:szCs w:val="22"/>
                <w:lang w:val="en-US" w:eastAsia="en-US"/>
              </w:rPr>
              <w:t> </w:t>
            </w:r>
          </w:p>
        </w:tc>
      </w:tr>
      <w:tr w:rsidR="00F21157" w:rsidRPr="00EC49D7" w:rsidTr="00EC49D7">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21157" w:rsidRPr="00EC49D7" w:rsidRDefault="00F21157" w:rsidP="00B738A3">
            <w:pPr>
              <w:rPr>
                <w:color w:val="000000"/>
                <w:szCs w:val="22"/>
                <w:lang w:val="en-US" w:eastAsia="en-US"/>
              </w:rPr>
            </w:pPr>
            <w:proofErr w:type="spellStart"/>
            <w:r w:rsidRPr="00EC49D7">
              <w:rPr>
                <w:color w:val="000000"/>
                <w:sz w:val="22"/>
                <w:szCs w:val="22"/>
                <w:lang w:val="en-US" w:eastAsia="en-US"/>
              </w:rPr>
              <w:t>Componente</w:t>
            </w:r>
            <w:proofErr w:type="spellEnd"/>
            <w:r w:rsidRPr="00EC49D7">
              <w:rPr>
                <w:color w:val="000000"/>
                <w:sz w:val="22"/>
                <w:szCs w:val="22"/>
                <w:lang w:val="en-US" w:eastAsia="en-US"/>
              </w:rPr>
              <w:t xml:space="preserve"> II</w:t>
            </w:r>
          </w:p>
        </w:tc>
        <w:tc>
          <w:tcPr>
            <w:tcW w:w="129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163,589</w:t>
            </w:r>
          </w:p>
        </w:tc>
        <w:tc>
          <w:tcPr>
            <w:tcW w:w="122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396,983</w:t>
            </w:r>
          </w:p>
        </w:tc>
        <w:tc>
          <w:tcPr>
            <w:tcW w:w="111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633,446</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1,021,187</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148,797</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lang w:val="en-US" w:eastAsia="en-US"/>
              </w:rPr>
              <w:t>0</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lang w:val="en-US" w:eastAsia="en-US"/>
              </w:rPr>
              <w:t>0</w:t>
            </w:r>
          </w:p>
        </w:tc>
        <w:tc>
          <w:tcPr>
            <w:tcW w:w="95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lang w:val="en-US" w:eastAsia="en-US"/>
              </w:rPr>
              <w:t>0</w:t>
            </w:r>
          </w:p>
        </w:tc>
      </w:tr>
      <w:tr w:rsidR="00F21157" w:rsidRPr="00EC49D7" w:rsidTr="00EC49D7">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21157" w:rsidRPr="00EC49D7" w:rsidRDefault="00F21157" w:rsidP="00B738A3">
            <w:pPr>
              <w:rPr>
                <w:b/>
                <w:bCs/>
                <w:color w:val="000000"/>
                <w:szCs w:val="22"/>
                <w:lang w:val="en-US" w:eastAsia="en-US"/>
              </w:rPr>
            </w:pPr>
            <w:proofErr w:type="spellStart"/>
            <w:r w:rsidRPr="00EC49D7">
              <w:rPr>
                <w:b/>
                <w:bCs/>
                <w:color w:val="000000"/>
                <w:sz w:val="22"/>
                <w:szCs w:val="22"/>
                <w:lang w:val="en-US" w:eastAsia="en-US"/>
              </w:rPr>
              <w:t>Beneficios</w:t>
            </w:r>
            <w:proofErr w:type="spellEnd"/>
            <w:r w:rsidRPr="00EC49D7">
              <w:rPr>
                <w:b/>
                <w:bCs/>
                <w:color w:val="000000"/>
                <w:sz w:val="22"/>
                <w:szCs w:val="22"/>
                <w:lang w:val="en-US" w:eastAsia="en-US"/>
              </w:rPr>
              <w:t xml:space="preserve"> </w:t>
            </w:r>
            <w:proofErr w:type="spellStart"/>
            <w:r w:rsidRPr="00EC49D7">
              <w:rPr>
                <w:b/>
                <w:bCs/>
                <w:color w:val="000000"/>
                <w:sz w:val="22"/>
                <w:szCs w:val="22"/>
                <w:lang w:val="en-US" w:eastAsia="en-US"/>
              </w:rPr>
              <w:t>Totales</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450,000</w:t>
            </w:r>
          </w:p>
        </w:tc>
        <w:tc>
          <w:tcPr>
            <w:tcW w:w="122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1,413,287</w:t>
            </w:r>
          </w:p>
        </w:tc>
        <w:tc>
          <w:tcPr>
            <w:tcW w:w="111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3,355,216</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5,008,911</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3,214,373</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2,251,987</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1,329,206</w:t>
            </w:r>
          </w:p>
        </w:tc>
        <w:tc>
          <w:tcPr>
            <w:tcW w:w="95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551,262</w:t>
            </w:r>
          </w:p>
        </w:tc>
        <w:tc>
          <w:tcPr>
            <w:tcW w:w="942"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110,686</w:t>
            </w:r>
          </w:p>
        </w:tc>
      </w:tr>
      <w:tr w:rsidR="00F21157" w:rsidRPr="00EC49D7" w:rsidTr="00EC49D7">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21157" w:rsidRPr="00EC49D7" w:rsidRDefault="00F21157" w:rsidP="00B738A3">
            <w:pPr>
              <w:rPr>
                <w:color w:val="000000"/>
                <w:szCs w:val="22"/>
                <w:lang w:val="en-US" w:eastAsia="en-US"/>
              </w:rPr>
            </w:pPr>
            <w:proofErr w:type="spellStart"/>
            <w:r w:rsidRPr="00EC49D7">
              <w:rPr>
                <w:color w:val="000000"/>
                <w:sz w:val="22"/>
                <w:szCs w:val="22"/>
                <w:lang w:val="en-US" w:eastAsia="en-US"/>
              </w:rPr>
              <w:t>Componente</w:t>
            </w:r>
            <w:proofErr w:type="spellEnd"/>
            <w:r w:rsidRPr="00EC49D7">
              <w:rPr>
                <w:color w:val="000000"/>
                <w:sz w:val="22"/>
                <w:szCs w:val="22"/>
                <w:lang w:val="en-US" w:eastAsia="en-US"/>
              </w:rPr>
              <w:t xml:space="preserve"> I</w:t>
            </w:r>
          </w:p>
        </w:tc>
        <w:tc>
          <w:tcPr>
            <w:tcW w:w="129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color w:val="000000"/>
                <w:szCs w:val="22"/>
                <w:lang w:val="en-US" w:eastAsia="en-US"/>
              </w:rPr>
            </w:pPr>
            <w:r w:rsidRPr="00EC49D7">
              <w:rPr>
                <w:color w:val="000000"/>
                <w:sz w:val="22"/>
                <w:szCs w:val="22"/>
              </w:rPr>
              <w:t>450,000</w:t>
            </w:r>
          </w:p>
        </w:tc>
        <w:tc>
          <w:tcPr>
            <w:tcW w:w="122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color w:val="000000"/>
                <w:szCs w:val="22"/>
                <w:lang w:val="en-US" w:eastAsia="en-US"/>
              </w:rPr>
            </w:pPr>
            <w:r w:rsidRPr="00EC49D7">
              <w:rPr>
                <w:color w:val="000000"/>
                <w:sz w:val="22"/>
                <w:szCs w:val="22"/>
              </w:rPr>
              <w:t>1,370,585</w:t>
            </w:r>
          </w:p>
        </w:tc>
        <w:tc>
          <w:tcPr>
            <w:tcW w:w="111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color w:val="000000"/>
                <w:szCs w:val="22"/>
                <w:lang w:val="en-US" w:eastAsia="en-US"/>
              </w:rPr>
            </w:pPr>
            <w:r w:rsidRPr="00EC49D7">
              <w:rPr>
                <w:color w:val="000000"/>
                <w:sz w:val="22"/>
                <w:szCs w:val="22"/>
              </w:rPr>
              <w:t>3,103,749</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color w:val="000000"/>
                <w:szCs w:val="22"/>
                <w:lang w:val="en-US" w:eastAsia="en-US"/>
              </w:rPr>
            </w:pPr>
            <w:r w:rsidRPr="00EC49D7">
              <w:rPr>
                <w:color w:val="000000"/>
                <w:sz w:val="22"/>
                <w:szCs w:val="22"/>
              </w:rPr>
              <w:t>4,426,796</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color w:val="000000"/>
                <w:szCs w:val="22"/>
                <w:lang w:val="en-US" w:eastAsia="en-US"/>
              </w:rPr>
            </w:pPr>
            <w:r w:rsidRPr="00EC49D7">
              <w:rPr>
                <w:color w:val="000000"/>
                <w:sz w:val="22"/>
                <w:szCs w:val="22"/>
              </w:rPr>
              <w:t>2,054,941</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color w:val="000000"/>
                <w:szCs w:val="22"/>
                <w:lang w:val="en-US" w:eastAsia="en-US"/>
              </w:rPr>
            </w:pPr>
            <w:r w:rsidRPr="00EC49D7">
              <w:rPr>
                <w:color w:val="000000"/>
                <w:sz w:val="22"/>
                <w:szCs w:val="22"/>
              </w:rPr>
              <w:t>1,420,086</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color w:val="000000"/>
                <w:szCs w:val="22"/>
                <w:lang w:val="en-US" w:eastAsia="en-US"/>
              </w:rPr>
            </w:pPr>
            <w:r w:rsidRPr="00EC49D7">
              <w:rPr>
                <w:color w:val="000000"/>
                <w:sz w:val="22"/>
                <w:szCs w:val="22"/>
              </w:rPr>
              <w:t>785,230</w:t>
            </w:r>
          </w:p>
        </w:tc>
        <w:tc>
          <w:tcPr>
            <w:tcW w:w="95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color w:val="000000"/>
                <w:szCs w:val="22"/>
                <w:lang w:val="en-US" w:eastAsia="en-US"/>
              </w:rPr>
            </w:pPr>
            <w:r w:rsidRPr="00EC49D7">
              <w:rPr>
                <w:color w:val="000000"/>
                <w:sz w:val="22"/>
                <w:szCs w:val="22"/>
              </w:rPr>
              <w:t>253,942</w:t>
            </w:r>
          </w:p>
        </w:tc>
        <w:tc>
          <w:tcPr>
            <w:tcW w:w="942"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0</w:t>
            </w:r>
          </w:p>
        </w:tc>
      </w:tr>
      <w:tr w:rsidR="00F21157" w:rsidRPr="00EC49D7" w:rsidTr="00EC49D7">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21157" w:rsidRPr="00EC49D7" w:rsidRDefault="00F21157" w:rsidP="00EC49D7">
            <w:pPr>
              <w:rPr>
                <w:color w:val="000000"/>
                <w:szCs w:val="22"/>
                <w:lang w:val="en-US" w:eastAsia="en-US"/>
              </w:rPr>
            </w:pPr>
            <w:r w:rsidRPr="00EC49D7">
              <w:rPr>
                <w:color w:val="000000"/>
                <w:sz w:val="22"/>
                <w:szCs w:val="22"/>
                <w:lang w:val="en-US" w:eastAsia="en-US"/>
              </w:rPr>
              <w:t xml:space="preserve">    </w:t>
            </w:r>
            <w:proofErr w:type="spellStart"/>
            <w:r w:rsidRPr="00EC49D7">
              <w:rPr>
                <w:color w:val="000000"/>
                <w:sz w:val="22"/>
                <w:szCs w:val="22"/>
                <w:lang w:val="en-US" w:eastAsia="en-US"/>
              </w:rPr>
              <w:t>Ingresos</w:t>
            </w:r>
            <w:proofErr w:type="spellEnd"/>
            <w:r w:rsidRPr="00EC49D7">
              <w:rPr>
                <w:color w:val="000000"/>
                <w:sz w:val="22"/>
                <w:szCs w:val="22"/>
                <w:lang w:val="en-US" w:eastAsia="en-US"/>
              </w:rPr>
              <w:t xml:space="preserve"> por matriculas</w:t>
            </w:r>
          </w:p>
        </w:tc>
        <w:tc>
          <w:tcPr>
            <w:tcW w:w="129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450,000</w:t>
            </w:r>
          </w:p>
        </w:tc>
        <w:tc>
          <w:tcPr>
            <w:tcW w:w="122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852,750</w:t>
            </w:r>
          </w:p>
        </w:tc>
        <w:tc>
          <w:tcPr>
            <w:tcW w:w="111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1,302,750</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1,737,000</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0</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0</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0</w:t>
            </w:r>
          </w:p>
        </w:tc>
        <w:tc>
          <w:tcPr>
            <w:tcW w:w="95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0</w:t>
            </w:r>
          </w:p>
        </w:tc>
        <w:tc>
          <w:tcPr>
            <w:tcW w:w="942"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0</w:t>
            </w:r>
          </w:p>
        </w:tc>
      </w:tr>
      <w:tr w:rsidR="00F21157" w:rsidRPr="00EC49D7" w:rsidTr="00EC49D7">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21157" w:rsidRPr="00EC49D7" w:rsidRDefault="00F21157" w:rsidP="00EC49D7">
            <w:pPr>
              <w:rPr>
                <w:color w:val="000000"/>
                <w:szCs w:val="22"/>
                <w:lang w:val="en-US" w:eastAsia="en-US"/>
              </w:rPr>
            </w:pPr>
            <w:r w:rsidRPr="00EC49D7">
              <w:rPr>
                <w:color w:val="000000"/>
                <w:sz w:val="22"/>
                <w:szCs w:val="22"/>
                <w:lang w:val="en-US" w:eastAsia="en-US"/>
              </w:rPr>
              <w:t xml:space="preserve">    </w:t>
            </w:r>
            <w:proofErr w:type="spellStart"/>
            <w:r w:rsidRPr="00EC49D7">
              <w:rPr>
                <w:color w:val="000000"/>
                <w:sz w:val="22"/>
                <w:szCs w:val="22"/>
                <w:lang w:val="en-US" w:eastAsia="en-US"/>
              </w:rPr>
              <w:t>Beneficios</w:t>
            </w:r>
            <w:proofErr w:type="spellEnd"/>
            <w:r w:rsidRPr="00EC49D7">
              <w:rPr>
                <w:color w:val="000000"/>
                <w:sz w:val="22"/>
                <w:szCs w:val="22"/>
                <w:lang w:val="en-US" w:eastAsia="en-US"/>
              </w:rPr>
              <w:t xml:space="preserve"> por </w:t>
            </w:r>
            <w:proofErr w:type="spellStart"/>
            <w:r w:rsidRPr="00EC49D7">
              <w:rPr>
                <w:color w:val="000000"/>
                <w:sz w:val="22"/>
                <w:szCs w:val="22"/>
                <w:lang w:val="en-US" w:eastAsia="en-US"/>
              </w:rPr>
              <w:t>capacitacion</w:t>
            </w:r>
            <w:proofErr w:type="spellEnd"/>
            <w:r w:rsidRPr="00EC49D7">
              <w:rPr>
                <w:color w:val="000000"/>
                <w:sz w:val="22"/>
                <w:szCs w:val="22"/>
                <w:lang w:val="en-US" w:eastAsia="en-US"/>
              </w:rPr>
              <w:t xml:space="preserve"> </w:t>
            </w:r>
            <w:proofErr w:type="spellStart"/>
            <w:r w:rsidRPr="00EC49D7">
              <w:rPr>
                <w:color w:val="000000"/>
                <w:sz w:val="22"/>
                <w:szCs w:val="22"/>
                <w:lang w:val="en-US" w:eastAsia="en-US"/>
              </w:rPr>
              <w:t>nacional</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0</w:t>
            </w:r>
          </w:p>
        </w:tc>
        <w:tc>
          <w:tcPr>
            <w:tcW w:w="122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369,281</w:t>
            </w:r>
          </w:p>
        </w:tc>
        <w:tc>
          <w:tcPr>
            <w:tcW w:w="111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1,533,601</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2,283,748</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1,747,929</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1,212,110</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676,291</w:t>
            </w:r>
          </w:p>
        </w:tc>
        <w:tc>
          <w:tcPr>
            <w:tcW w:w="95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214,328</w:t>
            </w:r>
          </w:p>
        </w:tc>
        <w:tc>
          <w:tcPr>
            <w:tcW w:w="942"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0</w:t>
            </w:r>
          </w:p>
        </w:tc>
      </w:tr>
      <w:tr w:rsidR="00F21157" w:rsidRPr="00EC49D7" w:rsidTr="00EC49D7">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21157" w:rsidRPr="00EC49D7" w:rsidRDefault="00F21157" w:rsidP="00EC49D7">
            <w:pPr>
              <w:rPr>
                <w:color w:val="000000"/>
                <w:szCs w:val="22"/>
                <w:lang w:val="en-US" w:eastAsia="en-US"/>
              </w:rPr>
            </w:pPr>
            <w:r w:rsidRPr="00EC49D7">
              <w:rPr>
                <w:color w:val="000000"/>
                <w:sz w:val="22"/>
                <w:szCs w:val="22"/>
                <w:lang w:val="en-US" w:eastAsia="en-US"/>
              </w:rPr>
              <w:t xml:space="preserve">    </w:t>
            </w:r>
            <w:proofErr w:type="spellStart"/>
            <w:r w:rsidRPr="00EC49D7">
              <w:rPr>
                <w:color w:val="000000"/>
                <w:sz w:val="22"/>
                <w:szCs w:val="22"/>
                <w:lang w:val="en-US" w:eastAsia="en-US"/>
              </w:rPr>
              <w:t>Beneficios</w:t>
            </w:r>
            <w:proofErr w:type="spellEnd"/>
            <w:r w:rsidRPr="00EC49D7">
              <w:rPr>
                <w:color w:val="000000"/>
                <w:sz w:val="22"/>
                <w:szCs w:val="22"/>
                <w:lang w:val="en-US" w:eastAsia="en-US"/>
              </w:rPr>
              <w:t xml:space="preserve"> por </w:t>
            </w:r>
            <w:proofErr w:type="spellStart"/>
            <w:r w:rsidRPr="00EC49D7">
              <w:rPr>
                <w:color w:val="000000"/>
                <w:sz w:val="22"/>
                <w:szCs w:val="22"/>
                <w:lang w:val="en-US" w:eastAsia="en-US"/>
              </w:rPr>
              <w:t>capacitacion</w:t>
            </w:r>
            <w:proofErr w:type="spellEnd"/>
            <w:r w:rsidRPr="00EC49D7">
              <w:rPr>
                <w:color w:val="000000"/>
                <w:sz w:val="22"/>
                <w:szCs w:val="22"/>
                <w:lang w:val="en-US" w:eastAsia="en-US"/>
              </w:rPr>
              <w:t xml:space="preserve"> </w:t>
            </w:r>
            <w:proofErr w:type="spellStart"/>
            <w:r w:rsidRPr="00EC49D7">
              <w:rPr>
                <w:color w:val="000000"/>
                <w:sz w:val="22"/>
                <w:szCs w:val="22"/>
                <w:lang w:val="en-US" w:eastAsia="en-US"/>
              </w:rPr>
              <w:t>migrantes</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0</w:t>
            </w:r>
          </w:p>
        </w:tc>
        <w:tc>
          <w:tcPr>
            <w:tcW w:w="122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148,554</w:t>
            </w:r>
          </w:p>
        </w:tc>
        <w:tc>
          <w:tcPr>
            <w:tcW w:w="111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267,397</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406,048</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307,012</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207,976</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108,940</w:t>
            </w:r>
          </w:p>
        </w:tc>
        <w:tc>
          <w:tcPr>
            <w:tcW w:w="95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39,614</w:t>
            </w:r>
          </w:p>
        </w:tc>
        <w:tc>
          <w:tcPr>
            <w:tcW w:w="942"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0</w:t>
            </w:r>
          </w:p>
        </w:tc>
      </w:tr>
      <w:tr w:rsidR="00F21157" w:rsidRPr="00EC49D7" w:rsidTr="00EC49D7">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21157" w:rsidRPr="00EC49D7" w:rsidRDefault="00F21157" w:rsidP="00B738A3">
            <w:pPr>
              <w:rPr>
                <w:color w:val="000000"/>
                <w:szCs w:val="22"/>
                <w:lang w:val="en-US" w:eastAsia="en-US"/>
              </w:rPr>
            </w:pPr>
            <w:proofErr w:type="spellStart"/>
            <w:r w:rsidRPr="00EC49D7">
              <w:rPr>
                <w:color w:val="000000"/>
                <w:sz w:val="22"/>
                <w:szCs w:val="22"/>
                <w:lang w:val="en-US" w:eastAsia="en-US"/>
              </w:rPr>
              <w:t>Componente</w:t>
            </w:r>
            <w:proofErr w:type="spellEnd"/>
            <w:r w:rsidRPr="00EC49D7">
              <w:rPr>
                <w:color w:val="000000"/>
                <w:sz w:val="22"/>
                <w:szCs w:val="22"/>
                <w:lang w:val="en-US" w:eastAsia="en-US"/>
              </w:rPr>
              <w:t xml:space="preserve"> II</w:t>
            </w:r>
          </w:p>
        </w:tc>
        <w:tc>
          <w:tcPr>
            <w:tcW w:w="129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0</w:t>
            </w:r>
          </w:p>
        </w:tc>
        <w:tc>
          <w:tcPr>
            <w:tcW w:w="122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42,702</w:t>
            </w:r>
          </w:p>
        </w:tc>
        <w:tc>
          <w:tcPr>
            <w:tcW w:w="111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251,468</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582,115</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1,159,432</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831,901</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543,976</w:t>
            </w:r>
          </w:p>
        </w:tc>
        <w:tc>
          <w:tcPr>
            <w:tcW w:w="95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297,320</w:t>
            </w:r>
          </w:p>
        </w:tc>
        <w:tc>
          <w:tcPr>
            <w:tcW w:w="942"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color w:val="000000"/>
                <w:szCs w:val="22"/>
                <w:lang w:val="en-US" w:eastAsia="en-US"/>
              </w:rPr>
            </w:pPr>
            <w:r w:rsidRPr="00EC49D7">
              <w:rPr>
                <w:color w:val="000000"/>
                <w:sz w:val="22"/>
                <w:szCs w:val="22"/>
              </w:rPr>
              <w:t>110,686</w:t>
            </w:r>
          </w:p>
        </w:tc>
      </w:tr>
      <w:tr w:rsidR="00F21157" w:rsidRPr="00EC49D7" w:rsidTr="00EC49D7">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21157" w:rsidRPr="00EC49D7" w:rsidRDefault="00F21157" w:rsidP="00B738A3">
            <w:pPr>
              <w:rPr>
                <w:b/>
                <w:bCs/>
                <w:color w:val="000000"/>
                <w:szCs w:val="22"/>
                <w:lang w:val="en-US" w:eastAsia="en-US"/>
              </w:rPr>
            </w:pPr>
            <w:r w:rsidRPr="00EC49D7">
              <w:rPr>
                <w:b/>
                <w:bCs/>
                <w:color w:val="000000"/>
                <w:sz w:val="22"/>
                <w:szCs w:val="22"/>
                <w:lang w:val="en-US" w:eastAsia="en-US"/>
              </w:rPr>
              <w:t>RESULTADO NETO</w:t>
            </w:r>
          </w:p>
        </w:tc>
        <w:tc>
          <w:tcPr>
            <w:tcW w:w="129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-2,328,278</w:t>
            </w:r>
          </w:p>
        </w:tc>
        <w:tc>
          <w:tcPr>
            <w:tcW w:w="122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-2,098,222</w:t>
            </w:r>
          </w:p>
        </w:tc>
        <w:tc>
          <w:tcPr>
            <w:tcW w:w="1117"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-45,077</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3,320,201</w:t>
            </w:r>
          </w:p>
        </w:tc>
        <w:tc>
          <w:tcPr>
            <w:tcW w:w="123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2,582,163</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2,251,987</w:t>
            </w:r>
          </w:p>
        </w:tc>
        <w:tc>
          <w:tcPr>
            <w:tcW w:w="1110"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1,329,206</w:t>
            </w:r>
          </w:p>
        </w:tc>
        <w:tc>
          <w:tcPr>
            <w:tcW w:w="953"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589,099</w:t>
            </w:r>
          </w:p>
        </w:tc>
        <w:tc>
          <w:tcPr>
            <w:tcW w:w="942" w:type="dxa"/>
            <w:tcBorders>
              <w:top w:val="nil"/>
              <w:left w:val="nil"/>
              <w:bottom w:val="single" w:sz="4" w:space="0" w:color="auto"/>
              <w:right w:val="single" w:sz="4" w:space="0" w:color="auto"/>
            </w:tcBorders>
            <w:shd w:val="clear" w:color="auto" w:fill="auto"/>
            <w:noWrap/>
            <w:vAlign w:val="bottom"/>
            <w:hideMark/>
          </w:tcPr>
          <w:p w:rsidR="00F21157" w:rsidRPr="00EC49D7" w:rsidRDefault="00F21157" w:rsidP="00B738A3">
            <w:pPr>
              <w:jc w:val="right"/>
              <w:rPr>
                <w:b/>
                <w:bCs/>
                <w:color w:val="000000"/>
                <w:szCs w:val="22"/>
                <w:lang w:val="en-US" w:eastAsia="en-US"/>
              </w:rPr>
            </w:pPr>
            <w:r w:rsidRPr="00EC49D7">
              <w:rPr>
                <w:b/>
                <w:bCs/>
                <w:color w:val="000000"/>
                <w:sz w:val="22"/>
                <w:szCs w:val="22"/>
              </w:rPr>
              <w:t>112,997</w:t>
            </w:r>
          </w:p>
        </w:tc>
      </w:tr>
    </w:tbl>
    <w:p w:rsidR="009358E2" w:rsidRPr="00EC49D7" w:rsidRDefault="009358E2" w:rsidP="009C36FE">
      <w:pPr>
        <w:tabs>
          <w:tab w:val="left" w:pos="6180"/>
        </w:tabs>
        <w:jc w:val="both"/>
        <w:rPr>
          <w:lang w:val="es-UY"/>
        </w:rPr>
        <w:sectPr w:rsidR="009358E2" w:rsidRPr="00EC49D7" w:rsidSect="009358E2">
          <w:pgSz w:w="15840" w:h="12240" w:orient="landscape"/>
          <w:pgMar w:top="1440" w:right="1440" w:bottom="1440" w:left="1440" w:header="720" w:footer="720" w:gutter="0"/>
          <w:cols w:space="720"/>
          <w:docGrid w:linePitch="360"/>
        </w:sectPr>
      </w:pPr>
    </w:p>
    <w:p w:rsidR="000C5ABD" w:rsidRPr="00EC49D7" w:rsidRDefault="000C5ABD" w:rsidP="009C36FE">
      <w:pPr>
        <w:tabs>
          <w:tab w:val="left" w:pos="6180"/>
        </w:tabs>
        <w:jc w:val="both"/>
        <w:rPr>
          <w:lang w:val="es-UY"/>
        </w:rPr>
      </w:pPr>
      <w:r w:rsidRPr="00EC49D7">
        <w:rPr>
          <w:lang w:val="es-UY"/>
        </w:rPr>
        <w:lastRenderedPageBreak/>
        <w:t xml:space="preserve">El proyecto arroja un Valor Actual Neto de </w:t>
      </w:r>
      <w:r w:rsidR="00F21157" w:rsidRPr="00EC49D7">
        <w:rPr>
          <w:lang w:val="es-UY"/>
        </w:rPr>
        <w:t>1</w:t>
      </w:r>
      <w:r w:rsidR="003F3028" w:rsidRPr="00EC49D7">
        <w:rPr>
          <w:lang w:val="es-UY"/>
        </w:rPr>
        <w:t>,</w:t>
      </w:r>
      <w:r w:rsidR="00F229B2" w:rsidRPr="00EC49D7">
        <w:rPr>
          <w:lang w:val="es-UY"/>
        </w:rPr>
        <w:t>8</w:t>
      </w:r>
      <w:r w:rsidRPr="00EC49D7">
        <w:rPr>
          <w:lang w:val="es-UY"/>
        </w:rPr>
        <w:t xml:space="preserve"> millones de dólares, con una tasa interna de retorno de </w:t>
      </w:r>
      <w:r w:rsidR="00F21157" w:rsidRPr="00EC49D7">
        <w:rPr>
          <w:lang w:val="es-UY"/>
        </w:rPr>
        <w:t>25</w:t>
      </w:r>
      <w:r w:rsidRPr="00EC49D7">
        <w:rPr>
          <w:lang w:val="es-UY"/>
        </w:rPr>
        <w:t>%. El valor de la tasa refleja que, dado que las matrículas de extranjeros forman parte de los ingresos del proyecto, ya en el primer año se empieza a recuperar la inversión. El grueso de los ingresos está concentrado en el componente I, que arroja u</w:t>
      </w:r>
      <w:r w:rsidR="00B738A3" w:rsidRPr="00EC49D7">
        <w:rPr>
          <w:lang w:val="es-UY"/>
        </w:rPr>
        <w:t xml:space="preserve">n resultado positivo de </w:t>
      </w:r>
      <w:r w:rsidR="00F21157" w:rsidRPr="00EC49D7">
        <w:rPr>
          <w:lang w:val="es-UY"/>
        </w:rPr>
        <w:t>1</w:t>
      </w:r>
      <w:r w:rsidR="00447639" w:rsidRPr="00EC49D7">
        <w:rPr>
          <w:lang w:val="es-UY"/>
        </w:rPr>
        <w:t>,</w:t>
      </w:r>
      <w:r w:rsidR="00F21157" w:rsidRPr="00EC49D7">
        <w:rPr>
          <w:lang w:val="es-UY"/>
        </w:rPr>
        <w:t>4</w:t>
      </w:r>
      <w:r w:rsidR="00B738A3" w:rsidRPr="00EC49D7">
        <w:rPr>
          <w:lang w:val="es-UY"/>
        </w:rPr>
        <w:t xml:space="preserve"> millones USD y una TIR de </w:t>
      </w:r>
      <w:r w:rsidR="00F21157" w:rsidRPr="00EC49D7">
        <w:rPr>
          <w:lang w:val="es-UY"/>
        </w:rPr>
        <w:t>24</w:t>
      </w:r>
      <w:r w:rsidRPr="00EC49D7">
        <w:rPr>
          <w:lang w:val="es-UY"/>
        </w:rPr>
        <w:t xml:space="preserve">%. El componente II, arroja una VAN de </w:t>
      </w:r>
      <w:r w:rsidR="00F21157" w:rsidRPr="00EC49D7">
        <w:rPr>
          <w:lang w:val="es-UY"/>
        </w:rPr>
        <w:t xml:space="preserve">422 </w:t>
      </w:r>
      <w:r w:rsidR="003F3028" w:rsidRPr="00EC49D7">
        <w:rPr>
          <w:lang w:val="es-UY"/>
        </w:rPr>
        <w:t xml:space="preserve">mil USD y una TIR de </w:t>
      </w:r>
      <w:r w:rsidR="00B738A3" w:rsidRPr="00EC49D7">
        <w:rPr>
          <w:lang w:val="es-UY"/>
        </w:rPr>
        <w:t>25</w:t>
      </w:r>
      <w:r w:rsidRPr="00EC49D7">
        <w:rPr>
          <w:lang w:val="es-UY"/>
        </w:rPr>
        <w:t xml:space="preserve">%. </w:t>
      </w:r>
    </w:p>
    <w:p w:rsidR="000C5ABD" w:rsidRPr="00EC49D7" w:rsidRDefault="000C5ABD" w:rsidP="009C36FE">
      <w:pPr>
        <w:tabs>
          <w:tab w:val="left" w:pos="6180"/>
        </w:tabs>
        <w:jc w:val="both"/>
        <w:rPr>
          <w:lang w:val="es-UY"/>
        </w:rPr>
      </w:pPr>
    </w:p>
    <w:p w:rsidR="0017607A" w:rsidRPr="00EC49D7" w:rsidRDefault="0017607A" w:rsidP="009C36FE">
      <w:pPr>
        <w:tabs>
          <w:tab w:val="left" w:pos="6180"/>
        </w:tabs>
        <w:jc w:val="both"/>
        <w:rPr>
          <w:lang w:val="es-UY"/>
        </w:rPr>
      </w:pPr>
    </w:p>
    <w:p w:rsidR="0017607A" w:rsidRPr="00EC49D7" w:rsidRDefault="0017607A" w:rsidP="0017607A">
      <w:pPr>
        <w:pStyle w:val="ListParagraph"/>
        <w:numPr>
          <w:ilvl w:val="0"/>
          <w:numId w:val="6"/>
        </w:numPr>
        <w:jc w:val="both"/>
        <w:rPr>
          <w:b/>
          <w:sz w:val="28"/>
          <w:szCs w:val="28"/>
          <w:lang w:val="es-AR"/>
        </w:rPr>
      </w:pPr>
      <w:r w:rsidRPr="00EC49D7">
        <w:rPr>
          <w:b/>
          <w:sz w:val="28"/>
          <w:szCs w:val="28"/>
          <w:lang w:val="es-AR"/>
        </w:rPr>
        <w:t>Análisis de sensibilidad de los resultados a los supuestos</w:t>
      </w:r>
    </w:p>
    <w:p w:rsidR="0017607A" w:rsidRPr="00EC49D7" w:rsidRDefault="0017607A" w:rsidP="0017607A">
      <w:pPr>
        <w:jc w:val="both"/>
        <w:rPr>
          <w:b/>
          <w:sz w:val="28"/>
          <w:szCs w:val="28"/>
          <w:lang w:val="es-AR"/>
        </w:rPr>
      </w:pPr>
    </w:p>
    <w:p w:rsidR="0017607A" w:rsidRPr="00EC49D7" w:rsidRDefault="0017607A" w:rsidP="0017607A">
      <w:pPr>
        <w:jc w:val="both"/>
        <w:rPr>
          <w:b/>
          <w:sz w:val="28"/>
          <w:szCs w:val="28"/>
          <w:lang w:val="es-AR"/>
        </w:rPr>
      </w:pPr>
    </w:p>
    <w:p w:rsidR="0017607A" w:rsidRPr="00EC49D7" w:rsidRDefault="0017607A" w:rsidP="009C36FE">
      <w:pPr>
        <w:tabs>
          <w:tab w:val="left" w:pos="6180"/>
        </w:tabs>
        <w:jc w:val="both"/>
        <w:rPr>
          <w:lang w:val="es-UY"/>
        </w:rPr>
      </w:pPr>
    </w:p>
    <w:p w:rsidR="0017607A" w:rsidRPr="00EC49D7" w:rsidRDefault="0017607A" w:rsidP="009C36FE">
      <w:pPr>
        <w:tabs>
          <w:tab w:val="left" w:pos="6180"/>
        </w:tabs>
        <w:jc w:val="both"/>
        <w:rPr>
          <w:lang w:val="es-UY"/>
        </w:rPr>
      </w:pPr>
      <w:r w:rsidRPr="00EC49D7">
        <w:rPr>
          <w:lang w:val="es-UY"/>
        </w:rPr>
        <w:t xml:space="preserve">Dado que muchos de los supuestos realizados para las estimaciones se basan en parámetros que surgen de evidencia empírica basada en casos, es necesario verificar la robustez de los resultados a los parámetros utilizados. La siguiente tabla muestra los parámetros que han sido sensibilizados y el supuesto que se ha hecho con respecto a ellos. Los parámetros que no han sido sensibilizados son los que surgen de la matriz de resultados. Esto es: el número total de alumnos inscriptos en el programa, el número de graduados y el costo de los programas para el prestador. </w:t>
      </w:r>
    </w:p>
    <w:p w:rsidR="0017607A" w:rsidRPr="00EC49D7" w:rsidRDefault="0017607A" w:rsidP="009C36FE">
      <w:pPr>
        <w:tabs>
          <w:tab w:val="left" w:pos="6180"/>
        </w:tabs>
        <w:jc w:val="both"/>
        <w:rPr>
          <w:b/>
          <w:lang w:val="es-UY"/>
        </w:rPr>
      </w:pPr>
    </w:p>
    <w:tbl>
      <w:tblPr>
        <w:tblStyle w:val="TableGrid"/>
        <w:tblW w:w="0" w:type="auto"/>
        <w:tblLook w:val="04A0" w:firstRow="1" w:lastRow="0" w:firstColumn="1" w:lastColumn="0" w:noHBand="0" w:noVBand="1"/>
      </w:tblPr>
      <w:tblGrid>
        <w:gridCol w:w="3127"/>
        <w:gridCol w:w="1363"/>
        <w:gridCol w:w="5086"/>
      </w:tblGrid>
      <w:tr w:rsidR="0017607A" w:rsidRPr="00EC49D7" w:rsidTr="0029155E">
        <w:tc>
          <w:tcPr>
            <w:tcW w:w="3147" w:type="dxa"/>
          </w:tcPr>
          <w:p w:rsidR="0017607A" w:rsidRPr="00EC49D7" w:rsidRDefault="0017607A" w:rsidP="009C36FE">
            <w:pPr>
              <w:tabs>
                <w:tab w:val="left" w:pos="6180"/>
              </w:tabs>
              <w:jc w:val="both"/>
              <w:rPr>
                <w:b/>
                <w:lang w:val="es-UY"/>
              </w:rPr>
            </w:pPr>
            <w:r w:rsidRPr="00EC49D7">
              <w:rPr>
                <w:b/>
                <w:lang w:val="es-UY"/>
              </w:rPr>
              <w:t>Parámetro</w:t>
            </w:r>
          </w:p>
        </w:tc>
        <w:tc>
          <w:tcPr>
            <w:tcW w:w="1296" w:type="dxa"/>
          </w:tcPr>
          <w:p w:rsidR="0017607A" w:rsidRPr="00EC49D7" w:rsidRDefault="005D2BBE" w:rsidP="005D2BBE">
            <w:pPr>
              <w:tabs>
                <w:tab w:val="left" w:pos="6180"/>
              </w:tabs>
              <w:jc w:val="both"/>
              <w:rPr>
                <w:b/>
                <w:lang w:val="es-UY"/>
              </w:rPr>
            </w:pPr>
            <w:r w:rsidRPr="00EC49D7">
              <w:rPr>
                <w:b/>
                <w:lang w:val="es-UY"/>
              </w:rPr>
              <w:t>Estimación base</w:t>
            </w:r>
          </w:p>
        </w:tc>
        <w:tc>
          <w:tcPr>
            <w:tcW w:w="5133" w:type="dxa"/>
          </w:tcPr>
          <w:p w:rsidR="0017607A" w:rsidRPr="00EC49D7" w:rsidRDefault="005D2BBE" w:rsidP="009C36FE">
            <w:pPr>
              <w:tabs>
                <w:tab w:val="left" w:pos="6180"/>
              </w:tabs>
              <w:jc w:val="both"/>
              <w:rPr>
                <w:b/>
                <w:lang w:val="es-UY"/>
              </w:rPr>
            </w:pPr>
            <w:r w:rsidRPr="00EC49D7">
              <w:rPr>
                <w:b/>
                <w:lang w:val="es-UY"/>
              </w:rPr>
              <w:t>Distribución de probabilidad</w:t>
            </w:r>
          </w:p>
        </w:tc>
      </w:tr>
      <w:tr w:rsidR="0017607A" w:rsidRPr="00EC49D7" w:rsidTr="0029155E">
        <w:tc>
          <w:tcPr>
            <w:tcW w:w="3147" w:type="dxa"/>
          </w:tcPr>
          <w:p w:rsidR="0017607A" w:rsidRPr="00EC49D7" w:rsidRDefault="0017607A" w:rsidP="005D2BBE">
            <w:pPr>
              <w:tabs>
                <w:tab w:val="left" w:pos="6180"/>
              </w:tabs>
              <w:jc w:val="both"/>
              <w:rPr>
                <w:lang w:val="es-UY"/>
              </w:rPr>
            </w:pPr>
            <w:r w:rsidRPr="00EC49D7">
              <w:rPr>
                <w:lang w:val="es-UY"/>
              </w:rPr>
              <w:t>Diferencial de salario</w:t>
            </w:r>
            <w:r w:rsidR="005D2BBE" w:rsidRPr="00EC49D7">
              <w:rPr>
                <w:lang w:val="es-UY"/>
              </w:rPr>
              <w:t xml:space="preserve"> anual</w:t>
            </w:r>
            <w:r w:rsidRPr="00EC49D7">
              <w:rPr>
                <w:lang w:val="es-UY"/>
              </w:rPr>
              <w:t xml:space="preserve"> </w:t>
            </w:r>
            <w:r w:rsidR="005D2BBE" w:rsidRPr="00EC49D7">
              <w:rPr>
                <w:lang w:val="es-UY"/>
              </w:rPr>
              <w:t>atribuible al</w:t>
            </w:r>
            <w:r w:rsidRPr="00EC49D7">
              <w:rPr>
                <w:lang w:val="es-UY"/>
              </w:rPr>
              <w:t xml:space="preserve"> proyecto</w:t>
            </w:r>
          </w:p>
        </w:tc>
        <w:tc>
          <w:tcPr>
            <w:tcW w:w="1296" w:type="dxa"/>
            <w:vAlign w:val="center"/>
          </w:tcPr>
          <w:p w:rsidR="0017607A" w:rsidRPr="00EC49D7" w:rsidRDefault="00B738A3" w:rsidP="00217AC5">
            <w:pPr>
              <w:tabs>
                <w:tab w:val="left" w:pos="6180"/>
              </w:tabs>
              <w:jc w:val="right"/>
              <w:rPr>
                <w:lang w:val="es-UY"/>
              </w:rPr>
            </w:pPr>
            <w:r w:rsidRPr="00EC49D7">
              <w:rPr>
                <w:lang w:val="es-UY"/>
              </w:rPr>
              <w:t>20</w:t>
            </w:r>
            <w:r w:rsidR="00217AC5" w:rsidRPr="00EC49D7">
              <w:rPr>
                <w:lang w:val="es-UY"/>
              </w:rPr>
              <w:t>688</w:t>
            </w:r>
          </w:p>
        </w:tc>
        <w:tc>
          <w:tcPr>
            <w:tcW w:w="5133" w:type="dxa"/>
          </w:tcPr>
          <w:p w:rsidR="0017607A" w:rsidRPr="00EC49D7" w:rsidRDefault="004B0CF4" w:rsidP="00B738A3">
            <w:pPr>
              <w:tabs>
                <w:tab w:val="left" w:pos="6180"/>
              </w:tabs>
              <w:jc w:val="both"/>
              <w:rPr>
                <w:lang w:val="es-UY"/>
              </w:rPr>
            </w:pPr>
            <w:r w:rsidRPr="00EC49D7">
              <w:rPr>
                <w:lang w:val="es-UY"/>
              </w:rPr>
              <w:t>Normal (20688,4000)</w:t>
            </w:r>
          </w:p>
        </w:tc>
      </w:tr>
      <w:tr w:rsidR="0017607A" w:rsidRPr="00EC49D7" w:rsidTr="0029155E">
        <w:tc>
          <w:tcPr>
            <w:tcW w:w="3147" w:type="dxa"/>
          </w:tcPr>
          <w:p w:rsidR="0017607A" w:rsidRPr="00EC49D7" w:rsidRDefault="0017607A" w:rsidP="009C36FE">
            <w:pPr>
              <w:tabs>
                <w:tab w:val="left" w:pos="6180"/>
              </w:tabs>
              <w:jc w:val="both"/>
              <w:rPr>
                <w:lang w:val="es-UY"/>
              </w:rPr>
            </w:pPr>
            <w:r w:rsidRPr="00EC49D7">
              <w:rPr>
                <w:lang w:val="es-UY"/>
              </w:rPr>
              <w:t>Tasa de depreciación de</w:t>
            </w:r>
            <w:r w:rsidR="005D2BBE" w:rsidRPr="00EC49D7">
              <w:rPr>
                <w:lang w:val="es-UY"/>
              </w:rPr>
              <w:t>l nuevo capital humano adquirido</w:t>
            </w:r>
          </w:p>
        </w:tc>
        <w:tc>
          <w:tcPr>
            <w:tcW w:w="1296" w:type="dxa"/>
            <w:vAlign w:val="center"/>
          </w:tcPr>
          <w:p w:rsidR="0017607A" w:rsidRPr="00EC49D7" w:rsidRDefault="005D2BBE" w:rsidP="005D2BBE">
            <w:pPr>
              <w:tabs>
                <w:tab w:val="left" w:pos="6180"/>
              </w:tabs>
              <w:jc w:val="right"/>
              <w:rPr>
                <w:lang w:val="es-UY"/>
              </w:rPr>
            </w:pPr>
            <w:r w:rsidRPr="00EC49D7">
              <w:rPr>
                <w:lang w:val="es-UY"/>
              </w:rPr>
              <w:t>20%</w:t>
            </w:r>
          </w:p>
        </w:tc>
        <w:tc>
          <w:tcPr>
            <w:tcW w:w="5133" w:type="dxa"/>
          </w:tcPr>
          <w:p w:rsidR="0017607A" w:rsidRPr="00EC49D7" w:rsidRDefault="005D2BBE" w:rsidP="0029155E">
            <w:pPr>
              <w:tabs>
                <w:tab w:val="left" w:pos="6180"/>
              </w:tabs>
              <w:jc w:val="both"/>
              <w:rPr>
                <w:lang w:val="es-UY"/>
              </w:rPr>
            </w:pPr>
            <w:r w:rsidRPr="00EC49D7">
              <w:rPr>
                <w:lang w:val="es-UY"/>
              </w:rPr>
              <w:t>Triangular (min:</w:t>
            </w:r>
            <w:r w:rsidR="0029155E" w:rsidRPr="00EC49D7">
              <w:rPr>
                <w:lang w:val="es-UY"/>
              </w:rPr>
              <w:t>10%, max:30%</w:t>
            </w:r>
            <w:r w:rsidRPr="00EC49D7">
              <w:rPr>
                <w:lang w:val="es-UY"/>
              </w:rPr>
              <w:t>, moda:</w:t>
            </w:r>
            <w:r w:rsidR="0029155E" w:rsidRPr="00EC49D7">
              <w:rPr>
                <w:lang w:val="es-UY"/>
              </w:rPr>
              <w:t>20%</w:t>
            </w:r>
            <w:r w:rsidRPr="00EC49D7">
              <w:rPr>
                <w:lang w:val="es-UY"/>
              </w:rPr>
              <w:t>)</w:t>
            </w:r>
          </w:p>
        </w:tc>
      </w:tr>
      <w:tr w:rsidR="0017607A" w:rsidRPr="00EC49D7" w:rsidTr="0029155E">
        <w:tc>
          <w:tcPr>
            <w:tcW w:w="3147" w:type="dxa"/>
          </w:tcPr>
          <w:p w:rsidR="0017607A" w:rsidRPr="00EC49D7" w:rsidRDefault="005D2BBE" w:rsidP="009C36FE">
            <w:pPr>
              <w:tabs>
                <w:tab w:val="left" w:pos="6180"/>
              </w:tabs>
              <w:jc w:val="both"/>
              <w:rPr>
                <w:lang w:val="es-UY"/>
              </w:rPr>
            </w:pPr>
            <w:r w:rsidRPr="00EC49D7">
              <w:rPr>
                <w:lang w:val="es-UY"/>
              </w:rPr>
              <w:t>% de matriculados y graduados extranjeros</w:t>
            </w:r>
          </w:p>
        </w:tc>
        <w:tc>
          <w:tcPr>
            <w:tcW w:w="1296" w:type="dxa"/>
            <w:vAlign w:val="center"/>
          </w:tcPr>
          <w:p w:rsidR="0017607A" w:rsidRPr="00EC49D7" w:rsidRDefault="00B738A3" w:rsidP="005D2BBE">
            <w:pPr>
              <w:tabs>
                <w:tab w:val="left" w:pos="6180"/>
              </w:tabs>
              <w:jc w:val="right"/>
              <w:rPr>
                <w:lang w:val="es-UY"/>
              </w:rPr>
            </w:pPr>
            <w:r w:rsidRPr="00EC49D7">
              <w:rPr>
                <w:lang w:val="es-UY"/>
              </w:rPr>
              <w:t>6</w:t>
            </w:r>
            <w:r w:rsidR="005D2BBE" w:rsidRPr="00EC49D7">
              <w:rPr>
                <w:lang w:val="es-UY"/>
              </w:rPr>
              <w:t>0</w:t>
            </w:r>
          </w:p>
        </w:tc>
        <w:tc>
          <w:tcPr>
            <w:tcW w:w="5133" w:type="dxa"/>
          </w:tcPr>
          <w:p w:rsidR="0017607A" w:rsidRPr="00EC49D7" w:rsidRDefault="00B738A3" w:rsidP="00B738A3">
            <w:pPr>
              <w:tabs>
                <w:tab w:val="left" w:pos="6180"/>
              </w:tabs>
              <w:jc w:val="both"/>
              <w:rPr>
                <w:lang w:val="es-UY"/>
              </w:rPr>
            </w:pPr>
            <w:r w:rsidRPr="00EC49D7">
              <w:rPr>
                <w:lang w:val="es-UY"/>
              </w:rPr>
              <w:t>Triangular (min:45</w:t>
            </w:r>
            <w:r w:rsidR="0029155E" w:rsidRPr="00EC49D7">
              <w:rPr>
                <w:lang w:val="es-UY"/>
              </w:rPr>
              <w:t>%, max:</w:t>
            </w:r>
            <w:r w:rsidR="00E272D7" w:rsidRPr="00EC49D7">
              <w:rPr>
                <w:lang w:val="es-UY"/>
              </w:rPr>
              <w:t>75</w:t>
            </w:r>
            <w:r w:rsidR="0029155E" w:rsidRPr="00EC49D7">
              <w:rPr>
                <w:lang w:val="es-UY"/>
              </w:rPr>
              <w:t>%, moda:</w:t>
            </w:r>
            <w:r w:rsidR="00E272D7" w:rsidRPr="00EC49D7">
              <w:rPr>
                <w:lang w:val="es-UY"/>
              </w:rPr>
              <w:t>60</w:t>
            </w:r>
            <w:r w:rsidR="0029155E" w:rsidRPr="00EC49D7">
              <w:rPr>
                <w:lang w:val="es-UY"/>
              </w:rPr>
              <w:t>%)</w:t>
            </w:r>
          </w:p>
        </w:tc>
      </w:tr>
      <w:tr w:rsidR="005D2BBE" w:rsidRPr="00EC49D7" w:rsidTr="0029155E">
        <w:tc>
          <w:tcPr>
            <w:tcW w:w="3147" w:type="dxa"/>
          </w:tcPr>
          <w:p w:rsidR="005D2BBE" w:rsidRPr="00EC49D7" w:rsidRDefault="005D2BBE" w:rsidP="009C36FE">
            <w:pPr>
              <w:tabs>
                <w:tab w:val="left" w:pos="6180"/>
              </w:tabs>
              <w:jc w:val="both"/>
              <w:rPr>
                <w:lang w:val="es-UY"/>
              </w:rPr>
            </w:pPr>
            <w:r w:rsidRPr="00EC49D7">
              <w:rPr>
                <w:lang w:val="es-UY"/>
              </w:rPr>
              <w:t>Valor de la matrícula para extranjeros</w:t>
            </w:r>
            <w:r w:rsidR="0029155E" w:rsidRPr="00EC49D7">
              <w:rPr>
                <w:lang w:val="es-UY"/>
              </w:rPr>
              <w:t xml:space="preserve"> (USD)</w:t>
            </w:r>
          </w:p>
        </w:tc>
        <w:tc>
          <w:tcPr>
            <w:tcW w:w="1296" w:type="dxa"/>
            <w:vAlign w:val="center"/>
          </w:tcPr>
          <w:p w:rsidR="005D2BBE" w:rsidRPr="00EC49D7" w:rsidRDefault="005D2BBE" w:rsidP="005D2BBE">
            <w:pPr>
              <w:tabs>
                <w:tab w:val="left" w:pos="6180"/>
              </w:tabs>
              <w:jc w:val="right"/>
              <w:rPr>
                <w:lang w:val="es-UY"/>
              </w:rPr>
            </w:pPr>
            <w:r w:rsidRPr="00EC49D7">
              <w:rPr>
                <w:lang w:val="es-UY"/>
              </w:rPr>
              <w:t>15000</w:t>
            </w:r>
          </w:p>
        </w:tc>
        <w:tc>
          <w:tcPr>
            <w:tcW w:w="5133" w:type="dxa"/>
          </w:tcPr>
          <w:p w:rsidR="005D2BBE" w:rsidRPr="00EC49D7" w:rsidRDefault="0029155E" w:rsidP="0029155E">
            <w:pPr>
              <w:tabs>
                <w:tab w:val="left" w:pos="6180"/>
              </w:tabs>
              <w:jc w:val="both"/>
              <w:rPr>
                <w:lang w:val="es-UY"/>
              </w:rPr>
            </w:pPr>
            <w:r w:rsidRPr="00EC49D7">
              <w:rPr>
                <w:lang w:val="es-UY"/>
              </w:rPr>
              <w:t>Triangular (min:10000, max:20000, moda:15000)</w:t>
            </w:r>
          </w:p>
        </w:tc>
      </w:tr>
      <w:tr w:rsidR="005D2BBE" w:rsidRPr="00EC49D7" w:rsidTr="0029155E">
        <w:tc>
          <w:tcPr>
            <w:tcW w:w="3147" w:type="dxa"/>
          </w:tcPr>
          <w:p w:rsidR="005D2BBE" w:rsidRPr="00EC49D7" w:rsidRDefault="005D2BBE" w:rsidP="009C36FE">
            <w:pPr>
              <w:tabs>
                <w:tab w:val="left" w:pos="6180"/>
              </w:tabs>
              <w:jc w:val="both"/>
              <w:rPr>
                <w:lang w:val="es-UY"/>
              </w:rPr>
            </w:pPr>
            <w:r w:rsidRPr="00EC49D7">
              <w:rPr>
                <w:lang w:val="es-UY"/>
              </w:rPr>
              <w:t>Tasa de sobrevida de las empresas a cinco años</w:t>
            </w:r>
          </w:p>
        </w:tc>
        <w:tc>
          <w:tcPr>
            <w:tcW w:w="1296" w:type="dxa"/>
            <w:vAlign w:val="center"/>
          </w:tcPr>
          <w:p w:rsidR="005D2BBE" w:rsidRPr="00EC49D7" w:rsidRDefault="005D2BBE" w:rsidP="005D2BBE">
            <w:pPr>
              <w:tabs>
                <w:tab w:val="left" w:pos="6180"/>
              </w:tabs>
              <w:jc w:val="right"/>
              <w:rPr>
                <w:lang w:val="es-UY"/>
              </w:rPr>
            </w:pPr>
            <w:r w:rsidRPr="00EC49D7">
              <w:rPr>
                <w:lang w:val="es-UY"/>
              </w:rPr>
              <w:t>70%</w:t>
            </w:r>
          </w:p>
        </w:tc>
        <w:tc>
          <w:tcPr>
            <w:tcW w:w="5133" w:type="dxa"/>
          </w:tcPr>
          <w:p w:rsidR="005D2BBE" w:rsidRPr="00EC49D7" w:rsidRDefault="0029155E" w:rsidP="0029155E">
            <w:pPr>
              <w:tabs>
                <w:tab w:val="left" w:pos="6180"/>
              </w:tabs>
              <w:jc w:val="both"/>
              <w:rPr>
                <w:lang w:val="es-UY"/>
              </w:rPr>
            </w:pPr>
            <w:r w:rsidRPr="00EC49D7">
              <w:rPr>
                <w:lang w:val="es-UY"/>
              </w:rPr>
              <w:t>Triangular (min:20%, max:90%, moda:70%)</w:t>
            </w:r>
          </w:p>
        </w:tc>
      </w:tr>
      <w:tr w:rsidR="005D2BBE" w:rsidRPr="00EC49D7" w:rsidTr="0029155E">
        <w:tc>
          <w:tcPr>
            <w:tcW w:w="3147" w:type="dxa"/>
          </w:tcPr>
          <w:p w:rsidR="005D2BBE" w:rsidRPr="00EC49D7" w:rsidRDefault="005D2BBE" w:rsidP="005D2BBE">
            <w:pPr>
              <w:tabs>
                <w:tab w:val="left" w:pos="6180"/>
              </w:tabs>
              <w:jc w:val="both"/>
              <w:rPr>
                <w:lang w:val="es-UY"/>
              </w:rPr>
            </w:pPr>
            <w:r w:rsidRPr="00EC49D7">
              <w:rPr>
                <w:lang w:val="es-UY"/>
              </w:rPr>
              <w:t>Elasticidad de facturación a inversión en innovación rezagada</w:t>
            </w:r>
          </w:p>
        </w:tc>
        <w:tc>
          <w:tcPr>
            <w:tcW w:w="1296" w:type="dxa"/>
            <w:vAlign w:val="center"/>
          </w:tcPr>
          <w:p w:rsidR="005D2BBE" w:rsidRPr="00EC49D7" w:rsidRDefault="005D2BBE" w:rsidP="005D2BBE">
            <w:pPr>
              <w:tabs>
                <w:tab w:val="left" w:pos="6180"/>
              </w:tabs>
              <w:jc w:val="right"/>
              <w:rPr>
                <w:lang w:val="es-UY"/>
              </w:rPr>
            </w:pPr>
            <w:r w:rsidRPr="00EC49D7">
              <w:rPr>
                <w:lang w:val="es-UY"/>
              </w:rPr>
              <w:t>0,121</w:t>
            </w:r>
          </w:p>
        </w:tc>
        <w:tc>
          <w:tcPr>
            <w:tcW w:w="5133" w:type="dxa"/>
          </w:tcPr>
          <w:p w:rsidR="005D2BBE" w:rsidRPr="00EC49D7" w:rsidRDefault="0029155E" w:rsidP="009C36FE">
            <w:pPr>
              <w:tabs>
                <w:tab w:val="left" w:pos="6180"/>
              </w:tabs>
              <w:jc w:val="both"/>
              <w:rPr>
                <w:lang w:val="es-UY"/>
              </w:rPr>
            </w:pPr>
            <w:r w:rsidRPr="00EC49D7">
              <w:rPr>
                <w:lang w:val="es-UY"/>
              </w:rPr>
              <w:t>Normal (0.121, 0.02)</w:t>
            </w:r>
          </w:p>
        </w:tc>
      </w:tr>
      <w:tr w:rsidR="005D2BBE" w:rsidRPr="00EC49D7" w:rsidTr="0029155E">
        <w:tc>
          <w:tcPr>
            <w:tcW w:w="3147" w:type="dxa"/>
          </w:tcPr>
          <w:p w:rsidR="005D2BBE" w:rsidRPr="00EC49D7" w:rsidRDefault="005D2BBE" w:rsidP="009C36FE">
            <w:pPr>
              <w:tabs>
                <w:tab w:val="left" w:pos="6180"/>
              </w:tabs>
              <w:jc w:val="both"/>
              <w:rPr>
                <w:lang w:val="es-UY"/>
              </w:rPr>
            </w:pPr>
            <w:r w:rsidRPr="00EC49D7">
              <w:rPr>
                <w:lang w:val="es-UY"/>
              </w:rPr>
              <w:t>Adicionalidad del gasto en innovación</w:t>
            </w:r>
          </w:p>
        </w:tc>
        <w:tc>
          <w:tcPr>
            <w:tcW w:w="1296" w:type="dxa"/>
            <w:vAlign w:val="center"/>
          </w:tcPr>
          <w:p w:rsidR="005D2BBE" w:rsidRPr="00EC49D7" w:rsidRDefault="005D2BBE" w:rsidP="005D2BBE">
            <w:pPr>
              <w:tabs>
                <w:tab w:val="left" w:pos="6180"/>
              </w:tabs>
              <w:jc w:val="right"/>
              <w:rPr>
                <w:lang w:val="es-UY"/>
              </w:rPr>
            </w:pPr>
            <w:r w:rsidRPr="00EC49D7">
              <w:rPr>
                <w:lang w:val="es-UY"/>
              </w:rPr>
              <w:t>2.2</w:t>
            </w:r>
          </w:p>
        </w:tc>
        <w:tc>
          <w:tcPr>
            <w:tcW w:w="5133" w:type="dxa"/>
          </w:tcPr>
          <w:p w:rsidR="005D2BBE" w:rsidRPr="00EC49D7" w:rsidRDefault="0029155E" w:rsidP="0029155E">
            <w:pPr>
              <w:tabs>
                <w:tab w:val="left" w:pos="6180"/>
              </w:tabs>
              <w:jc w:val="both"/>
              <w:rPr>
                <w:lang w:val="es-UY"/>
              </w:rPr>
            </w:pPr>
            <w:r w:rsidRPr="00EC49D7">
              <w:rPr>
                <w:lang w:val="es-UY"/>
              </w:rPr>
              <w:t>Normal (2.2, 0.684)</w:t>
            </w:r>
          </w:p>
        </w:tc>
      </w:tr>
      <w:tr w:rsidR="005D2BBE" w:rsidRPr="00EC49D7" w:rsidTr="0029155E">
        <w:tc>
          <w:tcPr>
            <w:tcW w:w="3147" w:type="dxa"/>
          </w:tcPr>
          <w:p w:rsidR="005D2BBE" w:rsidRPr="00EC49D7" w:rsidRDefault="005D2BBE" w:rsidP="009C36FE">
            <w:pPr>
              <w:tabs>
                <w:tab w:val="left" w:pos="6180"/>
              </w:tabs>
              <w:jc w:val="both"/>
              <w:rPr>
                <w:lang w:val="es-UY"/>
              </w:rPr>
            </w:pPr>
            <w:r w:rsidRPr="00EC49D7">
              <w:rPr>
                <w:lang w:val="es-UY"/>
              </w:rPr>
              <w:t>Mark up de las empresas</w:t>
            </w:r>
          </w:p>
        </w:tc>
        <w:tc>
          <w:tcPr>
            <w:tcW w:w="1296" w:type="dxa"/>
            <w:vAlign w:val="center"/>
          </w:tcPr>
          <w:p w:rsidR="005D2BBE" w:rsidRPr="00EC49D7" w:rsidRDefault="005D2BBE" w:rsidP="005D2BBE">
            <w:pPr>
              <w:tabs>
                <w:tab w:val="left" w:pos="6180"/>
              </w:tabs>
              <w:jc w:val="right"/>
              <w:rPr>
                <w:lang w:val="es-UY"/>
              </w:rPr>
            </w:pPr>
            <w:r w:rsidRPr="00EC49D7">
              <w:rPr>
                <w:lang w:val="es-UY"/>
              </w:rPr>
              <w:t>30%</w:t>
            </w:r>
          </w:p>
        </w:tc>
        <w:tc>
          <w:tcPr>
            <w:tcW w:w="5133" w:type="dxa"/>
          </w:tcPr>
          <w:p w:rsidR="005D2BBE" w:rsidRPr="00EC49D7" w:rsidRDefault="0029155E" w:rsidP="0029155E">
            <w:pPr>
              <w:tabs>
                <w:tab w:val="left" w:pos="6180"/>
              </w:tabs>
              <w:jc w:val="both"/>
              <w:rPr>
                <w:lang w:val="es-UY"/>
              </w:rPr>
            </w:pPr>
            <w:r w:rsidRPr="00EC49D7">
              <w:rPr>
                <w:lang w:val="es-UY"/>
              </w:rPr>
              <w:t>Triangular (min:20%, max:40%, moda:30%)</w:t>
            </w:r>
          </w:p>
        </w:tc>
      </w:tr>
    </w:tbl>
    <w:p w:rsidR="0017607A" w:rsidRPr="00EC49D7" w:rsidRDefault="0017607A" w:rsidP="009C36FE">
      <w:pPr>
        <w:tabs>
          <w:tab w:val="left" w:pos="6180"/>
        </w:tabs>
        <w:jc w:val="both"/>
        <w:rPr>
          <w:lang w:val="es-UY"/>
        </w:rPr>
      </w:pPr>
      <w:r w:rsidRPr="00EC49D7">
        <w:rPr>
          <w:lang w:val="es-UY"/>
        </w:rPr>
        <w:t xml:space="preserve">  </w:t>
      </w:r>
    </w:p>
    <w:p w:rsidR="0017607A" w:rsidRPr="00EC49D7" w:rsidRDefault="00D23CE9" w:rsidP="009C36FE">
      <w:pPr>
        <w:tabs>
          <w:tab w:val="left" w:pos="6180"/>
        </w:tabs>
        <w:jc w:val="both"/>
        <w:rPr>
          <w:lang w:val="es-UY"/>
        </w:rPr>
      </w:pPr>
      <w:r w:rsidRPr="00EC49D7">
        <w:rPr>
          <w:lang w:val="es-UY"/>
        </w:rPr>
        <w:t>La variabilidad de la gran mayoría de los parámetros sensibilizados se modeló con una distribución triangular. Esta distribución es muy sencilla de interpretar. La probabilidad de ocurrencia de un fenómeno crece de forma lineal desde el inicio del recorrido, donde tiene probabilidad cero, hasta el máximo de la distribución, y luego también decrece en forma lineal hasta el máximo, que también tiene ocurrencia cero. En la mayoría de los casos se modeló una triangular simétrica, donde el máximo de ocurrencia de un fenó</w:t>
      </w:r>
      <w:r w:rsidR="009D1A82" w:rsidRPr="00EC49D7">
        <w:rPr>
          <w:lang w:val="es-UY"/>
        </w:rPr>
        <w:t xml:space="preserve">meno es la semisuma entre el máximo y el mínimo, y la moda coincide con </w:t>
      </w:r>
      <w:r w:rsidRPr="00EC49D7">
        <w:rPr>
          <w:lang w:val="es-UY"/>
        </w:rPr>
        <w:t xml:space="preserve">la mediana y </w:t>
      </w:r>
      <w:r w:rsidR="009D1A82" w:rsidRPr="00EC49D7">
        <w:rPr>
          <w:lang w:val="es-UY"/>
        </w:rPr>
        <w:t xml:space="preserve">también con </w:t>
      </w:r>
      <w:r w:rsidRPr="00EC49D7">
        <w:rPr>
          <w:lang w:val="es-UY"/>
        </w:rPr>
        <w:t xml:space="preserve">la media.  </w:t>
      </w:r>
    </w:p>
    <w:p w:rsidR="009D1A82" w:rsidRPr="00EC49D7" w:rsidRDefault="009D1A82" w:rsidP="009C36FE">
      <w:pPr>
        <w:tabs>
          <w:tab w:val="left" w:pos="6180"/>
        </w:tabs>
        <w:jc w:val="both"/>
        <w:rPr>
          <w:lang w:val="es-UY"/>
        </w:rPr>
      </w:pPr>
      <w:r w:rsidRPr="00EC49D7">
        <w:rPr>
          <w:lang w:val="es-UY"/>
        </w:rPr>
        <w:lastRenderedPageBreak/>
        <w:t>En el caso del diferencial de salario</w:t>
      </w:r>
      <w:r w:rsidR="004B0CF4" w:rsidRPr="00EC49D7">
        <w:rPr>
          <w:lang w:val="es-UY"/>
        </w:rPr>
        <w:t xml:space="preserve"> con y sin proyecto</w:t>
      </w:r>
      <w:r w:rsidRPr="00EC49D7">
        <w:rPr>
          <w:lang w:val="es-UY"/>
        </w:rPr>
        <w:t xml:space="preserve"> se model</w:t>
      </w:r>
      <w:r w:rsidR="004B0CF4" w:rsidRPr="00EC49D7">
        <w:rPr>
          <w:lang w:val="es-UY"/>
        </w:rPr>
        <w:t>ó</w:t>
      </w:r>
      <w:r w:rsidRPr="00EC49D7">
        <w:rPr>
          <w:lang w:val="es-UY"/>
        </w:rPr>
        <w:t xml:space="preserve"> una variación </w:t>
      </w:r>
      <w:r w:rsidR="004B0CF4" w:rsidRPr="00EC49D7">
        <w:rPr>
          <w:lang w:val="es-UY"/>
        </w:rPr>
        <w:t>normal</w:t>
      </w:r>
      <w:r w:rsidR="004B0CF4" w:rsidRPr="00EC49D7">
        <w:rPr>
          <w:rStyle w:val="FootnoteReference"/>
          <w:lang w:val="es-UY"/>
        </w:rPr>
        <w:footnoteReference w:id="6"/>
      </w:r>
      <w:r w:rsidR="004B0CF4" w:rsidRPr="00EC49D7">
        <w:rPr>
          <w:lang w:val="es-UY"/>
        </w:rPr>
        <w:t xml:space="preserve"> con media en el parámetro del escenario base (20688) y un desvío estándar de 4000. La probabilidad de diferenciales negativos de salario </w:t>
      </w:r>
      <w:r w:rsidR="00F229B2" w:rsidRPr="00EC49D7">
        <w:rPr>
          <w:lang w:val="es-UY"/>
        </w:rPr>
        <w:t xml:space="preserve">(es decir de que el salario luego de la capacitación sea más bajo que el inicial) </w:t>
      </w:r>
      <w:r w:rsidR="004B0CF4" w:rsidRPr="00EC49D7">
        <w:rPr>
          <w:lang w:val="es-UY"/>
        </w:rPr>
        <w:t>es menor a 0.0001%</w:t>
      </w:r>
      <w:r w:rsidRPr="00EC49D7">
        <w:rPr>
          <w:lang w:val="es-UY"/>
        </w:rPr>
        <w:t>. El porcentaje de matriculados y graduados extranjeros se model</w:t>
      </w:r>
      <w:r w:rsidR="004B0CF4" w:rsidRPr="00EC49D7">
        <w:rPr>
          <w:lang w:val="es-UY"/>
        </w:rPr>
        <w:t>ó</w:t>
      </w:r>
      <w:r w:rsidRPr="00EC49D7">
        <w:rPr>
          <w:lang w:val="es-UY"/>
        </w:rPr>
        <w:t xml:space="preserve"> </w:t>
      </w:r>
      <w:r w:rsidR="004B0CF4" w:rsidRPr="00EC49D7">
        <w:rPr>
          <w:lang w:val="es-UY"/>
        </w:rPr>
        <w:t xml:space="preserve">triangular </w:t>
      </w:r>
      <w:r w:rsidRPr="00EC49D7">
        <w:rPr>
          <w:lang w:val="es-UY"/>
        </w:rPr>
        <w:t xml:space="preserve">oscilando entre 45% y 75%, sobre un promedio de 60%. </w:t>
      </w:r>
    </w:p>
    <w:p w:rsidR="00D23CE9" w:rsidRPr="00EC49D7" w:rsidRDefault="009D1A82" w:rsidP="009C36FE">
      <w:pPr>
        <w:tabs>
          <w:tab w:val="left" w:pos="6180"/>
        </w:tabs>
        <w:jc w:val="both"/>
        <w:rPr>
          <w:lang w:val="es-UY"/>
        </w:rPr>
      </w:pPr>
      <w:r w:rsidRPr="00EC49D7">
        <w:rPr>
          <w:lang w:val="es-UY"/>
        </w:rPr>
        <w:t xml:space="preserve"> </w:t>
      </w:r>
    </w:p>
    <w:p w:rsidR="0037102A" w:rsidRPr="00EC49D7" w:rsidRDefault="0037102A" w:rsidP="009C36FE">
      <w:pPr>
        <w:tabs>
          <w:tab w:val="left" w:pos="6180"/>
        </w:tabs>
        <w:jc w:val="both"/>
        <w:rPr>
          <w:lang w:val="es-UY"/>
        </w:rPr>
      </w:pPr>
      <w:r w:rsidRPr="00EC49D7">
        <w:rPr>
          <w:lang w:val="es-UY"/>
        </w:rPr>
        <w:t xml:space="preserve">El siguiente gráfico muestra los resultados sobre el Valor Presente Neto de realizar 10000 simulaciones </w:t>
      </w:r>
      <w:r w:rsidR="00A03233" w:rsidRPr="00EC49D7">
        <w:rPr>
          <w:lang w:val="es-UY"/>
        </w:rPr>
        <w:t xml:space="preserve">Monte Carlo </w:t>
      </w:r>
      <w:r w:rsidRPr="00EC49D7">
        <w:rPr>
          <w:lang w:val="es-UY"/>
        </w:rPr>
        <w:t>de movimientos conjuntos de los parámetros</w:t>
      </w:r>
      <w:r w:rsidR="00A03233" w:rsidRPr="00EC49D7">
        <w:rPr>
          <w:lang w:val="es-UY"/>
        </w:rPr>
        <w:t xml:space="preserve"> con las distribuciones reseñadas en el cuadro anterior</w:t>
      </w:r>
      <w:r w:rsidRPr="00EC49D7">
        <w:rPr>
          <w:lang w:val="es-UY"/>
        </w:rPr>
        <w:t xml:space="preserve">. Los resultados se presentan para cada componente y también para el proyecto en su conjunto. </w:t>
      </w:r>
    </w:p>
    <w:p w:rsidR="0037102A" w:rsidRPr="00EC49D7" w:rsidRDefault="0037102A" w:rsidP="009C36FE">
      <w:pPr>
        <w:tabs>
          <w:tab w:val="left" w:pos="6180"/>
        </w:tabs>
        <w:jc w:val="both"/>
        <w:rPr>
          <w:lang w:val="es-UY"/>
        </w:rPr>
      </w:pPr>
    </w:p>
    <w:p w:rsidR="0037102A" w:rsidRPr="00EC49D7" w:rsidRDefault="0037102A" w:rsidP="009C36FE">
      <w:pPr>
        <w:tabs>
          <w:tab w:val="left" w:pos="6180"/>
        </w:tabs>
        <w:jc w:val="both"/>
        <w:rPr>
          <w:lang w:val="es-UY"/>
        </w:rPr>
      </w:pPr>
      <w:r w:rsidRPr="00EC49D7">
        <w:rPr>
          <w:lang w:val="es-UY"/>
        </w:rPr>
        <w:t xml:space="preserve">El componente 1 resulta negativo en </w:t>
      </w:r>
      <w:r w:rsidR="00D36466" w:rsidRPr="00EC49D7">
        <w:rPr>
          <w:lang w:val="es-UY"/>
        </w:rPr>
        <w:t xml:space="preserve">el </w:t>
      </w:r>
      <w:r w:rsidR="00F41AD9" w:rsidRPr="00EC49D7">
        <w:rPr>
          <w:lang w:val="es-UY"/>
        </w:rPr>
        <w:t>14</w:t>
      </w:r>
      <w:r w:rsidR="00D36466" w:rsidRPr="00EC49D7">
        <w:rPr>
          <w:lang w:val="es-UY"/>
        </w:rPr>
        <w:t>% de los casos</w:t>
      </w:r>
      <w:r w:rsidRPr="00EC49D7">
        <w:rPr>
          <w:lang w:val="es-UY"/>
        </w:rPr>
        <w:t xml:space="preserve">, mientras que el componente 2 resulta negativo en el </w:t>
      </w:r>
      <w:r w:rsidR="00D36466" w:rsidRPr="00EC49D7">
        <w:rPr>
          <w:lang w:val="es-UY"/>
        </w:rPr>
        <w:t>36</w:t>
      </w:r>
      <w:r w:rsidRPr="00EC49D7">
        <w:rPr>
          <w:lang w:val="es-UY"/>
        </w:rPr>
        <w:t xml:space="preserve">% de los casos. El resultado conjunto muestra que la probabilidad de resultados negativos es </w:t>
      </w:r>
      <w:r w:rsidR="00D36466" w:rsidRPr="00EC49D7">
        <w:rPr>
          <w:lang w:val="es-UY"/>
        </w:rPr>
        <w:t xml:space="preserve">de </w:t>
      </w:r>
      <w:r w:rsidR="00F41AD9" w:rsidRPr="00EC49D7">
        <w:rPr>
          <w:lang w:val="es-UY"/>
        </w:rPr>
        <w:t>14</w:t>
      </w:r>
      <w:r w:rsidR="00D36466" w:rsidRPr="00EC49D7">
        <w:rPr>
          <w:lang w:val="es-UY"/>
        </w:rPr>
        <w:t>%</w:t>
      </w:r>
      <w:r w:rsidRPr="00EC49D7">
        <w:rPr>
          <w:lang w:val="es-UY"/>
        </w:rPr>
        <w:t xml:space="preserve">. </w:t>
      </w:r>
      <w:r w:rsidR="009D1A82" w:rsidRPr="00EC49D7">
        <w:rPr>
          <w:lang w:val="es-UY"/>
        </w:rPr>
        <w:t xml:space="preserve">Sobre un Valor Presente Neto de USD </w:t>
      </w:r>
      <w:r w:rsidR="00F41AD9" w:rsidRPr="00EC49D7">
        <w:rPr>
          <w:lang w:val="es-UY"/>
        </w:rPr>
        <w:t>1</w:t>
      </w:r>
      <w:r w:rsidR="009D1A82" w:rsidRPr="00EC49D7">
        <w:rPr>
          <w:lang w:val="es-UY"/>
        </w:rPr>
        <w:t>,</w:t>
      </w:r>
      <w:r w:rsidR="00F229B2" w:rsidRPr="00EC49D7">
        <w:rPr>
          <w:lang w:val="es-UY"/>
        </w:rPr>
        <w:t>8</w:t>
      </w:r>
      <w:r w:rsidR="009D1A82" w:rsidRPr="00EC49D7">
        <w:rPr>
          <w:lang w:val="es-UY"/>
        </w:rPr>
        <w:t xml:space="preserve"> millones en el escenario base, el </w:t>
      </w:r>
      <w:r w:rsidR="00BF3D93" w:rsidRPr="00EC49D7">
        <w:rPr>
          <w:lang w:val="es-UY"/>
        </w:rPr>
        <w:t xml:space="preserve">99% de los casos se encuentran en un rango de variación de USD -2 millones a USD </w:t>
      </w:r>
      <w:r w:rsidR="00F41AD9" w:rsidRPr="00EC49D7">
        <w:rPr>
          <w:lang w:val="es-UY"/>
        </w:rPr>
        <w:t>7</w:t>
      </w:r>
      <w:r w:rsidR="00BF3D93" w:rsidRPr="00EC49D7">
        <w:rPr>
          <w:lang w:val="es-UY"/>
        </w:rPr>
        <w:t xml:space="preserve"> millones. </w:t>
      </w:r>
    </w:p>
    <w:p w:rsidR="0037102A" w:rsidRPr="00EC49D7" w:rsidRDefault="0037102A" w:rsidP="009C36FE">
      <w:pPr>
        <w:tabs>
          <w:tab w:val="left" w:pos="6180"/>
        </w:tabs>
        <w:jc w:val="both"/>
        <w:rPr>
          <w:lang w:val="es-UY"/>
        </w:rPr>
      </w:pPr>
    </w:p>
    <w:p w:rsidR="0037102A" w:rsidRPr="00EC49D7" w:rsidRDefault="0037102A" w:rsidP="009C36FE">
      <w:pPr>
        <w:tabs>
          <w:tab w:val="left" w:pos="6180"/>
        </w:tabs>
        <w:jc w:val="both"/>
        <w:rPr>
          <w:b/>
          <w:lang w:val="es-UY"/>
        </w:rPr>
      </w:pPr>
      <w:r w:rsidRPr="00EC49D7">
        <w:rPr>
          <w:b/>
          <w:lang w:val="es-UY"/>
        </w:rPr>
        <w:t xml:space="preserve">Gráfico 1. Análisis de sensibilidad de los parámetros. Valor Presente neto según </w:t>
      </w:r>
      <w:r w:rsidR="00A03233" w:rsidRPr="00EC49D7">
        <w:rPr>
          <w:b/>
          <w:lang w:val="es-UY"/>
        </w:rPr>
        <w:t>rango de frecuencias*. En millones de USD</w:t>
      </w:r>
    </w:p>
    <w:p w:rsidR="0037102A" w:rsidRPr="00EC49D7" w:rsidRDefault="0037102A" w:rsidP="009C36FE">
      <w:pPr>
        <w:tabs>
          <w:tab w:val="left" w:pos="6180"/>
        </w:tabs>
        <w:jc w:val="both"/>
        <w:rPr>
          <w:lang w:val="es-UY"/>
        </w:rPr>
      </w:pPr>
    </w:p>
    <w:p w:rsidR="0037102A" w:rsidRPr="00EC49D7" w:rsidRDefault="0037102A" w:rsidP="0037102A">
      <w:pPr>
        <w:pStyle w:val="ListParagraph"/>
        <w:numPr>
          <w:ilvl w:val="0"/>
          <w:numId w:val="7"/>
        </w:numPr>
        <w:tabs>
          <w:tab w:val="left" w:pos="6180"/>
        </w:tabs>
        <w:jc w:val="both"/>
        <w:rPr>
          <w:lang w:val="es-UY"/>
        </w:rPr>
      </w:pPr>
      <w:r w:rsidRPr="00EC49D7">
        <w:rPr>
          <w:lang w:val="es-UY"/>
        </w:rPr>
        <w:t xml:space="preserve">Componente I </w:t>
      </w:r>
    </w:p>
    <w:p w:rsidR="0037102A" w:rsidRPr="00EC49D7" w:rsidRDefault="00F229B2" w:rsidP="0037102A">
      <w:pPr>
        <w:pStyle w:val="ListParagraph"/>
        <w:tabs>
          <w:tab w:val="left" w:pos="6180"/>
        </w:tabs>
        <w:jc w:val="both"/>
        <w:rPr>
          <w:lang w:val="es-UY"/>
        </w:rPr>
      </w:pPr>
      <w:r w:rsidRPr="00EC49D7">
        <w:rPr>
          <w:noProof/>
          <w:lang w:val="es-ES"/>
        </w:rPr>
        <w:t xml:space="preserve"> </w:t>
      </w:r>
      <w:r w:rsidR="00F41AD9" w:rsidRPr="00EC49D7">
        <w:rPr>
          <w:noProof/>
          <w:lang w:val="es-ES"/>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102A" w:rsidRPr="00EC49D7" w:rsidRDefault="0037102A" w:rsidP="0037102A">
      <w:pPr>
        <w:pStyle w:val="ListParagraph"/>
        <w:numPr>
          <w:ilvl w:val="0"/>
          <w:numId w:val="7"/>
        </w:numPr>
        <w:tabs>
          <w:tab w:val="left" w:pos="6180"/>
        </w:tabs>
        <w:jc w:val="both"/>
        <w:rPr>
          <w:lang w:val="es-UY"/>
        </w:rPr>
      </w:pPr>
      <w:r w:rsidRPr="00EC49D7">
        <w:rPr>
          <w:lang w:val="es-UY"/>
        </w:rPr>
        <w:t>Componente II</w:t>
      </w:r>
    </w:p>
    <w:p w:rsidR="00BC22F7" w:rsidRPr="00EC49D7" w:rsidRDefault="00F41AD9" w:rsidP="00BC22F7">
      <w:pPr>
        <w:pStyle w:val="ListParagraph"/>
        <w:tabs>
          <w:tab w:val="left" w:pos="6180"/>
        </w:tabs>
        <w:jc w:val="both"/>
        <w:rPr>
          <w:lang w:val="es-UY"/>
        </w:rPr>
      </w:pPr>
      <w:r w:rsidRPr="00EC49D7">
        <w:rPr>
          <w:noProof/>
          <w:lang w:val="es-UY"/>
        </w:rPr>
        <w:lastRenderedPageBreak/>
        <w:drawing>
          <wp:inline distT="0" distB="0" distL="0" distR="0">
            <wp:extent cx="3980628" cy="2743200"/>
            <wp:effectExtent l="19050" t="0" r="19872"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102A" w:rsidRPr="00EC49D7" w:rsidRDefault="0037102A" w:rsidP="0037102A">
      <w:pPr>
        <w:pStyle w:val="ListParagraph"/>
        <w:numPr>
          <w:ilvl w:val="0"/>
          <w:numId w:val="7"/>
        </w:numPr>
        <w:tabs>
          <w:tab w:val="left" w:pos="6180"/>
        </w:tabs>
        <w:jc w:val="both"/>
        <w:rPr>
          <w:lang w:val="es-UY"/>
        </w:rPr>
      </w:pPr>
      <w:r w:rsidRPr="00EC49D7">
        <w:rPr>
          <w:lang w:val="es-UY"/>
        </w:rPr>
        <w:t xml:space="preserve">Todo el proyecto </w:t>
      </w:r>
    </w:p>
    <w:p w:rsidR="00A03233" w:rsidRPr="00EC49D7" w:rsidRDefault="00BC22F7" w:rsidP="009C36FE">
      <w:pPr>
        <w:tabs>
          <w:tab w:val="left" w:pos="6180"/>
        </w:tabs>
        <w:jc w:val="both"/>
        <w:rPr>
          <w:lang w:val="es-UY"/>
        </w:rPr>
      </w:pPr>
      <w:r w:rsidRPr="00EC49D7">
        <w:rPr>
          <w:lang w:val="es-UY"/>
        </w:rPr>
        <w:tab/>
      </w:r>
      <w:r w:rsidR="00F41AD9" w:rsidRPr="00EC49D7">
        <w:rPr>
          <w:noProof/>
          <w:lang w:val="es-UY"/>
        </w:rPr>
        <w:drawing>
          <wp:inline distT="0" distB="0" distL="0" distR="0">
            <wp:extent cx="4572000" cy="27432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22F7" w:rsidRPr="00EC49D7" w:rsidRDefault="00BC22F7" w:rsidP="00BC22F7">
      <w:pPr>
        <w:tabs>
          <w:tab w:val="left" w:pos="6180"/>
        </w:tabs>
        <w:jc w:val="center"/>
        <w:rPr>
          <w:lang w:val="es-UY"/>
        </w:rPr>
      </w:pPr>
      <w:r w:rsidRPr="00EC49D7">
        <w:rPr>
          <w:lang w:val="es-UY"/>
        </w:rPr>
        <w:t>Fuente: Elaboración propia</w:t>
      </w:r>
    </w:p>
    <w:p w:rsidR="00A03233" w:rsidRPr="00EC49D7" w:rsidRDefault="00A03233" w:rsidP="009C36FE">
      <w:pPr>
        <w:tabs>
          <w:tab w:val="left" w:pos="6180"/>
        </w:tabs>
        <w:jc w:val="both"/>
        <w:rPr>
          <w:lang w:val="es-UY"/>
        </w:rPr>
      </w:pPr>
      <w:r w:rsidRPr="00EC49D7">
        <w:rPr>
          <w:lang w:val="es-UY"/>
        </w:rPr>
        <w:t xml:space="preserve">*El nombre del rango corresponde al extremo inferior del mismo </w:t>
      </w:r>
    </w:p>
    <w:p w:rsidR="00A03233" w:rsidRPr="00EC49D7" w:rsidRDefault="00A03233" w:rsidP="009C36FE">
      <w:pPr>
        <w:tabs>
          <w:tab w:val="left" w:pos="6180"/>
        </w:tabs>
        <w:jc w:val="both"/>
        <w:rPr>
          <w:lang w:val="es-UY"/>
        </w:rPr>
      </w:pPr>
    </w:p>
    <w:p w:rsidR="00A03233" w:rsidRPr="00EC49D7" w:rsidRDefault="00A03233" w:rsidP="009C36FE">
      <w:pPr>
        <w:tabs>
          <w:tab w:val="left" w:pos="6180"/>
        </w:tabs>
        <w:jc w:val="both"/>
        <w:rPr>
          <w:lang w:val="es-UY"/>
        </w:rPr>
      </w:pPr>
    </w:p>
    <w:p w:rsidR="00A03233" w:rsidRPr="00EC49D7" w:rsidRDefault="00A03233" w:rsidP="00D36466">
      <w:pPr>
        <w:tabs>
          <w:tab w:val="left" w:pos="6180"/>
        </w:tabs>
        <w:spacing w:line="276" w:lineRule="auto"/>
        <w:jc w:val="both"/>
        <w:rPr>
          <w:lang w:val="es-UY"/>
        </w:rPr>
      </w:pPr>
      <w:r w:rsidRPr="00EC49D7">
        <w:rPr>
          <w:lang w:val="es-UY"/>
        </w:rPr>
        <w:t>Adicionalmente, se realizaron simulaciones Monte Carlo para cada uno de los parámetros por separado, de forma de monitorear el comportamiento de cada uno. El siguiente cuadro muestra las estimaciones base, la estimación conjunta y las estimaciones marginales de cada parámetro asumiendo constante</w:t>
      </w:r>
      <w:r w:rsidR="0047710E" w:rsidRPr="00EC49D7">
        <w:rPr>
          <w:lang w:val="es-UY"/>
        </w:rPr>
        <w:t>s</w:t>
      </w:r>
      <w:r w:rsidRPr="00EC49D7">
        <w:rPr>
          <w:lang w:val="es-UY"/>
        </w:rPr>
        <w:t xml:space="preserve"> los otros. Se muestra la probabilidad de tener VPN negativo, el VPN promedio su desvío estándar para cada componente del proyecto así como para el proyecto en su conjunto. Los resultados muestran que el modelo es más sensible a</w:t>
      </w:r>
      <w:r w:rsidR="00D36466" w:rsidRPr="00EC49D7">
        <w:rPr>
          <w:lang w:val="es-UY"/>
        </w:rPr>
        <w:t>l</w:t>
      </w:r>
      <w:r w:rsidRPr="00EC49D7">
        <w:rPr>
          <w:lang w:val="es-UY"/>
        </w:rPr>
        <w:t xml:space="preserve"> </w:t>
      </w:r>
      <w:r w:rsidR="00D36466" w:rsidRPr="00EC49D7">
        <w:rPr>
          <w:lang w:val="es-UY"/>
        </w:rPr>
        <w:t xml:space="preserve">parámetro de depreciación anual del capital humano adicional, porque forma parte de ambos componentes. </w:t>
      </w:r>
      <w:r w:rsidR="00FA0B77" w:rsidRPr="00EC49D7">
        <w:rPr>
          <w:lang w:val="es-UY"/>
        </w:rPr>
        <w:t xml:space="preserve">Asimismo, en el componente I el parámetro más </w:t>
      </w:r>
      <w:r w:rsidR="00344AA0" w:rsidRPr="00EC49D7">
        <w:rPr>
          <w:lang w:val="es-UY"/>
        </w:rPr>
        <w:t>determinante</w:t>
      </w:r>
      <w:r w:rsidR="00FA0B77" w:rsidRPr="00EC49D7">
        <w:rPr>
          <w:lang w:val="es-UY"/>
        </w:rPr>
        <w:t xml:space="preserve"> </w:t>
      </w:r>
      <w:r w:rsidR="004634EC" w:rsidRPr="00EC49D7">
        <w:rPr>
          <w:lang w:val="es-UY"/>
        </w:rPr>
        <w:t xml:space="preserve">(y el único que puede arrojar VPN negativos) </w:t>
      </w:r>
      <w:r w:rsidR="00344AA0" w:rsidRPr="00EC49D7">
        <w:rPr>
          <w:lang w:val="es-UY"/>
        </w:rPr>
        <w:t>es</w:t>
      </w:r>
      <w:r w:rsidR="00FA0B77" w:rsidRPr="00EC49D7">
        <w:rPr>
          <w:lang w:val="es-UY"/>
        </w:rPr>
        <w:t xml:space="preserve"> el </w:t>
      </w:r>
      <w:r w:rsidR="00FA0B77" w:rsidRPr="00EC49D7">
        <w:rPr>
          <w:lang w:val="es-UY"/>
        </w:rPr>
        <w:lastRenderedPageBreak/>
        <w:t>diferencial de salarios como resultado d</w:t>
      </w:r>
      <w:r w:rsidR="00344AA0" w:rsidRPr="00EC49D7">
        <w:rPr>
          <w:lang w:val="es-UY"/>
        </w:rPr>
        <w:t>el proyecto</w:t>
      </w:r>
      <w:r w:rsidR="00FA0B77" w:rsidRPr="00EC49D7">
        <w:rPr>
          <w:lang w:val="es-UY"/>
        </w:rPr>
        <w:t xml:space="preserve">. Del otro lado, la proporción de extranjeros no es un parámetro tan relevante, quizás porque compense los ingresos por matrícula (sobre los extranjeros) con los ingresos por mayor productividad (sobre los nacionales). En el componente II, el parámetro más determinante para los resultados es la </w:t>
      </w:r>
      <w:proofErr w:type="spellStart"/>
      <w:r w:rsidR="00344AA0" w:rsidRPr="00EC49D7">
        <w:rPr>
          <w:lang w:val="es-UY"/>
        </w:rPr>
        <w:t>aditividad</w:t>
      </w:r>
      <w:proofErr w:type="spellEnd"/>
      <w:r w:rsidR="00344AA0" w:rsidRPr="00EC49D7">
        <w:rPr>
          <w:lang w:val="es-UY"/>
        </w:rPr>
        <w:t xml:space="preserve"> de la inversión, la cual es también el parámetro que por s</w:t>
      </w:r>
      <w:r w:rsidR="00F41AD9" w:rsidRPr="00EC49D7">
        <w:rPr>
          <w:lang w:val="es-UY"/>
        </w:rPr>
        <w:t>í</w:t>
      </w:r>
      <w:r w:rsidR="00344AA0" w:rsidRPr="00EC49D7">
        <w:rPr>
          <w:lang w:val="es-UY"/>
        </w:rPr>
        <w:t xml:space="preserve"> solo genera más escenarios negativos. En definitiva, el proyecto arroja resultados globales positivos en el </w:t>
      </w:r>
      <w:r w:rsidR="00F41AD9" w:rsidRPr="00EC49D7">
        <w:rPr>
          <w:lang w:val="es-UY"/>
        </w:rPr>
        <w:t>8</w:t>
      </w:r>
      <w:r w:rsidR="004634EC" w:rsidRPr="00EC49D7">
        <w:rPr>
          <w:lang w:val="es-UY"/>
        </w:rPr>
        <w:t>5</w:t>
      </w:r>
      <w:r w:rsidR="00344AA0" w:rsidRPr="00EC49D7">
        <w:rPr>
          <w:lang w:val="es-UY"/>
        </w:rPr>
        <w:t xml:space="preserve">% de los escenarios y la rentabilidad del componente I es crítica para el resultado conjunto positivo del proyecto, porque el Componente II arroja menores ingresos y mayores posibilidades de ingresos negativos. </w:t>
      </w:r>
      <w:r w:rsidR="000914CB" w:rsidRPr="00EC49D7">
        <w:rPr>
          <w:lang w:val="es-UY"/>
        </w:rPr>
        <w:t xml:space="preserve">El análisis también </w:t>
      </w:r>
      <w:r w:rsidR="000D1DB1" w:rsidRPr="00EC49D7">
        <w:rPr>
          <w:lang w:val="es-UY"/>
        </w:rPr>
        <w:t xml:space="preserve">muestra que casi todos los parámetros por si solos, con los márgenes de variación establecidos en este proyecto, no pueden arrojar VPN negativo del proyecto global. La única excepción es el diferencial de salarios como resultado del proyecto. Esta variable puede, por si sola arrojar valores negativos en el proyecto si se ubica en valores por debajo de 9598 USD anuales, lo cual, como se muestra en el cuadro siguiente, tiene 0,2% de posibilidades de ocurrencia dada la distribución de probabilidad elegida. En definitiva, es crítico para el proyecto que como resultado de la intervención se incremente la remuneración del capital humano en el cual se invirtió. </w:t>
      </w:r>
    </w:p>
    <w:p w:rsidR="00391367" w:rsidRPr="00EC49D7" w:rsidRDefault="00391367" w:rsidP="009C36FE">
      <w:pPr>
        <w:tabs>
          <w:tab w:val="left" w:pos="6180"/>
        </w:tabs>
        <w:jc w:val="both"/>
        <w:rPr>
          <w:lang w:val="es-UY"/>
        </w:rPr>
      </w:pPr>
    </w:p>
    <w:p w:rsidR="00391367" w:rsidRPr="00EC49D7" w:rsidRDefault="00391367" w:rsidP="009C36FE">
      <w:pPr>
        <w:tabs>
          <w:tab w:val="left" w:pos="6180"/>
        </w:tabs>
        <w:jc w:val="both"/>
        <w:rPr>
          <w:lang w:val="es-UY"/>
        </w:rPr>
      </w:pPr>
    </w:p>
    <w:p w:rsidR="00A962CD" w:rsidRPr="00EC49D7" w:rsidRDefault="00A962CD">
      <w:pPr>
        <w:spacing w:after="200" w:line="276" w:lineRule="auto"/>
        <w:rPr>
          <w:b/>
          <w:lang w:val="es-UY"/>
        </w:rPr>
      </w:pPr>
      <w:r w:rsidRPr="00EC49D7">
        <w:rPr>
          <w:b/>
          <w:lang w:val="es-UY"/>
        </w:rPr>
        <w:br w:type="page"/>
      </w:r>
    </w:p>
    <w:p w:rsidR="00391367" w:rsidRPr="00EC49D7" w:rsidRDefault="00A962CD" w:rsidP="009C36FE">
      <w:pPr>
        <w:tabs>
          <w:tab w:val="left" w:pos="6180"/>
        </w:tabs>
        <w:jc w:val="both"/>
        <w:rPr>
          <w:b/>
          <w:lang w:val="es-UY"/>
        </w:rPr>
      </w:pPr>
      <w:r w:rsidRPr="00EC49D7">
        <w:rPr>
          <w:b/>
          <w:lang w:val="es-UY"/>
        </w:rPr>
        <w:lastRenderedPageBreak/>
        <w:t xml:space="preserve">Cuadro. Análisis de sensibilidad del Valor Presente Neto del proyecto a cambios en los parámetros del </w:t>
      </w:r>
      <w:proofErr w:type="spellStart"/>
      <w:r w:rsidRPr="00EC49D7">
        <w:rPr>
          <w:b/>
          <w:lang w:val="es-UY"/>
        </w:rPr>
        <w:t>módelo</w:t>
      </w:r>
      <w:proofErr w:type="spellEnd"/>
      <w:r w:rsidRPr="00EC49D7">
        <w:rPr>
          <w:b/>
          <w:lang w:val="es-UY"/>
        </w:rPr>
        <w:t xml:space="preserve">. Probabilidad de VPN negativo, promedio de VPN y desvío estándar según escenario: escenario base, variación conjunta de los parámetros y variación de cada uno de los parámetros por separado. En millones de USD y %. </w:t>
      </w:r>
    </w:p>
    <w:tbl>
      <w:tblPr>
        <w:tblW w:w="9806" w:type="dxa"/>
        <w:tblInd w:w="93" w:type="dxa"/>
        <w:tblLook w:val="04A0" w:firstRow="1" w:lastRow="0" w:firstColumn="1" w:lastColumn="0" w:noHBand="0" w:noVBand="1"/>
      </w:tblPr>
      <w:tblGrid>
        <w:gridCol w:w="974"/>
        <w:gridCol w:w="1185"/>
        <w:gridCol w:w="1130"/>
        <w:gridCol w:w="1200"/>
        <w:gridCol w:w="1387"/>
        <w:gridCol w:w="1440"/>
        <w:gridCol w:w="1268"/>
        <w:gridCol w:w="1292"/>
      </w:tblGrid>
      <w:tr w:rsidR="009D6308" w:rsidRPr="00EC49D7" w:rsidTr="005D5D51">
        <w:trPr>
          <w:trHeight w:val="300"/>
        </w:trPr>
        <w:tc>
          <w:tcPr>
            <w:tcW w:w="44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308" w:rsidRPr="00EC49D7" w:rsidRDefault="009D6308" w:rsidP="00391367">
            <w:pPr>
              <w:rPr>
                <w:b/>
                <w:color w:val="000000"/>
                <w:szCs w:val="22"/>
                <w:lang w:val="en-US" w:eastAsia="en-US"/>
              </w:rPr>
            </w:pPr>
          </w:p>
        </w:tc>
        <w:tc>
          <w:tcPr>
            <w:tcW w:w="5349" w:type="dxa"/>
            <w:gridSpan w:val="4"/>
            <w:tcBorders>
              <w:top w:val="single" w:sz="4" w:space="0" w:color="auto"/>
              <w:left w:val="nil"/>
              <w:bottom w:val="single" w:sz="4" w:space="0" w:color="auto"/>
              <w:right w:val="single" w:sz="4" w:space="0" w:color="auto"/>
            </w:tcBorders>
            <w:shd w:val="clear" w:color="auto" w:fill="auto"/>
            <w:noWrap/>
            <w:vAlign w:val="bottom"/>
            <w:hideMark/>
          </w:tcPr>
          <w:p w:rsidR="009D6308" w:rsidRPr="00EC49D7" w:rsidRDefault="009D6308" w:rsidP="009D6308">
            <w:pPr>
              <w:jc w:val="center"/>
              <w:rPr>
                <w:b/>
                <w:color w:val="000000"/>
                <w:szCs w:val="22"/>
                <w:lang w:val="es-UY" w:eastAsia="en-US"/>
              </w:rPr>
            </w:pPr>
            <w:r w:rsidRPr="00EC49D7">
              <w:rPr>
                <w:b/>
                <w:color w:val="000000"/>
                <w:sz w:val="22"/>
                <w:szCs w:val="22"/>
                <w:lang w:val="es-UY" w:eastAsia="en-US"/>
              </w:rPr>
              <w:t>Parámetros del componente I</w:t>
            </w:r>
          </w:p>
        </w:tc>
      </w:tr>
      <w:tr w:rsidR="00A962CD" w:rsidRPr="00EC49D7" w:rsidTr="005D5D51">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2CD" w:rsidRPr="00EC49D7" w:rsidRDefault="00A962CD" w:rsidP="00391367">
            <w:pPr>
              <w:jc w:val="right"/>
              <w:rPr>
                <w:b/>
                <w:color w:val="000000"/>
                <w:szCs w:val="22"/>
                <w:lang w:val="en-US" w:eastAsia="en-US"/>
              </w:rPr>
            </w:pPr>
            <w:proofErr w:type="spellStart"/>
            <w:r w:rsidRPr="00EC49D7">
              <w:rPr>
                <w:b/>
                <w:color w:val="000000"/>
                <w:sz w:val="22"/>
                <w:szCs w:val="22"/>
                <w:lang w:val="en-US" w:eastAsia="en-US"/>
              </w:rPr>
              <w:t>Estimación</w:t>
            </w:r>
            <w:proofErr w:type="spellEnd"/>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A962CD" w:rsidRPr="00EC49D7" w:rsidRDefault="00A962CD" w:rsidP="00391367">
            <w:pPr>
              <w:rPr>
                <w:b/>
                <w:color w:val="000000"/>
                <w:szCs w:val="22"/>
                <w:lang w:val="en-US" w:eastAsia="en-US"/>
              </w:rPr>
            </w:pPr>
            <w:r w:rsidRPr="00EC49D7">
              <w:rPr>
                <w:b/>
                <w:color w:val="000000"/>
                <w:sz w:val="22"/>
                <w:szCs w:val="22"/>
                <w:lang w:val="en-US" w:eastAsia="en-US"/>
              </w:rPr>
              <w:t>Base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62CD" w:rsidRPr="00EC49D7" w:rsidRDefault="00A962CD" w:rsidP="00391367">
            <w:pPr>
              <w:rPr>
                <w:b/>
                <w:color w:val="000000"/>
                <w:szCs w:val="22"/>
                <w:lang w:val="en-US" w:eastAsia="en-US"/>
              </w:rPr>
            </w:pPr>
            <w:r w:rsidRPr="00EC49D7">
              <w:rPr>
                <w:b/>
                <w:color w:val="000000"/>
                <w:sz w:val="22"/>
                <w:szCs w:val="22"/>
                <w:lang w:val="en-US" w:eastAsia="en-US"/>
              </w:rPr>
              <w:t>Conjunto</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A962CD" w:rsidRPr="00EC49D7" w:rsidRDefault="00447639" w:rsidP="00391367">
            <w:pPr>
              <w:rPr>
                <w:b/>
                <w:color w:val="000000"/>
                <w:szCs w:val="22"/>
                <w:lang w:val="en-US" w:eastAsia="en-US"/>
              </w:rPr>
            </w:pPr>
            <w:proofErr w:type="spellStart"/>
            <w:r w:rsidRPr="00EC49D7">
              <w:rPr>
                <w:b/>
                <w:color w:val="000000"/>
                <w:sz w:val="22"/>
                <w:szCs w:val="22"/>
                <w:lang w:val="en-US" w:eastAsia="en-US"/>
              </w:rPr>
              <w:t>Diferencial</w:t>
            </w:r>
            <w:proofErr w:type="spellEnd"/>
            <w:r w:rsidR="00A962CD" w:rsidRPr="00EC49D7">
              <w:rPr>
                <w:b/>
                <w:color w:val="000000"/>
                <w:sz w:val="22"/>
                <w:szCs w:val="22"/>
                <w:lang w:val="en-US" w:eastAsia="en-US"/>
              </w:rPr>
              <w:t xml:space="preserve"> de </w:t>
            </w:r>
            <w:proofErr w:type="spellStart"/>
            <w:r w:rsidR="00A962CD" w:rsidRPr="00EC49D7">
              <w:rPr>
                <w:b/>
                <w:color w:val="000000"/>
                <w:sz w:val="22"/>
                <w:szCs w:val="22"/>
                <w:lang w:val="en-US" w:eastAsia="en-US"/>
              </w:rPr>
              <w:t>salario</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962CD" w:rsidRPr="00EC49D7" w:rsidRDefault="00A962CD" w:rsidP="00A962CD">
            <w:pPr>
              <w:rPr>
                <w:b/>
                <w:color w:val="000000"/>
                <w:szCs w:val="22"/>
                <w:lang w:val="es-UY" w:eastAsia="en-US"/>
              </w:rPr>
            </w:pPr>
            <w:proofErr w:type="spellStart"/>
            <w:r w:rsidRPr="00EC49D7">
              <w:rPr>
                <w:b/>
                <w:color w:val="000000"/>
                <w:sz w:val="22"/>
                <w:szCs w:val="22"/>
                <w:lang w:val="es-UY" w:eastAsia="en-US"/>
              </w:rPr>
              <w:t>Deprec</w:t>
            </w:r>
            <w:proofErr w:type="spellEnd"/>
            <w:r w:rsidRPr="00EC49D7">
              <w:rPr>
                <w:b/>
                <w:color w:val="000000"/>
                <w:sz w:val="22"/>
                <w:szCs w:val="22"/>
                <w:lang w:val="es-UY" w:eastAsia="en-US"/>
              </w:rPr>
              <w:t>. anual del KH adicional</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962CD" w:rsidRPr="00EC49D7" w:rsidRDefault="00A962CD" w:rsidP="00A962CD">
            <w:pPr>
              <w:rPr>
                <w:b/>
                <w:color w:val="000000"/>
                <w:szCs w:val="22"/>
                <w:lang w:val="es-UY" w:eastAsia="en-US"/>
              </w:rPr>
            </w:pPr>
            <w:r w:rsidRPr="00EC49D7">
              <w:rPr>
                <w:b/>
                <w:color w:val="000000"/>
                <w:sz w:val="22"/>
                <w:szCs w:val="22"/>
                <w:lang w:val="es-UY" w:eastAsia="en-US"/>
              </w:rPr>
              <w:t xml:space="preserve">% </w:t>
            </w:r>
            <w:proofErr w:type="spellStart"/>
            <w:r w:rsidRPr="00EC49D7">
              <w:rPr>
                <w:b/>
                <w:color w:val="000000"/>
                <w:sz w:val="22"/>
                <w:szCs w:val="22"/>
                <w:lang w:val="es-UY" w:eastAsia="en-US"/>
              </w:rPr>
              <w:t>Matríc</w:t>
            </w:r>
            <w:proofErr w:type="spellEnd"/>
            <w:r w:rsidRPr="00EC49D7">
              <w:rPr>
                <w:b/>
                <w:color w:val="000000"/>
                <w:sz w:val="22"/>
                <w:szCs w:val="22"/>
                <w:lang w:val="es-UY" w:eastAsia="en-US"/>
              </w:rPr>
              <w:t xml:space="preserve"> </w:t>
            </w:r>
            <w:proofErr w:type="spellStart"/>
            <w:r w:rsidRPr="00EC49D7">
              <w:rPr>
                <w:b/>
                <w:color w:val="000000"/>
                <w:sz w:val="22"/>
                <w:szCs w:val="22"/>
                <w:lang w:val="es-UY" w:eastAsia="en-US"/>
              </w:rPr>
              <w:t>extranj</w:t>
            </w:r>
            <w:proofErr w:type="spellEnd"/>
            <w:r w:rsidRPr="00EC49D7">
              <w:rPr>
                <w:b/>
                <w:color w:val="000000"/>
                <w:sz w:val="22"/>
                <w:szCs w:val="22"/>
                <w:lang w:val="es-UY" w:eastAsia="en-US"/>
              </w:rPr>
              <w:t>.</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962CD" w:rsidRPr="00EC49D7" w:rsidRDefault="00A962CD" w:rsidP="00A962CD">
            <w:pPr>
              <w:rPr>
                <w:b/>
                <w:color w:val="000000"/>
                <w:szCs w:val="22"/>
                <w:lang w:val="es-UY" w:eastAsia="en-US"/>
              </w:rPr>
            </w:pPr>
            <w:proofErr w:type="spellStart"/>
            <w:r w:rsidRPr="00EC49D7">
              <w:rPr>
                <w:b/>
                <w:color w:val="000000"/>
                <w:sz w:val="22"/>
                <w:szCs w:val="22"/>
                <w:lang w:val="es-UY" w:eastAsia="en-US"/>
              </w:rPr>
              <w:t>Prop</w:t>
            </w:r>
            <w:proofErr w:type="spellEnd"/>
            <w:r w:rsidRPr="00EC49D7">
              <w:rPr>
                <w:b/>
                <w:color w:val="000000"/>
                <w:sz w:val="22"/>
                <w:szCs w:val="22"/>
                <w:lang w:val="es-UY" w:eastAsia="en-US"/>
              </w:rPr>
              <w:t xml:space="preserve">. de </w:t>
            </w:r>
            <w:proofErr w:type="spellStart"/>
            <w:r w:rsidRPr="00EC49D7">
              <w:rPr>
                <w:b/>
                <w:color w:val="000000"/>
                <w:sz w:val="22"/>
                <w:szCs w:val="22"/>
                <w:lang w:val="es-UY" w:eastAsia="en-US"/>
              </w:rPr>
              <w:t>extranj</w:t>
            </w:r>
            <w:proofErr w:type="spellEnd"/>
            <w:r w:rsidRPr="00EC49D7">
              <w:rPr>
                <w:b/>
                <w:color w:val="000000"/>
                <w:sz w:val="22"/>
                <w:szCs w:val="22"/>
                <w:lang w:val="es-UY" w:eastAsia="en-US"/>
              </w:rPr>
              <w:t>.</w:t>
            </w:r>
          </w:p>
        </w:tc>
      </w:tr>
      <w:tr w:rsidR="005D5D51" w:rsidRPr="00EC49D7" w:rsidTr="005D5D51">
        <w:trPr>
          <w:trHeight w:val="300"/>
        </w:trPr>
        <w:tc>
          <w:tcPr>
            <w:tcW w:w="952" w:type="dxa"/>
            <w:vMerge w:val="restart"/>
            <w:tcBorders>
              <w:top w:val="nil"/>
              <w:left w:val="single" w:sz="4" w:space="0" w:color="auto"/>
              <w:right w:val="single" w:sz="4" w:space="0" w:color="auto"/>
            </w:tcBorders>
            <w:shd w:val="clear" w:color="auto" w:fill="auto"/>
            <w:noWrap/>
            <w:vAlign w:val="center"/>
            <w:hideMark/>
          </w:tcPr>
          <w:p w:rsidR="005D5D51" w:rsidRPr="00EC49D7" w:rsidRDefault="005D5D51" w:rsidP="00A962CD">
            <w:pPr>
              <w:rPr>
                <w:b/>
                <w:color w:val="000000"/>
                <w:szCs w:val="22"/>
                <w:lang w:val="es-UY" w:eastAsia="en-US"/>
              </w:rPr>
            </w:pPr>
            <w:proofErr w:type="spellStart"/>
            <w:r w:rsidRPr="00EC49D7">
              <w:rPr>
                <w:b/>
                <w:color w:val="000000"/>
                <w:sz w:val="22"/>
                <w:szCs w:val="22"/>
                <w:lang w:val="es-UY" w:eastAsia="en-US"/>
              </w:rPr>
              <w:t>Compo-nente</w:t>
            </w:r>
            <w:proofErr w:type="spellEnd"/>
            <w:r w:rsidRPr="00EC49D7">
              <w:rPr>
                <w:b/>
                <w:color w:val="000000"/>
                <w:sz w:val="22"/>
                <w:szCs w:val="22"/>
                <w:lang w:val="es-UY" w:eastAsia="en-US"/>
              </w:rPr>
              <w:t xml:space="preserve"> I</w:t>
            </w:r>
          </w:p>
        </w:tc>
        <w:tc>
          <w:tcPr>
            <w:tcW w:w="1175"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391367">
            <w:pPr>
              <w:rPr>
                <w:b/>
                <w:color w:val="000000"/>
                <w:szCs w:val="22"/>
                <w:lang w:val="es-UY" w:eastAsia="en-US"/>
              </w:rPr>
            </w:pPr>
            <w:r w:rsidRPr="00EC49D7">
              <w:rPr>
                <w:b/>
                <w:color w:val="000000"/>
                <w:sz w:val="22"/>
                <w:szCs w:val="22"/>
                <w:lang w:val="es-UY" w:eastAsia="en-US"/>
              </w:rPr>
              <w:t>P(VPN&lt;0)</w:t>
            </w:r>
          </w:p>
        </w:tc>
        <w:tc>
          <w:tcPr>
            <w:tcW w:w="113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14.1%</w:t>
            </w:r>
          </w:p>
        </w:tc>
        <w:tc>
          <w:tcPr>
            <w:tcW w:w="1387"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9.1%</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w:t>
            </w:r>
          </w:p>
        </w:tc>
      </w:tr>
      <w:tr w:rsidR="005D5D51" w:rsidRPr="00EC49D7" w:rsidTr="005D5D51">
        <w:trPr>
          <w:trHeight w:val="300"/>
        </w:trPr>
        <w:tc>
          <w:tcPr>
            <w:tcW w:w="952" w:type="dxa"/>
            <w:vMerge/>
            <w:tcBorders>
              <w:left w:val="single" w:sz="4" w:space="0" w:color="auto"/>
              <w:right w:val="single" w:sz="4" w:space="0" w:color="auto"/>
            </w:tcBorders>
            <w:shd w:val="clear" w:color="auto" w:fill="auto"/>
            <w:noWrap/>
            <w:vAlign w:val="bottom"/>
            <w:hideMark/>
          </w:tcPr>
          <w:p w:rsidR="005D5D51" w:rsidRPr="00EC49D7" w:rsidRDefault="005D5D51" w:rsidP="00391367">
            <w:pPr>
              <w:jc w:val="right"/>
              <w:rPr>
                <w:b/>
                <w:color w:val="000000"/>
                <w:szCs w:val="22"/>
                <w:lang w:val="es-UY" w:eastAsia="en-US"/>
              </w:rPr>
            </w:pPr>
          </w:p>
        </w:tc>
        <w:tc>
          <w:tcPr>
            <w:tcW w:w="1175"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391367">
            <w:pPr>
              <w:rPr>
                <w:b/>
                <w:color w:val="000000"/>
                <w:szCs w:val="22"/>
                <w:lang w:val="es-UY" w:eastAsia="en-US"/>
              </w:rPr>
            </w:pPr>
            <w:r w:rsidRPr="00EC49D7">
              <w:rPr>
                <w:b/>
                <w:color w:val="000000"/>
                <w:sz w:val="22"/>
                <w:szCs w:val="22"/>
                <w:lang w:val="es-UY" w:eastAsia="en-US"/>
              </w:rPr>
              <w:t xml:space="preserve">Media </w:t>
            </w:r>
          </w:p>
        </w:tc>
        <w:tc>
          <w:tcPr>
            <w:tcW w:w="113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1.37</w:t>
            </w:r>
          </w:p>
        </w:tc>
        <w:tc>
          <w:tcPr>
            <w:tcW w:w="120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4854E6">
            <w:pPr>
              <w:jc w:val="right"/>
              <w:rPr>
                <w:color w:val="000000"/>
                <w:szCs w:val="22"/>
              </w:rPr>
            </w:pPr>
            <w:r w:rsidRPr="00EC49D7">
              <w:rPr>
                <w:color w:val="000000"/>
                <w:sz w:val="22"/>
                <w:szCs w:val="22"/>
              </w:rPr>
              <w:t>1.52</w:t>
            </w:r>
          </w:p>
        </w:tc>
        <w:tc>
          <w:tcPr>
            <w:tcW w:w="1387"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1.37</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1.54</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1.38</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1.38</w:t>
            </w:r>
          </w:p>
        </w:tc>
      </w:tr>
      <w:tr w:rsidR="005D5D51" w:rsidRPr="00EC49D7" w:rsidTr="005D5D51">
        <w:trPr>
          <w:trHeight w:val="300"/>
        </w:trPr>
        <w:tc>
          <w:tcPr>
            <w:tcW w:w="952" w:type="dxa"/>
            <w:vMerge/>
            <w:tcBorders>
              <w:left w:val="single" w:sz="4" w:space="0" w:color="auto"/>
              <w:bottom w:val="single" w:sz="4" w:space="0" w:color="auto"/>
              <w:right w:val="single" w:sz="4" w:space="0" w:color="auto"/>
            </w:tcBorders>
            <w:shd w:val="clear" w:color="auto" w:fill="auto"/>
            <w:noWrap/>
            <w:vAlign w:val="bottom"/>
            <w:hideMark/>
          </w:tcPr>
          <w:p w:rsidR="005D5D51" w:rsidRPr="00EC49D7" w:rsidRDefault="005D5D51" w:rsidP="00391367">
            <w:pPr>
              <w:jc w:val="right"/>
              <w:rPr>
                <w:b/>
                <w:color w:val="000000"/>
                <w:szCs w:val="22"/>
                <w:lang w:val="es-UY" w:eastAsia="en-US"/>
              </w:rPr>
            </w:pPr>
          </w:p>
        </w:tc>
        <w:tc>
          <w:tcPr>
            <w:tcW w:w="1175"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391367">
            <w:pPr>
              <w:rPr>
                <w:b/>
                <w:color w:val="000000"/>
                <w:szCs w:val="22"/>
                <w:lang w:val="es-UY" w:eastAsia="en-US"/>
              </w:rPr>
            </w:pPr>
            <w:r w:rsidRPr="00EC49D7">
              <w:rPr>
                <w:b/>
                <w:color w:val="000000"/>
                <w:sz w:val="22"/>
                <w:szCs w:val="22"/>
                <w:lang w:val="es-UY" w:eastAsia="en-US"/>
              </w:rPr>
              <w:t>DS</w:t>
            </w:r>
          </w:p>
        </w:tc>
        <w:tc>
          <w:tcPr>
            <w:tcW w:w="113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1.47</w:t>
            </w:r>
          </w:p>
        </w:tc>
        <w:tc>
          <w:tcPr>
            <w:tcW w:w="1387"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1.02</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0.85</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0.42</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0.37</w:t>
            </w:r>
          </w:p>
        </w:tc>
      </w:tr>
      <w:tr w:rsidR="009D6308" w:rsidRPr="00EC49D7" w:rsidTr="005D5D51">
        <w:trPr>
          <w:trHeight w:val="300"/>
        </w:trPr>
        <w:tc>
          <w:tcPr>
            <w:tcW w:w="4457" w:type="dxa"/>
            <w:gridSpan w:val="4"/>
            <w:tcBorders>
              <w:top w:val="nil"/>
              <w:left w:val="single" w:sz="4" w:space="0" w:color="auto"/>
              <w:bottom w:val="single" w:sz="4" w:space="0" w:color="auto"/>
              <w:right w:val="single" w:sz="4" w:space="0" w:color="auto"/>
            </w:tcBorders>
            <w:shd w:val="clear" w:color="auto" w:fill="auto"/>
            <w:noWrap/>
            <w:vAlign w:val="bottom"/>
            <w:hideMark/>
          </w:tcPr>
          <w:p w:rsidR="009D6308" w:rsidRPr="00EC49D7" w:rsidRDefault="009D6308" w:rsidP="00391367">
            <w:pPr>
              <w:rPr>
                <w:b/>
                <w:color w:val="000000"/>
                <w:szCs w:val="22"/>
                <w:lang w:val="en-US" w:eastAsia="en-US"/>
              </w:rPr>
            </w:pPr>
          </w:p>
        </w:tc>
        <w:tc>
          <w:tcPr>
            <w:tcW w:w="5349" w:type="dxa"/>
            <w:gridSpan w:val="4"/>
            <w:tcBorders>
              <w:top w:val="nil"/>
              <w:left w:val="nil"/>
              <w:bottom w:val="single" w:sz="4" w:space="0" w:color="auto"/>
              <w:right w:val="single" w:sz="4" w:space="0" w:color="auto"/>
            </w:tcBorders>
            <w:shd w:val="clear" w:color="auto" w:fill="auto"/>
            <w:noWrap/>
            <w:vAlign w:val="bottom"/>
            <w:hideMark/>
          </w:tcPr>
          <w:p w:rsidR="009D6308" w:rsidRPr="00EC49D7" w:rsidRDefault="009D6308" w:rsidP="009D6308">
            <w:pPr>
              <w:jc w:val="center"/>
              <w:rPr>
                <w:b/>
                <w:color w:val="000000"/>
                <w:szCs w:val="22"/>
                <w:lang w:val="en-US" w:eastAsia="en-US"/>
              </w:rPr>
            </w:pPr>
            <w:proofErr w:type="spellStart"/>
            <w:r w:rsidRPr="00EC49D7">
              <w:rPr>
                <w:b/>
                <w:color w:val="000000"/>
                <w:sz w:val="22"/>
                <w:szCs w:val="22"/>
                <w:lang w:val="en-US" w:eastAsia="en-US"/>
              </w:rPr>
              <w:t>Parámetros</w:t>
            </w:r>
            <w:proofErr w:type="spellEnd"/>
            <w:r w:rsidRPr="00EC49D7">
              <w:rPr>
                <w:b/>
                <w:color w:val="000000"/>
                <w:sz w:val="22"/>
                <w:szCs w:val="22"/>
                <w:lang w:val="en-US" w:eastAsia="en-US"/>
              </w:rPr>
              <w:t xml:space="preserve"> del </w:t>
            </w:r>
            <w:proofErr w:type="spellStart"/>
            <w:r w:rsidRPr="00EC49D7">
              <w:rPr>
                <w:b/>
                <w:color w:val="000000"/>
                <w:sz w:val="22"/>
                <w:szCs w:val="22"/>
                <w:lang w:val="en-US" w:eastAsia="en-US"/>
              </w:rPr>
              <w:t>componente</w:t>
            </w:r>
            <w:proofErr w:type="spellEnd"/>
            <w:r w:rsidRPr="00EC49D7">
              <w:rPr>
                <w:b/>
                <w:color w:val="000000"/>
                <w:sz w:val="22"/>
                <w:szCs w:val="22"/>
                <w:lang w:val="en-US" w:eastAsia="en-US"/>
              </w:rPr>
              <w:t xml:space="preserve"> II</w:t>
            </w:r>
          </w:p>
        </w:tc>
      </w:tr>
      <w:tr w:rsidR="00A962CD" w:rsidRPr="00EC49D7" w:rsidTr="005D5D51">
        <w:trPr>
          <w:trHeight w:val="30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A962CD" w:rsidRPr="00EC49D7" w:rsidRDefault="00A962CD" w:rsidP="009B48D4">
            <w:pPr>
              <w:jc w:val="right"/>
              <w:rPr>
                <w:b/>
                <w:color w:val="000000"/>
                <w:szCs w:val="22"/>
                <w:lang w:val="en-US" w:eastAsia="en-US"/>
              </w:rPr>
            </w:pPr>
            <w:proofErr w:type="spellStart"/>
            <w:r w:rsidRPr="00EC49D7">
              <w:rPr>
                <w:b/>
                <w:color w:val="000000"/>
                <w:sz w:val="22"/>
                <w:szCs w:val="22"/>
                <w:lang w:val="en-US" w:eastAsia="en-US"/>
              </w:rPr>
              <w:t>Estimación</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rsidR="00A962CD" w:rsidRPr="00EC49D7" w:rsidRDefault="00A962CD" w:rsidP="00391367">
            <w:pPr>
              <w:rPr>
                <w:b/>
                <w:color w:val="000000"/>
                <w:szCs w:val="22"/>
                <w:lang w:val="en-US" w:eastAsia="en-US"/>
              </w:rPr>
            </w:pPr>
            <w:r w:rsidRPr="00EC49D7">
              <w:rPr>
                <w:b/>
                <w:color w:val="000000"/>
                <w:sz w:val="22"/>
                <w:szCs w:val="22"/>
                <w:lang w:val="en-US" w:eastAsia="en-US"/>
              </w:rPr>
              <w:t>Base</w:t>
            </w:r>
          </w:p>
        </w:tc>
        <w:tc>
          <w:tcPr>
            <w:tcW w:w="1200" w:type="dxa"/>
            <w:tcBorders>
              <w:top w:val="nil"/>
              <w:left w:val="nil"/>
              <w:bottom w:val="single" w:sz="4" w:space="0" w:color="auto"/>
              <w:right w:val="single" w:sz="4" w:space="0" w:color="auto"/>
            </w:tcBorders>
            <w:shd w:val="clear" w:color="auto" w:fill="auto"/>
            <w:noWrap/>
            <w:vAlign w:val="bottom"/>
            <w:hideMark/>
          </w:tcPr>
          <w:p w:rsidR="00A962CD" w:rsidRPr="00EC49D7" w:rsidRDefault="00A962CD" w:rsidP="00391367">
            <w:pPr>
              <w:rPr>
                <w:b/>
                <w:color w:val="000000"/>
                <w:szCs w:val="22"/>
                <w:lang w:val="en-US" w:eastAsia="en-US"/>
              </w:rPr>
            </w:pPr>
            <w:r w:rsidRPr="00EC49D7">
              <w:rPr>
                <w:b/>
                <w:color w:val="000000"/>
                <w:sz w:val="22"/>
                <w:szCs w:val="22"/>
                <w:lang w:val="en-US" w:eastAsia="en-US"/>
              </w:rPr>
              <w:t>Conjunto</w:t>
            </w:r>
          </w:p>
        </w:tc>
        <w:tc>
          <w:tcPr>
            <w:tcW w:w="1387" w:type="dxa"/>
            <w:tcBorders>
              <w:top w:val="nil"/>
              <w:left w:val="nil"/>
              <w:bottom w:val="single" w:sz="4" w:space="0" w:color="auto"/>
              <w:right w:val="single" w:sz="4" w:space="0" w:color="auto"/>
            </w:tcBorders>
            <w:shd w:val="clear" w:color="auto" w:fill="auto"/>
            <w:noWrap/>
            <w:vAlign w:val="bottom"/>
            <w:hideMark/>
          </w:tcPr>
          <w:p w:rsidR="00A962CD" w:rsidRPr="00EC49D7" w:rsidRDefault="00A962CD" w:rsidP="00391367">
            <w:pPr>
              <w:rPr>
                <w:b/>
                <w:color w:val="000000"/>
                <w:szCs w:val="22"/>
                <w:lang w:val="en-US" w:eastAsia="en-US"/>
              </w:rPr>
            </w:pPr>
            <w:proofErr w:type="spellStart"/>
            <w:r w:rsidRPr="00EC49D7">
              <w:rPr>
                <w:b/>
                <w:color w:val="000000"/>
                <w:sz w:val="22"/>
                <w:szCs w:val="22"/>
                <w:lang w:val="en-US" w:eastAsia="en-US"/>
              </w:rPr>
              <w:t>Sobrevida</w:t>
            </w:r>
            <w:proofErr w:type="spellEnd"/>
            <w:r w:rsidRPr="00EC49D7">
              <w:rPr>
                <w:b/>
                <w:color w:val="000000"/>
                <w:sz w:val="22"/>
                <w:szCs w:val="22"/>
                <w:lang w:val="en-US" w:eastAsia="en-US"/>
              </w:rPr>
              <w:t xml:space="preserve"> 5 </w:t>
            </w:r>
            <w:proofErr w:type="spellStart"/>
            <w:r w:rsidRPr="00EC49D7">
              <w:rPr>
                <w:b/>
                <w:color w:val="000000"/>
                <w:sz w:val="22"/>
                <w:szCs w:val="22"/>
                <w:lang w:val="en-US" w:eastAsia="en-US"/>
              </w:rPr>
              <w:t>años</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A962CD" w:rsidRPr="00EC49D7" w:rsidRDefault="00A962CD" w:rsidP="00391367">
            <w:pPr>
              <w:rPr>
                <w:b/>
                <w:color w:val="000000"/>
                <w:szCs w:val="22"/>
                <w:lang w:val="en-US" w:eastAsia="en-US"/>
              </w:rPr>
            </w:pPr>
            <w:r w:rsidRPr="00EC49D7">
              <w:rPr>
                <w:b/>
                <w:color w:val="000000"/>
                <w:sz w:val="22"/>
                <w:szCs w:val="22"/>
                <w:lang w:val="en-US" w:eastAsia="en-US"/>
              </w:rPr>
              <w:t>Markup</w:t>
            </w:r>
          </w:p>
        </w:tc>
        <w:tc>
          <w:tcPr>
            <w:tcW w:w="1261" w:type="dxa"/>
            <w:tcBorders>
              <w:top w:val="nil"/>
              <w:left w:val="nil"/>
              <w:bottom w:val="single" w:sz="4" w:space="0" w:color="auto"/>
              <w:right w:val="single" w:sz="4" w:space="0" w:color="auto"/>
            </w:tcBorders>
            <w:shd w:val="clear" w:color="auto" w:fill="auto"/>
            <w:noWrap/>
            <w:vAlign w:val="bottom"/>
            <w:hideMark/>
          </w:tcPr>
          <w:p w:rsidR="00A962CD" w:rsidRPr="00EC49D7" w:rsidRDefault="00A962CD" w:rsidP="00391367">
            <w:pPr>
              <w:rPr>
                <w:b/>
                <w:color w:val="000000"/>
                <w:szCs w:val="22"/>
                <w:lang w:val="en-US" w:eastAsia="en-US"/>
              </w:rPr>
            </w:pPr>
            <w:proofErr w:type="spellStart"/>
            <w:r w:rsidRPr="00EC49D7">
              <w:rPr>
                <w:b/>
                <w:color w:val="000000"/>
                <w:sz w:val="22"/>
                <w:szCs w:val="22"/>
                <w:lang w:val="en-US" w:eastAsia="en-US"/>
              </w:rPr>
              <w:t>Elasticidad</w:t>
            </w:r>
            <w:proofErr w:type="spellEnd"/>
          </w:p>
        </w:tc>
        <w:tc>
          <w:tcPr>
            <w:tcW w:w="1261" w:type="dxa"/>
            <w:tcBorders>
              <w:top w:val="nil"/>
              <w:left w:val="nil"/>
              <w:bottom w:val="single" w:sz="4" w:space="0" w:color="auto"/>
              <w:right w:val="single" w:sz="4" w:space="0" w:color="auto"/>
            </w:tcBorders>
            <w:shd w:val="clear" w:color="auto" w:fill="auto"/>
            <w:noWrap/>
            <w:vAlign w:val="bottom"/>
            <w:hideMark/>
          </w:tcPr>
          <w:p w:rsidR="00A962CD" w:rsidRPr="00EC49D7" w:rsidRDefault="00A962CD" w:rsidP="00391367">
            <w:pPr>
              <w:rPr>
                <w:b/>
                <w:color w:val="000000"/>
                <w:szCs w:val="22"/>
                <w:lang w:val="en-US" w:eastAsia="en-US"/>
              </w:rPr>
            </w:pPr>
            <w:proofErr w:type="spellStart"/>
            <w:r w:rsidRPr="00EC49D7">
              <w:rPr>
                <w:b/>
                <w:color w:val="000000"/>
                <w:sz w:val="22"/>
                <w:szCs w:val="22"/>
                <w:lang w:val="en-US" w:eastAsia="en-US"/>
              </w:rPr>
              <w:t>Aditividad</w:t>
            </w:r>
            <w:proofErr w:type="spellEnd"/>
            <w:r w:rsidRPr="00EC49D7">
              <w:rPr>
                <w:b/>
                <w:color w:val="000000"/>
                <w:sz w:val="22"/>
                <w:szCs w:val="22"/>
                <w:lang w:val="en-US" w:eastAsia="en-US"/>
              </w:rPr>
              <w:t xml:space="preserve"> de la inversion</w:t>
            </w:r>
          </w:p>
        </w:tc>
      </w:tr>
      <w:tr w:rsidR="005D5D51" w:rsidRPr="00EC49D7" w:rsidTr="005D5D51">
        <w:trPr>
          <w:trHeight w:val="300"/>
        </w:trPr>
        <w:tc>
          <w:tcPr>
            <w:tcW w:w="952" w:type="dxa"/>
            <w:vMerge w:val="restart"/>
            <w:tcBorders>
              <w:top w:val="nil"/>
              <w:left w:val="single" w:sz="4" w:space="0" w:color="auto"/>
              <w:right w:val="single" w:sz="4" w:space="0" w:color="auto"/>
            </w:tcBorders>
            <w:shd w:val="clear" w:color="auto" w:fill="auto"/>
            <w:noWrap/>
            <w:vAlign w:val="center"/>
            <w:hideMark/>
          </w:tcPr>
          <w:p w:rsidR="005D5D51" w:rsidRPr="00EC49D7" w:rsidRDefault="005D5D51" w:rsidP="00A962CD">
            <w:pPr>
              <w:rPr>
                <w:b/>
                <w:color w:val="000000"/>
                <w:szCs w:val="22"/>
                <w:lang w:val="en-US" w:eastAsia="en-US"/>
              </w:rPr>
            </w:pPr>
            <w:r w:rsidRPr="00EC49D7">
              <w:rPr>
                <w:b/>
                <w:color w:val="000000"/>
                <w:sz w:val="22"/>
                <w:szCs w:val="22"/>
                <w:lang w:val="en-US" w:eastAsia="en-US"/>
              </w:rPr>
              <w:t>Compo-</w:t>
            </w:r>
            <w:proofErr w:type="spellStart"/>
            <w:r w:rsidRPr="00EC49D7">
              <w:rPr>
                <w:b/>
                <w:color w:val="000000"/>
                <w:sz w:val="22"/>
                <w:szCs w:val="22"/>
                <w:lang w:val="en-US" w:eastAsia="en-US"/>
              </w:rPr>
              <w:t>nente</w:t>
            </w:r>
            <w:proofErr w:type="spellEnd"/>
            <w:r w:rsidRPr="00EC49D7">
              <w:rPr>
                <w:b/>
                <w:color w:val="000000"/>
                <w:sz w:val="22"/>
                <w:szCs w:val="22"/>
                <w:lang w:val="en-US" w:eastAsia="en-US"/>
              </w:rPr>
              <w:t xml:space="preserve"> II</w:t>
            </w:r>
          </w:p>
        </w:tc>
        <w:tc>
          <w:tcPr>
            <w:tcW w:w="1175"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391367">
            <w:pPr>
              <w:rPr>
                <w:b/>
                <w:color w:val="000000"/>
                <w:szCs w:val="22"/>
                <w:lang w:val="en-US" w:eastAsia="en-US"/>
              </w:rPr>
            </w:pPr>
            <w:r w:rsidRPr="00EC49D7">
              <w:rPr>
                <w:b/>
                <w:color w:val="000000"/>
                <w:sz w:val="22"/>
                <w:szCs w:val="22"/>
                <w:lang w:val="en-US" w:eastAsia="en-US"/>
              </w:rPr>
              <w:t>P(VPN&lt;0)</w:t>
            </w:r>
          </w:p>
        </w:tc>
        <w:tc>
          <w:tcPr>
            <w:tcW w:w="113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36.6%</w:t>
            </w:r>
          </w:p>
        </w:tc>
        <w:tc>
          <w:tcPr>
            <w:tcW w:w="1387"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10.7%</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7.3%</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25.4%</w:t>
            </w:r>
          </w:p>
        </w:tc>
      </w:tr>
      <w:tr w:rsidR="005D5D51" w:rsidRPr="00EC49D7" w:rsidTr="005D5D51">
        <w:trPr>
          <w:trHeight w:val="300"/>
        </w:trPr>
        <w:tc>
          <w:tcPr>
            <w:tcW w:w="952" w:type="dxa"/>
            <w:vMerge/>
            <w:tcBorders>
              <w:left w:val="single" w:sz="4" w:space="0" w:color="auto"/>
              <w:right w:val="single" w:sz="4" w:space="0" w:color="auto"/>
            </w:tcBorders>
            <w:shd w:val="clear" w:color="auto" w:fill="auto"/>
            <w:noWrap/>
            <w:vAlign w:val="bottom"/>
            <w:hideMark/>
          </w:tcPr>
          <w:p w:rsidR="005D5D51" w:rsidRPr="00EC49D7" w:rsidRDefault="005D5D51" w:rsidP="00391367">
            <w:pPr>
              <w:jc w:val="center"/>
              <w:rPr>
                <w:b/>
                <w:color w:val="000000"/>
                <w:szCs w:val="22"/>
                <w:lang w:val="en-US" w:eastAsia="en-US"/>
              </w:rPr>
            </w:pPr>
          </w:p>
        </w:tc>
        <w:tc>
          <w:tcPr>
            <w:tcW w:w="1175"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391367">
            <w:pPr>
              <w:rPr>
                <w:b/>
                <w:color w:val="000000"/>
                <w:szCs w:val="22"/>
                <w:lang w:val="en-US" w:eastAsia="en-US"/>
              </w:rPr>
            </w:pPr>
            <w:r w:rsidRPr="00EC49D7">
              <w:rPr>
                <w:b/>
                <w:color w:val="000000"/>
                <w:sz w:val="22"/>
                <w:szCs w:val="22"/>
                <w:lang w:val="en-US" w:eastAsia="en-US"/>
              </w:rPr>
              <w:t>Media</w:t>
            </w:r>
          </w:p>
        </w:tc>
        <w:tc>
          <w:tcPr>
            <w:tcW w:w="113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0.42</w:t>
            </w:r>
          </w:p>
        </w:tc>
        <w:tc>
          <w:tcPr>
            <w:tcW w:w="120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4854E6">
            <w:pPr>
              <w:jc w:val="right"/>
              <w:rPr>
                <w:color w:val="000000"/>
                <w:szCs w:val="22"/>
              </w:rPr>
            </w:pPr>
            <w:r w:rsidRPr="00EC49D7">
              <w:rPr>
                <w:color w:val="000000"/>
                <w:sz w:val="22"/>
                <w:szCs w:val="22"/>
              </w:rPr>
              <w:t>0.31</w:t>
            </w:r>
          </w:p>
        </w:tc>
        <w:tc>
          <w:tcPr>
            <w:tcW w:w="1387"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0.28</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0.42</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0.42</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0.42</w:t>
            </w:r>
          </w:p>
        </w:tc>
      </w:tr>
      <w:tr w:rsidR="005D5D51" w:rsidRPr="00EC49D7" w:rsidTr="005D5D51">
        <w:trPr>
          <w:trHeight w:val="300"/>
        </w:trPr>
        <w:tc>
          <w:tcPr>
            <w:tcW w:w="952" w:type="dxa"/>
            <w:vMerge/>
            <w:tcBorders>
              <w:left w:val="single" w:sz="4" w:space="0" w:color="auto"/>
              <w:bottom w:val="single" w:sz="4" w:space="0" w:color="auto"/>
              <w:right w:val="single" w:sz="4" w:space="0" w:color="auto"/>
            </w:tcBorders>
            <w:shd w:val="clear" w:color="auto" w:fill="auto"/>
            <w:noWrap/>
            <w:vAlign w:val="bottom"/>
            <w:hideMark/>
          </w:tcPr>
          <w:p w:rsidR="005D5D51" w:rsidRPr="00EC49D7" w:rsidRDefault="005D5D51" w:rsidP="00391367">
            <w:pPr>
              <w:jc w:val="right"/>
              <w:rPr>
                <w:b/>
                <w:color w:val="000000"/>
                <w:szCs w:val="22"/>
                <w:lang w:val="en-US" w:eastAsia="en-US"/>
              </w:rPr>
            </w:pPr>
          </w:p>
        </w:tc>
        <w:tc>
          <w:tcPr>
            <w:tcW w:w="1175"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391367">
            <w:pPr>
              <w:rPr>
                <w:b/>
                <w:color w:val="000000"/>
                <w:szCs w:val="22"/>
                <w:lang w:val="en-US" w:eastAsia="en-US"/>
              </w:rPr>
            </w:pPr>
            <w:r w:rsidRPr="00EC49D7">
              <w:rPr>
                <w:b/>
                <w:color w:val="000000"/>
                <w:sz w:val="22"/>
                <w:szCs w:val="22"/>
                <w:lang w:val="en-US" w:eastAsia="en-US"/>
              </w:rPr>
              <w:t>DS</w:t>
            </w:r>
          </w:p>
        </w:tc>
        <w:tc>
          <w:tcPr>
            <w:tcW w:w="113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0.76</w:t>
            </w:r>
          </w:p>
        </w:tc>
        <w:tc>
          <w:tcPr>
            <w:tcW w:w="1387"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0.20</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0.28</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0.05</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0.64</w:t>
            </w:r>
          </w:p>
        </w:tc>
      </w:tr>
      <w:tr w:rsidR="009D6308" w:rsidRPr="00EC49D7" w:rsidTr="005D5D51">
        <w:trPr>
          <w:trHeight w:val="300"/>
        </w:trPr>
        <w:tc>
          <w:tcPr>
            <w:tcW w:w="952" w:type="dxa"/>
            <w:tcBorders>
              <w:top w:val="nil"/>
              <w:left w:val="single" w:sz="4" w:space="0" w:color="auto"/>
              <w:right w:val="single" w:sz="4" w:space="0" w:color="auto"/>
            </w:tcBorders>
            <w:shd w:val="clear" w:color="auto" w:fill="auto"/>
            <w:noWrap/>
            <w:vAlign w:val="center"/>
            <w:hideMark/>
          </w:tcPr>
          <w:p w:rsidR="009D6308" w:rsidRPr="00EC49D7" w:rsidRDefault="009D6308" w:rsidP="00A962CD">
            <w:pPr>
              <w:rPr>
                <w:b/>
                <w:color w:val="000000"/>
                <w:szCs w:val="22"/>
                <w:lang w:val="en-US" w:eastAsia="en-US"/>
              </w:rPr>
            </w:pPr>
          </w:p>
        </w:tc>
        <w:tc>
          <w:tcPr>
            <w:tcW w:w="3505" w:type="dxa"/>
            <w:gridSpan w:val="3"/>
            <w:tcBorders>
              <w:top w:val="nil"/>
              <w:left w:val="nil"/>
              <w:bottom w:val="single" w:sz="4" w:space="0" w:color="auto"/>
              <w:right w:val="single" w:sz="4" w:space="0" w:color="auto"/>
            </w:tcBorders>
            <w:shd w:val="clear" w:color="auto" w:fill="auto"/>
            <w:noWrap/>
            <w:vAlign w:val="bottom"/>
            <w:hideMark/>
          </w:tcPr>
          <w:p w:rsidR="009D6308" w:rsidRPr="00EC49D7" w:rsidRDefault="009D6308" w:rsidP="00391367">
            <w:pPr>
              <w:rPr>
                <w:b/>
                <w:color w:val="000000"/>
                <w:szCs w:val="22"/>
                <w:lang w:val="en-US" w:eastAsia="en-US"/>
              </w:rPr>
            </w:pPr>
          </w:p>
        </w:tc>
        <w:tc>
          <w:tcPr>
            <w:tcW w:w="5349" w:type="dxa"/>
            <w:gridSpan w:val="4"/>
            <w:tcBorders>
              <w:top w:val="nil"/>
              <w:left w:val="nil"/>
              <w:bottom w:val="single" w:sz="4" w:space="0" w:color="auto"/>
              <w:right w:val="single" w:sz="4" w:space="0" w:color="auto"/>
            </w:tcBorders>
            <w:shd w:val="clear" w:color="auto" w:fill="auto"/>
            <w:noWrap/>
            <w:vAlign w:val="bottom"/>
            <w:hideMark/>
          </w:tcPr>
          <w:p w:rsidR="009D6308" w:rsidRPr="00EC49D7" w:rsidRDefault="009D6308" w:rsidP="009D6308">
            <w:pPr>
              <w:jc w:val="center"/>
              <w:rPr>
                <w:b/>
                <w:color w:val="000000"/>
                <w:szCs w:val="22"/>
                <w:lang w:val="es-UY" w:eastAsia="en-US"/>
              </w:rPr>
            </w:pPr>
            <w:r w:rsidRPr="00EC49D7">
              <w:rPr>
                <w:b/>
                <w:color w:val="000000"/>
                <w:sz w:val="22"/>
                <w:szCs w:val="22"/>
                <w:lang w:val="es-UY" w:eastAsia="en-US"/>
              </w:rPr>
              <w:t>Parámetros del componente I</w:t>
            </w:r>
          </w:p>
        </w:tc>
      </w:tr>
      <w:tr w:rsidR="009D6308" w:rsidRPr="00EC49D7" w:rsidTr="005D5D51">
        <w:trPr>
          <w:trHeight w:val="300"/>
        </w:trPr>
        <w:tc>
          <w:tcPr>
            <w:tcW w:w="952" w:type="dxa"/>
            <w:vMerge w:val="restart"/>
            <w:tcBorders>
              <w:top w:val="nil"/>
              <w:left w:val="single" w:sz="4" w:space="0" w:color="auto"/>
              <w:right w:val="single" w:sz="4" w:space="0" w:color="auto"/>
            </w:tcBorders>
            <w:shd w:val="clear" w:color="auto" w:fill="auto"/>
            <w:noWrap/>
            <w:vAlign w:val="center"/>
            <w:hideMark/>
          </w:tcPr>
          <w:p w:rsidR="009D6308" w:rsidRPr="00EC49D7" w:rsidRDefault="009D6308" w:rsidP="00A962CD">
            <w:pPr>
              <w:rPr>
                <w:b/>
                <w:color w:val="000000"/>
                <w:szCs w:val="22"/>
                <w:lang w:val="en-US" w:eastAsia="en-US"/>
              </w:rPr>
            </w:pPr>
            <w:r w:rsidRPr="00EC49D7">
              <w:rPr>
                <w:b/>
                <w:color w:val="000000"/>
                <w:sz w:val="22"/>
                <w:szCs w:val="22"/>
                <w:lang w:val="en-US" w:eastAsia="en-US"/>
              </w:rPr>
              <w:t>Total</w:t>
            </w:r>
          </w:p>
        </w:tc>
        <w:tc>
          <w:tcPr>
            <w:tcW w:w="1175" w:type="dxa"/>
            <w:tcBorders>
              <w:top w:val="nil"/>
              <w:left w:val="nil"/>
              <w:bottom w:val="single" w:sz="4" w:space="0" w:color="auto"/>
              <w:right w:val="single" w:sz="4" w:space="0" w:color="auto"/>
            </w:tcBorders>
            <w:shd w:val="clear" w:color="auto" w:fill="auto"/>
            <w:noWrap/>
            <w:vAlign w:val="bottom"/>
            <w:hideMark/>
          </w:tcPr>
          <w:p w:rsidR="009D6308" w:rsidRPr="00EC49D7" w:rsidRDefault="009D6308" w:rsidP="00391367">
            <w:pPr>
              <w:rPr>
                <w:b/>
                <w:color w:val="000000"/>
                <w:szCs w:val="22"/>
                <w:lang w:val="en-US" w:eastAsia="en-US"/>
              </w:rPr>
            </w:pPr>
          </w:p>
        </w:tc>
        <w:tc>
          <w:tcPr>
            <w:tcW w:w="1130" w:type="dxa"/>
            <w:tcBorders>
              <w:top w:val="nil"/>
              <w:left w:val="nil"/>
              <w:bottom w:val="single" w:sz="4" w:space="0" w:color="auto"/>
              <w:right w:val="single" w:sz="4" w:space="0" w:color="auto"/>
            </w:tcBorders>
            <w:shd w:val="clear" w:color="auto" w:fill="auto"/>
            <w:noWrap/>
            <w:vAlign w:val="bottom"/>
            <w:hideMark/>
          </w:tcPr>
          <w:p w:rsidR="009D6308" w:rsidRPr="00EC49D7" w:rsidRDefault="009D6308" w:rsidP="00391367">
            <w:pPr>
              <w:rPr>
                <w:b/>
                <w:color w:val="000000"/>
                <w:szCs w:val="22"/>
                <w:lang w:val="en-US" w:eastAsia="en-US"/>
              </w:rPr>
            </w:pPr>
            <w:r w:rsidRPr="00EC49D7">
              <w:rPr>
                <w:b/>
                <w:color w:val="000000"/>
                <w:sz w:val="22"/>
                <w:szCs w:val="22"/>
                <w:lang w:val="en-US" w:eastAsia="en-US"/>
              </w:rPr>
              <w:t>Base</w:t>
            </w:r>
          </w:p>
        </w:tc>
        <w:tc>
          <w:tcPr>
            <w:tcW w:w="1200" w:type="dxa"/>
            <w:tcBorders>
              <w:top w:val="nil"/>
              <w:left w:val="nil"/>
              <w:bottom w:val="single" w:sz="4" w:space="0" w:color="auto"/>
              <w:right w:val="single" w:sz="4" w:space="0" w:color="auto"/>
            </w:tcBorders>
            <w:shd w:val="clear" w:color="auto" w:fill="auto"/>
            <w:noWrap/>
            <w:vAlign w:val="bottom"/>
            <w:hideMark/>
          </w:tcPr>
          <w:p w:rsidR="009D6308" w:rsidRPr="00EC49D7" w:rsidRDefault="009D6308" w:rsidP="00391367">
            <w:pPr>
              <w:rPr>
                <w:b/>
                <w:color w:val="000000"/>
                <w:szCs w:val="22"/>
                <w:lang w:val="en-US" w:eastAsia="en-US"/>
              </w:rPr>
            </w:pPr>
            <w:r w:rsidRPr="00EC49D7">
              <w:rPr>
                <w:b/>
                <w:color w:val="000000"/>
                <w:sz w:val="22"/>
                <w:szCs w:val="22"/>
                <w:lang w:val="en-US" w:eastAsia="en-US"/>
              </w:rPr>
              <w:t>Conjunto</w:t>
            </w:r>
          </w:p>
        </w:tc>
        <w:tc>
          <w:tcPr>
            <w:tcW w:w="1387" w:type="dxa"/>
            <w:tcBorders>
              <w:top w:val="nil"/>
              <w:left w:val="nil"/>
              <w:bottom w:val="single" w:sz="4" w:space="0" w:color="auto"/>
              <w:right w:val="single" w:sz="4" w:space="0" w:color="auto"/>
            </w:tcBorders>
            <w:shd w:val="clear" w:color="auto" w:fill="auto"/>
            <w:noWrap/>
            <w:vAlign w:val="bottom"/>
            <w:hideMark/>
          </w:tcPr>
          <w:p w:rsidR="009D6308" w:rsidRPr="00EC49D7" w:rsidRDefault="00447639" w:rsidP="00391367">
            <w:pPr>
              <w:rPr>
                <w:b/>
                <w:color w:val="000000"/>
                <w:szCs w:val="22"/>
                <w:lang w:val="en-US" w:eastAsia="en-US"/>
              </w:rPr>
            </w:pPr>
            <w:proofErr w:type="spellStart"/>
            <w:r w:rsidRPr="00EC49D7">
              <w:rPr>
                <w:b/>
                <w:color w:val="000000"/>
                <w:sz w:val="22"/>
                <w:szCs w:val="22"/>
                <w:lang w:val="en-US" w:eastAsia="en-US"/>
              </w:rPr>
              <w:t>Diferencial</w:t>
            </w:r>
            <w:proofErr w:type="spellEnd"/>
            <w:r w:rsidRPr="00EC49D7">
              <w:rPr>
                <w:b/>
                <w:color w:val="000000"/>
                <w:sz w:val="22"/>
                <w:szCs w:val="22"/>
                <w:lang w:val="en-US" w:eastAsia="en-US"/>
              </w:rPr>
              <w:t xml:space="preserve"> </w:t>
            </w:r>
            <w:r w:rsidR="009D6308" w:rsidRPr="00EC49D7">
              <w:rPr>
                <w:b/>
                <w:color w:val="000000"/>
                <w:sz w:val="22"/>
                <w:szCs w:val="22"/>
                <w:lang w:val="en-US" w:eastAsia="en-US"/>
              </w:rPr>
              <w:t xml:space="preserve">de </w:t>
            </w:r>
            <w:proofErr w:type="spellStart"/>
            <w:r w:rsidR="009D6308" w:rsidRPr="00EC49D7">
              <w:rPr>
                <w:b/>
                <w:color w:val="000000"/>
                <w:sz w:val="22"/>
                <w:szCs w:val="22"/>
                <w:lang w:val="en-US" w:eastAsia="en-US"/>
              </w:rPr>
              <w:t>salario</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9D6308" w:rsidRPr="00EC49D7" w:rsidRDefault="009D6308" w:rsidP="00447639">
            <w:pPr>
              <w:rPr>
                <w:b/>
                <w:color w:val="000000"/>
                <w:szCs w:val="22"/>
                <w:lang w:val="es-UY" w:eastAsia="en-US"/>
              </w:rPr>
            </w:pPr>
            <w:proofErr w:type="spellStart"/>
            <w:r w:rsidRPr="00EC49D7">
              <w:rPr>
                <w:b/>
                <w:color w:val="000000"/>
                <w:sz w:val="22"/>
                <w:szCs w:val="22"/>
                <w:lang w:val="es-UY" w:eastAsia="en-US"/>
              </w:rPr>
              <w:t>Deprec</w:t>
            </w:r>
            <w:proofErr w:type="spellEnd"/>
            <w:r w:rsidR="00447639" w:rsidRPr="00EC49D7">
              <w:rPr>
                <w:b/>
                <w:color w:val="000000"/>
                <w:sz w:val="22"/>
                <w:szCs w:val="22"/>
                <w:lang w:val="es-UY" w:eastAsia="en-US"/>
              </w:rPr>
              <w:t xml:space="preserve">. </w:t>
            </w:r>
            <w:r w:rsidRPr="00EC49D7">
              <w:rPr>
                <w:b/>
                <w:color w:val="000000"/>
                <w:sz w:val="22"/>
                <w:szCs w:val="22"/>
                <w:lang w:val="es-UY" w:eastAsia="en-US"/>
              </w:rPr>
              <w:t>anual del KH adicional</w:t>
            </w:r>
          </w:p>
        </w:tc>
        <w:tc>
          <w:tcPr>
            <w:tcW w:w="1261" w:type="dxa"/>
            <w:tcBorders>
              <w:top w:val="nil"/>
              <w:left w:val="nil"/>
              <w:bottom w:val="single" w:sz="4" w:space="0" w:color="auto"/>
              <w:right w:val="single" w:sz="4" w:space="0" w:color="auto"/>
            </w:tcBorders>
            <w:shd w:val="clear" w:color="auto" w:fill="auto"/>
            <w:noWrap/>
            <w:vAlign w:val="bottom"/>
            <w:hideMark/>
          </w:tcPr>
          <w:p w:rsidR="009D6308" w:rsidRPr="00EC49D7" w:rsidRDefault="009D6308" w:rsidP="00447639">
            <w:pPr>
              <w:rPr>
                <w:b/>
                <w:color w:val="000000"/>
                <w:szCs w:val="22"/>
                <w:lang w:val="es-UY" w:eastAsia="en-US"/>
              </w:rPr>
            </w:pPr>
            <w:r w:rsidRPr="00EC49D7">
              <w:rPr>
                <w:b/>
                <w:color w:val="000000"/>
                <w:sz w:val="22"/>
                <w:szCs w:val="22"/>
                <w:lang w:val="es-UY" w:eastAsia="en-US"/>
              </w:rPr>
              <w:t xml:space="preserve">% </w:t>
            </w:r>
            <w:proofErr w:type="spellStart"/>
            <w:r w:rsidRPr="00EC49D7">
              <w:rPr>
                <w:b/>
                <w:color w:val="000000"/>
                <w:sz w:val="22"/>
                <w:szCs w:val="22"/>
                <w:lang w:val="es-UY" w:eastAsia="en-US"/>
              </w:rPr>
              <w:t>Matríc</w:t>
            </w:r>
            <w:proofErr w:type="spellEnd"/>
            <w:r w:rsidR="00447639" w:rsidRPr="00EC49D7">
              <w:rPr>
                <w:b/>
                <w:color w:val="000000"/>
                <w:sz w:val="22"/>
                <w:szCs w:val="22"/>
                <w:lang w:val="es-UY" w:eastAsia="en-US"/>
              </w:rPr>
              <w:t>.</w:t>
            </w:r>
            <w:r w:rsidRPr="00EC49D7">
              <w:rPr>
                <w:b/>
                <w:color w:val="000000"/>
                <w:sz w:val="22"/>
                <w:szCs w:val="22"/>
                <w:lang w:val="es-UY" w:eastAsia="en-US"/>
              </w:rPr>
              <w:t xml:space="preserve"> </w:t>
            </w:r>
            <w:proofErr w:type="spellStart"/>
            <w:r w:rsidRPr="00EC49D7">
              <w:rPr>
                <w:b/>
                <w:color w:val="000000"/>
                <w:sz w:val="22"/>
                <w:szCs w:val="22"/>
                <w:lang w:val="es-UY" w:eastAsia="en-US"/>
              </w:rPr>
              <w:t>extranj</w:t>
            </w:r>
            <w:proofErr w:type="spellEnd"/>
            <w:r w:rsidR="00447639" w:rsidRPr="00EC49D7">
              <w:rPr>
                <w:b/>
                <w:color w:val="000000"/>
                <w:sz w:val="22"/>
                <w:szCs w:val="22"/>
                <w:lang w:val="es-UY" w:eastAsia="en-US"/>
              </w:rPr>
              <w:t>.</w:t>
            </w:r>
          </w:p>
        </w:tc>
        <w:tc>
          <w:tcPr>
            <w:tcW w:w="1261" w:type="dxa"/>
            <w:tcBorders>
              <w:top w:val="nil"/>
              <w:left w:val="nil"/>
              <w:bottom w:val="single" w:sz="4" w:space="0" w:color="auto"/>
              <w:right w:val="single" w:sz="4" w:space="0" w:color="auto"/>
            </w:tcBorders>
            <w:shd w:val="clear" w:color="auto" w:fill="auto"/>
            <w:noWrap/>
            <w:vAlign w:val="bottom"/>
            <w:hideMark/>
          </w:tcPr>
          <w:p w:rsidR="009D6308" w:rsidRPr="00EC49D7" w:rsidRDefault="00447639" w:rsidP="00447639">
            <w:pPr>
              <w:rPr>
                <w:b/>
                <w:color w:val="000000"/>
                <w:szCs w:val="22"/>
                <w:lang w:val="es-UY" w:eastAsia="en-US"/>
              </w:rPr>
            </w:pPr>
            <w:proofErr w:type="spellStart"/>
            <w:r w:rsidRPr="00EC49D7">
              <w:rPr>
                <w:b/>
                <w:color w:val="000000"/>
                <w:sz w:val="22"/>
                <w:szCs w:val="22"/>
                <w:lang w:val="es-UY" w:eastAsia="en-US"/>
              </w:rPr>
              <w:t>Prop</w:t>
            </w:r>
            <w:proofErr w:type="spellEnd"/>
            <w:r w:rsidRPr="00EC49D7">
              <w:rPr>
                <w:b/>
                <w:color w:val="000000"/>
                <w:sz w:val="22"/>
                <w:szCs w:val="22"/>
                <w:lang w:val="es-UY" w:eastAsia="en-US"/>
              </w:rPr>
              <w:t>.</w:t>
            </w:r>
            <w:r w:rsidR="009D6308" w:rsidRPr="00EC49D7">
              <w:rPr>
                <w:b/>
                <w:color w:val="000000"/>
                <w:sz w:val="22"/>
                <w:szCs w:val="22"/>
                <w:lang w:val="es-UY" w:eastAsia="en-US"/>
              </w:rPr>
              <w:t xml:space="preserve"> de extranjeros</w:t>
            </w:r>
          </w:p>
        </w:tc>
      </w:tr>
      <w:tr w:rsidR="005D5D51" w:rsidRPr="00EC49D7" w:rsidTr="005D5D51">
        <w:trPr>
          <w:trHeight w:val="300"/>
        </w:trPr>
        <w:tc>
          <w:tcPr>
            <w:tcW w:w="952" w:type="dxa"/>
            <w:vMerge/>
            <w:tcBorders>
              <w:left w:val="single" w:sz="4" w:space="0" w:color="auto"/>
              <w:right w:val="single" w:sz="4" w:space="0" w:color="auto"/>
            </w:tcBorders>
            <w:shd w:val="clear" w:color="auto" w:fill="auto"/>
            <w:noWrap/>
            <w:vAlign w:val="bottom"/>
            <w:hideMark/>
          </w:tcPr>
          <w:p w:rsidR="005D5D51" w:rsidRPr="00EC49D7" w:rsidRDefault="005D5D51" w:rsidP="00391367">
            <w:pPr>
              <w:rPr>
                <w:color w:val="000000"/>
                <w:szCs w:val="22"/>
                <w:lang w:val="es-UY" w:eastAsia="en-US"/>
              </w:rPr>
            </w:pPr>
          </w:p>
        </w:tc>
        <w:tc>
          <w:tcPr>
            <w:tcW w:w="1175"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9B48D4">
            <w:pPr>
              <w:rPr>
                <w:b/>
                <w:color w:val="000000"/>
                <w:szCs w:val="22"/>
                <w:lang w:val="es-UY" w:eastAsia="en-US"/>
              </w:rPr>
            </w:pPr>
            <w:r w:rsidRPr="00EC49D7">
              <w:rPr>
                <w:b/>
                <w:color w:val="000000"/>
                <w:sz w:val="22"/>
                <w:szCs w:val="22"/>
                <w:lang w:val="es-UY" w:eastAsia="en-US"/>
              </w:rPr>
              <w:t>P(VPN&lt;0)</w:t>
            </w:r>
          </w:p>
        </w:tc>
        <w:tc>
          <w:tcPr>
            <w:tcW w:w="113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w:t>
            </w:r>
          </w:p>
        </w:tc>
        <w:tc>
          <w:tcPr>
            <w:tcW w:w="120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13.9%</w:t>
            </w:r>
          </w:p>
        </w:tc>
        <w:tc>
          <w:tcPr>
            <w:tcW w:w="1387"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4.0%</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w:t>
            </w:r>
          </w:p>
        </w:tc>
      </w:tr>
      <w:tr w:rsidR="005D5D51" w:rsidRPr="00EC49D7" w:rsidTr="005D5D51">
        <w:trPr>
          <w:trHeight w:val="300"/>
        </w:trPr>
        <w:tc>
          <w:tcPr>
            <w:tcW w:w="952" w:type="dxa"/>
            <w:vMerge/>
            <w:tcBorders>
              <w:left w:val="single" w:sz="4" w:space="0" w:color="auto"/>
              <w:right w:val="single" w:sz="4" w:space="0" w:color="auto"/>
            </w:tcBorders>
            <w:shd w:val="clear" w:color="auto" w:fill="auto"/>
            <w:noWrap/>
            <w:vAlign w:val="bottom"/>
            <w:hideMark/>
          </w:tcPr>
          <w:p w:rsidR="005D5D51" w:rsidRPr="00EC49D7" w:rsidRDefault="005D5D51" w:rsidP="00391367">
            <w:pPr>
              <w:rPr>
                <w:color w:val="000000"/>
                <w:szCs w:val="22"/>
                <w:lang w:val="es-UY" w:eastAsia="en-US"/>
              </w:rPr>
            </w:pPr>
          </w:p>
        </w:tc>
        <w:tc>
          <w:tcPr>
            <w:tcW w:w="1175"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391367">
            <w:pPr>
              <w:rPr>
                <w:b/>
                <w:color w:val="000000"/>
                <w:szCs w:val="22"/>
                <w:lang w:val="es-UY" w:eastAsia="en-US"/>
              </w:rPr>
            </w:pPr>
            <w:r w:rsidRPr="00EC49D7">
              <w:rPr>
                <w:b/>
                <w:color w:val="000000"/>
                <w:sz w:val="22"/>
                <w:szCs w:val="22"/>
                <w:lang w:val="es-UY" w:eastAsia="en-US"/>
              </w:rPr>
              <w:t>Media</w:t>
            </w:r>
          </w:p>
        </w:tc>
        <w:tc>
          <w:tcPr>
            <w:tcW w:w="113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1.80</w:t>
            </w:r>
          </w:p>
        </w:tc>
        <w:tc>
          <w:tcPr>
            <w:tcW w:w="120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4854E6">
            <w:pPr>
              <w:jc w:val="right"/>
              <w:rPr>
                <w:color w:val="000000"/>
                <w:szCs w:val="22"/>
              </w:rPr>
            </w:pPr>
            <w:r w:rsidRPr="00EC49D7">
              <w:rPr>
                <w:color w:val="000000"/>
                <w:sz w:val="22"/>
                <w:szCs w:val="22"/>
              </w:rPr>
              <w:t>1.83</w:t>
            </w:r>
          </w:p>
        </w:tc>
        <w:tc>
          <w:tcPr>
            <w:tcW w:w="1387"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1.79</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2.01</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1.80</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1.80</w:t>
            </w:r>
          </w:p>
        </w:tc>
      </w:tr>
      <w:tr w:rsidR="005D5D51" w:rsidRPr="00EC49D7" w:rsidTr="005D5D51">
        <w:trPr>
          <w:trHeight w:val="300"/>
        </w:trPr>
        <w:tc>
          <w:tcPr>
            <w:tcW w:w="952" w:type="dxa"/>
            <w:vMerge/>
            <w:tcBorders>
              <w:left w:val="single" w:sz="4" w:space="0" w:color="auto"/>
              <w:right w:val="single" w:sz="4" w:space="0" w:color="auto"/>
            </w:tcBorders>
            <w:shd w:val="clear" w:color="auto" w:fill="auto"/>
            <w:noWrap/>
            <w:vAlign w:val="bottom"/>
            <w:hideMark/>
          </w:tcPr>
          <w:p w:rsidR="005D5D51" w:rsidRPr="00EC49D7" w:rsidRDefault="005D5D51" w:rsidP="00391367">
            <w:pPr>
              <w:rPr>
                <w:color w:val="000000"/>
                <w:szCs w:val="22"/>
                <w:lang w:val="es-UY" w:eastAsia="en-US"/>
              </w:rPr>
            </w:pPr>
          </w:p>
        </w:tc>
        <w:tc>
          <w:tcPr>
            <w:tcW w:w="1175"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rsidP="009B48D4">
            <w:pPr>
              <w:rPr>
                <w:b/>
                <w:color w:val="000000"/>
                <w:szCs w:val="22"/>
                <w:lang w:val="en-US" w:eastAsia="en-US"/>
              </w:rPr>
            </w:pPr>
            <w:r w:rsidRPr="00EC49D7">
              <w:rPr>
                <w:b/>
                <w:color w:val="000000"/>
                <w:sz w:val="22"/>
                <w:szCs w:val="22"/>
                <w:lang w:val="en-US" w:eastAsia="en-US"/>
              </w:rPr>
              <w:t>DS</w:t>
            </w:r>
          </w:p>
        </w:tc>
        <w:tc>
          <w:tcPr>
            <w:tcW w:w="113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1.77</w:t>
            </w:r>
          </w:p>
        </w:tc>
        <w:tc>
          <w:tcPr>
            <w:tcW w:w="1387"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1.02</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1.11</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0.42</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0.37</w:t>
            </w:r>
          </w:p>
        </w:tc>
      </w:tr>
      <w:tr w:rsidR="00447639" w:rsidRPr="00EC49D7" w:rsidTr="005D5D51">
        <w:trPr>
          <w:trHeight w:val="300"/>
        </w:trPr>
        <w:tc>
          <w:tcPr>
            <w:tcW w:w="952" w:type="dxa"/>
            <w:vMerge/>
            <w:tcBorders>
              <w:left w:val="single" w:sz="4" w:space="0" w:color="auto"/>
              <w:right w:val="single" w:sz="4" w:space="0" w:color="auto"/>
            </w:tcBorders>
            <w:shd w:val="clear" w:color="auto" w:fill="auto"/>
            <w:noWrap/>
            <w:vAlign w:val="bottom"/>
            <w:hideMark/>
          </w:tcPr>
          <w:p w:rsidR="00447639" w:rsidRPr="00EC49D7" w:rsidRDefault="00447639" w:rsidP="00391367">
            <w:pPr>
              <w:rPr>
                <w:color w:val="000000"/>
                <w:szCs w:val="22"/>
                <w:lang w:val="en-US" w:eastAsia="en-US"/>
              </w:rPr>
            </w:pPr>
          </w:p>
        </w:tc>
        <w:tc>
          <w:tcPr>
            <w:tcW w:w="35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639" w:rsidRPr="00EC49D7" w:rsidRDefault="00447639" w:rsidP="009D6308">
            <w:pPr>
              <w:rPr>
                <w:color w:val="000000"/>
                <w:szCs w:val="22"/>
                <w:lang w:val="en-US" w:eastAsia="en-US"/>
              </w:rPr>
            </w:pPr>
            <w:r w:rsidRPr="00EC49D7">
              <w:rPr>
                <w:color w:val="000000"/>
                <w:sz w:val="22"/>
                <w:szCs w:val="22"/>
                <w:lang w:val="en-US" w:eastAsia="en-US"/>
              </w:rPr>
              <w:t>  </w:t>
            </w:r>
          </w:p>
        </w:tc>
        <w:tc>
          <w:tcPr>
            <w:tcW w:w="5349" w:type="dxa"/>
            <w:gridSpan w:val="4"/>
            <w:tcBorders>
              <w:top w:val="nil"/>
              <w:left w:val="single" w:sz="4" w:space="0" w:color="auto"/>
              <w:bottom w:val="single" w:sz="4" w:space="0" w:color="auto"/>
              <w:right w:val="single" w:sz="4" w:space="0" w:color="auto"/>
            </w:tcBorders>
            <w:shd w:val="clear" w:color="auto" w:fill="auto"/>
            <w:noWrap/>
            <w:vAlign w:val="bottom"/>
            <w:hideMark/>
          </w:tcPr>
          <w:p w:rsidR="00447639" w:rsidRPr="00EC49D7" w:rsidRDefault="00447639" w:rsidP="009D6308">
            <w:pPr>
              <w:jc w:val="center"/>
              <w:rPr>
                <w:b/>
                <w:color w:val="000000"/>
                <w:szCs w:val="22"/>
                <w:lang w:val="en-US" w:eastAsia="en-US"/>
              </w:rPr>
            </w:pPr>
            <w:proofErr w:type="spellStart"/>
            <w:r w:rsidRPr="00EC49D7">
              <w:rPr>
                <w:b/>
                <w:color w:val="000000"/>
                <w:sz w:val="22"/>
                <w:szCs w:val="22"/>
                <w:lang w:val="en-US" w:eastAsia="en-US"/>
              </w:rPr>
              <w:t>Parámetros</w:t>
            </w:r>
            <w:proofErr w:type="spellEnd"/>
            <w:r w:rsidRPr="00EC49D7">
              <w:rPr>
                <w:b/>
                <w:color w:val="000000"/>
                <w:sz w:val="22"/>
                <w:szCs w:val="22"/>
                <w:lang w:val="en-US" w:eastAsia="en-US"/>
              </w:rPr>
              <w:t xml:space="preserve"> del </w:t>
            </w:r>
            <w:proofErr w:type="spellStart"/>
            <w:r w:rsidRPr="00EC49D7">
              <w:rPr>
                <w:b/>
                <w:color w:val="000000"/>
                <w:sz w:val="22"/>
                <w:szCs w:val="22"/>
                <w:lang w:val="en-US" w:eastAsia="en-US"/>
              </w:rPr>
              <w:t>componente</w:t>
            </w:r>
            <w:proofErr w:type="spellEnd"/>
            <w:r w:rsidRPr="00EC49D7">
              <w:rPr>
                <w:b/>
                <w:color w:val="000000"/>
                <w:sz w:val="22"/>
                <w:szCs w:val="22"/>
                <w:lang w:val="en-US" w:eastAsia="en-US"/>
              </w:rPr>
              <w:t xml:space="preserve"> II</w:t>
            </w:r>
          </w:p>
        </w:tc>
      </w:tr>
      <w:tr w:rsidR="00447639" w:rsidRPr="00EC49D7" w:rsidTr="005D5D51">
        <w:trPr>
          <w:trHeight w:val="300"/>
        </w:trPr>
        <w:tc>
          <w:tcPr>
            <w:tcW w:w="952" w:type="dxa"/>
            <w:vMerge/>
            <w:tcBorders>
              <w:left w:val="single" w:sz="4" w:space="0" w:color="auto"/>
              <w:right w:val="single" w:sz="4" w:space="0" w:color="auto"/>
            </w:tcBorders>
            <w:shd w:val="clear" w:color="auto" w:fill="auto"/>
            <w:noWrap/>
            <w:vAlign w:val="bottom"/>
            <w:hideMark/>
          </w:tcPr>
          <w:p w:rsidR="00447639" w:rsidRPr="00EC49D7" w:rsidRDefault="00447639" w:rsidP="00391367">
            <w:pPr>
              <w:rPr>
                <w:color w:val="000000"/>
                <w:szCs w:val="22"/>
                <w:lang w:val="en-US" w:eastAsia="en-US"/>
              </w:rPr>
            </w:pPr>
          </w:p>
        </w:tc>
        <w:tc>
          <w:tcPr>
            <w:tcW w:w="3505" w:type="dxa"/>
            <w:gridSpan w:val="3"/>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639" w:rsidRPr="00EC49D7" w:rsidRDefault="00447639" w:rsidP="009D6308">
            <w:pPr>
              <w:rPr>
                <w:color w:val="000000"/>
                <w:szCs w:val="22"/>
                <w:lang w:val="en-US" w:eastAsia="en-US"/>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447639" w:rsidRPr="00EC49D7" w:rsidRDefault="00447639" w:rsidP="00391367">
            <w:pPr>
              <w:rPr>
                <w:b/>
                <w:color w:val="000000"/>
                <w:szCs w:val="22"/>
                <w:lang w:val="en-US" w:eastAsia="en-US"/>
              </w:rPr>
            </w:pPr>
            <w:proofErr w:type="spellStart"/>
            <w:r w:rsidRPr="00EC49D7">
              <w:rPr>
                <w:b/>
                <w:color w:val="000000"/>
                <w:sz w:val="22"/>
                <w:szCs w:val="22"/>
                <w:lang w:val="en-US" w:eastAsia="en-US"/>
              </w:rPr>
              <w:t>Sobrevida</w:t>
            </w:r>
            <w:proofErr w:type="spellEnd"/>
            <w:r w:rsidRPr="00EC49D7">
              <w:rPr>
                <w:b/>
                <w:color w:val="000000"/>
                <w:sz w:val="22"/>
                <w:szCs w:val="22"/>
                <w:lang w:val="en-US" w:eastAsia="en-US"/>
              </w:rPr>
              <w:t xml:space="preserve"> 5 </w:t>
            </w:r>
            <w:proofErr w:type="spellStart"/>
            <w:r w:rsidRPr="00EC49D7">
              <w:rPr>
                <w:b/>
                <w:color w:val="000000"/>
                <w:sz w:val="22"/>
                <w:szCs w:val="22"/>
                <w:lang w:val="en-US" w:eastAsia="en-US"/>
              </w:rPr>
              <w:t>años</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447639" w:rsidRPr="00EC49D7" w:rsidRDefault="00447639" w:rsidP="00391367">
            <w:pPr>
              <w:rPr>
                <w:b/>
                <w:color w:val="000000"/>
                <w:szCs w:val="22"/>
                <w:lang w:val="en-US" w:eastAsia="en-US"/>
              </w:rPr>
            </w:pPr>
            <w:r w:rsidRPr="00EC49D7">
              <w:rPr>
                <w:b/>
                <w:color w:val="000000"/>
                <w:sz w:val="22"/>
                <w:szCs w:val="22"/>
                <w:lang w:val="en-US" w:eastAsia="en-US"/>
              </w:rPr>
              <w:t>Markup</w:t>
            </w:r>
          </w:p>
        </w:tc>
        <w:tc>
          <w:tcPr>
            <w:tcW w:w="1261" w:type="dxa"/>
            <w:tcBorders>
              <w:top w:val="nil"/>
              <w:left w:val="nil"/>
              <w:bottom w:val="single" w:sz="4" w:space="0" w:color="auto"/>
              <w:right w:val="single" w:sz="4" w:space="0" w:color="auto"/>
            </w:tcBorders>
            <w:shd w:val="clear" w:color="auto" w:fill="auto"/>
            <w:noWrap/>
            <w:vAlign w:val="bottom"/>
            <w:hideMark/>
          </w:tcPr>
          <w:p w:rsidR="00447639" w:rsidRPr="00EC49D7" w:rsidRDefault="00447639" w:rsidP="00391367">
            <w:pPr>
              <w:rPr>
                <w:b/>
                <w:color w:val="000000"/>
                <w:szCs w:val="22"/>
                <w:lang w:val="en-US" w:eastAsia="en-US"/>
              </w:rPr>
            </w:pPr>
            <w:proofErr w:type="spellStart"/>
            <w:r w:rsidRPr="00EC49D7">
              <w:rPr>
                <w:b/>
                <w:color w:val="000000"/>
                <w:sz w:val="22"/>
                <w:szCs w:val="22"/>
                <w:lang w:val="en-US" w:eastAsia="en-US"/>
              </w:rPr>
              <w:t>Elasticidad</w:t>
            </w:r>
            <w:proofErr w:type="spellEnd"/>
          </w:p>
        </w:tc>
        <w:tc>
          <w:tcPr>
            <w:tcW w:w="1261" w:type="dxa"/>
            <w:tcBorders>
              <w:top w:val="nil"/>
              <w:left w:val="nil"/>
              <w:bottom w:val="single" w:sz="4" w:space="0" w:color="auto"/>
              <w:right w:val="single" w:sz="4" w:space="0" w:color="auto"/>
            </w:tcBorders>
            <w:shd w:val="clear" w:color="auto" w:fill="auto"/>
            <w:noWrap/>
            <w:vAlign w:val="bottom"/>
            <w:hideMark/>
          </w:tcPr>
          <w:p w:rsidR="00447639" w:rsidRPr="00EC49D7" w:rsidRDefault="00447639" w:rsidP="00391367">
            <w:pPr>
              <w:rPr>
                <w:b/>
                <w:color w:val="000000"/>
                <w:szCs w:val="22"/>
                <w:lang w:val="en-US" w:eastAsia="en-US"/>
              </w:rPr>
            </w:pPr>
            <w:proofErr w:type="spellStart"/>
            <w:r w:rsidRPr="00EC49D7">
              <w:rPr>
                <w:b/>
                <w:color w:val="000000"/>
                <w:sz w:val="22"/>
                <w:szCs w:val="22"/>
                <w:lang w:val="en-US" w:eastAsia="en-US"/>
              </w:rPr>
              <w:t>Aditividad</w:t>
            </w:r>
            <w:proofErr w:type="spellEnd"/>
            <w:r w:rsidRPr="00EC49D7">
              <w:rPr>
                <w:b/>
                <w:color w:val="000000"/>
                <w:sz w:val="22"/>
                <w:szCs w:val="22"/>
                <w:lang w:val="en-US" w:eastAsia="en-US"/>
              </w:rPr>
              <w:t xml:space="preserve"> de la inversion</w:t>
            </w:r>
          </w:p>
        </w:tc>
      </w:tr>
      <w:tr w:rsidR="005D5D51" w:rsidRPr="00EC49D7" w:rsidTr="005D5D51">
        <w:trPr>
          <w:trHeight w:val="300"/>
        </w:trPr>
        <w:tc>
          <w:tcPr>
            <w:tcW w:w="952" w:type="dxa"/>
            <w:vMerge/>
            <w:tcBorders>
              <w:left w:val="single" w:sz="4" w:space="0" w:color="auto"/>
              <w:right w:val="single" w:sz="4" w:space="0" w:color="auto"/>
            </w:tcBorders>
            <w:shd w:val="clear" w:color="auto" w:fill="auto"/>
            <w:noWrap/>
            <w:vAlign w:val="bottom"/>
            <w:hideMark/>
          </w:tcPr>
          <w:p w:rsidR="005D5D51" w:rsidRPr="00EC49D7" w:rsidRDefault="005D5D51" w:rsidP="00391367">
            <w:pPr>
              <w:rPr>
                <w:color w:val="000000"/>
                <w:szCs w:val="22"/>
                <w:lang w:val="en-US" w:eastAsia="en-US"/>
              </w:rPr>
            </w:pPr>
          </w:p>
        </w:tc>
        <w:tc>
          <w:tcPr>
            <w:tcW w:w="3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D51" w:rsidRPr="00EC49D7" w:rsidRDefault="005D5D51" w:rsidP="00447639">
            <w:pPr>
              <w:jc w:val="center"/>
              <w:rPr>
                <w:b/>
                <w:color w:val="000000"/>
                <w:szCs w:val="22"/>
                <w:lang w:val="en-US" w:eastAsia="en-US"/>
              </w:rPr>
            </w:pPr>
            <w:r w:rsidRPr="00EC49D7">
              <w:rPr>
                <w:b/>
                <w:color w:val="000000"/>
                <w:sz w:val="22"/>
                <w:szCs w:val="22"/>
                <w:lang w:val="en-US" w:eastAsia="en-US"/>
              </w:rPr>
              <w:t>P(VPN&lt;0)</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0.3%</w:t>
            </w:r>
          </w:p>
        </w:tc>
      </w:tr>
      <w:tr w:rsidR="005D5D51" w:rsidRPr="00EC49D7" w:rsidTr="005D5D51">
        <w:trPr>
          <w:trHeight w:val="300"/>
        </w:trPr>
        <w:tc>
          <w:tcPr>
            <w:tcW w:w="952" w:type="dxa"/>
            <w:vMerge/>
            <w:tcBorders>
              <w:left w:val="single" w:sz="4" w:space="0" w:color="auto"/>
              <w:right w:val="single" w:sz="4" w:space="0" w:color="auto"/>
            </w:tcBorders>
            <w:shd w:val="clear" w:color="auto" w:fill="auto"/>
            <w:noWrap/>
            <w:vAlign w:val="bottom"/>
            <w:hideMark/>
          </w:tcPr>
          <w:p w:rsidR="005D5D51" w:rsidRPr="00EC49D7" w:rsidRDefault="005D5D51" w:rsidP="00391367">
            <w:pPr>
              <w:rPr>
                <w:color w:val="000000"/>
                <w:szCs w:val="22"/>
                <w:lang w:val="en-US" w:eastAsia="en-US"/>
              </w:rPr>
            </w:pPr>
          </w:p>
        </w:tc>
        <w:tc>
          <w:tcPr>
            <w:tcW w:w="3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D51" w:rsidRPr="00EC49D7" w:rsidRDefault="005D5D51" w:rsidP="00447639">
            <w:pPr>
              <w:jc w:val="center"/>
              <w:rPr>
                <w:b/>
                <w:color w:val="000000"/>
                <w:szCs w:val="22"/>
                <w:lang w:val="en-US" w:eastAsia="en-US"/>
              </w:rPr>
            </w:pPr>
            <w:r w:rsidRPr="00EC49D7">
              <w:rPr>
                <w:b/>
                <w:color w:val="000000"/>
                <w:sz w:val="22"/>
                <w:szCs w:val="22"/>
                <w:lang w:val="en-US" w:eastAsia="en-US"/>
              </w:rPr>
              <w:t>media</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1.66</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1.80</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1.80</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1.79</w:t>
            </w:r>
          </w:p>
        </w:tc>
      </w:tr>
      <w:tr w:rsidR="005D5D51" w:rsidRPr="00EC49D7" w:rsidTr="005D5D51">
        <w:trPr>
          <w:trHeight w:val="300"/>
        </w:trPr>
        <w:tc>
          <w:tcPr>
            <w:tcW w:w="952" w:type="dxa"/>
            <w:vMerge/>
            <w:tcBorders>
              <w:left w:val="single" w:sz="4" w:space="0" w:color="auto"/>
              <w:bottom w:val="single" w:sz="4" w:space="0" w:color="auto"/>
              <w:right w:val="single" w:sz="4" w:space="0" w:color="auto"/>
            </w:tcBorders>
            <w:shd w:val="clear" w:color="auto" w:fill="auto"/>
            <w:noWrap/>
            <w:vAlign w:val="bottom"/>
            <w:hideMark/>
          </w:tcPr>
          <w:p w:rsidR="005D5D51" w:rsidRPr="00EC49D7" w:rsidRDefault="005D5D51" w:rsidP="00391367">
            <w:pPr>
              <w:rPr>
                <w:color w:val="000000"/>
                <w:szCs w:val="22"/>
                <w:lang w:val="en-US" w:eastAsia="en-US"/>
              </w:rPr>
            </w:pPr>
          </w:p>
        </w:tc>
        <w:tc>
          <w:tcPr>
            <w:tcW w:w="3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D51" w:rsidRPr="00EC49D7" w:rsidRDefault="005D5D51" w:rsidP="00447639">
            <w:pPr>
              <w:jc w:val="center"/>
              <w:rPr>
                <w:b/>
                <w:color w:val="000000"/>
                <w:szCs w:val="22"/>
                <w:lang w:val="en-US" w:eastAsia="en-US"/>
              </w:rPr>
            </w:pPr>
            <w:r w:rsidRPr="00EC49D7">
              <w:rPr>
                <w:b/>
                <w:color w:val="000000"/>
                <w:sz w:val="22"/>
                <w:szCs w:val="22"/>
                <w:lang w:val="en-US" w:eastAsia="en-US"/>
              </w:rPr>
              <w:t>DS</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0.21</w:t>
            </w:r>
          </w:p>
        </w:tc>
        <w:tc>
          <w:tcPr>
            <w:tcW w:w="1440"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0.28</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0.05</w:t>
            </w:r>
          </w:p>
        </w:tc>
        <w:tc>
          <w:tcPr>
            <w:tcW w:w="1261" w:type="dxa"/>
            <w:tcBorders>
              <w:top w:val="nil"/>
              <w:left w:val="nil"/>
              <w:bottom w:val="single" w:sz="4" w:space="0" w:color="auto"/>
              <w:right w:val="single" w:sz="4" w:space="0" w:color="auto"/>
            </w:tcBorders>
            <w:shd w:val="clear" w:color="auto" w:fill="auto"/>
            <w:noWrap/>
            <w:vAlign w:val="bottom"/>
            <w:hideMark/>
          </w:tcPr>
          <w:p w:rsidR="005D5D51" w:rsidRPr="00EC49D7" w:rsidRDefault="005D5D51">
            <w:pPr>
              <w:jc w:val="right"/>
              <w:rPr>
                <w:color w:val="000000"/>
                <w:szCs w:val="22"/>
              </w:rPr>
            </w:pPr>
            <w:r w:rsidRPr="00EC49D7">
              <w:rPr>
                <w:color w:val="000000"/>
                <w:sz w:val="22"/>
                <w:szCs w:val="22"/>
              </w:rPr>
              <w:t>0.64</w:t>
            </w:r>
          </w:p>
        </w:tc>
      </w:tr>
    </w:tbl>
    <w:p w:rsidR="00B80591" w:rsidRPr="00EC49D7" w:rsidRDefault="00B80591" w:rsidP="00B80591">
      <w:pPr>
        <w:tabs>
          <w:tab w:val="left" w:pos="6180"/>
        </w:tabs>
        <w:jc w:val="center"/>
        <w:rPr>
          <w:lang w:val="es-UY"/>
        </w:rPr>
      </w:pPr>
      <w:r w:rsidRPr="00EC49D7">
        <w:rPr>
          <w:b/>
          <w:lang w:val="es-UY"/>
        </w:rPr>
        <w:t>Fuente</w:t>
      </w:r>
      <w:r w:rsidRPr="00EC49D7">
        <w:rPr>
          <w:lang w:val="es-UY"/>
        </w:rPr>
        <w:t>: Elaboración propia</w:t>
      </w:r>
    </w:p>
    <w:p w:rsidR="00B738A3" w:rsidRPr="00EC49D7" w:rsidRDefault="00B738A3" w:rsidP="009C36FE">
      <w:pPr>
        <w:tabs>
          <w:tab w:val="left" w:pos="6180"/>
        </w:tabs>
        <w:jc w:val="both"/>
        <w:rPr>
          <w:lang w:val="es-UY"/>
        </w:rPr>
        <w:sectPr w:rsidR="00B738A3" w:rsidRPr="00EC49D7" w:rsidSect="009358E2">
          <w:pgSz w:w="12240" w:h="15840"/>
          <w:pgMar w:top="1440" w:right="1440" w:bottom="1440" w:left="1440" w:header="720" w:footer="720" w:gutter="0"/>
          <w:cols w:space="720"/>
          <w:docGrid w:linePitch="360"/>
        </w:sectPr>
      </w:pPr>
    </w:p>
    <w:p w:rsidR="006B7D88" w:rsidRPr="00EC49D7" w:rsidRDefault="006B7D88" w:rsidP="006B7D88">
      <w:pPr>
        <w:spacing w:after="120"/>
        <w:jc w:val="center"/>
        <w:rPr>
          <w:rFonts w:eastAsia="Arial"/>
          <w:b/>
          <w:smallCaps/>
          <w:sz w:val="20"/>
        </w:rPr>
      </w:pPr>
      <w:r w:rsidRPr="00EC49D7">
        <w:rPr>
          <w:rFonts w:eastAsia="Arial"/>
          <w:b/>
          <w:smallCaps/>
          <w:sz w:val="20"/>
        </w:rPr>
        <w:lastRenderedPageBreak/>
        <w:t>Matriz de Resultados</w:t>
      </w:r>
    </w:p>
    <w:tbl>
      <w:tblPr>
        <w:tblW w:w="14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12690"/>
      </w:tblGrid>
      <w:tr w:rsidR="006B7D88" w:rsidRPr="00EC49D7" w:rsidTr="00EC49D7">
        <w:trPr>
          <w:trHeight w:val="475"/>
        </w:trPr>
        <w:tc>
          <w:tcPr>
            <w:tcW w:w="1530" w:type="dxa"/>
            <w:tcMar>
              <w:top w:w="100" w:type="dxa"/>
              <w:left w:w="100" w:type="dxa"/>
              <w:bottom w:w="100" w:type="dxa"/>
              <w:right w:w="100" w:type="dxa"/>
            </w:tcMar>
            <w:vAlign w:val="center"/>
          </w:tcPr>
          <w:p w:rsidR="006B7D88" w:rsidRPr="00EC49D7" w:rsidRDefault="006B7D88" w:rsidP="000D2DAC">
            <w:pPr>
              <w:rPr>
                <w:rFonts w:eastAsia="Arial"/>
                <w:b/>
                <w:sz w:val="18"/>
                <w:szCs w:val="18"/>
              </w:rPr>
            </w:pPr>
            <w:r w:rsidRPr="00EC49D7">
              <w:rPr>
                <w:rFonts w:eastAsia="Arial"/>
                <w:b/>
                <w:sz w:val="18"/>
                <w:szCs w:val="18"/>
              </w:rPr>
              <w:t>Objetivo del Proyecto:</w:t>
            </w:r>
          </w:p>
        </w:tc>
        <w:tc>
          <w:tcPr>
            <w:tcW w:w="12690" w:type="dxa"/>
            <w:tcMar>
              <w:top w:w="100" w:type="dxa"/>
              <w:left w:w="100" w:type="dxa"/>
              <w:bottom w:w="10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El objetivo general es promover la inserción internacional de Uruguay, a través del incremento de las inversiones y exportaciones del sector SBIC. Objetivos específicos: (i) aumentar la oferta de capital humano con competencias digitales avanzadas; y (</w:t>
            </w:r>
            <w:proofErr w:type="spellStart"/>
            <w:r w:rsidRPr="00EC49D7">
              <w:rPr>
                <w:rFonts w:eastAsia="Arial"/>
                <w:sz w:val="18"/>
                <w:szCs w:val="18"/>
              </w:rPr>
              <w:t>ii</w:t>
            </w:r>
            <w:proofErr w:type="spellEnd"/>
            <w:r w:rsidRPr="00EC49D7">
              <w:rPr>
                <w:rFonts w:eastAsia="Arial"/>
                <w:sz w:val="18"/>
                <w:szCs w:val="18"/>
              </w:rPr>
              <w:t>) crear nuevos emprendimientos SBIC con potencial exportador.</w:t>
            </w:r>
          </w:p>
        </w:tc>
      </w:tr>
    </w:tbl>
    <w:p w:rsidR="006B7D88" w:rsidRPr="00EC49D7" w:rsidRDefault="006B7D88" w:rsidP="006B7D88">
      <w:pPr>
        <w:jc w:val="center"/>
        <w:rPr>
          <w:rFonts w:eastAsia="Arial"/>
          <w:b/>
          <w:smallCaps/>
          <w:sz w:val="20"/>
        </w:rPr>
      </w:pPr>
      <w:r w:rsidRPr="00EC49D7">
        <w:rPr>
          <w:rFonts w:eastAsia="Arial"/>
          <w:b/>
          <w:smallCaps/>
          <w:sz w:val="20"/>
        </w:rPr>
        <w:t>Impacto Esperado</w:t>
      </w:r>
    </w:p>
    <w:tbl>
      <w:tblPr>
        <w:tblW w:w="14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90"/>
        <w:gridCol w:w="810"/>
        <w:gridCol w:w="810"/>
        <w:gridCol w:w="900"/>
        <w:gridCol w:w="990"/>
        <w:gridCol w:w="1260"/>
        <w:gridCol w:w="6480"/>
        <w:gridCol w:w="1350"/>
      </w:tblGrid>
      <w:tr w:rsidR="006B7D88" w:rsidRPr="00EC49D7" w:rsidTr="00EC49D7">
        <w:trPr>
          <w:trHeight w:hRule="exact" w:val="649"/>
          <w:tblHeader/>
        </w:trPr>
        <w:tc>
          <w:tcPr>
            <w:tcW w:w="1530" w:type="dxa"/>
            <w:shd w:val="clear" w:color="auto" w:fill="D9D9D9"/>
            <w:tcMar>
              <w:top w:w="0" w:type="dxa"/>
              <w:left w:w="100" w:type="dxa"/>
              <w:bottom w:w="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Indicadores</w:t>
            </w:r>
          </w:p>
        </w:tc>
        <w:tc>
          <w:tcPr>
            <w:tcW w:w="900" w:type="dxa"/>
            <w:gridSpan w:val="2"/>
            <w:shd w:val="clear" w:color="auto" w:fill="D9D9D9"/>
            <w:tcMar>
              <w:top w:w="0" w:type="dxa"/>
              <w:left w:w="100" w:type="dxa"/>
              <w:bottom w:w="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Unidad de Medida</w:t>
            </w:r>
          </w:p>
        </w:tc>
        <w:tc>
          <w:tcPr>
            <w:tcW w:w="810" w:type="dxa"/>
            <w:shd w:val="clear" w:color="auto" w:fill="D9D9D9"/>
            <w:tcMar>
              <w:top w:w="0" w:type="dxa"/>
              <w:left w:w="100" w:type="dxa"/>
              <w:bottom w:w="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Línea de Base</w:t>
            </w:r>
          </w:p>
        </w:tc>
        <w:tc>
          <w:tcPr>
            <w:tcW w:w="900" w:type="dxa"/>
            <w:shd w:val="clear" w:color="auto" w:fill="D9D9D9"/>
            <w:tcMar>
              <w:top w:w="0" w:type="dxa"/>
              <w:left w:w="100" w:type="dxa"/>
              <w:bottom w:w="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Año Línea de Base</w:t>
            </w:r>
          </w:p>
        </w:tc>
        <w:tc>
          <w:tcPr>
            <w:tcW w:w="990" w:type="dxa"/>
            <w:shd w:val="clear" w:color="auto" w:fill="D9D9D9"/>
            <w:tcMar>
              <w:top w:w="0" w:type="dxa"/>
              <w:left w:w="100" w:type="dxa"/>
              <w:bottom w:w="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Fin del Proyecto</w:t>
            </w:r>
          </w:p>
        </w:tc>
        <w:tc>
          <w:tcPr>
            <w:tcW w:w="1260" w:type="dxa"/>
            <w:shd w:val="clear" w:color="auto" w:fill="D9D9D9"/>
            <w:tcMar>
              <w:top w:w="0" w:type="dxa"/>
              <w:left w:w="100" w:type="dxa"/>
              <w:bottom w:w="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Medios de Verificación</w:t>
            </w:r>
          </w:p>
        </w:tc>
        <w:tc>
          <w:tcPr>
            <w:tcW w:w="6480" w:type="dxa"/>
            <w:shd w:val="clear" w:color="auto" w:fill="D9D9D9"/>
            <w:tcMar>
              <w:top w:w="0" w:type="dxa"/>
              <w:left w:w="100" w:type="dxa"/>
              <w:bottom w:w="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Comentarios</w:t>
            </w:r>
          </w:p>
        </w:tc>
        <w:tc>
          <w:tcPr>
            <w:tcW w:w="1350" w:type="dxa"/>
            <w:shd w:val="clear" w:color="auto" w:fill="D9D9D9"/>
            <w:tcMar>
              <w:top w:w="0" w:type="dxa"/>
              <w:left w:w="100" w:type="dxa"/>
              <w:bottom w:w="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Año de Medición</w:t>
            </w:r>
          </w:p>
        </w:tc>
      </w:tr>
      <w:tr w:rsidR="006B7D88" w:rsidRPr="00EC49D7" w:rsidTr="00EC49D7">
        <w:trPr>
          <w:cantSplit/>
          <w:trHeight w:hRule="exact" w:val="271"/>
          <w:tblHeader/>
        </w:trPr>
        <w:tc>
          <w:tcPr>
            <w:tcW w:w="14220" w:type="dxa"/>
            <w:gridSpan w:val="9"/>
            <w:shd w:val="clear" w:color="auto" w:fill="auto"/>
            <w:tcMar>
              <w:top w:w="0" w:type="dxa"/>
              <w:left w:w="100" w:type="dxa"/>
              <w:bottom w:w="0" w:type="dxa"/>
              <w:right w:w="100" w:type="dxa"/>
            </w:tcMar>
          </w:tcPr>
          <w:p w:rsidR="006B7D88" w:rsidRPr="00EC49D7" w:rsidRDefault="006B7D88" w:rsidP="000D2DAC">
            <w:pPr>
              <w:widowControl w:val="0"/>
              <w:pBdr>
                <w:top w:val="nil"/>
                <w:left w:val="nil"/>
                <w:bottom w:val="nil"/>
                <w:right w:val="nil"/>
                <w:between w:val="nil"/>
              </w:pBdr>
              <w:spacing w:before="20" w:after="20"/>
              <w:rPr>
                <w:b/>
                <w:sz w:val="18"/>
                <w:szCs w:val="18"/>
              </w:rPr>
            </w:pPr>
            <w:r w:rsidRPr="00EC49D7">
              <w:rPr>
                <w:rFonts w:eastAsia="Arial"/>
                <w:b/>
                <w:sz w:val="18"/>
                <w:szCs w:val="18"/>
              </w:rPr>
              <w:t>Impacto #1: Aumento en las exportaciones de SBIC</w:t>
            </w:r>
          </w:p>
        </w:tc>
      </w:tr>
      <w:tr w:rsidR="006B7D88" w:rsidRPr="00EC49D7" w:rsidTr="00EC49D7">
        <w:trPr>
          <w:trHeight w:val="2051"/>
          <w:tblHeader/>
        </w:trPr>
        <w:tc>
          <w:tcPr>
            <w:tcW w:w="1620" w:type="dxa"/>
            <w:gridSpan w:val="2"/>
            <w:shd w:val="clear" w:color="auto" w:fill="auto"/>
            <w:tcMar>
              <w:top w:w="0" w:type="dxa"/>
              <w:left w:w="100" w:type="dxa"/>
              <w:bottom w:w="0" w:type="dxa"/>
              <w:right w:w="100" w:type="dxa"/>
            </w:tcMar>
            <w:vAlign w:val="center"/>
          </w:tcPr>
          <w:p w:rsidR="006B7D88" w:rsidRPr="00EC49D7" w:rsidRDefault="006B7D88" w:rsidP="000D2DAC">
            <w:pPr>
              <w:rPr>
                <w:rFonts w:eastAsia="Arial"/>
                <w:sz w:val="18"/>
                <w:szCs w:val="18"/>
              </w:rPr>
            </w:pPr>
            <w:r w:rsidRPr="00EC49D7">
              <w:rPr>
                <w:rFonts w:eastAsia="Arial"/>
                <w:sz w:val="18"/>
                <w:szCs w:val="18"/>
              </w:rPr>
              <w:t>Aumento de las exportaciones de los emprendimientos de sector SBIC asistidos por el programa</w:t>
            </w:r>
            <w:r w:rsidRPr="00EC49D7">
              <w:rPr>
                <w:rStyle w:val="FootnoteReference"/>
                <w:rFonts w:eastAsia="Arial"/>
                <w:sz w:val="18"/>
                <w:szCs w:val="18"/>
              </w:rPr>
              <w:footnoteReference w:id="7"/>
            </w:r>
            <w:r w:rsidRPr="00EC49D7">
              <w:rPr>
                <w:rFonts w:eastAsia="Arial"/>
                <w:sz w:val="18"/>
                <w:szCs w:val="18"/>
              </w:rPr>
              <w:t xml:space="preserve"> </w:t>
            </w:r>
            <w:r w:rsidRPr="00EC49D7">
              <w:rPr>
                <w:rStyle w:val="FootnoteReference"/>
                <w:rFonts w:eastAsia="Arial"/>
                <w:sz w:val="18"/>
                <w:szCs w:val="18"/>
              </w:rPr>
              <w:footnoteReference w:id="8"/>
            </w:r>
          </w:p>
        </w:tc>
        <w:tc>
          <w:tcPr>
            <w:tcW w:w="810" w:type="dxa"/>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w:t>
            </w:r>
          </w:p>
        </w:tc>
        <w:tc>
          <w:tcPr>
            <w:tcW w:w="810" w:type="dxa"/>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0</w:t>
            </w:r>
          </w:p>
        </w:tc>
        <w:tc>
          <w:tcPr>
            <w:tcW w:w="900" w:type="dxa"/>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2018</w:t>
            </w:r>
          </w:p>
        </w:tc>
        <w:tc>
          <w:tcPr>
            <w:tcW w:w="990" w:type="dxa"/>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15</w:t>
            </w:r>
          </w:p>
        </w:tc>
        <w:tc>
          <w:tcPr>
            <w:tcW w:w="1260" w:type="dxa"/>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Encuestas CUTI y Encuesta de Actividad de Innovación (EAI)</w:t>
            </w:r>
          </w:p>
        </w:tc>
        <w:tc>
          <w:tcPr>
            <w:tcW w:w="6480" w:type="dxa"/>
            <w:shd w:val="clear" w:color="auto" w:fill="auto"/>
            <w:tcMar>
              <w:top w:w="0" w:type="dxa"/>
              <w:left w:w="100" w:type="dxa"/>
              <w:bottom w:w="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 xml:space="preserve">La meta del 15% es la media de los efectos promedios estimados de los programas de promoción de exportaciones sobre el crecimiento de las exportaciones de las firmas asistidas en seis países de la región (Argentina, Chile, Colombia, Costa Rica, Perú y Uruguay) y coincide virtualmente con el correspondiente a Uruguay (14%) (Volpe, 2010). </w:t>
            </w:r>
          </w:p>
          <w:p w:rsidR="006B7D88" w:rsidRPr="00EC49D7" w:rsidRDefault="006B7D88" w:rsidP="000D2DAC">
            <w:pPr>
              <w:jc w:val="both"/>
              <w:rPr>
                <w:rFonts w:eastAsia="Arial"/>
                <w:sz w:val="18"/>
                <w:szCs w:val="18"/>
              </w:rPr>
            </w:pPr>
            <w:r w:rsidRPr="00EC49D7">
              <w:rPr>
                <w:rFonts w:eastAsia="Arial"/>
                <w:sz w:val="18"/>
                <w:szCs w:val="18"/>
              </w:rPr>
              <w:t>El supuesto es que los programas públicos apoyados a través del programa tendrán un efecto comparable.</w:t>
            </w:r>
          </w:p>
          <w:p w:rsidR="006B7D88" w:rsidRPr="00EC49D7" w:rsidRDefault="006B7D88" w:rsidP="000D2DAC">
            <w:pPr>
              <w:jc w:val="both"/>
              <w:rPr>
                <w:rFonts w:eastAsia="Arial"/>
                <w:sz w:val="18"/>
                <w:szCs w:val="18"/>
              </w:rPr>
            </w:pPr>
            <w:r w:rsidRPr="00EC49D7">
              <w:rPr>
                <w:rFonts w:eastAsia="Arial"/>
                <w:sz w:val="18"/>
                <w:szCs w:val="18"/>
              </w:rPr>
              <w:t>En 2016, las exportaciones de las empresas socias de la CUTI ascendieron a los US$379 millones. Fuente: Encuestas CUTI y EAI del INE. Se mide en la línea de base y en 2025.</w:t>
            </w:r>
          </w:p>
        </w:tc>
        <w:tc>
          <w:tcPr>
            <w:tcW w:w="1350" w:type="dxa"/>
            <w:shd w:val="clear" w:color="auto" w:fill="auto"/>
            <w:tcMar>
              <w:top w:w="0" w:type="dxa"/>
              <w:left w:w="100" w:type="dxa"/>
              <w:bottom w:w="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2025, coincidente con la EAI 2022-2024</w:t>
            </w:r>
          </w:p>
        </w:tc>
      </w:tr>
      <w:tr w:rsidR="006B7D88" w:rsidRPr="00EC49D7" w:rsidTr="00EC49D7">
        <w:trPr>
          <w:trHeight w:val="241"/>
          <w:tblHeader/>
        </w:trPr>
        <w:tc>
          <w:tcPr>
            <w:tcW w:w="14220" w:type="dxa"/>
            <w:gridSpan w:val="9"/>
            <w:shd w:val="clear" w:color="auto" w:fill="auto"/>
            <w:tcMar>
              <w:top w:w="0" w:type="dxa"/>
              <w:left w:w="100" w:type="dxa"/>
              <w:bottom w:w="0" w:type="dxa"/>
              <w:right w:w="100" w:type="dxa"/>
            </w:tcMar>
          </w:tcPr>
          <w:p w:rsidR="006B7D88" w:rsidRPr="00EC49D7" w:rsidRDefault="006B7D88" w:rsidP="000D2DAC">
            <w:pPr>
              <w:widowControl w:val="0"/>
              <w:pBdr>
                <w:top w:val="nil"/>
                <w:left w:val="nil"/>
                <w:bottom w:val="nil"/>
                <w:right w:val="nil"/>
                <w:between w:val="nil"/>
              </w:pBdr>
              <w:spacing w:before="20" w:after="20"/>
            </w:pPr>
            <w:r w:rsidRPr="00EC49D7">
              <w:rPr>
                <w:rFonts w:eastAsia="Arial"/>
                <w:b/>
                <w:sz w:val="18"/>
                <w:szCs w:val="18"/>
              </w:rPr>
              <w:t>Impacto #2: Aumento en las inversiones en SBIC</w:t>
            </w:r>
          </w:p>
        </w:tc>
      </w:tr>
      <w:tr w:rsidR="006B7D88" w:rsidRPr="00EC49D7" w:rsidTr="00EC49D7">
        <w:trPr>
          <w:trHeight w:val="1430"/>
          <w:tblHeader/>
        </w:trPr>
        <w:tc>
          <w:tcPr>
            <w:tcW w:w="1620" w:type="dxa"/>
            <w:gridSpan w:val="2"/>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rPr>
                <w:rFonts w:eastAsia="Arial"/>
                <w:sz w:val="18"/>
                <w:szCs w:val="18"/>
              </w:rPr>
            </w:pPr>
            <w:r w:rsidRPr="00EC49D7">
              <w:rPr>
                <w:rFonts w:eastAsia="Arial"/>
                <w:sz w:val="18"/>
                <w:szCs w:val="18"/>
              </w:rPr>
              <w:t>Aumento de las inversiones de los emprendimientos de sector SBIC asistidos por el programa</w:t>
            </w:r>
            <w:r w:rsidRPr="00EC49D7">
              <w:rPr>
                <w:rStyle w:val="FootnoteReference"/>
                <w:rFonts w:eastAsia="Arial"/>
                <w:sz w:val="18"/>
                <w:szCs w:val="18"/>
              </w:rPr>
              <w:footnoteReference w:id="9"/>
            </w:r>
            <w:r w:rsidRPr="00EC49D7">
              <w:rPr>
                <w:rFonts w:eastAsia="Arial"/>
                <w:sz w:val="18"/>
                <w:szCs w:val="18"/>
              </w:rPr>
              <w:t xml:space="preserve"> </w:t>
            </w:r>
            <w:r w:rsidRPr="00EC49D7">
              <w:rPr>
                <w:rStyle w:val="FootnoteReference"/>
                <w:rFonts w:eastAsia="Arial"/>
                <w:sz w:val="18"/>
                <w:szCs w:val="18"/>
              </w:rPr>
              <w:footnoteReference w:id="10"/>
            </w:r>
            <w:r w:rsidRPr="00EC49D7">
              <w:rPr>
                <w:rFonts w:eastAsia="Arial"/>
                <w:sz w:val="18"/>
                <w:szCs w:val="18"/>
              </w:rPr>
              <w:t xml:space="preserve">   </w:t>
            </w:r>
          </w:p>
        </w:tc>
        <w:tc>
          <w:tcPr>
            <w:tcW w:w="81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w:t>
            </w:r>
          </w:p>
        </w:tc>
        <w:tc>
          <w:tcPr>
            <w:tcW w:w="81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0</w:t>
            </w:r>
          </w:p>
        </w:tc>
        <w:tc>
          <w:tcPr>
            <w:tcW w:w="90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2018</w:t>
            </w:r>
          </w:p>
        </w:tc>
        <w:tc>
          <w:tcPr>
            <w:tcW w:w="99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10</w:t>
            </w:r>
          </w:p>
        </w:tc>
        <w:tc>
          <w:tcPr>
            <w:tcW w:w="126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Encuestas CUTI y EAI</w:t>
            </w:r>
          </w:p>
        </w:tc>
        <w:tc>
          <w:tcPr>
            <w:tcW w:w="648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La meta es una estimación conservadora consistente con los resultados de las evaluaciones de impacto de los programas de apoyo al emprendimiento dinámico en Chile, Perú y Uruguay.</w:t>
            </w:r>
          </w:p>
          <w:p w:rsidR="006B7D88" w:rsidRPr="00EC49D7" w:rsidRDefault="006B7D88" w:rsidP="000D2DAC">
            <w:pPr>
              <w:jc w:val="both"/>
              <w:rPr>
                <w:rFonts w:eastAsia="Arial"/>
                <w:sz w:val="18"/>
                <w:szCs w:val="18"/>
              </w:rPr>
            </w:pPr>
            <w:r w:rsidRPr="00EC49D7">
              <w:rPr>
                <w:rFonts w:eastAsia="Arial"/>
                <w:sz w:val="18"/>
                <w:szCs w:val="18"/>
              </w:rPr>
              <w:t>A modo de referencia, en 2016, la inversión extranjera en el sector de información y comunicaciones fue de US$ 302 millones. Fuente: Encuestas CUTI y EAI del INE. Se mide en la línea de base y en 2025.</w:t>
            </w:r>
          </w:p>
        </w:tc>
        <w:tc>
          <w:tcPr>
            <w:tcW w:w="135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2025, coincidente con la EAI 2022-2024</w:t>
            </w:r>
          </w:p>
        </w:tc>
      </w:tr>
      <w:tr w:rsidR="006B7D88" w:rsidRPr="00EC49D7" w:rsidTr="00EC49D7">
        <w:trPr>
          <w:trHeight w:val="215"/>
          <w:tblHeader/>
        </w:trPr>
        <w:tc>
          <w:tcPr>
            <w:tcW w:w="14220" w:type="dxa"/>
            <w:gridSpan w:val="9"/>
            <w:tcBorders>
              <w:bottom w:val="single" w:sz="4" w:space="0" w:color="auto"/>
            </w:tcBorders>
            <w:shd w:val="clear" w:color="auto" w:fill="auto"/>
            <w:tcMar>
              <w:top w:w="0" w:type="dxa"/>
              <w:left w:w="100" w:type="dxa"/>
              <w:bottom w:w="0" w:type="dxa"/>
              <w:right w:w="100" w:type="dxa"/>
            </w:tcMar>
          </w:tcPr>
          <w:p w:rsidR="006B7D88" w:rsidRPr="00EC49D7" w:rsidRDefault="006B7D88" w:rsidP="000D2DAC">
            <w:pPr>
              <w:rPr>
                <w:rFonts w:eastAsia="Arial"/>
                <w:sz w:val="18"/>
                <w:szCs w:val="18"/>
              </w:rPr>
            </w:pPr>
            <w:r w:rsidRPr="00EC49D7">
              <w:rPr>
                <w:rFonts w:eastAsia="Arial"/>
                <w:b/>
                <w:sz w:val="18"/>
                <w:szCs w:val="18"/>
              </w:rPr>
              <w:t>Impacto #3: Incremento de los ingresos de los graduados residentes</w:t>
            </w:r>
          </w:p>
        </w:tc>
      </w:tr>
      <w:tr w:rsidR="006B7D88" w:rsidRPr="00EC49D7" w:rsidTr="00EC49D7">
        <w:trPr>
          <w:trHeight w:val="1187"/>
          <w:tblHeader/>
        </w:trPr>
        <w:tc>
          <w:tcPr>
            <w:tcW w:w="153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rPr>
                <w:rFonts w:eastAsia="Arial"/>
                <w:sz w:val="18"/>
                <w:szCs w:val="18"/>
              </w:rPr>
            </w:pPr>
            <w:r w:rsidRPr="00EC49D7">
              <w:rPr>
                <w:rFonts w:eastAsia="Arial"/>
                <w:sz w:val="18"/>
                <w:szCs w:val="18"/>
              </w:rPr>
              <w:t>Ingresos de los graduados residentes del programa</w:t>
            </w:r>
          </w:p>
        </w:tc>
        <w:tc>
          <w:tcPr>
            <w:tcW w:w="900" w:type="dxa"/>
            <w:gridSpan w:val="2"/>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US$</w:t>
            </w:r>
          </w:p>
        </w:tc>
        <w:tc>
          <w:tcPr>
            <w:tcW w:w="81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30.000</w:t>
            </w:r>
          </w:p>
        </w:tc>
        <w:tc>
          <w:tcPr>
            <w:tcW w:w="90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2018</w:t>
            </w:r>
          </w:p>
        </w:tc>
        <w:tc>
          <w:tcPr>
            <w:tcW w:w="99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50.000</w:t>
            </w:r>
          </w:p>
        </w:tc>
        <w:tc>
          <w:tcPr>
            <w:tcW w:w="126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Encuestas de seguimiento a egresados y Encuesta continua de hogares</w:t>
            </w:r>
          </w:p>
        </w:tc>
        <w:tc>
          <w:tcPr>
            <w:tcW w:w="648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Medición de salario anual. Se espera incremento salarial por ascensos dentro de las empresas a cargos de mayor responsabilidad como resultado de terminar el programa. Fuente: encuestas de seguimiento de egresados y la encuesta continua de hogares del INE. Se mide en la línea de base y en el 2025. Los valores de la línea de base fueron chequeados con los valores actuales de mercados pagados por empresas de CUTI y el plan CEIBAL a profesionales sin y con la formación de posgrado ofrecida.</w:t>
            </w:r>
          </w:p>
        </w:tc>
        <w:tc>
          <w:tcPr>
            <w:tcW w:w="1350" w:type="dxa"/>
            <w:tcBorders>
              <w:bottom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2025</w:t>
            </w:r>
          </w:p>
        </w:tc>
      </w:tr>
    </w:tbl>
    <w:p w:rsidR="006B7D88" w:rsidRPr="00EC49D7" w:rsidRDefault="006B7D88" w:rsidP="006B7D88">
      <w:pPr>
        <w:rPr>
          <w:rFonts w:eastAsia="Arial"/>
          <w:b/>
          <w:smallCaps/>
          <w:sz w:val="2"/>
          <w:szCs w:val="2"/>
        </w:rPr>
      </w:pPr>
    </w:p>
    <w:p w:rsidR="006B7D88" w:rsidRPr="00EC49D7" w:rsidRDefault="006B7D88" w:rsidP="00BF2E90">
      <w:pPr>
        <w:spacing w:after="120"/>
        <w:jc w:val="center"/>
        <w:rPr>
          <w:rFonts w:eastAsia="Arial"/>
          <w:b/>
          <w:smallCaps/>
          <w:sz w:val="18"/>
          <w:szCs w:val="18"/>
        </w:rPr>
      </w:pPr>
    </w:p>
    <w:p w:rsidR="006B7D88" w:rsidRPr="00EC49D7" w:rsidRDefault="006B7D88" w:rsidP="006B7D88">
      <w:pPr>
        <w:jc w:val="center"/>
        <w:rPr>
          <w:rFonts w:eastAsia="Arial"/>
          <w:b/>
          <w:smallCaps/>
          <w:sz w:val="18"/>
          <w:szCs w:val="18"/>
        </w:rPr>
      </w:pPr>
      <w:r w:rsidRPr="00EC49D7">
        <w:rPr>
          <w:rFonts w:eastAsia="Arial"/>
          <w:b/>
          <w:smallCaps/>
          <w:sz w:val="18"/>
          <w:szCs w:val="18"/>
        </w:rPr>
        <w:lastRenderedPageBreak/>
        <w:t>Resultados Esperados</w:t>
      </w:r>
    </w:p>
    <w:tbl>
      <w:tblPr>
        <w:tblW w:w="13184"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59"/>
        <w:gridCol w:w="710"/>
        <w:gridCol w:w="631"/>
        <w:gridCol w:w="631"/>
        <w:gridCol w:w="710"/>
        <w:gridCol w:w="552"/>
        <w:gridCol w:w="552"/>
        <w:gridCol w:w="631"/>
        <w:gridCol w:w="552"/>
        <w:gridCol w:w="552"/>
        <w:gridCol w:w="1105"/>
        <w:gridCol w:w="947"/>
        <w:gridCol w:w="4252"/>
      </w:tblGrid>
      <w:tr w:rsidR="006B7D88" w:rsidRPr="00EC49D7" w:rsidTr="00FF609A">
        <w:trPr>
          <w:cantSplit/>
          <w:trHeight w:val="547"/>
        </w:trPr>
        <w:tc>
          <w:tcPr>
            <w:tcW w:w="1359"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Indicadores</w:t>
            </w:r>
          </w:p>
        </w:tc>
        <w:tc>
          <w:tcPr>
            <w:tcW w:w="710"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ind w:right="-36"/>
              <w:jc w:val="center"/>
              <w:rPr>
                <w:rFonts w:eastAsia="Arial"/>
                <w:b/>
                <w:sz w:val="18"/>
                <w:szCs w:val="18"/>
              </w:rPr>
            </w:pPr>
            <w:r w:rsidRPr="00EC49D7">
              <w:rPr>
                <w:rFonts w:eastAsia="Arial"/>
                <w:b/>
                <w:sz w:val="18"/>
                <w:szCs w:val="18"/>
              </w:rPr>
              <w:t>Unidad de Medida</w:t>
            </w:r>
          </w:p>
        </w:tc>
        <w:tc>
          <w:tcPr>
            <w:tcW w:w="63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Línea de Base</w:t>
            </w:r>
          </w:p>
        </w:tc>
        <w:tc>
          <w:tcPr>
            <w:tcW w:w="63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Año Línea de Base</w:t>
            </w:r>
          </w:p>
        </w:tc>
        <w:tc>
          <w:tcPr>
            <w:tcW w:w="710"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Año 2019</w:t>
            </w:r>
          </w:p>
        </w:tc>
        <w:tc>
          <w:tcPr>
            <w:tcW w:w="55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Año 2020</w:t>
            </w:r>
          </w:p>
        </w:tc>
        <w:tc>
          <w:tcPr>
            <w:tcW w:w="55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Año 2021</w:t>
            </w:r>
          </w:p>
        </w:tc>
        <w:tc>
          <w:tcPr>
            <w:tcW w:w="63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Año 2022</w:t>
            </w:r>
          </w:p>
        </w:tc>
        <w:tc>
          <w:tcPr>
            <w:tcW w:w="552" w:type="dxa"/>
            <w:tcBorders>
              <w:top w:val="single" w:sz="4" w:space="0" w:color="auto"/>
              <w:left w:val="single" w:sz="4" w:space="0" w:color="auto"/>
              <w:bottom w:val="single" w:sz="4" w:space="0" w:color="auto"/>
              <w:right w:val="single" w:sz="4" w:space="0" w:color="auto"/>
            </w:tcBorders>
            <w:shd w:val="clear" w:color="auto" w:fill="D9D9D9"/>
          </w:tcPr>
          <w:p w:rsidR="006B7D88" w:rsidRPr="00EC49D7" w:rsidRDefault="006B7D88" w:rsidP="000D2DAC">
            <w:pPr>
              <w:jc w:val="center"/>
              <w:rPr>
                <w:rFonts w:eastAsia="Arial"/>
                <w:b/>
                <w:sz w:val="18"/>
                <w:szCs w:val="18"/>
              </w:rPr>
            </w:pPr>
            <w:r w:rsidRPr="00EC49D7">
              <w:rPr>
                <w:rFonts w:eastAsia="Arial"/>
                <w:b/>
                <w:sz w:val="18"/>
                <w:szCs w:val="18"/>
              </w:rPr>
              <w:t>Año 2023</w:t>
            </w:r>
          </w:p>
        </w:tc>
        <w:tc>
          <w:tcPr>
            <w:tcW w:w="55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Meta Final</w:t>
            </w:r>
          </w:p>
        </w:tc>
        <w:tc>
          <w:tcPr>
            <w:tcW w:w="110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Medios de Verificación</w:t>
            </w:r>
          </w:p>
        </w:tc>
        <w:tc>
          <w:tcPr>
            <w:tcW w:w="947"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ind w:left="-102" w:right="-102"/>
              <w:jc w:val="center"/>
              <w:rPr>
                <w:rFonts w:eastAsia="Arial"/>
                <w:b/>
                <w:sz w:val="18"/>
                <w:szCs w:val="18"/>
              </w:rPr>
            </w:pPr>
            <w:r w:rsidRPr="00EC49D7">
              <w:rPr>
                <w:rFonts w:eastAsia="Arial"/>
                <w:b/>
                <w:sz w:val="18"/>
                <w:szCs w:val="18"/>
              </w:rPr>
              <w:t xml:space="preserve">Indicador para </w:t>
            </w:r>
            <w:r w:rsidRPr="00EC49D7">
              <w:rPr>
                <w:rFonts w:eastAsia="Arial"/>
                <w:b/>
                <w:sz w:val="17"/>
                <w:szCs w:val="17"/>
              </w:rPr>
              <w:t>desembolso</w:t>
            </w:r>
            <w:r w:rsidRPr="00EC49D7">
              <w:rPr>
                <w:rFonts w:eastAsia="Arial"/>
                <w:b/>
                <w:sz w:val="18"/>
                <w:szCs w:val="18"/>
              </w:rPr>
              <w:t xml:space="preserve"> (Si/No)</w:t>
            </w:r>
          </w:p>
        </w:tc>
        <w:tc>
          <w:tcPr>
            <w:tcW w:w="425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6B7D88" w:rsidRPr="00EC49D7" w:rsidRDefault="006B7D88" w:rsidP="000D2DAC">
            <w:pPr>
              <w:jc w:val="center"/>
              <w:rPr>
                <w:rFonts w:eastAsia="Arial"/>
                <w:b/>
                <w:sz w:val="18"/>
                <w:szCs w:val="18"/>
              </w:rPr>
            </w:pPr>
            <w:r w:rsidRPr="00EC49D7">
              <w:rPr>
                <w:rFonts w:eastAsia="Arial"/>
                <w:b/>
                <w:sz w:val="18"/>
                <w:szCs w:val="18"/>
              </w:rPr>
              <w:t>Comentarios</w:t>
            </w:r>
          </w:p>
        </w:tc>
      </w:tr>
      <w:tr w:rsidR="00EC49D7" w:rsidRPr="00EC49D7" w:rsidTr="00C83014">
        <w:trPr>
          <w:cantSplit/>
          <w:trHeight w:val="210"/>
        </w:trPr>
        <w:tc>
          <w:tcPr>
            <w:tcW w:w="13184" w:type="dxa"/>
            <w:gridSpan w:val="13"/>
            <w:tcBorders>
              <w:top w:val="single" w:sz="4" w:space="0" w:color="auto"/>
              <w:left w:val="single" w:sz="4" w:space="0" w:color="auto"/>
              <w:bottom w:val="single" w:sz="4" w:space="0" w:color="auto"/>
              <w:right w:val="single" w:sz="4" w:space="0" w:color="auto"/>
            </w:tcBorders>
          </w:tcPr>
          <w:p w:rsidR="00EC49D7" w:rsidRPr="00EC49D7" w:rsidRDefault="00EC49D7" w:rsidP="000D2DAC">
            <w:pPr>
              <w:rPr>
                <w:rFonts w:eastAsia="Arial"/>
                <w:b/>
                <w:sz w:val="18"/>
                <w:szCs w:val="18"/>
              </w:rPr>
            </w:pPr>
            <w:r w:rsidRPr="00EC49D7">
              <w:rPr>
                <w:rFonts w:eastAsia="Arial"/>
                <w:b/>
                <w:sz w:val="18"/>
                <w:szCs w:val="18"/>
              </w:rPr>
              <w:t>Resultado #1: Fortalecer la oferta de capital humano en habilidades digitales avanzadas</w:t>
            </w:r>
          </w:p>
        </w:tc>
      </w:tr>
      <w:tr w:rsidR="006B7D88" w:rsidRPr="00EC49D7" w:rsidTr="00FF609A">
        <w:trPr>
          <w:cantSplit/>
          <w:trHeight w:val="630"/>
        </w:trPr>
        <w:tc>
          <w:tcPr>
            <w:tcW w:w="135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rPr>
                <w:rFonts w:eastAsia="Arial"/>
                <w:sz w:val="18"/>
                <w:szCs w:val="18"/>
              </w:rPr>
            </w:pPr>
            <w:r w:rsidRPr="00EC49D7">
              <w:rPr>
                <w:rFonts w:eastAsia="Arial"/>
                <w:sz w:val="18"/>
                <w:szCs w:val="18"/>
              </w:rPr>
              <w:t>1.1 Alumnos matriculados en el programa</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w:t>
            </w:r>
          </w:p>
        </w:tc>
        <w:tc>
          <w:tcPr>
            <w:tcW w:w="631" w:type="dxa"/>
            <w:vMerge w:val="restart"/>
            <w:tcBorders>
              <w:top w:val="single" w:sz="4" w:space="0" w:color="auto"/>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color w:val="FF0000"/>
                <w:sz w:val="18"/>
                <w:szCs w:val="18"/>
              </w:rPr>
            </w:pPr>
            <w:r w:rsidRPr="00EC49D7">
              <w:rPr>
                <w:rFonts w:eastAsia="Arial"/>
                <w:sz w:val="18"/>
                <w:szCs w:val="18"/>
              </w:rPr>
              <w:t>0</w:t>
            </w:r>
          </w:p>
        </w:tc>
        <w:tc>
          <w:tcPr>
            <w:tcW w:w="631" w:type="dxa"/>
            <w:vMerge w:val="restart"/>
            <w:tcBorders>
              <w:top w:val="single" w:sz="4" w:space="0" w:color="auto"/>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2018</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50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100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150</w:t>
            </w:r>
          </w:p>
        </w:tc>
        <w:tc>
          <w:tcPr>
            <w:tcW w:w="63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200</w:t>
            </w:r>
          </w:p>
        </w:tc>
        <w:tc>
          <w:tcPr>
            <w:tcW w:w="552" w:type="dxa"/>
            <w:tcBorders>
              <w:top w:val="single" w:sz="4" w:space="0" w:color="auto"/>
              <w:left w:val="single" w:sz="4" w:space="0" w:color="auto"/>
              <w:bottom w:val="single" w:sz="4" w:space="0" w:color="auto"/>
              <w:right w:val="single" w:sz="4" w:space="0" w:color="auto"/>
            </w:tcBorders>
          </w:tcPr>
          <w:p w:rsidR="006B7D88" w:rsidRPr="00EC49D7" w:rsidRDefault="006B7D88" w:rsidP="000D2DAC">
            <w:pPr>
              <w:jc w:val="center"/>
              <w:rPr>
                <w:rFonts w:eastAsia="Arial"/>
                <w:sz w:val="18"/>
                <w:szCs w:val="18"/>
              </w:rPr>
            </w:pPr>
            <w:r w:rsidRPr="00EC49D7">
              <w:rPr>
                <w:rFonts w:eastAsia="Arial"/>
                <w:sz w:val="18"/>
                <w:szCs w:val="18"/>
              </w:rPr>
              <w:t>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500</w:t>
            </w:r>
          </w:p>
        </w:tc>
        <w:tc>
          <w:tcPr>
            <w:tcW w:w="1105" w:type="dxa"/>
            <w:vMerge w:val="restart"/>
            <w:tcBorders>
              <w:top w:val="single" w:sz="4" w:space="0" w:color="auto"/>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Informe de Gestión del Programa</w:t>
            </w:r>
          </w:p>
        </w:tc>
        <w:tc>
          <w:tcPr>
            <w:tcW w:w="947" w:type="dxa"/>
            <w:vMerge w:val="restart"/>
            <w:tcBorders>
              <w:top w:val="single" w:sz="4" w:space="0" w:color="auto"/>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Si</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Los que cursaron íntegramente el programa en el año lectivo.</w:t>
            </w:r>
          </w:p>
        </w:tc>
      </w:tr>
      <w:tr w:rsidR="006B7D88" w:rsidRPr="00EC49D7" w:rsidTr="00FF609A">
        <w:trPr>
          <w:cantSplit/>
          <w:trHeight w:val="1240"/>
        </w:trPr>
        <w:tc>
          <w:tcPr>
            <w:tcW w:w="135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rPr>
                <w:rFonts w:eastAsia="Arial"/>
                <w:color w:val="FF0000"/>
                <w:sz w:val="18"/>
                <w:szCs w:val="18"/>
              </w:rPr>
            </w:pPr>
            <w:r w:rsidRPr="00EC49D7">
              <w:rPr>
                <w:rFonts w:eastAsia="Arial"/>
                <w:sz w:val="18"/>
                <w:szCs w:val="18"/>
              </w:rPr>
              <w:t>1.2 Porcentaje Alumnos graduados del programa</w:t>
            </w:r>
            <w:r w:rsidRPr="00EC49D7">
              <w:rPr>
                <w:rStyle w:val="FootnoteReference"/>
                <w:rFonts w:eastAsia="Arial"/>
                <w:sz w:val="18"/>
                <w:szCs w:val="18"/>
              </w:rPr>
              <w:footnoteReference w:id="11"/>
            </w:r>
          </w:p>
        </w:tc>
        <w:tc>
          <w:tcPr>
            <w:tcW w:w="710" w:type="dxa"/>
            <w:vMerge w:val="restart"/>
            <w:tcBorders>
              <w:top w:val="single" w:sz="4" w:space="0" w:color="auto"/>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w:t>
            </w:r>
          </w:p>
        </w:tc>
        <w:tc>
          <w:tcPr>
            <w:tcW w:w="631" w:type="dxa"/>
            <w:vMerge/>
            <w:tcBorders>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631" w:type="dxa"/>
            <w:vMerge/>
            <w:tcBorders>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70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70</w:t>
            </w:r>
          </w:p>
        </w:tc>
        <w:tc>
          <w:tcPr>
            <w:tcW w:w="63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70</w:t>
            </w:r>
          </w:p>
        </w:tc>
        <w:tc>
          <w:tcPr>
            <w:tcW w:w="552" w:type="dxa"/>
            <w:tcBorders>
              <w:top w:val="single" w:sz="4" w:space="0" w:color="auto"/>
              <w:left w:val="single" w:sz="4" w:space="0" w:color="auto"/>
              <w:bottom w:val="single" w:sz="4" w:space="0" w:color="auto"/>
              <w:right w:val="single" w:sz="4" w:space="0" w:color="auto"/>
            </w:tcBorders>
          </w:tcPr>
          <w:p w:rsidR="006B7D88" w:rsidRPr="00EC49D7" w:rsidRDefault="006B7D88" w:rsidP="000D2DAC">
            <w:pPr>
              <w:jc w:val="center"/>
              <w:rPr>
                <w:rFonts w:eastAsia="Arial"/>
                <w:sz w:val="18"/>
                <w:szCs w:val="18"/>
              </w:rPr>
            </w:pPr>
          </w:p>
          <w:p w:rsidR="006B7D88" w:rsidRPr="00EC49D7" w:rsidRDefault="006B7D88" w:rsidP="000D2DAC">
            <w:pPr>
              <w:jc w:val="center"/>
              <w:rPr>
                <w:rFonts w:eastAsia="Arial"/>
                <w:sz w:val="18"/>
                <w:szCs w:val="18"/>
              </w:rPr>
            </w:pPr>
          </w:p>
          <w:p w:rsidR="006B7D88" w:rsidRPr="00EC49D7" w:rsidRDefault="006B7D88" w:rsidP="000D2DAC">
            <w:pPr>
              <w:jc w:val="center"/>
              <w:rPr>
                <w:rFonts w:eastAsia="Arial"/>
                <w:sz w:val="18"/>
                <w:szCs w:val="18"/>
              </w:rPr>
            </w:pPr>
            <w:r w:rsidRPr="00EC49D7">
              <w:rPr>
                <w:rFonts w:eastAsia="Arial"/>
                <w:sz w:val="18"/>
                <w:szCs w:val="18"/>
              </w:rPr>
              <w:t>70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70</w:t>
            </w:r>
            <w:r w:rsidRPr="00EC49D7">
              <w:rPr>
                <w:rStyle w:val="FootnoteReference"/>
                <w:rFonts w:eastAsia="Arial"/>
                <w:sz w:val="18"/>
                <w:szCs w:val="18"/>
              </w:rPr>
              <w:footnoteReference w:id="12"/>
            </w:r>
          </w:p>
        </w:tc>
        <w:tc>
          <w:tcPr>
            <w:tcW w:w="1105" w:type="dxa"/>
            <w:vMerge/>
            <w:tcBorders>
              <w:left w:val="single" w:sz="4" w:space="0" w:color="auto"/>
              <w:right w:val="single" w:sz="4" w:space="0" w:color="auto"/>
            </w:tcBorders>
            <w:shd w:val="clear" w:color="auto" w:fill="auto"/>
            <w:tcMar>
              <w:top w:w="0" w:type="dxa"/>
              <w:left w:w="100" w:type="dxa"/>
              <w:bottom w:w="0" w:type="dxa"/>
              <w:right w:w="100" w:type="dxa"/>
            </w:tcMar>
          </w:tcPr>
          <w:p w:rsidR="006B7D88" w:rsidRPr="00EC49D7" w:rsidRDefault="006B7D88" w:rsidP="000D2DAC">
            <w:pPr>
              <w:jc w:val="center"/>
              <w:rPr>
                <w:rFonts w:eastAsia="Arial"/>
                <w:sz w:val="18"/>
                <w:szCs w:val="18"/>
              </w:rPr>
            </w:pPr>
          </w:p>
        </w:tc>
        <w:tc>
          <w:tcPr>
            <w:tcW w:w="947" w:type="dxa"/>
            <w:vMerge/>
            <w:tcBorders>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En cada año el denominador estará definido por el número del 1.1 y el numerador refiere al total de los graduados que cursaron y se matricularon ese mismo año. Es una estimación conservadora de la tasa de graduación del Sistema Nacional de Becas de Posgrado (SNBP). Fuente: ISA (2017) ANII.</w:t>
            </w:r>
          </w:p>
        </w:tc>
      </w:tr>
      <w:tr w:rsidR="006B7D88" w:rsidRPr="00EC49D7" w:rsidTr="00FF609A">
        <w:trPr>
          <w:cantSplit/>
          <w:trHeight w:val="1240"/>
        </w:trPr>
        <w:tc>
          <w:tcPr>
            <w:tcW w:w="135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rPr>
                <w:rFonts w:eastAsia="Arial"/>
                <w:color w:val="FF0000"/>
                <w:sz w:val="18"/>
                <w:szCs w:val="18"/>
              </w:rPr>
            </w:pPr>
            <w:r w:rsidRPr="00EC49D7">
              <w:rPr>
                <w:rFonts w:eastAsia="Arial"/>
                <w:sz w:val="18"/>
                <w:szCs w:val="18"/>
              </w:rPr>
              <w:t xml:space="preserve">1.3 </w:t>
            </w:r>
            <w:bookmarkStart w:id="0" w:name="_Hlk524023436"/>
            <w:r w:rsidRPr="00EC49D7">
              <w:rPr>
                <w:rFonts w:eastAsia="Arial"/>
                <w:sz w:val="18"/>
                <w:szCs w:val="18"/>
              </w:rPr>
              <w:t>Porcentaje de docentes locales graduados</w:t>
            </w:r>
            <w:bookmarkEnd w:id="0"/>
            <w:r w:rsidRPr="00EC49D7">
              <w:rPr>
                <w:rStyle w:val="FootnoteReference"/>
                <w:rFonts w:eastAsia="Arial"/>
                <w:sz w:val="18"/>
                <w:szCs w:val="18"/>
              </w:rPr>
              <w:footnoteReference w:id="13"/>
            </w:r>
          </w:p>
        </w:tc>
        <w:tc>
          <w:tcPr>
            <w:tcW w:w="710" w:type="dxa"/>
            <w:vMerge/>
            <w:tcBorders>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631" w:type="dxa"/>
            <w:vMerge/>
            <w:tcBorders>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631" w:type="dxa"/>
            <w:vMerge/>
            <w:tcBorders>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80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80</w:t>
            </w:r>
          </w:p>
        </w:tc>
        <w:tc>
          <w:tcPr>
            <w:tcW w:w="63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80</w:t>
            </w:r>
          </w:p>
        </w:tc>
        <w:tc>
          <w:tcPr>
            <w:tcW w:w="552" w:type="dxa"/>
            <w:tcBorders>
              <w:top w:val="single" w:sz="4" w:space="0" w:color="auto"/>
              <w:left w:val="single" w:sz="4" w:space="0" w:color="auto"/>
              <w:bottom w:val="single" w:sz="4" w:space="0" w:color="auto"/>
              <w:right w:val="single" w:sz="4" w:space="0" w:color="auto"/>
            </w:tcBorders>
          </w:tcPr>
          <w:p w:rsidR="006B7D88" w:rsidRPr="00EC49D7" w:rsidRDefault="006B7D88" w:rsidP="000D2DAC">
            <w:pPr>
              <w:jc w:val="center"/>
              <w:rPr>
                <w:rFonts w:eastAsia="Arial"/>
                <w:sz w:val="18"/>
                <w:szCs w:val="18"/>
              </w:rPr>
            </w:pPr>
          </w:p>
          <w:p w:rsidR="006B7D88" w:rsidRPr="00EC49D7" w:rsidRDefault="006B7D88" w:rsidP="000D2DAC">
            <w:pPr>
              <w:jc w:val="center"/>
              <w:rPr>
                <w:rFonts w:eastAsia="Arial"/>
                <w:sz w:val="18"/>
                <w:szCs w:val="18"/>
              </w:rPr>
            </w:pPr>
          </w:p>
          <w:p w:rsidR="006B7D88" w:rsidRPr="00EC49D7" w:rsidRDefault="006B7D88" w:rsidP="000D2DAC">
            <w:pPr>
              <w:jc w:val="center"/>
              <w:rPr>
                <w:rFonts w:eastAsia="Arial"/>
                <w:sz w:val="18"/>
                <w:szCs w:val="18"/>
              </w:rPr>
            </w:pPr>
          </w:p>
          <w:p w:rsidR="006B7D88" w:rsidRPr="00EC49D7" w:rsidRDefault="006B7D88" w:rsidP="000D2DAC">
            <w:pPr>
              <w:jc w:val="center"/>
              <w:rPr>
                <w:rFonts w:eastAsia="Arial"/>
                <w:sz w:val="18"/>
                <w:szCs w:val="18"/>
              </w:rPr>
            </w:pPr>
            <w:r w:rsidRPr="00EC49D7">
              <w:rPr>
                <w:rFonts w:eastAsia="Arial"/>
                <w:sz w:val="18"/>
                <w:szCs w:val="18"/>
              </w:rPr>
              <w:t>80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80</w:t>
            </w:r>
          </w:p>
        </w:tc>
        <w:tc>
          <w:tcPr>
            <w:tcW w:w="1105" w:type="dxa"/>
            <w:vMerge/>
            <w:tcBorders>
              <w:left w:val="single" w:sz="4" w:space="0" w:color="auto"/>
              <w:right w:val="single" w:sz="4" w:space="0" w:color="auto"/>
            </w:tcBorders>
            <w:shd w:val="clear" w:color="auto" w:fill="auto"/>
            <w:tcMar>
              <w:top w:w="0" w:type="dxa"/>
              <w:left w:w="100" w:type="dxa"/>
              <w:bottom w:w="0" w:type="dxa"/>
              <w:right w:w="100" w:type="dxa"/>
            </w:tcMar>
          </w:tcPr>
          <w:p w:rsidR="006B7D88" w:rsidRPr="00EC49D7" w:rsidRDefault="006B7D88" w:rsidP="000D2DAC">
            <w:pPr>
              <w:jc w:val="center"/>
              <w:rPr>
                <w:rFonts w:eastAsia="Arial"/>
                <w:sz w:val="18"/>
                <w:szCs w:val="18"/>
              </w:rPr>
            </w:pPr>
          </w:p>
        </w:tc>
        <w:tc>
          <w:tcPr>
            <w:tcW w:w="947" w:type="dxa"/>
            <w:vMerge w:val="restart"/>
            <w:tcBorders>
              <w:top w:val="single" w:sz="4" w:space="0" w:color="auto"/>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No</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El denominador será los docentes que se matriculen durante ese año lectivo y el numerador será los que finalicen de los matriculados en ese año. Es una estimación conservadora de la tasa de graduación del SNBP. Fuente: ISA (2017) ANII. Docentes tienden a tener una tasa de graduación superior.</w:t>
            </w:r>
          </w:p>
        </w:tc>
      </w:tr>
      <w:tr w:rsidR="006B7D88" w:rsidRPr="00EC49D7" w:rsidTr="00FF609A">
        <w:trPr>
          <w:cantSplit/>
          <w:trHeight w:val="1660"/>
        </w:trPr>
        <w:tc>
          <w:tcPr>
            <w:tcW w:w="135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rPr>
                <w:rFonts w:eastAsia="Arial"/>
                <w:sz w:val="18"/>
                <w:szCs w:val="18"/>
              </w:rPr>
            </w:pPr>
            <w:r w:rsidRPr="00EC49D7">
              <w:rPr>
                <w:rFonts w:eastAsia="Arial"/>
                <w:sz w:val="18"/>
                <w:szCs w:val="18"/>
              </w:rPr>
              <w:t>1.4 Porcentaje de graduados totales que realizan actividades SBIC en el país</w:t>
            </w:r>
          </w:p>
        </w:tc>
        <w:tc>
          <w:tcPr>
            <w:tcW w:w="710" w:type="dxa"/>
            <w:vMerge/>
            <w:tcBorders>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631" w:type="dxa"/>
            <w:vMerge/>
            <w:tcBorders>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631" w:type="dxa"/>
            <w:vMerge/>
            <w:tcBorders>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40</w:t>
            </w:r>
          </w:p>
        </w:tc>
        <w:tc>
          <w:tcPr>
            <w:tcW w:w="63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40</w:t>
            </w:r>
          </w:p>
        </w:tc>
        <w:tc>
          <w:tcPr>
            <w:tcW w:w="552" w:type="dxa"/>
            <w:tcBorders>
              <w:top w:val="single" w:sz="4" w:space="0" w:color="auto"/>
              <w:left w:val="single" w:sz="4" w:space="0" w:color="auto"/>
              <w:bottom w:val="single" w:sz="4" w:space="0" w:color="auto"/>
              <w:right w:val="single" w:sz="4" w:space="0" w:color="auto"/>
            </w:tcBorders>
          </w:tcPr>
          <w:p w:rsidR="006B7D88" w:rsidRPr="00EC49D7" w:rsidRDefault="006B7D88" w:rsidP="000D2DAC">
            <w:pPr>
              <w:jc w:val="center"/>
              <w:rPr>
                <w:rFonts w:eastAsia="Arial"/>
                <w:sz w:val="18"/>
                <w:szCs w:val="18"/>
              </w:rPr>
            </w:pPr>
          </w:p>
          <w:p w:rsidR="006B7D88" w:rsidRPr="00EC49D7" w:rsidRDefault="006B7D88" w:rsidP="000D2DAC">
            <w:pPr>
              <w:jc w:val="center"/>
              <w:rPr>
                <w:rFonts w:eastAsia="Arial"/>
                <w:sz w:val="18"/>
                <w:szCs w:val="18"/>
              </w:rPr>
            </w:pPr>
          </w:p>
          <w:p w:rsidR="006B7D88" w:rsidRPr="00EC49D7" w:rsidRDefault="006B7D88" w:rsidP="000D2DAC">
            <w:pPr>
              <w:jc w:val="center"/>
              <w:rPr>
                <w:rFonts w:eastAsia="Arial"/>
                <w:sz w:val="18"/>
                <w:szCs w:val="18"/>
              </w:rPr>
            </w:pPr>
          </w:p>
          <w:p w:rsidR="006B7D88" w:rsidRPr="00EC49D7" w:rsidRDefault="006B7D88" w:rsidP="000D2DAC">
            <w:pPr>
              <w:jc w:val="center"/>
              <w:rPr>
                <w:rFonts w:eastAsia="Arial"/>
                <w:sz w:val="18"/>
                <w:szCs w:val="18"/>
              </w:rPr>
            </w:pPr>
            <w:r w:rsidRPr="00EC49D7">
              <w:rPr>
                <w:rFonts w:eastAsia="Arial"/>
                <w:sz w:val="18"/>
                <w:szCs w:val="18"/>
              </w:rPr>
              <w:t>40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40</w:t>
            </w:r>
          </w:p>
        </w:tc>
        <w:tc>
          <w:tcPr>
            <w:tcW w:w="1105" w:type="dxa"/>
            <w:vMerge/>
            <w:tcBorders>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7D88" w:rsidRPr="00EC49D7" w:rsidRDefault="006B7D88" w:rsidP="000D2DAC">
            <w:pPr>
              <w:jc w:val="center"/>
              <w:rPr>
                <w:rFonts w:eastAsia="Arial"/>
                <w:sz w:val="18"/>
                <w:szCs w:val="18"/>
              </w:rPr>
            </w:pPr>
          </w:p>
        </w:tc>
        <w:tc>
          <w:tcPr>
            <w:tcW w:w="947" w:type="dxa"/>
            <w:vMerge/>
            <w:tcBorders>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7D88" w:rsidRPr="00EC49D7" w:rsidRDefault="006B7D88" w:rsidP="000D2DAC">
            <w:pPr>
              <w:jc w:val="center"/>
              <w:rPr>
                <w:rFonts w:eastAsia="Arial"/>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 xml:space="preserve">El denominador será los alumnos graduados y el numerador será los que realicen actividades, en este caso los valores se acumulan a lo largo del programa. Se refiere a actividad SBIC aquella en cualquier sector productivo que tenga altos componentes de TICs en sus procesos de ideación y/o producción. Fuente: entrevistas y </w:t>
            </w:r>
            <w:proofErr w:type="spellStart"/>
            <w:r w:rsidRPr="00EC49D7">
              <w:rPr>
                <w:rFonts w:eastAsia="Arial"/>
                <w:i/>
                <w:sz w:val="18"/>
                <w:szCs w:val="18"/>
              </w:rPr>
              <w:t>focus</w:t>
            </w:r>
            <w:proofErr w:type="spellEnd"/>
            <w:r w:rsidRPr="00EC49D7">
              <w:rPr>
                <w:rFonts w:eastAsia="Arial"/>
                <w:i/>
                <w:sz w:val="18"/>
                <w:szCs w:val="18"/>
              </w:rPr>
              <w:t xml:space="preserve"> </w:t>
            </w:r>
            <w:proofErr w:type="spellStart"/>
            <w:r w:rsidRPr="00EC49D7">
              <w:rPr>
                <w:rFonts w:eastAsia="Arial"/>
                <w:i/>
                <w:sz w:val="18"/>
                <w:szCs w:val="18"/>
              </w:rPr>
              <w:t>groups</w:t>
            </w:r>
            <w:proofErr w:type="spellEnd"/>
            <w:r w:rsidRPr="00EC49D7">
              <w:rPr>
                <w:rFonts w:eastAsia="Arial"/>
                <w:sz w:val="18"/>
                <w:szCs w:val="18"/>
              </w:rPr>
              <w:t xml:space="preserve"> con posibles beneficiarios durante el diseño. </w:t>
            </w:r>
          </w:p>
        </w:tc>
      </w:tr>
    </w:tbl>
    <w:p w:rsidR="00FF609A" w:rsidRPr="00EC49D7" w:rsidRDefault="00FF609A">
      <w:r w:rsidRPr="00EC49D7">
        <w:br w:type="page"/>
      </w:r>
    </w:p>
    <w:tbl>
      <w:tblPr>
        <w:tblW w:w="13184"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59"/>
        <w:gridCol w:w="710"/>
        <w:gridCol w:w="631"/>
        <w:gridCol w:w="631"/>
        <w:gridCol w:w="710"/>
        <w:gridCol w:w="552"/>
        <w:gridCol w:w="552"/>
        <w:gridCol w:w="631"/>
        <w:gridCol w:w="552"/>
        <w:gridCol w:w="552"/>
        <w:gridCol w:w="1105"/>
        <w:gridCol w:w="947"/>
        <w:gridCol w:w="4252"/>
      </w:tblGrid>
      <w:tr w:rsidR="00EC49D7" w:rsidRPr="00EC49D7" w:rsidTr="00EC49D7">
        <w:trPr>
          <w:cantSplit/>
          <w:trHeight w:val="144"/>
        </w:trPr>
        <w:tc>
          <w:tcPr>
            <w:tcW w:w="1359"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jc w:val="center"/>
              <w:rPr>
                <w:rFonts w:eastAsia="Arial"/>
                <w:b/>
                <w:sz w:val="18"/>
                <w:szCs w:val="18"/>
              </w:rPr>
            </w:pPr>
            <w:r w:rsidRPr="00EC49D7">
              <w:rPr>
                <w:rFonts w:eastAsia="Arial"/>
                <w:b/>
                <w:sz w:val="18"/>
                <w:szCs w:val="18"/>
              </w:rPr>
              <w:lastRenderedPageBreak/>
              <w:t>Indicadores</w:t>
            </w:r>
          </w:p>
        </w:tc>
        <w:tc>
          <w:tcPr>
            <w:tcW w:w="710"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ind w:right="-36"/>
              <w:jc w:val="center"/>
              <w:rPr>
                <w:rFonts w:eastAsia="Arial"/>
                <w:b/>
                <w:sz w:val="18"/>
                <w:szCs w:val="18"/>
              </w:rPr>
            </w:pPr>
            <w:r w:rsidRPr="00EC49D7">
              <w:rPr>
                <w:rFonts w:eastAsia="Arial"/>
                <w:b/>
                <w:sz w:val="18"/>
                <w:szCs w:val="18"/>
              </w:rPr>
              <w:t>Unidad de Medida</w:t>
            </w:r>
          </w:p>
        </w:tc>
        <w:tc>
          <w:tcPr>
            <w:tcW w:w="63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jc w:val="center"/>
              <w:rPr>
                <w:rFonts w:eastAsia="Arial"/>
                <w:b/>
                <w:sz w:val="18"/>
                <w:szCs w:val="18"/>
              </w:rPr>
            </w:pPr>
            <w:r w:rsidRPr="00EC49D7">
              <w:rPr>
                <w:rFonts w:eastAsia="Arial"/>
                <w:b/>
                <w:sz w:val="18"/>
                <w:szCs w:val="18"/>
              </w:rPr>
              <w:t>Línea de Base</w:t>
            </w:r>
          </w:p>
        </w:tc>
        <w:tc>
          <w:tcPr>
            <w:tcW w:w="63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jc w:val="center"/>
              <w:rPr>
                <w:rFonts w:eastAsia="Arial"/>
                <w:b/>
                <w:sz w:val="18"/>
                <w:szCs w:val="18"/>
              </w:rPr>
            </w:pPr>
            <w:r w:rsidRPr="00EC49D7">
              <w:rPr>
                <w:rFonts w:eastAsia="Arial"/>
                <w:b/>
                <w:sz w:val="18"/>
                <w:szCs w:val="18"/>
              </w:rPr>
              <w:t>Año Línea de Base</w:t>
            </w:r>
          </w:p>
        </w:tc>
        <w:tc>
          <w:tcPr>
            <w:tcW w:w="710"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jc w:val="center"/>
              <w:rPr>
                <w:rFonts w:eastAsia="Arial"/>
                <w:b/>
                <w:sz w:val="18"/>
                <w:szCs w:val="18"/>
              </w:rPr>
            </w:pPr>
            <w:r w:rsidRPr="00EC49D7">
              <w:rPr>
                <w:rFonts w:eastAsia="Arial"/>
                <w:b/>
                <w:sz w:val="18"/>
                <w:szCs w:val="18"/>
              </w:rPr>
              <w:t>Año 2019</w:t>
            </w:r>
          </w:p>
        </w:tc>
        <w:tc>
          <w:tcPr>
            <w:tcW w:w="55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jc w:val="center"/>
              <w:rPr>
                <w:rFonts w:eastAsia="Arial"/>
                <w:b/>
                <w:sz w:val="18"/>
                <w:szCs w:val="18"/>
              </w:rPr>
            </w:pPr>
            <w:r w:rsidRPr="00EC49D7">
              <w:rPr>
                <w:rFonts w:eastAsia="Arial"/>
                <w:b/>
                <w:sz w:val="18"/>
                <w:szCs w:val="18"/>
              </w:rPr>
              <w:t>Año 2020</w:t>
            </w:r>
          </w:p>
        </w:tc>
        <w:tc>
          <w:tcPr>
            <w:tcW w:w="55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jc w:val="center"/>
              <w:rPr>
                <w:rFonts w:eastAsia="Arial"/>
                <w:b/>
                <w:sz w:val="18"/>
                <w:szCs w:val="18"/>
              </w:rPr>
            </w:pPr>
            <w:r w:rsidRPr="00EC49D7">
              <w:rPr>
                <w:rFonts w:eastAsia="Arial"/>
                <w:b/>
                <w:sz w:val="18"/>
                <w:szCs w:val="18"/>
              </w:rPr>
              <w:t>Año 2021</w:t>
            </w:r>
          </w:p>
        </w:tc>
        <w:tc>
          <w:tcPr>
            <w:tcW w:w="63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jc w:val="center"/>
              <w:rPr>
                <w:rFonts w:eastAsia="Arial"/>
                <w:b/>
                <w:sz w:val="18"/>
                <w:szCs w:val="18"/>
              </w:rPr>
            </w:pPr>
            <w:r w:rsidRPr="00EC49D7">
              <w:rPr>
                <w:rFonts w:eastAsia="Arial"/>
                <w:b/>
                <w:sz w:val="18"/>
                <w:szCs w:val="18"/>
              </w:rPr>
              <w:t>Año 2022</w:t>
            </w:r>
          </w:p>
        </w:tc>
        <w:tc>
          <w:tcPr>
            <w:tcW w:w="552" w:type="dxa"/>
            <w:tcBorders>
              <w:top w:val="single" w:sz="4" w:space="0" w:color="auto"/>
              <w:left w:val="single" w:sz="4" w:space="0" w:color="auto"/>
              <w:bottom w:val="single" w:sz="4" w:space="0" w:color="auto"/>
              <w:right w:val="single" w:sz="4" w:space="0" w:color="auto"/>
            </w:tcBorders>
            <w:shd w:val="clear" w:color="auto" w:fill="D9D9D9"/>
          </w:tcPr>
          <w:p w:rsidR="00EC49D7" w:rsidRPr="00EC49D7" w:rsidRDefault="00EC49D7" w:rsidP="003057A8">
            <w:pPr>
              <w:jc w:val="center"/>
              <w:rPr>
                <w:rFonts w:eastAsia="Arial"/>
                <w:b/>
                <w:sz w:val="18"/>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jc w:val="center"/>
              <w:rPr>
                <w:rFonts w:eastAsia="Arial"/>
                <w:b/>
                <w:sz w:val="18"/>
                <w:szCs w:val="18"/>
              </w:rPr>
            </w:pPr>
            <w:r w:rsidRPr="00EC49D7">
              <w:rPr>
                <w:rFonts w:eastAsia="Arial"/>
                <w:b/>
                <w:sz w:val="18"/>
                <w:szCs w:val="18"/>
              </w:rPr>
              <w:t>Meta Final</w:t>
            </w:r>
          </w:p>
        </w:tc>
        <w:tc>
          <w:tcPr>
            <w:tcW w:w="110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jc w:val="center"/>
              <w:rPr>
                <w:rFonts w:eastAsia="Arial"/>
                <w:b/>
                <w:sz w:val="18"/>
                <w:szCs w:val="18"/>
              </w:rPr>
            </w:pPr>
            <w:r w:rsidRPr="00EC49D7">
              <w:rPr>
                <w:rFonts w:eastAsia="Arial"/>
                <w:b/>
                <w:sz w:val="18"/>
                <w:szCs w:val="18"/>
              </w:rPr>
              <w:t>Medios de Verificación</w:t>
            </w:r>
          </w:p>
        </w:tc>
        <w:tc>
          <w:tcPr>
            <w:tcW w:w="947"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ind w:left="-102" w:right="-102"/>
              <w:jc w:val="center"/>
              <w:rPr>
                <w:rFonts w:eastAsia="Arial"/>
                <w:b/>
                <w:sz w:val="18"/>
                <w:szCs w:val="18"/>
              </w:rPr>
            </w:pPr>
            <w:r w:rsidRPr="00EC49D7">
              <w:rPr>
                <w:rFonts w:eastAsia="Arial"/>
                <w:b/>
                <w:sz w:val="18"/>
                <w:szCs w:val="18"/>
              </w:rPr>
              <w:t xml:space="preserve">Indicador para </w:t>
            </w:r>
            <w:r w:rsidRPr="00EC49D7">
              <w:rPr>
                <w:rFonts w:eastAsia="Arial"/>
                <w:b/>
                <w:sz w:val="17"/>
                <w:szCs w:val="17"/>
              </w:rPr>
              <w:t>desembolso</w:t>
            </w:r>
            <w:r w:rsidRPr="00EC49D7">
              <w:rPr>
                <w:rFonts w:eastAsia="Arial"/>
                <w:b/>
                <w:sz w:val="18"/>
                <w:szCs w:val="18"/>
              </w:rPr>
              <w:t xml:space="preserve"> (Si/No)</w:t>
            </w:r>
          </w:p>
        </w:tc>
        <w:tc>
          <w:tcPr>
            <w:tcW w:w="425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EC49D7" w:rsidRPr="00EC49D7" w:rsidRDefault="00EC49D7" w:rsidP="003057A8">
            <w:pPr>
              <w:jc w:val="center"/>
              <w:rPr>
                <w:rFonts w:eastAsia="Arial"/>
                <w:b/>
                <w:sz w:val="18"/>
                <w:szCs w:val="18"/>
              </w:rPr>
            </w:pPr>
            <w:r w:rsidRPr="00EC49D7">
              <w:rPr>
                <w:rFonts w:eastAsia="Arial"/>
                <w:b/>
                <w:sz w:val="18"/>
                <w:szCs w:val="18"/>
              </w:rPr>
              <w:t>Comentarios</w:t>
            </w:r>
          </w:p>
        </w:tc>
      </w:tr>
      <w:tr w:rsidR="00EC49D7" w:rsidRPr="00EC49D7" w:rsidTr="0054231F">
        <w:trPr>
          <w:cantSplit/>
          <w:trHeight w:val="210"/>
        </w:trPr>
        <w:tc>
          <w:tcPr>
            <w:tcW w:w="13184" w:type="dxa"/>
            <w:gridSpan w:val="13"/>
            <w:tcBorders>
              <w:top w:val="single" w:sz="4" w:space="0" w:color="auto"/>
              <w:left w:val="single" w:sz="4" w:space="0" w:color="auto"/>
              <w:bottom w:val="single" w:sz="4" w:space="0" w:color="auto"/>
              <w:right w:val="single" w:sz="4" w:space="0" w:color="auto"/>
            </w:tcBorders>
          </w:tcPr>
          <w:p w:rsidR="00EC49D7" w:rsidRPr="00EC49D7" w:rsidRDefault="00EC49D7" w:rsidP="000D2DAC">
            <w:pPr>
              <w:rPr>
                <w:rFonts w:eastAsia="Arial"/>
                <w:b/>
                <w:sz w:val="18"/>
                <w:szCs w:val="18"/>
              </w:rPr>
            </w:pPr>
            <w:r w:rsidRPr="00EC49D7">
              <w:rPr>
                <w:rFonts w:eastAsia="Arial"/>
                <w:b/>
                <w:sz w:val="18"/>
                <w:szCs w:val="18"/>
              </w:rPr>
              <w:t>Resultado #2: Fortalecimiento del ecosistema emprendedor SBIC</w:t>
            </w:r>
          </w:p>
        </w:tc>
      </w:tr>
      <w:tr w:rsidR="00FF609A" w:rsidRPr="00EC49D7" w:rsidTr="00EC49D7">
        <w:trPr>
          <w:cantSplit/>
          <w:trHeight w:val="144"/>
        </w:trPr>
        <w:tc>
          <w:tcPr>
            <w:tcW w:w="13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rPr>
                <w:rFonts w:eastAsia="Arial"/>
                <w:sz w:val="18"/>
                <w:szCs w:val="18"/>
              </w:rPr>
            </w:pPr>
            <w:r w:rsidRPr="00EC49D7">
              <w:rPr>
                <w:rFonts w:eastAsia="Arial"/>
                <w:sz w:val="18"/>
                <w:szCs w:val="18"/>
              </w:rPr>
              <w:t xml:space="preserve">2.1 Porcentaje de graduados totales que inician empresas SBIC </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w:t>
            </w:r>
          </w:p>
        </w:tc>
        <w:tc>
          <w:tcPr>
            <w:tcW w:w="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0</w:t>
            </w:r>
          </w:p>
        </w:tc>
        <w:tc>
          <w:tcPr>
            <w:tcW w:w="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2018</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5</w:t>
            </w:r>
          </w:p>
        </w:tc>
        <w:tc>
          <w:tcPr>
            <w:tcW w:w="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5</w:t>
            </w:r>
          </w:p>
        </w:tc>
        <w:tc>
          <w:tcPr>
            <w:tcW w:w="552" w:type="dxa"/>
            <w:tcBorders>
              <w:top w:val="single" w:sz="4" w:space="0" w:color="auto"/>
              <w:left w:val="single" w:sz="4" w:space="0" w:color="auto"/>
              <w:bottom w:val="single" w:sz="4" w:space="0" w:color="auto"/>
              <w:right w:val="single" w:sz="4" w:space="0" w:color="auto"/>
            </w:tcBorders>
          </w:tcPr>
          <w:p w:rsidR="006B7D88" w:rsidRPr="00EC49D7" w:rsidRDefault="006B7D88" w:rsidP="00FF609A">
            <w:pPr>
              <w:rPr>
                <w:rFonts w:eastAsia="Arial"/>
                <w:sz w:val="18"/>
                <w:szCs w:val="18"/>
              </w:rPr>
            </w:pPr>
            <w:r w:rsidRPr="00EC49D7">
              <w:rPr>
                <w:rFonts w:eastAsia="Arial"/>
                <w:sz w:val="18"/>
                <w:szCs w:val="18"/>
              </w:rPr>
              <w:t>5</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5</w:t>
            </w:r>
          </w:p>
        </w:tc>
        <w:tc>
          <w:tcPr>
            <w:tcW w:w="11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Encuesta UTEC</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No</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 xml:space="preserve">Se refiere a iniciar una empresa a aquellas empresas con inicio de actividades inscrito en Dirección General Impositiva (DGI). La meta es consistente con la Tasa de Actividad Emprendedora por oportunidad del Global </w:t>
            </w:r>
            <w:proofErr w:type="spellStart"/>
            <w:r w:rsidRPr="00EC49D7">
              <w:rPr>
                <w:rFonts w:eastAsia="Arial"/>
                <w:i/>
                <w:sz w:val="18"/>
                <w:szCs w:val="18"/>
              </w:rPr>
              <w:t>Entrepreneurship</w:t>
            </w:r>
            <w:proofErr w:type="spellEnd"/>
            <w:r w:rsidRPr="00EC49D7">
              <w:rPr>
                <w:rFonts w:eastAsia="Arial"/>
                <w:sz w:val="18"/>
                <w:szCs w:val="18"/>
              </w:rPr>
              <w:t xml:space="preserve"> Monitor 2017 para Uruguay.</w:t>
            </w:r>
          </w:p>
        </w:tc>
      </w:tr>
      <w:tr w:rsidR="00FF609A" w:rsidRPr="00EC49D7" w:rsidTr="00EC49D7">
        <w:trPr>
          <w:cantSplit/>
          <w:trHeight w:val="144"/>
        </w:trPr>
        <w:tc>
          <w:tcPr>
            <w:tcW w:w="135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rPr>
                <w:rFonts w:eastAsia="Arial"/>
                <w:sz w:val="18"/>
                <w:szCs w:val="18"/>
              </w:rPr>
            </w:pPr>
            <w:r w:rsidRPr="00EC49D7">
              <w:rPr>
                <w:rFonts w:eastAsia="Arial"/>
                <w:sz w:val="18"/>
                <w:szCs w:val="18"/>
              </w:rPr>
              <w:t xml:space="preserve">2.2 </w:t>
            </w:r>
            <w:bookmarkStart w:id="2" w:name="_Hlk524023140"/>
            <w:r w:rsidRPr="00EC49D7">
              <w:rPr>
                <w:rFonts w:eastAsia="Arial"/>
                <w:sz w:val="18"/>
                <w:szCs w:val="18"/>
              </w:rPr>
              <w:t>Emprendimientos creados o innovaciones generadas asociadas al programa</w:t>
            </w:r>
            <w:bookmarkEnd w:id="2"/>
            <w:r w:rsidRPr="00EC49D7">
              <w:rPr>
                <w:rStyle w:val="FootnoteReference"/>
                <w:rFonts w:eastAsia="Arial"/>
                <w:sz w:val="18"/>
                <w:szCs w:val="18"/>
              </w:rPr>
              <w:footnoteReference w:id="14"/>
            </w:r>
          </w:p>
        </w:tc>
        <w:tc>
          <w:tcPr>
            <w:tcW w:w="710" w:type="dxa"/>
            <w:vMerge w:val="restart"/>
            <w:tcBorders>
              <w:top w:val="single" w:sz="4" w:space="0" w:color="auto"/>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ind w:left="-102" w:right="-96"/>
              <w:jc w:val="center"/>
              <w:rPr>
                <w:rFonts w:eastAsia="Arial"/>
                <w:sz w:val="18"/>
                <w:szCs w:val="18"/>
              </w:rPr>
            </w:pPr>
            <w:r w:rsidRPr="00EC49D7">
              <w:rPr>
                <w:rFonts w:eastAsia="Arial"/>
                <w:sz w:val="18"/>
                <w:szCs w:val="18"/>
              </w:rPr>
              <w:t>#</w:t>
            </w:r>
          </w:p>
        </w:tc>
        <w:tc>
          <w:tcPr>
            <w:tcW w:w="631" w:type="dxa"/>
            <w:vMerge w:val="restart"/>
            <w:tcBorders>
              <w:top w:val="single" w:sz="4" w:space="0" w:color="auto"/>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0</w:t>
            </w:r>
          </w:p>
        </w:tc>
        <w:tc>
          <w:tcPr>
            <w:tcW w:w="631" w:type="dxa"/>
            <w:vMerge w:val="restart"/>
            <w:tcBorders>
              <w:top w:val="single" w:sz="4" w:space="0" w:color="auto"/>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2018</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0</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1</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2</w:t>
            </w:r>
          </w:p>
        </w:tc>
        <w:tc>
          <w:tcPr>
            <w:tcW w:w="63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2</w:t>
            </w:r>
          </w:p>
        </w:tc>
        <w:tc>
          <w:tcPr>
            <w:tcW w:w="552" w:type="dxa"/>
            <w:tcBorders>
              <w:top w:val="single" w:sz="4" w:space="0" w:color="auto"/>
              <w:left w:val="single" w:sz="4" w:space="0" w:color="auto"/>
              <w:bottom w:val="single" w:sz="4" w:space="0" w:color="auto"/>
              <w:right w:val="single" w:sz="4" w:space="0" w:color="auto"/>
            </w:tcBorders>
          </w:tcPr>
          <w:p w:rsidR="006B7D88" w:rsidRPr="00EC49D7" w:rsidRDefault="006B7D88" w:rsidP="000D2DAC">
            <w:pPr>
              <w:jc w:val="center"/>
              <w:rPr>
                <w:rFonts w:eastAsia="Arial"/>
                <w:sz w:val="18"/>
                <w:szCs w:val="18"/>
              </w:rPr>
            </w:pPr>
          </w:p>
          <w:p w:rsidR="00FF609A" w:rsidRPr="00EC49D7" w:rsidRDefault="00FF609A" w:rsidP="000D2DAC">
            <w:pPr>
              <w:rPr>
                <w:rFonts w:eastAsia="Arial"/>
                <w:sz w:val="18"/>
                <w:szCs w:val="18"/>
              </w:rPr>
            </w:pPr>
          </w:p>
          <w:p w:rsidR="006B7D88" w:rsidRPr="00EC49D7" w:rsidRDefault="006B7D88" w:rsidP="000D2DAC">
            <w:pPr>
              <w:rPr>
                <w:rFonts w:eastAsia="Arial"/>
                <w:sz w:val="18"/>
                <w:szCs w:val="18"/>
              </w:rPr>
            </w:pPr>
            <w:r w:rsidRPr="00EC49D7">
              <w:rPr>
                <w:rFonts w:eastAsia="Arial"/>
                <w:sz w:val="18"/>
                <w:szCs w:val="18"/>
              </w:rPr>
              <w:t>2</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7</w:t>
            </w:r>
          </w:p>
        </w:tc>
        <w:tc>
          <w:tcPr>
            <w:tcW w:w="110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 xml:space="preserve">Encuesta UTEC y Acta Directorio ANII </w:t>
            </w:r>
          </w:p>
        </w:tc>
        <w:tc>
          <w:tcPr>
            <w:tcW w:w="947" w:type="dxa"/>
            <w:vMerge w:val="restart"/>
            <w:tcBorders>
              <w:top w:val="single" w:sz="4" w:space="0" w:color="auto"/>
              <w:left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Si</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Participantes del programa que registran una nueva empresa en DGI. O, si no es un emprendimiento, a empresas apoyadas que introducen nuevos productos o procesos en el mercado como capturado en la EAI según el Manual de Oslo de OECD. La meta es consistente con una tasa de éxito en materia de innovación del 30% según la EAI. Además, los emprendimientos apoyados por la ANII en 2016 tenían, en promedio, 6 personas</w:t>
            </w:r>
            <w:r w:rsidRPr="00EC49D7">
              <w:rPr>
                <w:rStyle w:val="FootnoteReference"/>
                <w:rFonts w:eastAsia="Arial"/>
                <w:sz w:val="18"/>
                <w:szCs w:val="18"/>
              </w:rPr>
              <w:footnoteReference w:id="15"/>
            </w:r>
            <w:r w:rsidRPr="00EC49D7">
              <w:rPr>
                <w:rFonts w:eastAsia="Arial"/>
                <w:sz w:val="18"/>
                <w:szCs w:val="18"/>
              </w:rPr>
              <w:t>. De tal modo, la meta se fija en que si 18 (500* 0.7* 0.05) graduados inician empresas, habría al menos 3 (18/6) emprendimientos creados.</w:t>
            </w:r>
          </w:p>
        </w:tc>
      </w:tr>
      <w:tr w:rsidR="00FF609A" w:rsidRPr="00EC49D7" w:rsidTr="00EC49D7">
        <w:trPr>
          <w:cantSplit/>
          <w:trHeight w:val="144"/>
        </w:trPr>
        <w:tc>
          <w:tcPr>
            <w:tcW w:w="135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rPr>
                <w:rFonts w:eastAsia="Arial"/>
                <w:sz w:val="18"/>
                <w:szCs w:val="18"/>
              </w:rPr>
            </w:pPr>
            <w:r w:rsidRPr="00EC49D7">
              <w:rPr>
                <w:rFonts w:eastAsia="Arial"/>
                <w:sz w:val="18"/>
                <w:szCs w:val="18"/>
              </w:rPr>
              <w:t>2.3 Estrategia de difusión implementada</w:t>
            </w:r>
            <w:r w:rsidRPr="00EC49D7">
              <w:rPr>
                <w:rStyle w:val="FootnoteReference"/>
                <w:rFonts w:eastAsia="Arial"/>
                <w:sz w:val="18"/>
                <w:szCs w:val="18"/>
              </w:rPr>
              <w:footnoteReference w:id="16"/>
            </w:r>
          </w:p>
        </w:tc>
        <w:tc>
          <w:tcPr>
            <w:tcW w:w="710" w:type="dxa"/>
            <w:vMerge/>
            <w:tcBorders>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631" w:type="dxa"/>
            <w:vMerge/>
            <w:tcBorders>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631" w:type="dxa"/>
            <w:vMerge/>
            <w:tcBorders>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1</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1</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1</w:t>
            </w:r>
          </w:p>
        </w:tc>
        <w:tc>
          <w:tcPr>
            <w:tcW w:w="63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1</w:t>
            </w:r>
          </w:p>
        </w:tc>
        <w:tc>
          <w:tcPr>
            <w:tcW w:w="552" w:type="dxa"/>
            <w:tcBorders>
              <w:top w:val="single" w:sz="4" w:space="0" w:color="auto"/>
              <w:left w:val="single" w:sz="4" w:space="0" w:color="auto"/>
              <w:bottom w:val="single" w:sz="4" w:space="0" w:color="auto"/>
              <w:right w:val="single" w:sz="4" w:space="0" w:color="auto"/>
            </w:tcBorders>
          </w:tcPr>
          <w:p w:rsidR="006B7D88" w:rsidRPr="00EC49D7" w:rsidRDefault="006B7D88" w:rsidP="000D2DAC">
            <w:pPr>
              <w:jc w:val="center"/>
              <w:rPr>
                <w:rFonts w:eastAsia="Arial"/>
                <w:sz w:val="18"/>
                <w:szCs w:val="18"/>
              </w:rPr>
            </w:pPr>
          </w:p>
          <w:p w:rsidR="006B7D88" w:rsidRPr="00EC49D7" w:rsidRDefault="006B7D88" w:rsidP="000D2DAC">
            <w:pPr>
              <w:jc w:val="center"/>
              <w:rPr>
                <w:rFonts w:eastAsia="Arial"/>
                <w:sz w:val="18"/>
                <w:szCs w:val="18"/>
              </w:rPr>
            </w:pPr>
          </w:p>
          <w:p w:rsidR="006B7D88" w:rsidRPr="00EC49D7" w:rsidRDefault="006B7D88" w:rsidP="000D2DAC">
            <w:pPr>
              <w:jc w:val="center"/>
              <w:rPr>
                <w:rFonts w:eastAsia="Arial"/>
                <w:sz w:val="18"/>
                <w:szCs w:val="18"/>
              </w:rPr>
            </w:pPr>
            <w:r w:rsidRPr="00EC49D7">
              <w:rPr>
                <w:rFonts w:eastAsia="Arial"/>
                <w:sz w:val="18"/>
                <w:szCs w:val="18"/>
              </w:rPr>
              <w:t>1</w:t>
            </w:r>
          </w:p>
        </w:tc>
        <w:tc>
          <w:tcPr>
            <w:tcW w:w="5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1</w:t>
            </w:r>
          </w:p>
        </w:tc>
        <w:tc>
          <w:tcPr>
            <w:tcW w:w="110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r w:rsidRPr="00EC49D7">
              <w:rPr>
                <w:rFonts w:eastAsia="Arial"/>
                <w:sz w:val="18"/>
                <w:szCs w:val="18"/>
              </w:rPr>
              <w:t>Acta de verificación de Directorio ANII</w:t>
            </w:r>
          </w:p>
        </w:tc>
        <w:tc>
          <w:tcPr>
            <w:tcW w:w="947" w:type="dxa"/>
            <w:vMerge/>
            <w:tcBorders>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center"/>
              <w:rPr>
                <w:rFonts w:eastAsia="Arial"/>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B7D88" w:rsidRPr="00EC49D7" w:rsidRDefault="006B7D88" w:rsidP="000D2DAC">
            <w:pPr>
              <w:jc w:val="both"/>
              <w:rPr>
                <w:rFonts w:eastAsia="Arial"/>
                <w:sz w:val="18"/>
                <w:szCs w:val="18"/>
              </w:rPr>
            </w:pPr>
            <w:r w:rsidRPr="00EC49D7">
              <w:rPr>
                <w:rFonts w:eastAsia="Arial"/>
                <w:sz w:val="18"/>
                <w:szCs w:val="18"/>
              </w:rPr>
              <w:t xml:space="preserve">Resultado generado del producto del diseño de la estrategia de difusión. Se considera implementada ya que se verifica a partir de los materiales de difusión producidos y su reproducción en los diferentes canales de comunicación. </w:t>
            </w:r>
          </w:p>
        </w:tc>
      </w:tr>
    </w:tbl>
    <w:p w:rsidR="006B7D88" w:rsidRPr="00EC49D7" w:rsidRDefault="006B7D88" w:rsidP="006B7D88">
      <w:pPr>
        <w:rPr>
          <w:rFonts w:eastAsia="Arial"/>
          <w:b/>
          <w:smallCaps/>
          <w:sz w:val="18"/>
          <w:szCs w:val="18"/>
        </w:rPr>
      </w:pPr>
    </w:p>
    <w:p w:rsidR="006B7D88" w:rsidRPr="00EC49D7" w:rsidRDefault="006B7D88" w:rsidP="006B7D88">
      <w:pPr>
        <w:jc w:val="center"/>
        <w:rPr>
          <w:rFonts w:eastAsia="Arial"/>
          <w:b/>
          <w:smallCaps/>
          <w:sz w:val="18"/>
          <w:szCs w:val="18"/>
        </w:rPr>
      </w:pPr>
    </w:p>
    <w:p w:rsidR="006B7D88" w:rsidRPr="00EC49D7" w:rsidRDefault="006B7D88" w:rsidP="006B7D88">
      <w:pPr>
        <w:jc w:val="center"/>
        <w:rPr>
          <w:rFonts w:eastAsia="Arial"/>
          <w:b/>
          <w:smallCaps/>
          <w:sz w:val="18"/>
          <w:szCs w:val="18"/>
        </w:rPr>
      </w:pPr>
    </w:p>
    <w:p w:rsidR="006B7D88" w:rsidRPr="00EC49D7" w:rsidRDefault="006B7D88" w:rsidP="006B7D88">
      <w:pPr>
        <w:jc w:val="center"/>
        <w:rPr>
          <w:rFonts w:eastAsia="Arial"/>
          <w:b/>
          <w:smallCaps/>
          <w:sz w:val="18"/>
          <w:szCs w:val="18"/>
        </w:rPr>
      </w:pPr>
    </w:p>
    <w:p w:rsidR="00FF609A" w:rsidRDefault="00FF609A" w:rsidP="00B738A3">
      <w:pPr>
        <w:spacing w:before="240" w:after="240"/>
        <w:jc w:val="center"/>
        <w:rPr>
          <w:rFonts w:eastAsia="Arial"/>
          <w:b/>
          <w:smallCaps/>
          <w:sz w:val="18"/>
          <w:szCs w:val="18"/>
        </w:rPr>
      </w:pPr>
    </w:p>
    <w:p w:rsidR="00EC49D7" w:rsidRDefault="00EC49D7" w:rsidP="00B738A3">
      <w:pPr>
        <w:spacing w:before="240" w:after="240"/>
        <w:jc w:val="center"/>
        <w:rPr>
          <w:rFonts w:eastAsia="Arial"/>
          <w:b/>
          <w:smallCaps/>
          <w:sz w:val="18"/>
          <w:szCs w:val="18"/>
        </w:rPr>
      </w:pPr>
    </w:p>
    <w:p w:rsidR="00EC49D7" w:rsidRPr="00EC49D7" w:rsidRDefault="00EC49D7" w:rsidP="00B738A3">
      <w:pPr>
        <w:spacing w:before="240" w:after="240"/>
        <w:jc w:val="center"/>
        <w:rPr>
          <w:rFonts w:eastAsia="Arial"/>
          <w:b/>
          <w:smallCaps/>
          <w:sz w:val="18"/>
          <w:szCs w:val="18"/>
        </w:rPr>
      </w:pPr>
    </w:p>
    <w:p w:rsidR="00B738A3" w:rsidRPr="00EC49D7" w:rsidRDefault="00B738A3" w:rsidP="00EC49D7">
      <w:pPr>
        <w:spacing w:before="240"/>
        <w:jc w:val="center"/>
        <w:rPr>
          <w:rFonts w:eastAsia="Arial"/>
          <w:b/>
          <w:smallCaps/>
          <w:sz w:val="18"/>
          <w:szCs w:val="18"/>
        </w:rPr>
      </w:pPr>
      <w:r w:rsidRPr="00EC49D7">
        <w:rPr>
          <w:rFonts w:eastAsia="Arial"/>
          <w:b/>
          <w:smallCaps/>
          <w:sz w:val="18"/>
          <w:szCs w:val="18"/>
        </w:rPr>
        <w:lastRenderedPageBreak/>
        <w:t xml:space="preserve">Indicadores de Tracking </w:t>
      </w:r>
    </w:p>
    <w:tbl>
      <w:tblPr>
        <w:tblpPr w:leftFromText="180" w:rightFromText="180" w:vertAnchor="text" w:horzAnchor="margin" w:tblpXSpec="center" w:tblpY="394"/>
        <w:tblW w:w="14580" w:type="dxa"/>
        <w:tblBorders>
          <w:top w:val="nil"/>
          <w:left w:val="nil"/>
          <w:bottom w:val="nil"/>
          <w:right w:val="nil"/>
          <w:insideH w:val="nil"/>
          <w:insideV w:val="nil"/>
        </w:tblBorders>
        <w:tblLayout w:type="fixed"/>
        <w:tblLook w:val="0600" w:firstRow="0" w:lastRow="0" w:firstColumn="0" w:lastColumn="0" w:noHBand="1" w:noVBand="1"/>
      </w:tblPr>
      <w:tblGrid>
        <w:gridCol w:w="5085"/>
        <w:gridCol w:w="855"/>
        <w:gridCol w:w="705"/>
        <w:gridCol w:w="825"/>
        <w:gridCol w:w="900"/>
        <w:gridCol w:w="810"/>
        <w:gridCol w:w="900"/>
        <w:gridCol w:w="1080"/>
        <w:gridCol w:w="1710"/>
        <w:gridCol w:w="1710"/>
      </w:tblGrid>
      <w:tr w:rsidR="00FF609A" w:rsidRPr="00EC49D7" w:rsidTr="000D2DAC">
        <w:trPr>
          <w:trHeight w:val="660"/>
          <w:tblHeader/>
        </w:trPr>
        <w:tc>
          <w:tcPr>
            <w:tcW w:w="508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FF609A" w:rsidRPr="00EC49D7" w:rsidRDefault="00FF609A" w:rsidP="000D2DAC">
            <w:pPr>
              <w:jc w:val="center"/>
              <w:rPr>
                <w:rFonts w:eastAsia="Arial"/>
                <w:b/>
                <w:sz w:val="18"/>
                <w:szCs w:val="18"/>
              </w:rPr>
            </w:pPr>
            <w:r w:rsidRPr="00EC49D7">
              <w:rPr>
                <w:rFonts w:eastAsia="Arial"/>
                <w:b/>
                <w:sz w:val="18"/>
                <w:szCs w:val="18"/>
              </w:rPr>
              <w:t>Indicadores</w:t>
            </w:r>
          </w:p>
        </w:tc>
        <w:tc>
          <w:tcPr>
            <w:tcW w:w="85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FF609A" w:rsidRPr="00EC49D7" w:rsidRDefault="00FF609A" w:rsidP="000D2DAC">
            <w:pPr>
              <w:jc w:val="center"/>
              <w:rPr>
                <w:rFonts w:eastAsia="Arial"/>
                <w:b/>
                <w:sz w:val="18"/>
                <w:szCs w:val="18"/>
              </w:rPr>
            </w:pPr>
            <w:r w:rsidRPr="00EC49D7">
              <w:rPr>
                <w:rFonts w:eastAsia="Arial"/>
                <w:b/>
                <w:sz w:val="18"/>
                <w:szCs w:val="18"/>
              </w:rPr>
              <w:t>Unidad de Medida</w:t>
            </w:r>
          </w:p>
        </w:tc>
        <w:tc>
          <w:tcPr>
            <w:tcW w:w="70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FF609A" w:rsidRPr="00EC49D7" w:rsidRDefault="00FF609A" w:rsidP="000D2DAC">
            <w:pPr>
              <w:jc w:val="center"/>
              <w:rPr>
                <w:rFonts w:eastAsia="Arial"/>
                <w:b/>
                <w:sz w:val="18"/>
                <w:szCs w:val="18"/>
              </w:rPr>
            </w:pPr>
            <w:r w:rsidRPr="00EC49D7">
              <w:rPr>
                <w:rFonts w:eastAsia="Arial"/>
                <w:b/>
                <w:sz w:val="18"/>
                <w:szCs w:val="18"/>
              </w:rPr>
              <w:t>Línea de Base</w:t>
            </w:r>
          </w:p>
        </w:tc>
        <w:tc>
          <w:tcPr>
            <w:tcW w:w="82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FF609A" w:rsidRPr="00EC49D7" w:rsidRDefault="00FF609A" w:rsidP="000D2DAC">
            <w:pPr>
              <w:jc w:val="center"/>
              <w:rPr>
                <w:rFonts w:eastAsia="Arial"/>
                <w:b/>
                <w:sz w:val="18"/>
                <w:szCs w:val="18"/>
              </w:rPr>
            </w:pPr>
            <w:r w:rsidRPr="00EC49D7">
              <w:rPr>
                <w:rFonts w:eastAsia="Arial"/>
                <w:b/>
                <w:sz w:val="18"/>
                <w:szCs w:val="18"/>
              </w:rPr>
              <w:t>Año Línea de Base</w:t>
            </w:r>
          </w:p>
        </w:tc>
        <w:tc>
          <w:tcPr>
            <w:tcW w:w="900"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FF609A" w:rsidRPr="00EC49D7" w:rsidRDefault="00FF609A" w:rsidP="000D2DAC">
            <w:pPr>
              <w:jc w:val="center"/>
              <w:rPr>
                <w:rFonts w:eastAsia="Arial"/>
                <w:b/>
                <w:sz w:val="18"/>
                <w:szCs w:val="18"/>
              </w:rPr>
            </w:pPr>
            <w:r w:rsidRPr="00EC49D7">
              <w:rPr>
                <w:rFonts w:eastAsia="Arial"/>
                <w:b/>
                <w:sz w:val="18"/>
                <w:szCs w:val="18"/>
              </w:rPr>
              <w:t>2019</w:t>
            </w:r>
          </w:p>
        </w:tc>
        <w:tc>
          <w:tcPr>
            <w:tcW w:w="810"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FF609A" w:rsidRPr="00EC49D7" w:rsidRDefault="00FF609A" w:rsidP="000D2DAC">
            <w:pPr>
              <w:jc w:val="center"/>
              <w:rPr>
                <w:rFonts w:eastAsia="Arial"/>
                <w:b/>
                <w:sz w:val="18"/>
                <w:szCs w:val="18"/>
              </w:rPr>
            </w:pPr>
            <w:r w:rsidRPr="00EC49D7">
              <w:rPr>
                <w:rFonts w:eastAsia="Arial"/>
                <w:b/>
                <w:sz w:val="18"/>
                <w:szCs w:val="18"/>
              </w:rPr>
              <w:t>2020</w:t>
            </w:r>
          </w:p>
        </w:tc>
        <w:tc>
          <w:tcPr>
            <w:tcW w:w="900"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FF609A" w:rsidRPr="00EC49D7" w:rsidRDefault="00FF609A" w:rsidP="000D2DAC">
            <w:pPr>
              <w:jc w:val="center"/>
              <w:rPr>
                <w:rFonts w:eastAsia="Arial"/>
                <w:b/>
                <w:sz w:val="18"/>
                <w:szCs w:val="18"/>
              </w:rPr>
            </w:pPr>
            <w:r w:rsidRPr="00EC49D7">
              <w:rPr>
                <w:rFonts w:eastAsia="Arial"/>
                <w:b/>
                <w:sz w:val="18"/>
                <w:szCs w:val="18"/>
              </w:rPr>
              <w:t>2021</w:t>
            </w: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FF609A" w:rsidRPr="00EC49D7" w:rsidRDefault="00FF609A" w:rsidP="000D2DAC">
            <w:pPr>
              <w:jc w:val="center"/>
              <w:rPr>
                <w:rFonts w:eastAsia="Arial"/>
                <w:b/>
                <w:sz w:val="18"/>
                <w:szCs w:val="18"/>
              </w:rPr>
            </w:pPr>
            <w:r w:rsidRPr="00EC49D7">
              <w:rPr>
                <w:rFonts w:eastAsia="Arial"/>
                <w:b/>
                <w:sz w:val="18"/>
                <w:szCs w:val="18"/>
              </w:rPr>
              <w:t>2022</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FF609A" w:rsidRPr="00EC49D7" w:rsidRDefault="00FF609A" w:rsidP="000D2DAC">
            <w:pPr>
              <w:jc w:val="center"/>
              <w:rPr>
                <w:rFonts w:eastAsia="Arial"/>
                <w:b/>
                <w:sz w:val="18"/>
                <w:szCs w:val="18"/>
              </w:rPr>
            </w:pPr>
            <w:r w:rsidRPr="00EC49D7">
              <w:rPr>
                <w:rFonts w:eastAsia="Arial"/>
                <w:b/>
                <w:sz w:val="18"/>
                <w:szCs w:val="18"/>
              </w:rPr>
              <w:t>2023</w:t>
            </w:r>
            <w:bookmarkStart w:id="4" w:name="_GoBack"/>
            <w:bookmarkEnd w:id="4"/>
          </w:p>
        </w:tc>
        <w:tc>
          <w:tcPr>
            <w:tcW w:w="1710"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rsidR="00FF609A" w:rsidRPr="00EC49D7" w:rsidRDefault="00FF609A" w:rsidP="000D2DAC">
            <w:pPr>
              <w:jc w:val="center"/>
              <w:rPr>
                <w:rFonts w:eastAsia="Arial"/>
                <w:b/>
                <w:sz w:val="18"/>
                <w:szCs w:val="18"/>
              </w:rPr>
            </w:pPr>
            <w:r w:rsidRPr="00EC49D7">
              <w:rPr>
                <w:rFonts w:eastAsia="Arial"/>
                <w:b/>
                <w:sz w:val="18"/>
                <w:szCs w:val="18"/>
              </w:rPr>
              <w:t>Final</w:t>
            </w:r>
          </w:p>
        </w:tc>
      </w:tr>
      <w:tr w:rsidR="00FF609A" w:rsidRPr="00EC49D7" w:rsidTr="000D2DAC">
        <w:trPr>
          <w:trHeight w:val="469"/>
          <w:tblHeader/>
        </w:trPr>
        <w:tc>
          <w:tcPr>
            <w:tcW w:w="50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ind w:firstLine="84"/>
              <w:jc w:val="both"/>
              <w:rPr>
                <w:rFonts w:eastAsia="Arial"/>
                <w:sz w:val="18"/>
                <w:szCs w:val="18"/>
              </w:rPr>
            </w:pPr>
            <w:r w:rsidRPr="00EC49D7">
              <w:rPr>
                <w:rFonts w:eastAsia="Arial"/>
                <w:sz w:val="18"/>
                <w:szCs w:val="18"/>
              </w:rPr>
              <w:t>1.1 Porcentaje de alumnos extranjeros matriculados en el programa</w:t>
            </w:r>
          </w:p>
        </w:tc>
        <w:tc>
          <w:tcPr>
            <w:tcW w:w="855"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r w:rsidRPr="00EC49D7">
              <w:rPr>
                <w:rFonts w:eastAsia="Arial"/>
                <w:sz w:val="18"/>
                <w:szCs w:val="18"/>
              </w:rPr>
              <w:t>%</w:t>
            </w:r>
          </w:p>
        </w:tc>
        <w:tc>
          <w:tcPr>
            <w:tcW w:w="705"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r w:rsidRPr="00EC49D7">
              <w:rPr>
                <w:rFonts w:eastAsia="Arial"/>
                <w:sz w:val="18"/>
                <w:szCs w:val="18"/>
              </w:rPr>
              <w:t>0</w:t>
            </w:r>
          </w:p>
        </w:tc>
        <w:tc>
          <w:tcPr>
            <w:tcW w:w="825"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r w:rsidRPr="00EC49D7">
              <w:rPr>
                <w:rFonts w:eastAsia="Arial"/>
                <w:sz w:val="18"/>
                <w:szCs w:val="18"/>
              </w:rPr>
              <w:t>2018</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1710" w:type="dxa"/>
            <w:tcBorders>
              <w:top w:val="single" w:sz="4" w:space="0" w:color="auto"/>
              <w:left w:val="single" w:sz="4" w:space="0" w:color="auto"/>
              <w:bottom w:val="single" w:sz="4" w:space="0" w:color="auto"/>
              <w:right w:val="single" w:sz="4" w:space="0" w:color="auto"/>
            </w:tcBorders>
          </w:tcPr>
          <w:p w:rsidR="00FF609A" w:rsidRPr="00EC49D7" w:rsidRDefault="00FF609A" w:rsidP="000D2DAC">
            <w:pPr>
              <w:jc w:val="center"/>
              <w:rPr>
                <w:rFonts w:eastAsia="Arial"/>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r>
      <w:tr w:rsidR="00FF609A" w:rsidRPr="00EC49D7" w:rsidTr="000D2DAC">
        <w:trPr>
          <w:trHeight w:val="275"/>
          <w:tblHeader/>
        </w:trPr>
        <w:tc>
          <w:tcPr>
            <w:tcW w:w="50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ind w:firstLine="84"/>
              <w:jc w:val="both"/>
              <w:rPr>
                <w:rFonts w:eastAsia="Arial"/>
                <w:sz w:val="18"/>
                <w:szCs w:val="18"/>
              </w:rPr>
            </w:pPr>
            <w:r w:rsidRPr="00EC49D7">
              <w:rPr>
                <w:rFonts w:eastAsia="Arial"/>
                <w:sz w:val="18"/>
                <w:szCs w:val="18"/>
              </w:rPr>
              <w:t xml:space="preserve">1.2 Porcentaje de mujeres exentas de pago de matrícula que se gradúan del programa </w:t>
            </w:r>
          </w:p>
        </w:tc>
        <w:tc>
          <w:tcPr>
            <w:tcW w:w="855"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705"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825"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1710" w:type="dxa"/>
            <w:tcBorders>
              <w:top w:val="single" w:sz="4" w:space="0" w:color="auto"/>
              <w:left w:val="single" w:sz="4" w:space="0" w:color="auto"/>
              <w:bottom w:val="single" w:sz="4" w:space="0" w:color="auto"/>
              <w:right w:val="single" w:sz="4" w:space="0" w:color="auto"/>
            </w:tcBorders>
          </w:tcPr>
          <w:p w:rsidR="00FF609A" w:rsidRPr="00EC49D7" w:rsidRDefault="00FF609A" w:rsidP="000D2DAC">
            <w:pPr>
              <w:jc w:val="center"/>
              <w:rPr>
                <w:rFonts w:eastAsia="Arial"/>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r>
      <w:tr w:rsidR="00FF609A" w:rsidRPr="00EC49D7" w:rsidTr="000D2DAC">
        <w:trPr>
          <w:trHeight w:val="473"/>
          <w:tblHeader/>
        </w:trPr>
        <w:tc>
          <w:tcPr>
            <w:tcW w:w="50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ind w:firstLine="84"/>
              <w:jc w:val="both"/>
              <w:rPr>
                <w:rFonts w:eastAsia="Arial"/>
                <w:sz w:val="18"/>
                <w:szCs w:val="18"/>
              </w:rPr>
            </w:pPr>
            <w:r w:rsidRPr="00EC49D7">
              <w:rPr>
                <w:rFonts w:eastAsia="Arial"/>
                <w:sz w:val="18"/>
                <w:szCs w:val="18"/>
              </w:rPr>
              <w:t xml:space="preserve">2.1 Porcentaje de graduados extranjeros que realizan actividades SBIC en Uruguay </w:t>
            </w:r>
          </w:p>
        </w:tc>
        <w:tc>
          <w:tcPr>
            <w:tcW w:w="855"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705"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825"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c>
          <w:tcPr>
            <w:tcW w:w="1710" w:type="dxa"/>
            <w:tcBorders>
              <w:top w:val="single" w:sz="4" w:space="0" w:color="auto"/>
              <w:left w:val="single" w:sz="4" w:space="0" w:color="auto"/>
              <w:bottom w:val="single" w:sz="4" w:space="0" w:color="auto"/>
              <w:right w:val="single" w:sz="4" w:space="0" w:color="auto"/>
            </w:tcBorders>
          </w:tcPr>
          <w:p w:rsidR="00FF609A" w:rsidRPr="00EC49D7" w:rsidRDefault="00FF609A" w:rsidP="000D2DAC">
            <w:pPr>
              <w:jc w:val="center"/>
              <w:rPr>
                <w:rFonts w:eastAsia="Arial"/>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F609A" w:rsidRPr="00EC49D7" w:rsidRDefault="00FF609A" w:rsidP="000D2DAC">
            <w:pPr>
              <w:jc w:val="center"/>
              <w:rPr>
                <w:rFonts w:eastAsia="Arial"/>
                <w:sz w:val="18"/>
                <w:szCs w:val="18"/>
              </w:rPr>
            </w:pPr>
          </w:p>
        </w:tc>
      </w:tr>
    </w:tbl>
    <w:p w:rsidR="00B738A3" w:rsidRPr="00EC49D7" w:rsidRDefault="00B738A3" w:rsidP="00EC49D7">
      <w:pPr>
        <w:rPr>
          <w:rFonts w:eastAsia="Arial"/>
          <w:b/>
          <w:smallCaps/>
          <w:sz w:val="18"/>
          <w:szCs w:val="18"/>
        </w:rPr>
      </w:pPr>
    </w:p>
    <w:p w:rsidR="00B738A3" w:rsidRPr="00EC49D7" w:rsidRDefault="00B738A3" w:rsidP="00B738A3">
      <w:pPr>
        <w:jc w:val="center"/>
        <w:rPr>
          <w:rFonts w:eastAsia="Arial"/>
          <w:b/>
          <w:smallCaps/>
          <w:sz w:val="18"/>
          <w:szCs w:val="18"/>
        </w:rPr>
      </w:pPr>
    </w:p>
    <w:p w:rsidR="009C36FE" w:rsidRPr="00EC49D7" w:rsidRDefault="009C36FE" w:rsidP="00A01D4D">
      <w:pPr>
        <w:jc w:val="both"/>
        <w:rPr>
          <w:lang w:val="es-UY"/>
        </w:rPr>
      </w:pPr>
    </w:p>
    <w:sectPr w:rsidR="009C36FE" w:rsidRPr="00EC49D7" w:rsidSect="00B738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E42" w:rsidRDefault="009B3E42" w:rsidP="00DC42F7">
      <w:r>
        <w:separator/>
      </w:r>
    </w:p>
  </w:endnote>
  <w:endnote w:type="continuationSeparator" w:id="0">
    <w:p w:rsidR="009B3E42" w:rsidRDefault="009B3E42" w:rsidP="00DC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E42" w:rsidRDefault="009B3E42" w:rsidP="00DC42F7">
      <w:r>
        <w:separator/>
      </w:r>
    </w:p>
  </w:footnote>
  <w:footnote w:type="continuationSeparator" w:id="0">
    <w:p w:rsidR="009B3E42" w:rsidRDefault="009B3E42" w:rsidP="00DC42F7">
      <w:r>
        <w:continuationSeparator/>
      </w:r>
    </w:p>
  </w:footnote>
  <w:footnote w:id="1">
    <w:p w:rsidR="00CA23A9" w:rsidRPr="00EC49D7" w:rsidRDefault="00CA23A9" w:rsidP="00EC49D7">
      <w:pPr>
        <w:pStyle w:val="FootnoteText"/>
        <w:ind w:left="288" w:hanging="288"/>
        <w:jc w:val="both"/>
        <w:rPr>
          <w:rFonts w:ascii="Times New Roman" w:hAnsi="Times New Roman" w:cs="Times New Roman"/>
          <w:lang w:val="en-GB"/>
        </w:rPr>
      </w:pPr>
      <w:r w:rsidRPr="00EC49D7">
        <w:rPr>
          <w:rStyle w:val="FootnoteReference"/>
          <w:rFonts w:ascii="Times New Roman" w:hAnsi="Times New Roman" w:cs="Times New Roman"/>
        </w:rPr>
        <w:footnoteRef/>
      </w:r>
      <w:r w:rsidRPr="00EC49D7">
        <w:rPr>
          <w:rFonts w:ascii="Times New Roman" w:hAnsi="Times New Roman" w:cs="Times New Roman"/>
          <w:lang w:val="es-ES"/>
        </w:rPr>
        <w:t xml:space="preserve"> </w:t>
      </w:r>
      <w:r w:rsidR="00EC49D7">
        <w:rPr>
          <w:rFonts w:ascii="Times New Roman" w:hAnsi="Times New Roman" w:cs="Times New Roman"/>
          <w:lang w:val="es-ES"/>
        </w:rPr>
        <w:tab/>
      </w:r>
      <w:r w:rsidRPr="00EC49D7">
        <w:rPr>
          <w:rFonts w:ascii="Times New Roman" w:hAnsi="Times New Roman" w:cs="Times New Roman"/>
          <w:lang w:val="es-UY"/>
        </w:rPr>
        <w:t xml:space="preserve">La mayor dotación de capital humano no solamente genera mayor productividad del trabajo del individuo más </w:t>
      </w:r>
      <w:proofErr w:type="gramStart"/>
      <w:r w:rsidRPr="00EC49D7">
        <w:rPr>
          <w:rFonts w:ascii="Times New Roman" w:hAnsi="Times New Roman" w:cs="Times New Roman"/>
          <w:lang w:val="es-UY"/>
        </w:rPr>
        <w:t>calificado</w:t>
      </w:r>
      <w:proofErr w:type="gramEnd"/>
      <w:r w:rsidRPr="00EC49D7">
        <w:rPr>
          <w:rFonts w:ascii="Times New Roman" w:hAnsi="Times New Roman" w:cs="Times New Roman"/>
          <w:lang w:val="es-UY"/>
        </w:rPr>
        <w:t xml:space="preserve"> sino que además tiene externalidades positivas en el resto de los trabajadores. Si bien no hay información como para evaluar dicha externalidad en el caso específico de los trabajadores del sector que se especializan en áreas de inteligencia artificial, estas externalidades han sido evaluadas en los casos de trabajadores del segmento STEM (</w:t>
      </w:r>
      <w:proofErr w:type="spellStart"/>
      <w:r w:rsidRPr="00EC49D7">
        <w:rPr>
          <w:rFonts w:ascii="Times New Roman" w:hAnsi="Times New Roman" w:cs="Times New Roman"/>
          <w:lang w:val="es-UY"/>
        </w:rPr>
        <w:t>Science</w:t>
      </w:r>
      <w:proofErr w:type="spellEnd"/>
      <w:r w:rsidRPr="00EC49D7">
        <w:rPr>
          <w:rFonts w:ascii="Times New Roman" w:hAnsi="Times New Roman" w:cs="Times New Roman"/>
          <w:lang w:val="es-UY"/>
        </w:rPr>
        <w:t xml:space="preserve">, </w:t>
      </w:r>
      <w:proofErr w:type="spellStart"/>
      <w:r w:rsidRPr="00EC49D7">
        <w:rPr>
          <w:rFonts w:ascii="Times New Roman" w:hAnsi="Times New Roman" w:cs="Times New Roman"/>
          <w:lang w:val="es-UY"/>
        </w:rPr>
        <w:t>Technology</w:t>
      </w:r>
      <w:proofErr w:type="spellEnd"/>
      <w:r w:rsidRPr="00EC49D7">
        <w:rPr>
          <w:rFonts w:ascii="Times New Roman" w:hAnsi="Times New Roman" w:cs="Times New Roman"/>
          <w:lang w:val="es-UY"/>
        </w:rPr>
        <w:t xml:space="preserve">, </w:t>
      </w:r>
      <w:proofErr w:type="spellStart"/>
      <w:r w:rsidRPr="00EC49D7">
        <w:rPr>
          <w:rFonts w:ascii="Times New Roman" w:hAnsi="Times New Roman" w:cs="Times New Roman"/>
          <w:lang w:val="es-UY"/>
        </w:rPr>
        <w:t>Engineering</w:t>
      </w:r>
      <w:proofErr w:type="spellEnd"/>
      <w:r w:rsidRPr="00EC49D7">
        <w:rPr>
          <w:rFonts w:ascii="Times New Roman" w:hAnsi="Times New Roman" w:cs="Times New Roman"/>
          <w:lang w:val="es-UY"/>
        </w:rPr>
        <w:t xml:space="preserve"> and </w:t>
      </w:r>
      <w:proofErr w:type="spellStart"/>
      <w:r w:rsidRPr="00EC49D7">
        <w:rPr>
          <w:rFonts w:ascii="Times New Roman" w:hAnsi="Times New Roman" w:cs="Times New Roman"/>
          <w:lang w:val="es-UY"/>
        </w:rPr>
        <w:t>Mathematics</w:t>
      </w:r>
      <w:proofErr w:type="spellEnd"/>
      <w:r w:rsidRPr="00EC49D7">
        <w:rPr>
          <w:rFonts w:ascii="Times New Roman" w:hAnsi="Times New Roman" w:cs="Times New Roman"/>
          <w:lang w:val="es-UY"/>
        </w:rPr>
        <w:t xml:space="preserve">). En particular, </w:t>
      </w:r>
      <w:proofErr w:type="spellStart"/>
      <w:r w:rsidRPr="00EC49D7">
        <w:rPr>
          <w:rFonts w:ascii="Times New Roman" w:hAnsi="Times New Roman" w:cs="Times New Roman"/>
          <w:lang w:val="es-UY"/>
        </w:rPr>
        <w:t>Winters</w:t>
      </w:r>
      <w:proofErr w:type="spellEnd"/>
      <w:r w:rsidRPr="00EC49D7">
        <w:rPr>
          <w:rFonts w:ascii="Times New Roman" w:hAnsi="Times New Roman" w:cs="Times New Roman"/>
          <w:lang w:val="es-UY"/>
        </w:rPr>
        <w:t xml:space="preserve"> encuentra que en las áreas metropolitanas de EEUU la mayor presencia de graduados en áreas STEM está relacionada positivamente con los salarios de los graduados universitarios en carreras del área STEM, con los salarios de los graduados no STEM y con los salarios de los no graduados</w:t>
      </w:r>
      <w:r w:rsidRPr="00EC49D7">
        <w:rPr>
          <w:rFonts w:ascii="Times New Roman" w:hAnsi="Times New Roman" w:cs="Times New Roman"/>
          <w:lang w:val="es-ES"/>
        </w:rPr>
        <w:t xml:space="preserve">. </w:t>
      </w:r>
      <w:r w:rsidRPr="00EC49D7">
        <w:rPr>
          <w:rFonts w:ascii="Times New Roman" w:hAnsi="Times New Roman" w:cs="Times New Roman"/>
          <w:lang w:val="es-UY"/>
        </w:rPr>
        <w:t xml:space="preserve">Sin embargo, esta evidencia es más débil para la presencia de graduados no STEM. </w:t>
      </w:r>
      <w:proofErr w:type="spellStart"/>
      <w:r w:rsidRPr="00EC49D7">
        <w:rPr>
          <w:rFonts w:ascii="Times New Roman" w:hAnsi="Times New Roman" w:cs="Times New Roman"/>
          <w:lang w:val="es-UY"/>
        </w:rPr>
        <w:t>Winters</w:t>
      </w:r>
      <w:proofErr w:type="spellEnd"/>
      <w:r w:rsidRPr="00EC49D7">
        <w:rPr>
          <w:rFonts w:ascii="Times New Roman" w:hAnsi="Times New Roman" w:cs="Times New Roman"/>
          <w:lang w:val="es-UY"/>
        </w:rPr>
        <w:t xml:space="preserve"> señala que el aumento de 1% en el número de graduados STEM genera una externalidad de 1.38% en los salarios de los no graduados, 1.622% en los graduados STEM y 0,613% en los graduados no STEM. </w:t>
      </w:r>
      <w:r w:rsidRPr="00EC49D7">
        <w:rPr>
          <w:rFonts w:ascii="Times New Roman" w:hAnsi="Times New Roman" w:cs="Times New Roman"/>
          <w:lang w:val="en-GB"/>
        </w:rPr>
        <w:t xml:space="preserve">Winters, John, </w:t>
      </w:r>
      <w:r w:rsidRPr="00EC49D7">
        <w:rPr>
          <w:rFonts w:ascii="Times New Roman" w:hAnsi="Times New Roman" w:cs="Times New Roman"/>
          <w:i/>
          <w:lang w:val="en-GB"/>
        </w:rPr>
        <w:t>STEM graduates, human capital externalities, and wages in the U.S. Regional Science and Urban Economics 48 (2014) 190–198</w:t>
      </w:r>
    </w:p>
  </w:footnote>
  <w:footnote w:id="2">
    <w:p w:rsidR="00CA23A9" w:rsidRPr="00EC49D7" w:rsidRDefault="00CA23A9" w:rsidP="00EC49D7">
      <w:pPr>
        <w:pStyle w:val="FootnoteText"/>
        <w:ind w:left="288" w:hanging="288"/>
        <w:jc w:val="both"/>
        <w:rPr>
          <w:rFonts w:ascii="Times New Roman" w:hAnsi="Times New Roman" w:cs="Times New Roman"/>
          <w:lang w:val="es-ES"/>
        </w:rPr>
      </w:pPr>
      <w:r w:rsidRPr="00EC49D7">
        <w:rPr>
          <w:rStyle w:val="FootnoteReference"/>
          <w:rFonts w:ascii="Times New Roman" w:hAnsi="Times New Roman" w:cs="Times New Roman"/>
        </w:rPr>
        <w:footnoteRef/>
      </w:r>
      <w:r w:rsidRPr="00EC49D7">
        <w:rPr>
          <w:rFonts w:ascii="Times New Roman" w:hAnsi="Times New Roman" w:cs="Times New Roman"/>
          <w:lang w:val="es-ES"/>
        </w:rPr>
        <w:t xml:space="preserve"> </w:t>
      </w:r>
      <w:r w:rsidR="00EC49D7">
        <w:rPr>
          <w:rFonts w:ascii="Times New Roman" w:hAnsi="Times New Roman" w:cs="Times New Roman"/>
          <w:lang w:val="es-ES"/>
        </w:rPr>
        <w:tab/>
      </w:r>
      <w:r w:rsidRPr="00EC49D7">
        <w:rPr>
          <w:rFonts w:ascii="Times New Roman" w:hAnsi="Times New Roman" w:cs="Times New Roman"/>
          <w:lang w:val="es-ES"/>
        </w:rPr>
        <w:t xml:space="preserve">Implícitamente se considera que los enrolados que no son contratados pagan una </w:t>
      </w:r>
      <w:r w:rsidR="00EC49D7" w:rsidRPr="00EC49D7">
        <w:rPr>
          <w:rFonts w:ascii="Times New Roman" w:hAnsi="Times New Roman" w:cs="Times New Roman"/>
          <w:lang w:val="es-ES"/>
        </w:rPr>
        <w:t>matrícula,</w:t>
      </w:r>
      <w:r w:rsidRPr="00EC49D7">
        <w:rPr>
          <w:rFonts w:ascii="Times New Roman" w:hAnsi="Times New Roman" w:cs="Times New Roman"/>
          <w:lang w:val="es-ES"/>
        </w:rPr>
        <w:t xml:space="preserve"> pero no logran acceder a mayor salario.</w:t>
      </w:r>
    </w:p>
  </w:footnote>
  <w:footnote w:id="3">
    <w:p w:rsidR="00CA23A9" w:rsidRPr="00EC49D7" w:rsidRDefault="00CA23A9" w:rsidP="00EC49D7">
      <w:pPr>
        <w:pStyle w:val="FootnoteText"/>
        <w:ind w:left="288" w:hanging="288"/>
        <w:jc w:val="both"/>
        <w:rPr>
          <w:rFonts w:ascii="Times New Roman" w:hAnsi="Times New Roman" w:cs="Times New Roman"/>
          <w:lang w:val="es-ES"/>
        </w:rPr>
      </w:pPr>
      <w:r w:rsidRPr="00EC49D7">
        <w:rPr>
          <w:rStyle w:val="FootnoteReference"/>
          <w:rFonts w:ascii="Times New Roman" w:hAnsi="Times New Roman" w:cs="Times New Roman"/>
        </w:rPr>
        <w:footnoteRef/>
      </w:r>
      <w:r w:rsidRPr="00EC49D7">
        <w:rPr>
          <w:rFonts w:ascii="Times New Roman" w:hAnsi="Times New Roman" w:cs="Times New Roman"/>
          <w:lang w:val="es-ES"/>
        </w:rPr>
        <w:t xml:space="preserve"> </w:t>
      </w:r>
      <w:r w:rsidR="00EC49D7">
        <w:rPr>
          <w:rFonts w:ascii="Times New Roman" w:hAnsi="Times New Roman" w:cs="Times New Roman"/>
          <w:lang w:val="es-ES"/>
        </w:rPr>
        <w:tab/>
      </w:r>
      <w:r w:rsidRPr="00EC49D7">
        <w:rPr>
          <w:rFonts w:ascii="Times New Roman" w:hAnsi="Times New Roman" w:cs="Times New Roman"/>
          <w:lang w:val="es-ES"/>
        </w:rPr>
        <w:t>No debe considerarse necesariamente que hay una nueva contratación, sino que simplemente podría tratarse de un cambio en la posición en la misma empresa.</w:t>
      </w:r>
    </w:p>
  </w:footnote>
  <w:footnote w:id="4">
    <w:p w:rsidR="00CA23A9" w:rsidRPr="00925209" w:rsidRDefault="00CA23A9" w:rsidP="00EC49D7">
      <w:pPr>
        <w:pStyle w:val="FootnoteText"/>
        <w:ind w:left="288" w:hanging="288"/>
        <w:jc w:val="both"/>
        <w:rPr>
          <w:lang w:val="es-ES"/>
        </w:rPr>
      </w:pPr>
      <w:r w:rsidRPr="00EC49D7">
        <w:rPr>
          <w:rStyle w:val="FootnoteReference"/>
          <w:rFonts w:ascii="Times New Roman" w:hAnsi="Times New Roman" w:cs="Times New Roman"/>
        </w:rPr>
        <w:footnoteRef/>
      </w:r>
      <w:r w:rsidRPr="00EC49D7">
        <w:rPr>
          <w:rFonts w:ascii="Times New Roman" w:hAnsi="Times New Roman" w:cs="Times New Roman"/>
          <w:lang w:val="es-ES"/>
        </w:rPr>
        <w:t xml:space="preserve"> </w:t>
      </w:r>
      <w:r w:rsidR="00EC49D7">
        <w:rPr>
          <w:rFonts w:ascii="Times New Roman" w:hAnsi="Times New Roman" w:cs="Times New Roman"/>
          <w:lang w:val="es-ES"/>
        </w:rPr>
        <w:tab/>
      </w:r>
      <w:r w:rsidRPr="00EC49D7">
        <w:rPr>
          <w:rFonts w:ascii="Times New Roman" w:hAnsi="Times New Roman" w:cs="Times New Roman"/>
          <w:lang w:val="es-ES"/>
        </w:rPr>
        <w:t xml:space="preserve">La encuesta utilizada publica el número de respuestas, los </w:t>
      </w:r>
      <w:r w:rsidR="00EC49D7" w:rsidRPr="00EC49D7">
        <w:rPr>
          <w:rFonts w:ascii="Times New Roman" w:hAnsi="Times New Roman" w:cs="Times New Roman"/>
          <w:lang w:val="es-ES"/>
        </w:rPr>
        <w:t>valores máximos</w:t>
      </w:r>
      <w:r w:rsidRPr="00EC49D7">
        <w:rPr>
          <w:rFonts w:ascii="Times New Roman" w:hAnsi="Times New Roman" w:cs="Times New Roman"/>
          <w:lang w:val="es-ES"/>
        </w:rPr>
        <w:t>, mínimo y mediano. Aquí se trabajará con el valor mediano por simplicidad, pero el dato más ajustado sería el valor medio. Este valor probablemente sea mayor al mediano por dos razones: en primer lugar porque por el tipo de distribución en general sesgada hacia valores mayores genera medias mayores a las medianas, y en segundo lugar porque es probable que haya sesgo de selección: el tipo de empresa que opte por capacitar un empleado sea más grande y por lo tanto pague mayores salarios que el promedio.</w:t>
      </w:r>
      <w:r>
        <w:rPr>
          <w:lang w:val="es-ES"/>
        </w:rPr>
        <w:t xml:space="preserve"> </w:t>
      </w:r>
    </w:p>
  </w:footnote>
  <w:footnote w:id="5">
    <w:p w:rsidR="00CA23A9" w:rsidRPr="009334B4" w:rsidRDefault="00CA23A9">
      <w:pPr>
        <w:pStyle w:val="FootnoteText"/>
        <w:rPr>
          <w:lang w:val="es-UY"/>
        </w:rPr>
      </w:pPr>
      <w:r>
        <w:rPr>
          <w:rStyle w:val="FootnoteReference"/>
        </w:rPr>
        <w:footnoteRef/>
      </w:r>
      <w:r w:rsidRPr="003A0EFC">
        <w:rPr>
          <w:lang w:val="es-ES"/>
        </w:rPr>
        <w:t xml:space="preserve"> </w:t>
      </w:r>
      <w:r w:rsidRPr="009334B4">
        <w:rPr>
          <w:lang w:val="es-UY"/>
        </w:rPr>
        <w:t>Ver Análisis Económico del Proyecto de Innovación empresarial y emprendimiento (UR-L1142)</w:t>
      </w:r>
    </w:p>
  </w:footnote>
  <w:footnote w:id="6">
    <w:p w:rsidR="00CA23A9" w:rsidRPr="00BF7EE0" w:rsidRDefault="00CA23A9">
      <w:pPr>
        <w:pStyle w:val="FootnoteText"/>
        <w:rPr>
          <w:lang w:val="es-UY"/>
        </w:rPr>
      </w:pPr>
      <w:r>
        <w:rPr>
          <w:rStyle w:val="FootnoteReference"/>
        </w:rPr>
        <w:footnoteRef/>
      </w:r>
      <w:r w:rsidRPr="00925209">
        <w:rPr>
          <w:lang w:val="es-ES"/>
        </w:rPr>
        <w:t xml:space="preserve"> </w:t>
      </w:r>
      <w:r>
        <w:rPr>
          <w:lang w:val="es-ES"/>
        </w:rPr>
        <w:t xml:space="preserve">Esta distribución se eligió por simplicidad, pues </w:t>
      </w:r>
      <w:r w:rsidRPr="00BF7EE0">
        <w:rPr>
          <w:lang w:val="es-UY"/>
        </w:rPr>
        <w:t xml:space="preserve">las distribuciones de ingresos (como el diferencial de salarios) no suelen tener la forma de la Normal sino que son asimétricas con cola larga (como la chi cuadrado, por ejemplo).  </w:t>
      </w:r>
    </w:p>
  </w:footnote>
  <w:footnote w:id="7">
    <w:p w:rsidR="00CA23A9" w:rsidRPr="006B7D88" w:rsidRDefault="00CA23A9" w:rsidP="006B7D88">
      <w:pPr>
        <w:pStyle w:val="FootnoteText"/>
        <w:ind w:left="288" w:hanging="288"/>
        <w:jc w:val="both"/>
        <w:rPr>
          <w:rFonts w:ascii="Arial" w:hAnsi="Arial" w:cs="Arial"/>
          <w:sz w:val="18"/>
          <w:szCs w:val="18"/>
          <w:lang w:val="es-UY"/>
        </w:rPr>
      </w:pPr>
      <w:r w:rsidRPr="00C46B13">
        <w:rPr>
          <w:rStyle w:val="FootnoteReference"/>
          <w:rFonts w:ascii="Arial" w:hAnsi="Arial" w:cs="Arial"/>
          <w:sz w:val="18"/>
          <w:szCs w:val="18"/>
        </w:rPr>
        <w:footnoteRef/>
      </w:r>
      <w:r w:rsidRPr="006B7D88">
        <w:rPr>
          <w:rFonts w:ascii="Arial" w:hAnsi="Arial" w:cs="Arial"/>
          <w:sz w:val="18"/>
          <w:szCs w:val="18"/>
          <w:lang w:val="es-UY"/>
        </w:rPr>
        <w:t xml:space="preserve"> </w:t>
      </w:r>
      <w:r w:rsidRPr="006B7D88">
        <w:rPr>
          <w:rFonts w:ascii="Arial" w:hAnsi="Arial" w:cs="Arial"/>
          <w:sz w:val="18"/>
          <w:szCs w:val="18"/>
          <w:lang w:val="es-UY"/>
        </w:rPr>
        <w:tab/>
      </w:r>
      <w:r w:rsidRPr="006B7D88">
        <w:rPr>
          <w:rFonts w:ascii="Arial" w:eastAsia="Arial" w:hAnsi="Arial" w:cs="Arial"/>
          <w:sz w:val="18"/>
          <w:szCs w:val="18"/>
          <w:lang w:val="es-UY"/>
        </w:rPr>
        <w:t xml:space="preserve">Tanto en el margen extensivo, es decir, aumento de las exportaciones de los emprendimientos que ya son exportadores, como en el margen intensivo, es decir, las exportaciones de los emprendimientos que comienzan a vender en el exterior. </w:t>
      </w:r>
    </w:p>
  </w:footnote>
  <w:footnote w:id="8">
    <w:p w:rsidR="00CA23A9" w:rsidRPr="006B7D88" w:rsidRDefault="00CA23A9" w:rsidP="006B7D88">
      <w:pPr>
        <w:pStyle w:val="FootnoteText"/>
        <w:ind w:left="288" w:hanging="288"/>
        <w:jc w:val="both"/>
        <w:rPr>
          <w:rFonts w:ascii="Arial" w:hAnsi="Arial" w:cs="Arial"/>
          <w:sz w:val="18"/>
          <w:szCs w:val="18"/>
          <w:lang w:val="es-UY"/>
        </w:rPr>
      </w:pPr>
      <w:r w:rsidRPr="00C46B13">
        <w:rPr>
          <w:rStyle w:val="FootnoteReference"/>
          <w:rFonts w:ascii="Arial" w:hAnsi="Arial" w:cs="Arial"/>
          <w:sz w:val="18"/>
          <w:szCs w:val="18"/>
        </w:rPr>
        <w:footnoteRef/>
      </w:r>
      <w:r w:rsidRPr="006B7D88">
        <w:rPr>
          <w:rFonts w:ascii="Arial" w:hAnsi="Arial" w:cs="Arial"/>
          <w:sz w:val="18"/>
          <w:szCs w:val="18"/>
          <w:lang w:val="es-UY"/>
        </w:rPr>
        <w:t xml:space="preserve"> </w:t>
      </w:r>
      <w:r w:rsidRPr="006B7D88">
        <w:rPr>
          <w:rFonts w:ascii="Arial" w:hAnsi="Arial" w:cs="Arial"/>
          <w:sz w:val="18"/>
          <w:szCs w:val="18"/>
          <w:lang w:val="es-UY"/>
        </w:rPr>
        <w:tab/>
      </w:r>
      <w:r w:rsidRPr="006B7D88">
        <w:rPr>
          <w:rFonts w:ascii="Arial" w:eastAsia="Arial" w:hAnsi="Arial" w:cs="Arial"/>
          <w:sz w:val="18"/>
          <w:szCs w:val="18"/>
          <w:lang w:val="es-UY"/>
        </w:rPr>
        <w:t>Indicador CRF: Monto de comercio internacional promovido (US$).</w:t>
      </w:r>
    </w:p>
  </w:footnote>
  <w:footnote w:id="9">
    <w:p w:rsidR="00CA23A9" w:rsidRPr="006B7D88" w:rsidRDefault="00CA23A9" w:rsidP="006B7D88">
      <w:pPr>
        <w:pStyle w:val="FootnoteText"/>
        <w:ind w:left="288" w:hanging="288"/>
        <w:jc w:val="both"/>
        <w:rPr>
          <w:rFonts w:ascii="Arial" w:hAnsi="Arial" w:cs="Arial"/>
          <w:sz w:val="18"/>
          <w:szCs w:val="18"/>
          <w:lang w:val="es-UY"/>
        </w:rPr>
      </w:pPr>
      <w:r w:rsidRPr="00C46B13">
        <w:rPr>
          <w:rStyle w:val="FootnoteReference"/>
          <w:rFonts w:ascii="Arial" w:hAnsi="Arial" w:cs="Arial"/>
          <w:sz w:val="18"/>
          <w:szCs w:val="18"/>
        </w:rPr>
        <w:footnoteRef/>
      </w:r>
      <w:r w:rsidRPr="006B7D88">
        <w:rPr>
          <w:rFonts w:ascii="Arial" w:hAnsi="Arial" w:cs="Arial"/>
          <w:sz w:val="18"/>
          <w:szCs w:val="18"/>
          <w:lang w:val="es-UY"/>
        </w:rPr>
        <w:t xml:space="preserve"> </w:t>
      </w:r>
      <w:r w:rsidRPr="006B7D88">
        <w:rPr>
          <w:rFonts w:ascii="Arial" w:hAnsi="Arial" w:cs="Arial"/>
          <w:sz w:val="18"/>
          <w:szCs w:val="18"/>
          <w:lang w:val="es-UY"/>
        </w:rPr>
        <w:tab/>
      </w:r>
      <w:r w:rsidRPr="006B7D88">
        <w:rPr>
          <w:rFonts w:ascii="Arial" w:eastAsia="Arial" w:hAnsi="Arial" w:cs="Arial"/>
          <w:sz w:val="18"/>
          <w:szCs w:val="18"/>
          <w:lang w:val="es-UY"/>
        </w:rPr>
        <w:t>Tanto en el margen intensivo, es decir, aumento de las inversiones de los emprendimientos que ya son inversores, como en el margen intensivo, es decir, las inversiones de los emprendimientos que comienzan a invertir.</w:t>
      </w:r>
    </w:p>
  </w:footnote>
  <w:footnote w:id="10">
    <w:p w:rsidR="00CA23A9" w:rsidRPr="00C46B13" w:rsidRDefault="00CA23A9" w:rsidP="006B7D88">
      <w:pPr>
        <w:ind w:left="288" w:hanging="288"/>
        <w:jc w:val="both"/>
        <w:rPr>
          <w:rFonts w:ascii="Arial" w:eastAsia="Arial" w:hAnsi="Arial" w:cs="Arial"/>
          <w:sz w:val="18"/>
          <w:szCs w:val="18"/>
          <w:lang w:val="pt-BR"/>
        </w:rPr>
      </w:pPr>
      <w:r w:rsidRPr="00C46B13">
        <w:rPr>
          <w:rStyle w:val="FootnoteReference"/>
          <w:rFonts w:ascii="Arial" w:hAnsi="Arial" w:cs="Arial"/>
          <w:sz w:val="18"/>
          <w:szCs w:val="18"/>
        </w:rPr>
        <w:footnoteRef/>
      </w:r>
      <w:r w:rsidRPr="00C46B13">
        <w:rPr>
          <w:rFonts w:ascii="Arial" w:hAnsi="Arial" w:cs="Arial"/>
          <w:sz w:val="18"/>
          <w:szCs w:val="18"/>
          <w:lang w:val="pt-BR"/>
        </w:rPr>
        <w:t xml:space="preserve">  </w:t>
      </w:r>
      <w:r>
        <w:rPr>
          <w:rFonts w:ascii="Arial" w:hAnsi="Arial" w:cs="Arial"/>
          <w:sz w:val="18"/>
          <w:szCs w:val="18"/>
          <w:lang w:val="pt-BR"/>
        </w:rPr>
        <w:tab/>
      </w:r>
      <w:r w:rsidRPr="00C46B13">
        <w:rPr>
          <w:rFonts w:ascii="Arial" w:eastAsia="Arial" w:hAnsi="Arial" w:cs="Arial"/>
          <w:sz w:val="18"/>
          <w:szCs w:val="18"/>
          <w:lang w:val="pt-BR"/>
        </w:rPr>
        <w:t>Indicador CRF: Monto de IED promovida (US$)</w:t>
      </w:r>
      <w:r>
        <w:rPr>
          <w:rFonts w:ascii="Arial" w:eastAsia="Arial" w:hAnsi="Arial" w:cs="Arial"/>
          <w:sz w:val="18"/>
          <w:szCs w:val="18"/>
          <w:lang w:val="pt-BR"/>
        </w:rPr>
        <w:t>.</w:t>
      </w:r>
    </w:p>
  </w:footnote>
  <w:footnote w:id="11">
    <w:p w:rsidR="00CA23A9" w:rsidRPr="003B7E22" w:rsidRDefault="00CA23A9" w:rsidP="006B7D88">
      <w:pPr>
        <w:pStyle w:val="FootnoteText"/>
        <w:ind w:left="288" w:hanging="288"/>
        <w:jc w:val="both"/>
        <w:rPr>
          <w:rFonts w:ascii="Arial" w:hAnsi="Arial" w:cs="Arial"/>
          <w:sz w:val="18"/>
          <w:szCs w:val="18"/>
          <w:lang w:val="es-ES_tradnl"/>
        </w:rPr>
      </w:pPr>
      <w:r w:rsidRPr="003B7E22">
        <w:rPr>
          <w:rStyle w:val="FootnoteReference"/>
          <w:rFonts w:ascii="Arial" w:hAnsi="Arial" w:cs="Arial"/>
          <w:sz w:val="18"/>
          <w:szCs w:val="18"/>
        </w:rPr>
        <w:footnoteRef/>
      </w:r>
      <w:r w:rsidRPr="006B7D88">
        <w:rPr>
          <w:rFonts w:ascii="Arial" w:hAnsi="Arial" w:cs="Arial"/>
          <w:sz w:val="18"/>
          <w:szCs w:val="18"/>
          <w:lang w:val="es-UY"/>
        </w:rPr>
        <w:t xml:space="preserve"> </w:t>
      </w:r>
      <w:r w:rsidRPr="006B7D88">
        <w:rPr>
          <w:rFonts w:ascii="Arial" w:hAnsi="Arial" w:cs="Arial"/>
          <w:sz w:val="18"/>
          <w:szCs w:val="18"/>
          <w:lang w:val="es-UY"/>
        </w:rPr>
        <w:tab/>
      </w:r>
      <w:r w:rsidRPr="003B7E22">
        <w:rPr>
          <w:rFonts w:ascii="Arial" w:eastAsia="Arial" w:hAnsi="Arial" w:cs="Arial"/>
          <w:sz w:val="18"/>
          <w:szCs w:val="18"/>
          <w:lang w:val="es-ES_tradnl"/>
        </w:rPr>
        <w:t>Indicador CRF: Estudiantes beneficiados por proyectos de educación (#)</w:t>
      </w:r>
      <w:r>
        <w:rPr>
          <w:rFonts w:ascii="Arial" w:eastAsia="Arial" w:hAnsi="Arial" w:cs="Arial"/>
          <w:sz w:val="18"/>
          <w:szCs w:val="18"/>
          <w:lang w:val="es-ES_tradnl"/>
        </w:rPr>
        <w:t>.</w:t>
      </w:r>
    </w:p>
  </w:footnote>
  <w:footnote w:id="12">
    <w:p w:rsidR="00CA23A9" w:rsidRPr="006B7D88" w:rsidRDefault="00CA23A9" w:rsidP="006B7D88">
      <w:pPr>
        <w:pStyle w:val="FootnoteText"/>
        <w:ind w:left="288" w:hanging="288"/>
        <w:jc w:val="both"/>
        <w:rPr>
          <w:lang w:val="es-UY"/>
        </w:rPr>
      </w:pPr>
      <w:r w:rsidRPr="003B7E22">
        <w:rPr>
          <w:rStyle w:val="FootnoteReference"/>
          <w:rFonts w:ascii="Arial" w:hAnsi="Arial" w:cs="Arial"/>
          <w:sz w:val="18"/>
          <w:szCs w:val="18"/>
        </w:rPr>
        <w:footnoteRef/>
      </w:r>
      <w:r w:rsidRPr="006B7D88">
        <w:rPr>
          <w:rFonts w:ascii="Arial" w:hAnsi="Arial" w:cs="Arial"/>
          <w:sz w:val="18"/>
          <w:szCs w:val="18"/>
          <w:lang w:val="es-UY"/>
        </w:rPr>
        <w:t xml:space="preserve"> </w:t>
      </w:r>
      <w:r w:rsidRPr="006B7D88">
        <w:rPr>
          <w:rFonts w:ascii="Arial" w:hAnsi="Arial" w:cs="Arial"/>
          <w:sz w:val="18"/>
          <w:szCs w:val="18"/>
          <w:lang w:val="es-UY"/>
        </w:rPr>
        <w:tab/>
        <w:t xml:space="preserve">La tasa de graduación de programas completamente online es alrededor del 10% (ver </w:t>
      </w:r>
      <w:hyperlink r:id="rId1" w:history="1">
        <w:r w:rsidRPr="006B7D88">
          <w:rPr>
            <w:rStyle w:val="Hyperlink"/>
            <w:rFonts w:ascii="Arial" w:hAnsi="Arial" w:cs="Arial"/>
            <w:sz w:val="18"/>
            <w:szCs w:val="18"/>
            <w:lang w:val="es-UY"/>
          </w:rPr>
          <w:t>EEO#7</w:t>
        </w:r>
      </w:hyperlink>
      <w:r w:rsidRPr="006B7D88">
        <w:rPr>
          <w:rFonts w:ascii="Arial" w:hAnsi="Arial" w:cs="Arial"/>
          <w:sz w:val="18"/>
          <w:szCs w:val="18"/>
          <w:lang w:val="es-UY"/>
        </w:rPr>
        <w:t xml:space="preserve">) mientras que las de un MBA presencial </w:t>
      </w:r>
      <w:hyperlink r:id="rId2" w:history="1">
        <w:r w:rsidRPr="006B7D88">
          <w:rPr>
            <w:rStyle w:val="Hyperlink"/>
            <w:rFonts w:ascii="Arial" w:hAnsi="Arial" w:cs="Arial"/>
            <w:sz w:val="18"/>
            <w:szCs w:val="18"/>
            <w:lang w:val="es-UY"/>
          </w:rPr>
          <w:t>en EE.UU. supera el 85%.</w:t>
        </w:r>
      </w:hyperlink>
      <w:r w:rsidRPr="006B7D88">
        <w:rPr>
          <w:rFonts w:ascii="Arial" w:hAnsi="Arial" w:cs="Arial"/>
          <w:sz w:val="18"/>
          <w:szCs w:val="18"/>
          <w:lang w:val="es-UY"/>
        </w:rPr>
        <w:t xml:space="preserve"> Tanto por el mayor costo de matrícula del programa en comparación a programas de </w:t>
      </w:r>
      <w:proofErr w:type="spellStart"/>
      <w:r w:rsidRPr="006B7D88">
        <w:rPr>
          <w:rFonts w:ascii="Arial" w:hAnsi="Arial" w:cs="Arial"/>
          <w:sz w:val="18"/>
          <w:szCs w:val="18"/>
          <w:lang w:val="es-UY"/>
        </w:rPr>
        <w:t>micromaestrías</w:t>
      </w:r>
      <w:proofErr w:type="spellEnd"/>
      <w:r w:rsidRPr="006B7D88">
        <w:rPr>
          <w:rFonts w:ascii="Arial" w:hAnsi="Arial" w:cs="Arial"/>
          <w:sz w:val="18"/>
          <w:szCs w:val="18"/>
          <w:lang w:val="es-UY"/>
        </w:rPr>
        <w:t xml:space="preserve"> como por el componente presencial del programa, la meta fue fijada en 70%.</w:t>
      </w:r>
      <w:r w:rsidRPr="006B7D88">
        <w:rPr>
          <w:lang w:val="es-UY"/>
        </w:rPr>
        <w:t xml:space="preserve"> </w:t>
      </w:r>
    </w:p>
  </w:footnote>
  <w:footnote w:id="13">
    <w:p w:rsidR="00CA23A9" w:rsidRPr="0011627C" w:rsidRDefault="00CA23A9" w:rsidP="006B7D88">
      <w:pPr>
        <w:ind w:left="288" w:hanging="288"/>
        <w:jc w:val="both"/>
        <w:rPr>
          <w:rFonts w:ascii="Arial" w:eastAsia="Arial" w:hAnsi="Arial" w:cs="Arial"/>
          <w:sz w:val="18"/>
          <w:szCs w:val="18"/>
        </w:rPr>
      </w:pPr>
      <w:r w:rsidRPr="0011627C">
        <w:rPr>
          <w:rStyle w:val="FootnoteReference"/>
          <w:rFonts w:ascii="Arial" w:hAnsi="Arial" w:cs="Arial"/>
          <w:sz w:val="18"/>
          <w:szCs w:val="18"/>
        </w:rPr>
        <w:footnoteRef/>
      </w:r>
      <w:r w:rsidRPr="0011627C">
        <w:rPr>
          <w:rFonts w:ascii="Arial" w:hAnsi="Arial" w:cs="Arial"/>
          <w:sz w:val="18"/>
          <w:szCs w:val="18"/>
        </w:rPr>
        <w:t xml:space="preserve"> </w:t>
      </w:r>
      <w:r>
        <w:rPr>
          <w:rFonts w:ascii="Arial" w:hAnsi="Arial" w:cs="Arial"/>
          <w:sz w:val="18"/>
          <w:szCs w:val="18"/>
        </w:rPr>
        <w:tab/>
      </w:r>
      <w:r w:rsidRPr="0011627C">
        <w:rPr>
          <w:rFonts w:ascii="Arial" w:eastAsia="Arial" w:hAnsi="Arial" w:cs="Arial"/>
          <w:sz w:val="18"/>
          <w:szCs w:val="18"/>
        </w:rPr>
        <w:t>Indicador CRF:</w:t>
      </w:r>
      <w:r>
        <w:rPr>
          <w:rFonts w:ascii="Arial" w:eastAsia="Arial" w:hAnsi="Arial" w:cs="Arial"/>
          <w:sz w:val="18"/>
          <w:szCs w:val="18"/>
        </w:rPr>
        <w:t xml:space="preserve"> </w:t>
      </w:r>
      <w:bookmarkStart w:id="1" w:name="_Hlk524023487"/>
      <w:r w:rsidRPr="0011627C">
        <w:rPr>
          <w:rFonts w:ascii="Arial" w:eastAsia="Arial" w:hAnsi="Arial" w:cs="Arial"/>
          <w:sz w:val="18"/>
          <w:szCs w:val="18"/>
        </w:rPr>
        <w:t>Maestros capacitados (#)</w:t>
      </w:r>
      <w:r>
        <w:rPr>
          <w:rFonts w:ascii="Arial" w:eastAsia="Arial" w:hAnsi="Arial" w:cs="Arial"/>
          <w:sz w:val="18"/>
          <w:szCs w:val="18"/>
        </w:rPr>
        <w:t>.</w:t>
      </w:r>
      <w:bookmarkEnd w:id="1"/>
    </w:p>
  </w:footnote>
  <w:footnote w:id="14">
    <w:p w:rsidR="00CA23A9" w:rsidRPr="00360F13" w:rsidRDefault="00CA23A9" w:rsidP="006B7D88">
      <w:pPr>
        <w:ind w:left="288" w:hanging="288"/>
        <w:jc w:val="both"/>
        <w:rPr>
          <w:rFonts w:ascii="Arial" w:eastAsia="Arial" w:hAnsi="Arial" w:cs="Arial"/>
          <w:sz w:val="18"/>
          <w:szCs w:val="18"/>
        </w:rPr>
      </w:pPr>
      <w:r w:rsidRPr="00360F13">
        <w:rPr>
          <w:rStyle w:val="FootnoteReference"/>
          <w:rFonts w:ascii="Arial" w:hAnsi="Arial" w:cs="Arial"/>
          <w:sz w:val="18"/>
          <w:szCs w:val="18"/>
        </w:rPr>
        <w:footnoteRef/>
      </w:r>
      <w:r w:rsidRPr="00360F13">
        <w:rPr>
          <w:rFonts w:ascii="Arial" w:hAnsi="Arial" w:cs="Arial"/>
          <w:sz w:val="18"/>
          <w:szCs w:val="18"/>
        </w:rPr>
        <w:t xml:space="preserve"> </w:t>
      </w:r>
      <w:r w:rsidRPr="00360F13">
        <w:rPr>
          <w:rFonts w:ascii="Arial" w:hAnsi="Arial" w:cs="Arial"/>
          <w:sz w:val="18"/>
          <w:szCs w:val="18"/>
        </w:rPr>
        <w:tab/>
      </w:r>
      <w:r w:rsidRPr="00360F13">
        <w:rPr>
          <w:rFonts w:ascii="Arial" w:eastAsia="Arial" w:hAnsi="Arial" w:cs="Arial"/>
          <w:sz w:val="18"/>
          <w:szCs w:val="18"/>
        </w:rPr>
        <w:t xml:space="preserve">Indicador CRF: </w:t>
      </w:r>
      <w:bookmarkStart w:id="3" w:name="_Hlk524023618"/>
      <w:r w:rsidRPr="00360F13">
        <w:rPr>
          <w:rFonts w:ascii="Arial" w:eastAsia="Arial" w:hAnsi="Arial" w:cs="Arial"/>
          <w:sz w:val="18"/>
          <w:szCs w:val="18"/>
        </w:rPr>
        <w:t xml:space="preserve">empresas apoyadas en actividades de innovación </w:t>
      </w:r>
      <w:bookmarkEnd w:id="3"/>
      <w:r w:rsidRPr="00360F13">
        <w:rPr>
          <w:rFonts w:ascii="Arial" w:eastAsia="Arial" w:hAnsi="Arial" w:cs="Arial"/>
          <w:sz w:val="18"/>
          <w:szCs w:val="18"/>
        </w:rPr>
        <w:t>(#).</w:t>
      </w:r>
    </w:p>
  </w:footnote>
  <w:footnote w:id="15">
    <w:p w:rsidR="00CA23A9" w:rsidRPr="006B7D88" w:rsidRDefault="00CA23A9" w:rsidP="006B7D88">
      <w:pPr>
        <w:pStyle w:val="FootnoteText"/>
        <w:tabs>
          <w:tab w:val="left" w:pos="270"/>
        </w:tabs>
        <w:jc w:val="both"/>
        <w:rPr>
          <w:rFonts w:ascii="Arial" w:hAnsi="Arial" w:cs="Arial"/>
          <w:sz w:val="18"/>
          <w:szCs w:val="18"/>
          <w:lang w:val="es-ES_tradnl"/>
        </w:rPr>
      </w:pPr>
      <w:r w:rsidRPr="00360F13">
        <w:rPr>
          <w:rStyle w:val="FootnoteReference"/>
          <w:rFonts w:ascii="Arial" w:hAnsi="Arial" w:cs="Arial"/>
          <w:sz w:val="18"/>
          <w:szCs w:val="18"/>
        </w:rPr>
        <w:footnoteRef/>
      </w:r>
      <w:r w:rsidRPr="006B7D88">
        <w:rPr>
          <w:rFonts w:ascii="Arial" w:hAnsi="Arial" w:cs="Arial"/>
          <w:sz w:val="18"/>
          <w:szCs w:val="18"/>
          <w:lang w:val="es-ES_tradnl"/>
        </w:rPr>
        <w:t xml:space="preserve">  </w:t>
      </w:r>
      <w:r w:rsidRPr="006B7D88">
        <w:rPr>
          <w:rFonts w:ascii="Arial" w:hAnsi="Arial" w:cs="Arial"/>
          <w:sz w:val="18"/>
          <w:szCs w:val="18"/>
          <w:lang w:val="es-ES_tradnl"/>
        </w:rPr>
        <w:tab/>
      </w:r>
      <w:hyperlink r:id="rId3" w:history="1">
        <w:r w:rsidRPr="006B7D88">
          <w:rPr>
            <w:rStyle w:val="Hyperlink"/>
            <w:rFonts w:ascii="Arial" w:hAnsi="Arial" w:cs="Arial"/>
            <w:sz w:val="18"/>
            <w:szCs w:val="18"/>
            <w:lang w:val="es-ES_tradnl"/>
          </w:rPr>
          <w:t>http://www.anii.org.uy/upcms/files/listado-documentos/documentos/informe-de-evaluaci-n-capital-semilla.pdf</w:t>
        </w:r>
      </w:hyperlink>
      <w:r w:rsidRPr="006B7D88">
        <w:rPr>
          <w:rFonts w:ascii="Arial" w:hAnsi="Arial" w:cs="Arial"/>
          <w:sz w:val="18"/>
          <w:szCs w:val="18"/>
          <w:lang w:val="es-ES_tradnl"/>
        </w:rPr>
        <w:t>.</w:t>
      </w:r>
    </w:p>
  </w:footnote>
  <w:footnote w:id="16">
    <w:p w:rsidR="00CA23A9" w:rsidRPr="00C46B13" w:rsidRDefault="00CA23A9" w:rsidP="006B7D88">
      <w:pPr>
        <w:pStyle w:val="FootnoteText"/>
        <w:ind w:left="288" w:hanging="288"/>
        <w:jc w:val="both"/>
        <w:rPr>
          <w:lang w:val="es-UY"/>
        </w:rPr>
      </w:pPr>
      <w:r w:rsidRPr="00360F13">
        <w:rPr>
          <w:rStyle w:val="FootnoteReference"/>
          <w:rFonts w:ascii="Arial" w:hAnsi="Arial" w:cs="Arial"/>
          <w:sz w:val="18"/>
          <w:szCs w:val="18"/>
        </w:rPr>
        <w:footnoteRef/>
      </w:r>
      <w:r w:rsidRPr="006B7D88">
        <w:rPr>
          <w:rFonts w:ascii="Arial" w:hAnsi="Arial" w:cs="Arial"/>
          <w:sz w:val="18"/>
          <w:szCs w:val="18"/>
          <w:lang w:val="es-UY"/>
        </w:rPr>
        <w:t xml:space="preserve"> </w:t>
      </w:r>
      <w:r w:rsidRPr="006B7D88">
        <w:rPr>
          <w:rFonts w:ascii="Arial" w:hAnsi="Arial" w:cs="Arial"/>
          <w:sz w:val="18"/>
          <w:szCs w:val="18"/>
          <w:lang w:val="es-UY"/>
        </w:rPr>
        <w:tab/>
        <w:t>La estrategia de difusión se considera implementada cuando los materiales de difusión hayan sido producidos y posteriormente reproducidos en distintos canales de comunicación.</w:t>
      </w:r>
      <w:r w:rsidRPr="006B7D88">
        <w:rPr>
          <w:lang w:val="es-UY"/>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1579"/>
    <w:multiLevelType w:val="hybridMultilevel"/>
    <w:tmpl w:val="E954D2BC"/>
    <w:lvl w:ilvl="0" w:tplc="DB226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71FA6"/>
    <w:multiLevelType w:val="hybridMultilevel"/>
    <w:tmpl w:val="C4DA5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62DCE"/>
    <w:multiLevelType w:val="hybridMultilevel"/>
    <w:tmpl w:val="E954D2BC"/>
    <w:lvl w:ilvl="0" w:tplc="DB226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66484"/>
    <w:multiLevelType w:val="hybridMultilevel"/>
    <w:tmpl w:val="0FE06FD0"/>
    <w:lvl w:ilvl="0" w:tplc="DB2266E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46144"/>
    <w:multiLevelType w:val="hybridMultilevel"/>
    <w:tmpl w:val="4AAC0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923C8"/>
    <w:multiLevelType w:val="multilevel"/>
    <w:tmpl w:val="849252C8"/>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63E769F5"/>
    <w:multiLevelType w:val="hybridMultilevel"/>
    <w:tmpl w:val="CAE68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690"/>
    <w:rsid w:val="00052B44"/>
    <w:rsid w:val="00055400"/>
    <w:rsid w:val="00060FDC"/>
    <w:rsid w:val="00066AFE"/>
    <w:rsid w:val="00081A60"/>
    <w:rsid w:val="000914CB"/>
    <w:rsid w:val="000A1C85"/>
    <w:rsid w:val="000C5ABD"/>
    <w:rsid w:val="000D1DB1"/>
    <w:rsid w:val="000D2DAC"/>
    <w:rsid w:val="000E163A"/>
    <w:rsid w:val="000E51A1"/>
    <w:rsid w:val="00127554"/>
    <w:rsid w:val="0017607A"/>
    <w:rsid w:val="001924EF"/>
    <w:rsid w:val="001A6D86"/>
    <w:rsid w:val="001D1F3C"/>
    <w:rsid w:val="001D44AE"/>
    <w:rsid w:val="001E4BAA"/>
    <w:rsid w:val="00217AC5"/>
    <w:rsid w:val="002246A2"/>
    <w:rsid w:val="00240305"/>
    <w:rsid w:val="002601C4"/>
    <w:rsid w:val="00265893"/>
    <w:rsid w:val="0027466B"/>
    <w:rsid w:val="00276BAC"/>
    <w:rsid w:val="0029155E"/>
    <w:rsid w:val="002A4F06"/>
    <w:rsid w:val="002D61A5"/>
    <w:rsid w:val="002F0706"/>
    <w:rsid w:val="0031407C"/>
    <w:rsid w:val="0032523A"/>
    <w:rsid w:val="0033071E"/>
    <w:rsid w:val="00342C0B"/>
    <w:rsid w:val="00344AA0"/>
    <w:rsid w:val="00356E59"/>
    <w:rsid w:val="003610FF"/>
    <w:rsid w:val="00364C37"/>
    <w:rsid w:val="0037102A"/>
    <w:rsid w:val="00380DFC"/>
    <w:rsid w:val="00383669"/>
    <w:rsid w:val="00391367"/>
    <w:rsid w:val="003A0EFC"/>
    <w:rsid w:val="003F003A"/>
    <w:rsid w:val="003F3028"/>
    <w:rsid w:val="00447639"/>
    <w:rsid w:val="00453CAE"/>
    <w:rsid w:val="004634EC"/>
    <w:rsid w:val="00470E20"/>
    <w:rsid w:val="0047710E"/>
    <w:rsid w:val="0048124F"/>
    <w:rsid w:val="004854E6"/>
    <w:rsid w:val="004B0CF4"/>
    <w:rsid w:val="004C2AAF"/>
    <w:rsid w:val="004C7164"/>
    <w:rsid w:val="004E08AC"/>
    <w:rsid w:val="00501D3B"/>
    <w:rsid w:val="00530830"/>
    <w:rsid w:val="00561B3B"/>
    <w:rsid w:val="005950D7"/>
    <w:rsid w:val="005C7274"/>
    <w:rsid w:val="005D0D2A"/>
    <w:rsid w:val="005D234E"/>
    <w:rsid w:val="005D2BBE"/>
    <w:rsid w:val="005D4E71"/>
    <w:rsid w:val="005D5D51"/>
    <w:rsid w:val="005E7A9B"/>
    <w:rsid w:val="005F1D5B"/>
    <w:rsid w:val="006302CE"/>
    <w:rsid w:val="00630C23"/>
    <w:rsid w:val="0065226C"/>
    <w:rsid w:val="00671E7D"/>
    <w:rsid w:val="006B1DDA"/>
    <w:rsid w:val="006B7134"/>
    <w:rsid w:val="006B7D88"/>
    <w:rsid w:val="006D0A4D"/>
    <w:rsid w:val="0070419E"/>
    <w:rsid w:val="0071567D"/>
    <w:rsid w:val="00725970"/>
    <w:rsid w:val="0074629B"/>
    <w:rsid w:val="00747B88"/>
    <w:rsid w:val="007A36BA"/>
    <w:rsid w:val="007C18ED"/>
    <w:rsid w:val="007E48A0"/>
    <w:rsid w:val="007F539A"/>
    <w:rsid w:val="00811851"/>
    <w:rsid w:val="008226A8"/>
    <w:rsid w:val="00840DA1"/>
    <w:rsid w:val="0084340E"/>
    <w:rsid w:val="0085769F"/>
    <w:rsid w:val="00863334"/>
    <w:rsid w:val="008762B7"/>
    <w:rsid w:val="008A299A"/>
    <w:rsid w:val="008C08A0"/>
    <w:rsid w:val="008D7673"/>
    <w:rsid w:val="008F3D81"/>
    <w:rsid w:val="00912798"/>
    <w:rsid w:val="0091575B"/>
    <w:rsid w:val="00925209"/>
    <w:rsid w:val="009271B9"/>
    <w:rsid w:val="009334B4"/>
    <w:rsid w:val="009358E2"/>
    <w:rsid w:val="00945509"/>
    <w:rsid w:val="009617B1"/>
    <w:rsid w:val="00970877"/>
    <w:rsid w:val="00973DFA"/>
    <w:rsid w:val="00974E64"/>
    <w:rsid w:val="00980415"/>
    <w:rsid w:val="009B0690"/>
    <w:rsid w:val="009B23A7"/>
    <w:rsid w:val="009B3E42"/>
    <w:rsid w:val="009B4519"/>
    <w:rsid w:val="009B48D4"/>
    <w:rsid w:val="009C2B87"/>
    <w:rsid w:val="009C36FE"/>
    <w:rsid w:val="009D1A82"/>
    <w:rsid w:val="009D6308"/>
    <w:rsid w:val="009E0604"/>
    <w:rsid w:val="009E2C82"/>
    <w:rsid w:val="009F6272"/>
    <w:rsid w:val="00A01D4D"/>
    <w:rsid w:val="00A03233"/>
    <w:rsid w:val="00A208E2"/>
    <w:rsid w:val="00A25E81"/>
    <w:rsid w:val="00A8176B"/>
    <w:rsid w:val="00A962CD"/>
    <w:rsid w:val="00AB3900"/>
    <w:rsid w:val="00AC5A78"/>
    <w:rsid w:val="00AF42DD"/>
    <w:rsid w:val="00AF74D1"/>
    <w:rsid w:val="00B00D57"/>
    <w:rsid w:val="00B1159A"/>
    <w:rsid w:val="00B178A5"/>
    <w:rsid w:val="00B50A2F"/>
    <w:rsid w:val="00B738A3"/>
    <w:rsid w:val="00B74EE8"/>
    <w:rsid w:val="00B80591"/>
    <w:rsid w:val="00B850BC"/>
    <w:rsid w:val="00BC22F7"/>
    <w:rsid w:val="00BD4911"/>
    <w:rsid w:val="00BE18FF"/>
    <w:rsid w:val="00BE195F"/>
    <w:rsid w:val="00BF2E90"/>
    <w:rsid w:val="00BF3D93"/>
    <w:rsid w:val="00BF7EE0"/>
    <w:rsid w:val="00C00811"/>
    <w:rsid w:val="00C30A25"/>
    <w:rsid w:val="00C46B6F"/>
    <w:rsid w:val="00C518CC"/>
    <w:rsid w:val="00C5740E"/>
    <w:rsid w:val="00C72F7E"/>
    <w:rsid w:val="00C96D3D"/>
    <w:rsid w:val="00CA23A9"/>
    <w:rsid w:val="00CB5F54"/>
    <w:rsid w:val="00CC2D45"/>
    <w:rsid w:val="00CE2162"/>
    <w:rsid w:val="00CF3247"/>
    <w:rsid w:val="00CF489F"/>
    <w:rsid w:val="00D17CE3"/>
    <w:rsid w:val="00D23CE9"/>
    <w:rsid w:val="00D32DB5"/>
    <w:rsid w:val="00D36466"/>
    <w:rsid w:val="00D43B80"/>
    <w:rsid w:val="00D62690"/>
    <w:rsid w:val="00D74A2E"/>
    <w:rsid w:val="00DA2FF4"/>
    <w:rsid w:val="00DA6183"/>
    <w:rsid w:val="00DB76D7"/>
    <w:rsid w:val="00DC0E51"/>
    <w:rsid w:val="00DC42F7"/>
    <w:rsid w:val="00DD2C67"/>
    <w:rsid w:val="00E04303"/>
    <w:rsid w:val="00E20F08"/>
    <w:rsid w:val="00E232C9"/>
    <w:rsid w:val="00E272D7"/>
    <w:rsid w:val="00E47C61"/>
    <w:rsid w:val="00E90D62"/>
    <w:rsid w:val="00EC49D7"/>
    <w:rsid w:val="00F16FB6"/>
    <w:rsid w:val="00F21157"/>
    <w:rsid w:val="00F229B2"/>
    <w:rsid w:val="00F41AD9"/>
    <w:rsid w:val="00F84757"/>
    <w:rsid w:val="00F9523A"/>
    <w:rsid w:val="00F95435"/>
    <w:rsid w:val="00F95F5E"/>
    <w:rsid w:val="00FA0B77"/>
    <w:rsid w:val="00FA1BED"/>
    <w:rsid w:val="00FA4807"/>
    <w:rsid w:val="00FB16A9"/>
    <w:rsid w:val="00FB739C"/>
    <w:rsid w:val="00FC769B"/>
    <w:rsid w:val="00FF44FF"/>
    <w:rsid w:val="00FF609A"/>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EA4C"/>
  <w15:docId w15:val="{A47DD611-A089-4CF6-B426-82B81D01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690"/>
    <w:pPr>
      <w:spacing w:after="0" w:line="240" w:lineRule="auto"/>
    </w:pPr>
    <w:rPr>
      <w:rFonts w:ascii="Times New Roman" w:eastAsia="Times New Roman" w:hAnsi="Times New Roman" w:cs="Times New Roman"/>
      <w:sz w:val="24"/>
      <w:szCs w:val="20"/>
      <w:lang w:val="es-ES_tradnl" w:eastAsia="es-ES"/>
    </w:rPr>
  </w:style>
  <w:style w:type="paragraph" w:styleId="Heading1">
    <w:name w:val="heading 1"/>
    <w:aliases w:val="Heading 1.I"/>
    <w:next w:val="Normal"/>
    <w:link w:val="Heading1Char"/>
    <w:qFormat/>
    <w:rsid w:val="000E163A"/>
    <w:pPr>
      <w:keepNext/>
      <w:numPr>
        <w:numId w:val="4"/>
      </w:numPr>
      <w:spacing w:before="240" w:after="240" w:line="240" w:lineRule="auto"/>
      <w:jc w:val="center"/>
      <w:outlineLvl w:val="0"/>
    </w:pPr>
    <w:rPr>
      <w:rFonts w:ascii="Times New Roman Bold" w:eastAsia="Times New Roman" w:hAnsi="Times New Roman Bold" w:cs="Times New Roman"/>
      <w:b/>
      <w:smallCaps/>
      <w:noProof/>
      <w:sz w:val="28"/>
      <w:szCs w:val="20"/>
    </w:rPr>
  </w:style>
  <w:style w:type="paragraph" w:styleId="Heading4">
    <w:name w:val="heading 4"/>
    <w:aliases w:val="Heading 4.a"/>
    <w:next w:val="Normal"/>
    <w:link w:val="Heading4Char"/>
    <w:qFormat/>
    <w:rsid w:val="000E163A"/>
    <w:pPr>
      <w:keepNext/>
      <w:numPr>
        <w:ilvl w:val="2"/>
        <w:numId w:val="4"/>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0690"/>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6FE"/>
    <w:pPr>
      <w:ind w:left="720"/>
      <w:contextualSpacing/>
    </w:pPr>
  </w:style>
  <w:style w:type="character" w:styleId="PlaceholderText">
    <w:name w:val="Placeholder Text"/>
    <w:basedOn w:val="DefaultParagraphFont"/>
    <w:uiPriority w:val="99"/>
    <w:semiHidden/>
    <w:rsid w:val="00D43B80"/>
    <w:rPr>
      <w:color w:val="808080"/>
    </w:rPr>
  </w:style>
  <w:style w:type="paragraph" w:styleId="BalloonText">
    <w:name w:val="Balloon Text"/>
    <w:basedOn w:val="Normal"/>
    <w:link w:val="BalloonTextChar"/>
    <w:uiPriority w:val="99"/>
    <w:semiHidden/>
    <w:unhideWhenUsed/>
    <w:rsid w:val="00D43B80"/>
    <w:rPr>
      <w:rFonts w:ascii="Tahoma" w:hAnsi="Tahoma" w:cs="Tahoma"/>
      <w:sz w:val="16"/>
      <w:szCs w:val="16"/>
    </w:rPr>
  </w:style>
  <w:style w:type="character" w:customStyle="1" w:styleId="BalloonTextChar">
    <w:name w:val="Balloon Text Char"/>
    <w:basedOn w:val="DefaultParagraphFont"/>
    <w:link w:val="BalloonText"/>
    <w:uiPriority w:val="99"/>
    <w:semiHidden/>
    <w:rsid w:val="00D43B80"/>
    <w:rPr>
      <w:rFonts w:ascii="Tahoma" w:eastAsia="Times New Roman" w:hAnsi="Tahoma" w:cs="Tahoma"/>
      <w:sz w:val="16"/>
      <w:szCs w:val="16"/>
      <w:lang w:val="es-ES_tradnl" w:eastAsia="es-ES"/>
    </w:rPr>
  </w:style>
  <w:style w:type="paragraph" w:styleId="FootnoteText">
    <w:name w:val="footnote text"/>
    <w:basedOn w:val="Normal"/>
    <w:link w:val="FootnoteTextChar"/>
    <w:unhideWhenUsed/>
    <w:qFormat/>
    <w:rsid w:val="00DC42F7"/>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rsid w:val="00DC42F7"/>
    <w:rPr>
      <w:sz w:val="20"/>
      <w:szCs w:val="20"/>
    </w:rPr>
  </w:style>
  <w:style w:type="character" w:styleId="FootnoteReference">
    <w:name w:val="footnote reference"/>
    <w:basedOn w:val="DefaultParagraphFont"/>
    <w:link w:val="Char2"/>
    <w:unhideWhenUsed/>
    <w:qFormat/>
    <w:rsid w:val="00DC42F7"/>
    <w:rPr>
      <w:vertAlign w:val="superscript"/>
    </w:rPr>
  </w:style>
  <w:style w:type="character" w:customStyle="1" w:styleId="Heading1Char">
    <w:name w:val="Heading 1 Char"/>
    <w:aliases w:val="Heading 1.I Char"/>
    <w:basedOn w:val="DefaultParagraphFont"/>
    <w:link w:val="Heading1"/>
    <w:rsid w:val="000E163A"/>
    <w:rPr>
      <w:rFonts w:ascii="Times New Roman Bold" w:eastAsia="Times New Roman" w:hAnsi="Times New Roman Bold" w:cs="Times New Roman"/>
      <w:b/>
      <w:smallCaps/>
      <w:noProof/>
      <w:sz w:val="28"/>
      <w:szCs w:val="20"/>
    </w:rPr>
  </w:style>
  <w:style w:type="character" w:customStyle="1" w:styleId="Heading4Char">
    <w:name w:val="Heading 4 Char"/>
    <w:aliases w:val="Heading 4.a Char"/>
    <w:basedOn w:val="DefaultParagraphFont"/>
    <w:link w:val="Heading4"/>
    <w:rsid w:val="000E163A"/>
    <w:rPr>
      <w:rFonts w:ascii="Times New Roman Bold" w:eastAsia="Times New Roman" w:hAnsi="Times New Roman Bold" w:cs="Times New Roman"/>
      <w:b/>
      <w:noProof/>
      <w:sz w:val="24"/>
      <w:szCs w:val="20"/>
    </w:rPr>
  </w:style>
  <w:style w:type="paragraph" w:customStyle="1" w:styleId="AutoNumpara">
    <w:name w:val="AutoNumpara"/>
    <w:basedOn w:val="BodyTextIndent"/>
    <w:rsid w:val="000E163A"/>
    <w:pPr>
      <w:numPr>
        <w:ilvl w:val="1"/>
        <w:numId w:val="4"/>
      </w:numPr>
      <w:tabs>
        <w:tab w:val="clear" w:pos="720"/>
      </w:tabs>
      <w:spacing w:before="120"/>
      <w:ind w:left="1440" w:hanging="360"/>
      <w:jc w:val="both"/>
    </w:pPr>
    <w:rPr>
      <w:noProof/>
      <w:spacing w:val="-2"/>
    </w:rPr>
  </w:style>
  <w:style w:type="paragraph" w:styleId="BodyTextIndent">
    <w:name w:val="Body Text Indent"/>
    <w:basedOn w:val="Normal"/>
    <w:link w:val="BodyTextIndentChar"/>
    <w:uiPriority w:val="99"/>
    <w:semiHidden/>
    <w:unhideWhenUsed/>
    <w:rsid w:val="000E163A"/>
    <w:pPr>
      <w:spacing w:after="120"/>
      <w:ind w:left="283"/>
    </w:pPr>
  </w:style>
  <w:style w:type="character" w:customStyle="1" w:styleId="BodyTextIndentChar">
    <w:name w:val="Body Text Indent Char"/>
    <w:basedOn w:val="DefaultParagraphFont"/>
    <w:link w:val="BodyTextIndent"/>
    <w:uiPriority w:val="99"/>
    <w:semiHidden/>
    <w:rsid w:val="000E163A"/>
    <w:rPr>
      <w:rFonts w:ascii="Times New Roman" w:eastAsia="Times New Roman" w:hAnsi="Times New Roman" w:cs="Times New Roman"/>
      <w:sz w:val="24"/>
      <w:szCs w:val="20"/>
      <w:lang w:val="es-ES_tradnl" w:eastAsia="es-ES"/>
    </w:rPr>
  </w:style>
  <w:style w:type="paragraph" w:customStyle="1" w:styleId="Char2">
    <w:name w:val="Char2"/>
    <w:basedOn w:val="Normal"/>
    <w:link w:val="FootnoteReference"/>
    <w:rsid w:val="006B7D88"/>
    <w:pPr>
      <w:spacing w:after="160" w:line="240" w:lineRule="exact"/>
    </w:pPr>
    <w:rPr>
      <w:rFonts w:asciiTheme="minorHAnsi" w:eastAsiaTheme="minorHAnsi" w:hAnsiTheme="minorHAnsi" w:cstheme="minorBidi"/>
      <w:sz w:val="22"/>
      <w:szCs w:val="22"/>
      <w:vertAlign w:val="superscript"/>
      <w:lang w:val="en-US" w:eastAsia="en-US"/>
    </w:rPr>
  </w:style>
  <w:style w:type="character" w:styleId="Hyperlink">
    <w:name w:val="Hyperlink"/>
    <w:basedOn w:val="DefaultParagraphFont"/>
    <w:uiPriority w:val="99"/>
    <w:unhideWhenUsed/>
    <w:rsid w:val="006B7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1641">
      <w:bodyDiv w:val="1"/>
      <w:marLeft w:val="0"/>
      <w:marRight w:val="0"/>
      <w:marTop w:val="0"/>
      <w:marBottom w:val="0"/>
      <w:divBdr>
        <w:top w:val="none" w:sz="0" w:space="0" w:color="auto"/>
        <w:left w:val="none" w:sz="0" w:space="0" w:color="auto"/>
        <w:bottom w:val="none" w:sz="0" w:space="0" w:color="auto"/>
        <w:right w:val="none" w:sz="0" w:space="0" w:color="auto"/>
      </w:divBdr>
    </w:div>
    <w:div w:id="209612734">
      <w:bodyDiv w:val="1"/>
      <w:marLeft w:val="0"/>
      <w:marRight w:val="0"/>
      <w:marTop w:val="0"/>
      <w:marBottom w:val="0"/>
      <w:divBdr>
        <w:top w:val="none" w:sz="0" w:space="0" w:color="auto"/>
        <w:left w:val="none" w:sz="0" w:space="0" w:color="auto"/>
        <w:bottom w:val="none" w:sz="0" w:space="0" w:color="auto"/>
        <w:right w:val="none" w:sz="0" w:space="0" w:color="auto"/>
      </w:divBdr>
    </w:div>
    <w:div w:id="505828186">
      <w:bodyDiv w:val="1"/>
      <w:marLeft w:val="0"/>
      <w:marRight w:val="0"/>
      <w:marTop w:val="0"/>
      <w:marBottom w:val="0"/>
      <w:divBdr>
        <w:top w:val="none" w:sz="0" w:space="0" w:color="auto"/>
        <w:left w:val="none" w:sz="0" w:space="0" w:color="auto"/>
        <w:bottom w:val="none" w:sz="0" w:space="0" w:color="auto"/>
        <w:right w:val="none" w:sz="0" w:space="0" w:color="auto"/>
      </w:divBdr>
    </w:div>
    <w:div w:id="1191990120">
      <w:bodyDiv w:val="1"/>
      <w:marLeft w:val="0"/>
      <w:marRight w:val="0"/>
      <w:marTop w:val="0"/>
      <w:marBottom w:val="0"/>
      <w:divBdr>
        <w:top w:val="none" w:sz="0" w:space="0" w:color="auto"/>
        <w:left w:val="none" w:sz="0" w:space="0" w:color="auto"/>
        <w:bottom w:val="none" w:sz="0" w:space="0" w:color="auto"/>
        <w:right w:val="none" w:sz="0" w:space="0" w:color="auto"/>
      </w:divBdr>
    </w:div>
    <w:div w:id="1409889186">
      <w:bodyDiv w:val="1"/>
      <w:marLeft w:val="0"/>
      <w:marRight w:val="0"/>
      <w:marTop w:val="0"/>
      <w:marBottom w:val="0"/>
      <w:divBdr>
        <w:top w:val="none" w:sz="0" w:space="0" w:color="auto"/>
        <w:left w:val="none" w:sz="0" w:space="0" w:color="auto"/>
        <w:bottom w:val="none" w:sz="0" w:space="0" w:color="auto"/>
        <w:right w:val="none" w:sz="0" w:space="0" w:color="auto"/>
      </w:divBdr>
    </w:div>
    <w:div w:id="1702708305">
      <w:bodyDiv w:val="1"/>
      <w:marLeft w:val="0"/>
      <w:marRight w:val="0"/>
      <w:marTop w:val="0"/>
      <w:marBottom w:val="0"/>
      <w:divBdr>
        <w:top w:val="none" w:sz="0" w:space="0" w:color="auto"/>
        <w:left w:val="none" w:sz="0" w:space="0" w:color="auto"/>
        <w:bottom w:val="none" w:sz="0" w:space="0" w:color="auto"/>
        <w:right w:val="none" w:sz="0" w:space="0" w:color="auto"/>
      </w:divBdr>
    </w:div>
    <w:div w:id="18433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chart" Target="charts/chart3.xml"/><Relationship Id="rId19" Type="http://schemas.openxmlformats.org/officeDocument/2006/relationships/customXml" Target="../customXml/item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anii.org.uy/upcms/files/listado-documentos/documentos/informe-de-evaluaci-n-capital-semilla.pdf" TargetMode="External"/><Relationship Id="rId2" Type="http://schemas.openxmlformats.org/officeDocument/2006/relationships/hyperlink" Target="https://cgsnet.org/masters-completion-project" TargetMode="External"/><Relationship Id="rId1" Type="http://schemas.openxmlformats.org/officeDocument/2006/relationships/hyperlink" Target="http://idbdocs.iadb.org/wsdocs/getDocument.aspx?DOCNUM=EZSHARE-1922773778-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01\Dropbox\BID\costo-beneficio_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01\Dropbox\BID\costo-beneficio_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01\Dropbox\BID\costo-beneficio_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solidFill>
              <a:srgbClr val="92D050"/>
            </a:solidFill>
          </c:spPr>
          <c:invertIfNegative val="0"/>
          <c:dPt>
            <c:idx val="0"/>
            <c:invertIfNegative val="0"/>
            <c:bubble3D val="0"/>
            <c:spPr>
              <a:solidFill>
                <a:srgbClr val="FF0000"/>
              </a:solidFill>
            </c:spPr>
            <c:extLst>
              <c:ext xmlns:c16="http://schemas.microsoft.com/office/drawing/2014/chart" uri="{C3380CC4-5D6E-409C-BE32-E72D297353CC}">
                <c16:uniqueId val="{00000000-0639-4228-9CCB-218D7053F279}"/>
              </c:ext>
            </c:extLst>
          </c:dPt>
          <c:dPt>
            <c:idx val="1"/>
            <c:invertIfNegative val="0"/>
            <c:bubble3D val="0"/>
            <c:spPr>
              <a:solidFill>
                <a:srgbClr val="FF0000"/>
              </a:solidFill>
            </c:spPr>
            <c:extLst>
              <c:ext xmlns:c16="http://schemas.microsoft.com/office/drawing/2014/chart" uri="{C3380CC4-5D6E-409C-BE32-E72D297353CC}">
                <c16:uniqueId val="{00000001-0639-4228-9CCB-218D7053F279}"/>
              </c:ext>
            </c:extLst>
          </c:dPt>
          <c:dPt>
            <c:idx val="2"/>
            <c:invertIfNegative val="0"/>
            <c:bubble3D val="0"/>
            <c:spPr>
              <a:solidFill>
                <a:srgbClr val="FF0000"/>
              </a:solidFill>
            </c:spPr>
            <c:extLst>
              <c:ext xmlns:c16="http://schemas.microsoft.com/office/drawing/2014/chart" uri="{C3380CC4-5D6E-409C-BE32-E72D297353CC}">
                <c16:uniqueId val="{00000002-0639-4228-9CCB-218D7053F279}"/>
              </c:ext>
            </c:extLst>
          </c:dPt>
          <c:dPt>
            <c:idx val="3"/>
            <c:invertIfNegative val="0"/>
            <c:bubble3D val="0"/>
            <c:spPr>
              <a:solidFill>
                <a:srgbClr val="FF0000"/>
              </a:solidFill>
            </c:spPr>
            <c:extLst>
              <c:ext xmlns:c16="http://schemas.microsoft.com/office/drawing/2014/chart" uri="{C3380CC4-5D6E-409C-BE32-E72D297353CC}">
                <c16:uniqueId val="{00000003-0639-4228-9CCB-218D7053F279}"/>
              </c:ext>
            </c:extLst>
          </c:dPt>
          <c:dPt>
            <c:idx val="4"/>
            <c:invertIfNegative val="0"/>
            <c:bubble3D val="0"/>
            <c:spPr>
              <a:solidFill>
                <a:srgbClr val="FF0000"/>
              </a:solidFill>
            </c:spPr>
            <c:extLst>
              <c:ext xmlns:c16="http://schemas.microsoft.com/office/drawing/2014/chart" uri="{C3380CC4-5D6E-409C-BE32-E72D297353CC}">
                <c16:uniqueId val="{00000004-0639-4228-9CCB-218D7053F279}"/>
              </c:ext>
            </c:extLst>
          </c:dPt>
          <c:dPt>
            <c:idx val="5"/>
            <c:invertIfNegative val="0"/>
            <c:bubble3D val="0"/>
            <c:spPr>
              <a:solidFill>
                <a:srgbClr val="FF0000"/>
              </a:solidFill>
            </c:spPr>
            <c:extLst>
              <c:ext xmlns:c16="http://schemas.microsoft.com/office/drawing/2014/chart" uri="{C3380CC4-5D6E-409C-BE32-E72D297353CC}">
                <c16:uniqueId val="{00000005-0639-4228-9CCB-218D7053F279}"/>
              </c:ext>
            </c:extLst>
          </c:dPt>
          <c:dPt>
            <c:idx val="6"/>
            <c:invertIfNegative val="0"/>
            <c:bubble3D val="0"/>
            <c:spPr>
              <a:solidFill>
                <a:srgbClr val="FF0000"/>
              </a:solidFill>
            </c:spPr>
            <c:extLst>
              <c:ext xmlns:c16="http://schemas.microsoft.com/office/drawing/2014/chart" uri="{C3380CC4-5D6E-409C-BE32-E72D297353CC}">
                <c16:uniqueId val="{00000006-0639-4228-9CCB-218D7053F279}"/>
              </c:ext>
            </c:extLst>
          </c:dPt>
          <c:cat>
            <c:numRef>
              <c:f>graficos!$B$3:$B$26</c:f>
              <c:numCache>
                <c:formatCode>0.0</c:formatCode>
                <c:ptCount val="24"/>
                <c:pt idx="0">
                  <c:v>-3.5</c:v>
                </c:pt>
                <c:pt idx="1">
                  <c:v>-3</c:v>
                </c:pt>
                <c:pt idx="2">
                  <c:v>-2.5</c:v>
                </c:pt>
                <c:pt idx="3">
                  <c:v>-2</c:v>
                </c:pt>
                <c:pt idx="4">
                  <c:v>-1.5</c:v>
                </c:pt>
                <c:pt idx="5">
                  <c:v>-1</c:v>
                </c:pt>
                <c:pt idx="6">
                  <c:v>-0.5</c:v>
                </c:pt>
                <c:pt idx="7">
                  <c:v>0</c:v>
                </c:pt>
                <c:pt idx="8">
                  <c:v>0.5</c:v>
                </c:pt>
                <c:pt idx="9">
                  <c:v>1</c:v>
                </c:pt>
                <c:pt idx="10">
                  <c:v>1.5</c:v>
                </c:pt>
                <c:pt idx="11">
                  <c:v>2</c:v>
                </c:pt>
                <c:pt idx="12">
                  <c:v>2.5</c:v>
                </c:pt>
                <c:pt idx="13">
                  <c:v>3</c:v>
                </c:pt>
                <c:pt idx="14">
                  <c:v>3.5</c:v>
                </c:pt>
                <c:pt idx="15">
                  <c:v>4</c:v>
                </c:pt>
                <c:pt idx="16">
                  <c:v>4.5</c:v>
                </c:pt>
                <c:pt idx="17">
                  <c:v>5</c:v>
                </c:pt>
                <c:pt idx="18">
                  <c:v>5.5</c:v>
                </c:pt>
                <c:pt idx="19">
                  <c:v>6</c:v>
                </c:pt>
                <c:pt idx="20">
                  <c:v>6.5</c:v>
                </c:pt>
                <c:pt idx="21">
                  <c:v>7</c:v>
                </c:pt>
                <c:pt idx="22">
                  <c:v>7.5</c:v>
                </c:pt>
                <c:pt idx="23">
                  <c:v>8</c:v>
                </c:pt>
              </c:numCache>
            </c:numRef>
          </c:cat>
          <c:val>
            <c:numRef>
              <c:f>graficos!$C$3:$C$26</c:f>
              <c:numCache>
                <c:formatCode>General</c:formatCode>
                <c:ptCount val="24"/>
                <c:pt idx="0">
                  <c:v>1</c:v>
                </c:pt>
                <c:pt idx="1">
                  <c:v>7</c:v>
                </c:pt>
                <c:pt idx="2">
                  <c:v>22</c:v>
                </c:pt>
                <c:pt idx="3">
                  <c:v>66</c:v>
                </c:pt>
                <c:pt idx="4">
                  <c:v>182</c:v>
                </c:pt>
                <c:pt idx="5">
                  <c:v>424</c:v>
                </c:pt>
                <c:pt idx="6">
                  <c:v>707</c:v>
                </c:pt>
                <c:pt idx="7">
                  <c:v>1079</c:v>
                </c:pt>
                <c:pt idx="8">
                  <c:v>1358</c:v>
                </c:pt>
                <c:pt idx="9">
                  <c:v>1435</c:v>
                </c:pt>
                <c:pt idx="10">
                  <c:v>1302</c:v>
                </c:pt>
                <c:pt idx="11">
                  <c:v>1106</c:v>
                </c:pt>
                <c:pt idx="12">
                  <c:v>812</c:v>
                </c:pt>
                <c:pt idx="13">
                  <c:v>538</c:v>
                </c:pt>
                <c:pt idx="14">
                  <c:v>380</c:v>
                </c:pt>
                <c:pt idx="15">
                  <c:v>250</c:v>
                </c:pt>
                <c:pt idx="16">
                  <c:v>145</c:v>
                </c:pt>
                <c:pt idx="17">
                  <c:v>85</c:v>
                </c:pt>
                <c:pt idx="18">
                  <c:v>45</c:v>
                </c:pt>
                <c:pt idx="19">
                  <c:v>25</c:v>
                </c:pt>
                <c:pt idx="20">
                  <c:v>18</c:v>
                </c:pt>
                <c:pt idx="21">
                  <c:v>8</c:v>
                </c:pt>
                <c:pt idx="22">
                  <c:v>2</c:v>
                </c:pt>
                <c:pt idx="23">
                  <c:v>3</c:v>
                </c:pt>
              </c:numCache>
            </c:numRef>
          </c:val>
          <c:extLst>
            <c:ext xmlns:c16="http://schemas.microsoft.com/office/drawing/2014/chart" uri="{C3380CC4-5D6E-409C-BE32-E72D297353CC}">
              <c16:uniqueId val="{00000007-0639-4228-9CCB-218D7053F279}"/>
            </c:ext>
          </c:extLst>
        </c:ser>
        <c:dLbls>
          <c:showLegendKey val="0"/>
          <c:showVal val="0"/>
          <c:showCatName val="0"/>
          <c:showSerName val="0"/>
          <c:showPercent val="0"/>
          <c:showBubbleSize val="0"/>
        </c:dLbls>
        <c:gapWidth val="0"/>
        <c:axId val="168567552"/>
        <c:axId val="168569088"/>
      </c:barChart>
      <c:catAx>
        <c:axId val="168567552"/>
        <c:scaling>
          <c:orientation val="minMax"/>
        </c:scaling>
        <c:delete val="0"/>
        <c:axPos val="b"/>
        <c:numFmt formatCode="0.0" sourceLinked="1"/>
        <c:majorTickMark val="out"/>
        <c:minorTickMark val="none"/>
        <c:tickLblPos val="nextTo"/>
        <c:crossAx val="168569088"/>
        <c:crosses val="autoZero"/>
        <c:auto val="1"/>
        <c:lblAlgn val="ctr"/>
        <c:lblOffset val="100"/>
        <c:noMultiLvlLbl val="0"/>
      </c:catAx>
      <c:valAx>
        <c:axId val="168569088"/>
        <c:scaling>
          <c:orientation val="minMax"/>
        </c:scaling>
        <c:delete val="0"/>
        <c:axPos val="l"/>
        <c:majorGridlines/>
        <c:numFmt formatCode="General" sourceLinked="1"/>
        <c:majorTickMark val="out"/>
        <c:minorTickMark val="none"/>
        <c:tickLblPos val="nextTo"/>
        <c:crossAx val="1685675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solidFill>
                <a:srgbClr val="FF0000"/>
              </a:solidFill>
            </c:spPr>
            <c:extLst>
              <c:ext xmlns:c16="http://schemas.microsoft.com/office/drawing/2014/chart" uri="{C3380CC4-5D6E-409C-BE32-E72D297353CC}">
                <c16:uniqueId val="{00000000-3AC4-4094-847C-8C5D432ECA2F}"/>
              </c:ext>
            </c:extLst>
          </c:dPt>
          <c:dPt>
            <c:idx val="1"/>
            <c:invertIfNegative val="0"/>
            <c:bubble3D val="0"/>
            <c:spPr>
              <a:solidFill>
                <a:srgbClr val="FF0000"/>
              </a:solidFill>
            </c:spPr>
            <c:extLst>
              <c:ext xmlns:c16="http://schemas.microsoft.com/office/drawing/2014/chart" uri="{C3380CC4-5D6E-409C-BE32-E72D297353CC}">
                <c16:uniqueId val="{00000001-3AC4-4094-847C-8C5D432ECA2F}"/>
              </c:ext>
            </c:extLst>
          </c:dPt>
          <c:dPt>
            <c:idx val="2"/>
            <c:invertIfNegative val="0"/>
            <c:bubble3D val="0"/>
            <c:spPr>
              <a:solidFill>
                <a:srgbClr val="FF0000"/>
              </a:solidFill>
            </c:spPr>
            <c:extLst>
              <c:ext xmlns:c16="http://schemas.microsoft.com/office/drawing/2014/chart" uri="{C3380CC4-5D6E-409C-BE32-E72D297353CC}">
                <c16:uniqueId val="{00000002-3AC4-4094-847C-8C5D432ECA2F}"/>
              </c:ext>
            </c:extLst>
          </c:dPt>
          <c:dPt>
            <c:idx val="3"/>
            <c:invertIfNegative val="0"/>
            <c:bubble3D val="0"/>
            <c:spPr>
              <a:solidFill>
                <a:srgbClr val="FF0000"/>
              </a:solidFill>
            </c:spPr>
            <c:extLst>
              <c:ext xmlns:c16="http://schemas.microsoft.com/office/drawing/2014/chart" uri="{C3380CC4-5D6E-409C-BE32-E72D297353CC}">
                <c16:uniqueId val="{00000003-3AC4-4094-847C-8C5D432ECA2F}"/>
              </c:ext>
            </c:extLst>
          </c:dPt>
          <c:dPt>
            <c:idx val="4"/>
            <c:invertIfNegative val="0"/>
            <c:bubble3D val="0"/>
            <c:spPr>
              <a:solidFill>
                <a:schemeClr val="accent1"/>
              </a:solidFill>
            </c:spPr>
            <c:extLst>
              <c:ext xmlns:c16="http://schemas.microsoft.com/office/drawing/2014/chart" uri="{C3380CC4-5D6E-409C-BE32-E72D297353CC}">
                <c16:uniqueId val="{00000004-3AC4-4094-847C-8C5D432ECA2F}"/>
              </c:ext>
            </c:extLst>
          </c:dPt>
          <c:cat>
            <c:numRef>
              <c:f>graficos!$G$3:$G$17</c:f>
              <c:numCache>
                <c:formatCode>0.0</c:formatCode>
                <c:ptCount val="15"/>
                <c:pt idx="0">
                  <c:v>-2</c:v>
                </c:pt>
                <c:pt idx="1">
                  <c:v>-1.5</c:v>
                </c:pt>
                <c:pt idx="2">
                  <c:v>-1</c:v>
                </c:pt>
                <c:pt idx="3">
                  <c:v>-0.5</c:v>
                </c:pt>
                <c:pt idx="4">
                  <c:v>0</c:v>
                </c:pt>
                <c:pt idx="5">
                  <c:v>0.5</c:v>
                </c:pt>
                <c:pt idx="6">
                  <c:v>1</c:v>
                </c:pt>
                <c:pt idx="7">
                  <c:v>1.5</c:v>
                </c:pt>
                <c:pt idx="8">
                  <c:v>2</c:v>
                </c:pt>
                <c:pt idx="9">
                  <c:v>2.5</c:v>
                </c:pt>
                <c:pt idx="10">
                  <c:v>3</c:v>
                </c:pt>
                <c:pt idx="11">
                  <c:v>3.5</c:v>
                </c:pt>
                <c:pt idx="12">
                  <c:v>4</c:v>
                </c:pt>
                <c:pt idx="13">
                  <c:v>4.5</c:v>
                </c:pt>
                <c:pt idx="14">
                  <c:v>5</c:v>
                </c:pt>
              </c:numCache>
            </c:numRef>
          </c:cat>
          <c:val>
            <c:numRef>
              <c:f>graficos!$H$3:$H$17</c:f>
              <c:numCache>
                <c:formatCode>General</c:formatCode>
                <c:ptCount val="15"/>
                <c:pt idx="0">
                  <c:v>19</c:v>
                </c:pt>
                <c:pt idx="1">
                  <c:v>215</c:v>
                </c:pt>
                <c:pt idx="2">
                  <c:v>1087</c:v>
                </c:pt>
                <c:pt idx="3">
                  <c:v>2340</c:v>
                </c:pt>
                <c:pt idx="4">
                  <c:v>2694</c:v>
                </c:pt>
                <c:pt idx="5">
                  <c:v>1944</c:v>
                </c:pt>
                <c:pt idx="6">
                  <c:v>994</c:v>
                </c:pt>
                <c:pt idx="7">
                  <c:v>441</c:v>
                </c:pt>
                <c:pt idx="8">
                  <c:v>172</c:v>
                </c:pt>
                <c:pt idx="9">
                  <c:v>68</c:v>
                </c:pt>
                <c:pt idx="10">
                  <c:v>20</c:v>
                </c:pt>
                <c:pt idx="11">
                  <c:v>3</c:v>
                </c:pt>
                <c:pt idx="12">
                  <c:v>1</c:v>
                </c:pt>
                <c:pt idx="13">
                  <c:v>1</c:v>
                </c:pt>
                <c:pt idx="14">
                  <c:v>1</c:v>
                </c:pt>
              </c:numCache>
            </c:numRef>
          </c:val>
          <c:extLst>
            <c:ext xmlns:c16="http://schemas.microsoft.com/office/drawing/2014/chart" uri="{C3380CC4-5D6E-409C-BE32-E72D297353CC}">
              <c16:uniqueId val="{00000005-3AC4-4094-847C-8C5D432ECA2F}"/>
            </c:ext>
          </c:extLst>
        </c:ser>
        <c:dLbls>
          <c:showLegendKey val="0"/>
          <c:showVal val="0"/>
          <c:showCatName val="0"/>
          <c:showSerName val="0"/>
          <c:showPercent val="0"/>
          <c:showBubbleSize val="0"/>
        </c:dLbls>
        <c:gapWidth val="0"/>
        <c:axId val="170626432"/>
        <c:axId val="171259008"/>
      </c:barChart>
      <c:catAx>
        <c:axId val="170626432"/>
        <c:scaling>
          <c:orientation val="minMax"/>
        </c:scaling>
        <c:delete val="0"/>
        <c:axPos val="b"/>
        <c:numFmt formatCode="0.0" sourceLinked="1"/>
        <c:majorTickMark val="out"/>
        <c:minorTickMark val="none"/>
        <c:tickLblPos val="nextTo"/>
        <c:crossAx val="171259008"/>
        <c:crosses val="autoZero"/>
        <c:auto val="1"/>
        <c:lblAlgn val="ctr"/>
        <c:lblOffset val="100"/>
        <c:noMultiLvlLbl val="0"/>
      </c:catAx>
      <c:valAx>
        <c:axId val="171259008"/>
        <c:scaling>
          <c:orientation val="minMax"/>
        </c:scaling>
        <c:delete val="0"/>
        <c:axPos val="l"/>
        <c:majorGridlines/>
        <c:numFmt formatCode="General" sourceLinked="1"/>
        <c:majorTickMark val="out"/>
        <c:minorTickMark val="none"/>
        <c:tickLblPos val="nextTo"/>
        <c:crossAx val="1706264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extLst>
              <c:ext xmlns:c16="http://schemas.microsoft.com/office/drawing/2014/chart" uri="{C3380CC4-5D6E-409C-BE32-E72D297353CC}">
                <c16:uniqueId val="{00000000-172B-488A-8E76-41EB9B7A6587}"/>
              </c:ext>
            </c:extLst>
          </c:dPt>
          <c:dPt>
            <c:idx val="1"/>
            <c:invertIfNegative val="0"/>
            <c:bubble3D val="0"/>
            <c:spPr>
              <a:solidFill>
                <a:srgbClr val="FF0000"/>
              </a:solidFill>
            </c:spPr>
            <c:extLst>
              <c:ext xmlns:c16="http://schemas.microsoft.com/office/drawing/2014/chart" uri="{C3380CC4-5D6E-409C-BE32-E72D297353CC}">
                <c16:uniqueId val="{00000001-172B-488A-8E76-41EB9B7A6587}"/>
              </c:ext>
            </c:extLst>
          </c:dPt>
          <c:dPt>
            <c:idx val="2"/>
            <c:invertIfNegative val="0"/>
            <c:bubble3D val="0"/>
            <c:spPr>
              <a:solidFill>
                <a:srgbClr val="FF0000"/>
              </a:solidFill>
            </c:spPr>
            <c:extLst>
              <c:ext xmlns:c16="http://schemas.microsoft.com/office/drawing/2014/chart" uri="{C3380CC4-5D6E-409C-BE32-E72D297353CC}">
                <c16:uniqueId val="{00000002-172B-488A-8E76-41EB9B7A6587}"/>
              </c:ext>
            </c:extLst>
          </c:dPt>
          <c:dPt>
            <c:idx val="3"/>
            <c:invertIfNegative val="0"/>
            <c:bubble3D val="0"/>
            <c:spPr>
              <a:solidFill>
                <a:srgbClr val="FF0000"/>
              </a:solidFill>
            </c:spPr>
            <c:extLst>
              <c:ext xmlns:c16="http://schemas.microsoft.com/office/drawing/2014/chart" uri="{C3380CC4-5D6E-409C-BE32-E72D297353CC}">
                <c16:uniqueId val="{00000003-172B-488A-8E76-41EB9B7A6587}"/>
              </c:ext>
            </c:extLst>
          </c:dPt>
          <c:dPt>
            <c:idx val="4"/>
            <c:invertIfNegative val="0"/>
            <c:bubble3D val="0"/>
            <c:spPr>
              <a:solidFill>
                <a:srgbClr val="FF0000"/>
              </a:solidFill>
            </c:spPr>
            <c:extLst>
              <c:ext xmlns:c16="http://schemas.microsoft.com/office/drawing/2014/chart" uri="{C3380CC4-5D6E-409C-BE32-E72D297353CC}">
                <c16:uniqueId val="{00000004-172B-488A-8E76-41EB9B7A6587}"/>
              </c:ext>
            </c:extLst>
          </c:dPt>
          <c:dPt>
            <c:idx val="5"/>
            <c:invertIfNegative val="0"/>
            <c:bubble3D val="0"/>
            <c:spPr>
              <a:solidFill>
                <a:srgbClr val="FF0000"/>
              </a:solidFill>
            </c:spPr>
            <c:extLst>
              <c:ext xmlns:c16="http://schemas.microsoft.com/office/drawing/2014/chart" uri="{C3380CC4-5D6E-409C-BE32-E72D297353CC}">
                <c16:uniqueId val="{00000005-172B-488A-8E76-41EB9B7A6587}"/>
              </c:ext>
            </c:extLst>
          </c:dPt>
          <c:cat>
            <c:numRef>
              <c:f>graficos!$L$3:$L$31</c:f>
              <c:numCache>
                <c:formatCode>0.0</c:formatCode>
                <c:ptCount val="29"/>
                <c:pt idx="0">
                  <c:v>-4</c:v>
                </c:pt>
                <c:pt idx="1">
                  <c:v>-3.5</c:v>
                </c:pt>
                <c:pt idx="2">
                  <c:v>-3</c:v>
                </c:pt>
                <c:pt idx="3">
                  <c:v>-2.5</c:v>
                </c:pt>
                <c:pt idx="4">
                  <c:v>-2</c:v>
                </c:pt>
                <c:pt idx="5">
                  <c:v>-1.5</c:v>
                </c:pt>
                <c:pt idx="6">
                  <c:v>-1</c:v>
                </c:pt>
                <c:pt idx="7">
                  <c:v>-0.5</c:v>
                </c:pt>
                <c:pt idx="8">
                  <c:v>0</c:v>
                </c:pt>
                <c:pt idx="9">
                  <c:v>0.5</c:v>
                </c:pt>
                <c:pt idx="10">
                  <c:v>1</c:v>
                </c:pt>
                <c:pt idx="11">
                  <c:v>1.5</c:v>
                </c:pt>
                <c:pt idx="12">
                  <c:v>2</c:v>
                </c:pt>
                <c:pt idx="13">
                  <c:v>2.5</c:v>
                </c:pt>
                <c:pt idx="14">
                  <c:v>3</c:v>
                </c:pt>
                <c:pt idx="15">
                  <c:v>3.5</c:v>
                </c:pt>
                <c:pt idx="16">
                  <c:v>4</c:v>
                </c:pt>
                <c:pt idx="17">
                  <c:v>4.5</c:v>
                </c:pt>
                <c:pt idx="18">
                  <c:v>5</c:v>
                </c:pt>
                <c:pt idx="19">
                  <c:v>5.5</c:v>
                </c:pt>
                <c:pt idx="20">
                  <c:v>6</c:v>
                </c:pt>
                <c:pt idx="21">
                  <c:v>6.5</c:v>
                </c:pt>
                <c:pt idx="22">
                  <c:v>7</c:v>
                </c:pt>
                <c:pt idx="23">
                  <c:v>7.5</c:v>
                </c:pt>
                <c:pt idx="24">
                  <c:v>8</c:v>
                </c:pt>
                <c:pt idx="25">
                  <c:v>8.5</c:v>
                </c:pt>
                <c:pt idx="26">
                  <c:v>9</c:v>
                </c:pt>
                <c:pt idx="27">
                  <c:v>9.5</c:v>
                </c:pt>
                <c:pt idx="28">
                  <c:v>10</c:v>
                </c:pt>
              </c:numCache>
            </c:numRef>
          </c:cat>
          <c:val>
            <c:numRef>
              <c:f>graficos!$M$3:$M$31</c:f>
              <c:numCache>
                <c:formatCode>General</c:formatCode>
                <c:ptCount val="29"/>
                <c:pt idx="0">
                  <c:v>1</c:v>
                </c:pt>
                <c:pt idx="1">
                  <c:v>4</c:v>
                </c:pt>
                <c:pt idx="2">
                  <c:v>13</c:v>
                </c:pt>
                <c:pt idx="3">
                  <c:v>37</c:v>
                </c:pt>
                <c:pt idx="4">
                  <c:v>88</c:v>
                </c:pt>
                <c:pt idx="5">
                  <c:v>194</c:v>
                </c:pt>
                <c:pt idx="6">
                  <c:v>448</c:v>
                </c:pt>
                <c:pt idx="7">
                  <c:v>599</c:v>
                </c:pt>
                <c:pt idx="8">
                  <c:v>923</c:v>
                </c:pt>
                <c:pt idx="9">
                  <c:v>1111</c:v>
                </c:pt>
                <c:pt idx="10">
                  <c:v>1206</c:v>
                </c:pt>
                <c:pt idx="11">
                  <c:v>1097</c:v>
                </c:pt>
                <c:pt idx="12">
                  <c:v>1092</c:v>
                </c:pt>
                <c:pt idx="13">
                  <c:v>882</c:v>
                </c:pt>
                <c:pt idx="14">
                  <c:v>660</c:v>
                </c:pt>
                <c:pt idx="15">
                  <c:v>497</c:v>
                </c:pt>
                <c:pt idx="16">
                  <c:v>386</c:v>
                </c:pt>
                <c:pt idx="17">
                  <c:v>271</c:v>
                </c:pt>
                <c:pt idx="18">
                  <c:v>183</c:v>
                </c:pt>
                <c:pt idx="19">
                  <c:v>116</c:v>
                </c:pt>
                <c:pt idx="20">
                  <c:v>84</c:v>
                </c:pt>
                <c:pt idx="21">
                  <c:v>40</c:v>
                </c:pt>
                <c:pt idx="22">
                  <c:v>23</c:v>
                </c:pt>
                <c:pt idx="23">
                  <c:v>13</c:v>
                </c:pt>
                <c:pt idx="24">
                  <c:v>12</c:v>
                </c:pt>
                <c:pt idx="25">
                  <c:v>12</c:v>
                </c:pt>
                <c:pt idx="26">
                  <c:v>3</c:v>
                </c:pt>
                <c:pt idx="27">
                  <c:v>1</c:v>
                </c:pt>
                <c:pt idx="28">
                  <c:v>3</c:v>
                </c:pt>
              </c:numCache>
            </c:numRef>
          </c:val>
          <c:extLst>
            <c:ext xmlns:c16="http://schemas.microsoft.com/office/drawing/2014/chart" uri="{C3380CC4-5D6E-409C-BE32-E72D297353CC}">
              <c16:uniqueId val="{00000006-172B-488A-8E76-41EB9B7A6587}"/>
            </c:ext>
          </c:extLst>
        </c:ser>
        <c:dLbls>
          <c:showLegendKey val="0"/>
          <c:showVal val="0"/>
          <c:showCatName val="0"/>
          <c:showSerName val="0"/>
          <c:showPercent val="0"/>
          <c:showBubbleSize val="0"/>
        </c:dLbls>
        <c:gapWidth val="0"/>
        <c:axId val="173168512"/>
        <c:axId val="173239680"/>
      </c:barChart>
      <c:catAx>
        <c:axId val="173168512"/>
        <c:scaling>
          <c:orientation val="minMax"/>
        </c:scaling>
        <c:delete val="0"/>
        <c:axPos val="b"/>
        <c:numFmt formatCode="0.0" sourceLinked="1"/>
        <c:majorTickMark val="out"/>
        <c:minorTickMark val="none"/>
        <c:tickLblPos val="nextTo"/>
        <c:crossAx val="173239680"/>
        <c:crosses val="autoZero"/>
        <c:auto val="1"/>
        <c:lblAlgn val="ctr"/>
        <c:lblOffset val="100"/>
        <c:noMultiLvlLbl val="0"/>
      </c:catAx>
      <c:valAx>
        <c:axId val="173239680"/>
        <c:scaling>
          <c:orientation val="minMax"/>
        </c:scaling>
        <c:delete val="0"/>
        <c:axPos val="l"/>
        <c:majorGridlines/>
        <c:numFmt formatCode="General" sourceLinked="1"/>
        <c:majorTickMark val="out"/>
        <c:minorTickMark val="none"/>
        <c:tickLblPos val="nextTo"/>
        <c:crossAx val="1731685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B9F905EDB695A4694B900954C0B144C" ma:contentTypeVersion="568" ma:contentTypeDescription="A content type to manage public (operations) IDB documents" ma:contentTypeScope="" ma:versionID="aebd3c7fea9f8b0919ca7f9f4eb7075b">
  <xsd:schema xmlns:xsd="http://www.w3.org/2001/XMLSchema" xmlns:xs="http://www.w3.org/2001/XMLSchema" xmlns:p="http://schemas.microsoft.com/office/2006/metadata/properties" xmlns:ns2="cdc7663a-08f0-4737-9e8c-148ce897a09c" targetNamespace="http://schemas.microsoft.com/office/2006/metadata/properties" ma:root="true" ma:fieldsID="3a5554d447de6dbfda44b12d445dc43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UR-L1150"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R0002812310</Record_x0020_Number>
    <Key_x0020_Document xmlns="cdc7663a-08f0-4737-9e8c-148ce897a09c">false</Key_x0020_Document>
    <Division_x0020_or_x0020_Unit xmlns="cdc7663a-08f0-4737-9e8c-148ce897a09c">INT/TIN</Division_x0020_or_x0020_Unit>
    <Document_x0020_Author xmlns="cdc7663a-08f0-4737-9e8c-148ce897a09c">Rospide, Maria De La Paz</Document_x0020_Author>
    <_dlc_DocId xmlns="cdc7663a-08f0-4737-9e8c-148ce897a09c">EZSHARE-1922773778-22</_dlc_DocId>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Uruguay</TermName>
          <TermId xmlns="http://schemas.microsoft.com/office/infopath/2007/PartnerControls">5d9b6fdd-d595-4446-a0eb-c14b465f6d0e</TermId>
        </TermInfo>
      </Terms>
    </ic46d7e087fd4a108fb86518ca413cc6>
    <Operation_x0020_Type xmlns="cdc7663a-08f0-4737-9e8c-148ce897a09c">Loan Operation</Operation_x0020_Type>
    <TaxCatchAll xmlns="cdc7663a-08f0-4737-9e8c-148ce897a09c">
      <Value>104</Value>
      <Value>103</Value>
      <Value>32</Value>
      <Value>3</Value>
      <Value>30</Value>
    </TaxCatchAll>
    <Fiscal_x0020_Year_x0020_IDB xmlns="cdc7663a-08f0-4737-9e8c-148ce897a09c">2018</Fiscal_x0020_Year_x0020_IDB>
    <b26cdb1da78c4bb4b1c1bac2f6ac5911 xmlns="cdc7663a-08f0-4737-9e8c-148ce897a09c">
      <Terms xmlns="http://schemas.microsoft.com/office/infopath/2007/PartnerControls"/>
    </b26cdb1da78c4bb4b1c1bac2f6ac5911>
    <Project_x0020_Number xmlns="cdc7663a-08f0-4737-9e8c-148ce897a09c">UR-L1150</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General Documents</Business_x0020_Area>
    <SISCOR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Access_x0020_to_x0020_Information_x00a0_Policy xmlns="cdc7663a-08f0-4737-9e8c-148ce897a09c">Public - Simultaneous Disclosure</Access_x0020_to_x0020_Information_x00a0_Policy>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TRADE</TermName>
          <TermId xmlns="http://schemas.microsoft.com/office/infopath/2007/PartnerControls">4f84c989-30b4-4e40-b7c1-3021a996f7c5</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EXPORT AND INVESTMENT PROMOTION</TermName>
          <TermId xmlns="http://schemas.microsoft.com/office/infopath/2007/PartnerControls">a3c6a1c6-fb9e-4c31-b143-db9fb3847e9e</TermId>
        </TermInfo>
      </Terms>
    </b2ec7cfb18674cb8803df6b262e8b107>
    <Document_x0020_Language_x0020_IDB xmlns="cdc7663a-08f0-4737-9e8c-148ce897a09c">English</Document_x0020_Language_x0020_IDB>
    <_dlc_DocIdUrl xmlns="cdc7663a-08f0-4737-9e8c-148ce897a09c">
      <Url>https://idbg.sharepoint.com/teams/EZ-UR-LON/UR-L1150/_layouts/15/DocIdRedir.aspx?ID=EZSHARE-1922773778-22</Url>
      <Description>EZSHARE-1922773778-22</Description>
    </_dlc_DocIdUrl>
    <Phase xmlns="cdc7663a-08f0-4737-9e8c-148ce897a09c">ACTIVE</Phase>
    <Other_x0020_Author xmlns="cdc7663a-08f0-4737-9e8c-148ce897a09c" xsi:nil="true"/>
    <IDBDocs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FADB4FE1-7705-42DB-8606-7E6F5175BF81}">
  <ds:schemaRefs>
    <ds:schemaRef ds:uri="http://schemas.openxmlformats.org/officeDocument/2006/bibliography"/>
  </ds:schemaRefs>
</ds:datastoreItem>
</file>

<file path=customXml/itemProps2.xml><?xml version="1.0" encoding="utf-8"?>
<ds:datastoreItem xmlns:ds="http://schemas.openxmlformats.org/officeDocument/2006/customXml" ds:itemID="{FF8172CB-FEF7-4E64-9945-26DFE05F92A0}"/>
</file>

<file path=customXml/itemProps3.xml><?xml version="1.0" encoding="utf-8"?>
<ds:datastoreItem xmlns:ds="http://schemas.openxmlformats.org/officeDocument/2006/customXml" ds:itemID="{F93C4882-DEFA-4C66-93A1-4193B6328891}"/>
</file>

<file path=customXml/itemProps4.xml><?xml version="1.0" encoding="utf-8"?>
<ds:datastoreItem xmlns:ds="http://schemas.openxmlformats.org/officeDocument/2006/customXml" ds:itemID="{5187F8BF-00FF-4F9C-9428-D8616C385932}"/>
</file>

<file path=customXml/itemProps5.xml><?xml version="1.0" encoding="utf-8"?>
<ds:datastoreItem xmlns:ds="http://schemas.openxmlformats.org/officeDocument/2006/customXml" ds:itemID="{EADE8D9E-A57F-45D8-A8E7-72AC18A24CF3}"/>
</file>

<file path=customXml/itemProps6.xml><?xml version="1.0" encoding="utf-8"?>
<ds:datastoreItem xmlns:ds="http://schemas.openxmlformats.org/officeDocument/2006/customXml" ds:itemID="{C0EFA134-EA06-4AFC-B652-92F52FE84526}"/>
</file>

<file path=customXml/itemProps7.xml><?xml version="1.0" encoding="utf-8"?>
<ds:datastoreItem xmlns:ds="http://schemas.openxmlformats.org/officeDocument/2006/customXml" ds:itemID="{DB17653F-8C2D-4164-A283-AA5850E602BF}"/>
</file>

<file path=customXml/itemProps8.xml><?xml version="1.0" encoding="utf-8"?>
<ds:datastoreItem xmlns:ds="http://schemas.openxmlformats.org/officeDocument/2006/customXml" ds:itemID="{4B4B7A3A-06C3-49D3-85EA-F6DC65F93137}"/>
</file>

<file path=docProps/app.xml><?xml version="1.0" encoding="utf-8"?>
<Properties xmlns="http://schemas.openxmlformats.org/officeDocument/2006/extended-properties" xmlns:vt="http://schemas.openxmlformats.org/officeDocument/2006/docPropsVTypes">
  <Template>Normal.dotm</Template>
  <TotalTime>9</TotalTime>
  <Pages>19</Pages>
  <Words>5573</Words>
  <Characters>31768</Characters>
  <Application>Microsoft Office Word</Application>
  <DocSecurity>0</DocSecurity>
  <Lines>264</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MASTER8000</dc:creator>
  <cp:keywords/>
  <cp:lastModifiedBy>Rospide, Maria De La Paz</cp:lastModifiedBy>
  <cp:revision>3</cp:revision>
  <dcterms:created xsi:type="dcterms:W3CDTF">2018-10-03T17:22:00Z</dcterms:created>
  <dcterms:modified xsi:type="dcterms:W3CDTF">2018-10-03T22:32:00Z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104;#EXPORT AND INVESTMENT PROMOTION|a3c6a1c6-fb9e-4c31-b143-db9fb3847e9e</vt:lpwstr>
  </property>
  <property fmtid="{D5CDD505-2E9C-101B-9397-08002B2CF9AE}" pid="7" name="Country">
    <vt:lpwstr>32;#Uruguay|5d9b6fdd-d595-4446-a0eb-c14b465f6d0e</vt:lpwstr>
  </property>
  <property fmtid="{D5CDD505-2E9C-101B-9397-08002B2CF9AE}" pid="8" name="Fund IDB">
    <vt:lpwstr>30;#ORC|c028a4b2-ad8b-4cf4-9cac-a2ae6a778e23</vt:lpwstr>
  </property>
  <property fmtid="{D5CDD505-2E9C-101B-9397-08002B2CF9AE}" pid="9" name="_dlc_DocIdItemGuid">
    <vt:lpwstr>8b283571-949d-44a2-97b6-d37018575545</vt:lpwstr>
  </property>
  <property fmtid="{D5CDD505-2E9C-101B-9397-08002B2CF9AE}" pid="10" name="Sector IDB">
    <vt:lpwstr>103;#TRADE|4f84c989-30b4-4e40-b7c1-3021a996f7c5</vt:lpwstr>
  </property>
  <property fmtid="{D5CDD505-2E9C-101B-9397-08002B2CF9AE}" pid="11" name="Function Operations IDB">
    <vt:lpwstr>3;#Project Administration|751f71fd-1433-4702-a2db-ff12a4e45594</vt:lpwstr>
  </property>
  <property fmtid="{D5CDD505-2E9C-101B-9397-08002B2CF9AE}" pid="12" name="Disclosure Activity">
    <vt:lpwstr>Loan Proposal</vt:lpwstr>
  </property>
  <property fmtid="{D5CDD505-2E9C-101B-9397-08002B2CF9AE}" pid="13" name="ContentTypeId">
    <vt:lpwstr>0x0101001A458A224826124E8B45B1D613300CFC00DB9F905EDB695A4694B900954C0B144C</vt:lpwstr>
  </property>
</Properties>
</file>