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F601D" w14:textId="3809AF26" w:rsidR="00BB6486" w:rsidRPr="002C48E1" w:rsidRDefault="00CC48FE" w:rsidP="002C48E1">
      <w:pPr>
        <w:pStyle w:val="Chapter"/>
      </w:pPr>
      <w:bookmarkStart w:id="0" w:name="_Toc193012681"/>
      <w:bookmarkStart w:id="1" w:name="_Toc193013165"/>
      <w:r>
        <w:t xml:space="preserve">Matriz de </w:t>
      </w:r>
      <w:r w:rsidR="007C3B90" w:rsidRPr="00B14B46">
        <w:t>Medios de Verificación</w:t>
      </w:r>
      <w:bookmarkEnd w:id="0"/>
      <w:bookmarkEnd w:id="1"/>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7"/>
        <w:gridCol w:w="5313"/>
        <w:gridCol w:w="1708"/>
      </w:tblGrid>
      <w:tr w:rsidR="00B765E0" w:rsidRPr="00675B55" w14:paraId="332D8EA6" w14:textId="77777777" w:rsidTr="00442CF7">
        <w:trPr>
          <w:trHeight w:val="608"/>
        </w:trPr>
        <w:tc>
          <w:tcPr>
            <w:tcW w:w="2332"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8C72CAD" w14:textId="1E0F7157" w:rsidR="00B765E0" w:rsidRPr="000F7971" w:rsidRDefault="00B765E0" w:rsidP="00C24AE4">
            <w:pPr>
              <w:autoSpaceDE w:val="0"/>
              <w:autoSpaceDN w:val="0"/>
              <w:adjustRightInd w:val="0"/>
              <w:spacing w:beforeLines="40" w:before="96" w:afterLines="40" w:after="96"/>
              <w:jc w:val="center"/>
              <w:rPr>
                <w:rFonts w:ascii="Arial" w:hAnsi="Arial" w:cs="Arial"/>
                <w:b/>
                <w:bCs/>
                <w:sz w:val="20"/>
                <w:szCs w:val="18"/>
                <w:lang w:val="es-ES_tradnl"/>
              </w:rPr>
            </w:pPr>
            <w:r w:rsidRPr="000F7971">
              <w:rPr>
                <w:rFonts w:ascii="Arial" w:hAnsi="Arial" w:cs="Arial"/>
                <w:b/>
                <w:bCs/>
                <w:color w:val="000000"/>
                <w:sz w:val="20"/>
                <w:szCs w:val="18"/>
                <w:lang w:val="es-DO" w:eastAsia="es-DO"/>
              </w:rPr>
              <w:t>Compromisos de Política Primer Tramo</w:t>
            </w:r>
          </w:p>
        </w:tc>
        <w:tc>
          <w:tcPr>
            <w:tcW w:w="2019"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C09B127" w14:textId="77777777" w:rsidR="00B765E0" w:rsidRPr="000F7971" w:rsidRDefault="00B765E0" w:rsidP="009D1595">
            <w:pPr>
              <w:autoSpaceDE w:val="0"/>
              <w:autoSpaceDN w:val="0"/>
              <w:adjustRightInd w:val="0"/>
              <w:spacing w:beforeLines="40" w:before="96" w:afterLines="40" w:after="96"/>
              <w:jc w:val="center"/>
              <w:rPr>
                <w:rFonts w:ascii="Arial" w:hAnsi="Arial" w:cs="Arial"/>
                <w:b/>
                <w:bCs/>
                <w:sz w:val="20"/>
                <w:szCs w:val="18"/>
                <w:lang w:val="es-ES_tradnl"/>
              </w:rPr>
            </w:pPr>
            <w:r w:rsidRPr="000F7971">
              <w:rPr>
                <w:rFonts w:ascii="Arial" w:hAnsi="Arial" w:cs="Arial"/>
                <w:b/>
                <w:bCs/>
                <w:sz w:val="20"/>
                <w:szCs w:val="18"/>
                <w:lang w:val="es-ES_tradnl"/>
              </w:rPr>
              <w:t>Medios de verificación</w:t>
            </w:r>
          </w:p>
        </w:tc>
        <w:tc>
          <w:tcPr>
            <w:tcW w:w="649"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ADE09DE" w14:textId="77777777" w:rsidR="00B765E0" w:rsidRPr="000F7971" w:rsidRDefault="00B765E0" w:rsidP="009D1595">
            <w:pPr>
              <w:autoSpaceDE w:val="0"/>
              <w:autoSpaceDN w:val="0"/>
              <w:adjustRightInd w:val="0"/>
              <w:spacing w:beforeLines="40" w:before="96" w:afterLines="40" w:after="96"/>
              <w:jc w:val="center"/>
              <w:rPr>
                <w:rFonts w:ascii="Arial" w:hAnsi="Arial" w:cs="Arial"/>
                <w:b/>
                <w:bCs/>
                <w:sz w:val="20"/>
                <w:szCs w:val="18"/>
                <w:lang w:val="es-ES_tradnl"/>
              </w:rPr>
            </w:pPr>
            <w:r w:rsidRPr="000F7971">
              <w:rPr>
                <w:rFonts w:ascii="Arial" w:hAnsi="Arial" w:cs="Arial"/>
                <w:b/>
                <w:bCs/>
                <w:sz w:val="20"/>
                <w:szCs w:val="18"/>
                <w:lang w:val="es-ES_tradnl"/>
              </w:rPr>
              <w:t>Entidad Responsable</w:t>
            </w:r>
          </w:p>
        </w:tc>
      </w:tr>
      <w:tr w:rsidR="00442CF7" w:rsidRPr="00675B55" w14:paraId="01CBB3BB" w14:textId="77777777" w:rsidTr="00442CF7">
        <w:trPr>
          <w:trHeight w:val="4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9F13E9" w14:textId="68EE969E" w:rsidR="00442CF7" w:rsidRPr="000F7971" w:rsidRDefault="00442CF7" w:rsidP="00CE175A">
            <w:pPr>
              <w:pStyle w:val="MyBullet"/>
              <w:suppressAutoHyphens w:val="0"/>
              <w:autoSpaceDE w:val="0"/>
              <w:autoSpaceDN w:val="0"/>
              <w:adjustRightInd w:val="0"/>
              <w:rPr>
                <w:rFonts w:ascii="Arial" w:hAnsi="Arial" w:cs="Arial"/>
                <w:b/>
                <w:sz w:val="18"/>
                <w:szCs w:val="18"/>
                <w:u w:val="single"/>
                <w:lang w:val="es-ES_tradnl"/>
              </w:rPr>
            </w:pPr>
            <w:r w:rsidRPr="000F7971">
              <w:rPr>
                <w:rFonts w:ascii="Arial" w:hAnsi="Arial" w:cs="Arial"/>
                <w:b/>
                <w:sz w:val="18"/>
                <w:szCs w:val="18"/>
                <w:u w:val="single"/>
                <w:lang w:val="es-ES_tradnl"/>
              </w:rPr>
              <w:t>Componente I. Estabilidad Macroeconómica</w:t>
            </w:r>
          </w:p>
        </w:tc>
      </w:tr>
      <w:tr w:rsidR="00B765E0" w:rsidRPr="00675B55" w14:paraId="33A935D2" w14:textId="77777777" w:rsidTr="00442CF7">
        <w:trPr>
          <w:trHeight w:val="824"/>
        </w:trPr>
        <w:tc>
          <w:tcPr>
            <w:tcW w:w="2332" w:type="pct"/>
            <w:tcBorders>
              <w:top w:val="single" w:sz="4" w:space="0" w:color="auto"/>
              <w:left w:val="single" w:sz="4" w:space="0" w:color="auto"/>
              <w:bottom w:val="single" w:sz="4" w:space="0" w:color="auto"/>
              <w:right w:val="single" w:sz="4" w:space="0" w:color="auto"/>
            </w:tcBorders>
            <w:shd w:val="clear" w:color="auto" w:fill="auto"/>
          </w:tcPr>
          <w:p w14:paraId="7EBAB77D" w14:textId="77777777" w:rsidR="00B765E0" w:rsidRPr="000F7971" w:rsidRDefault="00B765E0" w:rsidP="00442CF7">
            <w:pPr>
              <w:pStyle w:val="ListParagraph"/>
              <w:numPr>
                <w:ilvl w:val="0"/>
                <w:numId w:val="27"/>
              </w:numPr>
              <w:autoSpaceDE w:val="0"/>
              <w:autoSpaceDN w:val="0"/>
              <w:adjustRightInd w:val="0"/>
              <w:spacing w:before="120"/>
              <w:ind w:left="540"/>
              <w:jc w:val="both"/>
              <w:rPr>
                <w:rFonts w:ascii="Arial" w:hAnsi="Arial" w:cs="Arial"/>
                <w:color w:val="000000"/>
                <w:sz w:val="18"/>
                <w:szCs w:val="18"/>
                <w:lang w:val="es-AR"/>
              </w:rPr>
            </w:pPr>
            <w:r w:rsidRPr="000F7971">
              <w:rPr>
                <w:rFonts w:ascii="Arial" w:hAnsi="Arial" w:cs="Arial"/>
                <w:color w:val="000000"/>
                <w:sz w:val="18"/>
                <w:szCs w:val="18"/>
                <w:lang w:val="es-AR"/>
              </w:rPr>
              <w:t xml:space="preserve">Asegurar un contexto macroeconómico congruente con los objetivos del programa según establecido en la Matriz de Políticas. </w:t>
            </w:r>
          </w:p>
        </w:tc>
        <w:tc>
          <w:tcPr>
            <w:tcW w:w="2019" w:type="pct"/>
            <w:tcBorders>
              <w:top w:val="single" w:sz="4" w:space="0" w:color="auto"/>
              <w:left w:val="single" w:sz="4" w:space="0" w:color="auto"/>
              <w:bottom w:val="single" w:sz="4" w:space="0" w:color="auto"/>
              <w:right w:val="single" w:sz="4" w:space="0" w:color="auto"/>
            </w:tcBorders>
            <w:shd w:val="clear" w:color="auto" w:fill="auto"/>
          </w:tcPr>
          <w:p w14:paraId="5C1E3D35" w14:textId="77777777" w:rsidR="00B765E0" w:rsidRPr="000F7971" w:rsidRDefault="00B765E0" w:rsidP="00442CF7">
            <w:pPr>
              <w:pStyle w:val="MyBullet"/>
              <w:suppressAutoHyphens w:val="0"/>
              <w:autoSpaceDE w:val="0"/>
              <w:autoSpaceDN w:val="0"/>
              <w:adjustRightInd w:val="0"/>
              <w:spacing w:before="120"/>
              <w:jc w:val="both"/>
              <w:rPr>
                <w:rFonts w:ascii="Arial" w:hAnsi="Arial" w:cs="Arial"/>
                <w:b/>
                <w:bCs/>
                <w:sz w:val="18"/>
                <w:szCs w:val="18"/>
                <w:lang w:val="es-AR"/>
              </w:rPr>
            </w:pPr>
            <w:r w:rsidRPr="000F7971">
              <w:rPr>
                <w:rFonts w:ascii="Arial" w:hAnsi="Arial" w:cs="Arial"/>
                <w:color w:val="000000"/>
                <w:sz w:val="18"/>
                <w:szCs w:val="18"/>
                <w:lang w:val="es-ES"/>
              </w:rPr>
              <w:t>Evaluación Independiente de Condiciones Macroeconómicas -IAMC- elaborada por el Banco y vigente al momento del desembolso.</w:t>
            </w:r>
            <w:r w:rsidRPr="000F7971">
              <w:rPr>
                <w:rFonts w:ascii="Arial" w:hAnsi="Arial" w:cs="Arial"/>
                <w:sz w:val="18"/>
                <w:szCs w:val="18"/>
                <w:lang w:val="es-AR"/>
              </w:rPr>
              <w:t xml:space="preserve"> </w:t>
            </w:r>
          </w:p>
        </w:tc>
        <w:tc>
          <w:tcPr>
            <w:tcW w:w="649" w:type="pct"/>
            <w:tcBorders>
              <w:top w:val="single" w:sz="4" w:space="0" w:color="auto"/>
              <w:left w:val="single" w:sz="4" w:space="0" w:color="auto"/>
              <w:bottom w:val="single" w:sz="4" w:space="0" w:color="auto"/>
              <w:right w:val="single" w:sz="4" w:space="0" w:color="auto"/>
            </w:tcBorders>
          </w:tcPr>
          <w:p w14:paraId="0F1F0255" w14:textId="77777777" w:rsidR="00B765E0" w:rsidRPr="000F7971" w:rsidRDefault="00B765E0" w:rsidP="00442CF7">
            <w:pPr>
              <w:pStyle w:val="MyBullet"/>
              <w:suppressAutoHyphens w:val="0"/>
              <w:autoSpaceDE w:val="0"/>
              <w:autoSpaceDN w:val="0"/>
              <w:adjustRightInd w:val="0"/>
              <w:spacing w:before="120"/>
              <w:jc w:val="both"/>
              <w:rPr>
                <w:rFonts w:ascii="Arial" w:hAnsi="Arial" w:cs="Arial"/>
                <w:color w:val="000000"/>
                <w:sz w:val="18"/>
                <w:szCs w:val="18"/>
                <w:lang w:val="es-ES"/>
              </w:rPr>
            </w:pPr>
          </w:p>
        </w:tc>
      </w:tr>
      <w:tr w:rsidR="00442CF7" w:rsidRPr="00675B55" w14:paraId="272F1667" w14:textId="77777777" w:rsidTr="00442CF7">
        <w:trPr>
          <w:trHeight w:val="4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E64699" w14:textId="3112ED36" w:rsidR="00442CF7" w:rsidRPr="000F7971" w:rsidRDefault="00442CF7" w:rsidP="00617C3B">
            <w:pPr>
              <w:pStyle w:val="MyBullet"/>
              <w:suppressAutoHyphens w:val="0"/>
              <w:autoSpaceDE w:val="0"/>
              <w:autoSpaceDN w:val="0"/>
              <w:adjustRightInd w:val="0"/>
              <w:rPr>
                <w:rFonts w:ascii="Arial" w:hAnsi="Arial" w:cs="Arial"/>
                <w:b/>
                <w:sz w:val="18"/>
                <w:szCs w:val="18"/>
                <w:u w:val="single"/>
                <w:lang w:val="es-ES_tradnl"/>
              </w:rPr>
            </w:pPr>
            <w:r w:rsidRPr="000F7971">
              <w:rPr>
                <w:rFonts w:ascii="Arial" w:hAnsi="Arial" w:cs="Arial"/>
                <w:b/>
                <w:sz w:val="18"/>
                <w:szCs w:val="18"/>
                <w:u w:val="single"/>
                <w:lang w:val="es-ES_tradnl"/>
              </w:rPr>
              <w:t>Componente II. Mejora de la eficiencia y efectividad de la SAT</w:t>
            </w:r>
          </w:p>
        </w:tc>
      </w:tr>
      <w:tr w:rsidR="00B765E0" w:rsidRPr="00675B55" w14:paraId="67C1151A" w14:textId="77777777" w:rsidTr="004865D7">
        <w:trPr>
          <w:trHeight w:val="1220"/>
        </w:trPr>
        <w:tc>
          <w:tcPr>
            <w:tcW w:w="2332" w:type="pct"/>
          </w:tcPr>
          <w:p w14:paraId="547B3772" w14:textId="77777777" w:rsidR="00B765E0" w:rsidRPr="000F7971" w:rsidRDefault="00B765E0" w:rsidP="00442CF7">
            <w:pPr>
              <w:pStyle w:val="ListParagraph"/>
              <w:numPr>
                <w:ilvl w:val="0"/>
                <w:numId w:val="26"/>
              </w:numPr>
              <w:spacing w:before="60" w:after="0"/>
              <w:ind w:left="540"/>
              <w:jc w:val="both"/>
              <w:rPr>
                <w:rFonts w:ascii="Arial" w:hAnsi="Arial" w:cs="Arial"/>
                <w:sz w:val="18"/>
                <w:szCs w:val="18"/>
                <w:lang w:val="es-ES"/>
              </w:rPr>
            </w:pPr>
            <w:r w:rsidRPr="000F7971">
              <w:rPr>
                <w:rFonts w:ascii="Arial" w:hAnsi="Arial" w:cs="Arial"/>
                <w:sz w:val="18"/>
                <w:szCs w:val="18"/>
                <w:lang w:val="es-ES"/>
              </w:rPr>
              <w:t>Definición de un nuevo modelo de gobernanza en la SAT, que modifica la composición y funciones del Directorio, y constituye el tribunal administrativo de primera instancia gubernativa en asuntos tributarios y aduaneros, mediante la preparación y envío al Congreso de la República de un Proyecto de Ley</w:t>
            </w:r>
            <w:r w:rsidRPr="000F7971">
              <w:rPr>
                <w:rFonts w:ascii="Arial" w:hAnsi="Arial" w:cs="Arial"/>
                <w:sz w:val="18"/>
                <w:szCs w:val="18"/>
                <w:lang w:val="es-ES_tradnl"/>
              </w:rPr>
              <w:t>.</w:t>
            </w:r>
          </w:p>
        </w:tc>
        <w:tc>
          <w:tcPr>
            <w:tcW w:w="2019" w:type="pct"/>
          </w:tcPr>
          <w:p w14:paraId="160AFBF0" w14:textId="77777777" w:rsidR="00B765E0" w:rsidRPr="000F7971" w:rsidRDefault="00B765E0" w:rsidP="00442CF7">
            <w:pPr>
              <w:pStyle w:val="MyBullet"/>
              <w:suppressAutoHyphens w:val="0"/>
              <w:autoSpaceDE w:val="0"/>
              <w:autoSpaceDN w:val="0"/>
              <w:adjustRightInd w:val="0"/>
              <w:spacing w:before="60" w:afterLines="40" w:after="96"/>
              <w:rPr>
                <w:rFonts w:ascii="Arial" w:hAnsi="Arial" w:cs="Arial"/>
                <w:sz w:val="18"/>
                <w:szCs w:val="18"/>
                <w:highlight w:val="yellow"/>
                <w:u w:val="single"/>
                <w:lang w:val="es-AR"/>
              </w:rPr>
            </w:pPr>
            <w:r w:rsidRPr="000F7971">
              <w:rPr>
                <w:rFonts w:ascii="Arial" w:hAnsi="Arial" w:cs="Arial"/>
                <w:sz w:val="18"/>
                <w:szCs w:val="18"/>
                <w:lang w:val="es-ES"/>
              </w:rPr>
              <w:t>Comunicación del MINFIN, con el proyecto de ley tramitando en el Congreso, incluyendo un nuevo modelo de gobernanza en la SAT, que modifica la composición y funciones del Directorio, y constituye el tribunal administrativo de primera instancia gubernativa en asuntos tributarios y aduaneros</w:t>
            </w:r>
            <w:r w:rsidRPr="000F7971">
              <w:rPr>
                <w:rFonts w:ascii="Arial" w:hAnsi="Arial" w:cs="Arial"/>
                <w:sz w:val="18"/>
                <w:szCs w:val="18"/>
                <w:lang w:val="es-ES_tradnl"/>
              </w:rPr>
              <w:t>.</w:t>
            </w:r>
          </w:p>
        </w:tc>
        <w:tc>
          <w:tcPr>
            <w:tcW w:w="649" w:type="pct"/>
          </w:tcPr>
          <w:p w14:paraId="3E6FF2C4" w14:textId="77777777" w:rsidR="00B765E0" w:rsidRPr="000F7971" w:rsidRDefault="00B765E0" w:rsidP="004865D7">
            <w:pPr>
              <w:pStyle w:val="MyBullet"/>
              <w:suppressAutoHyphens w:val="0"/>
              <w:autoSpaceDE w:val="0"/>
              <w:autoSpaceDN w:val="0"/>
              <w:adjustRightInd w:val="0"/>
              <w:spacing w:before="60" w:afterLines="40" w:after="96"/>
              <w:jc w:val="center"/>
              <w:rPr>
                <w:rFonts w:ascii="Arial" w:hAnsi="Arial" w:cs="Arial"/>
                <w:sz w:val="18"/>
                <w:szCs w:val="18"/>
                <w:lang w:val="es-ES"/>
              </w:rPr>
            </w:pPr>
            <w:r w:rsidRPr="000F7971">
              <w:rPr>
                <w:rFonts w:ascii="Arial" w:hAnsi="Arial" w:cs="Arial"/>
                <w:sz w:val="18"/>
                <w:szCs w:val="18"/>
                <w:lang w:val="es-ES"/>
              </w:rPr>
              <w:t>MINFIN</w:t>
            </w:r>
          </w:p>
        </w:tc>
      </w:tr>
      <w:tr w:rsidR="00B765E0" w:rsidRPr="00675B55" w14:paraId="2821BCEB" w14:textId="77777777" w:rsidTr="004865D7">
        <w:trPr>
          <w:trHeight w:val="896"/>
        </w:trPr>
        <w:tc>
          <w:tcPr>
            <w:tcW w:w="2332" w:type="pct"/>
          </w:tcPr>
          <w:p w14:paraId="755386B8" w14:textId="77777777" w:rsidR="00B765E0" w:rsidRPr="000F7971" w:rsidRDefault="00B765E0" w:rsidP="00442CF7">
            <w:pPr>
              <w:pStyle w:val="ListParagraph"/>
              <w:numPr>
                <w:ilvl w:val="0"/>
                <w:numId w:val="26"/>
              </w:numPr>
              <w:spacing w:before="60" w:after="0"/>
              <w:ind w:left="540"/>
              <w:jc w:val="both"/>
              <w:rPr>
                <w:rFonts w:ascii="Arial" w:hAnsi="Arial" w:cs="Arial"/>
                <w:sz w:val="18"/>
                <w:szCs w:val="18"/>
                <w:lang w:val="es-ES_tradnl"/>
              </w:rPr>
            </w:pPr>
            <w:r w:rsidRPr="000F7971">
              <w:rPr>
                <w:rFonts w:ascii="Arial" w:hAnsi="Arial" w:cs="Arial"/>
                <w:sz w:val="18"/>
                <w:szCs w:val="18"/>
                <w:lang w:val="es-ES"/>
              </w:rPr>
              <w:t>Ampliación e institucionalización de evaluaciones integrales y control sobre los funcionarios de la SAT, con la creación de la Unidad de Asuntos Internos, mediante la aprobación del Acuerdo del Directorio de la SAT</w:t>
            </w:r>
            <w:r w:rsidRPr="000F7971">
              <w:rPr>
                <w:rFonts w:ascii="Arial" w:hAnsi="Arial" w:cs="Arial"/>
                <w:sz w:val="18"/>
                <w:szCs w:val="18"/>
                <w:lang w:val="es-ES_tradnl"/>
              </w:rPr>
              <w:t xml:space="preserve">. </w:t>
            </w:r>
          </w:p>
        </w:tc>
        <w:tc>
          <w:tcPr>
            <w:tcW w:w="2019" w:type="pct"/>
          </w:tcPr>
          <w:p w14:paraId="20643FD9" w14:textId="517BCC1B" w:rsidR="00B765E0" w:rsidRPr="000F7971" w:rsidRDefault="00B765E0" w:rsidP="00442CF7">
            <w:pPr>
              <w:pStyle w:val="MyBullet"/>
              <w:suppressAutoHyphens w:val="0"/>
              <w:autoSpaceDE w:val="0"/>
              <w:autoSpaceDN w:val="0"/>
              <w:adjustRightInd w:val="0"/>
              <w:spacing w:before="60"/>
              <w:jc w:val="both"/>
              <w:rPr>
                <w:rFonts w:ascii="Arial" w:hAnsi="Arial" w:cs="Arial"/>
                <w:b/>
                <w:bCs/>
                <w:sz w:val="18"/>
                <w:szCs w:val="18"/>
                <w:lang w:val="es-AR"/>
              </w:rPr>
            </w:pPr>
            <w:r w:rsidRPr="000F7971">
              <w:rPr>
                <w:rFonts w:ascii="Arial" w:hAnsi="Arial" w:cs="Arial"/>
                <w:sz w:val="18"/>
                <w:szCs w:val="18"/>
                <w:lang w:val="es-ES"/>
              </w:rPr>
              <w:t xml:space="preserve">Acuerdo del Directorio de la SAT que aprueba la creación de la Unidad de Asuntos Internos, incluyendo la autorización para la SAT gestionar las acciones administrativas y </w:t>
            </w:r>
            <w:r w:rsidRPr="000F7971">
              <w:rPr>
                <w:rFonts w:ascii="Arial" w:hAnsi="Arial" w:cs="Arial"/>
                <w:sz w:val="18"/>
                <w:szCs w:val="18"/>
                <w:lang w:val="es-ES_tradnl"/>
              </w:rPr>
              <w:t>presupuestarias para hacerla operativa.</w:t>
            </w:r>
          </w:p>
        </w:tc>
        <w:tc>
          <w:tcPr>
            <w:tcW w:w="649" w:type="pct"/>
          </w:tcPr>
          <w:p w14:paraId="40F23D2D" w14:textId="77777777" w:rsidR="00B765E0" w:rsidRPr="000F7971" w:rsidRDefault="00B765E0" w:rsidP="004865D7">
            <w:pPr>
              <w:pStyle w:val="MyBullet"/>
              <w:suppressAutoHyphens w:val="0"/>
              <w:autoSpaceDE w:val="0"/>
              <w:autoSpaceDN w:val="0"/>
              <w:adjustRightInd w:val="0"/>
              <w:spacing w:before="60"/>
              <w:jc w:val="center"/>
              <w:rPr>
                <w:rFonts w:ascii="Arial" w:hAnsi="Arial" w:cs="Arial"/>
                <w:sz w:val="18"/>
                <w:szCs w:val="18"/>
                <w:lang w:val="es-ES"/>
              </w:rPr>
            </w:pPr>
            <w:r w:rsidRPr="000F7971">
              <w:rPr>
                <w:rFonts w:ascii="Arial" w:hAnsi="Arial" w:cs="Arial"/>
                <w:sz w:val="18"/>
                <w:szCs w:val="18"/>
                <w:lang w:val="es-ES"/>
              </w:rPr>
              <w:t>SAT</w:t>
            </w:r>
          </w:p>
        </w:tc>
      </w:tr>
      <w:tr w:rsidR="00B765E0" w:rsidRPr="00675B55" w14:paraId="3CCD62DA" w14:textId="77777777" w:rsidTr="004865D7">
        <w:trPr>
          <w:trHeight w:val="887"/>
        </w:trPr>
        <w:tc>
          <w:tcPr>
            <w:tcW w:w="2332" w:type="pct"/>
          </w:tcPr>
          <w:p w14:paraId="3159477B" w14:textId="77777777" w:rsidR="00B765E0" w:rsidRPr="000F7971" w:rsidRDefault="00B765E0" w:rsidP="00442CF7">
            <w:pPr>
              <w:pStyle w:val="ListParagraph"/>
              <w:numPr>
                <w:ilvl w:val="0"/>
                <w:numId w:val="26"/>
              </w:numPr>
              <w:spacing w:before="60" w:after="0"/>
              <w:ind w:left="540"/>
              <w:jc w:val="both"/>
              <w:rPr>
                <w:rFonts w:ascii="Arial" w:hAnsi="Arial" w:cs="Arial"/>
                <w:sz w:val="18"/>
                <w:szCs w:val="18"/>
                <w:lang w:val="es-ES_tradnl"/>
              </w:rPr>
            </w:pPr>
            <w:r w:rsidRPr="000F7971">
              <w:rPr>
                <w:rFonts w:ascii="Arial" w:hAnsi="Arial" w:cs="Arial"/>
                <w:sz w:val="18"/>
                <w:szCs w:val="18"/>
                <w:lang w:val="es-ES"/>
              </w:rPr>
              <w:t>Institucionalización de un nuevo modelo de inteligencia fiscal y de gestión de riesgos en la fiscalización aduanera y tributaria, con la creación de la Gerencia de Investigación Fiscal</w:t>
            </w:r>
            <w:r w:rsidRPr="000F7971">
              <w:rPr>
                <w:rFonts w:ascii="Arial" w:hAnsi="Arial" w:cs="Arial"/>
                <w:sz w:val="18"/>
                <w:szCs w:val="18"/>
                <w:lang w:val="es-ES_tradnl"/>
              </w:rPr>
              <w:t>.</w:t>
            </w:r>
          </w:p>
        </w:tc>
        <w:tc>
          <w:tcPr>
            <w:tcW w:w="2019" w:type="pct"/>
          </w:tcPr>
          <w:p w14:paraId="491817CB" w14:textId="77777777" w:rsidR="00B765E0" w:rsidRPr="000F7971" w:rsidRDefault="00B765E0" w:rsidP="00442CF7">
            <w:pPr>
              <w:pStyle w:val="MyBullet"/>
              <w:suppressAutoHyphens w:val="0"/>
              <w:autoSpaceDE w:val="0"/>
              <w:autoSpaceDN w:val="0"/>
              <w:adjustRightInd w:val="0"/>
              <w:spacing w:before="60"/>
              <w:jc w:val="both"/>
              <w:rPr>
                <w:rFonts w:ascii="Arial" w:hAnsi="Arial" w:cs="Arial"/>
                <w:b/>
                <w:bCs/>
                <w:sz w:val="18"/>
                <w:szCs w:val="18"/>
                <w:lang w:val="es-AR"/>
              </w:rPr>
            </w:pPr>
            <w:r w:rsidRPr="000F7971">
              <w:rPr>
                <w:rFonts w:ascii="Arial" w:hAnsi="Arial" w:cs="Arial"/>
                <w:sz w:val="18"/>
                <w:szCs w:val="18"/>
                <w:lang w:val="es-ES"/>
              </w:rPr>
              <w:t>Acuerdo del Directorio de la SAT que aprueba la creación de la Gerencia de Investigación Fiscal</w:t>
            </w:r>
            <w:r w:rsidRPr="000F7971">
              <w:rPr>
                <w:rFonts w:ascii="Arial" w:hAnsi="Arial" w:cs="Arial"/>
                <w:sz w:val="18"/>
                <w:szCs w:val="18"/>
                <w:lang w:val="es-ES_tradnl"/>
              </w:rPr>
              <w:t>.</w:t>
            </w:r>
          </w:p>
        </w:tc>
        <w:tc>
          <w:tcPr>
            <w:tcW w:w="649" w:type="pct"/>
          </w:tcPr>
          <w:p w14:paraId="3C55A5FB" w14:textId="77777777" w:rsidR="00B765E0" w:rsidRPr="000F7971" w:rsidRDefault="00B765E0" w:rsidP="004865D7">
            <w:pPr>
              <w:pStyle w:val="MyBullet"/>
              <w:suppressAutoHyphens w:val="0"/>
              <w:autoSpaceDE w:val="0"/>
              <w:autoSpaceDN w:val="0"/>
              <w:adjustRightInd w:val="0"/>
              <w:spacing w:before="60"/>
              <w:jc w:val="center"/>
              <w:rPr>
                <w:rFonts w:ascii="Arial" w:hAnsi="Arial" w:cs="Arial"/>
                <w:sz w:val="18"/>
                <w:szCs w:val="18"/>
                <w:lang w:val="es-ES"/>
              </w:rPr>
            </w:pPr>
            <w:r w:rsidRPr="000F7971">
              <w:rPr>
                <w:rFonts w:ascii="Arial" w:hAnsi="Arial" w:cs="Arial"/>
                <w:sz w:val="18"/>
                <w:szCs w:val="18"/>
                <w:lang w:val="es-ES"/>
              </w:rPr>
              <w:t>SAT</w:t>
            </w:r>
          </w:p>
        </w:tc>
      </w:tr>
      <w:tr w:rsidR="00B765E0" w:rsidRPr="00675B55" w14:paraId="33469923" w14:textId="77777777" w:rsidTr="004865D7">
        <w:trPr>
          <w:trHeight w:val="1157"/>
        </w:trPr>
        <w:tc>
          <w:tcPr>
            <w:tcW w:w="2332" w:type="pct"/>
          </w:tcPr>
          <w:p w14:paraId="2E5628C7" w14:textId="77777777" w:rsidR="00B765E0" w:rsidRPr="000F7971" w:rsidRDefault="00B765E0" w:rsidP="00442CF7">
            <w:pPr>
              <w:pStyle w:val="ListParagraph"/>
              <w:numPr>
                <w:ilvl w:val="0"/>
                <w:numId w:val="26"/>
              </w:numPr>
              <w:autoSpaceDE w:val="0"/>
              <w:autoSpaceDN w:val="0"/>
              <w:adjustRightInd w:val="0"/>
              <w:spacing w:before="60" w:after="0"/>
              <w:ind w:left="540"/>
              <w:jc w:val="both"/>
              <w:rPr>
                <w:rFonts w:ascii="Arial" w:hAnsi="Arial" w:cs="Arial"/>
                <w:color w:val="000000"/>
                <w:sz w:val="18"/>
                <w:szCs w:val="18"/>
                <w:lang w:val="es-AR"/>
              </w:rPr>
            </w:pPr>
            <w:r w:rsidRPr="000F7971">
              <w:rPr>
                <w:rFonts w:ascii="Arial" w:hAnsi="Arial" w:cs="Arial"/>
                <w:sz w:val="18"/>
                <w:szCs w:val="18"/>
                <w:lang w:val="es-ES"/>
              </w:rPr>
              <w:t>Reingeniería de personal de la SAT, incluyendo la revisión de los tipos de perfiles profesionales y técnicos requeridos, el diseño de la carrera de los funcionarios y la disponibilidad de aproximadamente 450 plazas de trabajo (nuevas o vacantes)</w:t>
            </w:r>
            <w:r w:rsidRPr="000F7971">
              <w:rPr>
                <w:rFonts w:ascii="Arial" w:hAnsi="Arial" w:cs="Arial"/>
                <w:sz w:val="18"/>
                <w:szCs w:val="18"/>
                <w:lang w:val="es-ES_tradnl"/>
              </w:rPr>
              <w:t>.</w:t>
            </w:r>
          </w:p>
        </w:tc>
        <w:tc>
          <w:tcPr>
            <w:tcW w:w="2019" w:type="pct"/>
          </w:tcPr>
          <w:p w14:paraId="3A671D21" w14:textId="77777777" w:rsidR="00B765E0" w:rsidRPr="000F7971" w:rsidRDefault="00B765E0" w:rsidP="00442CF7">
            <w:pPr>
              <w:pStyle w:val="MyBullet"/>
              <w:suppressAutoHyphens w:val="0"/>
              <w:autoSpaceDE w:val="0"/>
              <w:autoSpaceDN w:val="0"/>
              <w:adjustRightInd w:val="0"/>
              <w:spacing w:before="60"/>
              <w:jc w:val="both"/>
              <w:rPr>
                <w:rFonts w:ascii="Arial" w:hAnsi="Arial" w:cs="Arial"/>
                <w:b/>
                <w:bCs/>
                <w:sz w:val="18"/>
                <w:szCs w:val="18"/>
                <w:lang w:val="es-AR"/>
              </w:rPr>
            </w:pPr>
            <w:r w:rsidRPr="000F7971">
              <w:rPr>
                <w:rFonts w:ascii="Arial" w:hAnsi="Arial" w:cs="Arial"/>
                <w:sz w:val="18"/>
                <w:szCs w:val="18"/>
                <w:lang w:val="es-ES"/>
              </w:rPr>
              <w:t>Acuerdo del Directorio de la SAT sobre la disponibilidad de plazas, e Informe de la SAT con la revisión de perfiles y el diseño de la carrera de los funcionarios</w:t>
            </w:r>
            <w:r w:rsidRPr="000F7971">
              <w:rPr>
                <w:rFonts w:ascii="Arial" w:hAnsi="Arial" w:cs="Arial"/>
                <w:sz w:val="18"/>
                <w:szCs w:val="18"/>
                <w:lang w:val="es-ES_tradnl"/>
              </w:rPr>
              <w:t>.</w:t>
            </w:r>
          </w:p>
        </w:tc>
        <w:tc>
          <w:tcPr>
            <w:tcW w:w="649" w:type="pct"/>
          </w:tcPr>
          <w:p w14:paraId="20D555BB" w14:textId="77777777" w:rsidR="00B765E0" w:rsidRPr="000F7971" w:rsidRDefault="00B765E0" w:rsidP="004865D7">
            <w:pPr>
              <w:pStyle w:val="MyBullet"/>
              <w:suppressAutoHyphens w:val="0"/>
              <w:autoSpaceDE w:val="0"/>
              <w:autoSpaceDN w:val="0"/>
              <w:adjustRightInd w:val="0"/>
              <w:spacing w:before="60"/>
              <w:jc w:val="center"/>
              <w:rPr>
                <w:rFonts w:ascii="Arial" w:hAnsi="Arial" w:cs="Arial"/>
                <w:sz w:val="18"/>
                <w:szCs w:val="18"/>
                <w:lang w:val="es-ES"/>
              </w:rPr>
            </w:pPr>
            <w:r w:rsidRPr="000F7971">
              <w:rPr>
                <w:rFonts w:ascii="Arial" w:hAnsi="Arial" w:cs="Arial"/>
                <w:sz w:val="18"/>
                <w:szCs w:val="18"/>
                <w:lang w:val="es-ES"/>
              </w:rPr>
              <w:t>SAT</w:t>
            </w:r>
          </w:p>
        </w:tc>
      </w:tr>
      <w:tr w:rsidR="00B765E0" w:rsidRPr="00675B55" w14:paraId="4E0A5026" w14:textId="77777777" w:rsidTr="004865D7">
        <w:trPr>
          <w:trHeight w:val="572"/>
        </w:trPr>
        <w:tc>
          <w:tcPr>
            <w:tcW w:w="2332" w:type="pct"/>
          </w:tcPr>
          <w:p w14:paraId="366DA204" w14:textId="77777777" w:rsidR="00B765E0" w:rsidRPr="000F7971" w:rsidRDefault="00B765E0" w:rsidP="00442CF7">
            <w:pPr>
              <w:pStyle w:val="ListParagraph"/>
              <w:numPr>
                <w:ilvl w:val="0"/>
                <w:numId w:val="26"/>
              </w:numPr>
              <w:spacing w:before="60" w:after="0"/>
              <w:ind w:left="540"/>
              <w:jc w:val="both"/>
              <w:rPr>
                <w:rFonts w:ascii="Arial" w:hAnsi="Arial" w:cs="Arial"/>
                <w:sz w:val="18"/>
                <w:szCs w:val="18"/>
                <w:lang w:val="es-ES_tradnl"/>
              </w:rPr>
            </w:pPr>
            <w:r w:rsidRPr="000F7971">
              <w:rPr>
                <w:rFonts w:ascii="Arial" w:hAnsi="Arial" w:cs="Arial"/>
                <w:sz w:val="18"/>
                <w:szCs w:val="18"/>
                <w:lang w:val="es-ES"/>
              </w:rPr>
              <w:t xml:space="preserve">Identificación y publicación de brechas de evasión del IVA para el 2015 y definición de metas de recaudación </w:t>
            </w:r>
            <w:r w:rsidR="00B9560C">
              <w:rPr>
                <w:rFonts w:ascii="Arial" w:hAnsi="Arial" w:cs="Arial"/>
                <w:sz w:val="18"/>
                <w:szCs w:val="18"/>
                <w:lang w:val="es-ES"/>
              </w:rPr>
              <w:t xml:space="preserve">del IVA </w:t>
            </w:r>
            <w:r w:rsidRPr="000F7971">
              <w:rPr>
                <w:rFonts w:ascii="Arial" w:hAnsi="Arial" w:cs="Arial"/>
                <w:sz w:val="18"/>
                <w:szCs w:val="18"/>
                <w:lang w:val="es-ES"/>
              </w:rPr>
              <w:t>para el 2016.</w:t>
            </w:r>
          </w:p>
        </w:tc>
        <w:tc>
          <w:tcPr>
            <w:tcW w:w="2019" w:type="pct"/>
          </w:tcPr>
          <w:p w14:paraId="26ED462D" w14:textId="77777777" w:rsidR="00B765E0" w:rsidRPr="000F7971" w:rsidRDefault="00B765E0" w:rsidP="00442CF7">
            <w:pPr>
              <w:pStyle w:val="MyBullet"/>
              <w:suppressAutoHyphens w:val="0"/>
              <w:autoSpaceDE w:val="0"/>
              <w:autoSpaceDN w:val="0"/>
              <w:adjustRightInd w:val="0"/>
              <w:spacing w:before="60"/>
              <w:jc w:val="both"/>
              <w:rPr>
                <w:rFonts w:ascii="Arial" w:hAnsi="Arial" w:cs="Arial"/>
                <w:b/>
                <w:bCs/>
                <w:sz w:val="18"/>
                <w:szCs w:val="18"/>
                <w:lang w:val="es-AR"/>
              </w:rPr>
            </w:pPr>
            <w:r w:rsidRPr="000F7971">
              <w:rPr>
                <w:rFonts w:ascii="Arial" w:hAnsi="Arial" w:cs="Arial"/>
                <w:sz w:val="18"/>
                <w:szCs w:val="18"/>
                <w:lang w:val="es-ES"/>
              </w:rPr>
              <w:t>Publicación de brechas de evasión en la página web de la SAT y copia del convenio MINFIN-SAT sobre metas de recaudación</w:t>
            </w:r>
            <w:r w:rsidRPr="000F7971">
              <w:rPr>
                <w:rFonts w:ascii="Arial" w:hAnsi="Arial" w:cs="Arial"/>
                <w:sz w:val="18"/>
                <w:szCs w:val="18"/>
                <w:lang w:val="es-ES_tradnl"/>
              </w:rPr>
              <w:t>.</w:t>
            </w:r>
          </w:p>
        </w:tc>
        <w:tc>
          <w:tcPr>
            <w:tcW w:w="649" w:type="pct"/>
          </w:tcPr>
          <w:p w14:paraId="77A9F433" w14:textId="77777777" w:rsidR="00B765E0" w:rsidRPr="000F7971" w:rsidRDefault="00B765E0" w:rsidP="004865D7">
            <w:pPr>
              <w:pStyle w:val="MyBullet"/>
              <w:suppressAutoHyphens w:val="0"/>
              <w:autoSpaceDE w:val="0"/>
              <w:autoSpaceDN w:val="0"/>
              <w:adjustRightInd w:val="0"/>
              <w:spacing w:before="60"/>
              <w:jc w:val="center"/>
              <w:rPr>
                <w:rFonts w:ascii="Arial" w:hAnsi="Arial" w:cs="Arial"/>
                <w:sz w:val="18"/>
                <w:szCs w:val="18"/>
                <w:lang w:val="es-ES"/>
              </w:rPr>
            </w:pPr>
            <w:r w:rsidRPr="000F7971">
              <w:rPr>
                <w:rFonts w:ascii="Arial" w:hAnsi="Arial" w:cs="Arial"/>
                <w:sz w:val="18"/>
                <w:szCs w:val="18"/>
                <w:lang w:val="es-ES"/>
              </w:rPr>
              <w:t>SAT</w:t>
            </w:r>
          </w:p>
        </w:tc>
      </w:tr>
      <w:tr w:rsidR="00B765E0" w:rsidRPr="00675B55" w14:paraId="071035E6" w14:textId="77777777" w:rsidTr="004865D7">
        <w:trPr>
          <w:trHeight w:val="302"/>
        </w:trPr>
        <w:tc>
          <w:tcPr>
            <w:tcW w:w="2332" w:type="pct"/>
          </w:tcPr>
          <w:p w14:paraId="7CB192CC" w14:textId="044FE36A" w:rsidR="00B765E0" w:rsidRPr="000F7971" w:rsidRDefault="00B765E0" w:rsidP="00442CF7">
            <w:pPr>
              <w:pStyle w:val="ListParagraph"/>
              <w:numPr>
                <w:ilvl w:val="0"/>
                <w:numId w:val="26"/>
              </w:numPr>
              <w:spacing w:before="60" w:after="0"/>
              <w:ind w:left="540"/>
              <w:jc w:val="both"/>
              <w:rPr>
                <w:rFonts w:ascii="Arial" w:eastAsia="Times New Roman" w:hAnsi="Arial" w:cs="Arial"/>
                <w:color w:val="000000"/>
                <w:sz w:val="18"/>
                <w:szCs w:val="20"/>
                <w:lang w:val="es-DO" w:eastAsia="es-DO"/>
              </w:rPr>
            </w:pPr>
            <w:r w:rsidRPr="000F7971">
              <w:rPr>
                <w:rFonts w:ascii="Arial" w:hAnsi="Arial" w:cs="Arial"/>
                <w:sz w:val="18"/>
                <w:szCs w:val="20"/>
                <w:lang w:val="es-ES"/>
              </w:rPr>
              <w:t xml:space="preserve">Depuración y fortalecimiento del catastro de contribuyentes (RTU – Registro Tributario Unificado), mediante la aprobación de un Plan de Modernización, que incluye una </w:t>
            </w:r>
            <w:r w:rsidRPr="000F7971">
              <w:rPr>
                <w:rFonts w:ascii="Arial" w:eastAsia="Times New Roman" w:hAnsi="Arial" w:cs="Arial"/>
                <w:color w:val="000000"/>
                <w:sz w:val="18"/>
                <w:szCs w:val="20"/>
                <w:lang w:val="es-DO" w:eastAsia="es-DO"/>
              </w:rPr>
              <w:t>revisión estructural de la identificación de los contribuyentes y los usuarios aduaneros</w:t>
            </w:r>
            <w:r w:rsidR="00B9560C">
              <w:rPr>
                <w:rFonts w:ascii="Arial" w:eastAsia="Times New Roman" w:hAnsi="Arial" w:cs="Arial"/>
                <w:color w:val="000000"/>
                <w:sz w:val="18"/>
                <w:szCs w:val="20"/>
                <w:lang w:val="es-DO" w:eastAsia="es-DO"/>
              </w:rPr>
              <w:t>.</w:t>
            </w:r>
          </w:p>
        </w:tc>
        <w:tc>
          <w:tcPr>
            <w:tcW w:w="2019" w:type="pct"/>
          </w:tcPr>
          <w:p w14:paraId="4359A9E0" w14:textId="4FC3AECA" w:rsidR="00B765E0" w:rsidRPr="000F7971" w:rsidRDefault="00B765E0" w:rsidP="00442CF7">
            <w:pPr>
              <w:pStyle w:val="MyBullet"/>
              <w:suppressAutoHyphens w:val="0"/>
              <w:autoSpaceDE w:val="0"/>
              <w:autoSpaceDN w:val="0"/>
              <w:adjustRightInd w:val="0"/>
              <w:spacing w:before="60"/>
              <w:jc w:val="both"/>
              <w:rPr>
                <w:rFonts w:ascii="Arial" w:hAnsi="Arial" w:cs="Arial"/>
                <w:b/>
                <w:bCs/>
                <w:sz w:val="18"/>
                <w:szCs w:val="22"/>
                <w:lang w:val="es-AR"/>
              </w:rPr>
            </w:pPr>
            <w:r w:rsidRPr="000F7971">
              <w:rPr>
                <w:rFonts w:ascii="Arial" w:hAnsi="Arial" w:cs="Arial"/>
                <w:color w:val="000000"/>
                <w:sz w:val="18"/>
                <w:lang w:val="es-DO" w:eastAsia="es-DO"/>
              </w:rPr>
              <w:t xml:space="preserve">Comunicación del Superintendente de la SAT remitiendo al Banco copia del Plan de </w:t>
            </w:r>
            <w:r w:rsidRPr="003136B5">
              <w:rPr>
                <w:rFonts w:ascii="Arial" w:hAnsi="Arial" w:cs="Arial"/>
                <w:color w:val="000000"/>
                <w:sz w:val="18"/>
                <w:lang w:val="es-DO" w:eastAsia="es-DO"/>
              </w:rPr>
              <w:t>Modernización aprobado.</w:t>
            </w:r>
            <w:r w:rsidR="00A3712A" w:rsidRPr="003136B5">
              <w:rPr>
                <w:rFonts w:ascii="Arial" w:hAnsi="Arial" w:cs="Arial"/>
                <w:sz w:val="20"/>
                <w:lang w:val="es-ES_tradnl"/>
              </w:rPr>
              <w:t xml:space="preserve"> </w:t>
            </w:r>
            <w:r w:rsidR="00A3712A" w:rsidRPr="003136B5">
              <w:rPr>
                <w:rFonts w:ascii="Arial" w:hAnsi="Arial" w:cs="Arial"/>
                <w:color w:val="000000"/>
                <w:sz w:val="18"/>
                <w:lang w:val="es-ES_tradnl" w:eastAsia="es-DO"/>
              </w:rPr>
              <w:t xml:space="preserve">El Plan de Modernización del RTU deberá incluir un análisis de alternativas </w:t>
            </w:r>
            <w:r w:rsidR="007D4CC8" w:rsidRPr="003136B5">
              <w:rPr>
                <w:rFonts w:ascii="Arial" w:hAnsi="Arial" w:cs="Arial"/>
                <w:color w:val="000000"/>
                <w:sz w:val="18"/>
                <w:lang w:val="es-ES_tradnl" w:eastAsia="es-DO"/>
              </w:rPr>
              <w:t>estratégicas</w:t>
            </w:r>
            <w:r w:rsidR="00A3712A" w:rsidRPr="003136B5">
              <w:rPr>
                <w:rFonts w:ascii="Arial" w:hAnsi="Arial" w:cs="Arial"/>
                <w:color w:val="000000"/>
                <w:sz w:val="18"/>
                <w:lang w:val="es-ES_tradnl" w:eastAsia="es-DO"/>
              </w:rPr>
              <w:t>, además de una indicación detallada sobre cómo se implantará, su financiación y los plazos correspondientes.</w:t>
            </w:r>
          </w:p>
        </w:tc>
        <w:tc>
          <w:tcPr>
            <w:tcW w:w="649" w:type="pct"/>
          </w:tcPr>
          <w:p w14:paraId="61D6C353" w14:textId="77777777" w:rsidR="00B765E0" w:rsidRPr="000F7971" w:rsidRDefault="00B765E0" w:rsidP="004865D7">
            <w:pPr>
              <w:pStyle w:val="MyBullet"/>
              <w:suppressAutoHyphens w:val="0"/>
              <w:autoSpaceDE w:val="0"/>
              <w:autoSpaceDN w:val="0"/>
              <w:adjustRightInd w:val="0"/>
              <w:spacing w:before="60"/>
              <w:jc w:val="center"/>
              <w:rPr>
                <w:rFonts w:ascii="Arial" w:hAnsi="Arial" w:cs="Arial"/>
                <w:color w:val="000000"/>
                <w:sz w:val="18"/>
                <w:lang w:val="es-DO" w:eastAsia="es-DO"/>
              </w:rPr>
            </w:pPr>
            <w:r w:rsidRPr="000F7971">
              <w:rPr>
                <w:rFonts w:ascii="Arial" w:hAnsi="Arial" w:cs="Arial"/>
                <w:color w:val="000000"/>
                <w:sz w:val="18"/>
                <w:lang w:val="es-DO" w:eastAsia="es-DO"/>
              </w:rPr>
              <w:t>SAT</w:t>
            </w:r>
          </w:p>
        </w:tc>
      </w:tr>
      <w:tr w:rsidR="00B765E0" w:rsidRPr="00675B55" w14:paraId="09D02805" w14:textId="77777777" w:rsidTr="00442CF7">
        <w:trPr>
          <w:trHeight w:val="467"/>
        </w:trPr>
        <w:tc>
          <w:tcPr>
            <w:tcW w:w="2332"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3F07DDE" w14:textId="07D40B7D" w:rsidR="00B765E0" w:rsidRPr="000F7971" w:rsidRDefault="00B765E0" w:rsidP="00C24AE4">
            <w:pPr>
              <w:autoSpaceDE w:val="0"/>
              <w:autoSpaceDN w:val="0"/>
              <w:adjustRightInd w:val="0"/>
              <w:spacing w:beforeLines="40" w:before="96" w:afterLines="40" w:after="96"/>
              <w:jc w:val="center"/>
              <w:rPr>
                <w:rFonts w:ascii="Arial" w:hAnsi="Arial" w:cs="Arial"/>
                <w:b/>
                <w:bCs/>
                <w:sz w:val="20"/>
                <w:szCs w:val="18"/>
                <w:lang w:val="es-ES_tradnl"/>
              </w:rPr>
            </w:pPr>
            <w:r w:rsidRPr="000F7971">
              <w:rPr>
                <w:rFonts w:ascii="Arial" w:hAnsi="Arial" w:cs="Arial"/>
                <w:b/>
                <w:bCs/>
                <w:color w:val="000000"/>
                <w:sz w:val="20"/>
                <w:szCs w:val="18"/>
                <w:lang w:val="es-DO" w:eastAsia="es-DO"/>
              </w:rPr>
              <w:lastRenderedPageBreak/>
              <w:t>Compromisos de Política Primer Tramo</w:t>
            </w:r>
          </w:p>
        </w:tc>
        <w:tc>
          <w:tcPr>
            <w:tcW w:w="2019"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C1961CD" w14:textId="77777777" w:rsidR="00B765E0" w:rsidRPr="000F7971" w:rsidRDefault="00B765E0" w:rsidP="000C2FD2">
            <w:pPr>
              <w:autoSpaceDE w:val="0"/>
              <w:autoSpaceDN w:val="0"/>
              <w:adjustRightInd w:val="0"/>
              <w:spacing w:beforeLines="40" w:before="96" w:afterLines="40" w:after="96"/>
              <w:jc w:val="center"/>
              <w:rPr>
                <w:rFonts w:ascii="Arial" w:hAnsi="Arial" w:cs="Arial"/>
                <w:b/>
                <w:bCs/>
                <w:sz w:val="20"/>
                <w:szCs w:val="18"/>
                <w:lang w:val="es-ES_tradnl"/>
              </w:rPr>
            </w:pPr>
            <w:r w:rsidRPr="000F7971">
              <w:rPr>
                <w:rFonts w:ascii="Arial" w:hAnsi="Arial" w:cs="Arial"/>
                <w:b/>
                <w:bCs/>
                <w:sz w:val="20"/>
                <w:szCs w:val="18"/>
                <w:lang w:val="es-ES_tradnl"/>
              </w:rPr>
              <w:t>Medios de verificación</w:t>
            </w:r>
          </w:p>
        </w:tc>
        <w:tc>
          <w:tcPr>
            <w:tcW w:w="649"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4C9B922" w14:textId="77777777" w:rsidR="00B765E0" w:rsidRPr="000F7971" w:rsidRDefault="00FA2B8F" w:rsidP="000C2FD2">
            <w:pPr>
              <w:autoSpaceDE w:val="0"/>
              <w:autoSpaceDN w:val="0"/>
              <w:adjustRightInd w:val="0"/>
              <w:spacing w:beforeLines="40" w:before="96" w:afterLines="40" w:after="96"/>
              <w:jc w:val="center"/>
              <w:rPr>
                <w:rFonts w:ascii="Arial" w:hAnsi="Arial" w:cs="Arial"/>
                <w:b/>
                <w:bCs/>
                <w:sz w:val="18"/>
                <w:szCs w:val="18"/>
                <w:lang w:val="es-ES_tradnl"/>
              </w:rPr>
            </w:pPr>
            <w:r w:rsidRPr="00BA3147">
              <w:rPr>
                <w:rFonts w:ascii="Arial" w:hAnsi="Arial" w:cs="Arial"/>
                <w:b/>
                <w:bCs/>
                <w:sz w:val="20"/>
                <w:szCs w:val="18"/>
                <w:lang w:val="es-ES_tradnl"/>
              </w:rPr>
              <w:t>Entidad Responsable</w:t>
            </w:r>
          </w:p>
        </w:tc>
      </w:tr>
      <w:tr w:rsidR="00B765E0" w:rsidRPr="00675B55" w14:paraId="429245C3" w14:textId="77777777" w:rsidTr="004865D7">
        <w:trPr>
          <w:trHeight w:val="905"/>
        </w:trPr>
        <w:tc>
          <w:tcPr>
            <w:tcW w:w="2332" w:type="pct"/>
          </w:tcPr>
          <w:p w14:paraId="119BF30E" w14:textId="77777777" w:rsidR="00B765E0" w:rsidRPr="000F7971" w:rsidRDefault="00B765E0" w:rsidP="00442CF7">
            <w:pPr>
              <w:pStyle w:val="ListParagraph"/>
              <w:numPr>
                <w:ilvl w:val="0"/>
                <w:numId w:val="26"/>
              </w:numPr>
              <w:spacing w:before="120" w:after="0"/>
              <w:ind w:left="540"/>
              <w:jc w:val="both"/>
              <w:rPr>
                <w:rFonts w:ascii="Arial" w:hAnsi="Arial" w:cs="Arial"/>
                <w:sz w:val="18"/>
                <w:szCs w:val="18"/>
                <w:lang w:val="es-DO"/>
              </w:rPr>
            </w:pPr>
            <w:r w:rsidRPr="000F7971">
              <w:rPr>
                <w:rFonts w:ascii="Arial" w:hAnsi="Arial" w:cs="Arial"/>
                <w:sz w:val="18"/>
                <w:szCs w:val="18"/>
                <w:lang w:val="es-DO"/>
              </w:rPr>
              <w:t>Levantamiento y revisión de los principales macro procesos de la SAT</w:t>
            </w:r>
            <w:r w:rsidRPr="000F7971">
              <w:rPr>
                <w:rFonts w:ascii="Arial" w:eastAsia="Times New Roman" w:hAnsi="Arial" w:cs="Arial"/>
                <w:sz w:val="18"/>
                <w:szCs w:val="18"/>
                <w:lang w:val="es-DO"/>
              </w:rPr>
              <w:t xml:space="preserve"> </w:t>
            </w:r>
            <w:r w:rsidRPr="000F7971">
              <w:rPr>
                <w:rFonts w:ascii="Arial" w:hAnsi="Arial" w:cs="Arial"/>
                <w:sz w:val="18"/>
                <w:szCs w:val="18"/>
                <w:lang w:val="es-DO"/>
              </w:rPr>
              <w:t xml:space="preserve">de IVA y Aduanas, incluyendo la </w:t>
            </w:r>
            <w:r w:rsidRPr="000F7971">
              <w:rPr>
                <w:rFonts w:ascii="Arial" w:eastAsia="Times New Roman" w:hAnsi="Arial" w:cs="Arial"/>
                <w:color w:val="000000"/>
                <w:sz w:val="18"/>
                <w:szCs w:val="18"/>
                <w:lang w:val="es-DO" w:eastAsia="es-DO"/>
              </w:rPr>
              <w:t>identificación y estimación de riesgos operacionales y las estrategias para su mitigación.</w:t>
            </w:r>
          </w:p>
        </w:tc>
        <w:tc>
          <w:tcPr>
            <w:tcW w:w="2019" w:type="pct"/>
          </w:tcPr>
          <w:p w14:paraId="26C80C25" w14:textId="77777777" w:rsidR="00B765E0" w:rsidRPr="000F7971" w:rsidRDefault="00B765E0" w:rsidP="00442CF7">
            <w:pPr>
              <w:pStyle w:val="MyBullet"/>
              <w:suppressAutoHyphens w:val="0"/>
              <w:autoSpaceDE w:val="0"/>
              <w:autoSpaceDN w:val="0"/>
              <w:adjustRightInd w:val="0"/>
              <w:spacing w:before="120"/>
              <w:jc w:val="both"/>
              <w:rPr>
                <w:rFonts w:ascii="Arial" w:hAnsi="Arial" w:cs="Arial"/>
                <w:b/>
                <w:bCs/>
                <w:sz w:val="18"/>
                <w:szCs w:val="18"/>
                <w:lang w:val="es-AR"/>
              </w:rPr>
            </w:pPr>
            <w:r w:rsidRPr="000F7971">
              <w:rPr>
                <w:rFonts w:ascii="Arial" w:hAnsi="Arial" w:cs="Arial"/>
                <w:color w:val="000000"/>
                <w:sz w:val="18"/>
                <w:szCs w:val="18"/>
                <w:lang w:val="es-DO" w:eastAsia="es-DO"/>
              </w:rPr>
              <w:t>I</w:t>
            </w:r>
            <w:r w:rsidRPr="000F7971">
              <w:rPr>
                <w:rFonts w:ascii="Arial" w:hAnsi="Arial" w:cs="Arial"/>
                <w:sz w:val="18"/>
                <w:szCs w:val="18"/>
                <w:lang w:val="es-DO"/>
              </w:rPr>
              <w:t>nforme de la SAT con los procesos de IVA y Aduanas revisados.</w:t>
            </w:r>
          </w:p>
        </w:tc>
        <w:tc>
          <w:tcPr>
            <w:tcW w:w="649" w:type="pct"/>
          </w:tcPr>
          <w:p w14:paraId="6386B9C9" w14:textId="77777777" w:rsidR="00B765E0" w:rsidRPr="000F7971" w:rsidRDefault="00B765E0" w:rsidP="004865D7">
            <w:pPr>
              <w:pStyle w:val="MyBullet"/>
              <w:suppressAutoHyphens w:val="0"/>
              <w:autoSpaceDE w:val="0"/>
              <w:autoSpaceDN w:val="0"/>
              <w:adjustRightInd w:val="0"/>
              <w:spacing w:before="120"/>
              <w:jc w:val="center"/>
              <w:rPr>
                <w:rFonts w:ascii="Arial" w:hAnsi="Arial" w:cs="Arial"/>
                <w:color w:val="000000"/>
                <w:sz w:val="18"/>
                <w:szCs w:val="18"/>
                <w:lang w:val="es-DO" w:eastAsia="es-DO"/>
              </w:rPr>
            </w:pPr>
            <w:r w:rsidRPr="000F7971">
              <w:rPr>
                <w:rFonts w:ascii="Arial" w:hAnsi="Arial" w:cs="Arial"/>
                <w:color w:val="000000"/>
                <w:sz w:val="18"/>
                <w:szCs w:val="18"/>
                <w:lang w:val="es-DO" w:eastAsia="es-DO"/>
              </w:rPr>
              <w:t>SAT</w:t>
            </w:r>
          </w:p>
        </w:tc>
      </w:tr>
      <w:tr w:rsidR="00B765E0" w:rsidRPr="00675B55" w14:paraId="560BAD7B" w14:textId="77777777" w:rsidTr="004865D7">
        <w:trPr>
          <w:trHeight w:val="887"/>
        </w:trPr>
        <w:tc>
          <w:tcPr>
            <w:tcW w:w="2332" w:type="pct"/>
            <w:tcBorders>
              <w:bottom w:val="single" w:sz="4" w:space="0" w:color="auto"/>
            </w:tcBorders>
          </w:tcPr>
          <w:p w14:paraId="008B1958" w14:textId="77777777" w:rsidR="00B765E0" w:rsidRPr="000F7971" w:rsidRDefault="00B765E0" w:rsidP="00442CF7">
            <w:pPr>
              <w:pStyle w:val="ListParagraph"/>
              <w:numPr>
                <w:ilvl w:val="0"/>
                <w:numId w:val="26"/>
              </w:numPr>
              <w:spacing w:before="120" w:after="0"/>
              <w:ind w:left="540"/>
              <w:jc w:val="both"/>
              <w:rPr>
                <w:rFonts w:ascii="Arial" w:hAnsi="Arial" w:cs="Arial"/>
                <w:sz w:val="18"/>
                <w:szCs w:val="18"/>
                <w:lang w:val="es-ES_tradnl"/>
              </w:rPr>
            </w:pPr>
            <w:r w:rsidRPr="000F7971">
              <w:rPr>
                <w:rFonts w:ascii="Arial" w:hAnsi="Arial" w:cs="Arial"/>
                <w:sz w:val="18"/>
                <w:szCs w:val="18"/>
                <w:lang w:val="es-ES"/>
              </w:rPr>
              <w:t>Elaboración de un Plan de control integral de la Carga en los recintos fiscalizados durante el despacho aduanero, con énfasis en Puerto Quetzal</w:t>
            </w:r>
            <w:r w:rsidRPr="000F7971">
              <w:rPr>
                <w:rFonts w:ascii="Arial" w:hAnsi="Arial" w:cs="Arial"/>
                <w:sz w:val="18"/>
                <w:szCs w:val="18"/>
                <w:lang w:val="es-ES_tradnl"/>
              </w:rPr>
              <w:t>.</w:t>
            </w:r>
          </w:p>
        </w:tc>
        <w:tc>
          <w:tcPr>
            <w:tcW w:w="2019" w:type="pct"/>
            <w:tcBorders>
              <w:bottom w:val="single" w:sz="4" w:space="0" w:color="auto"/>
            </w:tcBorders>
          </w:tcPr>
          <w:p w14:paraId="7357EDBA" w14:textId="77777777" w:rsidR="00B765E0" w:rsidRPr="000F7971" w:rsidRDefault="00B765E0" w:rsidP="00442CF7">
            <w:pPr>
              <w:pStyle w:val="MyBullet"/>
              <w:suppressAutoHyphens w:val="0"/>
              <w:autoSpaceDE w:val="0"/>
              <w:autoSpaceDN w:val="0"/>
              <w:adjustRightInd w:val="0"/>
              <w:spacing w:before="120"/>
              <w:jc w:val="both"/>
              <w:rPr>
                <w:rFonts w:ascii="Arial" w:hAnsi="Arial" w:cs="Arial"/>
                <w:b/>
                <w:bCs/>
                <w:sz w:val="18"/>
                <w:szCs w:val="18"/>
                <w:lang w:val="es-AR"/>
              </w:rPr>
            </w:pPr>
            <w:r w:rsidRPr="000F7971">
              <w:rPr>
                <w:rFonts w:ascii="Arial" w:hAnsi="Arial" w:cs="Arial"/>
                <w:sz w:val="18"/>
                <w:szCs w:val="18"/>
                <w:lang w:val="es-ES"/>
              </w:rPr>
              <w:t>Informe de la SAT con un Plan de control integral de la Carga en los recintos fiscalizados de Puerto Quetzal</w:t>
            </w:r>
            <w:r w:rsidRPr="000F7971">
              <w:rPr>
                <w:rFonts w:ascii="Arial" w:hAnsi="Arial" w:cs="Arial"/>
                <w:sz w:val="18"/>
                <w:szCs w:val="18"/>
                <w:lang w:val="es-ES_tradnl"/>
              </w:rPr>
              <w:t>.</w:t>
            </w:r>
          </w:p>
        </w:tc>
        <w:tc>
          <w:tcPr>
            <w:tcW w:w="649" w:type="pct"/>
            <w:tcBorders>
              <w:bottom w:val="single" w:sz="4" w:space="0" w:color="auto"/>
            </w:tcBorders>
          </w:tcPr>
          <w:p w14:paraId="0F47F195" w14:textId="77777777" w:rsidR="00B765E0" w:rsidRPr="000F7971" w:rsidRDefault="00B765E0" w:rsidP="004865D7">
            <w:pPr>
              <w:pStyle w:val="MyBullet"/>
              <w:suppressAutoHyphens w:val="0"/>
              <w:autoSpaceDE w:val="0"/>
              <w:autoSpaceDN w:val="0"/>
              <w:adjustRightInd w:val="0"/>
              <w:spacing w:before="120"/>
              <w:jc w:val="center"/>
              <w:rPr>
                <w:rFonts w:ascii="Arial" w:hAnsi="Arial" w:cs="Arial"/>
                <w:sz w:val="18"/>
                <w:szCs w:val="18"/>
                <w:lang w:val="es-ES"/>
              </w:rPr>
            </w:pPr>
            <w:r w:rsidRPr="000F7971">
              <w:rPr>
                <w:rFonts w:ascii="Arial" w:hAnsi="Arial" w:cs="Arial"/>
                <w:sz w:val="18"/>
                <w:szCs w:val="18"/>
                <w:lang w:val="es-ES"/>
              </w:rPr>
              <w:t>SAT</w:t>
            </w:r>
          </w:p>
        </w:tc>
      </w:tr>
      <w:tr w:rsidR="00B765E0" w:rsidRPr="00675B55" w14:paraId="0A0A4CC0" w14:textId="77777777" w:rsidTr="004865D7">
        <w:trPr>
          <w:trHeight w:val="1157"/>
        </w:trPr>
        <w:tc>
          <w:tcPr>
            <w:tcW w:w="2332" w:type="pct"/>
          </w:tcPr>
          <w:p w14:paraId="190B250C" w14:textId="77E5C647" w:rsidR="00B765E0" w:rsidRPr="00B73FE0" w:rsidRDefault="00B765E0" w:rsidP="002428D6">
            <w:pPr>
              <w:pStyle w:val="ListParagraph"/>
              <w:numPr>
                <w:ilvl w:val="0"/>
                <w:numId w:val="26"/>
              </w:numPr>
              <w:spacing w:before="120" w:after="0"/>
              <w:ind w:left="540"/>
              <w:jc w:val="both"/>
              <w:rPr>
                <w:rFonts w:ascii="Arial" w:hAnsi="Arial" w:cs="Arial"/>
                <w:sz w:val="18"/>
                <w:szCs w:val="18"/>
                <w:lang w:val="es-ES"/>
              </w:rPr>
            </w:pPr>
            <w:r w:rsidRPr="000F7971">
              <w:rPr>
                <w:rFonts w:ascii="Arial" w:hAnsi="Arial" w:cs="Arial"/>
                <w:sz w:val="18"/>
                <w:szCs w:val="18"/>
                <w:lang w:val="es-ES"/>
              </w:rPr>
              <w:t>Institucionalización de un marco de colaboración en investigaciones criminales de evasión tributaria y fraude fiscal, mediante un</w:t>
            </w:r>
            <w:r w:rsidR="00C95965">
              <w:rPr>
                <w:rFonts w:ascii="Arial" w:hAnsi="Arial" w:cs="Arial"/>
                <w:sz w:val="18"/>
                <w:szCs w:val="18"/>
                <w:lang w:val="es-ES"/>
              </w:rPr>
              <w:t xml:space="preserve"> Acuerdo de Cooperaci</w:t>
            </w:r>
            <w:r w:rsidR="00C95965" w:rsidRPr="000F7971">
              <w:rPr>
                <w:rFonts w:ascii="Arial" w:hAnsi="Arial" w:cs="Arial"/>
                <w:sz w:val="18"/>
                <w:szCs w:val="18"/>
                <w:lang w:val="es-ES"/>
              </w:rPr>
              <w:t>ó</w:t>
            </w:r>
            <w:r w:rsidR="00C95965">
              <w:rPr>
                <w:rFonts w:ascii="Arial" w:hAnsi="Arial" w:cs="Arial"/>
                <w:sz w:val="18"/>
                <w:szCs w:val="18"/>
                <w:lang w:val="es-ES"/>
              </w:rPr>
              <w:t>n</w:t>
            </w:r>
            <w:r w:rsidRPr="000F7971">
              <w:rPr>
                <w:rFonts w:ascii="Arial" w:hAnsi="Arial" w:cs="Arial"/>
                <w:sz w:val="18"/>
                <w:szCs w:val="18"/>
                <w:lang w:val="es-ES"/>
              </w:rPr>
              <w:t xml:space="preserve"> entre la SAT, </w:t>
            </w:r>
            <w:bookmarkStart w:id="2" w:name="_GoBack"/>
            <w:bookmarkEnd w:id="2"/>
            <w:r w:rsidRPr="000F7971">
              <w:rPr>
                <w:rFonts w:ascii="Arial" w:hAnsi="Arial" w:cs="Arial"/>
                <w:sz w:val="18"/>
                <w:szCs w:val="18"/>
                <w:lang w:val="es-ES"/>
              </w:rPr>
              <w:t>el Ministerio Público y la CICIG (Comisión Internacional contra la Impunidad en Guatemala)</w:t>
            </w:r>
            <w:r w:rsidR="005D591B">
              <w:rPr>
                <w:rFonts w:ascii="Arial" w:hAnsi="Arial" w:cs="Arial"/>
                <w:sz w:val="18"/>
                <w:szCs w:val="18"/>
                <w:lang w:val="es-ES"/>
              </w:rPr>
              <w:t xml:space="preserve">, </w:t>
            </w:r>
            <w:r w:rsidR="005D591B" w:rsidRPr="00B73FE0">
              <w:rPr>
                <w:rFonts w:ascii="Arial" w:hAnsi="Arial" w:cs="Arial"/>
                <w:sz w:val="18"/>
                <w:szCs w:val="18"/>
                <w:lang w:val="es-ES"/>
              </w:rPr>
              <w:t>observando el mandato otorgado a ésta última por Naciones Unidas</w:t>
            </w:r>
            <w:r w:rsidRPr="00B73FE0">
              <w:rPr>
                <w:rFonts w:ascii="Arial" w:hAnsi="Arial" w:cs="Arial"/>
                <w:sz w:val="18"/>
                <w:szCs w:val="18"/>
                <w:lang w:val="es-ES"/>
              </w:rPr>
              <w:t>.</w:t>
            </w:r>
          </w:p>
        </w:tc>
        <w:tc>
          <w:tcPr>
            <w:tcW w:w="2019" w:type="pct"/>
          </w:tcPr>
          <w:p w14:paraId="5B98FD46" w14:textId="37F36401" w:rsidR="00B765E0" w:rsidRPr="000F7971" w:rsidRDefault="00B765E0">
            <w:pPr>
              <w:pStyle w:val="MyBullet"/>
              <w:suppressAutoHyphens w:val="0"/>
              <w:autoSpaceDE w:val="0"/>
              <w:autoSpaceDN w:val="0"/>
              <w:adjustRightInd w:val="0"/>
              <w:spacing w:before="120"/>
              <w:jc w:val="both"/>
              <w:rPr>
                <w:rFonts w:ascii="Arial" w:hAnsi="Arial" w:cs="Arial"/>
                <w:b/>
                <w:bCs/>
                <w:sz w:val="18"/>
                <w:szCs w:val="18"/>
                <w:lang w:val="es-AR"/>
              </w:rPr>
            </w:pPr>
            <w:r w:rsidRPr="000F7971">
              <w:rPr>
                <w:rFonts w:ascii="Arial" w:hAnsi="Arial" w:cs="Arial"/>
                <w:sz w:val="18"/>
                <w:szCs w:val="18"/>
                <w:lang w:val="es-ES"/>
              </w:rPr>
              <w:t xml:space="preserve">Copia del </w:t>
            </w:r>
            <w:r w:rsidR="00C95965">
              <w:rPr>
                <w:rFonts w:ascii="Arial" w:hAnsi="Arial" w:cs="Arial"/>
                <w:sz w:val="18"/>
                <w:szCs w:val="18"/>
                <w:lang w:val="es-ES"/>
              </w:rPr>
              <w:t>Acuerdo de Cooperaci</w:t>
            </w:r>
            <w:r w:rsidR="00C95965" w:rsidRPr="000F7971">
              <w:rPr>
                <w:rFonts w:ascii="Arial" w:hAnsi="Arial" w:cs="Arial"/>
                <w:sz w:val="18"/>
                <w:szCs w:val="18"/>
                <w:lang w:val="es-ES"/>
              </w:rPr>
              <w:t>ó</w:t>
            </w:r>
            <w:r w:rsidR="00C95965">
              <w:rPr>
                <w:rFonts w:ascii="Arial" w:hAnsi="Arial" w:cs="Arial"/>
                <w:sz w:val="18"/>
                <w:szCs w:val="18"/>
                <w:lang w:val="es-ES"/>
              </w:rPr>
              <w:t>n</w:t>
            </w:r>
            <w:r w:rsidR="00C95965" w:rsidRPr="000F7971">
              <w:rPr>
                <w:rFonts w:ascii="Arial" w:hAnsi="Arial" w:cs="Arial"/>
                <w:sz w:val="18"/>
                <w:szCs w:val="18"/>
                <w:lang w:val="es-ES"/>
              </w:rPr>
              <w:t xml:space="preserve"> </w:t>
            </w:r>
            <w:r w:rsidR="006156FE">
              <w:rPr>
                <w:rFonts w:ascii="Arial" w:hAnsi="Arial" w:cs="Arial"/>
                <w:sz w:val="18"/>
                <w:szCs w:val="18"/>
                <w:lang w:val="es-ES"/>
              </w:rPr>
              <w:t xml:space="preserve">suscrito </w:t>
            </w:r>
            <w:r w:rsidRPr="000F7971">
              <w:rPr>
                <w:rFonts w:ascii="Arial" w:hAnsi="Arial" w:cs="Arial"/>
                <w:sz w:val="18"/>
                <w:szCs w:val="18"/>
                <w:lang w:val="es-ES"/>
              </w:rPr>
              <w:t xml:space="preserve">entre la SAT, el Ministerio Público y </w:t>
            </w:r>
            <w:r w:rsidR="00C95965">
              <w:rPr>
                <w:rFonts w:ascii="Arial" w:hAnsi="Arial" w:cs="Arial"/>
                <w:sz w:val="18"/>
                <w:szCs w:val="18"/>
                <w:lang w:val="es-ES"/>
              </w:rPr>
              <w:t xml:space="preserve">en su caso, </w:t>
            </w:r>
            <w:r w:rsidRPr="000F7971">
              <w:rPr>
                <w:rFonts w:ascii="Arial" w:hAnsi="Arial" w:cs="Arial"/>
                <w:sz w:val="18"/>
                <w:szCs w:val="18"/>
                <w:lang w:val="es-ES"/>
              </w:rPr>
              <w:t xml:space="preserve">la CICIG </w:t>
            </w:r>
            <w:r w:rsidR="006156FE">
              <w:rPr>
                <w:rFonts w:ascii="Arial" w:hAnsi="Arial" w:cs="Arial"/>
                <w:sz w:val="18"/>
                <w:szCs w:val="18"/>
                <w:lang w:val="es-ES"/>
              </w:rPr>
              <w:t>observando el mandato otorgado a esta última por las Naciones Unidas</w:t>
            </w:r>
            <w:r w:rsidRPr="000F7971">
              <w:rPr>
                <w:rFonts w:ascii="Arial" w:hAnsi="Arial" w:cs="Arial"/>
                <w:sz w:val="18"/>
                <w:szCs w:val="18"/>
                <w:lang w:val="es-ES_tradnl"/>
              </w:rPr>
              <w:t>.</w:t>
            </w:r>
          </w:p>
        </w:tc>
        <w:tc>
          <w:tcPr>
            <w:tcW w:w="649" w:type="pct"/>
          </w:tcPr>
          <w:p w14:paraId="17393DF3" w14:textId="77777777" w:rsidR="00B765E0" w:rsidRPr="000F7971" w:rsidRDefault="00B765E0" w:rsidP="004865D7">
            <w:pPr>
              <w:pStyle w:val="MyBullet"/>
              <w:suppressAutoHyphens w:val="0"/>
              <w:autoSpaceDE w:val="0"/>
              <w:autoSpaceDN w:val="0"/>
              <w:adjustRightInd w:val="0"/>
              <w:spacing w:before="120"/>
              <w:jc w:val="center"/>
              <w:rPr>
                <w:rFonts w:ascii="Arial" w:hAnsi="Arial" w:cs="Arial"/>
                <w:sz w:val="18"/>
                <w:szCs w:val="18"/>
                <w:lang w:val="es-ES"/>
              </w:rPr>
            </w:pPr>
            <w:r w:rsidRPr="000F7971">
              <w:rPr>
                <w:rFonts w:ascii="Arial" w:hAnsi="Arial" w:cs="Arial"/>
                <w:sz w:val="18"/>
                <w:szCs w:val="18"/>
                <w:lang w:val="es-ES"/>
              </w:rPr>
              <w:t>SAT</w:t>
            </w:r>
          </w:p>
        </w:tc>
      </w:tr>
      <w:tr w:rsidR="00B765E0" w:rsidRPr="00675B55" w14:paraId="581306C8" w14:textId="77777777" w:rsidTr="004865D7">
        <w:trPr>
          <w:trHeight w:val="800"/>
        </w:trPr>
        <w:tc>
          <w:tcPr>
            <w:tcW w:w="2332" w:type="pct"/>
            <w:tcBorders>
              <w:bottom w:val="single" w:sz="4" w:space="0" w:color="auto"/>
            </w:tcBorders>
          </w:tcPr>
          <w:p w14:paraId="482F2170" w14:textId="0F5059C0" w:rsidR="00B765E0" w:rsidRPr="000F7971" w:rsidRDefault="00B765E0" w:rsidP="007328FB">
            <w:pPr>
              <w:pStyle w:val="ListParagraph"/>
              <w:numPr>
                <w:ilvl w:val="0"/>
                <w:numId w:val="26"/>
              </w:numPr>
              <w:spacing w:before="120" w:after="0"/>
              <w:ind w:left="540"/>
              <w:jc w:val="both"/>
              <w:rPr>
                <w:rFonts w:ascii="Arial" w:hAnsi="Arial" w:cs="Arial"/>
                <w:sz w:val="18"/>
                <w:szCs w:val="18"/>
                <w:lang w:val="es-ES"/>
              </w:rPr>
            </w:pPr>
            <w:r w:rsidRPr="000F7971">
              <w:rPr>
                <w:rFonts w:ascii="Arial" w:hAnsi="Arial" w:cs="Arial"/>
                <w:sz w:val="18"/>
                <w:szCs w:val="18"/>
                <w:lang w:val="es-ES"/>
              </w:rPr>
              <w:t xml:space="preserve">Fortalecimiento del Ministerio Público, mediante la aprobación por el Congreso de la República de </w:t>
            </w:r>
            <w:r w:rsidR="00C3509B">
              <w:rPr>
                <w:rFonts w:ascii="Arial" w:hAnsi="Arial" w:cs="Arial"/>
                <w:sz w:val="18"/>
                <w:szCs w:val="18"/>
                <w:lang w:val="es-ES"/>
              </w:rPr>
              <w:t xml:space="preserve">una </w:t>
            </w:r>
            <w:r w:rsidRPr="000F7971">
              <w:rPr>
                <w:rFonts w:ascii="Arial" w:hAnsi="Arial" w:cs="Arial"/>
                <w:sz w:val="18"/>
                <w:szCs w:val="18"/>
                <w:lang w:val="es-ES"/>
              </w:rPr>
              <w:t>reforma a la Ley Orgánica del Ministerio Público.</w:t>
            </w:r>
          </w:p>
        </w:tc>
        <w:tc>
          <w:tcPr>
            <w:tcW w:w="2019" w:type="pct"/>
            <w:tcBorders>
              <w:bottom w:val="single" w:sz="4" w:space="0" w:color="auto"/>
            </w:tcBorders>
          </w:tcPr>
          <w:p w14:paraId="5322AEA9" w14:textId="188FD6FF" w:rsidR="00B765E0" w:rsidRPr="000F7971" w:rsidRDefault="00B765E0">
            <w:pPr>
              <w:pStyle w:val="MyBullet"/>
              <w:suppressAutoHyphens w:val="0"/>
              <w:autoSpaceDE w:val="0"/>
              <w:autoSpaceDN w:val="0"/>
              <w:adjustRightInd w:val="0"/>
              <w:spacing w:before="120"/>
              <w:jc w:val="both"/>
              <w:rPr>
                <w:rFonts w:ascii="Arial" w:hAnsi="Arial" w:cs="Arial"/>
                <w:sz w:val="18"/>
                <w:szCs w:val="18"/>
                <w:lang w:val="es-ES"/>
              </w:rPr>
            </w:pPr>
            <w:r w:rsidRPr="000F7971">
              <w:rPr>
                <w:rFonts w:ascii="Arial" w:hAnsi="Arial" w:cs="Arial"/>
                <w:sz w:val="18"/>
                <w:szCs w:val="18"/>
                <w:lang w:val="es-ES"/>
              </w:rPr>
              <w:t xml:space="preserve">Publicación del Decreto de aprobación </w:t>
            </w:r>
            <w:r w:rsidR="00C3509B">
              <w:rPr>
                <w:rFonts w:ascii="Arial" w:hAnsi="Arial" w:cs="Arial"/>
                <w:sz w:val="18"/>
                <w:szCs w:val="18"/>
                <w:lang w:val="es-ES"/>
              </w:rPr>
              <w:t>(</w:t>
            </w:r>
            <w:r w:rsidR="006156FE">
              <w:rPr>
                <w:rFonts w:ascii="Arial" w:hAnsi="Arial" w:cs="Arial"/>
                <w:sz w:val="18"/>
                <w:szCs w:val="18"/>
                <w:lang w:val="es-ES"/>
              </w:rPr>
              <w:t xml:space="preserve">Decreto </w:t>
            </w:r>
            <w:r w:rsidR="00C3509B">
              <w:rPr>
                <w:rFonts w:ascii="Arial" w:hAnsi="Arial" w:cs="Arial"/>
                <w:sz w:val="18"/>
                <w:szCs w:val="18"/>
                <w:lang w:val="es-ES"/>
              </w:rPr>
              <w:t>N</w:t>
            </w:r>
            <w:r w:rsidR="00C3509B" w:rsidRPr="00B73FE0">
              <w:rPr>
                <w:rFonts w:ascii="Arial" w:hAnsi="Arial" w:cs="Arial"/>
                <w:sz w:val="18"/>
                <w:szCs w:val="18"/>
                <w:vertAlign w:val="superscript"/>
                <w:lang w:val="es-ES"/>
              </w:rPr>
              <w:t>o</w:t>
            </w:r>
            <w:r w:rsidR="00C3509B">
              <w:rPr>
                <w:rFonts w:ascii="Arial" w:hAnsi="Arial" w:cs="Arial"/>
                <w:sz w:val="18"/>
                <w:szCs w:val="18"/>
                <w:lang w:val="es-ES"/>
              </w:rPr>
              <w:t xml:space="preserve"> 18-2016) </w:t>
            </w:r>
            <w:r w:rsidRPr="000F7971">
              <w:rPr>
                <w:rFonts w:ascii="Arial" w:hAnsi="Arial" w:cs="Arial"/>
                <w:sz w:val="18"/>
                <w:szCs w:val="18"/>
                <w:lang w:val="es-ES"/>
              </w:rPr>
              <w:t>de</w:t>
            </w:r>
            <w:r w:rsidR="00C3509B">
              <w:rPr>
                <w:rFonts w:ascii="Arial" w:hAnsi="Arial" w:cs="Arial"/>
                <w:sz w:val="18"/>
                <w:szCs w:val="18"/>
                <w:lang w:val="es-ES"/>
              </w:rPr>
              <w:t xml:space="preserve"> la</w:t>
            </w:r>
            <w:r w:rsidRPr="000F7971">
              <w:rPr>
                <w:rFonts w:ascii="Arial" w:hAnsi="Arial" w:cs="Arial"/>
                <w:sz w:val="18"/>
                <w:szCs w:val="18"/>
                <w:lang w:val="es-ES"/>
              </w:rPr>
              <w:t xml:space="preserve"> reforma a la Ley Orgánica del Ministerio Público en el Diario de Centro América.</w:t>
            </w:r>
          </w:p>
        </w:tc>
        <w:tc>
          <w:tcPr>
            <w:tcW w:w="649" w:type="pct"/>
            <w:tcBorders>
              <w:bottom w:val="single" w:sz="4" w:space="0" w:color="auto"/>
            </w:tcBorders>
          </w:tcPr>
          <w:p w14:paraId="74937597" w14:textId="2F72AF9F" w:rsidR="00B765E0" w:rsidRPr="000F7971" w:rsidRDefault="00C3509B" w:rsidP="004865D7">
            <w:pPr>
              <w:pStyle w:val="MyBullet"/>
              <w:suppressAutoHyphens w:val="0"/>
              <w:autoSpaceDE w:val="0"/>
              <w:autoSpaceDN w:val="0"/>
              <w:adjustRightInd w:val="0"/>
              <w:spacing w:before="120"/>
              <w:jc w:val="center"/>
              <w:rPr>
                <w:rFonts w:ascii="Arial" w:hAnsi="Arial" w:cs="Arial"/>
                <w:sz w:val="18"/>
                <w:szCs w:val="18"/>
                <w:lang w:val="es-ES"/>
              </w:rPr>
            </w:pPr>
            <w:r w:rsidRPr="000F7971">
              <w:rPr>
                <w:rFonts w:ascii="Arial" w:hAnsi="Arial" w:cs="Arial"/>
                <w:sz w:val="18"/>
                <w:szCs w:val="18"/>
                <w:lang w:val="es-ES"/>
              </w:rPr>
              <w:t>M</w:t>
            </w:r>
            <w:r>
              <w:rPr>
                <w:rFonts w:ascii="Arial" w:hAnsi="Arial" w:cs="Arial"/>
                <w:sz w:val="18"/>
                <w:szCs w:val="18"/>
                <w:lang w:val="es-ES"/>
              </w:rPr>
              <w:t>P</w:t>
            </w:r>
          </w:p>
        </w:tc>
      </w:tr>
      <w:tr w:rsidR="00442CF7" w:rsidRPr="00675B55" w14:paraId="0549FDFB" w14:textId="77777777" w:rsidTr="00442CF7">
        <w:trPr>
          <w:trHeight w:val="467"/>
        </w:trPr>
        <w:tc>
          <w:tcPr>
            <w:tcW w:w="5000" w:type="pct"/>
            <w:gridSpan w:val="3"/>
            <w:tcBorders>
              <w:bottom w:val="single" w:sz="4" w:space="0" w:color="auto"/>
            </w:tcBorders>
            <w:shd w:val="clear" w:color="auto" w:fill="D9D9D9" w:themeFill="background1" w:themeFillShade="D9"/>
            <w:vAlign w:val="center"/>
          </w:tcPr>
          <w:p w14:paraId="0514AD53" w14:textId="12252311" w:rsidR="00442CF7" w:rsidRPr="000F7971" w:rsidRDefault="00442CF7" w:rsidP="00CE175A">
            <w:pPr>
              <w:pStyle w:val="MyBullet"/>
              <w:suppressAutoHyphens w:val="0"/>
              <w:autoSpaceDE w:val="0"/>
              <w:autoSpaceDN w:val="0"/>
              <w:adjustRightInd w:val="0"/>
              <w:rPr>
                <w:rFonts w:ascii="Arial" w:hAnsi="Arial" w:cs="Arial"/>
                <w:b/>
                <w:sz w:val="18"/>
                <w:szCs w:val="18"/>
                <w:u w:val="single"/>
                <w:lang w:val="es-ES_tradnl"/>
              </w:rPr>
            </w:pPr>
            <w:r w:rsidRPr="000F7971">
              <w:rPr>
                <w:rFonts w:ascii="Arial" w:hAnsi="Arial" w:cs="Arial"/>
                <w:b/>
                <w:sz w:val="18"/>
                <w:szCs w:val="18"/>
                <w:u w:val="single"/>
                <w:lang w:val="es-ES_tradnl"/>
              </w:rPr>
              <w:t>Componente III. Mejorar la transparencia del sector financiero y de las actividades off-shore</w:t>
            </w:r>
          </w:p>
        </w:tc>
      </w:tr>
      <w:tr w:rsidR="00B765E0" w:rsidRPr="00675B55" w14:paraId="2A4F90B6" w14:textId="77777777" w:rsidTr="004865D7">
        <w:trPr>
          <w:trHeight w:val="1823"/>
        </w:trPr>
        <w:tc>
          <w:tcPr>
            <w:tcW w:w="2332" w:type="pct"/>
            <w:tcBorders>
              <w:bottom w:val="single" w:sz="4" w:space="0" w:color="auto"/>
            </w:tcBorders>
          </w:tcPr>
          <w:p w14:paraId="02A13BD6" w14:textId="77777777" w:rsidR="00B765E0" w:rsidRPr="000F7971" w:rsidRDefault="00B765E0" w:rsidP="00442CF7">
            <w:pPr>
              <w:pStyle w:val="ListParagraph"/>
              <w:numPr>
                <w:ilvl w:val="0"/>
                <w:numId w:val="24"/>
              </w:numPr>
              <w:spacing w:before="120" w:after="0"/>
              <w:ind w:left="540"/>
              <w:jc w:val="both"/>
              <w:rPr>
                <w:rFonts w:ascii="Arial" w:hAnsi="Arial" w:cs="Arial"/>
                <w:sz w:val="18"/>
                <w:szCs w:val="18"/>
                <w:lang w:val="es-ES_tradnl"/>
              </w:rPr>
            </w:pPr>
            <w:r w:rsidRPr="000F7971">
              <w:rPr>
                <w:rFonts w:ascii="Arial" w:hAnsi="Arial" w:cs="Arial"/>
                <w:sz w:val="18"/>
                <w:szCs w:val="18"/>
                <w:lang w:val="es-ES_tradnl"/>
              </w:rPr>
              <w:t>Mejorar la regulación y supervisión del sector financiero, en especial de las entidades off-shore, requiriendo capital adicional a entidades que otorguen financiamiento en moneda extranjera a deudores no generadores de divisas, eliminando la excepción en el artículo relacionado con los no generadores de divisas.</w:t>
            </w:r>
          </w:p>
        </w:tc>
        <w:tc>
          <w:tcPr>
            <w:tcW w:w="2019" w:type="pct"/>
            <w:tcBorders>
              <w:bottom w:val="single" w:sz="4" w:space="0" w:color="auto"/>
            </w:tcBorders>
          </w:tcPr>
          <w:p w14:paraId="7E813650" w14:textId="77777777" w:rsidR="00B765E0" w:rsidRPr="000F7971" w:rsidRDefault="00B765E0" w:rsidP="00442CF7">
            <w:pPr>
              <w:pStyle w:val="MyBullet"/>
              <w:suppressAutoHyphens w:val="0"/>
              <w:autoSpaceDE w:val="0"/>
              <w:autoSpaceDN w:val="0"/>
              <w:adjustRightInd w:val="0"/>
              <w:spacing w:before="120"/>
              <w:jc w:val="both"/>
              <w:rPr>
                <w:rFonts w:ascii="Arial" w:hAnsi="Arial" w:cs="Arial"/>
                <w:sz w:val="18"/>
                <w:szCs w:val="18"/>
                <w:lang w:val="es-ES"/>
              </w:rPr>
            </w:pPr>
            <w:r w:rsidRPr="000F7971">
              <w:rPr>
                <w:rFonts w:ascii="Arial" w:hAnsi="Arial" w:cs="Arial"/>
                <w:sz w:val="18"/>
                <w:szCs w:val="18"/>
                <w:lang w:val="es-ES_tradnl"/>
              </w:rPr>
              <w:t>Publicación en el Diario de Centro América de una Resolución de la Junta Monetaria que modifica un reglamento sobre la adecuación de capital para entidades fuera de plaza o entidades off shore, casas de bolsa, empresas especializadas en servicios financieros, almacenes generales de depósito y casas de cambio, que forman parte de un Grupo Financiero y emisores de tarjetas de crédito que no formen parte de un grupo financiero.</w:t>
            </w:r>
          </w:p>
        </w:tc>
        <w:tc>
          <w:tcPr>
            <w:tcW w:w="649" w:type="pct"/>
            <w:tcBorders>
              <w:bottom w:val="single" w:sz="4" w:space="0" w:color="auto"/>
            </w:tcBorders>
          </w:tcPr>
          <w:p w14:paraId="3E0D9666" w14:textId="5DC83A75" w:rsidR="00B765E0" w:rsidRPr="000F7971" w:rsidRDefault="00B765E0" w:rsidP="004865D7">
            <w:pPr>
              <w:pStyle w:val="MyBullet"/>
              <w:suppressAutoHyphens w:val="0"/>
              <w:autoSpaceDE w:val="0"/>
              <w:autoSpaceDN w:val="0"/>
              <w:adjustRightInd w:val="0"/>
              <w:spacing w:before="120"/>
              <w:jc w:val="center"/>
              <w:rPr>
                <w:rFonts w:ascii="Arial" w:hAnsi="Arial" w:cs="Arial"/>
                <w:sz w:val="18"/>
                <w:szCs w:val="18"/>
                <w:lang w:val="es-ES_tradnl"/>
              </w:rPr>
            </w:pPr>
            <w:r w:rsidRPr="000F7971">
              <w:rPr>
                <w:rFonts w:ascii="Arial" w:hAnsi="Arial" w:cs="Arial"/>
                <w:sz w:val="18"/>
                <w:szCs w:val="18"/>
                <w:lang w:val="es-ES_tradnl"/>
              </w:rPr>
              <w:t>S</w:t>
            </w:r>
            <w:r w:rsidR="00B30402">
              <w:rPr>
                <w:rFonts w:ascii="Arial" w:hAnsi="Arial" w:cs="Arial"/>
                <w:sz w:val="18"/>
                <w:szCs w:val="18"/>
                <w:lang w:val="es-ES_tradnl"/>
              </w:rPr>
              <w:t>I</w:t>
            </w:r>
            <w:r w:rsidRPr="000F7971">
              <w:rPr>
                <w:rFonts w:ascii="Arial" w:hAnsi="Arial" w:cs="Arial"/>
                <w:sz w:val="18"/>
                <w:szCs w:val="18"/>
                <w:lang w:val="es-ES_tradnl"/>
              </w:rPr>
              <w:t>B</w:t>
            </w:r>
          </w:p>
        </w:tc>
      </w:tr>
      <w:tr w:rsidR="00442CF7" w:rsidRPr="00675B55" w14:paraId="149BFDDD" w14:textId="77777777" w:rsidTr="00442CF7">
        <w:trPr>
          <w:trHeight w:val="671"/>
        </w:trPr>
        <w:tc>
          <w:tcPr>
            <w:tcW w:w="2332" w:type="pct"/>
            <w:tcBorders>
              <w:bottom w:val="single" w:sz="4" w:space="0" w:color="auto"/>
            </w:tcBorders>
            <w:shd w:val="clear" w:color="auto" w:fill="B6DDE8" w:themeFill="accent5" w:themeFillTint="66"/>
            <w:vAlign w:val="center"/>
          </w:tcPr>
          <w:p w14:paraId="6DB46790" w14:textId="76B628EC" w:rsidR="00442CF7" w:rsidRPr="00442CF7" w:rsidRDefault="00442CF7" w:rsidP="00442CF7">
            <w:pPr>
              <w:keepNext/>
              <w:jc w:val="center"/>
              <w:rPr>
                <w:rFonts w:ascii="Arial" w:hAnsi="Arial" w:cs="Arial"/>
                <w:sz w:val="18"/>
                <w:szCs w:val="18"/>
                <w:lang w:val="es-ES_tradnl"/>
              </w:rPr>
            </w:pPr>
            <w:r w:rsidRPr="00442CF7">
              <w:rPr>
                <w:rFonts w:ascii="Arial" w:hAnsi="Arial" w:cs="Arial"/>
                <w:b/>
                <w:bCs/>
                <w:color w:val="000000"/>
                <w:sz w:val="20"/>
                <w:szCs w:val="18"/>
                <w:lang w:val="es-DO" w:eastAsia="es-DO"/>
              </w:rPr>
              <w:lastRenderedPageBreak/>
              <w:t>Compromisos de Política Primer Tramo</w:t>
            </w:r>
          </w:p>
        </w:tc>
        <w:tc>
          <w:tcPr>
            <w:tcW w:w="2019" w:type="pct"/>
            <w:tcBorders>
              <w:bottom w:val="single" w:sz="4" w:space="0" w:color="auto"/>
            </w:tcBorders>
            <w:shd w:val="clear" w:color="auto" w:fill="B6DDE8" w:themeFill="accent5" w:themeFillTint="66"/>
            <w:vAlign w:val="center"/>
          </w:tcPr>
          <w:p w14:paraId="3CF5E3DE" w14:textId="454CD9E0" w:rsidR="00442CF7" w:rsidRPr="000F7971" w:rsidRDefault="00442CF7" w:rsidP="00442CF7">
            <w:pPr>
              <w:pStyle w:val="MyBullet"/>
              <w:keepNext/>
              <w:suppressAutoHyphens w:val="0"/>
              <w:autoSpaceDE w:val="0"/>
              <w:autoSpaceDN w:val="0"/>
              <w:adjustRightInd w:val="0"/>
              <w:jc w:val="center"/>
              <w:rPr>
                <w:rFonts w:ascii="Arial" w:hAnsi="Arial" w:cs="Arial"/>
                <w:sz w:val="18"/>
                <w:szCs w:val="18"/>
                <w:lang w:val="es-ES_tradnl"/>
              </w:rPr>
            </w:pPr>
            <w:r w:rsidRPr="000F7971">
              <w:rPr>
                <w:rFonts w:ascii="Arial" w:hAnsi="Arial" w:cs="Arial"/>
                <w:b/>
                <w:bCs/>
                <w:sz w:val="20"/>
                <w:szCs w:val="18"/>
                <w:lang w:val="es-ES_tradnl"/>
              </w:rPr>
              <w:t>Medios de verificación</w:t>
            </w:r>
          </w:p>
        </w:tc>
        <w:tc>
          <w:tcPr>
            <w:tcW w:w="649" w:type="pct"/>
            <w:tcBorders>
              <w:bottom w:val="single" w:sz="4" w:space="0" w:color="auto"/>
            </w:tcBorders>
            <w:shd w:val="clear" w:color="auto" w:fill="B6DDE8" w:themeFill="accent5" w:themeFillTint="66"/>
            <w:vAlign w:val="center"/>
          </w:tcPr>
          <w:p w14:paraId="40338C59" w14:textId="304F2EAF" w:rsidR="00442CF7" w:rsidRPr="000F7971" w:rsidRDefault="00442CF7" w:rsidP="00442CF7">
            <w:pPr>
              <w:pStyle w:val="MyBullet"/>
              <w:suppressAutoHyphens w:val="0"/>
              <w:autoSpaceDE w:val="0"/>
              <w:autoSpaceDN w:val="0"/>
              <w:adjustRightInd w:val="0"/>
              <w:jc w:val="center"/>
              <w:rPr>
                <w:rFonts w:ascii="Arial" w:hAnsi="Arial" w:cs="Arial"/>
                <w:sz w:val="18"/>
                <w:szCs w:val="18"/>
                <w:lang w:val="es-ES_tradnl"/>
              </w:rPr>
            </w:pPr>
            <w:r w:rsidRPr="000F7971">
              <w:rPr>
                <w:rFonts w:ascii="Arial" w:hAnsi="Arial" w:cs="Arial"/>
                <w:b/>
                <w:bCs/>
                <w:sz w:val="20"/>
                <w:szCs w:val="18"/>
                <w:lang w:val="es-ES_tradnl"/>
              </w:rPr>
              <w:t>Entidad Responsable</w:t>
            </w:r>
          </w:p>
        </w:tc>
      </w:tr>
      <w:tr w:rsidR="00442CF7" w:rsidRPr="00675B55" w14:paraId="247D14F4" w14:textId="77777777" w:rsidTr="004865D7">
        <w:trPr>
          <w:trHeight w:val="752"/>
        </w:trPr>
        <w:tc>
          <w:tcPr>
            <w:tcW w:w="2332" w:type="pct"/>
            <w:tcBorders>
              <w:bottom w:val="single" w:sz="4" w:space="0" w:color="auto"/>
            </w:tcBorders>
          </w:tcPr>
          <w:p w14:paraId="496F5ECC" w14:textId="77777777" w:rsidR="00442CF7" w:rsidRPr="000F7971" w:rsidRDefault="00442CF7" w:rsidP="00442CF7">
            <w:pPr>
              <w:pStyle w:val="ListParagraph"/>
              <w:keepNext/>
              <w:numPr>
                <w:ilvl w:val="0"/>
                <w:numId w:val="24"/>
              </w:numPr>
              <w:spacing w:before="120" w:after="0"/>
              <w:ind w:left="540"/>
              <w:jc w:val="both"/>
              <w:rPr>
                <w:rFonts w:ascii="Arial" w:hAnsi="Arial" w:cs="Arial"/>
                <w:sz w:val="18"/>
                <w:szCs w:val="18"/>
                <w:lang w:val="es-ES_tradnl"/>
              </w:rPr>
            </w:pPr>
            <w:r w:rsidRPr="000F7971">
              <w:rPr>
                <w:rFonts w:ascii="Arial" w:hAnsi="Arial" w:cs="Arial"/>
                <w:sz w:val="18"/>
                <w:szCs w:val="18"/>
                <w:lang w:val="es-ES_tradnl"/>
              </w:rPr>
              <w:t>Mejorar la divulgación de la información de los indicadores financieros, respecto de la información histórica del sector, en especial de las entidades fuera de plaza o entidades off shore, las empresas especializadas en servicios financieros y otras que califique la Junta Monetaria, que formen parte de un grupo financiero y las casas de cambio, facultando al órgano supervisor a requerir la actualización de dicha información.</w:t>
            </w:r>
          </w:p>
        </w:tc>
        <w:tc>
          <w:tcPr>
            <w:tcW w:w="2019" w:type="pct"/>
            <w:tcBorders>
              <w:bottom w:val="single" w:sz="4" w:space="0" w:color="auto"/>
            </w:tcBorders>
          </w:tcPr>
          <w:p w14:paraId="5094994A" w14:textId="77777777" w:rsidR="00442CF7" w:rsidRPr="000F7971" w:rsidRDefault="00442CF7" w:rsidP="00442CF7">
            <w:pPr>
              <w:pStyle w:val="MyBullet"/>
              <w:keepNext/>
              <w:suppressAutoHyphens w:val="0"/>
              <w:autoSpaceDE w:val="0"/>
              <w:autoSpaceDN w:val="0"/>
              <w:adjustRightInd w:val="0"/>
              <w:spacing w:before="120"/>
              <w:jc w:val="both"/>
              <w:rPr>
                <w:rFonts w:ascii="Arial" w:hAnsi="Arial" w:cs="Arial"/>
                <w:sz w:val="18"/>
                <w:szCs w:val="18"/>
                <w:lang w:val="es-AR"/>
              </w:rPr>
            </w:pPr>
            <w:r w:rsidRPr="000F7971">
              <w:rPr>
                <w:rFonts w:ascii="Arial" w:hAnsi="Arial" w:cs="Arial"/>
                <w:sz w:val="18"/>
                <w:szCs w:val="18"/>
                <w:lang w:val="es-ES_tradnl"/>
              </w:rPr>
              <w:t>Publicación en el Diario de Centro América de una Resolución de la JM que modifique el Reglamento para la Divulgación de Información por parte de las entidades fuera de plaza o entidades off shore, las empresas especializadas en servicios financieros y otras que califique la Junta Monetaria, que formen parte de un grupo financiero, las casas de cambio, y los emisores de tarjeta de crédito.</w:t>
            </w:r>
            <w:r w:rsidRPr="00B00092">
              <w:rPr>
                <w:rFonts w:ascii="Arial" w:hAnsi="Arial" w:cs="Arial"/>
                <w:sz w:val="20"/>
                <w:lang w:val="es-ES_tradnl"/>
              </w:rPr>
              <w:t xml:space="preserve"> </w:t>
            </w:r>
            <w:r w:rsidRPr="00B00092">
              <w:rPr>
                <w:rFonts w:ascii="Arial" w:hAnsi="Arial" w:cs="Arial"/>
                <w:sz w:val="18"/>
                <w:szCs w:val="18"/>
                <w:lang w:val="es-ES_tradnl"/>
              </w:rPr>
              <w:t>Las principales categorías de información a publicarse incluyen las tasas de interés promedio ponderadas, los estados financieros mensuales, indicadores financieros identificados por la Superintendencia de Bancos, y estados financieros anuales (balance general condensado, estado de resultados condensado, estado de movimiento del capital contable y estado de flujo de efectivo. La medida de política propuesta es de ampliar estos requisitos de transparencia con relación a la periodicidad, plazo de publicación y-o cantidad de registros históricos requeridos.</w:t>
            </w:r>
          </w:p>
        </w:tc>
        <w:tc>
          <w:tcPr>
            <w:tcW w:w="649" w:type="pct"/>
            <w:tcBorders>
              <w:bottom w:val="single" w:sz="4" w:space="0" w:color="auto"/>
            </w:tcBorders>
          </w:tcPr>
          <w:p w14:paraId="6FC99C46" w14:textId="65777038" w:rsidR="00442CF7" w:rsidRPr="000F7971" w:rsidRDefault="00442CF7" w:rsidP="004865D7">
            <w:pPr>
              <w:pStyle w:val="MyBullet"/>
              <w:suppressAutoHyphens w:val="0"/>
              <w:autoSpaceDE w:val="0"/>
              <w:autoSpaceDN w:val="0"/>
              <w:adjustRightInd w:val="0"/>
              <w:spacing w:before="120"/>
              <w:jc w:val="center"/>
              <w:rPr>
                <w:rFonts w:ascii="Arial" w:hAnsi="Arial" w:cs="Arial"/>
                <w:sz w:val="18"/>
                <w:szCs w:val="18"/>
                <w:lang w:val="es-ES_tradnl"/>
              </w:rPr>
            </w:pPr>
            <w:r w:rsidRPr="000F7971">
              <w:rPr>
                <w:rFonts w:ascii="Arial" w:hAnsi="Arial" w:cs="Arial"/>
                <w:sz w:val="18"/>
                <w:szCs w:val="18"/>
                <w:lang w:val="es-ES_tradnl"/>
              </w:rPr>
              <w:t>S</w:t>
            </w:r>
            <w:r w:rsidR="00B30402">
              <w:rPr>
                <w:rFonts w:ascii="Arial" w:hAnsi="Arial" w:cs="Arial"/>
                <w:sz w:val="18"/>
                <w:szCs w:val="18"/>
                <w:lang w:val="es-ES_tradnl"/>
              </w:rPr>
              <w:t>I</w:t>
            </w:r>
            <w:r w:rsidRPr="000F7971">
              <w:rPr>
                <w:rFonts w:ascii="Arial" w:hAnsi="Arial" w:cs="Arial"/>
                <w:sz w:val="18"/>
                <w:szCs w:val="18"/>
                <w:lang w:val="es-ES_tradnl"/>
              </w:rPr>
              <w:t>B</w:t>
            </w:r>
          </w:p>
        </w:tc>
      </w:tr>
      <w:tr w:rsidR="00442CF7" w:rsidRPr="00675B55" w14:paraId="1A1C9008" w14:textId="77777777" w:rsidTr="004865D7">
        <w:trPr>
          <w:trHeight w:val="1400"/>
        </w:trPr>
        <w:tc>
          <w:tcPr>
            <w:tcW w:w="2332" w:type="pct"/>
            <w:tcBorders>
              <w:bottom w:val="single" w:sz="4" w:space="0" w:color="auto"/>
            </w:tcBorders>
          </w:tcPr>
          <w:p w14:paraId="764B2D2B" w14:textId="03440BCD" w:rsidR="00442CF7" w:rsidRPr="000F7971" w:rsidRDefault="00442CF7" w:rsidP="00442CF7">
            <w:pPr>
              <w:pStyle w:val="ListParagraph"/>
              <w:keepNext/>
              <w:numPr>
                <w:ilvl w:val="0"/>
                <w:numId w:val="24"/>
              </w:numPr>
              <w:spacing w:before="120" w:after="0"/>
              <w:ind w:left="540"/>
              <w:jc w:val="both"/>
              <w:rPr>
                <w:rFonts w:ascii="Arial" w:hAnsi="Arial" w:cs="Arial"/>
                <w:sz w:val="18"/>
                <w:szCs w:val="18"/>
                <w:lang w:val="es-ES_tradnl"/>
              </w:rPr>
            </w:pPr>
            <w:r w:rsidRPr="000F7971">
              <w:rPr>
                <w:rFonts w:ascii="Arial" w:hAnsi="Arial" w:cs="Arial"/>
                <w:sz w:val="18"/>
                <w:szCs w:val="18"/>
                <w:lang w:val="es-ES_tradnl"/>
              </w:rPr>
              <w:t xml:space="preserve">Fortalecer el sistema de prevención de lavado de activos en Guatemala, observando las recomendaciones del GAFI </w:t>
            </w:r>
            <w:r>
              <w:rPr>
                <w:rFonts w:ascii="Arial" w:hAnsi="Arial" w:cs="Arial"/>
                <w:sz w:val="18"/>
                <w:szCs w:val="18"/>
                <w:lang w:val="es-ES_tradnl"/>
              </w:rPr>
              <w:t xml:space="preserve">del 2010 </w:t>
            </w:r>
            <w:r w:rsidRPr="000F7971">
              <w:rPr>
                <w:rFonts w:ascii="Arial" w:hAnsi="Arial" w:cs="Arial"/>
                <w:sz w:val="18"/>
                <w:szCs w:val="18"/>
                <w:lang w:val="es-ES_tradnl"/>
              </w:rPr>
              <w:t>(Grupo de Acción Financiera, o FATF por sus siglas en inglés) y su metodología de evaluación</w:t>
            </w:r>
            <w:r>
              <w:rPr>
                <w:rFonts w:ascii="Arial" w:hAnsi="Arial" w:cs="Arial"/>
                <w:sz w:val="18"/>
                <w:szCs w:val="18"/>
                <w:lang w:val="es-ES_tradnl"/>
              </w:rPr>
              <w:t>, mediante un Plan Estratégico Nacional alineado a estos Estándares.</w:t>
            </w:r>
          </w:p>
        </w:tc>
        <w:tc>
          <w:tcPr>
            <w:tcW w:w="2019" w:type="pct"/>
            <w:tcBorders>
              <w:bottom w:val="single" w:sz="4" w:space="0" w:color="auto"/>
            </w:tcBorders>
          </w:tcPr>
          <w:p w14:paraId="3D10D158" w14:textId="076C84EC" w:rsidR="00442CF7" w:rsidRPr="000F7971" w:rsidRDefault="00442CF7" w:rsidP="00442CF7">
            <w:pPr>
              <w:pStyle w:val="MyBullet"/>
              <w:keepNext/>
              <w:suppressAutoHyphens w:val="0"/>
              <w:autoSpaceDE w:val="0"/>
              <w:autoSpaceDN w:val="0"/>
              <w:adjustRightInd w:val="0"/>
              <w:spacing w:before="120"/>
              <w:jc w:val="both"/>
              <w:rPr>
                <w:rFonts w:ascii="Arial" w:hAnsi="Arial" w:cs="Arial"/>
                <w:sz w:val="18"/>
                <w:szCs w:val="18"/>
                <w:lang w:val="es-ES"/>
              </w:rPr>
            </w:pPr>
            <w:r w:rsidRPr="000F7971">
              <w:rPr>
                <w:rFonts w:ascii="Arial" w:hAnsi="Arial" w:cs="Arial"/>
                <w:sz w:val="18"/>
                <w:szCs w:val="18"/>
                <w:lang w:val="es-ES_tradnl"/>
              </w:rPr>
              <w:t>Acta Notarial de la COPRECLAFT (Comisión Presidencial de Coordinación de los Esfuerzos Contra el Lavado de Dinero u Otros Activos, el Financiamiento del Terrorismo y el Financiamiento de la Proliferación de Armas de Destrucción Masiva en Guatemala) adopta un Plan Estratégico Nacional observando las recomendaciones. del GAFI del 2010.</w:t>
            </w:r>
          </w:p>
        </w:tc>
        <w:tc>
          <w:tcPr>
            <w:tcW w:w="649" w:type="pct"/>
            <w:tcBorders>
              <w:bottom w:val="single" w:sz="4" w:space="0" w:color="auto"/>
            </w:tcBorders>
          </w:tcPr>
          <w:p w14:paraId="493BE713" w14:textId="32190CC1" w:rsidR="00442CF7" w:rsidRPr="000F7971" w:rsidRDefault="00442CF7" w:rsidP="004865D7">
            <w:pPr>
              <w:pStyle w:val="MyBullet"/>
              <w:keepNext/>
              <w:suppressAutoHyphens w:val="0"/>
              <w:autoSpaceDE w:val="0"/>
              <w:autoSpaceDN w:val="0"/>
              <w:adjustRightInd w:val="0"/>
              <w:spacing w:before="120"/>
              <w:jc w:val="center"/>
              <w:rPr>
                <w:rFonts w:ascii="Arial" w:hAnsi="Arial" w:cs="Arial"/>
                <w:sz w:val="18"/>
                <w:szCs w:val="18"/>
                <w:lang w:val="es-ES_tradnl"/>
              </w:rPr>
            </w:pPr>
            <w:r w:rsidRPr="000F7971">
              <w:rPr>
                <w:rFonts w:ascii="Arial" w:hAnsi="Arial" w:cs="Arial"/>
                <w:sz w:val="18"/>
                <w:szCs w:val="18"/>
                <w:lang w:val="es-ES_tradnl"/>
              </w:rPr>
              <w:t>S</w:t>
            </w:r>
            <w:r w:rsidR="00B30402">
              <w:rPr>
                <w:rFonts w:ascii="Arial" w:hAnsi="Arial" w:cs="Arial"/>
                <w:sz w:val="18"/>
                <w:szCs w:val="18"/>
                <w:lang w:val="es-ES_tradnl"/>
              </w:rPr>
              <w:t>I</w:t>
            </w:r>
            <w:r w:rsidRPr="000F7971">
              <w:rPr>
                <w:rFonts w:ascii="Arial" w:hAnsi="Arial" w:cs="Arial"/>
                <w:sz w:val="18"/>
                <w:szCs w:val="18"/>
                <w:lang w:val="es-ES_tradnl"/>
              </w:rPr>
              <w:t>B</w:t>
            </w:r>
          </w:p>
        </w:tc>
      </w:tr>
      <w:tr w:rsidR="00442CF7" w:rsidRPr="00675B55" w14:paraId="1EEE944B" w14:textId="77777777" w:rsidTr="004865D7">
        <w:trPr>
          <w:trHeight w:val="1436"/>
        </w:trPr>
        <w:tc>
          <w:tcPr>
            <w:tcW w:w="2332" w:type="pct"/>
            <w:tcBorders>
              <w:bottom w:val="single" w:sz="4" w:space="0" w:color="auto"/>
            </w:tcBorders>
          </w:tcPr>
          <w:p w14:paraId="54CE4B5C" w14:textId="77777777" w:rsidR="00442CF7" w:rsidRPr="000F7971" w:rsidRDefault="00442CF7" w:rsidP="00442CF7">
            <w:pPr>
              <w:pStyle w:val="ListParagraph"/>
              <w:numPr>
                <w:ilvl w:val="0"/>
                <w:numId w:val="24"/>
              </w:numPr>
              <w:spacing w:before="120" w:after="0"/>
              <w:ind w:left="540"/>
              <w:jc w:val="both"/>
              <w:rPr>
                <w:rFonts w:ascii="Arial" w:hAnsi="Arial" w:cs="Arial"/>
                <w:sz w:val="18"/>
                <w:szCs w:val="18"/>
                <w:lang w:val="es-ES_tradnl"/>
              </w:rPr>
            </w:pPr>
            <w:r w:rsidRPr="000F7971">
              <w:rPr>
                <w:rFonts w:ascii="Arial" w:hAnsi="Arial" w:cs="Arial"/>
                <w:sz w:val="18"/>
                <w:szCs w:val="18"/>
                <w:lang w:val="es-ES_tradnl"/>
              </w:rPr>
              <w:t>Mejorar el intercambio de información entre las entidades miembros e invitadas de la COPRECLAFT con responsabilidad en la prevención de lavado de activos y de administración tributaria, mediante la adopción de un acuerdo marco de coordinación interinstitucional e intercambio de información entre los mismos, incluyendo la SAT.</w:t>
            </w:r>
          </w:p>
        </w:tc>
        <w:tc>
          <w:tcPr>
            <w:tcW w:w="2019" w:type="pct"/>
            <w:tcBorders>
              <w:bottom w:val="single" w:sz="4" w:space="0" w:color="auto"/>
            </w:tcBorders>
          </w:tcPr>
          <w:p w14:paraId="092DFB11" w14:textId="77777777" w:rsidR="00442CF7" w:rsidRPr="000F7971" w:rsidRDefault="00442CF7" w:rsidP="00442CF7">
            <w:pPr>
              <w:pStyle w:val="MyBullet"/>
              <w:suppressAutoHyphens w:val="0"/>
              <w:autoSpaceDE w:val="0"/>
              <w:autoSpaceDN w:val="0"/>
              <w:adjustRightInd w:val="0"/>
              <w:spacing w:before="120"/>
              <w:jc w:val="both"/>
              <w:rPr>
                <w:rFonts w:ascii="Arial" w:hAnsi="Arial" w:cs="Arial"/>
                <w:sz w:val="18"/>
                <w:szCs w:val="18"/>
                <w:lang w:val="es-ES"/>
              </w:rPr>
            </w:pPr>
            <w:r w:rsidRPr="000F7971">
              <w:rPr>
                <w:rFonts w:ascii="Arial" w:hAnsi="Arial" w:cs="Arial"/>
                <w:sz w:val="18"/>
                <w:szCs w:val="18"/>
                <w:lang w:val="es-ES_tradnl"/>
              </w:rPr>
              <w:t>Acta Notarial de la COPRECLAFT con la adopción de un acuerdo marco de coordinación interinstitucional e intercambio de información entre los mismos, incluyendo la SAT.</w:t>
            </w:r>
          </w:p>
        </w:tc>
        <w:tc>
          <w:tcPr>
            <w:tcW w:w="649" w:type="pct"/>
            <w:tcBorders>
              <w:bottom w:val="single" w:sz="4" w:space="0" w:color="auto"/>
            </w:tcBorders>
          </w:tcPr>
          <w:p w14:paraId="44056B34" w14:textId="060B1DFC" w:rsidR="00442CF7" w:rsidRPr="000F7971" w:rsidRDefault="00442CF7" w:rsidP="004865D7">
            <w:pPr>
              <w:pStyle w:val="MyBullet"/>
              <w:suppressAutoHyphens w:val="0"/>
              <w:autoSpaceDE w:val="0"/>
              <w:autoSpaceDN w:val="0"/>
              <w:adjustRightInd w:val="0"/>
              <w:spacing w:before="120"/>
              <w:jc w:val="center"/>
              <w:rPr>
                <w:rFonts w:ascii="Arial" w:hAnsi="Arial" w:cs="Arial"/>
                <w:sz w:val="18"/>
                <w:szCs w:val="18"/>
                <w:lang w:val="es-ES_tradnl"/>
              </w:rPr>
            </w:pPr>
            <w:r w:rsidRPr="000F7971">
              <w:rPr>
                <w:rFonts w:ascii="Arial" w:hAnsi="Arial" w:cs="Arial"/>
                <w:sz w:val="18"/>
                <w:szCs w:val="18"/>
                <w:lang w:val="es-ES_tradnl"/>
              </w:rPr>
              <w:t>S</w:t>
            </w:r>
            <w:r w:rsidR="00B30402">
              <w:rPr>
                <w:rFonts w:ascii="Arial" w:hAnsi="Arial" w:cs="Arial"/>
                <w:sz w:val="18"/>
                <w:szCs w:val="18"/>
                <w:lang w:val="es-ES_tradnl"/>
              </w:rPr>
              <w:t>I</w:t>
            </w:r>
            <w:r w:rsidRPr="000F7971">
              <w:rPr>
                <w:rFonts w:ascii="Arial" w:hAnsi="Arial" w:cs="Arial"/>
                <w:sz w:val="18"/>
                <w:szCs w:val="18"/>
                <w:lang w:val="es-ES_tradnl"/>
              </w:rPr>
              <w:t>B</w:t>
            </w:r>
          </w:p>
        </w:tc>
      </w:tr>
      <w:tr w:rsidR="00442CF7" w:rsidRPr="00675B55" w14:paraId="6DC803E9" w14:textId="77777777" w:rsidTr="004865D7">
        <w:trPr>
          <w:trHeight w:val="1436"/>
        </w:trPr>
        <w:tc>
          <w:tcPr>
            <w:tcW w:w="2332" w:type="pct"/>
            <w:tcBorders>
              <w:bottom w:val="single" w:sz="4" w:space="0" w:color="auto"/>
            </w:tcBorders>
          </w:tcPr>
          <w:p w14:paraId="41BBB206" w14:textId="6934188A" w:rsidR="00442CF7" w:rsidRPr="000F7971" w:rsidRDefault="00442CF7" w:rsidP="00442CF7">
            <w:pPr>
              <w:pStyle w:val="ListParagraph"/>
              <w:numPr>
                <w:ilvl w:val="0"/>
                <w:numId w:val="24"/>
              </w:numPr>
              <w:spacing w:before="120" w:after="0"/>
              <w:ind w:left="540"/>
              <w:jc w:val="both"/>
              <w:rPr>
                <w:rFonts w:ascii="Arial" w:hAnsi="Arial" w:cs="Arial"/>
                <w:sz w:val="18"/>
                <w:szCs w:val="18"/>
                <w:lang w:val="es-ES_tradnl"/>
              </w:rPr>
            </w:pPr>
            <w:r w:rsidRPr="000F7971">
              <w:rPr>
                <w:rFonts w:ascii="Arial" w:hAnsi="Arial" w:cs="Arial"/>
                <w:sz w:val="18"/>
                <w:szCs w:val="18"/>
                <w:lang w:val="es-ES_tradnl"/>
              </w:rPr>
              <w:t>Fortalec</w:t>
            </w:r>
            <w:r>
              <w:rPr>
                <w:rFonts w:ascii="Arial" w:hAnsi="Arial" w:cs="Arial"/>
                <w:sz w:val="18"/>
                <w:szCs w:val="18"/>
                <w:lang w:val="es-ES_tradnl"/>
              </w:rPr>
              <w:t>er</w:t>
            </w:r>
            <w:r w:rsidRPr="000F7971">
              <w:rPr>
                <w:rFonts w:ascii="Arial" w:hAnsi="Arial" w:cs="Arial"/>
                <w:sz w:val="18"/>
                <w:szCs w:val="18"/>
                <w:lang w:val="es-ES_tradnl"/>
              </w:rPr>
              <w:t xml:space="preserve"> la normativa de prevención de lavado de activos, mediante la preparación de un proyecto de ley para fortalecer el sistema de prevención y represión del lavado de activos y financiamiento del terrorismo y la proliferación de armas de destrucción masiva, que incluye reformas a las principales leyes asociadas con la materia.</w:t>
            </w:r>
          </w:p>
        </w:tc>
        <w:tc>
          <w:tcPr>
            <w:tcW w:w="2019" w:type="pct"/>
            <w:tcBorders>
              <w:bottom w:val="single" w:sz="4" w:space="0" w:color="auto"/>
            </w:tcBorders>
          </w:tcPr>
          <w:p w14:paraId="58A97389" w14:textId="77777777" w:rsidR="00442CF7" w:rsidRPr="000F7971" w:rsidRDefault="00442CF7" w:rsidP="00442CF7">
            <w:pPr>
              <w:pStyle w:val="MyBullet"/>
              <w:suppressAutoHyphens w:val="0"/>
              <w:autoSpaceDE w:val="0"/>
              <w:autoSpaceDN w:val="0"/>
              <w:adjustRightInd w:val="0"/>
              <w:spacing w:before="120"/>
              <w:jc w:val="both"/>
              <w:rPr>
                <w:rFonts w:ascii="Arial" w:hAnsi="Arial" w:cs="Arial"/>
                <w:sz w:val="18"/>
                <w:szCs w:val="18"/>
                <w:lang w:val="es-AR"/>
              </w:rPr>
            </w:pPr>
            <w:r w:rsidRPr="000F7971">
              <w:rPr>
                <w:rFonts w:ascii="Arial" w:hAnsi="Arial" w:cs="Arial"/>
                <w:sz w:val="18"/>
                <w:szCs w:val="18"/>
                <w:lang w:val="es-ES_tradnl"/>
              </w:rPr>
              <w:t>Envío de un Oficio de la Intendencia de Verificación Especial (IVE) al Superintendente de Bancos, con el Proyecto de Ley de Actualización y Fortalecimiento del Marco Legal para la Prevención, Control y Represión de la Delincuencia Financiera.</w:t>
            </w:r>
          </w:p>
        </w:tc>
        <w:tc>
          <w:tcPr>
            <w:tcW w:w="649" w:type="pct"/>
            <w:tcBorders>
              <w:bottom w:val="single" w:sz="4" w:space="0" w:color="auto"/>
            </w:tcBorders>
          </w:tcPr>
          <w:p w14:paraId="77C22310" w14:textId="738A062A" w:rsidR="00442CF7" w:rsidRPr="000F7971" w:rsidRDefault="00442CF7" w:rsidP="004865D7">
            <w:pPr>
              <w:pStyle w:val="MyBullet"/>
              <w:suppressAutoHyphens w:val="0"/>
              <w:autoSpaceDE w:val="0"/>
              <w:autoSpaceDN w:val="0"/>
              <w:adjustRightInd w:val="0"/>
              <w:spacing w:before="120"/>
              <w:jc w:val="center"/>
              <w:rPr>
                <w:rFonts w:ascii="Arial" w:hAnsi="Arial" w:cs="Arial"/>
                <w:sz w:val="18"/>
                <w:szCs w:val="18"/>
                <w:lang w:val="es-ES_tradnl"/>
              </w:rPr>
            </w:pPr>
            <w:r w:rsidRPr="000F7971">
              <w:rPr>
                <w:rFonts w:ascii="Arial" w:hAnsi="Arial" w:cs="Arial"/>
                <w:sz w:val="18"/>
                <w:szCs w:val="18"/>
                <w:lang w:val="es-ES_tradnl"/>
              </w:rPr>
              <w:t>S</w:t>
            </w:r>
            <w:r w:rsidR="00B30402">
              <w:rPr>
                <w:rFonts w:ascii="Arial" w:hAnsi="Arial" w:cs="Arial"/>
                <w:sz w:val="18"/>
                <w:szCs w:val="18"/>
                <w:lang w:val="es-ES_tradnl"/>
              </w:rPr>
              <w:t>I</w:t>
            </w:r>
            <w:r w:rsidRPr="000F7971">
              <w:rPr>
                <w:rFonts w:ascii="Arial" w:hAnsi="Arial" w:cs="Arial"/>
                <w:sz w:val="18"/>
                <w:szCs w:val="18"/>
                <w:lang w:val="es-ES_tradnl"/>
              </w:rPr>
              <w:t>B</w:t>
            </w:r>
          </w:p>
        </w:tc>
      </w:tr>
      <w:tr w:rsidR="00442CF7" w:rsidRPr="00675B55" w14:paraId="08AD303F" w14:textId="77777777" w:rsidTr="00442CF7">
        <w:trPr>
          <w:trHeight w:val="440"/>
        </w:trPr>
        <w:tc>
          <w:tcPr>
            <w:tcW w:w="2332" w:type="pct"/>
            <w:tcBorders>
              <w:bottom w:val="single" w:sz="4" w:space="0" w:color="auto"/>
            </w:tcBorders>
            <w:shd w:val="clear" w:color="auto" w:fill="CCC0D9" w:themeFill="accent4" w:themeFillTint="66"/>
            <w:vAlign w:val="center"/>
          </w:tcPr>
          <w:p w14:paraId="2D4AFF73" w14:textId="0E9E58ED" w:rsidR="00442CF7" w:rsidRPr="000F7971" w:rsidRDefault="00442CF7" w:rsidP="00442CF7">
            <w:pPr>
              <w:keepNext/>
              <w:autoSpaceDE w:val="0"/>
              <w:autoSpaceDN w:val="0"/>
              <w:adjustRightInd w:val="0"/>
              <w:spacing w:beforeLines="40" w:before="96" w:afterLines="40" w:after="96"/>
              <w:jc w:val="center"/>
              <w:rPr>
                <w:rFonts w:ascii="Arial" w:hAnsi="Arial" w:cs="Arial"/>
                <w:b/>
                <w:bCs/>
                <w:sz w:val="20"/>
                <w:szCs w:val="18"/>
                <w:lang w:val="es-ES_tradnl"/>
              </w:rPr>
            </w:pPr>
            <w:r w:rsidRPr="000F7971">
              <w:rPr>
                <w:rFonts w:ascii="Arial" w:hAnsi="Arial" w:cs="Arial"/>
                <w:b/>
                <w:bCs/>
                <w:color w:val="000000"/>
                <w:sz w:val="20"/>
                <w:szCs w:val="18"/>
                <w:lang w:val="es-DO" w:eastAsia="es-DO"/>
              </w:rPr>
              <w:lastRenderedPageBreak/>
              <w:t>Compromisos de Política Segundo Tramo</w:t>
            </w:r>
          </w:p>
        </w:tc>
        <w:tc>
          <w:tcPr>
            <w:tcW w:w="2019" w:type="pct"/>
            <w:tcBorders>
              <w:bottom w:val="single" w:sz="4" w:space="0" w:color="auto"/>
            </w:tcBorders>
            <w:shd w:val="clear" w:color="auto" w:fill="CCC0D9" w:themeFill="accent4" w:themeFillTint="66"/>
            <w:vAlign w:val="center"/>
          </w:tcPr>
          <w:p w14:paraId="3136B7B8" w14:textId="77777777" w:rsidR="00442CF7" w:rsidRPr="000F7971" w:rsidRDefault="00442CF7" w:rsidP="00442CF7">
            <w:pPr>
              <w:keepNext/>
              <w:autoSpaceDE w:val="0"/>
              <w:autoSpaceDN w:val="0"/>
              <w:adjustRightInd w:val="0"/>
              <w:spacing w:beforeLines="40" w:before="96" w:afterLines="40" w:after="96"/>
              <w:jc w:val="center"/>
              <w:rPr>
                <w:rFonts w:ascii="Arial" w:hAnsi="Arial" w:cs="Arial"/>
                <w:b/>
                <w:bCs/>
                <w:sz w:val="20"/>
                <w:szCs w:val="18"/>
                <w:lang w:val="es-ES_tradnl"/>
              </w:rPr>
            </w:pPr>
            <w:r w:rsidRPr="000F7971">
              <w:rPr>
                <w:rFonts w:ascii="Arial" w:hAnsi="Arial" w:cs="Arial"/>
                <w:b/>
                <w:bCs/>
                <w:sz w:val="20"/>
                <w:szCs w:val="18"/>
                <w:lang w:val="es-ES_tradnl"/>
              </w:rPr>
              <w:t>Medios de verificación</w:t>
            </w:r>
          </w:p>
        </w:tc>
        <w:tc>
          <w:tcPr>
            <w:tcW w:w="649" w:type="pct"/>
            <w:tcBorders>
              <w:bottom w:val="single" w:sz="4" w:space="0" w:color="auto"/>
            </w:tcBorders>
            <w:shd w:val="clear" w:color="auto" w:fill="CCC0D9" w:themeFill="accent4" w:themeFillTint="66"/>
          </w:tcPr>
          <w:p w14:paraId="1B32D8A0" w14:textId="77777777" w:rsidR="00442CF7" w:rsidRPr="000F7971" w:rsidRDefault="00442CF7" w:rsidP="00442CF7">
            <w:pPr>
              <w:keepNext/>
              <w:autoSpaceDE w:val="0"/>
              <w:autoSpaceDN w:val="0"/>
              <w:adjustRightInd w:val="0"/>
              <w:spacing w:beforeLines="40" w:before="96" w:afterLines="40" w:after="96"/>
              <w:jc w:val="center"/>
              <w:rPr>
                <w:rFonts w:ascii="Arial" w:hAnsi="Arial" w:cs="Arial"/>
                <w:b/>
                <w:bCs/>
                <w:sz w:val="20"/>
                <w:szCs w:val="18"/>
                <w:lang w:val="es-ES_tradnl"/>
              </w:rPr>
            </w:pPr>
            <w:r w:rsidRPr="000F7971">
              <w:rPr>
                <w:rFonts w:ascii="Arial" w:hAnsi="Arial" w:cs="Arial"/>
                <w:b/>
                <w:bCs/>
                <w:sz w:val="20"/>
                <w:szCs w:val="18"/>
                <w:lang w:val="es-ES_tradnl"/>
              </w:rPr>
              <w:t>Entidad Responsable</w:t>
            </w:r>
          </w:p>
        </w:tc>
      </w:tr>
      <w:tr w:rsidR="00BB66C9" w:rsidRPr="00E83DCD" w14:paraId="5131C47A" w14:textId="77777777" w:rsidTr="00BB66C9">
        <w:trPr>
          <w:trHeight w:val="4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7E8143" w14:textId="652A91DB" w:rsidR="00BB66C9" w:rsidRPr="000F7971" w:rsidRDefault="00BB66C9" w:rsidP="00442CF7">
            <w:pPr>
              <w:pStyle w:val="MyBullet"/>
              <w:keepNext/>
              <w:suppressAutoHyphens w:val="0"/>
              <w:autoSpaceDE w:val="0"/>
              <w:autoSpaceDN w:val="0"/>
              <w:adjustRightInd w:val="0"/>
              <w:rPr>
                <w:rFonts w:ascii="Arial" w:hAnsi="Arial" w:cs="Arial"/>
                <w:b/>
                <w:sz w:val="18"/>
                <w:szCs w:val="18"/>
                <w:u w:val="single"/>
                <w:lang w:val="es-ES_tradnl"/>
              </w:rPr>
            </w:pPr>
            <w:r w:rsidRPr="000F7971">
              <w:rPr>
                <w:rFonts w:ascii="Arial" w:hAnsi="Arial" w:cs="Arial"/>
                <w:b/>
                <w:sz w:val="18"/>
                <w:szCs w:val="18"/>
                <w:u w:val="single"/>
                <w:lang w:val="es-ES_tradnl"/>
              </w:rPr>
              <w:t>Componente I. Estabilidad Macroeconómica</w:t>
            </w:r>
          </w:p>
        </w:tc>
      </w:tr>
      <w:tr w:rsidR="00442CF7" w:rsidRPr="00E83DCD" w14:paraId="1F146B5C" w14:textId="77777777" w:rsidTr="00442CF7">
        <w:trPr>
          <w:trHeight w:val="770"/>
        </w:trPr>
        <w:tc>
          <w:tcPr>
            <w:tcW w:w="2332" w:type="pct"/>
            <w:tcBorders>
              <w:top w:val="single" w:sz="4" w:space="0" w:color="auto"/>
              <w:left w:val="single" w:sz="4" w:space="0" w:color="auto"/>
              <w:bottom w:val="single" w:sz="4" w:space="0" w:color="auto"/>
              <w:right w:val="single" w:sz="4" w:space="0" w:color="auto"/>
            </w:tcBorders>
            <w:shd w:val="clear" w:color="auto" w:fill="auto"/>
          </w:tcPr>
          <w:p w14:paraId="7D4B4DB0" w14:textId="77777777" w:rsidR="00442CF7" w:rsidRPr="000F7971" w:rsidRDefault="00442CF7" w:rsidP="00442CF7">
            <w:pPr>
              <w:pStyle w:val="ListParagraph"/>
              <w:numPr>
                <w:ilvl w:val="0"/>
                <w:numId w:val="28"/>
              </w:numPr>
              <w:autoSpaceDE w:val="0"/>
              <w:autoSpaceDN w:val="0"/>
              <w:adjustRightInd w:val="0"/>
              <w:spacing w:before="120"/>
              <w:jc w:val="both"/>
              <w:rPr>
                <w:rFonts w:ascii="Arial" w:hAnsi="Arial" w:cs="Arial"/>
                <w:color w:val="000000"/>
                <w:sz w:val="18"/>
                <w:szCs w:val="18"/>
                <w:lang w:val="es-AR"/>
              </w:rPr>
            </w:pPr>
            <w:r w:rsidRPr="000F7971">
              <w:rPr>
                <w:rFonts w:ascii="Arial" w:hAnsi="Arial" w:cs="Arial"/>
                <w:color w:val="000000"/>
                <w:sz w:val="18"/>
                <w:szCs w:val="18"/>
                <w:lang w:val="es-AR"/>
              </w:rPr>
              <w:t xml:space="preserve">Asegurar un contexto macroeconómico congruente con los objetivos del programa según establecido en la Matriz de Políticas. </w:t>
            </w:r>
          </w:p>
        </w:tc>
        <w:tc>
          <w:tcPr>
            <w:tcW w:w="2019" w:type="pct"/>
            <w:tcBorders>
              <w:top w:val="single" w:sz="4" w:space="0" w:color="auto"/>
              <w:left w:val="single" w:sz="4" w:space="0" w:color="auto"/>
              <w:bottom w:val="single" w:sz="4" w:space="0" w:color="auto"/>
              <w:right w:val="single" w:sz="4" w:space="0" w:color="auto"/>
            </w:tcBorders>
            <w:shd w:val="clear" w:color="auto" w:fill="auto"/>
          </w:tcPr>
          <w:p w14:paraId="4CF0632E" w14:textId="77777777" w:rsidR="00442CF7" w:rsidRPr="000F7971" w:rsidRDefault="00442CF7" w:rsidP="00442CF7">
            <w:pPr>
              <w:pStyle w:val="MyBullet"/>
              <w:suppressAutoHyphens w:val="0"/>
              <w:autoSpaceDE w:val="0"/>
              <w:autoSpaceDN w:val="0"/>
              <w:adjustRightInd w:val="0"/>
              <w:spacing w:before="120"/>
              <w:jc w:val="both"/>
              <w:rPr>
                <w:rFonts w:ascii="Arial" w:hAnsi="Arial" w:cs="Arial"/>
                <w:b/>
                <w:bCs/>
                <w:sz w:val="18"/>
                <w:szCs w:val="18"/>
                <w:lang w:val="es-AR"/>
              </w:rPr>
            </w:pPr>
            <w:r w:rsidRPr="000F7971">
              <w:rPr>
                <w:rFonts w:ascii="Arial" w:hAnsi="Arial" w:cs="Arial"/>
                <w:color w:val="000000"/>
                <w:sz w:val="18"/>
                <w:szCs w:val="18"/>
                <w:lang w:val="es-ES"/>
              </w:rPr>
              <w:t>Evaluación Independiente de Condiciones Macroeconómicas -IAMC- elaborada por el Banco y vigente al momento del desembolso.</w:t>
            </w:r>
            <w:r w:rsidRPr="000F7971">
              <w:rPr>
                <w:rFonts w:ascii="Arial" w:hAnsi="Arial" w:cs="Arial"/>
                <w:sz w:val="18"/>
                <w:szCs w:val="18"/>
                <w:lang w:val="es-AR"/>
              </w:rPr>
              <w:t xml:space="preserve"> </w:t>
            </w:r>
          </w:p>
        </w:tc>
        <w:tc>
          <w:tcPr>
            <w:tcW w:w="649" w:type="pct"/>
            <w:tcBorders>
              <w:top w:val="single" w:sz="4" w:space="0" w:color="auto"/>
              <w:left w:val="single" w:sz="4" w:space="0" w:color="auto"/>
              <w:bottom w:val="single" w:sz="4" w:space="0" w:color="auto"/>
              <w:right w:val="single" w:sz="4" w:space="0" w:color="auto"/>
            </w:tcBorders>
          </w:tcPr>
          <w:p w14:paraId="3D19BA7F" w14:textId="77777777" w:rsidR="00442CF7" w:rsidRPr="000F7971" w:rsidRDefault="00442CF7" w:rsidP="000F00B4">
            <w:pPr>
              <w:pStyle w:val="MyBullet"/>
              <w:suppressAutoHyphens w:val="0"/>
              <w:autoSpaceDE w:val="0"/>
              <w:autoSpaceDN w:val="0"/>
              <w:adjustRightInd w:val="0"/>
              <w:jc w:val="both"/>
              <w:rPr>
                <w:rFonts w:ascii="Arial" w:hAnsi="Arial" w:cs="Arial"/>
                <w:color w:val="000000"/>
                <w:sz w:val="18"/>
                <w:szCs w:val="18"/>
                <w:lang w:val="es-ES"/>
              </w:rPr>
            </w:pPr>
          </w:p>
        </w:tc>
      </w:tr>
      <w:tr w:rsidR="00BB66C9" w:rsidRPr="00675B55" w14:paraId="3FF4C82A" w14:textId="77777777" w:rsidTr="00BB66C9">
        <w:trPr>
          <w:trHeight w:val="512"/>
        </w:trPr>
        <w:tc>
          <w:tcPr>
            <w:tcW w:w="5000" w:type="pct"/>
            <w:gridSpan w:val="3"/>
            <w:shd w:val="clear" w:color="auto" w:fill="D9D9D9" w:themeFill="background1" w:themeFillShade="D9"/>
            <w:vAlign w:val="center"/>
          </w:tcPr>
          <w:p w14:paraId="36679CBD" w14:textId="4A7A91AA" w:rsidR="00BB66C9" w:rsidRPr="000F7971" w:rsidRDefault="00BB66C9" w:rsidP="00550596">
            <w:pPr>
              <w:pStyle w:val="MyBullet"/>
              <w:suppressAutoHyphens w:val="0"/>
              <w:autoSpaceDE w:val="0"/>
              <w:autoSpaceDN w:val="0"/>
              <w:adjustRightInd w:val="0"/>
              <w:rPr>
                <w:rFonts w:ascii="Arial" w:hAnsi="Arial" w:cs="Arial"/>
                <w:b/>
                <w:sz w:val="18"/>
                <w:szCs w:val="18"/>
                <w:u w:val="single"/>
                <w:lang w:val="es-ES_tradnl"/>
              </w:rPr>
            </w:pPr>
            <w:r w:rsidRPr="000F7971">
              <w:rPr>
                <w:rFonts w:ascii="Arial" w:hAnsi="Arial" w:cs="Arial"/>
                <w:b/>
                <w:sz w:val="18"/>
                <w:szCs w:val="18"/>
                <w:u w:val="single"/>
                <w:lang w:val="es-ES_tradnl"/>
              </w:rPr>
              <w:t>Componente II. Mejora de la eficiencia y efectividad de la SAT</w:t>
            </w:r>
          </w:p>
        </w:tc>
      </w:tr>
      <w:tr w:rsidR="00442CF7" w:rsidRPr="00675B55" w14:paraId="055D28C3" w14:textId="77777777" w:rsidTr="004865D7">
        <w:trPr>
          <w:trHeight w:val="635"/>
        </w:trPr>
        <w:tc>
          <w:tcPr>
            <w:tcW w:w="2332" w:type="pct"/>
            <w:tcBorders>
              <w:bottom w:val="single" w:sz="4" w:space="0" w:color="auto"/>
            </w:tcBorders>
          </w:tcPr>
          <w:p w14:paraId="2CAFD45E" w14:textId="77777777" w:rsidR="00442CF7" w:rsidRPr="000F7971" w:rsidRDefault="00442CF7" w:rsidP="00442CF7">
            <w:pPr>
              <w:pStyle w:val="ListParagraph"/>
              <w:numPr>
                <w:ilvl w:val="0"/>
                <w:numId w:val="23"/>
              </w:numPr>
              <w:spacing w:before="120" w:after="0"/>
              <w:ind w:left="540"/>
              <w:jc w:val="both"/>
              <w:rPr>
                <w:rFonts w:ascii="Arial" w:hAnsi="Arial" w:cs="Arial"/>
                <w:sz w:val="18"/>
                <w:szCs w:val="20"/>
                <w:lang w:val="es-ES_tradnl"/>
              </w:rPr>
            </w:pPr>
            <w:r w:rsidRPr="005A08A4">
              <w:rPr>
                <w:rFonts w:ascii="Arial" w:hAnsi="Arial" w:cs="Arial"/>
                <w:sz w:val="18"/>
                <w:szCs w:val="20"/>
                <w:lang w:val="es-ES"/>
              </w:rPr>
              <w:t>Nuevo modelo de gobernanza de la SAT y tribunal administrativo de primera instancia gubernativa establecidos</w:t>
            </w:r>
            <w:r w:rsidRPr="003A0946">
              <w:rPr>
                <w:rFonts w:ascii="Arial" w:hAnsi="Arial" w:cs="Arial"/>
                <w:sz w:val="18"/>
                <w:szCs w:val="20"/>
                <w:lang w:val="es-ES"/>
              </w:rPr>
              <w:t>, mediante la aprobación de una Ley para el fortalecimiento de la transparencia fiscal y la gobernanza de la SAT</w:t>
            </w:r>
            <w:r w:rsidRPr="005A08A4">
              <w:rPr>
                <w:rFonts w:ascii="Arial" w:hAnsi="Arial" w:cs="Arial"/>
                <w:sz w:val="18"/>
                <w:szCs w:val="20"/>
                <w:lang w:val="es-ES"/>
              </w:rPr>
              <w:t>.</w:t>
            </w:r>
          </w:p>
        </w:tc>
        <w:tc>
          <w:tcPr>
            <w:tcW w:w="2019" w:type="pct"/>
            <w:tcBorders>
              <w:bottom w:val="single" w:sz="4" w:space="0" w:color="auto"/>
            </w:tcBorders>
          </w:tcPr>
          <w:p w14:paraId="7072DD35" w14:textId="77777777" w:rsidR="00442CF7" w:rsidRPr="000F7971" w:rsidRDefault="00442CF7" w:rsidP="00442CF7">
            <w:pPr>
              <w:pStyle w:val="MyBullet"/>
              <w:suppressAutoHyphens w:val="0"/>
              <w:autoSpaceDE w:val="0"/>
              <w:autoSpaceDN w:val="0"/>
              <w:adjustRightInd w:val="0"/>
              <w:spacing w:before="120"/>
              <w:jc w:val="both"/>
              <w:rPr>
                <w:rFonts w:ascii="Arial" w:hAnsi="Arial" w:cs="Arial"/>
                <w:b/>
                <w:bCs/>
                <w:sz w:val="18"/>
                <w:szCs w:val="22"/>
                <w:lang w:val="es-ES_tradnl"/>
              </w:rPr>
            </w:pPr>
            <w:r w:rsidRPr="000F7971">
              <w:rPr>
                <w:rFonts w:ascii="Arial" w:hAnsi="Arial" w:cs="Arial"/>
                <w:sz w:val="18"/>
                <w:lang w:val="es-ES_tradnl"/>
              </w:rPr>
              <w:t>P</w:t>
            </w:r>
            <w:r w:rsidRPr="000F7971">
              <w:rPr>
                <w:rFonts w:ascii="Arial" w:hAnsi="Arial" w:cs="Arial"/>
                <w:sz w:val="18"/>
                <w:lang w:val="es-ES"/>
              </w:rPr>
              <w:t>ublicación del Decreto de aprobación de la Ley en el Diario de Centro América</w:t>
            </w:r>
            <w:r w:rsidRPr="000F7971">
              <w:rPr>
                <w:rFonts w:ascii="Arial" w:hAnsi="Arial" w:cs="Arial"/>
                <w:sz w:val="18"/>
                <w:lang w:val="es-ES_tradnl"/>
              </w:rPr>
              <w:t>.</w:t>
            </w:r>
          </w:p>
        </w:tc>
        <w:tc>
          <w:tcPr>
            <w:tcW w:w="649" w:type="pct"/>
            <w:tcBorders>
              <w:bottom w:val="single" w:sz="4" w:space="0" w:color="auto"/>
            </w:tcBorders>
          </w:tcPr>
          <w:p w14:paraId="019D29E7" w14:textId="77777777" w:rsidR="00442CF7" w:rsidRPr="000F7971" w:rsidRDefault="00442CF7" w:rsidP="004865D7">
            <w:pPr>
              <w:pStyle w:val="MyBullet"/>
              <w:suppressAutoHyphens w:val="0"/>
              <w:autoSpaceDE w:val="0"/>
              <w:autoSpaceDN w:val="0"/>
              <w:adjustRightInd w:val="0"/>
              <w:spacing w:before="120"/>
              <w:jc w:val="center"/>
              <w:rPr>
                <w:rFonts w:ascii="Arial" w:hAnsi="Arial" w:cs="Arial"/>
                <w:sz w:val="18"/>
                <w:lang w:val="es-ES_tradnl"/>
              </w:rPr>
            </w:pPr>
            <w:r w:rsidRPr="000F7971">
              <w:rPr>
                <w:rFonts w:ascii="Arial" w:hAnsi="Arial" w:cs="Arial"/>
                <w:sz w:val="18"/>
                <w:lang w:val="es-ES_tradnl"/>
              </w:rPr>
              <w:t>MINFIN</w:t>
            </w:r>
          </w:p>
        </w:tc>
      </w:tr>
      <w:tr w:rsidR="00442CF7" w:rsidRPr="00675B55" w14:paraId="3A117C1B" w14:textId="77777777" w:rsidTr="004865D7">
        <w:trPr>
          <w:trHeight w:val="878"/>
        </w:trPr>
        <w:tc>
          <w:tcPr>
            <w:tcW w:w="2332" w:type="pct"/>
          </w:tcPr>
          <w:p w14:paraId="5EF137AE" w14:textId="77777777" w:rsidR="00442CF7" w:rsidRPr="000F7971" w:rsidRDefault="00442CF7" w:rsidP="00442CF7">
            <w:pPr>
              <w:pStyle w:val="ListParagraph"/>
              <w:keepNext/>
              <w:numPr>
                <w:ilvl w:val="0"/>
                <w:numId w:val="23"/>
              </w:numPr>
              <w:spacing w:before="120" w:after="0"/>
              <w:ind w:left="540"/>
              <w:jc w:val="both"/>
              <w:rPr>
                <w:rFonts w:ascii="Arial" w:hAnsi="Arial" w:cs="Arial"/>
                <w:sz w:val="18"/>
                <w:szCs w:val="18"/>
                <w:lang w:val="es-ES_tradnl"/>
              </w:rPr>
            </w:pPr>
            <w:r w:rsidRPr="000F7971">
              <w:rPr>
                <w:rFonts w:ascii="Arial" w:hAnsi="Arial" w:cs="Arial"/>
                <w:sz w:val="18"/>
                <w:szCs w:val="18"/>
                <w:lang w:val="es-ES"/>
              </w:rPr>
              <w:t xml:space="preserve">Unidad de Asuntos Internos </w:t>
            </w:r>
            <w:r>
              <w:rPr>
                <w:rFonts w:ascii="Arial" w:hAnsi="Arial" w:cs="Arial"/>
                <w:sz w:val="18"/>
                <w:szCs w:val="18"/>
                <w:lang w:val="es-ES"/>
              </w:rPr>
              <w:t xml:space="preserve">de la SAT </w:t>
            </w:r>
            <w:r w:rsidRPr="000F7971">
              <w:rPr>
                <w:rFonts w:ascii="Arial" w:hAnsi="Arial" w:cs="Arial"/>
                <w:sz w:val="18"/>
                <w:szCs w:val="18"/>
                <w:lang w:val="es-ES"/>
              </w:rPr>
              <w:t>en operación, revisa y monitorea las Declaraciones de Probidad de los funcionarios de la SAT mediante la aplicación de un protocolo de auditoría integral del personal</w:t>
            </w:r>
            <w:r w:rsidRPr="000F7971">
              <w:rPr>
                <w:rFonts w:ascii="Arial" w:hAnsi="Arial" w:cs="Arial"/>
                <w:sz w:val="18"/>
                <w:szCs w:val="18"/>
                <w:lang w:val="es-ES_tradnl"/>
              </w:rPr>
              <w:t>.</w:t>
            </w:r>
          </w:p>
        </w:tc>
        <w:tc>
          <w:tcPr>
            <w:tcW w:w="2019" w:type="pct"/>
          </w:tcPr>
          <w:p w14:paraId="66F1F71C" w14:textId="77777777" w:rsidR="00442CF7" w:rsidRPr="000F7971" w:rsidRDefault="00442CF7" w:rsidP="00442CF7">
            <w:pPr>
              <w:pStyle w:val="MyBullet"/>
              <w:keepNext/>
              <w:suppressAutoHyphens w:val="0"/>
              <w:autoSpaceDE w:val="0"/>
              <w:autoSpaceDN w:val="0"/>
              <w:adjustRightInd w:val="0"/>
              <w:spacing w:before="120"/>
              <w:jc w:val="both"/>
              <w:rPr>
                <w:rFonts w:ascii="Arial" w:hAnsi="Arial" w:cs="Arial"/>
                <w:b/>
                <w:bCs/>
                <w:sz w:val="18"/>
                <w:szCs w:val="18"/>
                <w:lang w:val="es-AR"/>
              </w:rPr>
            </w:pPr>
            <w:r w:rsidRPr="000F7971">
              <w:rPr>
                <w:rFonts w:ascii="Arial" w:hAnsi="Arial" w:cs="Arial"/>
                <w:sz w:val="18"/>
                <w:szCs w:val="18"/>
                <w:lang w:val="es-ES"/>
              </w:rPr>
              <w:t>Informe de la SAT, donde conste el procedimiento y la cantidad de verificaciones realizadas y sus resultados</w:t>
            </w:r>
            <w:r w:rsidRPr="000F7971">
              <w:rPr>
                <w:rFonts w:ascii="Arial" w:hAnsi="Arial" w:cs="Arial"/>
                <w:sz w:val="18"/>
                <w:szCs w:val="18"/>
                <w:lang w:val="es-ES_tradnl"/>
              </w:rPr>
              <w:t>.</w:t>
            </w:r>
          </w:p>
        </w:tc>
        <w:tc>
          <w:tcPr>
            <w:tcW w:w="649" w:type="pct"/>
          </w:tcPr>
          <w:p w14:paraId="6BA1D266" w14:textId="77777777" w:rsidR="00442CF7" w:rsidRPr="000F7971" w:rsidRDefault="00442CF7" w:rsidP="004865D7">
            <w:pPr>
              <w:pStyle w:val="MyBullet"/>
              <w:keepNext/>
              <w:suppressAutoHyphens w:val="0"/>
              <w:autoSpaceDE w:val="0"/>
              <w:autoSpaceDN w:val="0"/>
              <w:adjustRightInd w:val="0"/>
              <w:spacing w:before="120"/>
              <w:jc w:val="center"/>
              <w:rPr>
                <w:rFonts w:ascii="Arial" w:hAnsi="Arial" w:cs="Arial"/>
                <w:sz w:val="18"/>
                <w:szCs w:val="18"/>
                <w:lang w:val="es-ES"/>
              </w:rPr>
            </w:pPr>
            <w:r w:rsidRPr="000F7971">
              <w:rPr>
                <w:rFonts w:ascii="Arial" w:hAnsi="Arial" w:cs="Arial"/>
                <w:sz w:val="18"/>
                <w:szCs w:val="18"/>
                <w:lang w:val="es-ES"/>
              </w:rPr>
              <w:t>SAT</w:t>
            </w:r>
          </w:p>
        </w:tc>
      </w:tr>
      <w:tr w:rsidR="00442CF7" w:rsidRPr="00675B55" w14:paraId="15CC68A5" w14:textId="77777777" w:rsidTr="004865D7">
        <w:trPr>
          <w:trHeight w:val="842"/>
        </w:trPr>
        <w:tc>
          <w:tcPr>
            <w:tcW w:w="2332" w:type="pct"/>
          </w:tcPr>
          <w:p w14:paraId="7D35DEE2" w14:textId="6A3A63E1" w:rsidR="00442CF7" w:rsidRPr="000F7971" w:rsidRDefault="00442CF7" w:rsidP="00442CF7">
            <w:pPr>
              <w:pStyle w:val="ListParagraph"/>
              <w:numPr>
                <w:ilvl w:val="0"/>
                <w:numId w:val="23"/>
              </w:numPr>
              <w:spacing w:before="120" w:after="0"/>
              <w:ind w:left="540"/>
              <w:jc w:val="both"/>
              <w:rPr>
                <w:rFonts w:ascii="Arial" w:hAnsi="Arial" w:cs="Arial"/>
                <w:sz w:val="18"/>
                <w:szCs w:val="18"/>
                <w:lang w:val="es-ES_tradnl"/>
              </w:rPr>
            </w:pPr>
            <w:r w:rsidRPr="000F7971">
              <w:rPr>
                <w:rFonts w:ascii="Arial" w:hAnsi="Arial" w:cs="Arial"/>
                <w:sz w:val="18"/>
                <w:szCs w:val="18"/>
                <w:lang w:val="es-ES"/>
              </w:rPr>
              <w:t xml:space="preserve">Gerencia de Investigación Fiscal de la SAT en operación, prepara los insumos </w:t>
            </w:r>
            <w:r>
              <w:rPr>
                <w:rFonts w:ascii="Arial" w:hAnsi="Arial" w:cs="Arial"/>
                <w:sz w:val="18"/>
                <w:szCs w:val="18"/>
                <w:lang w:val="es-ES"/>
              </w:rPr>
              <w:t xml:space="preserve">de información </w:t>
            </w:r>
            <w:r w:rsidRPr="000F7971">
              <w:rPr>
                <w:rFonts w:ascii="Arial" w:hAnsi="Arial" w:cs="Arial"/>
                <w:sz w:val="18"/>
                <w:szCs w:val="18"/>
                <w:lang w:val="es-ES"/>
              </w:rPr>
              <w:t>para la elaboración de planes de fiscalización</w:t>
            </w:r>
            <w:r w:rsidRPr="000F7971">
              <w:rPr>
                <w:rFonts w:ascii="Arial" w:hAnsi="Arial" w:cs="Arial"/>
                <w:sz w:val="18"/>
                <w:szCs w:val="18"/>
                <w:lang w:val="es-ES_tradnl"/>
              </w:rPr>
              <w:t>.</w:t>
            </w:r>
          </w:p>
        </w:tc>
        <w:tc>
          <w:tcPr>
            <w:tcW w:w="2019" w:type="pct"/>
          </w:tcPr>
          <w:p w14:paraId="16B483DB" w14:textId="77777777" w:rsidR="00442CF7" w:rsidRPr="000F7971" w:rsidRDefault="00442CF7" w:rsidP="00442CF7">
            <w:pPr>
              <w:pStyle w:val="MyBullet"/>
              <w:suppressAutoHyphens w:val="0"/>
              <w:autoSpaceDE w:val="0"/>
              <w:autoSpaceDN w:val="0"/>
              <w:adjustRightInd w:val="0"/>
              <w:spacing w:before="120"/>
              <w:jc w:val="both"/>
              <w:rPr>
                <w:rFonts w:ascii="Arial" w:hAnsi="Arial" w:cs="Arial"/>
                <w:b/>
                <w:bCs/>
                <w:sz w:val="18"/>
                <w:szCs w:val="18"/>
                <w:lang w:val="es-AR"/>
              </w:rPr>
            </w:pPr>
            <w:r w:rsidRPr="000F7971">
              <w:rPr>
                <w:rFonts w:ascii="Arial" w:hAnsi="Arial" w:cs="Arial"/>
                <w:sz w:val="18"/>
                <w:szCs w:val="18"/>
                <w:lang w:val="es-ES"/>
              </w:rPr>
              <w:t>Informe de la SAT, donde consten los análisis, cruces de información y otros insumos generados por su investigación</w:t>
            </w:r>
            <w:r w:rsidRPr="000F7971">
              <w:rPr>
                <w:rFonts w:ascii="Arial" w:hAnsi="Arial" w:cs="Arial"/>
                <w:sz w:val="18"/>
                <w:szCs w:val="18"/>
                <w:lang w:val="es-ES_tradnl"/>
              </w:rPr>
              <w:t>.</w:t>
            </w:r>
          </w:p>
        </w:tc>
        <w:tc>
          <w:tcPr>
            <w:tcW w:w="649" w:type="pct"/>
          </w:tcPr>
          <w:p w14:paraId="263336DC" w14:textId="77777777" w:rsidR="00442CF7" w:rsidRPr="000F7971" w:rsidRDefault="00442CF7" w:rsidP="004865D7">
            <w:pPr>
              <w:pStyle w:val="MyBullet"/>
              <w:suppressAutoHyphens w:val="0"/>
              <w:autoSpaceDE w:val="0"/>
              <w:autoSpaceDN w:val="0"/>
              <w:adjustRightInd w:val="0"/>
              <w:spacing w:before="120"/>
              <w:jc w:val="center"/>
              <w:rPr>
                <w:rFonts w:ascii="Arial" w:hAnsi="Arial" w:cs="Arial"/>
                <w:sz w:val="18"/>
                <w:szCs w:val="18"/>
                <w:lang w:val="es-ES"/>
              </w:rPr>
            </w:pPr>
            <w:r w:rsidRPr="000F7971">
              <w:rPr>
                <w:rFonts w:ascii="Arial" w:hAnsi="Arial" w:cs="Arial"/>
                <w:sz w:val="18"/>
                <w:szCs w:val="18"/>
                <w:lang w:val="es-ES"/>
              </w:rPr>
              <w:t>SAT</w:t>
            </w:r>
          </w:p>
        </w:tc>
      </w:tr>
      <w:tr w:rsidR="00442CF7" w:rsidRPr="00675B55" w14:paraId="596315D7" w14:textId="77777777" w:rsidTr="004865D7">
        <w:trPr>
          <w:trHeight w:val="797"/>
        </w:trPr>
        <w:tc>
          <w:tcPr>
            <w:tcW w:w="2332" w:type="pct"/>
          </w:tcPr>
          <w:p w14:paraId="5DD749CC" w14:textId="77777777" w:rsidR="00442CF7" w:rsidRPr="000F7971" w:rsidRDefault="00442CF7" w:rsidP="00442CF7">
            <w:pPr>
              <w:pStyle w:val="ListParagraph"/>
              <w:numPr>
                <w:ilvl w:val="0"/>
                <w:numId w:val="23"/>
              </w:numPr>
              <w:spacing w:before="120" w:after="0"/>
              <w:ind w:left="540"/>
              <w:jc w:val="both"/>
              <w:rPr>
                <w:rFonts w:ascii="Arial" w:hAnsi="Arial" w:cs="Arial"/>
                <w:sz w:val="18"/>
                <w:szCs w:val="18"/>
                <w:lang w:val="es-ES_tradnl"/>
              </w:rPr>
            </w:pPr>
            <w:r w:rsidRPr="000F7971">
              <w:rPr>
                <w:rFonts w:ascii="Arial" w:hAnsi="Arial" w:cs="Arial"/>
                <w:sz w:val="18"/>
                <w:szCs w:val="18"/>
                <w:lang w:val="es-ES"/>
              </w:rPr>
              <w:t>Contratación de aproximadamente 800 funcionarios durante el periodo 2016-2017 y capacitación inicial de personal realizada</w:t>
            </w:r>
            <w:r w:rsidRPr="000F7971">
              <w:rPr>
                <w:rFonts w:ascii="Arial" w:hAnsi="Arial" w:cs="Arial"/>
                <w:sz w:val="18"/>
                <w:szCs w:val="18"/>
                <w:lang w:val="es-ES_tradnl"/>
              </w:rPr>
              <w:t xml:space="preserve">. </w:t>
            </w:r>
          </w:p>
        </w:tc>
        <w:tc>
          <w:tcPr>
            <w:tcW w:w="2019" w:type="pct"/>
          </w:tcPr>
          <w:p w14:paraId="2736F85E" w14:textId="6BC63A10" w:rsidR="00442CF7" w:rsidRPr="000F7971" w:rsidRDefault="00442CF7" w:rsidP="00442CF7">
            <w:pPr>
              <w:pStyle w:val="MyBullet"/>
              <w:suppressAutoHyphens w:val="0"/>
              <w:autoSpaceDE w:val="0"/>
              <w:autoSpaceDN w:val="0"/>
              <w:adjustRightInd w:val="0"/>
              <w:spacing w:before="120"/>
              <w:jc w:val="both"/>
              <w:rPr>
                <w:rFonts w:ascii="Arial" w:hAnsi="Arial" w:cs="Arial"/>
                <w:b/>
                <w:bCs/>
                <w:sz w:val="18"/>
                <w:szCs w:val="18"/>
                <w:lang w:val="es-AR"/>
              </w:rPr>
            </w:pPr>
            <w:r w:rsidRPr="000F7971">
              <w:rPr>
                <w:rFonts w:ascii="Arial" w:hAnsi="Arial" w:cs="Arial"/>
                <w:sz w:val="18"/>
                <w:szCs w:val="18"/>
                <w:lang w:val="es-ES"/>
              </w:rPr>
              <w:t>Informe de la SAT describiendo los procesos y resultados de las contrataciones de personal, así como el programa de capacitación inicial realizado.</w:t>
            </w:r>
          </w:p>
        </w:tc>
        <w:tc>
          <w:tcPr>
            <w:tcW w:w="649" w:type="pct"/>
          </w:tcPr>
          <w:p w14:paraId="02E2FF26" w14:textId="77777777" w:rsidR="00442CF7" w:rsidRPr="000F7971" w:rsidRDefault="00442CF7" w:rsidP="004865D7">
            <w:pPr>
              <w:pStyle w:val="MyBullet"/>
              <w:suppressAutoHyphens w:val="0"/>
              <w:autoSpaceDE w:val="0"/>
              <w:autoSpaceDN w:val="0"/>
              <w:adjustRightInd w:val="0"/>
              <w:spacing w:before="120"/>
              <w:jc w:val="center"/>
              <w:rPr>
                <w:rFonts w:ascii="Arial" w:hAnsi="Arial" w:cs="Arial"/>
                <w:sz w:val="18"/>
                <w:szCs w:val="18"/>
                <w:lang w:val="es-ES"/>
              </w:rPr>
            </w:pPr>
            <w:r w:rsidRPr="000F7971">
              <w:rPr>
                <w:rFonts w:ascii="Arial" w:hAnsi="Arial" w:cs="Arial"/>
                <w:sz w:val="18"/>
                <w:szCs w:val="18"/>
                <w:lang w:val="es-ES"/>
              </w:rPr>
              <w:t>SAT</w:t>
            </w:r>
          </w:p>
        </w:tc>
      </w:tr>
      <w:tr w:rsidR="00442CF7" w:rsidRPr="00675B55" w14:paraId="4DAC4BB3" w14:textId="77777777" w:rsidTr="004865D7">
        <w:trPr>
          <w:trHeight w:val="1166"/>
        </w:trPr>
        <w:tc>
          <w:tcPr>
            <w:tcW w:w="2332" w:type="pct"/>
          </w:tcPr>
          <w:p w14:paraId="4949CC6C" w14:textId="2EAE59F8" w:rsidR="00442CF7" w:rsidRPr="000F7971" w:rsidRDefault="00442CF7" w:rsidP="00442CF7">
            <w:pPr>
              <w:pStyle w:val="ListParagraph"/>
              <w:numPr>
                <w:ilvl w:val="0"/>
                <w:numId w:val="23"/>
              </w:numPr>
              <w:spacing w:before="120" w:after="0"/>
              <w:ind w:left="540"/>
              <w:jc w:val="both"/>
              <w:rPr>
                <w:rFonts w:ascii="Arial" w:hAnsi="Arial" w:cs="Arial"/>
                <w:sz w:val="18"/>
                <w:szCs w:val="18"/>
                <w:lang w:val="es-ES_tradnl"/>
              </w:rPr>
            </w:pPr>
            <w:r w:rsidRPr="000F7971">
              <w:rPr>
                <w:rFonts w:ascii="Arial" w:hAnsi="Arial" w:cs="Arial"/>
                <w:sz w:val="18"/>
                <w:szCs w:val="18"/>
                <w:lang w:val="es-ES"/>
              </w:rPr>
              <w:t>Identificación y publicación de brechas de evasión del IVA para el 2016</w:t>
            </w:r>
            <w:r>
              <w:rPr>
                <w:rFonts w:ascii="Arial" w:hAnsi="Arial" w:cs="Arial"/>
                <w:sz w:val="18"/>
                <w:szCs w:val="18"/>
                <w:lang w:val="es-ES"/>
              </w:rPr>
              <w:t>,</w:t>
            </w:r>
            <w:r w:rsidRPr="000F7971">
              <w:rPr>
                <w:rFonts w:ascii="Arial" w:hAnsi="Arial" w:cs="Arial"/>
                <w:sz w:val="18"/>
                <w:szCs w:val="18"/>
                <w:lang w:val="es-ES"/>
              </w:rPr>
              <w:t xml:space="preserve"> </w:t>
            </w:r>
            <w:r>
              <w:rPr>
                <w:rFonts w:ascii="Arial" w:hAnsi="Arial" w:cs="Arial"/>
                <w:sz w:val="18"/>
                <w:szCs w:val="18"/>
                <w:lang w:val="es-ES"/>
              </w:rPr>
              <w:t>desarrollo de una</w:t>
            </w:r>
            <w:r w:rsidRPr="000F7971">
              <w:rPr>
                <w:rFonts w:ascii="Arial" w:hAnsi="Arial" w:cs="Arial"/>
                <w:sz w:val="18"/>
                <w:szCs w:val="18"/>
                <w:lang w:val="es-ES"/>
              </w:rPr>
              <w:t xml:space="preserve"> metodología para la medición de la brecha de evasión para el impuesto sobre la renta (ISR) y sus primeras estimaciones, y definición de metas de recaudación </w:t>
            </w:r>
            <w:r>
              <w:rPr>
                <w:rFonts w:ascii="Arial" w:hAnsi="Arial" w:cs="Arial"/>
                <w:sz w:val="18"/>
                <w:szCs w:val="18"/>
                <w:lang w:val="es-ES"/>
              </w:rPr>
              <w:t xml:space="preserve">del ISR y del IVA </w:t>
            </w:r>
            <w:r w:rsidRPr="000F7971">
              <w:rPr>
                <w:rFonts w:ascii="Arial" w:hAnsi="Arial" w:cs="Arial"/>
                <w:sz w:val="18"/>
                <w:szCs w:val="18"/>
                <w:lang w:val="es-ES"/>
              </w:rPr>
              <w:t>para el 2017</w:t>
            </w:r>
            <w:r w:rsidRPr="000F7971">
              <w:rPr>
                <w:rFonts w:ascii="Arial" w:hAnsi="Arial" w:cs="Arial"/>
                <w:sz w:val="18"/>
                <w:szCs w:val="18"/>
                <w:lang w:val="es-ES_tradnl"/>
              </w:rPr>
              <w:t>.</w:t>
            </w:r>
          </w:p>
        </w:tc>
        <w:tc>
          <w:tcPr>
            <w:tcW w:w="2019" w:type="pct"/>
          </w:tcPr>
          <w:p w14:paraId="2F342A9F" w14:textId="77777777" w:rsidR="00442CF7" w:rsidRPr="000F7971" w:rsidRDefault="00442CF7" w:rsidP="00442CF7">
            <w:pPr>
              <w:pStyle w:val="MyBullet"/>
              <w:suppressAutoHyphens w:val="0"/>
              <w:autoSpaceDE w:val="0"/>
              <w:autoSpaceDN w:val="0"/>
              <w:adjustRightInd w:val="0"/>
              <w:spacing w:before="120"/>
              <w:jc w:val="both"/>
              <w:rPr>
                <w:rFonts w:ascii="Arial" w:hAnsi="Arial" w:cs="Arial"/>
                <w:b/>
                <w:bCs/>
                <w:sz w:val="18"/>
                <w:szCs w:val="18"/>
                <w:lang w:val="es-AR"/>
              </w:rPr>
            </w:pPr>
            <w:r w:rsidRPr="000F7971">
              <w:rPr>
                <w:rFonts w:ascii="Arial" w:hAnsi="Arial" w:cs="Arial"/>
                <w:sz w:val="18"/>
                <w:szCs w:val="18"/>
                <w:lang w:val="es-ES"/>
              </w:rPr>
              <w:t>Publicación de brechas de evasión del IVA en la página web de la SAT, Informe de la SAT con las brechas del ISR, y copia del convenio MINFIN-SAT sobre metas de recaudación</w:t>
            </w:r>
            <w:r w:rsidRPr="000F7971">
              <w:rPr>
                <w:rFonts w:ascii="Arial" w:hAnsi="Arial" w:cs="Arial"/>
                <w:sz w:val="18"/>
                <w:szCs w:val="18"/>
                <w:lang w:val="es-ES_tradnl"/>
              </w:rPr>
              <w:t>.</w:t>
            </w:r>
          </w:p>
        </w:tc>
        <w:tc>
          <w:tcPr>
            <w:tcW w:w="649" w:type="pct"/>
          </w:tcPr>
          <w:p w14:paraId="7F53D200" w14:textId="77777777" w:rsidR="00442CF7" w:rsidRPr="000F7971" w:rsidRDefault="00442CF7" w:rsidP="004865D7">
            <w:pPr>
              <w:pStyle w:val="MyBullet"/>
              <w:suppressAutoHyphens w:val="0"/>
              <w:autoSpaceDE w:val="0"/>
              <w:autoSpaceDN w:val="0"/>
              <w:adjustRightInd w:val="0"/>
              <w:spacing w:before="120"/>
              <w:jc w:val="center"/>
              <w:rPr>
                <w:rFonts w:ascii="Arial" w:hAnsi="Arial" w:cs="Arial"/>
                <w:sz w:val="18"/>
                <w:szCs w:val="18"/>
                <w:lang w:val="es-ES"/>
              </w:rPr>
            </w:pPr>
            <w:r w:rsidRPr="000F7971">
              <w:rPr>
                <w:rFonts w:ascii="Arial" w:hAnsi="Arial" w:cs="Arial"/>
                <w:sz w:val="18"/>
                <w:szCs w:val="18"/>
                <w:lang w:val="es-ES"/>
              </w:rPr>
              <w:t>SAT</w:t>
            </w:r>
          </w:p>
        </w:tc>
      </w:tr>
      <w:tr w:rsidR="00442CF7" w:rsidRPr="00675B55" w14:paraId="2434F2BD" w14:textId="77777777" w:rsidTr="004865D7">
        <w:trPr>
          <w:trHeight w:val="977"/>
        </w:trPr>
        <w:tc>
          <w:tcPr>
            <w:tcW w:w="2332" w:type="pct"/>
            <w:tcBorders>
              <w:bottom w:val="single" w:sz="4" w:space="0" w:color="auto"/>
            </w:tcBorders>
          </w:tcPr>
          <w:p w14:paraId="65E0FC0D" w14:textId="77777777" w:rsidR="00442CF7" w:rsidRPr="000F7971" w:rsidRDefault="00442CF7" w:rsidP="00442CF7">
            <w:pPr>
              <w:pStyle w:val="ListParagraph"/>
              <w:numPr>
                <w:ilvl w:val="0"/>
                <w:numId w:val="23"/>
              </w:numPr>
              <w:spacing w:before="120" w:after="0"/>
              <w:ind w:left="540"/>
              <w:jc w:val="both"/>
              <w:rPr>
                <w:rFonts w:ascii="Arial" w:hAnsi="Arial" w:cs="Arial"/>
                <w:sz w:val="18"/>
                <w:szCs w:val="18"/>
                <w:lang w:val="es-ES_tradnl"/>
              </w:rPr>
            </w:pPr>
            <w:r w:rsidRPr="000F7971">
              <w:rPr>
                <w:rFonts w:ascii="Arial" w:hAnsi="Arial" w:cs="Arial"/>
                <w:sz w:val="18"/>
                <w:szCs w:val="18"/>
                <w:lang w:val="es-ES"/>
              </w:rPr>
              <w:t>Plan de Modernización del catastro de contribuyentes (RTU – Registro Tributario Unificado), en proceso de implantación, incluyendo su depuración</w:t>
            </w:r>
            <w:r w:rsidRPr="003A0946">
              <w:rPr>
                <w:rFonts w:ascii="Arial" w:eastAsiaTheme="minorHAnsi" w:hAnsi="Arial" w:cs="Arial"/>
                <w:sz w:val="18"/>
                <w:szCs w:val="20"/>
                <w:lang w:val="es-ES_tradnl"/>
              </w:rPr>
              <w:t xml:space="preserve"> </w:t>
            </w:r>
            <w:r w:rsidRPr="003A0946">
              <w:rPr>
                <w:rFonts w:ascii="Arial" w:hAnsi="Arial" w:cs="Arial"/>
                <w:sz w:val="18"/>
                <w:szCs w:val="18"/>
                <w:lang w:val="es-ES_tradnl"/>
              </w:rPr>
              <w:t>e identificación del contribuyente y un monitoreo de resultados</w:t>
            </w:r>
            <w:r w:rsidRPr="000F7971">
              <w:rPr>
                <w:rFonts w:ascii="Arial" w:hAnsi="Arial" w:cs="Arial"/>
                <w:sz w:val="18"/>
                <w:szCs w:val="18"/>
                <w:lang w:val="es-ES_tradnl"/>
              </w:rPr>
              <w:t>.</w:t>
            </w:r>
          </w:p>
        </w:tc>
        <w:tc>
          <w:tcPr>
            <w:tcW w:w="2019" w:type="pct"/>
            <w:tcBorders>
              <w:bottom w:val="single" w:sz="4" w:space="0" w:color="auto"/>
            </w:tcBorders>
          </w:tcPr>
          <w:p w14:paraId="03325964" w14:textId="7E1B125E" w:rsidR="00442CF7" w:rsidRPr="000F7971" w:rsidRDefault="00442CF7" w:rsidP="00442CF7">
            <w:pPr>
              <w:pStyle w:val="MyBullet"/>
              <w:suppressAutoHyphens w:val="0"/>
              <w:autoSpaceDE w:val="0"/>
              <w:autoSpaceDN w:val="0"/>
              <w:adjustRightInd w:val="0"/>
              <w:spacing w:before="120"/>
              <w:jc w:val="both"/>
              <w:rPr>
                <w:rFonts w:ascii="Arial" w:hAnsi="Arial" w:cs="Arial"/>
                <w:b/>
                <w:bCs/>
                <w:sz w:val="18"/>
                <w:szCs w:val="18"/>
                <w:lang w:val="es-AR"/>
              </w:rPr>
            </w:pPr>
            <w:r w:rsidRPr="000F7971">
              <w:rPr>
                <w:rFonts w:ascii="Arial" w:hAnsi="Arial" w:cs="Arial"/>
                <w:sz w:val="18"/>
                <w:szCs w:val="18"/>
                <w:lang w:val="es-ES"/>
              </w:rPr>
              <w:t xml:space="preserve">Informe de la SAT </w:t>
            </w:r>
            <w:r w:rsidRPr="000F7971">
              <w:rPr>
                <w:rFonts w:ascii="Arial" w:hAnsi="Arial" w:cs="Arial"/>
                <w:sz w:val="18"/>
                <w:szCs w:val="18"/>
                <w:lang w:val="es-ES_tradnl"/>
              </w:rPr>
              <w:t>verifica el grado de avance en la depuración del RTU</w:t>
            </w:r>
            <w:r w:rsidRPr="000F7971">
              <w:rPr>
                <w:rFonts w:ascii="Arial" w:hAnsi="Arial" w:cs="Arial"/>
                <w:sz w:val="18"/>
                <w:szCs w:val="18"/>
                <w:lang w:val="es-ES"/>
              </w:rPr>
              <w:t>.</w:t>
            </w:r>
          </w:p>
        </w:tc>
        <w:tc>
          <w:tcPr>
            <w:tcW w:w="649" w:type="pct"/>
            <w:tcBorders>
              <w:bottom w:val="single" w:sz="4" w:space="0" w:color="auto"/>
            </w:tcBorders>
          </w:tcPr>
          <w:p w14:paraId="3D9BFC90" w14:textId="77777777" w:rsidR="00442CF7" w:rsidRPr="000F7971" w:rsidRDefault="00442CF7" w:rsidP="004865D7">
            <w:pPr>
              <w:pStyle w:val="MyBullet"/>
              <w:suppressAutoHyphens w:val="0"/>
              <w:autoSpaceDE w:val="0"/>
              <w:autoSpaceDN w:val="0"/>
              <w:adjustRightInd w:val="0"/>
              <w:spacing w:before="120"/>
              <w:jc w:val="center"/>
              <w:rPr>
                <w:rFonts w:ascii="Arial" w:hAnsi="Arial" w:cs="Arial"/>
                <w:sz w:val="18"/>
                <w:szCs w:val="18"/>
                <w:lang w:val="es-ES"/>
              </w:rPr>
            </w:pPr>
            <w:r w:rsidRPr="000F7971">
              <w:rPr>
                <w:rFonts w:ascii="Arial" w:hAnsi="Arial" w:cs="Arial"/>
                <w:sz w:val="18"/>
                <w:szCs w:val="18"/>
                <w:lang w:val="es-ES"/>
              </w:rPr>
              <w:t>SAT</w:t>
            </w:r>
          </w:p>
        </w:tc>
      </w:tr>
      <w:tr w:rsidR="00442CF7" w:rsidRPr="00675B55" w14:paraId="48CBB6DE" w14:textId="77777777" w:rsidTr="00BB66C9">
        <w:trPr>
          <w:trHeight w:val="581"/>
        </w:trPr>
        <w:tc>
          <w:tcPr>
            <w:tcW w:w="2332" w:type="pct"/>
            <w:shd w:val="clear" w:color="auto" w:fill="CCC0D9" w:themeFill="accent4" w:themeFillTint="66"/>
            <w:vAlign w:val="center"/>
          </w:tcPr>
          <w:p w14:paraId="100D49CA" w14:textId="62679D10" w:rsidR="00442CF7" w:rsidRPr="00442CF7" w:rsidRDefault="00442CF7" w:rsidP="00442CF7">
            <w:pPr>
              <w:jc w:val="center"/>
              <w:rPr>
                <w:rFonts w:ascii="Arial" w:hAnsi="Arial" w:cs="Arial"/>
                <w:sz w:val="18"/>
                <w:szCs w:val="18"/>
                <w:lang w:val="es-DO"/>
              </w:rPr>
            </w:pPr>
            <w:r w:rsidRPr="000F7971">
              <w:rPr>
                <w:rFonts w:ascii="Arial" w:hAnsi="Arial" w:cs="Arial"/>
                <w:b/>
                <w:bCs/>
                <w:color w:val="000000"/>
                <w:sz w:val="20"/>
                <w:szCs w:val="20"/>
                <w:lang w:val="es-DO" w:eastAsia="es-DO"/>
              </w:rPr>
              <w:lastRenderedPageBreak/>
              <w:t>Compromisos de Política Segundo Tramo</w:t>
            </w:r>
          </w:p>
        </w:tc>
        <w:tc>
          <w:tcPr>
            <w:tcW w:w="2019" w:type="pct"/>
            <w:shd w:val="clear" w:color="auto" w:fill="CCC0D9" w:themeFill="accent4" w:themeFillTint="66"/>
            <w:vAlign w:val="center"/>
          </w:tcPr>
          <w:p w14:paraId="68D47158" w14:textId="3C0166FF" w:rsidR="00442CF7" w:rsidRPr="000F7971" w:rsidRDefault="00442CF7" w:rsidP="00442CF7">
            <w:pPr>
              <w:pStyle w:val="MyBullet"/>
              <w:suppressAutoHyphens w:val="0"/>
              <w:autoSpaceDE w:val="0"/>
              <w:autoSpaceDN w:val="0"/>
              <w:adjustRightInd w:val="0"/>
              <w:jc w:val="center"/>
              <w:rPr>
                <w:rFonts w:ascii="Arial" w:hAnsi="Arial" w:cs="Arial"/>
                <w:color w:val="000000"/>
                <w:sz w:val="18"/>
                <w:szCs w:val="18"/>
                <w:lang w:val="es-DO" w:eastAsia="es-DO"/>
              </w:rPr>
            </w:pPr>
            <w:r w:rsidRPr="000F7971">
              <w:rPr>
                <w:rFonts w:ascii="Arial" w:hAnsi="Arial" w:cs="Arial"/>
                <w:b/>
                <w:bCs/>
                <w:sz w:val="20"/>
                <w:szCs w:val="22"/>
                <w:lang w:val="es-ES_tradnl"/>
              </w:rPr>
              <w:t>Medios de verificación</w:t>
            </w:r>
          </w:p>
        </w:tc>
        <w:tc>
          <w:tcPr>
            <w:tcW w:w="649" w:type="pct"/>
            <w:shd w:val="clear" w:color="auto" w:fill="CCC0D9" w:themeFill="accent4" w:themeFillTint="66"/>
            <w:vAlign w:val="center"/>
          </w:tcPr>
          <w:p w14:paraId="390D2831" w14:textId="1CD92BF7" w:rsidR="00442CF7" w:rsidRPr="000F7971" w:rsidRDefault="00442CF7" w:rsidP="00442CF7">
            <w:pPr>
              <w:pStyle w:val="MyBullet"/>
              <w:suppressAutoHyphens w:val="0"/>
              <w:autoSpaceDE w:val="0"/>
              <w:autoSpaceDN w:val="0"/>
              <w:adjustRightInd w:val="0"/>
              <w:jc w:val="center"/>
              <w:rPr>
                <w:rFonts w:ascii="Arial" w:hAnsi="Arial" w:cs="Arial"/>
                <w:color w:val="000000"/>
                <w:sz w:val="18"/>
                <w:szCs w:val="18"/>
                <w:lang w:val="es-ES" w:eastAsia="es-DO"/>
              </w:rPr>
            </w:pPr>
            <w:r w:rsidRPr="000F7971">
              <w:rPr>
                <w:rFonts w:ascii="Arial" w:hAnsi="Arial" w:cs="Arial"/>
                <w:b/>
                <w:bCs/>
                <w:sz w:val="20"/>
                <w:szCs w:val="22"/>
                <w:lang w:val="es-ES_tradnl"/>
              </w:rPr>
              <w:t>Entidad Responsable</w:t>
            </w:r>
          </w:p>
        </w:tc>
      </w:tr>
      <w:tr w:rsidR="00442CF7" w:rsidRPr="00675B55" w14:paraId="64EB1E41" w14:textId="77777777" w:rsidTr="004865D7">
        <w:trPr>
          <w:trHeight w:val="887"/>
        </w:trPr>
        <w:tc>
          <w:tcPr>
            <w:tcW w:w="2332" w:type="pct"/>
          </w:tcPr>
          <w:p w14:paraId="1E50FFA6" w14:textId="3AF302C6" w:rsidR="00442CF7" w:rsidRPr="000F7971" w:rsidRDefault="00442CF7" w:rsidP="00BB66C9">
            <w:pPr>
              <w:pStyle w:val="ListParagraph"/>
              <w:numPr>
                <w:ilvl w:val="0"/>
                <w:numId w:val="23"/>
              </w:numPr>
              <w:spacing w:before="60" w:after="0"/>
              <w:ind w:left="540"/>
              <w:jc w:val="both"/>
              <w:rPr>
                <w:rFonts w:ascii="Arial" w:hAnsi="Arial" w:cs="Arial"/>
                <w:sz w:val="18"/>
                <w:szCs w:val="18"/>
                <w:lang w:val="es-ES_tradnl"/>
              </w:rPr>
            </w:pPr>
            <w:r w:rsidRPr="000F7971">
              <w:rPr>
                <w:rFonts w:ascii="Arial" w:hAnsi="Arial" w:cs="Arial"/>
                <w:sz w:val="18"/>
                <w:szCs w:val="18"/>
                <w:lang w:val="es-DO"/>
              </w:rPr>
              <w:t xml:space="preserve">Levantamiento y revisión del macro proceso de la SAT de Impuesto sobre la Renta (ISR), incluyendo la </w:t>
            </w:r>
            <w:r w:rsidRPr="000F7971">
              <w:rPr>
                <w:rFonts w:ascii="Arial" w:eastAsia="Times New Roman" w:hAnsi="Arial" w:cs="Arial"/>
                <w:color w:val="000000"/>
                <w:sz w:val="18"/>
                <w:szCs w:val="18"/>
                <w:lang w:val="es-DO" w:eastAsia="es-DO"/>
              </w:rPr>
              <w:t>identificación y estimación de riesgos operacionales y las estrategias para su mitigación</w:t>
            </w:r>
            <w:r w:rsidRPr="000F7971">
              <w:rPr>
                <w:rFonts w:ascii="Arial" w:hAnsi="Arial" w:cs="Arial"/>
                <w:sz w:val="18"/>
                <w:szCs w:val="18"/>
                <w:lang w:val="es-DO"/>
              </w:rPr>
              <w:t>.</w:t>
            </w:r>
          </w:p>
        </w:tc>
        <w:tc>
          <w:tcPr>
            <w:tcW w:w="2019" w:type="pct"/>
          </w:tcPr>
          <w:p w14:paraId="246C459E" w14:textId="77777777" w:rsidR="00442CF7" w:rsidRPr="000F7971" w:rsidRDefault="00442CF7" w:rsidP="00BB66C9">
            <w:pPr>
              <w:pStyle w:val="MyBullet"/>
              <w:suppressAutoHyphens w:val="0"/>
              <w:autoSpaceDE w:val="0"/>
              <w:autoSpaceDN w:val="0"/>
              <w:adjustRightInd w:val="0"/>
              <w:spacing w:before="60"/>
              <w:jc w:val="both"/>
              <w:rPr>
                <w:rFonts w:ascii="Arial" w:hAnsi="Arial" w:cs="Arial"/>
                <w:b/>
                <w:bCs/>
                <w:sz w:val="18"/>
                <w:szCs w:val="18"/>
                <w:lang w:val="es-ES_tradnl"/>
              </w:rPr>
            </w:pPr>
            <w:r w:rsidRPr="000F7971">
              <w:rPr>
                <w:rFonts w:ascii="Arial" w:hAnsi="Arial" w:cs="Arial"/>
                <w:color w:val="000000"/>
                <w:sz w:val="18"/>
                <w:szCs w:val="18"/>
                <w:lang w:val="es-DO" w:eastAsia="es-DO"/>
              </w:rPr>
              <w:t>I</w:t>
            </w:r>
            <w:r w:rsidRPr="000F7971">
              <w:rPr>
                <w:rFonts w:ascii="Arial" w:hAnsi="Arial" w:cs="Arial"/>
                <w:sz w:val="18"/>
                <w:szCs w:val="18"/>
                <w:lang w:val="es-DO"/>
              </w:rPr>
              <w:t>nforme de la SAT con el proceso de ISR revisado.</w:t>
            </w:r>
          </w:p>
        </w:tc>
        <w:tc>
          <w:tcPr>
            <w:tcW w:w="649" w:type="pct"/>
          </w:tcPr>
          <w:p w14:paraId="68B78EB8" w14:textId="77777777" w:rsidR="00442CF7" w:rsidRPr="000F7971" w:rsidRDefault="00442CF7" w:rsidP="004865D7">
            <w:pPr>
              <w:pStyle w:val="MyBullet"/>
              <w:suppressAutoHyphens w:val="0"/>
              <w:autoSpaceDE w:val="0"/>
              <w:autoSpaceDN w:val="0"/>
              <w:adjustRightInd w:val="0"/>
              <w:spacing w:before="60"/>
              <w:jc w:val="center"/>
              <w:rPr>
                <w:rFonts w:ascii="Arial" w:hAnsi="Arial" w:cs="Arial"/>
                <w:color w:val="000000"/>
                <w:sz w:val="18"/>
                <w:szCs w:val="18"/>
                <w:lang w:val="es-DO" w:eastAsia="es-DO"/>
              </w:rPr>
            </w:pPr>
            <w:r w:rsidRPr="000F7971">
              <w:rPr>
                <w:rFonts w:ascii="Arial" w:hAnsi="Arial" w:cs="Arial"/>
                <w:color w:val="000000"/>
                <w:sz w:val="18"/>
                <w:szCs w:val="18"/>
                <w:lang w:val="es-ES" w:eastAsia="es-DO"/>
              </w:rPr>
              <w:t>SAT</w:t>
            </w:r>
          </w:p>
        </w:tc>
      </w:tr>
      <w:tr w:rsidR="00442CF7" w:rsidRPr="00675B55" w14:paraId="2EDB805C" w14:textId="77777777" w:rsidTr="004865D7">
        <w:trPr>
          <w:trHeight w:val="617"/>
        </w:trPr>
        <w:tc>
          <w:tcPr>
            <w:tcW w:w="2332" w:type="pct"/>
            <w:tcBorders>
              <w:bottom w:val="single" w:sz="4" w:space="0" w:color="auto"/>
            </w:tcBorders>
          </w:tcPr>
          <w:p w14:paraId="2AF495A8" w14:textId="77777777" w:rsidR="00442CF7" w:rsidRPr="000F7971" w:rsidRDefault="00442CF7" w:rsidP="00BB66C9">
            <w:pPr>
              <w:pStyle w:val="ListParagraph"/>
              <w:numPr>
                <w:ilvl w:val="0"/>
                <w:numId w:val="23"/>
              </w:numPr>
              <w:spacing w:before="60" w:after="0"/>
              <w:ind w:left="540"/>
              <w:jc w:val="both"/>
              <w:rPr>
                <w:rFonts w:ascii="Arial" w:hAnsi="Arial" w:cs="Arial"/>
                <w:sz w:val="18"/>
                <w:szCs w:val="18"/>
                <w:lang w:val="es-DO"/>
              </w:rPr>
            </w:pPr>
            <w:r w:rsidRPr="000F7971">
              <w:rPr>
                <w:rFonts w:ascii="Arial" w:hAnsi="Arial" w:cs="Arial"/>
                <w:sz w:val="18"/>
                <w:szCs w:val="18"/>
                <w:lang w:val="es-ES"/>
              </w:rPr>
              <w:t>Plan de control integral de la Carga en los recintos fiscalizados durante el despacho aduanero, en proceso de implantación en Puerto Quetzal</w:t>
            </w:r>
            <w:r w:rsidRPr="000F7971">
              <w:rPr>
                <w:rFonts w:ascii="Arial" w:eastAsiaTheme="minorHAnsi" w:hAnsi="Arial" w:cs="Arial"/>
                <w:sz w:val="18"/>
                <w:szCs w:val="18"/>
                <w:lang w:val="es-ES"/>
              </w:rPr>
              <w:t xml:space="preserve"> </w:t>
            </w:r>
            <w:r w:rsidRPr="000F7971">
              <w:rPr>
                <w:rFonts w:ascii="Arial" w:hAnsi="Arial" w:cs="Arial"/>
                <w:sz w:val="18"/>
                <w:szCs w:val="18"/>
                <w:lang w:val="es-ES"/>
              </w:rPr>
              <w:t>y planificación para su extensión a todos los puertos con fiscalización aduanera.</w:t>
            </w:r>
          </w:p>
        </w:tc>
        <w:tc>
          <w:tcPr>
            <w:tcW w:w="2019" w:type="pct"/>
            <w:tcBorders>
              <w:bottom w:val="single" w:sz="4" w:space="0" w:color="auto"/>
            </w:tcBorders>
          </w:tcPr>
          <w:p w14:paraId="041E130B" w14:textId="77777777" w:rsidR="00442CF7" w:rsidRPr="000F7971" w:rsidRDefault="00442CF7" w:rsidP="00BB66C9">
            <w:pPr>
              <w:pStyle w:val="MyBullet"/>
              <w:suppressAutoHyphens w:val="0"/>
              <w:autoSpaceDE w:val="0"/>
              <w:autoSpaceDN w:val="0"/>
              <w:adjustRightInd w:val="0"/>
              <w:spacing w:before="60"/>
              <w:jc w:val="both"/>
              <w:rPr>
                <w:rFonts w:ascii="Arial" w:hAnsi="Arial" w:cs="Arial"/>
                <w:b/>
                <w:bCs/>
                <w:sz w:val="18"/>
                <w:szCs w:val="18"/>
                <w:lang w:val="es-AR"/>
              </w:rPr>
            </w:pPr>
            <w:r w:rsidRPr="000F7971">
              <w:rPr>
                <w:rFonts w:ascii="Arial" w:hAnsi="Arial" w:cs="Arial"/>
                <w:sz w:val="18"/>
                <w:szCs w:val="18"/>
                <w:lang w:val="es-ES"/>
              </w:rPr>
              <w:t>Informe de la SAT describe el proceso de implantación del Plan de control integral de la Carga en los recintos fiscalizados de Puerto Quetzal y presenta la planificación para su extensión a todos los puertos con fiscalización aduanera</w:t>
            </w:r>
            <w:r w:rsidRPr="000F7971">
              <w:rPr>
                <w:rFonts w:ascii="Arial" w:hAnsi="Arial" w:cs="Arial"/>
                <w:color w:val="000000"/>
                <w:sz w:val="18"/>
                <w:szCs w:val="18"/>
                <w:lang w:val="es-DO" w:eastAsia="es-DO"/>
              </w:rPr>
              <w:t>.</w:t>
            </w:r>
          </w:p>
        </w:tc>
        <w:tc>
          <w:tcPr>
            <w:tcW w:w="649" w:type="pct"/>
            <w:tcBorders>
              <w:bottom w:val="single" w:sz="4" w:space="0" w:color="auto"/>
            </w:tcBorders>
          </w:tcPr>
          <w:p w14:paraId="10CD4BA4" w14:textId="77777777" w:rsidR="00442CF7" w:rsidRPr="000F7971" w:rsidRDefault="00442CF7" w:rsidP="004865D7">
            <w:pPr>
              <w:pStyle w:val="MyBullet"/>
              <w:suppressAutoHyphens w:val="0"/>
              <w:autoSpaceDE w:val="0"/>
              <w:autoSpaceDN w:val="0"/>
              <w:adjustRightInd w:val="0"/>
              <w:spacing w:before="60"/>
              <w:jc w:val="center"/>
              <w:rPr>
                <w:rFonts w:ascii="Arial" w:hAnsi="Arial" w:cs="Arial"/>
                <w:sz w:val="18"/>
                <w:szCs w:val="18"/>
                <w:lang w:val="es-ES"/>
              </w:rPr>
            </w:pPr>
            <w:r w:rsidRPr="000F7971">
              <w:rPr>
                <w:rFonts w:ascii="Arial" w:hAnsi="Arial" w:cs="Arial"/>
                <w:sz w:val="18"/>
                <w:szCs w:val="18"/>
                <w:lang w:val="es-ES"/>
              </w:rPr>
              <w:t>SAT</w:t>
            </w:r>
          </w:p>
        </w:tc>
      </w:tr>
      <w:tr w:rsidR="00442CF7" w:rsidRPr="00675B55" w14:paraId="557C7215" w14:textId="77777777" w:rsidTr="004865D7">
        <w:trPr>
          <w:trHeight w:val="782"/>
        </w:trPr>
        <w:tc>
          <w:tcPr>
            <w:tcW w:w="2332" w:type="pct"/>
          </w:tcPr>
          <w:p w14:paraId="35D82296" w14:textId="77777777" w:rsidR="00442CF7" w:rsidRPr="000F7971" w:rsidRDefault="00442CF7" w:rsidP="00BB66C9">
            <w:pPr>
              <w:pStyle w:val="ListParagraph"/>
              <w:numPr>
                <w:ilvl w:val="0"/>
                <w:numId w:val="23"/>
              </w:numPr>
              <w:spacing w:before="60" w:after="0"/>
              <w:ind w:left="540"/>
              <w:jc w:val="both"/>
              <w:rPr>
                <w:rFonts w:ascii="Arial" w:hAnsi="Arial" w:cs="Arial"/>
                <w:sz w:val="18"/>
                <w:szCs w:val="18"/>
                <w:lang w:val="es-ES_tradnl"/>
              </w:rPr>
            </w:pPr>
            <w:r w:rsidRPr="000F7971">
              <w:rPr>
                <w:rFonts w:ascii="Arial" w:hAnsi="Arial" w:cs="Arial"/>
                <w:sz w:val="18"/>
                <w:szCs w:val="18"/>
                <w:lang w:val="es-ES"/>
              </w:rPr>
              <w:t>Investigaciones criminales de evasión tributaria y fraudes fiscales, en operación</w:t>
            </w:r>
            <w:r w:rsidRPr="000F7971">
              <w:rPr>
                <w:rFonts w:ascii="Arial" w:hAnsi="Arial" w:cs="Arial"/>
                <w:sz w:val="18"/>
                <w:szCs w:val="18"/>
                <w:lang w:val="es-ES_tradnl"/>
              </w:rPr>
              <w:t xml:space="preserve">. </w:t>
            </w:r>
          </w:p>
        </w:tc>
        <w:tc>
          <w:tcPr>
            <w:tcW w:w="2019" w:type="pct"/>
          </w:tcPr>
          <w:p w14:paraId="3FB3B42D" w14:textId="77777777" w:rsidR="00442CF7" w:rsidRPr="000F7971" w:rsidRDefault="00442CF7" w:rsidP="00BB66C9">
            <w:pPr>
              <w:pStyle w:val="MyBullet"/>
              <w:suppressAutoHyphens w:val="0"/>
              <w:autoSpaceDE w:val="0"/>
              <w:autoSpaceDN w:val="0"/>
              <w:adjustRightInd w:val="0"/>
              <w:spacing w:before="60"/>
              <w:jc w:val="both"/>
              <w:rPr>
                <w:rFonts w:ascii="Arial" w:hAnsi="Arial" w:cs="Arial"/>
                <w:b/>
                <w:bCs/>
                <w:sz w:val="18"/>
                <w:szCs w:val="18"/>
                <w:lang w:val="es-AR"/>
              </w:rPr>
            </w:pPr>
            <w:r w:rsidRPr="000F7971">
              <w:rPr>
                <w:rFonts w:ascii="Arial" w:hAnsi="Arial" w:cs="Arial"/>
                <w:sz w:val="18"/>
                <w:szCs w:val="18"/>
                <w:lang w:val="es-ES_tradnl"/>
              </w:rPr>
              <w:t>I</w:t>
            </w:r>
            <w:r w:rsidRPr="000F7971">
              <w:rPr>
                <w:rFonts w:ascii="Arial" w:hAnsi="Arial" w:cs="Arial"/>
                <w:sz w:val="18"/>
                <w:szCs w:val="18"/>
                <w:lang w:val="es-ES"/>
              </w:rPr>
              <w:t>nforme de la SAT con las principales investigaciones apoyadas y montos recuperados</w:t>
            </w:r>
            <w:r w:rsidRPr="000F7971">
              <w:rPr>
                <w:rFonts w:ascii="Arial" w:hAnsi="Arial" w:cs="Arial"/>
                <w:sz w:val="18"/>
                <w:szCs w:val="18"/>
                <w:lang w:val="es-ES_tradnl" w:eastAsia="es-DO"/>
              </w:rPr>
              <w:t>.</w:t>
            </w:r>
          </w:p>
        </w:tc>
        <w:tc>
          <w:tcPr>
            <w:tcW w:w="649" w:type="pct"/>
          </w:tcPr>
          <w:p w14:paraId="6C13FA76" w14:textId="77777777" w:rsidR="00442CF7" w:rsidRPr="000F7971" w:rsidRDefault="00442CF7" w:rsidP="004865D7">
            <w:pPr>
              <w:pStyle w:val="MyBullet"/>
              <w:suppressAutoHyphens w:val="0"/>
              <w:autoSpaceDE w:val="0"/>
              <w:autoSpaceDN w:val="0"/>
              <w:adjustRightInd w:val="0"/>
              <w:spacing w:before="60"/>
              <w:jc w:val="center"/>
              <w:rPr>
                <w:rFonts w:ascii="Arial" w:hAnsi="Arial" w:cs="Arial"/>
                <w:sz w:val="18"/>
                <w:szCs w:val="18"/>
                <w:lang w:val="es-ES_tradnl"/>
              </w:rPr>
            </w:pPr>
            <w:r w:rsidRPr="000F7971">
              <w:rPr>
                <w:rFonts w:ascii="Arial" w:hAnsi="Arial" w:cs="Arial"/>
                <w:sz w:val="18"/>
                <w:szCs w:val="18"/>
                <w:lang w:val="es-ES"/>
              </w:rPr>
              <w:t>SAT</w:t>
            </w:r>
          </w:p>
        </w:tc>
      </w:tr>
      <w:tr w:rsidR="00442CF7" w:rsidRPr="00675B55" w14:paraId="33CBFACC" w14:textId="77777777" w:rsidTr="004865D7">
        <w:trPr>
          <w:trHeight w:val="644"/>
        </w:trPr>
        <w:tc>
          <w:tcPr>
            <w:tcW w:w="2332" w:type="pct"/>
            <w:tcBorders>
              <w:bottom w:val="single" w:sz="4" w:space="0" w:color="auto"/>
            </w:tcBorders>
          </w:tcPr>
          <w:p w14:paraId="22317B27" w14:textId="111B6D40" w:rsidR="00442CF7" w:rsidRPr="000F7971" w:rsidRDefault="00442CF7" w:rsidP="007328FB">
            <w:pPr>
              <w:pStyle w:val="ListParagraph"/>
              <w:numPr>
                <w:ilvl w:val="0"/>
                <w:numId w:val="23"/>
              </w:numPr>
              <w:spacing w:before="60" w:after="0"/>
              <w:ind w:left="540"/>
              <w:jc w:val="both"/>
              <w:rPr>
                <w:rFonts w:ascii="Arial" w:hAnsi="Arial" w:cs="Arial"/>
                <w:sz w:val="18"/>
                <w:szCs w:val="20"/>
                <w:lang w:val="es-ES"/>
              </w:rPr>
            </w:pPr>
            <w:r w:rsidRPr="000F7971">
              <w:rPr>
                <w:rFonts w:ascii="Arial" w:hAnsi="Arial" w:cs="Arial"/>
                <w:sz w:val="18"/>
                <w:szCs w:val="20"/>
                <w:lang w:val="es-ES"/>
              </w:rPr>
              <w:t>Ampliación de la presencia territorial de la Fiscalía</w:t>
            </w:r>
            <w:r w:rsidR="007328FB">
              <w:rPr>
                <w:rFonts w:ascii="Arial" w:hAnsi="Arial" w:cs="Arial"/>
                <w:sz w:val="18"/>
                <w:szCs w:val="20"/>
                <w:lang w:val="es-ES"/>
              </w:rPr>
              <w:t xml:space="preserve"> de Delitos Económicos</w:t>
            </w:r>
            <w:r w:rsidRPr="000F7971">
              <w:rPr>
                <w:rFonts w:ascii="Arial" w:hAnsi="Arial" w:cs="Arial"/>
                <w:sz w:val="18"/>
                <w:szCs w:val="20"/>
                <w:lang w:val="es-ES"/>
              </w:rPr>
              <w:t xml:space="preserve">, mediante </w:t>
            </w:r>
            <w:r w:rsidR="007328FB">
              <w:rPr>
                <w:rFonts w:ascii="Arial" w:hAnsi="Arial" w:cs="Arial"/>
                <w:sz w:val="18"/>
                <w:szCs w:val="20"/>
                <w:lang w:val="es-ES"/>
              </w:rPr>
              <w:t xml:space="preserve">el fortalecimiento a través de </w:t>
            </w:r>
            <w:r w:rsidRPr="000F7971">
              <w:rPr>
                <w:rFonts w:ascii="Arial" w:hAnsi="Arial" w:cs="Arial"/>
                <w:sz w:val="18"/>
                <w:szCs w:val="20"/>
                <w:lang w:val="es-ES"/>
              </w:rPr>
              <w:t xml:space="preserve">la </w:t>
            </w:r>
            <w:r w:rsidRPr="000F7971">
              <w:rPr>
                <w:rFonts w:ascii="Arial" w:eastAsia="Times New Roman" w:hAnsi="Arial" w:cs="Arial"/>
                <w:color w:val="000000"/>
                <w:sz w:val="18"/>
                <w:szCs w:val="20"/>
                <w:lang w:val="es-DO" w:eastAsia="es-DO"/>
              </w:rPr>
              <w:t xml:space="preserve">apertura de una </w:t>
            </w:r>
            <w:r w:rsidR="007328FB">
              <w:rPr>
                <w:rFonts w:ascii="Arial" w:eastAsia="Times New Roman" w:hAnsi="Arial" w:cs="Arial"/>
                <w:color w:val="000000"/>
                <w:sz w:val="18"/>
                <w:szCs w:val="20"/>
                <w:lang w:val="es-DO" w:eastAsia="es-DO"/>
              </w:rPr>
              <w:t xml:space="preserve">agencia </w:t>
            </w:r>
            <w:r w:rsidRPr="000F7971">
              <w:rPr>
                <w:rFonts w:ascii="Arial" w:eastAsia="Times New Roman" w:hAnsi="Arial" w:cs="Arial"/>
                <w:color w:val="000000"/>
                <w:sz w:val="18"/>
                <w:szCs w:val="20"/>
                <w:lang w:val="es-DO" w:eastAsia="es-DO"/>
              </w:rPr>
              <w:t xml:space="preserve"> especializada en delitos de contrabando y fraude aduanero.</w:t>
            </w:r>
          </w:p>
        </w:tc>
        <w:tc>
          <w:tcPr>
            <w:tcW w:w="2019" w:type="pct"/>
            <w:tcBorders>
              <w:bottom w:val="single" w:sz="4" w:space="0" w:color="auto"/>
            </w:tcBorders>
          </w:tcPr>
          <w:p w14:paraId="5F4E53BE" w14:textId="77777777" w:rsidR="00442CF7" w:rsidRPr="000F7971" w:rsidRDefault="00442CF7" w:rsidP="00BB66C9">
            <w:pPr>
              <w:pStyle w:val="MyBullet"/>
              <w:suppressAutoHyphens w:val="0"/>
              <w:autoSpaceDE w:val="0"/>
              <w:autoSpaceDN w:val="0"/>
              <w:adjustRightInd w:val="0"/>
              <w:spacing w:before="60"/>
              <w:jc w:val="both"/>
              <w:rPr>
                <w:rFonts w:ascii="Arial" w:hAnsi="Arial" w:cs="Arial"/>
                <w:color w:val="000000"/>
                <w:sz w:val="18"/>
                <w:lang w:val="es-DO" w:eastAsia="es-DO"/>
              </w:rPr>
            </w:pPr>
            <w:r w:rsidRPr="000F7971">
              <w:rPr>
                <w:rFonts w:ascii="Arial" w:hAnsi="Arial" w:cs="Arial"/>
                <w:color w:val="000000"/>
                <w:sz w:val="18"/>
                <w:lang w:val="es-DO" w:eastAsia="es-DO"/>
              </w:rPr>
              <w:t>Fiscalía de Puerto Quetzal en operación, verificada con Informe de la SAT o visita del Banco.</w:t>
            </w:r>
          </w:p>
        </w:tc>
        <w:tc>
          <w:tcPr>
            <w:tcW w:w="649" w:type="pct"/>
            <w:tcBorders>
              <w:bottom w:val="single" w:sz="4" w:space="0" w:color="auto"/>
            </w:tcBorders>
          </w:tcPr>
          <w:p w14:paraId="5AEF924A" w14:textId="643AEA9E" w:rsidR="00442CF7" w:rsidRPr="000F7971" w:rsidRDefault="007328FB" w:rsidP="004865D7">
            <w:pPr>
              <w:pStyle w:val="MyBullet"/>
              <w:suppressAutoHyphens w:val="0"/>
              <w:autoSpaceDE w:val="0"/>
              <w:autoSpaceDN w:val="0"/>
              <w:adjustRightInd w:val="0"/>
              <w:spacing w:before="60"/>
              <w:jc w:val="center"/>
              <w:rPr>
                <w:rFonts w:ascii="Arial" w:hAnsi="Arial" w:cs="Arial"/>
                <w:color w:val="000000"/>
                <w:sz w:val="18"/>
                <w:lang w:val="es-DO" w:eastAsia="es-DO"/>
              </w:rPr>
            </w:pPr>
            <w:r>
              <w:rPr>
                <w:rFonts w:ascii="Arial" w:hAnsi="Arial" w:cs="Arial"/>
                <w:color w:val="000000"/>
                <w:sz w:val="18"/>
                <w:lang w:val="es-ES" w:eastAsia="es-DO"/>
              </w:rPr>
              <w:t>MP</w:t>
            </w:r>
          </w:p>
        </w:tc>
      </w:tr>
      <w:tr w:rsidR="00BB66C9" w:rsidRPr="00675B55" w14:paraId="275F8B79" w14:textId="77777777" w:rsidTr="00BB66C9">
        <w:trPr>
          <w:trHeight w:val="500"/>
        </w:trPr>
        <w:tc>
          <w:tcPr>
            <w:tcW w:w="5000" w:type="pct"/>
            <w:gridSpan w:val="3"/>
            <w:tcBorders>
              <w:bottom w:val="single" w:sz="4" w:space="0" w:color="auto"/>
            </w:tcBorders>
            <w:shd w:val="clear" w:color="auto" w:fill="D9D9D9" w:themeFill="background1" w:themeFillShade="D9"/>
            <w:vAlign w:val="center"/>
          </w:tcPr>
          <w:p w14:paraId="4765CC68" w14:textId="78DCC509" w:rsidR="00BB66C9" w:rsidRPr="000F7971" w:rsidRDefault="00BB66C9" w:rsidP="00CE175A">
            <w:pPr>
              <w:autoSpaceDE w:val="0"/>
              <w:autoSpaceDN w:val="0"/>
              <w:adjustRightInd w:val="0"/>
              <w:spacing w:beforeLines="40" w:before="96" w:afterLines="40" w:after="96"/>
              <w:rPr>
                <w:rFonts w:ascii="Arial" w:hAnsi="Arial" w:cs="Arial"/>
                <w:b/>
                <w:sz w:val="18"/>
                <w:szCs w:val="16"/>
                <w:u w:val="single"/>
                <w:lang w:val="es-ES_tradnl"/>
              </w:rPr>
            </w:pPr>
            <w:r w:rsidRPr="000F7971">
              <w:rPr>
                <w:rFonts w:ascii="Arial" w:hAnsi="Arial" w:cs="Arial"/>
                <w:b/>
                <w:sz w:val="18"/>
                <w:szCs w:val="16"/>
                <w:u w:val="single"/>
                <w:lang w:val="es-ES_tradnl"/>
              </w:rPr>
              <w:t>Componente III. Mejorar la transparencia del sector financiero y de las actividades off-shore</w:t>
            </w:r>
          </w:p>
        </w:tc>
      </w:tr>
      <w:tr w:rsidR="00185F7E" w:rsidRPr="00675B55" w14:paraId="54A095C4" w14:textId="77777777" w:rsidTr="004865D7">
        <w:trPr>
          <w:trHeight w:val="1148"/>
        </w:trPr>
        <w:tc>
          <w:tcPr>
            <w:tcW w:w="2332" w:type="pct"/>
          </w:tcPr>
          <w:p w14:paraId="177664B2" w14:textId="77777777" w:rsidR="00185F7E" w:rsidRPr="000F7971" w:rsidRDefault="00185F7E" w:rsidP="00BB66C9">
            <w:pPr>
              <w:pStyle w:val="ListParagraph"/>
              <w:widowControl w:val="0"/>
              <w:numPr>
                <w:ilvl w:val="0"/>
                <w:numId w:val="25"/>
              </w:numPr>
              <w:spacing w:before="60" w:after="0"/>
              <w:ind w:left="540"/>
              <w:jc w:val="both"/>
              <w:rPr>
                <w:rFonts w:ascii="Arial" w:hAnsi="Arial" w:cs="Arial"/>
                <w:color w:val="000000"/>
                <w:sz w:val="18"/>
                <w:szCs w:val="16"/>
                <w:lang w:val="es-ES_tradnl" w:eastAsia="es-DO"/>
              </w:rPr>
            </w:pPr>
            <w:r w:rsidRPr="000F7971">
              <w:rPr>
                <w:rFonts w:ascii="Arial" w:eastAsia="Times New Roman" w:hAnsi="Arial" w:cs="Arial"/>
                <w:color w:val="000000"/>
                <w:sz w:val="18"/>
                <w:szCs w:val="16"/>
                <w:lang w:val="es-ES_tradnl" w:eastAsia="es-DO"/>
              </w:rPr>
              <w:t>Verificación por parte de la Superintendencia de Bancos del cumplimiento de la Resolución emitida por la Junta Monetaria, en cuanto a requerir capital adicional a entidades que otorguen financiamiento en moneda extranjera a deudores no generadores de divisas.</w:t>
            </w:r>
          </w:p>
        </w:tc>
        <w:tc>
          <w:tcPr>
            <w:tcW w:w="2019" w:type="pct"/>
          </w:tcPr>
          <w:p w14:paraId="3401BBEF" w14:textId="77777777" w:rsidR="00185F7E" w:rsidRPr="000F7971" w:rsidRDefault="00185F7E" w:rsidP="00BB66C9">
            <w:pPr>
              <w:pStyle w:val="MyBullet"/>
              <w:widowControl w:val="0"/>
              <w:suppressAutoHyphens w:val="0"/>
              <w:autoSpaceDE w:val="0"/>
              <w:autoSpaceDN w:val="0"/>
              <w:adjustRightInd w:val="0"/>
              <w:spacing w:before="60"/>
              <w:jc w:val="both"/>
              <w:rPr>
                <w:rFonts w:ascii="Arial" w:hAnsi="Arial" w:cs="Arial"/>
                <w:sz w:val="18"/>
                <w:szCs w:val="16"/>
                <w:lang w:val="es-AR"/>
              </w:rPr>
            </w:pPr>
            <w:r w:rsidRPr="000F7971">
              <w:rPr>
                <w:rFonts w:ascii="Arial" w:hAnsi="Arial" w:cs="Arial"/>
                <w:color w:val="000000"/>
                <w:sz w:val="18"/>
                <w:szCs w:val="16"/>
                <w:lang w:val="es-ES_tradnl" w:eastAsia="es-DO"/>
              </w:rPr>
              <w:t xml:space="preserve">Informe con el Resultado de la Verificación, de al menos el 50% de las </w:t>
            </w:r>
            <w:r w:rsidRPr="000F7971">
              <w:rPr>
                <w:rFonts w:ascii="Arial" w:hAnsi="Arial" w:cs="Arial"/>
                <w:color w:val="000000"/>
                <w:sz w:val="18"/>
                <w:szCs w:val="16"/>
                <w:lang w:val="es-GT" w:eastAsia="es-DO"/>
              </w:rPr>
              <w:t>entidades que otorguen financiamiento en moneda extranjera a deudores no generadores de divisas</w:t>
            </w:r>
            <w:r w:rsidRPr="000F7971">
              <w:rPr>
                <w:rFonts w:ascii="Arial" w:hAnsi="Arial" w:cs="Arial"/>
                <w:color w:val="000000"/>
                <w:sz w:val="18"/>
                <w:szCs w:val="16"/>
                <w:lang w:val="es-ES_tradnl" w:eastAsia="es-DO"/>
              </w:rPr>
              <w:t>, emitido por la Intendencia de Supervisión y presentado al Superintendente de Bancos.</w:t>
            </w:r>
          </w:p>
        </w:tc>
        <w:tc>
          <w:tcPr>
            <w:tcW w:w="649" w:type="pct"/>
          </w:tcPr>
          <w:p w14:paraId="41938D4D" w14:textId="43479C58" w:rsidR="00185F7E" w:rsidRPr="000F7971" w:rsidRDefault="00185F7E" w:rsidP="004865D7">
            <w:pPr>
              <w:pStyle w:val="MyBullet"/>
              <w:widowControl w:val="0"/>
              <w:suppressAutoHyphens w:val="0"/>
              <w:autoSpaceDE w:val="0"/>
              <w:autoSpaceDN w:val="0"/>
              <w:adjustRightInd w:val="0"/>
              <w:spacing w:before="60"/>
              <w:jc w:val="center"/>
              <w:rPr>
                <w:rFonts w:ascii="Arial" w:hAnsi="Arial" w:cs="Arial"/>
                <w:color w:val="000000"/>
                <w:sz w:val="18"/>
                <w:szCs w:val="16"/>
                <w:lang w:val="es-ES_tradnl" w:eastAsia="es-DO"/>
              </w:rPr>
            </w:pPr>
            <w:r w:rsidRPr="000F7971">
              <w:rPr>
                <w:rFonts w:ascii="Arial" w:hAnsi="Arial" w:cs="Arial"/>
                <w:color w:val="000000"/>
                <w:sz w:val="18"/>
                <w:szCs w:val="16"/>
                <w:lang w:val="es-ES_tradnl" w:eastAsia="es-DO"/>
              </w:rPr>
              <w:t>S</w:t>
            </w:r>
            <w:r w:rsidR="00B30402">
              <w:rPr>
                <w:rFonts w:ascii="Arial" w:hAnsi="Arial" w:cs="Arial"/>
                <w:color w:val="000000"/>
                <w:sz w:val="18"/>
                <w:szCs w:val="16"/>
                <w:lang w:val="es-ES_tradnl" w:eastAsia="es-DO"/>
              </w:rPr>
              <w:t>I</w:t>
            </w:r>
            <w:r w:rsidRPr="000F7971">
              <w:rPr>
                <w:rFonts w:ascii="Arial" w:hAnsi="Arial" w:cs="Arial"/>
                <w:color w:val="000000"/>
                <w:sz w:val="18"/>
                <w:szCs w:val="16"/>
                <w:lang w:val="es-ES_tradnl" w:eastAsia="es-DO"/>
              </w:rPr>
              <w:t>B</w:t>
            </w:r>
          </w:p>
        </w:tc>
      </w:tr>
      <w:tr w:rsidR="00185F7E" w:rsidRPr="00675B55" w14:paraId="697CEFD3" w14:textId="77777777" w:rsidTr="004865D7">
        <w:trPr>
          <w:trHeight w:val="1112"/>
        </w:trPr>
        <w:tc>
          <w:tcPr>
            <w:tcW w:w="2332" w:type="pct"/>
          </w:tcPr>
          <w:p w14:paraId="2F9E7564" w14:textId="77777777" w:rsidR="00185F7E" w:rsidRPr="000F7971" w:rsidRDefault="00185F7E" w:rsidP="00BB66C9">
            <w:pPr>
              <w:pStyle w:val="ListParagraph"/>
              <w:numPr>
                <w:ilvl w:val="0"/>
                <w:numId w:val="25"/>
              </w:numPr>
              <w:spacing w:before="60" w:after="0"/>
              <w:ind w:left="540"/>
              <w:jc w:val="both"/>
              <w:rPr>
                <w:rFonts w:ascii="Arial" w:hAnsi="Arial" w:cs="Arial"/>
                <w:color w:val="000000"/>
                <w:sz w:val="18"/>
                <w:szCs w:val="16"/>
                <w:lang w:val="es-ES_tradnl" w:eastAsia="es-DO"/>
              </w:rPr>
            </w:pPr>
            <w:r w:rsidRPr="000F7971">
              <w:rPr>
                <w:rFonts w:ascii="Arial" w:eastAsia="Times New Roman" w:hAnsi="Arial" w:cs="Arial"/>
                <w:color w:val="000000"/>
                <w:sz w:val="18"/>
                <w:szCs w:val="16"/>
                <w:lang w:val="es-ES_tradnl" w:eastAsia="es-DO"/>
              </w:rPr>
              <w:t>Verificación por parte de la Superintendencia de Bancos del cumplimiento de la Resolución emitida por la Junta Monetaria para mejorar la divulgación de la información de los indicadores financieros, mediante aplicación de la misma a las entidades del sistema</w:t>
            </w:r>
            <w:r w:rsidRPr="000F7971">
              <w:rPr>
                <w:rFonts w:ascii="Arial" w:hAnsi="Arial" w:cs="Arial"/>
                <w:color w:val="000000"/>
                <w:sz w:val="18"/>
                <w:szCs w:val="16"/>
                <w:lang w:val="es-ES_tradnl" w:eastAsia="es-DO"/>
              </w:rPr>
              <w:t>.</w:t>
            </w:r>
          </w:p>
        </w:tc>
        <w:tc>
          <w:tcPr>
            <w:tcW w:w="2019" w:type="pct"/>
          </w:tcPr>
          <w:p w14:paraId="6D0A5A76" w14:textId="77777777" w:rsidR="00185F7E" w:rsidRPr="000F7971" w:rsidRDefault="00185F7E" w:rsidP="00BB66C9">
            <w:pPr>
              <w:autoSpaceDE w:val="0"/>
              <w:autoSpaceDN w:val="0"/>
              <w:adjustRightInd w:val="0"/>
              <w:spacing w:before="60"/>
              <w:jc w:val="both"/>
              <w:rPr>
                <w:rFonts w:ascii="Arial" w:hAnsi="Arial" w:cs="Arial"/>
                <w:color w:val="000000"/>
                <w:sz w:val="18"/>
                <w:szCs w:val="16"/>
                <w:lang w:val="es-MX"/>
              </w:rPr>
            </w:pPr>
            <w:r w:rsidRPr="000F7971">
              <w:rPr>
                <w:rFonts w:ascii="Arial" w:hAnsi="Arial" w:cs="Arial"/>
                <w:color w:val="000000"/>
                <w:sz w:val="18"/>
                <w:szCs w:val="16"/>
                <w:lang w:val="es-ES_tradnl" w:eastAsia="es-DO"/>
              </w:rPr>
              <w:t>Informe con el Resultado de la Verificación, de al menos el 50% de las entidades,</w:t>
            </w:r>
            <w:r w:rsidRPr="000F7971">
              <w:rPr>
                <w:sz w:val="18"/>
                <w:szCs w:val="16"/>
                <w:lang w:val="es-GT"/>
              </w:rPr>
              <w:t xml:space="preserve"> </w:t>
            </w:r>
            <w:r w:rsidRPr="000F7971">
              <w:rPr>
                <w:rFonts w:ascii="Arial" w:hAnsi="Arial" w:cs="Arial"/>
                <w:color w:val="000000"/>
                <w:sz w:val="18"/>
                <w:szCs w:val="16"/>
                <w:lang w:val="es-GT" w:eastAsia="es-DO"/>
              </w:rPr>
              <w:t>en especial las off shore</w:t>
            </w:r>
            <w:r w:rsidRPr="000F7971">
              <w:rPr>
                <w:rFonts w:ascii="Arial" w:hAnsi="Arial" w:cs="Arial"/>
                <w:color w:val="000000"/>
                <w:sz w:val="18"/>
                <w:szCs w:val="16"/>
                <w:u w:val="single"/>
                <w:lang w:val="es-GT" w:eastAsia="es-DO"/>
              </w:rPr>
              <w:t>,</w:t>
            </w:r>
            <w:r w:rsidRPr="000F7971">
              <w:rPr>
                <w:rFonts w:ascii="Arial" w:hAnsi="Arial" w:cs="Arial"/>
                <w:color w:val="000000"/>
                <w:sz w:val="18"/>
                <w:szCs w:val="16"/>
                <w:lang w:val="es-ES_tradnl" w:eastAsia="es-DO"/>
              </w:rPr>
              <w:t xml:space="preserve"> emitido por la Intendencia de Supervisión y presentado al Superintendente de Bancos.</w:t>
            </w:r>
          </w:p>
        </w:tc>
        <w:tc>
          <w:tcPr>
            <w:tcW w:w="649" w:type="pct"/>
          </w:tcPr>
          <w:p w14:paraId="413D589A" w14:textId="2D45B9DB" w:rsidR="00185F7E" w:rsidRPr="000F7971" w:rsidRDefault="00E86EF2" w:rsidP="004865D7">
            <w:pPr>
              <w:autoSpaceDE w:val="0"/>
              <w:autoSpaceDN w:val="0"/>
              <w:adjustRightInd w:val="0"/>
              <w:spacing w:before="60"/>
              <w:jc w:val="center"/>
              <w:rPr>
                <w:rFonts w:ascii="Arial" w:hAnsi="Arial" w:cs="Arial"/>
                <w:color w:val="000000"/>
                <w:sz w:val="18"/>
                <w:szCs w:val="16"/>
                <w:lang w:val="es-ES_tradnl" w:eastAsia="es-DO"/>
              </w:rPr>
            </w:pPr>
            <w:r w:rsidRPr="000F7971">
              <w:rPr>
                <w:rFonts w:ascii="Arial" w:hAnsi="Arial" w:cs="Arial"/>
                <w:color w:val="000000"/>
                <w:sz w:val="18"/>
                <w:szCs w:val="16"/>
                <w:lang w:val="es-ES_tradnl" w:eastAsia="es-DO"/>
              </w:rPr>
              <w:t>S</w:t>
            </w:r>
            <w:r w:rsidR="00B30402">
              <w:rPr>
                <w:rFonts w:ascii="Arial" w:hAnsi="Arial" w:cs="Arial"/>
                <w:color w:val="000000"/>
                <w:sz w:val="18"/>
                <w:szCs w:val="16"/>
                <w:lang w:val="es-ES_tradnl" w:eastAsia="es-DO"/>
              </w:rPr>
              <w:t>I</w:t>
            </w:r>
            <w:r w:rsidRPr="000F7971">
              <w:rPr>
                <w:rFonts w:ascii="Arial" w:hAnsi="Arial" w:cs="Arial"/>
                <w:color w:val="000000"/>
                <w:sz w:val="18"/>
                <w:szCs w:val="16"/>
                <w:lang w:val="es-ES_tradnl" w:eastAsia="es-DO"/>
              </w:rPr>
              <w:t>B</w:t>
            </w:r>
          </w:p>
        </w:tc>
      </w:tr>
      <w:tr w:rsidR="00185F7E" w:rsidRPr="00675B55" w14:paraId="6D93622F" w14:textId="77777777" w:rsidTr="004865D7">
        <w:trPr>
          <w:trHeight w:val="401"/>
        </w:trPr>
        <w:tc>
          <w:tcPr>
            <w:tcW w:w="2332" w:type="pct"/>
            <w:tcBorders>
              <w:bottom w:val="single" w:sz="4" w:space="0" w:color="auto"/>
            </w:tcBorders>
          </w:tcPr>
          <w:p w14:paraId="7909505C" w14:textId="77777777" w:rsidR="00185F7E" w:rsidRPr="000F7971" w:rsidRDefault="00185F7E" w:rsidP="00BB66C9">
            <w:pPr>
              <w:pStyle w:val="ListParagraph"/>
              <w:numPr>
                <w:ilvl w:val="0"/>
                <w:numId w:val="25"/>
              </w:numPr>
              <w:spacing w:before="60" w:after="0"/>
              <w:ind w:left="540"/>
              <w:jc w:val="both"/>
              <w:rPr>
                <w:rFonts w:ascii="Arial" w:hAnsi="Arial" w:cs="Arial"/>
                <w:color w:val="000000"/>
                <w:sz w:val="18"/>
                <w:szCs w:val="16"/>
                <w:lang w:val="es-ES_tradnl" w:eastAsia="es-DO"/>
              </w:rPr>
            </w:pPr>
            <w:r w:rsidRPr="000F7971">
              <w:rPr>
                <w:rFonts w:ascii="Arial" w:eastAsia="Times New Roman" w:hAnsi="Arial" w:cs="Arial"/>
                <w:color w:val="000000"/>
                <w:sz w:val="18"/>
                <w:szCs w:val="16"/>
                <w:lang w:val="es-ES_tradnl" w:eastAsia="es-DO"/>
              </w:rPr>
              <w:t>Adecuar el Plan Estratégico Nacional Contra el Lavado de Activos, y el Financiamiento del Terrorismo y el Financiamiento de la Proliferación de Armas de Destrucción Masiva a los Resultados de la Evaluación Nacional de Riesgos y el Informe de Evaluación Mutua de los grupos regionales del GAFI (GAFILAT-Latinoamérica y GAFIC-Caribe)</w:t>
            </w:r>
            <w:r w:rsidR="003A0946" w:rsidRPr="003A0946">
              <w:rPr>
                <w:rFonts w:ascii="Arial" w:eastAsia="Times New Roman" w:hAnsi="Arial" w:cs="Arial"/>
                <w:color w:val="000000"/>
                <w:sz w:val="18"/>
                <w:szCs w:val="20"/>
                <w:lang w:val="es-ES_tradnl" w:eastAsia="es-DO"/>
              </w:rPr>
              <w:t xml:space="preserve"> </w:t>
            </w:r>
            <w:r w:rsidR="003A0946" w:rsidRPr="003A0946">
              <w:rPr>
                <w:rFonts w:ascii="Arial" w:eastAsia="Times New Roman" w:hAnsi="Arial" w:cs="Arial"/>
                <w:color w:val="000000"/>
                <w:sz w:val="18"/>
                <w:szCs w:val="16"/>
                <w:lang w:val="es-ES_tradnl" w:eastAsia="es-DO"/>
              </w:rPr>
              <w:t xml:space="preserve">previsto publicarse a finales del 2016 o inicio del </w:t>
            </w:r>
            <w:r w:rsidR="003A0946" w:rsidRPr="003A0946">
              <w:rPr>
                <w:rFonts w:ascii="Arial" w:eastAsia="Times New Roman" w:hAnsi="Arial" w:cs="Arial"/>
                <w:color w:val="000000"/>
                <w:sz w:val="18"/>
                <w:szCs w:val="16"/>
                <w:lang w:val="es-ES_tradnl" w:eastAsia="es-DO"/>
              </w:rPr>
              <w:lastRenderedPageBreak/>
              <w:t>2017</w:t>
            </w:r>
            <w:r w:rsidRPr="000F7971">
              <w:rPr>
                <w:rFonts w:ascii="Arial" w:hAnsi="Arial" w:cs="Arial"/>
                <w:color w:val="000000"/>
                <w:sz w:val="18"/>
                <w:szCs w:val="16"/>
                <w:lang w:val="es-ES_tradnl" w:eastAsia="es-DO"/>
              </w:rPr>
              <w:t>.</w:t>
            </w:r>
          </w:p>
        </w:tc>
        <w:tc>
          <w:tcPr>
            <w:tcW w:w="2019" w:type="pct"/>
            <w:tcBorders>
              <w:bottom w:val="single" w:sz="4" w:space="0" w:color="auto"/>
            </w:tcBorders>
          </w:tcPr>
          <w:p w14:paraId="755CCA09" w14:textId="77777777" w:rsidR="00185F7E" w:rsidRPr="000F7971" w:rsidRDefault="00185F7E" w:rsidP="00BB66C9">
            <w:pPr>
              <w:autoSpaceDE w:val="0"/>
              <w:autoSpaceDN w:val="0"/>
              <w:adjustRightInd w:val="0"/>
              <w:spacing w:before="60"/>
              <w:jc w:val="both"/>
              <w:rPr>
                <w:rFonts w:ascii="Arial" w:hAnsi="Arial" w:cs="Arial"/>
                <w:sz w:val="18"/>
                <w:szCs w:val="16"/>
              </w:rPr>
            </w:pPr>
            <w:r w:rsidRPr="000F7971">
              <w:rPr>
                <w:rFonts w:ascii="Arial" w:hAnsi="Arial" w:cs="Arial"/>
                <w:color w:val="000000"/>
                <w:sz w:val="18"/>
                <w:szCs w:val="16"/>
                <w:lang w:val="es-ES_tradnl" w:eastAsia="es-DO"/>
              </w:rPr>
              <w:lastRenderedPageBreak/>
              <w:t>Acta Notarial de la COPRECLAFT donde se apruebe la adecuación</w:t>
            </w:r>
            <w:r w:rsidR="00D31A5A" w:rsidRPr="000F7971">
              <w:rPr>
                <w:rFonts w:ascii="Arial" w:hAnsi="Arial" w:cs="Arial"/>
                <w:color w:val="000000"/>
                <w:sz w:val="18"/>
                <w:szCs w:val="16"/>
                <w:lang w:val="es-ES_tradnl" w:eastAsia="es-DO"/>
              </w:rPr>
              <w:t xml:space="preserve"> del Plan Estratégico Nacional</w:t>
            </w:r>
            <w:r w:rsidR="005C02BB" w:rsidRPr="000F7971">
              <w:rPr>
                <w:rFonts w:ascii="Arial" w:hAnsi="Arial" w:cs="Arial"/>
                <w:color w:val="000000"/>
                <w:sz w:val="18"/>
                <w:szCs w:val="16"/>
                <w:lang w:val="es-ES_tradnl" w:eastAsia="es-DO"/>
              </w:rPr>
              <w:t>,</w:t>
            </w:r>
            <w:r w:rsidR="00D31A5A" w:rsidRPr="000F7971">
              <w:rPr>
                <w:rFonts w:ascii="Arial" w:hAnsi="Arial" w:cs="Arial"/>
                <w:color w:val="000000"/>
                <w:sz w:val="18"/>
                <w:szCs w:val="16"/>
                <w:lang w:val="es-ES_tradnl" w:eastAsia="es-DO"/>
              </w:rPr>
              <w:t xml:space="preserve"> a los Resultados de la Evaluación Nacional de Riesgos y el Informe de Evaluación Mutua de los grupos regionales del GAFI (GAFILAT-Latinoamérica y GAFIC-Caribe) del 2016-2017</w:t>
            </w:r>
            <w:r w:rsidRPr="000F7971">
              <w:rPr>
                <w:rFonts w:ascii="Arial" w:hAnsi="Arial" w:cs="Arial"/>
                <w:color w:val="000000"/>
                <w:sz w:val="18"/>
                <w:szCs w:val="16"/>
                <w:lang w:val="es-ES_tradnl" w:eastAsia="es-DO"/>
              </w:rPr>
              <w:t>.</w:t>
            </w:r>
          </w:p>
        </w:tc>
        <w:tc>
          <w:tcPr>
            <w:tcW w:w="649" w:type="pct"/>
            <w:tcBorders>
              <w:bottom w:val="single" w:sz="4" w:space="0" w:color="auto"/>
            </w:tcBorders>
          </w:tcPr>
          <w:p w14:paraId="03BFBBC7" w14:textId="66F7D0E3" w:rsidR="00185F7E" w:rsidRPr="000F7971" w:rsidRDefault="00E86EF2" w:rsidP="004865D7">
            <w:pPr>
              <w:autoSpaceDE w:val="0"/>
              <w:autoSpaceDN w:val="0"/>
              <w:adjustRightInd w:val="0"/>
              <w:spacing w:before="60"/>
              <w:jc w:val="center"/>
              <w:rPr>
                <w:rFonts w:ascii="Arial" w:hAnsi="Arial" w:cs="Arial"/>
                <w:color w:val="000000"/>
                <w:sz w:val="18"/>
                <w:szCs w:val="16"/>
                <w:lang w:val="es-ES_tradnl" w:eastAsia="es-DO"/>
              </w:rPr>
            </w:pPr>
            <w:r w:rsidRPr="000F7971">
              <w:rPr>
                <w:rFonts w:ascii="Arial" w:hAnsi="Arial" w:cs="Arial"/>
                <w:color w:val="000000"/>
                <w:sz w:val="18"/>
                <w:szCs w:val="16"/>
                <w:lang w:val="es-ES_tradnl" w:eastAsia="es-DO"/>
              </w:rPr>
              <w:t>S</w:t>
            </w:r>
            <w:r w:rsidR="00B30402">
              <w:rPr>
                <w:rFonts w:ascii="Arial" w:hAnsi="Arial" w:cs="Arial"/>
                <w:color w:val="000000"/>
                <w:sz w:val="18"/>
                <w:szCs w:val="16"/>
                <w:lang w:val="es-ES_tradnl" w:eastAsia="es-DO"/>
              </w:rPr>
              <w:t>I</w:t>
            </w:r>
            <w:r w:rsidRPr="000F7971">
              <w:rPr>
                <w:rFonts w:ascii="Arial" w:hAnsi="Arial" w:cs="Arial"/>
                <w:color w:val="000000"/>
                <w:sz w:val="18"/>
                <w:szCs w:val="16"/>
                <w:lang w:val="es-ES_tradnl" w:eastAsia="es-DO"/>
              </w:rPr>
              <w:t>B</w:t>
            </w:r>
          </w:p>
        </w:tc>
      </w:tr>
      <w:tr w:rsidR="00442CF7" w:rsidRPr="00675B55" w14:paraId="4ED5D617" w14:textId="77777777" w:rsidTr="00BB66C9">
        <w:trPr>
          <w:trHeight w:val="671"/>
        </w:trPr>
        <w:tc>
          <w:tcPr>
            <w:tcW w:w="2332" w:type="pct"/>
            <w:shd w:val="clear" w:color="auto" w:fill="CCC0D9" w:themeFill="accent4" w:themeFillTint="66"/>
            <w:vAlign w:val="center"/>
          </w:tcPr>
          <w:p w14:paraId="440972C3" w14:textId="096D2779" w:rsidR="00442CF7" w:rsidRPr="00442CF7" w:rsidRDefault="00442CF7" w:rsidP="00442CF7">
            <w:pPr>
              <w:jc w:val="center"/>
              <w:rPr>
                <w:rFonts w:ascii="Arial" w:hAnsi="Arial" w:cs="Arial"/>
                <w:color w:val="000000"/>
                <w:sz w:val="18"/>
                <w:szCs w:val="16"/>
                <w:lang w:val="es-ES_tradnl" w:eastAsia="es-DO"/>
              </w:rPr>
            </w:pPr>
            <w:r w:rsidRPr="000F7971">
              <w:rPr>
                <w:rFonts w:ascii="Arial" w:hAnsi="Arial" w:cs="Arial"/>
                <w:b/>
                <w:bCs/>
                <w:color w:val="000000"/>
                <w:sz w:val="20"/>
                <w:szCs w:val="20"/>
                <w:lang w:val="es-DO" w:eastAsia="es-DO"/>
              </w:rPr>
              <w:lastRenderedPageBreak/>
              <w:t>Compromisos de Política Segundo Tramo</w:t>
            </w:r>
          </w:p>
        </w:tc>
        <w:tc>
          <w:tcPr>
            <w:tcW w:w="2019" w:type="pct"/>
            <w:shd w:val="clear" w:color="auto" w:fill="CCC0D9" w:themeFill="accent4" w:themeFillTint="66"/>
            <w:vAlign w:val="center"/>
          </w:tcPr>
          <w:p w14:paraId="39846BD2" w14:textId="3B901377" w:rsidR="00442CF7" w:rsidRPr="000F7971" w:rsidRDefault="00442CF7" w:rsidP="00442CF7">
            <w:pPr>
              <w:jc w:val="center"/>
              <w:rPr>
                <w:rFonts w:ascii="Arial" w:hAnsi="Arial" w:cs="Arial"/>
                <w:color w:val="000000"/>
                <w:sz w:val="18"/>
                <w:szCs w:val="16"/>
                <w:lang w:val="es-ES_tradnl" w:eastAsia="es-DO"/>
              </w:rPr>
            </w:pPr>
            <w:r w:rsidRPr="000F7971">
              <w:rPr>
                <w:rFonts w:ascii="Arial" w:hAnsi="Arial" w:cs="Arial"/>
                <w:b/>
                <w:bCs/>
                <w:sz w:val="20"/>
                <w:szCs w:val="22"/>
                <w:lang w:val="es-ES_tradnl"/>
              </w:rPr>
              <w:t>Medios de verificación</w:t>
            </w:r>
          </w:p>
        </w:tc>
        <w:tc>
          <w:tcPr>
            <w:tcW w:w="649" w:type="pct"/>
            <w:shd w:val="clear" w:color="auto" w:fill="CCC0D9" w:themeFill="accent4" w:themeFillTint="66"/>
            <w:vAlign w:val="center"/>
          </w:tcPr>
          <w:p w14:paraId="28292DFC" w14:textId="21479326" w:rsidR="00442CF7" w:rsidRPr="000F7971" w:rsidRDefault="00442CF7" w:rsidP="00442CF7">
            <w:pPr>
              <w:jc w:val="center"/>
              <w:rPr>
                <w:rFonts w:ascii="Arial" w:hAnsi="Arial" w:cs="Arial"/>
                <w:color w:val="000000"/>
                <w:sz w:val="18"/>
                <w:szCs w:val="16"/>
                <w:lang w:val="es-ES_tradnl" w:eastAsia="es-DO"/>
              </w:rPr>
            </w:pPr>
            <w:r w:rsidRPr="000F7971">
              <w:rPr>
                <w:rFonts w:ascii="Arial" w:hAnsi="Arial" w:cs="Arial"/>
                <w:b/>
                <w:bCs/>
                <w:sz w:val="20"/>
                <w:szCs w:val="22"/>
                <w:lang w:val="es-ES_tradnl"/>
              </w:rPr>
              <w:t>Entidad Responsable</w:t>
            </w:r>
          </w:p>
        </w:tc>
      </w:tr>
      <w:tr w:rsidR="00442CF7" w:rsidRPr="00675B55" w14:paraId="71014304" w14:textId="77777777" w:rsidTr="004865D7">
        <w:trPr>
          <w:trHeight w:val="887"/>
        </w:trPr>
        <w:tc>
          <w:tcPr>
            <w:tcW w:w="2332" w:type="pct"/>
          </w:tcPr>
          <w:p w14:paraId="4A2A9B50" w14:textId="77777777" w:rsidR="00442CF7" w:rsidRPr="000F7971" w:rsidRDefault="00442CF7" w:rsidP="00442CF7">
            <w:pPr>
              <w:pStyle w:val="ListParagraph"/>
              <w:numPr>
                <w:ilvl w:val="0"/>
                <w:numId w:val="25"/>
              </w:numPr>
              <w:spacing w:before="120" w:after="0"/>
              <w:ind w:left="540"/>
              <w:jc w:val="both"/>
              <w:rPr>
                <w:rFonts w:ascii="Arial" w:hAnsi="Arial" w:cs="Arial"/>
                <w:color w:val="000000"/>
                <w:sz w:val="18"/>
                <w:szCs w:val="16"/>
                <w:lang w:val="es-ES_tradnl" w:eastAsia="es-DO"/>
              </w:rPr>
            </w:pPr>
            <w:r w:rsidRPr="000F7971">
              <w:rPr>
                <w:rFonts w:ascii="Arial" w:eastAsia="Times New Roman" w:hAnsi="Arial" w:cs="Arial"/>
                <w:color w:val="000000"/>
                <w:sz w:val="18"/>
                <w:szCs w:val="16"/>
                <w:lang w:val="es-ES_tradnl" w:eastAsia="es-DO"/>
              </w:rPr>
              <w:t>Implementar un sistema de intercambio de información estadística entre las entidades miembros e invitadas de la COPRECLAFT mediante una plataforma tecnológica diseñada con tal propósito</w:t>
            </w:r>
            <w:r w:rsidRPr="000F7971">
              <w:rPr>
                <w:rFonts w:ascii="Arial" w:hAnsi="Arial" w:cs="Arial"/>
                <w:color w:val="000000"/>
                <w:sz w:val="18"/>
                <w:szCs w:val="16"/>
                <w:lang w:val="es-ES_tradnl" w:eastAsia="es-DO"/>
              </w:rPr>
              <w:t>.</w:t>
            </w:r>
          </w:p>
        </w:tc>
        <w:tc>
          <w:tcPr>
            <w:tcW w:w="2019" w:type="pct"/>
          </w:tcPr>
          <w:p w14:paraId="5F9517AA" w14:textId="4C15757F" w:rsidR="00442CF7" w:rsidRPr="000F7971" w:rsidRDefault="00442CF7">
            <w:pPr>
              <w:spacing w:before="120"/>
              <w:jc w:val="both"/>
              <w:rPr>
                <w:rFonts w:ascii="Arial" w:hAnsi="Arial" w:cs="Arial"/>
                <w:sz w:val="18"/>
                <w:szCs w:val="16"/>
                <w:lang w:val="es-MX"/>
              </w:rPr>
            </w:pPr>
            <w:r w:rsidRPr="000F7971">
              <w:rPr>
                <w:rFonts w:ascii="Arial" w:hAnsi="Arial" w:cs="Arial"/>
                <w:color w:val="000000"/>
                <w:sz w:val="18"/>
                <w:szCs w:val="16"/>
                <w:lang w:val="es-ES_tradnl" w:eastAsia="es-DO"/>
              </w:rPr>
              <w:t xml:space="preserve">Resolución de la Intendencia de Verificación Especial de la </w:t>
            </w:r>
            <w:r w:rsidR="006156FE">
              <w:rPr>
                <w:rFonts w:ascii="Arial" w:hAnsi="Arial" w:cs="Arial"/>
                <w:color w:val="000000"/>
                <w:sz w:val="18"/>
                <w:szCs w:val="16"/>
                <w:lang w:val="es-ES_tradnl" w:eastAsia="es-DO"/>
              </w:rPr>
              <w:t>SIB</w:t>
            </w:r>
            <w:r w:rsidR="006156FE" w:rsidRPr="000F7971">
              <w:rPr>
                <w:rFonts w:ascii="Arial" w:hAnsi="Arial" w:cs="Arial"/>
                <w:color w:val="000000"/>
                <w:sz w:val="18"/>
                <w:szCs w:val="16"/>
                <w:lang w:val="es-ES_tradnl" w:eastAsia="es-DO"/>
              </w:rPr>
              <w:t xml:space="preserve"> </w:t>
            </w:r>
            <w:r w:rsidRPr="000F7971">
              <w:rPr>
                <w:rFonts w:ascii="Arial" w:hAnsi="Arial" w:cs="Arial"/>
                <w:color w:val="000000"/>
                <w:sz w:val="18"/>
                <w:szCs w:val="16"/>
                <w:lang w:val="es-ES_tradnl" w:eastAsia="es-DO"/>
              </w:rPr>
              <w:t>(IVE) que adopta el Manual operativo.</w:t>
            </w:r>
          </w:p>
        </w:tc>
        <w:tc>
          <w:tcPr>
            <w:tcW w:w="649" w:type="pct"/>
          </w:tcPr>
          <w:p w14:paraId="75B9B929" w14:textId="6E496B97" w:rsidR="00442CF7" w:rsidRPr="000F7971" w:rsidRDefault="00442CF7" w:rsidP="004865D7">
            <w:pPr>
              <w:spacing w:before="120"/>
              <w:jc w:val="center"/>
              <w:rPr>
                <w:rFonts w:ascii="Arial" w:hAnsi="Arial" w:cs="Arial"/>
                <w:color w:val="000000"/>
                <w:sz w:val="18"/>
                <w:szCs w:val="16"/>
                <w:lang w:val="es-ES_tradnl" w:eastAsia="es-DO"/>
              </w:rPr>
            </w:pPr>
            <w:r w:rsidRPr="000F7971">
              <w:rPr>
                <w:rFonts w:ascii="Arial" w:hAnsi="Arial" w:cs="Arial"/>
                <w:color w:val="000000"/>
                <w:sz w:val="18"/>
                <w:szCs w:val="16"/>
                <w:lang w:val="es-ES_tradnl" w:eastAsia="es-DO"/>
              </w:rPr>
              <w:t>S</w:t>
            </w:r>
            <w:r w:rsidR="00B30402">
              <w:rPr>
                <w:rFonts w:ascii="Arial" w:hAnsi="Arial" w:cs="Arial"/>
                <w:color w:val="000000"/>
                <w:sz w:val="18"/>
                <w:szCs w:val="16"/>
                <w:lang w:val="es-ES_tradnl" w:eastAsia="es-DO"/>
              </w:rPr>
              <w:t>I</w:t>
            </w:r>
            <w:r w:rsidRPr="000F7971">
              <w:rPr>
                <w:rFonts w:ascii="Arial" w:hAnsi="Arial" w:cs="Arial"/>
                <w:color w:val="000000"/>
                <w:sz w:val="18"/>
                <w:szCs w:val="16"/>
                <w:lang w:val="es-ES_tradnl" w:eastAsia="es-DO"/>
              </w:rPr>
              <w:t>B</w:t>
            </w:r>
          </w:p>
        </w:tc>
      </w:tr>
      <w:tr w:rsidR="00442CF7" w:rsidRPr="00675B55" w14:paraId="0D5E888E" w14:textId="77777777" w:rsidTr="004865D7">
        <w:trPr>
          <w:trHeight w:val="1067"/>
        </w:trPr>
        <w:tc>
          <w:tcPr>
            <w:tcW w:w="2332" w:type="pct"/>
          </w:tcPr>
          <w:p w14:paraId="5874EAA9" w14:textId="77777777" w:rsidR="00442CF7" w:rsidRPr="000F7971" w:rsidRDefault="00442CF7" w:rsidP="00442CF7">
            <w:pPr>
              <w:pStyle w:val="ListParagraph"/>
              <w:numPr>
                <w:ilvl w:val="0"/>
                <w:numId w:val="25"/>
              </w:numPr>
              <w:spacing w:before="120" w:after="0"/>
              <w:ind w:left="540"/>
              <w:jc w:val="both"/>
              <w:rPr>
                <w:rFonts w:ascii="Arial" w:hAnsi="Arial" w:cs="Arial"/>
                <w:color w:val="000000"/>
                <w:sz w:val="18"/>
                <w:szCs w:val="16"/>
                <w:lang w:val="es-ES_tradnl" w:eastAsia="es-DO"/>
              </w:rPr>
            </w:pPr>
            <w:r w:rsidRPr="000F7971">
              <w:rPr>
                <w:rFonts w:ascii="Arial" w:eastAsia="Times New Roman" w:hAnsi="Arial" w:cs="Arial"/>
                <w:color w:val="000000"/>
                <w:sz w:val="18"/>
                <w:szCs w:val="16"/>
                <w:lang w:val="es-ES_tradnl" w:eastAsia="es-DO"/>
              </w:rPr>
              <w:t>Remitir al Congreso de la República de Guatemala un proyecto de ley para fortalecer la normativa de prevención y represión del lavado de activos y financiamiento del terrorismo y la proliferación de armas de destrucción masiva</w:t>
            </w:r>
            <w:r w:rsidRPr="000F7971">
              <w:rPr>
                <w:rFonts w:ascii="Arial" w:hAnsi="Arial" w:cs="Arial"/>
                <w:color w:val="000000"/>
                <w:sz w:val="18"/>
                <w:szCs w:val="16"/>
                <w:lang w:val="es-ES_tradnl" w:eastAsia="es-DO"/>
              </w:rPr>
              <w:t>.</w:t>
            </w:r>
          </w:p>
        </w:tc>
        <w:tc>
          <w:tcPr>
            <w:tcW w:w="2019" w:type="pct"/>
          </w:tcPr>
          <w:p w14:paraId="185B3920" w14:textId="77777777" w:rsidR="00442CF7" w:rsidRPr="000F7971" w:rsidRDefault="00442CF7" w:rsidP="00442CF7">
            <w:pPr>
              <w:spacing w:before="120"/>
              <w:jc w:val="both"/>
              <w:rPr>
                <w:rFonts w:ascii="Arial" w:hAnsi="Arial" w:cs="Arial"/>
                <w:sz w:val="18"/>
                <w:szCs w:val="16"/>
                <w:lang w:val="es-MX"/>
              </w:rPr>
            </w:pPr>
            <w:r w:rsidRPr="000F7971">
              <w:rPr>
                <w:rFonts w:ascii="Arial" w:hAnsi="Arial" w:cs="Arial"/>
                <w:sz w:val="18"/>
                <w:szCs w:val="16"/>
                <w:lang w:val="es-ES_tradnl"/>
              </w:rPr>
              <w:t>Constancia de Recepción por parte del Congreso de la República de un proyecto de Ley de Actualización y Fortalecimiento del Marco Legal para la Prevención, Control y Represión de la Delincuencia Financiera).</w:t>
            </w:r>
          </w:p>
        </w:tc>
        <w:tc>
          <w:tcPr>
            <w:tcW w:w="649" w:type="pct"/>
          </w:tcPr>
          <w:p w14:paraId="7EAB5165" w14:textId="77777777" w:rsidR="00442CF7" w:rsidRPr="000F7971" w:rsidRDefault="00442CF7" w:rsidP="004865D7">
            <w:pPr>
              <w:spacing w:before="120"/>
              <w:jc w:val="center"/>
              <w:rPr>
                <w:rFonts w:ascii="Arial" w:hAnsi="Arial" w:cs="Arial"/>
                <w:sz w:val="18"/>
                <w:szCs w:val="16"/>
                <w:lang w:val="es-ES_tradnl"/>
              </w:rPr>
            </w:pPr>
            <w:r w:rsidRPr="000F7971">
              <w:rPr>
                <w:rFonts w:ascii="Arial" w:hAnsi="Arial" w:cs="Arial"/>
                <w:sz w:val="18"/>
                <w:szCs w:val="16"/>
                <w:lang w:val="es-ES_tradnl"/>
              </w:rPr>
              <w:t>MINFIN</w:t>
            </w:r>
          </w:p>
        </w:tc>
      </w:tr>
    </w:tbl>
    <w:p w14:paraId="7EA9629C" w14:textId="77777777" w:rsidR="00116EA8" w:rsidRPr="00675B55" w:rsidRDefault="00116EA8" w:rsidP="00675B55">
      <w:pPr>
        <w:rPr>
          <w:rFonts w:ascii="Arial" w:hAnsi="Arial" w:cs="Arial"/>
          <w:sz w:val="22"/>
          <w:szCs w:val="22"/>
          <w:lang w:val="es-AR"/>
        </w:rPr>
      </w:pPr>
    </w:p>
    <w:sectPr w:rsidR="00116EA8" w:rsidRPr="00675B55" w:rsidSect="00AF0BD5">
      <w:headerReference w:type="even" r:id="rId9"/>
      <w:headerReference w:type="default" r:id="rId10"/>
      <w:headerReference w:type="first" r:id="rId11"/>
      <w:pgSz w:w="15840" w:h="12240" w:orient="landscape" w:code="1"/>
      <w:pgMar w:top="1263" w:right="1440" w:bottom="1800" w:left="1440" w:header="706" w:footer="706"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0146D" w14:textId="77777777" w:rsidR="00B06515" w:rsidRDefault="00B06515">
      <w:r>
        <w:separator/>
      </w:r>
    </w:p>
  </w:endnote>
  <w:endnote w:type="continuationSeparator" w:id="0">
    <w:p w14:paraId="07C18CFC" w14:textId="77777777" w:rsidR="00B06515" w:rsidRDefault="00B06515">
      <w:r>
        <w:continuationSeparator/>
      </w:r>
    </w:p>
  </w:endnote>
  <w:endnote w:type="continuationNotice" w:id="1">
    <w:p w14:paraId="6C25DEE8" w14:textId="77777777" w:rsidR="00B06515" w:rsidRDefault="00B065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795AD" w14:textId="77777777" w:rsidR="00B06515" w:rsidRDefault="00B06515">
      <w:r>
        <w:separator/>
      </w:r>
    </w:p>
  </w:footnote>
  <w:footnote w:type="continuationSeparator" w:id="0">
    <w:p w14:paraId="0EF9852A" w14:textId="77777777" w:rsidR="00B06515" w:rsidRDefault="00B06515">
      <w:r>
        <w:continuationSeparator/>
      </w:r>
    </w:p>
  </w:footnote>
  <w:footnote w:type="continuationNotice" w:id="1">
    <w:p w14:paraId="78508048" w14:textId="77777777" w:rsidR="00B06515" w:rsidRDefault="00B065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FA917" w14:textId="36AAB472" w:rsidR="00B14B46" w:rsidRPr="00B14B46" w:rsidRDefault="00275481" w:rsidP="00B14B46">
    <w:pPr>
      <w:pStyle w:val="Header"/>
      <w:tabs>
        <w:tab w:val="clear" w:pos="8640"/>
      </w:tabs>
      <w:rPr>
        <w:rFonts w:ascii="Arial" w:hAnsi="Arial" w:cs="Arial"/>
        <w:sz w:val="18"/>
        <w:szCs w:val="22"/>
        <w:lang w:val="es-MX"/>
      </w:rPr>
    </w:pPr>
    <w:r>
      <w:rPr>
        <w:rFonts w:ascii="Arial" w:hAnsi="Arial" w:cs="Arial"/>
        <w:sz w:val="18"/>
        <w:szCs w:val="22"/>
        <w:lang w:val="es-MX"/>
      </w:rPr>
      <w:t>Matriz de Medios de Verificación</w:t>
    </w:r>
    <w:r w:rsidRPr="00B14B46">
      <w:rPr>
        <w:rFonts w:ascii="Arial" w:hAnsi="Arial" w:cs="Arial"/>
        <w:sz w:val="18"/>
        <w:szCs w:val="22"/>
        <w:lang w:val="es-MX"/>
      </w:rPr>
      <w:t xml:space="preserve"> </w:t>
    </w:r>
    <w:r w:rsidR="00B14B46" w:rsidRPr="00B14B46">
      <w:rPr>
        <w:rFonts w:ascii="Arial" w:hAnsi="Arial" w:cs="Arial"/>
        <w:sz w:val="18"/>
        <w:szCs w:val="22"/>
        <w:lang w:val="es-MX"/>
      </w:rPr>
      <w:t>– GU-L1096</w:t>
    </w:r>
  </w:p>
  <w:p w14:paraId="7746C9B1" w14:textId="048B3689" w:rsidR="00B14B46" w:rsidRPr="00B14B46" w:rsidRDefault="00B14B46" w:rsidP="00B14B46">
    <w:pPr>
      <w:pStyle w:val="Header"/>
      <w:tabs>
        <w:tab w:val="clear" w:pos="8640"/>
      </w:tabs>
      <w:rPr>
        <w:rFonts w:ascii="Arial" w:hAnsi="Arial" w:cs="Arial"/>
        <w:sz w:val="18"/>
        <w:szCs w:val="22"/>
      </w:rPr>
    </w:pPr>
    <w:r w:rsidRPr="00B14B46">
      <w:rPr>
        <w:rFonts w:ascii="Arial" w:hAnsi="Arial" w:cs="Arial"/>
        <w:sz w:val="18"/>
        <w:szCs w:val="22"/>
      </w:rPr>
      <w:t xml:space="preserve">Página </w:t>
    </w:r>
    <w:r w:rsidRPr="00B14B46">
      <w:rPr>
        <w:rFonts w:ascii="Arial" w:hAnsi="Arial" w:cs="Arial"/>
        <w:sz w:val="18"/>
        <w:szCs w:val="22"/>
      </w:rPr>
      <w:fldChar w:fldCharType="begin"/>
    </w:r>
    <w:r w:rsidRPr="00B14B46">
      <w:rPr>
        <w:rFonts w:ascii="Arial" w:hAnsi="Arial" w:cs="Arial"/>
        <w:sz w:val="18"/>
        <w:szCs w:val="22"/>
      </w:rPr>
      <w:instrText xml:space="preserve"> PAGE </w:instrText>
    </w:r>
    <w:r w:rsidRPr="00B14B46">
      <w:rPr>
        <w:rFonts w:ascii="Arial" w:hAnsi="Arial" w:cs="Arial"/>
        <w:sz w:val="18"/>
        <w:szCs w:val="22"/>
      </w:rPr>
      <w:fldChar w:fldCharType="separate"/>
    </w:r>
    <w:r w:rsidR="002428D6">
      <w:rPr>
        <w:rFonts w:ascii="Arial" w:hAnsi="Arial" w:cs="Arial"/>
        <w:noProof/>
        <w:sz w:val="18"/>
        <w:szCs w:val="22"/>
      </w:rPr>
      <w:t>2</w:t>
    </w:r>
    <w:r w:rsidRPr="00B14B46">
      <w:rPr>
        <w:rFonts w:ascii="Arial" w:hAnsi="Arial" w:cs="Arial"/>
        <w:sz w:val="18"/>
        <w:szCs w:val="22"/>
      </w:rPr>
      <w:fldChar w:fldCharType="end"/>
    </w:r>
    <w:r w:rsidRPr="00B14B46">
      <w:rPr>
        <w:rFonts w:ascii="Arial" w:hAnsi="Arial" w:cs="Arial"/>
        <w:sz w:val="18"/>
        <w:szCs w:val="22"/>
      </w:rPr>
      <w:t xml:space="preserve"> de </w:t>
    </w:r>
    <w:r w:rsidRPr="00B14B46">
      <w:rPr>
        <w:rFonts w:ascii="Arial" w:hAnsi="Arial" w:cs="Arial"/>
        <w:sz w:val="18"/>
        <w:szCs w:val="22"/>
      </w:rPr>
      <w:fldChar w:fldCharType="begin"/>
    </w:r>
    <w:r w:rsidRPr="00B14B46">
      <w:rPr>
        <w:rFonts w:ascii="Arial" w:hAnsi="Arial" w:cs="Arial"/>
        <w:sz w:val="18"/>
        <w:szCs w:val="22"/>
      </w:rPr>
      <w:instrText xml:space="preserve"> NUMPAGES  </w:instrText>
    </w:r>
    <w:r w:rsidRPr="00B14B46">
      <w:rPr>
        <w:rFonts w:ascii="Arial" w:hAnsi="Arial" w:cs="Arial"/>
        <w:sz w:val="18"/>
        <w:szCs w:val="22"/>
      </w:rPr>
      <w:fldChar w:fldCharType="separate"/>
    </w:r>
    <w:r w:rsidR="002428D6">
      <w:rPr>
        <w:rFonts w:ascii="Arial" w:hAnsi="Arial" w:cs="Arial"/>
        <w:noProof/>
        <w:sz w:val="18"/>
        <w:szCs w:val="22"/>
      </w:rPr>
      <w:t>6</w:t>
    </w:r>
    <w:r w:rsidRPr="00B14B46">
      <w:rPr>
        <w:rFonts w:ascii="Arial" w:hAnsi="Arial" w:cs="Arial"/>
        <w:sz w:val="18"/>
        <w:szCs w:val="22"/>
      </w:rPr>
      <w:fldChar w:fldCharType="end"/>
    </w:r>
  </w:p>
  <w:p w14:paraId="71B4928B" w14:textId="77777777" w:rsidR="00AE36D7" w:rsidRDefault="00AE36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113D3" w14:textId="3B38E9A4" w:rsidR="00B14B46" w:rsidRPr="00B14B46" w:rsidRDefault="00275481" w:rsidP="00B14B46">
    <w:pPr>
      <w:pStyle w:val="Header"/>
      <w:tabs>
        <w:tab w:val="clear" w:pos="8640"/>
      </w:tabs>
      <w:jc w:val="right"/>
      <w:rPr>
        <w:rFonts w:ascii="Arial" w:hAnsi="Arial" w:cs="Arial"/>
        <w:sz w:val="18"/>
        <w:szCs w:val="22"/>
        <w:lang w:val="es-MX"/>
      </w:rPr>
    </w:pPr>
    <w:r>
      <w:rPr>
        <w:rFonts w:ascii="Arial" w:hAnsi="Arial" w:cs="Arial"/>
        <w:sz w:val="18"/>
        <w:szCs w:val="22"/>
        <w:lang w:val="es-MX"/>
      </w:rPr>
      <w:t>Matriz de Medios de Verificación</w:t>
    </w:r>
    <w:r w:rsidRPr="00B14B46">
      <w:rPr>
        <w:rFonts w:ascii="Arial" w:hAnsi="Arial" w:cs="Arial"/>
        <w:sz w:val="18"/>
        <w:szCs w:val="22"/>
        <w:lang w:val="es-MX"/>
      </w:rPr>
      <w:t xml:space="preserve"> </w:t>
    </w:r>
    <w:r w:rsidR="00B14B46" w:rsidRPr="00B14B46">
      <w:rPr>
        <w:rFonts w:ascii="Arial" w:hAnsi="Arial" w:cs="Arial"/>
        <w:sz w:val="18"/>
        <w:szCs w:val="22"/>
        <w:lang w:val="es-MX"/>
      </w:rPr>
      <w:t>– GU-L1096</w:t>
    </w:r>
  </w:p>
  <w:p w14:paraId="475279F1" w14:textId="77777777" w:rsidR="00B14B46" w:rsidRPr="00B14B46" w:rsidRDefault="00B14B46" w:rsidP="00B14B46">
    <w:pPr>
      <w:pStyle w:val="Header"/>
      <w:tabs>
        <w:tab w:val="clear" w:pos="8640"/>
      </w:tabs>
      <w:jc w:val="right"/>
      <w:rPr>
        <w:rFonts w:ascii="Arial" w:hAnsi="Arial" w:cs="Arial"/>
        <w:sz w:val="18"/>
        <w:szCs w:val="22"/>
      </w:rPr>
    </w:pPr>
    <w:r w:rsidRPr="00B14B46">
      <w:rPr>
        <w:rFonts w:ascii="Arial" w:hAnsi="Arial" w:cs="Arial"/>
        <w:sz w:val="18"/>
        <w:szCs w:val="22"/>
      </w:rPr>
      <w:t xml:space="preserve">Página </w:t>
    </w:r>
    <w:r w:rsidRPr="00B14B46">
      <w:rPr>
        <w:rFonts w:ascii="Arial" w:hAnsi="Arial" w:cs="Arial"/>
        <w:sz w:val="18"/>
        <w:szCs w:val="22"/>
      </w:rPr>
      <w:fldChar w:fldCharType="begin"/>
    </w:r>
    <w:r w:rsidRPr="00B14B46">
      <w:rPr>
        <w:rFonts w:ascii="Arial" w:hAnsi="Arial" w:cs="Arial"/>
        <w:sz w:val="18"/>
        <w:szCs w:val="22"/>
      </w:rPr>
      <w:instrText xml:space="preserve"> PAGE </w:instrText>
    </w:r>
    <w:r w:rsidRPr="00B14B46">
      <w:rPr>
        <w:rFonts w:ascii="Arial" w:hAnsi="Arial" w:cs="Arial"/>
        <w:sz w:val="18"/>
        <w:szCs w:val="22"/>
      </w:rPr>
      <w:fldChar w:fldCharType="separate"/>
    </w:r>
    <w:r w:rsidR="002428D6">
      <w:rPr>
        <w:rFonts w:ascii="Arial" w:hAnsi="Arial" w:cs="Arial"/>
        <w:noProof/>
        <w:sz w:val="18"/>
        <w:szCs w:val="22"/>
      </w:rPr>
      <w:t>5</w:t>
    </w:r>
    <w:r w:rsidRPr="00B14B46">
      <w:rPr>
        <w:rFonts w:ascii="Arial" w:hAnsi="Arial" w:cs="Arial"/>
        <w:sz w:val="18"/>
        <w:szCs w:val="22"/>
      </w:rPr>
      <w:fldChar w:fldCharType="end"/>
    </w:r>
    <w:r w:rsidRPr="00B14B46">
      <w:rPr>
        <w:rFonts w:ascii="Arial" w:hAnsi="Arial" w:cs="Arial"/>
        <w:sz w:val="18"/>
        <w:szCs w:val="22"/>
      </w:rPr>
      <w:t xml:space="preserve"> de </w:t>
    </w:r>
    <w:r w:rsidRPr="00B14B46">
      <w:rPr>
        <w:rFonts w:ascii="Arial" w:hAnsi="Arial" w:cs="Arial"/>
        <w:sz w:val="18"/>
        <w:szCs w:val="22"/>
      </w:rPr>
      <w:fldChar w:fldCharType="begin"/>
    </w:r>
    <w:r w:rsidRPr="00B14B46">
      <w:rPr>
        <w:rFonts w:ascii="Arial" w:hAnsi="Arial" w:cs="Arial"/>
        <w:sz w:val="18"/>
        <w:szCs w:val="22"/>
      </w:rPr>
      <w:instrText xml:space="preserve"> NUMPAGES  </w:instrText>
    </w:r>
    <w:r w:rsidRPr="00B14B46">
      <w:rPr>
        <w:rFonts w:ascii="Arial" w:hAnsi="Arial" w:cs="Arial"/>
        <w:sz w:val="18"/>
        <w:szCs w:val="22"/>
      </w:rPr>
      <w:fldChar w:fldCharType="separate"/>
    </w:r>
    <w:r w:rsidR="002428D6">
      <w:rPr>
        <w:rFonts w:ascii="Arial" w:hAnsi="Arial" w:cs="Arial"/>
        <w:noProof/>
        <w:sz w:val="18"/>
        <w:szCs w:val="22"/>
      </w:rPr>
      <w:t>5</w:t>
    </w:r>
    <w:r w:rsidRPr="00B14B46">
      <w:rPr>
        <w:rFonts w:ascii="Arial" w:hAnsi="Arial" w:cs="Arial"/>
        <w:sz w:val="18"/>
        <w:szCs w:val="22"/>
      </w:rPr>
      <w:fldChar w:fldCharType="end"/>
    </w:r>
  </w:p>
  <w:p w14:paraId="421CE8CB" w14:textId="77777777" w:rsidR="00B14B46" w:rsidRDefault="00B14B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820A3" w14:textId="4797C1AD" w:rsidR="00AE36D7" w:rsidRPr="00B14B46" w:rsidRDefault="00275481" w:rsidP="00654C43">
    <w:pPr>
      <w:pStyle w:val="Header"/>
      <w:tabs>
        <w:tab w:val="clear" w:pos="8640"/>
      </w:tabs>
      <w:jc w:val="right"/>
      <w:rPr>
        <w:rFonts w:ascii="Arial" w:hAnsi="Arial" w:cs="Arial"/>
        <w:sz w:val="18"/>
        <w:szCs w:val="22"/>
        <w:lang w:val="es-MX"/>
      </w:rPr>
    </w:pPr>
    <w:r>
      <w:rPr>
        <w:rFonts w:ascii="Arial" w:hAnsi="Arial" w:cs="Arial"/>
        <w:sz w:val="18"/>
        <w:szCs w:val="22"/>
        <w:lang w:val="es-MX"/>
      </w:rPr>
      <w:t>Matriz de Medios de Verificación</w:t>
    </w:r>
    <w:r w:rsidR="00AE36D7" w:rsidRPr="00B14B46">
      <w:rPr>
        <w:rFonts w:ascii="Arial" w:hAnsi="Arial" w:cs="Arial"/>
        <w:sz w:val="18"/>
        <w:szCs w:val="22"/>
        <w:lang w:val="es-MX"/>
      </w:rPr>
      <w:t xml:space="preserve"> </w:t>
    </w:r>
    <w:r w:rsidR="00B14B46" w:rsidRPr="00B14B46">
      <w:rPr>
        <w:rFonts w:ascii="Arial" w:hAnsi="Arial" w:cs="Arial"/>
        <w:sz w:val="18"/>
        <w:szCs w:val="22"/>
        <w:lang w:val="es-MX"/>
      </w:rPr>
      <w:t>–</w:t>
    </w:r>
    <w:r w:rsidR="00AE36D7" w:rsidRPr="00B14B46">
      <w:rPr>
        <w:rFonts w:ascii="Arial" w:hAnsi="Arial" w:cs="Arial"/>
        <w:sz w:val="18"/>
        <w:szCs w:val="22"/>
        <w:lang w:val="es-MX"/>
      </w:rPr>
      <w:t xml:space="preserve"> </w:t>
    </w:r>
    <w:r w:rsidR="00B14B46" w:rsidRPr="00B14B46">
      <w:rPr>
        <w:rFonts w:ascii="Arial" w:hAnsi="Arial" w:cs="Arial"/>
        <w:sz w:val="18"/>
        <w:szCs w:val="22"/>
        <w:lang w:val="es-MX"/>
      </w:rPr>
      <w:t>GU-L1096</w:t>
    </w:r>
  </w:p>
  <w:p w14:paraId="2188EFD3" w14:textId="6BB7D68C" w:rsidR="00AE36D7" w:rsidRPr="00B14B46" w:rsidRDefault="00AE36D7" w:rsidP="00654C43">
    <w:pPr>
      <w:pStyle w:val="Header"/>
      <w:tabs>
        <w:tab w:val="clear" w:pos="8640"/>
      </w:tabs>
      <w:jc w:val="right"/>
      <w:rPr>
        <w:rFonts w:ascii="Arial" w:hAnsi="Arial" w:cs="Arial"/>
        <w:sz w:val="18"/>
        <w:szCs w:val="22"/>
      </w:rPr>
    </w:pPr>
    <w:r w:rsidRPr="00B14B46">
      <w:rPr>
        <w:rFonts w:ascii="Arial" w:hAnsi="Arial" w:cs="Arial"/>
        <w:sz w:val="18"/>
        <w:szCs w:val="22"/>
      </w:rPr>
      <w:t xml:space="preserve">Página </w:t>
    </w:r>
    <w:r w:rsidRPr="00B14B46">
      <w:rPr>
        <w:rFonts w:ascii="Arial" w:hAnsi="Arial" w:cs="Arial"/>
        <w:sz w:val="18"/>
        <w:szCs w:val="22"/>
      </w:rPr>
      <w:fldChar w:fldCharType="begin"/>
    </w:r>
    <w:r w:rsidRPr="00B14B46">
      <w:rPr>
        <w:rFonts w:ascii="Arial" w:hAnsi="Arial" w:cs="Arial"/>
        <w:sz w:val="18"/>
        <w:szCs w:val="22"/>
      </w:rPr>
      <w:instrText xml:space="preserve"> PAGE </w:instrText>
    </w:r>
    <w:r w:rsidRPr="00B14B46">
      <w:rPr>
        <w:rFonts w:ascii="Arial" w:hAnsi="Arial" w:cs="Arial"/>
        <w:sz w:val="18"/>
        <w:szCs w:val="22"/>
      </w:rPr>
      <w:fldChar w:fldCharType="separate"/>
    </w:r>
    <w:r w:rsidR="002428D6">
      <w:rPr>
        <w:rFonts w:ascii="Arial" w:hAnsi="Arial" w:cs="Arial"/>
        <w:noProof/>
        <w:sz w:val="18"/>
        <w:szCs w:val="22"/>
      </w:rPr>
      <w:t>1</w:t>
    </w:r>
    <w:r w:rsidRPr="00B14B46">
      <w:rPr>
        <w:rFonts w:ascii="Arial" w:hAnsi="Arial" w:cs="Arial"/>
        <w:sz w:val="18"/>
        <w:szCs w:val="22"/>
      </w:rPr>
      <w:fldChar w:fldCharType="end"/>
    </w:r>
    <w:r w:rsidRPr="00B14B46">
      <w:rPr>
        <w:rFonts w:ascii="Arial" w:hAnsi="Arial" w:cs="Arial"/>
        <w:sz w:val="18"/>
        <w:szCs w:val="22"/>
      </w:rPr>
      <w:t xml:space="preserve"> de </w:t>
    </w:r>
    <w:r w:rsidRPr="00B14B46">
      <w:rPr>
        <w:rFonts w:ascii="Arial" w:hAnsi="Arial" w:cs="Arial"/>
        <w:sz w:val="18"/>
        <w:szCs w:val="22"/>
      </w:rPr>
      <w:fldChar w:fldCharType="begin"/>
    </w:r>
    <w:r w:rsidRPr="00B14B46">
      <w:rPr>
        <w:rFonts w:ascii="Arial" w:hAnsi="Arial" w:cs="Arial"/>
        <w:sz w:val="18"/>
        <w:szCs w:val="22"/>
      </w:rPr>
      <w:instrText xml:space="preserve"> NUMPAGES  </w:instrText>
    </w:r>
    <w:r w:rsidRPr="00B14B46">
      <w:rPr>
        <w:rFonts w:ascii="Arial" w:hAnsi="Arial" w:cs="Arial"/>
        <w:sz w:val="18"/>
        <w:szCs w:val="22"/>
      </w:rPr>
      <w:fldChar w:fldCharType="separate"/>
    </w:r>
    <w:r w:rsidR="002428D6">
      <w:rPr>
        <w:rFonts w:ascii="Arial" w:hAnsi="Arial" w:cs="Arial"/>
        <w:noProof/>
        <w:sz w:val="18"/>
        <w:szCs w:val="22"/>
      </w:rPr>
      <w:t>1</w:t>
    </w:r>
    <w:r w:rsidRPr="00B14B46">
      <w:rPr>
        <w:rFonts w:ascii="Arial" w:hAnsi="Arial" w:cs="Arial"/>
        <w:sz w:val="18"/>
        <w:szCs w:val="22"/>
      </w:rPr>
      <w:fldChar w:fldCharType="end"/>
    </w:r>
  </w:p>
  <w:p w14:paraId="1D6526A1" w14:textId="77777777" w:rsidR="00AE36D7" w:rsidRPr="00B14B46" w:rsidRDefault="00AE36D7" w:rsidP="00654C43">
    <w:pPr>
      <w:pStyle w:val="Header"/>
      <w:tabs>
        <w:tab w:val="clear" w:pos="8640"/>
      </w:tabs>
      <w:jc w:val="right"/>
      <w:rPr>
        <w:rFonts w:ascii="Arial" w:hAnsi="Arial" w:cs="Arial"/>
        <w:sz w:val="18"/>
        <w:szCs w:val="22"/>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7E42"/>
    <w:multiLevelType w:val="hybridMultilevel"/>
    <w:tmpl w:val="AEB62D40"/>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DB4DDC"/>
    <w:multiLevelType w:val="hybridMultilevel"/>
    <w:tmpl w:val="4CE8CF82"/>
    <w:lvl w:ilvl="0" w:tplc="0409000F">
      <w:start w:val="1"/>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B481E"/>
    <w:multiLevelType w:val="hybridMultilevel"/>
    <w:tmpl w:val="F31C0F34"/>
    <w:lvl w:ilvl="0" w:tplc="17465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35D45"/>
    <w:multiLevelType w:val="hybridMultilevel"/>
    <w:tmpl w:val="E72E605E"/>
    <w:lvl w:ilvl="0" w:tplc="0409000F">
      <w:start w:val="1"/>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DC10C3"/>
    <w:multiLevelType w:val="hybridMultilevel"/>
    <w:tmpl w:val="35DA52DE"/>
    <w:lvl w:ilvl="0" w:tplc="EBEED0C8">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5">
    <w:nsid w:val="1B3F0906"/>
    <w:multiLevelType w:val="hybridMultilevel"/>
    <w:tmpl w:val="31D0627A"/>
    <w:lvl w:ilvl="0" w:tplc="65EEC1EC">
      <w:start w:val="1"/>
      <w:numFmt w:val="lowerRoman"/>
      <w:lvlText w:val="(%1)"/>
      <w:lvlJc w:val="left"/>
      <w:pPr>
        <w:ind w:left="612" w:hanging="720"/>
      </w:pPr>
      <w:rPr>
        <w:rFonts w:hint="default"/>
      </w:rPr>
    </w:lvl>
    <w:lvl w:ilvl="1" w:tplc="040A0019" w:tentative="1">
      <w:start w:val="1"/>
      <w:numFmt w:val="lowerLetter"/>
      <w:lvlText w:val="%2."/>
      <w:lvlJc w:val="left"/>
      <w:pPr>
        <w:ind w:left="972" w:hanging="360"/>
      </w:pPr>
    </w:lvl>
    <w:lvl w:ilvl="2" w:tplc="040A001B" w:tentative="1">
      <w:start w:val="1"/>
      <w:numFmt w:val="lowerRoman"/>
      <w:lvlText w:val="%3."/>
      <w:lvlJc w:val="right"/>
      <w:pPr>
        <w:ind w:left="1692" w:hanging="180"/>
      </w:pPr>
    </w:lvl>
    <w:lvl w:ilvl="3" w:tplc="040A000F" w:tentative="1">
      <w:start w:val="1"/>
      <w:numFmt w:val="decimal"/>
      <w:lvlText w:val="%4."/>
      <w:lvlJc w:val="left"/>
      <w:pPr>
        <w:ind w:left="2412" w:hanging="360"/>
      </w:pPr>
    </w:lvl>
    <w:lvl w:ilvl="4" w:tplc="040A0019" w:tentative="1">
      <w:start w:val="1"/>
      <w:numFmt w:val="lowerLetter"/>
      <w:lvlText w:val="%5."/>
      <w:lvlJc w:val="left"/>
      <w:pPr>
        <w:ind w:left="3132" w:hanging="360"/>
      </w:pPr>
    </w:lvl>
    <w:lvl w:ilvl="5" w:tplc="040A001B" w:tentative="1">
      <w:start w:val="1"/>
      <w:numFmt w:val="lowerRoman"/>
      <w:lvlText w:val="%6."/>
      <w:lvlJc w:val="right"/>
      <w:pPr>
        <w:ind w:left="3852" w:hanging="180"/>
      </w:pPr>
    </w:lvl>
    <w:lvl w:ilvl="6" w:tplc="040A000F" w:tentative="1">
      <w:start w:val="1"/>
      <w:numFmt w:val="decimal"/>
      <w:lvlText w:val="%7."/>
      <w:lvlJc w:val="left"/>
      <w:pPr>
        <w:ind w:left="4572" w:hanging="360"/>
      </w:pPr>
    </w:lvl>
    <w:lvl w:ilvl="7" w:tplc="040A0019" w:tentative="1">
      <w:start w:val="1"/>
      <w:numFmt w:val="lowerLetter"/>
      <w:lvlText w:val="%8."/>
      <w:lvlJc w:val="left"/>
      <w:pPr>
        <w:ind w:left="5292" w:hanging="360"/>
      </w:pPr>
    </w:lvl>
    <w:lvl w:ilvl="8" w:tplc="040A001B" w:tentative="1">
      <w:start w:val="1"/>
      <w:numFmt w:val="lowerRoman"/>
      <w:lvlText w:val="%9."/>
      <w:lvlJc w:val="right"/>
      <w:pPr>
        <w:ind w:left="6012" w:hanging="180"/>
      </w:pPr>
    </w:lvl>
  </w:abstractNum>
  <w:abstractNum w:abstractNumId="6">
    <w:nsid w:val="1F455835"/>
    <w:multiLevelType w:val="hybridMultilevel"/>
    <w:tmpl w:val="31D0627A"/>
    <w:lvl w:ilvl="0" w:tplc="65EEC1EC">
      <w:start w:val="1"/>
      <w:numFmt w:val="lowerRoman"/>
      <w:lvlText w:val="(%1)"/>
      <w:lvlJc w:val="left"/>
      <w:pPr>
        <w:ind w:left="612" w:hanging="720"/>
      </w:pPr>
      <w:rPr>
        <w:rFonts w:hint="default"/>
      </w:rPr>
    </w:lvl>
    <w:lvl w:ilvl="1" w:tplc="040A0019" w:tentative="1">
      <w:start w:val="1"/>
      <w:numFmt w:val="lowerLetter"/>
      <w:lvlText w:val="%2."/>
      <w:lvlJc w:val="left"/>
      <w:pPr>
        <w:ind w:left="972" w:hanging="360"/>
      </w:pPr>
    </w:lvl>
    <w:lvl w:ilvl="2" w:tplc="040A001B" w:tentative="1">
      <w:start w:val="1"/>
      <w:numFmt w:val="lowerRoman"/>
      <w:lvlText w:val="%3."/>
      <w:lvlJc w:val="right"/>
      <w:pPr>
        <w:ind w:left="1692" w:hanging="180"/>
      </w:pPr>
    </w:lvl>
    <w:lvl w:ilvl="3" w:tplc="040A000F" w:tentative="1">
      <w:start w:val="1"/>
      <w:numFmt w:val="decimal"/>
      <w:lvlText w:val="%4."/>
      <w:lvlJc w:val="left"/>
      <w:pPr>
        <w:ind w:left="2412" w:hanging="360"/>
      </w:pPr>
    </w:lvl>
    <w:lvl w:ilvl="4" w:tplc="040A0019" w:tentative="1">
      <w:start w:val="1"/>
      <w:numFmt w:val="lowerLetter"/>
      <w:lvlText w:val="%5."/>
      <w:lvlJc w:val="left"/>
      <w:pPr>
        <w:ind w:left="3132" w:hanging="360"/>
      </w:pPr>
    </w:lvl>
    <w:lvl w:ilvl="5" w:tplc="040A001B" w:tentative="1">
      <w:start w:val="1"/>
      <w:numFmt w:val="lowerRoman"/>
      <w:lvlText w:val="%6."/>
      <w:lvlJc w:val="right"/>
      <w:pPr>
        <w:ind w:left="3852" w:hanging="180"/>
      </w:pPr>
    </w:lvl>
    <w:lvl w:ilvl="6" w:tplc="040A000F" w:tentative="1">
      <w:start w:val="1"/>
      <w:numFmt w:val="decimal"/>
      <w:lvlText w:val="%7."/>
      <w:lvlJc w:val="left"/>
      <w:pPr>
        <w:ind w:left="4572" w:hanging="360"/>
      </w:pPr>
    </w:lvl>
    <w:lvl w:ilvl="7" w:tplc="040A0019" w:tentative="1">
      <w:start w:val="1"/>
      <w:numFmt w:val="lowerLetter"/>
      <w:lvlText w:val="%8."/>
      <w:lvlJc w:val="left"/>
      <w:pPr>
        <w:ind w:left="5292" w:hanging="360"/>
      </w:pPr>
    </w:lvl>
    <w:lvl w:ilvl="8" w:tplc="040A001B" w:tentative="1">
      <w:start w:val="1"/>
      <w:numFmt w:val="lowerRoman"/>
      <w:lvlText w:val="%9."/>
      <w:lvlJc w:val="right"/>
      <w:pPr>
        <w:ind w:left="6012" w:hanging="180"/>
      </w:pPr>
    </w:lvl>
  </w:abstractNum>
  <w:abstractNum w:abstractNumId="7">
    <w:nsid w:val="267B699B"/>
    <w:multiLevelType w:val="hybridMultilevel"/>
    <w:tmpl w:val="47B45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AC5D45"/>
    <w:multiLevelType w:val="hybridMultilevel"/>
    <w:tmpl w:val="3D962A6E"/>
    <w:lvl w:ilvl="0" w:tplc="007A7F3A">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2F2D0E90"/>
    <w:multiLevelType w:val="hybridMultilevel"/>
    <w:tmpl w:val="82F4647E"/>
    <w:lvl w:ilvl="0" w:tplc="9252F294">
      <w:start w:val="1"/>
      <w:numFmt w:val="lowerRoman"/>
      <w:lvlText w:val="(%1)"/>
      <w:lvlJc w:val="left"/>
      <w:pPr>
        <w:ind w:left="1080" w:hanging="72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0907E5"/>
    <w:multiLevelType w:val="hybridMultilevel"/>
    <w:tmpl w:val="5060D030"/>
    <w:lvl w:ilvl="0" w:tplc="76E0E6E6">
      <w:start w:val="1"/>
      <w:numFmt w:val="lowerRoman"/>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0555BD"/>
    <w:multiLevelType w:val="hybridMultilevel"/>
    <w:tmpl w:val="83FE1F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72252E"/>
    <w:multiLevelType w:val="hybridMultilevel"/>
    <w:tmpl w:val="A59CD4AA"/>
    <w:lvl w:ilvl="0" w:tplc="99BE7E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243E6E"/>
    <w:multiLevelType w:val="hybridMultilevel"/>
    <w:tmpl w:val="47B45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D53577"/>
    <w:multiLevelType w:val="hybridMultilevel"/>
    <w:tmpl w:val="849CFEB0"/>
    <w:lvl w:ilvl="0" w:tplc="BCB27400">
      <w:start w:val="1"/>
      <w:numFmt w:val="decimal"/>
      <w:lvlText w:val="%1."/>
      <w:lvlJc w:val="left"/>
      <w:pPr>
        <w:ind w:left="720" w:hanging="360"/>
      </w:pPr>
      <w:rPr>
        <w:rFonts w:hint="default"/>
        <w:color w:val="00000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4A3E7CD9"/>
    <w:multiLevelType w:val="hybridMultilevel"/>
    <w:tmpl w:val="8B1E7C1A"/>
    <w:lvl w:ilvl="0" w:tplc="0409000F">
      <w:start w:val="1"/>
      <w:numFmt w:val="decimal"/>
      <w:lvlText w:val="%1."/>
      <w:lvlJc w:val="left"/>
      <w:pPr>
        <w:ind w:left="62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FF3A09"/>
    <w:multiLevelType w:val="hybridMultilevel"/>
    <w:tmpl w:val="A00A084A"/>
    <w:lvl w:ilvl="0" w:tplc="042082A0">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7">
    <w:nsid w:val="561521DC"/>
    <w:multiLevelType w:val="hybridMultilevel"/>
    <w:tmpl w:val="2A881134"/>
    <w:lvl w:ilvl="0" w:tplc="1DA24C5E">
      <w:start w:val="1"/>
      <w:numFmt w:val="lowerRoman"/>
      <w:lvlText w:val="(%1)"/>
      <w:lvlJc w:val="left"/>
      <w:pPr>
        <w:ind w:left="952" w:hanging="720"/>
      </w:pPr>
      <w:rPr>
        <w:rFonts w:hint="default"/>
      </w:rPr>
    </w:lvl>
    <w:lvl w:ilvl="1" w:tplc="04090019" w:tentative="1">
      <w:start w:val="1"/>
      <w:numFmt w:val="lowerLetter"/>
      <w:lvlText w:val="%2."/>
      <w:lvlJc w:val="left"/>
      <w:pPr>
        <w:ind w:left="1312" w:hanging="360"/>
      </w:pPr>
    </w:lvl>
    <w:lvl w:ilvl="2" w:tplc="0409001B" w:tentative="1">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abstractNum w:abstractNumId="18">
    <w:nsid w:val="5707786E"/>
    <w:multiLevelType w:val="hybridMultilevel"/>
    <w:tmpl w:val="C5060370"/>
    <w:lvl w:ilvl="0" w:tplc="40FEB584">
      <w:start w:val="1"/>
      <w:numFmt w:val="decimal"/>
      <w:lvlText w:val="%1."/>
      <w:lvlJc w:val="left"/>
      <w:pPr>
        <w:ind w:left="432" w:hanging="360"/>
      </w:pPr>
      <w:rPr>
        <w:rFonts w:hint="default"/>
        <w:b w:val="0"/>
        <w:i w:val="0"/>
      </w:rPr>
    </w:lvl>
    <w:lvl w:ilvl="1" w:tplc="040A0019" w:tentative="1">
      <w:start w:val="1"/>
      <w:numFmt w:val="lowerLetter"/>
      <w:lvlText w:val="%2."/>
      <w:lvlJc w:val="left"/>
      <w:pPr>
        <w:ind w:left="1152" w:hanging="360"/>
      </w:pPr>
    </w:lvl>
    <w:lvl w:ilvl="2" w:tplc="040A001B" w:tentative="1">
      <w:start w:val="1"/>
      <w:numFmt w:val="lowerRoman"/>
      <w:lvlText w:val="%3."/>
      <w:lvlJc w:val="right"/>
      <w:pPr>
        <w:ind w:left="1872" w:hanging="180"/>
      </w:pPr>
    </w:lvl>
    <w:lvl w:ilvl="3" w:tplc="040A000F" w:tentative="1">
      <w:start w:val="1"/>
      <w:numFmt w:val="decimal"/>
      <w:lvlText w:val="%4."/>
      <w:lvlJc w:val="left"/>
      <w:pPr>
        <w:ind w:left="2592" w:hanging="360"/>
      </w:pPr>
    </w:lvl>
    <w:lvl w:ilvl="4" w:tplc="040A0019" w:tentative="1">
      <w:start w:val="1"/>
      <w:numFmt w:val="lowerLetter"/>
      <w:lvlText w:val="%5."/>
      <w:lvlJc w:val="left"/>
      <w:pPr>
        <w:ind w:left="3312" w:hanging="360"/>
      </w:pPr>
    </w:lvl>
    <w:lvl w:ilvl="5" w:tplc="040A001B" w:tentative="1">
      <w:start w:val="1"/>
      <w:numFmt w:val="lowerRoman"/>
      <w:lvlText w:val="%6."/>
      <w:lvlJc w:val="right"/>
      <w:pPr>
        <w:ind w:left="4032" w:hanging="180"/>
      </w:pPr>
    </w:lvl>
    <w:lvl w:ilvl="6" w:tplc="040A000F" w:tentative="1">
      <w:start w:val="1"/>
      <w:numFmt w:val="decimal"/>
      <w:lvlText w:val="%7."/>
      <w:lvlJc w:val="left"/>
      <w:pPr>
        <w:ind w:left="4752" w:hanging="360"/>
      </w:pPr>
    </w:lvl>
    <w:lvl w:ilvl="7" w:tplc="040A0019" w:tentative="1">
      <w:start w:val="1"/>
      <w:numFmt w:val="lowerLetter"/>
      <w:lvlText w:val="%8."/>
      <w:lvlJc w:val="left"/>
      <w:pPr>
        <w:ind w:left="5472" w:hanging="360"/>
      </w:pPr>
    </w:lvl>
    <w:lvl w:ilvl="8" w:tplc="040A001B" w:tentative="1">
      <w:start w:val="1"/>
      <w:numFmt w:val="lowerRoman"/>
      <w:lvlText w:val="%9."/>
      <w:lvlJc w:val="right"/>
      <w:pPr>
        <w:ind w:left="6192" w:hanging="180"/>
      </w:pPr>
    </w:lvl>
  </w:abstractNum>
  <w:abstractNum w:abstractNumId="19">
    <w:nsid w:val="60032212"/>
    <w:multiLevelType w:val="hybridMultilevel"/>
    <w:tmpl w:val="5060D030"/>
    <w:lvl w:ilvl="0" w:tplc="76E0E6E6">
      <w:start w:val="1"/>
      <w:numFmt w:val="lowerRoman"/>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0A688C"/>
    <w:multiLevelType w:val="hybridMultilevel"/>
    <w:tmpl w:val="7A4EA604"/>
    <w:lvl w:ilvl="0" w:tplc="78B0996E">
      <w:start w:val="9"/>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1">
    <w:nsid w:val="63A7462D"/>
    <w:multiLevelType w:val="hybridMultilevel"/>
    <w:tmpl w:val="DFA42292"/>
    <w:lvl w:ilvl="0" w:tplc="0409000F">
      <w:start w:val="1"/>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2D20C4"/>
    <w:multiLevelType w:val="hybridMultilevel"/>
    <w:tmpl w:val="289A288E"/>
    <w:lvl w:ilvl="0" w:tplc="2786BB3E">
      <w:start w:val="1"/>
      <w:numFmt w:val="low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FE3B92"/>
    <w:multiLevelType w:val="hybridMultilevel"/>
    <w:tmpl w:val="4BECF0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B525E7"/>
    <w:multiLevelType w:val="hybridMultilevel"/>
    <w:tmpl w:val="5060D030"/>
    <w:lvl w:ilvl="0" w:tplc="76E0E6E6">
      <w:start w:val="1"/>
      <w:numFmt w:val="lowerRoman"/>
      <w:lvlText w:val="(%1)"/>
      <w:lvlJc w:val="left"/>
      <w:pPr>
        <w:ind w:left="972" w:hanging="720"/>
      </w:pPr>
      <w:rPr>
        <w:rFonts w:hint="default"/>
        <w:b w:val="0"/>
        <w:i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5">
    <w:nsid w:val="766023D8"/>
    <w:multiLevelType w:val="hybridMultilevel"/>
    <w:tmpl w:val="48DEE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CB0007"/>
    <w:multiLevelType w:val="hybridMultilevel"/>
    <w:tmpl w:val="DC5C6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292061"/>
    <w:multiLevelType w:val="hybridMultilevel"/>
    <w:tmpl w:val="7F4E50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8"/>
  </w:num>
  <w:num w:numId="4">
    <w:abstractNumId w:val="23"/>
  </w:num>
  <w:num w:numId="5">
    <w:abstractNumId w:val="22"/>
  </w:num>
  <w:num w:numId="6">
    <w:abstractNumId w:val="11"/>
  </w:num>
  <w:num w:numId="7">
    <w:abstractNumId w:val="27"/>
  </w:num>
  <w:num w:numId="8">
    <w:abstractNumId w:val="12"/>
  </w:num>
  <w:num w:numId="9">
    <w:abstractNumId w:val="17"/>
  </w:num>
  <w:num w:numId="10">
    <w:abstractNumId w:val="9"/>
  </w:num>
  <w:num w:numId="11">
    <w:abstractNumId w:val="14"/>
  </w:num>
  <w:num w:numId="12">
    <w:abstractNumId w:val="19"/>
  </w:num>
  <w:num w:numId="13">
    <w:abstractNumId w:val="10"/>
  </w:num>
  <w:num w:numId="14">
    <w:abstractNumId w:val="6"/>
  </w:num>
  <w:num w:numId="15">
    <w:abstractNumId w:val="24"/>
  </w:num>
  <w:num w:numId="16">
    <w:abstractNumId w:val="5"/>
  </w:num>
  <w:num w:numId="17">
    <w:abstractNumId w:val="0"/>
  </w:num>
  <w:num w:numId="18">
    <w:abstractNumId w:val="18"/>
  </w:num>
  <w:num w:numId="19">
    <w:abstractNumId w:val="20"/>
  </w:num>
  <w:num w:numId="20">
    <w:abstractNumId w:val="1"/>
  </w:num>
  <w:num w:numId="21">
    <w:abstractNumId w:val="21"/>
  </w:num>
  <w:num w:numId="22">
    <w:abstractNumId w:val="3"/>
  </w:num>
  <w:num w:numId="23">
    <w:abstractNumId w:val="26"/>
  </w:num>
  <w:num w:numId="24">
    <w:abstractNumId w:val="4"/>
  </w:num>
  <w:num w:numId="25">
    <w:abstractNumId w:val="25"/>
  </w:num>
  <w:num w:numId="26">
    <w:abstractNumId w:val="15"/>
  </w:num>
  <w:num w:numId="27">
    <w:abstractNumId w:val="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evenAndOddHeaders/>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B90"/>
    <w:rsid w:val="000019DC"/>
    <w:rsid w:val="00002410"/>
    <w:rsid w:val="00004BFA"/>
    <w:rsid w:val="00004E12"/>
    <w:rsid w:val="00007519"/>
    <w:rsid w:val="00010BB0"/>
    <w:rsid w:val="00011E17"/>
    <w:rsid w:val="00011E47"/>
    <w:rsid w:val="000120C2"/>
    <w:rsid w:val="000120C5"/>
    <w:rsid w:val="00012F74"/>
    <w:rsid w:val="0001365B"/>
    <w:rsid w:val="000143D1"/>
    <w:rsid w:val="00014A34"/>
    <w:rsid w:val="00016BFC"/>
    <w:rsid w:val="00017704"/>
    <w:rsid w:val="000244EA"/>
    <w:rsid w:val="00024C87"/>
    <w:rsid w:val="00027B80"/>
    <w:rsid w:val="0003015F"/>
    <w:rsid w:val="00034AC8"/>
    <w:rsid w:val="00034E3A"/>
    <w:rsid w:val="00035EDB"/>
    <w:rsid w:val="00037124"/>
    <w:rsid w:val="00037B77"/>
    <w:rsid w:val="0004001D"/>
    <w:rsid w:val="000421CC"/>
    <w:rsid w:val="00043D42"/>
    <w:rsid w:val="00045677"/>
    <w:rsid w:val="00045F73"/>
    <w:rsid w:val="00047687"/>
    <w:rsid w:val="000525F8"/>
    <w:rsid w:val="000528A9"/>
    <w:rsid w:val="00052E1B"/>
    <w:rsid w:val="0005539C"/>
    <w:rsid w:val="00055481"/>
    <w:rsid w:val="0005619E"/>
    <w:rsid w:val="00056775"/>
    <w:rsid w:val="0006054C"/>
    <w:rsid w:val="0006201C"/>
    <w:rsid w:val="00065DDD"/>
    <w:rsid w:val="000668A8"/>
    <w:rsid w:val="00067D8C"/>
    <w:rsid w:val="00070499"/>
    <w:rsid w:val="00070C55"/>
    <w:rsid w:val="00070C90"/>
    <w:rsid w:val="00071122"/>
    <w:rsid w:val="00073EB1"/>
    <w:rsid w:val="00074BC0"/>
    <w:rsid w:val="00074FF9"/>
    <w:rsid w:val="000779B3"/>
    <w:rsid w:val="00077D5E"/>
    <w:rsid w:val="0008005C"/>
    <w:rsid w:val="00080098"/>
    <w:rsid w:val="0008263A"/>
    <w:rsid w:val="00082A00"/>
    <w:rsid w:val="00082EF0"/>
    <w:rsid w:val="000838A7"/>
    <w:rsid w:val="00083D93"/>
    <w:rsid w:val="0008457A"/>
    <w:rsid w:val="00084D86"/>
    <w:rsid w:val="000865B2"/>
    <w:rsid w:val="00093C7C"/>
    <w:rsid w:val="00096CF9"/>
    <w:rsid w:val="00097E95"/>
    <w:rsid w:val="000A19D0"/>
    <w:rsid w:val="000A22B8"/>
    <w:rsid w:val="000A5F2F"/>
    <w:rsid w:val="000A7F1B"/>
    <w:rsid w:val="000B267D"/>
    <w:rsid w:val="000B2890"/>
    <w:rsid w:val="000B53A5"/>
    <w:rsid w:val="000B5D10"/>
    <w:rsid w:val="000C012C"/>
    <w:rsid w:val="000C3A98"/>
    <w:rsid w:val="000C4E36"/>
    <w:rsid w:val="000D349E"/>
    <w:rsid w:val="000D3AFD"/>
    <w:rsid w:val="000D596E"/>
    <w:rsid w:val="000E6E24"/>
    <w:rsid w:val="000F083A"/>
    <w:rsid w:val="000F2CB2"/>
    <w:rsid w:val="000F3BE4"/>
    <w:rsid w:val="000F3EF5"/>
    <w:rsid w:val="000F67BF"/>
    <w:rsid w:val="000F7971"/>
    <w:rsid w:val="000F7A02"/>
    <w:rsid w:val="000F7C04"/>
    <w:rsid w:val="001011B0"/>
    <w:rsid w:val="00102732"/>
    <w:rsid w:val="00102D80"/>
    <w:rsid w:val="00106492"/>
    <w:rsid w:val="0010718B"/>
    <w:rsid w:val="001077CF"/>
    <w:rsid w:val="00107BC5"/>
    <w:rsid w:val="001102B1"/>
    <w:rsid w:val="001108EB"/>
    <w:rsid w:val="00111664"/>
    <w:rsid w:val="0011297A"/>
    <w:rsid w:val="0011410C"/>
    <w:rsid w:val="001156D4"/>
    <w:rsid w:val="00116EA8"/>
    <w:rsid w:val="001206F4"/>
    <w:rsid w:val="00121BFF"/>
    <w:rsid w:val="00121F3C"/>
    <w:rsid w:val="0012226D"/>
    <w:rsid w:val="001235FB"/>
    <w:rsid w:val="00124799"/>
    <w:rsid w:val="001251DF"/>
    <w:rsid w:val="00126620"/>
    <w:rsid w:val="00126787"/>
    <w:rsid w:val="00127155"/>
    <w:rsid w:val="00131F87"/>
    <w:rsid w:val="00132437"/>
    <w:rsid w:val="0013390B"/>
    <w:rsid w:val="00134944"/>
    <w:rsid w:val="00137531"/>
    <w:rsid w:val="001410AC"/>
    <w:rsid w:val="001478E6"/>
    <w:rsid w:val="00152784"/>
    <w:rsid w:val="00154330"/>
    <w:rsid w:val="001547D3"/>
    <w:rsid w:val="00156AE3"/>
    <w:rsid w:val="00166C92"/>
    <w:rsid w:val="0016713C"/>
    <w:rsid w:val="001706A6"/>
    <w:rsid w:val="00170DB2"/>
    <w:rsid w:val="00172ABD"/>
    <w:rsid w:val="00173B31"/>
    <w:rsid w:val="00173F48"/>
    <w:rsid w:val="00176AA5"/>
    <w:rsid w:val="00176E1F"/>
    <w:rsid w:val="00177B4F"/>
    <w:rsid w:val="00180467"/>
    <w:rsid w:val="00180988"/>
    <w:rsid w:val="0018116D"/>
    <w:rsid w:val="00185F7E"/>
    <w:rsid w:val="00186623"/>
    <w:rsid w:val="00187B45"/>
    <w:rsid w:val="00191458"/>
    <w:rsid w:val="001955C7"/>
    <w:rsid w:val="001964E5"/>
    <w:rsid w:val="001967F2"/>
    <w:rsid w:val="0019710D"/>
    <w:rsid w:val="0019749D"/>
    <w:rsid w:val="00197972"/>
    <w:rsid w:val="001A2F2F"/>
    <w:rsid w:val="001A3AF9"/>
    <w:rsid w:val="001A4C6B"/>
    <w:rsid w:val="001A776D"/>
    <w:rsid w:val="001B2107"/>
    <w:rsid w:val="001B362B"/>
    <w:rsid w:val="001B3662"/>
    <w:rsid w:val="001B420D"/>
    <w:rsid w:val="001B6848"/>
    <w:rsid w:val="001B79D8"/>
    <w:rsid w:val="001C1AF6"/>
    <w:rsid w:val="001C33F8"/>
    <w:rsid w:val="001C436F"/>
    <w:rsid w:val="001D00A2"/>
    <w:rsid w:val="001D1587"/>
    <w:rsid w:val="001D40FD"/>
    <w:rsid w:val="001D5398"/>
    <w:rsid w:val="001E008E"/>
    <w:rsid w:val="001E0225"/>
    <w:rsid w:val="001E0976"/>
    <w:rsid w:val="001E1BBD"/>
    <w:rsid w:val="001E2DAA"/>
    <w:rsid w:val="001E42FE"/>
    <w:rsid w:val="001E48A7"/>
    <w:rsid w:val="001E510F"/>
    <w:rsid w:val="001E7DF0"/>
    <w:rsid w:val="001F1E9A"/>
    <w:rsid w:val="001F2472"/>
    <w:rsid w:val="001F7A2A"/>
    <w:rsid w:val="001F7D6F"/>
    <w:rsid w:val="001F7DAC"/>
    <w:rsid w:val="00200291"/>
    <w:rsid w:val="00201555"/>
    <w:rsid w:val="0020425E"/>
    <w:rsid w:val="00204B02"/>
    <w:rsid w:val="00206BB6"/>
    <w:rsid w:val="002078B3"/>
    <w:rsid w:val="00211520"/>
    <w:rsid w:val="0021462C"/>
    <w:rsid w:val="00214E03"/>
    <w:rsid w:val="0021597D"/>
    <w:rsid w:val="002164BD"/>
    <w:rsid w:val="002179BD"/>
    <w:rsid w:val="00225D32"/>
    <w:rsid w:val="00227D4B"/>
    <w:rsid w:val="00230248"/>
    <w:rsid w:val="00230318"/>
    <w:rsid w:val="0023114C"/>
    <w:rsid w:val="00231380"/>
    <w:rsid w:val="00233650"/>
    <w:rsid w:val="00235F8D"/>
    <w:rsid w:val="002361C6"/>
    <w:rsid w:val="00236DA7"/>
    <w:rsid w:val="00237C35"/>
    <w:rsid w:val="002428D6"/>
    <w:rsid w:val="00242A27"/>
    <w:rsid w:val="00244EBC"/>
    <w:rsid w:val="00246917"/>
    <w:rsid w:val="0024716B"/>
    <w:rsid w:val="00247286"/>
    <w:rsid w:val="002507AF"/>
    <w:rsid w:val="00251C36"/>
    <w:rsid w:val="00255886"/>
    <w:rsid w:val="0025696C"/>
    <w:rsid w:val="002572D7"/>
    <w:rsid w:val="002637AF"/>
    <w:rsid w:val="00266008"/>
    <w:rsid w:val="00266664"/>
    <w:rsid w:val="002675CF"/>
    <w:rsid w:val="002716EF"/>
    <w:rsid w:val="00271922"/>
    <w:rsid w:val="00271B49"/>
    <w:rsid w:val="00272333"/>
    <w:rsid w:val="002726AE"/>
    <w:rsid w:val="00273110"/>
    <w:rsid w:val="00275481"/>
    <w:rsid w:val="00275A9D"/>
    <w:rsid w:val="00275DB8"/>
    <w:rsid w:val="00275EAB"/>
    <w:rsid w:val="00276865"/>
    <w:rsid w:val="00276CC9"/>
    <w:rsid w:val="00280F0B"/>
    <w:rsid w:val="0028242E"/>
    <w:rsid w:val="00285EA7"/>
    <w:rsid w:val="0028609B"/>
    <w:rsid w:val="00286D25"/>
    <w:rsid w:val="002941A0"/>
    <w:rsid w:val="0029555A"/>
    <w:rsid w:val="00295DC9"/>
    <w:rsid w:val="002A2B81"/>
    <w:rsid w:val="002A2E0D"/>
    <w:rsid w:val="002A340E"/>
    <w:rsid w:val="002A5578"/>
    <w:rsid w:val="002A72CA"/>
    <w:rsid w:val="002B1B82"/>
    <w:rsid w:val="002B4A10"/>
    <w:rsid w:val="002B5313"/>
    <w:rsid w:val="002B5550"/>
    <w:rsid w:val="002B699F"/>
    <w:rsid w:val="002B6C01"/>
    <w:rsid w:val="002C100C"/>
    <w:rsid w:val="002C29E7"/>
    <w:rsid w:val="002C48E1"/>
    <w:rsid w:val="002C5FB5"/>
    <w:rsid w:val="002C6E6F"/>
    <w:rsid w:val="002D46E5"/>
    <w:rsid w:val="002D70B8"/>
    <w:rsid w:val="002D74F6"/>
    <w:rsid w:val="002D759D"/>
    <w:rsid w:val="002E09E1"/>
    <w:rsid w:val="002E3941"/>
    <w:rsid w:val="002F04BD"/>
    <w:rsid w:val="002F34BD"/>
    <w:rsid w:val="0030461C"/>
    <w:rsid w:val="00305D6B"/>
    <w:rsid w:val="00307496"/>
    <w:rsid w:val="00307676"/>
    <w:rsid w:val="003105CA"/>
    <w:rsid w:val="00311E73"/>
    <w:rsid w:val="00312525"/>
    <w:rsid w:val="003136B5"/>
    <w:rsid w:val="00313CD0"/>
    <w:rsid w:val="00314D67"/>
    <w:rsid w:val="00314E63"/>
    <w:rsid w:val="00315955"/>
    <w:rsid w:val="003164C6"/>
    <w:rsid w:val="003173AD"/>
    <w:rsid w:val="00317AE3"/>
    <w:rsid w:val="00321B92"/>
    <w:rsid w:val="00322844"/>
    <w:rsid w:val="00322DC1"/>
    <w:rsid w:val="00325FCF"/>
    <w:rsid w:val="003269BC"/>
    <w:rsid w:val="00326DB8"/>
    <w:rsid w:val="00330C69"/>
    <w:rsid w:val="00331088"/>
    <w:rsid w:val="00332B51"/>
    <w:rsid w:val="00332C29"/>
    <w:rsid w:val="0033694D"/>
    <w:rsid w:val="00336D99"/>
    <w:rsid w:val="00337A19"/>
    <w:rsid w:val="003406A2"/>
    <w:rsid w:val="0034114D"/>
    <w:rsid w:val="00341FD9"/>
    <w:rsid w:val="0034379E"/>
    <w:rsid w:val="00351AB3"/>
    <w:rsid w:val="00351CC9"/>
    <w:rsid w:val="00351E76"/>
    <w:rsid w:val="00355264"/>
    <w:rsid w:val="0035528E"/>
    <w:rsid w:val="00356A16"/>
    <w:rsid w:val="00356D58"/>
    <w:rsid w:val="003573E5"/>
    <w:rsid w:val="00360BB9"/>
    <w:rsid w:val="00360BD6"/>
    <w:rsid w:val="0036157B"/>
    <w:rsid w:val="00363B48"/>
    <w:rsid w:val="00364B94"/>
    <w:rsid w:val="00365A5C"/>
    <w:rsid w:val="0036639F"/>
    <w:rsid w:val="003667B4"/>
    <w:rsid w:val="00370199"/>
    <w:rsid w:val="00370C61"/>
    <w:rsid w:val="00374160"/>
    <w:rsid w:val="0037448E"/>
    <w:rsid w:val="0037545A"/>
    <w:rsid w:val="00375575"/>
    <w:rsid w:val="00376826"/>
    <w:rsid w:val="00377ABE"/>
    <w:rsid w:val="00387002"/>
    <w:rsid w:val="00390A06"/>
    <w:rsid w:val="00390B66"/>
    <w:rsid w:val="00391A70"/>
    <w:rsid w:val="003940C9"/>
    <w:rsid w:val="003958A8"/>
    <w:rsid w:val="00395DCC"/>
    <w:rsid w:val="003968F9"/>
    <w:rsid w:val="0039700B"/>
    <w:rsid w:val="003A01B1"/>
    <w:rsid w:val="003A0946"/>
    <w:rsid w:val="003A1AED"/>
    <w:rsid w:val="003A457D"/>
    <w:rsid w:val="003A5EB6"/>
    <w:rsid w:val="003A69ED"/>
    <w:rsid w:val="003A7300"/>
    <w:rsid w:val="003B036C"/>
    <w:rsid w:val="003B1A0B"/>
    <w:rsid w:val="003B1F93"/>
    <w:rsid w:val="003B32A2"/>
    <w:rsid w:val="003B3EBD"/>
    <w:rsid w:val="003B4385"/>
    <w:rsid w:val="003B5053"/>
    <w:rsid w:val="003B531E"/>
    <w:rsid w:val="003B6155"/>
    <w:rsid w:val="003B622F"/>
    <w:rsid w:val="003C0620"/>
    <w:rsid w:val="003C5502"/>
    <w:rsid w:val="003C5D00"/>
    <w:rsid w:val="003C70F3"/>
    <w:rsid w:val="003D16BA"/>
    <w:rsid w:val="003D447D"/>
    <w:rsid w:val="003D48E1"/>
    <w:rsid w:val="003D61C4"/>
    <w:rsid w:val="003D657D"/>
    <w:rsid w:val="003D6F2D"/>
    <w:rsid w:val="003D7A45"/>
    <w:rsid w:val="003D7B0C"/>
    <w:rsid w:val="003E043E"/>
    <w:rsid w:val="003E2592"/>
    <w:rsid w:val="003E5739"/>
    <w:rsid w:val="003E5954"/>
    <w:rsid w:val="003E608F"/>
    <w:rsid w:val="003E6169"/>
    <w:rsid w:val="003F1A98"/>
    <w:rsid w:val="003F415D"/>
    <w:rsid w:val="003F68FE"/>
    <w:rsid w:val="003F79E0"/>
    <w:rsid w:val="003F7B4C"/>
    <w:rsid w:val="004011A0"/>
    <w:rsid w:val="00401A56"/>
    <w:rsid w:val="0040374B"/>
    <w:rsid w:val="00403BCC"/>
    <w:rsid w:val="00403C1A"/>
    <w:rsid w:val="00403F80"/>
    <w:rsid w:val="00414F90"/>
    <w:rsid w:val="00415F8A"/>
    <w:rsid w:val="004227CA"/>
    <w:rsid w:val="00423933"/>
    <w:rsid w:val="00423F5D"/>
    <w:rsid w:val="00424434"/>
    <w:rsid w:val="0042747E"/>
    <w:rsid w:val="004278F4"/>
    <w:rsid w:val="00431BDB"/>
    <w:rsid w:val="00433490"/>
    <w:rsid w:val="0043414A"/>
    <w:rsid w:val="00434151"/>
    <w:rsid w:val="0043466D"/>
    <w:rsid w:val="004351A9"/>
    <w:rsid w:val="00436F59"/>
    <w:rsid w:val="00437D94"/>
    <w:rsid w:val="00442CF7"/>
    <w:rsid w:val="00444DC0"/>
    <w:rsid w:val="00450B05"/>
    <w:rsid w:val="00451889"/>
    <w:rsid w:val="00451B08"/>
    <w:rsid w:val="00452E22"/>
    <w:rsid w:val="00457EF2"/>
    <w:rsid w:val="00460C50"/>
    <w:rsid w:val="004622D3"/>
    <w:rsid w:val="0046370A"/>
    <w:rsid w:val="00464529"/>
    <w:rsid w:val="00464A18"/>
    <w:rsid w:val="00466F30"/>
    <w:rsid w:val="00467986"/>
    <w:rsid w:val="004707C4"/>
    <w:rsid w:val="004709D7"/>
    <w:rsid w:val="00472F74"/>
    <w:rsid w:val="004732B3"/>
    <w:rsid w:val="00474763"/>
    <w:rsid w:val="00474F5A"/>
    <w:rsid w:val="0047653F"/>
    <w:rsid w:val="00476B50"/>
    <w:rsid w:val="00477398"/>
    <w:rsid w:val="0048006A"/>
    <w:rsid w:val="004865D7"/>
    <w:rsid w:val="00486E25"/>
    <w:rsid w:val="00486F65"/>
    <w:rsid w:val="0048796C"/>
    <w:rsid w:val="00490CF2"/>
    <w:rsid w:val="00492298"/>
    <w:rsid w:val="004935FA"/>
    <w:rsid w:val="0049412A"/>
    <w:rsid w:val="004943AB"/>
    <w:rsid w:val="00494440"/>
    <w:rsid w:val="00495A30"/>
    <w:rsid w:val="00496075"/>
    <w:rsid w:val="00496765"/>
    <w:rsid w:val="004A10E9"/>
    <w:rsid w:val="004A2093"/>
    <w:rsid w:val="004A2F0C"/>
    <w:rsid w:val="004A46A0"/>
    <w:rsid w:val="004A5886"/>
    <w:rsid w:val="004A5F96"/>
    <w:rsid w:val="004A6EB1"/>
    <w:rsid w:val="004B1AE0"/>
    <w:rsid w:val="004B3318"/>
    <w:rsid w:val="004B39FC"/>
    <w:rsid w:val="004B3F20"/>
    <w:rsid w:val="004B589C"/>
    <w:rsid w:val="004B5BE1"/>
    <w:rsid w:val="004B66F4"/>
    <w:rsid w:val="004B6747"/>
    <w:rsid w:val="004B7A61"/>
    <w:rsid w:val="004C37EC"/>
    <w:rsid w:val="004C518F"/>
    <w:rsid w:val="004C529A"/>
    <w:rsid w:val="004C7851"/>
    <w:rsid w:val="004D05A1"/>
    <w:rsid w:val="004D272D"/>
    <w:rsid w:val="004D4AE4"/>
    <w:rsid w:val="004D549F"/>
    <w:rsid w:val="004E0F95"/>
    <w:rsid w:val="004E1289"/>
    <w:rsid w:val="004E13E4"/>
    <w:rsid w:val="004E2689"/>
    <w:rsid w:val="004E45F2"/>
    <w:rsid w:val="004E4B30"/>
    <w:rsid w:val="004E6879"/>
    <w:rsid w:val="004E7055"/>
    <w:rsid w:val="004E7CC7"/>
    <w:rsid w:val="004E7D70"/>
    <w:rsid w:val="004F069C"/>
    <w:rsid w:val="004F084C"/>
    <w:rsid w:val="004F21B5"/>
    <w:rsid w:val="004F4662"/>
    <w:rsid w:val="005006AB"/>
    <w:rsid w:val="0050216A"/>
    <w:rsid w:val="00504E39"/>
    <w:rsid w:val="00506903"/>
    <w:rsid w:val="005074F1"/>
    <w:rsid w:val="005076EC"/>
    <w:rsid w:val="005106A5"/>
    <w:rsid w:val="005119DE"/>
    <w:rsid w:val="0051254A"/>
    <w:rsid w:val="00513A13"/>
    <w:rsid w:val="005150D2"/>
    <w:rsid w:val="0051679D"/>
    <w:rsid w:val="00516B86"/>
    <w:rsid w:val="00521E4B"/>
    <w:rsid w:val="005267FE"/>
    <w:rsid w:val="00530E0F"/>
    <w:rsid w:val="00535483"/>
    <w:rsid w:val="00536425"/>
    <w:rsid w:val="00536659"/>
    <w:rsid w:val="00537F3A"/>
    <w:rsid w:val="005431A2"/>
    <w:rsid w:val="0054350C"/>
    <w:rsid w:val="005436A2"/>
    <w:rsid w:val="005449F2"/>
    <w:rsid w:val="00545622"/>
    <w:rsid w:val="00545D91"/>
    <w:rsid w:val="00546762"/>
    <w:rsid w:val="00550596"/>
    <w:rsid w:val="00550CAE"/>
    <w:rsid w:val="00551E02"/>
    <w:rsid w:val="00553F88"/>
    <w:rsid w:val="0055677F"/>
    <w:rsid w:val="005607F1"/>
    <w:rsid w:val="005678ED"/>
    <w:rsid w:val="00571292"/>
    <w:rsid w:val="00573628"/>
    <w:rsid w:val="00573EFF"/>
    <w:rsid w:val="005741B8"/>
    <w:rsid w:val="00574DE7"/>
    <w:rsid w:val="00574F3E"/>
    <w:rsid w:val="00575E2B"/>
    <w:rsid w:val="0057687B"/>
    <w:rsid w:val="00580982"/>
    <w:rsid w:val="005822DE"/>
    <w:rsid w:val="00583AAA"/>
    <w:rsid w:val="00584BF1"/>
    <w:rsid w:val="005850D2"/>
    <w:rsid w:val="00587104"/>
    <w:rsid w:val="00587163"/>
    <w:rsid w:val="00596544"/>
    <w:rsid w:val="005A06D7"/>
    <w:rsid w:val="005A08A4"/>
    <w:rsid w:val="005A0C7F"/>
    <w:rsid w:val="005A0DDF"/>
    <w:rsid w:val="005A1AA3"/>
    <w:rsid w:val="005A47AD"/>
    <w:rsid w:val="005A5A4B"/>
    <w:rsid w:val="005A7B29"/>
    <w:rsid w:val="005B144D"/>
    <w:rsid w:val="005B1AA2"/>
    <w:rsid w:val="005B2FF1"/>
    <w:rsid w:val="005B7080"/>
    <w:rsid w:val="005B7F7C"/>
    <w:rsid w:val="005C02BB"/>
    <w:rsid w:val="005C13F0"/>
    <w:rsid w:val="005C2E7D"/>
    <w:rsid w:val="005C3007"/>
    <w:rsid w:val="005C35CB"/>
    <w:rsid w:val="005D1D3F"/>
    <w:rsid w:val="005D2F6A"/>
    <w:rsid w:val="005D55DF"/>
    <w:rsid w:val="005D591B"/>
    <w:rsid w:val="005D59C8"/>
    <w:rsid w:val="005D71B2"/>
    <w:rsid w:val="005E1091"/>
    <w:rsid w:val="005E1818"/>
    <w:rsid w:val="005F127E"/>
    <w:rsid w:val="005F1DB5"/>
    <w:rsid w:val="005F1EFD"/>
    <w:rsid w:val="005F1FC6"/>
    <w:rsid w:val="005F3010"/>
    <w:rsid w:val="005F397B"/>
    <w:rsid w:val="005F6AD6"/>
    <w:rsid w:val="00601CB6"/>
    <w:rsid w:val="00602590"/>
    <w:rsid w:val="00603F6A"/>
    <w:rsid w:val="0060508A"/>
    <w:rsid w:val="0060537F"/>
    <w:rsid w:val="00606755"/>
    <w:rsid w:val="006156FE"/>
    <w:rsid w:val="0061714C"/>
    <w:rsid w:val="006171B8"/>
    <w:rsid w:val="006172A1"/>
    <w:rsid w:val="00617C21"/>
    <w:rsid w:val="00617C3B"/>
    <w:rsid w:val="00621510"/>
    <w:rsid w:val="00627290"/>
    <w:rsid w:val="00627A92"/>
    <w:rsid w:val="00633FDD"/>
    <w:rsid w:val="006340DF"/>
    <w:rsid w:val="0063432D"/>
    <w:rsid w:val="00634858"/>
    <w:rsid w:val="00635BA5"/>
    <w:rsid w:val="00641941"/>
    <w:rsid w:val="00642E78"/>
    <w:rsid w:val="00643EE1"/>
    <w:rsid w:val="006465E9"/>
    <w:rsid w:val="00650440"/>
    <w:rsid w:val="00654C43"/>
    <w:rsid w:val="006609E8"/>
    <w:rsid w:val="0066329D"/>
    <w:rsid w:val="00666E72"/>
    <w:rsid w:val="00672169"/>
    <w:rsid w:val="006732A0"/>
    <w:rsid w:val="00675B55"/>
    <w:rsid w:val="00675D27"/>
    <w:rsid w:val="006773E9"/>
    <w:rsid w:val="00677647"/>
    <w:rsid w:val="0068051D"/>
    <w:rsid w:val="00680DBA"/>
    <w:rsid w:val="00687A7A"/>
    <w:rsid w:val="00687E33"/>
    <w:rsid w:val="00687FA1"/>
    <w:rsid w:val="00690C27"/>
    <w:rsid w:val="00690EFE"/>
    <w:rsid w:val="006916B9"/>
    <w:rsid w:val="0069183D"/>
    <w:rsid w:val="00691CAE"/>
    <w:rsid w:val="00695823"/>
    <w:rsid w:val="006972E9"/>
    <w:rsid w:val="006A03F2"/>
    <w:rsid w:val="006A1E4F"/>
    <w:rsid w:val="006A46FA"/>
    <w:rsid w:val="006A4F64"/>
    <w:rsid w:val="006A51C7"/>
    <w:rsid w:val="006A6734"/>
    <w:rsid w:val="006A6A7A"/>
    <w:rsid w:val="006A7CA2"/>
    <w:rsid w:val="006B3BA8"/>
    <w:rsid w:val="006B4534"/>
    <w:rsid w:val="006B4B7D"/>
    <w:rsid w:val="006B56AE"/>
    <w:rsid w:val="006B5E92"/>
    <w:rsid w:val="006B778A"/>
    <w:rsid w:val="006C4AFE"/>
    <w:rsid w:val="006C5935"/>
    <w:rsid w:val="006C6864"/>
    <w:rsid w:val="006D320B"/>
    <w:rsid w:val="006D4D2D"/>
    <w:rsid w:val="006D4D40"/>
    <w:rsid w:val="006D58F3"/>
    <w:rsid w:val="006D5B55"/>
    <w:rsid w:val="006D79AA"/>
    <w:rsid w:val="006D7A8C"/>
    <w:rsid w:val="006E38D2"/>
    <w:rsid w:val="006E5568"/>
    <w:rsid w:val="006F4806"/>
    <w:rsid w:val="006F54BC"/>
    <w:rsid w:val="006F69A4"/>
    <w:rsid w:val="006F6D89"/>
    <w:rsid w:val="006F7239"/>
    <w:rsid w:val="006F7BB8"/>
    <w:rsid w:val="0070121A"/>
    <w:rsid w:val="007060FE"/>
    <w:rsid w:val="007103B8"/>
    <w:rsid w:val="00710B37"/>
    <w:rsid w:val="00712F79"/>
    <w:rsid w:val="007133AE"/>
    <w:rsid w:val="007136B4"/>
    <w:rsid w:val="00715E33"/>
    <w:rsid w:val="00715E6F"/>
    <w:rsid w:val="007173AE"/>
    <w:rsid w:val="0071771F"/>
    <w:rsid w:val="00720FC6"/>
    <w:rsid w:val="00721AC6"/>
    <w:rsid w:val="007235C6"/>
    <w:rsid w:val="0072482C"/>
    <w:rsid w:val="007256A4"/>
    <w:rsid w:val="00726D73"/>
    <w:rsid w:val="00727D41"/>
    <w:rsid w:val="007328FB"/>
    <w:rsid w:val="00733517"/>
    <w:rsid w:val="007374F4"/>
    <w:rsid w:val="007423F1"/>
    <w:rsid w:val="00744503"/>
    <w:rsid w:val="00744B7F"/>
    <w:rsid w:val="00745277"/>
    <w:rsid w:val="00750366"/>
    <w:rsid w:val="00751811"/>
    <w:rsid w:val="007523E7"/>
    <w:rsid w:val="00754236"/>
    <w:rsid w:val="00756031"/>
    <w:rsid w:val="00760500"/>
    <w:rsid w:val="00763175"/>
    <w:rsid w:val="00763499"/>
    <w:rsid w:val="00763716"/>
    <w:rsid w:val="00764110"/>
    <w:rsid w:val="007643FA"/>
    <w:rsid w:val="007651BC"/>
    <w:rsid w:val="00766498"/>
    <w:rsid w:val="0077295A"/>
    <w:rsid w:val="00773A34"/>
    <w:rsid w:val="007742F2"/>
    <w:rsid w:val="00776299"/>
    <w:rsid w:val="00776B76"/>
    <w:rsid w:val="00776E0E"/>
    <w:rsid w:val="00777903"/>
    <w:rsid w:val="00782712"/>
    <w:rsid w:val="007829A2"/>
    <w:rsid w:val="00783E7F"/>
    <w:rsid w:val="0078554B"/>
    <w:rsid w:val="007866F3"/>
    <w:rsid w:val="0078793E"/>
    <w:rsid w:val="00795713"/>
    <w:rsid w:val="0079707D"/>
    <w:rsid w:val="007970E5"/>
    <w:rsid w:val="007976DF"/>
    <w:rsid w:val="00797B3F"/>
    <w:rsid w:val="00797F69"/>
    <w:rsid w:val="007A0F94"/>
    <w:rsid w:val="007A1F55"/>
    <w:rsid w:val="007A4E1F"/>
    <w:rsid w:val="007A6B62"/>
    <w:rsid w:val="007A7DE1"/>
    <w:rsid w:val="007B199B"/>
    <w:rsid w:val="007B1AD1"/>
    <w:rsid w:val="007B1E32"/>
    <w:rsid w:val="007C0EB0"/>
    <w:rsid w:val="007C14DA"/>
    <w:rsid w:val="007C23C0"/>
    <w:rsid w:val="007C3B90"/>
    <w:rsid w:val="007C65A6"/>
    <w:rsid w:val="007D293F"/>
    <w:rsid w:val="007D2B39"/>
    <w:rsid w:val="007D4CC8"/>
    <w:rsid w:val="007D4ED7"/>
    <w:rsid w:val="007E1932"/>
    <w:rsid w:val="007E29B1"/>
    <w:rsid w:val="007E2A6C"/>
    <w:rsid w:val="007E4384"/>
    <w:rsid w:val="007E651B"/>
    <w:rsid w:val="007E694E"/>
    <w:rsid w:val="007F0F52"/>
    <w:rsid w:val="007F5073"/>
    <w:rsid w:val="007F6064"/>
    <w:rsid w:val="007F6303"/>
    <w:rsid w:val="007F7EB4"/>
    <w:rsid w:val="00802120"/>
    <w:rsid w:val="00804C35"/>
    <w:rsid w:val="00804F9C"/>
    <w:rsid w:val="00805AFB"/>
    <w:rsid w:val="00805DC2"/>
    <w:rsid w:val="00805F79"/>
    <w:rsid w:val="00810A9D"/>
    <w:rsid w:val="008132AC"/>
    <w:rsid w:val="0082186C"/>
    <w:rsid w:val="0082203C"/>
    <w:rsid w:val="00822DC6"/>
    <w:rsid w:val="0082319E"/>
    <w:rsid w:val="00824967"/>
    <w:rsid w:val="00826637"/>
    <w:rsid w:val="00830F95"/>
    <w:rsid w:val="0083297C"/>
    <w:rsid w:val="00833D51"/>
    <w:rsid w:val="00834357"/>
    <w:rsid w:val="008363DF"/>
    <w:rsid w:val="0084083F"/>
    <w:rsid w:val="00840C8C"/>
    <w:rsid w:val="008414FB"/>
    <w:rsid w:val="008427BB"/>
    <w:rsid w:val="008441FD"/>
    <w:rsid w:val="008444DA"/>
    <w:rsid w:val="00844F12"/>
    <w:rsid w:val="00845F78"/>
    <w:rsid w:val="0084630A"/>
    <w:rsid w:val="00846E25"/>
    <w:rsid w:val="00846F5D"/>
    <w:rsid w:val="00847B56"/>
    <w:rsid w:val="00850365"/>
    <w:rsid w:val="00851149"/>
    <w:rsid w:val="0085241E"/>
    <w:rsid w:val="00852ED5"/>
    <w:rsid w:val="00854742"/>
    <w:rsid w:val="008547BB"/>
    <w:rsid w:val="0085763A"/>
    <w:rsid w:val="00860779"/>
    <w:rsid w:val="00860D1A"/>
    <w:rsid w:val="0086120A"/>
    <w:rsid w:val="00861D3D"/>
    <w:rsid w:val="0086393E"/>
    <w:rsid w:val="00864529"/>
    <w:rsid w:val="008653DB"/>
    <w:rsid w:val="00865908"/>
    <w:rsid w:val="00866BCE"/>
    <w:rsid w:val="0087039D"/>
    <w:rsid w:val="008708E5"/>
    <w:rsid w:val="00871A4F"/>
    <w:rsid w:val="00871C7A"/>
    <w:rsid w:val="00872D80"/>
    <w:rsid w:val="008744A5"/>
    <w:rsid w:val="00875E9A"/>
    <w:rsid w:val="00876C15"/>
    <w:rsid w:val="008803A7"/>
    <w:rsid w:val="00883580"/>
    <w:rsid w:val="008840AA"/>
    <w:rsid w:val="008877D4"/>
    <w:rsid w:val="008911B3"/>
    <w:rsid w:val="00896345"/>
    <w:rsid w:val="0089695A"/>
    <w:rsid w:val="008A1862"/>
    <w:rsid w:val="008A4FC1"/>
    <w:rsid w:val="008A53D0"/>
    <w:rsid w:val="008A5EAC"/>
    <w:rsid w:val="008A70B8"/>
    <w:rsid w:val="008A719E"/>
    <w:rsid w:val="008B098E"/>
    <w:rsid w:val="008B15CE"/>
    <w:rsid w:val="008B27B2"/>
    <w:rsid w:val="008B391C"/>
    <w:rsid w:val="008B4754"/>
    <w:rsid w:val="008B4E8E"/>
    <w:rsid w:val="008B55CD"/>
    <w:rsid w:val="008B7B94"/>
    <w:rsid w:val="008C1434"/>
    <w:rsid w:val="008C26A4"/>
    <w:rsid w:val="008C57B6"/>
    <w:rsid w:val="008C6639"/>
    <w:rsid w:val="008D202C"/>
    <w:rsid w:val="008D4106"/>
    <w:rsid w:val="008D4243"/>
    <w:rsid w:val="008D5ED1"/>
    <w:rsid w:val="008D738D"/>
    <w:rsid w:val="008D751F"/>
    <w:rsid w:val="008E2088"/>
    <w:rsid w:val="008E2524"/>
    <w:rsid w:val="008E2DDC"/>
    <w:rsid w:val="008E4220"/>
    <w:rsid w:val="008E723E"/>
    <w:rsid w:val="008E7335"/>
    <w:rsid w:val="008E733C"/>
    <w:rsid w:val="008F0168"/>
    <w:rsid w:val="008F35FD"/>
    <w:rsid w:val="008F7B59"/>
    <w:rsid w:val="009036AC"/>
    <w:rsid w:val="00904D39"/>
    <w:rsid w:val="009072F6"/>
    <w:rsid w:val="00907A45"/>
    <w:rsid w:val="009103DB"/>
    <w:rsid w:val="009133A0"/>
    <w:rsid w:val="0091451B"/>
    <w:rsid w:val="00916A43"/>
    <w:rsid w:val="0091714F"/>
    <w:rsid w:val="009201B3"/>
    <w:rsid w:val="00920656"/>
    <w:rsid w:val="00924374"/>
    <w:rsid w:val="009263E2"/>
    <w:rsid w:val="00927717"/>
    <w:rsid w:val="00932619"/>
    <w:rsid w:val="00937D9E"/>
    <w:rsid w:val="00943A0B"/>
    <w:rsid w:val="00955017"/>
    <w:rsid w:val="00957DDE"/>
    <w:rsid w:val="00960D3B"/>
    <w:rsid w:val="00961732"/>
    <w:rsid w:val="009619A3"/>
    <w:rsid w:val="00962A5C"/>
    <w:rsid w:val="00962FF2"/>
    <w:rsid w:val="009640FF"/>
    <w:rsid w:val="009646FD"/>
    <w:rsid w:val="00964DAC"/>
    <w:rsid w:val="00971E82"/>
    <w:rsid w:val="00972D30"/>
    <w:rsid w:val="0097344B"/>
    <w:rsid w:val="00974B4F"/>
    <w:rsid w:val="00975D53"/>
    <w:rsid w:val="0097626E"/>
    <w:rsid w:val="00977A72"/>
    <w:rsid w:val="0098405E"/>
    <w:rsid w:val="009850AA"/>
    <w:rsid w:val="009850CA"/>
    <w:rsid w:val="009857BC"/>
    <w:rsid w:val="009871F6"/>
    <w:rsid w:val="009924BE"/>
    <w:rsid w:val="00993920"/>
    <w:rsid w:val="00993B01"/>
    <w:rsid w:val="009946D8"/>
    <w:rsid w:val="00997901"/>
    <w:rsid w:val="009A0D4C"/>
    <w:rsid w:val="009A202F"/>
    <w:rsid w:val="009A3198"/>
    <w:rsid w:val="009A70C3"/>
    <w:rsid w:val="009B0856"/>
    <w:rsid w:val="009B54EB"/>
    <w:rsid w:val="009B7FC7"/>
    <w:rsid w:val="009C0D07"/>
    <w:rsid w:val="009C1916"/>
    <w:rsid w:val="009C2195"/>
    <w:rsid w:val="009C2322"/>
    <w:rsid w:val="009C360D"/>
    <w:rsid w:val="009C38B3"/>
    <w:rsid w:val="009C4F92"/>
    <w:rsid w:val="009C60C8"/>
    <w:rsid w:val="009C6F9B"/>
    <w:rsid w:val="009C727C"/>
    <w:rsid w:val="009D0C19"/>
    <w:rsid w:val="009D0C5C"/>
    <w:rsid w:val="009D14D8"/>
    <w:rsid w:val="009D4F72"/>
    <w:rsid w:val="009D704B"/>
    <w:rsid w:val="009D7060"/>
    <w:rsid w:val="009D7A1A"/>
    <w:rsid w:val="009D7E83"/>
    <w:rsid w:val="009E1366"/>
    <w:rsid w:val="009E455A"/>
    <w:rsid w:val="009E679D"/>
    <w:rsid w:val="009E6CAC"/>
    <w:rsid w:val="009E7E74"/>
    <w:rsid w:val="009F0773"/>
    <w:rsid w:val="009F0880"/>
    <w:rsid w:val="00A04C5A"/>
    <w:rsid w:val="00A05D59"/>
    <w:rsid w:val="00A07C7A"/>
    <w:rsid w:val="00A1116A"/>
    <w:rsid w:val="00A128AE"/>
    <w:rsid w:val="00A1306A"/>
    <w:rsid w:val="00A15974"/>
    <w:rsid w:val="00A20FD9"/>
    <w:rsid w:val="00A22E79"/>
    <w:rsid w:val="00A24C5B"/>
    <w:rsid w:val="00A2657B"/>
    <w:rsid w:val="00A26C29"/>
    <w:rsid w:val="00A310A9"/>
    <w:rsid w:val="00A31676"/>
    <w:rsid w:val="00A31B7D"/>
    <w:rsid w:val="00A32285"/>
    <w:rsid w:val="00A32D31"/>
    <w:rsid w:val="00A332F7"/>
    <w:rsid w:val="00A33DF5"/>
    <w:rsid w:val="00A35C5B"/>
    <w:rsid w:val="00A3712A"/>
    <w:rsid w:val="00A416A2"/>
    <w:rsid w:val="00A42758"/>
    <w:rsid w:val="00A436C6"/>
    <w:rsid w:val="00A43CEF"/>
    <w:rsid w:val="00A46738"/>
    <w:rsid w:val="00A477C3"/>
    <w:rsid w:val="00A52439"/>
    <w:rsid w:val="00A52AF5"/>
    <w:rsid w:val="00A53ED6"/>
    <w:rsid w:val="00A54C4A"/>
    <w:rsid w:val="00A560D0"/>
    <w:rsid w:val="00A57706"/>
    <w:rsid w:val="00A57B25"/>
    <w:rsid w:val="00A612AB"/>
    <w:rsid w:val="00A6131C"/>
    <w:rsid w:val="00A64FDA"/>
    <w:rsid w:val="00A6590C"/>
    <w:rsid w:val="00A70B34"/>
    <w:rsid w:val="00A710B9"/>
    <w:rsid w:val="00A717A1"/>
    <w:rsid w:val="00A771F9"/>
    <w:rsid w:val="00A7749C"/>
    <w:rsid w:val="00A77EDE"/>
    <w:rsid w:val="00A81D71"/>
    <w:rsid w:val="00A82726"/>
    <w:rsid w:val="00A82812"/>
    <w:rsid w:val="00A83F97"/>
    <w:rsid w:val="00A86971"/>
    <w:rsid w:val="00A874B8"/>
    <w:rsid w:val="00A90645"/>
    <w:rsid w:val="00A90F9E"/>
    <w:rsid w:val="00A91E54"/>
    <w:rsid w:val="00A9342C"/>
    <w:rsid w:val="00A95EB9"/>
    <w:rsid w:val="00AA06D4"/>
    <w:rsid w:val="00AA12F7"/>
    <w:rsid w:val="00AA2549"/>
    <w:rsid w:val="00AA5886"/>
    <w:rsid w:val="00AA681F"/>
    <w:rsid w:val="00AA70B9"/>
    <w:rsid w:val="00AA7256"/>
    <w:rsid w:val="00AB2E17"/>
    <w:rsid w:val="00AB3494"/>
    <w:rsid w:val="00AB5EBA"/>
    <w:rsid w:val="00AB6A08"/>
    <w:rsid w:val="00AB6E32"/>
    <w:rsid w:val="00AC41B8"/>
    <w:rsid w:val="00AD0217"/>
    <w:rsid w:val="00AD2E99"/>
    <w:rsid w:val="00AD3EFC"/>
    <w:rsid w:val="00AD6327"/>
    <w:rsid w:val="00AD7D0D"/>
    <w:rsid w:val="00AE0DB0"/>
    <w:rsid w:val="00AE0ECF"/>
    <w:rsid w:val="00AE1225"/>
    <w:rsid w:val="00AE13B1"/>
    <w:rsid w:val="00AE36D7"/>
    <w:rsid w:val="00AE3724"/>
    <w:rsid w:val="00AE511C"/>
    <w:rsid w:val="00AE5FDE"/>
    <w:rsid w:val="00AE6402"/>
    <w:rsid w:val="00AF04A9"/>
    <w:rsid w:val="00AF05F1"/>
    <w:rsid w:val="00AF0BD5"/>
    <w:rsid w:val="00AF31F1"/>
    <w:rsid w:val="00AF4628"/>
    <w:rsid w:val="00AF4664"/>
    <w:rsid w:val="00AF4AA9"/>
    <w:rsid w:val="00AF51DE"/>
    <w:rsid w:val="00AF7301"/>
    <w:rsid w:val="00AF78CA"/>
    <w:rsid w:val="00B00092"/>
    <w:rsid w:val="00B00F47"/>
    <w:rsid w:val="00B01CB6"/>
    <w:rsid w:val="00B02A0A"/>
    <w:rsid w:val="00B02CA2"/>
    <w:rsid w:val="00B04A5F"/>
    <w:rsid w:val="00B04FA6"/>
    <w:rsid w:val="00B06515"/>
    <w:rsid w:val="00B1047D"/>
    <w:rsid w:val="00B133A2"/>
    <w:rsid w:val="00B13823"/>
    <w:rsid w:val="00B14AAF"/>
    <w:rsid w:val="00B14B46"/>
    <w:rsid w:val="00B14C11"/>
    <w:rsid w:val="00B14D99"/>
    <w:rsid w:val="00B15C91"/>
    <w:rsid w:val="00B1668D"/>
    <w:rsid w:val="00B204D0"/>
    <w:rsid w:val="00B229E8"/>
    <w:rsid w:val="00B2484D"/>
    <w:rsid w:val="00B25155"/>
    <w:rsid w:val="00B2567F"/>
    <w:rsid w:val="00B25DF4"/>
    <w:rsid w:val="00B266EE"/>
    <w:rsid w:val="00B27283"/>
    <w:rsid w:val="00B2757D"/>
    <w:rsid w:val="00B27B0D"/>
    <w:rsid w:val="00B302C2"/>
    <w:rsid w:val="00B303EA"/>
    <w:rsid w:val="00B30402"/>
    <w:rsid w:val="00B367DB"/>
    <w:rsid w:val="00B41929"/>
    <w:rsid w:val="00B42BEF"/>
    <w:rsid w:val="00B53434"/>
    <w:rsid w:val="00B54EA2"/>
    <w:rsid w:val="00B55AF9"/>
    <w:rsid w:val="00B6011D"/>
    <w:rsid w:val="00B61169"/>
    <w:rsid w:val="00B62078"/>
    <w:rsid w:val="00B625F4"/>
    <w:rsid w:val="00B6478D"/>
    <w:rsid w:val="00B64A41"/>
    <w:rsid w:val="00B6567A"/>
    <w:rsid w:val="00B671B1"/>
    <w:rsid w:val="00B676E5"/>
    <w:rsid w:val="00B70206"/>
    <w:rsid w:val="00B7101A"/>
    <w:rsid w:val="00B71112"/>
    <w:rsid w:val="00B721B0"/>
    <w:rsid w:val="00B72258"/>
    <w:rsid w:val="00B73FE0"/>
    <w:rsid w:val="00B74F08"/>
    <w:rsid w:val="00B765E0"/>
    <w:rsid w:val="00B767AC"/>
    <w:rsid w:val="00B77E6F"/>
    <w:rsid w:val="00B80AC5"/>
    <w:rsid w:val="00B81A10"/>
    <w:rsid w:val="00B833EF"/>
    <w:rsid w:val="00B836BA"/>
    <w:rsid w:val="00B844AF"/>
    <w:rsid w:val="00B867ED"/>
    <w:rsid w:val="00B86AAE"/>
    <w:rsid w:val="00B9210E"/>
    <w:rsid w:val="00B92194"/>
    <w:rsid w:val="00B93196"/>
    <w:rsid w:val="00B93357"/>
    <w:rsid w:val="00B9397B"/>
    <w:rsid w:val="00B9560C"/>
    <w:rsid w:val="00BA0627"/>
    <w:rsid w:val="00BA0E8A"/>
    <w:rsid w:val="00BA20AC"/>
    <w:rsid w:val="00BA3745"/>
    <w:rsid w:val="00BA49B8"/>
    <w:rsid w:val="00BA4A17"/>
    <w:rsid w:val="00BA5C15"/>
    <w:rsid w:val="00BA7AD9"/>
    <w:rsid w:val="00BB5DF6"/>
    <w:rsid w:val="00BB6486"/>
    <w:rsid w:val="00BB66C9"/>
    <w:rsid w:val="00BB6D8A"/>
    <w:rsid w:val="00BB75B7"/>
    <w:rsid w:val="00BC0106"/>
    <w:rsid w:val="00BC41D9"/>
    <w:rsid w:val="00BC45AE"/>
    <w:rsid w:val="00BC4770"/>
    <w:rsid w:val="00BC6315"/>
    <w:rsid w:val="00BD1E08"/>
    <w:rsid w:val="00BD2603"/>
    <w:rsid w:val="00BD4551"/>
    <w:rsid w:val="00BD5F53"/>
    <w:rsid w:val="00BE3900"/>
    <w:rsid w:val="00BE3DA6"/>
    <w:rsid w:val="00BE6013"/>
    <w:rsid w:val="00BE7AB7"/>
    <w:rsid w:val="00BF22CD"/>
    <w:rsid w:val="00BF2A23"/>
    <w:rsid w:val="00BF2EFD"/>
    <w:rsid w:val="00BF5094"/>
    <w:rsid w:val="00BF5F6C"/>
    <w:rsid w:val="00C02994"/>
    <w:rsid w:val="00C05590"/>
    <w:rsid w:val="00C06334"/>
    <w:rsid w:val="00C07B94"/>
    <w:rsid w:val="00C109A3"/>
    <w:rsid w:val="00C11278"/>
    <w:rsid w:val="00C11808"/>
    <w:rsid w:val="00C11C93"/>
    <w:rsid w:val="00C11FBB"/>
    <w:rsid w:val="00C12680"/>
    <w:rsid w:val="00C132C5"/>
    <w:rsid w:val="00C13DE0"/>
    <w:rsid w:val="00C20AA8"/>
    <w:rsid w:val="00C20D24"/>
    <w:rsid w:val="00C21D53"/>
    <w:rsid w:val="00C22B02"/>
    <w:rsid w:val="00C2478F"/>
    <w:rsid w:val="00C247D2"/>
    <w:rsid w:val="00C24AE4"/>
    <w:rsid w:val="00C2527F"/>
    <w:rsid w:val="00C25FC5"/>
    <w:rsid w:val="00C30076"/>
    <w:rsid w:val="00C31A9D"/>
    <w:rsid w:val="00C321D9"/>
    <w:rsid w:val="00C32F01"/>
    <w:rsid w:val="00C33C5B"/>
    <w:rsid w:val="00C3509B"/>
    <w:rsid w:val="00C354CE"/>
    <w:rsid w:val="00C35AAF"/>
    <w:rsid w:val="00C368DD"/>
    <w:rsid w:val="00C407AF"/>
    <w:rsid w:val="00C417E7"/>
    <w:rsid w:val="00C41C1E"/>
    <w:rsid w:val="00C434B8"/>
    <w:rsid w:val="00C44132"/>
    <w:rsid w:val="00C455C5"/>
    <w:rsid w:val="00C500C0"/>
    <w:rsid w:val="00C51618"/>
    <w:rsid w:val="00C528FB"/>
    <w:rsid w:val="00C55752"/>
    <w:rsid w:val="00C55BB5"/>
    <w:rsid w:val="00C56B92"/>
    <w:rsid w:val="00C63CCA"/>
    <w:rsid w:val="00C66A87"/>
    <w:rsid w:val="00C70447"/>
    <w:rsid w:val="00C7266E"/>
    <w:rsid w:val="00C7330B"/>
    <w:rsid w:val="00C764B2"/>
    <w:rsid w:val="00C76B77"/>
    <w:rsid w:val="00C8162F"/>
    <w:rsid w:val="00C831A7"/>
    <w:rsid w:val="00C83BF8"/>
    <w:rsid w:val="00C8475C"/>
    <w:rsid w:val="00C84F0C"/>
    <w:rsid w:val="00C85BC4"/>
    <w:rsid w:val="00C85DD9"/>
    <w:rsid w:val="00C91DB5"/>
    <w:rsid w:val="00C95965"/>
    <w:rsid w:val="00C95C03"/>
    <w:rsid w:val="00C95E2D"/>
    <w:rsid w:val="00C977DE"/>
    <w:rsid w:val="00CA057E"/>
    <w:rsid w:val="00CA6E7F"/>
    <w:rsid w:val="00CB08E8"/>
    <w:rsid w:val="00CB4AE3"/>
    <w:rsid w:val="00CB569B"/>
    <w:rsid w:val="00CB72A3"/>
    <w:rsid w:val="00CC0DD3"/>
    <w:rsid w:val="00CC1919"/>
    <w:rsid w:val="00CC263D"/>
    <w:rsid w:val="00CC48FE"/>
    <w:rsid w:val="00CC49FD"/>
    <w:rsid w:val="00CC4F3D"/>
    <w:rsid w:val="00CC4FEB"/>
    <w:rsid w:val="00CC573D"/>
    <w:rsid w:val="00CC6291"/>
    <w:rsid w:val="00CC6507"/>
    <w:rsid w:val="00CC6AB0"/>
    <w:rsid w:val="00CD1F6D"/>
    <w:rsid w:val="00CD27B8"/>
    <w:rsid w:val="00CD28EC"/>
    <w:rsid w:val="00CD32DE"/>
    <w:rsid w:val="00CD364E"/>
    <w:rsid w:val="00CD3E53"/>
    <w:rsid w:val="00CD430A"/>
    <w:rsid w:val="00CD4B1A"/>
    <w:rsid w:val="00CD4CBF"/>
    <w:rsid w:val="00CD719B"/>
    <w:rsid w:val="00CD7A5A"/>
    <w:rsid w:val="00CD7C2F"/>
    <w:rsid w:val="00CE092C"/>
    <w:rsid w:val="00CE175A"/>
    <w:rsid w:val="00CE3783"/>
    <w:rsid w:val="00CE3EEA"/>
    <w:rsid w:val="00CF13AF"/>
    <w:rsid w:val="00CF404B"/>
    <w:rsid w:val="00CF4766"/>
    <w:rsid w:val="00CF4F27"/>
    <w:rsid w:val="00CF57F2"/>
    <w:rsid w:val="00CF6AE5"/>
    <w:rsid w:val="00CF6F66"/>
    <w:rsid w:val="00CF7DB5"/>
    <w:rsid w:val="00D00EE5"/>
    <w:rsid w:val="00D01EFB"/>
    <w:rsid w:val="00D02E43"/>
    <w:rsid w:val="00D03BE8"/>
    <w:rsid w:val="00D055B5"/>
    <w:rsid w:val="00D05D34"/>
    <w:rsid w:val="00D100DB"/>
    <w:rsid w:val="00D1106D"/>
    <w:rsid w:val="00D11BA4"/>
    <w:rsid w:val="00D14479"/>
    <w:rsid w:val="00D14C92"/>
    <w:rsid w:val="00D15E81"/>
    <w:rsid w:val="00D161D9"/>
    <w:rsid w:val="00D16D84"/>
    <w:rsid w:val="00D2113B"/>
    <w:rsid w:val="00D219CF"/>
    <w:rsid w:val="00D21B05"/>
    <w:rsid w:val="00D23C8D"/>
    <w:rsid w:val="00D245CD"/>
    <w:rsid w:val="00D2564A"/>
    <w:rsid w:val="00D2573E"/>
    <w:rsid w:val="00D27062"/>
    <w:rsid w:val="00D276C1"/>
    <w:rsid w:val="00D30F46"/>
    <w:rsid w:val="00D31A5A"/>
    <w:rsid w:val="00D34FC5"/>
    <w:rsid w:val="00D35DCC"/>
    <w:rsid w:val="00D35E57"/>
    <w:rsid w:val="00D36401"/>
    <w:rsid w:val="00D4062F"/>
    <w:rsid w:val="00D41A30"/>
    <w:rsid w:val="00D41C57"/>
    <w:rsid w:val="00D42F81"/>
    <w:rsid w:val="00D43D2E"/>
    <w:rsid w:val="00D4477B"/>
    <w:rsid w:val="00D453C2"/>
    <w:rsid w:val="00D470DF"/>
    <w:rsid w:val="00D473F2"/>
    <w:rsid w:val="00D47A0B"/>
    <w:rsid w:val="00D50932"/>
    <w:rsid w:val="00D50BED"/>
    <w:rsid w:val="00D522CD"/>
    <w:rsid w:val="00D5365F"/>
    <w:rsid w:val="00D536A0"/>
    <w:rsid w:val="00D53705"/>
    <w:rsid w:val="00D55F32"/>
    <w:rsid w:val="00D609F0"/>
    <w:rsid w:val="00D62803"/>
    <w:rsid w:val="00D62F69"/>
    <w:rsid w:val="00D64D97"/>
    <w:rsid w:val="00D6539D"/>
    <w:rsid w:val="00D662F3"/>
    <w:rsid w:val="00D67A4C"/>
    <w:rsid w:val="00D70442"/>
    <w:rsid w:val="00D70B56"/>
    <w:rsid w:val="00D71843"/>
    <w:rsid w:val="00D71B00"/>
    <w:rsid w:val="00D73760"/>
    <w:rsid w:val="00D7419C"/>
    <w:rsid w:val="00D75EF5"/>
    <w:rsid w:val="00D761E1"/>
    <w:rsid w:val="00D76470"/>
    <w:rsid w:val="00D76B4B"/>
    <w:rsid w:val="00D801C8"/>
    <w:rsid w:val="00D80ADC"/>
    <w:rsid w:val="00D80B95"/>
    <w:rsid w:val="00D81B3B"/>
    <w:rsid w:val="00D82B48"/>
    <w:rsid w:val="00D839C7"/>
    <w:rsid w:val="00D83BB6"/>
    <w:rsid w:val="00D84AC7"/>
    <w:rsid w:val="00D85ACA"/>
    <w:rsid w:val="00D85AE0"/>
    <w:rsid w:val="00D86ECA"/>
    <w:rsid w:val="00D87049"/>
    <w:rsid w:val="00D87D0A"/>
    <w:rsid w:val="00D90267"/>
    <w:rsid w:val="00D908E4"/>
    <w:rsid w:val="00D90FA0"/>
    <w:rsid w:val="00D91D0E"/>
    <w:rsid w:val="00D95616"/>
    <w:rsid w:val="00D9777B"/>
    <w:rsid w:val="00DA0179"/>
    <w:rsid w:val="00DA2561"/>
    <w:rsid w:val="00DA55E5"/>
    <w:rsid w:val="00DA5F01"/>
    <w:rsid w:val="00DA696D"/>
    <w:rsid w:val="00DA6A9B"/>
    <w:rsid w:val="00DA7C5D"/>
    <w:rsid w:val="00DB0821"/>
    <w:rsid w:val="00DB38EA"/>
    <w:rsid w:val="00DB467D"/>
    <w:rsid w:val="00DB4F8C"/>
    <w:rsid w:val="00DB5475"/>
    <w:rsid w:val="00DB7417"/>
    <w:rsid w:val="00DC436E"/>
    <w:rsid w:val="00DC45AB"/>
    <w:rsid w:val="00DC52B9"/>
    <w:rsid w:val="00DC5ADE"/>
    <w:rsid w:val="00DC60AA"/>
    <w:rsid w:val="00DC60CE"/>
    <w:rsid w:val="00DC75B6"/>
    <w:rsid w:val="00DC7757"/>
    <w:rsid w:val="00DC7B52"/>
    <w:rsid w:val="00DD221F"/>
    <w:rsid w:val="00DD3A97"/>
    <w:rsid w:val="00DD4060"/>
    <w:rsid w:val="00DD502F"/>
    <w:rsid w:val="00DD7C8B"/>
    <w:rsid w:val="00DD7F9C"/>
    <w:rsid w:val="00DE1FD8"/>
    <w:rsid w:val="00DE3A7E"/>
    <w:rsid w:val="00DE67CA"/>
    <w:rsid w:val="00DF1D07"/>
    <w:rsid w:val="00DF1DC3"/>
    <w:rsid w:val="00DF1F0C"/>
    <w:rsid w:val="00DF1F99"/>
    <w:rsid w:val="00DF3658"/>
    <w:rsid w:val="00E0049A"/>
    <w:rsid w:val="00E01744"/>
    <w:rsid w:val="00E031A8"/>
    <w:rsid w:val="00E03357"/>
    <w:rsid w:val="00E04F3C"/>
    <w:rsid w:val="00E04F46"/>
    <w:rsid w:val="00E05543"/>
    <w:rsid w:val="00E07D28"/>
    <w:rsid w:val="00E1292E"/>
    <w:rsid w:val="00E12AE6"/>
    <w:rsid w:val="00E150F1"/>
    <w:rsid w:val="00E169F7"/>
    <w:rsid w:val="00E16B78"/>
    <w:rsid w:val="00E20712"/>
    <w:rsid w:val="00E20F06"/>
    <w:rsid w:val="00E23E80"/>
    <w:rsid w:val="00E24E32"/>
    <w:rsid w:val="00E27CD4"/>
    <w:rsid w:val="00E31F7E"/>
    <w:rsid w:val="00E31FE3"/>
    <w:rsid w:val="00E32BA3"/>
    <w:rsid w:val="00E3409A"/>
    <w:rsid w:val="00E34B16"/>
    <w:rsid w:val="00E36FA3"/>
    <w:rsid w:val="00E3732D"/>
    <w:rsid w:val="00E40817"/>
    <w:rsid w:val="00E40C65"/>
    <w:rsid w:val="00E4163D"/>
    <w:rsid w:val="00E41FC6"/>
    <w:rsid w:val="00E42B22"/>
    <w:rsid w:val="00E42FD6"/>
    <w:rsid w:val="00E44A52"/>
    <w:rsid w:val="00E44AB2"/>
    <w:rsid w:val="00E4583C"/>
    <w:rsid w:val="00E476A0"/>
    <w:rsid w:val="00E5057D"/>
    <w:rsid w:val="00E53832"/>
    <w:rsid w:val="00E57205"/>
    <w:rsid w:val="00E600AE"/>
    <w:rsid w:val="00E64317"/>
    <w:rsid w:val="00E645C6"/>
    <w:rsid w:val="00E6742C"/>
    <w:rsid w:val="00E74251"/>
    <w:rsid w:val="00E77DA2"/>
    <w:rsid w:val="00E80F97"/>
    <w:rsid w:val="00E83DCD"/>
    <w:rsid w:val="00E8690D"/>
    <w:rsid w:val="00E86EF2"/>
    <w:rsid w:val="00E90359"/>
    <w:rsid w:val="00E911A6"/>
    <w:rsid w:val="00E917F5"/>
    <w:rsid w:val="00E91C0A"/>
    <w:rsid w:val="00E92FF0"/>
    <w:rsid w:val="00E938E3"/>
    <w:rsid w:val="00E93C71"/>
    <w:rsid w:val="00E95F1B"/>
    <w:rsid w:val="00E96A1F"/>
    <w:rsid w:val="00E97227"/>
    <w:rsid w:val="00E977C0"/>
    <w:rsid w:val="00E977CB"/>
    <w:rsid w:val="00EA0BF8"/>
    <w:rsid w:val="00EA25F8"/>
    <w:rsid w:val="00EA31A6"/>
    <w:rsid w:val="00EA4AE6"/>
    <w:rsid w:val="00EA4B49"/>
    <w:rsid w:val="00EA5CFE"/>
    <w:rsid w:val="00EA6005"/>
    <w:rsid w:val="00EA6630"/>
    <w:rsid w:val="00EA78DC"/>
    <w:rsid w:val="00EA79DD"/>
    <w:rsid w:val="00EB0A60"/>
    <w:rsid w:val="00EB1184"/>
    <w:rsid w:val="00EB1CBD"/>
    <w:rsid w:val="00EB3C1B"/>
    <w:rsid w:val="00EB45CC"/>
    <w:rsid w:val="00EB49F4"/>
    <w:rsid w:val="00EB4A8C"/>
    <w:rsid w:val="00EB5984"/>
    <w:rsid w:val="00EC3A2E"/>
    <w:rsid w:val="00EC6FD4"/>
    <w:rsid w:val="00ED01E1"/>
    <w:rsid w:val="00ED0627"/>
    <w:rsid w:val="00ED0D35"/>
    <w:rsid w:val="00ED0DC7"/>
    <w:rsid w:val="00ED1EB7"/>
    <w:rsid w:val="00ED22A9"/>
    <w:rsid w:val="00ED577B"/>
    <w:rsid w:val="00ED5B08"/>
    <w:rsid w:val="00ED67DC"/>
    <w:rsid w:val="00EE1631"/>
    <w:rsid w:val="00EE1C60"/>
    <w:rsid w:val="00EF0BF5"/>
    <w:rsid w:val="00EF124A"/>
    <w:rsid w:val="00EF218A"/>
    <w:rsid w:val="00EF446C"/>
    <w:rsid w:val="00EF481C"/>
    <w:rsid w:val="00EF7A58"/>
    <w:rsid w:val="00F0049B"/>
    <w:rsid w:val="00F01D18"/>
    <w:rsid w:val="00F02A2E"/>
    <w:rsid w:val="00F02D61"/>
    <w:rsid w:val="00F05A86"/>
    <w:rsid w:val="00F113C0"/>
    <w:rsid w:val="00F1166F"/>
    <w:rsid w:val="00F11747"/>
    <w:rsid w:val="00F13295"/>
    <w:rsid w:val="00F20148"/>
    <w:rsid w:val="00F24A37"/>
    <w:rsid w:val="00F26551"/>
    <w:rsid w:val="00F26660"/>
    <w:rsid w:val="00F30B8D"/>
    <w:rsid w:val="00F30D50"/>
    <w:rsid w:val="00F33DC9"/>
    <w:rsid w:val="00F34909"/>
    <w:rsid w:val="00F36876"/>
    <w:rsid w:val="00F370E7"/>
    <w:rsid w:val="00F377EA"/>
    <w:rsid w:val="00F37AB2"/>
    <w:rsid w:val="00F40950"/>
    <w:rsid w:val="00F425C1"/>
    <w:rsid w:val="00F42ABF"/>
    <w:rsid w:val="00F44882"/>
    <w:rsid w:val="00F466FB"/>
    <w:rsid w:val="00F46CF8"/>
    <w:rsid w:val="00F51E55"/>
    <w:rsid w:val="00F52238"/>
    <w:rsid w:val="00F5256E"/>
    <w:rsid w:val="00F615D1"/>
    <w:rsid w:val="00F64FA8"/>
    <w:rsid w:val="00F673DE"/>
    <w:rsid w:val="00F675CA"/>
    <w:rsid w:val="00F7231F"/>
    <w:rsid w:val="00F7347B"/>
    <w:rsid w:val="00F74BB2"/>
    <w:rsid w:val="00F7554D"/>
    <w:rsid w:val="00F76598"/>
    <w:rsid w:val="00F77140"/>
    <w:rsid w:val="00F7780F"/>
    <w:rsid w:val="00F77C88"/>
    <w:rsid w:val="00F77CEC"/>
    <w:rsid w:val="00F77E24"/>
    <w:rsid w:val="00F82301"/>
    <w:rsid w:val="00F854CF"/>
    <w:rsid w:val="00F864AB"/>
    <w:rsid w:val="00F90059"/>
    <w:rsid w:val="00F90B4C"/>
    <w:rsid w:val="00F92980"/>
    <w:rsid w:val="00F9357E"/>
    <w:rsid w:val="00F940BC"/>
    <w:rsid w:val="00F958D0"/>
    <w:rsid w:val="00F97619"/>
    <w:rsid w:val="00FA06CE"/>
    <w:rsid w:val="00FA1815"/>
    <w:rsid w:val="00FA2B8F"/>
    <w:rsid w:val="00FA3425"/>
    <w:rsid w:val="00FA5793"/>
    <w:rsid w:val="00FB2AE7"/>
    <w:rsid w:val="00FB31CF"/>
    <w:rsid w:val="00FB372C"/>
    <w:rsid w:val="00FB47B4"/>
    <w:rsid w:val="00FB4CE2"/>
    <w:rsid w:val="00FB58AD"/>
    <w:rsid w:val="00FB6229"/>
    <w:rsid w:val="00FB62ED"/>
    <w:rsid w:val="00FB6F08"/>
    <w:rsid w:val="00FC036B"/>
    <w:rsid w:val="00FC07DD"/>
    <w:rsid w:val="00FC30E6"/>
    <w:rsid w:val="00FC3B72"/>
    <w:rsid w:val="00FC6BB1"/>
    <w:rsid w:val="00FC7936"/>
    <w:rsid w:val="00FC7EEB"/>
    <w:rsid w:val="00FD5F8B"/>
    <w:rsid w:val="00FD79BB"/>
    <w:rsid w:val="00FE4DBF"/>
    <w:rsid w:val="00FE7FD4"/>
    <w:rsid w:val="00FF053C"/>
    <w:rsid w:val="00FF2A49"/>
    <w:rsid w:val="00FF2BF3"/>
    <w:rsid w:val="00FF2EC4"/>
    <w:rsid w:val="00FF5728"/>
    <w:rsid w:val="00FF7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3B90"/>
    <w:rPr>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autoRedefine/>
    <w:rsid w:val="00B14B46"/>
    <w:pPr>
      <w:tabs>
        <w:tab w:val="left" w:pos="1440"/>
      </w:tabs>
      <w:spacing w:after="120"/>
      <w:jc w:val="center"/>
    </w:pPr>
    <w:rPr>
      <w:rFonts w:ascii="Arial" w:hAnsi="Arial" w:cs="Arial"/>
      <w:b/>
      <w:smallCaps/>
      <w:noProof/>
      <w:szCs w:val="22"/>
      <w:lang w:val="en-US"/>
    </w:rPr>
  </w:style>
  <w:style w:type="paragraph" w:customStyle="1" w:styleId="MyBullet">
    <w:name w:val="MyBullet"/>
    <w:basedOn w:val="Normal"/>
    <w:rsid w:val="007C3B90"/>
    <w:pPr>
      <w:suppressAutoHyphens/>
    </w:pPr>
    <w:rPr>
      <w:sz w:val="22"/>
      <w:szCs w:val="20"/>
      <w:lang w:val="en-US"/>
    </w:rPr>
  </w:style>
  <w:style w:type="paragraph" w:styleId="Header">
    <w:name w:val="header"/>
    <w:basedOn w:val="Normal"/>
    <w:link w:val="HeaderChar"/>
    <w:uiPriority w:val="99"/>
    <w:rsid w:val="007C3B90"/>
    <w:pPr>
      <w:tabs>
        <w:tab w:val="center" w:pos="4320"/>
        <w:tab w:val="right" w:pos="8640"/>
      </w:tabs>
    </w:pPr>
  </w:style>
  <w:style w:type="character" w:styleId="PageNumber">
    <w:name w:val="page number"/>
    <w:basedOn w:val="DefaultParagraphFont"/>
    <w:rsid w:val="007C3B90"/>
  </w:style>
  <w:style w:type="paragraph" w:styleId="FootnoteText">
    <w:name w:val="footnote text"/>
    <w:basedOn w:val="Normal"/>
    <w:link w:val="FootnoteTextChar"/>
    <w:semiHidden/>
    <w:rsid w:val="007C3B90"/>
    <w:rPr>
      <w:sz w:val="20"/>
      <w:szCs w:val="20"/>
      <w:lang w:val="en-US"/>
    </w:rPr>
  </w:style>
  <w:style w:type="character" w:styleId="FootnoteReference">
    <w:name w:val="footnote reference"/>
    <w:semiHidden/>
    <w:rsid w:val="007C3B90"/>
    <w:rPr>
      <w:vertAlign w:val="superscript"/>
    </w:rPr>
  </w:style>
  <w:style w:type="character" w:styleId="Hyperlink">
    <w:name w:val="Hyperlink"/>
    <w:rsid w:val="00D70442"/>
    <w:rPr>
      <w:color w:val="0000FF"/>
      <w:u w:val="single"/>
    </w:rPr>
  </w:style>
  <w:style w:type="paragraph" w:styleId="Footer">
    <w:name w:val="footer"/>
    <w:basedOn w:val="Normal"/>
    <w:link w:val="FooterChar"/>
    <w:rsid w:val="00451889"/>
    <w:pPr>
      <w:tabs>
        <w:tab w:val="center" w:pos="4680"/>
        <w:tab w:val="right" w:pos="9360"/>
      </w:tabs>
    </w:pPr>
  </w:style>
  <w:style w:type="character" w:customStyle="1" w:styleId="FooterChar">
    <w:name w:val="Footer Char"/>
    <w:link w:val="Footer"/>
    <w:rsid w:val="00451889"/>
    <w:rPr>
      <w:sz w:val="24"/>
      <w:szCs w:val="24"/>
      <w:lang w:val="es-ES"/>
    </w:rPr>
  </w:style>
  <w:style w:type="character" w:customStyle="1" w:styleId="HeaderChar">
    <w:name w:val="Header Char"/>
    <w:link w:val="Header"/>
    <w:uiPriority w:val="99"/>
    <w:rsid w:val="00451889"/>
    <w:rPr>
      <w:sz w:val="24"/>
      <w:szCs w:val="24"/>
      <w:lang w:val="es-ES"/>
    </w:rPr>
  </w:style>
  <w:style w:type="paragraph" w:styleId="ListParagraph">
    <w:name w:val="List Paragraph"/>
    <w:basedOn w:val="Normal"/>
    <w:uiPriority w:val="34"/>
    <w:qFormat/>
    <w:rsid w:val="00065DDD"/>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rsid w:val="00F37AB2"/>
    <w:rPr>
      <w:rFonts w:ascii="Tahoma" w:hAnsi="Tahoma" w:cs="Tahoma"/>
      <w:sz w:val="16"/>
      <w:szCs w:val="16"/>
    </w:rPr>
  </w:style>
  <w:style w:type="character" w:customStyle="1" w:styleId="BalloonTextChar">
    <w:name w:val="Balloon Text Char"/>
    <w:link w:val="BalloonText"/>
    <w:rsid w:val="00F37AB2"/>
    <w:rPr>
      <w:rFonts w:ascii="Tahoma" w:hAnsi="Tahoma" w:cs="Tahoma"/>
      <w:sz w:val="16"/>
      <w:szCs w:val="16"/>
      <w:lang w:val="es-ES"/>
    </w:rPr>
  </w:style>
  <w:style w:type="character" w:customStyle="1" w:styleId="FootnoteTextChar">
    <w:name w:val="Footnote Text Char"/>
    <w:link w:val="FootnoteText"/>
    <w:semiHidden/>
    <w:rsid w:val="00CB72A3"/>
  </w:style>
  <w:style w:type="character" w:styleId="CommentReference">
    <w:name w:val="annotation reference"/>
    <w:basedOn w:val="DefaultParagraphFont"/>
    <w:rsid w:val="00AE36D7"/>
    <w:rPr>
      <w:sz w:val="16"/>
      <w:szCs w:val="16"/>
    </w:rPr>
  </w:style>
  <w:style w:type="paragraph" w:styleId="CommentText">
    <w:name w:val="annotation text"/>
    <w:basedOn w:val="Normal"/>
    <w:link w:val="CommentTextChar"/>
    <w:rsid w:val="00AE36D7"/>
    <w:rPr>
      <w:sz w:val="20"/>
      <w:szCs w:val="20"/>
    </w:rPr>
  </w:style>
  <w:style w:type="character" w:customStyle="1" w:styleId="CommentTextChar">
    <w:name w:val="Comment Text Char"/>
    <w:basedOn w:val="DefaultParagraphFont"/>
    <w:link w:val="CommentText"/>
    <w:rsid w:val="00AE36D7"/>
    <w:rPr>
      <w:lang w:val="es-ES"/>
    </w:rPr>
  </w:style>
  <w:style w:type="paragraph" w:styleId="CommentSubject">
    <w:name w:val="annotation subject"/>
    <w:basedOn w:val="CommentText"/>
    <w:next w:val="CommentText"/>
    <w:link w:val="CommentSubjectChar"/>
    <w:rsid w:val="00AE36D7"/>
    <w:rPr>
      <w:b/>
      <w:bCs/>
    </w:rPr>
  </w:style>
  <w:style w:type="character" w:customStyle="1" w:styleId="CommentSubjectChar">
    <w:name w:val="Comment Subject Char"/>
    <w:basedOn w:val="CommentTextChar"/>
    <w:link w:val="CommentSubject"/>
    <w:rsid w:val="00AE36D7"/>
    <w:rPr>
      <w:b/>
      <w:bCs/>
      <w:lang w:val="es-ES"/>
    </w:rPr>
  </w:style>
  <w:style w:type="paragraph" w:styleId="Revision">
    <w:name w:val="Revision"/>
    <w:hidden/>
    <w:uiPriority w:val="99"/>
    <w:semiHidden/>
    <w:rsid w:val="00AE36D7"/>
    <w:rPr>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3B90"/>
    <w:rPr>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autoRedefine/>
    <w:rsid w:val="00B14B46"/>
    <w:pPr>
      <w:tabs>
        <w:tab w:val="left" w:pos="1440"/>
      </w:tabs>
      <w:spacing w:after="120"/>
      <w:jc w:val="center"/>
    </w:pPr>
    <w:rPr>
      <w:rFonts w:ascii="Arial" w:hAnsi="Arial" w:cs="Arial"/>
      <w:b/>
      <w:smallCaps/>
      <w:noProof/>
      <w:szCs w:val="22"/>
      <w:lang w:val="en-US"/>
    </w:rPr>
  </w:style>
  <w:style w:type="paragraph" w:customStyle="1" w:styleId="MyBullet">
    <w:name w:val="MyBullet"/>
    <w:basedOn w:val="Normal"/>
    <w:rsid w:val="007C3B90"/>
    <w:pPr>
      <w:suppressAutoHyphens/>
    </w:pPr>
    <w:rPr>
      <w:sz w:val="22"/>
      <w:szCs w:val="20"/>
      <w:lang w:val="en-US"/>
    </w:rPr>
  </w:style>
  <w:style w:type="paragraph" w:styleId="Header">
    <w:name w:val="header"/>
    <w:basedOn w:val="Normal"/>
    <w:link w:val="HeaderChar"/>
    <w:uiPriority w:val="99"/>
    <w:rsid w:val="007C3B90"/>
    <w:pPr>
      <w:tabs>
        <w:tab w:val="center" w:pos="4320"/>
        <w:tab w:val="right" w:pos="8640"/>
      </w:tabs>
    </w:pPr>
  </w:style>
  <w:style w:type="character" w:styleId="PageNumber">
    <w:name w:val="page number"/>
    <w:basedOn w:val="DefaultParagraphFont"/>
    <w:rsid w:val="007C3B90"/>
  </w:style>
  <w:style w:type="paragraph" w:styleId="FootnoteText">
    <w:name w:val="footnote text"/>
    <w:basedOn w:val="Normal"/>
    <w:link w:val="FootnoteTextChar"/>
    <w:semiHidden/>
    <w:rsid w:val="007C3B90"/>
    <w:rPr>
      <w:sz w:val="20"/>
      <w:szCs w:val="20"/>
      <w:lang w:val="en-US"/>
    </w:rPr>
  </w:style>
  <w:style w:type="character" w:styleId="FootnoteReference">
    <w:name w:val="footnote reference"/>
    <w:semiHidden/>
    <w:rsid w:val="007C3B90"/>
    <w:rPr>
      <w:vertAlign w:val="superscript"/>
    </w:rPr>
  </w:style>
  <w:style w:type="character" w:styleId="Hyperlink">
    <w:name w:val="Hyperlink"/>
    <w:rsid w:val="00D70442"/>
    <w:rPr>
      <w:color w:val="0000FF"/>
      <w:u w:val="single"/>
    </w:rPr>
  </w:style>
  <w:style w:type="paragraph" w:styleId="Footer">
    <w:name w:val="footer"/>
    <w:basedOn w:val="Normal"/>
    <w:link w:val="FooterChar"/>
    <w:rsid w:val="00451889"/>
    <w:pPr>
      <w:tabs>
        <w:tab w:val="center" w:pos="4680"/>
        <w:tab w:val="right" w:pos="9360"/>
      </w:tabs>
    </w:pPr>
  </w:style>
  <w:style w:type="character" w:customStyle="1" w:styleId="FooterChar">
    <w:name w:val="Footer Char"/>
    <w:link w:val="Footer"/>
    <w:rsid w:val="00451889"/>
    <w:rPr>
      <w:sz w:val="24"/>
      <w:szCs w:val="24"/>
      <w:lang w:val="es-ES"/>
    </w:rPr>
  </w:style>
  <w:style w:type="character" w:customStyle="1" w:styleId="HeaderChar">
    <w:name w:val="Header Char"/>
    <w:link w:val="Header"/>
    <w:uiPriority w:val="99"/>
    <w:rsid w:val="00451889"/>
    <w:rPr>
      <w:sz w:val="24"/>
      <w:szCs w:val="24"/>
      <w:lang w:val="es-ES"/>
    </w:rPr>
  </w:style>
  <w:style w:type="paragraph" w:styleId="ListParagraph">
    <w:name w:val="List Paragraph"/>
    <w:basedOn w:val="Normal"/>
    <w:uiPriority w:val="34"/>
    <w:qFormat/>
    <w:rsid w:val="00065DDD"/>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rsid w:val="00F37AB2"/>
    <w:rPr>
      <w:rFonts w:ascii="Tahoma" w:hAnsi="Tahoma" w:cs="Tahoma"/>
      <w:sz w:val="16"/>
      <w:szCs w:val="16"/>
    </w:rPr>
  </w:style>
  <w:style w:type="character" w:customStyle="1" w:styleId="BalloonTextChar">
    <w:name w:val="Balloon Text Char"/>
    <w:link w:val="BalloonText"/>
    <w:rsid w:val="00F37AB2"/>
    <w:rPr>
      <w:rFonts w:ascii="Tahoma" w:hAnsi="Tahoma" w:cs="Tahoma"/>
      <w:sz w:val="16"/>
      <w:szCs w:val="16"/>
      <w:lang w:val="es-ES"/>
    </w:rPr>
  </w:style>
  <w:style w:type="character" w:customStyle="1" w:styleId="FootnoteTextChar">
    <w:name w:val="Footnote Text Char"/>
    <w:link w:val="FootnoteText"/>
    <w:semiHidden/>
    <w:rsid w:val="00CB72A3"/>
  </w:style>
  <w:style w:type="character" w:styleId="CommentReference">
    <w:name w:val="annotation reference"/>
    <w:basedOn w:val="DefaultParagraphFont"/>
    <w:rsid w:val="00AE36D7"/>
    <w:rPr>
      <w:sz w:val="16"/>
      <w:szCs w:val="16"/>
    </w:rPr>
  </w:style>
  <w:style w:type="paragraph" w:styleId="CommentText">
    <w:name w:val="annotation text"/>
    <w:basedOn w:val="Normal"/>
    <w:link w:val="CommentTextChar"/>
    <w:rsid w:val="00AE36D7"/>
    <w:rPr>
      <w:sz w:val="20"/>
      <w:szCs w:val="20"/>
    </w:rPr>
  </w:style>
  <w:style w:type="character" w:customStyle="1" w:styleId="CommentTextChar">
    <w:name w:val="Comment Text Char"/>
    <w:basedOn w:val="DefaultParagraphFont"/>
    <w:link w:val="CommentText"/>
    <w:rsid w:val="00AE36D7"/>
    <w:rPr>
      <w:lang w:val="es-ES"/>
    </w:rPr>
  </w:style>
  <w:style w:type="paragraph" w:styleId="CommentSubject">
    <w:name w:val="annotation subject"/>
    <w:basedOn w:val="CommentText"/>
    <w:next w:val="CommentText"/>
    <w:link w:val="CommentSubjectChar"/>
    <w:rsid w:val="00AE36D7"/>
    <w:rPr>
      <w:b/>
      <w:bCs/>
    </w:rPr>
  </w:style>
  <w:style w:type="character" w:customStyle="1" w:styleId="CommentSubjectChar">
    <w:name w:val="Comment Subject Char"/>
    <w:basedOn w:val="CommentTextChar"/>
    <w:link w:val="CommentSubject"/>
    <w:rsid w:val="00AE36D7"/>
    <w:rPr>
      <w:b/>
      <w:bCs/>
      <w:lang w:val="es-ES"/>
    </w:rPr>
  </w:style>
  <w:style w:type="paragraph" w:styleId="Revision">
    <w:name w:val="Revision"/>
    <w:hidden/>
    <w:uiPriority w:val="99"/>
    <w:semiHidden/>
    <w:rsid w:val="00AE36D7"/>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B7F92AADE598F143A0AAB57455B6AC05" ma:contentTypeVersion="0" ma:contentTypeDescription="A content type to manage public (operations) IDB documents" ma:contentTypeScope="" ma:versionID="bb13e1c2ac9c0cba80c715b8fab2b9a6">
  <xsd:schema xmlns:xsd="http://www.w3.org/2001/XMLSchema" xmlns:xs="http://www.w3.org/2001/XMLSchema" xmlns:p="http://schemas.microsoft.com/office/2006/metadata/properties" xmlns:ns2="9c571b2f-e523-4ab2-ba2e-09e151a03ef4" targetNamespace="http://schemas.microsoft.com/office/2006/metadata/properties" ma:root="true" ma:fieldsID="5ab96410b6bc34f3c1dd89d1a45f6fe6"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f71badd0-c5d6-441e-9ffc-2198742fc76f}" ma:internalName="TaxCatchAll" ma:showField="CatchAllData" ma:web="7f51a33f-076e-482d-bce2-933781d5fa2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71badd0-c5d6-441e-9ffc-2198742fc76f}" ma:internalName="TaxCatchAllLabel" ma:readOnly="true" ma:showField="CatchAllDataLabel" ma:web="7f51a33f-076e-482d-bce2-933781d5fa2f">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IFD/FMM</Division_x0020_or_x0020_Unit>
    <Other_x0020_Author xmlns="9c571b2f-e523-4ab2-ba2e-09e151a03ef4" xsi:nil="true"/>
    <Region xmlns="9c571b2f-e523-4ab2-ba2e-09e151a03ef4" xsi:nil="true"/>
    <IDBDocs_x0020_Number xmlns="9c571b2f-e523-4ab2-ba2e-09e151a03ef4">40327634</IDBDocs_x0020_Number>
    <Document_x0020_Author xmlns="9c571b2f-e523-4ab2-ba2e-09e151a03ef4">Pimenta, Carlos Cesar</Document_x0020_Author>
    <Publication_x0020_Type xmlns="9c571b2f-e523-4ab2-ba2e-09e151a03ef4" xsi:nil="true"/>
    <Operation_x0020_Type xmlns="9c571b2f-e523-4ab2-ba2e-09e151a03ef4" xsi:nil="true"/>
    <TaxCatchAll xmlns="9c571b2f-e523-4ab2-ba2e-09e151a03ef4">
      <Value>5</Value>
      <Value>4</Value>
    </TaxCatchAll>
    <Fiscal_x0020_Year_x0020_IDB xmlns="9c571b2f-e523-4ab2-ba2e-09e151a03ef4">2016</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GU-L1096</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Proposal&lt;/USER_STAGE&gt;&lt;APPROVAL_CODE&gt;DE&lt;/APPROVAL_CODE&gt;&lt;APPROVAL_DESC&gt;Board of Executive Directors&lt;/APPROVAL_DESC&gt;&lt;PD_OBJ_TYPE&gt;0&lt;/PD_OBJ_TYPE&gt;&lt;DTAPPROVAL&gt;Nov  2 2016 12:00AM&lt;/DTAPPROVAL&gt;&lt;MAKERECORD&gt;N&lt;/MAKERECORD&gt;&lt;/Data&gt;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RM-FIS</Webtopic>
    <Identifier xmlns="9c571b2f-e523-4ab2-ba2e-09e151a03ef4">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17529B80-4E23-4B5A-8454-CF0F8AE5A503}"/>
</file>

<file path=customXml/itemProps2.xml><?xml version="1.0" encoding="utf-8"?>
<ds:datastoreItem xmlns:ds="http://schemas.openxmlformats.org/officeDocument/2006/customXml" ds:itemID="{807A664F-322A-4D4B-8014-AB8B5E4B3592}"/>
</file>

<file path=customXml/itemProps3.xml><?xml version="1.0" encoding="utf-8"?>
<ds:datastoreItem xmlns:ds="http://schemas.openxmlformats.org/officeDocument/2006/customXml" ds:itemID="{8035A708-878E-47E8-B3FF-457B69665D28}"/>
</file>

<file path=customXml/itemProps4.xml><?xml version="1.0" encoding="utf-8"?>
<ds:datastoreItem xmlns:ds="http://schemas.openxmlformats.org/officeDocument/2006/customXml" ds:itemID="{3F364740-2B01-4490-8408-78B606207B99}"/>
</file>

<file path=customXml/itemProps5.xml><?xml version="1.0" encoding="utf-8"?>
<ds:datastoreItem xmlns:ds="http://schemas.openxmlformats.org/officeDocument/2006/customXml" ds:itemID="{B186816B-83FB-4033-8593-A1BC6110C683}"/>
</file>

<file path=customXml/itemProps6.xml><?xml version="1.0" encoding="utf-8"?>
<ds:datastoreItem xmlns:ds="http://schemas.openxmlformats.org/officeDocument/2006/customXml" ds:itemID="{F93AE0AC-8E45-4544-9B22-0064CB841550}"/>
</file>

<file path=docProps/app.xml><?xml version="1.0" encoding="utf-8"?>
<Properties xmlns="http://schemas.openxmlformats.org/officeDocument/2006/extended-properties" xmlns:vt="http://schemas.openxmlformats.org/officeDocument/2006/docPropsVTypes">
  <Template>Normal.dotm</Template>
  <TotalTime>1</TotalTime>
  <Pages>6</Pages>
  <Words>2245</Words>
  <Characters>12386</Characters>
  <Application>Microsoft Office Word</Application>
  <DocSecurity>0</DocSecurity>
  <Lines>103</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PROPUESTA DE DESARROLLO DE LA OPERACIÓN</vt:lpstr>
      <vt:lpstr>PROPUESTA DE DESARROLLO DE LA OPERACIÓN</vt:lpstr>
    </vt:vector>
  </TitlesOfParts>
  <Company>Inter-American Development Bank</Company>
  <LinksUpToDate>false</LinksUpToDate>
  <CharactersWithSpaces>14602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 - EER_2 - Matriz de Medios de Verificación (GU-L1096)</dc:title>
  <dc:creator>ALMAR</dc:creator>
  <cp:lastModifiedBy>IADB</cp:lastModifiedBy>
  <cp:revision>2</cp:revision>
  <cp:lastPrinted>2016-06-29T16:05:00Z</cp:lastPrinted>
  <dcterms:created xsi:type="dcterms:W3CDTF">2016-10-12T20:03:00Z</dcterms:created>
  <dcterms:modified xsi:type="dcterms:W3CDTF">2016-10-12T20:03:00Z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0x01010046CF21643EE8D14686A648AA6DAD089200B7F92AADE598F143A0AAB57455B6AC05</vt:lpwstr>
  </property>
  <property fmtid="{D5CDD505-2E9C-101B-9397-08002B2CF9AE}" pid="5" name="TaxKeywordTaxHTField">
    <vt:lpwstr/>
  </property>
  <property fmtid="{D5CDD505-2E9C-101B-9397-08002B2CF9AE}" pid="6" name="Series Operations IDB">
    <vt:lpwstr>4;#Unclassified|a6dff32e-d477-44cd-a56b-85efe9e0a56c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4;#Unclassified|a6dff32e-d477-44cd-a56b-85efe9e0a56c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5;#IDBDocs|cca77002-e150-4b2d-ab1f-1d7a7cdcae16</vt:lpwstr>
  </property>
</Properties>
</file>