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2C9" w:rsidRPr="00C534A9" w:rsidRDefault="006F42C9" w:rsidP="00C534A9">
      <w:pPr>
        <w:jc w:val="center"/>
        <w:rPr>
          <w:rFonts w:ascii="Arial" w:hAnsi="Arial" w:cs="Arial"/>
          <w:smallCaps/>
          <w:sz w:val="22"/>
        </w:rPr>
      </w:pPr>
      <w:r w:rsidRPr="00C534A9">
        <w:rPr>
          <w:rFonts w:ascii="Arial" w:hAnsi="Arial" w:cs="Arial"/>
          <w:smallCaps/>
          <w:sz w:val="22"/>
        </w:rPr>
        <w:t>Document of the Inter-American Development Bank</w:t>
      </w:r>
    </w:p>
    <w:p w:rsidR="006F42C9" w:rsidRPr="00C534A9" w:rsidRDefault="006F42C9" w:rsidP="00C534A9">
      <w:pPr>
        <w:jc w:val="center"/>
        <w:rPr>
          <w:rFonts w:ascii="Arial" w:hAnsi="Arial" w:cs="Arial"/>
          <w:sz w:val="22"/>
        </w:rPr>
      </w:pPr>
    </w:p>
    <w:p w:rsidR="006F42C9" w:rsidRPr="00C534A9" w:rsidRDefault="006F42C9" w:rsidP="00C534A9">
      <w:pPr>
        <w:jc w:val="center"/>
        <w:rPr>
          <w:rFonts w:ascii="Arial" w:hAnsi="Arial" w:cs="Arial"/>
          <w:sz w:val="22"/>
        </w:rPr>
      </w:pPr>
    </w:p>
    <w:p w:rsidR="006F42C9" w:rsidRPr="00C534A9" w:rsidRDefault="006F42C9" w:rsidP="00C534A9">
      <w:pPr>
        <w:jc w:val="center"/>
        <w:rPr>
          <w:rFonts w:ascii="Arial" w:hAnsi="Arial" w:cs="Arial"/>
          <w:b/>
          <w:smallCaps/>
          <w:sz w:val="22"/>
          <w:szCs w:val="24"/>
        </w:rPr>
      </w:pPr>
    </w:p>
    <w:p w:rsidR="006F42C9" w:rsidRPr="00C534A9" w:rsidRDefault="006F42C9" w:rsidP="00C534A9">
      <w:pPr>
        <w:jc w:val="center"/>
        <w:rPr>
          <w:rFonts w:ascii="Arial" w:hAnsi="Arial" w:cs="Arial"/>
          <w:b/>
          <w:smallCaps/>
          <w:sz w:val="22"/>
          <w:szCs w:val="24"/>
        </w:rPr>
      </w:pPr>
      <w:r w:rsidRPr="00C534A9">
        <w:rPr>
          <w:rFonts w:ascii="Arial" w:hAnsi="Arial" w:cs="Arial"/>
          <w:b/>
          <w:smallCaps/>
          <w:szCs w:val="24"/>
        </w:rPr>
        <w:t>Barbados</w:t>
      </w:r>
    </w:p>
    <w:p w:rsidR="006F42C9" w:rsidRPr="00C534A9" w:rsidRDefault="006F42C9" w:rsidP="00C534A9">
      <w:pPr>
        <w:jc w:val="center"/>
        <w:rPr>
          <w:rFonts w:ascii="Arial" w:hAnsi="Arial" w:cs="Arial"/>
          <w:b/>
          <w:smallCaps/>
          <w:sz w:val="22"/>
          <w:szCs w:val="24"/>
        </w:rPr>
      </w:pPr>
    </w:p>
    <w:p w:rsidR="006F42C9" w:rsidRPr="00C534A9" w:rsidRDefault="006F42C9" w:rsidP="00C534A9">
      <w:pPr>
        <w:jc w:val="center"/>
        <w:rPr>
          <w:rFonts w:ascii="Arial" w:hAnsi="Arial" w:cs="Arial"/>
          <w:b/>
          <w:smallCaps/>
          <w:sz w:val="22"/>
          <w:szCs w:val="24"/>
        </w:rPr>
      </w:pPr>
    </w:p>
    <w:p w:rsidR="006F42C9" w:rsidRPr="00C534A9" w:rsidRDefault="006F42C9" w:rsidP="00C534A9">
      <w:pPr>
        <w:jc w:val="center"/>
        <w:rPr>
          <w:rFonts w:ascii="Arial" w:hAnsi="Arial" w:cs="Arial"/>
          <w:b/>
          <w:smallCaps/>
          <w:sz w:val="22"/>
          <w:szCs w:val="24"/>
        </w:rPr>
      </w:pPr>
    </w:p>
    <w:p w:rsidR="006F42C9" w:rsidRPr="00C534A9" w:rsidRDefault="006F42C9" w:rsidP="00C534A9">
      <w:pPr>
        <w:jc w:val="center"/>
        <w:rPr>
          <w:rFonts w:ascii="Arial" w:hAnsi="Arial" w:cs="Arial"/>
          <w:b/>
          <w:smallCaps/>
          <w:szCs w:val="24"/>
        </w:rPr>
      </w:pPr>
      <w:r w:rsidRPr="00C534A9">
        <w:rPr>
          <w:rFonts w:ascii="Arial" w:hAnsi="Arial" w:cs="Arial"/>
          <w:b/>
          <w:smallCaps/>
          <w:szCs w:val="24"/>
        </w:rPr>
        <w:t>Deployment of Cleaner Fuels and Renewable Energies in Barbados</w:t>
      </w:r>
    </w:p>
    <w:p w:rsidR="006F42C9" w:rsidRPr="00C534A9" w:rsidRDefault="006F42C9" w:rsidP="00C534A9">
      <w:pPr>
        <w:jc w:val="center"/>
        <w:rPr>
          <w:rFonts w:ascii="Arial" w:hAnsi="Arial" w:cs="Arial"/>
          <w:b/>
          <w:smallCaps/>
          <w:sz w:val="22"/>
          <w:szCs w:val="24"/>
        </w:rPr>
      </w:pPr>
    </w:p>
    <w:p w:rsidR="006F42C9" w:rsidRPr="00C534A9" w:rsidRDefault="006F42C9" w:rsidP="00C534A9">
      <w:pPr>
        <w:jc w:val="center"/>
        <w:rPr>
          <w:rFonts w:ascii="Arial" w:hAnsi="Arial" w:cs="Arial"/>
          <w:b/>
          <w:smallCaps/>
          <w:sz w:val="22"/>
          <w:szCs w:val="24"/>
        </w:rPr>
      </w:pPr>
    </w:p>
    <w:p w:rsidR="006F42C9" w:rsidRPr="00C534A9" w:rsidRDefault="006F42C9" w:rsidP="00C534A9">
      <w:pPr>
        <w:jc w:val="center"/>
        <w:rPr>
          <w:rFonts w:ascii="Arial" w:hAnsi="Arial" w:cs="Arial"/>
          <w:b/>
          <w:smallCaps/>
          <w:sz w:val="22"/>
          <w:szCs w:val="24"/>
        </w:rPr>
      </w:pPr>
      <w:bookmarkStart w:id="0" w:name="Text7"/>
      <w:r w:rsidRPr="00C534A9">
        <w:rPr>
          <w:rFonts w:ascii="Arial" w:hAnsi="Arial" w:cs="Arial"/>
          <w:b/>
          <w:smallCaps/>
          <w:sz w:val="22"/>
          <w:szCs w:val="24"/>
        </w:rPr>
        <w:t>(</w:t>
      </w:r>
      <w:bookmarkEnd w:id="0"/>
      <w:r w:rsidRPr="00C534A9">
        <w:rPr>
          <w:rFonts w:ascii="Arial" w:hAnsi="Arial" w:cs="Arial"/>
          <w:b/>
          <w:smallCaps/>
          <w:sz w:val="22"/>
          <w:szCs w:val="24"/>
        </w:rPr>
        <w:t>BA-L1012)</w:t>
      </w:r>
    </w:p>
    <w:p w:rsidR="006F42C9" w:rsidRPr="00C534A9" w:rsidRDefault="006F42C9" w:rsidP="00C534A9">
      <w:pPr>
        <w:jc w:val="center"/>
        <w:rPr>
          <w:rFonts w:ascii="Arial" w:hAnsi="Arial" w:cs="Arial"/>
          <w:sz w:val="22"/>
        </w:rPr>
      </w:pPr>
    </w:p>
    <w:p w:rsidR="006F42C9" w:rsidRPr="00C534A9" w:rsidRDefault="006F42C9" w:rsidP="00C534A9">
      <w:pPr>
        <w:jc w:val="center"/>
        <w:rPr>
          <w:rFonts w:ascii="Arial" w:hAnsi="Arial" w:cs="Arial"/>
          <w:sz w:val="22"/>
        </w:rPr>
      </w:pPr>
    </w:p>
    <w:p w:rsidR="006F42C9" w:rsidRPr="00C534A9" w:rsidRDefault="006F42C9" w:rsidP="00C534A9">
      <w:pPr>
        <w:jc w:val="center"/>
        <w:rPr>
          <w:rFonts w:ascii="Arial" w:hAnsi="Arial" w:cs="Arial"/>
          <w:sz w:val="22"/>
        </w:rPr>
      </w:pPr>
    </w:p>
    <w:p w:rsidR="006F42C9" w:rsidRPr="00C534A9" w:rsidRDefault="006F42C9" w:rsidP="00C534A9">
      <w:pPr>
        <w:jc w:val="center"/>
        <w:rPr>
          <w:rFonts w:ascii="Arial" w:hAnsi="Arial" w:cs="Arial"/>
          <w:sz w:val="22"/>
        </w:rPr>
      </w:pPr>
    </w:p>
    <w:p w:rsidR="006F42C9" w:rsidRPr="00C534A9" w:rsidRDefault="006F42C9" w:rsidP="00C534A9">
      <w:pPr>
        <w:jc w:val="center"/>
        <w:rPr>
          <w:rFonts w:ascii="Arial" w:hAnsi="Arial" w:cs="Arial"/>
          <w:b/>
          <w:smallCaps/>
          <w:sz w:val="22"/>
          <w:szCs w:val="24"/>
        </w:rPr>
      </w:pPr>
      <w:r w:rsidRPr="00C534A9">
        <w:rPr>
          <w:rFonts w:ascii="Arial" w:hAnsi="Arial" w:cs="Arial"/>
          <w:b/>
          <w:smallCaps/>
          <w:sz w:val="22"/>
          <w:szCs w:val="24"/>
        </w:rPr>
        <w:t>Cost Benefit Analysis</w:t>
      </w:r>
    </w:p>
    <w:p w:rsidR="00941F61" w:rsidRPr="00C534A9" w:rsidRDefault="00941F61" w:rsidP="00C534A9">
      <w:pPr>
        <w:pStyle w:val="Newpage"/>
        <w:rPr>
          <w:rFonts w:ascii="Arial" w:hAnsi="Arial"/>
          <w:b w:val="0"/>
          <w:caps/>
          <w:smallCaps w:val="0"/>
          <w:sz w:val="20"/>
          <w:szCs w:val="22"/>
        </w:rPr>
      </w:pPr>
    </w:p>
    <w:p w:rsidR="00941F61" w:rsidRPr="00C534A9" w:rsidRDefault="00941F61" w:rsidP="00C534A9">
      <w:pPr>
        <w:tabs>
          <w:tab w:val="left" w:pos="1440"/>
          <w:tab w:val="left" w:pos="3060"/>
        </w:tabs>
        <w:jc w:val="center"/>
        <w:rPr>
          <w:rFonts w:ascii="Arial" w:hAnsi="Arial" w:cs="Arial"/>
          <w:smallCaps/>
          <w:sz w:val="22"/>
        </w:rPr>
      </w:pPr>
    </w:p>
    <w:p w:rsidR="00941F61" w:rsidRPr="00C534A9" w:rsidRDefault="00941F61" w:rsidP="00C534A9">
      <w:pPr>
        <w:pStyle w:val="ListParagraph"/>
        <w:spacing w:before="120" w:after="0" w:line="360" w:lineRule="auto"/>
        <w:ind w:left="1080"/>
        <w:jc w:val="center"/>
        <w:rPr>
          <w:rFonts w:ascii="Arial" w:hAnsi="Arial" w:cs="Arial"/>
          <w:b/>
          <w:sz w:val="22"/>
        </w:rPr>
      </w:pPr>
    </w:p>
    <w:p w:rsidR="00941F61" w:rsidRPr="00C534A9" w:rsidRDefault="00941F61" w:rsidP="00C534A9">
      <w:pPr>
        <w:tabs>
          <w:tab w:val="left" w:pos="1440"/>
          <w:tab w:val="left" w:pos="3060"/>
        </w:tabs>
        <w:jc w:val="center"/>
        <w:rPr>
          <w:rFonts w:ascii="Arial" w:hAnsi="Arial" w:cs="Arial"/>
          <w:sz w:val="22"/>
        </w:rPr>
      </w:pPr>
    </w:p>
    <w:p w:rsidR="00941F61" w:rsidRPr="00C534A9" w:rsidRDefault="006F42C9" w:rsidP="00C534A9">
      <w:pPr>
        <w:pBdr>
          <w:top w:val="single" w:sz="4" w:space="1" w:color="auto"/>
          <w:left w:val="single" w:sz="4" w:space="4" w:color="auto"/>
          <w:bottom w:val="single" w:sz="4" w:space="1" w:color="auto"/>
          <w:right w:val="single" w:sz="4" w:space="4" w:color="auto"/>
        </w:pBdr>
        <w:jc w:val="center"/>
        <w:rPr>
          <w:rFonts w:ascii="Arial" w:hAnsi="Arial" w:cs="Arial"/>
          <w:b/>
          <w:sz w:val="22"/>
        </w:rPr>
      </w:pPr>
      <w:r w:rsidRPr="00C534A9">
        <w:rPr>
          <w:rFonts w:ascii="Arial" w:hAnsi="Arial" w:cs="Arial"/>
          <w:sz w:val="18"/>
        </w:rPr>
        <w:t xml:space="preserve">This document was prepared </w:t>
      </w:r>
      <w:r w:rsidR="00727C3A" w:rsidRPr="00C534A9">
        <w:rPr>
          <w:rFonts w:ascii="Arial" w:hAnsi="Arial" w:cs="Arial"/>
          <w:sz w:val="18"/>
        </w:rPr>
        <w:t xml:space="preserve">by </w:t>
      </w:r>
      <w:r w:rsidR="00C534A9" w:rsidRPr="00C534A9">
        <w:rPr>
          <w:rFonts w:ascii="Arial" w:hAnsi="Arial" w:cs="Arial"/>
          <w:sz w:val="18"/>
        </w:rPr>
        <w:t>the Project Team.</w:t>
      </w:r>
    </w:p>
    <w:p w:rsidR="00DE6A03" w:rsidRPr="00C534A9" w:rsidRDefault="00941F61" w:rsidP="00C534A9">
      <w:pPr>
        <w:spacing w:line="240" w:lineRule="auto"/>
        <w:jc w:val="both"/>
        <w:rPr>
          <w:rFonts w:ascii="Arial" w:hAnsi="Arial" w:cs="Arial"/>
          <w:b/>
          <w:sz w:val="22"/>
        </w:rPr>
      </w:pPr>
      <w:r w:rsidRPr="00C534A9">
        <w:rPr>
          <w:rFonts w:ascii="Arial" w:hAnsi="Arial" w:cs="Arial"/>
          <w:b/>
          <w:sz w:val="22"/>
        </w:rPr>
        <w:br w:type="page"/>
      </w:r>
    </w:p>
    <w:sdt>
      <w:sdtPr>
        <w:rPr>
          <w:rFonts w:ascii="Arial" w:eastAsiaTheme="minorHAnsi" w:hAnsi="Arial" w:cs="Arial"/>
          <w:b w:val="0"/>
          <w:bCs w:val="0"/>
          <w:color w:val="262626" w:themeColor="text1" w:themeTint="D9"/>
          <w:sz w:val="22"/>
          <w:szCs w:val="22"/>
          <w:lang w:eastAsia="en-US"/>
        </w:rPr>
        <w:id w:val="-721751635"/>
        <w:docPartObj>
          <w:docPartGallery w:val="Table of Contents"/>
          <w:docPartUnique/>
        </w:docPartObj>
      </w:sdtPr>
      <w:sdtEndPr>
        <w:rPr>
          <w:noProof/>
        </w:rPr>
      </w:sdtEndPr>
      <w:sdtContent>
        <w:p w:rsidR="0077226D" w:rsidRPr="00C534A9" w:rsidRDefault="0077226D" w:rsidP="00C534A9">
          <w:pPr>
            <w:pStyle w:val="TOCHeading"/>
            <w:jc w:val="both"/>
            <w:rPr>
              <w:rFonts w:ascii="Arial" w:hAnsi="Arial" w:cs="Arial"/>
              <w:color w:val="auto"/>
              <w:sz w:val="24"/>
            </w:rPr>
          </w:pPr>
          <w:r w:rsidRPr="00C534A9">
            <w:rPr>
              <w:rFonts w:ascii="Arial" w:hAnsi="Arial" w:cs="Arial"/>
              <w:color w:val="auto"/>
              <w:sz w:val="24"/>
            </w:rPr>
            <w:t>Table of Contents</w:t>
          </w:r>
        </w:p>
        <w:p w:rsidR="00D132E2" w:rsidRDefault="0077226D">
          <w:pPr>
            <w:pStyle w:val="TOC1"/>
            <w:rPr>
              <w:rFonts w:asciiTheme="minorHAnsi" w:eastAsiaTheme="minorEastAsia" w:hAnsiTheme="minorHAnsi" w:cstheme="minorBidi"/>
              <w:b w:val="0"/>
              <w:noProof/>
              <w:sz w:val="22"/>
              <w:szCs w:val="22"/>
              <w:lang w:eastAsia="en-US"/>
            </w:rPr>
          </w:pPr>
          <w:r w:rsidRPr="00C534A9">
            <w:rPr>
              <w:rFonts w:ascii="Arial" w:hAnsi="Arial" w:cs="Arial"/>
              <w:sz w:val="22"/>
            </w:rPr>
            <w:fldChar w:fldCharType="begin"/>
          </w:r>
          <w:r w:rsidRPr="00C534A9">
            <w:rPr>
              <w:rFonts w:ascii="Arial" w:hAnsi="Arial" w:cs="Arial"/>
              <w:sz w:val="22"/>
            </w:rPr>
            <w:instrText xml:space="preserve"> TOC \o "1-3" \h \z \u </w:instrText>
          </w:r>
          <w:r w:rsidRPr="00C534A9">
            <w:rPr>
              <w:rFonts w:ascii="Arial" w:hAnsi="Arial" w:cs="Arial"/>
              <w:sz w:val="22"/>
            </w:rPr>
            <w:fldChar w:fldCharType="separate"/>
          </w:r>
          <w:hyperlink w:anchor="_Toc464551489" w:history="1">
            <w:r w:rsidR="00D132E2" w:rsidRPr="00521199">
              <w:rPr>
                <w:rStyle w:val="Hyperlink"/>
                <w:rFonts w:ascii="Arial" w:hAnsi="Arial" w:cs="Arial"/>
                <w:noProof/>
              </w:rPr>
              <w:t>1</w:t>
            </w:r>
            <w:r w:rsidR="00D132E2">
              <w:rPr>
                <w:rFonts w:asciiTheme="minorHAnsi" w:eastAsiaTheme="minorEastAsia" w:hAnsiTheme="minorHAnsi" w:cstheme="minorBidi"/>
                <w:b w:val="0"/>
                <w:noProof/>
                <w:sz w:val="22"/>
                <w:szCs w:val="22"/>
                <w:lang w:eastAsia="en-US"/>
              </w:rPr>
              <w:tab/>
            </w:r>
            <w:r w:rsidR="00D132E2" w:rsidRPr="00521199">
              <w:rPr>
                <w:rStyle w:val="Hyperlink"/>
                <w:rFonts w:ascii="Arial" w:hAnsi="Arial" w:cs="Arial"/>
                <w:noProof/>
              </w:rPr>
              <w:t>Introduction</w:t>
            </w:r>
            <w:r w:rsidR="00D132E2">
              <w:rPr>
                <w:noProof/>
                <w:webHidden/>
              </w:rPr>
              <w:tab/>
            </w:r>
            <w:r w:rsidR="00D132E2">
              <w:rPr>
                <w:noProof/>
                <w:webHidden/>
              </w:rPr>
              <w:fldChar w:fldCharType="begin"/>
            </w:r>
            <w:r w:rsidR="00D132E2">
              <w:rPr>
                <w:noProof/>
                <w:webHidden/>
              </w:rPr>
              <w:instrText xml:space="preserve"> PAGEREF _Toc464551489 \h </w:instrText>
            </w:r>
            <w:r w:rsidR="00D132E2">
              <w:rPr>
                <w:noProof/>
                <w:webHidden/>
              </w:rPr>
            </w:r>
            <w:r w:rsidR="00D132E2">
              <w:rPr>
                <w:noProof/>
                <w:webHidden/>
              </w:rPr>
              <w:fldChar w:fldCharType="separate"/>
            </w:r>
            <w:r w:rsidR="00D132E2">
              <w:rPr>
                <w:noProof/>
                <w:webHidden/>
              </w:rPr>
              <w:t>8</w:t>
            </w:r>
            <w:r w:rsidR="00D132E2">
              <w:rPr>
                <w:noProof/>
                <w:webHidden/>
              </w:rPr>
              <w:fldChar w:fldCharType="end"/>
            </w:r>
          </w:hyperlink>
        </w:p>
        <w:p w:rsidR="00D132E2" w:rsidRDefault="00D132E2">
          <w:pPr>
            <w:pStyle w:val="TOC1"/>
            <w:rPr>
              <w:rFonts w:asciiTheme="minorHAnsi" w:eastAsiaTheme="minorEastAsia" w:hAnsiTheme="minorHAnsi" w:cstheme="minorBidi"/>
              <w:b w:val="0"/>
              <w:noProof/>
              <w:sz w:val="22"/>
              <w:szCs w:val="22"/>
              <w:lang w:eastAsia="en-US"/>
            </w:rPr>
          </w:pPr>
          <w:hyperlink w:anchor="_Toc464551490" w:history="1">
            <w:r w:rsidRPr="00521199">
              <w:rPr>
                <w:rStyle w:val="Hyperlink"/>
                <w:rFonts w:ascii="Arial" w:hAnsi="Arial" w:cs="Arial"/>
                <w:noProof/>
              </w:rPr>
              <w:t>2</w:t>
            </w:r>
            <w:r>
              <w:rPr>
                <w:rFonts w:asciiTheme="minorHAnsi" w:eastAsiaTheme="minorEastAsia" w:hAnsiTheme="minorHAnsi" w:cstheme="minorBidi"/>
                <w:b w:val="0"/>
                <w:noProof/>
                <w:sz w:val="22"/>
                <w:szCs w:val="22"/>
                <w:lang w:eastAsia="en-US"/>
              </w:rPr>
              <w:tab/>
            </w:r>
            <w:r w:rsidRPr="00521199">
              <w:rPr>
                <w:rStyle w:val="Hyperlink"/>
                <w:rFonts w:ascii="Arial" w:hAnsi="Arial" w:cs="Arial"/>
                <w:noProof/>
              </w:rPr>
              <w:t>Sub-projects and common assumptions included in the Cost-Benefit Analysis</w:t>
            </w:r>
            <w:r>
              <w:rPr>
                <w:noProof/>
                <w:webHidden/>
              </w:rPr>
              <w:tab/>
            </w:r>
            <w:r>
              <w:rPr>
                <w:noProof/>
                <w:webHidden/>
              </w:rPr>
              <w:fldChar w:fldCharType="begin"/>
            </w:r>
            <w:r>
              <w:rPr>
                <w:noProof/>
                <w:webHidden/>
              </w:rPr>
              <w:instrText xml:space="preserve"> PAGEREF _Toc464551490 \h </w:instrText>
            </w:r>
            <w:r>
              <w:rPr>
                <w:noProof/>
                <w:webHidden/>
              </w:rPr>
            </w:r>
            <w:r>
              <w:rPr>
                <w:noProof/>
                <w:webHidden/>
              </w:rPr>
              <w:fldChar w:fldCharType="separate"/>
            </w:r>
            <w:r>
              <w:rPr>
                <w:noProof/>
                <w:webHidden/>
              </w:rPr>
              <w:t>12</w:t>
            </w:r>
            <w:r>
              <w:rPr>
                <w:noProof/>
                <w:webHidden/>
              </w:rPr>
              <w:fldChar w:fldCharType="end"/>
            </w:r>
          </w:hyperlink>
        </w:p>
        <w:p w:rsidR="00D132E2" w:rsidRDefault="00D132E2">
          <w:pPr>
            <w:pStyle w:val="TOC2"/>
            <w:tabs>
              <w:tab w:val="left" w:pos="1440"/>
            </w:tabs>
            <w:rPr>
              <w:rFonts w:asciiTheme="minorHAnsi" w:eastAsiaTheme="minorEastAsia" w:hAnsiTheme="minorHAnsi" w:cstheme="minorBidi"/>
              <w:noProof/>
              <w:sz w:val="22"/>
              <w:szCs w:val="22"/>
              <w:lang w:eastAsia="en-US"/>
            </w:rPr>
          </w:pPr>
          <w:hyperlink w:anchor="_Toc464551491" w:history="1">
            <w:r w:rsidRPr="00521199">
              <w:rPr>
                <w:rStyle w:val="Hyperlink"/>
                <w:rFonts w:ascii="Arial" w:hAnsi="Arial" w:cs="Arial"/>
                <w:noProof/>
              </w:rPr>
              <w:t>2.1</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CO2 Price Assumptions</w:t>
            </w:r>
            <w:r>
              <w:rPr>
                <w:noProof/>
                <w:webHidden/>
              </w:rPr>
              <w:tab/>
            </w:r>
            <w:r>
              <w:rPr>
                <w:noProof/>
                <w:webHidden/>
              </w:rPr>
              <w:fldChar w:fldCharType="begin"/>
            </w:r>
            <w:r>
              <w:rPr>
                <w:noProof/>
                <w:webHidden/>
              </w:rPr>
              <w:instrText xml:space="preserve"> PAGEREF _Toc464551491 \h </w:instrText>
            </w:r>
            <w:r>
              <w:rPr>
                <w:noProof/>
                <w:webHidden/>
              </w:rPr>
            </w:r>
            <w:r>
              <w:rPr>
                <w:noProof/>
                <w:webHidden/>
              </w:rPr>
              <w:fldChar w:fldCharType="separate"/>
            </w:r>
            <w:r>
              <w:rPr>
                <w:noProof/>
                <w:webHidden/>
              </w:rPr>
              <w:t>13</w:t>
            </w:r>
            <w:r>
              <w:rPr>
                <w:noProof/>
                <w:webHidden/>
              </w:rPr>
              <w:fldChar w:fldCharType="end"/>
            </w:r>
          </w:hyperlink>
        </w:p>
        <w:p w:rsidR="00D132E2" w:rsidRDefault="00D132E2">
          <w:pPr>
            <w:pStyle w:val="TOC2"/>
            <w:tabs>
              <w:tab w:val="left" w:pos="1440"/>
            </w:tabs>
            <w:rPr>
              <w:rFonts w:asciiTheme="minorHAnsi" w:eastAsiaTheme="minorEastAsia" w:hAnsiTheme="minorHAnsi" w:cstheme="minorBidi"/>
              <w:noProof/>
              <w:sz w:val="22"/>
              <w:szCs w:val="22"/>
              <w:lang w:eastAsia="en-US"/>
            </w:rPr>
          </w:pPr>
          <w:hyperlink w:anchor="_Toc464551492" w:history="1">
            <w:r w:rsidRPr="00521199">
              <w:rPr>
                <w:rStyle w:val="Hyperlink"/>
                <w:rFonts w:ascii="Arial" w:hAnsi="Arial" w:cs="Arial"/>
                <w:noProof/>
              </w:rPr>
              <w:t>2.2</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Natural gas price assumptions</w:t>
            </w:r>
            <w:r>
              <w:rPr>
                <w:noProof/>
                <w:webHidden/>
              </w:rPr>
              <w:tab/>
            </w:r>
            <w:r>
              <w:rPr>
                <w:noProof/>
                <w:webHidden/>
              </w:rPr>
              <w:fldChar w:fldCharType="begin"/>
            </w:r>
            <w:r>
              <w:rPr>
                <w:noProof/>
                <w:webHidden/>
              </w:rPr>
              <w:instrText xml:space="preserve"> PAGEREF _Toc464551492 \h </w:instrText>
            </w:r>
            <w:r>
              <w:rPr>
                <w:noProof/>
                <w:webHidden/>
              </w:rPr>
            </w:r>
            <w:r>
              <w:rPr>
                <w:noProof/>
                <w:webHidden/>
              </w:rPr>
              <w:fldChar w:fldCharType="separate"/>
            </w:r>
            <w:r>
              <w:rPr>
                <w:noProof/>
                <w:webHidden/>
              </w:rPr>
              <w:t>14</w:t>
            </w:r>
            <w:r>
              <w:rPr>
                <w:noProof/>
                <w:webHidden/>
              </w:rPr>
              <w:fldChar w:fldCharType="end"/>
            </w:r>
          </w:hyperlink>
        </w:p>
        <w:p w:rsidR="00D132E2" w:rsidRDefault="00D132E2">
          <w:pPr>
            <w:pStyle w:val="TOC2"/>
            <w:tabs>
              <w:tab w:val="left" w:pos="1440"/>
            </w:tabs>
            <w:rPr>
              <w:rFonts w:asciiTheme="minorHAnsi" w:eastAsiaTheme="minorEastAsia" w:hAnsiTheme="minorHAnsi" w:cstheme="minorBidi"/>
              <w:noProof/>
              <w:sz w:val="22"/>
              <w:szCs w:val="22"/>
              <w:lang w:eastAsia="en-US"/>
            </w:rPr>
          </w:pPr>
          <w:hyperlink w:anchor="_Toc464551493" w:history="1">
            <w:r w:rsidRPr="00521199">
              <w:rPr>
                <w:rStyle w:val="Hyperlink"/>
                <w:rFonts w:ascii="Arial" w:hAnsi="Arial" w:cs="Arial"/>
                <w:noProof/>
              </w:rPr>
              <w:t>2.3</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Oil price assumptions</w:t>
            </w:r>
            <w:r>
              <w:rPr>
                <w:noProof/>
                <w:webHidden/>
              </w:rPr>
              <w:tab/>
            </w:r>
            <w:r>
              <w:rPr>
                <w:noProof/>
                <w:webHidden/>
              </w:rPr>
              <w:fldChar w:fldCharType="begin"/>
            </w:r>
            <w:r>
              <w:rPr>
                <w:noProof/>
                <w:webHidden/>
              </w:rPr>
              <w:instrText xml:space="preserve"> PAGEREF _Toc464551493 \h </w:instrText>
            </w:r>
            <w:r>
              <w:rPr>
                <w:noProof/>
                <w:webHidden/>
              </w:rPr>
            </w:r>
            <w:r>
              <w:rPr>
                <w:noProof/>
                <w:webHidden/>
              </w:rPr>
              <w:fldChar w:fldCharType="separate"/>
            </w:r>
            <w:r>
              <w:rPr>
                <w:noProof/>
                <w:webHidden/>
              </w:rPr>
              <w:t>15</w:t>
            </w:r>
            <w:r>
              <w:rPr>
                <w:noProof/>
                <w:webHidden/>
              </w:rPr>
              <w:fldChar w:fldCharType="end"/>
            </w:r>
          </w:hyperlink>
        </w:p>
        <w:p w:rsidR="00D132E2" w:rsidRDefault="00D132E2">
          <w:pPr>
            <w:pStyle w:val="TOC2"/>
            <w:tabs>
              <w:tab w:val="left" w:pos="1440"/>
            </w:tabs>
            <w:rPr>
              <w:rFonts w:asciiTheme="minorHAnsi" w:eastAsiaTheme="minorEastAsia" w:hAnsiTheme="minorHAnsi" w:cstheme="minorBidi"/>
              <w:noProof/>
              <w:sz w:val="22"/>
              <w:szCs w:val="22"/>
              <w:lang w:eastAsia="en-US"/>
            </w:rPr>
          </w:pPr>
          <w:hyperlink w:anchor="_Toc464551494" w:history="1">
            <w:r w:rsidRPr="00521199">
              <w:rPr>
                <w:rStyle w:val="Hyperlink"/>
                <w:rFonts w:ascii="Arial" w:hAnsi="Arial" w:cs="Arial"/>
                <w:noProof/>
              </w:rPr>
              <w:t>2.4</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Barbados LNG viable price range</w:t>
            </w:r>
            <w:r>
              <w:rPr>
                <w:noProof/>
                <w:webHidden/>
              </w:rPr>
              <w:tab/>
            </w:r>
            <w:r>
              <w:rPr>
                <w:noProof/>
                <w:webHidden/>
              </w:rPr>
              <w:fldChar w:fldCharType="begin"/>
            </w:r>
            <w:r>
              <w:rPr>
                <w:noProof/>
                <w:webHidden/>
              </w:rPr>
              <w:instrText xml:space="preserve"> PAGEREF _Toc464551494 \h </w:instrText>
            </w:r>
            <w:r>
              <w:rPr>
                <w:noProof/>
                <w:webHidden/>
              </w:rPr>
            </w:r>
            <w:r>
              <w:rPr>
                <w:noProof/>
                <w:webHidden/>
              </w:rPr>
              <w:fldChar w:fldCharType="separate"/>
            </w:r>
            <w:r>
              <w:rPr>
                <w:noProof/>
                <w:webHidden/>
              </w:rPr>
              <w:t>16</w:t>
            </w:r>
            <w:r>
              <w:rPr>
                <w:noProof/>
                <w:webHidden/>
              </w:rPr>
              <w:fldChar w:fldCharType="end"/>
            </w:r>
          </w:hyperlink>
        </w:p>
        <w:p w:rsidR="00D132E2" w:rsidRDefault="00D132E2">
          <w:pPr>
            <w:pStyle w:val="TOC1"/>
            <w:rPr>
              <w:rFonts w:asciiTheme="minorHAnsi" w:eastAsiaTheme="minorEastAsia" w:hAnsiTheme="minorHAnsi" w:cstheme="minorBidi"/>
              <w:b w:val="0"/>
              <w:noProof/>
              <w:sz w:val="22"/>
              <w:szCs w:val="22"/>
              <w:lang w:eastAsia="en-US"/>
            </w:rPr>
          </w:pPr>
          <w:hyperlink w:anchor="_Toc464551495" w:history="1">
            <w:r w:rsidRPr="00521199">
              <w:rPr>
                <w:rStyle w:val="Hyperlink"/>
                <w:rFonts w:ascii="Arial" w:hAnsi="Arial" w:cs="Arial"/>
                <w:noProof/>
              </w:rPr>
              <w:t>3</w:t>
            </w:r>
            <w:r>
              <w:rPr>
                <w:rFonts w:asciiTheme="minorHAnsi" w:eastAsiaTheme="minorEastAsia" w:hAnsiTheme="minorHAnsi" w:cstheme="minorBidi"/>
                <w:b w:val="0"/>
                <w:noProof/>
                <w:sz w:val="22"/>
                <w:szCs w:val="22"/>
                <w:lang w:eastAsia="en-US"/>
              </w:rPr>
              <w:tab/>
            </w:r>
            <w:r w:rsidRPr="00521199">
              <w:rPr>
                <w:rStyle w:val="Hyperlink"/>
                <w:rFonts w:ascii="Arial" w:hAnsi="Arial" w:cs="Arial"/>
                <w:noProof/>
              </w:rPr>
              <w:t>Cost Benefit Analysis of the Micro-LNG Facility Expansion and Compressor Replacement Sub-Project</w:t>
            </w:r>
            <w:r>
              <w:rPr>
                <w:noProof/>
                <w:webHidden/>
              </w:rPr>
              <w:tab/>
            </w:r>
            <w:r>
              <w:rPr>
                <w:noProof/>
                <w:webHidden/>
              </w:rPr>
              <w:fldChar w:fldCharType="begin"/>
            </w:r>
            <w:r>
              <w:rPr>
                <w:noProof/>
                <w:webHidden/>
              </w:rPr>
              <w:instrText xml:space="preserve"> PAGEREF _Toc464551495 \h </w:instrText>
            </w:r>
            <w:r>
              <w:rPr>
                <w:noProof/>
                <w:webHidden/>
              </w:rPr>
            </w:r>
            <w:r>
              <w:rPr>
                <w:noProof/>
                <w:webHidden/>
              </w:rPr>
              <w:fldChar w:fldCharType="separate"/>
            </w:r>
            <w:r>
              <w:rPr>
                <w:noProof/>
                <w:webHidden/>
              </w:rPr>
              <w:t>17</w:t>
            </w:r>
            <w:r>
              <w:rPr>
                <w:noProof/>
                <w:webHidden/>
              </w:rPr>
              <w:fldChar w:fldCharType="end"/>
            </w:r>
          </w:hyperlink>
        </w:p>
        <w:p w:rsidR="00D132E2" w:rsidRDefault="00D132E2">
          <w:pPr>
            <w:pStyle w:val="TOC2"/>
            <w:tabs>
              <w:tab w:val="left" w:pos="1440"/>
            </w:tabs>
            <w:rPr>
              <w:rFonts w:asciiTheme="minorHAnsi" w:eastAsiaTheme="minorEastAsia" w:hAnsiTheme="minorHAnsi" w:cstheme="minorBidi"/>
              <w:noProof/>
              <w:sz w:val="22"/>
              <w:szCs w:val="22"/>
              <w:lang w:eastAsia="en-US"/>
            </w:rPr>
          </w:pPr>
          <w:hyperlink w:anchor="_Toc464551496" w:history="1">
            <w:r w:rsidRPr="00521199">
              <w:rPr>
                <w:rStyle w:val="Hyperlink"/>
                <w:rFonts w:ascii="Arial" w:hAnsi="Arial" w:cs="Arial"/>
                <w:noProof/>
              </w:rPr>
              <w:t>3.1</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Methodology and Assumptions</w:t>
            </w:r>
            <w:r>
              <w:rPr>
                <w:noProof/>
                <w:webHidden/>
              </w:rPr>
              <w:tab/>
            </w:r>
            <w:r>
              <w:rPr>
                <w:noProof/>
                <w:webHidden/>
              </w:rPr>
              <w:fldChar w:fldCharType="begin"/>
            </w:r>
            <w:r>
              <w:rPr>
                <w:noProof/>
                <w:webHidden/>
              </w:rPr>
              <w:instrText xml:space="preserve"> PAGEREF _Toc464551496 \h </w:instrText>
            </w:r>
            <w:r>
              <w:rPr>
                <w:noProof/>
                <w:webHidden/>
              </w:rPr>
            </w:r>
            <w:r>
              <w:rPr>
                <w:noProof/>
                <w:webHidden/>
              </w:rPr>
              <w:fldChar w:fldCharType="separate"/>
            </w:r>
            <w:r>
              <w:rPr>
                <w:noProof/>
                <w:webHidden/>
              </w:rPr>
              <w:t>18</w:t>
            </w:r>
            <w:r>
              <w:rPr>
                <w:noProof/>
                <w:webHidden/>
              </w:rPr>
              <w:fldChar w:fldCharType="end"/>
            </w:r>
          </w:hyperlink>
        </w:p>
        <w:p w:rsidR="00D132E2" w:rsidRDefault="00D132E2">
          <w:pPr>
            <w:pStyle w:val="TOC3"/>
            <w:rPr>
              <w:rFonts w:asciiTheme="minorHAnsi" w:eastAsiaTheme="minorEastAsia" w:hAnsiTheme="minorHAnsi" w:cstheme="minorBidi"/>
              <w:noProof/>
              <w:sz w:val="22"/>
              <w:szCs w:val="22"/>
              <w:lang w:eastAsia="en-US"/>
            </w:rPr>
          </w:pPr>
          <w:hyperlink w:anchor="_Toc464551497" w:history="1">
            <w:r w:rsidRPr="00521199">
              <w:rPr>
                <w:rStyle w:val="Hyperlink"/>
                <w:rFonts w:ascii="Arial" w:hAnsi="Arial" w:cs="Arial"/>
                <w:noProof/>
              </w:rPr>
              <w:t>3.1.1</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Economic costs of the micro-LNG expansion and natural gas compressor replacement sub-project</w:t>
            </w:r>
            <w:r>
              <w:rPr>
                <w:noProof/>
                <w:webHidden/>
              </w:rPr>
              <w:tab/>
            </w:r>
            <w:r>
              <w:rPr>
                <w:noProof/>
                <w:webHidden/>
              </w:rPr>
              <w:fldChar w:fldCharType="begin"/>
            </w:r>
            <w:r>
              <w:rPr>
                <w:noProof/>
                <w:webHidden/>
              </w:rPr>
              <w:instrText xml:space="preserve"> PAGEREF _Toc464551497 \h </w:instrText>
            </w:r>
            <w:r>
              <w:rPr>
                <w:noProof/>
                <w:webHidden/>
              </w:rPr>
            </w:r>
            <w:r>
              <w:rPr>
                <w:noProof/>
                <w:webHidden/>
              </w:rPr>
              <w:fldChar w:fldCharType="separate"/>
            </w:r>
            <w:r>
              <w:rPr>
                <w:noProof/>
                <w:webHidden/>
              </w:rPr>
              <w:t>19</w:t>
            </w:r>
            <w:r>
              <w:rPr>
                <w:noProof/>
                <w:webHidden/>
              </w:rPr>
              <w:fldChar w:fldCharType="end"/>
            </w:r>
          </w:hyperlink>
        </w:p>
        <w:p w:rsidR="00D132E2" w:rsidRDefault="00D132E2">
          <w:pPr>
            <w:pStyle w:val="TOC3"/>
            <w:rPr>
              <w:rFonts w:asciiTheme="minorHAnsi" w:eastAsiaTheme="minorEastAsia" w:hAnsiTheme="minorHAnsi" w:cstheme="minorBidi"/>
              <w:noProof/>
              <w:sz w:val="22"/>
              <w:szCs w:val="22"/>
              <w:lang w:eastAsia="en-US"/>
            </w:rPr>
          </w:pPr>
          <w:hyperlink w:anchor="_Toc464551498" w:history="1">
            <w:r w:rsidRPr="00521199">
              <w:rPr>
                <w:rStyle w:val="Hyperlink"/>
                <w:rFonts w:ascii="Arial" w:hAnsi="Arial" w:cs="Arial"/>
                <w:noProof/>
              </w:rPr>
              <w:t>3.1.2</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Economic benefits of the micro-LNG expansion and natural gas compressor replacement sub-project</w:t>
            </w:r>
            <w:r>
              <w:rPr>
                <w:noProof/>
                <w:webHidden/>
              </w:rPr>
              <w:tab/>
            </w:r>
            <w:r>
              <w:rPr>
                <w:noProof/>
                <w:webHidden/>
              </w:rPr>
              <w:fldChar w:fldCharType="begin"/>
            </w:r>
            <w:r>
              <w:rPr>
                <w:noProof/>
                <w:webHidden/>
              </w:rPr>
              <w:instrText xml:space="preserve"> PAGEREF _Toc464551498 \h </w:instrText>
            </w:r>
            <w:r>
              <w:rPr>
                <w:noProof/>
                <w:webHidden/>
              </w:rPr>
            </w:r>
            <w:r>
              <w:rPr>
                <w:noProof/>
                <w:webHidden/>
              </w:rPr>
              <w:fldChar w:fldCharType="separate"/>
            </w:r>
            <w:r>
              <w:rPr>
                <w:noProof/>
                <w:webHidden/>
              </w:rPr>
              <w:t>19</w:t>
            </w:r>
            <w:r>
              <w:rPr>
                <w:noProof/>
                <w:webHidden/>
              </w:rPr>
              <w:fldChar w:fldCharType="end"/>
            </w:r>
          </w:hyperlink>
        </w:p>
        <w:p w:rsidR="00D132E2" w:rsidRDefault="00D132E2">
          <w:pPr>
            <w:pStyle w:val="TOC3"/>
            <w:rPr>
              <w:rFonts w:asciiTheme="minorHAnsi" w:eastAsiaTheme="minorEastAsia" w:hAnsiTheme="minorHAnsi" w:cstheme="minorBidi"/>
              <w:noProof/>
              <w:sz w:val="22"/>
              <w:szCs w:val="22"/>
              <w:lang w:eastAsia="en-US"/>
            </w:rPr>
          </w:pPr>
          <w:hyperlink w:anchor="_Toc464551499" w:history="1">
            <w:r w:rsidRPr="00521199">
              <w:rPr>
                <w:rStyle w:val="Hyperlink"/>
                <w:rFonts w:ascii="Arial" w:hAnsi="Arial" w:cs="Arial"/>
                <w:noProof/>
              </w:rPr>
              <w:t>3.1.3</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Net Economic Benefits of the micro-LNG expansion and natural gas compressor replacement sub-project</w:t>
            </w:r>
            <w:r>
              <w:rPr>
                <w:noProof/>
                <w:webHidden/>
              </w:rPr>
              <w:tab/>
            </w:r>
            <w:r>
              <w:rPr>
                <w:noProof/>
                <w:webHidden/>
              </w:rPr>
              <w:fldChar w:fldCharType="begin"/>
            </w:r>
            <w:r>
              <w:rPr>
                <w:noProof/>
                <w:webHidden/>
              </w:rPr>
              <w:instrText xml:space="preserve"> PAGEREF _Toc464551499 \h </w:instrText>
            </w:r>
            <w:r>
              <w:rPr>
                <w:noProof/>
                <w:webHidden/>
              </w:rPr>
            </w:r>
            <w:r>
              <w:rPr>
                <w:noProof/>
                <w:webHidden/>
              </w:rPr>
              <w:fldChar w:fldCharType="separate"/>
            </w:r>
            <w:r>
              <w:rPr>
                <w:noProof/>
                <w:webHidden/>
              </w:rPr>
              <w:t>20</w:t>
            </w:r>
            <w:r>
              <w:rPr>
                <w:noProof/>
                <w:webHidden/>
              </w:rPr>
              <w:fldChar w:fldCharType="end"/>
            </w:r>
          </w:hyperlink>
        </w:p>
        <w:p w:rsidR="00D132E2" w:rsidRDefault="00D132E2">
          <w:pPr>
            <w:pStyle w:val="TOC3"/>
            <w:rPr>
              <w:rFonts w:asciiTheme="minorHAnsi" w:eastAsiaTheme="minorEastAsia" w:hAnsiTheme="minorHAnsi" w:cstheme="minorBidi"/>
              <w:noProof/>
              <w:sz w:val="22"/>
              <w:szCs w:val="22"/>
              <w:lang w:eastAsia="en-US"/>
            </w:rPr>
          </w:pPr>
          <w:hyperlink w:anchor="_Toc464551500" w:history="1">
            <w:r w:rsidRPr="00521199">
              <w:rPr>
                <w:rStyle w:val="Hyperlink"/>
                <w:rFonts w:ascii="Arial" w:hAnsi="Arial" w:cs="Arial"/>
                <w:noProof/>
              </w:rPr>
              <w:t>3.1.4</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Assumptions for the micro-LNG expansion and natural gas compressor replacement sub-project</w:t>
            </w:r>
            <w:r>
              <w:rPr>
                <w:noProof/>
                <w:webHidden/>
              </w:rPr>
              <w:tab/>
            </w:r>
            <w:r>
              <w:rPr>
                <w:noProof/>
                <w:webHidden/>
              </w:rPr>
              <w:fldChar w:fldCharType="begin"/>
            </w:r>
            <w:r>
              <w:rPr>
                <w:noProof/>
                <w:webHidden/>
              </w:rPr>
              <w:instrText xml:space="preserve"> PAGEREF _Toc464551500 \h </w:instrText>
            </w:r>
            <w:r>
              <w:rPr>
                <w:noProof/>
                <w:webHidden/>
              </w:rPr>
            </w:r>
            <w:r>
              <w:rPr>
                <w:noProof/>
                <w:webHidden/>
              </w:rPr>
              <w:fldChar w:fldCharType="separate"/>
            </w:r>
            <w:r>
              <w:rPr>
                <w:noProof/>
                <w:webHidden/>
              </w:rPr>
              <w:t>21</w:t>
            </w:r>
            <w:r>
              <w:rPr>
                <w:noProof/>
                <w:webHidden/>
              </w:rPr>
              <w:fldChar w:fldCharType="end"/>
            </w:r>
          </w:hyperlink>
        </w:p>
        <w:p w:rsidR="00D132E2" w:rsidRDefault="00D132E2">
          <w:pPr>
            <w:pStyle w:val="TOC2"/>
            <w:tabs>
              <w:tab w:val="left" w:pos="1440"/>
            </w:tabs>
            <w:rPr>
              <w:rFonts w:asciiTheme="minorHAnsi" w:eastAsiaTheme="minorEastAsia" w:hAnsiTheme="minorHAnsi" w:cstheme="minorBidi"/>
              <w:noProof/>
              <w:sz w:val="22"/>
              <w:szCs w:val="22"/>
              <w:lang w:eastAsia="en-US"/>
            </w:rPr>
          </w:pPr>
          <w:hyperlink w:anchor="_Toc464551501" w:history="1">
            <w:r w:rsidRPr="00521199">
              <w:rPr>
                <w:rStyle w:val="Hyperlink"/>
                <w:rFonts w:ascii="Arial" w:hAnsi="Arial" w:cs="Arial"/>
                <w:noProof/>
              </w:rPr>
              <w:t>3.2</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Economic Costs, Economic Benefits, and Net Economic Benefits of the micro-LNG expansion and natural gas compressor replacement sub-project</w:t>
            </w:r>
            <w:r>
              <w:rPr>
                <w:noProof/>
                <w:webHidden/>
              </w:rPr>
              <w:tab/>
            </w:r>
            <w:r>
              <w:rPr>
                <w:noProof/>
                <w:webHidden/>
              </w:rPr>
              <w:fldChar w:fldCharType="begin"/>
            </w:r>
            <w:r>
              <w:rPr>
                <w:noProof/>
                <w:webHidden/>
              </w:rPr>
              <w:instrText xml:space="preserve"> PAGEREF _Toc464551501 \h </w:instrText>
            </w:r>
            <w:r>
              <w:rPr>
                <w:noProof/>
                <w:webHidden/>
              </w:rPr>
            </w:r>
            <w:r>
              <w:rPr>
                <w:noProof/>
                <w:webHidden/>
              </w:rPr>
              <w:fldChar w:fldCharType="separate"/>
            </w:r>
            <w:r>
              <w:rPr>
                <w:noProof/>
                <w:webHidden/>
              </w:rPr>
              <w:t>22</w:t>
            </w:r>
            <w:r>
              <w:rPr>
                <w:noProof/>
                <w:webHidden/>
              </w:rPr>
              <w:fldChar w:fldCharType="end"/>
            </w:r>
          </w:hyperlink>
        </w:p>
        <w:p w:rsidR="00D132E2" w:rsidRDefault="00D132E2">
          <w:pPr>
            <w:pStyle w:val="TOC2"/>
            <w:tabs>
              <w:tab w:val="left" w:pos="1440"/>
            </w:tabs>
            <w:rPr>
              <w:rFonts w:asciiTheme="minorHAnsi" w:eastAsiaTheme="minorEastAsia" w:hAnsiTheme="minorHAnsi" w:cstheme="minorBidi"/>
              <w:noProof/>
              <w:sz w:val="22"/>
              <w:szCs w:val="22"/>
              <w:lang w:eastAsia="en-US"/>
            </w:rPr>
          </w:pPr>
          <w:hyperlink w:anchor="_Toc464551502" w:history="1">
            <w:r w:rsidRPr="00521199">
              <w:rPr>
                <w:rStyle w:val="Hyperlink"/>
                <w:rFonts w:ascii="Arial" w:hAnsi="Arial" w:cs="Arial"/>
                <w:noProof/>
              </w:rPr>
              <w:t>3.3</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Sensitivity Analysis of micro-LNG expansion and natural gas compressor replacement sub-project</w:t>
            </w:r>
            <w:r>
              <w:rPr>
                <w:noProof/>
                <w:webHidden/>
              </w:rPr>
              <w:tab/>
            </w:r>
            <w:r>
              <w:rPr>
                <w:noProof/>
                <w:webHidden/>
              </w:rPr>
              <w:fldChar w:fldCharType="begin"/>
            </w:r>
            <w:r>
              <w:rPr>
                <w:noProof/>
                <w:webHidden/>
              </w:rPr>
              <w:instrText xml:space="preserve"> PAGEREF _Toc464551502 \h </w:instrText>
            </w:r>
            <w:r>
              <w:rPr>
                <w:noProof/>
                <w:webHidden/>
              </w:rPr>
            </w:r>
            <w:r>
              <w:rPr>
                <w:noProof/>
                <w:webHidden/>
              </w:rPr>
              <w:fldChar w:fldCharType="separate"/>
            </w:r>
            <w:r>
              <w:rPr>
                <w:noProof/>
                <w:webHidden/>
              </w:rPr>
              <w:t>22</w:t>
            </w:r>
            <w:r>
              <w:rPr>
                <w:noProof/>
                <w:webHidden/>
              </w:rPr>
              <w:fldChar w:fldCharType="end"/>
            </w:r>
          </w:hyperlink>
        </w:p>
        <w:p w:rsidR="00D132E2" w:rsidRDefault="00D132E2">
          <w:pPr>
            <w:pStyle w:val="TOC1"/>
            <w:rPr>
              <w:rFonts w:asciiTheme="minorHAnsi" w:eastAsiaTheme="minorEastAsia" w:hAnsiTheme="minorHAnsi" w:cstheme="minorBidi"/>
              <w:b w:val="0"/>
              <w:noProof/>
              <w:sz w:val="22"/>
              <w:szCs w:val="22"/>
              <w:lang w:eastAsia="en-US"/>
            </w:rPr>
          </w:pPr>
          <w:hyperlink w:anchor="_Toc464551503" w:history="1">
            <w:r w:rsidRPr="00521199">
              <w:rPr>
                <w:rStyle w:val="Hyperlink"/>
                <w:rFonts w:ascii="Arial" w:hAnsi="Arial" w:cs="Arial"/>
                <w:noProof/>
              </w:rPr>
              <w:t>4</w:t>
            </w:r>
            <w:r>
              <w:rPr>
                <w:rFonts w:asciiTheme="minorHAnsi" w:eastAsiaTheme="minorEastAsia" w:hAnsiTheme="minorHAnsi" w:cstheme="minorBidi"/>
                <w:b w:val="0"/>
                <w:noProof/>
                <w:sz w:val="22"/>
                <w:szCs w:val="22"/>
                <w:lang w:eastAsia="en-US"/>
              </w:rPr>
              <w:tab/>
            </w:r>
            <w:r w:rsidRPr="00521199">
              <w:rPr>
                <w:rStyle w:val="Hyperlink"/>
                <w:rFonts w:ascii="Arial" w:hAnsi="Arial" w:cs="Arial"/>
                <w:noProof/>
              </w:rPr>
              <w:drawing>
                <wp:inline distT="0" distB="0" distL="0" distR="0" wp14:anchorId="09B9D379" wp14:editId="38F2855A">
                  <wp:extent cx="4218940" cy="22739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8940" cy="2273935"/>
                          </a:xfrm>
                          <a:prstGeom prst="rect">
                            <a:avLst/>
                          </a:prstGeom>
                          <a:noFill/>
                        </pic:spPr>
                      </pic:pic>
                    </a:graphicData>
                  </a:graphic>
                </wp:inline>
              </w:drawing>
            </w:r>
            <w:r w:rsidRPr="00521199">
              <w:rPr>
                <w:rStyle w:val="Hyperlink"/>
                <w:rFonts w:ascii="Arial" w:hAnsi="Arial" w:cs="Arial"/>
                <w:noProof/>
              </w:rPr>
              <w:t>Cost Benefit Analysis of the Wind Turbine Sub-Project</w:t>
            </w:r>
            <w:r>
              <w:rPr>
                <w:noProof/>
                <w:webHidden/>
              </w:rPr>
              <w:tab/>
            </w:r>
            <w:r>
              <w:rPr>
                <w:noProof/>
                <w:webHidden/>
              </w:rPr>
              <w:fldChar w:fldCharType="begin"/>
            </w:r>
            <w:r>
              <w:rPr>
                <w:noProof/>
                <w:webHidden/>
              </w:rPr>
              <w:instrText xml:space="preserve"> PAGEREF _Toc464551503 \h </w:instrText>
            </w:r>
            <w:r>
              <w:rPr>
                <w:noProof/>
                <w:webHidden/>
              </w:rPr>
            </w:r>
            <w:r>
              <w:rPr>
                <w:noProof/>
                <w:webHidden/>
              </w:rPr>
              <w:fldChar w:fldCharType="separate"/>
            </w:r>
            <w:r>
              <w:rPr>
                <w:noProof/>
                <w:webHidden/>
              </w:rPr>
              <w:t>25</w:t>
            </w:r>
            <w:r>
              <w:rPr>
                <w:noProof/>
                <w:webHidden/>
              </w:rPr>
              <w:fldChar w:fldCharType="end"/>
            </w:r>
          </w:hyperlink>
        </w:p>
        <w:p w:rsidR="00D132E2" w:rsidRDefault="00D132E2">
          <w:pPr>
            <w:pStyle w:val="TOC2"/>
            <w:tabs>
              <w:tab w:val="left" w:pos="1440"/>
            </w:tabs>
            <w:rPr>
              <w:rFonts w:asciiTheme="minorHAnsi" w:eastAsiaTheme="minorEastAsia" w:hAnsiTheme="minorHAnsi" w:cstheme="minorBidi"/>
              <w:noProof/>
              <w:sz w:val="22"/>
              <w:szCs w:val="22"/>
              <w:lang w:eastAsia="en-US"/>
            </w:rPr>
          </w:pPr>
          <w:hyperlink w:anchor="_Toc464551504" w:history="1">
            <w:r w:rsidRPr="00521199">
              <w:rPr>
                <w:rStyle w:val="Hyperlink"/>
                <w:rFonts w:ascii="Arial" w:hAnsi="Arial" w:cs="Arial"/>
                <w:noProof/>
              </w:rPr>
              <w:t>4.1</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Methodology and Assumptions</w:t>
            </w:r>
            <w:r>
              <w:rPr>
                <w:noProof/>
                <w:webHidden/>
              </w:rPr>
              <w:tab/>
            </w:r>
            <w:r>
              <w:rPr>
                <w:noProof/>
                <w:webHidden/>
              </w:rPr>
              <w:fldChar w:fldCharType="begin"/>
            </w:r>
            <w:r>
              <w:rPr>
                <w:noProof/>
                <w:webHidden/>
              </w:rPr>
              <w:instrText xml:space="preserve"> PAGEREF _Toc464551504 \h </w:instrText>
            </w:r>
            <w:r>
              <w:rPr>
                <w:noProof/>
                <w:webHidden/>
              </w:rPr>
            </w:r>
            <w:r>
              <w:rPr>
                <w:noProof/>
                <w:webHidden/>
              </w:rPr>
              <w:fldChar w:fldCharType="separate"/>
            </w:r>
            <w:r>
              <w:rPr>
                <w:noProof/>
                <w:webHidden/>
              </w:rPr>
              <w:t>26</w:t>
            </w:r>
            <w:r>
              <w:rPr>
                <w:noProof/>
                <w:webHidden/>
              </w:rPr>
              <w:fldChar w:fldCharType="end"/>
            </w:r>
          </w:hyperlink>
        </w:p>
        <w:p w:rsidR="00D132E2" w:rsidRDefault="00D132E2">
          <w:pPr>
            <w:pStyle w:val="TOC3"/>
            <w:rPr>
              <w:rFonts w:asciiTheme="minorHAnsi" w:eastAsiaTheme="minorEastAsia" w:hAnsiTheme="minorHAnsi" w:cstheme="minorBidi"/>
              <w:noProof/>
              <w:sz w:val="22"/>
              <w:szCs w:val="22"/>
              <w:lang w:eastAsia="en-US"/>
            </w:rPr>
          </w:pPr>
          <w:hyperlink w:anchor="_Toc464551505" w:history="1">
            <w:r w:rsidRPr="00521199">
              <w:rPr>
                <w:rStyle w:val="Hyperlink"/>
                <w:rFonts w:ascii="Arial" w:hAnsi="Arial" w:cs="Arial"/>
                <w:noProof/>
              </w:rPr>
              <w:t>4.1.1</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Economic costs of the wind turbine sub-project</w:t>
            </w:r>
            <w:r>
              <w:rPr>
                <w:noProof/>
                <w:webHidden/>
              </w:rPr>
              <w:tab/>
            </w:r>
            <w:r>
              <w:rPr>
                <w:noProof/>
                <w:webHidden/>
              </w:rPr>
              <w:fldChar w:fldCharType="begin"/>
            </w:r>
            <w:r>
              <w:rPr>
                <w:noProof/>
                <w:webHidden/>
              </w:rPr>
              <w:instrText xml:space="preserve"> PAGEREF _Toc464551505 \h </w:instrText>
            </w:r>
            <w:r>
              <w:rPr>
                <w:noProof/>
                <w:webHidden/>
              </w:rPr>
            </w:r>
            <w:r>
              <w:rPr>
                <w:noProof/>
                <w:webHidden/>
              </w:rPr>
              <w:fldChar w:fldCharType="separate"/>
            </w:r>
            <w:r>
              <w:rPr>
                <w:noProof/>
                <w:webHidden/>
              </w:rPr>
              <w:t>26</w:t>
            </w:r>
            <w:r>
              <w:rPr>
                <w:noProof/>
                <w:webHidden/>
              </w:rPr>
              <w:fldChar w:fldCharType="end"/>
            </w:r>
          </w:hyperlink>
        </w:p>
        <w:p w:rsidR="00D132E2" w:rsidRDefault="00D132E2">
          <w:pPr>
            <w:pStyle w:val="TOC3"/>
            <w:rPr>
              <w:rFonts w:asciiTheme="minorHAnsi" w:eastAsiaTheme="minorEastAsia" w:hAnsiTheme="minorHAnsi" w:cstheme="minorBidi"/>
              <w:noProof/>
              <w:sz w:val="22"/>
              <w:szCs w:val="22"/>
              <w:lang w:eastAsia="en-US"/>
            </w:rPr>
          </w:pPr>
          <w:hyperlink w:anchor="_Toc464551506" w:history="1">
            <w:r w:rsidRPr="00521199">
              <w:rPr>
                <w:rStyle w:val="Hyperlink"/>
                <w:rFonts w:ascii="Arial" w:hAnsi="Arial" w:cs="Arial"/>
                <w:noProof/>
              </w:rPr>
              <w:t>4.1.2</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Economic benefits of the wind turbine</w:t>
            </w:r>
            <w:r>
              <w:rPr>
                <w:noProof/>
                <w:webHidden/>
              </w:rPr>
              <w:tab/>
            </w:r>
            <w:r>
              <w:rPr>
                <w:noProof/>
                <w:webHidden/>
              </w:rPr>
              <w:fldChar w:fldCharType="begin"/>
            </w:r>
            <w:r>
              <w:rPr>
                <w:noProof/>
                <w:webHidden/>
              </w:rPr>
              <w:instrText xml:space="preserve"> PAGEREF _Toc464551506 \h </w:instrText>
            </w:r>
            <w:r>
              <w:rPr>
                <w:noProof/>
                <w:webHidden/>
              </w:rPr>
            </w:r>
            <w:r>
              <w:rPr>
                <w:noProof/>
                <w:webHidden/>
              </w:rPr>
              <w:fldChar w:fldCharType="separate"/>
            </w:r>
            <w:r>
              <w:rPr>
                <w:noProof/>
                <w:webHidden/>
              </w:rPr>
              <w:t>26</w:t>
            </w:r>
            <w:r>
              <w:rPr>
                <w:noProof/>
                <w:webHidden/>
              </w:rPr>
              <w:fldChar w:fldCharType="end"/>
            </w:r>
          </w:hyperlink>
        </w:p>
        <w:p w:rsidR="00D132E2" w:rsidRDefault="00D132E2">
          <w:pPr>
            <w:pStyle w:val="TOC3"/>
            <w:rPr>
              <w:rFonts w:asciiTheme="minorHAnsi" w:eastAsiaTheme="minorEastAsia" w:hAnsiTheme="minorHAnsi" w:cstheme="minorBidi"/>
              <w:noProof/>
              <w:sz w:val="22"/>
              <w:szCs w:val="22"/>
              <w:lang w:eastAsia="en-US"/>
            </w:rPr>
          </w:pPr>
          <w:hyperlink w:anchor="_Toc464551507" w:history="1">
            <w:r w:rsidRPr="00521199">
              <w:rPr>
                <w:rStyle w:val="Hyperlink"/>
                <w:rFonts w:ascii="Arial" w:hAnsi="Arial" w:cs="Arial"/>
                <w:noProof/>
              </w:rPr>
              <w:t>4.1.3</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Net Economic Benefits of the wind turbine sub-project</w:t>
            </w:r>
            <w:r>
              <w:rPr>
                <w:noProof/>
                <w:webHidden/>
              </w:rPr>
              <w:tab/>
            </w:r>
            <w:r>
              <w:rPr>
                <w:noProof/>
                <w:webHidden/>
              </w:rPr>
              <w:fldChar w:fldCharType="begin"/>
            </w:r>
            <w:r>
              <w:rPr>
                <w:noProof/>
                <w:webHidden/>
              </w:rPr>
              <w:instrText xml:space="preserve"> PAGEREF _Toc464551507 \h </w:instrText>
            </w:r>
            <w:r>
              <w:rPr>
                <w:noProof/>
                <w:webHidden/>
              </w:rPr>
            </w:r>
            <w:r>
              <w:rPr>
                <w:noProof/>
                <w:webHidden/>
              </w:rPr>
              <w:fldChar w:fldCharType="separate"/>
            </w:r>
            <w:r>
              <w:rPr>
                <w:noProof/>
                <w:webHidden/>
              </w:rPr>
              <w:t>27</w:t>
            </w:r>
            <w:r>
              <w:rPr>
                <w:noProof/>
                <w:webHidden/>
              </w:rPr>
              <w:fldChar w:fldCharType="end"/>
            </w:r>
          </w:hyperlink>
        </w:p>
        <w:p w:rsidR="00D132E2" w:rsidRDefault="00D132E2">
          <w:pPr>
            <w:pStyle w:val="TOC3"/>
            <w:rPr>
              <w:rFonts w:asciiTheme="minorHAnsi" w:eastAsiaTheme="minorEastAsia" w:hAnsiTheme="minorHAnsi" w:cstheme="minorBidi"/>
              <w:noProof/>
              <w:sz w:val="22"/>
              <w:szCs w:val="22"/>
              <w:lang w:eastAsia="en-US"/>
            </w:rPr>
          </w:pPr>
          <w:hyperlink w:anchor="_Toc464551508" w:history="1">
            <w:r w:rsidRPr="00521199">
              <w:rPr>
                <w:rStyle w:val="Hyperlink"/>
                <w:rFonts w:ascii="Arial" w:hAnsi="Arial" w:cs="Arial"/>
                <w:noProof/>
              </w:rPr>
              <w:t>4.1.4</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Assumptions for the wind turbine sub-project</w:t>
            </w:r>
            <w:r>
              <w:rPr>
                <w:noProof/>
                <w:webHidden/>
              </w:rPr>
              <w:tab/>
            </w:r>
            <w:r>
              <w:rPr>
                <w:noProof/>
                <w:webHidden/>
              </w:rPr>
              <w:fldChar w:fldCharType="begin"/>
            </w:r>
            <w:r>
              <w:rPr>
                <w:noProof/>
                <w:webHidden/>
              </w:rPr>
              <w:instrText xml:space="preserve"> PAGEREF _Toc464551508 \h </w:instrText>
            </w:r>
            <w:r>
              <w:rPr>
                <w:noProof/>
                <w:webHidden/>
              </w:rPr>
            </w:r>
            <w:r>
              <w:rPr>
                <w:noProof/>
                <w:webHidden/>
              </w:rPr>
              <w:fldChar w:fldCharType="separate"/>
            </w:r>
            <w:r>
              <w:rPr>
                <w:noProof/>
                <w:webHidden/>
              </w:rPr>
              <w:t>27</w:t>
            </w:r>
            <w:r>
              <w:rPr>
                <w:noProof/>
                <w:webHidden/>
              </w:rPr>
              <w:fldChar w:fldCharType="end"/>
            </w:r>
          </w:hyperlink>
        </w:p>
        <w:p w:rsidR="00D132E2" w:rsidRDefault="00D132E2">
          <w:pPr>
            <w:pStyle w:val="TOC2"/>
            <w:tabs>
              <w:tab w:val="left" w:pos="1440"/>
            </w:tabs>
            <w:rPr>
              <w:rFonts w:asciiTheme="minorHAnsi" w:eastAsiaTheme="minorEastAsia" w:hAnsiTheme="minorHAnsi" w:cstheme="minorBidi"/>
              <w:noProof/>
              <w:sz w:val="22"/>
              <w:szCs w:val="22"/>
              <w:lang w:eastAsia="en-US"/>
            </w:rPr>
          </w:pPr>
          <w:hyperlink w:anchor="_Toc464551509" w:history="1">
            <w:r w:rsidRPr="00521199">
              <w:rPr>
                <w:rStyle w:val="Hyperlink"/>
                <w:rFonts w:ascii="Arial" w:hAnsi="Arial" w:cs="Arial"/>
                <w:noProof/>
              </w:rPr>
              <w:t>4.2</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Economic Costs, Economic Benefits, and Net Economic Benefits of the wind turbine</w:t>
            </w:r>
            <w:r>
              <w:rPr>
                <w:noProof/>
                <w:webHidden/>
              </w:rPr>
              <w:tab/>
            </w:r>
            <w:r>
              <w:rPr>
                <w:noProof/>
                <w:webHidden/>
              </w:rPr>
              <w:fldChar w:fldCharType="begin"/>
            </w:r>
            <w:r>
              <w:rPr>
                <w:noProof/>
                <w:webHidden/>
              </w:rPr>
              <w:instrText xml:space="preserve"> PAGEREF _Toc464551509 \h </w:instrText>
            </w:r>
            <w:r>
              <w:rPr>
                <w:noProof/>
                <w:webHidden/>
              </w:rPr>
            </w:r>
            <w:r>
              <w:rPr>
                <w:noProof/>
                <w:webHidden/>
              </w:rPr>
              <w:fldChar w:fldCharType="separate"/>
            </w:r>
            <w:r>
              <w:rPr>
                <w:noProof/>
                <w:webHidden/>
              </w:rPr>
              <w:t>28</w:t>
            </w:r>
            <w:r>
              <w:rPr>
                <w:noProof/>
                <w:webHidden/>
              </w:rPr>
              <w:fldChar w:fldCharType="end"/>
            </w:r>
          </w:hyperlink>
        </w:p>
        <w:p w:rsidR="00D132E2" w:rsidRDefault="00D132E2">
          <w:pPr>
            <w:pStyle w:val="TOC2"/>
            <w:tabs>
              <w:tab w:val="left" w:pos="1440"/>
            </w:tabs>
            <w:rPr>
              <w:rFonts w:asciiTheme="minorHAnsi" w:eastAsiaTheme="minorEastAsia" w:hAnsiTheme="minorHAnsi" w:cstheme="minorBidi"/>
              <w:noProof/>
              <w:sz w:val="22"/>
              <w:szCs w:val="22"/>
              <w:lang w:eastAsia="en-US"/>
            </w:rPr>
          </w:pPr>
          <w:hyperlink w:anchor="_Toc464551510" w:history="1">
            <w:r w:rsidRPr="00521199">
              <w:rPr>
                <w:rStyle w:val="Hyperlink"/>
                <w:rFonts w:ascii="Arial" w:hAnsi="Arial" w:cs="Arial"/>
                <w:noProof/>
              </w:rPr>
              <w:t>4.3</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Sensitivity Analysis of the wind turbine sub-project</w:t>
            </w:r>
            <w:r>
              <w:rPr>
                <w:noProof/>
                <w:webHidden/>
              </w:rPr>
              <w:tab/>
            </w:r>
            <w:r>
              <w:rPr>
                <w:noProof/>
                <w:webHidden/>
              </w:rPr>
              <w:fldChar w:fldCharType="begin"/>
            </w:r>
            <w:r>
              <w:rPr>
                <w:noProof/>
                <w:webHidden/>
              </w:rPr>
              <w:instrText xml:space="preserve"> PAGEREF _Toc464551510 \h </w:instrText>
            </w:r>
            <w:r>
              <w:rPr>
                <w:noProof/>
                <w:webHidden/>
              </w:rPr>
            </w:r>
            <w:r>
              <w:rPr>
                <w:noProof/>
                <w:webHidden/>
              </w:rPr>
              <w:fldChar w:fldCharType="separate"/>
            </w:r>
            <w:r>
              <w:rPr>
                <w:noProof/>
                <w:webHidden/>
              </w:rPr>
              <w:t>28</w:t>
            </w:r>
            <w:r>
              <w:rPr>
                <w:noProof/>
                <w:webHidden/>
              </w:rPr>
              <w:fldChar w:fldCharType="end"/>
            </w:r>
          </w:hyperlink>
        </w:p>
        <w:p w:rsidR="00D132E2" w:rsidRDefault="00D132E2">
          <w:pPr>
            <w:pStyle w:val="TOC1"/>
            <w:rPr>
              <w:rFonts w:asciiTheme="minorHAnsi" w:eastAsiaTheme="minorEastAsia" w:hAnsiTheme="minorHAnsi" w:cstheme="minorBidi"/>
              <w:b w:val="0"/>
              <w:noProof/>
              <w:sz w:val="22"/>
              <w:szCs w:val="22"/>
              <w:lang w:eastAsia="en-US"/>
            </w:rPr>
          </w:pPr>
          <w:hyperlink w:anchor="_Toc464551511" w:history="1">
            <w:r w:rsidRPr="00521199">
              <w:rPr>
                <w:rStyle w:val="Hyperlink"/>
                <w:rFonts w:ascii="Arial" w:hAnsi="Arial" w:cs="Arial"/>
                <w:noProof/>
              </w:rPr>
              <w:t>5</w:t>
            </w:r>
            <w:r>
              <w:rPr>
                <w:rFonts w:asciiTheme="minorHAnsi" w:eastAsiaTheme="minorEastAsia" w:hAnsiTheme="minorHAnsi" w:cstheme="minorBidi"/>
                <w:b w:val="0"/>
                <w:noProof/>
                <w:sz w:val="22"/>
                <w:szCs w:val="22"/>
                <w:lang w:eastAsia="en-US"/>
              </w:rPr>
              <w:tab/>
            </w:r>
            <w:r w:rsidRPr="00521199">
              <w:rPr>
                <w:rStyle w:val="Hyperlink"/>
                <w:rFonts w:ascii="Arial" w:hAnsi="Arial" w:cs="Arial"/>
                <w:noProof/>
              </w:rPr>
              <w:t>Cost Benefit Analysis of Solar Panel Sub-Project</w:t>
            </w:r>
            <w:r>
              <w:rPr>
                <w:noProof/>
                <w:webHidden/>
              </w:rPr>
              <w:tab/>
            </w:r>
            <w:r>
              <w:rPr>
                <w:noProof/>
                <w:webHidden/>
              </w:rPr>
              <w:fldChar w:fldCharType="begin"/>
            </w:r>
            <w:r>
              <w:rPr>
                <w:noProof/>
                <w:webHidden/>
              </w:rPr>
              <w:instrText xml:space="preserve"> PAGEREF _Toc464551511 \h </w:instrText>
            </w:r>
            <w:r>
              <w:rPr>
                <w:noProof/>
                <w:webHidden/>
              </w:rPr>
            </w:r>
            <w:r>
              <w:rPr>
                <w:noProof/>
                <w:webHidden/>
              </w:rPr>
              <w:fldChar w:fldCharType="separate"/>
            </w:r>
            <w:r>
              <w:rPr>
                <w:noProof/>
                <w:webHidden/>
              </w:rPr>
              <w:t>31</w:t>
            </w:r>
            <w:r>
              <w:rPr>
                <w:noProof/>
                <w:webHidden/>
              </w:rPr>
              <w:fldChar w:fldCharType="end"/>
            </w:r>
          </w:hyperlink>
        </w:p>
        <w:p w:rsidR="00D132E2" w:rsidRDefault="00D132E2">
          <w:pPr>
            <w:pStyle w:val="TOC2"/>
            <w:tabs>
              <w:tab w:val="left" w:pos="1440"/>
            </w:tabs>
            <w:rPr>
              <w:rFonts w:asciiTheme="minorHAnsi" w:eastAsiaTheme="minorEastAsia" w:hAnsiTheme="minorHAnsi" w:cstheme="minorBidi"/>
              <w:noProof/>
              <w:sz w:val="22"/>
              <w:szCs w:val="22"/>
              <w:lang w:eastAsia="en-US"/>
            </w:rPr>
          </w:pPr>
          <w:hyperlink w:anchor="_Toc464551512" w:history="1">
            <w:r w:rsidRPr="00521199">
              <w:rPr>
                <w:rStyle w:val="Hyperlink"/>
                <w:rFonts w:ascii="Arial" w:hAnsi="Arial" w:cs="Arial"/>
                <w:noProof/>
              </w:rPr>
              <w:t>5.1</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Methodology and Assumptions</w:t>
            </w:r>
            <w:r>
              <w:rPr>
                <w:noProof/>
                <w:webHidden/>
              </w:rPr>
              <w:tab/>
            </w:r>
            <w:r>
              <w:rPr>
                <w:noProof/>
                <w:webHidden/>
              </w:rPr>
              <w:fldChar w:fldCharType="begin"/>
            </w:r>
            <w:r>
              <w:rPr>
                <w:noProof/>
                <w:webHidden/>
              </w:rPr>
              <w:instrText xml:space="preserve"> PAGEREF _Toc464551512 \h </w:instrText>
            </w:r>
            <w:r>
              <w:rPr>
                <w:noProof/>
                <w:webHidden/>
              </w:rPr>
            </w:r>
            <w:r>
              <w:rPr>
                <w:noProof/>
                <w:webHidden/>
              </w:rPr>
              <w:fldChar w:fldCharType="separate"/>
            </w:r>
            <w:r>
              <w:rPr>
                <w:noProof/>
                <w:webHidden/>
              </w:rPr>
              <w:t>32</w:t>
            </w:r>
            <w:r>
              <w:rPr>
                <w:noProof/>
                <w:webHidden/>
              </w:rPr>
              <w:fldChar w:fldCharType="end"/>
            </w:r>
          </w:hyperlink>
        </w:p>
        <w:p w:rsidR="00D132E2" w:rsidRDefault="00D132E2">
          <w:pPr>
            <w:pStyle w:val="TOC3"/>
            <w:rPr>
              <w:rFonts w:asciiTheme="minorHAnsi" w:eastAsiaTheme="minorEastAsia" w:hAnsiTheme="minorHAnsi" w:cstheme="minorBidi"/>
              <w:noProof/>
              <w:sz w:val="22"/>
              <w:szCs w:val="22"/>
              <w:lang w:eastAsia="en-US"/>
            </w:rPr>
          </w:pPr>
          <w:hyperlink w:anchor="_Toc464551513" w:history="1">
            <w:r w:rsidRPr="00521199">
              <w:rPr>
                <w:rStyle w:val="Hyperlink"/>
                <w:rFonts w:ascii="Arial" w:hAnsi="Arial" w:cs="Arial"/>
                <w:noProof/>
              </w:rPr>
              <w:t>5.1.1</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Economic costs of the PV system sub-project</w:t>
            </w:r>
            <w:r>
              <w:rPr>
                <w:noProof/>
                <w:webHidden/>
              </w:rPr>
              <w:tab/>
            </w:r>
            <w:r>
              <w:rPr>
                <w:noProof/>
                <w:webHidden/>
              </w:rPr>
              <w:fldChar w:fldCharType="begin"/>
            </w:r>
            <w:r>
              <w:rPr>
                <w:noProof/>
                <w:webHidden/>
              </w:rPr>
              <w:instrText xml:space="preserve"> PAGEREF _Toc464551513 \h </w:instrText>
            </w:r>
            <w:r>
              <w:rPr>
                <w:noProof/>
                <w:webHidden/>
              </w:rPr>
            </w:r>
            <w:r>
              <w:rPr>
                <w:noProof/>
                <w:webHidden/>
              </w:rPr>
              <w:fldChar w:fldCharType="separate"/>
            </w:r>
            <w:r>
              <w:rPr>
                <w:noProof/>
                <w:webHidden/>
              </w:rPr>
              <w:t>32</w:t>
            </w:r>
            <w:r>
              <w:rPr>
                <w:noProof/>
                <w:webHidden/>
              </w:rPr>
              <w:fldChar w:fldCharType="end"/>
            </w:r>
          </w:hyperlink>
        </w:p>
        <w:p w:rsidR="00D132E2" w:rsidRDefault="00D132E2">
          <w:pPr>
            <w:pStyle w:val="TOC3"/>
            <w:rPr>
              <w:rFonts w:asciiTheme="minorHAnsi" w:eastAsiaTheme="minorEastAsia" w:hAnsiTheme="minorHAnsi" w:cstheme="minorBidi"/>
              <w:noProof/>
              <w:sz w:val="22"/>
              <w:szCs w:val="22"/>
              <w:lang w:eastAsia="en-US"/>
            </w:rPr>
          </w:pPr>
          <w:hyperlink w:anchor="_Toc464551514" w:history="1">
            <w:r w:rsidRPr="00521199">
              <w:rPr>
                <w:rStyle w:val="Hyperlink"/>
                <w:rFonts w:ascii="Arial" w:hAnsi="Arial" w:cs="Arial"/>
                <w:noProof/>
              </w:rPr>
              <w:t>5.1.2</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Economic benefits of the PV system</w:t>
            </w:r>
            <w:r>
              <w:rPr>
                <w:noProof/>
                <w:webHidden/>
              </w:rPr>
              <w:tab/>
            </w:r>
            <w:r>
              <w:rPr>
                <w:noProof/>
                <w:webHidden/>
              </w:rPr>
              <w:fldChar w:fldCharType="begin"/>
            </w:r>
            <w:r>
              <w:rPr>
                <w:noProof/>
                <w:webHidden/>
              </w:rPr>
              <w:instrText xml:space="preserve"> PAGEREF _Toc464551514 \h </w:instrText>
            </w:r>
            <w:r>
              <w:rPr>
                <w:noProof/>
                <w:webHidden/>
              </w:rPr>
            </w:r>
            <w:r>
              <w:rPr>
                <w:noProof/>
                <w:webHidden/>
              </w:rPr>
              <w:fldChar w:fldCharType="separate"/>
            </w:r>
            <w:r>
              <w:rPr>
                <w:noProof/>
                <w:webHidden/>
              </w:rPr>
              <w:t>32</w:t>
            </w:r>
            <w:r>
              <w:rPr>
                <w:noProof/>
                <w:webHidden/>
              </w:rPr>
              <w:fldChar w:fldCharType="end"/>
            </w:r>
          </w:hyperlink>
        </w:p>
        <w:p w:rsidR="00D132E2" w:rsidRDefault="00D132E2">
          <w:pPr>
            <w:pStyle w:val="TOC3"/>
            <w:rPr>
              <w:rFonts w:asciiTheme="minorHAnsi" w:eastAsiaTheme="minorEastAsia" w:hAnsiTheme="minorHAnsi" w:cstheme="minorBidi"/>
              <w:noProof/>
              <w:sz w:val="22"/>
              <w:szCs w:val="22"/>
              <w:lang w:eastAsia="en-US"/>
            </w:rPr>
          </w:pPr>
          <w:hyperlink w:anchor="_Toc464551515" w:history="1">
            <w:r w:rsidRPr="00521199">
              <w:rPr>
                <w:rStyle w:val="Hyperlink"/>
                <w:rFonts w:ascii="Arial" w:hAnsi="Arial" w:cs="Arial"/>
                <w:noProof/>
              </w:rPr>
              <w:t>5.1.3</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Net Economic Benefits of the PV system sub-project</w:t>
            </w:r>
            <w:r>
              <w:rPr>
                <w:noProof/>
                <w:webHidden/>
              </w:rPr>
              <w:tab/>
            </w:r>
            <w:r>
              <w:rPr>
                <w:noProof/>
                <w:webHidden/>
              </w:rPr>
              <w:fldChar w:fldCharType="begin"/>
            </w:r>
            <w:r>
              <w:rPr>
                <w:noProof/>
                <w:webHidden/>
              </w:rPr>
              <w:instrText xml:space="preserve"> PAGEREF _Toc464551515 \h </w:instrText>
            </w:r>
            <w:r>
              <w:rPr>
                <w:noProof/>
                <w:webHidden/>
              </w:rPr>
            </w:r>
            <w:r>
              <w:rPr>
                <w:noProof/>
                <w:webHidden/>
              </w:rPr>
              <w:fldChar w:fldCharType="separate"/>
            </w:r>
            <w:r>
              <w:rPr>
                <w:noProof/>
                <w:webHidden/>
              </w:rPr>
              <w:t>33</w:t>
            </w:r>
            <w:r>
              <w:rPr>
                <w:noProof/>
                <w:webHidden/>
              </w:rPr>
              <w:fldChar w:fldCharType="end"/>
            </w:r>
          </w:hyperlink>
        </w:p>
        <w:p w:rsidR="00D132E2" w:rsidRDefault="00D132E2">
          <w:pPr>
            <w:pStyle w:val="TOC3"/>
            <w:rPr>
              <w:rFonts w:asciiTheme="minorHAnsi" w:eastAsiaTheme="minorEastAsia" w:hAnsiTheme="minorHAnsi" w:cstheme="minorBidi"/>
              <w:noProof/>
              <w:sz w:val="22"/>
              <w:szCs w:val="22"/>
              <w:lang w:eastAsia="en-US"/>
            </w:rPr>
          </w:pPr>
          <w:hyperlink w:anchor="_Toc464551516" w:history="1">
            <w:r w:rsidRPr="00521199">
              <w:rPr>
                <w:rStyle w:val="Hyperlink"/>
                <w:rFonts w:ascii="Arial" w:hAnsi="Arial" w:cs="Arial"/>
                <w:noProof/>
              </w:rPr>
              <w:t>5.1.4</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Assumptions for the PV system sub-project</w:t>
            </w:r>
            <w:r>
              <w:rPr>
                <w:noProof/>
                <w:webHidden/>
              </w:rPr>
              <w:tab/>
            </w:r>
            <w:r>
              <w:rPr>
                <w:noProof/>
                <w:webHidden/>
              </w:rPr>
              <w:fldChar w:fldCharType="begin"/>
            </w:r>
            <w:r>
              <w:rPr>
                <w:noProof/>
                <w:webHidden/>
              </w:rPr>
              <w:instrText xml:space="preserve"> PAGEREF _Toc464551516 \h </w:instrText>
            </w:r>
            <w:r>
              <w:rPr>
                <w:noProof/>
                <w:webHidden/>
              </w:rPr>
            </w:r>
            <w:r>
              <w:rPr>
                <w:noProof/>
                <w:webHidden/>
              </w:rPr>
              <w:fldChar w:fldCharType="separate"/>
            </w:r>
            <w:r>
              <w:rPr>
                <w:noProof/>
                <w:webHidden/>
              </w:rPr>
              <w:t>33</w:t>
            </w:r>
            <w:r>
              <w:rPr>
                <w:noProof/>
                <w:webHidden/>
              </w:rPr>
              <w:fldChar w:fldCharType="end"/>
            </w:r>
          </w:hyperlink>
        </w:p>
        <w:p w:rsidR="00D132E2" w:rsidRDefault="00D132E2">
          <w:pPr>
            <w:pStyle w:val="TOC2"/>
            <w:tabs>
              <w:tab w:val="left" w:pos="1440"/>
            </w:tabs>
            <w:rPr>
              <w:rFonts w:asciiTheme="minorHAnsi" w:eastAsiaTheme="minorEastAsia" w:hAnsiTheme="minorHAnsi" w:cstheme="minorBidi"/>
              <w:noProof/>
              <w:sz w:val="22"/>
              <w:szCs w:val="22"/>
              <w:lang w:eastAsia="en-US"/>
            </w:rPr>
          </w:pPr>
          <w:hyperlink w:anchor="_Toc464551517" w:history="1">
            <w:r w:rsidRPr="00521199">
              <w:rPr>
                <w:rStyle w:val="Hyperlink"/>
                <w:rFonts w:ascii="Arial" w:hAnsi="Arial" w:cs="Arial"/>
                <w:noProof/>
              </w:rPr>
              <w:t>5.2</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Economic Costs, Economic Benefits, and Net Economic Benefits of the PV system sub-project</w:t>
            </w:r>
            <w:r>
              <w:rPr>
                <w:noProof/>
                <w:webHidden/>
              </w:rPr>
              <w:tab/>
            </w:r>
            <w:r>
              <w:rPr>
                <w:noProof/>
                <w:webHidden/>
              </w:rPr>
              <w:fldChar w:fldCharType="begin"/>
            </w:r>
            <w:r>
              <w:rPr>
                <w:noProof/>
                <w:webHidden/>
              </w:rPr>
              <w:instrText xml:space="preserve"> PAGEREF _Toc464551517 \h </w:instrText>
            </w:r>
            <w:r>
              <w:rPr>
                <w:noProof/>
                <w:webHidden/>
              </w:rPr>
            </w:r>
            <w:r>
              <w:rPr>
                <w:noProof/>
                <w:webHidden/>
              </w:rPr>
              <w:fldChar w:fldCharType="separate"/>
            </w:r>
            <w:r>
              <w:rPr>
                <w:noProof/>
                <w:webHidden/>
              </w:rPr>
              <w:t>34</w:t>
            </w:r>
            <w:r>
              <w:rPr>
                <w:noProof/>
                <w:webHidden/>
              </w:rPr>
              <w:fldChar w:fldCharType="end"/>
            </w:r>
          </w:hyperlink>
        </w:p>
        <w:p w:rsidR="00D132E2" w:rsidRDefault="00D132E2">
          <w:pPr>
            <w:pStyle w:val="TOC2"/>
            <w:tabs>
              <w:tab w:val="left" w:pos="1440"/>
            </w:tabs>
            <w:rPr>
              <w:rFonts w:asciiTheme="minorHAnsi" w:eastAsiaTheme="minorEastAsia" w:hAnsiTheme="minorHAnsi" w:cstheme="minorBidi"/>
              <w:noProof/>
              <w:sz w:val="22"/>
              <w:szCs w:val="22"/>
              <w:lang w:eastAsia="en-US"/>
            </w:rPr>
          </w:pPr>
          <w:hyperlink w:anchor="_Toc464551518" w:history="1">
            <w:r w:rsidRPr="00521199">
              <w:rPr>
                <w:rStyle w:val="Hyperlink"/>
                <w:rFonts w:ascii="Arial" w:hAnsi="Arial" w:cs="Arial"/>
                <w:noProof/>
              </w:rPr>
              <w:t>5.3</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Sensitivity Analysis of the PV system sub-project</w:t>
            </w:r>
            <w:r>
              <w:rPr>
                <w:noProof/>
                <w:webHidden/>
              </w:rPr>
              <w:tab/>
            </w:r>
            <w:r>
              <w:rPr>
                <w:noProof/>
                <w:webHidden/>
              </w:rPr>
              <w:fldChar w:fldCharType="begin"/>
            </w:r>
            <w:r>
              <w:rPr>
                <w:noProof/>
                <w:webHidden/>
              </w:rPr>
              <w:instrText xml:space="preserve"> PAGEREF _Toc464551518 \h </w:instrText>
            </w:r>
            <w:r>
              <w:rPr>
                <w:noProof/>
                <w:webHidden/>
              </w:rPr>
            </w:r>
            <w:r>
              <w:rPr>
                <w:noProof/>
                <w:webHidden/>
              </w:rPr>
              <w:fldChar w:fldCharType="separate"/>
            </w:r>
            <w:r>
              <w:rPr>
                <w:noProof/>
                <w:webHidden/>
              </w:rPr>
              <w:t>34</w:t>
            </w:r>
            <w:r>
              <w:rPr>
                <w:noProof/>
                <w:webHidden/>
              </w:rPr>
              <w:fldChar w:fldCharType="end"/>
            </w:r>
          </w:hyperlink>
        </w:p>
        <w:p w:rsidR="00D132E2" w:rsidRDefault="00D132E2">
          <w:pPr>
            <w:pStyle w:val="TOC1"/>
            <w:rPr>
              <w:rFonts w:asciiTheme="minorHAnsi" w:eastAsiaTheme="minorEastAsia" w:hAnsiTheme="minorHAnsi" w:cstheme="minorBidi"/>
              <w:b w:val="0"/>
              <w:noProof/>
              <w:sz w:val="22"/>
              <w:szCs w:val="22"/>
              <w:lang w:eastAsia="en-US"/>
            </w:rPr>
          </w:pPr>
          <w:hyperlink w:anchor="_Toc464551519" w:history="1">
            <w:r w:rsidRPr="00521199">
              <w:rPr>
                <w:rStyle w:val="Hyperlink"/>
                <w:rFonts w:ascii="Arial" w:hAnsi="Arial" w:cs="Arial"/>
                <w:noProof/>
              </w:rPr>
              <w:t>6</w:t>
            </w:r>
            <w:r>
              <w:rPr>
                <w:rFonts w:asciiTheme="minorHAnsi" w:eastAsiaTheme="minorEastAsia" w:hAnsiTheme="minorHAnsi" w:cstheme="minorBidi"/>
                <w:b w:val="0"/>
                <w:noProof/>
                <w:sz w:val="22"/>
                <w:szCs w:val="22"/>
                <w:lang w:eastAsia="en-US"/>
              </w:rPr>
              <w:tab/>
            </w:r>
            <w:r w:rsidRPr="00521199">
              <w:rPr>
                <w:rStyle w:val="Hyperlink"/>
                <w:rFonts w:ascii="Arial" w:hAnsi="Arial" w:cs="Arial"/>
                <w:noProof/>
              </w:rPr>
              <w:t>Cost Benefit Analysis of the Very Small LNG terminal</w:t>
            </w:r>
            <w:r>
              <w:rPr>
                <w:noProof/>
                <w:webHidden/>
              </w:rPr>
              <w:tab/>
            </w:r>
            <w:r>
              <w:rPr>
                <w:noProof/>
                <w:webHidden/>
              </w:rPr>
              <w:fldChar w:fldCharType="begin"/>
            </w:r>
            <w:r>
              <w:rPr>
                <w:noProof/>
                <w:webHidden/>
              </w:rPr>
              <w:instrText xml:space="preserve"> PAGEREF _Toc464551519 \h </w:instrText>
            </w:r>
            <w:r>
              <w:rPr>
                <w:noProof/>
                <w:webHidden/>
              </w:rPr>
            </w:r>
            <w:r>
              <w:rPr>
                <w:noProof/>
                <w:webHidden/>
              </w:rPr>
              <w:fldChar w:fldCharType="separate"/>
            </w:r>
            <w:r>
              <w:rPr>
                <w:noProof/>
                <w:webHidden/>
              </w:rPr>
              <w:t>38</w:t>
            </w:r>
            <w:r>
              <w:rPr>
                <w:noProof/>
                <w:webHidden/>
              </w:rPr>
              <w:fldChar w:fldCharType="end"/>
            </w:r>
          </w:hyperlink>
        </w:p>
        <w:p w:rsidR="00D132E2" w:rsidRDefault="00D132E2">
          <w:pPr>
            <w:pStyle w:val="TOC2"/>
            <w:tabs>
              <w:tab w:val="left" w:pos="1440"/>
            </w:tabs>
            <w:rPr>
              <w:rFonts w:asciiTheme="minorHAnsi" w:eastAsiaTheme="minorEastAsia" w:hAnsiTheme="minorHAnsi" w:cstheme="minorBidi"/>
              <w:noProof/>
              <w:sz w:val="22"/>
              <w:szCs w:val="22"/>
              <w:lang w:eastAsia="en-US"/>
            </w:rPr>
          </w:pPr>
          <w:hyperlink w:anchor="_Toc464551520" w:history="1">
            <w:r w:rsidRPr="00521199">
              <w:rPr>
                <w:rStyle w:val="Hyperlink"/>
                <w:rFonts w:ascii="Arial" w:hAnsi="Arial" w:cs="Arial"/>
                <w:noProof/>
              </w:rPr>
              <w:t>6.1</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Methodology and Assumptions</w:t>
            </w:r>
            <w:r>
              <w:rPr>
                <w:noProof/>
                <w:webHidden/>
              </w:rPr>
              <w:tab/>
            </w:r>
            <w:r>
              <w:rPr>
                <w:noProof/>
                <w:webHidden/>
              </w:rPr>
              <w:fldChar w:fldCharType="begin"/>
            </w:r>
            <w:r>
              <w:rPr>
                <w:noProof/>
                <w:webHidden/>
              </w:rPr>
              <w:instrText xml:space="preserve"> PAGEREF _Toc464551520 \h </w:instrText>
            </w:r>
            <w:r>
              <w:rPr>
                <w:noProof/>
                <w:webHidden/>
              </w:rPr>
            </w:r>
            <w:r>
              <w:rPr>
                <w:noProof/>
                <w:webHidden/>
              </w:rPr>
              <w:fldChar w:fldCharType="separate"/>
            </w:r>
            <w:r>
              <w:rPr>
                <w:noProof/>
                <w:webHidden/>
              </w:rPr>
              <w:t>38</w:t>
            </w:r>
            <w:r>
              <w:rPr>
                <w:noProof/>
                <w:webHidden/>
              </w:rPr>
              <w:fldChar w:fldCharType="end"/>
            </w:r>
          </w:hyperlink>
        </w:p>
        <w:p w:rsidR="00D132E2" w:rsidRDefault="00D132E2">
          <w:pPr>
            <w:pStyle w:val="TOC3"/>
            <w:rPr>
              <w:rFonts w:asciiTheme="minorHAnsi" w:eastAsiaTheme="minorEastAsia" w:hAnsiTheme="minorHAnsi" w:cstheme="minorBidi"/>
              <w:noProof/>
              <w:sz w:val="22"/>
              <w:szCs w:val="22"/>
              <w:lang w:eastAsia="en-US"/>
            </w:rPr>
          </w:pPr>
          <w:hyperlink w:anchor="_Toc464551521" w:history="1">
            <w:r w:rsidRPr="00521199">
              <w:rPr>
                <w:rStyle w:val="Hyperlink"/>
                <w:rFonts w:ascii="Arial" w:hAnsi="Arial" w:cs="Arial"/>
                <w:noProof/>
              </w:rPr>
              <w:t>6.1.1</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Economic costs of the VS LNG terminal</w:t>
            </w:r>
            <w:r>
              <w:rPr>
                <w:noProof/>
                <w:webHidden/>
              </w:rPr>
              <w:tab/>
            </w:r>
            <w:r>
              <w:rPr>
                <w:noProof/>
                <w:webHidden/>
              </w:rPr>
              <w:fldChar w:fldCharType="begin"/>
            </w:r>
            <w:r>
              <w:rPr>
                <w:noProof/>
                <w:webHidden/>
              </w:rPr>
              <w:instrText xml:space="preserve"> PAGEREF _Toc464551521 \h </w:instrText>
            </w:r>
            <w:r>
              <w:rPr>
                <w:noProof/>
                <w:webHidden/>
              </w:rPr>
            </w:r>
            <w:r>
              <w:rPr>
                <w:noProof/>
                <w:webHidden/>
              </w:rPr>
              <w:fldChar w:fldCharType="separate"/>
            </w:r>
            <w:r>
              <w:rPr>
                <w:noProof/>
                <w:webHidden/>
              </w:rPr>
              <w:t>39</w:t>
            </w:r>
            <w:r>
              <w:rPr>
                <w:noProof/>
                <w:webHidden/>
              </w:rPr>
              <w:fldChar w:fldCharType="end"/>
            </w:r>
          </w:hyperlink>
        </w:p>
        <w:p w:rsidR="00D132E2" w:rsidRDefault="00D132E2">
          <w:pPr>
            <w:pStyle w:val="TOC3"/>
            <w:rPr>
              <w:rFonts w:asciiTheme="minorHAnsi" w:eastAsiaTheme="minorEastAsia" w:hAnsiTheme="minorHAnsi" w:cstheme="minorBidi"/>
              <w:noProof/>
              <w:sz w:val="22"/>
              <w:szCs w:val="22"/>
              <w:lang w:eastAsia="en-US"/>
            </w:rPr>
          </w:pPr>
          <w:hyperlink w:anchor="_Toc464551522" w:history="1">
            <w:r w:rsidRPr="00521199">
              <w:rPr>
                <w:rStyle w:val="Hyperlink"/>
                <w:rFonts w:ascii="Arial" w:hAnsi="Arial" w:cs="Arial"/>
                <w:noProof/>
              </w:rPr>
              <w:t>6.1.2</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Economic benefits of the VS LNG terminal</w:t>
            </w:r>
            <w:r>
              <w:rPr>
                <w:noProof/>
                <w:webHidden/>
              </w:rPr>
              <w:tab/>
            </w:r>
            <w:r>
              <w:rPr>
                <w:noProof/>
                <w:webHidden/>
              </w:rPr>
              <w:fldChar w:fldCharType="begin"/>
            </w:r>
            <w:r>
              <w:rPr>
                <w:noProof/>
                <w:webHidden/>
              </w:rPr>
              <w:instrText xml:space="preserve"> PAGEREF _Toc464551522 \h </w:instrText>
            </w:r>
            <w:r>
              <w:rPr>
                <w:noProof/>
                <w:webHidden/>
              </w:rPr>
            </w:r>
            <w:r>
              <w:rPr>
                <w:noProof/>
                <w:webHidden/>
              </w:rPr>
              <w:fldChar w:fldCharType="separate"/>
            </w:r>
            <w:r>
              <w:rPr>
                <w:noProof/>
                <w:webHidden/>
              </w:rPr>
              <w:t>40</w:t>
            </w:r>
            <w:r>
              <w:rPr>
                <w:noProof/>
                <w:webHidden/>
              </w:rPr>
              <w:fldChar w:fldCharType="end"/>
            </w:r>
          </w:hyperlink>
        </w:p>
        <w:p w:rsidR="00D132E2" w:rsidRDefault="00D132E2">
          <w:pPr>
            <w:pStyle w:val="TOC3"/>
            <w:rPr>
              <w:rFonts w:asciiTheme="minorHAnsi" w:eastAsiaTheme="minorEastAsia" w:hAnsiTheme="minorHAnsi" w:cstheme="minorBidi"/>
              <w:noProof/>
              <w:sz w:val="22"/>
              <w:szCs w:val="22"/>
              <w:lang w:eastAsia="en-US"/>
            </w:rPr>
          </w:pPr>
          <w:hyperlink w:anchor="_Toc464551523" w:history="1">
            <w:r w:rsidRPr="00521199">
              <w:rPr>
                <w:rStyle w:val="Hyperlink"/>
                <w:rFonts w:ascii="Arial" w:hAnsi="Arial" w:cs="Arial"/>
                <w:noProof/>
              </w:rPr>
              <w:t>6.1.3</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Net Economic Benefits of the VS LNG sub-project</w:t>
            </w:r>
            <w:r>
              <w:rPr>
                <w:noProof/>
                <w:webHidden/>
              </w:rPr>
              <w:tab/>
            </w:r>
            <w:r>
              <w:rPr>
                <w:noProof/>
                <w:webHidden/>
              </w:rPr>
              <w:fldChar w:fldCharType="begin"/>
            </w:r>
            <w:r>
              <w:rPr>
                <w:noProof/>
                <w:webHidden/>
              </w:rPr>
              <w:instrText xml:space="preserve"> PAGEREF _Toc464551523 \h </w:instrText>
            </w:r>
            <w:r>
              <w:rPr>
                <w:noProof/>
                <w:webHidden/>
              </w:rPr>
            </w:r>
            <w:r>
              <w:rPr>
                <w:noProof/>
                <w:webHidden/>
              </w:rPr>
              <w:fldChar w:fldCharType="separate"/>
            </w:r>
            <w:r>
              <w:rPr>
                <w:noProof/>
                <w:webHidden/>
              </w:rPr>
              <w:t>40</w:t>
            </w:r>
            <w:r>
              <w:rPr>
                <w:noProof/>
                <w:webHidden/>
              </w:rPr>
              <w:fldChar w:fldCharType="end"/>
            </w:r>
          </w:hyperlink>
        </w:p>
        <w:p w:rsidR="00D132E2" w:rsidRDefault="00D132E2">
          <w:pPr>
            <w:pStyle w:val="TOC3"/>
            <w:rPr>
              <w:rFonts w:asciiTheme="minorHAnsi" w:eastAsiaTheme="minorEastAsia" w:hAnsiTheme="minorHAnsi" w:cstheme="minorBidi"/>
              <w:noProof/>
              <w:sz w:val="22"/>
              <w:szCs w:val="22"/>
              <w:lang w:eastAsia="en-US"/>
            </w:rPr>
          </w:pPr>
          <w:hyperlink w:anchor="_Toc464551524" w:history="1">
            <w:r w:rsidRPr="00521199">
              <w:rPr>
                <w:rStyle w:val="Hyperlink"/>
                <w:rFonts w:ascii="Arial" w:hAnsi="Arial" w:cs="Arial"/>
                <w:noProof/>
              </w:rPr>
              <w:t>6.1.4</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Assumptions for the VS LNG terminal</w:t>
            </w:r>
            <w:r>
              <w:rPr>
                <w:noProof/>
                <w:webHidden/>
              </w:rPr>
              <w:tab/>
            </w:r>
            <w:r>
              <w:rPr>
                <w:noProof/>
                <w:webHidden/>
              </w:rPr>
              <w:fldChar w:fldCharType="begin"/>
            </w:r>
            <w:r>
              <w:rPr>
                <w:noProof/>
                <w:webHidden/>
              </w:rPr>
              <w:instrText xml:space="preserve"> PAGEREF _Toc464551524 \h </w:instrText>
            </w:r>
            <w:r>
              <w:rPr>
                <w:noProof/>
                <w:webHidden/>
              </w:rPr>
            </w:r>
            <w:r>
              <w:rPr>
                <w:noProof/>
                <w:webHidden/>
              </w:rPr>
              <w:fldChar w:fldCharType="separate"/>
            </w:r>
            <w:r>
              <w:rPr>
                <w:noProof/>
                <w:webHidden/>
              </w:rPr>
              <w:t>40</w:t>
            </w:r>
            <w:r>
              <w:rPr>
                <w:noProof/>
                <w:webHidden/>
              </w:rPr>
              <w:fldChar w:fldCharType="end"/>
            </w:r>
          </w:hyperlink>
        </w:p>
        <w:p w:rsidR="00D132E2" w:rsidRDefault="00D132E2">
          <w:pPr>
            <w:pStyle w:val="TOC2"/>
            <w:tabs>
              <w:tab w:val="left" w:pos="1440"/>
            </w:tabs>
            <w:rPr>
              <w:rFonts w:asciiTheme="minorHAnsi" w:eastAsiaTheme="minorEastAsia" w:hAnsiTheme="minorHAnsi" w:cstheme="minorBidi"/>
              <w:noProof/>
              <w:sz w:val="22"/>
              <w:szCs w:val="22"/>
              <w:lang w:eastAsia="en-US"/>
            </w:rPr>
          </w:pPr>
          <w:hyperlink w:anchor="_Toc464551525" w:history="1">
            <w:r w:rsidRPr="00521199">
              <w:rPr>
                <w:rStyle w:val="Hyperlink"/>
                <w:rFonts w:ascii="Arial" w:hAnsi="Arial" w:cs="Arial"/>
                <w:noProof/>
              </w:rPr>
              <w:t>6.2</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Economic Costs, Economic Benefits, and Net Economic Benefits of the VS LNG terminal</w:t>
            </w:r>
            <w:r>
              <w:rPr>
                <w:noProof/>
                <w:webHidden/>
              </w:rPr>
              <w:tab/>
            </w:r>
            <w:r>
              <w:rPr>
                <w:noProof/>
                <w:webHidden/>
              </w:rPr>
              <w:fldChar w:fldCharType="begin"/>
            </w:r>
            <w:r>
              <w:rPr>
                <w:noProof/>
                <w:webHidden/>
              </w:rPr>
              <w:instrText xml:space="preserve"> PAGEREF _Toc464551525 \h </w:instrText>
            </w:r>
            <w:r>
              <w:rPr>
                <w:noProof/>
                <w:webHidden/>
              </w:rPr>
            </w:r>
            <w:r>
              <w:rPr>
                <w:noProof/>
                <w:webHidden/>
              </w:rPr>
              <w:fldChar w:fldCharType="separate"/>
            </w:r>
            <w:r>
              <w:rPr>
                <w:noProof/>
                <w:webHidden/>
              </w:rPr>
              <w:t>42</w:t>
            </w:r>
            <w:r>
              <w:rPr>
                <w:noProof/>
                <w:webHidden/>
              </w:rPr>
              <w:fldChar w:fldCharType="end"/>
            </w:r>
          </w:hyperlink>
        </w:p>
        <w:p w:rsidR="00D132E2" w:rsidRDefault="00D132E2">
          <w:pPr>
            <w:pStyle w:val="TOC2"/>
            <w:tabs>
              <w:tab w:val="left" w:pos="1440"/>
            </w:tabs>
            <w:rPr>
              <w:rFonts w:asciiTheme="minorHAnsi" w:eastAsiaTheme="minorEastAsia" w:hAnsiTheme="minorHAnsi" w:cstheme="minorBidi"/>
              <w:noProof/>
              <w:sz w:val="22"/>
              <w:szCs w:val="22"/>
              <w:lang w:eastAsia="en-US"/>
            </w:rPr>
          </w:pPr>
          <w:hyperlink w:anchor="_Toc464551526" w:history="1">
            <w:r w:rsidRPr="00521199">
              <w:rPr>
                <w:rStyle w:val="Hyperlink"/>
                <w:rFonts w:ascii="Arial" w:hAnsi="Arial" w:cs="Arial"/>
                <w:noProof/>
              </w:rPr>
              <w:t>6.3</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Sensitivity Analysis of the VS LNG terminal</w:t>
            </w:r>
            <w:r>
              <w:rPr>
                <w:noProof/>
                <w:webHidden/>
              </w:rPr>
              <w:tab/>
            </w:r>
            <w:r>
              <w:rPr>
                <w:noProof/>
                <w:webHidden/>
              </w:rPr>
              <w:fldChar w:fldCharType="begin"/>
            </w:r>
            <w:r>
              <w:rPr>
                <w:noProof/>
                <w:webHidden/>
              </w:rPr>
              <w:instrText xml:space="preserve"> PAGEREF _Toc464551526 \h </w:instrText>
            </w:r>
            <w:r>
              <w:rPr>
                <w:noProof/>
                <w:webHidden/>
              </w:rPr>
            </w:r>
            <w:r>
              <w:rPr>
                <w:noProof/>
                <w:webHidden/>
              </w:rPr>
              <w:fldChar w:fldCharType="separate"/>
            </w:r>
            <w:r>
              <w:rPr>
                <w:noProof/>
                <w:webHidden/>
              </w:rPr>
              <w:t>42</w:t>
            </w:r>
            <w:r>
              <w:rPr>
                <w:noProof/>
                <w:webHidden/>
              </w:rPr>
              <w:fldChar w:fldCharType="end"/>
            </w:r>
          </w:hyperlink>
        </w:p>
        <w:p w:rsidR="00D132E2" w:rsidRDefault="00D132E2">
          <w:pPr>
            <w:pStyle w:val="TOC1"/>
            <w:rPr>
              <w:rFonts w:asciiTheme="minorHAnsi" w:eastAsiaTheme="minorEastAsia" w:hAnsiTheme="minorHAnsi" w:cstheme="minorBidi"/>
              <w:b w:val="0"/>
              <w:noProof/>
              <w:sz w:val="22"/>
              <w:szCs w:val="22"/>
              <w:lang w:eastAsia="en-US"/>
            </w:rPr>
          </w:pPr>
          <w:hyperlink w:anchor="_Toc464551527" w:history="1">
            <w:r w:rsidRPr="00521199">
              <w:rPr>
                <w:rStyle w:val="Hyperlink"/>
                <w:rFonts w:ascii="Arial" w:hAnsi="Arial" w:cs="Arial"/>
                <w:noProof/>
              </w:rPr>
              <w:t>7</w:t>
            </w:r>
            <w:r>
              <w:rPr>
                <w:rFonts w:asciiTheme="minorHAnsi" w:eastAsiaTheme="minorEastAsia" w:hAnsiTheme="minorHAnsi" w:cstheme="minorBidi"/>
                <w:b w:val="0"/>
                <w:noProof/>
                <w:sz w:val="22"/>
                <w:szCs w:val="22"/>
                <w:lang w:eastAsia="en-US"/>
              </w:rPr>
              <w:tab/>
            </w:r>
            <w:r w:rsidRPr="00521199">
              <w:rPr>
                <w:rStyle w:val="Hyperlink"/>
                <w:rFonts w:ascii="Arial" w:hAnsi="Arial" w:cs="Arial"/>
                <w:noProof/>
              </w:rPr>
              <w:t>Cost Benefit Analysis of All Sub-Projects</w:t>
            </w:r>
            <w:r>
              <w:rPr>
                <w:noProof/>
                <w:webHidden/>
              </w:rPr>
              <w:tab/>
            </w:r>
            <w:r>
              <w:rPr>
                <w:noProof/>
                <w:webHidden/>
              </w:rPr>
              <w:fldChar w:fldCharType="begin"/>
            </w:r>
            <w:r>
              <w:rPr>
                <w:noProof/>
                <w:webHidden/>
              </w:rPr>
              <w:instrText xml:space="preserve"> PAGEREF _Toc464551527 \h </w:instrText>
            </w:r>
            <w:r>
              <w:rPr>
                <w:noProof/>
                <w:webHidden/>
              </w:rPr>
            </w:r>
            <w:r>
              <w:rPr>
                <w:noProof/>
                <w:webHidden/>
              </w:rPr>
              <w:fldChar w:fldCharType="separate"/>
            </w:r>
            <w:r>
              <w:rPr>
                <w:noProof/>
                <w:webHidden/>
              </w:rPr>
              <w:t>44</w:t>
            </w:r>
            <w:r>
              <w:rPr>
                <w:noProof/>
                <w:webHidden/>
              </w:rPr>
              <w:fldChar w:fldCharType="end"/>
            </w:r>
          </w:hyperlink>
        </w:p>
        <w:p w:rsidR="00D132E2" w:rsidRDefault="00D132E2">
          <w:pPr>
            <w:pStyle w:val="TOC2"/>
            <w:tabs>
              <w:tab w:val="left" w:pos="1440"/>
            </w:tabs>
            <w:rPr>
              <w:rFonts w:asciiTheme="minorHAnsi" w:eastAsiaTheme="minorEastAsia" w:hAnsiTheme="minorHAnsi" w:cstheme="minorBidi"/>
              <w:noProof/>
              <w:sz w:val="22"/>
              <w:szCs w:val="22"/>
              <w:lang w:eastAsia="en-US"/>
            </w:rPr>
          </w:pPr>
          <w:hyperlink w:anchor="_Toc464551528" w:history="1">
            <w:r w:rsidRPr="00521199">
              <w:rPr>
                <w:rStyle w:val="Hyperlink"/>
                <w:rFonts w:ascii="Arial" w:hAnsi="Arial" w:cs="Arial"/>
                <w:noProof/>
              </w:rPr>
              <w:t>7.1</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Total Project with the VS LNG</w:t>
            </w:r>
            <w:r>
              <w:rPr>
                <w:noProof/>
                <w:webHidden/>
              </w:rPr>
              <w:tab/>
            </w:r>
            <w:r>
              <w:rPr>
                <w:noProof/>
                <w:webHidden/>
              </w:rPr>
              <w:fldChar w:fldCharType="begin"/>
            </w:r>
            <w:r>
              <w:rPr>
                <w:noProof/>
                <w:webHidden/>
              </w:rPr>
              <w:instrText xml:space="preserve"> PAGEREF _Toc464551528 \h </w:instrText>
            </w:r>
            <w:r>
              <w:rPr>
                <w:noProof/>
                <w:webHidden/>
              </w:rPr>
            </w:r>
            <w:r>
              <w:rPr>
                <w:noProof/>
                <w:webHidden/>
              </w:rPr>
              <w:fldChar w:fldCharType="separate"/>
            </w:r>
            <w:r>
              <w:rPr>
                <w:noProof/>
                <w:webHidden/>
              </w:rPr>
              <w:t>45</w:t>
            </w:r>
            <w:r>
              <w:rPr>
                <w:noProof/>
                <w:webHidden/>
              </w:rPr>
              <w:fldChar w:fldCharType="end"/>
            </w:r>
          </w:hyperlink>
        </w:p>
        <w:p w:rsidR="00D132E2" w:rsidRDefault="00D132E2">
          <w:pPr>
            <w:pStyle w:val="TOC1"/>
            <w:rPr>
              <w:rFonts w:asciiTheme="minorHAnsi" w:eastAsiaTheme="minorEastAsia" w:hAnsiTheme="minorHAnsi" w:cstheme="minorBidi"/>
              <w:b w:val="0"/>
              <w:noProof/>
              <w:sz w:val="22"/>
              <w:szCs w:val="22"/>
              <w:lang w:eastAsia="en-US"/>
            </w:rPr>
          </w:pPr>
          <w:hyperlink w:anchor="_Toc464551529" w:history="1">
            <w:r w:rsidRPr="00521199">
              <w:rPr>
                <w:rStyle w:val="Hyperlink"/>
                <w:rFonts w:ascii="Arial" w:hAnsi="Arial" w:cs="Arial"/>
                <w:noProof/>
              </w:rPr>
              <w:t>8</w:t>
            </w:r>
            <w:r>
              <w:rPr>
                <w:rFonts w:asciiTheme="minorHAnsi" w:eastAsiaTheme="minorEastAsia" w:hAnsiTheme="minorHAnsi" w:cstheme="minorBidi"/>
                <w:b w:val="0"/>
                <w:noProof/>
                <w:sz w:val="22"/>
                <w:szCs w:val="22"/>
                <w:lang w:eastAsia="en-US"/>
              </w:rPr>
              <w:tab/>
            </w:r>
            <w:r w:rsidRPr="00521199">
              <w:rPr>
                <w:rStyle w:val="Hyperlink"/>
                <w:rFonts w:ascii="Arial" w:hAnsi="Arial" w:cs="Arial"/>
                <w:noProof/>
              </w:rPr>
              <w:t>Introduction</w:t>
            </w:r>
            <w:r>
              <w:rPr>
                <w:noProof/>
                <w:webHidden/>
              </w:rPr>
              <w:tab/>
            </w:r>
            <w:r>
              <w:rPr>
                <w:noProof/>
                <w:webHidden/>
              </w:rPr>
              <w:fldChar w:fldCharType="begin"/>
            </w:r>
            <w:r>
              <w:rPr>
                <w:noProof/>
                <w:webHidden/>
              </w:rPr>
              <w:instrText xml:space="preserve"> PAGEREF _Toc464551529 \h </w:instrText>
            </w:r>
            <w:r>
              <w:rPr>
                <w:noProof/>
                <w:webHidden/>
              </w:rPr>
            </w:r>
            <w:r>
              <w:rPr>
                <w:noProof/>
                <w:webHidden/>
              </w:rPr>
              <w:fldChar w:fldCharType="separate"/>
            </w:r>
            <w:r>
              <w:rPr>
                <w:noProof/>
                <w:webHidden/>
              </w:rPr>
              <w:t>48</w:t>
            </w:r>
            <w:r>
              <w:rPr>
                <w:noProof/>
                <w:webHidden/>
              </w:rPr>
              <w:fldChar w:fldCharType="end"/>
            </w:r>
          </w:hyperlink>
        </w:p>
        <w:p w:rsidR="00D132E2" w:rsidRDefault="00D132E2">
          <w:pPr>
            <w:pStyle w:val="TOC2"/>
            <w:tabs>
              <w:tab w:val="left" w:pos="1440"/>
            </w:tabs>
            <w:rPr>
              <w:rFonts w:asciiTheme="minorHAnsi" w:eastAsiaTheme="minorEastAsia" w:hAnsiTheme="minorHAnsi" w:cstheme="minorBidi"/>
              <w:noProof/>
              <w:sz w:val="22"/>
              <w:szCs w:val="22"/>
              <w:lang w:eastAsia="en-US"/>
            </w:rPr>
          </w:pPr>
          <w:hyperlink w:anchor="_Toc464551530" w:history="1">
            <w:r w:rsidRPr="00521199">
              <w:rPr>
                <w:rStyle w:val="Hyperlink"/>
                <w:rFonts w:ascii="Arial" w:hAnsi="Arial" w:cs="Arial"/>
                <w:noProof/>
              </w:rPr>
              <w:t>8.1</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Financial Analysis Variables and Assumptions</w:t>
            </w:r>
            <w:r>
              <w:rPr>
                <w:noProof/>
                <w:webHidden/>
              </w:rPr>
              <w:tab/>
            </w:r>
            <w:r>
              <w:rPr>
                <w:noProof/>
                <w:webHidden/>
              </w:rPr>
              <w:fldChar w:fldCharType="begin"/>
            </w:r>
            <w:r>
              <w:rPr>
                <w:noProof/>
                <w:webHidden/>
              </w:rPr>
              <w:instrText xml:space="preserve"> PAGEREF _Toc464551530 \h </w:instrText>
            </w:r>
            <w:r>
              <w:rPr>
                <w:noProof/>
                <w:webHidden/>
              </w:rPr>
            </w:r>
            <w:r>
              <w:rPr>
                <w:noProof/>
                <w:webHidden/>
              </w:rPr>
              <w:fldChar w:fldCharType="separate"/>
            </w:r>
            <w:r>
              <w:rPr>
                <w:noProof/>
                <w:webHidden/>
              </w:rPr>
              <w:t>49</w:t>
            </w:r>
            <w:r>
              <w:rPr>
                <w:noProof/>
                <w:webHidden/>
              </w:rPr>
              <w:fldChar w:fldCharType="end"/>
            </w:r>
          </w:hyperlink>
        </w:p>
        <w:p w:rsidR="00D132E2" w:rsidRDefault="00D132E2">
          <w:pPr>
            <w:pStyle w:val="TOC1"/>
            <w:rPr>
              <w:rFonts w:asciiTheme="minorHAnsi" w:eastAsiaTheme="minorEastAsia" w:hAnsiTheme="minorHAnsi" w:cstheme="minorBidi"/>
              <w:b w:val="0"/>
              <w:noProof/>
              <w:sz w:val="22"/>
              <w:szCs w:val="22"/>
              <w:lang w:eastAsia="en-US"/>
            </w:rPr>
          </w:pPr>
          <w:hyperlink w:anchor="_Toc464551531" w:history="1">
            <w:r w:rsidRPr="00521199">
              <w:rPr>
                <w:rStyle w:val="Hyperlink"/>
                <w:rFonts w:ascii="Arial" w:hAnsi="Arial" w:cs="Arial"/>
                <w:noProof/>
              </w:rPr>
              <w:t>9</w:t>
            </w:r>
            <w:r>
              <w:rPr>
                <w:rFonts w:asciiTheme="minorHAnsi" w:eastAsiaTheme="minorEastAsia" w:hAnsiTheme="minorHAnsi" w:cstheme="minorBidi"/>
                <w:b w:val="0"/>
                <w:noProof/>
                <w:sz w:val="22"/>
                <w:szCs w:val="22"/>
                <w:lang w:eastAsia="en-US"/>
              </w:rPr>
              <w:tab/>
            </w:r>
            <w:r w:rsidRPr="00521199">
              <w:rPr>
                <w:rStyle w:val="Hyperlink"/>
                <w:rFonts w:ascii="Arial" w:hAnsi="Arial" w:cs="Arial"/>
                <w:noProof/>
              </w:rPr>
              <w:t>Financial Analysis of the Micro-LNG Facility Expansion Sub-Project</w:t>
            </w:r>
            <w:r>
              <w:rPr>
                <w:noProof/>
                <w:webHidden/>
              </w:rPr>
              <w:tab/>
            </w:r>
            <w:r>
              <w:rPr>
                <w:noProof/>
                <w:webHidden/>
              </w:rPr>
              <w:fldChar w:fldCharType="begin"/>
            </w:r>
            <w:r>
              <w:rPr>
                <w:noProof/>
                <w:webHidden/>
              </w:rPr>
              <w:instrText xml:space="preserve"> PAGEREF _Toc464551531 \h </w:instrText>
            </w:r>
            <w:r>
              <w:rPr>
                <w:noProof/>
                <w:webHidden/>
              </w:rPr>
            </w:r>
            <w:r>
              <w:rPr>
                <w:noProof/>
                <w:webHidden/>
              </w:rPr>
              <w:fldChar w:fldCharType="separate"/>
            </w:r>
            <w:r>
              <w:rPr>
                <w:noProof/>
                <w:webHidden/>
              </w:rPr>
              <w:t>50</w:t>
            </w:r>
            <w:r>
              <w:rPr>
                <w:noProof/>
                <w:webHidden/>
              </w:rPr>
              <w:fldChar w:fldCharType="end"/>
            </w:r>
          </w:hyperlink>
        </w:p>
        <w:p w:rsidR="00D132E2" w:rsidRDefault="00D132E2">
          <w:pPr>
            <w:pStyle w:val="TOC2"/>
            <w:tabs>
              <w:tab w:val="left" w:pos="1440"/>
            </w:tabs>
            <w:rPr>
              <w:rFonts w:asciiTheme="minorHAnsi" w:eastAsiaTheme="minorEastAsia" w:hAnsiTheme="minorHAnsi" w:cstheme="minorBidi"/>
              <w:noProof/>
              <w:sz w:val="22"/>
              <w:szCs w:val="22"/>
              <w:lang w:eastAsia="en-US"/>
            </w:rPr>
          </w:pPr>
          <w:hyperlink w:anchor="_Toc464551532" w:history="1">
            <w:r w:rsidRPr="00521199">
              <w:rPr>
                <w:rStyle w:val="Hyperlink"/>
                <w:rFonts w:ascii="Arial" w:hAnsi="Arial" w:cs="Arial"/>
                <w:noProof/>
              </w:rPr>
              <w:t>9.1</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Financial Analysis</w:t>
            </w:r>
            <w:r>
              <w:rPr>
                <w:noProof/>
                <w:webHidden/>
              </w:rPr>
              <w:tab/>
            </w:r>
            <w:r>
              <w:rPr>
                <w:noProof/>
                <w:webHidden/>
              </w:rPr>
              <w:fldChar w:fldCharType="begin"/>
            </w:r>
            <w:r>
              <w:rPr>
                <w:noProof/>
                <w:webHidden/>
              </w:rPr>
              <w:instrText xml:space="preserve"> PAGEREF _Toc464551532 \h </w:instrText>
            </w:r>
            <w:r>
              <w:rPr>
                <w:noProof/>
                <w:webHidden/>
              </w:rPr>
            </w:r>
            <w:r>
              <w:rPr>
                <w:noProof/>
                <w:webHidden/>
              </w:rPr>
              <w:fldChar w:fldCharType="separate"/>
            </w:r>
            <w:r>
              <w:rPr>
                <w:noProof/>
                <w:webHidden/>
              </w:rPr>
              <w:t>50</w:t>
            </w:r>
            <w:r>
              <w:rPr>
                <w:noProof/>
                <w:webHidden/>
              </w:rPr>
              <w:fldChar w:fldCharType="end"/>
            </w:r>
          </w:hyperlink>
        </w:p>
        <w:p w:rsidR="00D132E2" w:rsidRDefault="00D132E2">
          <w:pPr>
            <w:pStyle w:val="TOC3"/>
            <w:rPr>
              <w:rFonts w:asciiTheme="minorHAnsi" w:eastAsiaTheme="minorEastAsia" w:hAnsiTheme="minorHAnsi" w:cstheme="minorBidi"/>
              <w:noProof/>
              <w:sz w:val="22"/>
              <w:szCs w:val="22"/>
              <w:lang w:eastAsia="en-US"/>
            </w:rPr>
          </w:pPr>
          <w:hyperlink w:anchor="_Toc464551533" w:history="1">
            <w:r w:rsidRPr="00521199">
              <w:rPr>
                <w:rStyle w:val="Hyperlink"/>
                <w:rFonts w:ascii="Arial" w:hAnsi="Arial" w:cs="Arial"/>
                <w:noProof/>
              </w:rPr>
              <w:t>9.1.1</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Income of the micro-LNG expansion sub-project</w:t>
            </w:r>
            <w:r>
              <w:rPr>
                <w:noProof/>
                <w:webHidden/>
              </w:rPr>
              <w:tab/>
            </w:r>
            <w:r>
              <w:rPr>
                <w:noProof/>
                <w:webHidden/>
              </w:rPr>
              <w:fldChar w:fldCharType="begin"/>
            </w:r>
            <w:r>
              <w:rPr>
                <w:noProof/>
                <w:webHidden/>
              </w:rPr>
              <w:instrText xml:space="preserve"> PAGEREF _Toc464551533 \h </w:instrText>
            </w:r>
            <w:r>
              <w:rPr>
                <w:noProof/>
                <w:webHidden/>
              </w:rPr>
            </w:r>
            <w:r>
              <w:rPr>
                <w:noProof/>
                <w:webHidden/>
              </w:rPr>
              <w:fldChar w:fldCharType="separate"/>
            </w:r>
            <w:r>
              <w:rPr>
                <w:noProof/>
                <w:webHidden/>
              </w:rPr>
              <w:t>50</w:t>
            </w:r>
            <w:r>
              <w:rPr>
                <w:noProof/>
                <w:webHidden/>
              </w:rPr>
              <w:fldChar w:fldCharType="end"/>
            </w:r>
          </w:hyperlink>
        </w:p>
        <w:p w:rsidR="00D132E2" w:rsidRDefault="00D132E2">
          <w:pPr>
            <w:pStyle w:val="TOC3"/>
            <w:rPr>
              <w:rFonts w:asciiTheme="minorHAnsi" w:eastAsiaTheme="minorEastAsia" w:hAnsiTheme="minorHAnsi" w:cstheme="minorBidi"/>
              <w:noProof/>
              <w:sz w:val="22"/>
              <w:szCs w:val="22"/>
              <w:lang w:eastAsia="en-US"/>
            </w:rPr>
          </w:pPr>
          <w:hyperlink w:anchor="_Toc464551534" w:history="1">
            <w:r w:rsidRPr="00521199">
              <w:rPr>
                <w:rStyle w:val="Hyperlink"/>
                <w:rFonts w:ascii="Arial" w:hAnsi="Arial" w:cs="Arial"/>
                <w:noProof/>
              </w:rPr>
              <w:t>9.1.2</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Expenses of the micro-LNG expansion sub-project</w:t>
            </w:r>
            <w:r>
              <w:rPr>
                <w:noProof/>
                <w:webHidden/>
              </w:rPr>
              <w:tab/>
            </w:r>
            <w:r>
              <w:rPr>
                <w:noProof/>
                <w:webHidden/>
              </w:rPr>
              <w:fldChar w:fldCharType="begin"/>
            </w:r>
            <w:r>
              <w:rPr>
                <w:noProof/>
                <w:webHidden/>
              </w:rPr>
              <w:instrText xml:space="preserve"> PAGEREF _Toc464551534 \h </w:instrText>
            </w:r>
            <w:r>
              <w:rPr>
                <w:noProof/>
                <w:webHidden/>
              </w:rPr>
            </w:r>
            <w:r>
              <w:rPr>
                <w:noProof/>
                <w:webHidden/>
              </w:rPr>
              <w:fldChar w:fldCharType="separate"/>
            </w:r>
            <w:r>
              <w:rPr>
                <w:noProof/>
                <w:webHidden/>
              </w:rPr>
              <w:t>51</w:t>
            </w:r>
            <w:r>
              <w:rPr>
                <w:noProof/>
                <w:webHidden/>
              </w:rPr>
              <w:fldChar w:fldCharType="end"/>
            </w:r>
          </w:hyperlink>
        </w:p>
        <w:p w:rsidR="00D132E2" w:rsidRDefault="00D132E2">
          <w:pPr>
            <w:pStyle w:val="TOC3"/>
            <w:rPr>
              <w:rFonts w:asciiTheme="minorHAnsi" w:eastAsiaTheme="minorEastAsia" w:hAnsiTheme="minorHAnsi" w:cstheme="minorBidi"/>
              <w:noProof/>
              <w:sz w:val="22"/>
              <w:szCs w:val="22"/>
              <w:lang w:eastAsia="en-US"/>
            </w:rPr>
          </w:pPr>
          <w:hyperlink w:anchor="_Toc464551535" w:history="1">
            <w:r w:rsidRPr="00521199">
              <w:rPr>
                <w:rStyle w:val="Hyperlink"/>
                <w:rFonts w:ascii="Arial" w:hAnsi="Arial" w:cs="Arial"/>
                <w:noProof/>
              </w:rPr>
              <w:t>9.1.3</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Cash flows of the micro-LNG expansion sub-project</w:t>
            </w:r>
            <w:r>
              <w:rPr>
                <w:noProof/>
                <w:webHidden/>
              </w:rPr>
              <w:tab/>
            </w:r>
            <w:r>
              <w:rPr>
                <w:noProof/>
                <w:webHidden/>
              </w:rPr>
              <w:fldChar w:fldCharType="begin"/>
            </w:r>
            <w:r>
              <w:rPr>
                <w:noProof/>
                <w:webHidden/>
              </w:rPr>
              <w:instrText xml:space="preserve"> PAGEREF _Toc464551535 \h </w:instrText>
            </w:r>
            <w:r>
              <w:rPr>
                <w:noProof/>
                <w:webHidden/>
              </w:rPr>
            </w:r>
            <w:r>
              <w:rPr>
                <w:noProof/>
                <w:webHidden/>
              </w:rPr>
              <w:fldChar w:fldCharType="separate"/>
            </w:r>
            <w:r>
              <w:rPr>
                <w:noProof/>
                <w:webHidden/>
              </w:rPr>
              <w:t>51</w:t>
            </w:r>
            <w:r>
              <w:rPr>
                <w:noProof/>
                <w:webHidden/>
              </w:rPr>
              <w:fldChar w:fldCharType="end"/>
            </w:r>
          </w:hyperlink>
        </w:p>
        <w:p w:rsidR="00D132E2" w:rsidRDefault="00D132E2">
          <w:pPr>
            <w:pStyle w:val="TOC2"/>
            <w:tabs>
              <w:tab w:val="left" w:pos="1440"/>
            </w:tabs>
            <w:rPr>
              <w:rFonts w:asciiTheme="minorHAnsi" w:eastAsiaTheme="minorEastAsia" w:hAnsiTheme="minorHAnsi" w:cstheme="minorBidi"/>
              <w:noProof/>
              <w:sz w:val="22"/>
              <w:szCs w:val="22"/>
              <w:lang w:eastAsia="en-US"/>
            </w:rPr>
          </w:pPr>
          <w:hyperlink w:anchor="_Toc464551536" w:history="1">
            <w:r w:rsidRPr="00521199">
              <w:rPr>
                <w:rStyle w:val="Hyperlink"/>
                <w:rFonts w:ascii="Arial" w:hAnsi="Arial" w:cs="Arial"/>
                <w:noProof/>
              </w:rPr>
              <w:t>9.2</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Profitability of the micro-LNG expansion sub-project</w:t>
            </w:r>
            <w:r>
              <w:rPr>
                <w:noProof/>
                <w:webHidden/>
              </w:rPr>
              <w:tab/>
            </w:r>
            <w:r>
              <w:rPr>
                <w:noProof/>
                <w:webHidden/>
              </w:rPr>
              <w:fldChar w:fldCharType="begin"/>
            </w:r>
            <w:r>
              <w:rPr>
                <w:noProof/>
                <w:webHidden/>
              </w:rPr>
              <w:instrText xml:space="preserve"> PAGEREF _Toc464551536 \h </w:instrText>
            </w:r>
            <w:r>
              <w:rPr>
                <w:noProof/>
                <w:webHidden/>
              </w:rPr>
            </w:r>
            <w:r>
              <w:rPr>
                <w:noProof/>
                <w:webHidden/>
              </w:rPr>
              <w:fldChar w:fldCharType="separate"/>
            </w:r>
            <w:r>
              <w:rPr>
                <w:noProof/>
                <w:webHidden/>
              </w:rPr>
              <w:t>52</w:t>
            </w:r>
            <w:r>
              <w:rPr>
                <w:noProof/>
                <w:webHidden/>
              </w:rPr>
              <w:fldChar w:fldCharType="end"/>
            </w:r>
          </w:hyperlink>
        </w:p>
        <w:p w:rsidR="00D132E2" w:rsidRDefault="00D132E2">
          <w:pPr>
            <w:pStyle w:val="TOC1"/>
            <w:rPr>
              <w:rFonts w:asciiTheme="minorHAnsi" w:eastAsiaTheme="minorEastAsia" w:hAnsiTheme="minorHAnsi" w:cstheme="minorBidi"/>
              <w:b w:val="0"/>
              <w:noProof/>
              <w:sz w:val="22"/>
              <w:szCs w:val="22"/>
              <w:lang w:eastAsia="en-US"/>
            </w:rPr>
          </w:pPr>
          <w:hyperlink w:anchor="_Toc464551537" w:history="1">
            <w:r w:rsidRPr="00521199">
              <w:rPr>
                <w:rStyle w:val="Hyperlink"/>
                <w:rFonts w:ascii="Arial" w:hAnsi="Arial" w:cs="Arial"/>
                <w:noProof/>
              </w:rPr>
              <w:t>10</w:t>
            </w:r>
            <w:r>
              <w:rPr>
                <w:rFonts w:asciiTheme="minorHAnsi" w:eastAsiaTheme="minorEastAsia" w:hAnsiTheme="minorHAnsi" w:cstheme="minorBidi"/>
                <w:b w:val="0"/>
                <w:noProof/>
                <w:sz w:val="22"/>
                <w:szCs w:val="22"/>
                <w:lang w:eastAsia="en-US"/>
              </w:rPr>
              <w:tab/>
            </w:r>
            <w:r w:rsidRPr="00521199">
              <w:rPr>
                <w:rStyle w:val="Hyperlink"/>
                <w:rFonts w:ascii="Arial" w:hAnsi="Arial" w:cs="Arial"/>
                <w:noProof/>
              </w:rPr>
              <w:t>Financial Analysis of the Compressor Replacement Sub-Project</w:t>
            </w:r>
            <w:r>
              <w:rPr>
                <w:noProof/>
                <w:webHidden/>
              </w:rPr>
              <w:tab/>
            </w:r>
            <w:r>
              <w:rPr>
                <w:noProof/>
                <w:webHidden/>
              </w:rPr>
              <w:fldChar w:fldCharType="begin"/>
            </w:r>
            <w:r>
              <w:rPr>
                <w:noProof/>
                <w:webHidden/>
              </w:rPr>
              <w:instrText xml:space="preserve"> PAGEREF _Toc464551537 \h </w:instrText>
            </w:r>
            <w:r>
              <w:rPr>
                <w:noProof/>
                <w:webHidden/>
              </w:rPr>
            </w:r>
            <w:r>
              <w:rPr>
                <w:noProof/>
                <w:webHidden/>
              </w:rPr>
              <w:fldChar w:fldCharType="separate"/>
            </w:r>
            <w:r>
              <w:rPr>
                <w:noProof/>
                <w:webHidden/>
              </w:rPr>
              <w:t>53</w:t>
            </w:r>
            <w:r>
              <w:rPr>
                <w:noProof/>
                <w:webHidden/>
              </w:rPr>
              <w:fldChar w:fldCharType="end"/>
            </w:r>
          </w:hyperlink>
        </w:p>
        <w:p w:rsidR="00D132E2" w:rsidRDefault="00D132E2">
          <w:pPr>
            <w:pStyle w:val="TOC2"/>
            <w:tabs>
              <w:tab w:val="left" w:pos="1440"/>
            </w:tabs>
            <w:rPr>
              <w:rFonts w:asciiTheme="minorHAnsi" w:eastAsiaTheme="minorEastAsia" w:hAnsiTheme="minorHAnsi" w:cstheme="minorBidi"/>
              <w:noProof/>
              <w:sz w:val="22"/>
              <w:szCs w:val="22"/>
              <w:lang w:eastAsia="en-US"/>
            </w:rPr>
          </w:pPr>
          <w:hyperlink w:anchor="_Toc464551538" w:history="1">
            <w:r w:rsidRPr="00521199">
              <w:rPr>
                <w:rStyle w:val="Hyperlink"/>
                <w:rFonts w:ascii="Arial" w:hAnsi="Arial" w:cs="Arial"/>
                <w:noProof/>
              </w:rPr>
              <w:t>10.1</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Financial Analysis</w:t>
            </w:r>
            <w:r>
              <w:rPr>
                <w:noProof/>
                <w:webHidden/>
              </w:rPr>
              <w:tab/>
            </w:r>
            <w:r>
              <w:rPr>
                <w:noProof/>
                <w:webHidden/>
              </w:rPr>
              <w:fldChar w:fldCharType="begin"/>
            </w:r>
            <w:r>
              <w:rPr>
                <w:noProof/>
                <w:webHidden/>
              </w:rPr>
              <w:instrText xml:space="preserve"> PAGEREF _Toc464551538 \h </w:instrText>
            </w:r>
            <w:r>
              <w:rPr>
                <w:noProof/>
                <w:webHidden/>
              </w:rPr>
            </w:r>
            <w:r>
              <w:rPr>
                <w:noProof/>
                <w:webHidden/>
              </w:rPr>
              <w:fldChar w:fldCharType="separate"/>
            </w:r>
            <w:r>
              <w:rPr>
                <w:noProof/>
                <w:webHidden/>
              </w:rPr>
              <w:t>53</w:t>
            </w:r>
            <w:r>
              <w:rPr>
                <w:noProof/>
                <w:webHidden/>
              </w:rPr>
              <w:fldChar w:fldCharType="end"/>
            </w:r>
          </w:hyperlink>
        </w:p>
        <w:p w:rsidR="00D132E2" w:rsidRDefault="00D132E2">
          <w:pPr>
            <w:pStyle w:val="TOC3"/>
            <w:rPr>
              <w:rFonts w:asciiTheme="minorHAnsi" w:eastAsiaTheme="minorEastAsia" w:hAnsiTheme="minorHAnsi" w:cstheme="minorBidi"/>
              <w:noProof/>
              <w:sz w:val="22"/>
              <w:szCs w:val="22"/>
              <w:lang w:eastAsia="en-US"/>
            </w:rPr>
          </w:pPr>
          <w:hyperlink w:anchor="_Toc464551539" w:history="1">
            <w:r w:rsidRPr="00521199">
              <w:rPr>
                <w:rStyle w:val="Hyperlink"/>
                <w:rFonts w:ascii="Arial" w:hAnsi="Arial" w:cs="Arial"/>
                <w:noProof/>
              </w:rPr>
              <w:t>10.1.1</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Income of the compressor replacement sub-project</w:t>
            </w:r>
            <w:r>
              <w:rPr>
                <w:noProof/>
                <w:webHidden/>
              </w:rPr>
              <w:tab/>
            </w:r>
            <w:r>
              <w:rPr>
                <w:noProof/>
                <w:webHidden/>
              </w:rPr>
              <w:fldChar w:fldCharType="begin"/>
            </w:r>
            <w:r>
              <w:rPr>
                <w:noProof/>
                <w:webHidden/>
              </w:rPr>
              <w:instrText xml:space="preserve"> PAGEREF _Toc464551539 \h </w:instrText>
            </w:r>
            <w:r>
              <w:rPr>
                <w:noProof/>
                <w:webHidden/>
              </w:rPr>
            </w:r>
            <w:r>
              <w:rPr>
                <w:noProof/>
                <w:webHidden/>
              </w:rPr>
              <w:fldChar w:fldCharType="separate"/>
            </w:r>
            <w:r>
              <w:rPr>
                <w:noProof/>
                <w:webHidden/>
              </w:rPr>
              <w:t>53</w:t>
            </w:r>
            <w:r>
              <w:rPr>
                <w:noProof/>
                <w:webHidden/>
              </w:rPr>
              <w:fldChar w:fldCharType="end"/>
            </w:r>
          </w:hyperlink>
        </w:p>
        <w:p w:rsidR="00D132E2" w:rsidRDefault="00D132E2">
          <w:pPr>
            <w:pStyle w:val="TOC3"/>
            <w:rPr>
              <w:rFonts w:asciiTheme="minorHAnsi" w:eastAsiaTheme="minorEastAsia" w:hAnsiTheme="minorHAnsi" w:cstheme="minorBidi"/>
              <w:noProof/>
              <w:sz w:val="22"/>
              <w:szCs w:val="22"/>
              <w:lang w:eastAsia="en-US"/>
            </w:rPr>
          </w:pPr>
          <w:hyperlink w:anchor="_Toc464551540" w:history="1">
            <w:r w:rsidRPr="00521199">
              <w:rPr>
                <w:rStyle w:val="Hyperlink"/>
                <w:rFonts w:ascii="Arial" w:hAnsi="Arial" w:cs="Arial"/>
                <w:noProof/>
              </w:rPr>
              <w:t>10.1.2</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Expenses of the compressor replacement sub-project</w:t>
            </w:r>
            <w:r>
              <w:rPr>
                <w:noProof/>
                <w:webHidden/>
              </w:rPr>
              <w:tab/>
            </w:r>
            <w:r>
              <w:rPr>
                <w:noProof/>
                <w:webHidden/>
              </w:rPr>
              <w:fldChar w:fldCharType="begin"/>
            </w:r>
            <w:r>
              <w:rPr>
                <w:noProof/>
                <w:webHidden/>
              </w:rPr>
              <w:instrText xml:space="preserve"> PAGEREF _Toc464551540 \h </w:instrText>
            </w:r>
            <w:r>
              <w:rPr>
                <w:noProof/>
                <w:webHidden/>
              </w:rPr>
            </w:r>
            <w:r>
              <w:rPr>
                <w:noProof/>
                <w:webHidden/>
              </w:rPr>
              <w:fldChar w:fldCharType="separate"/>
            </w:r>
            <w:r>
              <w:rPr>
                <w:noProof/>
                <w:webHidden/>
              </w:rPr>
              <w:t>54</w:t>
            </w:r>
            <w:r>
              <w:rPr>
                <w:noProof/>
                <w:webHidden/>
              </w:rPr>
              <w:fldChar w:fldCharType="end"/>
            </w:r>
          </w:hyperlink>
        </w:p>
        <w:p w:rsidR="00D132E2" w:rsidRDefault="00D132E2">
          <w:pPr>
            <w:pStyle w:val="TOC3"/>
            <w:rPr>
              <w:rFonts w:asciiTheme="minorHAnsi" w:eastAsiaTheme="minorEastAsia" w:hAnsiTheme="minorHAnsi" w:cstheme="minorBidi"/>
              <w:noProof/>
              <w:sz w:val="22"/>
              <w:szCs w:val="22"/>
              <w:lang w:eastAsia="en-US"/>
            </w:rPr>
          </w:pPr>
          <w:hyperlink w:anchor="_Toc464551541" w:history="1">
            <w:r w:rsidRPr="00521199">
              <w:rPr>
                <w:rStyle w:val="Hyperlink"/>
                <w:rFonts w:ascii="Arial" w:hAnsi="Arial" w:cs="Arial"/>
                <w:noProof/>
              </w:rPr>
              <w:t>10.1.3</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Cash flows of the compressor replacement sub-project</w:t>
            </w:r>
            <w:r>
              <w:rPr>
                <w:noProof/>
                <w:webHidden/>
              </w:rPr>
              <w:tab/>
            </w:r>
            <w:r>
              <w:rPr>
                <w:noProof/>
                <w:webHidden/>
              </w:rPr>
              <w:fldChar w:fldCharType="begin"/>
            </w:r>
            <w:r>
              <w:rPr>
                <w:noProof/>
                <w:webHidden/>
              </w:rPr>
              <w:instrText xml:space="preserve"> PAGEREF _Toc464551541 \h </w:instrText>
            </w:r>
            <w:r>
              <w:rPr>
                <w:noProof/>
                <w:webHidden/>
              </w:rPr>
            </w:r>
            <w:r>
              <w:rPr>
                <w:noProof/>
                <w:webHidden/>
              </w:rPr>
              <w:fldChar w:fldCharType="separate"/>
            </w:r>
            <w:r>
              <w:rPr>
                <w:noProof/>
                <w:webHidden/>
              </w:rPr>
              <w:t>54</w:t>
            </w:r>
            <w:r>
              <w:rPr>
                <w:noProof/>
                <w:webHidden/>
              </w:rPr>
              <w:fldChar w:fldCharType="end"/>
            </w:r>
          </w:hyperlink>
        </w:p>
        <w:p w:rsidR="00D132E2" w:rsidRDefault="00D132E2">
          <w:pPr>
            <w:pStyle w:val="TOC2"/>
            <w:tabs>
              <w:tab w:val="left" w:pos="1440"/>
            </w:tabs>
            <w:rPr>
              <w:rFonts w:asciiTheme="minorHAnsi" w:eastAsiaTheme="minorEastAsia" w:hAnsiTheme="minorHAnsi" w:cstheme="minorBidi"/>
              <w:noProof/>
              <w:sz w:val="22"/>
              <w:szCs w:val="22"/>
              <w:lang w:eastAsia="en-US"/>
            </w:rPr>
          </w:pPr>
          <w:hyperlink w:anchor="_Toc464551542" w:history="1">
            <w:r w:rsidRPr="00521199">
              <w:rPr>
                <w:rStyle w:val="Hyperlink"/>
                <w:rFonts w:ascii="Arial" w:hAnsi="Arial" w:cs="Arial"/>
                <w:noProof/>
              </w:rPr>
              <w:t>10.2</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Profitability of the compressor replacement sub-project</w:t>
            </w:r>
            <w:r>
              <w:rPr>
                <w:noProof/>
                <w:webHidden/>
              </w:rPr>
              <w:tab/>
            </w:r>
            <w:r>
              <w:rPr>
                <w:noProof/>
                <w:webHidden/>
              </w:rPr>
              <w:fldChar w:fldCharType="begin"/>
            </w:r>
            <w:r>
              <w:rPr>
                <w:noProof/>
                <w:webHidden/>
              </w:rPr>
              <w:instrText xml:space="preserve"> PAGEREF _Toc464551542 \h </w:instrText>
            </w:r>
            <w:r>
              <w:rPr>
                <w:noProof/>
                <w:webHidden/>
              </w:rPr>
            </w:r>
            <w:r>
              <w:rPr>
                <w:noProof/>
                <w:webHidden/>
              </w:rPr>
              <w:fldChar w:fldCharType="separate"/>
            </w:r>
            <w:r>
              <w:rPr>
                <w:noProof/>
                <w:webHidden/>
              </w:rPr>
              <w:t>54</w:t>
            </w:r>
            <w:r>
              <w:rPr>
                <w:noProof/>
                <w:webHidden/>
              </w:rPr>
              <w:fldChar w:fldCharType="end"/>
            </w:r>
          </w:hyperlink>
        </w:p>
        <w:p w:rsidR="00D132E2" w:rsidRDefault="00D132E2">
          <w:pPr>
            <w:pStyle w:val="TOC1"/>
            <w:rPr>
              <w:rFonts w:asciiTheme="minorHAnsi" w:eastAsiaTheme="minorEastAsia" w:hAnsiTheme="minorHAnsi" w:cstheme="minorBidi"/>
              <w:b w:val="0"/>
              <w:noProof/>
              <w:sz w:val="22"/>
              <w:szCs w:val="22"/>
              <w:lang w:eastAsia="en-US"/>
            </w:rPr>
          </w:pPr>
          <w:hyperlink w:anchor="_Toc464551543" w:history="1">
            <w:r w:rsidRPr="00521199">
              <w:rPr>
                <w:rStyle w:val="Hyperlink"/>
                <w:rFonts w:ascii="Arial" w:hAnsi="Arial" w:cs="Arial"/>
                <w:noProof/>
              </w:rPr>
              <w:t>11</w:t>
            </w:r>
            <w:r>
              <w:rPr>
                <w:rFonts w:asciiTheme="minorHAnsi" w:eastAsiaTheme="minorEastAsia" w:hAnsiTheme="minorHAnsi" w:cstheme="minorBidi"/>
                <w:b w:val="0"/>
                <w:noProof/>
                <w:sz w:val="22"/>
                <w:szCs w:val="22"/>
                <w:lang w:eastAsia="en-US"/>
              </w:rPr>
              <w:tab/>
            </w:r>
            <w:r w:rsidRPr="00521199">
              <w:rPr>
                <w:rStyle w:val="Hyperlink"/>
                <w:rFonts w:ascii="Arial" w:hAnsi="Arial" w:cs="Arial"/>
                <w:noProof/>
              </w:rPr>
              <w:t>Financial Analysis of the Wind Turbine Sub-Project</w:t>
            </w:r>
            <w:r>
              <w:rPr>
                <w:noProof/>
                <w:webHidden/>
              </w:rPr>
              <w:tab/>
            </w:r>
            <w:r>
              <w:rPr>
                <w:noProof/>
                <w:webHidden/>
              </w:rPr>
              <w:fldChar w:fldCharType="begin"/>
            </w:r>
            <w:r>
              <w:rPr>
                <w:noProof/>
                <w:webHidden/>
              </w:rPr>
              <w:instrText xml:space="preserve"> PAGEREF _Toc464551543 \h </w:instrText>
            </w:r>
            <w:r>
              <w:rPr>
                <w:noProof/>
                <w:webHidden/>
              </w:rPr>
            </w:r>
            <w:r>
              <w:rPr>
                <w:noProof/>
                <w:webHidden/>
              </w:rPr>
              <w:fldChar w:fldCharType="separate"/>
            </w:r>
            <w:r>
              <w:rPr>
                <w:noProof/>
                <w:webHidden/>
              </w:rPr>
              <w:t>56</w:t>
            </w:r>
            <w:r>
              <w:rPr>
                <w:noProof/>
                <w:webHidden/>
              </w:rPr>
              <w:fldChar w:fldCharType="end"/>
            </w:r>
          </w:hyperlink>
        </w:p>
        <w:p w:rsidR="00D132E2" w:rsidRDefault="00D132E2">
          <w:pPr>
            <w:pStyle w:val="TOC2"/>
            <w:tabs>
              <w:tab w:val="left" w:pos="1440"/>
            </w:tabs>
            <w:rPr>
              <w:rFonts w:asciiTheme="minorHAnsi" w:eastAsiaTheme="minorEastAsia" w:hAnsiTheme="minorHAnsi" w:cstheme="minorBidi"/>
              <w:noProof/>
              <w:sz w:val="22"/>
              <w:szCs w:val="22"/>
              <w:lang w:eastAsia="en-US"/>
            </w:rPr>
          </w:pPr>
          <w:hyperlink w:anchor="_Toc464551544" w:history="1">
            <w:r w:rsidRPr="00521199">
              <w:rPr>
                <w:rStyle w:val="Hyperlink"/>
                <w:rFonts w:ascii="Arial" w:hAnsi="Arial" w:cs="Arial"/>
                <w:noProof/>
              </w:rPr>
              <w:t>11.1</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Financial Analysis</w:t>
            </w:r>
            <w:r>
              <w:rPr>
                <w:noProof/>
                <w:webHidden/>
              </w:rPr>
              <w:tab/>
            </w:r>
            <w:r>
              <w:rPr>
                <w:noProof/>
                <w:webHidden/>
              </w:rPr>
              <w:fldChar w:fldCharType="begin"/>
            </w:r>
            <w:r>
              <w:rPr>
                <w:noProof/>
                <w:webHidden/>
              </w:rPr>
              <w:instrText xml:space="preserve"> PAGEREF _Toc464551544 \h </w:instrText>
            </w:r>
            <w:r>
              <w:rPr>
                <w:noProof/>
                <w:webHidden/>
              </w:rPr>
            </w:r>
            <w:r>
              <w:rPr>
                <w:noProof/>
                <w:webHidden/>
              </w:rPr>
              <w:fldChar w:fldCharType="separate"/>
            </w:r>
            <w:r>
              <w:rPr>
                <w:noProof/>
                <w:webHidden/>
              </w:rPr>
              <w:t>56</w:t>
            </w:r>
            <w:r>
              <w:rPr>
                <w:noProof/>
                <w:webHidden/>
              </w:rPr>
              <w:fldChar w:fldCharType="end"/>
            </w:r>
          </w:hyperlink>
        </w:p>
        <w:p w:rsidR="00D132E2" w:rsidRDefault="00D132E2">
          <w:pPr>
            <w:pStyle w:val="TOC3"/>
            <w:rPr>
              <w:rFonts w:asciiTheme="minorHAnsi" w:eastAsiaTheme="minorEastAsia" w:hAnsiTheme="minorHAnsi" w:cstheme="minorBidi"/>
              <w:noProof/>
              <w:sz w:val="22"/>
              <w:szCs w:val="22"/>
              <w:lang w:eastAsia="en-US"/>
            </w:rPr>
          </w:pPr>
          <w:hyperlink w:anchor="_Toc464551545" w:history="1">
            <w:r w:rsidRPr="00521199">
              <w:rPr>
                <w:rStyle w:val="Hyperlink"/>
                <w:rFonts w:ascii="Arial" w:hAnsi="Arial" w:cs="Arial"/>
                <w:noProof/>
              </w:rPr>
              <w:t>11.1.1</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Income of the wind turbine sub-project</w:t>
            </w:r>
            <w:r>
              <w:rPr>
                <w:noProof/>
                <w:webHidden/>
              </w:rPr>
              <w:tab/>
            </w:r>
            <w:r>
              <w:rPr>
                <w:noProof/>
                <w:webHidden/>
              </w:rPr>
              <w:fldChar w:fldCharType="begin"/>
            </w:r>
            <w:r>
              <w:rPr>
                <w:noProof/>
                <w:webHidden/>
              </w:rPr>
              <w:instrText xml:space="preserve"> PAGEREF _Toc464551545 \h </w:instrText>
            </w:r>
            <w:r>
              <w:rPr>
                <w:noProof/>
                <w:webHidden/>
              </w:rPr>
            </w:r>
            <w:r>
              <w:rPr>
                <w:noProof/>
                <w:webHidden/>
              </w:rPr>
              <w:fldChar w:fldCharType="separate"/>
            </w:r>
            <w:r>
              <w:rPr>
                <w:noProof/>
                <w:webHidden/>
              </w:rPr>
              <w:t>56</w:t>
            </w:r>
            <w:r>
              <w:rPr>
                <w:noProof/>
                <w:webHidden/>
              </w:rPr>
              <w:fldChar w:fldCharType="end"/>
            </w:r>
          </w:hyperlink>
        </w:p>
        <w:p w:rsidR="00D132E2" w:rsidRDefault="00D132E2">
          <w:pPr>
            <w:pStyle w:val="TOC3"/>
            <w:rPr>
              <w:rFonts w:asciiTheme="minorHAnsi" w:eastAsiaTheme="minorEastAsia" w:hAnsiTheme="minorHAnsi" w:cstheme="minorBidi"/>
              <w:noProof/>
              <w:sz w:val="22"/>
              <w:szCs w:val="22"/>
              <w:lang w:eastAsia="en-US"/>
            </w:rPr>
          </w:pPr>
          <w:hyperlink w:anchor="_Toc464551546" w:history="1">
            <w:r w:rsidRPr="00521199">
              <w:rPr>
                <w:rStyle w:val="Hyperlink"/>
                <w:rFonts w:ascii="Arial" w:hAnsi="Arial" w:cs="Arial"/>
                <w:noProof/>
              </w:rPr>
              <w:t>11.1.2</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Expenses of the wind turbine sub-project</w:t>
            </w:r>
            <w:r>
              <w:rPr>
                <w:noProof/>
                <w:webHidden/>
              </w:rPr>
              <w:tab/>
            </w:r>
            <w:r>
              <w:rPr>
                <w:noProof/>
                <w:webHidden/>
              </w:rPr>
              <w:fldChar w:fldCharType="begin"/>
            </w:r>
            <w:r>
              <w:rPr>
                <w:noProof/>
                <w:webHidden/>
              </w:rPr>
              <w:instrText xml:space="preserve"> PAGEREF _Toc464551546 \h </w:instrText>
            </w:r>
            <w:r>
              <w:rPr>
                <w:noProof/>
                <w:webHidden/>
              </w:rPr>
            </w:r>
            <w:r>
              <w:rPr>
                <w:noProof/>
                <w:webHidden/>
              </w:rPr>
              <w:fldChar w:fldCharType="separate"/>
            </w:r>
            <w:r>
              <w:rPr>
                <w:noProof/>
                <w:webHidden/>
              </w:rPr>
              <w:t>57</w:t>
            </w:r>
            <w:r>
              <w:rPr>
                <w:noProof/>
                <w:webHidden/>
              </w:rPr>
              <w:fldChar w:fldCharType="end"/>
            </w:r>
          </w:hyperlink>
        </w:p>
        <w:p w:rsidR="00D132E2" w:rsidRDefault="00D132E2">
          <w:pPr>
            <w:pStyle w:val="TOC3"/>
            <w:rPr>
              <w:rFonts w:asciiTheme="minorHAnsi" w:eastAsiaTheme="minorEastAsia" w:hAnsiTheme="minorHAnsi" w:cstheme="minorBidi"/>
              <w:noProof/>
              <w:sz w:val="22"/>
              <w:szCs w:val="22"/>
              <w:lang w:eastAsia="en-US"/>
            </w:rPr>
          </w:pPr>
          <w:hyperlink w:anchor="_Toc464551547" w:history="1">
            <w:r w:rsidRPr="00521199">
              <w:rPr>
                <w:rStyle w:val="Hyperlink"/>
                <w:rFonts w:ascii="Arial" w:hAnsi="Arial" w:cs="Arial"/>
                <w:noProof/>
              </w:rPr>
              <w:t>11.1.3</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Cash flows of the wind turbine sub-project</w:t>
            </w:r>
            <w:r>
              <w:rPr>
                <w:noProof/>
                <w:webHidden/>
              </w:rPr>
              <w:tab/>
            </w:r>
            <w:r>
              <w:rPr>
                <w:noProof/>
                <w:webHidden/>
              </w:rPr>
              <w:fldChar w:fldCharType="begin"/>
            </w:r>
            <w:r>
              <w:rPr>
                <w:noProof/>
                <w:webHidden/>
              </w:rPr>
              <w:instrText xml:space="preserve"> PAGEREF _Toc464551547 \h </w:instrText>
            </w:r>
            <w:r>
              <w:rPr>
                <w:noProof/>
                <w:webHidden/>
              </w:rPr>
            </w:r>
            <w:r>
              <w:rPr>
                <w:noProof/>
                <w:webHidden/>
              </w:rPr>
              <w:fldChar w:fldCharType="separate"/>
            </w:r>
            <w:r>
              <w:rPr>
                <w:noProof/>
                <w:webHidden/>
              </w:rPr>
              <w:t>57</w:t>
            </w:r>
            <w:r>
              <w:rPr>
                <w:noProof/>
                <w:webHidden/>
              </w:rPr>
              <w:fldChar w:fldCharType="end"/>
            </w:r>
          </w:hyperlink>
        </w:p>
        <w:p w:rsidR="00D132E2" w:rsidRDefault="00D132E2">
          <w:pPr>
            <w:pStyle w:val="TOC2"/>
            <w:tabs>
              <w:tab w:val="left" w:pos="1440"/>
            </w:tabs>
            <w:rPr>
              <w:rFonts w:asciiTheme="minorHAnsi" w:eastAsiaTheme="minorEastAsia" w:hAnsiTheme="minorHAnsi" w:cstheme="minorBidi"/>
              <w:noProof/>
              <w:sz w:val="22"/>
              <w:szCs w:val="22"/>
              <w:lang w:eastAsia="en-US"/>
            </w:rPr>
          </w:pPr>
          <w:hyperlink w:anchor="_Toc464551548" w:history="1">
            <w:r w:rsidRPr="00521199">
              <w:rPr>
                <w:rStyle w:val="Hyperlink"/>
                <w:rFonts w:ascii="Arial" w:hAnsi="Arial" w:cs="Arial"/>
                <w:noProof/>
              </w:rPr>
              <w:t>11.2</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Profitability of the wind turbine sub-project</w:t>
            </w:r>
            <w:r>
              <w:rPr>
                <w:noProof/>
                <w:webHidden/>
              </w:rPr>
              <w:tab/>
            </w:r>
            <w:r>
              <w:rPr>
                <w:noProof/>
                <w:webHidden/>
              </w:rPr>
              <w:fldChar w:fldCharType="begin"/>
            </w:r>
            <w:r>
              <w:rPr>
                <w:noProof/>
                <w:webHidden/>
              </w:rPr>
              <w:instrText xml:space="preserve"> PAGEREF _Toc464551548 \h </w:instrText>
            </w:r>
            <w:r>
              <w:rPr>
                <w:noProof/>
                <w:webHidden/>
              </w:rPr>
            </w:r>
            <w:r>
              <w:rPr>
                <w:noProof/>
                <w:webHidden/>
              </w:rPr>
              <w:fldChar w:fldCharType="separate"/>
            </w:r>
            <w:r>
              <w:rPr>
                <w:noProof/>
                <w:webHidden/>
              </w:rPr>
              <w:t>57</w:t>
            </w:r>
            <w:r>
              <w:rPr>
                <w:noProof/>
                <w:webHidden/>
              </w:rPr>
              <w:fldChar w:fldCharType="end"/>
            </w:r>
          </w:hyperlink>
        </w:p>
        <w:p w:rsidR="00D132E2" w:rsidRDefault="00D132E2">
          <w:pPr>
            <w:pStyle w:val="TOC1"/>
            <w:rPr>
              <w:rFonts w:asciiTheme="minorHAnsi" w:eastAsiaTheme="minorEastAsia" w:hAnsiTheme="minorHAnsi" w:cstheme="minorBidi"/>
              <w:b w:val="0"/>
              <w:noProof/>
              <w:sz w:val="22"/>
              <w:szCs w:val="22"/>
              <w:lang w:eastAsia="en-US"/>
            </w:rPr>
          </w:pPr>
          <w:hyperlink w:anchor="_Toc464551549" w:history="1">
            <w:r w:rsidRPr="00521199">
              <w:rPr>
                <w:rStyle w:val="Hyperlink"/>
                <w:rFonts w:ascii="Arial" w:hAnsi="Arial" w:cs="Arial"/>
                <w:noProof/>
              </w:rPr>
              <w:t>12</w:t>
            </w:r>
            <w:r>
              <w:rPr>
                <w:rFonts w:asciiTheme="minorHAnsi" w:eastAsiaTheme="minorEastAsia" w:hAnsiTheme="minorHAnsi" w:cstheme="minorBidi"/>
                <w:b w:val="0"/>
                <w:noProof/>
                <w:sz w:val="22"/>
                <w:szCs w:val="22"/>
                <w:lang w:eastAsia="en-US"/>
              </w:rPr>
              <w:tab/>
            </w:r>
            <w:r w:rsidRPr="00521199">
              <w:rPr>
                <w:rStyle w:val="Hyperlink"/>
                <w:rFonts w:ascii="Arial" w:hAnsi="Arial" w:cs="Arial"/>
                <w:noProof/>
              </w:rPr>
              <w:t>Financial Analysis of the PV System Sub-Project</w:t>
            </w:r>
            <w:r>
              <w:rPr>
                <w:noProof/>
                <w:webHidden/>
              </w:rPr>
              <w:tab/>
            </w:r>
            <w:r>
              <w:rPr>
                <w:noProof/>
                <w:webHidden/>
              </w:rPr>
              <w:fldChar w:fldCharType="begin"/>
            </w:r>
            <w:r>
              <w:rPr>
                <w:noProof/>
                <w:webHidden/>
              </w:rPr>
              <w:instrText xml:space="preserve"> PAGEREF _Toc464551549 \h </w:instrText>
            </w:r>
            <w:r>
              <w:rPr>
                <w:noProof/>
                <w:webHidden/>
              </w:rPr>
            </w:r>
            <w:r>
              <w:rPr>
                <w:noProof/>
                <w:webHidden/>
              </w:rPr>
              <w:fldChar w:fldCharType="separate"/>
            </w:r>
            <w:r>
              <w:rPr>
                <w:noProof/>
                <w:webHidden/>
              </w:rPr>
              <w:t>59</w:t>
            </w:r>
            <w:r>
              <w:rPr>
                <w:noProof/>
                <w:webHidden/>
              </w:rPr>
              <w:fldChar w:fldCharType="end"/>
            </w:r>
          </w:hyperlink>
        </w:p>
        <w:p w:rsidR="00D132E2" w:rsidRDefault="00D132E2">
          <w:pPr>
            <w:pStyle w:val="TOC2"/>
            <w:tabs>
              <w:tab w:val="left" w:pos="1440"/>
            </w:tabs>
            <w:rPr>
              <w:rFonts w:asciiTheme="minorHAnsi" w:eastAsiaTheme="minorEastAsia" w:hAnsiTheme="minorHAnsi" w:cstheme="minorBidi"/>
              <w:noProof/>
              <w:sz w:val="22"/>
              <w:szCs w:val="22"/>
              <w:lang w:eastAsia="en-US"/>
            </w:rPr>
          </w:pPr>
          <w:hyperlink w:anchor="_Toc464551550" w:history="1">
            <w:r w:rsidRPr="00521199">
              <w:rPr>
                <w:rStyle w:val="Hyperlink"/>
                <w:rFonts w:ascii="Arial" w:hAnsi="Arial" w:cs="Arial"/>
                <w:noProof/>
              </w:rPr>
              <w:t>12.1</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Financial Analysis</w:t>
            </w:r>
            <w:r>
              <w:rPr>
                <w:noProof/>
                <w:webHidden/>
              </w:rPr>
              <w:tab/>
            </w:r>
            <w:r>
              <w:rPr>
                <w:noProof/>
                <w:webHidden/>
              </w:rPr>
              <w:fldChar w:fldCharType="begin"/>
            </w:r>
            <w:r>
              <w:rPr>
                <w:noProof/>
                <w:webHidden/>
              </w:rPr>
              <w:instrText xml:space="preserve"> PAGEREF _Toc464551550 \h </w:instrText>
            </w:r>
            <w:r>
              <w:rPr>
                <w:noProof/>
                <w:webHidden/>
              </w:rPr>
            </w:r>
            <w:r>
              <w:rPr>
                <w:noProof/>
                <w:webHidden/>
              </w:rPr>
              <w:fldChar w:fldCharType="separate"/>
            </w:r>
            <w:r>
              <w:rPr>
                <w:noProof/>
                <w:webHidden/>
              </w:rPr>
              <w:t>59</w:t>
            </w:r>
            <w:r>
              <w:rPr>
                <w:noProof/>
                <w:webHidden/>
              </w:rPr>
              <w:fldChar w:fldCharType="end"/>
            </w:r>
          </w:hyperlink>
        </w:p>
        <w:p w:rsidR="00D132E2" w:rsidRDefault="00D132E2">
          <w:pPr>
            <w:pStyle w:val="TOC3"/>
            <w:rPr>
              <w:rFonts w:asciiTheme="minorHAnsi" w:eastAsiaTheme="minorEastAsia" w:hAnsiTheme="minorHAnsi" w:cstheme="minorBidi"/>
              <w:noProof/>
              <w:sz w:val="22"/>
              <w:szCs w:val="22"/>
              <w:lang w:eastAsia="en-US"/>
            </w:rPr>
          </w:pPr>
          <w:hyperlink w:anchor="_Toc464551551" w:history="1">
            <w:r w:rsidRPr="00521199">
              <w:rPr>
                <w:rStyle w:val="Hyperlink"/>
                <w:rFonts w:ascii="Arial" w:hAnsi="Arial" w:cs="Arial"/>
                <w:noProof/>
              </w:rPr>
              <w:t>12.1.1</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Income of the PV system sub-project</w:t>
            </w:r>
            <w:r>
              <w:rPr>
                <w:noProof/>
                <w:webHidden/>
              </w:rPr>
              <w:tab/>
            </w:r>
            <w:r>
              <w:rPr>
                <w:noProof/>
                <w:webHidden/>
              </w:rPr>
              <w:fldChar w:fldCharType="begin"/>
            </w:r>
            <w:r>
              <w:rPr>
                <w:noProof/>
                <w:webHidden/>
              </w:rPr>
              <w:instrText xml:space="preserve"> PAGEREF _Toc464551551 \h </w:instrText>
            </w:r>
            <w:r>
              <w:rPr>
                <w:noProof/>
                <w:webHidden/>
              </w:rPr>
            </w:r>
            <w:r>
              <w:rPr>
                <w:noProof/>
                <w:webHidden/>
              </w:rPr>
              <w:fldChar w:fldCharType="separate"/>
            </w:r>
            <w:r>
              <w:rPr>
                <w:noProof/>
                <w:webHidden/>
              </w:rPr>
              <w:t>59</w:t>
            </w:r>
            <w:r>
              <w:rPr>
                <w:noProof/>
                <w:webHidden/>
              </w:rPr>
              <w:fldChar w:fldCharType="end"/>
            </w:r>
          </w:hyperlink>
        </w:p>
        <w:p w:rsidR="00D132E2" w:rsidRDefault="00D132E2">
          <w:pPr>
            <w:pStyle w:val="TOC3"/>
            <w:rPr>
              <w:rFonts w:asciiTheme="minorHAnsi" w:eastAsiaTheme="minorEastAsia" w:hAnsiTheme="minorHAnsi" w:cstheme="minorBidi"/>
              <w:noProof/>
              <w:sz w:val="22"/>
              <w:szCs w:val="22"/>
              <w:lang w:eastAsia="en-US"/>
            </w:rPr>
          </w:pPr>
          <w:hyperlink w:anchor="_Toc464551552" w:history="1">
            <w:r w:rsidRPr="00521199">
              <w:rPr>
                <w:rStyle w:val="Hyperlink"/>
                <w:rFonts w:ascii="Arial" w:hAnsi="Arial" w:cs="Arial"/>
                <w:noProof/>
              </w:rPr>
              <w:t>12.1.2</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Expenses of the PV system sub-project</w:t>
            </w:r>
            <w:r>
              <w:rPr>
                <w:noProof/>
                <w:webHidden/>
              </w:rPr>
              <w:tab/>
            </w:r>
            <w:r>
              <w:rPr>
                <w:noProof/>
                <w:webHidden/>
              </w:rPr>
              <w:fldChar w:fldCharType="begin"/>
            </w:r>
            <w:r>
              <w:rPr>
                <w:noProof/>
                <w:webHidden/>
              </w:rPr>
              <w:instrText xml:space="preserve"> PAGEREF _Toc464551552 \h </w:instrText>
            </w:r>
            <w:r>
              <w:rPr>
                <w:noProof/>
                <w:webHidden/>
              </w:rPr>
            </w:r>
            <w:r>
              <w:rPr>
                <w:noProof/>
                <w:webHidden/>
              </w:rPr>
              <w:fldChar w:fldCharType="separate"/>
            </w:r>
            <w:r>
              <w:rPr>
                <w:noProof/>
                <w:webHidden/>
              </w:rPr>
              <w:t>60</w:t>
            </w:r>
            <w:r>
              <w:rPr>
                <w:noProof/>
                <w:webHidden/>
              </w:rPr>
              <w:fldChar w:fldCharType="end"/>
            </w:r>
          </w:hyperlink>
        </w:p>
        <w:p w:rsidR="00D132E2" w:rsidRDefault="00D132E2">
          <w:pPr>
            <w:pStyle w:val="TOC3"/>
            <w:rPr>
              <w:rFonts w:asciiTheme="minorHAnsi" w:eastAsiaTheme="minorEastAsia" w:hAnsiTheme="minorHAnsi" w:cstheme="minorBidi"/>
              <w:noProof/>
              <w:sz w:val="22"/>
              <w:szCs w:val="22"/>
              <w:lang w:eastAsia="en-US"/>
            </w:rPr>
          </w:pPr>
          <w:hyperlink w:anchor="_Toc464551553" w:history="1">
            <w:r w:rsidRPr="00521199">
              <w:rPr>
                <w:rStyle w:val="Hyperlink"/>
                <w:rFonts w:ascii="Arial" w:hAnsi="Arial" w:cs="Arial"/>
                <w:noProof/>
              </w:rPr>
              <w:t>12.1.3</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Cash flows of the PV system sub-project</w:t>
            </w:r>
            <w:r>
              <w:rPr>
                <w:noProof/>
                <w:webHidden/>
              </w:rPr>
              <w:tab/>
            </w:r>
            <w:r>
              <w:rPr>
                <w:noProof/>
                <w:webHidden/>
              </w:rPr>
              <w:fldChar w:fldCharType="begin"/>
            </w:r>
            <w:r>
              <w:rPr>
                <w:noProof/>
                <w:webHidden/>
              </w:rPr>
              <w:instrText xml:space="preserve"> PAGEREF _Toc464551553 \h </w:instrText>
            </w:r>
            <w:r>
              <w:rPr>
                <w:noProof/>
                <w:webHidden/>
              </w:rPr>
            </w:r>
            <w:r>
              <w:rPr>
                <w:noProof/>
                <w:webHidden/>
              </w:rPr>
              <w:fldChar w:fldCharType="separate"/>
            </w:r>
            <w:r>
              <w:rPr>
                <w:noProof/>
                <w:webHidden/>
              </w:rPr>
              <w:t>60</w:t>
            </w:r>
            <w:r>
              <w:rPr>
                <w:noProof/>
                <w:webHidden/>
              </w:rPr>
              <w:fldChar w:fldCharType="end"/>
            </w:r>
          </w:hyperlink>
        </w:p>
        <w:p w:rsidR="00D132E2" w:rsidRDefault="00D132E2">
          <w:pPr>
            <w:pStyle w:val="TOC2"/>
            <w:tabs>
              <w:tab w:val="left" w:pos="1440"/>
            </w:tabs>
            <w:rPr>
              <w:rFonts w:asciiTheme="minorHAnsi" w:eastAsiaTheme="minorEastAsia" w:hAnsiTheme="minorHAnsi" w:cstheme="minorBidi"/>
              <w:noProof/>
              <w:sz w:val="22"/>
              <w:szCs w:val="22"/>
              <w:lang w:eastAsia="en-US"/>
            </w:rPr>
          </w:pPr>
          <w:hyperlink w:anchor="_Toc464551554" w:history="1">
            <w:r w:rsidRPr="00521199">
              <w:rPr>
                <w:rStyle w:val="Hyperlink"/>
                <w:rFonts w:ascii="Arial" w:hAnsi="Arial" w:cs="Arial"/>
                <w:noProof/>
              </w:rPr>
              <w:t>12.2</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Profitability of the PV system sub-project</w:t>
            </w:r>
            <w:r>
              <w:rPr>
                <w:noProof/>
                <w:webHidden/>
              </w:rPr>
              <w:tab/>
            </w:r>
            <w:r>
              <w:rPr>
                <w:noProof/>
                <w:webHidden/>
              </w:rPr>
              <w:fldChar w:fldCharType="begin"/>
            </w:r>
            <w:r>
              <w:rPr>
                <w:noProof/>
                <w:webHidden/>
              </w:rPr>
              <w:instrText xml:space="preserve"> PAGEREF _Toc464551554 \h </w:instrText>
            </w:r>
            <w:r>
              <w:rPr>
                <w:noProof/>
                <w:webHidden/>
              </w:rPr>
            </w:r>
            <w:r>
              <w:rPr>
                <w:noProof/>
                <w:webHidden/>
              </w:rPr>
              <w:fldChar w:fldCharType="separate"/>
            </w:r>
            <w:r>
              <w:rPr>
                <w:noProof/>
                <w:webHidden/>
              </w:rPr>
              <w:t>60</w:t>
            </w:r>
            <w:r>
              <w:rPr>
                <w:noProof/>
                <w:webHidden/>
              </w:rPr>
              <w:fldChar w:fldCharType="end"/>
            </w:r>
          </w:hyperlink>
        </w:p>
        <w:p w:rsidR="00D132E2" w:rsidRDefault="00D132E2">
          <w:pPr>
            <w:pStyle w:val="TOC1"/>
            <w:rPr>
              <w:rFonts w:asciiTheme="minorHAnsi" w:eastAsiaTheme="minorEastAsia" w:hAnsiTheme="minorHAnsi" w:cstheme="minorBidi"/>
              <w:b w:val="0"/>
              <w:noProof/>
              <w:sz w:val="22"/>
              <w:szCs w:val="22"/>
              <w:lang w:eastAsia="en-US"/>
            </w:rPr>
          </w:pPr>
          <w:hyperlink w:anchor="_Toc464551555" w:history="1">
            <w:r w:rsidRPr="00521199">
              <w:rPr>
                <w:rStyle w:val="Hyperlink"/>
                <w:rFonts w:ascii="Arial" w:hAnsi="Arial" w:cs="Arial"/>
                <w:noProof/>
              </w:rPr>
              <w:t>13</w:t>
            </w:r>
            <w:r>
              <w:rPr>
                <w:rFonts w:asciiTheme="minorHAnsi" w:eastAsiaTheme="minorEastAsia" w:hAnsiTheme="minorHAnsi" w:cstheme="minorBidi"/>
                <w:b w:val="0"/>
                <w:noProof/>
                <w:sz w:val="22"/>
                <w:szCs w:val="22"/>
                <w:lang w:eastAsia="en-US"/>
              </w:rPr>
              <w:tab/>
            </w:r>
            <w:r w:rsidRPr="00521199">
              <w:rPr>
                <w:rStyle w:val="Hyperlink"/>
                <w:rFonts w:ascii="Arial" w:hAnsi="Arial" w:cs="Arial"/>
                <w:noProof/>
              </w:rPr>
              <w:t>Financial Analysis of the VS LNG terminal Sub-Project</w:t>
            </w:r>
            <w:r>
              <w:rPr>
                <w:noProof/>
                <w:webHidden/>
              </w:rPr>
              <w:tab/>
            </w:r>
            <w:r>
              <w:rPr>
                <w:noProof/>
                <w:webHidden/>
              </w:rPr>
              <w:fldChar w:fldCharType="begin"/>
            </w:r>
            <w:r>
              <w:rPr>
                <w:noProof/>
                <w:webHidden/>
              </w:rPr>
              <w:instrText xml:space="preserve"> PAGEREF _Toc464551555 \h </w:instrText>
            </w:r>
            <w:r>
              <w:rPr>
                <w:noProof/>
                <w:webHidden/>
              </w:rPr>
            </w:r>
            <w:r>
              <w:rPr>
                <w:noProof/>
                <w:webHidden/>
              </w:rPr>
              <w:fldChar w:fldCharType="separate"/>
            </w:r>
            <w:r>
              <w:rPr>
                <w:noProof/>
                <w:webHidden/>
              </w:rPr>
              <w:t>62</w:t>
            </w:r>
            <w:r>
              <w:rPr>
                <w:noProof/>
                <w:webHidden/>
              </w:rPr>
              <w:fldChar w:fldCharType="end"/>
            </w:r>
          </w:hyperlink>
        </w:p>
        <w:p w:rsidR="00D132E2" w:rsidRDefault="00D132E2">
          <w:pPr>
            <w:pStyle w:val="TOC2"/>
            <w:tabs>
              <w:tab w:val="left" w:pos="1440"/>
            </w:tabs>
            <w:rPr>
              <w:rFonts w:asciiTheme="minorHAnsi" w:eastAsiaTheme="minorEastAsia" w:hAnsiTheme="minorHAnsi" w:cstheme="minorBidi"/>
              <w:noProof/>
              <w:sz w:val="22"/>
              <w:szCs w:val="22"/>
              <w:lang w:eastAsia="en-US"/>
            </w:rPr>
          </w:pPr>
          <w:hyperlink w:anchor="_Toc464551556" w:history="1">
            <w:r w:rsidRPr="00521199">
              <w:rPr>
                <w:rStyle w:val="Hyperlink"/>
                <w:rFonts w:ascii="Arial" w:hAnsi="Arial" w:cs="Arial"/>
                <w:noProof/>
              </w:rPr>
              <w:t>13.1</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Financial Analysis</w:t>
            </w:r>
            <w:r>
              <w:rPr>
                <w:noProof/>
                <w:webHidden/>
              </w:rPr>
              <w:tab/>
            </w:r>
            <w:r>
              <w:rPr>
                <w:noProof/>
                <w:webHidden/>
              </w:rPr>
              <w:fldChar w:fldCharType="begin"/>
            </w:r>
            <w:r>
              <w:rPr>
                <w:noProof/>
                <w:webHidden/>
              </w:rPr>
              <w:instrText xml:space="preserve"> PAGEREF _Toc464551556 \h </w:instrText>
            </w:r>
            <w:r>
              <w:rPr>
                <w:noProof/>
                <w:webHidden/>
              </w:rPr>
            </w:r>
            <w:r>
              <w:rPr>
                <w:noProof/>
                <w:webHidden/>
              </w:rPr>
              <w:fldChar w:fldCharType="separate"/>
            </w:r>
            <w:r>
              <w:rPr>
                <w:noProof/>
                <w:webHidden/>
              </w:rPr>
              <w:t>62</w:t>
            </w:r>
            <w:r>
              <w:rPr>
                <w:noProof/>
                <w:webHidden/>
              </w:rPr>
              <w:fldChar w:fldCharType="end"/>
            </w:r>
          </w:hyperlink>
        </w:p>
        <w:p w:rsidR="00D132E2" w:rsidRDefault="00D132E2">
          <w:pPr>
            <w:pStyle w:val="TOC3"/>
            <w:rPr>
              <w:rFonts w:asciiTheme="minorHAnsi" w:eastAsiaTheme="minorEastAsia" w:hAnsiTheme="minorHAnsi" w:cstheme="minorBidi"/>
              <w:noProof/>
              <w:sz w:val="22"/>
              <w:szCs w:val="22"/>
              <w:lang w:eastAsia="en-US"/>
            </w:rPr>
          </w:pPr>
          <w:hyperlink w:anchor="_Toc464551557" w:history="1">
            <w:r w:rsidRPr="00521199">
              <w:rPr>
                <w:rStyle w:val="Hyperlink"/>
                <w:rFonts w:ascii="Arial" w:hAnsi="Arial" w:cs="Arial"/>
                <w:noProof/>
              </w:rPr>
              <w:t>13.1.1</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Income of the VS LNG terminal sub-project</w:t>
            </w:r>
            <w:r>
              <w:rPr>
                <w:noProof/>
                <w:webHidden/>
              </w:rPr>
              <w:tab/>
            </w:r>
            <w:r>
              <w:rPr>
                <w:noProof/>
                <w:webHidden/>
              </w:rPr>
              <w:fldChar w:fldCharType="begin"/>
            </w:r>
            <w:r>
              <w:rPr>
                <w:noProof/>
                <w:webHidden/>
              </w:rPr>
              <w:instrText xml:space="preserve"> PAGEREF _Toc464551557 \h </w:instrText>
            </w:r>
            <w:r>
              <w:rPr>
                <w:noProof/>
                <w:webHidden/>
              </w:rPr>
            </w:r>
            <w:r>
              <w:rPr>
                <w:noProof/>
                <w:webHidden/>
              </w:rPr>
              <w:fldChar w:fldCharType="separate"/>
            </w:r>
            <w:r>
              <w:rPr>
                <w:noProof/>
                <w:webHidden/>
              </w:rPr>
              <w:t>62</w:t>
            </w:r>
            <w:r>
              <w:rPr>
                <w:noProof/>
                <w:webHidden/>
              </w:rPr>
              <w:fldChar w:fldCharType="end"/>
            </w:r>
          </w:hyperlink>
        </w:p>
        <w:p w:rsidR="00D132E2" w:rsidRDefault="00D132E2">
          <w:pPr>
            <w:pStyle w:val="TOC3"/>
            <w:rPr>
              <w:rFonts w:asciiTheme="minorHAnsi" w:eastAsiaTheme="minorEastAsia" w:hAnsiTheme="minorHAnsi" w:cstheme="minorBidi"/>
              <w:noProof/>
              <w:sz w:val="22"/>
              <w:szCs w:val="22"/>
              <w:lang w:eastAsia="en-US"/>
            </w:rPr>
          </w:pPr>
          <w:hyperlink w:anchor="_Toc464551558" w:history="1">
            <w:r w:rsidRPr="00521199">
              <w:rPr>
                <w:rStyle w:val="Hyperlink"/>
                <w:rFonts w:ascii="Arial" w:hAnsi="Arial" w:cs="Arial"/>
                <w:noProof/>
              </w:rPr>
              <w:t>13.1.2</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Expenses of the VS LNG terminal sub-project</w:t>
            </w:r>
            <w:r>
              <w:rPr>
                <w:noProof/>
                <w:webHidden/>
              </w:rPr>
              <w:tab/>
            </w:r>
            <w:r>
              <w:rPr>
                <w:noProof/>
                <w:webHidden/>
              </w:rPr>
              <w:fldChar w:fldCharType="begin"/>
            </w:r>
            <w:r>
              <w:rPr>
                <w:noProof/>
                <w:webHidden/>
              </w:rPr>
              <w:instrText xml:space="preserve"> PAGEREF _Toc464551558 \h </w:instrText>
            </w:r>
            <w:r>
              <w:rPr>
                <w:noProof/>
                <w:webHidden/>
              </w:rPr>
            </w:r>
            <w:r>
              <w:rPr>
                <w:noProof/>
                <w:webHidden/>
              </w:rPr>
              <w:fldChar w:fldCharType="separate"/>
            </w:r>
            <w:r>
              <w:rPr>
                <w:noProof/>
                <w:webHidden/>
              </w:rPr>
              <w:t>62</w:t>
            </w:r>
            <w:r>
              <w:rPr>
                <w:noProof/>
                <w:webHidden/>
              </w:rPr>
              <w:fldChar w:fldCharType="end"/>
            </w:r>
          </w:hyperlink>
        </w:p>
        <w:p w:rsidR="00D132E2" w:rsidRDefault="00D132E2">
          <w:pPr>
            <w:pStyle w:val="TOC3"/>
            <w:rPr>
              <w:rFonts w:asciiTheme="minorHAnsi" w:eastAsiaTheme="minorEastAsia" w:hAnsiTheme="minorHAnsi" w:cstheme="minorBidi"/>
              <w:noProof/>
              <w:sz w:val="22"/>
              <w:szCs w:val="22"/>
              <w:lang w:eastAsia="en-US"/>
            </w:rPr>
          </w:pPr>
          <w:hyperlink w:anchor="_Toc464551559" w:history="1">
            <w:r w:rsidRPr="00521199">
              <w:rPr>
                <w:rStyle w:val="Hyperlink"/>
                <w:rFonts w:ascii="Arial" w:hAnsi="Arial" w:cs="Arial"/>
                <w:noProof/>
              </w:rPr>
              <w:t>13.1.3</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Cash flows of the VS LNG terminal sub-project</w:t>
            </w:r>
            <w:r>
              <w:rPr>
                <w:noProof/>
                <w:webHidden/>
              </w:rPr>
              <w:tab/>
            </w:r>
            <w:r>
              <w:rPr>
                <w:noProof/>
                <w:webHidden/>
              </w:rPr>
              <w:fldChar w:fldCharType="begin"/>
            </w:r>
            <w:r>
              <w:rPr>
                <w:noProof/>
                <w:webHidden/>
              </w:rPr>
              <w:instrText xml:space="preserve"> PAGEREF _Toc464551559 \h </w:instrText>
            </w:r>
            <w:r>
              <w:rPr>
                <w:noProof/>
                <w:webHidden/>
              </w:rPr>
            </w:r>
            <w:r>
              <w:rPr>
                <w:noProof/>
                <w:webHidden/>
              </w:rPr>
              <w:fldChar w:fldCharType="separate"/>
            </w:r>
            <w:r>
              <w:rPr>
                <w:noProof/>
                <w:webHidden/>
              </w:rPr>
              <w:t>63</w:t>
            </w:r>
            <w:r>
              <w:rPr>
                <w:noProof/>
                <w:webHidden/>
              </w:rPr>
              <w:fldChar w:fldCharType="end"/>
            </w:r>
          </w:hyperlink>
        </w:p>
        <w:p w:rsidR="00D132E2" w:rsidRDefault="00D132E2">
          <w:pPr>
            <w:pStyle w:val="TOC2"/>
            <w:tabs>
              <w:tab w:val="left" w:pos="1440"/>
            </w:tabs>
            <w:rPr>
              <w:rFonts w:asciiTheme="minorHAnsi" w:eastAsiaTheme="minorEastAsia" w:hAnsiTheme="minorHAnsi" w:cstheme="minorBidi"/>
              <w:noProof/>
              <w:sz w:val="22"/>
              <w:szCs w:val="22"/>
              <w:lang w:eastAsia="en-US"/>
            </w:rPr>
          </w:pPr>
          <w:hyperlink w:anchor="_Toc464551560" w:history="1">
            <w:r w:rsidRPr="00521199">
              <w:rPr>
                <w:rStyle w:val="Hyperlink"/>
                <w:rFonts w:ascii="Arial" w:hAnsi="Arial" w:cs="Arial"/>
                <w:noProof/>
              </w:rPr>
              <w:t>13.2</w:t>
            </w:r>
            <w:r>
              <w:rPr>
                <w:rFonts w:asciiTheme="minorHAnsi" w:eastAsiaTheme="minorEastAsia" w:hAnsiTheme="minorHAnsi" w:cstheme="minorBidi"/>
                <w:noProof/>
                <w:sz w:val="22"/>
                <w:szCs w:val="22"/>
                <w:lang w:eastAsia="en-US"/>
              </w:rPr>
              <w:tab/>
            </w:r>
            <w:r w:rsidRPr="00521199">
              <w:rPr>
                <w:rStyle w:val="Hyperlink"/>
                <w:rFonts w:ascii="Arial" w:hAnsi="Arial" w:cs="Arial"/>
                <w:noProof/>
              </w:rPr>
              <w:t>Profitability of the VS LNG terminal sub-project</w:t>
            </w:r>
            <w:r>
              <w:rPr>
                <w:noProof/>
                <w:webHidden/>
              </w:rPr>
              <w:tab/>
            </w:r>
            <w:r>
              <w:rPr>
                <w:noProof/>
                <w:webHidden/>
              </w:rPr>
              <w:fldChar w:fldCharType="begin"/>
            </w:r>
            <w:r>
              <w:rPr>
                <w:noProof/>
                <w:webHidden/>
              </w:rPr>
              <w:instrText xml:space="preserve"> PAGEREF _Toc464551560 \h </w:instrText>
            </w:r>
            <w:r>
              <w:rPr>
                <w:noProof/>
                <w:webHidden/>
              </w:rPr>
            </w:r>
            <w:r>
              <w:rPr>
                <w:noProof/>
                <w:webHidden/>
              </w:rPr>
              <w:fldChar w:fldCharType="separate"/>
            </w:r>
            <w:r>
              <w:rPr>
                <w:noProof/>
                <w:webHidden/>
              </w:rPr>
              <w:t>64</w:t>
            </w:r>
            <w:r>
              <w:rPr>
                <w:noProof/>
                <w:webHidden/>
              </w:rPr>
              <w:fldChar w:fldCharType="end"/>
            </w:r>
          </w:hyperlink>
        </w:p>
        <w:p w:rsidR="00D132E2" w:rsidRDefault="00D132E2">
          <w:pPr>
            <w:pStyle w:val="TOC1"/>
            <w:rPr>
              <w:rFonts w:asciiTheme="minorHAnsi" w:eastAsiaTheme="minorEastAsia" w:hAnsiTheme="minorHAnsi" w:cstheme="minorBidi"/>
              <w:b w:val="0"/>
              <w:noProof/>
              <w:sz w:val="22"/>
              <w:szCs w:val="22"/>
              <w:lang w:eastAsia="en-US"/>
            </w:rPr>
          </w:pPr>
          <w:hyperlink w:anchor="_Toc464551561" w:history="1">
            <w:r w:rsidRPr="00521199">
              <w:rPr>
                <w:rStyle w:val="Hyperlink"/>
                <w:rFonts w:ascii="Arial" w:hAnsi="Arial" w:cs="Arial"/>
                <w:noProof/>
              </w:rPr>
              <w:t>14</w:t>
            </w:r>
            <w:r>
              <w:rPr>
                <w:rFonts w:asciiTheme="minorHAnsi" w:eastAsiaTheme="minorEastAsia" w:hAnsiTheme="minorHAnsi" w:cstheme="minorBidi"/>
                <w:b w:val="0"/>
                <w:noProof/>
                <w:sz w:val="22"/>
                <w:szCs w:val="22"/>
                <w:lang w:eastAsia="en-US"/>
              </w:rPr>
              <w:tab/>
            </w:r>
            <w:r w:rsidRPr="00521199">
              <w:rPr>
                <w:rStyle w:val="Hyperlink"/>
                <w:rFonts w:ascii="Arial" w:hAnsi="Arial" w:cs="Arial"/>
                <w:noProof/>
              </w:rPr>
              <w:t>Financial Analysis of All Sub-Projects</w:t>
            </w:r>
            <w:r>
              <w:rPr>
                <w:noProof/>
                <w:webHidden/>
              </w:rPr>
              <w:tab/>
            </w:r>
            <w:r>
              <w:rPr>
                <w:noProof/>
                <w:webHidden/>
              </w:rPr>
              <w:fldChar w:fldCharType="begin"/>
            </w:r>
            <w:r>
              <w:rPr>
                <w:noProof/>
                <w:webHidden/>
              </w:rPr>
              <w:instrText xml:space="preserve"> PAGEREF _Toc464551561 \h </w:instrText>
            </w:r>
            <w:r>
              <w:rPr>
                <w:noProof/>
                <w:webHidden/>
              </w:rPr>
            </w:r>
            <w:r>
              <w:rPr>
                <w:noProof/>
                <w:webHidden/>
              </w:rPr>
              <w:fldChar w:fldCharType="separate"/>
            </w:r>
            <w:r>
              <w:rPr>
                <w:noProof/>
                <w:webHidden/>
              </w:rPr>
              <w:t>65</w:t>
            </w:r>
            <w:r>
              <w:rPr>
                <w:noProof/>
                <w:webHidden/>
              </w:rPr>
              <w:fldChar w:fldCharType="end"/>
            </w:r>
          </w:hyperlink>
        </w:p>
        <w:p w:rsidR="0077226D" w:rsidRPr="00C534A9" w:rsidRDefault="0077226D" w:rsidP="00C534A9">
          <w:pPr>
            <w:jc w:val="both"/>
            <w:rPr>
              <w:rFonts w:ascii="Arial" w:hAnsi="Arial" w:cs="Arial"/>
              <w:sz w:val="22"/>
            </w:rPr>
          </w:pPr>
          <w:r w:rsidRPr="00C534A9">
            <w:rPr>
              <w:rFonts w:ascii="Arial" w:hAnsi="Arial" w:cs="Arial"/>
              <w:b/>
              <w:bCs/>
              <w:noProof/>
              <w:sz w:val="22"/>
            </w:rPr>
            <w:fldChar w:fldCharType="end"/>
          </w:r>
        </w:p>
      </w:sdtContent>
    </w:sdt>
    <w:p w:rsidR="00DE6A03" w:rsidRPr="00C534A9" w:rsidRDefault="00DE6A03" w:rsidP="00C534A9">
      <w:pPr>
        <w:jc w:val="both"/>
        <w:rPr>
          <w:rFonts w:ascii="Arial" w:hAnsi="Arial" w:cs="Arial"/>
          <w:b/>
          <w:szCs w:val="28"/>
        </w:rPr>
      </w:pPr>
      <w:r w:rsidRPr="00C534A9">
        <w:rPr>
          <w:rFonts w:ascii="Arial" w:hAnsi="Arial" w:cs="Arial"/>
          <w:b/>
          <w:szCs w:val="28"/>
        </w:rPr>
        <w:t>Appendices</w:t>
      </w:r>
    </w:p>
    <w:p w:rsidR="0077226D" w:rsidRPr="00C534A9" w:rsidRDefault="0077226D" w:rsidP="00C534A9">
      <w:pPr>
        <w:spacing w:before="100" w:beforeAutospacing="1" w:after="100" w:afterAutospacing="1"/>
        <w:jc w:val="both"/>
        <w:rPr>
          <w:rFonts w:ascii="Arial" w:hAnsi="Arial" w:cs="Arial"/>
          <w:sz w:val="22"/>
          <w:szCs w:val="24"/>
        </w:rPr>
      </w:pPr>
      <w:r w:rsidRPr="00C534A9">
        <w:rPr>
          <w:rStyle w:val="Heading4Char"/>
          <w:rFonts w:ascii="Arial" w:hAnsi="Arial" w:cs="Arial"/>
          <w:sz w:val="22"/>
          <w:szCs w:val="24"/>
        </w:rPr>
        <w:t xml:space="preserve">Appendix A: Annual Economic Costs and Benefits of the Loan Sub-Projects   </w:t>
      </w:r>
      <w:r w:rsidR="00B32A94" w:rsidRPr="00C534A9">
        <w:rPr>
          <w:rStyle w:val="Heading4Char"/>
          <w:rFonts w:ascii="Arial" w:hAnsi="Arial" w:cs="Arial"/>
          <w:sz w:val="22"/>
          <w:szCs w:val="24"/>
        </w:rPr>
        <w:t>71</w:t>
      </w:r>
    </w:p>
    <w:p w:rsidR="0077226D" w:rsidRPr="00C534A9" w:rsidRDefault="0077226D" w:rsidP="00C534A9">
      <w:pPr>
        <w:pStyle w:val="Heading4"/>
        <w:spacing w:before="100" w:beforeAutospacing="1" w:after="100" w:afterAutospacing="1"/>
        <w:jc w:val="both"/>
        <w:rPr>
          <w:rFonts w:ascii="Arial" w:hAnsi="Arial" w:cs="Arial"/>
          <w:sz w:val="22"/>
          <w:szCs w:val="24"/>
        </w:rPr>
      </w:pPr>
      <w:r w:rsidRPr="00C534A9">
        <w:rPr>
          <w:rFonts w:ascii="Arial" w:hAnsi="Arial" w:cs="Arial"/>
          <w:sz w:val="22"/>
          <w:szCs w:val="24"/>
        </w:rPr>
        <w:t>Appendix B: Annual Cash Flows of the Loan Sub-Projects</w:t>
      </w:r>
      <w:r w:rsidRPr="00C534A9">
        <w:rPr>
          <w:rFonts w:ascii="Arial" w:hAnsi="Arial" w:cs="Arial"/>
          <w:sz w:val="22"/>
          <w:szCs w:val="24"/>
        </w:rPr>
        <w:tab/>
        <w:t xml:space="preserve">                 </w:t>
      </w:r>
      <w:r w:rsidR="00B32A94" w:rsidRPr="00C534A9">
        <w:rPr>
          <w:rFonts w:ascii="Arial" w:hAnsi="Arial" w:cs="Arial"/>
          <w:sz w:val="22"/>
          <w:szCs w:val="24"/>
        </w:rPr>
        <w:t>76</w:t>
      </w:r>
    </w:p>
    <w:p w:rsidR="0077226D" w:rsidRPr="00C534A9" w:rsidRDefault="0077226D" w:rsidP="00C534A9">
      <w:pPr>
        <w:jc w:val="both"/>
        <w:rPr>
          <w:rFonts w:ascii="Arial" w:hAnsi="Arial" w:cs="Arial"/>
          <w:sz w:val="22"/>
        </w:rPr>
      </w:pPr>
    </w:p>
    <w:p w:rsidR="00B32A94" w:rsidRPr="00C534A9" w:rsidRDefault="00B32A94" w:rsidP="00C534A9">
      <w:pPr>
        <w:jc w:val="both"/>
        <w:rPr>
          <w:rFonts w:ascii="Arial" w:hAnsi="Arial" w:cs="Arial"/>
          <w:sz w:val="22"/>
        </w:rPr>
      </w:pPr>
    </w:p>
    <w:p w:rsidR="00DE6A03" w:rsidRPr="00C534A9" w:rsidRDefault="00DE6A03" w:rsidP="00C534A9">
      <w:pPr>
        <w:jc w:val="both"/>
        <w:rPr>
          <w:rFonts w:ascii="Arial" w:hAnsi="Arial" w:cs="Arial"/>
          <w:b/>
          <w:szCs w:val="28"/>
        </w:rPr>
      </w:pPr>
      <w:r w:rsidRPr="00C534A9">
        <w:rPr>
          <w:rFonts w:ascii="Arial" w:hAnsi="Arial" w:cs="Arial"/>
          <w:b/>
          <w:szCs w:val="28"/>
        </w:rPr>
        <w:t>Tables</w:t>
      </w:r>
      <w:r w:rsidR="00B32A94" w:rsidRPr="00C534A9">
        <w:rPr>
          <w:rFonts w:ascii="Arial" w:hAnsi="Arial" w:cs="Arial"/>
          <w:b/>
          <w:szCs w:val="28"/>
        </w:rPr>
        <w:t xml:space="preserve"> and Figures</w:t>
      </w:r>
    </w:p>
    <w:p w:rsidR="00B32A94" w:rsidRPr="00C534A9" w:rsidRDefault="00B32A94" w:rsidP="00C534A9">
      <w:pPr>
        <w:pStyle w:val="TableofFigures"/>
        <w:jc w:val="both"/>
        <w:rPr>
          <w:rFonts w:ascii="Arial" w:eastAsiaTheme="minorEastAsia" w:hAnsi="Arial" w:cs="Arial"/>
          <w:b w:val="0"/>
          <w:noProof/>
          <w:sz w:val="20"/>
          <w:szCs w:val="22"/>
          <w:lang w:eastAsia="en-US"/>
        </w:rPr>
      </w:pPr>
      <w:r w:rsidRPr="00C534A9">
        <w:rPr>
          <w:rFonts w:ascii="Arial" w:hAnsi="Arial" w:cs="Arial"/>
          <w:sz w:val="22"/>
        </w:rPr>
        <w:fldChar w:fldCharType="begin"/>
      </w:r>
      <w:r w:rsidRPr="00C534A9">
        <w:rPr>
          <w:rFonts w:ascii="Arial" w:hAnsi="Arial" w:cs="Arial"/>
          <w:sz w:val="22"/>
        </w:rPr>
        <w:instrText xml:space="preserve"> TOC \h \z \t "Caption" \c "Table" </w:instrText>
      </w:r>
      <w:r w:rsidRPr="00C534A9">
        <w:rPr>
          <w:rFonts w:ascii="Arial" w:hAnsi="Arial" w:cs="Arial"/>
          <w:sz w:val="22"/>
        </w:rPr>
        <w:fldChar w:fldCharType="separate"/>
      </w:r>
      <w:hyperlink w:anchor="_Toc463508959" w:history="1">
        <w:r w:rsidRPr="00C534A9">
          <w:rPr>
            <w:rStyle w:val="Hyperlink"/>
            <w:rFonts w:ascii="Arial" w:hAnsi="Arial" w:cs="Arial"/>
            <w:noProof/>
            <w:sz w:val="22"/>
          </w:rPr>
          <w:t>Table 2.1: Deployment of Cleaner Fuels and Renewable Energies in Barbados (BA-L1012) Sub-Projects</w:t>
        </w:r>
        <w:r w:rsidRPr="00C534A9">
          <w:rPr>
            <w:rFonts w:ascii="Arial" w:hAnsi="Arial" w:cs="Arial"/>
            <w:noProof/>
            <w:webHidden/>
            <w:sz w:val="22"/>
          </w:rPr>
          <w:tab/>
        </w:r>
        <w:r w:rsidRPr="00C534A9">
          <w:rPr>
            <w:rFonts w:ascii="Arial" w:hAnsi="Arial" w:cs="Arial"/>
            <w:noProof/>
            <w:webHidden/>
            <w:sz w:val="22"/>
          </w:rPr>
          <w:fldChar w:fldCharType="begin"/>
        </w:r>
        <w:r w:rsidRPr="00C534A9">
          <w:rPr>
            <w:rFonts w:ascii="Arial" w:hAnsi="Arial" w:cs="Arial"/>
            <w:noProof/>
            <w:webHidden/>
            <w:sz w:val="22"/>
          </w:rPr>
          <w:instrText xml:space="preserve"> PAGEREF _Toc463508959 \h </w:instrText>
        </w:r>
        <w:r w:rsidRPr="00C534A9">
          <w:rPr>
            <w:rFonts w:ascii="Arial" w:hAnsi="Arial" w:cs="Arial"/>
            <w:noProof/>
            <w:webHidden/>
            <w:sz w:val="22"/>
          </w:rPr>
        </w:r>
        <w:r w:rsidRPr="00C534A9">
          <w:rPr>
            <w:rFonts w:ascii="Arial" w:hAnsi="Arial" w:cs="Arial"/>
            <w:noProof/>
            <w:webHidden/>
            <w:sz w:val="22"/>
          </w:rPr>
          <w:fldChar w:fldCharType="separate"/>
        </w:r>
        <w:r w:rsidRPr="00C534A9">
          <w:rPr>
            <w:rFonts w:ascii="Arial" w:hAnsi="Arial" w:cs="Arial"/>
            <w:noProof/>
            <w:webHidden/>
            <w:sz w:val="22"/>
          </w:rPr>
          <w:t>11</w:t>
        </w:r>
        <w:r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8960" w:history="1">
        <w:r w:rsidR="00B32A94" w:rsidRPr="00C534A9">
          <w:rPr>
            <w:rStyle w:val="Hyperlink"/>
            <w:rFonts w:ascii="Arial" w:hAnsi="Arial" w:cs="Arial"/>
            <w:noProof/>
            <w:sz w:val="22"/>
          </w:rPr>
          <w:t>Table 2.2: Annual Average European carbon price (2006-2015)</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_Toc463508960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12</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8961" w:history="1">
        <w:r w:rsidR="00B32A94" w:rsidRPr="00C534A9">
          <w:rPr>
            <w:rStyle w:val="Hyperlink"/>
            <w:rFonts w:ascii="Arial" w:hAnsi="Arial" w:cs="Arial"/>
            <w:noProof/>
            <w:sz w:val="22"/>
          </w:rPr>
          <w:t>Table 2.3: 5-year and 10-year average European annual average carbon price (2015US$/ton)</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_Toc463508961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13</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8962" w:history="1">
        <w:r w:rsidR="00B32A94" w:rsidRPr="00C534A9">
          <w:rPr>
            <w:rStyle w:val="Hyperlink"/>
            <w:rFonts w:ascii="Arial" w:hAnsi="Arial" w:cs="Arial"/>
            <w:noProof/>
            <w:sz w:val="22"/>
          </w:rPr>
          <w:t>Figure 2.1: Henry Hub Price outlook under EIA 2016 AEO Oil Price Scenarios (2015 US$ per MMBtu)</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_Toc463508962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14</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8963" w:history="1">
        <w:r w:rsidR="00B32A94" w:rsidRPr="00C534A9">
          <w:rPr>
            <w:rStyle w:val="Hyperlink"/>
            <w:rFonts w:ascii="Arial" w:hAnsi="Arial" w:cs="Arial"/>
            <w:noProof/>
            <w:sz w:val="22"/>
          </w:rPr>
          <w:t>Table 2.4: Barbados natural gas import parity calculations (2016-2020)</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_Toc463508963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15</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8964" w:history="1">
        <w:r w:rsidR="00B32A94" w:rsidRPr="00C534A9">
          <w:rPr>
            <w:rStyle w:val="Hyperlink"/>
            <w:rFonts w:ascii="Arial" w:hAnsi="Arial" w:cs="Arial"/>
            <w:noProof/>
            <w:sz w:val="22"/>
          </w:rPr>
          <w:t>Figure 2.2: WTI Price outlook under EIA 2016 Annual Energy Outlook Oil Price Scenarios (2015 US$ per barrel)</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_Toc463508964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15</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8965" w:history="1">
        <w:r w:rsidR="00B32A94" w:rsidRPr="00C534A9">
          <w:rPr>
            <w:rStyle w:val="Hyperlink"/>
            <w:rFonts w:ascii="Arial" w:hAnsi="Arial" w:cs="Arial"/>
            <w:noProof/>
            <w:sz w:val="22"/>
          </w:rPr>
          <w:t>Figure 2.3: LPG Price outlook under EIA 2016 Annual Energy Outlook Oil Price Scenarios (2015 US$ per gallon)</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_Toc463508965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16</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8966" w:history="1">
        <w:r w:rsidR="00B32A94" w:rsidRPr="00C534A9">
          <w:rPr>
            <w:rStyle w:val="Hyperlink"/>
            <w:rFonts w:ascii="Arial" w:hAnsi="Arial" w:cs="Arial"/>
            <w:noProof/>
            <w:sz w:val="22"/>
          </w:rPr>
          <w:t>Figure 2.4: Barbados LNG Viability under EIA 2016 Annual Energy Outlook Oil Price Scenarios (WTI premium over Henry Hub in 2015 US$ per MMBtu)</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_Toc463508966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17</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8967" w:history="1">
        <w:r w:rsidR="00B32A94" w:rsidRPr="00C534A9">
          <w:rPr>
            <w:rStyle w:val="Hyperlink"/>
            <w:rFonts w:ascii="Arial" w:hAnsi="Arial" w:cs="Arial"/>
            <w:noProof/>
            <w:sz w:val="22"/>
          </w:rPr>
          <w:t>Figure 3.1: Net Economic Benefits of the micro-LNG facility expansion and compressor replacement sub-project (‘000 US$)</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_Toc463508967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18</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8968" w:history="1">
        <w:r w:rsidR="00B32A94" w:rsidRPr="00C534A9">
          <w:rPr>
            <w:rStyle w:val="Hyperlink"/>
            <w:rFonts w:ascii="Arial" w:hAnsi="Arial" w:cs="Arial"/>
            <w:noProof/>
            <w:sz w:val="22"/>
          </w:rPr>
          <w:t>Table 3.1: Assumptions Used to Determine the Economic Costs and Benefits of the micro-LNG expansion and natural gas compressor replacement sub-project</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_Toc463508968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21</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8969" w:history="1">
        <w:r w:rsidR="00B32A94" w:rsidRPr="00C534A9">
          <w:rPr>
            <w:rStyle w:val="Hyperlink"/>
            <w:rFonts w:ascii="Arial" w:hAnsi="Arial" w:cs="Arial"/>
            <w:noProof/>
            <w:sz w:val="22"/>
          </w:rPr>
          <w:t>Table 3.2: Economic Costs and Benefits of the micro-LNG expansion and natural gas compressor replacement sub-project (US$ ‘000)</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_Toc463508969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22</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8970" w:history="1">
        <w:r w:rsidR="00B32A94" w:rsidRPr="00C534A9">
          <w:rPr>
            <w:rStyle w:val="Hyperlink"/>
            <w:rFonts w:ascii="Arial" w:hAnsi="Arial" w:cs="Arial"/>
            <w:noProof/>
            <w:sz w:val="22"/>
          </w:rPr>
          <w:t>Table 3.3: CBA Sensitivity to oil and natural gas price (US$ ‘000)</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_Toc463508970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23</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8971" w:history="1">
        <w:r w:rsidR="00B32A94" w:rsidRPr="00C534A9">
          <w:rPr>
            <w:rStyle w:val="Hyperlink"/>
            <w:rFonts w:ascii="Arial" w:hAnsi="Arial" w:cs="Arial"/>
            <w:noProof/>
            <w:sz w:val="22"/>
          </w:rPr>
          <w:t>Table 3.4: CBA Sensitivity to CO2 price (US$ ‘000)</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_Toc463508971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24</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8972" w:history="1">
        <w:r w:rsidR="00B32A94" w:rsidRPr="00C534A9">
          <w:rPr>
            <w:rStyle w:val="Hyperlink"/>
            <w:rFonts w:ascii="Arial" w:hAnsi="Arial" w:cs="Arial"/>
            <w:noProof/>
            <w:sz w:val="22"/>
          </w:rPr>
          <w:t>Figure 3.2: Net Economic Benefits of the micro-LNG facility expansion and compressor replacement sub-project under worst case scenario (‘000 US$)</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_Toc463508972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24</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8973" w:history="1">
        <w:r w:rsidR="00B32A94" w:rsidRPr="00C534A9">
          <w:rPr>
            <w:rStyle w:val="Hyperlink"/>
            <w:rFonts w:ascii="Arial" w:hAnsi="Arial" w:cs="Arial"/>
            <w:noProof/>
            <w:sz w:val="22"/>
          </w:rPr>
          <w:t>Figure 4.1: Net Economic Benefits of the wind turbine (US$ ‘000)</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_Toc463508973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25</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8974" w:history="1">
        <w:r w:rsidR="00B32A94" w:rsidRPr="00C534A9">
          <w:rPr>
            <w:rStyle w:val="Hyperlink"/>
            <w:rFonts w:ascii="Arial" w:hAnsi="Arial" w:cs="Arial"/>
            <w:noProof/>
            <w:sz w:val="22"/>
          </w:rPr>
          <w:t>Table 4.1: Assumptions Used to Determine the Wind Turbine Economic Costs and Benefits</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_Toc463508974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27</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8975" w:history="1">
        <w:r w:rsidR="00B32A94" w:rsidRPr="00C534A9">
          <w:rPr>
            <w:rStyle w:val="Hyperlink"/>
            <w:rFonts w:ascii="Arial" w:hAnsi="Arial" w:cs="Arial"/>
            <w:noProof/>
            <w:sz w:val="22"/>
          </w:rPr>
          <w:t>Table 4.2: Economic Costs and Benefits of the Wind Turbine (US$ ‘000)</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_Toc463508975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28</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8976" w:history="1">
        <w:r w:rsidR="00B32A94" w:rsidRPr="00C534A9">
          <w:rPr>
            <w:rStyle w:val="Hyperlink"/>
            <w:rFonts w:ascii="Arial" w:hAnsi="Arial" w:cs="Arial"/>
            <w:noProof/>
            <w:sz w:val="22"/>
          </w:rPr>
          <w:t>Table 4.3: CBA Sensitivity to oil price (US$ ‘000)</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_Toc463508976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29</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8977" w:history="1">
        <w:r w:rsidR="00B32A94" w:rsidRPr="00C534A9">
          <w:rPr>
            <w:rStyle w:val="Hyperlink"/>
            <w:rFonts w:ascii="Arial" w:hAnsi="Arial" w:cs="Arial"/>
            <w:noProof/>
            <w:sz w:val="22"/>
          </w:rPr>
          <w:t>Table 4.4: CBA Sensitivity to CO2 price (US$ ‘000)</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_Toc463508977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29</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8978" w:history="1">
        <w:r w:rsidR="00B32A94" w:rsidRPr="00C534A9">
          <w:rPr>
            <w:rStyle w:val="Hyperlink"/>
            <w:rFonts w:ascii="Arial" w:hAnsi="Arial" w:cs="Arial"/>
            <w:noProof/>
            <w:sz w:val="22"/>
          </w:rPr>
          <w:t>Table 4.5: CBA Sensitivity to capacity factor (US$ ‘000)</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_Toc463508978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30</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8979" w:history="1">
        <w:r w:rsidR="00B32A94" w:rsidRPr="00C534A9">
          <w:rPr>
            <w:rStyle w:val="Hyperlink"/>
            <w:rFonts w:ascii="Arial" w:hAnsi="Arial" w:cs="Arial"/>
            <w:noProof/>
            <w:sz w:val="22"/>
          </w:rPr>
          <w:t>Figure 4.2: Net Economic Benefits of the wind turbine sub-project under a worst case scenario (‘000 US$)</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_Toc463508979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30</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8980" w:history="1">
        <w:r w:rsidR="00B32A94" w:rsidRPr="00C534A9">
          <w:rPr>
            <w:rStyle w:val="Hyperlink"/>
            <w:rFonts w:ascii="Arial" w:hAnsi="Arial" w:cs="Arial"/>
            <w:noProof/>
            <w:sz w:val="22"/>
          </w:rPr>
          <w:t>Figure 5.1: Net Economic Benefits of the PV system sub-project (US$ ‘000)</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_Toc463508980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31</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8981" w:history="1">
        <w:r w:rsidR="00B32A94" w:rsidRPr="00C534A9">
          <w:rPr>
            <w:rStyle w:val="Hyperlink"/>
            <w:rFonts w:ascii="Arial" w:hAnsi="Arial" w:cs="Arial"/>
            <w:noProof/>
            <w:sz w:val="22"/>
          </w:rPr>
          <w:t>Table 5.1: Assumptions Used to Determine the Solar panel Economic Costs and Benefits</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_Toc463508981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33</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8982" w:history="1">
        <w:r w:rsidR="00B32A94" w:rsidRPr="00C534A9">
          <w:rPr>
            <w:rStyle w:val="Hyperlink"/>
            <w:rFonts w:ascii="Arial" w:hAnsi="Arial" w:cs="Arial"/>
            <w:noProof/>
            <w:sz w:val="22"/>
          </w:rPr>
          <w:t>Table 5.2: Economic Costs and Benefits of the PV system sub-project (US$ ‘000)</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_Toc463508982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34</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8983" w:history="1">
        <w:r w:rsidR="00B32A94" w:rsidRPr="00C534A9">
          <w:rPr>
            <w:rStyle w:val="Hyperlink"/>
            <w:rFonts w:ascii="Arial" w:hAnsi="Arial" w:cs="Arial"/>
            <w:noProof/>
            <w:sz w:val="22"/>
          </w:rPr>
          <w:t>Table 5.3: CBA Sensitivity to oil price (US$ ‘000)</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_Toc463508983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35</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8984" w:history="1">
        <w:r w:rsidR="00B32A94" w:rsidRPr="00C534A9">
          <w:rPr>
            <w:rStyle w:val="Hyperlink"/>
            <w:rFonts w:ascii="Arial" w:hAnsi="Arial" w:cs="Arial"/>
            <w:noProof/>
            <w:sz w:val="22"/>
          </w:rPr>
          <w:t>Table 5.4: CBA Sensitivity to CO2 price (US$ ‘000)</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_Toc463508984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35</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8985" w:history="1">
        <w:r w:rsidR="00B32A94" w:rsidRPr="00C534A9">
          <w:rPr>
            <w:rStyle w:val="Hyperlink"/>
            <w:rFonts w:ascii="Arial" w:hAnsi="Arial" w:cs="Arial"/>
            <w:noProof/>
            <w:sz w:val="22"/>
          </w:rPr>
          <w:t>Table 5.5: CBA Sensitivity to capacity factor (US$ ‘000)</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_Toc463508985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36</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8986" w:history="1">
        <w:r w:rsidR="00B32A94" w:rsidRPr="00C534A9">
          <w:rPr>
            <w:rStyle w:val="Hyperlink"/>
            <w:rFonts w:ascii="Arial" w:hAnsi="Arial" w:cs="Arial"/>
            <w:noProof/>
            <w:sz w:val="22"/>
          </w:rPr>
          <w:t>Figure 5.2: Net Economic Benefits of the solar panel sub-project under a worst case scenario (‘000 US$)</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_Toc463508986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36</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8987" w:history="1">
        <w:r w:rsidR="00B32A94" w:rsidRPr="00C534A9">
          <w:rPr>
            <w:rStyle w:val="Hyperlink"/>
            <w:rFonts w:ascii="Arial" w:hAnsi="Arial" w:cs="Arial"/>
            <w:noProof/>
            <w:sz w:val="22"/>
          </w:rPr>
          <w:t>Figure 6.1: Net Economic Benefits of the VS LNG Terminal (US$ ‘000)</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_Toc463508987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37</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8988" w:history="1">
        <w:r w:rsidR="00B32A94" w:rsidRPr="00C534A9">
          <w:rPr>
            <w:rStyle w:val="Hyperlink"/>
            <w:rFonts w:ascii="Arial" w:hAnsi="Arial" w:cs="Arial"/>
            <w:noProof/>
            <w:sz w:val="22"/>
          </w:rPr>
          <w:t>Table 6.1: Assumptions Used to Determine the Economic Costs and Benefits of the VS LNG terminal</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_Toc463508988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40</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8989" w:history="1">
        <w:r w:rsidR="00B32A94" w:rsidRPr="00C534A9">
          <w:rPr>
            <w:rStyle w:val="Hyperlink"/>
            <w:rFonts w:ascii="Arial" w:hAnsi="Arial" w:cs="Arial"/>
            <w:noProof/>
            <w:sz w:val="22"/>
          </w:rPr>
          <w:t>Table 6.2: Economic Costs and Benefits of the VS LNG terminal (US$ ‘000)</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_Toc463508989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41</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8990" w:history="1">
        <w:r w:rsidR="00B32A94" w:rsidRPr="00C534A9">
          <w:rPr>
            <w:rStyle w:val="Hyperlink"/>
            <w:rFonts w:ascii="Arial" w:hAnsi="Arial" w:cs="Arial"/>
            <w:noProof/>
            <w:sz w:val="22"/>
          </w:rPr>
          <w:t>Table 6.3: CBA Sensitivity to oil price (US$ ‘000)</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_Toc463508990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42</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8991" w:history="1">
        <w:r w:rsidR="00B32A94" w:rsidRPr="00C534A9">
          <w:rPr>
            <w:rStyle w:val="Hyperlink"/>
            <w:rFonts w:ascii="Arial" w:hAnsi="Arial" w:cs="Arial"/>
            <w:noProof/>
            <w:sz w:val="22"/>
          </w:rPr>
          <w:t>Table 6.4: CBA Sensitivity to CO2 price (US$ ‘000)</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_Toc463508991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42</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8992" w:history="1">
        <w:r w:rsidR="00B32A94" w:rsidRPr="00C534A9">
          <w:rPr>
            <w:rStyle w:val="Hyperlink"/>
            <w:rFonts w:ascii="Arial" w:hAnsi="Arial" w:cs="Arial"/>
            <w:noProof/>
            <w:sz w:val="22"/>
          </w:rPr>
          <w:t>Figure 6.2: Net Economic Benefits of the VS LNG terminal sub-project under a worst case scenario (‘000 US$)</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_Toc463508992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43</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8993" w:history="1">
        <w:r w:rsidR="00B32A94" w:rsidRPr="00C534A9">
          <w:rPr>
            <w:rStyle w:val="Hyperlink"/>
            <w:rFonts w:ascii="Arial" w:hAnsi="Arial" w:cs="Arial"/>
            <w:noProof/>
            <w:sz w:val="22"/>
          </w:rPr>
          <w:t>Figure 7.1: Net Economic Benefits of the Sub-Projects (not including the VS LNG terminal) (US$ ‘000)</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_Toc463508993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43</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8994" w:history="1">
        <w:r w:rsidR="00B32A94" w:rsidRPr="00C534A9">
          <w:rPr>
            <w:rStyle w:val="Hyperlink"/>
            <w:rFonts w:ascii="Arial" w:hAnsi="Arial" w:cs="Arial"/>
            <w:noProof/>
            <w:sz w:val="22"/>
          </w:rPr>
          <w:t>Table 7.1: Economic Costs and Benefits of all Sub-Project except the VS LNG terminal (US$ ‘000)</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_Toc463508994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44</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8995" w:history="1">
        <w:r w:rsidR="00B32A94" w:rsidRPr="00C534A9">
          <w:rPr>
            <w:rStyle w:val="Hyperlink"/>
            <w:rFonts w:ascii="Arial" w:hAnsi="Arial" w:cs="Arial"/>
            <w:noProof/>
            <w:sz w:val="22"/>
          </w:rPr>
          <w:t>Table 6.3: CBA Sensitivity to oil price (US$ ‘000)</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_Toc463508995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45</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8996" w:history="1">
        <w:r w:rsidR="00B32A94" w:rsidRPr="00C534A9">
          <w:rPr>
            <w:rStyle w:val="Hyperlink"/>
            <w:rFonts w:ascii="Arial" w:hAnsi="Arial" w:cs="Arial"/>
            <w:noProof/>
            <w:sz w:val="22"/>
          </w:rPr>
          <w:t>Figure 6.2: Net Economic Benefits of the total project under a worst case scenario (‘000 US$)</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_Toc463508996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45</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8997" w:history="1">
        <w:r w:rsidR="00B32A94" w:rsidRPr="00C534A9">
          <w:rPr>
            <w:rStyle w:val="Hyperlink"/>
            <w:rFonts w:ascii="Arial" w:hAnsi="Arial" w:cs="Arial"/>
            <w:noProof/>
            <w:sz w:val="22"/>
          </w:rPr>
          <w:t>Figure 7.2: Net Economic Benefits of the Sub-Projects (including the VS LNG terminal) (US$ ‘000)</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_Toc463508997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45</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8998" w:history="1">
        <w:r w:rsidR="00B32A94" w:rsidRPr="00C534A9">
          <w:rPr>
            <w:rStyle w:val="Hyperlink"/>
            <w:rFonts w:ascii="Arial" w:hAnsi="Arial" w:cs="Arial"/>
            <w:noProof/>
            <w:sz w:val="22"/>
          </w:rPr>
          <w:t>Table 7.2: Aggregated Economic Costs and Benefits of all sub-project including the VS LNG terminal (US$ ‘000)</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_Toc463508998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46</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8999" w:history="1">
        <w:r w:rsidR="00B32A94" w:rsidRPr="00C534A9">
          <w:rPr>
            <w:rStyle w:val="Hyperlink"/>
            <w:rFonts w:ascii="Arial" w:hAnsi="Arial" w:cs="Arial"/>
            <w:noProof/>
            <w:sz w:val="22"/>
          </w:rPr>
          <w:t>Table 8.1 Financial Analysis Assumptions and Variables</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_Toc463508999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48</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9000" w:history="1">
        <w:r w:rsidR="00B32A94" w:rsidRPr="00C534A9">
          <w:rPr>
            <w:rStyle w:val="Hyperlink"/>
            <w:rFonts w:ascii="Arial" w:hAnsi="Arial" w:cs="Arial"/>
            <w:noProof/>
            <w:sz w:val="22"/>
          </w:rPr>
          <w:t>Table 9.2: Financial summary of the micro-LNG expansion sub-project (US$ ‘000)</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_Toc463509000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51</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9001" w:history="1">
        <w:r w:rsidR="00B32A94" w:rsidRPr="00C534A9">
          <w:rPr>
            <w:rStyle w:val="Hyperlink"/>
            <w:rFonts w:ascii="Arial" w:hAnsi="Arial" w:cs="Arial"/>
            <w:noProof/>
            <w:sz w:val="22"/>
          </w:rPr>
          <w:t>Table 10.2: Financial summary of the compressor replacement sub-project (US$ ‘000)</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_Toc463509001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53</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9002" w:history="1">
        <w:r w:rsidR="00B32A94" w:rsidRPr="00C534A9">
          <w:rPr>
            <w:rStyle w:val="Hyperlink"/>
            <w:rFonts w:ascii="Arial" w:hAnsi="Arial" w:cs="Arial"/>
            <w:noProof/>
            <w:sz w:val="22"/>
          </w:rPr>
          <w:t>Table 11.2: Financial summary of the wind turbine sub-project (US$ ‘000)</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_Toc463509002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56</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9003" w:history="1">
        <w:r w:rsidR="00B32A94" w:rsidRPr="00C534A9">
          <w:rPr>
            <w:rStyle w:val="Hyperlink"/>
            <w:rFonts w:ascii="Arial" w:hAnsi="Arial" w:cs="Arial"/>
            <w:noProof/>
            <w:sz w:val="22"/>
          </w:rPr>
          <w:t>Table 12.2: Financial summary of the PV system sub-project (US$ ‘000)</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_Toc463509003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59</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9004" w:history="1">
        <w:r w:rsidR="00B32A94" w:rsidRPr="00C534A9">
          <w:rPr>
            <w:rStyle w:val="Hyperlink"/>
            <w:rFonts w:ascii="Arial" w:hAnsi="Arial" w:cs="Arial"/>
            <w:noProof/>
            <w:sz w:val="22"/>
          </w:rPr>
          <w:t>Table 13.2: Financial summary of the VS LNG terminal sub-project (US$ ‘000)</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_Toc463509004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63</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9005" w:history="1">
        <w:r w:rsidR="00B32A94" w:rsidRPr="00C534A9">
          <w:rPr>
            <w:rStyle w:val="Hyperlink"/>
            <w:rFonts w:ascii="Arial" w:hAnsi="Arial" w:cs="Arial"/>
            <w:noProof/>
            <w:sz w:val="22"/>
          </w:rPr>
          <w:t>Table 14.1: Financial Summary of all Sub-Projects except the VS LNG terminal (US$ ‘000)</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_Toc463509005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64</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9006" w:history="1">
        <w:r w:rsidR="00B32A94" w:rsidRPr="00C534A9">
          <w:rPr>
            <w:rStyle w:val="Hyperlink"/>
            <w:rFonts w:ascii="Arial" w:hAnsi="Arial" w:cs="Arial"/>
            <w:noProof/>
            <w:sz w:val="22"/>
          </w:rPr>
          <w:t>Table 14.2: Financial Summary of all sub-project including the VS LNG terminal (US$ ‘000)</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_Toc463509006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64</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9007" w:history="1">
        <w:r w:rsidR="00B32A94" w:rsidRPr="00C534A9">
          <w:rPr>
            <w:rStyle w:val="Hyperlink"/>
            <w:rFonts w:ascii="Arial" w:hAnsi="Arial" w:cs="Arial"/>
            <w:noProof/>
            <w:sz w:val="22"/>
          </w:rPr>
          <w:t>Table A.1: Schedule of Annual Economic Costs and Benefits of the micro-LNG facility expansion and compressor replacement sub-project</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_Toc463509007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66</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9008" w:history="1">
        <w:r w:rsidR="00B32A94" w:rsidRPr="00C534A9">
          <w:rPr>
            <w:rStyle w:val="Hyperlink"/>
            <w:rFonts w:ascii="Arial" w:hAnsi="Arial" w:cs="Arial"/>
            <w:noProof/>
            <w:sz w:val="22"/>
          </w:rPr>
          <w:t>Table A.2: Schedule of Annual Economic Costs and Benefits of the wind turbine sub-project</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_Toc463509008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67</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9009" w:history="1">
        <w:r w:rsidR="00B32A94" w:rsidRPr="00C534A9">
          <w:rPr>
            <w:rStyle w:val="Hyperlink"/>
            <w:rFonts w:ascii="Arial" w:hAnsi="Arial" w:cs="Arial"/>
            <w:noProof/>
            <w:sz w:val="22"/>
          </w:rPr>
          <w:t>Table A.3: Schedule of Annual Economic Costs and Benefits of the PV system sub-project</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_Toc463509009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68</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9010" w:history="1">
        <w:r w:rsidR="00B32A94" w:rsidRPr="00C534A9">
          <w:rPr>
            <w:rStyle w:val="Hyperlink"/>
            <w:rFonts w:ascii="Arial" w:hAnsi="Arial" w:cs="Arial"/>
            <w:noProof/>
            <w:sz w:val="22"/>
          </w:rPr>
          <w:t>Table A.4: Schedule of Annual Economic Costs and Benefits of the VS LNG terminal sub-project</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_Toc463509010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69</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9011" w:history="1">
        <w:r w:rsidR="00B32A94" w:rsidRPr="00C534A9">
          <w:rPr>
            <w:rStyle w:val="Hyperlink"/>
            <w:rFonts w:ascii="Arial" w:hAnsi="Arial" w:cs="Arial"/>
            <w:noProof/>
            <w:sz w:val="22"/>
          </w:rPr>
          <w:t>Table B.1: Schedule of Annual Financial Cash Flows of the micro-LNG facility expansion sub-project</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_Toc463509011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71</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9012" w:history="1">
        <w:r w:rsidR="00B32A94" w:rsidRPr="00C534A9">
          <w:rPr>
            <w:rStyle w:val="Hyperlink"/>
            <w:rFonts w:ascii="Arial" w:hAnsi="Arial" w:cs="Arial"/>
            <w:noProof/>
            <w:sz w:val="22"/>
          </w:rPr>
          <w:t>Table B.2: Schedule of Annual Financial Cash Flows of the compressor replacement sub-project</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_Toc463509012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72</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9013" w:history="1">
        <w:r w:rsidR="00B32A94" w:rsidRPr="00C534A9">
          <w:rPr>
            <w:rStyle w:val="Hyperlink"/>
            <w:rFonts w:ascii="Arial" w:hAnsi="Arial" w:cs="Arial"/>
            <w:noProof/>
            <w:sz w:val="22"/>
          </w:rPr>
          <w:t>Table B.3: Schedule of Annual Financial Cash Flows of the wind turbine sub-project</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_Toc463509013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73</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9014" w:history="1">
        <w:r w:rsidR="00B32A94" w:rsidRPr="00C534A9">
          <w:rPr>
            <w:rStyle w:val="Hyperlink"/>
            <w:rFonts w:ascii="Arial" w:hAnsi="Arial" w:cs="Arial"/>
            <w:noProof/>
            <w:sz w:val="22"/>
          </w:rPr>
          <w:t>Table B.4: Schedule of Annual Financial Cash Flows of the PV system sub-project</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_Toc463509014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74</w:t>
        </w:r>
        <w:r w:rsidR="00B32A94" w:rsidRPr="00C534A9">
          <w:rPr>
            <w:rFonts w:ascii="Arial" w:hAnsi="Arial" w:cs="Arial"/>
            <w:noProof/>
            <w:webHidden/>
            <w:sz w:val="22"/>
          </w:rPr>
          <w:fldChar w:fldCharType="end"/>
        </w:r>
      </w:hyperlink>
    </w:p>
    <w:p w:rsidR="00B32A94" w:rsidRPr="00C534A9" w:rsidRDefault="00E27F81" w:rsidP="00C534A9">
      <w:pPr>
        <w:pStyle w:val="TableofFigures"/>
        <w:jc w:val="both"/>
        <w:rPr>
          <w:rFonts w:ascii="Arial" w:eastAsiaTheme="minorEastAsia" w:hAnsi="Arial" w:cs="Arial"/>
          <w:b w:val="0"/>
          <w:noProof/>
          <w:sz w:val="20"/>
          <w:szCs w:val="22"/>
          <w:lang w:eastAsia="en-US"/>
        </w:rPr>
      </w:pPr>
      <w:hyperlink w:anchor="_Toc463509015" w:history="1">
        <w:r w:rsidR="00B32A94" w:rsidRPr="00C534A9">
          <w:rPr>
            <w:rStyle w:val="Hyperlink"/>
            <w:rFonts w:ascii="Arial" w:hAnsi="Arial" w:cs="Arial"/>
            <w:noProof/>
            <w:sz w:val="22"/>
          </w:rPr>
          <w:t>Table B.5: Schedule of Annual Financial Cash Flows of the VS LNG terminal sub-project</w:t>
        </w:r>
        <w:r w:rsidR="00B32A94" w:rsidRPr="00C534A9">
          <w:rPr>
            <w:rFonts w:ascii="Arial" w:hAnsi="Arial" w:cs="Arial"/>
            <w:noProof/>
            <w:webHidden/>
            <w:sz w:val="22"/>
          </w:rPr>
          <w:tab/>
        </w:r>
        <w:r w:rsidR="00B32A94" w:rsidRPr="00C534A9">
          <w:rPr>
            <w:rFonts w:ascii="Arial" w:hAnsi="Arial" w:cs="Arial"/>
            <w:noProof/>
            <w:webHidden/>
            <w:sz w:val="22"/>
          </w:rPr>
          <w:fldChar w:fldCharType="begin"/>
        </w:r>
        <w:r w:rsidR="00B32A94" w:rsidRPr="00C534A9">
          <w:rPr>
            <w:rFonts w:ascii="Arial" w:hAnsi="Arial" w:cs="Arial"/>
            <w:noProof/>
            <w:webHidden/>
            <w:sz w:val="22"/>
          </w:rPr>
          <w:instrText xml:space="preserve"> PAGEREF _Toc463509015 \h </w:instrText>
        </w:r>
        <w:r w:rsidR="00B32A94" w:rsidRPr="00C534A9">
          <w:rPr>
            <w:rFonts w:ascii="Arial" w:hAnsi="Arial" w:cs="Arial"/>
            <w:noProof/>
            <w:webHidden/>
            <w:sz w:val="22"/>
          </w:rPr>
        </w:r>
        <w:r w:rsidR="00B32A94" w:rsidRPr="00C534A9">
          <w:rPr>
            <w:rFonts w:ascii="Arial" w:hAnsi="Arial" w:cs="Arial"/>
            <w:noProof/>
            <w:webHidden/>
            <w:sz w:val="22"/>
          </w:rPr>
          <w:fldChar w:fldCharType="separate"/>
        </w:r>
        <w:r w:rsidR="00B32A94" w:rsidRPr="00C534A9">
          <w:rPr>
            <w:rFonts w:ascii="Arial" w:hAnsi="Arial" w:cs="Arial"/>
            <w:noProof/>
            <w:webHidden/>
            <w:sz w:val="22"/>
          </w:rPr>
          <w:t>75</w:t>
        </w:r>
        <w:r w:rsidR="00B32A94" w:rsidRPr="00C534A9">
          <w:rPr>
            <w:rFonts w:ascii="Arial" w:hAnsi="Arial" w:cs="Arial"/>
            <w:noProof/>
            <w:webHidden/>
            <w:sz w:val="22"/>
          </w:rPr>
          <w:fldChar w:fldCharType="end"/>
        </w:r>
      </w:hyperlink>
    </w:p>
    <w:p w:rsidR="00DE6A03" w:rsidRPr="00C534A9" w:rsidRDefault="00B32A94" w:rsidP="00C534A9">
      <w:pPr>
        <w:jc w:val="both"/>
        <w:rPr>
          <w:rFonts w:ascii="Arial" w:hAnsi="Arial" w:cs="Arial"/>
          <w:b/>
          <w:szCs w:val="28"/>
        </w:rPr>
      </w:pPr>
      <w:r w:rsidRPr="00C534A9">
        <w:rPr>
          <w:rFonts w:ascii="Arial" w:hAnsi="Arial" w:cs="Arial"/>
          <w:sz w:val="22"/>
        </w:rPr>
        <w:fldChar w:fldCharType="end"/>
      </w:r>
    </w:p>
    <w:p w:rsidR="00DE6A03" w:rsidRPr="00C534A9" w:rsidRDefault="00DE6A03" w:rsidP="00C534A9">
      <w:pPr>
        <w:jc w:val="both"/>
        <w:rPr>
          <w:rFonts w:ascii="Arial" w:hAnsi="Arial" w:cs="Arial"/>
          <w:b/>
          <w:sz w:val="22"/>
          <w:u w:val="single"/>
        </w:rPr>
      </w:pPr>
      <w:r w:rsidRPr="00C534A9">
        <w:rPr>
          <w:rFonts w:ascii="Arial" w:hAnsi="Arial" w:cs="Arial"/>
          <w:b/>
          <w:sz w:val="22"/>
          <w:u w:val="single"/>
        </w:rPr>
        <w:br w:type="page"/>
      </w:r>
    </w:p>
    <w:p w:rsidR="00941F61" w:rsidRPr="00C534A9" w:rsidRDefault="00DE6A03" w:rsidP="00C534A9">
      <w:pPr>
        <w:pStyle w:val="Heading1"/>
        <w:jc w:val="both"/>
        <w:rPr>
          <w:rFonts w:ascii="Arial" w:hAnsi="Arial" w:cs="Arial"/>
          <w:sz w:val="24"/>
        </w:rPr>
      </w:pPr>
      <w:bookmarkStart w:id="1" w:name="_Toc464551489"/>
      <w:r w:rsidRPr="00C534A9">
        <w:rPr>
          <w:rFonts w:ascii="Arial" w:hAnsi="Arial" w:cs="Arial"/>
          <w:sz w:val="24"/>
        </w:rPr>
        <w:t>Introduction</w:t>
      </w:r>
      <w:bookmarkEnd w:id="1"/>
    </w:p>
    <w:p w:rsidR="00482D2D" w:rsidRPr="00C534A9" w:rsidRDefault="00482D2D" w:rsidP="00C534A9">
      <w:pPr>
        <w:jc w:val="both"/>
        <w:rPr>
          <w:rFonts w:ascii="Arial" w:hAnsi="Arial" w:cs="Arial"/>
          <w:sz w:val="22"/>
        </w:rPr>
      </w:pPr>
      <w:r w:rsidRPr="00C534A9">
        <w:rPr>
          <w:rFonts w:ascii="Arial" w:hAnsi="Arial" w:cs="Arial"/>
          <w:sz w:val="22"/>
        </w:rPr>
        <w:t>The Inter-American Development Bank (IDB) is preparing a loan operation (Loan BA-L1012) for the Government of Barbados (GOB) to support the deployment of cleaner fuels and renewable energies in the country. This operation will be a loan to be executed by the National Petroleum Corporation (NPC) of Barbados</w:t>
      </w:r>
      <w:r w:rsidR="00E10C7D" w:rsidRPr="00C534A9">
        <w:rPr>
          <w:rFonts w:ascii="Arial" w:hAnsi="Arial" w:cs="Arial"/>
          <w:sz w:val="22"/>
        </w:rPr>
        <w:t>. T</w:t>
      </w:r>
      <w:r w:rsidRPr="00C534A9">
        <w:rPr>
          <w:rFonts w:ascii="Arial" w:hAnsi="Arial" w:cs="Arial"/>
          <w:sz w:val="22"/>
        </w:rPr>
        <w:t xml:space="preserve">he main objective is to support Barbados’ energy security by enhancing the energy sector as well as promoting the introduction of cleaner fuels such as natural gas (NG) in </w:t>
      </w:r>
      <w:r w:rsidR="00E10C7D" w:rsidRPr="00C534A9">
        <w:rPr>
          <w:rFonts w:ascii="Arial" w:hAnsi="Arial" w:cs="Arial"/>
          <w:sz w:val="22"/>
        </w:rPr>
        <w:t xml:space="preserve">the </w:t>
      </w:r>
      <w:r w:rsidRPr="00C534A9">
        <w:rPr>
          <w:rFonts w:ascii="Arial" w:hAnsi="Arial" w:cs="Arial"/>
          <w:sz w:val="22"/>
        </w:rPr>
        <w:t xml:space="preserve">form of liquefied natural gas (LNG) and the implementation of smart energy solutions such as photovoltaic power systems for NG production activities and design of new smart and green energy public buildings.  </w:t>
      </w:r>
    </w:p>
    <w:p w:rsidR="00DE6A03" w:rsidRPr="00C534A9" w:rsidRDefault="00DE6A03" w:rsidP="00C534A9">
      <w:pPr>
        <w:jc w:val="both"/>
        <w:rPr>
          <w:rFonts w:ascii="Arial" w:hAnsi="Arial" w:cs="Arial"/>
          <w:sz w:val="22"/>
        </w:rPr>
      </w:pPr>
      <w:r w:rsidRPr="00C534A9">
        <w:rPr>
          <w:rFonts w:ascii="Arial" w:hAnsi="Arial" w:cs="Arial"/>
          <w:sz w:val="22"/>
        </w:rPr>
        <w:t xml:space="preserve">This document presents the Cost Benefit Analysis (CBA) </w:t>
      </w:r>
      <w:r w:rsidR="00D0568D" w:rsidRPr="00C534A9">
        <w:rPr>
          <w:rFonts w:ascii="Arial" w:hAnsi="Arial" w:cs="Arial"/>
          <w:sz w:val="22"/>
        </w:rPr>
        <w:t xml:space="preserve">(Section A) and the financial analysis (Section B) </w:t>
      </w:r>
      <w:r w:rsidRPr="00C534A9">
        <w:rPr>
          <w:rFonts w:ascii="Arial" w:hAnsi="Arial" w:cs="Arial"/>
          <w:sz w:val="22"/>
        </w:rPr>
        <w:t xml:space="preserve">of the </w:t>
      </w:r>
      <w:r w:rsidR="00D0568D" w:rsidRPr="00C534A9">
        <w:rPr>
          <w:rFonts w:ascii="Arial" w:hAnsi="Arial" w:cs="Arial"/>
          <w:sz w:val="22"/>
        </w:rPr>
        <w:t>sub-projects that the loan operation will finance: expansion of the micro-LNG facility at Woodbourne, replacement of natural gas fired compressors with high efficiency electric compressors, installation of an 850 kW wind turbine, and installation of a 300 kW PV and smart energy system</w:t>
      </w:r>
      <w:r w:rsidRPr="00C534A9">
        <w:rPr>
          <w:rFonts w:ascii="Arial" w:hAnsi="Arial" w:cs="Arial"/>
          <w:sz w:val="22"/>
        </w:rPr>
        <w:t xml:space="preserve">. </w:t>
      </w:r>
      <w:r w:rsidR="00D0568D" w:rsidRPr="00C534A9">
        <w:rPr>
          <w:rFonts w:ascii="Arial" w:hAnsi="Arial" w:cs="Arial"/>
          <w:sz w:val="22"/>
        </w:rPr>
        <w:t xml:space="preserve">The CBA and financial analysis also examine the possible very small (VS) LNG terminal that may be supported through a Public-Private Partnership, although the loan operation will not fund the construction of the terminal itself. </w:t>
      </w:r>
    </w:p>
    <w:p w:rsidR="00DE6A03" w:rsidRPr="00C534A9" w:rsidRDefault="00712B41" w:rsidP="00C534A9">
      <w:pPr>
        <w:jc w:val="both"/>
        <w:rPr>
          <w:rStyle w:val="BodyTextChar"/>
          <w:rFonts w:ascii="Arial" w:hAnsi="Arial" w:cs="Arial"/>
          <w:sz w:val="22"/>
        </w:rPr>
      </w:pPr>
      <w:r w:rsidRPr="00C534A9">
        <w:rPr>
          <w:rFonts w:ascii="Arial" w:hAnsi="Arial" w:cs="Arial"/>
          <w:sz w:val="22"/>
          <w:szCs w:val="24"/>
        </w:rPr>
        <w:t xml:space="preserve">The methodology </w:t>
      </w:r>
      <w:r w:rsidR="00DE6A03" w:rsidRPr="00C534A9">
        <w:rPr>
          <w:rFonts w:ascii="Arial" w:hAnsi="Arial" w:cs="Arial"/>
          <w:sz w:val="22"/>
          <w:szCs w:val="24"/>
        </w:rPr>
        <w:t xml:space="preserve">to develop the CBA follows </w:t>
      </w:r>
      <w:r w:rsidR="00DE6A03" w:rsidRPr="00C534A9">
        <w:rPr>
          <w:rStyle w:val="BodyTextChar"/>
          <w:rFonts w:ascii="Arial" w:hAnsi="Arial" w:cs="Arial"/>
          <w:sz w:val="22"/>
        </w:rPr>
        <w:t>the IDB Guidelines for Economic Analysis</w:t>
      </w:r>
      <w:r w:rsidR="00482D2D" w:rsidRPr="00C534A9">
        <w:rPr>
          <w:rStyle w:val="BodyTextChar"/>
          <w:rFonts w:ascii="Arial" w:hAnsi="Arial" w:cs="Arial"/>
          <w:sz w:val="22"/>
        </w:rPr>
        <w:t xml:space="preserve"> by calculating the</w:t>
      </w:r>
      <w:r w:rsidR="00DE6A03" w:rsidRPr="00C534A9">
        <w:rPr>
          <w:rStyle w:val="BodyTextChar"/>
          <w:rFonts w:ascii="Arial" w:hAnsi="Arial" w:cs="Arial"/>
          <w:sz w:val="22"/>
        </w:rPr>
        <w:t xml:space="preserve"> </w:t>
      </w:r>
      <w:r w:rsidR="00D5364D" w:rsidRPr="00C534A9">
        <w:rPr>
          <w:rStyle w:val="BodyTextChar"/>
          <w:rFonts w:ascii="Arial" w:hAnsi="Arial" w:cs="Arial"/>
          <w:sz w:val="22"/>
        </w:rPr>
        <w:t xml:space="preserve">net </w:t>
      </w:r>
      <w:r w:rsidR="00DE6A03" w:rsidRPr="00C534A9">
        <w:rPr>
          <w:rStyle w:val="BodyTextChar"/>
          <w:rFonts w:ascii="Arial" w:hAnsi="Arial" w:cs="Arial"/>
          <w:sz w:val="22"/>
        </w:rPr>
        <w:t xml:space="preserve">present </w:t>
      </w:r>
      <w:r w:rsidR="00482D2D" w:rsidRPr="00C534A9">
        <w:rPr>
          <w:rStyle w:val="BodyTextChar"/>
          <w:rFonts w:ascii="Arial" w:hAnsi="Arial" w:cs="Arial"/>
          <w:sz w:val="22"/>
        </w:rPr>
        <w:t>value (</w:t>
      </w:r>
      <w:r w:rsidR="00D5364D" w:rsidRPr="00C534A9">
        <w:rPr>
          <w:rStyle w:val="BodyTextChar"/>
          <w:rFonts w:ascii="Arial" w:hAnsi="Arial" w:cs="Arial"/>
          <w:sz w:val="22"/>
        </w:rPr>
        <w:t>N</w:t>
      </w:r>
      <w:r w:rsidR="00DE6A03" w:rsidRPr="00C534A9">
        <w:rPr>
          <w:rStyle w:val="BodyTextChar"/>
          <w:rFonts w:ascii="Arial" w:hAnsi="Arial" w:cs="Arial"/>
          <w:sz w:val="22"/>
        </w:rPr>
        <w:t xml:space="preserve">PV) of the </w:t>
      </w:r>
      <w:r w:rsidR="00482D2D" w:rsidRPr="00C534A9">
        <w:rPr>
          <w:rStyle w:val="BodyTextChar"/>
          <w:rFonts w:ascii="Arial" w:hAnsi="Arial" w:cs="Arial"/>
          <w:sz w:val="22"/>
        </w:rPr>
        <w:t xml:space="preserve">various </w:t>
      </w:r>
      <w:r w:rsidR="00D0568D" w:rsidRPr="00C534A9">
        <w:rPr>
          <w:rStyle w:val="BodyTextChar"/>
          <w:rFonts w:ascii="Arial" w:hAnsi="Arial" w:cs="Arial"/>
          <w:sz w:val="22"/>
        </w:rPr>
        <w:t>sub-projects</w:t>
      </w:r>
      <w:r w:rsidR="00482D2D" w:rsidRPr="00C534A9">
        <w:rPr>
          <w:rStyle w:val="BodyTextChar"/>
          <w:rFonts w:ascii="Arial" w:hAnsi="Arial" w:cs="Arial"/>
          <w:sz w:val="22"/>
        </w:rPr>
        <w:t xml:space="preserve">. The </w:t>
      </w:r>
      <w:r w:rsidR="00D5364D" w:rsidRPr="00C534A9">
        <w:rPr>
          <w:rStyle w:val="BodyTextChar"/>
          <w:rFonts w:ascii="Arial" w:hAnsi="Arial" w:cs="Arial"/>
          <w:sz w:val="22"/>
        </w:rPr>
        <w:t>N</w:t>
      </w:r>
      <w:r w:rsidR="00DE6A03" w:rsidRPr="00C534A9">
        <w:rPr>
          <w:rFonts w:ascii="Arial" w:hAnsi="Arial" w:cs="Arial"/>
          <w:sz w:val="22"/>
          <w:szCs w:val="24"/>
        </w:rPr>
        <w:t xml:space="preserve">PV is calculated from the </w:t>
      </w:r>
      <w:r w:rsidR="00D5364D" w:rsidRPr="00C534A9">
        <w:rPr>
          <w:rFonts w:ascii="Arial" w:hAnsi="Arial" w:cs="Arial"/>
          <w:sz w:val="22"/>
          <w:szCs w:val="24"/>
        </w:rPr>
        <w:t xml:space="preserve">present value of the </w:t>
      </w:r>
      <w:r w:rsidR="00D0568D" w:rsidRPr="00C534A9">
        <w:rPr>
          <w:rFonts w:ascii="Arial" w:hAnsi="Arial" w:cs="Arial"/>
          <w:sz w:val="22"/>
          <w:szCs w:val="24"/>
        </w:rPr>
        <w:t>sub-projects’</w:t>
      </w:r>
      <w:r w:rsidR="00DE6A03" w:rsidRPr="00C534A9">
        <w:rPr>
          <w:rFonts w:ascii="Arial" w:hAnsi="Arial" w:cs="Arial"/>
          <w:sz w:val="22"/>
          <w:szCs w:val="24"/>
        </w:rPr>
        <w:t xml:space="preserve"> estimated benefits and costs. </w:t>
      </w:r>
      <w:r w:rsidR="00482D2D" w:rsidRPr="00C534A9">
        <w:rPr>
          <w:rFonts w:ascii="Arial" w:hAnsi="Arial" w:cs="Arial"/>
          <w:sz w:val="22"/>
          <w:szCs w:val="24"/>
        </w:rPr>
        <w:t>For example, t</w:t>
      </w:r>
      <w:r w:rsidR="00DE6A03" w:rsidRPr="00C534A9">
        <w:rPr>
          <w:rFonts w:ascii="Arial" w:hAnsi="Arial" w:cs="Arial"/>
          <w:sz w:val="22"/>
          <w:szCs w:val="24"/>
        </w:rPr>
        <w:t>o calculate</w:t>
      </w:r>
      <w:r w:rsidR="00482D2D" w:rsidRPr="00C534A9">
        <w:rPr>
          <w:rFonts w:ascii="Arial" w:hAnsi="Arial" w:cs="Arial"/>
          <w:sz w:val="22"/>
          <w:szCs w:val="24"/>
        </w:rPr>
        <w:t xml:space="preserve"> the</w:t>
      </w:r>
      <w:r w:rsidR="00DE6A03" w:rsidRPr="00C534A9">
        <w:rPr>
          <w:rFonts w:ascii="Arial" w:hAnsi="Arial" w:cs="Arial"/>
          <w:sz w:val="22"/>
          <w:szCs w:val="24"/>
        </w:rPr>
        <w:t xml:space="preserve"> benefit</w:t>
      </w:r>
      <w:r w:rsidR="00482D2D" w:rsidRPr="00C534A9">
        <w:rPr>
          <w:rFonts w:ascii="Arial" w:hAnsi="Arial" w:cs="Arial"/>
          <w:sz w:val="22"/>
          <w:szCs w:val="24"/>
        </w:rPr>
        <w:t xml:space="preserve"> of expanding the micro LNG facility</w:t>
      </w:r>
      <w:r w:rsidR="00DE6A03" w:rsidRPr="00C534A9">
        <w:rPr>
          <w:rFonts w:ascii="Arial" w:hAnsi="Arial" w:cs="Arial"/>
          <w:sz w:val="22"/>
          <w:szCs w:val="24"/>
        </w:rPr>
        <w:t>,</w:t>
      </w:r>
      <w:r w:rsidR="00482D2D" w:rsidRPr="00C534A9">
        <w:rPr>
          <w:rFonts w:ascii="Arial" w:hAnsi="Arial" w:cs="Arial"/>
          <w:sz w:val="22"/>
          <w:szCs w:val="24"/>
        </w:rPr>
        <w:t xml:space="preserve"> </w:t>
      </w:r>
      <w:r w:rsidR="00DE6A03" w:rsidRPr="00C534A9">
        <w:rPr>
          <w:rFonts w:ascii="Arial" w:hAnsi="Arial" w:cs="Arial"/>
          <w:sz w:val="22"/>
          <w:szCs w:val="24"/>
        </w:rPr>
        <w:t>the s</w:t>
      </w:r>
      <w:r w:rsidR="00DE6A03" w:rsidRPr="00C534A9">
        <w:rPr>
          <w:rStyle w:val="BodyTextChar"/>
          <w:rFonts w:ascii="Arial" w:hAnsi="Arial" w:cs="Arial"/>
          <w:sz w:val="22"/>
        </w:rPr>
        <w:t xml:space="preserve">avings in fuel expenditures and the monetary value of the reduction in greenhouse gas emissions </w:t>
      </w:r>
      <w:r w:rsidR="00482D2D" w:rsidRPr="00C534A9">
        <w:rPr>
          <w:rStyle w:val="BodyTextChar"/>
          <w:rFonts w:ascii="Arial" w:hAnsi="Arial" w:cs="Arial"/>
          <w:sz w:val="22"/>
        </w:rPr>
        <w:t>that result from consuming natural gas instead of</w:t>
      </w:r>
      <w:r w:rsidR="00DE6A03" w:rsidRPr="00C534A9">
        <w:rPr>
          <w:rStyle w:val="BodyTextChar"/>
          <w:rFonts w:ascii="Arial" w:hAnsi="Arial" w:cs="Arial"/>
          <w:sz w:val="22"/>
        </w:rPr>
        <w:t xml:space="preserve"> liquid fuels</w:t>
      </w:r>
      <w:r w:rsidRPr="00C534A9">
        <w:rPr>
          <w:rStyle w:val="BodyTextChar"/>
          <w:rFonts w:ascii="Arial" w:hAnsi="Arial" w:cs="Arial"/>
          <w:sz w:val="22"/>
        </w:rPr>
        <w:t xml:space="preserve"> were estimated</w:t>
      </w:r>
      <w:r w:rsidR="00DE6A03" w:rsidRPr="00C534A9">
        <w:rPr>
          <w:rStyle w:val="BodyTextChar"/>
          <w:rFonts w:ascii="Arial" w:hAnsi="Arial" w:cs="Arial"/>
          <w:sz w:val="22"/>
        </w:rPr>
        <w:t xml:space="preserve">. </w:t>
      </w:r>
      <w:r w:rsidR="00482D2D" w:rsidRPr="00C534A9">
        <w:rPr>
          <w:rStyle w:val="BodyTextChar"/>
          <w:rFonts w:ascii="Arial" w:hAnsi="Arial" w:cs="Arial"/>
          <w:sz w:val="22"/>
        </w:rPr>
        <w:t xml:space="preserve">To calculate the cost of expanding the micro LNG facility, </w:t>
      </w:r>
      <w:r w:rsidR="00DE6A03" w:rsidRPr="00C534A9">
        <w:rPr>
          <w:rStyle w:val="BodyTextChar"/>
          <w:rFonts w:ascii="Arial" w:hAnsi="Arial" w:cs="Arial"/>
          <w:sz w:val="22"/>
        </w:rPr>
        <w:t>the full economic co</w:t>
      </w:r>
      <w:r w:rsidR="00482D2D" w:rsidRPr="00C534A9">
        <w:rPr>
          <w:rStyle w:val="BodyTextChar"/>
          <w:rFonts w:ascii="Arial" w:hAnsi="Arial" w:cs="Arial"/>
          <w:sz w:val="22"/>
        </w:rPr>
        <w:t>sts of implementing the project</w:t>
      </w:r>
      <w:r w:rsidR="00DE6A03" w:rsidRPr="00C534A9">
        <w:rPr>
          <w:rStyle w:val="BodyTextChar"/>
          <w:rFonts w:ascii="Arial" w:hAnsi="Arial" w:cs="Arial"/>
          <w:sz w:val="22"/>
        </w:rPr>
        <w:t xml:space="preserve">, including the costs not financed by the </w:t>
      </w:r>
      <w:r w:rsidR="00482D2D" w:rsidRPr="00C534A9">
        <w:rPr>
          <w:rStyle w:val="BodyTextChar"/>
          <w:rFonts w:ascii="Arial" w:hAnsi="Arial" w:cs="Arial"/>
          <w:sz w:val="22"/>
        </w:rPr>
        <w:t>IDB</w:t>
      </w:r>
      <w:r w:rsidRPr="00C534A9">
        <w:rPr>
          <w:rStyle w:val="BodyTextChar"/>
          <w:rFonts w:ascii="Arial" w:hAnsi="Arial" w:cs="Arial"/>
          <w:sz w:val="22"/>
        </w:rPr>
        <w:t>, were estimated</w:t>
      </w:r>
      <w:r w:rsidR="00D5364D" w:rsidRPr="00C534A9">
        <w:rPr>
          <w:rStyle w:val="BodyTextChar"/>
          <w:rFonts w:ascii="Arial" w:hAnsi="Arial" w:cs="Arial"/>
          <w:sz w:val="22"/>
        </w:rPr>
        <w:t xml:space="preserve">. </w:t>
      </w:r>
      <w:r w:rsidR="00AD51DD" w:rsidRPr="00C534A9">
        <w:rPr>
          <w:rStyle w:val="BodyTextChar"/>
          <w:rFonts w:ascii="Arial" w:hAnsi="Arial" w:cs="Arial"/>
          <w:sz w:val="22"/>
        </w:rPr>
        <w:t xml:space="preserve">After </w:t>
      </w:r>
      <w:r w:rsidR="00482D2D" w:rsidRPr="00C534A9">
        <w:rPr>
          <w:rStyle w:val="BodyTextChar"/>
          <w:rFonts w:ascii="Arial" w:hAnsi="Arial" w:cs="Arial"/>
          <w:sz w:val="22"/>
        </w:rPr>
        <w:t>calculat</w:t>
      </w:r>
      <w:r w:rsidR="00AD51DD" w:rsidRPr="00C534A9">
        <w:rPr>
          <w:rStyle w:val="BodyTextChar"/>
          <w:rFonts w:ascii="Arial" w:hAnsi="Arial" w:cs="Arial"/>
          <w:sz w:val="22"/>
        </w:rPr>
        <w:t>ing</w:t>
      </w:r>
      <w:r w:rsidR="00DE6A03" w:rsidRPr="00C534A9">
        <w:rPr>
          <w:rStyle w:val="BodyTextChar"/>
          <w:rFonts w:ascii="Arial" w:hAnsi="Arial" w:cs="Arial"/>
          <w:sz w:val="22"/>
        </w:rPr>
        <w:t xml:space="preserve"> the difference between these two values </w:t>
      </w:r>
      <w:r w:rsidR="00482D2D" w:rsidRPr="00C534A9">
        <w:rPr>
          <w:rStyle w:val="BodyTextChar"/>
          <w:rFonts w:ascii="Arial" w:hAnsi="Arial" w:cs="Arial"/>
          <w:sz w:val="22"/>
        </w:rPr>
        <w:t>for each year of the project period</w:t>
      </w:r>
      <w:r w:rsidR="00AD51DD" w:rsidRPr="00C534A9">
        <w:rPr>
          <w:rStyle w:val="BodyTextChar"/>
          <w:rFonts w:ascii="Arial" w:hAnsi="Arial" w:cs="Arial"/>
          <w:sz w:val="22"/>
        </w:rPr>
        <w:t>,</w:t>
      </w:r>
      <w:r w:rsidR="00482D2D" w:rsidRPr="00C534A9">
        <w:rPr>
          <w:rStyle w:val="BodyTextChar"/>
          <w:rFonts w:ascii="Arial" w:hAnsi="Arial" w:cs="Arial"/>
          <w:sz w:val="22"/>
        </w:rPr>
        <w:t xml:space="preserve"> </w:t>
      </w:r>
      <w:r w:rsidR="00DE6A03" w:rsidRPr="00C534A9">
        <w:rPr>
          <w:rStyle w:val="BodyTextChar"/>
          <w:rFonts w:ascii="Arial" w:hAnsi="Arial" w:cs="Arial"/>
          <w:sz w:val="22"/>
        </w:rPr>
        <w:t>the present value of that difference</w:t>
      </w:r>
      <w:r w:rsidR="00AD51DD" w:rsidRPr="00C534A9">
        <w:rPr>
          <w:rStyle w:val="BodyTextChar"/>
          <w:rFonts w:ascii="Arial" w:hAnsi="Arial" w:cs="Arial"/>
          <w:sz w:val="22"/>
        </w:rPr>
        <w:t xml:space="preserve"> was calculated</w:t>
      </w:r>
      <w:r w:rsidR="00DE6A03" w:rsidRPr="00C534A9">
        <w:rPr>
          <w:rStyle w:val="BodyTextChar"/>
          <w:rFonts w:ascii="Arial" w:hAnsi="Arial" w:cs="Arial"/>
          <w:sz w:val="22"/>
        </w:rPr>
        <w:t xml:space="preserve">. That </w:t>
      </w:r>
      <w:r w:rsidR="00D5364D" w:rsidRPr="00C534A9">
        <w:rPr>
          <w:rStyle w:val="BodyTextChar"/>
          <w:rFonts w:ascii="Arial" w:hAnsi="Arial" w:cs="Arial"/>
          <w:sz w:val="22"/>
        </w:rPr>
        <w:t>N</w:t>
      </w:r>
      <w:r w:rsidR="00DE6A03" w:rsidRPr="00C534A9">
        <w:rPr>
          <w:rStyle w:val="BodyTextChar"/>
          <w:rFonts w:ascii="Arial" w:hAnsi="Arial" w:cs="Arial"/>
          <w:sz w:val="22"/>
        </w:rPr>
        <w:t xml:space="preserve">PV is the result of the CBA. If the </w:t>
      </w:r>
      <w:r w:rsidR="00D5364D" w:rsidRPr="00C534A9">
        <w:rPr>
          <w:rStyle w:val="BodyTextChar"/>
          <w:rFonts w:ascii="Arial" w:hAnsi="Arial" w:cs="Arial"/>
          <w:sz w:val="22"/>
        </w:rPr>
        <w:t>N</w:t>
      </w:r>
      <w:r w:rsidR="00DE6A03" w:rsidRPr="00C534A9">
        <w:rPr>
          <w:rStyle w:val="BodyTextChar"/>
          <w:rFonts w:ascii="Arial" w:hAnsi="Arial" w:cs="Arial"/>
          <w:sz w:val="22"/>
        </w:rPr>
        <w:t xml:space="preserve">PV is positive, the </w:t>
      </w:r>
      <w:r w:rsidR="00D0568D" w:rsidRPr="00C534A9">
        <w:rPr>
          <w:rStyle w:val="BodyTextChar"/>
          <w:rFonts w:ascii="Arial" w:hAnsi="Arial" w:cs="Arial"/>
          <w:sz w:val="22"/>
        </w:rPr>
        <w:t>sub-</w:t>
      </w:r>
      <w:r w:rsidR="00DE6A03" w:rsidRPr="00C534A9">
        <w:rPr>
          <w:rStyle w:val="BodyTextChar"/>
          <w:rFonts w:ascii="Arial" w:hAnsi="Arial" w:cs="Arial"/>
          <w:sz w:val="22"/>
        </w:rPr>
        <w:t xml:space="preserve">project is economically viable. </w:t>
      </w:r>
    </w:p>
    <w:p w:rsidR="005B76B2" w:rsidRPr="00C534A9" w:rsidRDefault="005B76B2" w:rsidP="00C534A9">
      <w:pPr>
        <w:jc w:val="both"/>
        <w:rPr>
          <w:rFonts w:ascii="Arial" w:eastAsia="MS Mincho" w:hAnsi="Arial" w:cs="Arial"/>
          <w:sz w:val="22"/>
          <w:szCs w:val="24"/>
          <w:lang w:eastAsia="ja-JP"/>
        </w:rPr>
      </w:pPr>
      <w:r w:rsidRPr="00C534A9">
        <w:rPr>
          <w:rFonts w:ascii="Arial" w:eastAsia="MS Mincho" w:hAnsi="Arial" w:cs="Arial"/>
          <w:sz w:val="22"/>
          <w:szCs w:val="24"/>
          <w:lang w:eastAsia="ja-JP"/>
        </w:rPr>
        <w:t>Shadow prices were not directly addressed in the CBA analysis because of (</w:t>
      </w:r>
      <w:proofErr w:type="spellStart"/>
      <w:r w:rsidRPr="00C534A9">
        <w:rPr>
          <w:rFonts w:ascii="Arial" w:eastAsia="MS Mincho" w:hAnsi="Arial" w:cs="Arial"/>
          <w:sz w:val="22"/>
          <w:szCs w:val="24"/>
          <w:lang w:eastAsia="ja-JP"/>
        </w:rPr>
        <w:t>i</w:t>
      </w:r>
      <w:proofErr w:type="spellEnd"/>
      <w:r w:rsidRPr="00C534A9">
        <w:rPr>
          <w:rFonts w:ascii="Arial" w:eastAsia="MS Mincho" w:hAnsi="Arial" w:cs="Arial"/>
          <w:sz w:val="22"/>
          <w:szCs w:val="24"/>
          <w:lang w:eastAsia="ja-JP"/>
        </w:rPr>
        <w:t>) limited recent data for key variable that are required for a shadow price assessment, (ii) the fuel price analysis already incorporates shadow fuel prices, and, (iii) an ex-ante assessment suggests that applying shadow prices would increase the project's ENPV and EIRR. Shadow prices could be applied to the Barbados dollar exchange rate (with the US dollar), to the price of imported fuels and materials, and to the cost of labor (both skilled and unskilled). An analysis of Barbados shadow prices that was performed in 2001 relied upon government-provided adjustment factors for labor and materials costs. These factors have not been updated by the Barbados government, although the economic conditions in the country have certainly changed in the past 15 years. Applying outdated adjustment factors risks distorting the analysis further rather than removing potential distortions</w:t>
      </w:r>
      <w:r w:rsidR="00E27F81">
        <w:rPr>
          <w:rFonts w:ascii="Arial" w:eastAsia="MS Mincho" w:hAnsi="Arial" w:cs="Arial"/>
          <w:sz w:val="22"/>
          <w:szCs w:val="24"/>
          <w:lang w:eastAsia="ja-JP"/>
        </w:rPr>
        <w:t>,</w:t>
      </w:r>
      <w:r w:rsidRPr="00C534A9">
        <w:rPr>
          <w:rFonts w:ascii="Arial" w:eastAsia="MS Mincho" w:hAnsi="Arial" w:cs="Arial"/>
          <w:sz w:val="22"/>
          <w:szCs w:val="24"/>
          <w:lang w:eastAsia="ja-JP"/>
        </w:rPr>
        <w:t xml:space="preserve"> which is the aim of applying shadow pricing.</w:t>
      </w:r>
    </w:p>
    <w:p w:rsidR="005B76B2" w:rsidRPr="00C534A9" w:rsidRDefault="005B76B2" w:rsidP="00C534A9">
      <w:pPr>
        <w:jc w:val="both"/>
        <w:rPr>
          <w:rFonts w:ascii="Arial" w:eastAsia="MS Mincho" w:hAnsi="Arial" w:cs="Arial"/>
          <w:sz w:val="22"/>
          <w:szCs w:val="24"/>
          <w:lang w:eastAsia="ja-JP"/>
        </w:rPr>
      </w:pPr>
      <w:r w:rsidRPr="00C534A9">
        <w:rPr>
          <w:rFonts w:ascii="Arial" w:eastAsia="MS Mincho" w:hAnsi="Arial" w:cs="Arial"/>
          <w:sz w:val="22"/>
          <w:szCs w:val="24"/>
          <w:lang w:eastAsia="ja-JP"/>
        </w:rPr>
        <w:t>Shadow prices have been indirectly addressed, however, in the case of fuel prices. The price of natural gas and liquid fuels for electricity generation (and the impact on retail electricity prices) is directly linked to US market prices (Henry Hub in the case of natural gas and WTI in the case of liquid fuels) via a netback cost analysis. This approach to setting imported fuel prices avoids any potential distortions from non-market pricing in Barbados. </w:t>
      </w:r>
    </w:p>
    <w:p w:rsidR="005B76B2" w:rsidRPr="00C534A9" w:rsidRDefault="005B76B2" w:rsidP="00C534A9">
      <w:pPr>
        <w:jc w:val="both"/>
        <w:rPr>
          <w:rFonts w:ascii="Arial" w:eastAsia="MS Mincho" w:hAnsi="Arial" w:cs="Arial"/>
          <w:sz w:val="22"/>
          <w:szCs w:val="24"/>
          <w:lang w:eastAsia="ja-JP"/>
        </w:rPr>
      </w:pPr>
      <w:r w:rsidRPr="00C534A9">
        <w:rPr>
          <w:rFonts w:ascii="Arial" w:eastAsia="MS Mincho" w:hAnsi="Arial" w:cs="Arial"/>
          <w:sz w:val="22"/>
          <w:szCs w:val="24"/>
          <w:lang w:eastAsia="ja-JP"/>
        </w:rPr>
        <w:t>Finally, if the adjustment factors that were defined in the 2001 study were applied to the current project, they would likely result in a higher ENPV and EIRR.  This is likely the case because the economic benefits from the project largely come from reducing the cost of importing fuels (either by importing lower cost natural gas, or reducing the need for liquid fuels through implementing RE and  EE programs).  Applying a shadow exchange rate of B$2.2229 per US$ (as opposed to the official B$2.00 per US$) would increase the value of reducing the cost of dollar-based imports in Barbadian dollar terms. That is, each US dollar worth of import costs avoided would be worth B$2.23 rather than the B$2.00 in the current assessment.  While using the shadow exchange rate would increase some costs in Barbadian dollar terms (such as imported equipment, for example), any potential increase in costs would be less than the increase in benefits because they would (</w:t>
      </w:r>
      <w:proofErr w:type="spellStart"/>
      <w:r w:rsidRPr="00C534A9">
        <w:rPr>
          <w:rFonts w:ascii="Arial" w:eastAsia="MS Mincho" w:hAnsi="Arial" w:cs="Arial"/>
          <w:sz w:val="22"/>
          <w:szCs w:val="24"/>
          <w:lang w:eastAsia="ja-JP"/>
        </w:rPr>
        <w:t>i</w:t>
      </w:r>
      <w:proofErr w:type="spellEnd"/>
      <w:r w:rsidRPr="00C534A9">
        <w:rPr>
          <w:rFonts w:ascii="Arial" w:eastAsia="MS Mincho" w:hAnsi="Arial" w:cs="Arial"/>
          <w:sz w:val="22"/>
          <w:szCs w:val="24"/>
          <w:lang w:eastAsia="ja-JP"/>
        </w:rPr>
        <w:t xml:space="preserve">) represent only a portion of the total costs and, (ii) the total costs are less than the total benefits as shown by the positive ENPV and EIRR in the original analysis. </w:t>
      </w:r>
      <w:proofErr w:type="gramStart"/>
      <w:r w:rsidRPr="00C534A9">
        <w:rPr>
          <w:rFonts w:ascii="Arial" w:eastAsia="MS Mincho" w:hAnsi="Arial" w:cs="Arial"/>
          <w:sz w:val="22"/>
          <w:szCs w:val="24"/>
          <w:lang w:eastAsia="ja-JP"/>
        </w:rPr>
        <w:t>Therefore increasing a portion of the costs while increasing the total benefit by a similar percentage can be expected to result in a higher benefit.</w:t>
      </w:r>
      <w:proofErr w:type="gramEnd"/>
      <w:r w:rsidRPr="00C534A9">
        <w:rPr>
          <w:rFonts w:ascii="Arial" w:eastAsia="MS Mincho" w:hAnsi="Arial" w:cs="Arial"/>
          <w:sz w:val="22"/>
          <w:szCs w:val="24"/>
          <w:lang w:eastAsia="ja-JP"/>
        </w:rPr>
        <w:t> </w:t>
      </w:r>
    </w:p>
    <w:p w:rsidR="00DE6A03" w:rsidRPr="00C534A9" w:rsidRDefault="00DE6A03" w:rsidP="00C534A9">
      <w:pPr>
        <w:jc w:val="both"/>
        <w:rPr>
          <w:rFonts w:ascii="Arial" w:hAnsi="Arial" w:cs="Arial"/>
          <w:sz w:val="22"/>
        </w:rPr>
      </w:pPr>
      <w:r w:rsidRPr="00C534A9">
        <w:rPr>
          <w:rFonts w:ascii="Arial" w:hAnsi="Arial" w:cs="Arial"/>
          <w:sz w:val="22"/>
        </w:rPr>
        <w:t xml:space="preserve">This CBA suggests that the </w:t>
      </w:r>
      <w:r w:rsidR="00AA31CB" w:rsidRPr="00C534A9">
        <w:rPr>
          <w:rFonts w:ascii="Arial" w:hAnsi="Arial" w:cs="Arial"/>
          <w:sz w:val="22"/>
        </w:rPr>
        <w:t>sub-project</w:t>
      </w:r>
      <w:r w:rsidR="00482D2D" w:rsidRPr="00C534A9">
        <w:rPr>
          <w:rFonts w:ascii="Arial" w:hAnsi="Arial" w:cs="Arial"/>
          <w:sz w:val="22"/>
        </w:rPr>
        <w:t xml:space="preserve">s </w:t>
      </w:r>
      <w:r w:rsidR="00205557" w:rsidRPr="00C534A9">
        <w:rPr>
          <w:rFonts w:ascii="Arial" w:hAnsi="Arial" w:cs="Arial"/>
          <w:sz w:val="22"/>
        </w:rPr>
        <w:t>noted above</w:t>
      </w:r>
      <w:r w:rsidR="00636BBF" w:rsidRPr="00C534A9">
        <w:rPr>
          <w:rFonts w:ascii="Arial" w:hAnsi="Arial" w:cs="Arial"/>
          <w:sz w:val="22"/>
        </w:rPr>
        <w:t xml:space="preserve"> generate</w:t>
      </w:r>
      <w:r w:rsidRPr="00C534A9">
        <w:rPr>
          <w:rFonts w:ascii="Arial" w:hAnsi="Arial" w:cs="Arial"/>
          <w:sz w:val="22"/>
        </w:rPr>
        <w:t xml:space="preserve"> an aggregate </w:t>
      </w:r>
      <w:r w:rsidR="00D5364D" w:rsidRPr="00C534A9">
        <w:rPr>
          <w:rFonts w:ascii="Arial" w:hAnsi="Arial" w:cs="Arial"/>
          <w:sz w:val="22"/>
        </w:rPr>
        <w:t xml:space="preserve">Net </w:t>
      </w:r>
      <w:r w:rsidRPr="00C534A9">
        <w:rPr>
          <w:rFonts w:ascii="Arial" w:hAnsi="Arial" w:cs="Arial"/>
          <w:sz w:val="22"/>
        </w:rPr>
        <w:t xml:space="preserve">Present Value of </w:t>
      </w:r>
      <w:r w:rsidRPr="00C534A9">
        <w:rPr>
          <w:rFonts w:ascii="Arial" w:hAnsi="Arial" w:cs="Arial"/>
          <w:b/>
          <w:sz w:val="22"/>
        </w:rPr>
        <w:t>US$</w:t>
      </w:r>
      <w:r w:rsidR="007D6B36" w:rsidRPr="00C534A9">
        <w:rPr>
          <w:rFonts w:ascii="Arial" w:hAnsi="Arial" w:cs="Arial"/>
          <w:b/>
          <w:sz w:val="22"/>
        </w:rPr>
        <w:t>9.8</w:t>
      </w:r>
      <w:r w:rsidRPr="00C534A9">
        <w:rPr>
          <w:rFonts w:ascii="Arial" w:hAnsi="Arial" w:cs="Arial"/>
          <w:b/>
          <w:sz w:val="22"/>
        </w:rPr>
        <w:t xml:space="preserve"> million</w:t>
      </w:r>
      <w:r w:rsidRPr="00C534A9">
        <w:rPr>
          <w:rStyle w:val="FootnoteReference"/>
          <w:rFonts w:ascii="Arial" w:hAnsi="Arial" w:cs="Arial"/>
          <w:b/>
          <w:sz w:val="20"/>
          <w:szCs w:val="22"/>
        </w:rPr>
        <w:footnoteReference w:id="1"/>
      </w:r>
      <w:r w:rsidRPr="00C534A9">
        <w:rPr>
          <w:rFonts w:ascii="Arial" w:hAnsi="Arial" w:cs="Arial"/>
          <w:sz w:val="22"/>
        </w:rPr>
        <w:t xml:space="preserve"> and an </w:t>
      </w:r>
      <w:r w:rsidR="00205557" w:rsidRPr="00C534A9">
        <w:rPr>
          <w:rFonts w:ascii="Arial" w:hAnsi="Arial" w:cs="Arial"/>
          <w:b/>
          <w:sz w:val="22"/>
        </w:rPr>
        <w:t>internal rate of return of</w:t>
      </w:r>
      <w:r w:rsidR="00815A47" w:rsidRPr="00C534A9">
        <w:rPr>
          <w:rFonts w:ascii="Arial" w:hAnsi="Arial" w:cs="Arial"/>
          <w:b/>
          <w:sz w:val="22"/>
        </w:rPr>
        <w:t xml:space="preserve"> </w:t>
      </w:r>
      <w:r w:rsidR="007D6B36" w:rsidRPr="00C534A9">
        <w:rPr>
          <w:rFonts w:ascii="Arial" w:hAnsi="Arial" w:cs="Arial"/>
          <w:b/>
          <w:sz w:val="22"/>
        </w:rPr>
        <w:t xml:space="preserve">25 </w:t>
      </w:r>
      <w:r w:rsidRPr="00C534A9">
        <w:rPr>
          <w:rFonts w:ascii="Arial" w:hAnsi="Arial" w:cs="Arial"/>
          <w:b/>
          <w:sz w:val="22"/>
        </w:rPr>
        <w:t>percent</w:t>
      </w:r>
      <w:r w:rsidRPr="00C534A9">
        <w:rPr>
          <w:rFonts w:ascii="Arial" w:hAnsi="Arial" w:cs="Arial"/>
          <w:sz w:val="22"/>
        </w:rPr>
        <w:t xml:space="preserve"> over a </w:t>
      </w:r>
      <w:r w:rsidR="00E10C7D" w:rsidRPr="00C534A9">
        <w:rPr>
          <w:rFonts w:ascii="Arial" w:hAnsi="Arial" w:cs="Arial"/>
          <w:sz w:val="22"/>
        </w:rPr>
        <w:t>25</w:t>
      </w:r>
      <w:r w:rsidR="00482D2D" w:rsidRPr="00C534A9">
        <w:rPr>
          <w:rFonts w:ascii="Arial" w:hAnsi="Arial" w:cs="Arial"/>
          <w:sz w:val="22"/>
        </w:rPr>
        <w:t xml:space="preserve"> </w:t>
      </w:r>
      <w:r w:rsidRPr="00C534A9">
        <w:rPr>
          <w:rFonts w:ascii="Arial" w:hAnsi="Arial" w:cs="Arial"/>
          <w:sz w:val="22"/>
        </w:rPr>
        <w:t xml:space="preserve">year period. </w:t>
      </w:r>
      <w:r w:rsidR="00205557" w:rsidRPr="00C534A9">
        <w:rPr>
          <w:rFonts w:ascii="Arial" w:hAnsi="Arial" w:cs="Arial"/>
          <w:sz w:val="22"/>
        </w:rPr>
        <w:t xml:space="preserve">If the VS LNG terminal is included in the analysis, the aggregate Net Present Value is </w:t>
      </w:r>
      <w:r w:rsidR="00205557" w:rsidRPr="00C534A9">
        <w:rPr>
          <w:rFonts w:ascii="Arial" w:hAnsi="Arial" w:cs="Arial"/>
          <w:b/>
          <w:sz w:val="22"/>
        </w:rPr>
        <w:t>US$</w:t>
      </w:r>
      <w:r w:rsidR="007D6B36" w:rsidRPr="00C534A9">
        <w:rPr>
          <w:rFonts w:ascii="Arial" w:hAnsi="Arial" w:cs="Arial"/>
          <w:b/>
          <w:sz w:val="22"/>
        </w:rPr>
        <w:t xml:space="preserve">88.9 </w:t>
      </w:r>
      <w:r w:rsidR="00205557" w:rsidRPr="00C534A9">
        <w:rPr>
          <w:rFonts w:ascii="Arial" w:hAnsi="Arial" w:cs="Arial"/>
          <w:b/>
          <w:sz w:val="22"/>
        </w:rPr>
        <w:t>million</w:t>
      </w:r>
      <w:r w:rsidR="00205557" w:rsidRPr="00C534A9">
        <w:rPr>
          <w:rFonts w:ascii="Arial" w:hAnsi="Arial" w:cs="Arial"/>
          <w:sz w:val="22"/>
        </w:rPr>
        <w:t xml:space="preserve"> and the economic </w:t>
      </w:r>
      <w:r w:rsidR="00205557" w:rsidRPr="00C534A9">
        <w:rPr>
          <w:rFonts w:ascii="Arial" w:hAnsi="Arial" w:cs="Arial"/>
          <w:b/>
          <w:sz w:val="22"/>
        </w:rPr>
        <w:t xml:space="preserve">internal rate of return is </w:t>
      </w:r>
      <w:r w:rsidR="007D6B36" w:rsidRPr="00C534A9">
        <w:rPr>
          <w:rFonts w:ascii="Arial" w:hAnsi="Arial" w:cs="Arial"/>
          <w:b/>
          <w:sz w:val="22"/>
        </w:rPr>
        <w:t xml:space="preserve">28 </w:t>
      </w:r>
      <w:r w:rsidR="00205557" w:rsidRPr="00C534A9">
        <w:rPr>
          <w:rFonts w:ascii="Arial" w:hAnsi="Arial" w:cs="Arial"/>
          <w:b/>
          <w:sz w:val="22"/>
        </w:rPr>
        <w:t>percent</w:t>
      </w:r>
      <w:r w:rsidR="00205557" w:rsidRPr="00C534A9">
        <w:rPr>
          <w:rFonts w:ascii="Arial" w:hAnsi="Arial" w:cs="Arial"/>
          <w:sz w:val="22"/>
        </w:rPr>
        <w:t xml:space="preserve">. Both figures represent </w:t>
      </w:r>
      <w:r w:rsidRPr="00C534A9">
        <w:rPr>
          <w:rFonts w:ascii="Arial" w:hAnsi="Arial" w:cs="Arial"/>
          <w:sz w:val="22"/>
        </w:rPr>
        <w:t xml:space="preserve">the </w:t>
      </w:r>
      <w:r w:rsidR="00D5364D" w:rsidRPr="00C534A9">
        <w:rPr>
          <w:rFonts w:ascii="Arial" w:hAnsi="Arial" w:cs="Arial"/>
          <w:sz w:val="22"/>
        </w:rPr>
        <w:t>N</w:t>
      </w:r>
      <w:r w:rsidRPr="00C534A9">
        <w:rPr>
          <w:rFonts w:ascii="Arial" w:hAnsi="Arial" w:cs="Arial"/>
          <w:sz w:val="22"/>
        </w:rPr>
        <w:t>PV of the project</w:t>
      </w:r>
      <w:r w:rsidR="00482D2D" w:rsidRPr="00C534A9">
        <w:rPr>
          <w:rFonts w:ascii="Arial" w:hAnsi="Arial" w:cs="Arial"/>
          <w:sz w:val="22"/>
        </w:rPr>
        <w:t xml:space="preserve"> </w:t>
      </w:r>
      <w:r w:rsidR="00AA31CB" w:rsidRPr="00C534A9">
        <w:rPr>
          <w:rFonts w:ascii="Arial" w:hAnsi="Arial" w:cs="Arial"/>
          <w:sz w:val="22"/>
        </w:rPr>
        <w:t>sub-project</w:t>
      </w:r>
      <w:r w:rsidRPr="00C534A9">
        <w:rPr>
          <w:rFonts w:ascii="Arial" w:hAnsi="Arial" w:cs="Arial"/>
          <w:sz w:val="22"/>
        </w:rPr>
        <w:t xml:space="preserve">s compared to a business-as-usual (BAU) scenario </w:t>
      </w:r>
      <w:r w:rsidR="00205557" w:rsidRPr="00C534A9">
        <w:rPr>
          <w:rFonts w:ascii="Arial" w:hAnsi="Arial" w:cs="Arial"/>
          <w:sz w:val="22"/>
        </w:rPr>
        <w:t>without</w:t>
      </w:r>
      <w:r w:rsidR="0057095A" w:rsidRPr="00C534A9">
        <w:rPr>
          <w:rFonts w:ascii="Arial" w:hAnsi="Arial" w:cs="Arial"/>
          <w:sz w:val="22"/>
        </w:rPr>
        <w:t xml:space="preserve"> the </w:t>
      </w:r>
      <w:r w:rsidR="00205557" w:rsidRPr="00C534A9">
        <w:rPr>
          <w:rFonts w:ascii="Arial" w:hAnsi="Arial" w:cs="Arial"/>
          <w:sz w:val="22"/>
        </w:rPr>
        <w:t xml:space="preserve">planned </w:t>
      </w:r>
      <w:r w:rsidR="0057095A" w:rsidRPr="00C534A9">
        <w:rPr>
          <w:rFonts w:ascii="Arial" w:hAnsi="Arial" w:cs="Arial"/>
          <w:sz w:val="22"/>
        </w:rPr>
        <w:t>investments</w:t>
      </w:r>
      <w:r w:rsidRPr="00C534A9">
        <w:rPr>
          <w:rFonts w:ascii="Arial" w:hAnsi="Arial" w:cs="Arial"/>
          <w:sz w:val="22"/>
        </w:rPr>
        <w:t xml:space="preserve">. The benefits of the </w:t>
      </w:r>
      <w:r w:rsidR="00205557" w:rsidRPr="00C534A9">
        <w:rPr>
          <w:rFonts w:ascii="Arial" w:hAnsi="Arial" w:cs="Arial"/>
          <w:sz w:val="22"/>
        </w:rPr>
        <w:t>sub-projects</w:t>
      </w:r>
      <w:r w:rsidRPr="00C534A9">
        <w:rPr>
          <w:rFonts w:ascii="Arial" w:hAnsi="Arial" w:cs="Arial"/>
          <w:sz w:val="22"/>
        </w:rPr>
        <w:t xml:space="preserve"> will stem from </w:t>
      </w:r>
      <w:r w:rsidR="0057095A" w:rsidRPr="00C534A9">
        <w:rPr>
          <w:rFonts w:ascii="Arial" w:hAnsi="Arial" w:cs="Arial"/>
          <w:sz w:val="22"/>
        </w:rPr>
        <w:t>avoid</w:t>
      </w:r>
      <w:r w:rsidR="00631E64" w:rsidRPr="00C534A9">
        <w:rPr>
          <w:rFonts w:ascii="Arial" w:hAnsi="Arial" w:cs="Arial"/>
          <w:sz w:val="22"/>
        </w:rPr>
        <w:t>ed</w:t>
      </w:r>
      <w:r w:rsidR="0057095A" w:rsidRPr="00C534A9">
        <w:rPr>
          <w:rFonts w:ascii="Arial" w:hAnsi="Arial" w:cs="Arial"/>
          <w:sz w:val="22"/>
        </w:rPr>
        <w:t xml:space="preserve"> economic losses from natural gas shortages, </w:t>
      </w:r>
      <w:r w:rsidRPr="00C534A9">
        <w:rPr>
          <w:rFonts w:ascii="Arial" w:hAnsi="Arial" w:cs="Arial"/>
          <w:sz w:val="22"/>
        </w:rPr>
        <w:t xml:space="preserve">savings on </w:t>
      </w:r>
      <w:r w:rsidR="0057095A" w:rsidRPr="00C534A9">
        <w:rPr>
          <w:rFonts w:ascii="Arial" w:hAnsi="Arial" w:cs="Arial"/>
          <w:sz w:val="22"/>
        </w:rPr>
        <w:t xml:space="preserve">liquid </w:t>
      </w:r>
      <w:r w:rsidR="00482D2D" w:rsidRPr="00C534A9">
        <w:rPr>
          <w:rFonts w:ascii="Arial" w:hAnsi="Arial" w:cs="Arial"/>
          <w:sz w:val="22"/>
        </w:rPr>
        <w:t>fuel expenditures</w:t>
      </w:r>
      <w:r w:rsidRPr="00C534A9">
        <w:rPr>
          <w:rFonts w:ascii="Arial" w:hAnsi="Arial" w:cs="Arial"/>
          <w:sz w:val="22"/>
        </w:rPr>
        <w:t xml:space="preserve">, </w:t>
      </w:r>
      <w:r w:rsidR="0057095A" w:rsidRPr="00C534A9">
        <w:rPr>
          <w:rFonts w:ascii="Arial" w:hAnsi="Arial" w:cs="Arial"/>
          <w:sz w:val="22"/>
        </w:rPr>
        <w:t xml:space="preserve">and </w:t>
      </w:r>
      <w:r w:rsidRPr="00C534A9">
        <w:rPr>
          <w:rFonts w:ascii="Arial" w:hAnsi="Arial" w:cs="Arial"/>
          <w:sz w:val="22"/>
        </w:rPr>
        <w:t xml:space="preserve">the monetary value of avoided greenhouse gas emissions related to the displaced </w:t>
      </w:r>
      <w:r w:rsidR="0057095A" w:rsidRPr="00C534A9">
        <w:rPr>
          <w:rFonts w:ascii="Arial" w:hAnsi="Arial" w:cs="Arial"/>
          <w:sz w:val="22"/>
        </w:rPr>
        <w:t xml:space="preserve">consumption of liquid fuels for </w:t>
      </w:r>
      <w:r w:rsidRPr="00C534A9">
        <w:rPr>
          <w:rFonts w:ascii="Arial" w:hAnsi="Arial" w:cs="Arial"/>
          <w:sz w:val="22"/>
        </w:rPr>
        <w:t xml:space="preserve">electricity </w:t>
      </w:r>
      <w:r w:rsidR="0057095A" w:rsidRPr="00C534A9">
        <w:rPr>
          <w:rFonts w:ascii="Arial" w:hAnsi="Arial" w:cs="Arial"/>
          <w:sz w:val="22"/>
        </w:rPr>
        <w:t>generation</w:t>
      </w:r>
      <w:r w:rsidRPr="00C534A9">
        <w:rPr>
          <w:rFonts w:ascii="Arial" w:hAnsi="Arial" w:cs="Arial"/>
          <w:sz w:val="22"/>
        </w:rPr>
        <w:t xml:space="preserve"> and </w:t>
      </w:r>
      <w:r w:rsidR="0057095A" w:rsidRPr="00C534A9">
        <w:rPr>
          <w:rFonts w:ascii="Arial" w:hAnsi="Arial" w:cs="Arial"/>
          <w:sz w:val="22"/>
        </w:rPr>
        <w:t>commercial/industrial uses</w:t>
      </w:r>
      <w:r w:rsidRPr="00C534A9">
        <w:rPr>
          <w:rFonts w:ascii="Arial" w:hAnsi="Arial" w:cs="Arial"/>
          <w:sz w:val="22"/>
        </w:rPr>
        <w:t xml:space="preserve">. </w:t>
      </w:r>
    </w:p>
    <w:p w:rsidR="0065244D" w:rsidRPr="00C534A9" w:rsidRDefault="00712B41" w:rsidP="00C534A9">
      <w:pPr>
        <w:jc w:val="both"/>
        <w:rPr>
          <w:rFonts w:ascii="Arial" w:hAnsi="Arial" w:cs="Arial"/>
          <w:sz w:val="22"/>
          <w:szCs w:val="24"/>
        </w:rPr>
      </w:pPr>
      <w:r w:rsidRPr="00C534A9">
        <w:rPr>
          <w:rFonts w:ascii="Arial" w:hAnsi="Arial" w:cs="Arial"/>
          <w:sz w:val="22"/>
          <w:szCs w:val="24"/>
        </w:rPr>
        <w:t xml:space="preserve">The methodology </w:t>
      </w:r>
      <w:r w:rsidR="0065244D" w:rsidRPr="00C534A9">
        <w:rPr>
          <w:rFonts w:ascii="Arial" w:hAnsi="Arial" w:cs="Arial"/>
          <w:sz w:val="22"/>
          <w:szCs w:val="24"/>
        </w:rPr>
        <w:t>to develop the financial analysis</w:t>
      </w:r>
      <w:r w:rsidR="0065244D" w:rsidRPr="00C534A9">
        <w:rPr>
          <w:rStyle w:val="BodyTextChar"/>
          <w:rFonts w:ascii="Arial" w:hAnsi="Arial" w:cs="Arial"/>
          <w:sz w:val="22"/>
        </w:rPr>
        <w:t xml:space="preserve"> calculates the net present value (NPV) of the associated cash flows that will accrue to NPC as a result of the sub-projects. This N</w:t>
      </w:r>
      <w:r w:rsidR="0065244D" w:rsidRPr="00C534A9">
        <w:rPr>
          <w:rFonts w:ascii="Arial" w:hAnsi="Arial" w:cs="Arial"/>
          <w:sz w:val="22"/>
          <w:szCs w:val="24"/>
        </w:rPr>
        <w:t>PV is calculated from the expected income that NPC will receive and the costs that NPC will pay as a result of investing in the sub-project. For example, to calculate the income from expanding the micro-LNG facility, the income from selling the incremental volumes of natural gas</w:t>
      </w:r>
      <w:r w:rsidRPr="00C534A9">
        <w:rPr>
          <w:rFonts w:ascii="Arial" w:hAnsi="Arial" w:cs="Arial"/>
          <w:sz w:val="22"/>
          <w:szCs w:val="24"/>
        </w:rPr>
        <w:t xml:space="preserve"> was estimated</w:t>
      </w:r>
      <w:r w:rsidR="0065244D" w:rsidRPr="00C534A9">
        <w:rPr>
          <w:rStyle w:val="BodyTextChar"/>
          <w:rFonts w:ascii="Arial" w:hAnsi="Arial" w:cs="Arial"/>
          <w:sz w:val="22"/>
        </w:rPr>
        <w:t>. To calculate the cost of expanding the micro LNG facility, the cost of the imported natural gas, the facility’s operational costs, loan finance charges, and taxes</w:t>
      </w:r>
      <w:r w:rsidRPr="00C534A9">
        <w:rPr>
          <w:rStyle w:val="BodyTextChar"/>
          <w:rFonts w:ascii="Arial" w:hAnsi="Arial" w:cs="Arial"/>
          <w:sz w:val="22"/>
        </w:rPr>
        <w:t>, were estimated</w:t>
      </w:r>
      <w:r w:rsidR="0065244D" w:rsidRPr="00C534A9">
        <w:rPr>
          <w:rStyle w:val="BodyTextChar"/>
          <w:rFonts w:ascii="Arial" w:hAnsi="Arial" w:cs="Arial"/>
          <w:sz w:val="22"/>
        </w:rPr>
        <w:t xml:space="preserve">. </w:t>
      </w:r>
      <w:r w:rsidR="00DE424E" w:rsidRPr="00C534A9">
        <w:rPr>
          <w:rStyle w:val="BodyTextChar"/>
          <w:rFonts w:ascii="Arial" w:hAnsi="Arial" w:cs="Arial"/>
          <w:sz w:val="22"/>
        </w:rPr>
        <w:t>The result of the financial analysis</w:t>
      </w:r>
      <w:r w:rsidR="0065244D" w:rsidRPr="00C534A9">
        <w:rPr>
          <w:rStyle w:val="BodyTextChar"/>
          <w:rFonts w:ascii="Arial" w:hAnsi="Arial" w:cs="Arial"/>
          <w:sz w:val="22"/>
        </w:rPr>
        <w:t xml:space="preserve"> </w:t>
      </w:r>
      <w:r w:rsidR="00DE424E" w:rsidRPr="00C534A9">
        <w:rPr>
          <w:rStyle w:val="BodyTextChar"/>
          <w:rFonts w:ascii="Arial" w:hAnsi="Arial" w:cs="Arial"/>
          <w:sz w:val="22"/>
        </w:rPr>
        <w:t xml:space="preserve">is the </w:t>
      </w:r>
      <w:r w:rsidR="0065244D" w:rsidRPr="00C534A9">
        <w:rPr>
          <w:rStyle w:val="BodyTextChar"/>
          <w:rFonts w:ascii="Arial" w:hAnsi="Arial" w:cs="Arial"/>
          <w:sz w:val="22"/>
        </w:rPr>
        <w:t xml:space="preserve">net present value of the cash flows, </w:t>
      </w:r>
      <w:r w:rsidR="00DE424E" w:rsidRPr="00C534A9">
        <w:rPr>
          <w:rStyle w:val="BodyTextChar"/>
          <w:rFonts w:ascii="Arial" w:hAnsi="Arial" w:cs="Arial"/>
          <w:sz w:val="22"/>
        </w:rPr>
        <w:t xml:space="preserve">calculated </w:t>
      </w:r>
      <w:r w:rsidR="0065244D" w:rsidRPr="00C534A9">
        <w:rPr>
          <w:rStyle w:val="BodyTextChar"/>
          <w:rFonts w:ascii="Arial" w:hAnsi="Arial" w:cs="Arial"/>
          <w:sz w:val="22"/>
        </w:rPr>
        <w:t>taking into account the asset depreciation. . If the NPV is positive, the project is profitable.</w:t>
      </w:r>
    </w:p>
    <w:p w:rsidR="0065244D" w:rsidRPr="00C534A9" w:rsidRDefault="0065244D" w:rsidP="00C534A9">
      <w:pPr>
        <w:jc w:val="both"/>
        <w:rPr>
          <w:rFonts w:ascii="Arial" w:hAnsi="Arial" w:cs="Arial"/>
          <w:sz w:val="22"/>
        </w:rPr>
      </w:pPr>
      <w:r w:rsidRPr="00C534A9">
        <w:rPr>
          <w:rFonts w:ascii="Arial" w:hAnsi="Arial" w:cs="Arial"/>
          <w:sz w:val="22"/>
        </w:rPr>
        <w:t xml:space="preserve">This financial analysis suggests that the sub-projects that were analyzed will generate for NPC an aggregate Net Present Value of </w:t>
      </w:r>
      <w:r w:rsidRPr="00C534A9">
        <w:rPr>
          <w:rFonts w:ascii="Arial" w:hAnsi="Arial" w:cs="Arial"/>
          <w:b/>
          <w:sz w:val="22"/>
        </w:rPr>
        <w:t>US$</w:t>
      </w:r>
      <w:r w:rsidR="007D6B36" w:rsidRPr="00C534A9">
        <w:rPr>
          <w:rFonts w:ascii="Arial" w:hAnsi="Arial" w:cs="Arial"/>
          <w:b/>
          <w:sz w:val="22"/>
        </w:rPr>
        <w:t>9.7</w:t>
      </w:r>
      <w:r w:rsidRPr="00C534A9">
        <w:rPr>
          <w:rFonts w:ascii="Arial" w:hAnsi="Arial" w:cs="Arial"/>
          <w:b/>
          <w:sz w:val="22"/>
        </w:rPr>
        <w:t xml:space="preserve"> million </w:t>
      </w:r>
      <w:r w:rsidRPr="00C534A9">
        <w:rPr>
          <w:rFonts w:ascii="Arial" w:hAnsi="Arial" w:cs="Arial"/>
          <w:sz w:val="22"/>
        </w:rPr>
        <w:t xml:space="preserve">and an </w:t>
      </w:r>
      <w:r w:rsidRPr="00C534A9">
        <w:rPr>
          <w:rFonts w:ascii="Arial" w:hAnsi="Arial" w:cs="Arial"/>
          <w:b/>
          <w:sz w:val="22"/>
        </w:rPr>
        <w:t xml:space="preserve">internal rate of return of </w:t>
      </w:r>
      <w:r w:rsidR="007D6B36" w:rsidRPr="00C534A9">
        <w:rPr>
          <w:rFonts w:ascii="Arial" w:hAnsi="Arial" w:cs="Arial"/>
          <w:b/>
          <w:sz w:val="22"/>
        </w:rPr>
        <w:t xml:space="preserve">15 </w:t>
      </w:r>
      <w:r w:rsidRPr="00C534A9">
        <w:rPr>
          <w:rFonts w:ascii="Arial" w:hAnsi="Arial" w:cs="Arial"/>
          <w:b/>
          <w:sz w:val="22"/>
        </w:rPr>
        <w:t>percent</w:t>
      </w:r>
      <w:r w:rsidRPr="00C534A9">
        <w:rPr>
          <w:rFonts w:ascii="Arial" w:hAnsi="Arial" w:cs="Arial"/>
          <w:sz w:val="22"/>
        </w:rPr>
        <w:t xml:space="preserve"> over a 25 year period. This is the profitability of the sub-projects </w:t>
      </w:r>
      <w:r w:rsidR="00205557" w:rsidRPr="00C534A9">
        <w:rPr>
          <w:rFonts w:ascii="Arial" w:hAnsi="Arial" w:cs="Arial"/>
          <w:sz w:val="22"/>
        </w:rPr>
        <w:t>noted above to NPC</w:t>
      </w:r>
      <w:r w:rsidRPr="00C534A9">
        <w:rPr>
          <w:rFonts w:ascii="Arial" w:hAnsi="Arial" w:cs="Arial"/>
          <w:sz w:val="22"/>
        </w:rPr>
        <w:t xml:space="preserve">. </w:t>
      </w:r>
      <w:r w:rsidR="00205557" w:rsidRPr="00C534A9">
        <w:rPr>
          <w:rFonts w:ascii="Arial" w:hAnsi="Arial" w:cs="Arial"/>
          <w:sz w:val="22"/>
        </w:rPr>
        <w:t xml:space="preserve">If the VS LNG terminal is included in the analysis, the aggregate Net Present Value to NPC is </w:t>
      </w:r>
      <w:r w:rsidR="00205557" w:rsidRPr="00C534A9">
        <w:rPr>
          <w:rFonts w:ascii="Arial" w:hAnsi="Arial" w:cs="Arial"/>
          <w:b/>
          <w:sz w:val="22"/>
        </w:rPr>
        <w:t>US$</w:t>
      </w:r>
      <w:r w:rsidR="007D6B36" w:rsidRPr="00C534A9">
        <w:rPr>
          <w:rFonts w:ascii="Arial" w:hAnsi="Arial" w:cs="Arial"/>
          <w:b/>
          <w:sz w:val="22"/>
        </w:rPr>
        <w:t xml:space="preserve">81.2 </w:t>
      </w:r>
      <w:r w:rsidR="00205557" w:rsidRPr="00C534A9">
        <w:rPr>
          <w:rFonts w:ascii="Arial" w:hAnsi="Arial" w:cs="Arial"/>
          <w:b/>
          <w:sz w:val="22"/>
        </w:rPr>
        <w:t>million</w:t>
      </w:r>
      <w:r w:rsidR="00205557" w:rsidRPr="00C534A9">
        <w:rPr>
          <w:rFonts w:ascii="Arial" w:hAnsi="Arial" w:cs="Arial"/>
          <w:sz w:val="22"/>
        </w:rPr>
        <w:t xml:space="preserve"> and the </w:t>
      </w:r>
      <w:r w:rsidR="00205557" w:rsidRPr="00C534A9">
        <w:rPr>
          <w:rFonts w:ascii="Arial" w:hAnsi="Arial" w:cs="Arial"/>
          <w:b/>
          <w:sz w:val="22"/>
        </w:rPr>
        <w:t xml:space="preserve">internal rate of return is </w:t>
      </w:r>
      <w:r w:rsidR="007D6B36" w:rsidRPr="00C534A9">
        <w:rPr>
          <w:rFonts w:ascii="Arial" w:hAnsi="Arial" w:cs="Arial"/>
          <w:b/>
          <w:sz w:val="22"/>
        </w:rPr>
        <w:t xml:space="preserve">16 </w:t>
      </w:r>
      <w:r w:rsidR="00205557" w:rsidRPr="00C534A9">
        <w:rPr>
          <w:rFonts w:ascii="Arial" w:hAnsi="Arial" w:cs="Arial"/>
          <w:b/>
          <w:sz w:val="22"/>
        </w:rPr>
        <w:t>percent</w:t>
      </w:r>
      <w:r w:rsidR="00205557" w:rsidRPr="00C534A9">
        <w:rPr>
          <w:rFonts w:ascii="Arial" w:hAnsi="Arial" w:cs="Arial"/>
          <w:sz w:val="22"/>
        </w:rPr>
        <w:t xml:space="preserve">. </w:t>
      </w:r>
    </w:p>
    <w:p w:rsidR="00DE6A03" w:rsidRPr="00C534A9" w:rsidRDefault="0053113D" w:rsidP="00C534A9">
      <w:pPr>
        <w:jc w:val="both"/>
        <w:rPr>
          <w:rFonts w:ascii="Arial" w:hAnsi="Arial" w:cs="Arial"/>
          <w:sz w:val="22"/>
        </w:rPr>
      </w:pPr>
      <w:r w:rsidRPr="00C534A9">
        <w:rPr>
          <w:rFonts w:ascii="Arial" w:hAnsi="Arial" w:cs="Arial"/>
          <w:sz w:val="22"/>
        </w:rPr>
        <w:t xml:space="preserve">Section A </w:t>
      </w:r>
      <w:r w:rsidR="00DE6A03" w:rsidRPr="00C534A9">
        <w:rPr>
          <w:rFonts w:ascii="Arial" w:hAnsi="Arial" w:cs="Arial"/>
          <w:sz w:val="22"/>
        </w:rPr>
        <w:t>present</w:t>
      </w:r>
      <w:r w:rsidR="009F2643" w:rsidRPr="00C534A9">
        <w:rPr>
          <w:rFonts w:ascii="Arial" w:hAnsi="Arial" w:cs="Arial"/>
          <w:sz w:val="22"/>
        </w:rPr>
        <w:t>s</w:t>
      </w:r>
      <w:r w:rsidR="00DE6A03" w:rsidRPr="00C534A9">
        <w:rPr>
          <w:rFonts w:ascii="Arial" w:hAnsi="Arial" w:cs="Arial"/>
          <w:sz w:val="22"/>
        </w:rPr>
        <w:t xml:space="preserve"> </w:t>
      </w:r>
      <w:r w:rsidR="009F2643" w:rsidRPr="00C534A9">
        <w:rPr>
          <w:rFonts w:ascii="Arial" w:hAnsi="Arial" w:cs="Arial"/>
          <w:sz w:val="22"/>
        </w:rPr>
        <w:t>the</w:t>
      </w:r>
      <w:r w:rsidR="00482D2D" w:rsidRPr="00C534A9">
        <w:rPr>
          <w:rFonts w:ascii="Arial" w:hAnsi="Arial" w:cs="Arial"/>
          <w:sz w:val="22"/>
        </w:rPr>
        <w:t xml:space="preserve"> </w:t>
      </w:r>
      <w:r w:rsidRPr="00C534A9">
        <w:rPr>
          <w:rFonts w:ascii="Arial" w:hAnsi="Arial" w:cs="Arial"/>
          <w:sz w:val="22"/>
        </w:rPr>
        <w:t xml:space="preserve">CBA </w:t>
      </w:r>
      <w:r w:rsidR="00DE6A03" w:rsidRPr="00C534A9">
        <w:rPr>
          <w:rFonts w:ascii="Arial" w:hAnsi="Arial" w:cs="Arial"/>
          <w:sz w:val="22"/>
        </w:rPr>
        <w:t>analysis in detail as follows:</w:t>
      </w:r>
    </w:p>
    <w:p w:rsidR="00DE6A03" w:rsidRPr="00C534A9" w:rsidRDefault="00482D2D" w:rsidP="00C534A9">
      <w:pPr>
        <w:pStyle w:val="ListParagraph"/>
        <w:numPr>
          <w:ilvl w:val="0"/>
          <w:numId w:val="14"/>
        </w:numPr>
        <w:jc w:val="both"/>
        <w:rPr>
          <w:rFonts w:ascii="Arial" w:hAnsi="Arial" w:cs="Arial"/>
          <w:sz w:val="22"/>
        </w:rPr>
      </w:pPr>
      <w:r w:rsidRPr="00C534A9">
        <w:rPr>
          <w:rFonts w:ascii="Arial" w:hAnsi="Arial" w:cs="Arial"/>
          <w:b/>
          <w:sz w:val="22"/>
        </w:rPr>
        <w:t xml:space="preserve">Loan </w:t>
      </w:r>
      <w:r w:rsidR="003F7F8B" w:rsidRPr="00C534A9">
        <w:rPr>
          <w:rFonts w:ascii="Arial" w:hAnsi="Arial" w:cs="Arial"/>
          <w:b/>
          <w:sz w:val="22"/>
        </w:rPr>
        <w:t>sub-projects</w:t>
      </w:r>
      <w:r w:rsidR="00DE6A03" w:rsidRPr="00C534A9">
        <w:rPr>
          <w:rFonts w:ascii="Arial" w:hAnsi="Arial" w:cs="Arial"/>
          <w:sz w:val="22"/>
        </w:rPr>
        <w:t xml:space="preserve">—presents the </w:t>
      </w:r>
      <w:r w:rsidRPr="00C534A9">
        <w:rPr>
          <w:rFonts w:ascii="Arial" w:hAnsi="Arial" w:cs="Arial"/>
          <w:sz w:val="22"/>
        </w:rPr>
        <w:t>investments and projects</w:t>
      </w:r>
      <w:r w:rsidR="00DE6A03" w:rsidRPr="00C534A9">
        <w:rPr>
          <w:rFonts w:ascii="Arial" w:hAnsi="Arial" w:cs="Arial"/>
          <w:sz w:val="22"/>
        </w:rPr>
        <w:t xml:space="preserve"> included in the </w:t>
      </w:r>
      <w:r w:rsidRPr="00C534A9">
        <w:rPr>
          <w:rFonts w:ascii="Arial" w:hAnsi="Arial" w:cs="Arial"/>
          <w:sz w:val="22"/>
        </w:rPr>
        <w:t>loan</w:t>
      </w:r>
      <w:r w:rsidR="00DE6A03" w:rsidRPr="00C534A9">
        <w:rPr>
          <w:rFonts w:ascii="Arial" w:hAnsi="Arial" w:cs="Arial"/>
          <w:sz w:val="22"/>
        </w:rPr>
        <w:t>, upon which this CBA is based (Section</w:t>
      </w:r>
      <w:r w:rsidR="00BE1449" w:rsidRPr="00C534A9">
        <w:rPr>
          <w:rFonts w:ascii="Arial" w:hAnsi="Arial" w:cs="Arial"/>
          <w:sz w:val="22"/>
        </w:rPr>
        <w:t xml:space="preserve"> 2</w:t>
      </w:r>
      <w:r w:rsidR="00DE6A03" w:rsidRPr="00C534A9">
        <w:rPr>
          <w:rFonts w:ascii="Arial" w:hAnsi="Arial" w:cs="Arial"/>
          <w:sz w:val="22"/>
        </w:rPr>
        <w:t>)</w:t>
      </w:r>
    </w:p>
    <w:p w:rsidR="00DE6A03" w:rsidRPr="00C534A9" w:rsidRDefault="00DE6A03" w:rsidP="00C534A9">
      <w:pPr>
        <w:pStyle w:val="ListParagraph"/>
        <w:numPr>
          <w:ilvl w:val="0"/>
          <w:numId w:val="14"/>
        </w:numPr>
        <w:jc w:val="both"/>
        <w:rPr>
          <w:rFonts w:ascii="Arial" w:hAnsi="Arial" w:cs="Arial"/>
          <w:sz w:val="22"/>
        </w:rPr>
      </w:pPr>
      <w:r w:rsidRPr="00C534A9">
        <w:rPr>
          <w:rFonts w:ascii="Arial" w:hAnsi="Arial" w:cs="Arial"/>
          <w:b/>
          <w:sz w:val="22"/>
        </w:rPr>
        <w:t xml:space="preserve">Cost Benefit Analysis of </w:t>
      </w:r>
      <w:r w:rsidR="00E10C7D" w:rsidRPr="00C534A9">
        <w:rPr>
          <w:rFonts w:ascii="Arial" w:hAnsi="Arial" w:cs="Arial"/>
          <w:b/>
          <w:sz w:val="22"/>
        </w:rPr>
        <w:t xml:space="preserve">the </w:t>
      </w:r>
      <w:r w:rsidR="00690440" w:rsidRPr="00C534A9">
        <w:rPr>
          <w:rFonts w:ascii="Arial" w:hAnsi="Arial" w:cs="Arial"/>
          <w:b/>
          <w:sz w:val="22"/>
        </w:rPr>
        <w:t>micro LNG facility expansion</w:t>
      </w:r>
      <w:r w:rsidR="00BE1449" w:rsidRPr="00C534A9">
        <w:rPr>
          <w:rFonts w:ascii="Arial" w:hAnsi="Arial" w:cs="Arial"/>
          <w:b/>
          <w:sz w:val="22"/>
        </w:rPr>
        <w:t xml:space="preserve"> and compressor replacement sub-project</w:t>
      </w:r>
      <w:r w:rsidRPr="00C534A9">
        <w:rPr>
          <w:rFonts w:ascii="Arial" w:hAnsi="Arial" w:cs="Arial"/>
          <w:sz w:val="22"/>
        </w:rPr>
        <w:t xml:space="preserve">—shows that </w:t>
      </w:r>
      <w:r w:rsidR="00690440" w:rsidRPr="00C534A9">
        <w:rPr>
          <w:rFonts w:ascii="Arial" w:hAnsi="Arial" w:cs="Arial"/>
          <w:sz w:val="22"/>
        </w:rPr>
        <w:t>the expansion of the micro-LNG facility</w:t>
      </w:r>
      <w:r w:rsidR="00BE1449" w:rsidRPr="00C534A9">
        <w:rPr>
          <w:rFonts w:ascii="Arial" w:hAnsi="Arial" w:cs="Arial"/>
          <w:sz w:val="22"/>
        </w:rPr>
        <w:t xml:space="preserve"> and replacement of the natural gas compressors</w:t>
      </w:r>
      <w:r w:rsidRPr="00C534A9">
        <w:rPr>
          <w:rFonts w:ascii="Arial" w:hAnsi="Arial" w:cs="Arial"/>
          <w:sz w:val="22"/>
        </w:rPr>
        <w:t xml:space="preserve"> </w:t>
      </w:r>
      <w:r w:rsidR="00482D2D" w:rsidRPr="00C534A9">
        <w:rPr>
          <w:rFonts w:ascii="Arial" w:hAnsi="Arial" w:cs="Arial"/>
          <w:sz w:val="22"/>
        </w:rPr>
        <w:t>is</w:t>
      </w:r>
      <w:r w:rsidRPr="00C534A9">
        <w:rPr>
          <w:rFonts w:ascii="Arial" w:hAnsi="Arial" w:cs="Arial"/>
          <w:sz w:val="22"/>
        </w:rPr>
        <w:t xml:space="preserve"> economically viable. It does so by showing that the net economic benefits of </w:t>
      </w:r>
      <w:r w:rsidR="00690440" w:rsidRPr="00C534A9">
        <w:rPr>
          <w:rFonts w:ascii="Arial" w:hAnsi="Arial" w:cs="Arial"/>
          <w:sz w:val="22"/>
        </w:rPr>
        <w:t xml:space="preserve">the </w:t>
      </w:r>
      <w:r w:rsidR="00BE1449" w:rsidRPr="00C534A9">
        <w:rPr>
          <w:rFonts w:ascii="Arial" w:hAnsi="Arial" w:cs="Arial"/>
          <w:sz w:val="22"/>
        </w:rPr>
        <w:t>sub-project</w:t>
      </w:r>
      <w:r w:rsidR="00482D2D" w:rsidRPr="00C534A9">
        <w:rPr>
          <w:rFonts w:ascii="Arial" w:hAnsi="Arial" w:cs="Arial"/>
          <w:sz w:val="22"/>
        </w:rPr>
        <w:t xml:space="preserve"> </w:t>
      </w:r>
      <w:r w:rsidRPr="00C534A9">
        <w:rPr>
          <w:rFonts w:ascii="Arial" w:hAnsi="Arial" w:cs="Arial"/>
          <w:sz w:val="22"/>
        </w:rPr>
        <w:t xml:space="preserve">are positive and the </w:t>
      </w:r>
      <w:r w:rsidR="00690440" w:rsidRPr="00C534A9">
        <w:rPr>
          <w:rFonts w:ascii="Arial" w:hAnsi="Arial" w:cs="Arial"/>
          <w:sz w:val="22"/>
        </w:rPr>
        <w:t>economic</w:t>
      </w:r>
      <w:r w:rsidRPr="00C534A9">
        <w:rPr>
          <w:rFonts w:ascii="Arial" w:hAnsi="Arial" w:cs="Arial"/>
          <w:sz w:val="22"/>
        </w:rPr>
        <w:t xml:space="preserve"> r</w:t>
      </w:r>
      <w:r w:rsidR="00690440" w:rsidRPr="00C534A9">
        <w:rPr>
          <w:rFonts w:ascii="Arial" w:hAnsi="Arial" w:cs="Arial"/>
          <w:sz w:val="22"/>
        </w:rPr>
        <w:t>ate of return</w:t>
      </w:r>
      <w:r w:rsidRPr="00C534A9">
        <w:rPr>
          <w:rFonts w:ascii="Arial" w:hAnsi="Arial" w:cs="Arial"/>
          <w:sz w:val="22"/>
        </w:rPr>
        <w:t xml:space="preserve"> exceed</w:t>
      </w:r>
      <w:r w:rsidR="00690440" w:rsidRPr="00C534A9">
        <w:rPr>
          <w:rFonts w:ascii="Arial" w:hAnsi="Arial" w:cs="Arial"/>
          <w:sz w:val="22"/>
        </w:rPr>
        <w:t>s</w:t>
      </w:r>
      <w:r w:rsidRPr="00C534A9">
        <w:rPr>
          <w:rFonts w:ascii="Arial" w:hAnsi="Arial" w:cs="Arial"/>
          <w:sz w:val="22"/>
        </w:rPr>
        <w:t xml:space="preserve"> the discount rate. The section also presents the assumptions and methodology used to calculate these results (Section</w:t>
      </w:r>
      <w:r w:rsidR="00482D2D" w:rsidRPr="00C534A9">
        <w:rPr>
          <w:rFonts w:ascii="Arial" w:hAnsi="Arial" w:cs="Arial"/>
          <w:sz w:val="22"/>
        </w:rPr>
        <w:t xml:space="preserve"> 3</w:t>
      </w:r>
      <w:r w:rsidRPr="00C534A9">
        <w:rPr>
          <w:rFonts w:ascii="Arial" w:hAnsi="Arial" w:cs="Arial"/>
          <w:sz w:val="22"/>
        </w:rPr>
        <w:t>)</w:t>
      </w:r>
      <w:r w:rsidR="00E10C7D" w:rsidRPr="00C534A9">
        <w:rPr>
          <w:rFonts w:ascii="Arial" w:hAnsi="Arial" w:cs="Arial"/>
          <w:sz w:val="22"/>
        </w:rPr>
        <w:t>.</w:t>
      </w:r>
    </w:p>
    <w:p w:rsidR="00482D2D" w:rsidRPr="00C534A9" w:rsidRDefault="00482D2D" w:rsidP="00C534A9">
      <w:pPr>
        <w:pStyle w:val="ListParagraph"/>
        <w:numPr>
          <w:ilvl w:val="0"/>
          <w:numId w:val="14"/>
        </w:numPr>
        <w:jc w:val="both"/>
        <w:rPr>
          <w:rFonts w:ascii="Arial" w:hAnsi="Arial" w:cs="Arial"/>
          <w:sz w:val="22"/>
        </w:rPr>
      </w:pPr>
      <w:r w:rsidRPr="00C534A9">
        <w:rPr>
          <w:rFonts w:ascii="Arial" w:hAnsi="Arial" w:cs="Arial"/>
          <w:b/>
          <w:sz w:val="22"/>
        </w:rPr>
        <w:t xml:space="preserve">Cost Benefit Analysis of </w:t>
      </w:r>
      <w:r w:rsidR="00BE1449" w:rsidRPr="00C534A9">
        <w:rPr>
          <w:rFonts w:ascii="Arial" w:hAnsi="Arial" w:cs="Arial"/>
          <w:b/>
          <w:sz w:val="22"/>
        </w:rPr>
        <w:t xml:space="preserve">the </w:t>
      </w:r>
      <w:r w:rsidR="00690440" w:rsidRPr="00C534A9">
        <w:rPr>
          <w:rFonts w:ascii="Arial" w:hAnsi="Arial" w:cs="Arial"/>
          <w:b/>
          <w:sz w:val="22"/>
        </w:rPr>
        <w:t>850 kW wind turbine</w:t>
      </w:r>
      <w:r w:rsidR="00BE1449" w:rsidRPr="00C534A9">
        <w:rPr>
          <w:rFonts w:ascii="Arial" w:hAnsi="Arial" w:cs="Arial"/>
          <w:b/>
          <w:sz w:val="22"/>
        </w:rPr>
        <w:t xml:space="preserve"> sub-project</w:t>
      </w:r>
      <w:r w:rsidRPr="00C534A9">
        <w:rPr>
          <w:rFonts w:ascii="Arial" w:hAnsi="Arial" w:cs="Arial"/>
          <w:sz w:val="22"/>
        </w:rPr>
        <w:t xml:space="preserve">—shows that the </w:t>
      </w:r>
      <w:r w:rsidR="00690440" w:rsidRPr="00C534A9">
        <w:rPr>
          <w:rFonts w:ascii="Arial" w:hAnsi="Arial" w:cs="Arial"/>
          <w:sz w:val="22"/>
        </w:rPr>
        <w:t>850 kW wind turbine</w:t>
      </w:r>
      <w:r w:rsidRPr="00C534A9">
        <w:rPr>
          <w:rFonts w:ascii="Arial" w:hAnsi="Arial" w:cs="Arial"/>
          <w:sz w:val="22"/>
        </w:rPr>
        <w:t xml:space="preserve"> is economically viable. It does so by showing that the net economic benefits of </w:t>
      </w:r>
      <w:r w:rsidR="00723BA8" w:rsidRPr="00C534A9">
        <w:rPr>
          <w:rFonts w:ascii="Arial" w:hAnsi="Arial" w:cs="Arial"/>
          <w:sz w:val="22"/>
        </w:rPr>
        <w:t>the wind turbine</w:t>
      </w:r>
      <w:r w:rsidRPr="00C534A9">
        <w:rPr>
          <w:rFonts w:ascii="Arial" w:hAnsi="Arial" w:cs="Arial"/>
          <w:sz w:val="22"/>
        </w:rPr>
        <w:t xml:space="preserve"> are positive and the internal rate of returns exceed the discount rate. The section also presents the assumptions and methodology used to calculate these results (Section 4)</w:t>
      </w:r>
      <w:r w:rsidR="00E10C7D" w:rsidRPr="00C534A9">
        <w:rPr>
          <w:rFonts w:ascii="Arial" w:hAnsi="Arial" w:cs="Arial"/>
          <w:sz w:val="22"/>
        </w:rPr>
        <w:t>.</w:t>
      </w:r>
    </w:p>
    <w:p w:rsidR="00482D2D" w:rsidRPr="00C534A9" w:rsidRDefault="00482D2D" w:rsidP="00C534A9">
      <w:pPr>
        <w:pStyle w:val="ListParagraph"/>
        <w:numPr>
          <w:ilvl w:val="0"/>
          <w:numId w:val="14"/>
        </w:numPr>
        <w:jc w:val="both"/>
        <w:rPr>
          <w:rFonts w:ascii="Arial" w:hAnsi="Arial" w:cs="Arial"/>
          <w:sz w:val="22"/>
        </w:rPr>
      </w:pPr>
      <w:r w:rsidRPr="00C534A9">
        <w:rPr>
          <w:rFonts w:ascii="Arial" w:hAnsi="Arial" w:cs="Arial"/>
          <w:b/>
          <w:sz w:val="22"/>
        </w:rPr>
        <w:t xml:space="preserve">Cost Benefit Analysis of </w:t>
      </w:r>
      <w:r w:rsidR="00BE1449" w:rsidRPr="00C534A9">
        <w:rPr>
          <w:rFonts w:ascii="Arial" w:hAnsi="Arial" w:cs="Arial"/>
          <w:b/>
          <w:sz w:val="22"/>
        </w:rPr>
        <w:t xml:space="preserve">the 300kW </w:t>
      </w:r>
      <w:r w:rsidR="00AA4E6F" w:rsidRPr="00C534A9">
        <w:rPr>
          <w:rFonts w:ascii="Arial" w:hAnsi="Arial" w:cs="Arial"/>
          <w:b/>
          <w:sz w:val="22"/>
        </w:rPr>
        <w:t>PV system</w:t>
      </w:r>
      <w:r w:rsidR="00BE1449" w:rsidRPr="00C534A9">
        <w:rPr>
          <w:rFonts w:ascii="Arial" w:hAnsi="Arial" w:cs="Arial"/>
          <w:b/>
          <w:sz w:val="22"/>
        </w:rPr>
        <w:t xml:space="preserve"> sub-project</w:t>
      </w:r>
      <w:r w:rsidRPr="00C534A9">
        <w:rPr>
          <w:rFonts w:ascii="Arial" w:hAnsi="Arial" w:cs="Arial"/>
          <w:sz w:val="22"/>
        </w:rPr>
        <w:t xml:space="preserve">—shows that the </w:t>
      </w:r>
      <w:r w:rsidR="002377C5" w:rsidRPr="00C534A9">
        <w:rPr>
          <w:rFonts w:ascii="Arial" w:hAnsi="Arial" w:cs="Arial"/>
          <w:sz w:val="22"/>
        </w:rPr>
        <w:t xml:space="preserve">installation of the 300 kW </w:t>
      </w:r>
      <w:r w:rsidR="00AA4E6F" w:rsidRPr="00C534A9">
        <w:rPr>
          <w:rFonts w:ascii="Arial" w:hAnsi="Arial" w:cs="Arial"/>
          <w:sz w:val="22"/>
        </w:rPr>
        <w:t>PV system</w:t>
      </w:r>
      <w:r w:rsidRPr="00C534A9">
        <w:rPr>
          <w:rFonts w:ascii="Arial" w:hAnsi="Arial" w:cs="Arial"/>
          <w:sz w:val="22"/>
        </w:rPr>
        <w:t xml:space="preserve"> is economically viable. It does so by showing that the net economic benefit of </w:t>
      </w:r>
      <w:r w:rsidR="00922B86" w:rsidRPr="00C534A9">
        <w:rPr>
          <w:rFonts w:ascii="Arial" w:hAnsi="Arial" w:cs="Arial"/>
          <w:sz w:val="22"/>
        </w:rPr>
        <w:t xml:space="preserve">the </w:t>
      </w:r>
      <w:r w:rsidR="00AA4E6F" w:rsidRPr="00C534A9">
        <w:rPr>
          <w:rFonts w:ascii="Arial" w:hAnsi="Arial" w:cs="Arial"/>
          <w:sz w:val="22"/>
        </w:rPr>
        <w:t>PV system</w:t>
      </w:r>
      <w:r w:rsidRPr="00C534A9">
        <w:rPr>
          <w:rFonts w:ascii="Arial" w:hAnsi="Arial" w:cs="Arial"/>
          <w:sz w:val="22"/>
        </w:rPr>
        <w:t xml:space="preserve"> </w:t>
      </w:r>
      <w:r w:rsidR="002377C5" w:rsidRPr="00C534A9">
        <w:rPr>
          <w:rFonts w:ascii="Arial" w:hAnsi="Arial" w:cs="Arial"/>
          <w:sz w:val="22"/>
        </w:rPr>
        <w:t>is</w:t>
      </w:r>
      <w:r w:rsidRPr="00C534A9">
        <w:rPr>
          <w:rFonts w:ascii="Arial" w:hAnsi="Arial" w:cs="Arial"/>
          <w:sz w:val="22"/>
        </w:rPr>
        <w:t xml:space="preserve"> positive and the internal rate of return exceed</w:t>
      </w:r>
      <w:r w:rsidR="002377C5" w:rsidRPr="00C534A9">
        <w:rPr>
          <w:rFonts w:ascii="Arial" w:hAnsi="Arial" w:cs="Arial"/>
          <w:sz w:val="22"/>
        </w:rPr>
        <w:t>s</w:t>
      </w:r>
      <w:r w:rsidRPr="00C534A9">
        <w:rPr>
          <w:rFonts w:ascii="Arial" w:hAnsi="Arial" w:cs="Arial"/>
          <w:sz w:val="22"/>
        </w:rPr>
        <w:t xml:space="preserve"> the discount rate. The section also presents the assumptions and methodology used to calculate these results (Section 5)</w:t>
      </w:r>
      <w:r w:rsidR="00E10C7D" w:rsidRPr="00C534A9">
        <w:rPr>
          <w:rFonts w:ascii="Arial" w:hAnsi="Arial" w:cs="Arial"/>
          <w:sz w:val="22"/>
        </w:rPr>
        <w:t>.</w:t>
      </w:r>
    </w:p>
    <w:p w:rsidR="00482D2D" w:rsidRPr="00C534A9" w:rsidRDefault="00482D2D" w:rsidP="00C534A9">
      <w:pPr>
        <w:pStyle w:val="ListParagraph"/>
        <w:numPr>
          <w:ilvl w:val="0"/>
          <w:numId w:val="14"/>
        </w:numPr>
        <w:jc w:val="both"/>
        <w:rPr>
          <w:rFonts w:ascii="Arial" w:hAnsi="Arial" w:cs="Arial"/>
          <w:sz w:val="22"/>
        </w:rPr>
      </w:pPr>
      <w:r w:rsidRPr="00C534A9">
        <w:rPr>
          <w:rFonts w:ascii="Arial" w:hAnsi="Arial" w:cs="Arial"/>
          <w:b/>
          <w:sz w:val="22"/>
        </w:rPr>
        <w:t xml:space="preserve">Cost Benefit Analysis of </w:t>
      </w:r>
      <w:r w:rsidR="00BE1449" w:rsidRPr="00C534A9">
        <w:rPr>
          <w:rFonts w:ascii="Arial" w:hAnsi="Arial" w:cs="Arial"/>
          <w:b/>
          <w:sz w:val="22"/>
        </w:rPr>
        <w:t xml:space="preserve">the </w:t>
      </w:r>
      <w:r w:rsidR="00690440" w:rsidRPr="00C534A9">
        <w:rPr>
          <w:rFonts w:ascii="Arial" w:hAnsi="Arial" w:cs="Arial"/>
          <w:b/>
          <w:sz w:val="22"/>
        </w:rPr>
        <w:t>VS LNG terminal</w:t>
      </w:r>
      <w:r w:rsidRPr="00C534A9">
        <w:rPr>
          <w:rFonts w:ascii="Arial" w:hAnsi="Arial" w:cs="Arial"/>
          <w:sz w:val="22"/>
        </w:rPr>
        <w:t xml:space="preserve">—shows that the </w:t>
      </w:r>
      <w:r w:rsidR="00922B86" w:rsidRPr="00C534A9">
        <w:rPr>
          <w:rFonts w:ascii="Arial" w:hAnsi="Arial" w:cs="Arial"/>
          <w:sz w:val="22"/>
        </w:rPr>
        <w:t>VS LNG terminal</w:t>
      </w:r>
      <w:r w:rsidRPr="00C534A9">
        <w:rPr>
          <w:rFonts w:ascii="Arial" w:hAnsi="Arial" w:cs="Arial"/>
          <w:sz w:val="22"/>
        </w:rPr>
        <w:t xml:space="preserve"> is economically viable. It does so by showing that the net economic benefits of </w:t>
      </w:r>
      <w:r w:rsidR="00922B86" w:rsidRPr="00C534A9">
        <w:rPr>
          <w:rFonts w:ascii="Arial" w:hAnsi="Arial" w:cs="Arial"/>
          <w:sz w:val="22"/>
        </w:rPr>
        <w:t xml:space="preserve">the VS LNG terminal </w:t>
      </w:r>
      <w:r w:rsidRPr="00C534A9">
        <w:rPr>
          <w:rFonts w:ascii="Arial" w:hAnsi="Arial" w:cs="Arial"/>
          <w:sz w:val="22"/>
        </w:rPr>
        <w:t>are positive and the internal rate of returns exceed the discount rate. The section also presents the assumptions and methodology used to calculate these results (Section 6)</w:t>
      </w:r>
      <w:r w:rsidR="00E10C7D" w:rsidRPr="00C534A9">
        <w:rPr>
          <w:rFonts w:ascii="Arial" w:hAnsi="Arial" w:cs="Arial"/>
          <w:sz w:val="22"/>
        </w:rPr>
        <w:t>.</w:t>
      </w:r>
    </w:p>
    <w:p w:rsidR="00DE6A03" w:rsidRPr="00C534A9" w:rsidRDefault="00DE6A03" w:rsidP="00C534A9">
      <w:pPr>
        <w:pStyle w:val="ListParagraph"/>
        <w:numPr>
          <w:ilvl w:val="0"/>
          <w:numId w:val="14"/>
        </w:numPr>
        <w:jc w:val="both"/>
        <w:rPr>
          <w:rFonts w:ascii="Arial" w:hAnsi="Arial" w:cs="Arial"/>
          <w:sz w:val="22"/>
        </w:rPr>
      </w:pPr>
      <w:r w:rsidRPr="00C534A9">
        <w:rPr>
          <w:rFonts w:ascii="Arial" w:hAnsi="Arial" w:cs="Arial"/>
          <w:b/>
          <w:sz w:val="22"/>
        </w:rPr>
        <w:t xml:space="preserve">Cost Benefit Analysis of all </w:t>
      </w:r>
      <w:r w:rsidR="00BE1449" w:rsidRPr="00C534A9">
        <w:rPr>
          <w:rFonts w:ascii="Arial" w:hAnsi="Arial" w:cs="Arial"/>
          <w:b/>
          <w:sz w:val="22"/>
        </w:rPr>
        <w:t>Sub-Projects</w:t>
      </w:r>
      <w:r w:rsidRPr="00C534A9">
        <w:rPr>
          <w:rFonts w:ascii="Arial" w:hAnsi="Arial" w:cs="Arial"/>
          <w:sz w:val="22"/>
        </w:rPr>
        <w:t xml:space="preserve">—aggregates the results presented in the previous sections to show the economic viability of the </w:t>
      </w:r>
      <w:r w:rsidR="00387B1A" w:rsidRPr="00C534A9">
        <w:rPr>
          <w:rFonts w:ascii="Arial" w:hAnsi="Arial" w:cs="Arial"/>
          <w:sz w:val="22"/>
        </w:rPr>
        <w:t>loan operation sub-projects</w:t>
      </w:r>
      <w:r w:rsidRPr="00C534A9">
        <w:rPr>
          <w:rFonts w:ascii="Arial" w:hAnsi="Arial" w:cs="Arial"/>
          <w:sz w:val="22"/>
        </w:rPr>
        <w:t xml:space="preserve"> as a whole (Section </w:t>
      </w:r>
      <w:r w:rsidR="00482D2D" w:rsidRPr="00C534A9">
        <w:rPr>
          <w:rFonts w:ascii="Arial" w:hAnsi="Arial" w:cs="Arial"/>
          <w:sz w:val="22"/>
        </w:rPr>
        <w:t>7</w:t>
      </w:r>
      <w:r w:rsidRPr="00C534A9">
        <w:rPr>
          <w:rFonts w:ascii="Arial" w:hAnsi="Arial" w:cs="Arial"/>
          <w:sz w:val="22"/>
        </w:rPr>
        <w:t>).</w:t>
      </w:r>
    </w:p>
    <w:p w:rsidR="0053113D" w:rsidRPr="00C534A9" w:rsidRDefault="0053113D" w:rsidP="00C534A9">
      <w:pPr>
        <w:jc w:val="both"/>
        <w:rPr>
          <w:rFonts w:ascii="Arial" w:hAnsi="Arial" w:cs="Arial"/>
          <w:sz w:val="22"/>
        </w:rPr>
      </w:pPr>
      <w:r w:rsidRPr="00C534A9">
        <w:rPr>
          <w:rFonts w:ascii="Arial" w:hAnsi="Arial" w:cs="Arial"/>
          <w:sz w:val="22"/>
        </w:rPr>
        <w:t>Section B present</w:t>
      </w:r>
      <w:r w:rsidR="009F2643" w:rsidRPr="00C534A9">
        <w:rPr>
          <w:rFonts w:ascii="Arial" w:hAnsi="Arial" w:cs="Arial"/>
          <w:sz w:val="22"/>
        </w:rPr>
        <w:t>s</w:t>
      </w:r>
      <w:r w:rsidRPr="00C534A9">
        <w:rPr>
          <w:rFonts w:ascii="Arial" w:hAnsi="Arial" w:cs="Arial"/>
          <w:sz w:val="22"/>
        </w:rPr>
        <w:t xml:space="preserve"> </w:t>
      </w:r>
      <w:r w:rsidR="009F2643" w:rsidRPr="00C534A9">
        <w:rPr>
          <w:rFonts w:ascii="Arial" w:hAnsi="Arial" w:cs="Arial"/>
          <w:sz w:val="22"/>
        </w:rPr>
        <w:t>the</w:t>
      </w:r>
      <w:r w:rsidRPr="00C534A9">
        <w:rPr>
          <w:rFonts w:ascii="Arial" w:hAnsi="Arial" w:cs="Arial"/>
          <w:sz w:val="22"/>
        </w:rPr>
        <w:t xml:space="preserve"> financial analysis in detail as follows:</w:t>
      </w:r>
    </w:p>
    <w:p w:rsidR="009B1117" w:rsidRPr="00C534A9" w:rsidRDefault="009B1117" w:rsidP="00C534A9">
      <w:pPr>
        <w:pStyle w:val="ListParagraph"/>
        <w:numPr>
          <w:ilvl w:val="0"/>
          <w:numId w:val="14"/>
        </w:numPr>
        <w:jc w:val="both"/>
        <w:rPr>
          <w:rFonts w:ascii="Arial" w:hAnsi="Arial" w:cs="Arial"/>
          <w:sz w:val="22"/>
        </w:rPr>
      </w:pPr>
      <w:r w:rsidRPr="00C534A9">
        <w:rPr>
          <w:rFonts w:ascii="Arial" w:hAnsi="Arial" w:cs="Arial"/>
          <w:b/>
          <w:sz w:val="22"/>
        </w:rPr>
        <w:t>Financial Analysis of the micro LNG facility expansion sub-project</w:t>
      </w:r>
      <w:r w:rsidRPr="00C534A9">
        <w:rPr>
          <w:rFonts w:ascii="Arial" w:hAnsi="Arial" w:cs="Arial"/>
          <w:sz w:val="22"/>
        </w:rPr>
        <w:t>—shows that the expansion of the micro-LNG facility is profitable for NPC. It does so by showing that the sub-project’s NPV is positive and the internal rate of return exceeds the discount rate. The debt coverage ratio is also acceptable throughout the loan period. The section also presents the assumptions and methodology used to calculate these results (Section 9).</w:t>
      </w:r>
    </w:p>
    <w:p w:rsidR="009B1117" w:rsidRPr="00C534A9" w:rsidRDefault="009B1117" w:rsidP="00C534A9">
      <w:pPr>
        <w:pStyle w:val="ListParagraph"/>
        <w:numPr>
          <w:ilvl w:val="0"/>
          <w:numId w:val="14"/>
        </w:numPr>
        <w:jc w:val="both"/>
        <w:rPr>
          <w:rFonts w:ascii="Arial" w:hAnsi="Arial" w:cs="Arial"/>
          <w:sz w:val="22"/>
        </w:rPr>
      </w:pPr>
      <w:r w:rsidRPr="00C534A9">
        <w:rPr>
          <w:rFonts w:ascii="Arial" w:hAnsi="Arial" w:cs="Arial"/>
          <w:b/>
          <w:sz w:val="22"/>
        </w:rPr>
        <w:t>Financial Analysis of the compressor replacement sub-project</w:t>
      </w:r>
      <w:r w:rsidRPr="00C534A9">
        <w:rPr>
          <w:rFonts w:ascii="Arial" w:hAnsi="Arial" w:cs="Arial"/>
          <w:sz w:val="22"/>
        </w:rPr>
        <w:t>—shows that the replacement of the natural gas compressors is profitable for NPC. It does so by showing that the sub-project’s NPV is positive and the internal rate of return exceeds the discount rate. The debt coverage ratio is also acceptable throughout the loan period. The section also presents the assumptions and methodology used to calculate these results (Section 10).</w:t>
      </w:r>
    </w:p>
    <w:p w:rsidR="009B1117" w:rsidRPr="00C534A9" w:rsidRDefault="009B1117" w:rsidP="00C534A9">
      <w:pPr>
        <w:pStyle w:val="ListParagraph"/>
        <w:numPr>
          <w:ilvl w:val="0"/>
          <w:numId w:val="14"/>
        </w:numPr>
        <w:jc w:val="both"/>
        <w:rPr>
          <w:rFonts w:ascii="Arial" w:hAnsi="Arial" w:cs="Arial"/>
          <w:sz w:val="22"/>
        </w:rPr>
      </w:pPr>
      <w:r w:rsidRPr="00C534A9">
        <w:rPr>
          <w:rFonts w:ascii="Arial" w:hAnsi="Arial" w:cs="Arial"/>
          <w:b/>
          <w:sz w:val="22"/>
        </w:rPr>
        <w:t>Financial Analysis of the 850 kW wind turbine sub-project</w:t>
      </w:r>
      <w:r w:rsidRPr="00C534A9">
        <w:rPr>
          <w:rFonts w:ascii="Arial" w:hAnsi="Arial" w:cs="Arial"/>
          <w:sz w:val="22"/>
        </w:rPr>
        <w:t>—shows that the 850 kW wind turbine is profitable for NPC. It does so by showing that the sub-project’s NPV is positive and the internal rate of return exceeds the discount rate. The debt coverage ratio is also acceptable throughout the loan period. The section also presents the assumptions and methodology used to calculate these results (Section 11).</w:t>
      </w:r>
    </w:p>
    <w:p w:rsidR="009B1117" w:rsidRPr="00C534A9" w:rsidRDefault="009B1117" w:rsidP="00C534A9">
      <w:pPr>
        <w:pStyle w:val="ListParagraph"/>
        <w:numPr>
          <w:ilvl w:val="0"/>
          <w:numId w:val="14"/>
        </w:numPr>
        <w:jc w:val="both"/>
        <w:rPr>
          <w:rFonts w:ascii="Arial" w:hAnsi="Arial" w:cs="Arial"/>
          <w:sz w:val="22"/>
        </w:rPr>
      </w:pPr>
      <w:r w:rsidRPr="00C534A9">
        <w:rPr>
          <w:rFonts w:ascii="Arial" w:hAnsi="Arial" w:cs="Arial"/>
          <w:b/>
          <w:sz w:val="22"/>
        </w:rPr>
        <w:t xml:space="preserve">Financial Analysis of the 300kW </w:t>
      </w:r>
      <w:r w:rsidR="00AA4E6F" w:rsidRPr="00C534A9">
        <w:rPr>
          <w:rFonts w:ascii="Arial" w:hAnsi="Arial" w:cs="Arial"/>
          <w:b/>
          <w:sz w:val="22"/>
        </w:rPr>
        <w:t>PV system</w:t>
      </w:r>
      <w:r w:rsidRPr="00C534A9">
        <w:rPr>
          <w:rFonts w:ascii="Arial" w:hAnsi="Arial" w:cs="Arial"/>
          <w:b/>
          <w:sz w:val="22"/>
        </w:rPr>
        <w:t xml:space="preserve"> sub-project</w:t>
      </w:r>
      <w:r w:rsidRPr="00C534A9">
        <w:rPr>
          <w:rFonts w:ascii="Arial" w:hAnsi="Arial" w:cs="Arial"/>
          <w:sz w:val="22"/>
        </w:rPr>
        <w:t xml:space="preserve">—shows that the installation of </w:t>
      </w:r>
      <w:r w:rsidR="002377C5" w:rsidRPr="00C534A9">
        <w:rPr>
          <w:rFonts w:ascii="Arial" w:hAnsi="Arial" w:cs="Arial"/>
          <w:sz w:val="22"/>
        </w:rPr>
        <w:t xml:space="preserve">the 300 kW </w:t>
      </w:r>
      <w:r w:rsidR="00AA4E6F" w:rsidRPr="00C534A9">
        <w:rPr>
          <w:rFonts w:ascii="Arial" w:hAnsi="Arial" w:cs="Arial"/>
          <w:sz w:val="22"/>
        </w:rPr>
        <w:t>PV system</w:t>
      </w:r>
      <w:r w:rsidRPr="00C534A9">
        <w:rPr>
          <w:rFonts w:ascii="Arial" w:hAnsi="Arial" w:cs="Arial"/>
          <w:sz w:val="22"/>
        </w:rPr>
        <w:t xml:space="preserve"> is profitable for NPC. It does so by showing that the sub-project’s NPV is positive and the internal rate of return exceeds the discount rate. The debt coverage ratio is also acceptable throughout the loan period. The section also presents the assumptions and methodology used to calculate these results (Section 12)</w:t>
      </w:r>
    </w:p>
    <w:p w:rsidR="009B1117" w:rsidRPr="00C534A9" w:rsidRDefault="009B1117" w:rsidP="00C534A9">
      <w:pPr>
        <w:pStyle w:val="ListParagraph"/>
        <w:numPr>
          <w:ilvl w:val="0"/>
          <w:numId w:val="14"/>
        </w:numPr>
        <w:jc w:val="both"/>
        <w:rPr>
          <w:rFonts w:ascii="Arial" w:hAnsi="Arial" w:cs="Arial"/>
          <w:sz w:val="22"/>
        </w:rPr>
      </w:pPr>
      <w:r w:rsidRPr="00C534A9">
        <w:rPr>
          <w:rFonts w:ascii="Arial" w:hAnsi="Arial" w:cs="Arial"/>
          <w:b/>
          <w:sz w:val="22"/>
        </w:rPr>
        <w:t>Financial Analysis of the VS LNG terminal</w:t>
      </w:r>
      <w:r w:rsidRPr="00C534A9">
        <w:rPr>
          <w:rFonts w:ascii="Arial" w:hAnsi="Arial" w:cs="Arial"/>
          <w:sz w:val="22"/>
        </w:rPr>
        <w:t>—shows that the VS LNG terminal is profitable for NPC. It does so by showing that the sub-project’s NPV is positive and the internal rate of return exceeds the discount rate. The debt coverage ratio is also acceptable throughout the loan period. The section also presents the assumptions and methodology used to calculate these results (Section 13).</w:t>
      </w:r>
    </w:p>
    <w:p w:rsidR="009B1117" w:rsidRPr="00C534A9" w:rsidRDefault="009B1117" w:rsidP="00C534A9">
      <w:pPr>
        <w:pStyle w:val="ListParagraph"/>
        <w:numPr>
          <w:ilvl w:val="0"/>
          <w:numId w:val="14"/>
        </w:numPr>
        <w:jc w:val="both"/>
        <w:rPr>
          <w:rFonts w:ascii="Arial" w:hAnsi="Arial" w:cs="Arial"/>
          <w:sz w:val="22"/>
        </w:rPr>
      </w:pPr>
      <w:r w:rsidRPr="00C534A9">
        <w:rPr>
          <w:rFonts w:ascii="Arial" w:hAnsi="Arial" w:cs="Arial"/>
          <w:b/>
          <w:sz w:val="22"/>
        </w:rPr>
        <w:t>Financial Analysis of all Sub-Projects</w:t>
      </w:r>
      <w:r w:rsidRPr="00C534A9">
        <w:rPr>
          <w:rFonts w:ascii="Arial" w:hAnsi="Arial" w:cs="Arial"/>
          <w:sz w:val="22"/>
        </w:rPr>
        <w:t>—aggregates the results presented in the previous sections to show the profitability and financial viability of the loan operation sub-projects as a whole (Section 14).</w:t>
      </w:r>
    </w:p>
    <w:p w:rsidR="0053113D" w:rsidRPr="00C534A9" w:rsidRDefault="0053113D" w:rsidP="00C534A9">
      <w:pPr>
        <w:jc w:val="both"/>
        <w:rPr>
          <w:rFonts w:ascii="Arial" w:hAnsi="Arial" w:cs="Arial"/>
          <w:sz w:val="22"/>
        </w:rPr>
      </w:pPr>
      <w:r w:rsidRPr="00C534A9">
        <w:rPr>
          <w:rFonts w:ascii="Arial" w:hAnsi="Arial" w:cs="Arial"/>
          <w:sz w:val="22"/>
        </w:rPr>
        <w:br w:type="page"/>
      </w:r>
    </w:p>
    <w:p w:rsidR="00D0568D" w:rsidRPr="006B2CFD" w:rsidRDefault="00D0568D" w:rsidP="00552328">
      <w:pPr>
        <w:pStyle w:val="Title"/>
      </w:pPr>
      <w:r w:rsidRPr="006B2CFD">
        <w:t>Section A: Cost Benefit Analysis</w:t>
      </w:r>
    </w:p>
    <w:p w:rsidR="005047D2" w:rsidRPr="00C534A9" w:rsidRDefault="007C2AB0" w:rsidP="00C534A9">
      <w:pPr>
        <w:pStyle w:val="Heading1"/>
        <w:jc w:val="both"/>
        <w:rPr>
          <w:rFonts w:ascii="Arial" w:hAnsi="Arial" w:cs="Arial"/>
          <w:sz w:val="24"/>
        </w:rPr>
      </w:pPr>
      <w:bookmarkStart w:id="2" w:name="_Toc464551490"/>
      <w:r w:rsidRPr="00C534A9">
        <w:rPr>
          <w:rFonts w:ascii="Arial" w:hAnsi="Arial" w:cs="Arial"/>
          <w:sz w:val="24"/>
        </w:rPr>
        <w:t xml:space="preserve">Sub-projects </w:t>
      </w:r>
      <w:r w:rsidR="00025AEC" w:rsidRPr="00C534A9">
        <w:rPr>
          <w:rFonts w:ascii="Arial" w:hAnsi="Arial" w:cs="Arial"/>
          <w:sz w:val="24"/>
        </w:rPr>
        <w:t xml:space="preserve">and common assumptions </w:t>
      </w:r>
      <w:r w:rsidRPr="00C534A9">
        <w:rPr>
          <w:rFonts w:ascii="Arial" w:hAnsi="Arial" w:cs="Arial"/>
          <w:sz w:val="24"/>
        </w:rPr>
        <w:t>included in the Cost-Benefit Analysis</w:t>
      </w:r>
      <w:bookmarkEnd w:id="2"/>
    </w:p>
    <w:p w:rsidR="003343DE" w:rsidRPr="00C534A9" w:rsidRDefault="005047D2" w:rsidP="00C534A9">
      <w:pPr>
        <w:jc w:val="both"/>
        <w:rPr>
          <w:rFonts w:ascii="Arial" w:hAnsi="Arial" w:cs="Arial"/>
          <w:sz w:val="22"/>
        </w:rPr>
      </w:pPr>
      <w:r w:rsidRPr="00C534A9">
        <w:rPr>
          <w:rFonts w:ascii="Arial" w:hAnsi="Arial" w:cs="Arial"/>
          <w:sz w:val="22"/>
        </w:rPr>
        <w:t xml:space="preserve">This section presents the </w:t>
      </w:r>
      <w:r w:rsidR="007C2AB0" w:rsidRPr="00C534A9">
        <w:rPr>
          <w:rFonts w:ascii="Arial" w:hAnsi="Arial" w:cs="Arial"/>
          <w:sz w:val="22"/>
        </w:rPr>
        <w:t>individual sub-projects</w:t>
      </w:r>
      <w:r w:rsidRPr="00C534A9">
        <w:rPr>
          <w:rFonts w:ascii="Arial" w:hAnsi="Arial" w:cs="Arial"/>
          <w:sz w:val="22"/>
        </w:rPr>
        <w:t xml:space="preserve"> that </w:t>
      </w:r>
      <w:r w:rsidR="007C2AB0" w:rsidRPr="00C534A9">
        <w:rPr>
          <w:rFonts w:ascii="Arial" w:hAnsi="Arial" w:cs="Arial"/>
          <w:sz w:val="22"/>
        </w:rPr>
        <w:t xml:space="preserve">will be supported by the loan operation and </w:t>
      </w:r>
      <w:r w:rsidR="003343DE" w:rsidRPr="00C534A9">
        <w:rPr>
          <w:rFonts w:ascii="Arial" w:hAnsi="Arial" w:cs="Arial"/>
          <w:sz w:val="22"/>
        </w:rPr>
        <w:t>the common assumptions</w:t>
      </w:r>
      <w:r w:rsidR="00333C71" w:rsidRPr="00C534A9">
        <w:rPr>
          <w:rFonts w:ascii="Arial" w:hAnsi="Arial" w:cs="Arial"/>
          <w:sz w:val="22"/>
        </w:rPr>
        <w:t xml:space="preserve"> </w:t>
      </w:r>
      <w:r w:rsidR="003343DE" w:rsidRPr="00C534A9">
        <w:rPr>
          <w:rFonts w:ascii="Arial" w:hAnsi="Arial" w:cs="Arial"/>
          <w:sz w:val="22"/>
        </w:rPr>
        <w:t xml:space="preserve">that </w:t>
      </w:r>
      <w:r w:rsidR="00025AEC" w:rsidRPr="00C534A9">
        <w:rPr>
          <w:rFonts w:ascii="Arial" w:hAnsi="Arial" w:cs="Arial"/>
          <w:sz w:val="22"/>
        </w:rPr>
        <w:t>are</w:t>
      </w:r>
      <w:r w:rsidRPr="00C534A9">
        <w:rPr>
          <w:rFonts w:ascii="Arial" w:hAnsi="Arial" w:cs="Arial"/>
          <w:sz w:val="22"/>
        </w:rPr>
        <w:t xml:space="preserve"> included in the Cost Benefit Analysis (‘CBA’)</w:t>
      </w:r>
      <w:r w:rsidR="003343DE" w:rsidRPr="00C534A9">
        <w:rPr>
          <w:rFonts w:ascii="Arial" w:hAnsi="Arial" w:cs="Arial"/>
          <w:sz w:val="22"/>
        </w:rPr>
        <w:t xml:space="preserve"> for each sub-project</w:t>
      </w:r>
      <w:r w:rsidR="00025AEC" w:rsidRPr="00C534A9">
        <w:rPr>
          <w:rFonts w:ascii="Arial" w:hAnsi="Arial" w:cs="Arial"/>
          <w:sz w:val="22"/>
        </w:rPr>
        <w:t>, including CO2 price, oil prices, and natural gas prices</w:t>
      </w:r>
      <w:r w:rsidRPr="00C534A9">
        <w:rPr>
          <w:rFonts w:ascii="Arial" w:hAnsi="Arial" w:cs="Arial"/>
          <w:sz w:val="22"/>
        </w:rPr>
        <w:t xml:space="preserve">. </w:t>
      </w:r>
    </w:p>
    <w:p w:rsidR="007C2AB0" w:rsidRPr="00C534A9" w:rsidRDefault="005047D2" w:rsidP="00C534A9">
      <w:pPr>
        <w:jc w:val="both"/>
        <w:rPr>
          <w:rFonts w:ascii="Arial" w:hAnsi="Arial" w:cs="Arial"/>
          <w:sz w:val="22"/>
        </w:rPr>
      </w:pPr>
      <w:r w:rsidRPr="00C534A9">
        <w:rPr>
          <w:rFonts w:ascii="Arial" w:hAnsi="Arial" w:cs="Arial"/>
          <w:sz w:val="22"/>
        </w:rPr>
        <w:t xml:space="preserve">The </w:t>
      </w:r>
      <w:r w:rsidR="007C2AB0" w:rsidRPr="00C534A9">
        <w:rPr>
          <w:rFonts w:ascii="Arial" w:hAnsi="Arial" w:cs="Arial"/>
          <w:sz w:val="22"/>
        </w:rPr>
        <w:t>sub-projects</w:t>
      </w:r>
      <w:r w:rsidRPr="00C534A9">
        <w:rPr>
          <w:rFonts w:ascii="Arial" w:hAnsi="Arial" w:cs="Arial"/>
          <w:sz w:val="22"/>
        </w:rPr>
        <w:t xml:space="preserve"> consist of</w:t>
      </w:r>
      <w:r w:rsidR="007C2AB0" w:rsidRPr="00C534A9">
        <w:rPr>
          <w:rFonts w:ascii="Arial" w:hAnsi="Arial" w:cs="Arial"/>
          <w:sz w:val="22"/>
        </w:rPr>
        <w:t xml:space="preserve"> the NPC’s planned investment</w:t>
      </w:r>
      <w:r w:rsidR="00382866" w:rsidRPr="00C534A9">
        <w:rPr>
          <w:rFonts w:ascii="Arial" w:hAnsi="Arial" w:cs="Arial"/>
          <w:sz w:val="22"/>
        </w:rPr>
        <w:t>s</w:t>
      </w:r>
      <w:r w:rsidR="007C2AB0" w:rsidRPr="00C534A9">
        <w:rPr>
          <w:rFonts w:ascii="Arial" w:hAnsi="Arial" w:cs="Arial"/>
          <w:sz w:val="22"/>
        </w:rPr>
        <w:t xml:space="preserve"> in:</w:t>
      </w:r>
    </w:p>
    <w:p w:rsidR="007C2AB0" w:rsidRPr="00C534A9" w:rsidRDefault="007C2AB0" w:rsidP="00C534A9">
      <w:pPr>
        <w:pStyle w:val="ListParagraph"/>
        <w:numPr>
          <w:ilvl w:val="0"/>
          <w:numId w:val="38"/>
        </w:numPr>
        <w:jc w:val="both"/>
        <w:rPr>
          <w:rFonts w:ascii="Arial" w:hAnsi="Arial" w:cs="Arial"/>
          <w:sz w:val="22"/>
        </w:rPr>
      </w:pPr>
      <w:proofErr w:type="gramStart"/>
      <w:r w:rsidRPr="00C534A9">
        <w:rPr>
          <w:rFonts w:ascii="Arial" w:hAnsi="Arial" w:cs="Arial"/>
          <w:sz w:val="22"/>
        </w:rPr>
        <w:t>expanding</w:t>
      </w:r>
      <w:proofErr w:type="gramEnd"/>
      <w:r w:rsidRPr="00C534A9">
        <w:rPr>
          <w:rFonts w:ascii="Arial" w:hAnsi="Arial" w:cs="Arial"/>
          <w:sz w:val="22"/>
        </w:rPr>
        <w:t xml:space="preserve"> the micro-LNG facility at Woodbourne to accommodate up to 7 ISO containers</w:t>
      </w:r>
      <w:r w:rsidR="00382866" w:rsidRPr="00C534A9">
        <w:rPr>
          <w:rFonts w:ascii="Arial" w:hAnsi="Arial" w:cs="Arial"/>
          <w:sz w:val="22"/>
        </w:rPr>
        <w:t>, including electric compressors to replace the current natural-gas compressors used to maintain pressure on the NPC natural gas distribution system</w:t>
      </w:r>
      <w:r w:rsidRPr="00C534A9">
        <w:rPr>
          <w:rFonts w:ascii="Arial" w:hAnsi="Arial" w:cs="Arial"/>
          <w:sz w:val="22"/>
        </w:rPr>
        <w:t xml:space="preserve">. </w:t>
      </w:r>
    </w:p>
    <w:p w:rsidR="007C2AB0" w:rsidRPr="00C534A9" w:rsidRDefault="007C2AB0" w:rsidP="00C534A9">
      <w:pPr>
        <w:pStyle w:val="ListParagraph"/>
        <w:numPr>
          <w:ilvl w:val="0"/>
          <w:numId w:val="38"/>
        </w:numPr>
        <w:jc w:val="both"/>
        <w:rPr>
          <w:rFonts w:ascii="Arial" w:hAnsi="Arial" w:cs="Arial"/>
          <w:sz w:val="22"/>
        </w:rPr>
      </w:pPr>
      <w:r w:rsidRPr="00C534A9">
        <w:rPr>
          <w:rFonts w:ascii="Arial" w:hAnsi="Arial" w:cs="Arial"/>
          <w:sz w:val="22"/>
        </w:rPr>
        <w:t>a 850 kW wind turbine</w:t>
      </w:r>
      <w:r w:rsidR="00382866" w:rsidRPr="00C534A9">
        <w:rPr>
          <w:rFonts w:ascii="Arial" w:hAnsi="Arial" w:cs="Arial"/>
          <w:sz w:val="22"/>
        </w:rPr>
        <w:t xml:space="preserve"> to supply electricity to the electric compressors</w:t>
      </w:r>
    </w:p>
    <w:p w:rsidR="007C2AB0" w:rsidRPr="00C534A9" w:rsidRDefault="002377C5" w:rsidP="00C534A9">
      <w:pPr>
        <w:pStyle w:val="ListParagraph"/>
        <w:numPr>
          <w:ilvl w:val="0"/>
          <w:numId w:val="38"/>
        </w:numPr>
        <w:jc w:val="both"/>
        <w:rPr>
          <w:rFonts w:ascii="Arial" w:hAnsi="Arial" w:cs="Arial"/>
          <w:sz w:val="22"/>
        </w:rPr>
      </w:pPr>
      <w:r w:rsidRPr="00C534A9">
        <w:rPr>
          <w:rFonts w:ascii="Arial" w:hAnsi="Arial" w:cs="Arial"/>
          <w:sz w:val="22"/>
        </w:rPr>
        <w:t>a 300 kW</w:t>
      </w:r>
      <w:r w:rsidR="007C2AB0" w:rsidRPr="00C534A9">
        <w:rPr>
          <w:rFonts w:ascii="Arial" w:hAnsi="Arial" w:cs="Arial"/>
          <w:sz w:val="22"/>
        </w:rPr>
        <w:t xml:space="preserve"> </w:t>
      </w:r>
      <w:r w:rsidR="00AA4E6F" w:rsidRPr="00C534A9">
        <w:rPr>
          <w:rFonts w:ascii="Arial" w:hAnsi="Arial" w:cs="Arial"/>
          <w:sz w:val="22"/>
        </w:rPr>
        <w:t>PV system</w:t>
      </w:r>
      <w:r w:rsidRPr="00C534A9">
        <w:rPr>
          <w:rFonts w:ascii="Arial" w:hAnsi="Arial" w:cs="Arial"/>
          <w:sz w:val="22"/>
        </w:rPr>
        <w:t xml:space="preserve"> and smart energy system</w:t>
      </w:r>
      <w:r w:rsidR="00382866" w:rsidRPr="00C534A9">
        <w:rPr>
          <w:rFonts w:ascii="Arial" w:hAnsi="Arial" w:cs="Arial"/>
          <w:sz w:val="22"/>
        </w:rPr>
        <w:t xml:space="preserve"> for NPC’s internal electricity consumption</w:t>
      </w:r>
    </w:p>
    <w:p w:rsidR="005047D2" w:rsidRPr="00C534A9" w:rsidRDefault="007C2AB0" w:rsidP="00C534A9">
      <w:pPr>
        <w:jc w:val="both"/>
        <w:rPr>
          <w:rFonts w:ascii="Arial" w:hAnsi="Arial" w:cs="Arial"/>
          <w:sz w:val="22"/>
        </w:rPr>
      </w:pPr>
      <w:r w:rsidRPr="00C534A9">
        <w:rPr>
          <w:rFonts w:ascii="Arial" w:hAnsi="Arial" w:cs="Arial"/>
          <w:sz w:val="22"/>
        </w:rPr>
        <w:t>The analysis also examines the cost-benefit of the proposed Public-Private Partnership (PPP) to develop a very small LNG regasification facility in order to import natural gas for electricity generation.</w:t>
      </w:r>
    </w:p>
    <w:p w:rsidR="00EC0296" w:rsidRPr="00C534A9" w:rsidRDefault="00382866" w:rsidP="00C534A9">
      <w:pPr>
        <w:jc w:val="both"/>
        <w:rPr>
          <w:rFonts w:ascii="Arial" w:hAnsi="Arial" w:cs="Arial"/>
          <w:sz w:val="22"/>
        </w:rPr>
      </w:pPr>
      <w:r w:rsidRPr="00C534A9">
        <w:rPr>
          <w:rFonts w:ascii="Arial" w:hAnsi="Arial" w:cs="Arial"/>
          <w:sz w:val="22"/>
        </w:rPr>
        <w:t xml:space="preserve">Table </w:t>
      </w:r>
      <w:r w:rsidR="00BA7018" w:rsidRPr="00C534A9">
        <w:rPr>
          <w:rFonts w:ascii="Arial" w:hAnsi="Arial" w:cs="Arial"/>
          <w:sz w:val="22"/>
        </w:rPr>
        <w:t>2.1</w:t>
      </w:r>
      <w:r w:rsidR="005047D2" w:rsidRPr="00C534A9">
        <w:rPr>
          <w:rFonts w:ascii="Arial" w:hAnsi="Arial" w:cs="Arial"/>
          <w:sz w:val="22"/>
        </w:rPr>
        <w:t xml:space="preserve"> presents the details of the four </w:t>
      </w:r>
      <w:r w:rsidR="007C2AB0" w:rsidRPr="00C534A9">
        <w:rPr>
          <w:rFonts w:ascii="Arial" w:hAnsi="Arial" w:cs="Arial"/>
          <w:sz w:val="22"/>
        </w:rPr>
        <w:t>sub-projects plus the PPP described above</w:t>
      </w:r>
      <w:r w:rsidR="005047D2" w:rsidRPr="00C534A9">
        <w:rPr>
          <w:rFonts w:ascii="Arial" w:hAnsi="Arial" w:cs="Arial"/>
          <w:sz w:val="22"/>
        </w:rPr>
        <w:t xml:space="preserve">. </w:t>
      </w:r>
      <w:r w:rsidR="007C2AB0" w:rsidRPr="00C534A9">
        <w:rPr>
          <w:rFonts w:ascii="Arial" w:hAnsi="Arial" w:cs="Arial"/>
          <w:sz w:val="22"/>
        </w:rPr>
        <w:t>The total capital investment for the sub-projects that are expected to be completed under the current loan operation is US$</w:t>
      </w:r>
      <w:r w:rsidR="00BA7018" w:rsidRPr="00C534A9">
        <w:rPr>
          <w:rFonts w:ascii="Arial" w:hAnsi="Arial" w:cs="Arial"/>
          <w:sz w:val="22"/>
        </w:rPr>
        <w:t>27.25 million</w:t>
      </w:r>
      <w:r w:rsidR="007C2AB0" w:rsidRPr="00C534A9">
        <w:rPr>
          <w:rFonts w:ascii="Arial" w:hAnsi="Arial" w:cs="Arial"/>
          <w:sz w:val="22"/>
        </w:rPr>
        <w:t xml:space="preserve">. The VS LNG terminal that is proposed to be built under the PPP arrangement is expected to require </w:t>
      </w:r>
      <w:r w:rsidR="00BA7018" w:rsidRPr="00C534A9">
        <w:rPr>
          <w:rFonts w:ascii="Arial" w:hAnsi="Arial" w:cs="Arial"/>
          <w:sz w:val="22"/>
        </w:rPr>
        <w:t xml:space="preserve">an additional </w:t>
      </w:r>
      <w:r w:rsidR="007C2AB0" w:rsidRPr="00C534A9">
        <w:rPr>
          <w:rFonts w:ascii="Arial" w:hAnsi="Arial" w:cs="Arial"/>
          <w:sz w:val="22"/>
        </w:rPr>
        <w:t>US$</w:t>
      </w:r>
      <w:r w:rsidR="00BA7018" w:rsidRPr="00C534A9">
        <w:rPr>
          <w:rFonts w:ascii="Arial" w:hAnsi="Arial" w:cs="Arial"/>
          <w:sz w:val="22"/>
        </w:rPr>
        <w:t>87</w:t>
      </w:r>
      <w:r w:rsidR="007C2AB0" w:rsidRPr="00C534A9">
        <w:rPr>
          <w:rFonts w:ascii="Arial" w:hAnsi="Arial" w:cs="Arial"/>
          <w:sz w:val="22"/>
        </w:rPr>
        <w:t xml:space="preserve"> million in capital investment. This figure include US$</w:t>
      </w:r>
      <w:r w:rsidR="00BA7018" w:rsidRPr="00C534A9">
        <w:rPr>
          <w:rFonts w:ascii="Arial" w:hAnsi="Arial" w:cs="Arial"/>
          <w:sz w:val="22"/>
        </w:rPr>
        <w:t>64</w:t>
      </w:r>
      <w:r w:rsidR="007C2AB0" w:rsidRPr="00C534A9">
        <w:rPr>
          <w:rFonts w:ascii="Arial" w:hAnsi="Arial" w:cs="Arial"/>
          <w:sz w:val="22"/>
        </w:rPr>
        <w:t xml:space="preserve"> million for the LNG terminal and supporting port and natural gas transportation infrastructure, and US$23 million to convert </w:t>
      </w:r>
      <w:r w:rsidR="00222066" w:rsidRPr="00C534A9">
        <w:rPr>
          <w:rFonts w:ascii="Arial" w:hAnsi="Arial" w:cs="Arial"/>
          <w:sz w:val="22"/>
        </w:rPr>
        <w:t>BL&amp;P</w:t>
      </w:r>
      <w:r w:rsidR="000E6D6C" w:rsidRPr="00C534A9">
        <w:rPr>
          <w:rFonts w:ascii="Arial" w:hAnsi="Arial" w:cs="Arial"/>
          <w:sz w:val="22"/>
        </w:rPr>
        <w:t xml:space="preserve"> power plants from fuel oil to natural gas.</w:t>
      </w:r>
    </w:p>
    <w:p w:rsidR="00287C31" w:rsidRPr="00C534A9" w:rsidRDefault="00287C31" w:rsidP="00C534A9">
      <w:pPr>
        <w:pStyle w:val="Caption"/>
        <w:jc w:val="both"/>
        <w:rPr>
          <w:rFonts w:ascii="Arial" w:hAnsi="Arial" w:cs="Arial"/>
          <w:sz w:val="22"/>
        </w:rPr>
      </w:pPr>
      <w:bookmarkStart w:id="3" w:name="_Toc463508959"/>
      <w:r w:rsidRPr="00C534A9">
        <w:rPr>
          <w:rFonts w:ascii="Arial" w:hAnsi="Arial" w:cs="Arial"/>
          <w:sz w:val="22"/>
        </w:rPr>
        <w:t xml:space="preserve">Table 2.1: </w:t>
      </w:r>
      <w:r w:rsidR="000E6D6C" w:rsidRPr="00C534A9">
        <w:rPr>
          <w:rFonts w:ascii="Arial" w:hAnsi="Arial" w:cs="Arial"/>
          <w:sz w:val="22"/>
        </w:rPr>
        <w:t>Deployment of Cleaner Fuels and Renewable Energies in Barbados (BA-L1012) Sub-Projects</w:t>
      </w:r>
      <w:bookmarkEnd w:id="3"/>
    </w:p>
    <w:tbl>
      <w:tblPr>
        <w:tblStyle w:val="TableGrid1"/>
        <w:tblW w:w="0" w:type="auto"/>
        <w:tblLook w:val="04A0" w:firstRow="1" w:lastRow="0" w:firstColumn="1" w:lastColumn="0" w:noHBand="0" w:noVBand="1"/>
      </w:tblPr>
      <w:tblGrid>
        <w:gridCol w:w="2069"/>
        <w:gridCol w:w="990"/>
        <w:gridCol w:w="1080"/>
        <w:gridCol w:w="1932"/>
        <w:gridCol w:w="1126"/>
      </w:tblGrid>
      <w:tr w:rsidR="000E6D6C" w:rsidRPr="00C534A9" w:rsidTr="00376541">
        <w:trPr>
          <w:tblHeader/>
        </w:trPr>
        <w:tc>
          <w:tcPr>
            <w:tcW w:w="2069" w:type="dxa"/>
            <w:shd w:val="clear" w:color="auto" w:fill="BFBFBF" w:themeFill="background1" w:themeFillShade="BF"/>
            <w:vAlign w:val="center"/>
          </w:tcPr>
          <w:p w:rsidR="000E6D6C" w:rsidRPr="00C534A9" w:rsidRDefault="000E6D6C" w:rsidP="00C534A9">
            <w:pPr>
              <w:jc w:val="both"/>
              <w:rPr>
                <w:rFonts w:ascii="Arial" w:hAnsi="Arial" w:cs="Arial"/>
                <w:b/>
                <w:color w:val="auto"/>
                <w:sz w:val="18"/>
                <w:szCs w:val="20"/>
                <w:lang w:eastAsia="en-NZ"/>
              </w:rPr>
            </w:pPr>
            <w:r w:rsidRPr="00C534A9">
              <w:rPr>
                <w:rFonts w:ascii="Arial" w:hAnsi="Arial" w:cs="Arial"/>
                <w:b/>
                <w:color w:val="auto"/>
                <w:sz w:val="18"/>
                <w:szCs w:val="20"/>
                <w:lang w:eastAsia="en-NZ"/>
              </w:rPr>
              <w:t>Project</w:t>
            </w:r>
          </w:p>
        </w:tc>
        <w:tc>
          <w:tcPr>
            <w:tcW w:w="990" w:type="dxa"/>
            <w:shd w:val="clear" w:color="auto" w:fill="BFBFBF" w:themeFill="background1" w:themeFillShade="BF"/>
            <w:vAlign w:val="center"/>
          </w:tcPr>
          <w:p w:rsidR="000E6D6C" w:rsidRPr="00C534A9" w:rsidRDefault="000E6D6C" w:rsidP="00C534A9">
            <w:pPr>
              <w:jc w:val="both"/>
              <w:rPr>
                <w:rFonts w:ascii="Arial" w:hAnsi="Arial" w:cs="Arial"/>
                <w:b/>
                <w:color w:val="auto"/>
                <w:sz w:val="18"/>
                <w:szCs w:val="20"/>
                <w:lang w:eastAsia="en-NZ"/>
              </w:rPr>
            </w:pPr>
            <w:r w:rsidRPr="00C534A9">
              <w:rPr>
                <w:rFonts w:ascii="Arial" w:hAnsi="Arial" w:cs="Arial"/>
                <w:b/>
                <w:color w:val="auto"/>
                <w:sz w:val="18"/>
                <w:szCs w:val="20"/>
                <w:lang w:eastAsia="en-NZ"/>
              </w:rPr>
              <w:t>Size</w:t>
            </w:r>
          </w:p>
        </w:tc>
        <w:tc>
          <w:tcPr>
            <w:tcW w:w="1080" w:type="dxa"/>
            <w:shd w:val="clear" w:color="auto" w:fill="BFBFBF" w:themeFill="background1" w:themeFillShade="BF"/>
            <w:vAlign w:val="center"/>
          </w:tcPr>
          <w:p w:rsidR="000E6D6C" w:rsidRPr="00C534A9" w:rsidRDefault="000E6D6C" w:rsidP="00C534A9">
            <w:pPr>
              <w:jc w:val="both"/>
              <w:rPr>
                <w:rFonts w:ascii="Arial" w:hAnsi="Arial" w:cs="Arial"/>
                <w:b/>
                <w:color w:val="auto"/>
                <w:sz w:val="18"/>
                <w:szCs w:val="20"/>
                <w:lang w:eastAsia="en-NZ"/>
              </w:rPr>
            </w:pPr>
            <w:r w:rsidRPr="00C534A9">
              <w:rPr>
                <w:rFonts w:ascii="Arial" w:hAnsi="Arial" w:cs="Arial"/>
                <w:b/>
                <w:color w:val="auto"/>
                <w:sz w:val="18"/>
                <w:szCs w:val="20"/>
                <w:lang w:eastAsia="en-NZ"/>
              </w:rPr>
              <w:t>Unit</w:t>
            </w:r>
          </w:p>
        </w:tc>
        <w:tc>
          <w:tcPr>
            <w:tcW w:w="1932" w:type="dxa"/>
            <w:shd w:val="clear" w:color="auto" w:fill="BFBFBF" w:themeFill="background1" w:themeFillShade="BF"/>
            <w:vAlign w:val="center"/>
          </w:tcPr>
          <w:p w:rsidR="000E6D6C" w:rsidRPr="00C534A9" w:rsidRDefault="000E6D6C" w:rsidP="00C534A9">
            <w:pPr>
              <w:jc w:val="both"/>
              <w:rPr>
                <w:rFonts w:ascii="Arial" w:hAnsi="Arial" w:cs="Arial"/>
                <w:b/>
                <w:color w:val="auto"/>
                <w:sz w:val="18"/>
                <w:szCs w:val="20"/>
                <w:lang w:eastAsia="en-NZ"/>
              </w:rPr>
            </w:pPr>
            <w:r w:rsidRPr="00C534A9">
              <w:rPr>
                <w:rFonts w:ascii="Arial" w:hAnsi="Arial" w:cs="Arial"/>
                <w:b/>
                <w:color w:val="auto"/>
                <w:sz w:val="18"/>
                <w:szCs w:val="20"/>
                <w:lang w:eastAsia="en-NZ"/>
              </w:rPr>
              <w:t>Total Capex (US$ Million)</w:t>
            </w:r>
          </w:p>
        </w:tc>
        <w:tc>
          <w:tcPr>
            <w:tcW w:w="1126" w:type="dxa"/>
            <w:shd w:val="clear" w:color="auto" w:fill="BFBFBF" w:themeFill="background1" w:themeFillShade="BF"/>
            <w:vAlign w:val="center"/>
          </w:tcPr>
          <w:p w:rsidR="000E6D6C" w:rsidRPr="00C534A9" w:rsidRDefault="000E6D6C" w:rsidP="00C534A9">
            <w:pPr>
              <w:jc w:val="both"/>
              <w:rPr>
                <w:rFonts w:ascii="Arial" w:hAnsi="Arial" w:cs="Arial"/>
                <w:b/>
                <w:color w:val="auto"/>
                <w:sz w:val="18"/>
                <w:szCs w:val="20"/>
                <w:lang w:eastAsia="en-NZ"/>
              </w:rPr>
            </w:pPr>
            <w:r w:rsidRPr="00C534A9">
              <w:rPr>
                <w:rFonts w:ascii="Arial" w:hAnsi="Arial" w:cs="Arial"/>
                <w:b/>
                <w:color w:val="auto"/>
                <w:sz w:val="18"/>
                <w:szCs w:val="20"/>
                <w:lang w:eastAsia="en-NZ"/>
              </w:rPr>
              <w:t>Estimated Start Year</w:t>
            </w:r>
          </w:p>
        </w:tc>
      </w:tr>
      <w:tr w:rsidR="000E6D6C" w:rsidRPr="00C534A9" w:rsidTr="00376541">
        <w:tc>
          <w:tcPr>
            <w:tcW w:w="2069" w:type="dxa"/>
            <w:vAlign w:val="center"/>
          </w:tcPr>
          <w:p w:rsidR="000E6D6C" w:rsidRPr="00C534A9" w:rsidRDefault="000E6D6C" w:rsidP="00C534A9">
            <w:pPr>
              <w:jc w:val="both"/>
              <w:rPr>
                <w:rFonts w:ascii="Arial" w:hAnsi="Arial" w:cs="Arial"/>
                <w:color w:val="auto"/>
                <w:sz w:val="18"/>
                <w:szCs w:val="20"/>
                <w:lang w:eastAsia="en-NZ"/>
              </w:rPr>
            </w:pPr>
            <w:r w:rsidRPr="00C534A9">
              <w:rPr>
                <w:rFonts w:ascii="Arial" w:hAnsi="Arial" w:cs="Arial"/>
                <w:color w:val="auto"/>
                <w:sz w:val="18"/>
                <w:szCs w:val="20"/>
                <w:lang w:eastAsia="en-NZ"/>
              </w:rPr>
              <w:t>Micro-LNG expansion</w:t>
            </w:r>
          </w:p>
        </w:tc>
        <w:tc>
          <w:tcPr>
            <w:tcW w:w="990" w:type="dxa"/>
            <w:vAlign w:val="center"/>
          </w:tcPr>
          <w:p w:rsidR="000E6D6C" w:rsidRPr="00C534A9" w:rsidRDefault="000E6D6C" w:rsidP="00C534A9">
            <w:pPr>
              <w:jc w:val="both"/>
              <w:rPr>
                <w:rFonts w:ascii="Arial" w:hAnsi="Arial" w:cs="Arial"/>
                <w:color w:val="auto"/>
                <w:sz w:val="18"/>
                <w:szCs w:val="20"/>
                <w:lang w:eastAsia="en-NZ"/>
              </w:rPr>
            </w:pPr>
            <w:r w:rsidRPr="00C534A9">
              <w:rPr>
                <w:rFonts w:ascii="Arial" w:hAnsi="Arial" w:cs="Arial"/>
                <w:color w:val="auto"/>
                <w:sz w:val="18"/>
                <w:szCs w:val="20"/>
                <w:lang w:eastAsia="en-NZ"/>
              </w:rPr>
              <w:t>275</w:t>
            </w:r>
          </w:p>
        </w:tc>
        <w:tc>
          <w:tcPr>
            <w:tcW w:w="1080" w:type="dxa"/>
            <w:vAlign w:val="center"/>
          </w:tcPr>
          <w:p w:rsidR="000E6D6C" w:rsidRPr="00C534A9" w:rsidRDefault="000E6D6C" w:rsidP="00C534A9">
            <w:pPr>
              <w:jc w:val="both"/>
              <w:rPr>
                <w:rFonts w:ascii="Arial" w:hAnsi="Arial" w:cs="Arial"/>
                <w:color w:val="auto"/>
                <w:sz w:val="18"/>
                <w:szCs w:val="20"/>
                <w:lang w:eastAsia="en-NZ"/>
              </w:rPr>
            </w:pPr>
            <w:proofErr w:type="spellStart"/>
            <w:r w:rsidRPr="00C534A9">
              <w:rPr>
                <w:rFonts w:ascii="Arial" w:hAnsi="Arial" w:cs="Arial"/>
                <w:color w:val="auto"/>
                <w:sz w:val="18"/>
                <w:szCs w:val="20"/>
                <w:lang w:eastAsia="en-NZ"/>
              </w:rPr>
              <w:t>MMcf</w:t>
            </w:r>
            <w:proofErr w:type="spellEnd"/>
            <w:r w:rsidRPr="00C534A9">
              <w:rPr>
                <w:rFonts w:ascii="Arial" w:hAnsi="Arial" w:cs="Arial"/>
                <w:color w:val="auto"/>
                <w:sz w:val="18"/>
                <w:szCs w:val="20"/>
                <w:lang w:eastAsia="en-NZ"/>
              </w:rPr>
              <w:t xml:space="preserve"> per year</w:t>
            </w:r>
          </w:p>
        </w:tc>
        <w:tc>
          <w:tcPr>
            <w:tcW w:w="1932" w:type="dxa"/>
            <w:vAlign w:val="center"/>
          </w:tcPr>
          <w:p w:rsidR="000E6D6C" w:rsidRPr="00C534A9" w:rsidRDefault="00376541" w:rsidP="00C534A9">
            <w:pPr>
              <w:jc w:val="both"/>
              <w:rPr>
                <w:rFonts w:ascii="Arial" w:hAnsi="Arial" w:cs="Arial"/>
                <w:color w:val="auto"/>
                <w:sz w:val="18"/>
                <w:szCs w:val="20"/>
                <w:lang w:eastAsia="en-NZ"/>
              </w:rPr>
            </w:pPr>
            <w:r w:rsidRPr="00C534A9">
              <w:rPr>
                <w:rFonts w:ascii="Arial" w:hAnsi="Arial" w:cs="Arial"/>
                <w:color w:val="auto"/>
                <w:sz w:val="18"/>
                <w:szCs w:val="20"/>
                <w:lang w:eastAsia="en-NZ"/>
              </w:rPr>
              <w:t>US$3.90</w:t>
            </w:r>
          </w:p>
        </w:tc>
        <w:tc>
          <w:tcPr>
            <w:tcW w:w="1126" w:type="dxa"/>
            <w:vAlign w:val="center"/>
          </w:tcPr>
          <w:p w:rsidR="000E6D6C" w:rsidRPr="00C534A9" w:rsidRDefault="000E6D6C" w:rsidP="00C534A9">
            <w:pPr>
              <w:jc w:val="both"/>
              <w:rPr>
                <w:rFonts w:ascii="Arial" w:hAnsi="Arial" w:cs="Arial"/>
                <w:color w:val="auto"/>
                <w:sz w:val="18"/>
                <w:szCs w:val="20"/>
                <w:highlight w:val="cyan"/>
                <w:lang w:eastAsia="en-NZ"/>
              </w:rPr>
            </w:pPr>
            <w:r w:rsidRPr="00C534A9">
              <w:rPr>
                <w:rFonts w:ascii="Arial" w:hAnsi="Arial" w:cs="Arial"/>
                <w:color w:val="auto"/>
                <w:sz w:val="18"/>
                <w:szCs w:val="20"/>
                <w:lang w:eastAsia="en-NZ"/>
              </w:rPr>
              <w:t>2017</w:t>
            </w:r>
          </w:p>
        </w:tc>
      </w:tr>
      <w:tr w:rsidR="00382866" w:rsidRPr="00C534A9" w:rsidTr="00382866">
        <w:tc>
          <w:tcPr>
            <w:tcW w:w="2069" w:type="dxa"/>
          </w:tcPr>
          <w:p w:rsidR="00382866" w:rsidRPr="00C534A9" w:rsidRDefault="00382866" w:rsidP="00C534A9">
            <w:pPr>
              <w:jc w:val="both"/>
              <w:rPr>
                <w:rFonts w:ascii="Arial" w:hAnsi="Arial" w:cs="Arial"/>
                <w:color w:val="auto"/>
                <w:sz w:val="18"/>
                <w:szCs w:val="20"/>
                <w:lang w:eastAsia="en-NZ"/>
              </w:rPr>
            </w:pPr>
            <w:r w:rsidRPr="00C534A9">
              <w:rPr>
                <w:rFonts w:ascii="Arial" w:hAnsi="Arial" w:cs="Arial"/>
                <w:color w:val="auto"/>
                <w:sz w:val="18"/>
                <w:szCs w:val="20"/>
                <w:lang w:eastAsia="en-NZ"/>
              </w:rPr>
              <w:t>Electric Compressors</w:t>
            </w:r>
          </w:p>
        </w:tc>
        <w:tc>
          <w:tcPr>
            <w:tcW w:w="990" w:type="dxa"/>
          </w:tcPr>
          <w:p w:rsidR="00382866" w:rsidRPr="00C534A9" w:rsidRDefault="00BA7018" w:rsidP="00C534A9">
            <w:pPr>
              <w:jc w:val="both"/>
              <w:rPr>
                <w:rFonts w:ascii="Arial" w:hAnsi="Arial" w:cs="Arial"/>
                <w:color w:val="auto"/>
                <w:sz w:val="18"/>
                <w:szCs w:val="20"/>
                <w:lang w:eastAsia="en-NZ"/>
              </w:rPr>
            </w:pPr>
            <w:r w:rsidRPr="00C534A9">
              <w:rPr>
                <w:rFonts w:ascii="Arial" w:hAnsi="Arial" w:cs="Arial"/>
                <w:color w:val="auto"/>
                <w:sz w:val="18"/>
                <w:szCs w:val="20"/>
                <w:lang w:eastAsia="en-NZ"/>
              </w:rPr>
              <w:t>320</w:t>
            </w:r>
          </w:p>
        </w:tc>
        <w:tc>
          <w:tcPr>
            <w:tcW w:w="1080" w:type="dxa"/>
          </w:tcPr>
          <w:p w:rsidR="00382866" w:rsidRPr="00C534A9" w:rsidRDefault="00382866" w:rsidP="00C534A9">
            <w:pPr>
              <w:jc w:val="both"/>
              <w:rPr>
                <w:rFonts w:ascii="Arial" w:hAnsi="Arial" w:cs="Arial"/>
                <w:color w:val="auto"/>
                <w:sz w:val="18"/>
                <w:szCs w:val="20"/>
                <w:lang w:eastAsia="en-NZ"/>
              </w:rPr>
            </w:pPr>
            <w:proofErr w:type="spellStart"/>
            <w:r w:rsidRPr="00C534A9">
              <w:rPr>
                <w:rFonts w:ascii="Arial" w:hAnsi="Arial" w:cs="Arial"/>
                <w:color w:val="auto"/>
                <w:sz w:val="18"/>
                <w:szCs w:val="20"/>
                <w:lang w:eastAsia="en-NZ"/>
              </w:rPr>
              <w:t>hp</w:t>
            </w:r>
            <w:proofErr w:type="spellEnd"/>
          </w:p>
        </w:tc>
        <w:tc>
          <w:tcPr>
            <w:tcW w:w="1932" w:type="dxa"/>
          </w:tcPr>
          <w:p w:rsidR="00382866" w:rsidRPr="00C534A9" w:rsidRDefault="00382866" w:rsidP="00C534A9">
            <w:pPr>
              <w:jc w:val="both"/>
              <w:rPr>
                <w:rFonts w:ascii="Arial" w:hAnsi="Arial" w:cs="Arial"/>
                <w:sz w:val="22"/>
              </w:rPr>
            </w:pPr>
            <w:r w:rsidRPr="00C534A9">
              <w:rPr>
                <w:rFonts w:ascii="Arial" w:hAnsi="Arial" w:cs="Arial"/>
                <w:color w:val="auto"/>
                <w:sz w:val="18"/>
                <w:szCs w:val="20"/>
                <w:lang w:eastAsia="en-NZ"/>
              </w:rPr>
              <w:t>US$0.91</w:t>
            </w:r>
          </w:p>
        </w:tc>
        <w:tc>
          <w:tcPr>
            <w:tcW w:w="1126" w:type="dxa"/>
          </w:tcPr>
          <w:p w:rsidR="00382866" w:rsidRPr="00C534A9" w:rsidRDefault="00382866" w:rsidP="00C534A9">
            <w:pPr>
              <w:jc w:val="both"/>
              <w:rPr>
                <w:rFonts w:ascii="Arial" w:hAnsi="Arial" w:cs="Arial"/>
                <w:color w:val="auto"/>
                <w:sz w:val="18"/>
                <w:szCs w:val="20"/>
                <w:lang w:eastAsia="en-NZ"/>
              </w:rPr>
            </w:pPr>
            <w:r w:rsidRPr="00C534A9">
              <w:rPr>
                <w:rFonts w:ascii="Arial" w:hAnsi="Arial" w:cs="Arial"/>
                <w:color w:val="auto"/>
                <w:sz w:val="18"/>
                <w:szCs w:val="20"/>
                <w:lang w:eastAsia="en-NZ"/>
              </w:rPr>
              <w:t>2018</w:t>
            </w:r>
          </w:p>
        </w:tc>
      </w:tr>
      <w:tr w:rsidR="00382866" w:rsidRPr="00C534A9" w:rsidTr="00376541">
        <w:tc>
          <w:tcPr>
            <w:tcW w:w="2069" w:type="dxa"/>
            <w:vAlign w:val="center"/>
          </w:tcPr>
          <w:p w:rsidR="00382866" w:rsidRPr="00C534A9" w:rsidRDefault="00382866" w:rsidP="00C534A9">
            <w:pPr>
              <w:jc w:val="both"/>
              <w:rPr>
                <w:rFonts w:ascii="Arial" w:hAnsi="Arial" w:cs="Arial"/>
                <w:color w:val="auto"/>
                <w:sz w:val="18"/>
                <w:szCs w:val="20"/>
                <w:lang w:eastAsia="en-NZ"/>
              </w:rPr>
            </w:pPr>
            <w:r w:rsidRPr="00C534A9">
              <w:rPr>
                <w:rFonts w:ascii="Arial" w:hAnsi="Arial" w:cs="Arial"/>
                <w:color w:val="auto"/>
                <w:sz w:val="18"/>
                <w:szCs w:val="20"/>
                <w:lang w:eastAsia="en-NZ"/>
              </w:rPr>
              <w:t>Wind Turbine</w:t>
            </w:r>
          </w:p>
        </w:tc>
        <w:tc>
          <w:tcPr>
            <w:tcW w:w="990" w:type="dxa"/>
            <w:vAlign w:val="center"/>
          </w:tcPr>
          <w:p w:rsidR="00382866" w:rsidRPr="00C534A9" w:rsidRDefault="00382866" w:rsidP="00C534A9">
            <w:pPr>
              <w:jc w:val="both"/>
              <w:rPr>
                <w:rFonts w:ascii="Arial" w:hAnsi="Arial" w:cs="Arial"/>
                <w:color w:val="auto"/>
                <w:sz w:val="18"/>
                <w:szCs w:val="20"/>
                <w:lang w:eastAsia="en-NZ"/>
              </w:rPr>
            </w:pPr>
            <w:r w:rsidRPr="00C534A9">
              <w:rPr>
                <w:rFonts w:ascii="Arial" w:hAnsi="Arial" w:cs="Arial"/>
                <w:color w:val="auto"/>
                <w:sz w:val="18"/>
                <w:szCs w:val="20"/>
                <w:lang w:eastAsia="en-NZ"/>
              </w:rPr>
              <w:t>850</w:t>
            </w:r>
          </w:p>
        </w:tc>
        <w:tc>
          <w:tcPr>
            <w:tcW w:w="1080" w:type="dxa"/>
            <w:vAlign w:val="center"/>
          </w:tcPr>
          <w:p w:rsidR="00382866" w:rsidRPr="00C534A9" w:rsidRDefault="00382866" w:rsidP="00C534A9">
            <w:pPr>
              <w:jc w:val="both"/>
              <w:rPr>
                <w:rFonts w:ascii="Arial" w:hAnsi="Arial" w:cs="Arial"/>
                <w:color w:val="auto"/>
                <w:sz w:val="18"/>
                <w:szCs w:val="20"/>
                <w:lang w:eastAsia="en-NZ"/>
              </w:rPr>
            </w:pPr>
            <w:r w:rsidRPr="00C534A9">
              <w:rPr>
                <w:rFonts w:ascii="Arial" w:hAnsi="Arial" w:cs="Arial"/>
                <w:color w:val="auto"/>
                <w:sz w:val="18"/>
                <w:szCs w:val="20"/>
                <w:lang w:eastAsia="en-NZ"/>
              </w:rPr>
              <w:t>kW</w:t>
            </w:r>
          </w:p>
        </w:tc>
        <w:tc>
          <w:tcPr>
            <w:tcW w:w="1932" w:type="dxa"/>
            <w:vAlign w:val="center"/>
          </w:tcPr>
          <w:p w:rsidR="00382866" w:rsidRPr="00C534A9" w:rsidRDefault="00382866" w:rsidP="00C534A9">
            <w:pPr>
              <w:jc w:val="both"/>
              <w:rPr>
                <w:rFonts w:ascii="Arial" w:hAnsi="Arial" w:cs="Arial"/>
                <w:sz w:val="22"/>
              </w:rPr>
            </w:pPr>
            <w:r w:rsidRPr="00C534A9">
              <w:rPr>
                <w:rFonts w:ascii="Arial" w:hAnsi="Arial" w:cs="Arial"/>
                <w:color w:val="auto"/>
                <w:sz w:val="18"/>
                <w:szCs w:val="20"/>
                <w:lang w:eastAsia="en-NZ"/>
              </w:rPr>
              <w:t>US$1.90</w:t>
            </w:r>
          </w:p>
        </w:tc>
        <w:tc>
          <w:tcPr>
            <w:tcW w:w="1126" w:type="dxa"/>
            <w:vAlign w:val="center"/>
          </w:tcPr>
          <w:p w:rsidR="00382866" w:rsidRPr="00C534A9" w:rsidRDefault="00382866" w:rsidP="00C534A9">
            <w:pPr>
              <w:jc w:val="both"/>
              <w:rPr>
                <w:rFonts w:ascii="Arial" w:hAnsi="Arial" w:cs="Arial"/>
                <w:color w:val="auto"/>
                <w:sz w:val="18"/>
                <w:szCs w:val="20"/>
                <w:highlight w:val="cyan"/>
                <w:lang w:eastAsia="en-NZ"/>
              </w:rPr>
            </w:pPr>
            <w:r w:rsidRPr="00C534A9">
              <w:rPr>
                <w:rFonts w:ascii="Arial" w:hAnsi="Arial" w:cs="Arial"/>
                <w:color w:val="auto"/>
                <w:sz w:val="18"/>
                <w:szCs w:val="20"/>
                <w:lang w:eastAsia="en-NZ"/>
              </w:rPr>
              <w:t>2018</w:t>
            </w:r>
          </w:p>
        </w:tc>
      </w:tr>
      <w:tr w:rsidR="00382866" w:rsidRPr="00C534A9" w:rsidTr="00712C73">
        <w:trPr>
          <w:trHeight w:val="322"/>
        </w:trPr>
        <w:tc>
          <w:tcPr>
            <w:tcW w:w="2069" w:type="dxa"/>
            <w:vAlign w:val="center"/>
          </w:tcPr>
          <w:p w:rsidR="00382866" w:rsidRPr="00C534A9" w:rsidRDefault="00382866" w:rsidP="00C534A9">
            <w:pPr>
              <w:jc w:val="both"/>
              <w:rPr>
                <w:rFonts w:ascii="Arial" w:hAnsi="Arial" w:cs="Arial"/>
                <w:b/>
                <w:color w:val="auto"/>
                <w:sz w:val="18"/>
                <w:szCs w:val="20"/>
                <w:lang w:eastAsia="en-NZ"/>
              </w:rPr>
            </w:pPr>
            <w:r w:rsidRPr="00C534A9">
              <w:rPr>
                <w:rFonts w:ascii="Arial" w:hAnsi="Arial" w:cs="Arial"/>
                <w:color w:val="auto"/>
                <w:sz w:val="18"/>
                <w:szCs w:val="20"/>
                <w:lang w:eastAsia="en-NZ"/>
              </w:rPr>
              <w:t>Solar Panels</w:t>
            </w:r>
          </w:p>
        </w:tc>
        <w:tc>
          <w:tcPr>
            <w:tcW w:w="990" w:type="dxa"/>
            <w:vAlign w:val="center"/>
          </w:tcPr>
          <w:p w:rsidR="00382866" w:rsidRPr="00C534A9" w:rsidRDefault="00382866" w:rsidP="00C534A9">
            <w:pPr>
              <w:jc w:val="both"/>
              <w:rPr>
                <w:rFonts w:ascii="Arial" w:hAnsi="Arial" w:cs="Arial"/>
                <w:b/>
                <w:color w:val="auto"/>
                <w:sz w:val="18"/>
                <w:szCs w:val="20"/>
                <w:lang w:eastAsia="en-NZ"/>
              </w:rPr>
            </w:pPr>
            <w:r w:rsidRPr="00C534A9">
              <w:rPr>
                <w:rFonts w:ascii="Arial" w:hAnsi="Arial" w:cs="Arial"/>
                <w:color w:val="auto"/>
                <w:sz w:val="18"/>
                <w:szCs w:val="20"/>
                <w:lang w:eastAsia="en-NZ"/>
              </w:rPr>
              <w:t>300</w:t>
            </w:r>
          </w:p>
        </w:tc>
        <w:tc>
          <w:tcPr>
            <w:tcW w:w="1080" w:type="dxa"/>
            <w:vAlign w:val="center"/>
          </w:tcPr>
          <w:p w:rsidR="00382866" w:rsidRPr="00C534A9" w:rsidRDefault="00382866" w:rsidP="00C534A9">
            <w:pPr>
              <w:jc w:val="both"/>
              <w:rPr>
                <w:rFonts w:ascii="Arial" w:hAnsi="Arial" w:cs="Arial"/>
                <w:b/>
                <w:color w:val="auto"/>
                <w:sz w:val="18"/>
                <w:szCs w:val="20"/>
                <w:lang w:eastAsia="en-NZ"/>
              </w:rPr>
            </w:pPr>
            <w:r w:rsidRPr="00C534A9">
              <w:rPr>
                <w:rFonts w:ascii="Arial" w:hAnsi="Arial" w:cs="Arial"/>
                <w:color w:val="auto"/>
                <w:sz w:val="18"/>
                <w:szCs w:val="20"/>
                <w:lang w:eastAsia="en-NZ"/>
              </w:rPr>
              <w:t>kW</w:t>
            </w:r>
          </w:p>
        </w:tc>
        <w:tc>
          <w:tcPr>
            <w:tcW w:w="1932" w:type="dxa"/>
            <w:vAlign w:val="center"/>
          </w:tcPr>
          <w:p w:rsidR="00382866" w:rsidRPr="00C534A9" w:rsidRDefault="00382866" w:rsidP="00C534A9">
            <w:pPr>
              <w:jc w:val="both"/>
              <w:rPr>
                <w:rFonts w:ascii="Arial" w:hAnsi="Arial" w:cs="Arial"/>
                <w:b/>
                <w:color w:val="auto"/>
                <w:sz w:val="18"/>
                <w:szCs w:val="20"/>
                <w:lang w:eastAsia="en-NZ"/>
              </w:rPr>
            </w:pPr>
            <w:r w:rsidRPr="00C534A9">
              <w:rPr>
                <w:rFonts w:ascii="Arial" w:hAnsi="Arial" w:cs="Arial"/>
                <w:color w:val="auto"/>
                <w:sz w:val="18"/>
                <w:szCs w:val="20"/>
                <w:lang w:eastAsia="en-NZ"/>
              </w:rPr>
              <w:t>US$0.54</w:t>
            </w:r>
          </w:p>
        </w:tc>
        <w:tc>
          <w:tcPr>
            <w:tcW w:w="1126" w:type="dxa"/>
            <w:vAlign w:val="center"/>
          </w:tcPr>
          <w:p w:rsidR="00382866" w:rsidRPr="00C534A9" w:rsidRDefault="00382866" w:rsidP="00C534A9">
            <w:pPr>
              <w:jc w:val="both"/>
              <w:rPr>
                <w:rFonts w:ascii="Arial" w:hAnsi="Arial" w:cs="Arial"/>
                <w:color w:val="auto"/>
                <w:sz w:val="18"/>
                <w:szCs w:val="20"/>
                <w:lang w:eastAsia="en-NZ"/>
              </w:rPr>
            </w:pPr>
            <w:r w:rsidRPr="00C534A9">
              <w:rPr>
                <w:rFonts w:ascii="Arial" w:hAnsi="Arial" w:cs="Arial"/>
                <w:color w:val="auto"/>
                <w:sz w:val="18"/>
                <w:szCs w:val="20"/>
                <w:lang w:eastAsia="en-NZ"/>
              </w:rPr>
              <w:t>2018</w:t>
            </w:r>
          </w:p>
        </w:tc>
      </w:tr>
      <w:tr w:rsidR="00382866" w:rsidRPr="00C534A9" w:rsidTr="00712C73">
        <w:tc>
          <w:tcPr>
            <w:tcW w:w="2069" w:type="dxa"/>
            <w:vAlign w:val="center"/>
          </w:tcPr>
          <w:p w:rsidR="00382866" w:rsidRPr="00C534A9" w:rsidRDefault="00382866" w:rsidP="00C534A9">
            <w:pPr>
              <w:jc w:val="both"/>
              <w:rPr>
                <w:rFonts w:ascii="Arial" w:hAnsi="Arial" w:cs="Arial"/>
                <w:color w:val="auto"/>
                <w:sz w:val="18"/>
                <w:szCs w:val="20"/>
                <w:lang w:eastAsia="en-NZ"/>
              </w:rPr>
            </w:pPr>
            <w:r w:rsidRPr="00C534A9">
              <w:rPr>
                <w:rFonts w:ascii="Arial" w:hAnsi="Arial" w:cs="Arial"/>
                <w:b/>
                <w:color w:val="auto"/>
                <w:sz w:val="18"/>
                <w:szCs w:val="20"/>
                <w:lang w:eastAsia="en-NZ"/>
              </w:rPr>
              <w:t>Total – Sub-Projects</w:t>
            </w:r>
          </w:p>
        </w:tc>
        <w:tc>
          <w:tcPr>
            <w:tcW w:w="990" w:type="dxa"/>
            <w:shd w:val="clear" w:color="auto" w:fill="BFBFBF" w:themeFill="background1" w:themeFillShade="BF"/>
            <w:vAlign w:val="center"/>
          </w:tcPr>
          <w:p w:rsidR="00382866" w:rsidRPr="00C534A9" w:rsidRDefault="00382866" w:rsidP="00C534A9">
            <w:pPr>
              <w:jc w:val="both"/>
              <w:rPr>
                <w:rFonts w:ascii="Arial" w:hAnsi="Arial" w:cs="Arial"/>
                <w:color w:val="auto"/>
                <w:sz w:val="18"/>
                <w:szCs w:val="20"/>
                <w:lang w:eastAsia="en-NZ"/>
              </w:rPr>
            </w:pPr>
          </w:p>
        </w:tc>
        <w:tc>
          <w:tcPr>
            <w:tcW w:w="1080" w:type="dxa"/>
            <w:shd w:val="clear" w:color="auto" w:fill="BFBFBF" w:themeFill="background1" w:themeFillShade="BF"/>
            <w:vAlign w:val="center"/>
          </w:tcPr>
          <w:p w:rsidR="00382866" w:rsidRPr="00C534A9" w:rsidRDefault="00382866" w:rsidP="00C534A9">
            <w:pPr>
              <w:jc w:val="both"/>
              <w:rPr>
                <w:rFonts w:ascii="Arial" w:hAnsi="Arial" w:cs="Arial"/>
                <w:color w:val="auto"/>
                <w:sz w:val="18"/>
                <w:szCs w:val="20"/>
                <w:lang w:eastAsia="en-NZ"/>
              </w:rPr>
            </w:pPr>
          </w:p>
        </w:tc>
        <w:tc>
          <w:tcPr>
            <w:tcW w:w="1932" w:type="dxa"/>
            <w:vAlign w:val="center"/>
          </w:tcPr>
          <w:p w:rsidR="00382866" w:rsidRPr="00C534A9" w:rsidRDefault="00382866" w:rsidP="00C534A9">
            <w:pPr>
              <w:jc w:val="both"/>
              <w:rPr>
                <w:rFonts w:ascii="Arial" w:hAnsi="Arial" w:cs="Arial"/>
                <w:sz w:val="22"/>
              </w:rPr>
            </w:pPr>
            <w:r w:rsidRPr="00C534A9">
              <w:rPr>
                <w:rFonts w:ascii="Arial" w:hAnsi="Arial" w:cs="Arial"/>
                <w:b/>
                <w:color w:val="auto"/>
                <w:sz w:val="18"/>
                <w:szCs w:val="20"/>
                <w:lang w:eastAsia="en-NZ"/>
              </w:rPr>
              <w:t>US$27.25</w:t>
            </w:r>
          </w:p>
        </w:tc>
        <w:tc>
          <w:tcPr>
            <w:tcW w:w="1126" w:type="dxa"/>
            <w:shd w:val="clear" w:color="auto" w:fill="BFBFBF" w:themeFill="background1" w:themeFillShade="BF"/>
            <w:vAlign w:val="center"/>
          </w:tcPr>
          <w:p w:rsidR="00382866" w:rsidRPr="00C534A9" w:rsidRDefault="00382866" w:rsidP="00C534A9">
            <w:pPr>
              <w:jc w:val="both"/>
              <w:rPr>
                <w:rFonts w:ascii="Arial" w:hAnsi="Arial" w:cs="Arial"/>
                <w:color w:val="auto"/>
                <w:sz w:val="18"/>
                <w:szCs w:val="20"/>
                <w:highlight w:val="cyan"/>
                <w:lang w:eastAsia="en-NZ"/>
              </w:rPr>
            </w:pPr>
          </w:p>
        </w:tc>
      </w:tr>
      <w:tr w:rsidR="00382866" w:rsidRPr="00C534A9" w:rsidTr="00376541">
        <w:tc>
          <w:tcPr>
            <w:tcW w:w="2069" w:type="dxa"/>
            <w:vAlign w:val="center"/>
          </w:tcPr>
          <w:p w:rsidR="00382866" w:rsidRPr="00C534A9" w:rsidRDefault="00382866" w:rsidP="00C534A9">
            <w:pPr>
              <w:jc w:val="both"/>
              <w:rPr>
                <w:rFonts w:ascii="Arial" w:hAnsi="Arial" w:cs="Arial"/>
                <w:color w:val="auto"/>
                <w:sz w:val="18"/>
                <w:szCs w:val="20"/>
                <w:lang w:eastAsia="en-NZ"/>
              </w:rPr>
            </w:pPr>
            <w:r w:rsidRPr="00C534A9">
              <w:rPr>
                <w:rFonts w:ascii="Arial" w:hAnsi="Arial" w:cs="Arial"/>
                <w:color w:val="auto"/>
                <w:sz w:val="18"/>
                <w:szCs w:val="20"/>
                <w:lang w:eastAsia="en-NZ"/>
              </w:rPr>
              <w:t>VS LNG Terminal</w:t>
            </w:r>
          </w:p>
        </w:tc>
        <w:tc>
          <w:tcPr>
            <w:tcW w:w="990" w:type="dxa"/>
            <w:vAlign w:val="center"/>
          </w:tcPr>
          <w:p w:rsidR="00382866" w:rsidRPr="00C534A9" w:rsidRDefault="00382866" w:rsidP="00C534A9">
            <w:pPr>
              <w:jc w:val="both"/>
              <w:rPr>
                <w:rFonts w:ascii="Arial" w:hAnsi="Arial" w:cs="Arial"/>
                <w:color w:val="auto"/>
                <w:sz w:val="18"/>
                <w:szCs w:val="20"/>
                <w:lang w:eastAsia="en-NZ"/>
              </w:rPr>
            </w:pPr>
            <w:r w:rsidRPr="00C534A9">
              <w:rPr>
                <w:rFonts w:ascii="Arial" w:hAnsi="Arial" w:cs="Arial"/>
                <w:color w:val="auto"/>
                <w:sz w:val="18"/>
                <w:szCs w:val="20"/>
                <w:lang w:eastAsia="en-NZ"/>
              </w:rPr>
              <w:t>3,500</w:t>
            </w:r>
          </w:p>
        </w:tc>
        <w:tc>
          <w:tcPr>
            <w:tcW w:w="1080" w:type="dxa"/>
            <w:vAlign w:val="center"/>
          </w:tcPr>
          <w:p w:rsidR="00382866" w:rsidRPr="00C534A9" w:rsidRDefault="00382866" w:rsidP="00C534A9">
            <w:pPr>
              <w:jc w:val="both"/>
              <w:rPr>
                <w:rFonts w:ascii="Arial" w:hAnsi="Arial" w:cs="Arial"/>
                <w:color w:val="auto"/>
                <w:sz w:val="18"/>
                <w:szCs w:val="20"/>
                <w:lang w:eastAsia="en-NZ"/>
              </w:rPr>
            </w:pPr>
            <w:proofErr w:type="spellStart"/>
            <w:r w:rsidRPr="00C534A9">
              <w:rPr>
                <w:rFonts w:ascii="Arial" w:hAnsi="Arial" w:cs="Arial"/>
                <w:color w:val="auto"/>
                <w:sz w:val="18"/>
                <w:szCs w:val="20"/>
                <w:lang w:eastAsia="en-NZ"/>
              </w:rPr>
              <w:t>MMcf</w:t>
            </w:r>
            <w:proofErr w:type="spellEnd"/>
            <w:r w:rsidRPr="00C534A9">
              <w:rPr>
                <w:rFonts w:ascii="Arial" w:hAnsi="Arial" w:cs="Arial"/>
                <w:color w:val="auto"/>
                <w:sz w:val="18"/>
                <w:szCs w:val="20"/>
                <w:lang w:eastAsia="en-NZ"/>
              </w:rPr>
              <w:t xml:space="preserve"> per year</w:t>
            </w:r>
          </w:p>
        </w:tc>
        <w:tc>
          <w:tcPr>
            <w:tcW w:w="1932" w:type="dxa"/>
            <w:vAlign w:val="center"/>
          </w:tcPr>
          <w:p w:rsidR="00382866" w:rsidRPr="00C534A9" w:rsidRDefault="00382866" w:rsidP="00C534A9">
            <w:pPr>
              <w:jc w:val="both"/>
              <w:rPr>
                <w:rFonts w:ascii="Arial" w:hAnsi="Arial" w:cs="Arial"/>
                <w:color w:val="auto"/>
                <w:sz w:val="18"/>
                <w:szCs w:val="20"/>
                <w:lang w:eastAsia="en-NZ"/>
              </w:rPr>
            </w:pPr>
            <w:r w:rsidRPr="00C534A9">
              <w:rPr>
                <w:rFonts w:ascii="Arial" w:hAnsi="Arial" w:cs="Arial"/>
                <w:color w:val="auto"/>
                <w:sz w:val="18"/>
                <w:szCs w:val="20"/>
                <w:lang w:eastAsia="en-NZ"/>
              </w:rPr>
              <w:t>US$64.00</w:t>
            </w:r>
          </w:p>
        </w:tc>
        <w:tc>
          <w:tcPr>
            <w:tcW w:w="1126" w:type="dxa"/>
            <w:vAlign w:val="center"/>
          </w:tcPr>
          <w:p w:rsidR="00382866" w:rsidRPr="00C534A9" w:rsidRDefault="00382866" w:rsidP="00C534A9">
            <w:pPr>
              <w:jc w:val="both"/>
              <w:rPr>
                <w:rFonts w:ascii="Arial" w:hAnsi="Arial" w:cs="Arial"/>
                <w:color w:val="auto"/>
                <w:sz w:val="18"/>
                <w:szCs w:val="20"/>
                <w:lang w:eastAsia="en-NZ"/>
              </w:rPr>
            </w:pPr>
            <w:r w:rsidRPr="00C534A9">
              <w:rPr>
                <w:rFonts w:ascii="Arial" w:hAnsi="Arial" w:cs="Arial"/>
                <w:color w:val="auto"/>
                <w:sz w:val="18"/>
                <w:szCs w:val="20"/>
                <w:lang w:eastAsia="en-NZ"/>
              </w:rPr>
              <w:t>2019</w:t>
            </w:r>
          </w:p>
        </w:tc>
      </w:tr>
      <w:tr w:rsidR="00382866" w:rsidRPr="00C534A9" w:rsidTr="00712C73">
        <w:trPr>
          <w:trHeight w:val="322"/>
        </w:trPr>
        <w:tc>
          <w:tcPr>
            <w:tcW w:w="2069" w:type="dxa"/>
            <w:vAlign w:val="center"/>
          </w:tcPr>
          <w:p w:rsidR="00382866" w:rsidRPr="00C534A9" w:rsidRDefault="00382866" w:rsidP="00C534A9">
            <w:pPr>
              <w:jc w:val="both"/>
              <w:rPr>
                <w:rFonts w:ascii="Arial" w:hAnsi="Arial" w:cs="Arial"/>
                <w:b/>
                <w:color w:val="auto"/>
                <w:sz w:val="18"/>
                <w:szCs w:val="20"/>
                <w:lang w:eastAsia="en-NZ"/>
              </w:rPr>
            </w:pPr>
            <w:r w:rsidRPr="00C534A9">
              <w:rPr>
                <w:rFonts w:ascii="Arial" w:hAnsi="Arial" w:cs="Arial"/>
                <w:color w:val="auto"/>
                <w:sz w:val="18"/>
                <w:szCs w:val="20"/>
                <w:lang w:eastAsia="en-NZ"/>
              </w:rPr>
              <w:t>Electricity generator     conversion</w:t>
            </w:r>
          </w:p>
        </w:tc>
        <w:tc>
          <w:tcPr>
            <w:tcW w:w="990" w:type="dxa"/>
            <w:vAlign w:val="center"/>
          </w:tcPr>
          <w:p w:rsidR="00382866" w:rsidRPr="00C534A9" w:rsidRDefault="00382866" w:rsidP="00C534A9">
            <w:pPr>
              <w:jc w:val="both"/>
              <w:rPr>
                <w:rFonts w:ascii="Arial" w:hAnsi="Arial" w:cs="Arial"/>
                <w:b/>
                <w:color w:val="auto"/>
                <w:sz w:val="18"/>
                <w:szCs w:val="20"/>
                <w:lang w:eastAsia="en-NZ"/>
              </w:rPr>
            </w:pPr>
            <w:r w:rsidRPr="00C534A9">
              <w:rPr>
                <w:rFonts w:ascii="Arial" w:hAnsi="Arial" w:cs="Arial"/>
                <w:color w:val="auto"/>
                <w:sz w:val="18"/>
                <w:szCs w:val="20"/>
                <w:lang w:eastAsia="en-NZ"/>
              </w:rPr>
              <w:t>80</w:t>
            </w:r>
          </w:p>
        </w:tc>
        <w:tc>
          <w:tcPr>
            <w:tcW w:w="1080" w:type="dxa"/>
            <w:vAlign w:val="center"/>
          </w:tcPr>
          <w:p w:rsidR="00382866" w:rsidRPr="00C534A9" w:rsidRDefault="00382866" w:rsidP="00C534A9">
            <w:pPr>
              <w:jc w:val="both"/>
              <w:rPr>
                <w:rFonts w:ascii="Arial" w:hAnsi="Arial" w:cs="Arial"/>
                <w:b/>
                <w:color w:val="auto"/>
                <w:sz w:val="18"/>
                <w:szCs w:val="20"/>
                <w:lang w:eastAsia="en-NZ"/>
              </w:rPr>
            </w:pPr>
            <w:r w:rsidRPr="00C534A9">
              <w:rPr>
                <w:rFonts w:ascii="Arial" w:hAnsi="Arial" w:cs="Arial"/>
                <w:color w:val="auto"/>
                <w:sz w:val="18"/>
                <w:szCs w:val="20"/>
                <w:lang w:eastAsia="en-NZ"/>
              </w:rPr>
              <w:t>MW</w:t>
            </w:r>
          </w:p>
        </w:tc>
        <w:tc>
          <w:tcPr>
            <w:tcW w:w="1932" w:type="dxa"/>
            <w:vAlign w:val="center"/>
          </w:tcPr>
          <w:p w:rsidR="00382866" w:rsidRPr="00C534A9" w:rsidRDefault="00382866" w:rsidP="00C534A9">
            <w:pPr>
              <w:jc w:val="both"/>
              <w:rPr>
                <w:rFonts w:ascii="Arial" w:hAnsi="Arial" w:cs="Arial"/>
                <w:b/>
                <w:color w:val="auto"/>
                <w:sz w:val="18"/>
                <w:szCs w:val="20"/>
                <w:lang w:eastAsia="en-NZ"/>
              </w:rPr>
            </w:pPr>
            <w:r w:rsidRPr="00C534A9">
              <w:rPr>
                <w:rFonts w:ascii="Arial" w:hAnsi="Arial" w:cs="Arial"/>
                <w:color w:val="auto"/>
                <w:sz w:val="18"/>
                <w:szCs w:val="20"/>
                <w:lang w:eastAsia="en-NZ"/>
              </w:rPr>
              <w:t>US$23.00</w:t>
            </w:r>
          </w:p>
        </w:tc>
        <w:tc>
          <w:tcPr>
            <w:tcW w:w="1126" w:type="dxa"/>
            <w:vAlign w:val="center"/>
          </w:tcPr>
          <w:p w:rsidR="00382866" w:rsidRPr="00C534A9" w:rsidRDefault="00382866" w:rsidP="00C534A9">
            <w:pPr>
              <w:jc w:val="both"/>
              <w:rPr>
                <w:rFonts w:ascii="Arial" w:hAnsi="Arial" w:cs="Arial"/>
                <w:color w:val="auto"/>
                <w:sz w:val="18"/>
                <w:szCs w:val="20"/>
                <w:lang w:eastAsia="en-NZ"/>
              </w:rPr>
            </w:pPr>
            <w:r w:rsidRPr="00C534A9">
              <w:rPr>
                <w:rFonts w:ascii="Arial" w:hAnsi="Arial" w:cs="Arial"/>
                <w:color w:val="auto"/>
                <w:sz w:val="18"/>
                <w:szCs w:val="20"/>
                <w:lang w:eastAsia="en-NZ"/>
              </w:rPr>
              <w:t>2019</w:t>
            </w:r>
          </w:p>
        </w:tc>
      </w:tr>
      <w:tr w:rsidR="00382866" w:rsidRPr="00C534A9" w:rsidTr="00376541">
        <w:trPr>
          <w:trHeight w:val="322"/>
        </w:trPr>
        <w:tc>
          <w:tcPr>
            <w:tcW w:w="2069" w:type="dxa"/>
            <w:vAlign w:val="center"/>
          </w:tcPr>
          <w:p w:rsidR="00382866" w:rsidRPr="00C534A9" w:rsidRDefault="00382866" w:rsidP="00C534A9">
            <w:pPr>
              <w:jc w:val="both"/>
              <w:rPr>
                <w:rFonts w:ascii="Arial" w:hAnsi="Arial" w:cs="Arial"/>
                <w:b/>
                <w:color w:val="auto"/>
                <w:sz w:val="18"/>
                <w:szCs w:val="20"/>
                <w:lang w:eastAsia="en-NZ"/>
              </w:rPr>
            </w:pPr>
            <w:r w:rsidRPr="00C534A9">
              <w:rPr>
                <w:rFonts w:ascii="Arial" w:hAnsi="Arial" w:cs="Arial"/>
                <w:b/>
                <w:color w:val="auto"/>
                <w:sz w:val="18"/>
                <w:szCs w:val="20"/>
                <w:lang w:eastAsia="en-NZ"/>
              </w:rPr>
              <w:t>Total</w:t>
            </w:r>
          </w:p>
        </w:tc>
        <w:tc>
          <w:tcPr>
            <w:tcW w:w="990" w:type="dxa"/>
            <w:shd w:val="clear" w:color="auto" w:fill="BFBFBF" w:themeFill="background1" w:themeFillShade="BF"/>
            <w:vAlign w:val="center"/>
          </w:tcPr>
          <w:p w:rsidR="00382866" w:rsidRPr="00C534A9" w:rsidRDefault="00382866" w:rsidP="00C534A9">
            <w:pPr>
              <w:jc w:val="both"/>
              <w:rPr>
                <w:rFonts w:ascii="Arial" w:hAnsi="Arial" w:cs="Arial"/>
                <w:b/>
                <w:color w:val="auto"/>
                <w:sz w:val="18"/>
                <w:szCs w:val="20"/>
                <w:lang w:eastAsia="en-NZ"/>
              </w:rPr>
            </w:pPr>
          </w:p>
        </w:tc>
        <w:tc>
          <w:tcPr>
            <w:tcW w:w="1080" w:type="dxa"/>
            <w:shd w:val="clear" w:color="auto" w:fill="BFBFBF" w:themeFill="background1" w:themeFillShade="BF"/>
            <w:vAlign w:val="center"/>
          </w:tcPr>
          <w:p w:rsidR="00382866" w:rsidRPr="00C534A9" w:rsidRDefault="00382866" w:rsidP="00C534A9">
            <w:pPr>
              <w:jc w:val="both"/>
              <w:rPr>
                <w:rFonts w:ascii="Arial" w:hAnsi="Arial" w:cs="Arial"/>
                <w:b/>
                <w:color w:val="auto"/>
                <w:sz w:val="18"/>
                <w:szCs w:val="20"/>
                <w:lang w:eastAsia="en-NZ"/>
              </w:rPr>
            </w:pPr>
          </w:p>
        </w:tc>
        <w:tc>
          <w:tcPr>
            <w:tcW w:w="1932" w:type="dxa"/>
            <w:vAlign w:val="center"/>
          </w:tcPr>
          <w:p w:rsidR="00382866" w:rsidRPr="00C534A9" w:rsidRDefault="00382866" w:rsidP="00C534A9">
            <w:pPr>
              <w:jc w:val="both"/>
              <w:rPr>
                <w:rFonts w:ascii="Arial" w:hAnsi="Arial" w:cs="Arial"/>
                <w:b/>
                <w:color w:val="auto"/>
                <w:sz w:val="18"/>
                <w:szCs w:val="20"/>
                <w:lang w:eastAsia="en-NZ"/>
              </w:rPr>
            </w:pPr>
            <w:r w:rsidRPr="00C534A9">
              <w:rPr>
                <w:rFonts w:ascii="Arial" w:hAnsi="Arial" w:cs="Arial"/>
                <w:b/>
                <w:color w:val="auto"/>
                <w:sz w:val="18"/>
                <w:szCs w:val="20"/>
                <w:lang w:eastAsia="en-NZ"/>
              </w:rPr>
              <w:t>US$94.25</w:t>
            </w:r>
          </w:p>
        </w:tc>
        <w:tc>
          <w:tcPr>
            <w:tcW w:w="1126" w:type="dxa"/>
            <w:shd w:val="clear" w:color="auto" w:fill="BFBFBF" w:themeFill="background1" w:themeFillShade="BF"/>
            <w:vAlign w:val="center"/>
          </w:tcPr>
          <w:p w:rsidR="00382866" w:rsidRPr="00C534A9" w:rsidRDefault="00382866" w:rsidP="00C534A9">
            <w:pPr>
              <w:jc w:val="both"/>
              <w:rPr>
                <w:rFonts w:ascii="Arial" w:hAnsi="Arial" w:cs="Arial"/>
                <w:color w:val="auto"/>
                <w:sz w:val="18"/>
                <w:szCs w:val="20"/>
                <w:lang w:eastAsia="en-NZ"/>
              </w:rPr>
            </w:pPr>
          </w:p>
        </w:tc>
      </w:tr>
    </w:tbl>
    <w:p w:rsidR="005B76B2" w:rsidRPr="00C534A9" w:rsidRDefault="000E6D6C" w:rsidP="00C534A9">
      <w:pPr>
        <w:pStyle w:val="Source"/>
        <w:jc w:val="both"/>
        <w:rPr>
          <w:rFonts w:ascii="Arial" w:hAnsi="Arial" w:cs="Arial"/>
          <w:sz w:val="18"/>
        </w:rPr>
      </w:pPr>
      <w:r w:rsidRPr="00C534A9">
        <w:rPr>
          <w:rFonts w:ascii="Arial" w:hAnsi="Arial" w:cs="Arial"/>
          <w:sz w:val="18"/>
        </w:rPr>
        <w:t>Source: Estimated and based on data from NPC</w:t>
      </w:r>
    </w:p>
    <w:p w:rsidR="003343DE" w:rsidRPr="00C534A9" w:rsidRDefault="00333C71" w:rsidP="00D132E2">
      <w:pPr>
        <w:pStyle w:val="Heading2"/>
        <w:jc w:val="both"/>
        <w:rPr>
          <w:rFonts w:ascii="Arial" w:hAnsi="Arial" w:cs="Arial"/>
        </w:rPr>
      </w:pPr>
      <w:bookmarkStart w:id="4" w:name="_Toc464551491"/>
      <w:r w:rsidRPr="00C534A9">
        <w:rPr>
          <w:rFonts w:ascii="Arial" w:hAnsi="Arial" w:cs="Arial"/>
          <w:sz w:val="24"/>
        </w:rPr>
        <w:t>CO2 Price</w:t>
      </w:r>
      <w:r w:rsidR="003343DE" w:rsidRPr="00C534A9">
        <w:rPr>
          <w:rFonts w:ascii="Arial" w:hAnsi="Arial" w:cs="Arial"/>
          <w:sz w:val="24"/>
        </w:rPr>
        <w:t xml:space="preserve"> Assumptions</w:t>
      </w:r>
      <w:bookmarkEnd w:id="4"/>
    </w:p>
    <w:p w:rsidR="00333C71" w:rsidRPr="00C534A9" w:rsidRDefault="003343DE" w:rsidP="00C534A9">
      <w:pPr>
        <w:jc w:val="both"/>
        <w:rPr>
          <w:rFonts w:ascii="Arial" w:hAnsi="Arial" w:cs="Arial"/>
          <w:sz w:val="22"/>
        </w:rPr>
      </w:pPr>
      <w:r w:rsidRPr="00C534A9">
        <w:rPr>
          <w:rFonts w:ascii="Arial" w:hAnsi="Arial" w:cs="Arial"/>
          <w:sz w:val="22"/>
        </w:rPr>
        <w:t xml:space="preserve">Each sub-project is expected to contribute to reducing Barbados’ carbon emissions. In order to compare the potential benefits of reducing carbon emissions with the cost of doing so, a carbon price must be set. </w:t>
      </w:r>
    </w:p>
    <w:p w:rsidR="003343DE" w:rsidRPr="00C534A9" w:rsidRDefault="003343DE" w:rsidP="00C534A9">
      <w:pPr>
        <w:jc w:val="both"/>
        <w:rPr>
          <w:rFonts w:ascii="Arial" w:hAnsi="Arial" w:cs="Arial"/>
          <w:sz w:val="22"/>
        </w:rPr>
      </w:pPr>
      <w:r w:rsidRPr="00C534A9">
        <w:rPr>
          <w:rFonts w:ascii="Arial" w:hAnsi="Arial" w:cs="Arial"/>
          <w:sz w:val="22"/>
        </w:rPr>
        <w:t xml:space="preserve">The most prominent publicly set price for carbon is through the European emissions trading scheme. Table 2.2 below shows a 10-year history of the annual average price of carbon in euros per metric </w:t>
      </w:r>
      <w:proofErr w:type="spellStart"/>
      <w:r w:rsidRPr="00C534A9">
        <w:rPr>
          <w:rFonts w:ascii="Arial" w:hAnsi="Arial" w:cs="Arial"/>
          <w:sz w:val="22"/>
        </w:rPr>
        <w:t>tonne</w:t>
      </w:r>
      <w:proofErr w:type="spellEnd"/>
      <w:r w:rsidRPr="00C534A9">
        <w:rPr>
          <w:rFonts w:ascii="Arial" w:hAnsi="Arial" w:cs="Arial"/>
          <w:sz w:val="22"/>
        </w:rPr>
        <w:t xml:space="preserve"> and the conversion to calculate the price in constant 2015 US$ per short ton.</w:t>
      </w:r>
    </w:p>
    <w:p w:rsidR="003343DE" w:rsidRPr="00C534A9" w:rsidRDefault="003343DE" w:rsidP="00D132E2">
      <w:pPr>
        <w:pStyle w:val="Caption"/>
        <w:jc w:val="both"/>
      </w:pPr>
      <w:bookmarkStart w:id="5" w:name="_Toc463508960"/>
      <w:r w:rsidRPr="00C534A9">
        <w:rPr>
          <w:rFonts w:ascii="Arial" w:hAnsi="Arial" w:cs="Arial"/>
          <w:sz w:val="22"/>
        </w:rPr>
        <w:t xml:space="preserve">Table 2.2: </w:t>
      </w:r>
      <w:r w:rsidR="00337FAF" w:rsidRPr="00C534A9">
        <w:rPr>
          <w:rFonts w:ascii="Arial" w:hAnsi="Arial" w:cs="Arial"/>
          <w:sz w:val="22"/>
        </w:rPr>
        <w:t xml:space="preserve">Annual Average </w:t>
      </w:r>
      <w:r w:rsidRPr="00C534A9">
        <w:rPr>
          <w:rFonts w:ascii="Arial" w:hAnsi="Arial" w:cs="Arial"/>
          <w:sz w:val="22"/>
        </w:rPr>
        <w:t>European carbon price (2006-2015)</w:t>
      </w:r>
      <w:bookmarkEnd w:id="5"/>
    </w:p>
    <w:tbl>
      <w:tblPr>
        <w:tblW w:w="8120" w:type="dxa"/>
        <w:tblInd w:w="93" w:type="dxa"/>
        <w:tblLook w:val="04A0" w:firstRow="1" w:lastRow="0" w:firstColumn="1" w:lastColumn="0" w:noHBand="0" w:noVBand="1"/>
      </w:tblPr>
      <w:tblGrid>
        <w:gridCol w:w="920"/>
        <w:gridCol w:w="1120"/>
        <w:gridCol w:w="1080"/>
        <w:gridCol w:w="1080"/>
        <w:gridCol w:w="1180"/>
        <w:gridCol w:w="1320"/>
        <w:gridCol w:w="1420"/>
      </w:tblGrid>
      <w:tr w:rsidR="003343DE" w:rsidRPr="00552328" w:rsidTr="00D132E2">
        <w:trPr>
          <w:trHeight w:val="20"/>
        </w:trPr>
        <w:tc>
          <w:tcPr>
            <w:tcW w:w="920" w:type="dxa"/>
            <w:tcBorders>
              <w:top w:val="nil"/>
              <w:left w:val="nil"/>
              <w:bottom w:val="nil"/>
              <w:right w:val="nil"/>
            </w:tcBorders>
            <w:shd w:val="clear" w:color="auto" w:fill="auto"/>
            <w:vAlign w:val="bottom"/>
            <w:hideMark/>
          </w:tcPr>
          <w:p w:rsidR="003343DE" w:rsidRPr="00552328" w:rsidRDefault="003343DE" w:rsidP="00C534A9">
            <w:pPr>
              <w:spacing w:after="0" w:line="240" w:lineRule="auto"/>
              <w:jc w:val="both"/>
              <w:rPr>
                <w:rFonts w:ascii="Arial" w:eastAsia="Times New Roman" w:hAnsi="Arial" w:cs="Arial"/>
                <w:color w:val="000000"/>
                <w:sz w:val="18"/>
                <w:szCs w:val="24"/>
              </w:rPr>
            </w:pPr>
          </w:p>
        </w:tc>
        <w:tc>
          <w:tcPr>
            <w:tcW w:w="1120" w:type="dxa"/>
            <w:tcBorders>
              <w:top w:val="nil"/>
              <w:left w:val="nil"/>
              <w:bottom w:val="nil"/>
              <w:right w:val="nil"/>
            </w:tcBorders>
            <w:shd w:val="clear" w:color="auto" w:fill="auto"/>
            <w:vAlign w:val="bottom"/>
            <w:hideMark/>
          </w:tcPr>
          <w:p w:rsidR="003343DE" w:rsidRPr="00E27F81" w:rsidRDefault="003343DE" w:rsidP="00C534A9">
            <w:pPr>
              <w:spacing w:after="0" w:line="240" w:lineRule="auto"/>
              <w:jc w:val="both"/>
              <w:rPr>
                <w:rFonts w:ascii="Arial" w:eastAsia="Times New Roman" w:hAnsi="Arial" w:cs="Arial"/>
                <w:color w:val="000000"/>
                <w:sz w:val="18"/>
                <w:szCs w:val="24"/>
              </w:rPr>
            </w:pPr>
            <w:r w:rsidRPr="00552328">
              <w:rPr>
                <w:rFonts w:ascii="Arial" w:eastAsia="Times New Roman" w:hAnsi="Arial" w:cs="Arial"/>
                <w:color w:val="000000"/>
                <w:sz w:val="18"/>
                <w:szCs w:val="24"/>
              </w:rPr>
              <w:t>Euro Carbon Price</w:t>
            </w:r>
          </w:p>
        </w:tc>
        <w:tc>
          <w:tcPr>
            <w:tcW w:w="1080" w:type="dxa"/>
            <w:tcBorders>
              <w:top w:val="nil"/>
              <w:left w:val="nil"/>
              <w:bottom w:val="nil"/>
              <w:right w:val="nil"/>
            </w:tcBorders>
            <w:shd w:val="clear" w:color="auto" w:fill="auto"/>
            <w:vAlign w:val="bottom"/>
            <w:hideMark/>
          </w:tcPr>
          <w:p w:rsidR="003343DE" w:rsidRPr="00E27F81" w:rsidRDefault="003343DE" w:rsidP="00C534A9">
            <w:pPr>
              <w:spacing w:after="0" w:line="240" w:lineRule="auto"/>
              <w:jc w:val="both"/>
              <w:rPr>
                <w:rFonts w:ascii="Arial" w:eastAsia="Times New Roman" w:hAnsi="Arial" w:cs="Arial"/>
                <w:color w:val="595959"/>
                <w:sz w:val="18"/>
                <w:szCs w:val="24"/>
              </w:rPr>
            </w:pPr>
            <w:r w:rsidRPr="00E27F81">
              <w:rPr>
                <w:rFonts w:ascii="Arial" w:eastAsia="Times New Roman" w:hAnsi="Arial" w:cs="Arial"/>
                <w:color w:val="595959"/>
                <w:sz w:val="18"/>
                <w:szCs w:val="24"/>
              </w:rPr>
              <w:t>Exchange Rate</w:t>
            </w:r>
          </w:p>
        </w:tc>
        <w:tc>
          <w:tcPr>
            <w:tcW w:w="1080" w:type="dxa"/>
            <w:tcBorders>
              <w:top w:val="nil"/>
              <w:left w:val="nil"/>
              <w:bottom w:val="nil"/>
              <w:right w:val="nil"/>
            </w:tcBorders>
            <w:shd w:val="clear" w:color="auto" w:fill="auto"/>
            <w:vAlign w:val="bottom"/>
            <w:hideMark/>
          </w:tcPr>
          <w:p w:rsidR="003343DE" w:rsidRPr="00E27F81" w:rsidRDefault="003343DE" w:rsidP="00C534A9">
            <w:pPr>
              <w:spacing w:after="0" w:line="240" w:lineRule="auto"/>
              <w:jc w:val="both"/>
              <w:rPr>
                <w:rFonts w:ascii="Arial" w:eastAsia="Times New Roman" w:hAnsi="Arial" w:cs="Arial"/>
                <w:color w:val="000000"/>
                <w:sz w:val="18"/>
                <w:szCs w:val="24"/>
              </w:rPr>
            </w:pPr>
            <w:r w:rsidRPr="00E27F81">
              <w:rPr>
                <w:rFonts w:ascii="Arial" w:eastAsia="Times New Roman" w:hAnsi="Arial" w:cs="Arial"/>
                <w:color w:val="000000"/>
                <w:sz w:val="18"/>
                <w:szCs w:val="24"/>
              </w:rPr>
              <w:t>US$ Carbon Price</w:t>
            </w:r>
          </w:p>
        </w:tc>
        <w:tc>
          <w:tcPr>
            <w:tcW w:w="1180" w:type="dxa"/>
            <w:tcBorders>
              <w:top w:val="nil"/>
              <w:left w:val="nil"/>
              <w:bottom w:val="nil"/>
              <w:right w:val="nil"/>
            </w:tcBorders>
            <w:shd w:val="clear" w:color="auto" w:fill="auto"/>
            <w:vAlign w:val="bottom"/>
            <w:hideMark/>
          </w:tcPr>
          <w:p w:rsidR="003343DE" w:rsidRPr="00E27F81" w:rsidRDefault="003343DE" w:rsidP="00C534A9">
            <w:pPr>
              <w:spacing w:after="0" w:line="240" w:lineRule="auto"/>
              <w:jc w:val="both"/>
              <w:rPr>
                <w:rFonts w:ascii="Arial" w:eastAsia="Times New Roman" w:hAnsi="Arial" w:cs="Arial"/>
                <w:color w:val="000000"/>
                <w:sz w:val="18"/>
                <w:szCs w:val="24"/>
              </w:rPr>
            </w:pPr>
            <w:r w:rsidRPr="00E27F81">
              <w:rPr>
                <w:rFonts w:ascii="Arial" w:eastAsia="Times New Roman" w:hAnsi="Arial" w:cs="Arial"/>
                <w:color w:val="000000"/>
                <w:sz w:val="18"/>
                <w:szCs w:val="24"/>
              </w:rPr>
              <w:t>Converted to English tons</w:t>
            </w:r>
          </w:p>
        </w:tc>
        <w:tc>
          <w:tcPr>
            <w:tcW w:w="1320" w:type="dxa"/>
            <w:tcBorders>
              <w:top w:val="nil"/>
              <w:left w:val="nil"/>
              <w:bottom w:val="nil"/>
              <w:right w:val="nil"/>
            </w:tcBorders>
            <w:shd w:val="clear" w:color="auto" w:fill="auto"/>
            <w:vAlign w:val="bottom"/>
            <w:hideMark/>
          </w:tcPr>
          <w:p w:rsidR="003343DE" w:rsidRPr="00E27F81" w:rsidRDefault="003343DE" w:rsidP="00C534A9">
            <w:pPr>
              <w:spacing w:after="0" w:line="240" w:lineRule="auto"/>
              <w:jc w:val="both"/>
              <w:rPr>
                <w:rFonts w:ascii="Arial" w:eastAsia="Times New Roman" w:hAnsi="Arial" w:cs="Arial"/>
                <w:color w:val="595959"/>
                <w:sz w:val="18"/>
                <w:szCs w:val="24"/>
              </w:rPr>
            </w:pPr>
            <w:r w:rsidRPr="00E27F81">
              <w:rPr>
                <w:rFonts w:ascii="Arial" w:eastAsia="Times New Roman" w:hAnsi="Arial" w:cs="Arial"/>
                <w:color w:val="595959"/>
                <w:sz w:val="18"/>
                <w:szCs w:val="24"/>
              </w:rPr>
              <w:t>Convert to constant US$</w:t>
            </w:r>
          </w:p>
        </w:tc>
        <w:tc>
          <w:tcPr>
            <w:tcW w:w="1420" w:type="dxa"/>
            <w:tcBorders>
              <w:top w:val="nil"/>
              <w:left w:val="nil"/>
              <w:bottom w:val="nil"/>
              <w:right w:val="nil"/>
            </w:tcBorders>
            <w:shd w:val="clear" w:color="auto" w:fill="auto"/>
            <w:vAlign w:val="bottom"/>
            <w:hideMark/>
          </w:tcPr>
          <w:p w:rsidR="003343DE" w:rsidRPr="00E27F81" w:rsidRDefault="003343DE" w:rsidP="00C534A9">
            <w:pPr>
              <w:spacing w:after="0" w:line="240" w:lineRule="auto"/>
              <w:jc w:val="both"/>
              <w:rPr>
                <w:rFonts w:ascii="Arial" w:eastAsia="Times New Roman" w:hAnsi="Arial" w:cs="Arial"/>
                <w:b/>
                <w:bCs/>
                <w:color w:val="000000"/>
                <w:sz w:val="18"/>
                <w:szCs w:val="24"/>
              </w:rPr>
            </w:pPr>
            <w:r w:rsidRPr="00E27F81">
              <w:rPr>
                <w:rFonts w:ascii="Arial" w:eastAsia="Times New Roman" w:hAnsi="Arial" w:cs="Arial"/>
                <w:b/>
                <w:bCs/>
                <w:color w:val="000000"/>
                <w:sz w:val="18"/>
                <w:szCs w:val="24"/>
              </w:rPr>
              <w:t>Constant US$ Carbon Price</w:t>
            </w:r>
          </w:p>
        </w:tc>
      </w:tr>
      <w:tr w:rsidR="003343DE" w:rsidRPr="00552328" w:rsidTr="00D132E2">
        <w:trPr>
          <w:trHeight w:val="20"/>
        </w:trPr>
        <w:tc>
          <w:tcPr>
            <w:tcW w:w="920" w:type="dxa"/>
            <w:tcBorders>
              <w:top w:val="nil"/>
              <w:left w:val="nil"/>
              <w:bottom w:val="nil"/>
              <w:right w:val="nil"/>
            </w:tcBorders>
            <w:shd w:val="clear" w:color="auto" w:fill="auto"/>
            <w:vAlign w:val="bottom"/>
            <w:hideMark/>
          </w:tcPr>
          <w:p w:rsidR="003343DE" w:rsidRPr="00552328" w:rsidRDefault="003343DE" w:rsidP="00C534A9">
            <w:pPr>
              <w:spacing w:after="0" w:line="240" w:lineRule="auto"/>
              <w:jc w:val="both"/>
              <w:rPr>
                <w:rFonts w:ascii="Arial" w:eastAsia="Times New Roman" w:hAnsi="Arial" w:cs="Arial"/>
                <w:color w:val="000000"/>
                <w:sz w:val="18"/>
                <w:szCs w:val="24"/>
              </w:rPr>
            </w:pPr>
          </w:p>
        </w:tc>
        <w:tc>
          <w:tcPr>
            <w:tcW w:w="1120" w:type="dxa"/>
            <w:tcBorders>
              <w:top w:val="nil"/>
              <w:left w:val="nil"/>
              <w:bottom w:val="nil"/>
              <w:right w:val="nil"/>
            </w:tcBorders>
            <w:shd w:val="clear" w:color="auto" w:fill="auto"/>
            <w:vAlign w:val="bottom"/>
            <w:hideMark/>
          </w:tcPr>
          <w:p w:rsidR="003343DE" w:rsidRPr="00E27F81" w:rsidRDefault="003343DE" w:rsidP="00C534A9">
            <w:pPr>
              <w:spacing w:after="0" w:line="240" w:lineRule="auto"/>
              <w:jc w:val="both"/>
              <w:rPr>
                <w:rFonts w:ascii="Arial" w:eastAsia="Times New Roman" w:hAnsi="Arial" w:cs="Arial"/>
                <w:color w:val="000000"/>
                <w:sz w:val="18"/>
                <w:szCs w:val="24"/>
                <w:u w:val="single"/>
              </w:rPr>
            </w:pPr>
            <w:r w:rsidRPr="00552328">
              <w:rPr>
                <w:rFonts w:ascii="Arial" w:eastAsia="Times New Roman" w:hAnsi="Arial" w:cs="Arial"/>
                <w:color w:val="000000"/>
                <w:sz w:val="18"/>
                <w:szCs w:val="24"/>
                <w:u w:val="single"/>
              </w:rPr>
              <w:t xml:space="preserve">(EUR / </w:t>
            </w:r>
            <w:proofErr w:type="spellStart"/>
            <w:r w:rsidRPr="00552328">
              <w:rPr>
                <w:rFonts w:ascii="Arial" w:eastAsia="Times New Roman" w:hAnsi="Arial" w:cs="Arial"/>
                <w:color w:val="000000"/>
                <w:sz w:val="18"/>
                <w:szCs w:val="24"/>
                <w:u w:val="single"/>
              </w:rPr>
              <w:t>tonne</w:t>
            </w:r>
            <w:proofErr w:type="spellEnd"/>
            <w:r w:rsidRPr="00552328">
              <w:rPr>
                <w:rFonts w:ascii="Arial" w:eastAsia="Times New Roman" w:hAnsi="Arial" w:cs="Arial"/>
                <w:color w:val="000000"/>
                <w:sz w:val="18"/>
                <w:szCs w:val="24"/>
                <w:u w:val="single"/>
              </w:rPr>
              <w:t>)</w:t>
            </w:r>
          </w:p>
        </w:tc>
        <w:tc>
          <w:tcPr>
            <w:tcW w:w="1080" w:type="dxa"/>
            <w:tcBorders>
              <w:top w:val="nil"/>
              <w:left w:val="nil"/>
              <w:bottom w:val="nil"/>
              <w:right w:val="nil"/>
            </w:tcBorders>
            <w:shd w:val="clear" w:color="auto" w:fill="auto"/>
            <w:vAlign w:val="bottom"/>
            <w:hideMark/>
          </w:tcPr>
          <w:p w:rsidR="003343DE" w:rsidRPr="00E27F81" w:rsidRDefault="003343DE" w:rsidP="00C534A9">
            <w:pPr>
              <w:spacing w:after="0" w:line="240" w:lineRule="auto"/>
              <w:jc w:val="both"/>
              <w:rPr>
                <w:rFonts w:ascii="Arial" w:eastAsia="Times New Roman" w:hAnsi="Arial" w:cs="Arial"/>
                <w:color w:val="595959"/>
                <w:sz w:val="18"/>
                <w:szCs w:val="24"/>
                <w:u w:val="single"/>
              </w:rPr>
            </w:pPr>
            <w:r w:rsidRPr="00E27F81">
              <w:rPr>
                <w:rFonts w:ascii="Arial" w:eastAsia="Times New Roman" w:hAnsi="Arial" w:cs="Arial"/>
                <w:color w:val="595959"/>
                <w:sz w:val="18"/>
                <w:szCs w:val="24"/>
                <w:u w:val="single"/>
              </w:rPr>
              <w:t>(US$ / EUR)</w:t>
            </w:r>
          </w:p>
        </w:tc>
        <w:tc>
          <w:tcPr>
            <w:tcW w:w="1080" w:type="dxa"/>
            <w:tcBorders>
              <w:top w:val="nil"/>
              <w:left w:val="nil"/>
              <w:bottom w:val="nil"/>
              <w:right w:val="nil"/>
            </w:tcBorders>
            <w:shd w:val="clear" w:color="auto" w:fill="auto"/>
            <w:vAlign w:val="bottom"/>
            <w:hideMark/>
          </w:tcPr>
          <w:p w:rsidR="003343DE" w:rsidRPr="00E27F81" w:rsidRDefault="003343DE" w:rsidP="00C534A9">
            <w:pPr>
              <w:spacing w:after="0" w:line="240" w:lineRule="auto"/>
              <w:jc w:val="both"/>
              <w:rPr>
                <w:rFonts w:ascii="Arial" w:eastAsia="Times New Roman" w:hAnsi="Arial" w:cs="Arial"/>
                <w:color w:val="000000"/>
                <w:sz w:val="18"/>
                <w:szCs w:val="24"/>
                <w:u w:val="single"/>
              </w:rPr>
            </w:pPr>
            <w:r w:rsidRPr="00E27F81">
              <w:rPr>
                <w:rFonts w:ascii="Arial" w:eastAsia="Times New Roman" w:hAnsi="Arial" w:cs="Arial"/>
                <w:color w:val="000000"/>
                <w:sz w:val="18"/>
                <w:szCs w:val="24"/>
                <w:u w:val="single"/>
              </w:rPr>
              <w:t xml:space="preserve">(US$ / </w:t>
            </w:r>
            <w:proofErr w:type="spellStart"/>
            <w:r w:rsidRPr="00E27F81">
              <w:rPr>
                <w:rFonts w:ascii="Arial" w:eastAsia="Times New Roman" w:hAnsi="Arial" w:cs="Arial"/>
                <w:color w:val="000000"/>
                <w:sz w:val="18"/>
                <w:szCs w:val="24"/>
                <w:u w:val="single"/>
              </w:rPr>
              <w:t>Tonne</w:t>
            </w:r>
            <w:proofErr w:type="spellEnd"/>
            <w:r w:rsidRPr="00E27F81">
              <w:rPr>
                <w:rFonts w:ascii="Arial" w:eastAsia="Times New Roman" w:hAnsi="Arial" w:cs="Arial"/>
                <w:color w:val="000000"/>
                <w:sz w:val="18"/>
                <w:szCs w:val="24"/>
                <w:u w:val="single"/>
              </w:rPr>
              <w:t>)</w:t>
            </w:r>
          </w:p>
        </w:tc>
        <w:tc>
          <w:tcPr>
            <w:tcW w:w="1180" w:type="dxa"/>
            <w:tcBorders>
              <w:top w:val="nil"/>
              <w:left w:val="nil"/>
              <w:bottom w:val="nil"/>
              <w:right w:val="nil"/>
            </w:tcBorders>
            <w:shd w:val="clear" w:color="auto" w:fill="auto"/>
            <w:vAlign w:val="bottom"/>
            <w:hideMark/>
          </w:tcPr>
          <w:p w:rsidR="003343DE" w:rsidRPr="00E27F81" w:rsidRDefault="003343DE" w:rsidP="00C534A9">
            <w:pPr>
              <w:spacing w:after="0" w:line="240" w:lineRule="auto"/>
              <w:jc w:val="both"/>
              <w:rPr>
                <w:rFonts w:ascii="Arial" w:eastAsia="Times New Roman" w:hAnsi="Arial" w:cs="Arial"/>
                <w:color w:val="000000"/>
                <w:sz w:val="18"/>
                <w:szCs w:val="24"/>
                <w:u w:val="single"/>
              </w:rPr>
            </w:pPr>
            <w:r w:rsidRPr="00E27F81">
              <w:rPr>
                <w:rFonts w:ascii="Arial" w:eastAsia="Times New Roman" w:hAnsi="Arial" w:cs="Arial"/>
                <w:color w:val="000000"/>
                <w:sz w:val="18"/>
                <w:szCs w:val="24"/>
                <w:u w:val="single"/>
              </w:rPr>
              <w:t>(US$ / ton)</w:t>
            </w:r>
          </w:p>
        </w:tc>
        <w:tc>
          <w:tcPr>
            <w:tcW w:w="1320" w:type="dxa"/>
            <w:tcBorders>
              <w:top w:val="nil"/>
              <w:left w:val="nil"/>
              <w:bottom w:val="nil"/>
              <w:right w:val="nil"/>
            </w:tcBorders>
            <w:shd w:val="clear" w:color="auto" w:fill="auto"/>
            <w:vAlign w:val="bottom"/>
            <w:hideMark/>
          </w:tcPr>
          <w:p w:rsidR="003343DE" w:rsidRPr="00E27F81" w:rsidRDefault="003343DE" w:rsidP="00C534A9">
            <w:pPr>
              <w:spacing w:after="0" w:line="240" w:lineRule="auto"/>
              <w:jc w:val="both"/>
              <w:rPr>
                <w:rFonts w:ascii="Arial" w:eastAsia="Times New Roman" w:hAnsi="Arial" w:cs="Arial"/>
                <w:color w:val="595959"/>
                <w:sz w:val="18"/>
                <w:szCs w:val="24"/>
                <w:u w:val="single"/>
              </w:rPr>
            </w:pPr>
            <w:r w:rsidRPr="00E27F81">
              <w:rPr>
                <w:rFonts w:ascii="Arial" w:eastAsia="Times New Roman" w:hAnsi="Arial" w:cs="Arial"/>
                <w:color w:val="595959"/>
                <w:sz w:val="18"/>
                <w:szCs w:val="24"/>
                <w:u w:val="single"/>
              </w:rPr>
              <w:t>(US$ CPI deflator)</w:t>
            </w:r>
          </w:p>
        </w:tc>
        <w:tc>
          <w:tcPr>
            <w:tcW w:w="1420" w:type="dxa"/>
            <w:tcBorders>
              <w:top w:val="nil"/>
              <w:left w:val="nil"/>
              <w:bottom w:val="nil"/>
              <w:right w:val="nil"/>
            </w:tcBorders>
            <w:shd w:val="clear" w:color="auto" w:fill="auto"/>
            <w:vAlign w:val="bottom"/>
            <w:hideMark/>
          </w:tcPr>
          <w:p w:rsidR="003343DE" w:rsidRPr="00E27F81" w:rsidRDefault="003343DE" w:rsidP="00C534A9">
            <w:pPr>
              <w:spacing w:after="0" w:line="240" w:lineRule="auto"/>
              <w:jc w:val="both"/>
              <w:rPr>
                <w:rFonts w:ascii="Arial" w:eastAsia="Times New Roman" w:hAnsi="Arial" w:cs="Arial"/>
                <w:b/>
                <w:bCs/>
                <w:color w:val="000000"/>
                <w:sz w:val="18"/>
                <w:szCs w:val="24"/>
                <w:u w:val="single"/>
              </w:rPr>
            </w:pPr>
            <w:r w:rsidRPr="00E27F81">
              <w:rPr>
                <w:rFonts w:ascii="Arial" w:eastAsia="Times New Roman" w:hAnsi="Arial" w:cs="Arial"/>
                <w:b/>
                <w:bCs/>
                <w:color w:val="000000"/>
                <w:sz w:val="18"/>
                <w:szCs w:val="24"/>
                <w:u w:val="single"/>
              </w:rPr>
              <w:t>(2015 US$ / ton)</w:t>
            </w:r>
          </w:p>
        </w:tc>
      </w:tr>
      <w:tr w:rsidR="003343DE" w:rsidRPr="00552328" w:rsidTr="00D132E2">
        <w:trPr>
          <w:trHeight w:val="20"/>
        </w:trPr>
        <w:tc>
          <w:tcPr>
            <w:tcW w:w="920" w:type="dxa"/>
            <w:tcBorders>
              <w:top w:val="nil"/>
              <w:left w:val="nil"/>
              <w:bottom w:val="nil"/>
              <w:right w:val="nil"/>
            </w:tcBorders>
            <w:shd w:val="clear" w:color="auto" w:fill="auto"/>
            <w:noWrap/>
            <w:vAlign w:val="bottom"/>
            <w:hideMark/>
          </w:tcPr>
          <w:p w:rsidR="003343DE" w:rsidRPr="00552328" w:rsidRDefault="003343DE" w:rsidP="00C534A9">
            <w:pPr>
              <w:spacing w:after="0" w:line="240" w:lineRule="auto"/>
              <w:jc w:val="both"/>
              <w:rPr>
                <w:rFonts w:ascii="Arial" w:eastAsia="Times New Roman" w:hAnsi="Arial" w:cs="Arial"/>
                <w:color w:val="000000"/>
                <w:sz w:val="18"/>
                <w:szCs w:val="24"/>
              </w:rPr>
            </w:pPr>
            <w:r w:rsidRPr="00552328">
              <w:rPr>
                <w:rFonts w:ascii="Arial" w:eastAsia="Times New Roman" w:hAnsi="Arial" w:cs="Arial"/>
                <w:color w:val="000000"/>
                <w:sz w:val="18"/>
                <w:szCs w:val="24"/>
              </w:rPr>
              <w:t>2006</w:t>
            </w:r>
          </w:p>
        </w:tc>
        <w:tc>
          <w:tcPr>
            <w:tcW w:w="112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000000"/>
                <w:sz w:val="18"/>
                <w:szCs w:val="24"/>
              </w:rPr>
            </w:pPr>
            <w:r w:rsidRPr="00E27F81">
              <w:rPr>
                <w:rFonts w:ascii="Arial" w:eastAsia="Times New Roman" w:hAnsi="Arial" w:cs="Arial"/>
                <w:color w:val="000000"/>
                <w:sz w:val="18"/>
                <w:szCs w:val="24"/>
              </w:rPr>
              <w:t>16.27</w:t>
            </w:r>
          </w:p>
        </w:tc>
        <w:tc>
          <w:tcPr>
            <w:tcW w:w="108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595959"/>
                <w:sz w:val="18"/>
                <w:szCs w:val="24"/>
              </w:rPr>
            </w:pPr>
            <w:r w:rsidRPr="00E27F81">
              <w:rPr>
                <w:rFonts w:ascii="Arial" w:eastAsia="Times New Roman" w:hAnsi="Arial" w:cs="Arial"/>
                <w:color w:val="595959"/>
                <w:sz w:val="18"/>
                <w:szCs w:val="24"/>
              </w:rPr>
              <w:t>1.25</w:t>
            </w:r>
          </w:p>
        </w:tc>
        <w:tc>
          <w:tcPr>
            <w:tcW w:w="108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000000"/>
                <w:sz w:val="18"/>
                <w:szCs w:val="24"/>
              </w:rPr>
            </w:pPr>
            <w:r w:rsidRPr="00E27F81">
              <w:rPr>
                <w:rFonts w:ascii="Arial" w:eastAsia="Times New Roman" w:hAnsi="Arial" w:cs="Arial"/>
                <w:color w:val="000000"/>
                <w:sz w:val="18"/>
                <w:szCs w:val="24"/>
              </w:rPr>
              <w:t>20.42</w:t>
            </w:r>
          </w:p>
        </w:tc>
        <w:tc>
          <w:tcPr>
            <w:tcW w:w="118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000000"/>
                <w:sz w:val="18"/>
                <w:szCs w:val="24"/>
              </w:rPr>
            </w:pPr>
            <w:r w:rsidRPr="00E27F81">
              <w:rPr>
                <w:rFonts w:ascii="Arial" w:eastAsia="Times New Roman" w:hAnsi="Arial" w:cs="Arial"/>
                <w:color w:val="000000"/>
                <w:sz w:val="18"/>
                <w:szCs w:val="24"/>
              </w:rPr>
              <w:t>18.56</w:t>
            </w:r>
          </w:p>
        </w:tc>
        <w:tc>
          <w:tcPr>
            <w:tcW w:w="132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595959"/>
                <w:sz w:val="18"/>
                <w:szCs w:val="24"/>
              </w:rPr>
            </w:pPr>
            <w:r w:rsidRPr="00E27F81">
              <w:rPr>
                <w:rFonts w:ascii="Arial" w:eastAsia="Times New Roman" w:hAnsi="Arial" w:cs="Arial"/>
                <w:color w:val="595959"/>
                <w:sz w:val="18"/>
                <w:szCs w:val="24"/>
              </w:rPr>
              <w:t>1.18</w:t>
            </w:r>
          </w:p>
        </w:tc>
        <w:tc>
          <w:tcPr>
            <w:tcW w:w="142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b/>
                <w:bCs/>
                <w:color w:val="000000"/>
                <w:sz w:val="18"/>
                <w:szCs w:val="24"/>
              </w:rPr>
            </w:pPr>
            <w:r w:rsidRPr="00E27F81">
              <w:rPr>
                <w:rFonts w:ascii="Arial" w:eastAsia="Times New Roman" w:hAnsi="Arial" w:cs="Arial"/>
                <w:b/>
                <w:bCs/>
                <w:color w:val="000000"/>
                <w:sz w:val="18"/>
                <w:szCs w:val="24"/>
              </w:rPr>
              <w:t>21.82</w:t>
            </w:r>
          </w:p>
        </w:tc>
      </w:tr>
      <w:tr w:rsidR="003343DE" w:rsidRPr="00552328" w:rsidTr="00D132E2">
        <w:trPr>
          <w:trHeight w:val="20"/>
        </w:trPr>
        <w:tc>
          <w:tcPr>
            <w:tcW w:w="920" w:type="dxa"/>
            <w:tcBorders>
              <w:top w:val="nil"/>
              <w:left w:val="nil"/>
              <w:bottom w:val="nil"/>
              <w:right w:val="nil"/>
            </w:tcBorders>
            <w:shd w:val="clear" w:color="auto" w:fill="auto"/>
            <w:noWrap/>
            <w:vAlign w:val="bottom"/>
            <w:hideMark/>
          </w:tcPr>
          <w:p w:rsidR="003343DE" w:rsidRPr="00552328" w:rsidRDefault="003343DE" w:rsidP="00C534A9">
            <w:pPr>
              <w:spacing w:after="0" w:line="240" w:lineRule="auto"/>
              <w:jc w:val="both"/>
              <w:rPr>
                <w:rFonts w:ascii="Arial" w:eastAsia="Times New Roman" w:hAnsi="Arial" w:cs="Arial"/>
                <w:color w:val="000000"/>
                <w:sz w:val="18"/>
                <w:szCs w:val="24"/>
              </w:rPr>
            </w:pPr>
            <w:r w:rsidRPr="00552328">
              <w:rPr>
                <w:rFonts w:ascii="Arial" w:eastAsia="Times New Roman" w:hAnsi="Arial" w:cs="Arial"/>
                <w:color w:val="000000"/>
                <w:sz w:val="18"/>
                <w:szCs w:val="24"/>
              </w:rPr>
              <w:t>2007</w:t>
            </w:r>
          </w:p>
        </w:tc>
        <w:tc>
          <w:tcPr>
            <w:tcW w:w="112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000000"/>
                <w:sz w:val="18"/>
                <w:szCs w:val="24"/>
              </w:rPr>
            </w:pPr>
            <w:r w:rsidRPr="00E27F81">
              <w:rPr>
                <w:rFonts w:ascii="Arial" w:eastAsia="Times New Roman" w:hAnsi="Arial" w:cs="Arial"/>
                <w:color w:val="000000"/>
                <w:sz w:val="18"/>
                <w:szCs w:val="24"/>
              </w:rPr>
              <w:t>14.77</w:t>
            </w:r>
          </w:p>
        </w:tc>
        <w:tc>
          <w:tcPr>
            <w:tcW w:w="108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595959"/>
                <w:sz w:val="18"/>
                <w:szCs w:val="24"/>
              </w:rPr>
            </w:pPr>
            <w:r w:rsidRPr="00E27F81">
              <w:rPr>
                <w:rFonts w:ascii="Arial" w:eastAsia="Times New Roman" w:hAnsi="Arial" w:cs="Arial"/>
                <w:color w:val="595959"/>
                <w:sz w:val="18"/>
                <w:szCs w:val="24"/>
              </w:rPr>
              <w:t>1.37</w:t>
            </w:r>
          </w:p>
        </w:tc>
        <w:tc>
          <w:tcPr>
            <w:tcW w:w="108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000000"/>
                <w:sz w:val="18"/>
                <w:szCs w:val="24"/>
              </w:rPr>
            </w:pPr>
            <w:r w:rsidRPr="00E27F81">
              <w:rPr>
                <w:rFonts w:ascii="Arial" w:eastAsia="Times New Roman" w:hAnsi="Arial" w:cs="Arial"/>
                <w:color w:val="000000"/>
                <w:sz w:val="18"/>
                <w:szCs w:val="24"/>
              </w:rPr>
              <w:t>20.21</w:t>
            </w:r>
          </w:p>
        </w:tc>
        <w:tc>
          <w:tcPr>
            <w:tcW w:w="118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000000"/>
                <w:sz w:val="18"/>
                <w:szCs w:val="24"/>
              </w:rPr>
            </w:pPr>
            <w:r w:rsidRPr="00E27F81">
              <w:rPr>
                <w:rFonts w:ascii="Arial" w:eastAsia="Times New Roman" w:hAnsi="Arial" w:cs="Arial"/>
                <w:color w:val="000000"/>
                <w:sz w:val="18"/>
                <w:szCs w:val="24"/>
              </w:rPr>
              <w:t>18.38</w:t>
            </w:r>
          </w:p>
        </w:tc>
        <w:tc>
          <w:tcPr>
            <w:tcW w:w="132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595959"/>
                <w:sz w:val="18"/>
                <w:szCs w:val="24"/>
              </w:rPr>
            </w:pPr>
            <w:r w:rsidRPr="00E27F81">
              <w:rPr>
                <w:rFonts w:ascii="Arial" w:eastAsia="Times New Roman" w:hAnsi="Arial" w:cs="Arial"/>
                <w:color w:val="595959"/>
                <w:sz w:val="18"/>
                <w:szCs w:val="24"/>
              </w:rPr>
              <w:t>1.14</w:t>
            </w:r>
          </w:p>
        </w:tc>
        <w:tc>
          <w:tcPr>
            <w:tcW w:w="142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b/>
                <w:bCs/>
                <w:color w:val="000000"/>
                <w:sz w:val="18"/>
                <w:szCs w:val="24"/>
              </w:rPr>
            </w:pPr>
            <w:r w:rsidRPr="00E27F81">
              <w:rPr>
                <w:rFonts w:ascii="Arial" w:eastAsia="Times New Roman" w:hAnsi="Arial" w:cs="Arial"/>
                <w:b/>
                <w:bCs/>
                <w:color w:val="000000"/>
                <w:sz w:val="18"/>
                <w:szCs w:val="24"/>
              </w:rPr>
              <w:t>21.01</w:t>
            </w:r>
          </w:p>
        </w:tc>
      </w:tr>
      <w:tr w:rsidR="003343DE" w:rsidRPr="00552328" w:rsidTr="00D132E2">
        <w:trPr>
          <w:trHeight w:val="20"/>
        </w:trPr>
        <w:tc>
          <w:tcPr>
            <w:tcW w:w="920" w:type="dxa"/>
            <w:tcBorders>
              <w:top w:val="nil"/>
              <w:left w:val="nil"/>
              <w:bottom w:val="nil"/>
              <w:right w:val="nil"/>
            </w:tcBorders>
            <w:shd w:val="clear" w:color="auto" w:fill="auto"/>
            <w:noWrap/>
            <w:vAlign w:val="bottom"/>
            <w:hideMark/>
          </w:tcPr>
          <w:p w:rsidR="003343DE" w:rsidRPr="00552328" w:rsidRDefault="003343DE" w:rsidP="00C534A9">
            <w:pPr>
              <w:spacing w:after="0" w:line="240" w:lineRule="auto"/>
              <w:jc w:val="both"/>
              <w:rPr>
                <w:rFonts w:ascii="Arial" w:eastAsia="Times New Roman" w:hAnsi="Arial" w:cs="Arial"/>
                <w:color w:val="000000"/>
                <w:sz w:val="18"/>
                <w:szCs w:val="24"/>
              </w:rPr>
            </w:pPr>
            <w:r w:rsidRPr="00552328">
              <w:rPr>
                <w:rFonts w:ascii="Arial" w:eastAsia="Times New Roman" w:hAnsi="Arial" w:cs="Arial"/>
                <w:color w:val="000000"/>
                <w:sz w:val="18"/>
                <w:szCs w:val="24"/>
              </w:rPr>
              <w:t>2008</w:t>
            </w:r>
          </w:p>
        </w:tc>
        <w:tc>
          <w:tcPr>
            <w:tcW w:w="112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000000"/>
                <w:sz w:val="18"/>
                <w:szCs w:val="24"/>
              </w:rPr>
            </w:pPr>
            <w:r w:rsidRPr="00E27F81">
              <w:rPr>
                <w:rFonts w:ascii="Arial" w:eastAsia="Times New Roman" w:hAnsi="Arial" w:cs="Arial"/>
                <w:color w:val="000000"/>
                <w:sz w:val="18"/>
                <w:szCs w:val="24"/>
              </w:rPr>
              <w:t>21.67</w:t>
            </w:r>
          </w:p>
        </w:tc>
        <w:tc>
          <w:tcPr>
            <w:tcW w:w="108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595959"/>
                <w:sz w:val="18"/>
                <w:szCs w:val="24"/>
              </w:rPr>
            </w:pPr>
            <w:r w:rsidRPr="00E27F81">
              <w:rPr>
                <w:rFonts w:ascii="Arial" w:eastAsia="Times New Roman" w:hAnsi="Arial" w:cs="Arial"/>
                <w:color w:val="595959"/>
                <w:sz w:val="18"/>
                <w:szCs w:val="24"/>
              </w:rPr>
              <w:t>1.46</w:t>
            </w:r>
          </w:p>
        </w:tc>
        <w:tc>
          <w:tcPr>
            <w:tcW w:w="108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000000"/>
                <w:sz w:val="18"/>
                <w:szCs w:val="24"/>
              </w:rPr>
            </w:pPr>
            <w:r w:rsidRPr="00E27F81">
              <w:rPr>
                <w:rFonts w:ascii="Arial" w:eastAsia="Times New Roman" w:hAnsi="Arial" w:cs="Arial"/>
                <w:color w:val="000000"/>
                <w:sz w:val="18"/>
                <w:szCs w:val="24"/>
              </w:rPr>
              <w:t>31.71</w:t>
            </w:r>
          </w:p>
        </w:tc>
        <w:tc>
          <w:tcPr>
            <w:tcW w:w="118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000000"/>
                <w:sz w:val="18"/>
                <w:szCs w:val="24"/>
              </w:rPr>
            </w:pPr>
            <w:r w:rsidRPr="00E27F81">
              <w:rPr>
                <w:rFonts w:ascii="Arial" w:eastAsia="Times New Roman" w:hAnsi="Arial" w:cs="Arial"/>
                <w:color w:val="000000"/>
                <w:sz w:val="18"/>
                <w:szCs w:val="24"/>
              </w:rPr>
              <w:t>28.83</w:t>
            </w:r>
          </w:p>
        </w:tc>
        <w:tc>
          <w:tcPr>
            <w:tcW w:w="132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595959"/>
                <w:sz w:val="18"/>
                <w:szCs w:val="24"/>
              </w:rPr>
            </w:pPr>
            <w:r w:rsidRPr="00E27F81">
              <w:rPr>
                <w:rFonts w:ascii="Arial" w:eastAsia="Times New Roman" w:hAnsi="Arial" w:cs="Arial"/>
                <w:color w:val="595959"/>
                <w:sz w:val="18"/>
                <w:szCs w:val="24"/>
              </w:rPr>
              <w:t>1.10</w:t>
            </w:r>
          </w:p>
        </w:tc>
        <w:tc>
          <w:tcPr>
            <w:tcW w:w="142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b/>
                <w:bCs/>
                <w:color w:val="000000"/>
                <w:sz w:val="18"/>
                <w:szCs w:val="24"/>
              </w:rPr>
            </w:pPr>
            <w:r w:rsidRPr="00E27F81">
              <w:rPr>
                <w:rFonts w:ascii="Arial" w:eastAsia="Times New Roman" w:hAnsi="Arial" w:cs="Arial"/>
                <w:b/>
                <w:bCs/>
                <w:color w:val="000000"/>
                <w:sz w:val="18"/>
                <w:szCs w:val="24"/>
              </w:rPr>
              <w:t>31.74</w:t>
            </w:r>
          </w:p>
        </w:tc>
      </w:tr>
      <w:tr w:rsidR="003343DE" w:rsidRPr="00552328" w:rsidTr="00D132E2">
        <w:trPr>
          <w:trHeight w:val="20"/>
        </w:trPr>
        <w:tc>
          <w:tcPr>
            <w:tcW w:w="920" w:type="dxa"/>
            <w:tcBorders>
              <w:top w:val="nil"/>
              <w:left w:val="nil"/>
              <w:bottom w:val="nil"/>
              <w:right w:val="nil"/>
            </w:tcBorders>
            <w:shd w:val="clear" w:color="auto" w:fill="auto"/>
            <w:noWrap/>
            <w:vAlign w:val="bottom"/>
            <w:hideMark/>
          </w:tcPr>
          <w:p w:rsidR="003343DE" w:rsidRPr="00552328" w:rsidRDefault="003343DE" w:rsidP="00C534A9">
            <w:pPr>
              <w:spacing w:after="0" w:line="240" w:lineRule="auto"/>
              <w:jc w:val="both"/>
              <w:rPr>
                <w:rFonts w:ascii="Arial" w:eastAsia="Times New Roman" w:hAnsi="Arial" w:cs="Arial"/>
                <w:color w:val="000000"/>
                <w:sz w:val="18"/>
                <w:szCs w:val="24"/>
              </w:rPr>
            </w:pPr>
            <w:r w:rsidRPr="00552328">
              <w:rPr>
                <w:rFonts w:ascii="Arial" w:eastAsia="Times New Roman" w:hAnsi="Arial" w:cs="Arial"/>
                <w:color w:val="000000"/>
                <w:sz w:val="18"/>
                <w:szCs w:val="24"/>
              </w:rPr>
              <w:t>2009</w:t>
            </w:r>
          </w:p>
        </w:tc>
        <w:tc>
          <w:tcPr>
            <w:tcW w:w="112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000000"/>
                <w:sz w:val="18"/>
                <w:szCs w:val="24"/>
              </w:rPr>
            </w:pPr>
            <w:r w:rsidRPr="00E27F81">
              <w:rPr>
                <w:rFonts w:ascii="Arial" w:eastAsia="Times New Roman" w:hAnsi="Arial" w:cs="Arial"/>
                <w:color w:val="000000"/>
                <w:sz w:val="18"/>
                <w:szCs w:val="24"/>
              </w:rPr>
              <w:t>12.65</w:t>
            </w:r>
          </w:p>
        </w:tc>
        <w:tc>
          <w:tcPr>
            <w:tcW w:w="108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595959"/>
                <w:sz w:val="18"/>
                <w:szCs w:val="24"/>
              </w:rPr>
            </w:pPr>
            <w:r w:rsidRPr="00E27F81">
              <w:rPr>
                <w:rFonts w:ascii="Arial" w:eastAsia="Times New Roman" w:hAnsi="Arial" w:cs="Arial"/>
                <w:color w:val="595959"/>
                <w:sz w:val="18"/>
                <w:szCs w:val="24"/>
              </w:rPr>
              <w:t>1.39</w:t>
            </w:r>
          </w:p>
        </w:tc>
        <w:tc>
          <w:tcPr>
            <w:tcW w:w="108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000000"/>
                <w:sz w:val="18"/>
                <w:szCs w:val="24"/>
              </w:rPr>
            </w:pPr>
            <w:r w:rsidRPr="00E27F81">
              <w:rPr>
                <w:rFonts w:ascii="Arial" w:eastAsia="Times New Roman" w:hAnsi="Arial" w:cs="Arial"/>
                <w:color w:val="000000"/>
                <w:sz w:val="18"/>
                <w:szCs w:val="24"/>
              </w:rPr>
              <w:t>17.59</w:t>
            </w:r>
          </w:p>
        </w:tc>
        <w:tc>
          <w:tcPr>
            <w:tcW w:w="118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000000"/>
                <w:sz w:val="18"/>
                <w:szCs w:val="24"/>
              </w:rPr>
            </w:pPr>
            <w:r w:rsidRPr="00E27F81">
              <w:rPr>
                <w:rFonts w:ascii="Arial" w:eastAsia="Times New Roman" w:hAnsi="Arial" w:cs="Arial"/>
                <w:color w:val="000000"/>
                <w:sz w:val="18"/>
                <w:szCs w:val="24"/>
              </w:rPr>
              <w:t>15.99</w:t>
            </w:r>
          </w:p>
        </w:tc>
        <w:tc>
          <w:tcPr>
            <w:tcW w:w="132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595959"/>
                <w:sz w:val="18"/>
                <w:szCs w:val="24"/>
              </w:rPr>
            </w:pPr>
            <w:r w:rsidRPr="00E27F81">
              <w:rPr>
                <w:rFonts w:ascii="Arial" w:eastAsia="Times New Roman" w:hAnsi="Arial" w:cs="Arial"/>
                <w:color w:val="595959"/>
                <w:sz w:val="18"/>
                <w:szCs w:val="24"/>
              </w:rPr>
              <w:t>1.10</w:t>
            </w:r>
          </w:p>
        </w:tc>
        <w:tc>
          <w:tcPr>
            <w:tcW w:w="142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b/>
                <w:bCs/>
                <w:color w:val="000000"/>
                <w:sz w:val="18"/>
                <w:szCs w:val="24"/>
              </w:rPr>
            </w:pPr>
            <w:r w:rsidRPr="00E27F81">
              <w:rPr>
                <w:rFonts w:ascii="Arial" w:eastAsia="Times New Roman" w:hAnsi="Arial" w:cs="Arial"/>
                <w:b/>
                <w:bCs/>
                <w:color w:val="000000"/>
                <w:sz w:val="18"/>
                <w:szCs w:val="24"/>
              </w:rPr>
              <w:t>17.67</w:t>
            </w:r>
          </w:p>
        </w:tc>
      </w:tr>
      <w:tr w:rsidR="003343DE" w:rsidRPr="00552328" w:rsidTr="00D132E2">
        <w:trPr>
          <w:trHeight w:val="20"/>
        </w:trPr>
        <w:tc>
          <w:tcPr>
            <w:tcW w:w="920" w:type="dxa"/>
            <w:tcBorders>
              <w:top w:val="nil"/>
              <w:left w:val="nil"/>
              <w:bottom w:val="nil"/>
              <w:right w:val="nil"/>
            </w:tcBorders>
            <w:shd w:val="clear" w:color="auto" w:fill="auto"/>
            <w:noWrap/>
            <w:vAlign w:val="bottom"/>
            <w:hideMark/>
          </w:tcPr>
          <w:p w:rsidR="003343DE" w:rsidRPr="00552328" w:rsidRDefault="003343DE" w:rsidP="00C534A9">
            <w:pPr>
              <w:spacing w:after="0" w:line="240" w:lineRule="auto"/>
              <w:jc w:val="both"/>
              <w:rPr>
                <w:rFonts w:ascii="Arial" w:eastAsia="Times New Roman" w:hAnsi="Arial" w:cs="Arial"/>
                <w:color w:val="000000"/>
                <w:sz w:val="18"/>
                <w:szCs w:val="24"/>
              </w:rPr>
            </w:pPr>
            <w:r w:rsidRPr="00552328">
              <w:rPr>
                <w:rFonts w:ascii="Arial" w:eastAsia="Times New Roman" w:hAnsi="Arial" w:cs="Arial"/>
                <w:color w:val="000000"/>
                <w:sz w:val="18"/>
                <w:szCs w:val="24"/>
              </w:rPr>
              <w:t>2010</w:t>
            </w:r>
          </w:p>
        </w:tc>
        <w:tc>
          <w:tcPr>
            <w:tcW w:w="112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000000"/>
                <w:sz w:val="18"/>
                <w:szCs w:val="24"/>
              </w:rPr>
            </w:pPr>
            <w:r w:rsidRPr="00E27F81">
              <w:rPr>
                <w:rFonts w:ascii="Arial" w:eastAsia="Times New Roman" w:hAnsi="Arial" w:cs="Arial"/>
                <w:color w:val="000000"/>
                <w:sz w:val="18"/>
                <w:szCs w:val="24"/>
              </w:rPr>
              <w:t>16.25</w:t>
            </w:r>
          </w:p>
        </w:tc>
        <w:tc>
          <w:tcPr>
            <w:tcW w:w="108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595959"/>
                <w:sz w:val="18"/>
                <w:szCs w:val="24"/>
              </w:rPr>
            </w:pPr>
            <w:r w:rsidRPr="00E27F81">
              <w:rPr>
                <w:rFonts w:ascii="Arial" w:eastAsia="Times New Roman" w:hAnsi="Arial" w:cs="Arial"/>
                <w:color w:val="595959"/>
                <w:sz w:val="18"/>
                <w:szCs w:val="24"/>
              </w:rPr>
              <w:t>1.32</w:t>
            </w:r>
          </w:p>
        </w:tc>
        <w:tc>
          <w:tcPr>
            <w:tcW w:w="108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000000"/>
                <w:sz w:val="18"/>
                <w:szCs w:val="24"/>
              </w:rPr>
            </w:pPr>
            <w:r w:rsidRPr="00E27F81">
              <w:rPr>
                <w:rFonts w:ascii="Arial" w:eastAsia="Times New Roman" w:hAnsi="Arial" w:cs="Arial"/>
                <w:color w:val="000000"/>
                <w:sz w:val="18"/>
                <w:szCs w:val="24"/>
              </w:rPr>
              <w:t>21.53</w:t>
            </w:r>
          </w:p>
        </w:tc>
        <w:tc>
          <w:tcPr>
            <w:tcW w:w="118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000000"/>
                <w:sz w:val="18"/>
                <w:szCs w:val="24"/>
              </w:rPr>
            </w:pPr>
            <w:r w:rsidRPr="00E27F81">
              <w:rPr>
                <w:rFonts w:ascii="Arial" w:eastAsia="Times New Roman" w:hAnsi="Arial" w:cs="Arial"/>
                <w:color w:val="000000"/>
                <w:sz w:val="18"/>
                <w:szCs w:val="24"/>
              </w:rPr>
              <w:t>19.57</w:t>
            </w:r>
          </w:p>
        </w:tc>
        <w:tc>
          <w:tcPr>
            <w:tcW w:w="132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595959"/>
                <w:sz w:val="18"/>
                <w:szCs w:val="24"/>
              </w:rPr>
            </w:pPr>
            <w:r w:rsidRPr="00E27F81">
              <w:rPr>
                <w:rFonts w:ascii="Arial" w:eastAsia="Times New Roman" w:hAnsi="Arial" w:cs="Arial"/>
                <w:color w:val="595959"/>
                <w:sz w:val="18"/>
                <w:szCs w:val="24"/>
              </w:rPr>
              <w:t>1.09</w:t>
            </w:r>
          </w:p>
        </w:tc>
        <w:tc>
          <w:tcPr>
            <w:tcW w:w="142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b/>
                <w:bCs/>
                <w:color w:val="000000"/>
                <w:sz w:val="18"/>
                <w:szCs w:val="24"/>
              </w:rPr>
            </w:pPr>
            <w:r w:rsidRPr="00E27F81">
              <w:rPr>
                <w:rFonts w:ascii="Arial" w:eastAsia="Times New Roman" w:hAnsi="Arial" w:cs="Arial"/>
                <w:b/>
                <w:bCs/>
                <w:color w:val="000000"/>
                <w:sz w:val="18"/>
                <w:szCs w:val="24"/>
              </w:rPr>
              <w:t>21.27</w:t>
            </w:r>
          </w:p>
        </w:tc>
      </w:tr>
      <w:tr w:rsidR="003343DE" w:rsidRPr="00552328" w:rsidTr="00D132E2">
        <w:trPr>
          <w:trHeight w:val="20"/>
        </w:trPr>
        <w:tc>
          <w:tcPr>
            <w:tcW w:w="920" w:type="dxa"/>
            <w:tcBorders>
              <w:top w:val="nil"/>
              <w:left w:val="nil"/>
              <w:bottom w:val="nil"/>
              <w:right w:val="nil"/>
            </w:tcBorders>
            <w:shd w:val="clear" w:color="auto" w:fill="auto"/>
            <w:noWrap/>
            <w:vAlign w:val="bottom"/>
            <w:hideMark/>
          </w:tcPr>
          <w:p w:rsidR="003343DE" w:rsidRPr="00552328" w:rsidRDefault="003343DE" w:rsidP="00C534A9">
            <w:pPr>
              <w:spacing w:after="0" w:line="240" w:lineRule="auto"/>
              <w:jc w:val="both"/>
              <w:rPr>
                <w:rFonts w:ascii="Arial" w:eastAsia="Times New Roman" w:hAnsi="Arial" w:cs="Arial"/>
                <w:color w:val="000000"/>
                <w:sz w:val="18"/>
                <w:szCs w:val="24"/>
              </w:rPr>
            </w:pPr>
            <w:r w:rsidRPr="00552328">
              <w:rPr>
                <w:rFonts w:ascii="Arial" w:eastAsia="Times New Roman" w:hAnsi="Arial" w:cs="Arial"/>
                <w:color w:val="000000"/>
                <w:sz w:val="18"/>
                <w:szCs w:val="24"/>
              </w:rPr>
              <w:t>2011</w:t>
            </w:r>
          </w:p>
        </w:tc>
        <w:tc>
          <w:tcPr>
            <w:tcW w:w="112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000000"/>
                <w:sz w:val="18"/>
                <w:szCs w:val="24"/>
              </w:rPr>
            </w:pPr>
            <w:r w:rsidRPr="00E27F81">
              <w:rPr>
                <w:rFonts w:ascii="Arial" w:eastAsia="Times New Roman" w:hAnsi="Arial" w:cs="Arial"/>
                <w:color w:val="000000"/>
                <w:sz w:val="18"/>
                <w:szCs w:val="24"/>
              </w:rPr>
              <w:t>17.34</w:t>
            </w:r>
          </w:p>
        </w:tc>
        <w:tc>
          <w:tcPr>
            <w:tcW w:w="108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595959"/>
                <w:sz w:val="18"/>
                <w:szCs w:val="24"/>
              </w:rPr>
            </w:pPr>
            <w:r w:rsidRPr="00E27F81">
              <w:rPr>
                <w:rFonts w:ascii="Arial" w:eastAsia="Times New Roman" w:hAnsi="Arial" w:cs="Arial"/>
                <w:color w:val="595959"/>
                <w:sz w:val="18"/>
                <w:szCs w:val="24"/>
              </w:rPr>
              <w:t>1.39</w:t>
            </w:r>
          </w:p>
        </w:tc>
        <w:tc>
          <w:tcPr>
            <w:tcW w:w="108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000000"/>
                <w:sz w:val="18"/>
                <w:szCs w:val="24"/>
              </w:rPr>
            </w:pPr>
            <w:r w:rsidRPr="00E27F81">
              <w:rPr>
                <w:rFonts w:ascii="Arial" w:eastAsia="Times New Roman" w:hAnsi="Arial" w:cs="Arial"/>
                <w:color w:val="000000"/>
                <w:sz w:val="18"/>
                <w:szCs w:val="24"/>
              </w:rPr>
              <w:t>24.12</w:t>
            </w:r>
          </w:p>
        </w:tc>
        <w:tc>
          <w:tcPr>
            <w:tcW w:w="118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000000"/>
                <w:sz w:val="18"/>
                <w:szCs w:val="24"/>
              </w:rPr>
            </w:pPr>
            <w:r w:rsidRPr="00E27F81">
              <w:rPr>
                <w:rFonts w:ascii="Arial" w:eastAsia="Times New Roman" w:hAnsi="Arial" w:cs="Arial"/>
                <w:color w:val="000000"/>
                <w:sz w:val="18"/>
                <w:szCs w:val="24"/>
              </w:rPr>
              <w:t>21.93</w:t>
            </w:r>
          </w:p>
        </w:tc>
        <w:tc>
          <w:tcPr>
            <w:tcW w:w="132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595959"/>
                <w:sz w:val="18"/>
                <w:szCs w:val="24"/>
              </w:rPr>
            </w:pPr>
            <w:r w:rsidRPr="00E27F81">
              <w:rPr>
                <w:rFonts w:ascii="Arial" w:eastAsia="Times New Roman" w:hAnsi="Arial" w:cs="Arial"/>
                <w:color w:val="595959"/>
                <w:sz w:val="18"/>
                <w:szCs w:val="24"/>
              </w:rPr>
              <w:t>1.05</w:t>
            </w:r>
          </w:p>
        </w:tc>
        <w:tc>
          <w:tcPr>
            <w:tcW w:w="142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b/>
                <w:bCs/>
                <w:color w:val="000000"/>
                <w:sz w:val="18"/>
                <w:szCs w:val="24"/>
              </w:rPr>
            </w:pPr>
            <w:r w:rsidRPr="00E27F81">
              <w:rPr>
                <w:rFonts w:ascii="Arial" w:eastAsia="Times New Roman" w:hAnsi="Arial" w:cs="Arial"/>
                <w:b/>
                <w:bCs/>
                <w:color w:val="000000"/>
                <w:sz w:val="18"/>
                <w:szCs w:val="24"/>
              </w:rPr>
              <w:t>23.11</w:t>
            </w:r>
          </w:p>
        </w:tc>
      </w:tr>
      <w:tr w:rsidR="003343DE" w:rsidRPr="00552328" w:rsidTr="00D132E2">
        <w:trPr>
          <w:trHeight w:val="20"/>
        </w:trPr>
        <w:tc>
          <w:tcPr>
            <w:tcW w:w="920" w:type="dxa"/>
            <w:tcBorders>
              <w:top w:val="nil"/>
              <w:left w:val="nil"/>
              <w:bottom w:val="nil"/>
              <w:right w:val="nil"/>
            </w:tcBorders>
            <w:shd w:val="clear" w:color="auto" w:fill="auto"/>
            <w:noWrap/>
            <w:vAlign w:val="bottom"/>
            <w:hideMark/>
          </w:tcPr>
          <w:p w:rsidR="003343DE" w:rsidRPr="00552328" w:rsidRDefault="003343DE" w:rsidP="00C534A9">
            <w:pPr>
              <w:spacing w:after="0" w:line="240" w:lineRule="auto"/>
              <w:jc w:val="both"/>
              <w:rPr>
                <w:rFonts w:ascii="Arial" w:eastAsia="Times New Roman" w:hAnsi="Arial" w:cs="Arial"/>
                <w:color w:val="000000"/>
                <w:sz w:val="18"/>
                <w:szCs w:val="24"/>
              </w:rPr>
            </w:pPr>
            <w:r w:rsidRPr="00552328">
              <w:rPr>
                <w:rFonts w:ascii="Arial" w:eastAsia="Times New Roman" w:hAnsi="Arial" w:cs="Arial"/>
                <w:color w:val="000000"/>
                <w:sz w:val="18"/>
                <w:szCs w:val="24"/>
              </w:rPr>
              <w:t>2012</w:t>
            </w:r>
          </w:p>
        </w:tc>
        <w:tc>
          <w:tcPr>
            <w:tcW w:w="112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000000"/>
                <w:sz w:val="18"/>
                <w:szCs w:val="24"/>
              </w:rPr>
            </w:pPr>
            <w:r w:rsidRPr="00E27F81">
              <w:rPr>
                <w:rFonts w:ascii="Arial" w:eastAsia="Times New Roman" w:hAnsi="Arial" w:cs="Arial"/>
                <w:color w:val="000000"/>
                <w:sz w:val="18"/>
                <w:szCs w:val="24"/>
              </w:rPr>
              <w:t>9.51</w:t>
            </w:r>
          </w:p>
        </w:tc>
        <w:tc>
          <w:tcPr>
            <w:tcW w:w="108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595959"/>
                <w:sz w:val="18"/>
                <w:szCs w:val="24"/>
              </w:rPr>
            </w:pPr>
            <w:r w:rsidRPr="00E27F81">
              <w:rPr>
                <w:rFonts w:ascii="Arial" w:eastAsia="Times New Roman" w:hAnsi="Arial" w:cs="Arial"/>
                <w:color w:val="595959"/>
                <w:sz w:val="18"/>
                <w:szCs w:val="24"/>
              </w:rPr>
              <w:t>1.29</w:t>
            </w:r>
          </w:p>
        </w:tc>
        <w:tc>
          <w:tcPr>
            <w:tcW w:w="108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000000"/>
                <w:sz w:val="18"/>
                <w:szCs w:val="24"/>
              </w:rPr>
            </w:pPr>
            <w:r w:rsidRPr="00E27F81">
              <w:rPr>
                <w:rFonts w:ascii="Arial" w:eastAsia="Times New Roman" w:hAnsi="Arial" w:cs="Arial"/>
                <w:color w:val="000000"/>
                <w:sz w:val="18"/>
                <w:szCs w:val="24"/>
              </w:rPr>
              <w:t>12.22</w:t>
            </w:r>
          </w:p>
        </w:tc>
        <w:tc>
          <w:tcPr>
            <w:tcW w:w="118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000000"/>
                <w:sz w:val="18"/>
                <w:szCs w:val="24"/>
              </w:rPr>
            </w:pPr>
            <w:r w:rsidRPr="00E27F81">
              <w:rPr>
                <w:rFonts w:ascii="Arial" w:eastAsia="Times New Roman" w:hAnsi="Arial" w:cs="Arial"/>
                <w:color w:val="000000"/>
                <w:sz w:val="18"/>
                <w:szCs w:val="24"/>
              </w:rPr>
              <w:t>11.11</w:t>
            </w:r>
          </w:p>
        </w:tc>
        <w:tc>
          <w:tcPr>
            <w:tcW w:w="132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595959"/>
                <w:sz w:val="18"/>
                <w:szCs w:val="24"/>
              </w:rPr>
            </w:pPr>
            <w:r w:rsidRPr="00E27F81">
              <w:rPr>
                <w:rFonts w:ascii="Arial" w:eastAsia="Times New Roman" w:hAnsi="Arial" w:cs="Arial"/>
                <w:color w:val="595959"/>
                <w:sz w:val="18"/>
                <w:szCs w:val="24"/>
              </w:rPr>
              <w:t>1.03</w:t>
            </w:r>
          </w:p>
        </w:tc>
        <w:tc>
          <w:tcPr>
            <w:tcW w:w="142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b/>
                <w:bCs/>
                <w:color w:val="000000"/>
                <w:sz w:val="18"/>
                <w:szCs w:val="24"/>
              </w:rPr>
            </w:pPr>
            <w:r w:rsidRPr="00E27F81">
              <w:rPr>
                <w:rFonts w:ascii="Arial" w:eastAsia="Times New Roman" w:hAnsi="Arial" w:cs="Arial"/>
                <w:b/>
                <w:bCs/>
                <w:color w:val="000000"/>
                <w:sz w:val="18"/>
                <w:szCs w:val="24"/>
              </w:rPr>
              <w:t>11.47</w:t>
            </w:r>
          </w:p>
        </w:tc>
      </w:tr>
      <w:tr w:rsidR="003343DE" w:rsidRPr="00552328" w:rsidTr="00D132E2">
        <w:trPr>
          <w:trHeight w:val="20"/>
        </w:trPr>
        <w:tc>
          <w:tcPr>
            <w:tcW w:w="920" w:type="dxa"/>
            <w:tcBorders>
              <w:top w:val="nil"/>
              <w:left w:val="nil"/>
              <w:bottom w:val="nil"/>
              <w:right w:val="nil"/>
            </w:tcBorders>
            <w:shd w:val="clear" w:color="auto" w:fill="auto"/>
            <w:noWrap/>
            <w:vAlign w:val="bottom"/>
            <w:hideMark/>
          </w:tcPr>
          <w:p w:rsidR="003343DE" w:rsidRPr="00552328" w:rsidRDefault="003343DE" w:rsidP="00C534A9">
            <w:pPr>
              <w:spacing w:after="0" w:line="240" w:lineRule="auto"/>
              <w:jc w:val="both"/>
              <w:rPr>
                <w:rFonts w:ascii="Arial" w:eastAsia="Times New Roman" w:hAnsi="Arial" w:cs="Arial"/>
                <w:color w:val="000000"/>
                <w:sz w:val="18"/>
                <w:szCs w:val="24"/>
              </w:rPr>
            </w:pPr>
            <w:r w:rsidRPr="00552328">
              <w:rPr>
                <w:rFonts w:ascii="Arial" w:eastAsia="Times New Roman" w:hAnsi="Arial" w:cs="Arial"/>
                <w:color w:val="000000"/>
                <w:sz w:val="18"/>
                <w:szCs w:val="24"/>
              </w:rPr>
              <w:t>2013</w:t>
            </w:r>
          </w:p>
        </w:tc>
        <w:tc>
          <w:tcPr>
            <w:tcW w:w="112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000000"/>
                <w:sz w:val="18"/>
                <w:szCs w:val="24"/>
              </w:rPr>
            </w:pPr>
            <w:r w:rsidRPr="00E27F81">
              <w:rPr>
                <w:rFonts w:ascii="Arial" w:eastAsia="Times New Roman" w:hAnsi="Arial" w:cs="Arial"/>
                <w:color w:val="000000"/>
                <w:sz w:val="18"/>
                <w:szCs w:val="24"/>
              </w:rPr>
              <w:t>4.92</w:t>
            </w:r>
          </w:p>
        </w:tc>
        <w:tc>
          <w:tcPr>
            <w:tcW w:w="108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595959"/>
                <w:sz w:val="18"/>
                <w:szCs w:val="24"/>
              </w:rPr>
            </w:pPr>
            <w:r w:rsidRPr="00E27F81">
              <w:rPr>
                <w:rFonts w:ascii="Arial" w:eastAsia="Times New Roman" w:hAnsi="Arial" w:cs="Arial"/>
                <w:color w:val="595959"/>
                <w:sz w:val="18"/>
                <w:szCs w:val="24"/>
              </w:rPr>
              <w:t>1.33</w:t>
            </w:r>
          </w:p>
        </w:tc>
        <w:tc>
          <w:tcPr>
            <w:tcW w:w="108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000000"/>
                <w:sz w:val="18"/>
                <w:szCs w:val="24"/>
              </w:rPr>
            </w:pPr>
            <w:r w:rsidRPr="00E27F81">
              <w:rPr>
                <w:rFonts w:ascii="Arial" w:eastAsia="Times New Roman" w:hAnsi="Arial" w:cs="Arial"/>
                <w:color w:val="000000"/>
                <w:sz w:val="18"/>
                <w:szCs w:val="24"/>
              </w:rPr>
              <w:t>6.53</w:t>
            </w:r>
          </w:p>
        </w:tc>
        <w:tc>
          <w:tcPr>
            <w:tcW w:w="118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000000"/>
                <w:sz w:val="18"/>
                <w:szCs w:val="24"/>
              </w:rPr>
            </w:pPr>
            <w:r w:rsidRPr="00E27F81">
              <w:rPr>
                <w:rFonts w:ascii="Arial" w:eastAsia="Times New Roman" w:hAnsi="Arial" w:cs="Arial"/>
                <w:color w:val="000000"/>
                <w:sz w:val="18"/>
                <w:szCs w:val="24"/>
              </w:rPr>
              <w:t>5.94</w:t>
            </w:r>
          </w:p>
        </w:tc>
        <w:tc>
          <w:tcPr>
            <w:tcW w:w="132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595959"/>
                <w:sz w:val="18"/>
                <w:szCs w:val="24"/>
              </w:rPr>
            </w:pPr>
            <w:r w:rsidRPr="00E27F81">
              <w:rPr>
                <w:rFonts w:ascii="Arial" w:eastAsia="Times New Roman" w:hAnsi="Arial" w:cs="Arial"/>
                <w:color w:val="595959"/>
                <w:sz w:val="18"/>
                <w:szCs w:val="24"/>
              </w:rPr>
              <w:t>1.02</w:t>
            </w:r>
          </w:p>
        </w:tc>
        <w:tc>
          <w:tcPr>
            <w:tcW w:w="142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b/>
                <w:bCs/>
                <w:color w:val="000000"/>
                <w:sz w:val="18"/>
                <w:szCs w:val="24"/>
              </w:rPr>
            </w:pPr>
            <w:r w:rsidRPr="00E27F81">
              <w:rPr>
                <w:rFonts w:ascii="Arial" w:eastAsia="Times New Roman" w:hAnsi="Arial" w:cs="Arial"/>
                <w:b/>
                <w:bCs/>
                <w:color w:val="000000"/>
                <w:sz w:val="18"/>
                <w:szCs w:val="24"/>
              </w:rPr>
              <w:t>6.04</w:t>
            </w:r>
          </w:p>
        </w:tc>
      </w:tr>
      <w:tr w:rsidR="003343DE" w:rsidRPr="00552328" w:rsidTr="00D132E2">
        <w:trPr>
          <w:trHeight w:val="20"/>
        </w:trPr>
        <w:tc>
          <w:tcPr>
            <w:tcW w:w="920" w:type="dxa"/>
            <w:tcBorders>
              <w:top w:val="nil"/>
              <w:left w:val="nil"/>
              <w:bottom w:val="nil"/>
              <w:right w:val="nil"/>
            </w:tcBorders>
            <w:shd w:val="clear" w:color="auto" w:fill="auto"/>
            <w:noWrap/>
            <w:vAlign w:val="bottom"/>
            <w:hideMark/>
          </w:tcPr>
          <w:p w:rsidR="003343DE" w:rsidRPr="00552328" w:rsidRDefault="003343DE" w:rsidP="00C534A9">
            <w:pPr>
              <w:spacing w:after="0" w:line="240" w:lineRule="auto"/>
              <w:jc w:val="both"/>
              <w:rPr>
                <w:rFonts w:ascii="Arial" w:eastAsia="Times New Roman" w:hAnsi="Arial" w:cs="Arial"/>
                <w:color w:val="000000"/>
                <w:sz w:val="18"/>
                <w:szCs w:val="24"/>
              </w:rPr>
            </w:pPr>
            <w:r w:rsidRPr="00552328">
              <w:rPr>
                <w:rFonts w:ascii="Arial" w:eastAsia="Times New Roman" w:hAnsi="Arial" w:cs="Arial"/>
                <w:color w:val="000000"/>
                <w:sz w:val="18"/>
                <w:szCs w:val="24"/>
              </w:rPr>
              <w:t>2014</w:t>
            </w:r>
          </w:p>
        </w:tc>
        <w:tc>
          <w:tcPr>
            <w:tcW w:w="112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000000"/>
                <w:sz w:val="18"/>
                <w:szCs w:val="24"/>
              </w:rPr>
            </w:pPr>
            <w:r w:rsidRPr="00E27F81">
              <w:rPr>
                <w:rFonts w:ascii="Arial" w:eastAsia="Times New Roman" w:hAnsi="Arial" w:cs="Arial"/>
                <w:color w:val="000000"/>
                <w:sz w:val="18"/>
                <w:szCs w:val="24"/>
              </w:rPr>
              <w:t>6.45</w:t>
            </w:r>
          </w:p>
        </w:tc>
        <w:tc>
          <w:tcPr>
            <w:tcW w:w="108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595959"/>
                <w:sz w:val="18"/>
                <w:szCs w:val="24"/>
              </w:rPr>
            </w:pPr>
            <w:r w:rsidRPr="00E27F81">
              <w:rPr>
                <w:rFonts w:ascii="Arial" w:eastAsia="Times New Roman" w:hAnsi="Arial" w:cs="Arial"/>
                <w:color w:val="595959"/>
                <w:sz w:val="18"/>
                <w:szCs w:val="24"/>
              </w:rPr>
              <w:t>1.33</w:t>
            </w:r>
          </w:p>
        </w:tc>
        <w:tc>
          <w:tcPr>
            <w:tcW w:w="108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000000"/>
                <w:sz w:val="18"/>
                <w:szCs w:val="24"/>
              </w:rPr>
            </w:pPr>
            <w:r w:rsidRPr="00E27F81">
              <w:rPr>
                <w:rFonts w:ascii="Arial" w:eastAsia="Times New Roman" w:hAnsi="Arial" w:cs="Arial"/>
                <w:color w:val="000000"/>
                <w:sz w:val="18"/>
                <w:szCs w:val="24"/>
              </w:rPr>
              <w:t>8.56</w:t>
            </w:r>
          </w:p>
        </w:tc>
        <w:tc>
          <w:tcPr>
            <w:tcW w:w="118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000000"/>
                <w:sz w:val="18"/>
                <w:szCs w:val="24"/>
              </w:rPr>
            </w:pPr>
            <w:r w:rsidRPr="00E27F81">
              <w:rPr>
                <w:rFonts w:ascii="Arial" w:eastAsia="Times New Roman" w:hAnsi="Arial" w:cs="Arial"/>
                <w:color w:val="000000"/>
                <w:sz w:val="18"/>
                <w:szCs w:val="24"/>
              </w:rPr>
              <w:t>7.78</w:t>
            </w:r>
          </w:p>
        </w:tc>
        <w:tc>
          <w:tcPr>
            <w:tcW w:w="132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595959"/>
                <w:sz w:val="18"/>
                <w:szCs w:val="24"/>
              </w:rPr>
            </w:pPr>
            <w:r w:rsidRPr="00E27F81">
              <w:rPr>
                <w:rFonts w:ascii="Arial" w:eastAsia="Times New Roman" w:hAnsi="Arial" w:cs="Arial"/>
                <w:color w:val="595959"/>
                <w:sz w:val="18"/>
                <w:szCs w:val="24"/>
              </w:rPr>
              <w:t>1.00</w:t>
            </w:r>
          </w:p>
        </w:tc>
        <w:tc>
          <w:tcPr>
            <w:tcW w:w="142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b/>
                <w:bCs/>
                <w:color w:val="000000"/>
                <w:sz w:val="18"/>
                <w:szCs w:val="24"/>
              </w:rPr>
            </w:pPr>
            <w:r w:rsidRPr="00E27F81">
              <w:rPr>
                <w:rFonts w:ascii="Arial" w:eastAsia="Times New Roman" w:hAnsi="Arial" w:cs="Arial"/>
                <w:b/>
                <w:bCs/>
                <w:color w:val="000000"/>
                <w:sz w:val="18"/>
                <w:szCs w:val="24"/>
              </w:rPr>
              <w:t>7.79</w:t>
            </w:r>
          </w:p>
        </w:tc>
      </w:tr>
      <w:tr w:rsidR="003343DE" w:rsidRPr="00552328" w:rsidTr="00D132E2">
        <w:trPr>
          <w:trHeight w:val="20"/>
        </w:trPr>
        <w:tc>
          <w:tcPr>
            <w:tcW w:w="920" w:type="dxa"/>
            <w:tcBorders>
              <w:top w:val="nil"/>
              <w:left w:val="nil"/>
              <w:bottom w:val="nil"/>
              <w:right w:val="nil"/>
            </w:tcBorders>
            <w:shd w:val="clear" w:color="auto" w:fill="auto"/>
            <w:noWrap/>
            <w:vAlign w:val="bottom"/>
            <w:hideMark/>
          </w:tcPr>
          <w:p w:rsidR="003343DE" w:rsidRPr="00552328" w:rsidRDefault="003343DE" w:rsidP="00C534A9">
            <w:pPr>
              <w:spacing w:after="0" w:line="240" w:lineRule="auto"/>
              <w:jc w:val="both"/>
              <w:rPr>
                <w:rFonts w:ascii="Arial" w:eastAsia="Times New Roman" w:hAnsi="Arial" w:cs="Arial"/>
                <w:color w:val="000000"/>
                <w:sz w:val="18"/>
                <w:szCs w:val="24"/>
              </w:rPr>
            </w:pPr>
            <w:r w:rsidRPr="00552328">
              <w:rPr>
                <w:rFonts w:ascii="Arial" w:eastAsia="Times New Roman" w:hAnsi="Arial" w:cs="Arial"/>
                <w:color w:val="000000"/>
                <w:sz w:val="18"/>
                <w:szCs w:val="24"/>
              </w:rPr>
              <w:t>2015</w:t>
            </w:r>
          </w:p>
        </w:tc>
        <w:tc>
          <w:tcPr>
            <w:tcW w:w="112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000000"/>
                <w:sz w:val="18"/>
                <w:szCs w:val="24"/>
              </w:rPr>
            </w:pPr>
            <w:r w:rsidRPr="00E27F81">
              <w:rPr>
                <w:rFonts w:ascii="Arial" w:eastAsia="Times New Roman" w:hAnsi="Arial" w:cs="Arial"/>
                <w:color w:val="000000"/>
                <w:sz w:val="18"/>
                <w:szCs w:val="24"/>
              </w:rPr>
              <w:t>7.84</w:t>
            </w:r>
          </w:p>
        </w:tc>
        <w:tc>
          <w:tcPr>
            <w:tcW w:w="108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595959"/>
                <w:sz w:val="18"/>
                <w:szCs w:val="24"/>
              </w:rPr>
            </w:pPr>
            <w:r w:rsidRPr="00E27F81">
              <w:rPr>
                <w:rFonts w:ascii="Arial" w:eastAsia="Times New Roman" w:hAnsi="Arial" w:cs="Arial"/>
                <w:color w:val="595959"/>
                <w:sz w:val="18"/>
                <w:szCs w:val="24"/>
              </w:rPr>
              <w:t>1.11</w:t>
            </w:r>
          </w:p>
        </w:tc>
        <w:tc>
          <w:tcPr>
            <w:tcW w:w="108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000000"/>
                <w:sz w:val="18"/>
                <w:szCs w:val="24"/>
              </w:rPr>
            </w:pPr>
            <w:r w:rsidRPr="00E27F81">
              <w:rPr>
                <w:rFonts w:ascii="Arial" w:eastAsia="Times New Roman" w:hAnsi="Arial" w:cs="Arial"/>
                <w:color w:val="000000"/>
                <w:sz w:val="18"/>
                <w:szCs w:val="24"/>
              </w:rPr>
              <w:t>8.70</w:t>
            </w:r>
          </w:p>
        </w:tc>
        <w:tc>
          <w:tcPr>
            <w:tcW w:w="118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000000"/>
                <w:sz w:val="18"/>
                <w:szCs w:val="24"/>
              </w:rPr>
            </w:pPr>
            <w:r w:rsidRPr="00E27F81">
              <w:rPr>
                <w:rFonts w:ascii="Arial" w:eastAsia="Times New Roman" w:hAnsi="Arial" w:cs="Arial"/>
                <w:color w:val="000000"/>
                <w:sz w:val="18"/>
                <w:szCs w:val="24"/>
              </w:rPr>
              <w:t>7.91</w:t>
            </w:r>
          </w:p>
        </w:tc>
        <w:tc>
          <w:tcPr>
            <w:tcW w:w="132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color w:val="595959"/>
                <w:sz w:val="18"/>
                <w:szCs w:val="24"/>
              </w:rPr>
            </w:pPr>
            <w:r w:rsidRPr="00E27F81">
              <w:rPr>
                <w:rFonts w:ascii="Arial" w:eastAsia="Times New Roman" w:hAnsi="Arial" w:cs="Arial"/>
                <w:color w:val="595959"/>
                <w:sz w:val="18"/>
                <w:szCs w:val="24"/>
              </w:rPr>
              <w:t>1.00</w:t>
            </w:r>
          </w:p>
        </w:tc>
        <w:tc>
          <w:tcPr>
            <w:tcW w:w="1420" w:type="dxa"/>
            <w:tcBorders>
              <w:top w:val="nil"/>
              <w:left w:val="nil"/>
              <w:bottom w:val="nil"/>
              <w:right w:val="nil"/>
            </w:tcBorders>
            <w:shd w:val="clear" w:color="auto" w:fill="auto"/>
            <w:noWrap/>
            <w:vAlign w:val="bottom"/>
            <w:hideMark/>
          </w:tcPr>
          <w:p w:rsidR="003343DE" w:rsidRPr="00E27F81" w:rsidRDefault="003343DE" w:rsidP="00C534A9">
            <w:pPr>
              <w:spacing w:after="0" w:line="240" w:lineRule="auto"/>
              <w:jc w:val="both"/>
              <w:rPr>
                <w:rFonts w:ascii="Arial" w:eastAsia="Times New Roman" w:hAnsi="Arial" w:cs="Arial"/>
                <w:b/>
                <w:bCs/>
                <w:color w:val="000000"/>
                <w:sz w:val="18"/>
                <w:szCs w:val="24"/>
              </w:rPr>
            </w:pPr>
            <w:r w:rsidRPr="00E27F81">
              <w:rPr>
                <w:rFonts w:ascii="Arial" w:eastAsia="Times New Roman" w:hAnsi="Arial" w:cs="Arial"/>
                <w:b/>
                <w:bCs/>
                <w:color w:val="000000"/>
                <w:sz w:val="18"/>
                <w:szCs w:val="24"/>
              </w:rPr>
              <w:t>7.91</w:t>
            </w:r>
          </w:p>
        </w:tc>
      </w:tr>
    </w:tbl>
    <w:p w:rsidR="003343DE" w:rsidRPr="00C534A9" w:rsidRDefault="003343DE" w:rsidP="00D132E2">
      <w:pPr>
        <w:pStyle w:val="Source"/>
        <w:rPr>
          <w:rFonts w:ascii="Arial" w:eastAsia="Times New Roman" w:hAnsi="Arial" w:cs="Arial"/>
          <w:color w:val="000000"/>
        </w:rPr>
      </w:pPr>
      <w:r w:rsidRPr="00C534A9">
        <w:rPr>
          <w:rFonts w:ascii="Arial" w:hAnsi="Arial" w:cs="Arial"/>
          <w:sz w:val="18"/>
        </w:rPr>
        <w:t xml:space="preserve">Data sources: </w:t>
      </w:r>
      <w:hyperlink r:id="rId10" w:history="1">
        <w:r w:rsidRPr="00C534A9">
          <w:rPr>
            <w:rStyle w:val="Hyperlink"/>
            <w:rFonts w:ascii="Arial" w:hAnsi="Arial" w:cs="Arial"/>
            <w:sz w:val="18"/>
          </w:rPr>
          <w:t>http://www.investing.com/commodities/carbon-emissions-historical-data</w:t>
        </w:r>
      </w:hyperlink>
      <w:r w:rsidRPr="00C534A9">
        <w:rPr>
          <w:rFonts w:ascii="Arial" w:hAnsi="Arial" w:cs="Arial"/>
          <w:sz w:val="18"/>
        </w:rPr>
        <w:t xml:space="preserve">; </w:t>
      </w:r>
      <w:hyperlink r:id="rId11" w:history="1">
        <w:r w:rsidRPr="00D132E2">
          <w:rPr>
            <w:rStyle w:val="Hyperlink"/>
            <w:rFonts w:ascii="Arial" w:hAnsi="Arial" w:cs="Arial"/>
            <w:sz w:val="18"/>
          </w:rPr>
          <w:t>https://www.oanda.com/currency/average</w:t>
        </w:r>
      </w:hyperlink>
      <w:r w:rsidRPr="00C534A9">
        <w:rPr>
          <w:rStyle w:val="SourceChar"/>
          <w:rFonts w:ascii="Arial" w:hAnsi="Arial" w:cs="Arial"/>
          <w:sz w:val="18"/>
        </w:rPr>
        <w:t>; http://inflationdata.com/Inflation/Consumer_Price_Index</w:t>
      </w:r>
    </w:p>
    <w:p w:rsidR="00D5364D" w:rsidRPr="00C534A9" w:rsidRDefault="00337FAF" w:rsidP="00C534A9">
      <w:pPr>
        <w:jc w:val="both"/>
        <w:rPr>
          <w:rFonts w:ascii="Arial" w:hAnsi="Arial" w:cs="Arial"/>
          <w:sz w:val="22"/>
        </w:rPr>
      </w:pPr>
      <w:r w:rsidRPr="00C534A9">
        <w:rPr>
          <w:rFonts w:ascii="Arial" w:hAnsi="Arial" w:cs="Arial"/>
          <w:sz w:val="22"/>
        </w:rPr>
        <w:t xml:space="preserve">European carbon prices fell dramatically after the Kyoto Protocol implementation period ended in 2012 without an extension agreement. After hitting a low of just over </w:t>
      </w:r>
      <w:r w:rsidR="00727C3A" w:rsidRPr="00C534A9">
        <w:rPr>
          <w:rFonts w:ascii="Arial" w:hAnsi="Arial" w:cs="Arial"/>
          <w:sz w:val="22"/>
        </w:rPr>
        <w:t xml:space="preserve">six </w:t>
      </w:r>
      <w:r w:rsidRPr="00C534A9">
        <w:rPr>
          <w:rFonts w:ascii="Arial" w:hAnsi="Arial" w:cs="Arial"/>
          <w:sz w:val="22"/>
        </w:rPr>
        <w:t>2015 US$/ton in 2013, carbon prices increased steadily to nearly eight 2015 US$/ton in 2015.  Table 2.3 below shows the average, high, and low annual average price over the last five-year and ten-year periods.</w:t>
      </w:r>
    </w:p>
    <w:p w:rsidR="00337FAF" w:rsidRPr="00C534A9" w:rsidRDefault="00337FAF" w:rsidP="00D132E2">
      <w:pPr>
        <w:pStyle w:val="Caption"/>
        <w:jc w:val="both"/>
        <w:rPr>
          <w:rFonts w:ascii="Arial" w:hAnsi="Arial" w:cs="Arial"/>
          <w:sz w:val="22"/>
        </w:rPr>
      </w:pPr>
      <w:bookmarkStart w:id="6" w:name="_Toc463508961"/>
      <w:r w:rsidRPr="00C534A9">
        <w:rPr>
          <w:rFonts w:ascii="Arial" w:hAnsi="Arial" w:cs="Arial"/>
          <w:sz w:val="22"/>
        </w:rPr>
        <w:t>Table 2.3: 5-year and 10-year average European annual average carbon price (2015US$/ton)</w:t>
      </w:r>
      <w:bookmarkEnd w:id="6"/>
    </w:p>
    <w:tbl>
      <w:tblPr>
        <w:tblW w:w="4720" w:type="dxa"/>
        <w:jc w:val="center"/>
        <w:tblInd w:w="93" w:type="dxa"/>
        <w:tblLook w:val="04A0" w:firstRow="1" w:lastRow="0" w:firstColumn="1" w:lastColumn="0" w:noHBand="0" w:noVBand="1"/>
      </w:tblPr>
      <w:tblGrid>
        <w:gridCol w:w="1440"/>
        <w:gridCol w:w="1120"/>
        <w:gridCol w:w="1080"/>
        <w:gridCol w:w="1080"/>
      </w:tblGrid>
      <w:tr w:rsidR="00337FAF" w:rsidRPr="00C534A9" w:rsidTr="00D132E2">
        <w:trPr>
          <w:trHeight w:val="300"/>
          <w:jc w:val="center"/>
        </w:trPr>
        <w:tc>
          <w:tcPr>
            <w:tcW w:w="1440" w:type="dxa"/>
            <w:tcBorders>
              <w:top w:val="nil"/>
              <w:left w:val="nil"/>
              <w:bottom w:val="nil"/>
              <w:right w:val="nil"/>
            </w:tcBorders>
            <w:shd w:val="clear" w:color="auto" w:fill="auto"/>
            <w:noWrap/>
            <w:vAlign w:val="bottom"/>
            <w:hideMark/>
          </w:tcPr>
          <w:p w:rsidR="00337FAF" w:rsidRPr="00C534A9" w:rsidRDefault="00337FAF" w:rsidP="00C534A9">
            <w:pPr>
              <w:spacing w:after="0" w:line="240" w:lineRule="auto"/>
              <w:jc w:val="both"/>
              <w:rPr>
                <w:rFonts w:ascii="Arial" w:eastAsia="Times New Roman" w:hAnsi="Arial" w:cs="Arial"/>
                <w:color w:val="000000"/>
                <w:sz w:val="20"/>
              </w:rPr>
            </w:pPr>
          </w:p>
        </w:tc>
        <w:tc>
          <w:tcPr>
            <w:tcW w:w="1120" w:type="dxa"/>
            <w:tcBorders>
              <w:top w:val="nil"/>
              <w:left w:val="nil"/>
              <w:bottom w:val="single" w:sz="4" w:space="0" w:color="auto"/>
              <w:right w:val="nil"/>
            </w:tcBorders>
            <w:shd w:val="clear" w:color="auto" w:fill="auto"/>
            <w:noWrap/>
            <w:vAlign w:val="bottom"/>
            <w:hideMark/>
          </w:tcPr>
          <w:p w:rsidR="00337FAF" w:rsidRPr="00C534A9" w:rsidRDefault="00337FAF" w:rsidP="00C534A9">
            <w:pPr>
              <w:spacing w:after="0" w:line="240" w:lineRule="auto"/>
              <w:jc w:val="both"/>
              <w:rPr>
                <w:rFonts w:ascii="Arial" w:eastAsia="Times New Roman" w:hAnsi="Arial" w:cs="Arial"/>
                <w:color w:val="000000"/>
                <w:sz w:val="20"/>
              </w:rPr>
            </w:pPr>
            <w:r w:rsidRPr="00C534A9">
              <w:rPr>
                <w:rFonts w:ascii="Arial" w:eastAsia="Times New Roman" w:hAnsi="Arial" w:cs="Arial"/>
                <w:color w:val="000000"/>
                <w:sz w:val="20"/>
              </w:rPr>
              <w:t>Average</w:t>
            </w:r>
          </w:p>
        </w:tc>
        <w:tc>
          <w:tcPr>
            <w:tcW w:w="1080" w:type="dxa"/>
            <w:tcBorders>
              <w:top w:val="nil"/>
              <w:left w:val="nil"/>
              <w:bottom w:val="single" w:sz="4" w:space="0" w:color="auto"/>
              <w:right w:val="nil"/>
            </w:tcBorders>
            <w:shd w:val="clear" w:color="auto" w:fill="auto"/>
            <w:noWrap/>
            <w:vAlign w:val="bottom"/>
            <w:hideMark/>
          </w:tcPr>
          <w:p w:rsidR="00337FAF" w:rsidRPr="00C534A9" w:rsidRDefault="00337FAF" w:rsidP="00C534A9">
            <w:pPr>
              <w:spacing w:after="0" w:line="240" w:lineRule="auto"/>
              <w:jc w:val="both"/>
              <w:rPr>
                <w:rFonts w:ascii="Arial" w:eastAsia="Times New Roman" w:hAnsi="Arial" w:cs="Arial"/>
                <w:color w:val="000000"/>
                <w:sz w:val="20"/>
              </w:rPr>
            </w:pPr>
            <w:r w:rsidRPr="00C534A9">
              <w:rPr>
                <w:rFonts w:ascii="Arial" w:eastAsia="Times New Roman" w:hAnsi="Arial" w:cs="Arial"/>
                <w:color w:val="000000"/>
                <w:sz w:val="20"/>
              </w:rPr>
              <w:t>High</w:t>
            </w:r>
          </w:p>
        </w:tc>
        <w:tc>
          <w:tcPr>
            <w:tcW w:w="1080" w:type="dxa"/>
            <w:tcBorders>
              <w:top w:val="nil"/>
              <w:left w:val="nil"/>
              <w:bottom w:val="single" w:sz="4" w:space="0" w:color="auto"/>
              <w:right w:val="nil"/>
            </w:tcBorders>
            <w:shd w:val="clear" w:color="auto" w:fill="auto"/>
            <w:noWrap/>
            <w:vAlign w:val="bottom"/>
            <w:hideMark/>
          </w:tcPr>
          <w:p w:rsidR="00337FAF" w:rsidRPr="00C534A9" w:rsidRDefault="00337FAF" w:rsidP="00C534A9">
            <w:pPr>
              <w:spacing w:after="0" w:line="240" w:lineRule="auto"/>
              <w:jc w:val="both"/>
              <w:rPr>
                <w:rFonts w:ascii="Arial" w:eastAsia="Times New Roman" w:hAnsi="Arial" w:cs="Arial"/>
                <w:color w:val="000000"/>
                <w:sz w:val="20"/>
              </w:rPr>
            </w:pPr>
            <w:r w:rsidRPr="00C534A9">
              <w:rPr>
                <w:rFonts w:ascii="Arial" w:eastAsia="Times New Roman" w:hAnsi="Arial" w:cs="Arial"/>
                <w:color w:val="000000"/>
                <w:sz w:val="20"/>
              </w:rPr>
              <w:t>Low</w:t>
            </w:r>
          </w:p>
        </w:tc>
      </w:tr>
      <w:tr w:rsidR="00337FAF" w:rsidRPr="00C534A9" w:rsidTr="00D132E2">
        <w:trPr>
          <w:trHeight w:val="300"/>
          <w:jc w:val="center"/>
        </w:trPr>
        <w:tc>
          <w:tcPr>
            <w:tcW w:w="1440" w:type="dxa"/>
            <w:tcBorders>
              <w:top w:val="nil"/>
              <w:left w:val="nil"/>
              <w:bottom w:val="nil"/>
              <w:right w:val="nil"/>
            </w:tcBorders>
            <w:shd w:val="clear" w:color="auto" w:fill="auto"/>
            <w:noWrap/>
            <w:vAlign w:val="bottom"/>
            <w:hideMark/>
          </w:tcPr>
          <w:p w:rsidR="00337FAF" w:rsidRPr="00C534A9" w:rsidRDefault="00337FAF" w:rsidP="00C534A9">
            <w:pPr>
              <w:spacing w:after="0" w:line="240" w:lineRule="auto"/>
              <w:jc w:val="both"/>
              <w:rPr>
                <w:rFonts w:ascii="Arial" w:eastAsia="Times New Roman" w:hAnsi="Arial" w:cs="Arial"/>
                <w:color w:val="000000"/>
                <w:sz w:val="20"/>
              </w:rPr>
            </w:pPr>
            <w:r w:rsidRPr="00C534A9">
              <w:rPr>
                <w:rFonts w:ascii="Arial" w:eastAsia="Times New Roman" w:hAnsi="Arial" w:cs="Arial"/>
                <w:color w:val="000000"/>
                <w:sz w:val="20"/>
              </w:rPr>
              <w:t>2015</w:t>
            </w:r>
          </w:p>
        </w:tc>
        <w:tc>
          <w:tcPr>
            <w:tcW w:w="1120" w:type="dxa"/>
            <w:tcBorders>
              <w:top w:val="nil"/>
              <w:left w:val="nil"/>
              <w:bottom w:val="nil"/>
              <w:right w:val="nil"/>
            </w:tcBorders>
            <w:shd w:val="clear" w:color="auto" w:fill="auto"/>
            <w:noWrap/>
            <w:vAlign w:val="bottom"/>
            <w:hideMark/>
          </w:tcPr>
          <w:p w:rsidR="00337FAF" w:rsidRPr="00C534A9" w:rsidRDefault="00337FAF" w:rsidP="00C534A9">
            <w:pPr>
              <w:spacing w:after="0" w:line="240" w:lineRule="auto"/>
              <w:jc w:val="both"/>
              <w:rPr>
                <w:rFonts w:ascii="Arial" w:eastAsia="Times New Roman" w:hAnsi="Arial" w:cs="Arial"/>
                <w:color w:val="000000"/>
                <w:sz w:val="20"/>
              </w:rPr>
            </w:pPr>
            <w:r w:rsidRPr="00C534A9">
              <w:rPr>
                <w:rFonts w:ascii="Arial" w:eastAsia="Times New Roman" w:hAnsi="Arial" w:cs="Arial"/>
                <w:color w:val="000000"/>
                <w:sz w:val="20"/>
              </w:rPr>
              <w:t>7.91</w:t>
            </w:r>
          </w:p>
        </w:tc>
        <w:tc>
          <w:tcPr>
            <w:tcW w:w="1080" w:type="dxa"/>
            <w:tcBorders>
              <w:top w:val="nil"/>
              <w:left w:val="nil"/>
              <w:bottom w:val="nil"/>
              <w:right w:val="nil"/>
            </w:tcBorders>
            <w:shd w:val="clear" w:color="auto" w:fill="auto"/>
            <w:noWrap/>
            <w:vAlign w:val="bottom"/>
            <w:hideMark/>
          </w:tcPr>
          <w:p w:rsidR="00337FAF" w:rsidRPr="00C534A9" w:rsidRDefault="00337FAF" w:rsidP="00C534A9">
            <w:pPr>
              <w:spacing w:after="0" w:line="240" w:lineRule="auto"/>
              <w:jc w:val="both"/>
              <w:rPr>
                <w:rFonts w:ascii="Arial" w:eastAsia="Times New Roman" w:hAnsi="Arial" w:cs="Arial"/>
                <w:color w:val="000000"/>
                <w:sz w:val="20"/>
              </w:rPr>
            </w:pPr>
          </w:p>
        </w:tc>
        <w:tc>
          <w:tcPr>
            <w:tcW w:w="1080" w:type="dxa"/>
            <w:tcBorders>
              <w:top w:val="nil"/>
              <w:left w:val="nil"/>
              <w:bottom w:val="nil"/>
              <w:right w:val="nil"/>
            </w:tcBorders>
            <w:shd w:val="clear" w:color="auto" w:fill="auto"/>
            <w:noWrap/>
            <w:vAlign w:val="bottom"/>
            <w:hideMark/>
          </w:tcPr>
          <w:p w:rsidR="00337FAF" w:rsidRPr="00C534A9" w:rsidRDefault="00337FAF" w:rsidP="00C534A9">
            <w:pPr>
              <w:spacing w:after="0" w:line="240" w:lineRule="auto"/>
              <w:jc w:val="both"/>
              <w:rPr>
                <w:rFonts w:ascii="Arial" w:eastAsia="Times New Roman" w:hAnsi="Arial" w:cs="Arial"/>
                <w:color w:val="000000"/>
                <w:sz w:val="20"/>
              </w:rPr>
            </w:pPr>
          </w:p>
        </w:tc>
      </w:tr>
      <w:tr w:rsidR="00337FAF" w:rsidRPr="00C534A9" w:rsidTr="00D132E2">
        <w:trPr>
          <w:trHeight w:val="300"/>
          <w:jc w:val="center"/>
        </w:trPr>
        <w:tc>
          <w:tcPr>
            <w:tcW w:w="1440" w:type="dxa"/>
            <w:tcBorders>
              <w:top w:val="nil"/>
              <w:left w:val="nil"/>
              <w:bottom w:val="nil"/>
              <w:right w:val="nil"/>
            </w:tcBorders>
            <w:shd w:val="clear" w:color="auto" w:fill="auto"/>
            <w:noWrap/>
            <w:vAlign w:val="bottom"/>
            <w:hideMark/>
          </w:tcPr>
          <w:p w:rsidR="00337FAF" w:rsidRPr="00C534A9" w:rsidRDefault="00337FAF" w:rsidP="00C534A9">
            <w:pPr>
              <w:spacing w:after="0" w:line="240" w:lineRule="auto"/>
              <w:jc w:val="both"/>
              <w:rPr>
                <w:rFonts w:ascii="Arial" w:eastAsia="Times New Roman" w:hAnsi="Arial" w:cs="Arial"/>
                <w:color w:val="000000"/>
                <w:sz w:val="20"/>
              </w:rPr>
            </w:pPr>
            <w:r w:rsidRPr="00C534A9">
              <w:rPr>
                <w:rFonts w:ascii="Arial" w:eastAsia="Times New Roman" w:hAnsi="Arial" w:cs="Arial"/>
                <w:color w:val="000000"/>
                <w:sz w:val="20"/>
              </w:rPr>
              <w:t>Last 5 years</w:t>
            </w:r>
          </w:p>
        </w:tc>
        <w:tc>
          <w:tcPr>
            <w:tcW w:w="1120" w:type="dxa"/>
            <w:tcBorders>
              <w:top w:val="nil"/>
              <w:left w:val="nil"/>
              <w:bottom w:val="nil"/>
              <w:right w:val="nil"/>
            </w:tcBorders>
            <w:shd w:val="clear" w:color="auto" w:fill="auto"/>
            <w:noWrap/>
            <w:vAlign w:val="bottom"/>
            <w:hideMark/>
          </w:tcPr>
          <w:p w:rsidR="00337FAF" w:rsidRPr="00C534A9" w:rsidRDefault="00337FAF" w:rsidP="00C534A9">
            <w:pPr>
              <w:spacing w:after="0" w:line="240" w:lineRule="auto"/>
              <w:jc w:val="both"/>
              <w:rPr>
                <w:rFonts w:ascii="Arial" w:eastAsia="Times New Roman" w:hAnsi="Arial" w:cs="Arial"/>
                <w:color w:val="000000"/>
                <w:sz w:val="20"/>
              </w:rPr>
            </w:pPr>
            <w:r w:rsidRPr="00C534A9">
              <w:rPr>
                <w:rFonts w:ascii="Arial" w:eastAsia="Times New Roman" w:hAnsi="Arial" w:cs="Arial"/>
                <w:color w:val="000000"/>
                <w:sz w:val="20"/>
              </w:rPr>
              <w:t>11.26</w:t>
            </w:r>
          </w:p>
        </w:tc>
        <w:tc>
          <w:tcPr>
            <w:tcW w:w="1080" w:type="dxa"/>
            <w:tcBorders>
              <w:top w:val="nil"/>
              <w:left w:val="nil"/>
              <w:bottom w:val="nil"/>
              <w:right w:val="nil"/>
            </w:tcBorders>
            <w:shd w:val="clear" w:color="auto" w:fill="auto"/>
            <w:noWrap/>
            <w:vAlign w:val="bottom"/>
            <w:hideMark/>
          </w:tcPr>
          <w:p w:rsidR="00337FAF" w:rsidRPr="00C534A9" w:rsidRDefault="00337FAF" w:rsidP="00C534A9">
            <w:pPr>
              <w:spacing w:after="0" w:line="240" w:lineRule="auto"/>
              <w:jc w:val="both"/>
              <w:rPr>
                <w:rFonts w:ascii="Arial" w:eastAsia="Times New Roman" w:hAnsi="Arial" w:cs="Arial"/>
                <w:color w:val="000000"/>
                <w:sz w:val="20"/>
              </w:rPr>
            </w:pPr>
            <w:r w:rsidRPr="00C534A9">
              <w:rPr>
                <w:rFonts w:ascii="Arial" w:eastAsia="Times New Roman" w:hAnsi="Arial" w:cs="Arial"/>
                <w:color w:val="000000"/>
                <w:sz w:val="20"/>
              </w:rPr>
              <w:t>23.11</w:t>
            </w:r>
          </w:p>
        </w:tc>
        <w:tc>
          <w:tcPr>
            <w:tcW w:w="1080" w:type="dxa"/>
            <w:tcBorders>
              <w:top w:val="nil"/>
              <w:left w:val="nil"/>
              <w:bottom w:val="nil"/>
              <w:right w:val="nil"/>
            </w:tcBorders>
            <w:shd w:val="clear" w:color="auto" w:fill="auto"/>
            <w:noWrap/>
            <w:vAlign w:val="bottom"/>
            <w:hideMark/>
          </w:tcPr>
          <w:p w:rsidR="00337FAF" w:rsidRPr="00C534A9" w:rsidRDefault="00337FAF" w:rsidP="00C534A9">
            <w:pPr>
              <w:spacing w:after="0" w:line="240" w:lineRule="auto"/>
              <w:jc w:val="both"/>
              <w:rPr>
                <w:rFonts w:ascii="Arial" w:eastAsia="Times New Roman" w:hAnsi="Arial" w:cs="Arial"/>
                <w:color w:val="000000"/>
                <w:sz w:val="20"/>
              </w:rPr>
            </w:pPr>
            <w:r w:rsidRPr="00C534A9">
              <w:rPr>
                <w:rFonts w:ascii="Arial" w:eastAsia="Times New Roman" w:hAnsi="Arial" w:cs="Arial"/>
                <w:color w:val="000000"/>
                <w:sz w:val="20"/>
              </w:rPr>
              <w:t>6.04</w:t>
            </w:r>
          </w:p>
        </w:tc>
      </w:tr>
      <w:tr w:rsidR="00337FAF" w:rsidRPr="00C534A9" w:rsidTr="00D132E2">
        <w:trPr>
          <w:trHeight w:val="300"/>
          <w:jc w:val="center"/>
        </w:trPr>
        <w:tc>
          <w:tcPr>
            <w:tcW w:w="1440" w:type="dxa"/>
            <w:tcBorders>
              <w:top w:val="nil"/>
              <w:left w:val="nil"/>
              <w:bottom w:val="nil"/>
              <w:right w:val="nil"/>
            </w:tcBorders>
            <w:shd w:val="clear" w:color="auto" w:fill="auto"/>
            <w:noWrap/>
            <w:vAlign w:val="bottom"/>
            <w:hideMark/>
          </w:tcPr>
          <w:p w:rsidR="00337FAF" w:rsidRPr="00C534A9" w:rsidRDefault="00337FAF" w:rsidP="00C534A9">
            <w:pPr>
              <w:spacing w:after="0" w:line="240" w:lineRule="auto"/>
              <w:jc w:val="both"/>
              <w:rPr>
                <w:rFonts w:ascii="Arial" w:eastAsia="Times New Roman" w:hAnsi="Arial" w:cs="Arial"/>
                <w:color w:val="000000"/>
                <w:sz w:val="20"/>
              </w:rPr>
            </w:pPr>
            <w:r w:rsidRPr="00C534A9">
              <w:rPr>
                <w:rFonts w:ascii="Arial" w:eastAsia="Times New Roman" w:hAnsi="Arial" w:cs="Arial"/>
                <w:color w:val="000000"/>
                <w:sz w:val="20"/>
              </w:rPr>
              <w:t>Last 10 years</w:t>
            </w:r>
          </w:p>
        </w:tc>
        <w:tc>
          <w:tcPr>
            <w:tcW w:w="1120" w:type="dxa"/>
            <w:tcBorders>
              <w:top w:val="nil"/>
              <w:left w:val="nil"/>
              <w:bottom w:val="nil"/>
              <w:right w:val="nil"/>
            </w:tcBorders>
            <w:shd w:val="clear" w:color="auto" w:fill="auto"/>
            <w:noWrap/>
            <w:vAlign w:val="bottom"/>
            <w:hideMark/>
          </w:tcPr>
          <w:p w:rsidR="00337FAF" w:rsidRPr="00C534A9" w:rsidRDefault="00337FAF" w:rsidP="00C534A9">
            <w:pPr>
              <w:spacing w:after="0" w:line="240" w:lineRule="auto"/>
              <w:jc w:val="both"/>
              <w:rPr>
                <w:rFonts w:ascii="Arial" w:eastAsia="Times New Roman" w:hAnsi="Arial" w:cs="Arial"/>
                <w:color w:val="000000"/>
                <w:sz w:val="20"/>
              </w:rPr>
            </w:pPr>
            <w:r w:rsidRPr="00C534A9">
              <w:rPr>
                <w:rFonts w:ascii="Arial" w:eastAsia="Times New Roman" w:hAnsi="Arial" w:cs="Arial"/>
                <w:color w:val="000000"/>
                <w:sz w:val="20"/>
              </w:rPr>
              <w:t>16.98</w:t>
            </w:r>
          </w:p>
        </w:tc>
        <w:tc>
          <w:tcPr>
            <w:tcW w:w="1080" w:type="dxa"/>
            <w:tcBorders>
              <w:top w:val="nil"/>
              <w:left w:val="nil"/>
              <w:bottom w:val="nil"/>
              <w:right w:val="nil"/>
            </w:tcBorders>
            <w:shd w:val="clear" w:color="auto" w:fill="auto"/>
            <w:noWrap/>
            <w:vAlign w:val="bottom"/>
            <w:hideMark/>
          </w:tcPr>
          <w:p w:rsidR="00337FAF" w:rsidRPr="00C534A9" w:rsidRDefault="00337FAF" w:rsidP="00C534A9">
            <w:pPr>
              <w:spacing w:after="0" w:line="240" w:lineRule="auto"/>
              <w:jc w:val="both"/>
              <w:rPr>
                <w:rFonts w:ascii="Arial" w:eastAsia="Times New Roman" w:hAnsi="Arial" w:cs="Arial"/>
                <w:color w:val="000000"/>
                <w:sz w:val="20"/>
              </w:rPr>
            </w:pPr>
            <w:r w:rsidRPr="00C534A9">
              <w:rPr>
                <w:rFonts w:ascii="Arial" w:eastAsia="Times New Roman" w:hAnsi="Arial" w:cs="Arial"/>
                <w:color w:val="000000"/>
                <w:sz w:val="20"/>
              </w:rPr>
              <w:t>31.74</w:t>
            </w:r>
          </w:p>
        </w:tc>
        <w:tc>
          <w:tcPr>
            <w:tcW w:w="1080" w:type="dxa"/>
            <w:tcBorders>
              <w:top w:val="nil"/>
              <w:left w:val="nil"/>
              <w:bottom w:val="nil"/>
              <w:right w:val="nil"/>
            </w:tcBorders>
            <w:shd w:val="clear" w:color="auto" w:fill="auto"/>
            <w:noWrap/>
            <w:vAlign w:val="bottom"/>
            <w:hideMark/>
          </w:tcPr>
          <w:p w:rsidR="00337FAF" w:rsidRPr="00C534A9" w:rsidRDefault="00337FAF" w:rsidP="00C534A9">
            <w:pPr>
              <w:spacing w:after="0" w:line="240" w:lineRule="auto"/>
              <w:jc w:val="both"/>
              <w:rPr>
                <w:rFonts w:ascii="Arial" w:eastAsia="Times New Roman" w:hAnsi="Arial" w:cs="Arial"/>
                <w:color w:val="000000"/>
                <w:sz w:val="20"/>
              </w:rPr>
            </w:pPr>
            <w:r w:rsidRPr="00C534A9">
              <w:rPr>
                <w:rFonts w:ascii="Arial" w:eastAsia="Times New Roman" w:hAnsi="Arial" w:cs="Arial"/>
                <w:color w:val="000000"/>
                <w:sz w:val="20"/>
              </w:rPr>
              <w:t>6.04</w:t>
            </w:r>
          </w:p>
        </w:tc>
      </w:tr>
    </w:tbl>
    <w:p w:rsidR="00337FAF" w:rsidRPr="00C534A9" w:rsidRDefault="00337FAF" w:rsidP="00C534A9">
      <w:pPr>
        <w:jc w:val="both"/>
        <w:rPr>
          <w:rFonts w:ascii="Arial" w:hAnsi="Arial" w:cs="Arial"/>
          <w:sz w:val="22"/>
        </w:rPr>
      </w:pPr>
    </w:p>
    <w:p w:rsidR="00337FAF" w:rsidRPr="00C534A9" w:rsidRDefault="00337FAF" w:rsidP="00C534A9">
      <w:pPr>
        <w:jc w:val="both"/>
        <w:rPr>
          <w:rFonts w:ascii="Arial" w:hAnsi="Arial" w:cs="Arial"/>
          <w:sz w:val="22"/>
        </w:rPr>
      </w:pPr>
      <w:r w:rsidRPr="00C534A9">
        <w:rPr>
          <w:rFonts w:ascii="Arial" w:hAnsi="Arial" w:cs="Arial"/>
          <w:sz w:val="22"/>
        </w:rPr>
        <w:t>Based on these averages, and considering that the carbon price has remained low relative to pre-2012 values, a base price of 10 US$/ton was used for this economic analysis.  For the sensitivity analysis, the lowest recorded annual average price of 6 US$/ton was used for the “Low” case. For the “High” case, a value of US$15/ton was chosen—slightly below the 10-year average price and less than half of the peak annual average noted above. This relatively conservative price was chosen owing to the uncertainty of future carbon markets and the high volatility of prices shown in the past.</w:t>
      </w:r>
    </w:p>
    <w:p w:rsidR="008A6E58" w:rsidRPr="00C534A9" w:rsidRDefault="008A6E58" w:rsidP="00D132E2">
      <w:pPr>
        <w:pStyle w:val="Heading2"/>
        <w:jc w:val="both"/>
        <w:rPr>
          <w:rFonts w:ascii="Arial" w:hAnsi="Arial" w:cs="Arial"/>
        </w:rPr>
      </w:pPr>
      <w:bookmarkStart w:id="7" w:name="_Toc464551492"/>
      <w:r w:rsidRPr="00C534A9">
        <w:rPr>
          <w:rFonts w:ascii="Arial" w:hAnsi="Arial" w:cs="Arial"/>
          <w:sz w:val="24"/>
        </w:rPr>
        <w:t>Natural gas price assumptions</w:t>
      </w:r>
      <w:bookmarkEnd w:id="7"/>
    </w:p>
    <w:p w:rsidR="003820D6" w:rsidRPr="00C534A9" w:rsidRDefault="00D76A1D" w:rsidP="00C534A9">
      <w:pPr>
        <w:jc w:val="both"/>
        <w:rPr>
          <w:rFonts w:ascii="Arial" w:hAnsi="Arial" w:cs="Arial"/>
          <w:sz w:val="22"/>
        </w:rPr>
      </w:pPr>
      <w:r w:rsidRPr="00C534A9">
        <w:rPr>
          <w:rFonts w:ascii="Arial" w:hAnsi="Arial" w:cs="Arial"/>
          <w:sz w:val="22"/>
        </w:rPr>
        <w:t>N</w:t>
      </w:r>
      <w:r w:rsidR="003820D6" w:rsidRPr="00C534A9">
        <w:rPr>
          <w:rFonts w:ascii="Arial" w:hAnsi="Arial" w:cs="Arial"/>
          <w:sz w:val="22"/>
        </w:rPr>
        <w:t>atural gas prices used in the economic analysis are based on the US Henry Hub index forecast as provided by the US EIA. The Henry Hub index was chosen for the future price</w:t>
      </w:r>
      <w:r w:rsidRPr="00C534A9">
        <w:rPr>
          <w:rFonts w:ascii="Arial" w:hAnsi="Arial" w:cs="Arial"/>
          <w:sz w:val="22"/>
        </w:rPr>
        <w:t>s given it</w:t>
      </w:r>
      <w:r w:rsidR="003820D6" w:rsidRPr="00C534A9">
        <w:rPr>
          <w:rFonts w:ascii="Arial" w:hAnsi="Arial" w:cs="Arial"/>
          <w:sz w:val="22"/>
        </w:rPr>
        <w:t>s widespread use as a natural gas price index</w:t>
      </w:r>
      <w:r w:rsidR="00727C3A" w:rsidRPr="00C534A9">
        <w:rPr>
          <w:rFonts w:ascii="Arial" w:hAnsi="Arial" w:cs="Arial"/>
          <w:sz w:val="22"/>
        </w:rPr>
        <w:t>,</w:t>
      </w:r>
      <w:r w:rsidR="003820D6" w:rsidRPr="00C534A9">
        <w:rPr>
          <w:rFonts w:ascii="Arial" w:hAnsi="Arial" w:cs="Arial"/>
          <w:sz w:val="22"/>
        </w:rPr>
        <w:t xml:space="preserve"> both wi</w:t>
      </w:r>
      <w:r w:rsidRPr="00C534A9">
        <w:rPr>
          <w:rFonts w:ascii="Arial" w:hAnsi="Arial" w:cs="Arial"/>
          <w:sz w:val="22"/>
        </w:rPr>
        <w:t>thin the US and internationally</w:t>
      </w:r>
      <w:r w:rsidR="00727C3A" w:rsidRPr="00C534A9">
        <w:rPr>
          <w:rFonts w:ascii="Arial" w:hAnsi="Arial" w:cs="Arial"/>
          <w:sz w:val="22"/>
        </w:rPr>
        <w:t>,</w:t>
      </w:r>
      <w:r w:rsidRPr="00C534A9">
        <w:rPr>
          <w:rFonts w:ascii="Arial" w:hAnsi="Arial" w:cs="Arial"/>
          <w:sz w:val="22"/>
        </w:rPr>
        <w:t xml:space="preserve"> and</w:t>
      </w:r>
      <w:r w:rsidR="003820D6" w:rsidRPr="00C534A9">
        <w:rPr>
          <w:rFonts w:ascii="Arial" w:hAnsi="Arial" w:cs="Arial"/>
          <w:sz w:val="22"/>
        </w:rPr>
        <w:t xml:space="preserve"> the likelihood that natural gas imports to Barbados will be sourced from the United States or will be linked to a US natural gas price. In addition, the natural gas import parity price serves as a shadow price for natural gas in Barbados, avoiding any potential economic di</w:t>
      </w:r>
      <w:r w:rsidR="00C42C7B" w:rsidRPr="00C534A9">
        <w:rPr>
          <w:rFonts w:ascii="Arial" w:hAnsi="Arial" w:cs="Arial"/>
          <w:sz w:val="22"/>
        </w:rPr>
        <w:t xml:space="preserve">stortions from domestic pricing </w:t>
      </w:r>
      <w:r w:rsidR="003820D6" w:rsidRPr="00C534A9">
        <w:rPr>
          <w:rFonts w:ascii="Arial" w:hAnsi="Arial" w:cs="Arial"/>
          <w:sz w:val="22"/>
        </w:rPr>
        <w:t>at a level below international parity.</w:t>
      </w:r>
    </w:p>
    <w:p w:rsidR="00D76A1D" w:rsidRPr="00C534A9" w:rsidRDefault="00D76A1D" w:rsidP="00C534A9">
      <w:pPr>
        <w:jc w:val="both"/>
        <w:rPr>
          <w:rFonts w:ascii="Arial" w:hAnsi="Arial" w:cs="Arial"/>
          <w:sz w:val="22"/>
        </w:rPr>
      </w:pPr>
      <w:r w:rsidRPr="00C534A9">
        <w:rPr>
          <w:rFonts w:ascii="Arial" w:hAnsi="Arial" w:cs="Arial"/>
          <w:sz w:val="22"/>
        </w:rPr>
        <w:t xml:space="preserve">The US Energy Information Agency (EIA) provides an annual forecast of liquid fuel and natural gas prices in the United States through its Annual Energy Outlook (AEO). The AEO provides a Reference case forecast as well as several variations based on different assumptions </w:t>
      </w:r>
      <w:r w:rsidR="00552328" w:rsidRPr="00C534A9">
        <w:rPr>
          <w:rFonts w:ascii="Arial" w:hAnsi="Arial" w:cs="Arial"/>
          <w:sz w:val="22"/>
        </w:rPr>
        <w:t>regarding</w:t>
      </w:r>
      <w:r w:rsidRPr="00C534A9">
        <w:rPr>
          <w:rFonts w:ascii="Arial" w:hAnsi="Arial" w:cs="Arial"/>
          <w:sz w:val="22"/>
        </w:rPr>
        <w:t xml:space="preserve"> government policy, economic growth, technology change, and investment levels. </w:t>
      </w:r>
    </w:p>
    <w:p w:rsidR="00D76A1D" w:rsidRPr="00C534A9" w:rsidRDefault="00D76A1D" w:rsidP="00C534A9">
      <w:pPr>
        <w:jc w:val="both"/>
        <w:rPr>
          <w:rFonts w:ascii="Arial" w:hAnsi="Arial" w:cs="Arial"/>
          <w:sz w:val="22"/>
        </w:rPr>
      </w:pPr>
      <w:r w:rsidRPr="00C534A9">
        <w:rPr>
          <w:rFonts w:ascii="Arial" w:hAnsi="Arial" w:cs="Arial"/>
          <w:sz w:val="22"/>
        </w:rPr>
        <w:t>This CBA uses the EIA</w:t>
      </w:r>
      <w:r w:rsidR="007D6B36" w:rsidRPr="00C534A9">
        <w:rPr>
          <w:rFonts w:ascii="Arial" w:hAnsi="Arial" w:cs="Arial"/>
          <w:sz w:val="22"/>
        </w:rPr>
        <w:t xml:space="preserve"> 2015</w:t>
      </w:r>
      <w:r w:rsidRPr="00C534A9">
        <w:rPr>
          <w:rFonts w:ascii="Arial" w:hAnsi="Arial" w:cs="Arial"/>
          <w:sz w:val="22"/>
        </w:rPr>
        <w:t xml:space="preserve"> AEO Reference case price outlook for natural gas and crude oil (based on the West Texas Intermediate (WTI) price) as the baseline price outlook. Two alternative price scenarios, the “High Oil Price” case and the “Low Oil Price” case were used to examine the analysis’ sensitivity to changes in oil and natural gas prices. </w:t>
      </w:r>
    </w:p>
    <w:p w:rsidR="00D76A1D" w:rsidRPr="00C534A9" w:rsidRDefault="00D76A1D" w:rsidP="00C534A9">
      <w:pPr>
        <w:jc w:val="both"/>
        <w:rPr>
          <w:rFonts w:ascii="Arial" w:hAnsi="Arial" w:cs="Arial"/>
          <w:sz w:val="22"/>
        </w:rPr>
      </w:pPr>
      <w:r w:rsidRPr="00C534A9">
        <w:rPr>
          <w:rFonts w:ascii="Arial" w:hAnsi="Arial" w:cs="Arial"/>
          <w:sz w:val="22"/>
        </w:rPr>
        <w:t xml:space="preserve">Figure </w:t>
      </w:r>
      <w:r w:rsidR="007D6B36" w:rsidRPr="00C534A9">
        <w:rPr>
          <w:rFonts w:ascii="Arial" w:hAnsi="Arial" w:cs="Arial"/>
          <w:sz w:val="22"/>
        </w:rPr>
        <w:t>2.1 below shows the EIA 2015</w:t>
      </w:r>
      <w:r w:rsidRPr="00C534A9">
        <w:rPr>
          <w:rFonts w:ascii="Arial" w:hAnsi="Arial" w:cs="Arial"/>
          <w:sz w:val="22"/>
        </w:rPr>
        <w:t xml:space="preserve"> AEO Henry Hub price forecast to 2040 under the three scenarios. Although the two alternate scenarios were focused on high and low oil prices, they result in high and low Henry Hub prices as well</w:t>
      </w:r>
      <w:r w:rsidR="00927E96" w:rsidRPr="00C534A9">
        <w:rPr>
          <w:rFonts w:ascii="Arial" w:hAnsi="Arial" w:cs="Arial"/>
          <w:sz w:val="22"/>
        </w:rPr>
        <w:t>,</w:t>
      </w:r>
      <w:r w:rsidRPr="00C534A9">
        <w:rPr>
          <w:rFonts w:ascii="Arial" w:hAnsi="Arial" w:cs="Arial"/>
          <w:sz w:val="22"/>
        </w:rPr>
        <w:t xml:space="preserve"> given the linkages between oil and natural gas markets.</w:t>
      </w:r>
      <w:r w:rsidR="00927E96" w:rsidRPr="00C534A9">
        <w:rPr>
          <w:rFonts w:ascii="Arial" w:hAnsi="Arial" w:cs="Arial"/>
          <w:sz w:val="22"/>
        </w:rPr>
        <w:t xml:space="preserve"> It is important to note, however, that the Henry Hub and WTI forecast price paths are not identical under each scenario. This reflects differences in the oil and natural gas markets, including the degree of global integration (much greater for oil markets) and their different primary markets (transportation for oil, electricity generation for natural gas). </w:t>
      </w:r>
      <w:r w:rsidRPr="00C534A9">
        <w:rPr>
          <w:rFonts w:ascii="Arial" w:hAnsi="Arial" w:cs="Arial"/>
          <w:sz w:val="22"/>
        </w:rPr>
        <w:t xml:space="preserve"> </w:t>
      </w:r>
    </w:p>
    <w:p w:rsidR="00C42C7B" w:rsidRPr="00C534A9" w:rsidRDefault="00D76A1D" w:rsidP="00D132E2">
      <w:pPr>
        <w:pStyle w:val="Caption"/>
        <w:jc w:val="both"/>
        <w:rPr>
          <w:rFonts w:ascii="Arial" w:hAnsi="Arial" w:cs="Arial"/>
          <w:sz w:val="22"/>
        </w:rPr>
      </w:pPr>
      <w:bookmarkStart w:id="8" w:name="_Toc463508962"/>
      <w:r w:rsidRPr="00C534A9">
        <w:rPr>
          <w:rFonts w:ascii="Arial" w:hAnsi="Arial" w:cs="Arial"/>
          <w:sz w:val="22"/>
        </w:rPr>
        <w:t>Figure 2.1</w:t>
      </w:r>
      <w:r w:rsidR="00C42C7B" w:rsidRPr="00C534A9">
        <w:rPr>
          <w:rFonts w:ascii="Arial" w:hAnsi="Arial" w:cs="Arial"/>
          <w:sz w:val="22"/>
        </w:rPr>
        <w:t xml:space="preserve">: Henry Hub Price outlook under EIA </w:t>
      </w:r>
      <w:r w:rsidR="007D6B36" w:rsidRPr="00C534A9">
        <w:rPr>
          <w:rFonts w:ascii="Arial" w:hAnsi="Arial" w:cs="Arial"/>
          <w:sz w:val="22"/>
        </w:rPr>
        <w:t>2015</w:t>
      </w:r>
      <w:r w:rsidR="00C42C7B" w:rsidRPr="00C534A9">
        <w:rPr>
          <w:rFonts w:ascii="Arial" w:hAnsi="Arial" w:cs="Arial"/>
          <w:sz w:val="22"/>
        </w:rPr>
        <w:t xml:space="preserve"> </w:t>
      </w:r>
      <w:r w:rsidRPr="00C534A9">
        <w:rPr>
          <w:rFonts w:ascii="Arial" w:hAnsi="Arial" w:cs="Arial"/>
          <w:sz w:val="22"/>
        </w:rPr>
        <w:t>AEO</w:t>
      </w:r>
      <w:r w:rsidR="00C42C7B" w:rsidRPr="00C534A9">
        <w:rPr>
          <w:rFonts w:ascii="Arial" w:hAnsi="Arial" w:cs="Arial"/>
          <w:sz w:val="22"/>
        </w:rPr>
        <w:t xml:space="preserve"> Oil Price Scenarios (2015 US$ per </w:t>
      </w:r>
      <w:proofErr w:type="spellStart"/>
      <w:r w:rsidR="00C42C7B" w:rsidRPr="00C534A9">
        <w:rPr>
          <w:rFonts w:ascii="Arial" w:hAnsi="Arial" w:cs="Arial"/>
          <w:sz w:val="22"/>
        </w:rPr>
        <w:t>MMBtu</w:t>
      </w:r>
      <w:proofErr w:type="spellEnd"/>
      <w:r w:rsidR="00C42C7B" w:rsidRPr="00C534A9">
        <w:rPr>
          <w:rFonts w:ascii="Arial" w:hAnsi="Arial" w:cs="Arial"/>
          <w:sz w:val="22"/>
        </w:rPr>
        <w:t>)</w:t>
      </w:r>
      <w:bookmarkEnd w:id="8"/>
    </w:p>
    <w:p w:rsidR="00C42C7B" w:rsidRPr="00C534A9" w:rsidRDefault="007D6B36" w:rsidP="00C534A9">
      <w:pPr>
        <w:jc w:val="both"/>
        <w:rPr>
          <w:rFonts w:ascii="Arial" w:hAnsi="Arial" w:cs="Arial"/>
          <w:sz w:val="22"/>
        </w:rPr>
      </w:pPr>
      <w:r w:rsidRPr="00C534A9">
        <w:rPr>
          <w:rFonts w:ascii="Arial" w:hAnsi="Arial" w:cs="Arial"/>
          <w:noProof/>
          <w:sz w:val="22"/>
        </w:rPr>
        <w:drawing>
          <wp:inline distT="0" distB="0" distL="0" distR="0" wp14:anchorId="5D5EBA1E" wp14:editId="1616FB60">
            <wp:extent cx="4200525" cy="2519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1108" cy="2520315"/>
                    </a:xfrm>
                    <a:prstGeom prst="rect">
                      <a:avLst/>
                    </a:prstGeom>
                    <a:noFill/>
                  </pic:spPr>
                </pic:pic>
              </a:graphicData>
            </a:graphic>
          </wp:inline>
        </w:drawing>
      </w:r>
    </w:p>
    <w:p w:rsidR="003820D6" w:rsidRPr="00C534A9" w:rsidRDefault="003820D6" w:rsidP="00C534A9">
      <w:pPr>
        <w:jc w:val="both"/>
        <w:rPr>
          <w:rFonts w:ascii="Arial" w:hAnsi="Arial" w:cs="Arial"/>
          <w:sz w:val="22"/>
        </w:rPr>
      </w:pPr>
      <w:r w:rsidRPr="00C534A9">
        <w:rPr>
          <w:rFonts w:ascii="Arial" w:hAnsi="Arial" w:cs="Arial"/>
          <w:sz w:val="22"/>
        </w:rPr>
        <w:t xml:space="preserve">Natural gas prices </w:t>
      </w:r>
      <w:r w:rsidR="00D76A1D" w:rsidRPr="00C534A9">
        <w:rPr>
          <w:rFonts w:ascii="Arial" w:hAnsi="Arial" w:cs="Arial"/>
          <w:sz w:val="22"/>
        </w:rPr>
        <w:t xml:space="preserve">delivered to Barbados </w:t>
      </w:r>
      <w:r w:rsidRPr="00C534A9">
        <w:rPr>
          <w:rFonts w:ascii="Arial" w:hAnsi="Arial" w:cs="Arial"/>
          <w:sz w:val="22"/>
        </w:rPr>
        <w:t xml:space="preserve">are built up using estimates for the cost to </w:t>
      </w:r>
      <w:r w:rsidR="00D76A1D" w:rsidRPr="00C534A9">
        <w:rPr>
          <w:rFonts w:ascii="Arial" w:hAnsi="Arial" w:cs="Arial"/>
          <w:sz w:val="22"/>
        </w:rPr>
        <w:t>transport</w:t>
      </w:r>
      <w:r w:rsidRPr="00C534A9">
        <w:rPr>
          <w:rFonts w:ascii="Arial" w:hAnsi="Arial" w:cs="Arial"/>
          <w:sz w:val="22"/>
        </w:rPr>
        <w:t xml:space="preserve"> the natural gas from the source to a liquefaction terminal in the United States, liquefy it, and ship it to Barbados.  This ex-ship price is the added to the calculated costs for each regasification option (micro-LNG using </w:t>
      </w:r>
      <w:proofErr w:type="spellStart"/>
      <w:r w:rsidRPr="00C534A9">
        <w:rPr>
          <w:rFonts w:ascii="Arial" w:hAnsi="Arial" w:cs="Arial"/>
          <w:sz w:val="22"/>
        </w:rPr>
        <w:t>Iso</w:t>
      </w:r>
      <w:proofErr w:type="spellEnd"/>
      <w:r w:rsidRPr="00C534A9">
        <w:rPr>
          <w:rFonts w:ascii="Arial" w:hAnsi="Arial" w:cs="Arial"/>
          <w:sz w:val="22"/>
        </w:rPr>
        <w:t xml:space="preserve"> containers and VS LNG terminal) to </w:t>
      </w:r>
      <w:r w:rsidR="000471D0" w:rsidRPr="00C534A9">
        <w:rPr>
          <w:rFonts w:ascii="Arial" w:hAnsi="Arial" w:cs="Arial"/>
          <w:sz w:val="22"/>
        </w:rPr>
        <w:t>calculate</w:t>
      </w:r>
      <w:r w:rsidRPr="00C534A9">
        <w:rPr>
          <w:rFonts w:ascii="Arial" w:hAnsi="Arial" w:cs="Arial"/>
          <w:sz w:val="22"/>
        </w:rPr>
        <w:t xml:space="preserve"> the final delivered cost of natural gas in Barbados.</w:t>
      </w:r>
    </w:p>
    <w:p w:rsidR="008A6E58" w:rsidRPr="00C534A9" w:rsidRDefault="003820D6" w:rsidP="00C534A9">
      <w:pPr>
        <w:jc w:val="both"/>
        <w:rPr>
          <w:rFonts w:ascii="Arial" w:hAnsi="Arial" w:cs="Arial"/>
          <w:sz w:val="22"/>
        </w:rPr>
      </w:pPr>
      <w:r w:rsidRPr="00C534A9">
        <w:rPr>
          <w:rFonts w:ascii="Arial" w:hAnsi="Arial" w:cs="Arial"/>
          <w:sz w:val="22"/>
        </w:rPr>
        <w:t>Table 2.3 below shows an example of the shipping cost analysis for the first five years of the analysis.</w:t>
      </w:r>
    </w:p>
    <w:p w:rsidR="003820D6" w:rsidRPr="00C534A9" w:rsidRDefault="000471D0" w:rsidP="00D132E2">
      <w:pPr>
        <w:pStyle w:val="Caption"/>
        <w:jc w:val="both"/>
        <w:rPr>
          <w:rFonts w:ascii="Arial" w:hAnsi="Arial" w:cs="Arial"/>
          <w:sz w:val="22"/>
        </w:rPr>
      </w:pPr>
      <w:bookmarkStart w:id="9" w:name="_Toc463508963"/>
      <w:r w:rsidRPr="00C534A9">
        <w:rPr>
          <w:rFonts w:ascii="Arial" w:hAnsi="Arial" w:cs="Arial"/>
          <w:sz w:val="22"/>
        </w:rPr>
        <w:t>Table 2.4: Barbados natural gas import parity calculations (</w:t>
      </w:r>
      <w:r w:rsidR="00D67CE0" w:rsidRPr="00C534A9">
        <w:rPr>
          <w:rFonts w:ascii="Arial" w:hAnsi="Arial" w:cs="Arial"/>
          <w:sz w:val="22"/>
        </w:rPr>
        <w:t>2016</w:t>
      </w:r>
      <w:r w:rsidRPr="00C534A9">
        <w:rPr>
          <w:rFonts w:ascii="Arial" w:hAnsi="Arial" w:cs="Arial"/>
          <w:sz w:val="22"/>
        </w:rPr>
        <w:t>-2020)</w:t>
      </w:r>
      <w:bookmarkEnd w:id="9"/>
    </w:p>
    <w:p w:rsidR="003820D6" w:rsidRPr="00552328" w:rsidRDefault="00D67CE0" w:rsidP="00C534A9">
      <w:pPr>
        <w:jc w:val="both"/>
        <w:rPr>
          <w:rFonts w:ascii="Arial" w:hAnsi="Arial" w:cs="Arial"/>
          <w:sz w:val="22"/>
        </w:rPr>
      </w:pPr>
      <w:r w:rsidRPr="00552328">
        <w:rPr>
          <w:rFonts w:ascii="Arial" w:hAnsi="Arial" w:cs="Arial"/>
          <w:noProof/>
          <w:sz w:val="22"/>
        </w:rPr>
        <w:drawing>
          <wp:inline distT="0" distB="0" distL="0" distR="0" wp14:anchorId="0AB649A0" wp14:editId="0E333800">
            <wp:extent cx="5305425" cy="1209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5425" cy="1209675"/>
                    </a:xfrm>
                    <a:prstGeom prst="rect">
                      <a:avLst/>
                    </a:prstGeom>
                    <a:noFill/>
                    <a:ln>
                      <a:noFill/>
                    </a:ln>
                  </pic:spPr>
                </pic:pic>
              </a:graphicData>
            </a:graphic>
          </wp:inline>
        </w:drawing>
      </w:r>
    </w:p>
    <w:p w:rsidR="008A6E58" w:rsidRPr="00C534A9" w:rsidRDefault="008A6E58" w:rsidP="00D132E2">
      <w:pPr>
        <w:pStyle w:val="Heading2"/>
        <w:jc w:val="both"/>
        <w:rPr>
          <w:rFonts w:ascii="Arial" w:hAnsi="Arial" w:cs="Arial"/>
        </w:rPr>
      </w:pPr>
      <w:bookmarkStart w:id="10" w:name="_Toc464551493"/>
      <w:r w:rsidRPr="00C534A9">
        <w:rPr>
          <w:rFonts w:ascii="Arial" w:hAnsi="Arial" w:cs="Arial"/>
          <w:sz w:val="24"/>
        </w:rPr>
        <w:t>Oil price assumptions</w:t>
      </w:r>
      <w:bookmarkEnd w:id="10"/>
    </w:p>
    <w:p w:rsidR="000471D0" w:rsidRPr="00C534A9" w:rsidRDefault="000471D0" w:rsidP="00C534A9">
      <w:pPr>
        <w:jc w:val="both"/>
        <w:rPr>
          <w:rFonts w:ascii="Arial" w:hAnsi="Arial" w:cs="Arial"/>
          <w:sz w:val="22"/>
        </w:rPr>
      </w:pPr>
      <w:r w:rsidRPr="00C534A9">
        <w:rPr>
          <w:rFonts w:ascii="Arial" w:hAnsi="Arial" w:cs="Arial"/>
          <w:sz w:val="22"/>
        </w:rPr>
        <w:t xml:space="preserve">Forecast HFO prices used in the economic analysis are assumed to be linked to the US WTI FOB crude oil index forecast as provided </w:t>
      </w:r>
      <w:r w:rsidR="00D76A1D" w:rsidRPr="00C534A9">
        <w:rPr>
          <w:rFonts w:ascii="Arial" w:hAnsi="Arial" w:cs="Arial"/>
          <w:sz w:val="22"/>
        </w:rPr>
        <w:t>in the</w:t>
      </w:r>
      <w:r w:rsidRPr="00C534A9">
        <w:rPr>
          <w:rFonts w:ascii="Arial" w:hAnsi="Arial" w:cs="Arial"/>
          <w:sz w:val="22"/>
        </w:rPr>
        <w:t xml:space="preserve"> EIA</w:t>
      </w:r>
      <w:r w:rsidR="00D76A1D" w:rsidRPr="00C534A9">
        <w:rPr>
          <w:rFonts w:ascii="Arial" w:hAnsi="Arial" w:cs="Arial"/>
          <w:sz w:val="22"/>
        </w:rPr>
        <w:t xml:space="preserve"> AEO</w:t>
      </w:r>
      <w:r w:rsidRPr="00C534A9">
        <w:rPr>
          <w:rFonts w:ascii="Arial" w:hAnsi="Arial" w:cs="Arial"/>
          <w:sz w:val="22"/>
        </w:rPr>
        <w:t>. The WTI index was chosen</w:t>
      </w:r>
      <w:r w:rsidR="00D76A1D" w:rsidRPr="00C534A9">
        <w:rPr>
          <w:rFonts w:ascii="Arial" w:hAnsi="Arial" w:cs="Arial"/>
          <w:sz w:val="22"/>
        </w:rPr>
        <w:t xml:space="preserve"> for the future prices given it</w:t>
      </w:r>
      <w:r w:rsidRPr="00C534A9">
        <w:rPr>
          <w:rFonts w:ascii="Arial" w:hAnsi="Arial" w:cs="Arial"/>
          <w:sz w:val="22"/>
        </w:rPr>
        <w:t>s widespread use as an oil price index</w:t>
      </w:r>
      <w:r w:rsidR="00927E96" w:rsidRPr="00C534A9">
        <w:rPr>
          <w:rFonts w:ascii="Arial" w:hAnsi="Arial" w:cs="Arial"/>
          <w:sz w:val="22"/>
        </w:rPr>
        <w:t>,</w:t>
      </w:r>
      <w:r w:rsidRPr="00C534A9">
        <w:rPr>
          <w:rFonts w:ascii="Arial" w:hAnsi="Arial" w:cs="Arial"/>
          <w:sz w:val="22"/>
        </w:rPr>
        <w:t xml:space="preserve"> both within the US and internationally. In addition, the HFO import parity price serves as a shadow price for HFO in Barbados, avoiding any potential economic distortions from domestic pricing at a level below international parity. </w:t>
      </w:r>
    </w:p>
    <w:p w:rsidR="003343DE" w:rsidRPr="00C534A9" w:rsidRDefault="000471D0" w:rsidP="00C534A9">
      <w:pPr>
        <w:jc w:val="both"/>
        <w:rPr>
          <w:rFonts w:ascii="Arial" w:hAnsi="Arial" w:cs="Arial"/>
          <w:sz w:val="22"/>
        </w:rPr>
      </w:pPr>
      <w:r w:rsidRPr="00C534A9">
        <w:rPr>
          <w:rFonts w:ascii="Arial" w:hAnsi="Arial" w:cs="Arial"/>
          <w:sz w:val="22"/>
        </w:rPr>
        <w:t xml:space="preserve">HFO prices are built up using estimates for the cost to ship the HFO (CIF) from the United States Gulf Coast </w:t>
      </w:r>
      <w:r w:rsidR="00927E96" w:rsidRPr="00C534A9">
        <w:rPr>
          <w:rFonts w:ascii="Arial" w:hAnsi="Arial" w:cs="Arial"/>
          <w:sz w:val="22"/>
        </w:rPr>
        <w:t xml:space="preserve">to Barbados </w:t>
      </w:r>
      <w:r w:rsidRPr="00C534A9">
        <w:rPr>
          <w:rFonts w:ascii="Arial" w:hAnsi="Arial" w:cs="Arial"/>
          <w:sz w:val="22"/>
        </w:rPr>
        <w:t>and an estimated differential between the actual price of HFO and the price of crude oil</w:t>
      </w:r>
      <w:r w:rsidR="000B10D3" w:rsidRPr="00C534A9">
        <w:rPr>
          <w:rFonts w:ascii="Arial" w:hAnsi="Arial" w:cs="Arial"/>
          <w:sz w:val="22"/>
        </w:rPr>
        <w:t xml:space="preserve"> represented by WTI</w:t>
      </w:r>
      <w:r w:rsidRPr="00C534A9">
        <w:rPr>
          <w:rFonts w:ascii="Arial" w:hAnsi="Arial" w:cs="Arial"/>
          <w:sz w:val="22"/>
        </w:rPr>
        <w:t xml:space="preserve">. </w:t>
      </w:r>
      <w:r w:rsidR="00927E96" w:rsidRPr="00C534A9">
        <w:rPr>
          <w:rFonts w:ascii="Arial" w:hAnsi="Arial" w:cs="Arial"/>
          <w:sz w:val="22"/>
        </w:rPr>
        <w:t>HFO and crude oil</w:t>
      </w:r>
      <w:r w:rsidRPr="00C534A9">
        <w:rPr>
          <w:rFonts w:ascii="Arial" w:hAnsi="Arial" w:cs="Arial"/>
          <w:sz w:val="22"/>
        </w:rPr>
        <w:t xml:space="preserve"> prices generally move in tandem, although variations in supply and demand in </w:t>
      </w:r>
      <w:r w:rsidR="000B10D3" w:rsidRPr="00C534A9">
        <w:rPr>
          <w:rFonts w:ascii="Arial" w:hAnsi="Arial" w:cs="Arial"/>
          <w:sz w:val="22"/>
        </w:rPr>
        <w:t>HFO</w:t>
      </w:r>
      <w:r w:rsidRPr="00C534A9">
        <w:rPr>
          <w:rFonts w:ascii="Arial" w:hAnsi="Arial" w:cs="Arial"/>
          <w:sz w:val="22"/>
        </w:rPr>
        <w:t xml:space="preserve"> can result in a widening or narrowing dif</w:t>
      </w:r>
      <w:r w:rsidR="000B10D3" w:rsidRPr="00C534A9">
        <w:rPr>
          <w:rFonts w:ascii="Arial" w:hAnsi="Arial" w:cs="Arial"/>
          <w:sz w:val="22"/>
        </w:rPr>
        <w:t>f</w:t>
      </w:r>
      <w:r w:rsidRPr="00C534A9">
        <w:rPr>
          <w:rFonts w:ascii="Arial" w:hAnsi="Arial" w:cs="Arial"/>
          <w:sz w:val="22"/>
        </w:rPr>
        <w:t xml:space="preserve">erence between the two. </w:t>
      </w:r>
      <w:r w:rsidR="00727C3A" w:rsidRPr="00C534A9">
        <w:rPr>
          <w:rFonts w:ascii="Arial" w:hAnsi="Arial" w:cs="Arial"/>
          <w:sz w:val="22"/>
        </w:rPr>
        <w:t>T</w:t>
      </w:r>
      <w:r w:rsidRPr="00C534A9">
        <w:rPr>
          <w:rFonts w:ascii="Arial" w:hAnsi="Arial" w:cs="Arial"/>
          <w:sz w:val="22"/>
        </w:rPr>
        <w:t>his analysis</w:t>
      </w:r>
      <w:r w:rsidR="00727C3A" w:rsidRPr="00C534A9">
        <w:rPr>
          <w:rFonts w:ascii="Arial" w:hAnsi="Arial" w:cs="Arial"/>
          <w:sz w:val="22"/>
        </w:rPr>
        <w:t xml:space="preserve"> assumes</w:t>
      </w:r>
      <w:r w:rsidRPr="00C534A9">
        <w:rPr>
          <w:rFonts w:ascii="Arial" w:hAnsi="Arial" w:cs="Arial"/>
          <w:sz w:val="22"/>
        </w:rPr>
        <w:t xml:space="preserve"> a fixed price difference between WTI and HFO as well as a fixed transportation cost. </w:t>
      </w:r>
    </w:p>
    <w:p w:rsidR="000B10D3" w:rsidRDefault="000B10D3" w:rsidP="00C534A9">
      <w:pPr>
        <w:jc w:val="both"/>
        <w:rPr>
          <w:rFonts w:ascii="Arial" w:hAnsi="Arial" w:cs="Arial"/>
          <w:sz w:val="22"/>
        </w:rPr>
      </w:pPr>
      <w:r w:rsidRPr="00C534A9">
        <w:rPr>
          <w:rFonts w:ascii="Arial" w:hAnsi="Arial" w:cs="Arial"/>
          <w:sz w:val="22"/>
        </w:rPr>
        <w:t xml:space="preserve">Figure 2.2 below shows the EIA </w:t>
      </w:r>
      <w:r w:rsidR="00D67CE0" w:rsidRPr="00C534A9">
        <w:rPr>
          <w:rFonts w:ascii="Arial" w:hAnsi="Arial" w:cs="Arial"/>
          <w:sz w:val="22"/>
        </w:rPr>
        <w:t>2015</w:t>
      </w:r>
      <w:r w:rsidRPr="00C534A9">
        <w:rPr>
          <w:rFonts w:ascii="Arial" w:hAnsi="Arial" w:cs="Arial"/>
          <w:sz w:val="22"/>
        </w:rPr>
        <w:t xml:space="preserve"> AEO WTI price forecast to 2040 under the three scenarios. In both the Reference case and High Oil Price scenarios, WTI prices are expected to recover from recent lows—most dramatically in the high oil price scenario</w:t>
      </w:r>
      <w:r w:rsidR="00927E96" w:rsidRPr="00C534A9">
        <w:rPr>
          <w:rFonts w:ascii="Arial" w:hAnsi="Arial" w:cs="Arial"/>
          <w:sz w:val="22"/>
        </w:rPr>
        <w:t>, which envisions</w:t>
      </w:r>
      <w:r w:rsidRPr="00C534A9">
        <w:rPr>
          <w:rFonts w:ascii="Arial" w:hAnsi="Arial" w:cs="Arial"/>
          <w:sz w:val="22"/>
        </w:rPr>
        <w:t xml:space="preserve"> WTI reaching well over US$100 per barrel by 2017. The low oil price scenario, however, suggests that WTI will not return above US$50 in real terms until 2035—an exceptionally prolonged period of low prices. Togethe</w:t>
      </w:r>
      <w:r w:rsidR="0044086E" w:rsidRPr="00C534A9">
        <w:rPr>
          <w:rFonts w:ascii="Arial" w:hAnsi="Arial" w:cs="Arial"/>
          <w:sz w:val="22"/>
        </w:rPr>
        <w:t>r, these two scenarios describe</w:t>
      </w:r>
      <w:r w:rsidRPr="00C534A9">
        <w:rPr>
          <w:rFonts w:ascii="Arial" w:hAnsi="Arial" w:cs="Arial"/>
          <w:sz w:val="22"/>
        </w:rPr>
        <w:t xml:space="preserve"> a very wide range of possible outcomes for the future global oil market.</w:t>
      </w:r>
    </w:p>
    <w:p w:rsidR="00552328" w:rsidRDefault="00552328" w:rsidP="00C534A9">
      <w:pPr>
        <w:jc w:val="both"/>
        <w:rPr>
          <w:rFonts w:ascii="Arial" w:hAnsi="Arial" w:cs="Arial"/>
          <w:sz w:val="22"/>
        </w:rPr>
      </w:pPr>
    </w:p>
    <w:p w:rsidR="00552328" w:rsidRPr="00C534A9" w:rsidRDefault="00552328" w:rsidP="00C534A9">
      <w:pPr>
        <w:jc w:val="both"/>
        <w:rPr>
          <w:rFonts w:ascii="Arial" w:hAnsi="Arial" w:cs="Arial"/>
          <w:sz w:val="22"/>
        </w:rPr>
      </w:pPr>
    </w:p>
    <w:p w:rsidR="00C42C7B" w:rsidRPr="00C534A9" w:rsidRDefault="00C42C7B" w:rsidP="00C534A9">
      <w:pPr>
        <w:pStyle w:val="Caption"/>
        <w:jc w:val="both"/>
        <w:rPr>
          <w:rFonts w:ascii="Arial" w:hAnsi="Arial" w:cs="Arial"/>
          <w:sz w:val="22"/>
        </w:rPr>
      </w:pPr>
      <w:bookmarkStart w:id="11" w:name="_Toc463508964"/>
      <w:r w:rsidRPr="00C534A9">
        <w:rPr>
          <w:rFonts w:ascii="Arial" w:hAnsi="Arial" w:cs="Arial"/>
          <w:sz w:val="22"/>
        </w:rPr>
        <w:t xml:space="preserve">Figure </w:t>
      </w:r>
      <w:r w:rsidR="000B10D3" w:rsidRPr="00C534A9">
        <w:rPr>
          <w:rFonts w:ascii="Arial" w:hAnsi="Arial" w:cs="Arial"/>
          <w:sz w:val="22"/>
        </w:rPr>
        <w:t>2.2</w:t>
      </w:r>
      <w:r w:rsidRPr="00C534A9">
        <w:rPr>
          <w:rFonts w:ascii="Arial" w:hAnsi="Arial" w:cs="Arial"/>
          <w:sz w:val="22"/>
        </w:rPr>
        <w:t xml:space="preserve">: WTI Price outlook under EIA </w:t>
      </w:r>
      <w:r w:rsidR="00D67CE0" w:rsidRPr="00C534A9">
        <w:rPr>
          <w:rFonts w:ascii="Arial" w:hAnsi="Arial" w:cs="Arial"/>
          <w:sz w:val="22"/>
        </w:rPr>
        <w:t>2015</w:t>
      </w:r>
      <w:r w:rsidRPr="00C534A9">
        <w:rPr>
          <w:rFonts w:ascii="Arial" w:hAnsi="Arial" w:cs="Arial"/>
          <w:sz w:val="22"/>
        </w:rPr>
        <w:t xml:space="preserve"> Annual Energy Outlook Oil Price Scenarios (2015 US$ per barrel)</w:t>
      </w:r>
      <w:bookmarkEnd w:id="11"/>
    </w:p>
    <w:p w:rsidR="003343DE" w:rsidRPr="00C534A9" w:rsidRDefault="00D67CE0" w:rsidP="00C534A9">
      <w:pPr>
        <w:jc w:val="both"/>
        <w:rPr>
          <w:rFonts w:ascii="Arial" w:hAnsi="Arial" w:cs="Arial"/>
          <w:sz w:val="18"/>
          <w:szCs w:val="20"/>
        </w:rPr>
      </w:pPr>
      <w:r w:rsidRPr="00C534A9">
        <w:rPr>
          <w:rFonts w:ascii="Arial" w:hAnsi="Arial" w:cs="Arial"/>
          <w:noProof/>
          <w:sz w:val="18"/>
          <w:szCs w:val="20"/>
        </w:rPr>
        <w:drawing>
          <wp:inline distT="0" distB="0" distL="0" distR="0" wp14:anchorId="5DF8064E" wp14:editId="0F16C1EB">
            <wp:extent cx="4572635"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rsidR="00C42C7B" w:rsidRPr="00C534A9" w:rsidRDefault="000B10D3" w:rsidP="00C534A9">
      <w:pPr>
        <w:jc w:val="both"/>
        <w:rPr>
          <w:rFonts w:ascii="Arial" w:hAnsi="Arial" w:cs="Arial"/>
          <w:sz w:val="22"/>
        </w:rPr>
      </w:pPr>
      <w:r w:rsidRPr="00C534A9">
        <w:rPr>
          <w:rFonts w:ascii="Arial" w:hAnsi="Arial" w:cs="Arial"/>
          <w:sz w:val="22"/>
        </w:rPr>
        <w:t xml:space="preserve">Figure 2.3 below shows the forecast for LPG prices using the same three cases from the </w:t>
      </w:r>
      <w:r w:rsidR="00D67CE0" w:rsidRPr="00C534A9">
        <w:rPr>
          <w:rFonts w:ascii="Arial" w:hAnsi="Arial" w:cs="Arial"/>
          <w:sz w:val="22"/>
        </w:rPr>
        <w:t>2015</w:t>
      </w:r>
      <w:r w:rsidRPr="00C534A9">
        <w:rPr>
          <w:rFonts w:ascii="Arial" w:hAnsi="Arial" w:cs="Arial"/>
          <w:sz w:val="22"/>
        </w:rPr>
        <w:t xml:space="preserve"> EIA AEO.  LPG is produced through both refining crude oil and also processing associated liquids from natural gas. As a result, the price of LPG is influenced by trends in both crude oil and natural gas supply.  </w:t>
      </w:r>
    </w:p>
    <w:p w:rsidR="00C42C7B" w:rsidRPr="00C534A9" w:rsidRDefault="00C42C7B" w:rsidP="00C534A9">
      <w:pPr>
        <w:pStyle w:val="Caption"/>
        <w:jc w:val="both"/>
        <w:rPr>
          <w:rFonts w:ascii="Arial" w:hAnsi="Arial" w:cs="Arial"/>
          <w:sz w:val="22"/>
        </w:rPr>
      </w:pPr>
      <w:bookmarkStart w:id="12" w:name="_Toc463508965"/>
      <w:r w:rsidRPr="00C534A9">
        <w:rPr>
          <w:rFonts w:ascii="Arial" w:hAnsi="Arial" w:cs="Arial"/>
          <w:sz w:val="22"/>
        </w:rPr>
        <w:t xml:space="preserve">Figure </w:t>
      </w:r>
      <w:r w:rsidR="000B10D3" w:rsidRPr="00C534A9">
        <w:rPr>
          <w:rFonts w:ascii="Arial" w:hAnsi="Arial" w:cs="Arial"/>
          <w:sz w:val="22"/>
        </w:rPr>
        <w:t>2.3</w:t>
      </w:r>
      <w:r w:rsidRPr="00C534A9">
        <w:rPr>
          <w:rFonts w:ascii="Arial" w:hAnsi="Arial" w:cs="Arial"/>
          <w:sz w:val="22"/>
        </w:rPr>
        <w:t xml:space="preserve">: LPG Price outlook under EIA </w:t>
      </w:r>
      <w:r w:rsidR="00D67CE0" w:rsidRPr="00C534A9">
        <w:rPr>
          <w:rFonts w:ascii="Arial" w:hAnsi="Arial" w:cs="Arial"/>
          <w:sz w:val="22"/>
        </w:rPr>
        <w:t>2015</w:t>
      </w:r>
      <w:r w:rsidRPr="00C534A9">
        <w:rPr>
          <w:rFonts w:ascii="Arial" w:hAnsi="Arial" w:cs="Arial"/>
          <w:sz w:val="22"/>
        </w:rPr>
        <w:t xml:space="preserve"> Annual Energy Outlook Oil Price Scenarios (2015 US$ per gallon)</w:t>
      </w:r>
      <w:bookmarkEnd w:id="12"/>
    </w:p>
    <w:p w:rsidR="00C42C7B" w:rsidRPr="00C534A9" w:rsidRDefault="00D67CE0" w:rsidP="00C534A9">
      <w:pPr>
        <w:jc w:val="both"/>
        <w:rPr>
          <w:rFonts w:ascii="Arial" w:hAnsi="Arial" w:cs="Arial"/>
          <w:sz w:val="18"/>
          <w:szCs w:val="20"/>
        </w:rPr>
      </w:pPr>
      <w:r w:rsidRPr="00C534A9">
        <w:rPr>
          <w:rFonts w:ascii="Arial" w:hAnsi="Arial" w:cs="Arial"/>
          <w:noProof/>
          <w:sz w:val="18"/>
          <w:szCs w:val="20"/>
        </w:rPr>
        <w:drawing>
          <wp:inline distT="0" distB="0" distL="0" distR="0" wp14:anchorId="771A1734" wp14:editId="3EF926FE">
            <wp:extent cx="4572635"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rsidR="000B10D3" w:rsidRPr="00C534A9" w:rsidRDefault="000B10D3" w:rsidP="00D132E2">
      <w:pPr>
        <w:pStyle w:val="Heading2"/>
        <w:jc w:val="both"/>
        <w:rPr>
          <w:rFonts w:ascii="Arial" w:hAnsi="Arial" w:cs="Arial"/>
        </w:rPr>
      </w:pPr>
      <w:bookmarkStart w:id="13" w:name="_Toc464551494"/>
      <w:r w:rsidRPr="00C534A9">
        <w:rPr>
          <w:rFonts w:ascii="Arial" w:hAnsi="Arial" w:cs="Arial"/>
          <w:sz w:val="24"/>
        </w:rPr>
        <w:t>Barbados LNG viable price range</w:t>
      </w:r>
      <w:bookmarkEnd w:id="13"/>
    </w:p>
    <w:p w:rsidR="00997A64" w:rsidRPr="00C534A9" w:rsidRDefault="0044086E" w:rsidP="00D132E2">
      <w:pPr>
        <w:jc w:val="both"/>
        <w:rPr>
          <w:rFonts w:ascii="Arial" w:hAnsi="Arial" w:cs="Arial"/>
          <w:sz w:val="22"/>
        </w:rPr>
      </w:pPr>
      <w:r w:rsidRPr="00C534A9">
        <w:rPr>
          <w:rFonts w:ascii="Arial" w:hAnsi="Arial" w:cs="Arial"/>
          <w:sz w:val="22"/>
        </w:rPr>
        <w:t xml:space="preserve">Because oil and natural gas prices are </w:t>
      </w:r>
      <w:r w:rsidR="00997A64" w:rsidRPr="00C534A9">
        <w:rPr>
          <w:rFonts w:ascii="Arial" w:hAnsi="Arial" w:cs="Arial"/>
          <w:sz w:val="22"/>
        </w:rPr>
        <w:t>influenced by both common and disparate factors,</w:t>
      </w:r>
      <w:r w:rsidRPr="00C534A9">
        <w:rPr>
          <w:rFonts w:ascii="Arial" w:hAnsi="Arial" w:cs="Arial"/>
          <w:sz w:val="22"/>
        </w:rPr>
        <w:t xml:space="preserve"> they </w:t>
      </w:r>
      <w:r w:rsidR="00997A64" w:rsidRPr="00C534A9">
        <w:rPr>
          <w:rFonts w:ascii="Arial" w:hAnsi="Arial" w:cs="Arial"/>
          <w:sz w:val="22"/>
        </w:rPr>
        <w:t xml:space="preserve">can diverge from each other but rarely </w:t>
      </w:r>
      <w:r w:rsidRPr="00C534A9">
        <w:rPr>
          <w:rFonts w:ascii="Arial" w:hAnsi="Arial" w:cs="Arial"/>
          <w:sz w:val="22"/>
        </w:rPr>
        <w:t xml:space="preserve">do </w:t>
      </w:r>
      <w:r w:rsidR="00997A64" w:rsidRPr="00C534A9">
        <w:rPr>
          <w:rFonts w:ascii="Arial" w:hAnsi="Arial" w:cs="Arial"/>
          <w:sz w:val="22"/>
        </w:rPr>
        <w:t xml:space="preserve">so </w:t>
      </w:r>
      <w:r w:rsidRPr="00C534A9">
        <w:rPr>
          <w:rFonts w:ascii="Arial" w:hAnsi="Arial" w:cs="Arial"/>
          <w:sz w:val="22"/>
        </w:rPr>
        <w:t>for extended periods of time</w:t>
      </w:r>
      <w:r w:rsidR="00997A64" w:rsidRPr="00C534A9">
        <w:rPr>
          <w:rFonts w:ascii="Arial" w:hAnsi="Arial" w:cs="Arial"/>
          <w:sz w:val="22"/>
        </w:rPr>
        <w:t xml:space="preserve">. This is </w:t>
      </w:r>
      <w:r w:rsidRPr="00C534A9">
        <w:rPr>
          <w:rFonts w:ascii="Arial" w:hAnsi="Arial" w:cs="Arial"/>
          <w:sz w:val="22"/>
        </w:rPr>
        <w:t xml:space="preserve">shown in the </w:t>
      </w:r>
      <w:r w:rsidR="00997A64" w:rsidRPr="00C534A9">
        <w:rPr>
          <w:rFonts w:ascii="Arial" w:hAnsi="Arial" w:cs="Arial"/>
          <w:sz w:val="22"/>
        </w:rPr>
        <w:t xml:space="preserve">broad </w:t>
      </w:r>
      <w:r w:rsidRPr="00C534A9">
        <w:rPr>
          <w:rFonts w:ascii="Arial" w:hAnsi="Arial" w:cs="Arial"/>
          <w:sz w:val="22"/>
        </w:rPr>
        <w:t>similarity of the curves for WTI and HH under each scenario above</w:t>
      </w:r>
      <w:r w:rsidR="00997A64" w:rsidRPr="00C534A9">
        <w:rPr>
          <w:rFonts w:ascii="Arial" w:hAnsi="Arial" w:cs="Arial"/>
          <w:sz w:val="22"/>
        </w:rPr>
        <w:t xml:space="preserve"> despite a relatively wide variation in the early years, particularly for the high oil price scenario</w:t>
      </w:r>
      <w:r w:rsidRPr="00C534A9">
        <w:rPr>
          <w:rFonts w:ascii="Arial" w:hAnsi="Arial" w:cs="Arial"/>
          <w:sz w:val="22"/>
        </w:rPr>
        <w:t xml:space="preserve">. </w:t>
      </w:r>
    </w:p>
    <w:p w:rsidR="000B10D3" w:rsidRPr="00C534A9" w:rsidRDefault="0044086E" w:rsidP="00D132E2">
      <w:pPr>
        <w:jc w:val="both"/>
        <w:rPr>
          <w:rFonts w:ascii="Arial" w:hAnsi="Arial" w:cs="Arial"/>
          <w:sz w:val="22"/>
        </w:rPr>
      </w:pPr>
      <w:r w:rsidRPr="00C534A9">
        <w:rPr>
          <w:rFonts w:ascii="Arial" w:hAnsi="Arial" w:cs="Arial"/>
          <w:sz w:val="22"/>
        </w:rPr>
        <w:t xml:space="preserve">For the Project to be financially viable, the delivered cost of LNG in Barbados must be lower than delivered cost of the alternative fuels, HFO and LPG.  After accounting for the different costs in preparing and shipping each fuel, there is a minimum price differential between WTI and Henry Hub that would allow LNG to be competitive in Barbados.  Figure 2.4 below shows that LNG is viable in Barbados whenever the price of WTI is more than US$6.50 higher than the price of Henry Hub on a per </w:t>
      </w:r>
      <w:proofErr w:type="spellStart"/>
      <w:r w:rsidRPr="00C534A9">
        <w:rPr>
          <w:rFonts w:ascii="Arial" w:hAnsi="Arial" w:cs="Arial"/>
          <w:sz w:val="22"/>
        </w:rPr>
        <w:t>MMBtu</w:t>
      </w:r>
      <w:proofErr w:type="spellEnd"/>
      <w:r w:rsidRPr="00C534A9">
        <w:rPr>
          <w:rFonts w:ascii="Arial" w:hAnsi="Arial" w:cs="Arial"/>
          <w:sz w:val="22"/>
        </w:rPr>
        <w:t xml:space="preserve"> basis. </w:t>
      </w:r>
      <w:r w:rsidR="00997A64" w:rsidRPr="00C534A9">
        <w:rPr>
          <w:rFonts w:ascii="Arial" w:hAnsi="Arial" w:cs="Arial"/>
          <w:sz w:val="22"/>
        </w:rPr>
        <w:t>If WTI is b</w:t>
      </w:r>
      <w:r w:rsidRPr="00C534A9">
        <w:rPr>
          <w:rFonts w:ascii="Arial" w:hAnsi="Arial" w:cs="Arial"/>
          <w:sz w:val="22"/>
        </w:rPr>
        <w:t>etween roughly US$1.00 and US$6.50</w:t>
      </w:r>
      <w:r w:rsidR="00997A64" w:rsidRPr="00C534A9">
        <w:rPr>
          <w:rFonts w:ascii="Arial" w:hAnsi="Arial" w:cs="Arial"/>
          <w:sz w:val="22"/>
        </w:rPr>
        <w:t xml:space="preserve"> more than Henry Hub</w:t>
      </w:r>
      <w:r w:rsidRPr="00C534A9">
        <w:rPr>
          <w:rFonts w:ascii="Arial" w:hAnsi="Arial" w:cs="Arial"/>
          <w:sz w:val="22"/>
        </w:rPr>
        <w:t xml:space="preserve">, LNG can be viable depending on the specific costs of the transportation and regasification technologies being used (for example, shipping LNG through ISO containers </w:t>
      </w:r>
      <w:r w:rsidR="00997A64" w:rsidRPr="00C534A9">
        <w:rPr>
          <w:rFonts w:ascii="Arial" w:hAnsi="Arial" w:cs="Arial"/>
          <w:sz w:val="22"/>
        </w:rPr>
        <w:t>is</w:t>
      </w:r>
      <w:r w:rsidRPr="00C534A9">
        <w:rPr>
          <w:rFonts w:ascii="Arial" w:hAnsi="Arial" w:cs="Arial"/>
          <w:sz w:val="22"/>
        </w:rPr>
        <w:t xml:space="preserve"> more expensive than shipping it through a dedicated LNG tanker). </w:t>
      </w:r>
      <w:r w:rsidR="00C93CAB" w:rsidRPr="00C534A9">
        <w:rPr>
          <w:rFonts w:ascii="Arial" w:hAnsi="Arial" w:cs="Arial"/>
          <w:sz w:val="22"/>
        </w:rPr>
        <w:t xml:space="preserve">When the premium for WTI is less than </w:t>
      </w:r>
      <w:r w:rsidRPr="00C534A9">
        <w:rPr>
          <w:rFonts w:ascii="Arial" w:hAnsi="Arial" w:cs="Arial"/>
          <w:sz w:val="22"/>
        </w:rPr>
        <w:t>US$1.00</w:t>
      </w:r>
      <w:r w:rsidR="00C93CAB" w:rsidRPr="00C534A9">
        <w:rPr>
          <w:rFonts w:ascii="Arial" w:hAnsi="Arial" w:cs="Arial"/>
          <w:sz w:val="22"/>
        </w:rPr>
        <w:t xml:space="preserve"> above Henry Hub</w:t>
      </w:r>
      <w:r w:rsidRPr="00C534A9">
        <w:rPr>
          <w:rFonts w:ascii="Arial" w:hAnsi="Arial" w:cs="Arial"/>
          <w:sz w:val="22"/>
        </w:rPr>
        <w:t>, natural gas is not competitive with HFO</w:t>
      </w:r>
      <w:r w:rsidR="00997A64" w:rsidRPr="00C534A9">
        <w:rPr>
          <w:rFonts w:ascii="Arial" w:hAnsi="Arial" w:cs="Arial"/>
          <w:sz w:val="22"/>
        </w:rPr>
        <w:t xml:space="preserve"> in Barbados</w:t>
      </w:r>
      <w:r w:rsidRPr="00C534A9">
        <w:rPr>
          <w:rFonts w:ascii="Arial" w:hAnsi="Arial" w:cs="Arial"/>
          <w:sz w:val="22"/>
        </w:rPr>
        <w:t xml:space="preserve">. </w:t>
      </w:r>
    </w:p>
    <w:p w:rsidR="000B10D3" w:rsidRPr="00C534A9" w:rsidRDefault="000B10D3" w:rsidP="00C534A9">
      <w:pPr>
        <w:pStyle w:val="Caption"/>
        <w:jc w:val="both"/>
        <w:rPr>
          <w:rFonts w:ascii="Arial" w:hAnsi="Arial" w:cs="Arial"/>
          <w:sz w:val="22"/>
        </w:rPr>
      </w:pPr>
      <w:bookmarkStart w:id="14" w:name="_Toc463508966"/>
      <w:r w:rsidRPr="00C534A9">
        <w:rPr>
          <w:rFonts w:ascii="Arial" w:hAnsi="Arial" w:cs="Arial"/>
          <w:sz w:val="22"/>
        </w:rPr>
        <w:t xml:space="preserve">Figure </w:t>
      </w:r>
      <w:r w:rsidR="0044086E" w:rsidRPr="00C534A9">
        <w:rPr>
          <w:rFonts w:ascii="Arial" w:hAnsi="Arial" w:cs="Arial"/>
          <w:sz w:val="22"/>
        </w:rPr>
        <w:t>2.4</w:t>
      </w:r>
      <w:r w:rsidRPr="00C534A9">
        <w:rPr>
          <w:rFonts w:ascii="Arial" w:hAnsi="Arial" w:cs="Arial"/>
          <w:sz w:val="22"/>
        </w:rPr>
        <w:t xml:space="preserve">: Barbados LNG Viability under EIA </w:t>
      </w:r>
      <w:r w:rsidR="00D67CE0" w:rsidRPr="00C534A9">
        <w:rPr>
          <w:rFonts w:ascii="Arial" w:hAnsi="Arial" w:cs="Arial"/>
          <w:sz w:val="22"/>
        </w:rPr>
        <w:t>2015</w:t>
      </w:r>
      <w:r w:rsidRPr="00C534A9">
        <w:rPr>
          <w:rFonts w:ascii="Arial" w:hAnsi="Arial" w:cs="Arial"/>
          <w:sz w:val="22"/>
        </w:rPr>
        <w:t xml:space="preserve"> Annual Energy Outlook Oil Price Scenarios (</w:t>
      </w:r>
      <w:r w:rsidR="0044086E" w:rsidRPr="00C534A9">
        <w:rPr>
          <w:rFonts w:ascii="Arial" w:hAnsi="Arial" w:cs="Arial"/>
          <w:sz w:val="22"/>
        </w:rPr>
        <w:t xml:space="preserve">WTI premium over Henry Hub in </w:t>
      </w:r>
      <w:r w:rsidRPr="00C534A9">
        <w:rPr>
          <w:rFonts w:ascii="Arial" w:hAnsi="Arial" w:cs="Arial"/>
          <w:sz w:val="22"/>
        </w:rPr>
        <w:t xml:space="preserve">2015 US$ per </w:t>
      </w:r>
      <w:proofErr w:type="spellStart"/>
      <w:r w:rsidRPr="00C534A9">
        <w:rPr>
          <w:rFonts w:ascii="Arial" w:hAnsi="Arial" w:cs="Arial"/>
          <w:sz w:val="22"/>
        </w:rPr>
        <w:t>MMBtu</w:t>
      </w:r>
      <w:proofErr w:type="spellEnd"/>
      <w:r w:rsidRPr="00C534A9">
        <w:rPr>
          <w:rFonts w:ascii="Arial" w:hAnsi="Arial" w:cs="Arial"/>
          <w:sz w:val="22"/>
        </w:rPr>
        <w:t>)</w:t>
      </w:r>
      <w:bookmarkEnd w:id="14"/>
    </w:p>
    <w:p w:rsidR="000B10D3" w:rsidRPr="00C534A9" w:rsidRDefault="00D67CE0" w:rsidP="00D132E2">
      <w:pPr>
        <w:jc w:val="both"/>
        <w:rPr>
          <w:rFonts w:ascii="Arial" w:hAnsi="Arial" w:cs="Arial"/>
          <w:sz w:val="18"/>
          <w:szCs w:val="20"/>
        </w:rPr>
      </w:pPr>
      <w:r w:rsidRPr="00C534A9">
        <w:rPr>
          <w:rFonts w:ascii="Arial" w:hAnsi="Arial" w:cs="Arial"/>
          <w:noProof/>
          <w:sz w:val="18"/>
          <w:szCs w:val="20"/>
        </w:rPr>
        <w:drawing>
          <wp:inline distT="0" distB="0" distL="0" distR="0" wp14:anchorId="7759B6E9" wp14:editId="47CB0447">
            <wp:extent cx="4733420" cy="343409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27219" cy="3429598"/>
                    </a:xfrm>
                    <a:prstGeom prst="rect">
                      <a:avLst/>
                    </a:prstGeom>
                    <a:noFill/>
                  </pic:spPr>
                </pic:pic>
              </a:graphicData>
            </a:graphic>
          </wp:inline>
        </w:drawing>
      </w:r>
    </w:p>
    <w:p w:rsidR="00C93CAB" w:rsidRPr="00C534A9" w:rsidRDefault="00C93CAB" w:rsidP="00C534A9">
      <w:pPr>
        <w:jc w:val="both"/>
        <w:rPr>
          <w:rFonts w:ascii="Arial" w:hAnsi="Arial" w:cs="Arial"/>
          <w:sz w:val="22"/>
        </w:rPr>
      </w:pPr>
      <w:r w:rsidRPr="00C534A9">
        <w:rPr>
          <w:rFonts w:ascii="Arial" w:hAnsi="Arial" w:cs="Arial"/>
          <w:sz w:val="22"/>
        </w:rPr>
        <w:t>As shown in Figure 2.4, the EI</w:t>
      </w:r>
      <w:r w:rsidR="00D67CE0" w:rsidRPr="00C534A9">
        <w:rPr>
          <w:rFonts w:ascii="Arial" w:hAnsi="Arial" w:cs="Arial"/>
          <w:sz w:val="22"/>
        </w:rPr>
        <w:t xml:space="preserve">A Reference Case price forecast is well within the </w:t>
      </w:r>
      <w:proofErr w:type="gramStart"/>
      <w:r w:rsidR="00D67CE0" w:rsidRPr="00C534A9">
        <w:rPr>
          <w:rFonts w:ascii="Arial" w:hAnsi="Arial" w:cs="Arial"/>
          <w:sz w:val="22"/>
        </w:rPr>
        <w:t>Viable</w:t>
      </w:r>
      <w:proofErr w:type="gramEnd"/>
      <w:r w:rsidR="00D67CE0" w:rsidRPr="00C534A9">
        <w:rPr>
          <w:rFonts w:ascii="Arial" w:hAnsi="Arial" w:cs="Arial"/>
          <w:sz w:val="22"/>
        </w:rPr>
        <w:t xml:space="preserve"> range from 2017</w:t>
      </w:r>
      <w:r w:rsidRPr="00C534A9">
        <w:rPr>
          <w:rFonts w:ascii="Arial" w:hAnsi="Arial" w:cs="Arial"/>
          <w:sz w:val="22"/>
        </w:rPr>
        <w:t xml:space="preserve"> onward, while the Low Oil Price scenario remains within the “Potentially Viable” range throughout the period.</w:t>
      </w:r>
    </w:p>
    <w:p w:rsidR="00D5364D" w:rsidRPr="00C534A9" w:rsidRDefault="00D5364D" w:rsidP="00C534A9">
      <w:pPr>
        <w:pStyle w:val="Heading1"/>
        <w:jc w:val="both"/>
        <w:rPr>
          <w:rFonts w:ascii="Arial" w:hAnsi="Arial" w:cs="Arial"/>
          <w:sz w:val="24"/>
        </w:rPr>
      </w:pPr>
      <w:bookmarkStart w:id="15" w:name="_Ref428291142"/>
      <w:bookmarkStart w:id="16" w:name="_Ref428291146"/>
      <w:bookmarkStart w:id="17" w:name="_Toc428351508"/>
      <w:bookmarkStart w:id="18" w:name="_Toc464551495"/>
      <w:r w:rsidRPr="00C534A9">
        <w:rPr>
          <w:rFonts w:ascii="Arial" w:hAnsi="Arial" w:cs="Arial"/>
          <w:sz w:val="24"/>
        </w:rPr>
        <w:t xml:space="preserve">Cost Benefit Analysis of </w:t>
      </w:r>
      <w:bookmarkEnd w:id="15"/>
      <w:bookmarkEnd w:id="16"/>
      <w:bookmarkEnd w:id="17"/>
      <w:r w:rsidR="0029421B" w:rsidRPr="00C534A9">
        <w:rPr>
          <w:rFonts w:ascii="Arial" w:hAnsi="Arial" w:cs="Arial"/>
          <w:sz w:val="24"/>
        </w:rPr>
        <w:t xml:space="preserve">the </w:t>
      </w:r>
      <w:r w:rsidR="00416EE9" w:rsidRPr="00C534A9">
        <w:rPr>
          <w:rFonts w:ascii="Arial" w:hAnsi="Arial" w:cs="Arial"/>
          <w:sz w:val="24"/>
        </w:rPr>
        <w:t>M</w:t>
      </w:r>
      <w:r w:rsidR="0029421B" w:rsidRPr="00C534A9">
        <w:rPr>
          <w:rFonts w:ascii="Arial" w:hAnsi="Arial" w:cs="Arial"/>
          <w:sz w:val="24"/>
        </w:rPr>
        <w:t xml:space="preserve">icro-LNG </w:t>
      </w:r>
      <w:r w:rsidR="00416EE9" w:rsidRPr="00C534A9">
        <w:rPr>
          <w:rFonts w:ascii="Arial" w:hAnsi="Arial" w:cs="Arial"/>
          <w:sz w:val="24"/>
        </w:rPr>
        <w:t>F</w:t>
      </w:r>
      <w:r w:rsidR="0029421B" w:rsidRPr="00C534A9">
        <w:rPr>
          <w:rFonts w:ascii="Arial" w:hAnsi="Arial" w:cs="Arial"/>
          <w:sz w:val="24"/>
        </w:rPr>
        <w:t xml:space="preserve">acility </w:t>
      </w:r>
      <w:r w:rsidR="00416EE9" w:rsidRPr="00C534A9">
        <w:rPr>
          <w:rFonts w:ascii="Arial" w:hAnsi="Arial" w:cs="Arial"/>
          <w:sz w:val="24"/>
        </w:rPr>
        <w:t>E</w:t>
      </w:r>
      <w:r w:rsidR="0029421B" w:rsidRPr="00C534A9">
        <w:rPr>
          <w:rFonts w:ascii="Arial" w:hAnsi="Arial" w:cs="Arial"/>
          <w:sz w:val="24"/>
        </w:rPr>
        <w:t>xpansion</w:t>
      </w:r>
      <w:r w:rsidR="00416EE9" w:rsidRPr="00C534A9">
        <w:rPr>
          <w:rFonts w:ascii="Arial" w:hAnsi="Arial" w:cs="Arial"/>
          <w:sz w:val="24"/>
        </w:rPr>
        <w:t xml:space="preserve"> and Compressor Replacement Sub-Project</w:t>
      </w:r>
      <w:bookmarkEnd w:id="18"/>
    </w:p>
    <w:p w:rsidR="00D5364D" w:rsidRPr="00C534A9" w:rsidRDefault="00D5364D" w:rsidP="00C534A9">
      <w:pPr>
        <w:jc w:val="both"/>
        <w:rPr>
          <w:rFonts w:ascii="Arial" w:hAnsi="Arial" w:cs="Arial"/>
          <w:sz w:val="22"/>
        </w:rPr>
      </w:pPr>
      <w:r w:rsidRPr="00C534A9">
        <w:rPr>
          <w:rFonts w:ascii="Arial" w:hAnsi="Arial" w:cs="Arial"/>
          <w:sz w:val="22"/>
        </w:rPr>
        <w:t xml:space="preserve">The purpose of this section is to determine whether </w:t>
      </w:r>
      <w:r w:rsidR="00382866" w:rsidRPr="00C534A9">
        <w:rPr>
          <w:rFonts w:ascii="Arial" w:hAnsi="Arial" w:cs="Arial"/>
          <w:sz w:val="22"/>
        </w:rPr>
        <w:t xml:space="preserve">the expansion of the micro-LNG facility and replacement of the current natural gas compressors that will be funded under </w:t>
      </w:r>
      <w:r w:rsidRPr="00C534A9">
        <w:rPr>
          <w:rFonts w:ascii="Arial" w:hAnsi="Arial" w:cs="Arial"/>
          <w:sz w:val="22"/>
        </w:rPr>
        <w:t xml:space="preserve">the </w:t>
      </w:r>
      <w:r w:rsidR="00382866" w:rsidRPr="00C534A9">
        <w:rPr>
          <w:rFonts w:ascii="Arial" w:hAnsi="Arial" w:cs="Arial"/>
          <w:sz w:val="22"/>
        </w:rPr>
        <w:t>proposed l</w:t>
      </w:r>
      <w:r w:rsidRPr="00C534A9">
        <w:rPr>
          <w:rFonts w:ascii="Arial" w:hAnsi="Arial" w:cs="Arial"/>
          <w:sz w:val="22"/>
        </w:rPr>
        <w:t xml:space="preserve">oan </w:t>
      </w:r>
      <w:r w:rsidR="00382866" w:rsidRPr="00C534A9">
        <w:rPr>
          <w:rFonts w:ascii="Arial" w:hAnsi="Arial" w:cs="Arial"/>
          <w:sz w:val="22"/>
        </w:rPr>
        <w:t xml:space="preserve">operation </w:t>
      </w:r>
      <w:r w:rsidRPr="00C534A9">
        <w:rPr>
          <w:rFonts w:ascii="Arial" w:hAnsi="Arial" w:cs="Arial"/>
          <w:sz w:val="22"/>
        </w:rPr>
        <w:t>(</w:t>
      </w:r>
      <w:r w:rsidR="00382866" w:rsidRPr="00C534A9">
        <w:rPr>
          <w:rFonts w:ascii="Arial" w:hAnsi="Arial" w:cs="Arial"/>
          <w:sz w:val="22"/>
        </w:rPr>
        <w:t>the Project</w:t>
      </w:r>
      <w:r w:rsidRPr="00C534A9">
        <w:rPr>
          <w:rFonts w:ascii="Arial" w:hAnsi="Arial" w:cs="Arial"/>
          <w:sz w:val="22"/>
        </w:rPr>
        <w:t xml:space="preserve">) is economically viable. </w:t>
      </w:r>
      <w:r w:rsidR="00382866" w:rsidRPr="00C534A9">
        <w:rPr>
          <w:rFonts w:ascii="Arial" w:hAnsi="Arial" w:cs="Arial"/>
          <w:sz w:val="22"/>
        </w:rPr>
        <w:t>The</w:t>
      </w:r>
      <w:r w:rsidRPr="00C534A9">
        <w:rPr>
          <w:rFonts w:ascii="Arial" w:hAnsi="Arial" w:cs="Arial"/>
          <w:sz w:val="22"/>
        </w:rPr>
        <w:t xml:space="preserve"> Cost Benefit Analysis (CBA) </w:t>
      </w:r>
      <w:r w:rsidR="00382866" w:rsidRPr="00C534A9">
        <w:rPr>
          <w:rFonts w:ascii="Arial" w:hAnsi="Arial" w:cs="Arial"/>
          <w:sz w:val="22"/>
        </w:rPr>
        <w:t>described below finds that these sub-projects have</w:t>
      </w:r>
      <w:r w:rsidRPr="00C534A9">
        <w:rPr>
          <w:rFonts w:ascii="Arial" w:hAnsi="Arial" w:cs="Arial"/>
          <w:sz w:val="22"/>
        </w:rPr>
        <w:t xml:space="preserve"> an aggregate net present value </w:t>
      </w:r>
      <w:r w:rsidR="00E14C8B" w:rsidRPr="00C534A9">
        <w:rPr>
          <w:rFonts w:ascii="Arial" w:hAnsi="Arial" w:cs="Arial"/>
          <w:sz w:val="22"/>
        </w:rPr>
        <w:t xml:space="preserve">(NPV) </w:t>
      </w:r>
      <w:r w:rsidRPr="00C534A9">
        <w:rPr>
          <w:rFonts w:ascii="Arial" w:hAnsi="Arial" w:cs="Arial"/>
          <w:sz w:val="22"/>
        </w:rPr>
        <w:t>of approximately US$</w:t>
      </w:r>
      <w:r w:rsidR="007545BC" w:rsidRPr="00C534A9">
        <w:rPr>
          <w:rFonts w:ascii="Arial" w:hAnsi="Arial" w:cs="Arial"/>
          <w:sz w:val="22"/>
        </w:rPr>
        <w:t>9.2</w:t>
      </w:r>
      <w:r w:rsidR="00763386" w:rsidRPr="00C534A9">
        <w:rPr>
          <w:rFonts w:ascii="Arial" w:hAnsi="Arial" w:cs="Arial"/>
          <w:sz w:val="22"/>
        </w:rPr>
        <w:t xml:space="preserve"> </w:t>
      </w:r>
      <w:r w:rsidRPr="00C534A9">
        <w:rPr>
          <w:rFonts w:ascii="Arial" w:hAnsi="Arial" w:cs="Arial"/>
          <w:sz w:val="22"/>
        </w:rPr>
        <w:t xml:space="preserve">million and </w:t>
      </w:r>
      <w:r w:rsidR="002377C5" w:rsidRPr="00C534A9">
        <w:rPr>
          <w:rFonts w:ascii="Arial" w:hAnsi="Arial" w:cs="Arial"/>
          <w:sz w:val="22"/>
        </w:rPr>
        <w:t xml:space="preserve">an </w:t>
      </w:r>
      <w:r w:rsidR="00382866" w:rsidRPr="00C534A9">
        <w:rPr>
          <w:rFonts w:ascii="Arial" w:hAnsi="Arial" w:cs="Arial"/>
          <w:sz w:val="22"/>
        </w:rPr>
        <w:t>economic</w:t>
      </w:r>
      <w:r w:rsidRPr="00C534A9">
        <w:rPr>
          <w:rFonts w:ascii="Arial" w:hAnsi="Arial" w:cs="Arial"/>
          <w:sz w:val="22"/>
        </w:rPr>
        <w:t xml:space="preserve"> rate of return of </w:t>
      </w:r>
      <w:r w:rsidR="007545BC" w:rsidRPr="00C534A9">
        <w:rPr>
          <w:rFonts w:ascii="Arial" w:hAnsi="Arial" w:cs="Arial"/>
          <w:sz w:val="22"/>
        </w:rPr>
        <w:t>27</w:t>
      </w:r>
      <w:r w:rsidRPr="00C534A9">
        <w:rPr>
          <w:rFonts w:ascii="Arial" w:hAnsi="Arial" w:cs="Arial"/>
          <w:sz w:val="22"/>
        </w:rPr>
        <w:t xml:space="preserve">% percent. That is, the </w:t>
      </w:r>
      <w:r w:rsidR="00382866" w:rsidRPr="00C534A9">
        <w:rPr>
          <w:rFonts w:ascii="Arial" w:hAnsi="Arial" w:cs="Arial"/>
          <w:sz w:val="22"/>
        </w:rPr>
        <w:t>sub-</w:t>
      </w:r>
      <w:r w:rsidR="00E14C8B" w:rsidRPr="00C534A9">
        <w:rPr>
          <w:rFonts w:ascii="Arial" w:hAnsi="Arial" w:cs="Arial"/>
          <w:sz w:val="22"/>
        </w:rPr>
        <w:t>projects are</w:t>
      </w:r>
      <w:r w:rsidRPr="00C534A9">
        <w:rPr>
          <w:rFonts w:ascii="Arial" w:hAnsi="Arial" w:cs="Arial"/>
          <w:sz w:val="22"/>
        </w:rPr>
        <w:t xml:space="preserve"> economically viable. </w:t>
      </w:r>
      <w:r w:rsidR="00382866" w:rsidRPr="00C534A9">
        <w:rPr>
          <w:rFonts w:ascii="Arial" w:hAnsi="Arial" w:cs="Arial"/>
          <w:sz w:val="22"/>
        </w:rPr>
        <w:t xml:space="preserve"> </w:t>
      </w:r>
    </w:p>
    <w:p w:rsidR="00D5364D" w:rsidRPr="00C534A9" w:rsidRDefault="00E14C8B" w:rsidP="00C534A9">
      <w:pPr>
        <w:jc w:val="both"/>
        <w:rPr>
          <w:rFonts w:ascii="Arial" w:hAnsi="Arial" w:cs="Arial"/>
          <w:sz w:val="22"/>
        </w:rPr>
      </w:pPr>
      <w:r w:rsidRPr="00C534A9">
        <w:rPr>
          <w:rFonts w:ascii="Arial" w:hAnsi="Arial" w:cs="Arial"/>
          <w:sz w:val="22"/>
        </w:rPr>
        <w:t>The analysis to calc</w:t>
      </w:r>
      <w:r w:rsidR="00011C5A" w:rsidRPr="00C534A9">
        <w:rPr>
          <w:rFonts w:ascii="Arial" w:hAnsi="Arial" w:cs="Arial"/>
          <w:sz w:val="22"/>
        </w:rPr>
        <w:t>ulate the net present value of t</w:t>
      </w:r>
      <w:r w:rsidR="00810F5A" w:rsidRPr="00C534A9">
        <w:rPr>
          <w:rFonts w:ascii="Arial" w:hAnsi="Arial" w:cs="Arial"/>
          <w:sz w:val="22"/>
        </w:rPr>
        <w:t xml:space="preserve">he </w:t>
      </w:r>
      <w:r w:rsidR="00815EEE" w:rsidRPr="00C534A9">
        <w:rPr>
          <w:rFonts w:ascii="Arial" w:hAnsi="Arial" w:cs="Arial"/>
          <w:sz w:val="22"/>
        </w:rPr>
        <w:t>sub-projec</w:t>
      </w:r>
      <w:r w:rsidR="00011C5A" w:rsidRPr="00C534A9">
        <w:rPr>
          <w:rFonts w:ascii="Arial" w:hAnsi="Arial" w:cs="Arial"/>
          <w:sz w:val="22"/>
        </w:rPr>
        <w:t>ts</w:t>
      </w:r>
      <w:r w:rsidRPr="00C534A9">
        <w:rPr>
          <w:rFonts w:ascii="Arial" w:hAnsi="Arial" w:cs="Arial"/>
          <w:sz w:val="22"/>
        </w:rPr>
        <w:t xml:space="preserve"> is presented as follows: </w:t>
      </w:r>
    </w:p>
    <w:p w:rsidR="00D5364D" w:rsidRPr="00C534A9" w:rsidRDefault="00D5364D" w:rsidP="00C534A9">
      <w:pPr>
        <w:pStyle w:val="ListParagraph"/>
        <w:numPr>
          <w:ilvl w:val="0"/>
          <w:numId w:val="16"/>
        </w:numPr>
        <w:jc w:val="both"/>
        <w:rPr>
          <w:rFonts w:ascii="Arial" w:hAnsi="Arial" w:cs="Arial"/>
          <w:sz w:val="22"/>
        </w:rPr>
      </w:pPr>
      <w:r w:rsidRPr="00C534A9">
        <w:rPr>
          <w:rFonts w:ascii="Arial" w:hAnsi="Arial" w:cs="Arial"/>
          <w:sz w:val="22"/>
        </w:rPr>
        <w:t xml:space="preserve">Methodology and Assumptions (Section </w:t>
      </w:r>
      <w:r w:rsidRPr="00C534A9">
        <w:rPr>
          <w:rFonts w:ascii="Arial" w:hAnsi="Arial" w:cs="Arial"/>
          <w:sz w:val="22"/>
        </w:rPr>
        <w:fldChar w:fldCharType="begin"/>
      </w:r>
      <w:r w:rsidRPr="00C534A9">
        <w:rPr>
          <w:rFonts w:ascii="Arial" w:hAnsi="Arial" w:cs="Arial"/>
          <w:sz w:val="22"/>
        </w:rPr>
        <w:instrText xml:space="preserve"> REF _Ref423357305 \r \h  \* MERGEFORMAT </w:instrText>
      </w:r>
      <w:r w:rsidRPr="00C534A9">
        <w:rPr>
          <w:rFonts w:ascii="Arial" w:hAnsi="Arial" w:cs="Arial"/>
          <w:sz w:val="22"/>
        </w:rPr>
      </w:r>
      <w:r w:rsidRPr="00C534A9">
        <w:rPr>
          <w:rFonts w:ascii="Arial" w:hAnsi="Arial" w:cs="Arial"/>
          <w:sz w:val="22"/>
        </w:rPr>
        <w:fldChar w:fldCharType="separate"/>
      </w:r>
      <w:r w:rsidR="003F3D75" w:rsidRPr="00C534A9">
        <w:rPr>
          <w:rFonts w:ascii="Arial" w:hAnsi="Arial" w:cs="Arial"/>
          <w:sz w:val="22"/>
        </w:rPr>
        <w:t>3.1</w:t>
      </w:r>
      <w:r w:rsidRPr="00C534A9">
        <w:rPr>
          <w:rFonts w:ascii="Arial" w:hAnsi="Arial" w:cs="Arial"/>
          <w:sz w:val="22"/>
        </w:rPr>
        <w:fldChar w:fldCharType="end"/>
      </w:r>
      <w:r w:rsidRPr="00C534A9">
        <w:rPr>
          <w:rFonts w:ascii="Arial" w:hAnsi="Arial" w:cs="Arial"/>
          <w:sz w:val="22"/>
        </w:rPr>
        <w:t>)</w:t>
      </w:r>
    </w:p>
    <w:p w:rsidR="00D5364D" w:rsidRPr="00C534A9" w:rsidRDefault="00D5364D" w:rsidP="00C534A9">
      <w:pPr>
        <w:pStyle w:val="ListParagraph"/>
        <w:numPr>
          <w:ilvl w:val="0"/>
          <w:numId w:val="16"/>
        </w:numPr>
        <w:jc w:val="both"/>
        <w:rPr>
          <w:rFonts w:ascii="Arial" w:hAnsi="Arial" w:cs="Arial"/>
          <w:sz w:val="22"/>
        </w:rPr>
      </w:pPr>
      <w:r w:rsidRPr="00C534A9">
        <w:rPr>
          <w:rFonts w:ascii="Arial" w:hAnsi="Arial" w:cs="Arial"/>
          <w:sz w:val="22"/>
        </w:rPr>
        <w:t xml:space="preserve">Economic Costs, Economic Benefits, and Net Economic Benefits of the </w:t>
      </w:r>
      <w:r w:rsidR="00E14C8B" w:rsidRPr="00C534A9">
        <w:rPr>
          <w:rFonts w:ascii="Arial" w:hAnsi="Arial" w:cs="Arial"/>
          <w:sz w:val="22"/>
        </w:rPr>
        <w:t>Component</w:t>
      </w:r>
      <w:r w:rsidRPr="00C534A9">
        <w:rPr>
          <w:rFonts w:ascii="Arial" w:hAnsi="Arial" w:cs="Arial"/>
          <w:sz w:val="22"/>
        </w:rPr>
        <w:t xml:space="preserve"> (Section </w:t>
      </w:r>
      <w:r w:rsidRPr="00C534A9">
        <w:rPr>
          <w:rFonts w:ascii="Arial" w:hAnsi="Arial" w:cs="Arial"/>
          <w:sz w:val="22"/>
        </w:rPr>
        <w:fldChar w:fldCharType="begin"/>
      </w:r>
      <w:r w:rsidRPr="00C534A9">
        <w:rPr>
          <w:rFonts w:ascii="Arial" w:hAnsi="Arial" w:cs="Arial"/>
          <w:sz w:val="22"/>
        </w:rPr>
        <w:instrText xml:space="preserve"> REF _Ref423357309 \r \h  \* MERGEFORMAT </w:instrText>
      </w:r>
      <w:r w:rsidRPr="00C534A9">
        <w:rPr>
          <w:rFonts w:ascii="Arial" w:hAnsi="Arial" w:cs="Arial"/>
          <w:sz w:val="22"/>
        </w:rPr>
      </w:r>
      <w:r w:rsidRPr="00C534A9">
        <w:rPr>
          <w:rFonts w:ascii="Arial" w:hAnsi="Arial" w:cs="Arial"/>
          <w:sz w:val="22"/>
        </w:rPr>
        <w:fldChar w:fldCharType="separate"/>
      </w:r>
      <w:r w:rsidR="003F3D75" w:rsidRPr="00C534A9">
        <w:rPr>
          <w:rFonts w:ascii="Arial" w:hAnsi="Arial" w:cs="Arial"/>
          <w:sz w:val="22"/>
        </w:rPr>
        <w:t>3.2</w:t>
      </w:r>
      <w:r w:rsidRPr="00C534A9">
        <w:rPr>
          <w:rFonts w:ascii="Arial" w:hAnsi="Arial" w:cs="Arial"/>
          <w:sz w:val="22"/>
        </w:rPr>
        <w:fldChar w:fldCharType="end"/>
      </w:r>
      <w:r w:rsidRPr="00C534A9">
        <w:rPr>
          <w:rFonts w:ascii="Arial" w:hAnsi="Arial" w:cs="Arial"/>
          <w:sz w:val="22"/>
        </w:rPr>
        <w:t>)</w:t>
      </w:r>
    </w:p>
    <w:p w:rsidR="00D5364D" w:rsidRPr="00C534A9" w:rsidRDefault="00D5364D" w:rsidP="00C534A9">
      <w:pPr>
        <w:pStyle w:val="ListParagraph"/>
        <w:numPr>
          <w:ilvl w:val="0"/>
          <w:numId w:val="16"/>
        </w:numPr>
        <w:jc w:val="both"/>
        <w:rPr>
          <w:rFonts w:ascii="Arial" w:hAnsi="Arial" w:cs="Arial"/>
          <w:sz w:val="22"/>
        </w:rPr>
      </w:pPr>
      <w:r w:rsidRPr="00C534A9">
        <w:rPr>
          <w:rFonts w:ascii="Arial" w:hAnsi="Arial" w:cs="Arial"/>
          <w:sz w:val="22"/>
        </w:rPr>
        <w:t xml:space="preserve">Sensitivity Analysis of </w:t>
      </w:r>
      <w:r w:rsidR="00E14C8B" w:rsidRPr="00C534A9">
        <w:rPr>
          <w:rFonts w:ascii="Arial" w:hAnsi="Arial" w:cs="Arial"/>
          <w:sz w:val="22"/>
        </w:rPr>
        <w:t>the Component</w:t>
      </w:r>
      <w:r w:rsidRPr="00C534A9">
        <w:rPr>
          <w:rFonts w:ascii="Arial" w:hAnsi="Arial" w:cs="Arial"/>
          <w:sz w:val="22"/>
        </w:rPr>
        <w:t xml:space="preserve"> (Section </w:t>
      </w:r>
      <w:r w:rsidRPr="00C534A9">
        <w:rPr>
          <w:rFonts w:ascii="Arial" w:hAnsi="Arial" w:cs="Arial"/>
          <w:sz w:val="22"/>
        </w:rPr>
        <w:fldChar w:fldCharType="begin"/>
      </w:r>
      <w:r w:rsidRPr="00C534A9">
        <w:rPr>
          <w:rFonts w:ascii="Arial" w:hAnsi="Arial" w:cs="Arial"/>
          <w:sz w:val="22"/>
        </w:rPr>
        <w:instrText xml:space="preserve"> REF _Ref423357314 \r \h  \* MERGEFORMAT </w:instrText>
      </w:r>
      <w:r w:rsidRPr="00C534A9">
        <w:rPr>
          <w:rFonts w:ascii="Arial" w:hAnsi="Arial" w:cs="Arial"/>
          <w:sz w:val="22"/>
        </w:rPr>
      </w:r>
      <w:r w:rsidRPr="00C534A9">
        <w:rPr>
          <w:rFonts w:ascii="Arial" w:hAnsi="Arial" w:cs="Arial"/>
          <w:sz w:val="22"/>
        </w:rPr>
        <w:fldChar w:fldCharType="separate"/>
      </w:r>
      <w:r w:rsidR="003F3D75" w:rsidRPr="00C534A9">
        <w:rPr>
          <w:rFonts w:ascii="Arial" w:hAnsi="Arial" w:cs="Arial"/>
          <w:sz w:val="22"/>
        </w:rPr>
        <w:t>3.3</w:t>
      </w:r>
      <w:r w:rsidRPr="00C534A9">
        <w:rPr>
          <w:rFonts w:ascii="Arial" w:hAnsi="Arial" w:cs="Arial"/>
          <w:sz w:val="22"/>
        </w:rPr>
        <w:fldChar w:fldCharType="end"/>
      </w:r>
      <w:r w:rsidRPr="00C534A9">
        <w:rPr>
          <w:rFonts w:ascii="Arial" w:hAnsi="Arial" w:cs="Arial"/>
          <w:sz w:val="22"/>
        </w:rPr>
        <w:t>)</w:t>
      </w:r>
    </w:p>
    <w:p w:rsidR="00D5364D" w:rsidRPr="00C534A9" w:rsidRDefault="00D5364D" w:rsidP="00C534A9">
      <w:pPr>
        <w:pStyle w:val="Caption"/>
        <w:jc w:val="both"/>
        <w:rPr>
          <w:rFonts w:ascii="Arial" w:hAnsi="Arial" w:cs="Arial"/>
          <w:sz w:val="22"/>
        </w:rPr>
      </w:pPr>
      <w:bookmarkStart w:id="19" w:name="_Ref405903787"/>
      <w:bookmarkStart w:id="20" w:name="_Toc405892214"/>
      <w:bookmarkStart w:id="21" w:name="_Toc406061407"/>
      <w:bookmarkStart w:id="22" w:name="_Toc418270570"/>
      <w:bookmarkStart w:id="23" w:name="_Toc423341376"/>
      <w:bookmarkStart w:id="24" w:name="_Toc428351547"/>
      <w:bookmarkStart w:id="25" w:name="_Toc463508504"/>
      <w:bookmarkStart w:id="26" w:name="_Toc463508967"/>
      <w:proofErr w:type="gramStart"/>
      <w:r w:rsidRPr="00C534A9">
        <w:rPr>
          <w:rFonts w:ascii="Arial" w:hAnsi="Arial" w:cs="Arial"/>
          <w:sz w:val="22"/>
        </w:rPr>
        <w:t xml:space="preserve">Figure </w:t>
      </w:r>
      <w:r w:rsidR="007D6B36" w:rsidRPr="00C534A9">
        <w:rPr>
          <w:rFonts w:ascii="Arial" w:hAnsi="Arial" w:cs="Arial"/>
          <w:sz w:val="22"/>
        </w:rPr>
        <w:fldChar w:fldCharType="begin"/>
      </w:r>
      <w:r w:rsidR="007D6B36" w:rsidRPr="00C534A9">
        <w:rPr>
          <w:rFonts w:ascii="Arial" w:hAnsi="Arial" w:cs="Arial"/>
          <w:sz w:val="22"/>
        </w:rPr>
        <w:instrText xml:space="preserve"> STYLEREF 1 \s </w:instrText>
      </w:r>
      <w:r w:rsidR="007D6B36" w:rsidRPr="00C534A9">
        <w:rPr>
          <w:rFonts w:ascii="Arial" w:hAnsi="Arial" w:cs="Arial"/>
          <w:sz w:val="22"/>
        </w:rPr>
        <w:fldChar w:fldCharType="separate"/>
      </w:r>
      <w:r w:rsidR="003F3D75" w:rsidRPr="00C534A9">
        <w:rPr>
          <w:rFonts w:ascii="Arial" w:hAnsi="Arial" w:cs="Arial"/>
          <w:noProof/>
          <w:sz w:val="22"/>
        </w:rPr>
        <w:t>3</w:t>
      </w:r>
      <w:r w:rsidR="007D6B36" w:rsidRPr="00C534A9">
        <w:rPr>
          <w:rFonts w:ascii="Arial" w:hAnsi="Arial" w:cs="Arial"/>
          <w:noProof/>
          <w:sz w:val="22"/>
        </w:rPr>
        <w:fldChar w:fldCharType="end"/>
      </w:r>
      <w:r w:rsidRPr="00C534A9">
        <w:rPr>
          <w:rFonts w:ascii="Arial" w:hAnsi="Arial" w:cs="Arial"/>
          <w:sz w:val="22"/>
        </w:rPr>
        <w:t>.</w:t>
      </w:r>
      <w:proofErr w:type="gramEnd"/>
      <w:r w:rsidR="003343DE" w:rsidRPr="00C534A9">
        <w:rPr>
          <w:rFonts w:ascii="Arial" w:hAnsi="Arial" w:cs="Arial"/>
          <w:sz w:val="22"/>
        </w:rPr>
        <w:fldChar w:fldCharType="begin"/>
      </w:r>
      <w:r w:rsidR="003343DE" w:rsidRPr="00C534A9">
        <w:rPr>
          <w:rFonts w:ascii="Arial" w:hAnsi="Arial" w:cs="Arial"/>
          <w:sz w:val="22"/>
        </w:rPr>
        <w:instrText xml:space="preserve"> SEQ Figure \* ARABIC \s 1 </w:instrText>
      </w:r>
      <w:r w:rsidR="003343DE" w:rsidRPr="00C534A9">
        <w:rPr>
          <w:rFonts w:ascii="Arial" w:hAnsi="Arial" w:cs="Arial"/>
          <w:sz w:val="22"/>
        </w:rPr>
        <w:fldChar w:fldCharType="separate"/>
      </w:r>
      <w:r w:rsidR="003F3D75" w:rsidRPr="00C534A9">
        <w:rPr>
          <w:rFonts w:ascii="Arial" w:hAnsi="Arial" w:cs="Arial"/>
          <w:noProof/>
          <w:sz w:val="22"/>
        </w:rPr>
        <w:t>1</w:t>
      </w:r>
      <w:r w:rsidR="003343DE" w:rsidRPr="00C534A9">
        <w:rPr>
          <w:rFonts w:ascii="Arial" w:hAnsi="Arial" w:cs="Arial"/>
          <w:noProof/>
          <w:sz w:val="22"/>
        </w:rPr>
        <w:fldChar w:fldCharType="end"/>
      </w:r>
      <w:bookmarkEnd w:id="19"/>
      <w:r w:rsidRPr="00C534A9">
        <w:rPr>
          <w:rFonts w:ascii="Arial" w:hAnsi="Arial" w:cs="Arial"/>
          <w:sz w:val="22"/>
        </w:rPr>
        <w:t xml:space="preserve">: Net Economic Benefits of </w:t>
      </w:r>
      <w:bookmarkEnd w:id="20"/>
      <w:bookmarkEnd w:id="21"/>
      <w:bookmarkEnd w:id="22"/>
      <w:bookmarkEnd w:id="23"/>
      <w:bookmarkEnd w:id="24"/>
      <w:r w:rsidR="00810F5A" w:rsidRPr="00C534A9">
        <w:rPr>
          <w:rFonts w:ascii="Arial" w:hAnsi="Arial" w:cs="Arial"/>
          <w:sz w:val="22"/>
        </w:rPr>
        <w:t>the micro-LNG facility expansion</w:t>
      </w:r>
      <w:r w:rsidR="00416EE9" w:rsidRPr="00C534A9">
        <w:rPr>
          <w:rFonts w:ascii="Arial" w:hAnsi="Arial" w:cs="Arial"/>
          <w:sz w:val="22"/>
        </w:rPr>
        <w:t xml:space="preserve"> and compressor replacement sub-project</w:t>
      </w:r>
      <w:r w:rsidR="007531CB" w:rsidRPr="00C534A9">
        <w:rPr>
          <w:rFonts w:ascii="Arial" w:hAnsi="Arial" w:cs="Arial"/>
          <w:sz w:val="22"/>
        </w:rPr>
        <w:t xml:space="preserve"> (‘000 US$)</w:t>
      </w:r>
      <w:bookmarkEnd w:id="25"/>
      <w:bookmarkEnd w:id="26"/>
    </w:p>
    <w:p w:rsidR="007C761F" w:rsidRPr="00C534A9" w:rsidRDefault="00F02666" w:rsidP="00C534A9">
      <w:pPr>
        <w:jc w:val="both"/>
        <w:rPr>
          <w:rFonts w:ascii="Arial" w:hAnsi="Arial" w:cs="Arial"/>
          <w:sz w:val="22"/>
        </w:rPr>
      </w:pPr>
      <w:r w:rsidRPr="00C534A9">
        <w:rPr>
          <w:rFonts w:ascii="Arial" w:hAnsi="Arial" w:cs="Arial"/>
          <w:noProof/>
          <w:sz w:val="22"/>
        </w:rPr>
        <w:drawing>
          <wp:inline distT="0" distB="0" distL="0" distR="0" wp14:anchorId="526FE664" wp14:editId="29E678ED">
            <wp:extent cx="4224655" cy="2273935"/>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24655" cy="2273935"/>
                    </a:xfrm>
                    <a:prstGeom prst="rect">
                      <a:avLst/>
                    </a:prstGeom>
                    <a:noFill/>
                  </pic:spPr>
                </pic:pic>
              </a:graphicData>
            </a:graphic>
          </wp:inline>
        </w:drawing>
      </w:r>
    </w:p>
    <w:p w:rsidR="00E14C8B" w:rsidRPr="00C534A9" w:rsidRDefault="00E14C8B" w:rsidP="00C534A9">
      <w:pPr>
        <w:pStyle w:val="Source"/>
        <w:jc w:val="both"/>
        <w:rPr>
          <w:rFonts w:ascii="Arial" w:hAnsi="Arial" w:cs="Arial"/>
          <w:sz w:val="18"/>
        </w:rPr>
      </w:pPr>
    </w:p>
    <w:p w:rsidR="00E14C8B" w:rsidRPr="00C534A9" w:rsidRDefault="00E14C8B" w:rsidP="00C534A9">
      <w:pPr>
        <w:pStyle w:val="Heading2"/>
        <w:jc w:val="both"/>
        <w:rPr>
          <w:rFonts w:ascii="Arial" w:hAnsi="Arial" w:cs="Arial"/>
          <w:sz w:val="24"/>
        </w:rPr>
      </w:pPr>
      <w:bookmarkStart w:id="27" w:name="_Toc423341355"/>
      <w:bookmarkStart w:id="28" w:name="_Ref423357305"/>
      <w:bookmarkStart w:id="29" w:name="_Toc423457925"/>
      <w:bookmarkStart w:id="30" w:name="_Toc428351509"/>
      <w:bookmarkStart w:id="31" w:name="_Toc464551496"/>
      <w:r w:rsidRPr="00C534A9">
        <w:rPr>
          <w:rFonts w:ascii="Arial" w:hAnsi="Arial" w:cs="Arial"/>
          <w:sz w:val="24"/>
        </w:rPr>
        <w:t>Methodology and Assumptions</w:t>
      </w:r>
      <w:bookmarkEnd w:id="27"/>
      <w:bookmarkEnd w:id="28"/>
      <w:bookmarkEnd w:id="29"/>
      <w:bookmarkEnd w:id="30"/>
      <w:bookmarkEnd w:id="31"/>
    </w:p>
    <w:p w:rsidR="00E14C8B" w:rsidRPr="00C534A9" w:rsidRDefault="00E14C8B" w:rsidP="00C534A9">
      <w:pPr>
        <w:jc w:val="both"/>
        <w:rPr>
          <w:rFonts w:ascii="Arial" w:hAnsi="Arial" w:cs="Arial"/>
          <w:sz w:val="22"/>
        </w:rPr>
      </w:pPr>
      <w:r w:rsidRPr="00C534A9">
        <w:rPr>
          <w:rFonts w:ascii="Arial" w:hAnsi="Arial" w:cs="Arial"/>
          <w:sz w:val="22"/>
        </w:rPr>
        <w:t>The objective of the CBA methodology is to determine whether or not</w:t>
      </w:r>
      <w:r w:rsidR="00621B06" w:rsidRPr="00C534A9">
        <w:rPr>
          <w:rFonts w:ascii="Arial" w:hAnsi="Arial" w:cs="Arial"/>
          <w:sz w:val="22"/>
        </w:rPr>
        <w:t xml:space="preserve"> </w:t>
      </w:r>
      <w:r w:rsidR="00011C5A" w:rsidRPr="00C534A9">
        <w:rPr>
          <w:rFonts w:ascii="Arial" w:hAnsi="Arial" w:cs="Arial"/>
          <w:sz w:val="22"/>
        </w:rPr>
        <w:t>the micro-LNG facility expansion and the natural gas compressor replacement are</w:t>
      </w:r>
      <w:r w:rsidRPr="00C534A9">
        <w:rPr>
          <w:rFonts w:ascii="Arial" w:hAnsi="Arial" w:cs="Arial"/>
          <w:sz w:val="22"/>
        </w:rPr>
        <w:t xml:space="preserve"> economically viable. </w:t>
      </w:r>
      <w:r w:rsidR="00621B06" w:rsidRPr="00C534A9">
        <w:rPr>
          <w:rFonts w:ascii="Arial" w:hAnsi="Arial" w:cs="Arial"/>
          <w:sz w:val="22"/>
        </w:rPr>
        <w:t xml:space="preserve">This is accomplished </w:t>
      </w:r>
      <w:r w:rsidRPr="00C534A9">
        <w:rPr>
          <w:rFonts w:ascii="Arial" w:hAnsi="Arial" w:cs="Arial"/>
          <w:sz w:val="22"/>
        </w:rPr>
        <w:t xml:space="preserve">by estimating the net benefits of the </w:t>
      </w:r>
      <w:r w:rsidR="00011C5A" w:rsidRPr="00C534A9">
        <w:rPr>
          <w:rFonts w:ascii="Arial" w:hAnsi="Arial" w:cs="Arial"/>
          <w:sz w:val="22"/>
        </w:rPr>
        <w:t>investments</w:t>
      </w:r>
      <w:r w:rsidRPr="00C534A9">
        <w:rPr>
          <w:rFonts w:ascii="Arial" w:hAnsi="Arial" w:cs="Arial"/>
          <w:sz w:val="22"/>
        </w:rPr>
        <w:t xml:space="preserve"> that will be financed by the </w:t>
      </w:r>
      <w:r w:rsidR="00011C5A" w:rsidRPr="00C534A9">
        <w:rPr>
          <w:rFonts w:ascii="Arial" w:hAnsi="Arial" w:cs="Arial"/>
          <w:sz w:val="22"/>
        </w:rPr>
        <w:t>sub-projects</w:t>
      </w:r>
      <w:r w:rsidRPr="00C534A9">
        <w:rPr>
          <w:rFonts w:ascii="Arial" w:hAnsi="Arial" w:cs="Arial"/>
          <w:sz w:val="22"/>
        </w:rPr>
        <w:t xml:space="preserve">. </w:t>
      </w:r>
    </w:p>
    <w:p w:rsidR="00E14C8B" w:rsidRPr="00C534A9" w:rsidRDefault="009F2643" w:rsidP="00C534A9">
      <w:pPr>
        <w:jc w:val="both"/>
        <w:rPr>
          <w:rFonts w:ascii="Arial" w:hAnsi="Arial" w:cs="Arial"/>
          <w:sz w:val="22"/>
        </w:rPr>
      </w:pPr>
      <w:r w:rsidRPr="00C534A9">
        <w:rPr>
          <w:rFonts w:ascii="Arial" w:hAnsi="Arial" w:cs="Arial"/>
          <w:sz w:val="22"/>
        </w:rPr>
        <w:t>The</w:t>
      </w:r>
      <w:r w:rsidR="00E14C8B" w:rsidRPr="00C534A9">
        <w:rPr>
          <w:rFonts w:ascii="Arial" w:hAnsi="Arial" w:cs="Arial"/>
          <w:sz w:val="22"/>
        </w:rPr>
        <w:t xml:space="preserve"> </w:t>
      </w:r>
      <w:r w:rsidR="00011C5A" w:rsidRPr="00C534A9">
        <w:rPr>
          <w:rFonts w:ascii="Arial" w:hAnsi="Arial" w:cs="Arial"/>
          <w:sz w:val="22"/>
        </w:rPr>
        <w:t>sub-projec</w:t>
      </w:r>
      <w:r w:rsidR="00621B06" w:rsidRPr="00C534A9">
        <w:rPr>
          <w:rFonts w:ascii="Arial" w:hAnsi="Arial" w:cs="Arial"/>
          <w:sz w:val="22"/>
        </w:rPr>
        <w:t>t’s net</w:t>
      </w:r>
      <w:r w:rsidR="00E14C8B" w:rsidRPr="00C534A9">
        <w:rPr>
          <w:rFonts w:ascii="Arial" w:hAnsi="Arial" w:cs="Arial"/>
          <w:sz w:val="22"/>
        </w:rPr>
        <w:t xml:space="preserve"> benefits </w:t>
      </w:r>
      <w:r w:rsidRPr="00C534A9">
        <w:rPr>
          <w:rFonts w:ascii="Arial" w:hAnsi="Arial" w:cs="Arial"/>
          <w:sz w:val="22"/>
        </w:rPr>
        <w:t xml:space="preserve">were determined </w:t>
      </w:r>
      <w:r w:rsidR="00E14C8B" w:rsidRPr="00C534A9">
        <w:rPr>
          <w:rFonts w:ascii="Arial" w:hAnsi="Arial" w:cs="Arial"/>
          <w:sz w:val="22"/>
        </w:rPr>
        <w:t xml:space="preserve">by </w:t>
      </w:r>
      <w:r w:rsidR="00621B06" w:rsidRPr="00C534A9">
        <w:rPr>
          <w:rFonts w:ascii="Arial" w:hAnsi="Arial" w:cs="Arial"/>
          <w:sz w:val="22"/>
        </w:rPr>
        <w:t>calculating</w:t>
      </w:r>
      <w:r w:rsidR="00E14C8B" w:rsidRPr="00C534A9">
        <w:rPr>
          <w:rFonts w:ascii="Arial" w:hAnsi="Arial" w:cs="Arial"/>
          <w:sz w:val="22"/>
        </w:rPr>
        <w:t xml:space="preserve"> the difference in </w:t>
      </w:r>
      <w:r w:rsidR="00011C5A" w:rsidRPr="00C534A9">
        <w:rPr>
          <w:rFonts w:ascii="Arial" w:hAnsi="Arial" w:cs="Arial"/>
          <w:sz w:val="22"/>
        </w:rPr>
        <w:t>fuel import costs and greenhouse gas emissions</w:t>
      </w:r>
      <w:r w:rsidR="00E14C8B" w:rsidRPr="00C534A9">
        <w:rPr>
          <w:rFonts w:ascii="Arial" w:hAnsi="Arial" w:cs="Arial"/>
          <w:sz w:val="22"/>
        </w:rPr>
        <w:t xml:space="preserve"> between the </w:t>
      </w:r>
      <w:r w:rsidR="00011C5A" w:rsidRPr="00C534A9">
        <w:rPr>
          <w:rFonts w:ascii="Arial" w:hAnsi="Arial" w:cs="Arial"/>
          <w:sz w:val="22"/>
        </w:rPr>
        <w:t xml:space="preserve">sub-project </w:t>
      </w:r>
      <w:r w:rsidR="00E14C8B" w:rsidRPr="00C534A9">
        <w:rPr>
          <w:rFonts w:ascii="Arial" w:hAnsi="Arial" w:cs="Arial"/>
          <w:sz w:val="22"/>
        </w:rPr>
        <w:t xml:space="preserve">scenario and the counterfactual scenario. The counterfactual scenario is </w:t>
      </w:r>
      <w:r w:rsidR="00011C5A" w:rsidRPr="00C534A9">
        <w:rPr>
          <w:rFonts w:ascii="Arial" w:hAnsi="Arial" w:cs="Arial"/>
          <w:sz w:val="22"/>
        </w:rPr>
        <w:t>one in which the proposed investments are not made, representing a “Business as Usual” (BAU) case</w:t>
      </w:r>
      <w:r w:rsidR="00E14C8B" w:rsidRPr="00C534A9">
        <w:rPr>
          <w:rFonts w:ascii="Arial" w:hAnsi="Arial" w:cs="Arial"/>
          <w:sz w:val="22"/>
        </w:rPr>
        <w:t xml:space="preserve">. </w:t>
      </w:r>
      <w:r w:rsidR="00011C5A" w:rsidRPr="00C534A9">
        <w:rPr>
          <w:rFonts w:ascii="Arial" w:hAnsi="Arial" w:cs="Arial"/>
          <w:sz w:val="22"/>
        </w:rPr>
        <w:t xml:space="preserve">In this counterfactual case, declining domestic natural gas production is not replaced by imported natural gas, resulting in economic losses for current natural gas customers. The BAU case also results in continued use of liquid fuels, such as fuel oil, diesel and LPG for those customers </w:t>
      </w:r>
      <w:r w:rsidR="00540E00" w:rsidRPr="00C534A9">
        <w:rPr>
          <w:rFonts w:ascii="Arial" w:hAnsi="Arial" w:cs="Arial"/>
          <w:sz w:val="22"/>
        </w:rPr>
        <w:t>that convert</w:t>
      </w:r>
      <w:r w:rsidR="00011C5A" w:rsidRPr="00C534A9">
        <w:rPr>
          <w:rFonts w:ascii="Arial" w:hAnsi="Arial" w:cs="Arial"/>
          <w:sz w:val="22"/>
        </w:rPr>
        <w:t xml:space="preserve"> to natural gas under the </w:t>
      </w:r>
      <w:r w:rsidR="00540E00" w:rsidRPr="00C534A9">
        <w:rPr>
          <w:rFonts w:ascii="Arial" w:hAnsi="Arial" w:cs="Arial"/>
          <w:sz w:val="22"/>
        </w:rPr>
        <w:t>micro-LNG expansion scenario.</w:t>
      </w:r>
    </w:p>
    <w:p w:rsidR="00E14C8B" w:rsidRPr="00C534A9" w:rsidRDefault="00E14C8B" w:rsidP="00C534A9">
      <w:pPr>
        <w:jc w:val="both"/>
        <w:rPr>
          <w:rFonts w:ascii="Arial" w:hAnsi="Arial" w:cs="Arial"/>
          <w:sz w:val="22"/>
        </w:rPr>
      </w:pPr>
      <w:r w:rsidRPr="00C534A9">
        <w:rPr>
          <w:rFonts w:ascii="Arial" w:hAnsi="Arial" w:cs="Arial"/>
          <w:sz w:val="22"/>
        </w:rPr>
        <w:t>The steps to calculate the net benefits of the Program are:</w:t>
      </w:r>
    </w:p>
    <w:p w:rsidR="00E14C8B" w:rsidRPr="00C534A9" w:rsidRDefault="00E14C8B" w:rsidP="00C534A9">
      <w:pPr>
        <w:pStyle w:val="ListParagraph"/>
        <w:numPr>
          <w:ilvl w:val="0"/>
          <w:numId w:val="36"/>
        </w:numPr>
        <w:jc w:val="both"/>
        <w:rPr>
          <w:rFonts w:ascii="Arial" w:hAnsi="Arial" w:cs="Arial"/>
          <w:sz w:val="22"/>
        </w:rPr>
      </w:pPr>
      <w:r w:rsidRPr="00C534A9">
        <w:rPr>
          <w:rFonts w:ascii="Arial" w:hAnsi="Arial" w:cs="Arial"/>
          <w:sz w:val="22"/>
        </w:rPr>
        <w:t xml:space="preserve">Estimate the economic costs of </w:t>
      </w:r>
      <w:r w:rsidR="00540E00" w:rsidRPr="00C534A9">
        <w:rPr>
          <w:rFonts w:ascii="Arial" w:hAnsi="Arial" w:cs="Arial"/>
          <w:sz w:val="22"/>
        </w:rPr>
        <w:t xml:space="preserve">expanding the micro-LNG facility and replacing the natural gas compressors </w:t>
      </w:r>
      <w:r w:rsidRPr="00C534A9">
        <w:rPr>
          <w:rFonts w:ascii="Arial" w:hAnsi="Arial" w:cs="Arial"/>
          <w:sz w:val="22"/>
        </w:rPr>
        <w:t xml:space="preserve">(Section </w:t>
      </w:r>
      <w:r w:rsidR="00540E00" w:rsidRPr="00C534A9">
        <w:rPr>
          <w:rFonts w:ascii="Arial" w:hAnsi="Arial" w:cs="Arial"/>
          <w:sz w:val="22"/>
        </w:rPr>
        <w:t>3.1.1</w:t>
      </w:r>
      <w:r w:rsidRPr="00C534A9">
        <w:rPr>
          <w:rFonts w:ascii="Arial" w:hAnsi="Arial" w:cs="Arial"/>
          <w:sz w:val="22"/>
        </w:rPr>
        <w:t>)</w:t>
      </w:r>
    </w:p>
    <w:p w:rsidR="00E14C8B" w:rsidRPr="00C534A9" w:rsidRDefault="00E14C8B" w:rsidP="00C534A9">
      <w:pPr>
        <w:pStyle w:val="ListParagraph"/>
        <w:numPr>
          <w:ilvl w:val="0"/>
          <w:numId w:val="36"/>
        </w:numPr>
        <w:jc w:val="both"/>
        <w:rPr>
          <w:rFonts w:ascii="Arial" w:hAnsi="Arial" w:cs="Arial"/>
          <w:sz w:val="22"/>
        </w:rPr>
      </w:pPr>
      <w:r w:rsidRPr="00C534A9">
        <w:rPr>
          <w:rFonts w:ascii="Arial" w:hAnsi="Arial" w:cs="Arial"/>
          <w:sz w:val="22"/>
        </w:rPr>
        <w:t xml:space="preserve">Estimate the economic benefits of </w:t>
      </w:r>
      <w:r w:rsidR="00540E00" w:rsidRPr="00C534A9">
        <w:rPr>
          <w:rFonts w:ascii="Arial" w:hAnsi="Arial" w:cs="Arial"/>
          <w:sz w:val="22"/>
        </w:rPr>
        <w:t>expanding the micro-LNG facility and replacing the natural gas compressors</w:t>
      </w:r>
      <w:r w:rsidRPr="00C534A9">
        <w:rPr>
          <w:rFonts w:ascii="Arial" w:hAnsi="Arial" w:cs="Arial"/>
          <w:sz w:val="22"/>
        </w:rPr>
        <w:t xml:space="preserve"> (Section</w:t>
      </w:r>
      <w:r w:rsidR="00540E00" w:rsidRPr="00C534A9">
        <w:rPr>
          <w:rFonts w:ascii="Arial" w:hAnsi="Arial" w:cs="Arial"/>
          <w:sz w:val="22"/>
        </w:rPr>
        <w:t xml:space="preserve"> 3.1.2)</w:t>
      </w:r>
    </w:p>
    <w:p w:rsidR="00540E00" w:rsidRPr="00C534A9" w:rsidRDefault="00E14C8B" w:rsidP="00C534A9">
      <w:pPr>
        <w:pStyle w:val="ListParagraph"/>
        <w:numPr>
          <w:ilvl w:val="0"/>
          <w:numId w:val="36"/>
        </w:numPr>
        <w:jc w:val="both"/>
        <w:rPr>
          <w:rFonts w:ascii="Arial" w:hAnsi="Arial" w:cs="Arial"/>
          <w:sz w:val="22"/>
        </w:rPr>
      </w:pPr>
      <w:r w:rsidRPr="00C534A9">
        <w:rPr>
          <w:rFonts w:ascii="Arial" w:hAnsi="Arial" w:cs="Arial"/>
          <w:sz w:val="22"/>
        </w:rPr>
        <w:t xml:space="preserve">Estimate the present value of </w:t>
      </w:r>
      <w:r w:rsidR="00540E00" w:rsidRPr="00C534A9">
        <w:rPr>
          <w:rFonts w:ascii="Arial" w:hAnsi="Arial" w:cs="Arial"/>
          <w:sz w:val="22"/>
        </w:rPr>
        <w:t>the sub-projects’</w:t>
      </w:r>
      <w:r w:rsidRPr="00C534A9">
        <w:rPr>
          <w:rFonts w:ascii="Arial" w:hAnsi="Arial" w:cs="Arial"/>
          <w:sz w:val="22"/>
        </w:rPr>
        <w:t xml:space="preserve"> net economic benefits (Section </w:t>
      </w:r>
      <w:r w:rsidRPr="00C534A9">
        <w:rPr>
          <w:rFonts w:ascii="Arial" w:hAnsi="Arial" w:cs="Arial"/>
          <w:sz w:val="22"/>
        </w:rPr>
        <w:fldChar w:fldCharType="begin"/>
      </w:r>
      <w:r w:rsidRPr="00C534A9">
        <w:rPr>
          <w:rFonts w:ascii="Arial" w:hAnsi="Arial" w:cs="Arial"/>
          <w:sz w:val="22"/>
        </w:rPr>
        <w:instrText xml:space="preserve"> REF _Ref423355941 \r \h  \* MERGEFORMAT </w:instrText>
      </w:r>
      <w:r w:rsidRPr="00C534A9">
        <w:rPr>
          <w:rFonts w:ascii="Arial" w:hAnsi="Arial" w:cs="Arial"/>
          <w:sz w:val="22"/>
        </w:rPr>
      </w:r>
      <w:r w:rsidRPr="00C534A9">
        <w:rPr>
          <w:rFonts w:ascii="Arial" w:hAnsi="Arial" w:cs="Arial"/>
          <w:sz w:val="22"/>
        </w:rPr>
        <w:fldChar w:fldCharType="separate"/>
      </w:r>
      <w:r w:rsidR="003F3D75" w:rsidRPr="00C534A9">
        <w:rPr>
          <w:rFonts w:ascii="Arial" w:hAnsi="Arial" w:cs="Arial"/>
          <w:sz w:val="22"/>
        </w:rPr>
        <w:t>3.1.3</w:t>
      </w:r>
      <w:r w:rsidRPr="00C534A9">
        <w:rPr>
          <w:rFonts w:ascii="Arial" w:hAnsi="Arial" w:cs="Arial"/>
          <w:sz w:val="22"/>
        </w:rPr>
        <w:fldChar w:fldCharType="end"/>
      </w:r>
      <w:r w:rsidRPr="00C534A9">
        <w:rPr>
          <w:rFonts w:ascii="Arial" w:hAnsi="Arial" w:cs="Arial"/>
          <w:sz w:val="22"/>
        </w:rPr>
        <w:t>).</w:t>
      </w:r>
    </w:p>
    <w:p w:rsidR="00E14C8B" w:rsidRPr="00C534A9" w:rsidRDefault="00621B06" w:rsidP="00C534A9">
      <w:pPr>
        <w:jc w:val="both"/>
        <w:rPr>
          <w:rFonts w:ascii="Arial" w:hAnsi="Arial" w:cs="Arial"/>
          <w:sz w:val="22"/>
        </w:rPr>
      </w:pPr>
      <w:r w:rsidRPr="00C534A9">
        <w:rPr>
          <w:rFonts w:ascii="Arial" w:hAnsi="Arial" w:cs="Arial"/>
          <w:sz w:val="22"/>
        </w:rPr>
        <w:t>E</w:t>
      </w:r>
      <w:r w:rsidR="00E14C8B" w:rsidRPr="00C534A9">
        <w:rPr>
          <w:rFonts w:ascii="Arial" w:hAnsi="Arial" w:cs="Arial"/>
          <w:sz w:val="22"/>
        </w:rPr>
        <w:t xml:space="preserve">ach of these steps and the assumptions used in their calculation (Section </w:t>
      </w:r>
      <w:r w:rsidR="00E14C8B" w:rsidRPr="00C534A9">
        <w:rPr>
          <w:rFonts w:ascii="Arial" w:hAnsi="Arial" w:cs="Arial"/>
          <w:sz w:val="22"/>
        </w:rPr>
        <w:fldChar w:fldCharType="begin"/>
      </w:r>
      <w:r w:rsidR="00E14C8B" w:rsidRPr="00C534A9">
        <w:rPr>
          <w:rFonts w:ascii="Arial" w:hAnsi="Arial" w:cs="Arial"/>
          <w:sz w:val="22"/>
        </w:rPr>
        <w:instrText xml:space="preserve"> REF _Ref423355969 \r \h  \* MERGEFORMAT </w:instrText>
      </w:r>
      <w:r w:rsidR="00E14C8B" w:rsidRPr="00C534A9">
        <w:rPr>
          <w:rFonts w:ascii="Arial" w:hAnsi="Arial" w:cs="Arial"/>
          <w:sz w:val="22"/>
        </w:rPr>
      </w:r>
      <w:r w:rsidR="00E14C8B" w:rsidRPr="00C534A9">
        <w:rPr>
          <w:rFonts w:ascii="Arial" w:hAnsi="Arial" w:cs="Arial"/>
          <w:sz w:val="22"/>
        </w:rPr>
        <w:fldChar w:fldCharType="separate"/>
      </w:r>
      <w:r w:rsidR="003F3D75" w:rsidRPr="00C534A9">
        <w:rPr>
          <w:rFonts w:ascii="Arial" w:hAnsi="Arial" w:cs="Arial"/>
          <w:sz w:val="22"/>
        </w:rPr>
        <w:t>3.1.4</w:t>
      </w:r>
      <w:r w:rsidR="00E14C8B" w:rsidRPr="00C534A9">
        <w:rPr>
          <w:rFonts w:ascii="Arial" w:hAnsi="Arial" w:cs="Arial"/>
          <w:sz w:val="22"/>
        </w:rPr>
        <w:fldChar w:fldCharType="end"/>
      </w:r>
      <w:r w:rsidR="00E14C8B" w:rsidRPr="00C534A9">
        <w:rPr>
          <w:rFonts w:ascii="Arial" w:hAnsi="Arial" w:cs="Arial"/>
          <w:sz w:val="22"/>
        </w:rPr>
        <w:t>)</w:t>
      </w:r>
      <w:r w:rsidRPr="00C534A9">
        <w:rPr>
          <w:rFonts w:ascii="Arial" w:hAnsi="Arial" w:cs="Arial"/>
          <w:sz w:val="22"/>
        </w:rPr>
        <w:t xml:space="preserve"> are described</w:t>
      </w:r>
      <w:r w:rsidR="00E14C8B" w:rsidRPr="00C534A9">
        <w:rPr>
          <w:rFonts w:ascii="Arial" w:hAnsi="Arial" w:cs="Arial"/>
          <w:sz w:val="22"/>
        </w:rPr>
        <w:t xml:space="preserve"> in more detail be</w:t>
      </w:r>
      <w:r w:rsidR="00540E00" w:rsidRPr="00C534A9">
        <w:rPr>
          <w:rFonts w:ascii="Arial" w:hAnsi="Arial" w:cs="Arial"/>
          <w:sz w:val="22"/>
        </w:rPr>
        <w:t>low.</w:t>
      </w:r>
    </w:p>
    <w:p w:rsidR="00621B06" w:rsidRPr="00C534A9" w:rsidRDefault="00621B06" w:rsidP="00C534A9">
      <w:pPr>
        <w:pStyle w:val="Heading3"/>
        <w:jc w:val="both"/>
        <w:rPr>
          <w:rFonts w:ascii="Arial" w:hAnsi="Arial" w:cs="Arial"/>
          <w:sz w:val="22"/>
        </w:rPr>
      </w:pPr>
      <w:bookmarkStart w:id="32" w:name="_Toc464551497"/>
      <w:r w:rsidRPr="00C534A9">
        <w:rPr>
          <w:rFonts w:ascii="Arial" w:hAnsi="Arial" w:cs="Arial"/>
          <w:sz w:val="22"/>
        </w:rPr>
        <w:t xml:space="preserve">Economic costs of </w:t>
      </w:r>
      <w:r w:rsidR="00540E00" w:rsidRPr="00C534A9">
        <w:rPr>
          <w:rFonts w:ascii="Arial" w:hAnsi="Arial" w:cs="Arial"/>
          <w:sz w:val="22"/>
        </w:rPr>
        <w:t>the micro-LNG expansion and natural gas compressor replacement</w:t>
      </w:r>
      <w:r w:rsidR="00416EE9" w:rsidRPr="00C534A9">
        <w:rPr>
          <w:rFonts w:ascii="Arial" w:hAnsi="Arial" w:cs="Arial"/>
          <w:sz w:val="22"/>
        </w:rPr>
        <w:t xml:space="preserve"> sub-project</w:t>
      </w:r>
      <w:bookmarkEnd w:id="32"/>
    </w:p>
    <w:p w:rsidR="00E14C8B" w:rsidRPr="00C534A9" w:rsidRDefault="009C6319" w:rsidP="00C534A9">
      <w:pPr>
        <w:jc w:val="both"/>
        <w:rPr>
          <w:rFonts w:ascii="Arial" w:hAnsi="Arial" w:cs="Arial"/>
          <w:sz w:val="22"/>
        </w:rPr>
      </w:pPr>
      <w:r w:rsidRPr="00C534A9">
        <w:rPr>
          <w:rFonts w:ascii="Arial" w:hAnsi="Arial" w:cs="Arial"/>
          <w:sz w:val="22"/>
        </w:rPr>
        <w:t xml:space="preserve">The economic costs of the </w:t>
      </w:r>
      <w:r w:rsidR="00540E00" w:rsidRPr="00C534A9">
        <w:rPr>
          <w:rFonts w:ascii="Arial" w:hAnsi="Arial" w:cs="Arial"/>
          <w:sz w:val="22"/>
        </w:rPr>
        <w:t>sub-</w:t>
      </w:r>
      <w:r w:rsidR="00416EE9" w:rsidRPr="00C534A9">
        <w:rPr>
          <w:rFonts w:ascii="Arial" w:hAnsi="Arial" w:cs="Arial"/>
          <w:sz w:val="22"/>
        </w:rPr>
        <w:t>project</w:t>
      </w:r>
      <w:r w:rsidR="00E14C8B" w:rsidRPr="00C534A9">
        <w:rPr>
          <w:rFonts w:ascii="Arial" w:hAnsi="Arial" w:cs="Arial"/>
          <w:sz w:val="22"/>
        </w:rPr>
        <w:t xml:space="preserve"> </w:t>
      </w:r>
      <w:r w:rsidRPr="00C534A9">
        <w:rPr>
          <w:rFonts w:ascii="Arial" w:hAnsi="Arial" w:cs="Arial"/>
          <w:sz w:val="22"/>
        </w:rPr>
        <w:t>include</w:t>
      </w:r>
      <w:r w:rsidR="00E14C8B" w:rsidRPr="00C534A9">
        <w:rPr>
          <w:rFonts w:ascii="Arial" w:hAnsi="Arial" w:cs="Arial"/>
          <w:sz w:val="22"/>
        </w:rPr>
        <w:t>:</w:t>
      </w:r>
    </w:p>
    <w:p w:rsidR="00621B06" w:rsidRPr="00C534A9" w:rsidRDefault="00E14C8B" w:rsidP="00C534A9">
      <w:pPr>
        <w:pStyle w:val="ListParagraph"/>
        <w:numPr>
          <w:ilvl w:val="0"/>
          <w:numId w:val="35"/>
        </w:numPr>
        <w:jc w:val="both"/>
        <w:rPr>
          <w:rFonts w:ascii="Arial" w:hAnsi="Arial" w:cs="Arial"/>
          <w:sz w:val="22"/>
        </w:rPr>
      </w:pPr>
      <w:r w:rsidRPr="00C534A9">
        <w:rPr>
          <w:rFonts w:ascii="Arial" w:hAnsi="Arial" w:cs="Arial"/>
          <w:b/>
          <w:sz w:val="22"/>
        </w:rPr>
        <w:t>Capital Expenditures (Capex)</w:t>
      </w:r>
      <w:r w:rsidRPr="00C534A9">
        <w:rPr>
          <w:rFonts w:ascii="Arial" w:hAnsi="Arial" w:cs="Arial"/>
          <w:sz w:val="22"/>
        </w:rPr>
        <w:t xml:space="preserve">—these are the capital investments needed to complete the </w:t>
      </w:r>
      <w:r w:rsidR="00540E00" w:rsidRPr="00C534A9">
        <w:rPr>
          <w:rFonts w:ascii="Arial" w:hAnsi="Arial" w:cs="Arial"/>
          <w:sz w:val="22"/>
        </w:rPr>
        <w:t>sub-</w:t>
      </w:r>
      <w:r w:rsidRPr="00C534A9">
        <w:rPr>
          <w:rFonts w:ascii="Arial" w:hAnsi="Arial" w:cs="Arial"/>
          <w:sz w:val="22"/>
        </w:rPr>
        <w:t xml:space="preserve">project. </w:t>
      </w:r>
      <w:r w:rsidR="009F2643" w:rsidRPr="00C534A9">
        <w:rPr>
          <w:rFonts w:ascii="Arial" w:hAnsi="Arial" w:cs="Arial"/>
          <w:sz w:val="22"/>
        </w:rPr>
        <w:t>These capital investments include</w:t>
      </w:r>
      <w:r w:rsidR="000B10D3" w:rsidRPr="00C534A9">
        <w:rPr>
          <w:rFonts w:ascii="Arial" w:hAnsi="Arial" w:cs="Arial"/>
          <w:sz w:val="22"/>
        </w:rPr>
        <w:t xml:space="preserve"> </w:t>
      </w:r>
      <w:r w:rsidRPr="00C534A9">
        <w:rPr>
          <w:rFonts w:ascii="Arial" w:hAnsi="Arial" w:cs="Arial"/>
          <w:sz w:val="22"/>
        </w:rPr>
        <w:t xml:space="preserve">the costs for </w:t>
      </w:r>
      <w:r w:rsidR="00540E00" w:rsidRPr="00C534A9">
        <w:rPr>
          <w:rFonts w:ascii="Arial" w:hAnsi="Arial" w:cs="Arial"/>
          <w:sz w:val="22"/>
        </w:rPr>
        <w:t xml:space="preserve">the physical upgrades to the micro-LNG site, LNG receiving and handling systems to accommodate the increased LNG through-put volumes, on-site LNG storage, additional ISO containers, </w:t>
      </w:r>
      <w:proofErr w:type="gramStart"/>
      <w:r w:rsidR="00540E00" w:rsidRPr="00C534A9">
        <w:rPr>
          <w:rFonts w:ascii="Arial" w:hAnsi="Arial" w:cs="Arial"/>
          <w:sz w:val="22"/>
        </w:rPr>
        <w:t>new</w:t>
      </w:r>
      <w:proofErr w:type="gramEnd"/>
      <w:r w:rsidR="00540E00" w:rsidRPr="00C534A9">
        <w:rPr>
          <w:rFonts w:ascii="Arial" w:hAnsi="Arial" w:cs="Arial"/>
          <w:sz w:val="22"/>
        </w:rPr>
        <w:t xml:space="preserve"> electric compressors and associated systems, and related consulting costs for the expansion design, engineering and procurement</w:t>
      </w:r>
      <w:r w:rsidR="009C6319" w:rsidRPr="00C534A9">
        <w:rPr>
          <w:rFonts w:ascii="Arial" w:hAnsi="Arial" w:cs="Arial"/>
          <w:sz w:val="22"/>
        </w:rPr>
        <w:t>.</w:t>
      </w:r>
      <w:r w:rsidRPr="00C534A9">
        <w:rPr>
          <w:rFonts w:ascii="Arial" w:hAnsi="Arial" w:cs="Arial"/>
          <w:sz w:val="22"/>
        </w:rPr>
        <w:t xml:space="preserve"> </w:t>
      </w:r>
      <w:r w:rsidR="00540E00" w:rsidRPr="00C534A9">
        <w:rPr>
          <w:rFonts w:ascii="Arial" w:hAnsi="Arial" w:cs="Arial"/>
          <w:sz w:val="22"/>
        </w:rPr>
        <w:t>NPC</w:t>
      </w:r>
      <w:r w:rsidRPr="00C534A9">
        <w:rPr>
          <w:rFonts w:ascii="Arial" w:hAnsi="Arial" w:cs="Arial"/>
          <w:sz w:val="22"/>
        </w:rPr>
        <w:t xml:space="preserve"> provided </w:t>
      </w:r>
      <w:r w:rsidR="00540E00" w:rsidRPr="00C534A9">
        <w:rPr>
          <w:rFonts w:ascii="Arial" w:hAnsi="Arial" w:cs="Arial"/>
          <w:sz w:val="22"/>
        </w:rPr>
        <w:t xml:space="preserve">detailed </w:t>
      </w:r>
      <w:r w:rsidRPr="00C534A9">
        <w:rPr>
          <w:rFonts w:ascii="Arial" w:hAnsi="Arial" w:cs="Arial"/>
          <w:sz w:val="22"/>
        </w:rPr>
        <w:t>estimat</w:t>
      </w:r>
      <w:r w:rsidR="00540E00" w:rsidRPr="00C534A9">
        <w:rPr>
          <w:rFonts w:ascii="Arial" w:hAnsi="Arial" w:cs="Arial"/>
          <w:sz w:val="22"/>
        </w:rPr>
        <w:t xml:space="preserve">es </w:t>
      </w:r>
      <w:r w:rsidRPr="00C534A9">
        <w:rPr>
          <w:rFonts w:ascii="Arial" w:hAnsi="Arial" w:cs="Arial"/>
          <w:sz w:val="22"/>
        </w:rPr>
        <w:t>of</w:t>
      </w:r>
      <w:r w:rsidR="00540E00" w:rsidRPr="00C534A9">
        <w:rPr>
          <w:rFonts w:ascii="Arial" w:hAnsi="Arial" w:cs="Arial"/>
          <w:sz w:val="22"/>
        </w:rPr>
        <w:t xml:space="preserve"> the </w:t>
      </w:r>
      <w:r w:rsidRPr="00C534A9">
        <w:rPr>
          <w:rFonts w:ascii="Arial" w:hAnsi="Arial" w:cs="Arial"/>
          <w:sz w:val="22"/>
        </w:rPr>
        <w:t xml:space="preserve">Capex </w:t>
      </w:r>
      <w:r w:rsidR="00540E00" w:rsidRPr="00C534A9">
        <w:rPr>
          <w:rFonts w:ascii="Arial" w:hAnsi="Arial" w:cs="Arial"/>
          <w:sz w:val="22"/>
        </w:rPr>
        <w:t xml:space="preserve">required for the sub-projects as part of the loan procurement plan. </w:t>
      </w:r>
      <w:r w:rsidRPr="00C534A9">
        <w:rPr>
          <w:rFonts w:ascii="Arial" w:hAnsi="Arial" w:cs="Arial"/>
          <w:sz w:val="22"/>
        </w:rPr>
        <w:t xml:space="preserve"> </w:t>
      </w:r>
    </w:p>
    <w:p w:rsidR="00540E00" w:rsidRPr="00C534A9" w:rsidRDefault="00A4557A" w:rsidP="00C534A9">
      <w:pPr>
        <w:pStyle w:val="ListParagraph"/>
        <w:numPr>
          <w:ilvl w:val="0"/>
          <w:numId w:val="35"/>
        </w:numPr>
        <w:jc w:val="both"/>
        <w:rPr>
          <w:rFonts w:ascii="Arial" w:hAnsi="Arial" w:cs="Arial"/>
          <w:sz w:val="22"/>
        </w:rPr>
      </w:pPr>
      <w:r w:rsidRPr="00C534A9">
        <w:rPr>
          <w:rFonts w:ascii="Arial" w:hAnsi="Arial" w:cs="Arial"/>
          <w:b/>
          <w:sz w:val="22"/>
        </w:rPr>
        <w:t>Natural gas imports</w:t>
      </w:r>
      <w:r w:rsidR="00540E00" w:rsidRPr="00C534A9">
        <w:rPr>
          <w:rFonts w:ascii="Arial" w:hAnsi="Arial" w:cs="Arial"/>
          <w:sz w:val="22"/>
        </w:rPr>
        <w:t xml:space="preserve">—these are the </w:t>
      </w:r>
      <w:r w:rsidR="00882A6B" w:rsidRPr="00C534A9">
        <w:rPr>
          <w:rFonts w:ascii="Arial" w:hAnsi="Arial" w:cs="Arial"/>
          <w:sz w:val="22"/>
        </w:rPr>
        <w:t>annual expenses incurred by increasing natural gas imports</w:t>
      </w:r>
      <w:r w:rsidR="00540E00" w:rsidRPr="00C534A9">
        <w:rPr>
          <w:rFonts w:ascii="Arial" w:hAnsi="Arial" w:cs="Arial"/>
          <w:sz w:val="22"/>
        </w:rPr>
        <w:t xml:space="preserve"> </w:t>
      </w:r>
      <w:r w:rsidR="00882A6B" w:rsidRPr="00C534A9">
        <w:rPr>
          <w:rFonts w:ascii="Arial" w:hAnsi="Arial" w:cs="Arial"/>
          <w:sz w:val="22"/>
        </w:rPr>
        <w:t xml:space="preserve">through the expanded facility.  </w:t>
      </w:r>
      <w:r w:rsidR="009F2643" w:rsidRPr="00C534A9">
        <w:rPr>
          <w:rFonts w:ascii="Arial" w:hAnsi="Arial" w:cs="Arial"/>
          <w:sz w:val="22"/>
        </w:rPr>
        <w:t>The</w:t>
      </w:r>
      <w:r w:rsidR="00882A6B" w:rsidRPr="00C534A9">
        <w:rPr>
          <w:rFonts w:ascii="Arial" w:hAnsi="Arial" w:cs="Arial"/>
          <w:sz w:val="22"/>
        </w:rPr>
        <w:t xml:space="preserve"> economic cost of natural gas imports </w:t>
      </w:r>
      <w:r w:rsidR="009F2643" w:rsidRPr="00C534A9">
        <w:rPr>
          <w:rFonts w:ascii="Arial" w:hAnsi="Arial" w:cs="Arial"/>
          <w:sz w:val="22"/>
        </w:rPr>
        <w:t xml:space="preserve">was calculated </w:t>
      </w:r>
      <w:r w:rsidR="00882A6B" w:rsidRPr="00C534A9">
        <w:rPr>
          <w:rFonts w:ascii="Arial" w:hAnsi="Arial" w:cs="Arial"/>
          <w:sz w:val="22"/>
        </w:rPr>
        <w:t>as the product of the cost to import a unit of natural gas and the expected incremental volume of imported natural gas. The volume of incremental natural gas imports was calculated as the minimum of Barbados’ incremental natural gas supply gap and the maximum capacity of the expanding micro-LNG facility. The incremental natural gas supply gap was calculated as the sum of cumulative decline in domestic natural gas production from BNOCL (estimated from the reported decline in natural gas production from 2013 to 2015) plus new natural gas demand from NPC’s existing and planned new customers.</w:t>
      </w:r>
    </w:p>
    <w:p w:rsidR="00A82022" w:rsidRPr="00C534A9" w:rsidRDefault="00A82022" w:rsidP="00C534A9">
      <w:pPr>
        <w:pStyle w:val="ListParagraph"/>
        <w:numPr>
          <w:ilvl w:val="0"/>
          <w:numId w:val="35"/>
        </w:numPr>
        <w:jc w:val="both"/>
        <w:rPr>
          <w:rFonts w:ascii="Arial" w:hAnsi="Arial" w:cs="Arial"/>
          <w:sz w:val="22"/>
        </w:rPr>
      </w:pPr>
      <w:r w:rsidRPr="00C534A9">
        <w:rPr>
          <w:rFonts w:ascii="Arial" w:hAnsi="Arial" w:cs="Arial"/>
          <w:b/>
          <w:sz w:val="22"/>
        </w:rPr>
        <w:t>Incremental CO</w:t>
      </w:r>
      <w:r w:rsidRPr="00C534A9">
        <w:rPr>
          <w:rFonts w:ascii="Cambria Math" w:hAnsi="Cambria Math" w:cs="Cambria Math"/>
          <w:b/>
          <w:sz w:val="22"/>
        </w:rPr>
        <w:t>₂</w:t>
      </w:r>
      <w:r w:rsidRPr="00C534A9">
        <w:rPr>
          <w:rFonts w:ascii="Arial" w:hAnsi="Arial" w:cs="Arial"/>
          <w:b/>
          <w:sz w:val="22"/>
        </w:rPr>
        <w:t xml:space="preserve"> emissions</w:t>
      </w:r>
      <w:r w:rsidRPr="00C534A9">
        <w:rPr>
          <w:rFonts w:ascii="Arial" w:hAnsi="Arial" w:cs="Arial"/>
          <w:sz w:val="22"/>
        </w:rPr>
        <w:t>—</w:t>
      </w:r>
      <w:r w:rsidRPr="00C534A9">
        <w:rPr>
          <w:rFonts w:ascii="Arial" w:hAnsi="Arial" w:cs="Arial"/>
          <w:sz w:val="22"/>
          <w:szCs w:val="24"/>
        </w:rPr>
        <w:t xml:space="preserve">consuming natural gas produces </w:t>
      </w:r>
      <w:r w:rsidRPr="00C534A9">
        <w:rPr>
          <w:rStyle w:val="BodyTextChar"/>
          <w:rFonts w:ascii="Arial" w:hAnsi="Arial" w:cs="Arial"/>
          <w:sz w:val="22"/>
        </w:rPr>
        <w:t>CO</w:t>
      </w:r>
      <w:r w:rsidRPr="00C534A9">
        <w:rPr>
          <w:rStyle w:val="BodyTextChar"/>
          <w:rFonts w:ascii="Cambria Math" w:hAnsi="Cambria Math" w:cs="Cambria Math"/>
          <w:sz w:val="22"/>
        </w:rPr>
        <w:t>₂</w:t>
      </w:r>
      <w:r w:rsidRPr="00C534A9">
        <w:rPr>
          <w:rStyle w:val="BodyTextChar"/>
          <w:rFonts w:ascii="Arial" w:hAnsi="Arial" w:cs="Arial"/>
          <w:sz w:val="22"/>
        </w:rPr>
        <w:t xml:space="preserve"> emissions, although less than those produced by consuming liquid fuels such as fuel oil, diesel, and LPG. Expanding the micro-LNG facility will allow greater natural gas consumption than in the BAU scenario, </w:t>
      </w:r>
      <w:r w:rsidR="00003504" w:rsidRPr="00C534A9">
        <w:rPr>
          <w:rStyle w:val="BodyTextChar"/>
          <w:rFonts w:ascii="Arial" w:hAnsi="Arial" w:cs="Arial"/>
          <w:sz w:val="22"/>
        </w:rPr>
        <w:t xml:space="preserve">thereby resulting in an increase in </w:t>
      </w:r>
      <w:r w:rsidRPr="00C534A9">
        <w:rPr>
          <w:rStyle w:val="BodyTextChar"/>
          <w:rFonts w:ascii="Arial" w:hAnsi="Arial" w:cs="Arial"/>
          <w:sz w:val="22"/>
        </w:rPr>
        <w:t>CO</w:t>
      </w:r>
      <w:r w:rsidRPr="00C534A9">
        <w:rPr>
          <w:rStyle w:val="BodyTextChar"/>
          <w:rFonts w:ascii="Cambria Math" w:hAnsi="Cambria Math" w:cs="Cambria Math"/>
          <w:sz w:val="22"/>
        </w:rPr>
        <w:t>₂</w:t>
      </w:r>
      <w:r w:rsidRPr="00C534A9">
        <w:rPr>
          <w:rStyle w:val="BodyTextChar"/>
          <w:rFonts w:ascii="Arial" w:hAnsi="Arial" w:cs="Arial"/>
          <w:sz w:val="22"/>
        </w:rPr>
        <w:t xml:space="preserve"> emissions from natural gas consumption. </w:t>
      </w:r>
      <w:r w:rsidR="009F2643" w:rsidRPr="00C534A9">
        <w:rPr>
          <w:rFonts w:ascii="Arial" w:hAnsi="Arial" w:cs="Arial"/>
          <w:sz w:val="22"/>
          <w:szCs w:val="24"/>
        </w:rPr>
        <w:t>The</w:t>
      </w:r>
      <w:r w:rsidRPr="00C534A9">
        <w:rPr>
          <w:rFonts w:ascii="Arial" w:hAnsi="Arial" w:cs="Arial"/>
          <w:sz w:val="22"/>
          <w:szCs w:val="24"/>
        </w:rPr>
        <w:t xml:space="preserve"> economic cost of incremental</w:t>
      </w:r>
      <w:r w:rsidRPr="00C534A9">
        <w:rPr>
          <w:rStyle w:val="BodyTextChar"/>
          <w:rFonts w:ascii="Arial" w:hAnsi="Arial" w:cs="Arial"/>
          <w:sz w:val="22"/>
        </w:rPr>
        <w:t xml:space="preserve"> CO</w:t>
      </w:r>
      <w:r w:rsidRPr="00C534A9">
        <w:rPr>
          <w:rStyle w:val="BodyTextChar"/>
          <w:rFonts w:ascii="Cambria Math" w:hAnsi="Cambria Math" w:cs="Cambria Math"/>
          <w:sz w:val="22"/>
        </w:rPr>
        <w:t>₂</w:t>
      </w:r>
      <w:r w:rsidRPr="00C534A9">
        <w:rPr>
          <w:rFonts w:ascii="Arial" w:hAnsi="Arial" w:cs="Arial"/>
          <w:sz w:val="22"/>
          <w:szCs w:val="24"/>
        </w:rPr>
        <w:t xml:space="preserve"> emissions</w:t>
      </w:r>
      <w:r w:rsidRPr="00C534A9">
        <w:rPr>
          <w:rFonts w:ascii="Arial" w:hAnsi="Arial" w:cs="Arial"/>
          <w:b/>
          <w:sz w:val="22"/>
          <w:szCs w:val="24"/>
        </w:rPr>
        <w:t xml:space="preserve"> </w:t>
      </w:r>
      <w:r w:rsidR="009F2643" w:rsidRPr="00C534A9">
        <w:rPr>
          <w:rFonts w:ascii="Arial" w:hAnsi="Arial" w:cs="Arial"/>
          <w:sz w:val="22"/>
          <w:szCs w:val="24"/>
        </w:rPr>
        <w:t xml:space="preserve">was calculated </w:t>
      </w:r>
      <w:r w:rsidRPr="00C534A9">
        <w:rPr>
          <w:rFonts w:ascii="Arial" w:hAnsi="Arial" w:cs="Arial"/>
          <w:sz w:val="22"/>
          <w:szCs w:val="24"/>
        </w:rPr>
        <w:t>from natural gas consumption as the product of the expected incremental CO</w:t>
      </w:r>
      <w:r w:rsidRPr="00C534A9">
        <w:rPr>
          <w:rFonts w:ascii="Cambria Math" w:hAnsi="Cambria Math" w:cs="Cambria Math"/>
          <w:sz w:val="22"/>
          <w:szCs w:val="24"/>
        </w:rPr>
        <w:t>₂</w:t>
      </w:r>
      <w:r w:rsidRPr="00C534A9">
        <w:rPr>
          <w:rFonts w:ascii="Arial" w:hAnsi="Arial" w:cs="Arial"/>
          <w:sz w:val="22"/>
          <w:szCs w:val="24"/>
        </w:rPr>
        <w:t xml:space="preserve"> emissions and the social cost of CO</w:t>
      </w:r>
      <w:r w:rsidRPr="00C534A9">
        <w:rPr>
          <w:rFonts w:ascii="Cambria Math" w:hAnsi="Cambria Math" w:cs="Cambria Math"/>
          <w:sz w:val="22"/>
          <w:szCs w:val="24"/>
        </w:rPr>
        <w:t>₂</w:t>
      </w:r>
      <w:r w:rsidRPr="00C534A9">
        <w:rPr>
          <w:rFonts w:ascii="Arial" w:hAnsi="Arial" w:cs="Arial"/>
          <w:sz w:val="22"/>
          <w:szCs w:val="24"/>
        </w:rPr>
        <w:t xml:space="preserve"> emissions. The expected incremental CO</w:t>
      </w:r>
      <w:r w:rsidRPr="00C534A9">
        <w:rPr>
          <w:rFonts w:ascii="Cambria Math" w:hAnsi="Cambria Math" w:cs="Cambria Math"/>
          <w:sz w:val="22"/>
          <w:szCs w:val="24"/>
        </w:rPr>
        <w:t>₂</w:t>
      </w:r>
      <w:r w:rsidRPr="00C534A9">
        <w:rPr>
          <w:rFonts w:ascii="Arial" w:hAnsi="Arial" w:cs="Arial"/>
          <w:sz w:val="22"/>
          <w:szCs w:val="24"/>
        </w:rPr>
        <w:t xml:space="preserve"> emissions is the product of the CO</w:t>
      </w:r>
      <w:r w:rsidRPr="00C534A9">
        <w:rPr>
          <w:rFonts w:ascii="Cambria Math" w:hAnsi="Cambria Math" w:cs="Cambria Math"/>
          <w:sz w:val="22"/>
          <w:szCs w:val="24"/>
        </w:rPr>
        <w:t>₂</w:t>
      </w:r>
      <w:r w:rsidRPr="00C534A9">
        <w:rPr>
          <w:rFonts w:ascii="Arial" w:hAnsi="Arial" w:cs="Arial"/>
          <w:sz w:val="22"/>
          <w:szCs w:val="24"/>
        </w:rPr>
        <w:t xml:space="preserve"> emissions per unit of natural gas consumed and the </w:t>
      </w:r>
      <w:r w:rsidR="00003504" w:rsidRPr="00C534A9">
        <w:rPr>
          <w:rFonts w:ascii="Arial" w:hAnsi="Arial" w:cs="Arial"/>
          <w:sz w:val="22"/>
          <w:szCs w:val="24"/>
        </w:rPr>
        <w:t xml:space="preserve">incremental </w:t>
      </w:r>
      <w:r w:rsidRPr="00C534A9">
        <w:rPr>
          <w:rFonts w:ascii="Arial" w:hAnsi="Arial" w:cs="Arial"/>
          <w:sz w:val="22"/>
          <w:szCs w:val="24"/>
        </w:rPr>
        <w:t xml:space="preserve">units of natural gas </w:t>
      </w:r>
      <w:r w:rsidR="00003504" w:rsidRPr="00C534A9">
        <w:rPr>
          <w:rFonts w:ascii="Arial" w:hAnsi="Arial" w:cs="Arial"/>
          <w:sz w:val="22"/>
          <w:szCs w:val="24"/>
        </w:rPr>
        <w:t>imported through the expanded facility</w:t>
      </w:r>
      <w:r w:rsidRPr="00C534A9">
        <w:rPr>
          <w:rFonts w:ascii="Arial" w:hAnsi="Arial" w:cs="Arial"/>
          <w:sz w:val="22"/>
        </w:rPr>
        <w:t>.</w:t>
      </w:r>
    </w:p>
    <w:p w:rsidR="00621B06" w:rsidRPr="00C534A9" w:rsidRDefault="00621B06" w:rsidP="00C534A9">
      <w:pPr>
        <w:pStyle w:val="Heading3"/>
        <w:jc w:val="both"/>
        <w:rPr>
          <w:rFonts w:ascii="Arial" w:hAnsi="Arial" w:cs="Arial"/>
          <w:sz w:val="22"/>
        </w:rPr>
      </w:pPr>
      <w:bookmarkStart w:id="33" w:name="_Toc464551498"/>
      <w:r w:rsidRPr="00C534A9">
        <w:rPr>
          <w:rFonts w:ascii="Arial" w:hAnsi="Arial" w:cs="Arial"/>
          <w:sz w:val="22"/>
        </w:rPr>
        <w:t xml:space="preserve">Economic </w:t>
      </w:r>
      <w:r w:rsidR="009C6319" w:rsidRPr="00C534A9">
        <w:rPr>
          <w:rFonts w:ascii="Arial" w:hAnsi="Arial" w:cs="Arial"/>
          <w:sz w:val="22"/>
        </w:rPr>
        <w:t>benefits</w:t>
      </w:r>
      <w:r w:rsidRPr="00C534A9">
        <w:rPr>
          <w:rFonts w:ascii="Arial" w:hAnsi="Arial" w:cs="Arial"/>
          <w:sz w:val="22"/>
        </w:rPr>
        <w:t xml:space="preserve"> of </w:t>
      </w:r>
      <w:r w:rsidR="002E48CB" w:rsidRPr="00C534A9">
        <w:rPr>
          <w:rFonts w:ascii="Arial" w:hAnsi="Arial" w:cs="Arial"/>
          <w:sz w:val="22"/>
        </w:rPr>
        <w:t>the micro-LNG expansion and natural gas compressor replacement</w:t>
      </w:r>
      <w:r w:rsidR="00416EE9" w:rsidRPr="00C534A9">
        <w:rPr>
          <w:rFonts w:ascii="Arial" w:hAnsi="Arial" w:cs="Arial"/>
          <w:sz w:val="22"/>
        </w:rPr>
        <w:t xml:space="preserve"> sub-project</w:t>
      </w:r>
      <w:bookmarkEnd w:id="33"/>
    </w:p>
    <w:p w:rsidR="00E14C8B" w:rsidRPr="00C534A9" w:rsidRDefault="00E14C8B" w:rsidP="00C534A9">
      <w:pPr>
        <w:jc w:val="both"/>
        <w:rPr>
          <w:rFonts w:ascii="Arial" w:hAnsi="Arial" w:cs="Arial"/>
          <w:sz w:val="22"/>
        </w:rPr>
      </w:pPr>
      <w:r w:rsidRPr="00C534A9">
        <w:rPr>
          <w:rFonts w:ascii="Arial" w:hAnsi="Arial" w:cs="Arial"/>
          <w:sz w:val="22"/>
        </w:rPr>
        <w:t xml:space="preserve">The economic benefits of the </w:t>
      </w:r>
      <w:r w:rsidR="00284DFD" w:rsidRPr="00C534A9">
        <w:rPr>
          <w:rFonts w:ascii="Arial" w:hAnsi="Arial" w:cs="Arial"/>
          <w:sz w:val="22"/>
        </w:rPr>
        <w:t>sub-</w:t>
      </w:r>
      <w:r w:rsidR="00416EE9" w:rsidRPr="00C534A9">
        <w:rPr>
          <w:rFonts w:ascii="Arial" w:hAnsi="Arial" w:cs="Arial"/>
          <w:sz w:val="22"/>
        </w:rPr>
        <w:t>project</w:t>
      </w:r>
      <w:r w:rsidRPr="00C534A9">
        <w:rPr>
          <w:rFonts w:ascii="Arial" w:hAnsi="Arial" w:cs="Arial"/>
          <w:sz w:val="22"/>
        </w:rPr>
        <w:t xml:space="preserve"> </w:t>
      </w:r>
      <w:r w:rsidR="009C6319" w:rsidRPr="00C534A9">
        <w:rPr>
          <w:rFonts w:ascii="Arial" w:hAnsi="Arial" w:cs="Arial"/>
          <w:sz w:val="22"/>
        </w:rPr>
        <w:t>include</w:t>
      </w:r>
      <w:r w:rsidRPr="00C534A9">
        <w:rPr>
          <w:rFonts w:ascii="Arial" w:hAnsi="Arial" w:cs="Arial"/>
          <w:sz w:val="22"/>
        </w:rPr>
        <w:t>:</w:t>
      </w:r>
    </w:p>
    <w:p w:rsidR="00284DFD" w:rsidRPr="00C534A9" w:rsidRDefault="00882A6B" w:rsidP="00C534A9">
      <w:pPr>
        <w:pStyle w:val="ListParagraph"/>
        <w:numPr>
          <w:ilvl w:val="0"/>
          <w:numId w:val="34"/>
        </w:numPr>
        <w:spacing w:after="120"/>
        <w:contextualSpacing w:val="0"/>
        <w:jc w:val="both"/>
        <w:rPr>
          <w:rFonts w:ascii="Arial" w:hAnsi="Arial" w:cs="Arial"/>
          <w:sz w:val="22"/>
        </w:rPr>
      </w:pPr>
      <w:r w:rsidRPr="00C534A9">
        <w:rPr>
          <w:rFonts w:ascii="Arial" w:hAnsi="Arial" w:cs="Arial"/>
          <w:b/>
          <w:sz w:val="22"/>
        </w:rPr>
        <w:t>Avoided economic losses</w:t>
      </w:r>
      <w:r w:rsidRPr="00C534A9">
        <w:rPr>
          <w:rFonts w:ascii="Arial" w:hAnsi="Arial" w:cs="Arial"/>
          <w:sz w:val="22"/>
        </w:rPr>
        <w:t>—</w:t>
      </w:r>
      <w:r w:rsidR="00284DFD" w:rsidRPr="00C534A9">
        <w:rPr>
          <w:rFonts w:ascii="Arial" w:hAnsi="Arial" w:cs="Arial"/>
          <w:sz w:val="22"/>
        </w:rPr>
        <w:t xml:space="preserve">natural gas shortages will create economic losses for existing natural gas consumers, including residential customers and commercial/industrial customers that do not have the ability to switch to alternative fuels. These losses can be avoided by importing additional natural gas through the expanded micro-LNG facility and increasing the amount of natural gas available for sale to customers by replacing the current natural-gas fired compressors with new, high efficiency electric compressors. </w:t>
      </w:r>
    </w:p>
    <w:p w:rsidR="002E48CB" w:rsidRPr="00C534A9" w:rsidRDefault="009F2643" w:rsidP="00C534A9">
      <w:pPr>
        <w:pStyle w:val="ListParagraph"/>
        <w:spacing w:after="120"/>
        <w:contextualSpacing w:val="0"/>
        <w:jc w:val="both"/>
        <w:rPr>
          <w:rFonts w:ascii="Arial" w:hAnsi="Arial" w:cs="Arial"/>
          <w:sz w:val="20"/>
        </w:rPr>
      </w:pPr>
      <w:r w:rsidRPr="00C534A9">
        <w:rPr>
          <w:rFonts w:ascii="Arial" w:hAnsi="Arial" w:cs="Arial"/>
          <w:sz w:val="22"/>
        </w:rPr>
        <w:t>The</w:t>
      </w:r>
      <w:r w:rsidR="00284DFD" w:rsidRPr="00C534A9">
        <w:rPr>
          <w:rFonts w:ascii="Arial" w:hAnsi="Arial" w:cs="Arial"/>
          <w:sz w:val="22"/>
        </w:rPr>
        <w:t xml:space="preserve"> avoided economic loss to commercial/industrial customers </w:t>
      </w:r>
      <w:r w:rsidRPr="00C534A9">
        <w:rPr>
          <w:rFonts w:ascii="Arial" w:hAnsi="Arial" w:cs="Arial"/>
          <w:sz w:val="22"/>
        </w:rPr>
        <w:t xml:space="preserve">was calculated </w:t>
      </w:r>
      <w:r w:rsidR="00284DFD" w:rsidRPr="00C534A9">
        <w:rPr>
          <w:rFonts w:ascii="Arial" w:hAnsi="Arial" w:cs="Arial"/>
          <w:sz w:val="22"/>
        </w:rPr>
        <w:t>as the share of revenues lost as a result of natural gas shortages</w:t>
      </w:r>
      <w:r w:rsidR="004E14A2" w:rsidRPr="00C534A9">
        <w:rPr>
          <w:rFonts w:ascii="Arial" w:hAnsi="Arial" w:cs="Arial"/>
          <w:sz w:val="22"/>
        </w:rPr>
        <w:t xml:space="preserve">. The annual avoided lost revenue was calculated as the product of the commercial/industrial sector’s share of incremental natural gas supply from the micro-LNG facility expansion and the economic value linked to that natural gas supply. The economic value linked to natural gas was estimated from the average economic product per unit of energy consumed in the manufacturing and tourism sectors (the sectors that would be affected by NG shortages), the share of energy consumed by those sectors that is provided by natural gas, and the share of natural gas supply that was not provided as a result of the shortages. </w:t>
      </w:r>
    </w:p>
    <w:p w:rsidR="002E48CB" w:rsidRPr="00C534A9" w:rsidRDefault="009F2643" w:rsidP="00C534A9">
      <w:pPr>
        <w:pStyle w:val="ListParagraph"/>
        <w:spacing w:after="120"/>
        <w:contextualSpacing w:val="0"/>
        <w:jc w:val="both"/>
        <w:rPr>
          <w:rFonts w:ascii="Arial" w:hAnsi="Arial" w:cs="Arial"/>
          <w:sz w:val="20"/>
        </w:rPr>
      </w:pPr>
      <w:r w:rsidRPr="00C534A9">
        <w:rPr>
          <w:rFonts w:ascii="Arial" w:hAnsi="Arial" w:cs="Arial"/>
          <w:sz w:val="22"/>
        </w:rPr>
        <w:t>T</w:t>
      </w:r>
      <w:r w:rsidR="004E14A2" w:rsidRPr="00C534A9">
        <w:rPr>
          <w:rFonts w:ascii="Arial" w:hAnsi="Arial" w:cs="Arial"/>
          <w:sz w:val="22"/>
        </w:rPr>
        <w:t xml:space="preserve">he avoided economic costs to residential customers </w:t>
      </w:r>
      <w:r w:rsidR="00F02666" w:rsidRPr="00C534A9">
        <w:rPr>
          <w:rFonts w:ascii="Arial" w:hAnsi="Arial" w:cs="Arial"/>
          <w:sz w:val="22"/>
        </w:rPr>
        <w:t xml:space="preserve">were </w:t>
      </w:r>
      <w:r w:rsidRPr="00C534A9">
        <w:rPr>
          <w:rFonts w:ascii="Arial" w:hAnsi="Arial" w:cs="Arial"/>
          <w:sz w:val="22"/>
        </w:rPr>
        <w:t xml:space="preserve">calculated </w:t>
      </w:r>
      <w:r w:rsidR="004E14A2" w:rsidRPr="00C534A9">
        <w:rPr>
          <w:rFonts w:ascii="Arial" w:hAnsi="Arial" w:cs="Arial"/>
          <w:sz w:val="22"/>
        </w:rPr>
        <w:t xml:space="preserve">as the </w:t>
      </w:r>
      <w:r w:rsidR="002E48CB" w:rsidRPr="00C534A9">
        <w:rPr>
          <w:rFonts w:ascii="Arial" w:hAnsi="Arial" w:cs="Arial"/>
          <w:sz w:val="22"/>
        </w:rPr>
        <w:t xml:space="preserve">avoided </w:t>
      </w:r>
      <w:r w:rsidR="004E14A2" w:rsidRPr="00C534A9">
        <w:rPr>
          <w:rFonts w:ascii="Arial" w:hAnsi="Arial" w:cs="Arial"/>
          <w:sz w:val="22"/>
        </w:rPr>
        <w:t>lo</w:t>
      </w:r>
      <w:r w:rsidR="002E48CB" w:rsidRPr="00C534A9">
        <w:rPr>
          <w:rFonts w:ascii="Arial" w:hAnsi="Arial" w:cs="Arial"/>
          <w:sz w:val="22"/>
        </w:rPr>
        <w:t>ss of consumer surplus that would have occurred as a result of the natural gas shortages. The consumer surplus for any particular good is defined as the product of the volume of the good purchased by the consumer and the difference between the good’s actual price and the price the consumer would be willing to pay.  The price-demand curve for residential natural gas in Barbados was estimated from academic studies of international residential natural gas price-</w:t>
      </w:r>
      <w:proofErr w:type="spellStart"/>
      <w:r w:rsidR="002E48CB" w:rsidRPr="00C534A9">
        <w:rPr>
          <w:rFonts w:ascii="Arial" w:hAnsi="Arial" w:cs="Arial"/>
          <w:sz w:val="22"/>
        </w:rPr>
        <w:t>elasticities</w:t>
      </w:r>
      <w:proofErr w:type="spellEnd"/>
      <w:r w:rsidR="002E48CB" w:rsidRPr="00C534A9">
        <w:rPr>
          <w:rFonts w:ascii="Arial" w:hAnsi="Arial" w:cs="Arial"/>
          <w:sz w:val="22"/>
        </w:rPr>
        <w:t xml:space="preserve">.  The potential volume of residential natural gas shortages was estimated from the product of the residential sector’s share of total natural gas demand in Barbados and the calculated annual natural gas shortfall. </w:t>
      </w:r>
    </w:p>
    <w:p w:rsidR="00E14C8B" w:rsidRPr="00C534A9" w:rsidRDefault="00AB466D" w:rsidP="00C534A9">
      <w:pPr>
        <w:pStyle w:val="ListParagraph"/>
        <w:numPr>
          <w:ilvl w:val="0"/>
          <w:numId w:val="34"/>
        </w:numPr>
        <w:spacing w:after="120"/>
        <w:jc w:val="both"/>
        <w:rPr>
          <w:rFonts w:ascii="Arial" w:hAnsi="Arial" w:cs="Arial"/>
          <w:sz w:val="22"/>
        </w:rPr>
      </w:pPr>
      <w:r w:rsidRPr="00C534A9">
        <w:rPr>
          <w:rFonts w:ascii="Arial" w:hAnsi="Arial" w:cs="Arial"/>
          <w:b/>
          <w:sz w:val="22"/>
        </w:rPr>
        <w:t>Avoided</w:t>
      </w:r>
      <w:r w:rsidR="00E14C8B" w:rsidRPr="00C534A9">
        <w:rPr>
          <w:rFonts w:ascii="Arial" w:hAnsi="Arial" w:cs="Arial"/>
          <w:b/>
          <w:sz w:val="22"/>
        </w:rPr>
        <w:t xml:space="preserve"> </w:t>
      </w:r>
      <w:r w:rsidR="00882A6B" w:rsidRPr="00C534A9">
        <w:rPr>
          <w:rFonts w:ascii="Arial" w:hAnsi="Arial" w:cs="Arial"/>
          <w:b/>
          <w:sz w:val="22"/>
        </w:rPr>
        <w:t>liquid fuel</w:t>
      </w:r>
      <w:r w:rsidR="00E14C8B" w:rsidRPr="00C534A9">
        <w:rPr>
          <w:rFonts w:ascii="Arial" w:hAnsi="Arial" w:cs="Arial"/>
          <w:b/>
          <w:sz w:val="22"/>
        </w:rPr>
        <w:t xml:space="preserve"> costs</w:t>
      </w:r>
      <w:r w:rsidR="00E14C8B" w:rsidRPr="00C534A9">
        <w:rPr>
          <w:rFonts w:ascii="Arial" w:hAnsi="Arial" w:cs="Arial"/>
          <w:sz w:val="22"/>
        </w:rPr>
        <w:t>—</w:t>
      </w:r>
      <w:r w:rsidRPr="00C534A9">
        <w:rPr>
          <w:rFonts w:ascii="Arial" w:hAnsi="Arial" w:cs="Arial"/>
          <w:sz w:val="22"/>
        </w:rPr>
        <w:t xml:space="preserve">incremental natural gas imports will allow NPC to provide natural gas to </w:t>
      </w:r>
      <w:r w:rsidR="00284DFD" w:rsidRPr="00C534A9">
        <w:rPr>
          <w:rFonts w:ascii="Arial" w:hAnsi="Arial" w:cs="Arial"/>
          <w:sz w:val="22"/>
        </w:rPr>
        <w:t xml:space="preserve">new </w:t>
      </w:r>
      <w:r w:rsidRPr="00C534A9">
        <w:rPr>
          <w:rFonts w:ascii="Arial" w:hAnsi="Arial" w:cs="Arial"/>
          <w:sz w:val="22"/>
        </w:rPr>
        <w:t>customers that would otherwise have consumed liquid fuels</w:t>
      </w:r>
      <w:r w:rsidR="00E14C8B" w:rsidRPr="00C534A9">
        <w:rPr>
          <w:rFonts w:ascii="Arial" w:hAnsi="Arial" w:cs="Arial"/>
          <w:sz w:val="22"/>
        </w:rPr>
        <w:t xml:space="preserve">. </w:t>
      </w:r>
      <w:r w:rsidRPr="00C534A9">
        <w:rPr>
          <w:rFonts w:ascii="Arial" w:hAnsi="Arial" w:cs="Arial"/>
          <w:sz w:val="22"/>
        </w:rPr>
        <w:t>The avoided costs of importing these liquid fuels is the product of the unit price of imported liquid fuels and the incremental units of natural gas supplied to new customers. The incremental units of natural gas supplied to new customers from the micro-LNG facility expansion is the minimum of NPC’s incremental natural gas demand from new customers and the available import capacity of the expanded micro-LNG facility after meeting current customer’s needs.</w:t>
      </w:r>
    </w:p>
    <w:p w:rsidR="00E14C8B" w:rsidRPr="00C534A9" w:rsidRDefault="00E14C8B" w:rsidP="00C534A9">
      <w:pPr>
        <w:pStyle w:val="ListParagraph"/>
        <w:numPr>
          <w:ilvl w:val="0"/>
          <w:numId w:val="33"/>
        </w:numPr>
        <w:spacing w:after="120"/>
        <w:jc w:val="both"/>
        <w:rPr>
          <w:rFonts w:ascii="Arial" w:hAnsi="Arial" w:cs="Arial"/>
          <w:sz w:val="22"/>
        </w:rPr>
      </w:pPr>
      <w:r w:rsidRPr="00C534A9">
        <w:rPr>
          <w:rFonts w:ascii="Arial" w:hAnsi="Arial" w:cs="Arial"/>
          <w:b/>
          <w:sz w:val="22"/>
        </w:rPr>
        <w:t>Reduction in CO</w:t>
      </w:r>
      <w:r w:rsidRPr="00C534A9">
        <w:rPr>
          <w:rFonts w:ascii="Cambria Math" w:hAnsi="Cambria Math" w:cs="Cambria Math"/>
          <w:b/>
          <w:sz w:val="22"/>
        </w:rPr>
        <w:t>₂</w:t>
      </w:r>
      <w:r w:rsidRPr="00C534A9">
        <w:rPr>
          <w:rFonts w:ascii="Arial" w:hAnsi="Arial" w:cs="Arial"/>
          <w:b/>
          <w:sz w:val="22"/>
        </w:rPr>
        <w:t xml:space="preserve"> emissions</w:t>
      </w:r>
      <w:r w:rsidRPr="00C534A9">
        <w:rPr>
          <w:rFonts w:ascii="Arial" w:hAnsi="Arial" w:cs="Arial"/>
          <w:sz w:val="22"/>
        </w:rPr>
        <w:t>—</w:t>
      </w:r>
      <w:r w:rsidR="00882A6B" w:rsidRPr="00C534A9">
        <w:rPr>
          <w:rFonts w:ascii="Arial" w:hAnsi="Arial" w:cs="Arial"/>
          <w:sz w:val="22"/>
          <w:szCs w:val="24"/>
        </w:rPr>
        <w:t>consuming natural gas</w:t>
      </w:r>
      <w:r w:rsidRPr="00C534A9">
        <w:rPr>
          <w:rFonts w:ascii="Arial" w:hAnsi="Arial" w:cs="Arial"/>
          <w:sz w:val="22"/>
          <w:szCs w:val="24"/>
        </w:rPr>
        <w:t xml:space="preserve"> produces less </w:t>
      </w:r>
      <w:r w:rsidRPr="00C534A9">
        <w:rPr>
          <w:rStyle w:val="BodyTextChar"/>
          <w:rFonts w:ascii="Arial" w:hAnsi="Arial" w:cs="Arial"/>
          <w:sz w:val="22"/>
        </w:rPr>
        <w:t>CO</w:t>
      </w:r>
      <w:r w:rsidRPr="00C534A9">
        <w:rPr>
          <w:rStyle w:val="BodyTextChar"/>
          <w:rFonts w:ascii="Cambria Math" w:hAnsi="Cambria Math" w:cs="Cambria Math"/>
          <w:sz w:val="22"/>
        </w:rPr>
        <w:t>₂</w:t>
      </w:r>
      <w:r w:rsidRPr="00C534A9">
        <w:rPr>
          <w:rStyle w:val="BodyTextChar"/>
          <w:rFonts w:ascii="Arial" w:hAnsi="Arial" w:cs="Arial"/>
          <w:sz w:val="22"/>
        </w:rPr>
        <w:t xml:space="preserve"> emissions than </w:t>
      </w:r>
      <w:r w:rsidR="00882A6B" w:rsidRPr="00C534A9">
        <w:rPr>
          <w:rStyle w:val="BodyTextChar"/>
          <w:rFonts w:ascii="Arial" w:hAnsi="Arial" w:cs="Arial"/>
          <w:sz w:val="22"/>
        </w:rPr>
        <w:t>consuming liquid fuels such as</w:t>
      </w:r>
      <w:r w:rsidRPr="00C534A9">
        <w:rPr>
          <w:rStyle w:val="BodyTextChar"/>
          <w:rFonts w:ascii="Arial" w:hAnsi="Arial" w:cs="Arial"/>
          <w:sz w:val="22"/>
        </w:rPr>
        <w:t xml:space="preserve"> fuel oil</w:t>
      </w:r>
      <w:r w:rsidR="00882A6B" w:rsidRPr="00C534A9">
        <w:rPr>
          <w:rStyle w:val="BodyTextChar"/>
          <w:rFonts w:ascii="Arial" w:hAnsi="Arial" w:cs="Arial"/>
          <w:sz w:val="22"/>
        </w:rPr>
        <w:t>, diesel, and LPG</w:t>
      </w:r>
      <w:r w:rsidRPr="00C534A9">
        <w:rPr>
          <w:rStyle w:val="BodyTextChar"/>
          <w:rFonts w:ascii="Arial" w:hAnsi="Arial" w:cs="Arial"/>
          <w:sz w:val="22"/>
        </w:rPr>
        <w:t xml:space="preserve">. </w:t>
      </w:r>
      <w:r w:rsidR="009F2643" w:rsidRPr="00C534A9">
        <w:rPr>
          <w:rFonts w:ascii="Arial" w:hAnsi="Arial" w:cs="Arial"/>
          <w:sz w:val="22"/>
          <w:szCs w:val="24"/>
        </w:rPr>
        <w:t>T</w:t>
      </w:r>
      <w:r w:rsidRPr="00C534A9">
        <w:rPr>
          <w:rFonts w:ascii="Arial" w:hAnsi="Arial" w:cs="Arial"/>
          <w:sz w:val="22"/>
          <w:szCs w:val="24"/>
        </w:rPr>
        <w:t>he economic benefit of the re</w:t>
      </w:r>
      <w:r w:rsidRPr="00C534A9">
        <w:rPr>
          <w:rStyle w:val="BodyTextChar"/>
          <w:rFonts w:ascii="Arial" w:hAnsi="Arial" w:cs="Arial"/>
          <w:sz w:val="22"/>
        </w:rPr>
        <w:t>duction in CO</w:t>
      </w:r>
      <w:r w:rsidRPr="00C534A9">
        <w:rPr>
          <w:rStyle w:val="BodyTextChar"/>
          <w:rFonts w:ascii="Cambria Math" w:hAnsi="Cambria Math" w:cs="Cambria Math"/>
          <w:sz w:val="22"/>
        </w:rPr>
        <w:t>₂</w:t>
      </w:r>
      <w:r w:rsidRPr="00C534A9">
        <w:rPr>
          <w:rFonts w:ascii="Arial" w:hAnsi="Arial" w:cs="Arial"/>
          <w:sz w:val="22"/>
          <w:szCs w:val="24"/>
        </w:rPr>
        <w:t xml:space="preserve"> emissions</w:t>
      </w:r>
      <w:r w:rsidRPr="00C534A9">
        <w:rPr>
          <w:rFonts w:ascii="Arial" w:hAnsi="Arial" w:cs="Arial"/>
          <w:b/>
          <w:sz w:val="22"/>
          <w:szCs w:val="24"/>
        </w:rPr>
        <w:t xml:space="preserve"> </w:t>
      </w:r>
      <w:r w:rsidR="009F2643" w:rsidRPr="00C534A9">
        <w:rPr>
          <w:rFonts w:ascii="Arial" w:hAnsi="Arial" w:cs="Arial"/>
          <w:sz w:val="22"/>
          <w:szCs w:val="24"/>
        </w:rPr>
        <w:t>was calculated</w:t>
      </w:r>
      <w:r w:rsidR="009F2643" w:rsidRPr="00C534A9">
        <w:rPr>
          <w:rFonts w:ascii="Arial" w:hAnsi="Arial" w:cs="Arial"/>
          <w:b/>
          <w:sz w:val="22"/>
          <w:szCs w:val="24"/>
        </w:rPr>
        <w:t xml:space="preserve"> </w:t>
      </w:r>
      <w:r w:rsidRPr="00C534A9">
        <w:rPr>
          <w:rFonts w:ascii="Arial" w:hAnsi="Arial" w:cs="Arial"/>
          <w:sz w:val="22"/>
          <w:szCs w:val="24"/>
        </w:rPr>
        <w:t>as the product of the expected reduction in CO</w:t>
      </w:r>
      <w:r w:rsidRPr="00C534A9">
        <w:rPr>
          <w:rFonts w:ascii="Cambria Math" w:hAnsi="Cambria Math" w:cs="Cambria Math"/>
          <w:sz w:val="22"/>
          <w:szCs w:val="24"/>
        </w:rPr>
        <w:t>₂</w:t>
      </w:r>
      <w:r w:rsidRPr="00C534A9">
        <w:rPr>
          <w:rFonts w:ascii="Arial" w:hAnsi="Arial" w:cs="Arial"/>
          <w:sz w:val="22"/>
          <w:szCs w:val="24"/>
        </w:rPr>
        <w:t xml:space="preserve"> emissions and the social cost of CO</w:t>
      </w:r>
      <w:r w:rsidRPr="00C534A9">
        <w:rPr>
          <w:rFonts w:ascii="Cambria Math" w:hAnsi="Cambria Math" w:cs="Cambria Math"/>
          <w:sz w:val="22"/>
          <w:szCs w:val="24"/>
        </w:rPr>
        <w:t>₂</w:t>
      </w:r>
      <w:r w:rsidRPr="00C534A9">
        <w:rPr>
          <w:rFonts w:ascii="Arial" w:hAnsi="Arial" w:cs="Arial"/>
          <w:sz w:val="22"/>
          <w:szCs w:val="24"/>
        </w:rPr>
        <w:t xml:space="preserve"> emissions. The expected reduction in CO</w:t>
      </w:r>
      <w:r w:rsidRPr="00C534A9">
        <w:rPr>
          <w:rFonts w:ascii="Cambria Math" w:hAnsi="Cambria Math" w:cs="Cambria Math"/>
          <w:sz w:val="22"/>
          <w:szCs w:val="24"/>
        </w:rPr>
        <w:t>₂</w:t>
      </w:r>
      <w:r w:rsidRPr="00C534A9">
        <w:rPr>
          <w:rFonts w:ascii="Arial" w:hAnsi="Arial" w:cs="Arial"/>
          <w:sz w:val="22"/>
          <w:szCs w:val="24"/>
        </w:rPr>
        <w:t xml:space="preserve"> emissions is the product of the CO</w:t>
      </w:r>
      <w:r w:rsidRPr="00C534A9">
        <w:rPr>
          <w:rFonts w:ascii="Cambria Math" w:hAnsi="Cambria Math" w:cs="Cambria Math"/>
          <w:sz w:val="22"/>
          <w:szCs w:val="24"/>
        </w:rPr>
        <w:t>₂</w:t>
      </w:r>
      <w:r w:rsidRPr="00C534A9">
        <w:rPr>
          <w:rFonts w:ascii="Arial" w:hAnsi="Arial" w:cs="Arial"/>
          <w:sz w:val="22"/>
          <w:szCs w:val="24"/>
        </w:rPr>
        <w:t xml:space="preserve"> emissions per unit </w:t>
      </w:r>
      <w:r w:rsidR="00A82022" w:rsidRPr="00C534A9">
        <w:rPr>
          <w:rFonts w:ascii="Arial" w:hAnsi="Arial" w:cs="Arial"/>
          <w:sz w:val="22"/>
          <w:szCs w:val="24"/>
        </w:rPr>
        <w:t>of liquid fuel consumed</w:t>
      </w:r>
      <w:r w:rsidRPr="00C534A9">
        <w:rPr>
          <w:rFonts w:ascii="Arial" w:hAnsi="Arial" w:cs="Arial"/>
          <w:sz w:val="22"/>
          <w:szCs w:val="24"/>
        </w:rPr>
        <w:t xml:space="preserve"> and the units of </w:t>
      </w:r>
      <w:r w:rsidR="00A82022" w:rsidRPr="00C534A9">
        <w:rPr>
          <w:rFonts w:ascii="Arial" w:hAnsi="Arial" w:cs="Arial"/>
          <w:sz w:val="22"/>
          <w:szCs w:val="24"/>
        </w:rPr>
        <w:t>incremental natural gas demand from new NPC customers that displaces liquid fuels</w:t>
      </w:r>
      <w:r w:rsidRPr="00C534A9">
        <w:rPr>
          <w:rFonts w:ascii="Arial" w:hAnsi="Arial" w:cs="Arial"/>
          <w:sz w:val="22"/>
        </w:rPr>
        <w:t>.</w:t>
      </w:r>
    </w:p>
    <w:p w:rsidR="00E14C8B" w:rsidRPr="00C534A9" w:rsidRDefault="00E14C8B" w:rsidP="00C534A9">
      <w:pPr>
        <w:pStyle w:val="Heading3"/>
        <w:jc w:val="both"/>
        <w:rPr>
          <w:rFonts w:ascii="Arial" w:hAnsi="Arial" w:cs="Arial"/>
          <w:sz w:val="22"/>
        </w:rPr>
      </w:pPr>
      <w:bookmarkStart w:id="34" w:name="_Toc423341358"/>
      <w:bookmarkStart w:id="35" w:name="_Ref423355941"/>
      <w:bookmarkStart w:id="36" w:name="_Toc423457928"/>
      <w:bookmarkStart w:id="37" w:name="_Toc428351512"/>
      <w:bookmarkStart w:id="38" w:name="_Toc464551499"/>
      <w:r w:rsidRPr="00C534A9">
        <w:rPr>
          <w:rFonts w:ascii="Arial" w:hAnsi="Arial" w:cs="Arial"/>
          <w:sz w:val="22"/>
        </w:rPr>
        <w:t xml:space="preserve">Net Economic Benefits of </w:t>
      </w:r>
      <w:bookmarkEnd w:id="34"/>
      <w:bookmarkEnd w:id="35"/>
      <w:bookmarkEnd w:id="36"/>
      <w:bookmarkEnd w:id="37"/>
      <w:r w:rsidR="00AB466D" w:rsidRPr="00C534A9">
        <w:rPr>
          <w:rFonts w:ascii="Arial" w:hAnsi="Arial" w:cs="Arial"/>
          <w:sz w:val="22"/>
        </w:rPr>
        <w:t>the micro-LNG expansion and natural gas compressor replacement</w:t>
      </w:r>
      <w:r w:rsidR="00416EE9" w:rsidRPr="00C534A9">
        <w:rPr>
          <w:rFonts w:ascii="Arial" w:hAnsi="Arial" w:cs="Arial"/>
          <w:sz w:val="22"/>
        </w:rPr>
        <w:t xml:space="preserve"> sub-project</w:t>
      </w:r>
      <w:bookmarkEnd w:id="38"/>
    </w:p>
    <w:p w:rsidR="00E14C8B" w:rsidRPr="00C534A9" w:rsidRDefault="00E14C8B" w:rsidP="00C534A9">
      <w:pPr>
        <w:jc w:val="both"/>
        <w:rPr>
          <w:rFonts w:ascii="Arial" w:hAnsi="Arial" w:cs="Arial"/>
          <w:sz w:val="22"/>
        </w:rPr>
      </w:pPr>
      <w:r w:rsidRPr="00C534A9">
        <w:rPr>
          <w:rFonts w:ascii="Arial" w:hAnsi="Arial" w:cs="Arial"/>
          <w:sz w:val="22"/>
        </w:rPr>
        <w:t xml:space="preserve">After the </w:t>
      </w:r>
      <w:r w:rsidR="00284DFD" w:rsidRPr="00C534A9">
        <w:rPr>
          <w:rFonts w:ascii="Arial" w:hAnsi="Arial" w:cs="Arial"/>
          <w:sz w:val="22"/>
        </w:rPr>
        <w:t>sub-project</w:t>
      </w:r>
      <w:r w:rsidRPr="00C534A9">
        <w:rPr>
          <w:rFonts w:ascii="Arial" w:hAnsi="Arial" w:cs="Arial"/>
          <w:sz w:val="22"/>
        </w:rPr>
        <w:t>’s economic costs and benefits</w:t>
      </w:r>
      <w:r w:rsidR="00712B41" w:rsidRPr="00C534A9">
        <w:rPr>
          <w:rFonts w:ascii="Arial" w:hAnsi="Arial" w:cs="Arial"/>
          <w:sz w:val="22"/>
        </w:rPr>
        <w:t xml:space="preserve"> are estimated</w:t>
      </w:r>
      <w:r w:rsidRPr="00C534A9">
        <w:rPr>
          <w:rFonts w:ascii="Arial" w:hAnsi="Arial" w:cs="Arial"/>
          <w:sz w:val="22"/>
        </w:rPr>
        <w:t xml:space="preserve">, the next step is to calculate the </w:t>
      </w:r>
      <w:r w:rsidR="00284DFD" w:rsidRPr="00C534A9">
        <w:rPr>
          <w:rFonts w:ascii="Arial" w:hAnsi="Arial" w:cs="Arial"/>
          <w:sz w:val="22"/>
        </w:rPr>
        <w:t>sub-project’s</w:t>
      </w:r>
      <w:r w:rsidR="009C6319" w:rsidRPr="00C534A9">
        <w:rPr>
          <w:rFonts w:ascii="Arial" w:hAnsi="Arial" w:cs="Arial"/>
          <w:sz w:val="22"/>
        </w:rPr>
        <w:t xml:space="preserve"> N</w:t>
      </w:r>
      <w:r w:rsidRPr="00C534A9">
        <w:rPr>
          <w:rFonts w:ascii="Arial" w:hAnsi="Arial" w:cs="Arial"/>
          <w:sz w:val="22"/>
        </w:rPr>
        <w:t xml:space="preserve">PV. </w:t>
      </w:r>
      <w:r w:rsidR="009C6319" w:rsidRPr="00C534A9">
        <w:rPr>
          <w:rFonts w:ascii="Arial" w:hAnsi="Arial" w:cs="Arial"/>
          <w:sz w:val="22"/>
        </w:rPr>
        <w:t>This is accomplished by</w:t>
      </w:r>
      <w:r w:rsidRPr="00C534A9">
        <w:rPr>
          <w:rFonts w:ascii="Arial" w:hAnsi="Arial" w:cs="Arial"/>
          <w:sz w:val="22"/>
        </w:rPr>
        <w:t xml:space="preserve"> subtract</w:t>
      </w:r>
      <w:r w:rsidR="009C6319" w:rsidRPr="00C534A9">
        <w:rPr>
          <w:rFonts w:ascii="Arial" w:hAnsi="Arial" w:cs="Arial"/>
          <w:sz w:val="22"/>
        </w:rPr>
        <w:t>ing</w:t>
      </w:r>
      <w:r w:rsidRPr="00C534A9">
        <w:rPr>
          <w:rFonts w:ascii="Arial" w:hAnsi="Arial" w:cs="Arial"/>
          <w:sz w:val="22"/>
        </w:rPr>
        <w:t xml:space="preserve"> the </w:t>
      </w:r>
      <w:r w:rsidR="009C6319" w:rsidRPr="00C534A9">
        <w:rPr>
          <w:rFonts w:ascii="Arial" w:hAnsi="Arial" w:cs="Arial"/>
          <w:sz w:val="22"/>
        </w:rPr>
        <w:t>present value</w:t>
      </w:r>
      <w:r w:rsidRPr="00C534A9">
        <w:rPr>
          <w:rFonts w:ascii="Arial" w:hAnsi="Arial" w:cs="Arial"/>
          <w:sz w:val="22"/>
        </w:rPr>
        <w:t xml:space="preserve"> of the </w:t>
      </w:r>
      <w:r w:rsidR="00284DFD" w:rsidRPr="00C534A9">
        <w:rPr>
          <w:rFonts w:ascii="Arial" w:hAnsi="Arial" w:cs="Arial"/>
          <w:sz w:val="22"/>
        </w:rPr>
        <w:t>sub-project</w:t>
      </w:r>
      <w:r w:rsidR="009C6319" w:rsidRPr="00C534A9">
        <w:rPr>
          <w:rFonts w:ascii="Arial" w:hAnsi="Arial" w:cs="Arial"/>
          <w:sz w:val="22"/>
        </w:rPr>
        <w:t xml:space="preserve">’s </w:t>
      </w:r>
      <w:r w:rsidRPr="00C534A9">
        <w:rPr>
          <w:rFonts w:ascii="Arial" w:hAnsi="Arial" w:cs="Arial"/>
          <w:sz w:val="22"/>
        </w:rPr>
        <w:t xml:space="preserve">costs from the </w:t>
      </w:r>
      <w:r w:rsidR="009C6319" w:rsidRPr="00C534A9">
        <w:rPr>
          <w:rFonts w:ascii="Arial" w:hAnsi="Arial" w:cs="Arial"/>
          <w:sz w:val="22"/>
        </w:rPr>
        <w:t xml:space="preserve">present value </w:t>
      </w:r>
      <w:r w:rsidRPr="00C534A9">
        <w:rPr>
          <w:rFonts w:ascii="Arial" w:hAnsi="Arial" w:cs="Arial"/>
          <w:sz w:val="22"/>
        </w:rPr>
        <w:t xml:space="preserve">of the </w:t>
      </w:r>
      <w:r w:rsidR="00284DFD" w:rsidRPr="00C534A9">
        <w:rPr>
          <w:rFonts w:ascii="Arial" w:hAnsi="Arial" w:cs="Arial"/>
          <w:sz w:val="22"/>
        </w:rPr>
        <w:t>sub-project</w:t>
      </w:r>
      <w:r w:rsidR="009C6319" w:rsidRPr="00C534A9">
        <w:rPr>
          <w:rFonts w:ascii="Arial" w:hAnsi="Arial" w:cs="Arial"/>
          <w:sz w:val="22"/>
        </w:rPr>
        <w:t xml:space="preserve">’s </w:t>
      </w:r>
      <w:r w:rsidRPr="00C534A9">
        <w:rPr>
          <w:rFonts w:ascii="Arial" w:hAnsi="Arial" w:cs="Arial"/>
          <w:sz w:val="22"/>
        </w:rPr>
        <w:t xml:space="preserve">benefits. </w:t>
      </w:r>
      <w:r w:rsidR="00AD51DD" w:rsidRPr="00C534A9">
        <w:rPr>
          <w:rFonts w:ascii="Arial" w:hAnsi="Arial" w:cs="Arial"/>
          <w:sz w:val="22"/>
        </w:rPr>
        <w:t>T</w:t>
      </w:r>
      <w:r w:rsidRPr="00C534A9">
        <w:rPr>
          <w:rFonts w:ascii="Arial" w:hAnsi="Arial" w:cs="Arial"/>
          <w:sz w:val="22"/>
        </w:rPr>
        <w:t xml:space="preserve">he </w:t>
      </w:r>
      <w:r w:rsidR="009C6319" w:rsidRPr="00C534A9">
        <w:rPr>
          <w:rFonts w:ascii="Arial" w:hAnsi="Arial" w:cs="Arial"/>
          <w:sz w:val="22"/>
        </w:rPr>
        <w:t>present</w:t>
      </w:r>
      <w:r w:rsidRPr="00C534A9">
        <w:rPr>
          <w:rFonts w:ascii="Arial" w:hAnsi="Arial" w:cs="Arial"/>
          <w:sz w:val="22"/>
        </w:rPr>
        <w:t xml:space="preserve"> </w:t>
      </w:r>
      <w:r w:rsidR="00284DFD" w:rsidRPr="00C534A9">
        <w:rPr>
          <w:rFonts w:ascii="Arial" w:hAnsi="Arial" w:cs="Arial"/>
          <w:sz w:val="22"/>
        </w:rPr>
        <w:t xml:space="preserve">value </w:t>
      </w:r>
      <w:r w:rsidRPr="00C534A9">
        <w:rPr>
          <w:rFonts w:ascii="Arial" w:hAnsi="Arial" w:cs="Arial"/>
          <w:sz w:val="22"/>
        </w:rPr>
        <w:t xml:space="preserve">of the </w:t>
      </w:r>
      <w:r w:rsidR="00284DFD" w:rsidRPr="00C534A9">
        <w:rPr>
          <w:rFonts w:ascii="Arial" w:hAnsi="Arial" w:cs="Arial"/>
          <w:sz w:val="22"/>
        </w:rPr>
        <w:t>sub-project</w:t>
      </w:r>
      <w:r w:rsidR="009C6319" w:rsidRPr="00C534A9">
        <w:rPr>
          <w:rFonts w:ascii="Arial" w:hAnsi="Arial" w:cs="Arial"/>
          <w:sz w:val="22"/>
        </w:rPr>
        <w:t>’s</w:t>
      </w:r>
      <w:r w:rsidRPr="00C534A9">
        <w:rPr>
          <w:rFonts w:ascii="Arial" w:hAnsi="Arial" w:cs="Arial"/>
          <w:sz w:val="22"/>
        </w:rPr>
        <w:t xml:space="preserve"> costs and </w:t>
      </w:r>
      <w:proofErr w:type="gramStart"/>
      <w:r w:rsidRPr="00C534A9">
        <w:rPr>
          <w:rFonts w:ascii="Arial" w:hAnsi="Arial" w:cs="Arial"/>
          <w:sz w:val="22"/>
        </w:rPr>
        <w:t>benefits,</w:t>
      </w:r>
      <w:proofErr w:type="gramEnd"/>
      <w:r w:rsidRPr="00C534A9">
        <w:rPr>
          <w:rFonts w:ascii="Arial" w:hAnsi="Arial" w:cs="Arial"/>
          <w:sz w:val="22"/>
        </w:rPr>
        <w:t xml:space="preserve"> </w:t>
      </w:r>
      <w:r w:rsidR="00AD51DD" w:rsidRPr="00C534A9">
        <w:rPr>
          <w:rFonts w:ascii="Arial" w:hAnsi="Arial" w:cs="Arial"/>
          <w:sz w:val="22"/>
        </w:rPr>
        <w:t>was determined using</w:t>
      </w:r>
      <w:r w:rsidR="00AD51DD" w:rsidRPr="00C534A9" w:rsidDel="00AD51DD">
        <w:rPr>
          <w:rFonts w:ascii="Arial" w:hAnsi="Arial" w:cs="Arial"/>
          <w:sz w:val="22"/>
        </w:rPr>
        <w:t xml:space="preserve"> </w:t>
      </w:r>
      <w:r w:rsidRPr="00C534A9">
        <w:rPr>
          <w:rFonts w:ascii="Arial" w:hAnsi="Arial" w:cs="Arial"/>
          <w:sz w:val="22"/>
        </w:rPr>
        <w:t xml:space="preserve">a social discount rate of 12 percent (in real terms). If the </w:t>
      </w:r>
      <w:r w:rsidR="009C6319" w:rsidRPr="00C534A9">
        <w:rPr>
          <w:rFonts w:ascii="Arial" w:hAnsi="Arial" w:cs="Arial"/>
          <w:sz w:val="22"/>
        </w:rPr>
        <w:t xml:space="preserve">present value </w:t>
      </w:r>
      <w:r w:rsidRPr="00C534A9">
        <w:rPr>
          <w:rFonts w:ascii="Arial" w:hAnsi="Arial" w:cs="Arial"/>
          <w:sz w:val="22"/>
        </w:rPr>
        <w:t xml:space="preserve">of the </w:t>
      </w:r>
      <w:r w:rsidR="00284DFD" w:rsidRPr="00C534A9">
        <w:rPr>
          <w:rFonts w:ascii="Arial" w:hAnsi="Arial" w:cs="Arial"/>
          <w:sz w:val="22"/>
        </w:rPr>
        <w:t>sub-project</w:t>
      </w:r>
      <w:r w:rsidRPr="00C534A9">
        <w:rPr>
          <w:rFonts w:ascii="Arial" w:hAnsi="Arial" w:cs="Arial"/>
          <w:sz w:val="22"/>
        </w:rPr>
        <w:t xml:space="preserve">’s net benefits is greater than zero, the </w:t>
      </w:r>
      <w:r w:rsidR="00AA31CB" w:rsidRPr="00C534A9">
        <w:rPr>
          <w:rFonts w:ascii="Arial" w:hAnsi="Arial" w:cs="Arial"/>
          <w:sz w:val="22"/>
        </w:rPr>
        <w:t>sub-project</w:t>
      </w:r>
      <w:r w:rsidRPr="00C534A9">
        <w:rPr>
          <w:rFonts w:ascii="Arial" w:hAnsi="Arial" w:cs="Arial"/>
          <w:sz w:val="22"/>
        </w:rPr>
        <w:t xml:space="preserve"> is economically viable.  </w:t>
      </w:r>
    </w:p>
    <w:p w:rsidR="00E14C8B" w:rsidRPr="00C534A9" w:rsidRDefault="00E14C8B" w:rsidP="00C534A9">
      <w:pPr>
        <w:pStyle w:val="Heading3"/>
        <w:jc w:val="both"/>
        <w:rPr>
          <w:rFonts w:ascii="Arial" w:hAnsi="Arial" w:cs="Arial"/>
          <w:sz w:val="22"/>
        </w:rPr>
      </w:pPr>
      <w:bookmarkStart w:id="39" w:name="_Toc423341359"/>
      <w:bookmarkStart w:id="40" w:name="_Ref423355969"/>
      <w:bookmarkStart w:id="41" w:name="_Toc423457929"/>
      <w:bookmarkStart w:id="42" w:name="_Toc428351513"/>
      <w:bookmarkStart w:id="43" w:name="_Toc464551500"/>
      <w:r w:rsidRPr="00C534A9">
        <w:rPr>
          <w:rFonts w:ascii="Arial" w:hAnsi="Arial" w:cs="Arial"/>
          <w:sz w:val="22"/>
        </w:rPr>
        <w:t xml:space="preserve">Assumptions for </w:t>
      </w:r>
      <w:bookmarkEnd w:id="39"/>
      <w:bookmarkEnd w:id="40"/>
      <w:bookmarkEnd w:id="41"/>
      <w:bookmarkEnd w:id="42"/>
      <w:r w:rsidR="00463F1B" w:rsidRPr="00C534A9">
        <w:rPr>
          <w:rFonts w:ascii="Arial" w:hAnsi="Arial" w:cs="Arial"/>
          <w:sz w:val="22"/>
        </w:rPr>
        <w:t>the micro-LNG expansion and natural gas compressor replacement</w:t>
      </w:r>
      <w:r w:rsidR="00416EE9" w:rsidRPr="00C534A9">
        <w:rPr>
          <w:rFonts w:ascii="Arial" w:hAnsi="Arial" w:cs="Arial"/>
          <w:sz w:val="22"/>
        </w:rPr>
        <w:t xml:space="preserve"> sub-project</w:t>
      </w:r>
      <w:bookmarkEnd w:id="43"/>
    </w:p>
    <w:p w:rsidR="00E14C8B" w:rsidRPr="00C534A9" w:rsidRDefault="00E14C8B" w:rsidP="00C534A9">
      <w:pPr>
        <w:jc w:val="both"/>
        <w:rPr>
          <w:rFonts w:ascii="Arial" w:hAnsi="Arial" w:cs="Arial"/>
          <w:sz w:val="22"/>
        </w:rPr>
      </w:pPr>
      <w:r w:rsidRPr="00C534A9">
        <w:rPr>
          <w:rFonts w:ascii="Arial" w:hAnsi="Arial" w:cs="Arial"/>
          <w:sz w:val="22"/>
        </w:rPr>
        <w:t xml:space="preserve">To determine the </w:t>
      </w:r>
      <w:r w:rsidR="00463F1B" w:rsidRPr="00C534A9">
        <w:rPr>
          <w:rFonts w:ascii="Arial" w:hAnsi="Arial" w:cs="Arial"/>
          <w:sz w:val="22"/>
        </w:rPr>
        <w:t>sub-project</w:t>
      </w:r>
      <w:r w:rsidR="00793336" w:rsidRPr="00C534A9">
        <w:rPr>
          <w:rFonts w:ascii="Arial" w:hAnsi="Arial" w:cs="Arial"/>
          <w:sz w:val="22"/>
        </w:rPr>
        <w:t>’s</w:t>
      </w:r>
      <w:r w:rsidRPr="00C534A9">
        <w:rPr>
          <w:rFonts w:ascii="Arial" w:hAnsi="Arial" w:cs="Arial"/>
          <w:sz w:val="22"/>
        </w:rPr>
        <w:t xml:space="preserve"> net benefits, the annual economic costs and benefits of the </w:t>
      </w:r>
      <w:r w:rsidR="00463F1B" w:rsidRPr="00C534A9">
        <w:rPr>
          <w:rFonts w:ascii="Arial" w:hAnsi="Arial" w:cs="Arial"/>
          <w:sz w:val="22"/>
        </w:rPr>
        <w:t>sub-projects</w:t>
      </w:r>
      <w:r w:rsidRPr="00C534A9">
        <w:rPr>
          <w:rFonts w:ascii="Arial" w:hAnsi="Arial" w:cs="Arial"/>
          <w:sz w:val="22"/>
        </w:rPr>
        <w:t xml:space="preserve">, for a period of </w:t>
      </w:r>
      <w:r w:rsidR="00463F1B" w:rsidRPr="00C534A9">
        <w:rPr>
          <w:rFonts w:ascii="Arial" w:hAnsi="Arial" w:cs="Arial"/>
          <w:sz w:val="22"/>
        </w:rPr>
        <w:t>25</w:t>
      </w:r>
      <w:r w:rsidR="00793336" w:rsidRPr="00C534A9">
        <w:rPr>
          <w:rFonts w:ascii="Arial" w:hAnsi="Arial" w:cs="Arial"/>
          <w:sz w:val="22"/>
        </w:rPr>
        <w:t xml:space="preserve"> </w:t>
      </w:r>
      <w:r w:rsidRPr="00C534A9">
        <w:rPr>
          <w:rFonts w:ascii="Arial" w:hAnsi="Arial" w:cs="Arial"/>
          <w:sz w:val="22"/>
        </w:rPr>
        <w:t>years</w:t>
      </w:r>
      <w:r w:rsidR="00712B41" w:rsidRPr="00C534A9">
        <w:rPr>
          <w:rFonts w:ascii="Arial" w:hAnsi="Arial" w:cs="Arial"/>
          <w:sz w:val="22"/>
        </w:rPr>
        <w:t>, were estimated</w:t>
      </w:r>
      <w:r w:rsidRPr="00C534A9">
        <w:rPr>
          <w:rFonts w:ascii="Arial" w:hAnsi="Arial" w:cs="Arial"/>
          <w:sz w:val="22"/>
        </w:rPr>
        <w:t xml:space="preserve">. </w:t>
      </w:r>
      <w:r w:rsidRPr="00C534A9">
        <w:rPr>
          <w:rFonts w:ascii="Arial" w:hAnsi="Arial" w:cs="Arial"/>
          <w:sz w:val="22"/>
        </w:rPr>
        <w:fldChar w:fldCharType="begin"/>
      </w:r>
      <w:r w:rsidRPr="00C534A9">
        <w:rPr>
          <w:rFonts w:ascii="Arial" w:hAnsi="Arial" w:cs="Arial"/>
          <w:sz w:val="22"/>
        </w:rPr>
        <w:instrText xml:space="preserve"> REF _Ref406057891 \h  \* MERGEFORMAT </w:instrText>
      </w:r>
      <w:r w:rsidRPr="00C534A9">
        <w:rPr>
          <w:rFonts w:ascii="Arial" w:hAnsi="Arial" w:cs="Arial"/>
          <w:sz w:val="22"/>
        </w:rPr>
      </w:r>
      <w:r w:rsidRPr="00C534A9">
        <w:rPr>
          <w:rFonts w:ascii="Arial" w:hAnsi="Arial" w:cs="Arial"/>
          <w:sz w:val="22"/>
        </w:rPr>
        <w:fldChar w:fldCharType="separate"/>
      </w:r>
      <w:r w:rsidR="003F3D75" w:rsidRPr="00C534A9">
        <w:rPr>
          <w:rFonts w:ascii="Arial" w:hAnsi="Arial" w:cs="Arial"/>
          <w:sz w:val="22"/>
        </w:rPr>
        <w:t xml:space="preserve">Table </w:t>
      </w:r>
      <w:r w:rsidR="003F3D75" w:rsidRPr="00C534A9">
        <w:rPr>
          <w:rFonts w:ascii="Arial" w:hAnsi="Arial" w:cs="Arial"/>
          <w:noProof/>
          <w:sz w:val="22"/>
        </w:rPr>
        <w:t>3.1</w:t>
      </w:r>
      <w:r w:rsidRPr="00C534A9">
        <w:rPr>
          <w:rFonts w:ascii="Arial" w:hAnsi="Arial" w:cs="Arial"/>
          <w:sz w:val="22"/>
        </w:rPr>
        <w:fldChar w:fldCharType="end"/>
      </w:r>
      <w:r w:rsidRPr="00C534A9">
        <w:rPr>
          <w:rFonts w:ascii="Arial" w:hAnsi="Arial" w:cs="Arial"/>
          <w:sz w:val="22"/>
        </w:rPr>
        <w:t xml:space="preserve"> presents the assumptions used to calculate the economic costs and benefits of the </w:t>
      </w:r>
      <w:r w:rsidR="00463F1B" w:rsidRPr="00C534A9">
        <w:rPr>
          <w:rFonts w:ascii="Arial" w:hAnsi="Arial" w:cs="Arial"/>
          <w:sz w:val="22"/>
        </w:rPr>
        <w:t>sub-projects</w:t>
      </w:r>
      <w:r w:rsidRPr="00C534A9">
        <w:rPr>
          <w:rFonts w:ascii="Arial" w:hAnsi="Arial" w:cs="Arial"/>
          <w:sz w:val="22"/>
        </w:rPr>
        <w:t xml:space="preserve">. </w:t>
      </w:r>
    </w:p>
    <w:p w:rsidR="00E14C8B" w:rsidRPr="00C534A9" w:rsidRDefault="00E14C8B" w:rsidP="00C534A9">
      <w:pPr>
        <w:pStyle w:val="Caption"/>
        <w:jc w:val="both"/>
        <w:rPr>
          <w:rFonts w:ascii="Arial" w:hAnsi="Arial" w:cs="Arial"/>
          <w:sz w:val="22"/>
        </w:rPr>
      </w:pPr>
      <w:bookmarkStart w:id="44" w:name="_Ref406057891"/>
      <w:bookmarkStart w:id="45" w:name="_Toc406061442"/>
      <w:bookmarkStart w:id="46" w:name="_Toc418270499"/>
      <w:bookmarkStart w:id="47" w:name="_Toc423341373"/>
      <w:bookmarkStart w:id="48" w:name="_Toc423457903"/>
      <w:bookmarkStart w:id="49" w:name="_Toc428351529"/>
      <w:bookmarkStart w:id="50" w:name="_Toc463508479"/>
      <w:bookmarkStart w:id="51" w:name="_Toc463508968"/>
      <w:proofErr w:type="gramStart"/>
      <w:r w:rsidRPr="00C534A9">
        <w:rPr>
          <w:rFonts w:ascii="Arial" w:hAnsi="Arial" w:cs="Arial"/>
          <w:sz w:val="22"/>
        </w:rPr>
        <w:t xml:space="preserve">Table </w:t>
      </w:r>
      <w:r w:rsidR="007D6B36" w:rsidRPr="00C534A9">
        <w:rPr>
          <w:rFonts w:ascii="Arial" w:hAnsi="Arial" w:cs="Arial"/>
          <w:sz w:val="22"/>
        </w:rPr>
        <w:fldChar w:fldCharType="begin"/>
      </w:r>
      <w:r w:rsidR="007D6B36" w:rsidRPr="00C534A9">
        <w:rPr>
          <w:rFonts w:ascii="Arial" w:hAnsi="Arial" w:cs="Arial"/>
          <w:sz w:val="22"/>
        </w:rPr>
        <w:instrText xml:space="preserve"> STYLEREF 1 \s </w:instrText>
      </w:r>
      <w:r w:rsidR="007D6B36" w:rsidRPr="00C534A9">
        <w:rPr>
          <w:rFonts w:ascii="Arial" w:hAnsi="Arial" w:cs="Arial"/>
          <w:sz w:val="22"/>
        </w:rPr>
        <w:fldChar w:fldCharType="separate"/>
      </w:r>
      <w:r w:rsidR="003F3D75" w:rsidRPr="00C534A9">
        <w:rPr>
          <w:rFonts w:ascii="Arial" w:hAnsi="Arial" w:cs="Arial"/>
          <w:noProof/>
          <w:sz w:val="22"/>
        </w:rPr>
        <w:t>3</w:t>
      </w:r>
      <w:r w:rsidR="007D6B36" w:rsidRPr="00C534A9">
        <w:rPr>
          <w:rFonts w:ascii="Arial" w:hAnsi="Arial" w:cs="Arial"/>
          <w:noProof/>
          <w:sz w:val="22"/>
        </w:rPr>
        <w:fldChar w:fldCharType="end"/>
      </w:r>
      <w:r w:rsidRPr="00C534A9">
        <w:rPr>
          <w:rFonts w:ascii="Arial" w:hAnsi="Arial" w:cs="Arial"/>
          <w:sz w:val="22"/>
        </w:rPr>
        <w:t>.</w:t>
      </w:r>
      <w:proofErr w:type="gramEnd"/>
      <w:r w:rsidR="003343DE" w:rsidRPr="00C534A9">
        <w:rPr>
          <w:rFonts w:ascii="Arial" w:hAnsi="Arial" w:cs="Arial"/>
          <w:sz w:val="22"/>
        </w:rPr>
        <w:fldChar w:fldCharType="begin"/>
      </w:r>
      <w:r w:rsidR="003343DE" w:rsidRPr="00C534A9">
        <w:rPr>
          <w:rFonts w:ascii="Arial" w:hAnsi="Arial" w:cs="Arial"/>
          <w:sz w:val="22"/>
        </w:rPr>
        <w:instrText xml:space="preserve"> SEQ Table \* ARABIC \s 1 </w:instrText>
      </w:r>
      <w:r w:rsidR="003343DE" w:rsidRPr="00C534A9">
        <w:rPr>
          <w:rFonts w:ascii="Arial" w:hAnsi="Arial" w:cs="Arial"/>
          <w:sz w:val="22"/>
        </w:rPr>
        <w:fldChar w:fldCharType="separate"/>
      </w:r>
      <w:r w:rsidR="003F3D75" w:rsidRPr="00C534A9">
        <w:rPr>
          <w:rFonts w:ascii="Arial" w:hAnsi="Arial" w:cs="Arial"/>
          <w:noProof/>
          <w:sz w:val="22"/>
        </w:rPr>
        <w:t>1</w:t>
      </w:r>
      <w:r w:rsidR="003343DE" w:rsidRPr="00C534A9">
        <w:rPr>
          <w:rFonts w:ascii="Arial" w:hAnsi="Arial" w:cs="Arial"/>
          <w:noProof/>
          <w:sz w:val="22"/>
        </w:rPr>
        <w:fldChar w:fldCharType="end"/>
      </w:r>
      <w:bookmarkEnd w:id="44"/>
      <w:r w:rsidRPr="00C534A9">
        <w:rPr>
          <w:rFonts w:ascii="Arial" w:hAnsi="Arial" w:cs="Arial"/>
          <w:sz w:val="22"/>
        </w:rPr>
        <w:t>: Assumptions Used to Determine the Economic Costs and Benefits</w:t>
      </w:r>
      <w:bookmarkEnd w:id="45"/>
      <w:bookmarkEnd w:id="46"/>
      <w:bookmarkEnd w:id="47"/>
      <w:bookmarkEnd w:id="48"/>
      <w:r w:rsidRPr="00C534A9">
        <w:rPr>
          <w:rFonts w:ascii="Arial" w:hAnsi="Arial" w:cs="Arial"/>
          <w:sz w:val="22"/>
        </w:rPr>
        <w:t xml:space="preserve"> of </w:t>
      </w:r>
      <w:bookmarkEnd w:id="49"/>
      <w:r w:rsidR="00463F1B" w:rsidRPr="00C534A9">
        <w:rPr>
          <w:rFonts w:ascii="Arial" w:hAnsi="Arial" w:cs="Arial"/>
          <w:sz w:val="22"/>
        </w:rPr>
        <w:t>the micro-LNG expansion and natural gas compressor replacement</w:t>
      </w:r>
      <w:r w:rsidR="00416EE9" w:rsidRPr="00C534A9">
        <w:rPr>
          <w:rFonts w:ascii="Arial" w:hAnsi="Arial" w:cs="Arial"/>
          <w:sz w:val="22"/>
        </w:rPr>
        <w:t xml:space="preserve"> sub-project</w:t>
      </w:r>
      <w:bookmarkEnd w:id="50"/>
      <w:bookmarkEnd w:id="51"/>
    </w:p>
    <w:tbl>
      <w:tblPr>
        <w:tblW w:w="6795" w:type="dxa"/>
        <w:jc w:val="center"/>
        <w:tblInd w:w="-27" w:type="dxa"/>
        <w:tblLook w:val="04A0" w:firstRow="1" w:lastRow="0" w:firstColumn="1" w:lastColumn="0" w:noHBand="0" w:noVBand="1"/>
      </w:tblPr>
      <w:tblGrid>
        <w:gridCol w:w="3808"/>
        <w:gridCol w:w="1676"/>
        <w:gridCol w:w="1311"/>
      </w:tblGrid>
      <w:tr w:rsidR="002324F3" w:rsidRPr="00C534A9" w:rsidTr="00A84E91">
        <w:trPr>
          <w:trHeight w:val="255"/>
          <w:jc w:val="center"/>
        </w:trPr>
        <w:tc>
          <w:tcPr>
            <w:tcW w:w="3808" w:type="dxa"/>
            <w:tcBorders>
              <w:top w:val="nil"/>
              <w:left w:val="nil"/>
              <w:bottom w:val="nil"/>
              <w:right w:val="nil"/>
            </w:tcBorders>
            <w:shd w:val="clear" w:color="000000" w:fill="FFFFFF"/>
            <w:noWrap/>
            <w:vAlign w:val="center"/>
            <w:hideMark/>
          </w:tcPr>
          <w:p w:rsidR="002324F3" w:rsidRPr="00C534A9" w:rsidRDefault="002324F3" w:rsidP="00C534A9">
            <w:pPr>
              <w:spacing w:after="0" w:line="240" w:lineRule="auto"/>
              <w:jc w:val="both"/>
              <w:rPr>
                <w:rFonts w:ascii="Arial" w:eastAsia="Times New Roman" w:hAnsi="Arial" w:cs="Arial"/>
                <w:b/>
                <w:bCs/>
                <w:color w:val="auto"/>
                <w:sz w:val="22"/>
                <w:szCs w:val="24"/>
                <w:u w:val="single"/>
              </w:rPr>
            </w:pPr>
            <w:r w:rsidRPr="00C534A9">
              <w:rPr>
                <w:rFonts w:ascii="Arial" w:eastAsia="Times New Roman" w:hAnsi="Arial" w:cs="Arial"/>
                <w:b/>
                <w:bCs/>
                <w:color w:val="auto"/>
                <w:sz w:val="22"/>
                <w:szCs w:val="24"/>
                <w:u w:val="single"/>
              </w:rPr>
              <w:t xml:space="preserve">NG Value </w:t>
            </w:r>
            <w:r w:rsidR="00BD0C1B" w:rsidRPr="00C534A9">
              <w:rPr>
                <w:rFonts w:ascii="Arial" w:eastAsia="Times New Roman" w:hAnsi="Arial" w:cs="Arial"/>
                <w:b/>
                <w:bCs/>
                <w:color w:val="auto"/>
                <w:sz w:val="22"/>
                <w:szCs w:val="24"/>
                <w:u w:val="single"/>
              </w:rPr>
              <w:t>C</w:t>
            </w:r>
            <w:r w:rsidRPr="00C534A9">
              <w:rPr>
                <w:rFonts w:ascii="Arial" w:eastAsia="Times New Roman" w:hAnsi="Arial" w:cs="Arial"/>
                <w:b/>
                <w:bCs/>
                <w:color w:val="auto"/>
                <w:sz w:val="22"/>
                <w:szCs w:val="24"/>
                <w:u w:val="single"/>
              </w:rPr>
              <w:t>hain</w:t>
            </w:r>
          </w:p>
        </w:tc>
        <w:tc>
          <w:tcPr>
            <w:tcW w:w="1676" w:type="dxa"/>
            <w:tcBorders>
              <w:top w:val="nil"/>
              <w:left w:val="nil"/>
              <w:bottom w:val="nil"/>
              <w:right w:val="nil"/>
            </w:tcBorders>
            <w:shd w:val="clear" w:color="000000" w:fill="FFFFFF"/>
            <w:vAlign w:val="center"/>
            <w:hideMark/>
          </w:tcPr>
          <w:p w:rsidR="002324F3" w:rsidRPr="00C534A9" w:rsidRDefault="002324F3" w:rsidP="00C534A9">
            <w:pPr>
              <w:spacing w:after="0" w:line="240" w:lineRule="auto"/>
              <w:jc w:val="both"/>
              <w:rPr>
                <w:rFonts w:ascii="Arial" w:eastAsia="Times New Roman" w:hAnsi="Arial" w:cs="Arial"/>
                <w:color w:val="auto"/>
                <w:sz w:val="22"/>
                <w:szCs w:val="24"/>
              </w:rPr>
            </w:pPr>
          </w:p>
        </w:tc>
        <w:tc>
          <w:tcPr>
            <w:tcW w:w="1311" w:type="dxa"/>
            <w:tcBorders>
              <w:top w:val="nil"/>
              <w:left w:val="nil"/>
              <w:bottom w:val="nil"/>
              <w:right w:val="nil"/>
            </w:tcBorders>
            <w:shd w:val="clear" w:color="000000" w:fill="FFFFFF"/>
            <w:noWrap/>
            <w:vAlign w:val="center"/>
            <w:hideMark/>
          </w:tcPr>
          <w:p w:rsidR="002324F3" w:rsidRPr="00C534A9" w:rsidRDefault="002324F3" w:rsidP="00C534A9">
            <w:pPr>
              <w:spacing w:after="0" w:line="240" w:lineRule="auto"/>
              <w:jc w:val="both"/>
              <w:rPr>
                <w:rFonts w:ascii="Arial" w:eastAsia="Times New Roman" w:hAnsi="Arial" w:cs="Arial"/>
                <w:color w:val="auto"/>
                <w:sz w:val="22"/>
                <w:szCs w:val="24"/>
              </w:rPr>
            </w:pPr>
          </w:p>
        </w:tc>
      </w:tr>
      <w:tr w:rsidR="002324F3" w:rsidRPr="00C534A9" w:rsidTr="00A84E91">
        <w:trPr>
          <w:trHeight w:val="255"/>
          <w:jc w:val="center"/>
        </w:trPr>
        <w:tc>
          <w:tcPr>
            <w:tcW w:w="3808" w:type="dxa"/>
            <w:tcBorders>
              <w:top w:val="nil"/>
              <w:left w:val="nil"/>
              <w:bottom w:val="nil"/>
              <w:right w:val="nil"/>
            </w:tcBorders>
            <w:shd w:val="clear" w:color="000000" w:fill="FFFFFF"/>
            <w:noWrap/>
            <w:vAlign w:val="center"/>
            <w:hideMark/>
          </w:tcPr>
          <w:p w:rsidR="002324F3" w:rsidRPr="00C534A9" w:rsidRDefault="002324F3" w:rsidP="00C534A9">
            <w:pPr>
              <w:spacing w:after="0" w:line="240" w:lineRule="auto"/>
              <w:jc w:val="both"/>
              <w:rPr>
                <w:rFonts w:ascii="Arial" w:eastAsia="Times New Roman" w:hAnsi="Arial" w:cs="Arial"/>
                <w:color w:val="auto"/>
                <w:sz w:val="22"/>
                <w:szCs w:val="24"/>
              </w:rPr>
            </w:pPr>
            <w:proofErr w:type="spellStart"/>
            <w:r w:rsidRPr="00C534A9">
              <w:rPr>
                <w:rFonts w:ascii="Arial" w:eastAsia="Times New Roman" w:hAnsi="Arial" w:cs="Arial"/>
                <w:color w:val="auto"/>
                <w:sz w:val="22"/>
                <w:szCs w:val="24"/>
              </w:rPr>
              <w:t>Iso</w:t>
            </w:r>
            <w:proofErr w:type="spellEnd"/>
            <w:r w:rsidRPr="00C534A9">
              <w:rPr>
                <w:rFonts w:ascii="Arial" w:eastAsia="Times New Roman" w:hAnsi="Arial" w:cs="Arial"/>
                <w:color w:val="auto"/>
                <w:sz w:val="22"/>
                <w:szCs w:val="24"/>
              </w:rPr>
              <w:t>-container delivery cost (ex-NG)</w:t>
            </w:r>
          </w:p>
        </w:tc>
        <w:tc>
          <w:tcPr>
            <w:tcW w:w="1676" w:type="dxa"/>
            <w:tcBorders>
              <w:top w:val="nil"/>
              <w:left w:val="nil"/>
              <w:bottom w:val="nil"/>
              <w:right w:val="nil"/>
            </w:tcBorders>
            <w:shd w:val="clear" w:color="000000" w:fill="FFFFFF"/>
            <w:vAlign w:val="center"/>
            <w:hideMark/>
          </w:tcPr>
          <w:p w:rsidR="002324F3" w:rsidRPr="00C534A9" w:rsidRDefault="002324F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US$/</w:t>
            </w:r>
            <w:proofErr w:type="spellStart"/>
            <w:r w:rsidRPr="00C534A9">
              <w:rPr>
                <w:rFonts w:ascii="Arial" w:eastAsia="Times New Roman" w:hAnsi="Arial" w:cs="Arial"/>
                <w:color w:val="auto"/>
                <w:sz w:val="22"/>
                <w:szCs w:val="24"/>
              </w:rPr>
              <w:t>MMBtu</w:t>
            </w:r>
            <w:proofErr w:type="spellEnd"/>
          </w:p>
        </w:tc>
        <w:tc>
          <w:tcPr>
            <w:tcW w:w="1311" w:type="dxa"/>
            <w:tcBorders>
              <w:top w:val="nil"/>
              <w:left w:val="nil"/>
              <w:bottom w:val="nil"/>
              <w:right w:val="nil"/>
            </w:tcBorders>
            <w:shd w:val="clear" w:color="000000" w:fill="FFFFFF"/>
            <w:noWrap/>
            <w:vAlign w:val="center"/>
            <w:hideMark/>
          </w:tcPr>
          <w:p w:rsidR="002324F3" w:rsidRPr="00C534A9" w:rsidRDefault="002324F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10.50</w:t>
            </w:r>
          </w:p>
        </w:tc>
      </w:tr>
      <w:tr w:rsidR="002324F3" w:rsidRPr="00C534A9" w:rsidTr="00A84E91">
        <w:trPr>
          <w:trHeight w:val="255"/>
          <w:jc w:val="center"/>
        </w:trPr>
        <w:tc>
          <w:tcPr>
            <w:tcW w:w="3808" w:type="dxa"/>
            <w:tcBorders>
              <w:top w:val="nil"/>
              <w:left w:val="nil"/>
              <w:bottom w:val="nil"/>
              <w:right w:val="nil"/>
            </w:tcBorders>
            <w:shd w:val="clear" w:color="000000" w:fill="FFFFFF"/>
            <w:noWrap/>
            <w:vAlign w:val="center"/>
            <w:hideMark/>
          </w:tcPr>
          <w:p w:rsidR="002324F3" w:rsidRPr="00C534A9" w:rsidRDefault="002324F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NG premium over HH</w:t>
            </w:r>
          </w:p>
        </w:tc>
        <w:tc>
          <w:tcPr>
            <w:tcW w:w="1676" w:type="dxa"/>
            <w:tcBorders>
              <w:top w:val="nil"/>
              <w:left w:val="nil"/>
              <w:bottom w:val="nil"/>
              <w:right w:val="nil"/>
            </w:tcBorders>
            <w:shd w:val="clear" w:color="000000" w:fill="FFFFFF"/>
            <w:vAlign w:val="center"/>
            <w:hideMark/>
          </w:tcPr>
          <w:p w:rsidR="002324F3" w:rsidRPr="00C534A9" w:rsidRDefault="002324F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w:t>
            </w:r>
          </w:p>
        </w:tc>
        <w:tc>
          <w:tcPr>
            <w:tcW w:w="1311" w:type="dxa"/>
            <w:tcBorders>
              <w:top w:val="nil"/>
              <w:left w:val="nil"/>
              <w:bottom w:val="nil"/>
              <w:right w:val="nil"/>
            </w:tcBorders>
            <w:shd w:val="clear" w:color="000000" w:fill="FFFFFF"/>
            <w:noWrap/>
            <w:vAlign w:val="center"/>
            <w:hideMark/>
          </w:tcPr>
          <w:p w:rsidR="002324F3" w:rsidRPr="00C534A9" w:rsidRDefault="002324F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20%</w:t>
            </w:r>
          </w:p>
        </w:tc>
      </w:tr>
      <w:tr w:rsidR="002324F3" w:rsidRPr="00C534A9" w:rsidTr="00A84E91">
        <w:trPr>
          <w:trHeight w:val="255"/>
          <w:jc w:val="center"/>
        </w:trPr>
        <w:tc>
          <w:tcPr>
            <w:tcW w:w="3808" w:type="dxa"/>
            <w:tcBorders>
              <w:top w:val="nil"/>
              <w:left w:val="nil"/>
              <w:bottom w:val="nil"/>
              <w:right w:val="nil"/>
            </w:tcBorders>
            <w:shd w:val="clear" w:color="000000" w:fill="FFFFFF"/>
            <w:noWrap/>
            <w:vAlign w:val="center"/>
            <w:hideMark/>
          </w:tcPr>
          <w:p w:rsidR="002324F3" w:rsidRPr="00C534A9" w:rsidRDefault="002324F3" w:rsidP="00C534A9">
            <w:pPr>
              <w:spacing w:after="0" w:line="240" w:lineRule="auto"/>
              <w:ind w:firstLineChars="100" w:firstLine="220"/>
              <w:jc w:val="both"/>
              <w:rPr>
                <w:rFonts w:ascii="Arial" w:eastAsia="Times New Roman" w:hAnsi="Arial" w:cs="Arial"/>
                <w:color w:val="auto"/>
                <w:sz w:val="22"/>
                <w:szCs w:val="24"/>
              </w:rPr>
            </w:pPr>
          </w:p>
        </w:tc>
        <w:tc>
          <w:tcPr>
            <w:tcW w:w="1676" w:type="dxa"/>
            <w:tcBorders>
              <w:top w:val="nil"/>
              <w:left w:val="nil"/>
              <w:bottom w:val="nil"/>
              <w:right w:val="nil"/>
            </w:tcBorders>
            <w:shd w:val="clear" w:color="000000" w:fill="FFFFFF"/>
            <w:vAlign w:val="center"/>
            <w:hideMark/>
          </w:tcPr>
          <w:p w:rsidR="002324F3" w:rsidRPr="00C534A9" w:rsidRDefault="002324F3" w:rsidP="00C534A9">
            <w:pPr>
              <w:spacing w:after="0" w:line="240" w:lineRule="auto"/>
              <w:jc w:val="both"/>
              <w:rPr>
                <w:rFonts w:ascii="Arial" w:eastAsia="Times New Roman" w:hAnsi="Arial" w:cs="Arial"/>
                <w:color w:val="auto"/>
                <w:sz w:val="22"/>
                <w:szCs w:val="24"/>
              </w:rPr>
            </w:pPr>
          </w:p>
        </w:tc>
        <w:tc>
          <w:tcPr>
            <w:tcW w:w="1311" w:type="dxa"/>
            <w:tcBorders>
              <w:top w:val="nil"/>
              <w:left w:val="nil"/>
              <w:bottom w:val="nil"/>
              <w:right w:val="nil"/>
            </w:tcBorders>
            <w:shd w:val="clear" w:color="000000" w:fill="FFFFFF"/>
            <w:noWrap/>
            <w:vAlign w:val="center"/>
            <w:hideMark/>
          </w:tcPr>
          <w:p w:rsidR="002324F3" w:rsidRPr="00C534A9" w:rsidRDefault="002324F3" w:rsidP="00C534A9">
            <w:pPr>
              <w:spacing w:after="0" w:line="240" w:lineRule="auto"/>
              <w:jc w:val="both"/>
              <w:rPr>
                <w:rFonts w:ascii="Arial" w:eastAsia="Times New Roman" w:hAnsi="Arial" w:cs="Arial"/>
                <w:color w:val="auto"/>
                <w:sz w:val="22"/>
                <w:szCs w:val="24"/>
              </w:rPr>
            </w:pPr>
          </w:p>
        </w:tc>
      </w:tr>
      <w:tr w:rsidR="002324F3" w:rsidRPr="00C534A9" w:rsidTr="00A84E91">
        <w:trPr>
          <w:trHeight w:val="255"/>
          <w:jc w:val="center"/>
        </w:trPr>
        <w:tc>
          <w:tcPr>
            <w:tcW w:w="3808" w:type="dxa"/>
            <w:tcBorders>
              <w:top w:val="nil"/>
              <w:left w:val="nil"/>
              <w:bottom w:val="nil"/>
              <w:right w:val="nil"/>
            </w:tcBorders>
            <w:shd w:val="clear" w:color="000000" w:fill="FFFFFF"/>
            <w:noWrap/>
            <w:vAlign w:val="center"/>
            <w:hideMark/>
          </w:tcPr>
          <w:p w:rsidR="002324F3" w:rsidRPr="00C534A9" w:rsidRDefault="00BD0C1B" w:rsidP="00C534A9">
            <w:pPr>
              <w:spacing w:after="0" w:line="240" w:lineRule="auto"/>
              <w:jc w:val="both"/>
              <w:rPr>
                <w:rFonts w:ascii="Arial" w:eastAsia="Times New Roman" w:hAnsi="Arial" w:cs="Arial"/>
                <w:b/>
                <w:bCs/>
                <w:color w:val="auto"/>
                <w:sz w:val="22"/>
                <w:szCs w:val="24"/>
                <w:u w:val="single"/>
              </w:rPr>
            </w:pPr>
            <w:r w:rsidRPr="00C534A9">
              <w:rPr>
                <w:rFonts w:ascii="Arial" w:eastAsia="Times New Roman" w:hAnsi="Arial" w:cs="Arial"/>
                <w:b/>
                <w:bCs/>
                <w:color w:val="auto"/>
                <w:sz w:val="22"/>
                <w:szCs w:val="24"/>
                <w:u w:val="single"/>
              </w:rPr>
              <w:t>Input costs and prices</w:t>
            </w:r>
          </w:p>
        </w:tc>
        <w:tc>
          <w:tcPr>
            <w:tcW w:w="1676" w:type="dxa"/>
            <w:tcBorders>
              <w:top w:val="nil"/>
              <w:left w:val="nil"/>
              <w:bottom w:val="nil"/>
              <w:right w:val="nil"/>
            </w:tcBorders>
            <w:shd w:val="clear" w:color="000000" w:fill="FFFFFF"/>
            <w:vAlign w:val="center"/>
            <w:hideMark/>
          </w:tcPr>
          <w:p w:rsidR="002324F3" w:rsidRPr="00C534A9" w:rsidRDefault="002324F3" w:rsidP="00C534A9">
            <w:pPr>
              <w:spacing w:after="0" w:line="240" w:lineRule="auto"/>
              <w:jc w:val="both"/>
              <w:rPr>
                <w:rFonts w:ascii="Arial" w:eastAsia="Times New Roman" w:hAnsi="Arial" w:cs="Arial"/>
                <w:color w:val="auto"/>
                <w:sz w:val="22"/>
                <w:szCs w:val="24"/>
              </w:rPr>
            </w:pPr>
          </w:p>
        </w:tc>
        <w:tc>
          <w:tcPr>
            <w:tcW w:w="1311" w:type="dxa"/>
            <w:tcBorders>
              <w:top w:val="nil"/>
              <w:left w:val="nil"/>
              <w:bottom w:val="nil"/>
              <w:right w:val="nil"/>
            </w:tcBorders>
            <w:shd w:val="clear" w:color="000000" w:fill="FFFFFF"/>
            <w:noWrap/>
            <w:vAlign w:val="center"/>
            <w:hideMark/>
          </w:tcPr>
          <w:p w:rsidR="002324F3" w:rsidRPr="00C534A9" w:rsidRDefault="002324F3" w:rsidP="00C534A9">
            <w:pPr>
              <w:spacing w:after="0" w:line="240" w:lineRule="auto"/>
              <w:jc w:val="both"/>
              <w:rPr>
                <w:rFonts w:ascii="Arial" w:eastAsia="Times New Roman" w:hAnsi="Arial" w:cs="Arial"/>
                <w:color w:val="auto"/>
                <w:sz w:val="22"/>
                <w:szCs w:val="24"/>
              </w:rPr>
            </w:pPr>
          </w:p>
        </w:tc>
      </w:tr>
      <w:tr w:rsidR="00BD0C1B" w:rsidRPr="00C534A9" w:rsidTr="00A84E91">
        <w:trPr>
          <w:trHeight w:val="255"/>
          <w:jc w:val="center"/>
        </w:trPr>
        <w:tc>
          <w:tcPr>
            <w:tcW w:w="3808" w:type="dxa"/>
            <w:tcBorders>
              <w:top w:val="nil"/>
              <w:left w:val="nil"/>
              <w:bottom w:val="nil"/>
              <w:right w:val="nil"/>
            </w:tcBorders>
            <w:shd w:val="clear" w:color="000000" w:fill="FFFFFF"/>
            <w:noWrap/>
            <w:vAlign w:val="center"/>
            <w:hideMark/>
          </w:tcPr>
          <w:p w:rsidR="00BD0C1B" w:rsidRPr="00C534A9" w:rsidRDefault="00BD0C1B" w:rsidP="00C534A9">
            <w:pPr>
              <w:spacing w:after="0" w:line="240" w:lineRule="auto"/>
              <w:jc w:val="both"/>
              <w:rPr>
                <w:rFonts w:ascii="Arial" w:eastAsia="Times New Roman" w:hAnsi="Arial" w:cs="Arial"/>
                <w:bCs/>
                <w:color w:val="auto"/>
                <w:sz w:val="22"/>
                <w:szCs w:val="24"/>
              </w:rPr>
            </w:pPr>
            <w:r w:rsidRPr="00C534A9">
              <w:rPr>
                <w:rFonts w:ascii="Arial" w:eastAsia="Times New Roman" w:hAnsi="Arial" w:cs="Arial"/>
                <w:bCs/>
                <w:color w:val="auto"/>
                <w:sz w:val="22"/>
                <w:szCs w:val="24"/>
              </w:rPr>
              <w:t>Residential NG price</w:t>
            </w:r>
          </w:p>
        </w:tc>
        <w:tc>
          <w:tcPr>
            <w:tcW w:w="1676" w:type="dxa"/>
            <w:tcBorders>
              <w:top w:val="nil"/>
              <w:left w:val="nil"/>
              <w:bottom w:val="nil"/>
              <w:right w:val="nil"/>
            </w:tcBorders>
            <w:shd w:val="clear" w:color="000000" w:fill="FFFFFF"/>
            <w:vAlign w:val="center"/>
            <w:hideMark/>
          </w:tcPr>
          <w:p w:rsidR="00BD0C1B" w:rsidRPr="00C534A9" w:rsidRDefault="00BD0C1B"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B$/m^3</w:t>
            </w:r>
          </w:p>
        </w:tc>
        <w:tc>
          <w:tcPr>
            <w:tcW w:w="1311" w:type="dxa"/>
            <w:tcBorders>
              <w:top w:val="nil"/>
              <w:left w:val="nil"/>
              <w:bottom w:val="nil"/>
              <w:right w:val="nil"/>
            </w:tcBorders>
            <w:shd w:val="clear" w:color="000000" w:fill="FFFFFF"/>
            <w:noWrap/>
            <w:vAlign w:val="center"/>
            <w:hideMark/>
          </w:tcPr>
          <w:p w:rsidR="00BD0C1B" w:rsidRPr="00C534A9" w:rsidRDefault="00BD0C1B"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1.48</w:t>
            </w:r>
          </w:p>
        </w:tc>
      </w:tr>
      <w:tr w:rsidR="00BD0C1B" w:rsidRPr="00C534A9" w:rsidTr="00A84E91">
        <w:trPr>
          <w:trHeight w:val="255"/>
          <w:jc w:val="center"/>
        </w:trPr>
        <w:tc>
          <w:tcPr>
            <w:tcW w:w="3808" w:type="dxa"/>
            <w:tcBorders>
              <w:top w:val="nil"/>
              <w:left w:val="nil"/>
              <w:bottom w:val="nil"/>
              <w:right w:val="nil"/>
            </w:tcBorders>
            <w:shd w:val="clear" w:color="000000" w:fill="FFFFFF"/>
            <w:noWrap/>
            <w:vAlign w:val="center"/>
            <w:hideMark/>
          </w:tcPr>
          <w:p w:rsidR="00BD0C1B" w:rsidRPr="00C534A9" w:rsidRDefault="00BD0C1B" w:rsidP="00C534A9">
            <w:pPr>
              <w:spacing w:after="0" w:line="240" w:lineRule="auto"/>
              <w:jc w:val="both"/>
              <w:rPr>
                <w:rFonts w:ascii="Arial" w:eastAsia="Times New Roman" w:hAnsi="Arial" w:cs="Arial"/>
                <w:bCs/>
                <w:color w:val="auto"/>
                <w:sz w:val="22"/>
                <w:szCs w:val="24"/>
              </w:rPr>
            </w:pPr>
            <w:r w:rsidRPr="00C534A9">
              <w:rPr>
                <w:rFonts w:ascii="Arial" w:eastAsia="Times New Roman" w:hAnsi="Arial" w:cs="Arial"/>
                <w:bCs/>
                <w:color w:val="auto"/>
                <w:sz w:val="22"/>
                <w:szCs w:val="24"/>
              </w:rPr>
              <w:t>Retail electricity price base rate</w:t>
            </w:r>
          </w:p>
        </w:tc>
        <w:tc>
          <w:tcPr>
            <w:tcW w:w="1676" w:type="dxa"/>
            <w:tcBorders>
              <w:top w:val="nil"/>
              <w:left w:val="nil"/>
              <w:bottom w:val="nil"/>
              <w:right w:val="nil"/>
            </w:tcBorders>
            <w:shd w:val="clear" w:color="000000" w:fill="FFFFFF"/>
            <w:vAlign w:val="center"/>
            <w:hideMark/>
          </w:tcPr>
          <w:p w:rsidR="00BD0C1B" w:rsidRPr="00C534A9" w:rsidRDefault="00BD0C1B"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B$/kwh</w:t>
            </w:r>
          </w:p>
        </w:tc>
        <w:tc>
          <w:tcPr>
            <w:tcW w:w="1311" w:type="dxa"/>
            <w:tcBorders>
              <w:top w:val="nil"/>
              <w:left w:val="nil"/>
              <w:bottom w:val="nil"/>
              <w:right w:val="nil"/>
            </w:tcBorders>
            <w:shd w:val="clear" w:color="000000" w:fill="FFFFFF"/>
            <w:noWrap/>
            <w:vAlign w:val="center"/>
            <w:hideMark/>
          </w:tcPr>
          <w:p w:rsidR="00BD0C1B" w:rsidRPr="00C534A9" w:rsidRDefault="00BD0C1B"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0.1345</w:t>
            </w:r>
          </w:p>
        </w:tc>
      </w:tr>
      <w:tr w:rsidR="00BD0C1B" w:rsidRPr="00C534A9" w:rsidTr="00A84E91">
        <w:trPr>
          <w:trHeight w:val="255"/>
          <w:jc w:val="center"/>
        </w:trPr>
        <w:tc>
          <w:tcPr>
            <w:tcW w:w="3808" w:type="dxa"/>
            <w:tcBorders>
              <w:top w:val="nil"/>
              <w:left w:val="nil"/>
              <w:bottom w:val="nil"/>
              <w:right w:val="nil"/>
            </w:tcBorders>
            <w:shd w:val="clear" w:color="000000" w:fill="FFFFFF"/>
            <w:noWrap/>
            <w:vAlign w:val="center"/>
            <w:hideMark/>
          </w:tcPr>
          <w:p w:rsidR="00BD0C1B" w:rsidRPr="00C534A9" w:rsidRDefault="00BD0C1B" w:rsidP="00C534A9">
            <w:pPr>
              <w:spacing w:after="0" w:line="240" w:lineRule="auto"/>
              <w:jc w:val="both"/>
              <w:rPr>
                <w:rFonts w:ascii="Arial" w:eastAsia="Times New Roman" w:hAnsi="Arial" w:cs="Arial"/>
                <w:bCs/>
                <w:color w:val="auto"/>
                <w:sz w:val="22"/>
                <w:szCs w:val="24"/>
              </w:rPr>
            </w:pPr>
            <w:r w:rsidRPr="00C534A9">
              <w:rPr>
                <w:rFonts w:ascii="Arial" w:eastAsia="Times New Roman" w:hAnsi="Arial" w:cs="Arial"/>
                <w:bCs/>
                <w:color w:val="auto"/>
                <w:sz w:val="22"/>
                <w:szCs w:val="24"/>
              </w:rPr>
              <w:t>CO2 price</w:t>
            </w:r>
          </w:p>
        </w:tc>
        <w:tc>
          <w:tcPr>
            <w:tcW w:w="1676" w:type="dxa"/>
            <w:tcBorders>
              <w:top w:val="nil"/>
              <w:left w:val="nil"/>
              <w:bottom w:val="nil"/>
              <w:right w:val="nil"/>
            </w:tcBorders>
            <w:shd w:val="clear" w:color="000000" w:fill="FFFFFF"/>
            <w:vAlign w:val="center"/>
            <w:hideMark/>
          </w:tcPr>
          <w:p w:rsidR="00BD0C1B" w:rsidRPr="00C534A9" w:rsidRDefault="00BD0C1B"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US$/ton CO2</w:t>
            </w:r>
          </w:p>
        </w:tc>
        <w:tc>
          <w:tcPr>
            <w:tcW w:w="1311" w:type="dxa"/>
            <w:tcBorders>
              <w:top w:val="nil"/>
              <w:left w:val="nil"/>
              <w:bottom w:val="nil"/>
              <w:right w:val="nil"/>
            </w:tcBorders>
            <w:shd w:val="clear" w:color="000000" w:fill="FFFFFF"/>
            <w:noWrap/>
            <w:vAlign w:val="center"/>
            <w:hideMark/>
          </w:tcPr>
          <w:p w:rsidR="00BD0C1B" w:rsidRPr="00C534A9" w:rsidRDefault="00BD0C1B"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10.00</w:t>
            </w:r>
          </w:p>
        </w:tc>
      </w:tr>
      <w:tr w:rsidR="00BD0C1B" w:rsidRPr="00C534A9" w:rsidTr="00A84E91">
        <w:trPr>
          <w:trHeight w:val="255"/>
          <w:jc w:val="center"/>
        </w:trPr>
        <w:tc>
          <w:tcPr>
            <w:tcW w:w="3808" w:type="dxa"/>
            <w:tcBorders>
              <w:top w:val="nil"/>
              <w:left w:val="nil"/>
              <w:bottom w:val="nil"/>
              <w:right w:val="nil"/>
            </w:tcBorders>
            <w:shd w:val="clear" w:color="000000" w:fill="FFFFFF"/>
            <w:noWrap/>
            <w:vAlign w:val="center"/>
          </w:tcPr>
          <w:p w:rsidR="00BD0C1B" w:rsidRPr="00C534A9" w:rsidRDefault="00BD0C1B" w:rsidP="00C534A9">
            <w:pPr>
              <w:spacing w:after="0" w:line="240" w:lineRule="auto"/>
              <w:ind w:firstLineChars="100" w:firstLine="220"/>
              <w:jc w:val="both"/>
              <w:rPr>
                <w:rFonts w:ascii="Arial" w:eastAsia="Times New Roman" w:hAnsi="Arial" w:cs="Arial"/>
                <w:bCs/>
                <w:color w:val="auto"/>
                <w:sz w:val="22"/>
                <w:szCs w:val="24"/>
              </w:rPr>
            </w:pPr>
          </w:p>
        </w:tc>
        <w:tc>
          <w:tcPr>
            <w:tcW w:w="1676" w:type="dxa"/>
            <w:tcBorders>
              <w:top w:val="nil"/>
              <w:left w:val="nil"/>
              <w:bottom w:val="nil"/>
              <w:right w:val="nil"/>
            </w:tcBorders>
            <w:shd w:val="clear" w:color="000000" w:fill="FFFFFF"/>
            <w:vAlign w:val="center"/>
          </w:tcPr>
          <w:p w:rsidR="00BD0C1B" w:rsidRPr="00C534A9" w:rsidRDefault="00BD0C1B" w:rsidP="00C534A9">
            <w:pPr>
              <w:spacing w:after="0" w:line="240" w:lineRule="auto"/>
              <w:jc w:val="both"/>
              <w:rPr>
                <w:rFonts w:ascii="Arial" w:eastAsia="Times New Roman" w:hAnsi="Arial" w:cs="Arial"/>
                <w:color w:val="auto"/>
                <w:sz w:val="22"/>
                <w:szCs w:val="24"/>
              </w:rPr>
            </w:pPr>
          </w:p>
        </w:tc>
        <w:tc>
          <w:tcPr>
            <w:tcW w:w="1311" w:type="dxa"/>
            <w:tcBorders>
              <w:top w:val="nil"/>
              <w:left w:val="nil"/>
              <w:bottom w:val="nil"/>
              <w:right w:val="nil"/>
            </w:tcBorders>
            <w:shd w:val="clear" w:color="000000" w:fill="FFFFFF"/>
            <w:noWrap/>
            <w:vAlign w:val="center"/>
          </w:tcPr>
          <w:p w:rsidR="00BD0C1B" w:rsidRPr="00C534A9" w:rsidRDefault="00BD0C1B" w:rsidP="00C534A9">
            <w:pPr>
              <w:spacing w:after="0" w:line="240" w:lineRule="auto"/>
              <w:jc w:val="both"/>
              <w:rPr>
                <w:rFonts w:ascii="Arial" w:eastAsia="Times New Roman" w:hAnsi="Arial" w:cs="Arial"/>
                <w:color w:val="auto"/>
                <w:sz w:val="22"/>
                <w:szCs w:val="24"/>
              </w:rPr>
            </w:pPr>
          </w:p>
        </w:tc>
      </w:tr>
      <w:tr w:rsidR="00BD0C1B" w:rsidRPr="00C534A9" w:rsidTr="00A84E91">
        <w:trPr>
          <w:trHeight w:val="255"/>
          <w:jc w:val="center"/>
        </w:trPr>
        <w:tc>
          <w:tcPr>
            <w:tcW w:w="3808" w:type="dxa"/>
            <w:tcBorders>
              <w:top w:val="nil"/>
              <w:left w:val="nil"/>
              <w:bottom w:val="nil"/>
              <w:right w:val="nil"/>
            </w:tcBorders>
            <w:shd w:val="clear" w:color="000000" w:fill="FFFFFF"/>
            <w:noWrap/>
            <w:vAlign w:val="center"/>
            <w:hideMark/>
          </w:tcPr>
          <w:p w:rsidR="00BD0C1B" w:rsidRPr="00C534A9" w:rsidRDefault="00BD0C1B" w:rsidP="00C534A9">
            <w:pPr>
              <w:spacing w:after="0" w:line="240" w:lineRule="auto"/>
              <w:jc w:val="both"/>
              <w:rPr>
                <w:rFonts w:ascii="Arial" w:eastAsia="Times New Roman" w:hAnsi="Arial" w:cs="Arial"/>
                <w:b/>
                <w:bCs/>
                <w:color w:val="auto"/>
                <w:sz w:val="22"/>
                <w:szCs w:val="24"/>
                <w:u w:val="single"/>
              </w:rPr>
            </w:pPr>
            <w:r w:rsidRPr="00C534A9">
              <w:rPr>
                <w:rFonts w:ascii="Arial" w:eastAsia="Times New Roman" w:hAnsi="Arial" w:cs="Arial"/>
                <w:b/>
                <w:bCs/>
                <w:color w:val="auto"/>
                <w:sz w:val="22"/>
                <w:szCs w:val="24"/>
                <w:u w:val="single"/>
              </w:rPr>
              <w:t>NG Demand drivers</w:t>
            </w:r>
          </w:p>
        </w:tc>
        <w:tc>
          <w:tcPr>
            <w:tcW w:w="1676" w:type="dxa"/>
            <w:tcBorders>
              <w:top w:val="nil"/>
              <w:left w:val="nil"/>
              <w:bottom w:val="nil"/>
              <w:right w:val="nil"/>
            </w:tcBorders>
            <w:shd w:val="clear" w:color="000000" w:fill="FFFFFF"/>
            <w:vAlign w:val="center"/>
            <w:hideMark/>
          </w:tcPr>
          <w:p w:rsidR="00BD0C1B" w:rsidRPr="00C534A9" w:rsidRDefault="00BD0C1B" w:rsidP="00C534A9">
            <w:pPr>
              <w:spacing w:after="0" w:line="240" w:lineRule="auto"/>
              <w:jc w:val="both"/>
              <w:rPr>
                <w:rFonts w:ascii="Arial" w:eastAsia="Times New Roman" w:hAnsi="Arial" w:cs="Arial"/>
                <w:color w:val="auto"/>
                <w:sz w:val="22"/>
                <w:szCs w:val="24"/>
              </w:rPr>
            </w:pPr>
          </w:p>
        </w:tc>
        <w:tc>
          <w:tcPr>
            <w:tcW w:w="1311" w:type="dxa"/>
            <w:tcBorders>
              <w:top w:val="nil"/>
              <w:left w:val="nil"/>
              <w:bottom w:val="nil"/>
              <w:right w:val="nil"/>
            </w:tcBorders>
            <w:shd w:val="clear" w:color="000000" w:fill="FFFFFF"/>
            <w:noWrap/>
            <w:vAlign w:val="center"/>
            <w:hideMark/>
          </w:tcPr>
          <w:p w:rsidR="00BD0C1B" w:rsidRPr="00C534A9" w:rsidRDefault="00BD0C1B" w:rsidP="00C534A9">
            <w:pPr>
              <w:spacing w:after="0" w:line="240" w:lineRule="auto"/>
              <w:jc w:val="both"/>
              <w:rPr>
                <w:rFonts w:ascii="Arial" w:eastAsia="Times New Roman" w:hAnsi="Arial" w:cs="Arial"/>
                <w:color w:val="auto"/>
                <w:sz w:val="22"/>
                <w:szCs w:val="24"/>
              </w:rPr>
            </w:pPr>
          </w:p>
        </w:tc>
      </w:tr>
      <w:tr w:rsidR="00BD0C1B" w:rsidRPr="00C534A9" w:rsidTr="00A84E91">
        <w:trPr>
          <w:trHeight w:val="255"/>
          <w:jc w:val="center"/>
        </w:trPr>
        <w:tc>
          <w:tcPr>
            <w:tcW w:w="3808" w:type="dxa"/>
            <w:tcBorders>
              <w:top w:val="nil"/>
              <w:left w:val="nil"/>
              <w:bottom w:val="nil"/>
              <w:right w:val="nil"/>
            </w:tcBorders>
            <w:shd w:val="clear" w:color="000000" w:fill="FFFFFF"/>
            <w:noWrap/>
            <w:vAlign w:val="center"/>
            <w:hideMark/>
          </w:tcPr>
          <w:p w:rsidR="00A84E91" w:rsidRPr="00C534A9" w:rsidRDefault="00A84E91" w:rsidP="00C534A9">
            <w:pPr>
              <w:spacing w:after="0" w:line="240" w:lineRule="auto"/>
              <w:jc w:val="both"/>
              <w:rPr>
                <w:rFonts w:ascii="Arial" w:eastAsia="Times New Roman" w:hAnsi="Arial" w:cs="Arial"/>
                <w:bCs/>
                <w:color w:val="auto"/>
                <w:sz w:val="22"/>
                <w:szCs w:val="24"/>
              </w:rPr>
            </w:pPr>
          </w:p>
          <w:p w:rsidR="00BD0C1B" w:rsidRPr="00C534A9" w:rsidRDefault="00BD0C1B" w:rsidP="00C534A9">
            <w:pPr>
              <w:spacing w:after="0" w:line="240" w:lineRule="auto"/>
              <w:jc w:val="both"/>
              <w:rPr>
                <w:rFonts w:ascii="Arial" w:eastAsia="Times New Roman" w:hAnsi="Arial" w:cs="Arial"/>
                <w:bCs/>
                <w:color w:val="auto"/>
                <w:sz w:val="22"/>
                <w:szCs w:val="24"/>
              </w:rPr>
            </w:pPr>
            <w:r w:rsidRPr="00C534A9">
              <w:rPr>
                <w:rFonts w:ascii="Arial" w:eastAsia="Times New Roman" w:hAnsi="Arial" w:cs="Arial"/>
                <w:bCs/>
                <w:color w:val="auto"/>
                <w:sz w:val="22"/>
                <w:szCs w:val="24"/>
              </w:rPr>
              <w:t>NG demand growth</w:t>
            </w:r>
          </w:p>
        </w:tc>
        <w:tc>
          <w:tcPr>
            <w:tcW w:w="1676" w:type="dxa"/>
            <w:tcBorders>
              <w:top w:val="nil"/>
              <w:left w:val="nil"/>
              <w:bottom w:val="nil"/>
              <w:right w:val="nil"/>
            </w:tcBorders>
            <w:shd w:val="clear" w:color="000000" w:fill="FFFFFF"/>
            <w:vAlign w:val="center"/>
            <w:hideMark/>
          </w:tcPr>
          <w:p w:rsidR="00BD0C1B" w:rsidRPr="00C534A9" w:rsidRDefault="00BD0C1B"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growth rate</w:t>
            </w:r>
          </w:p>
        </w:tc>
        <w:tc>
          <w:tcPr>
            <w:tcW w:w="1311" w:type="dxa"/>
            <w:tcBorders>
              <w:top w:val="nil"/>
              <w:left w:val="nil"/>
              <w:bottom w:val="nil"/>
              <w:right w:val="nil"/>
            </w:tcBorders>
            <w:shd w:val="clear" w:color="000000" w:fill="FFFFFF"/>
            <w:noWrap/>
            <w:vAlign w:val="center"/>
            <w:hideMark/>
          </w:tcPr>
          <w:p w:rsidR="00BD0C1B" w:rsidRPr="00C534A9" w:rsidRDefault="00BD0C1B"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1%</w:t>
            </w:r>
          </w:p>
        </w:tc>
      </w:tr>
      <w:tr w:rsidR="00A84E91" w:rsidRPr="00C534A9" w:rsidTr="00A84E91">
        <w:trPr>
          <w:trHeight w:val="255"/>
          <w:jc w:val="center"/>
        </w:trPr>
        <w:tc>
          <w:tcPr>
            <w:tcW w:w="3808" w:type="dxa"/>
            <w:tcBorders>
              <w:top w:val="nil"/>
              <w:left w:val="nil"/>
              <w:bottom w:val="nil"/>
              <w:right w:val="nil"/>
            </w:tcBorders>
            <w:shd w:val="clear" w:color="000000" w:fill="FFFFFF"/>
            <w:noWrap/>
            <w:vAlign w:val="center"/>
            <w:hideMark/>
          </w:tcPr>
          <w:p w:rsidR="00A84E91" w:rsidRPr="00C534A9" w:rsidRDefault="00A84E91" w:rsidP="00C534A9">
            <w:pPr>
              <w:spacing w:after="0" w:line="240" w:lineRule="auto"/>
              <w:jc w:val="both"/>
              <w:rPr>
                <w:rFonts w:ascii="Arial" w:eastAsia="Times New Roman" w:hAnsi="Arial" w:cs="Arial"/>
                <w:bCs/>
                <w:color w:val="auto"/>
                <w:sz w:val="22"/>
                <w:szCs w:val="24"/>
              </w:rPr>
            </w:pPr>
            <w:r w:rsidRPr="00C534A9">
              <w:rPr>
                <w:rFonts w:ascii="Arial" w:eastAsia="Times New Roman" w:hAnsi="Arial" w:cs="Arial"/>
                <w:bCs/>
                <w:color w:val="auto"/>
                <w:sz w:val="22"/>
                <w:szCs w:val="24"/>
              </w:rPr>
              <w:t>Pending NG customers demand</w:t>
            </w:r>
          </w:p>
        </w:tc>
        <w:tc>
          <w:tcPr>
            <w:tcW w:w="1676" w:type="dxa"/>
            <w:tcBorders>
              <w:top w:val="nil"/>
              <w:left w:val="nil"/>
              <w:bottom w:val="nil"/>
              <w:right w:val="nil"/>
            </w:tcBorders>
            <w:shd w:val="clear" w:color="000000" w:fill="FFFFFF"/>
            <w:vAlign w:val="center"/>
            <w:hideMark/>
          </w:tcPr>
          <w:p w:rsidR="00A84E91" w:rsidRPr="00C534A9" w:rsidRDefault="00A84E91" w:rsidP="00C534A9">
            <w:pPr>
              <w:spacing w:after="0" w:line="240" w:lineRule="auto"/>
              <w:jc w:val="both"/>
              <w:rPr>
                <w:rFonts w:ascii="Arial" w:eastAsia="Times New Roman" w:hAnsi="Arial" w:cs="Arial"/>
                <w:color w:val="auto"/>
                <w:sz w:val="22"/>
                <w:szCs w:val="24"/>
              </w:rPr>
            </w:pPr>
            <w:proofErr w:type="spellStart"/>
            <w:r w:rsidRPr="00C534A9">
              <w:rPr>
                <w:rFonts w:ascii="Arial" w:eastAsia="Times New Roman" w:hAnsi="Arial" w:cs="Arial"/>
                <w:color w:val="auto"/>
                <w:sz w:val="22"/>
                <w:szCs w:val="24"/>
              </w:rPr>
              <w:t>MMcf</w:t>
            </w:r>
            <w:proofErr w:type="spellEnd"/>
            <w:r w:rsidRPr="00C534A9">
              <w:rPr>
                <w:rFonts w:ascii="Arial" w:eastAsia="Times New Roman" w:hAnsi="Arial" w:cs="Arial"/>
                <w:color w:val="auto"/>
                <w:sz w:val="22"/>
                <w:szCs w:val="24"/>
              </w:rPr>
              <w:t xml:space="preserve"> per year</w:t>
            </w:r>
          </w:p>
        </w:tc>
        <w:tc>
          <w:tcPr>
            <w:tcW w:w="1311" w:type="dxa"/>
            <w:tcBorders>
              <w:top w:val="nil"/>
              <w:left w:val="nil"/>
              <w:bottom w:val="nil"/>
              <w:right w:val="nil"/>
            </w:tcBorders>
            <w:shd w:val="clear" w:color="000000" w:fill="FFFFFF"/>
            <w:noWrap/>
            <w:vAlign w:val="center"/>
            <w:hideMark/>
          </w:tcPr>
          <w:p w:rsidR="00A84E91" w:rsidRPr="00C534A9" w:rsidRDefault="00A84E91"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91</w:t>
            </w:r>
          </w:p>
        </w:tc>
      </w:tr>
      <w:tr w:rsidR="002324F3" w:rsidRPr="00C534A9" w:rsidTr="00A84E91">
        <w:trPr>
          <w:trHeight w:val="510"/>
          <w:jc w:val="center"/>
        </w:trPr>
        <w:tc>
          <w:tcPr>
            <w:tcW w:w="3808" w:type="dxa"/>
            <w:tcBorders>
              <w:top w:val="nil"/>
              <w:left w:val="nil"/>
              <w:bottom w:val="nil"/>
              <w:right w:val="nil"/>
            </w:tcBorders>
            <w:shd w:val="clear" w:color="000000" w:fill="FFFFFF"/>
            <w:noWrap/>
            <w:vAlign w:val="center"/>
            <w:hideMark/>
          </w:tcPr>
          <w:p w:rsidR="002324F3" w:rsidRPr="00C534A9" w:rsidRDefault="00A84E91"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N</w:t>
            </w:r>
            <w:r w:rsidR="002324F3" w:rsidRPr="00C534A9">
              <w:rPr>
                <w:rFonts w:ascii="Arial" w:eastAsia="Times New Roman" w:hAnsi="Arial" w:cs="Arial"/>
                <w:color w:val="auto"/>
                <w:sz w:val="22"/>
                <w:szCs w:val="24"/>
              </w:rPr>
              <w:t>G Residential D price elasticity</w:t>
            </w:r>
          </w:p>
        </w:tc>
        <w:tc>
          <w:tcPr>
            <w:tcW w:w="1676" w:type="dxa"/>
            <w:tcBorders>
              <w:top w:val="nil"/>
              <w:left w:val="nil"/>
              <w:bottom w:val="nil"/>
              <w:right w:val="nil"/>
            </w:tcBorders>
            <w:shd w:val="clear" w:color="000000" w:fill="FFFFFF"/>
            <w:vAlign w:val="center"/>
            <w:hideMark/>
          </w:tcPr>
          <w:p w:rsidR="002324F3" w:rsidRPr="00C534A9" w:rsidRDefault="00BD0C1B"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ratio</w:t>
            </w:r>
          </w:p>
        </w:tc>
        <w:tc>
          <w:tcPr>
            <w:tcW w:w="1311" w:type="dxa"/>
            <w:tcBorders>
              <w:top w:val="nil"/>
              <w:left w:val="nil"/>
              <w:bottom w:val="nil"/>
              <w:right w:val="nil"/>
            </w:tcBorders>
            <w:shd w:val="clear" w:color="000000" w:fill="FFFFFF"/>
            <w:noWrap/>
            <w:vAlign w:val="center"/>
            <w:hideMark/>
          </w:tcPr>
          <w:p w:rsidR="002324F3" w:rsidRPr="00C534A9" w:rsidRDefault="002324F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(0.16)</w:t>
            </w:r>
          </w:p>
        </w:tc>
      </w:tr>
      <w:tr w:rsidR="002324F3" w:rsidRPr="00C534A9" w:rsidTr="00A84E91">
        <w:trPr>
          <w:trHeight w:val="255"/>
          <w:jc w:val="center"/>
        </w:trPr>
        <w:tc>
          <w:tcPr>
            <w:tcW w:w="3808" w:type="dxa"/>
            <w:tcBorders>
              <w:top w:val="nil"/>
              <w:left w:val="nil"/>
              <w:bottom w:val="nil"/>
              <w:right w:val="nil"/>
            </w:tcBorders>
            <w:shd w:val="clear" w:color="000000" w:fill="FFFFFF"/>
            <w:noWrap/>
            <w:vAlign w:val="center"/>
            <w:hideMark/>
          </w:tcPr>
          <w:p w:rsidR="002324F3" w:rsidRPr="00C534A9" w:rsidRDefault="00A84E91"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B</w:t>
            </w:r>
            <w:r w:rsidR="002324F3" w:rsidRPr="00C534A9">
              <w:rPr>
                <w:rFonts w:ascii="Arial" w:eastAsia="Times New Roman" w:hAnsi="Arial" w:cs="Arial"/>
                <w:color w:val="auto"/>
                <w:sz w:val="22"/>
                <w:szCs w:val="24"/>
              </w:rPr>
              <w:t>NOCL production decline rate</w:t>
            </w:r>
          </w:p>
        </w:tc>
        <w:tc>
          <w:tcPr>
            <w:tcW w:w="1676" w:type="dxa"/>
            <w:tcBorders>
              <w:top w:val="nil"/>
              <w:left w:val="nil"/>
              <w:bottom w:val="nil"/>
              <w:right w:val="nil"/>
            </w:tcBorders>
            <w:shd w:val="clear" w:color="000000" w:fill="FFFFFF"/>
            <w:vAlign w:val="center"/>
            <w:hideMark/>
          </w:tcPr>
          <w:p w:rsidR="002324F3" w:rsidRPr="00C534A9" w:rsidRDefault="00BD0C1B"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w:t>
            </w:r>
            <w:r w:rsidR="002324F3" w:rsidRPr="00C534A9">
              <w:rPr>
                <w:rFonts w:ascii="Arial" w:eastAsia="Times New Roman" w:hAnsi="Arial" w:cs="Arial"/>
                <w:color w:val="auto"/>
                <w:sz w:val="22"/>
                <w:szCs w:val="24"/>
              </w:rPr>
              <w:t xml:space="preserve"> decline</w:t>
            </w:r>
            <w:r w:rsidRPr="00C534A9">
              <w:rPr>
                <w:rFonts w:ascii="Arial" w:eastAsia="Times New Roman" w:hAnsi="Arial" w:cs="Arial"/>
                <w:color w:val="auto"/>
                <w:sz w:val="22"/>
                <w:szCs w:val="24"/>
              </w:rPr>
              <w:t>/year</w:t>
            </w:r>
          </w:p>
        </w:tc>
        <w:tc>
          <w:tcPr>
            <w:tcW w:w="1311" w:type="dxa"/>
            <w:tcBorders>
              <w:top w:val="nil"/>
              <w:left w:val="nil"/>
              <w:bottom w:val="nil"/>
              <w:right w:val="nil"/>
            </w:tcBorders>
            <w:shd w:val="clear" w:color="000000" w:fill="FFFFFF"/>
            <w:noWrap/>
            <w:vAlign w:val="center"/>
            <w:hideMark/>
          </w:tcPr>
          <w:p w:rsidR="002324F3" w:rsidRPr="00C534A9" w:rsidRDefault="002324F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5%</w:t>
            </w:r>
          </w:p>
        </w:tc>
      </w:tr>
      <w:tr w:rsidR="002324F3" w:rsidRPr="00C534A9" w:rsidTr="00A84E91">
        <w:trPr>
          <w:trHeight w:val="255"/>
          <w:jc w:val="center"/>
        </w:trPr>
        <w:tc>
          <w:tcPr>
            <w:tcW w:w="3808" w:type="dxa"/>
            <w:tcBorders>
              <w:top w:val="nil"/>
              <w:left w:val="nil"/>
              <w:bottom w:val="nil"/>
              <w:right w:val="nil"/>
            </w:tcBorders>
            <w:shd w:val="clear" w:color="000000" w:fill="FFFFFF"/>
            <w:noWrap/>
            <w:vAlign w:val="center"/>
            <w:hideMark/>
          </w:tcPr>
          <w:p w:rsidR="002324F3" w:rsidRPr="00C534A9" w:rsidRDefault="002324F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Residential share of NG curtailment</w:t>
            </w:r>
          </w:p>
        </w:tc>
        <w:tc>
          <w:tcPr>
            <w:tcW w:w="1676" w:type="dxa"/>
            <w:tcBorders>
              <w:top w:val="nil"/>
              <w:left w:val="nil"/>
              <w:bottom w:val="nil"/>
              <w:right w:val="nil"/>
            </w:tcBorders>
            <w:shd w:val="clear" w:color="000000" w:fill="FFFFFF"/>
            <w:vAlign w:val="center"/>
            <w:hideMark/>
          </w:tcPr>
          <w:p w:rsidR="002324F3" w:rsidRPr="00C534A9" w:rsidRDefault="002324F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of total</w:t>
            </w:r>
          </w:p>
        </w:tc>
        <w:tc>
          <w:tcPr>
            <w:tcW w:w="1311" w:type="dxa"/>
            <w:tcBorders>
              <w:top w:val="nil"/>
              <w:left w:val="nil"/>
              <w:bottom w:val="nil"/>
              <w:right w:val="nil"/>
            </w:tcBorders>
            <w:shd w:val="clear" w:color="000000" w:fill="FFFFFF"/>
            <w:noWrap/>
            <w:vAlign w:val="center"/>
            <w:hideMark/>
          </w:tcPr>
          <w:p w:rsidR="002324F3" w:rsidRPr="00C534A9" w:rsidRDefault="002324F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20%</w:t>
            </w:r>
          </w:p>
        </w:tc>
      </w:tr>
      <w:tr w:rsidR="002324F3" w:rsidRPr="00C534A9" w:rsidTr="00A84E91">
        <w:trPr>
          <w:trHeight w:val="255"/>
          <w:jc w:val="center"/>
        </w:trPr>
        <w:tc>
          <w:tcPr>
            <w:tcW w:w="3808" w:type="dxa"/>
            <w:tcBorders>
              <w:top w:val="nil"/>
              <w:left w:val="nil"/>
              <w:bottom w:val="nil"/>
              <w:right w:val="nil"/>
            </w:tcBorders>
            <w:shd w:val="clear" w:color="000000" w:fill="FFFFFF"/>
            <w:noWrap/>
            <w:vAlign w:val="center"/>
            <w:hideMark/>
          </w:tcPr>
          <w:p w:rsidR="002324F3" w:rsidRPr="00C534A9" w:rsidRDefault="002324F3" w:rsidP="00C534A9">
            <w:pPr>
              <w:spacing w:after="0" w:line="240" w:lineRule="auto"/>
              <w:jc w:val="both"/>
              <w:rPr>
                <w:rFonts w:ascii="Arial" w:eastAsia="Times New Roman" w:hAnsi="Arial" w:cs="Arial"/>
                <w:color w:val="auto"/>
                <w:sz w:val="22"/>
                <w:szCs w:val="24"/>
              </w:rPr>
            </w:pPr>
          </w:p>
        </w:tc>
        <w:tc>
          <w:tcPr>
            <w:tcW w:w="1676" w:type="dxa"/>
            <w:tcBorders>
              <w:top w:val="nil"/>
              <w:left w:val="nil"/>
              <w:bottom w:val="nil"/>
              <w:right w:val="nil"/>
            </w:tcBorders>
            <w:shd w:val="clear" w:color="000000" w:fill="FFFFFF"/>
            <w:vAlign w:val="center"/>
            <w:hideMark/>
          </w:tcPr>
          <w:p w:rsidR="002324F3" w:rsidRPr="00C534A9" w:rsidRDefault="002324F3" w:rsidP="00C534A9">
            <w:pPr>
              <w:spacing w:after="0" w:line="240" w:lineRule="auto"/>
              <w:jc w:val="both"/>
              <w:rPr>
                <w:rFonts w:ascii="Arial" w:eastAsia="Times New Roman" w:hAnsi="Arial" w:cs="Arial"/>
                <w:color w:val="auto"/>
                <w:sz w:val="22"/>
                <w:szCs w:val="24"/>
              </w:rPr>
            </w:pPr>
          </w:p>
        </w:tc>
        <w:tc>
          <w:tcPr>
            <w:tcW w:w="1311" w:type="dxa"/>
            <w:tcBorders>
              <w:top w:val="nil"/>
              <w:left w:val="nil"/>
              <w:bottom w:val="nil"/>
              <w:right w:val="nil"/>
            </w:tcBorders>
            <w:shd w:val="clear" w:color="000000" w:fill="FFFFFF"/>
            <w:noWrap/>
            <w:vAlign w:val="center"/>
            <w:hideMark/>
          </w:tcPr>
          <w:p w:rsidR="002324F3" w:rsidRPr="00C534A9" w:rsidRDefault="002324F3" w:rsidP="00C534A9">
            <w:pPr>
              <w:spacing w:after="0" w:line="240" w:lineRule="auto"/>
              <w:jc w:val="both"/>
              <w:rPr>
                <w:rFonts w:ascii="Arial" w:eastAsia="Times New Roman" w:hAnsi="Arial" w:cs="Arial"/>
                <w:color w:val="auto"/>
                <w:sz w:val="22"/>
                <w:szCs w:val="24"/>
              </w:rPr>
            </w:pPr>
          </w:p>
        </w:tc>
      </w:tr>
      <w:tr w:rsidR="002324F3" w:rsidRPr="00C534A9" w:rsidTr="00A84E91">
        <w:trPr>
          <w:trHeight w:val="255"/>
          <w:jc w:val="center"/>
        </w:trPr>
        <w:tc>
          <w:tcPr>
            <w:tcW w:w="3808" w:type="dxa"/>
            <w:tcBorders>
              <w:top w:val="nil"/>
              <w:left w:val="nil"/>
              <w:bottom w:val="nil"/>
              <w:right w:val="nil"/>
            </w:tcBorders>
            <w:shd w:val="clear" w:color="000000" w:fill="FFFFFF"/>
            <w:noWrap/>
            <w:vAlign w:val="center"/>
            <w:hideMark/>
          </w:tcPr>
          <w:p w:rsidR="002324F3" w:rsidRPr="00C534A9" w:rsidRDefault="002324F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xml:space="preserve">Tourism &amp; Manufacturing </w:t>
            </w:r>
            <w:r w:rsidR="00A84E91" w:rsidRPr="00C534A9">
              <w:rPr>
                <w:rFonts w:ascii="Arial" w:eastAsia="Times New Roman" w:hAnsi="Arial" w:cs="Arial"/>
                <w:color w:val="auto"/>
                <w:sz w:val="22"/>
                <w:szCs w:val="24"/>
              </w:rPr>
              <w:t xml:space="preserve">share of </w:t>
            </w:r>
            <w:r w:rsidRPr="00C534A9">
              <w:rPr>
                <w:rFonts w:ascii="Arial" w:eastAsia="Times New Roman" w:hAnsi="Arial" w:cs="Arial"/>
                <w:color w:val="auto"/>
                <w:sz w:val="22"/>
                <w:szCs w:val="24"/>
              </w:rPr>
              <w:t>GDP (2015)</w:t>
            </w:r>
          </w:p>
        </w:tc>
        <w:tc>
          <w:tcPr>
            <w:tcW w:w="1676" w:type="dxa"/>
            <w:tcBorders>
              <w:top w:val="nil"/>
              <w:left w:val="nil"/>
              <w:bottom w:val="nil"/>
              <w:right w:val="nil"/>
            </w:tcBorders>
            <w:shd w:val="clear" w:color="000000" w:fill="FFFFFF"/>
            <w:vAlign w:val="center"/>
            <w:hideMark/>
          </w:tcPr>
          <w:p w:rsidR="002324F3" w:rsidRPr="00C534A9" w:rsidRDefault="002324F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B$ million</w:t>
            </w:r>
          </w:p>
        </w:tc>
        <w:tc>
          <w:tcPr>
            <w:tcW w:w="1311" w:type="dxa"/>
            <w:tcBorders>
              <w:top w:val="nil"/>
              <w:left w:val="nil"/>
              <w:bottom w:val="nil"/>
              <w:right w:val="nil"/>
            </w:tcBorders>
            <w:shd w:val="clear" w:color="000000" w:fill="FFFFFF"/>
            <w:noWrap/>
            <w:vAlign w:val="center"/>
            <w:hideMark/>
          </w:tcPr>
          <w:p w:rsidR="002324F3" w:rsidRPr="00C534A9" w:rsidRDefault="002324F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179</w:t>
            </w:r>
          </w:p>
        </w:tc>
      </w:tr>
      <w:tr w:rsidR="002324F3" w:rsidRPr="00C534A9" w:rsidTr="00A84E91">
        <w:trPr>
          <w:trHeight w:val="255"/>
          <w:jc w:val="center"/>
        </w:trPr>
        <w:tc>
          <w:tcPr>
            <w:tcW w:w="3808" w:type="dxa"/>
            <w:tcBorders>
              <w:top w:val="nil"/>
              <w:left w:val="nil"/>
              <w:bottom w:val="nil"/>
              <w:right w:val="nil"/>
            </w:tcBorders>
            <w:shd w:val="clear" w:color="000000" w:fill="FFFFFF"/>
            <w:noWrap/>
            <w:vAlign w:val="center"/>
            <w:hideMark/>
          </w:tcPr>
          <w:p w:rsidR="002324F3" w:rsidRPr="00C534A9" w:rsidRDefault="002324F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Share of T&amp;M sectors using NG</w:t>
            </w:r>
          </w:p>
        </w:tc>
        <w:tc>
          <w:tcPr>
            <w:tcW w:w="1676" w:type="dxa"/>
            <w:tcBorders>
              <w:top w:val="nil"/>
              <w:left w:val="nil"/>
              <w:bottom w:val="nil"/>
              <w:right w:val="nil"/>
            </w:tcBorders>
            <w:shd w:val="clear" w:color="000000" w:fill="FFFFFF"/>
            <w:vAlign w:val="center"/>
            <w:hideMark/>
          </w:tcPr>
          <w:p w:rsidR="002324F3" w:rsidRPr="00C534A9" w:rsidRDefault="002324F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w:t>
            </w:r>
          </w:p>
        </w:tc>
        <w:tc>
          <w:tcPr>
            <w:tcW w:w="1311" w:type="dxa"/>
            <w:tcBorders>
              <w:top w:val="nil"/>
              <w:left w:val="nil"/>
              <w:bottom w:val="nil"/>
              <w:right w:val="nil"/>
            </w:tcBorders>
            <w:shd w:val="clear" w:color="000000" w:fill="FFFFFF"/>
            <w:noWrap/>
            <w:vAlign w:val="center"/>
            <w:hideMark/>
          </w:tcPr>
          <w:p w:rsidR="002324F3" w:rsidRPr="00C534A9" w:rsidRDefault="002324F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20%</w:t>
            </w:r>
          </w:p>
        </w:tc>
      </w:tr>
      <w:tr w:rsidR="002324F3" w:rsidRPr="00C534A9" w:rsidTr="00A84E91">
        <w:trPr>
          <w:trHeight w:val="765"/>
          <w:jc w:val="center"/>
        </w:trPr>
        <w:tc>
          <w:tcPr>
            <w:tcW w:w="3808" w:type="dxa"/>
            <w:tcBorders>
              <w:top w:val="nil"/>
              <w:left w:val="nil"/>
              <w:bottom w:val="nil"/>
              <w:right w:val="nil"/>
            </w:tcBorders>
            <w:shd w:val="clear" w:color="000000" w:fill="FFFFFF"/>
            <w:noWrap/>
            <w:vAlign w:val="center"/>
            <w:hideMark/>
          </w:tcPr>
          <w:p w:rsidR="002324F3" w:rsidRPr="00C534A9" w:rsidRDefault="002324F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NG shortage impact on T&amp;M revenue</w:t>
            </w:r>
          </w:p>
        </w:tc>
        <w:tc>
          <w:tcPr>
            <w:tcW w:w="1676" w:type="dxa"/>
            <w:tcBorders>
              <w:top w:val="nil"/>
              <w:left w:val="nil"/>
              <w:bottom w:val="nil"/>
              <w:right w:val="nil"/>
            </w:tcBorders>
            <w:shd w:val="clear" w:color="000000" w:fill="FFFFFF"/>
            <w:vAlign w:val="center"/>
            <w:hideMark/>
          </w:tcPr>
          <w:p w:rsidR="002324F3" w:rsidRPr="00C534A9" w:rsidRDefault="002324F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of affected revenue lost</w:t>
            </w:r>
          </w:p>
        </w:tc>
        <w:tc>
          <w:tcPr>
            <w:tcW w:w="1311" w:type="dxa"/>
            <w:tcBorders>
              <w:top w:val="nil"/>
              <w:left w:val="nil"/>
              <w:bottom w:val="nil"/>
              <w:right w:val="nil"/>
            </w:tcBorders>
            <w:shd w:val="clear" w:color="000000" w:fill="FFFFFF"/>
            <w:noWrap/>
            <w:vAlign w:val="center"/>
            <w:hideMark/>
          </w:tcPr>
          <w:p w:rsidR="002324F3" w:rsidRPr="00C534A9" w:rsidRDefault="002324F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25%</w:t>
            </w:r>
          </w:p>
        </w:tc>
      </w:tr>
      <w:tr w:rsidR="002324F3" w:rsidRPr="00C534A9" w:rsidTr="00A84E91">
        <w:trPr>
          <w:trHeight w:val="255"/>
          <w:jc w:val="center"/>
        </w:trPr>
        <w:tc>
          <w:tcPr>
            <w:tcW w:w="3808" w:type="dxa"/>
            <w:tcBorders>
              <w:top w:val="nil"/>
              <w:left w:val="nil"/>
              <w:bottom w:val="nil"/>
              <w:right w:val="nil"/>
            </w:tcBorders>
            <w:shd w:val="clear" w:color="000000" w:fill="FFFFFF"/>
            <w:noWrap/>
            <w:vAlign w:val="center"/>
            <w:hideMark/>
          </w:tcPr>
          <w:p w:rsidR="002324F3" w:rsidRPr="00C534A9" w:rsidRDefault="002324F3" w:rsidP="00C534A9">
            <w:pPr>
              <w:spacing w:after="0" w:line="240" w:lineRule="auto"/>
              <w:jc w:val="both"/>
              <w:rPr>
                <w:rFonts w:ascii="Arial" w:eastAsia="Times New Roman" w:hAnsi="Arial" w:cs="Arial"/>
                <w:color w:val="auto"/>
                <w:sz w:val="22"/>
                <w:szCs w:val="24"/>
              </w:rPr>
            </w:pPr>
          </w:p>
        </w:tc>
        <w:tc>
          <w:tcPr>
            <w:tcW w:w="1676" w:type="dxa"/>
            <w:tcBorders>
              <w:top w:val="nil"/>
              <w:left w:val="nil"/>
              <w:bottom w:val="nil"/>
              <w:right w:val="nil"/>
            </w:tcBorders>
            <w:shd w:val="clear" w:color="000000" w:fill="FFFFFF"/>
            <w:vAlign w:val="center"/>
            <w:hideMark/>
          </w:tcPr>
          <w:p w:rsidR="002324F3" w:rsidRPr="00C534A9" w:rsidRDefault="002324F3" w:rsidP="00C534A9">
            <w:pPr>
              <w:spacing w:after="0" w:line="240" w:lineRule="auto"/>
              <w:jc w:val="both"/>
              <w:rPr>
                <w:rFonts w:ascii="Arial" w:eastAsia="Times New Roman" w:hAnsi="Arial" w:cs="Arial"/>
                <w:color w:val="auto"/>
                <w:sz w:val="22"/>
                <w:szCs w:val="24"/>
              </w:rPr>
            </w:pPr>
          </w:p>
        </w:tc>
        <w:tc>
          <w:tcPr>
            <w:tcW w:w="1311" w:type="dxa"/>
            <w:tcBorders>
              <w:top w:val="nil"/>
              <w:left w:val="nil"/>
              <w:bottom w:val="nil"/>
              <w:right w:val="nil"/>
            </w:tcBorders>
            <w:shd w:val="clear" w:color="000000" w:fill="FFFFFF"/>
            <w:noWrap/>
            <w:vAlign w:val="center"/>
            <w:hideMark/>
          </w:tcPr>
          <w:p w:rsidR="002324F3" w:rsidRPr="00C534A9" w:rsidRDefault="002324F3" w:rsidP="00C534A9">
            <w:pPr>
              <w:spacing w:after="0" w:line="240" w:lineRule="auto"/>
              <w:jc w:val="both"/>
              <w:rPr>
                <w:rFonts w:ascii="Arial" w:eastAsia="Times New Roman" w:hAnsi="Arial" w:cs="Arial"/>
                <w:color w:val="auto"/>
                <w:sz w:val="22"/>
                <w:szCs w:val="24"/>
              </w:rPr>
            </w:pPr>
          </w:p>
        </w:tc>
      </w:tr>
      <w:tr w:rsidR="002324F3" w:rsidRPr="00C534A9" w:rsidTr="00A84E91">
        <w:trPr>
          <w:trHeight w:val="510"/>
          <w:jc w:val="center"/>
        </w:trPr>
        <w:tc>
          <w:tcPr>
            <w:tcW w:w="3808" w:type="dxa"/>
            <w:tcBorders>
              <w:top w:val="nil"/>
              <w:left w:val="nil"/>
              <w:bottom w:val="nil"/>
              <w:right w:val="nil"/>
            </w:tcBorders>
            <w:shd w:val="clear" w:color="000000" w:fill="FFFFFF"/>
            <w:noWrap/>
            <w:vAlign w:val="center"/>
            <w:hideMark/>
          </w:tcPr>
          <w:p w:rsidR="002324F3" w:rsidRPr="00C534A9" w:rsidRDefault="002324F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Tourism &amp; Manufacturing employment</w:t>
            </w:r>
          </w:p>
        </w:tc>
        <w:tc>
          <w:tcPr>
            <w:tcW w:w="1676" w:type="dxa"/>
            <w:tcBorders>
              <w:top w:val="nil"/>
              <w:left w:val="nil"/>
              <w:bottom w:val="nil"/>
              <w:right w:val="nil"/>
            </w:tcBorders>
            <w:shd w:val="clear" w:color="000000" w:fill="FFFFFF"/>
            <w:vAlign w:val="center"/>
            <w:hideMark/>
          </w:tcPr>
          <w:p w:rsidR="002324F3" w:rsidRPr="00C534A9" w:rsidRDefault="00A84E91"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Employees /</w:t>
            </w:r>
            <w:r w:rsidR="002324F3" w:rsidRPr="00C534A9">
              <w:rPr>
                <w:rFonts w:ascii="Arial" w:eastAsia="Times New Roman" w:hAnsi="Arial" w:cs="Arial"/>
                <w:color w:val="auto"/>
                <w:sz w:val="22"/>
                <w:szCs w:val="24"/>
              </w:rPr>
              <w:t xml:space="preserve"> </w:t>
            </w:r>
            <w:proofErr w:type="spellStart"/>
            <w:r w:rsidR="002324F3" w:rsidRPr="00C534A9">
              <w:rPr>
                <w:rFonts w:ascii="Arial" w:eastAsia="Times New Roman" w:hAnsi="Arial" w:cs="Arial"/>
                <w:color w:val="auto"/>
                <w:sz w:val="22"/>
                <w:szCs w:val="24"/>
              </w:rPr>
              <w:t>B$million</w:t>
            </w:r>
            <w:proofErr w:type="spellEnd"/>
            <w:r w:rsidR="002324F3" w:rsidRPr="00C534A9">
              <w:rPr>
                <w:rFonts w:ascii="Arial" w:eastAsia="Times New Roman" w:hAnsi="Arial" w:cs="Arial"/>
                <w:color w:val="auto"/>
                <w:sz w:val="22"/>
                <w:szCs w:val="24"/>
              </w:rPr>
              <w:t xml:space="preserve"> GDP</w:t>
            </w:r>
          </w:p>
        </w:tc>
        <w:tc>
          <w:tcPr>
            <w:tcW w:w="1311" w:type="dxa"/>
            <w:tcBorders>
              <w:top w:val="nil"/>
              <w:left w:val="nil"/>
              <w:bottom w:val="nil"/>
              <w:right w:val="nil"/>
            </w:tcBorders>
            <w:shd w:val="clear" w:color="000000" w:fill="FFFFFF"/>
            <w:noWrap/>
            <w:vAlign w:val="center"/>
            <w:hideMark/>
          </w:tcPr>
          <w:p w:rsidR="002324F3" w:rsidRPr="00C534A9" w:rsidRDefault="002324F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128</w:t>
            </w:r>
          </w:p>
        </w:tc>
      </w:tr>
      <w:tr w:rsidR="002324F3" w:rsidRPr="00C534A9" w:rsidTr="00A84E91">
        <w:trPr>
          <w:trHeight w:val="255"/>
          <w:jc w:val="center"/>
        </w:trPr>
        <w:tc>
          <w:tcPr>
            <w:tcW w:w="3808" w:type="dxa"/>
            <w:tcBorders>
              <w:top w:val="nil"/>
              <w:left w:val="nil"/>
              <w:bottom w:val="nil"/>
              <w:right w:val="nil"/>
            </w:tcBorders>
            <w:shd w:val="clear" w:color="000000" w:fill="FFFFFF"/>
            <w:noWrap/>
            <w:vAlign w:val="center"/>
            <w:hideMark/>
          </w:tcPr>
          <w:p w:rsidR="002324F3" w:rsidRPr="00C534A9" w:rsidRDefault="002324F3" w:rsidP="00C534A9">
            <w:pPr>
              <w:spacing w:after="0" w:line="240" w:lineRule="auto"/>
              <w:jc w:val="both"/>
              <w:rPr>
                <w:rFonts w:ascii="Arial" w:eastAsia="Times New Roman" w:hAnsi="Arial" w:cs="Arial"/>
                <w:color w:val="auto"/>
                <w:sz w:val="22"/>
                <w:szCs w:val="24"/>
              </w:rPr>
            </w:pPr>
          </w:p>
        </w:tc>
        <w:tc>
          <w:tcPr>
            <w:tcW w:w="1676" w:type="dxa"/>
            <w:tcBorders>
              <w:top w:val="nil"/>
              <w:left w:val="nil"/>
              <w:bottom w:val="nil"/>
              <w:right w:val="nil"/>
            </w:tcBorders>
            <w:shd w:val="clear" w:color="000000" w:fill="FFFFFF"/>
            <w:vAlign w:val="center"/>
            <w:hideMark/>
          </w:tcPr>
          <w:p w:rsidR="002324F3" w:rsidRPr="00C534A9" w:rsidRDefault="002324F3" w:rsidP="00C534A9">
            <w:pPr>
              <w:spacing w:after="0" w:line="240" w:lineRule="auto"/>
              <w:jc w:val="both"/>
              <w:rPr>
                <w:rFonts w:ascii="Arial" w:eastAsia="Times New Roman" w:hAnsi="Arial" w:cs="Arial"/>
                <w:color w:val="auto"/>
                <w:sz w:val="22"/>
                <w:szCs w:val="24"/>
              </w:rPr>
            </w:pPr>
          </w:p>
        </w:tc>
        <w:tc>
          <w:tcPr>
            <w:tcW w:w="1311" w:type="dxa"/>
            <w:tcBorders>
              <w:top w:val="nil"/>
              <w:left w:val="nil"/>
              <w:bottom w:val="nil"/>
              <w:right w:val="nil"/>
            </w:tcBorders>
            <w:shd w:val="clear" w:color="000000" w:fill="FFFFFF"/>
            <w:noWrap/>
            <w:vAlign w:val="center"/>
            <w:hideMark/>
          </w:tcPr>
          <w:p w:rsidR="002324F3" w:rsidRPr="00C534A9" w:rsidRDefault="002324F3" w:rsidP="00C534A9">
            <w:pPr>
              <w:spacing w:after="0" w:line="240" w:lineRule="auto"/>
              <w:jc w:val="both"/>
              <w:rPr>
                <w:rFonts w:ascii="Arial" w:eastAsia="Times New Roman" w:hAnsi="Arial" w:cs="Arial"/>
                <w:color w:val="auto"/>
                <w:sz w:val="22"/>
                <w:szCs w:val="24"/>
              </w:rPr>
            </w:pPr>
          </w:p>
        </w:tc>
      </w:tr>
      <w:tr w:rsidR="002324F3" w:rsidRPr="00C534A9" w:rsidTr="00A84E91">
        <w:trPr>
          <w:trHeight w:val="255"/>
          <w:jc w:val="center"/>
        </w:trPr>
        <w:tc>
          <w:tcPr>
            <w:tcW w:w="3808" w:type="dxa"/>
            <w:tcBorders>
              <w:top w:val="nil"/>
              <w:left w:val="nil"/>
              <w:bottom w:val="nil"/>
              <w:right w:val="nil"/>
            </w:tcBorders>
            <w:shd w:val="clear" w:color="000000" w:fill="FFFFFF"/>
            <w:noWrap/>
            <w:vAlign w:val="center"/>
            <w:hideMark/>
          </w:tcPr>
          <w:p w:rsidR="002324F3" w:rsidRPr="00C534A9" w:rsidRDefault="002324F3" w:rsidP="00C534A9">
            <w:pPr>
              <w:spacing w:after="0" w:line="240" w:lineRule="auto"/>
              <w:jc w:val="both"/>
              <w:rPr>
                <w:rFonts w:ascii="Arial" w:eastAsia="Times New Roman" w:hAnsi="Arial" w:cs="Arial"/>
                <w:b/>
                <w:bCs/>
                <w:color w:val="auto"/>
                <w:sz w:val="22"/>
                <w:szCs w:val="24"/>
                <w:u w:val="single"/>
              </w:rPr>
            </w:pPr>
            <w:r w:rsidRPr="00C534A9">
              <w:rPr>
                <w:rFonts w:ascii="Arial" w:eastAsia="Times New Roman" w:hAnsi="Arial" w:cs="Arial"/>
                <w:b/>
                <w:bCs/>
                <w:color w:val="auto"/>
                <w:sz w:val="22"/>
                <w:szCs w:val="24"/>
                <w:u w:val="single"/>
              </w:rPr>
              <w:t>Fuel characteristics</w:t>
            </w:r>
            <w:r w:rsidR="002D4BEC" w:rsidRPr="00C534A9">
              <w:rPr>
                <w:rStyle w:val="FootnoteReference"/>
                <w:rFonts w:ascii="Arial" w:eastAsia="Times New Roman" w:hAnsi="Arial" w:cs="Arial"/>
                <w:b/>
                <w:bCs/>
                <w:color w:val="auto"/>
                <w:sz w:val="22"/>
                <w:szCs w:val="24"/>
                <w:u w:val="single"/>
              </w:rPr>
              <w:footnoteReference w:id="2"/>
            </w:r>
          </w:p>
        </w:tc>
        <w:tc>
          <w:tcPr>
            <w:tcW w:w="1676" w:type="dxa"/>
            <w:tcBorders>
              <w:top w:val="nil"/>
              <w:left w:val="nil"/>
              <w:bottom w:val="nil"/>
              <w:right w:val="nil"/>
            </w:tcBorders>
            <w:shd w:val="clear" w:color="000000" w:fill="FFFFFF"/>
            <w:noWrap/>
            <w:vAlign w:val="center"/>
            <w:hideMark/>
          </w:tcPr>
          <w:p w:rsidR="002324F3" w:rsidRPr="00C534A9" w:rsidRDefault="002324F3" w:rsidP="00C534A9">
            <w:pPr>
              <w:spacing w:after="0" w:line="240" w:lineRule="auto"/>
              <w:jc w:val="both"/>
              <w:rPr>
                <w:rFonts w:ascii="Arial" w:eastAsia="Times New Roman" w:hAnsi="Arial" w:cs="Arial"/>
                <w:color w:val="auto"/>
                <w:sz w:val="22"/>
                <w:szCs w:val="24"/>
              </w:rPr>
            </w:pPr>
          </w:p>
        </w:tc>
        <w:tc>
          <w:tcPr>
            <w:tcW w:w="1311" w:type="dxa"/>
            <w:tcBorders>
              <w:top w:val="nil"/>
              <w:left w:val="nil"/>
              <w:bottom w:val="nil"/>
              <w:right w:val="nil"/>
            </w:tcBorders>
            <w:shd w:val="clear" w:color="000000" w:fill="FFFFFF"/>
            <w:noWrap/>
            <w:vAlign w:val="center"/>
            <w:hideMark/>
          </w:tcPr>
          <w:p w:rsidR="002324F3" w:rsidRPr="00C534A9" w:rsidRDefault="002324F3" w:rsidP="00C534A9">
            <w:pPr>
              <w:spacing w:after="0" w:line="240" w:lineRule="auto"/>
              <w:jc w:val="both"/>
              <w:rPr>
                <w:rFonts w:ascii="Arial" w:eastAsia="Times New Roman" w:hAnsi="Arial" w:cs="Arial"/>
                <w:color w:val="auto"/>
                <w:sz w:val="22"/>
                <w:szCs w:val="24"/>
              </w:rPr>
            </w:pPr>
          </w:p>
        </w:tc>
      </w:tr>
      <w:tr w:rsidR="002324F3" w:rsidRPr="00C534A9" w:rsidTr="00A84E91">
        <w:trPr>
          <w:trHeight w:val="255"/>
          <w:jc w:val="center"/>
        </w:trPr>
        <w:tc>
          <w:tcPr>
            <w:tcW w:w="3808" w:type="dxa"/>
            <w:tcBorders>
              <w:top w:val="nil"/>
              <w:left w:val="nil"/>
              <w:bottom w:val="nil"/>
              <w:right w:val="nil"/>
            </w:tcBorders>
            <w:shd w:val="clear" w:color="000000" w:fill="FFFFFF"/>
            <w:noWrap/>
            <w:vAlign w:val="center"/>
            <w:hideMark/>
          </w:tcPr>
          <w:p w:rsidR="002324F3" w:rsidRPr="00C534A9" w:rsidRDefault="002324F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Calorific Value HFO</w:t>
            </w:r>
          </w:p>
        </w:tc>
        <w:tc>
          <w:tcPr>
            <w:tcW w:w="1676" w:type="dxa"/>
            <w:tcBorders>
              <w:top w:val="nil"/>
              <w:left w:val="nil"/>
              <w:bottom w:val="nil"/>
              <w:right w:val="nil"/>
            </w:tcBorders>
            <w:shd w:val="clear" w:color="000000" w:fill="FFFFFF"/>
            <w:noWrap/>
            <w:vAlign w:val="center"/>
            <w:hideMark/>
          </w:tcPr>
          <w:p w:rsidR="002324F3" w:rsidRPr="00C534A9" w:rsidRDefault="002324F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BTU/BBL</w:t>
            </w:r>
          </w:p>
        </w:tc>
        <w:tc>
          <w:tcPr>
            <w:tcW w:w="1311" w:type="dxa"/>
            <w:tcBorders>
              <w:top w:val="nil"/>
              <w:left w:val="nil"/>
              <w:bottom w:val="nil"/>
              <w:right w:val="nil"/>
            </w:tcBorders>
            <w:shd w:val="clear" w:color="000000" w:fill="FFFFFF"/>
            <w:noWrap/>
            <w:vAlign w:val="center"/>
            <w:hideMark/>
          </w:tcPr>
          <w:p w:rsidR="002324F3" w:rsidRPr="00C534A9" w:rsidRDefault="002324F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6,287,000</w:t>
            </w:r>
          </w:p>
        </w:tc>
      </w:tr>
      <w:tr w:rsidR="002324F3" w:rsidRPr="00C534A9" w:rsidTr="00A84E91">
        <w:trPr>
          <w:trHeight w:val="255"/>
          <w:jc w:val="center"/>
        </w:trPr>
        <w:tc>
          <w:tcPr>
            <w:tcW w:w="3808" w:type="dxa"/>
            <w:tcBorders>
              <w:top w:val="nil"/>
              <w:left w:val="nil"/>
              <w:bottom w:val="nil"/>
              <w:right w:val="nil"/>
            </w:tcBorders>
            <w:shd w:val="clear" w:color="000000" w:fill="FFFFFF"/>
            <w:noWrap/>
            <w:vAlign w:val="center"/>
            <w:hideMark/>
          </w:tcPr>
          <w:p w:rsidR="002324F3" w:rsidRPr="00C534A9" w:rsidRDefault="002324F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Calorific Value Diesel</w:t>
            </w:r>
          </w:p>
        </w:tc>
        <w:tc>
          <w:tcPr>
            <w:tcW w:w="1676" w:type="dxa"/>
            <w:tcBorders>
              <w:top w:val="nil"/>
              <w:left w:val="nil"/>
              <w:bottom w:val="nil"/>
              <w:right w:val="nil"/>
            </w:tcBorders>
            <w:shd w:val="clear" w:color="000000" w:fill="FFFFFF"/>
            <w:noWrap/>
            <w:vAlign w:val="center"/>
            <w:hideMark/>
          </w:tcPr>
          <w:p w:rsidR="002324F3" w:rsidRPr="00C534A9" w:rsidRDefault="003C64E1"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BTU/BBL</w:t>
            </w:r>
          </w:p>
        </w:tc>
        <w:tc>
          <w:tcPr>
            <w:tcW w:w="1311" w:type="dxa"/>
            <w:tcBorders>
              <w:top w:val="nil"/>
              <w:left w:val="nil"/>
              <w:bottom w:val="nil"/>
              <w:right w:val="nil"/>
            </w:tcBorders>
            <w:shd w:val="clear" w:color="000000" w:fill="FFFFFF"/>
            <w:noWrap/>
            <w:vAlign w:val="center"/>
            <w:hideMark/>
          </w:tcPr>
          <w:p w:rsidR="002324F3" w:rsidRPr="00C534A9" w:rsidRDefault="002324F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5,551,365</w:t>
            </w:r>
          </w:p>
        </w:tc>
      </w:tr>
      <w:tr w:rsidR="00791234" w:rsidRPr="00C534A9" w:rsidTr="00A84E91">
        <w:trPr>
          <w:trHeight w:val="255"/>
          <w:jc w:val="center"/>
        </w:trPr>
        <w:tc>
          <w:tcPr>
            <w:tcW w:w="3808" w:type="dxa"/>
            <w:tcBorders>
              <w:top w:val="nil"/>
              <w:left w:val="nil"/>
              <w:bottom w:val="nil"/>
              <w:right w:val="nil"/>
            </w:tcBorders>
            <w:shd w:val="clear" w:color="000000" w:fill="FFFFFF"/>
            <w:noWrap/>
            <w:vAlign w:val="center"/>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Calorific Value LPG</w:t>
            </w:r>
          </w:p>
        </w:tc>
        <w:tc>
          <w:tcPr>
            <w:tcW w:w="1676" w:type="dxa"/>
            <w:tcBorders>
              <w:top w:val="nil"/>
              <w:left w:val="nil"/>
              <w:bottom w:val="nil"/>
              <w:right w:val="nil"/>
            </w:tcBorders>
            <w:shd w:val="clear" w:color="000000" w:fill="FFFFFF"/>
            <w:noWrap/>
            <w:vAlign w:val="center"/>
          </w:tcPr>
          <w:p w:rsidR="00791234" w:rsidRPr="00C534A9" w:rsidRDefault="003C64E1"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BTU/</w:t>
            </w:r>
            <w:proofErr w:type="spellStart"/>
            <w:r w:rsidRPr="00C534A9">
              <w:rPr>
                <w:rFonts w:ascii="Arial" w:eastAsia="Times New Roman" w:hAnsi="Arial" w:cs="Arial"/>
                <w:color w:val="auto"/>
                <w:sz w:val="22"/>
                <w:szCs w:val="24"/>
              </w:rPr>
              <w:t>lb</w:t>
            </w:r>
            <w:proofErr w:type="spellEnd"/>
          </w:p>
        </w:tc>
        <w:tc>
          <w:tcPr>
            <w:tcW w:w="1311" w:type="dxa"/>
            <w:tcBorders>
              <w:top w:val="nil"/>
              <w:left w:val="nil"/>
              <w:bottom w:val="nil"/>
              <w:right w:val="nil"/>
            </w:tcBorders>
            <w:shd w:val="clear" w:color="000000" w:fill="FFFFFF"/>
            <w:noWrap/>
            <w:vAlign w:val="center"/>
          </w:tcPr>
          <w:p w:rsidR="00791234" w:rsidRPr="00C534A9" w:rsidRDefault="003C64E1"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21,561</w:t>
            </w:r>
          </w:p>
        </w:tc>
      </w:tr>
      <w:tr w:rsidR="00791234" w:rsidRPr="00C534A9" w:rsidTr="00A84E91">
        <w:trPr>
          <w:trHeight w:val="255"/>
          <w:jc w:val="center"/>
        </w:trPr>
        <w:tc>
          <w:tcPr>
            <w:tcW w:w="3808" w:type="dxa"/>
            <w:tcBorders>
              <w:top w:val="nil"/>
              <w:left w:val="nil"/>
              <w:bottom w:val="nil"/>
              <w:right w:val="nil"/>
            </w:tcBorders>
            <w:shd w:val="clear" w:color="000000" w:fill="FFFFFF"/>
            <w:noWrap/>
            <w:vAlign w:val="center"/>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Calorific Value NG</w:t>
            </w:r>
          </w:p>
        </w:tc>
        <w:tc>
          <w:tcPr>
            <w:tcW w:w="1676" w:type="dxa"/>
            <w:tcBorders>
              <w:top w:val="nil"/>
              <w:left w:val="nil"/>
              <w:bottom w:val="nil"/>
              <w:right w:val="nil"/>
            </w:tcBorders>
            <w:shd w:val="clear" w:color="000000" w:fill="FFFFFF"/>
            <w:noWrap/>
            <w:vAlign w:val="center"/>
          </w:tcPr>
          <w:p w:rsidR="00791234" w:rsidRPr="00C534A9" w:rsidRDefault="00A84E91"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BTU/ft^3</w:t>
            </w:r>
          </w:p>
        </w:tc>
        <w:tc>
          <w:tcPr>
            <w:tcW w:w="1311" w:type="dxa"/>
            <w:tcBorders>
              <w:top w:val="nil"/>
              <w:left w:val="nil"/>
              <w:bottom w:val="nil"/>
              <w:right w:val="nil"/>
            </w:tcBorders>
            <w:shd w:val="clear" w:color="000000" w:fill="FFFFFF"/>
            <w:noWrap/>
            <w:vAlign w:val="center"/>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1,050</w:t>
            </w:r>
          </w:p>
        </w:tc>
      </w:tr>
      <w:tr w:rsidR="00791234" w:rsidRPr="00C534A9" w:rsidTr="00A84E91">
        <w:trPr>
          <w:trHeight w:val="255"/>
          <w:jc w:val="center"/>
        </w:trPr>
        <w:tc>
          <w:tcPr>
            <w:tcW w:w="3808" w:type="dxa"/>
            <w:tcBorders>
              <w:top w:val="nil"/>
              <w:left w:val="nil"/>
              <w:bottom w:val="nil"/>
              <w:right w:val="nil"/>
            </w:tcBorders>
            <w:shd w:val="clear" w:color="000000" w:fill="FFFFFF"/>
            <w:noWrap/>
            <w:vAlign w:val="center"/>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CO2 content -</w:t>
            </w:r>
            <w:r w:rsidR="002D4BEC" w:rsidRPr="00C534A9">
              <w:rPr>
                <w:rFonts w:ascii="Arial" w:eastAsia="Times New Roman" w:hAnsi="Arial" w:cs="Arial"/>
                <w:color w:val="auto"/>
                <w:sz w:val="22"/>
                <w:szCs w:val="24"/>
              </w:rPr>
              <w:t xml:space="preserve"> </w:t>
            </w:r>
            <w:r w:rsidRPr="00C534A9">
              <w:rPr>
                <w:rFonts w:ascii="Arial" w:eastAsia="Times New Roman" w:hAnsi="Arial" w:cs="Arial"/>
                <w:color w:val="auto"/>
                <w:sz w:val="22"/>
                <w:szCs w:val="24"/>
              </w:rPr>
              <w:t>HFO</w:t>
            </w:r>
          </w:p>
        </w:tc>
        <w:tc>
          <w:tcPr>
            <w:tcW w:w="1676" w:type="dxa"/>
            <w:tcBorders>
              <w:top w:val="nil"/>
              <w:left w:val="nil"/>
              <w:bottom w:val="nil"/>
              <w:right w:val="nil"/>
            </w:tcBorders>
            <w:shd w:val="clear" w:color="000000" w:fill="FFFFFF"/>
            <w:noWrap/>
            <w:vAlign w:val="center"/>
            <w:hideMark/>
          </w:tcPr>
          <w:p w:rsidR="00791234" w:rsidRPr="00C534A9" w:rsidRDefault="00791234" w:rsidP="00C534A9">
            <w:pPr>
              <w:spacing w:after="0" w:line="240" w:lineRule="auto"/>
              <w:jc w:val="both"/>
              <w:rPr>
                <w:rFonts w:ascii="Arial" w:eastAsia="Times New Roman" w:hAnsi="Arial" w:cs="Arial"/>
                <w:color w:val="auto"/>
                <w:sz w:val="22"/>
                <w:szCs w:val="24"/>
              </w:rPr>
            </w:pPr>
            <w:proofErr w:type="spellStart"/>
            <w:r w:rsidRPr="00C534A9">
              <w:rPr>
                <w:rFonts w:ascii="Arial" w:eastAsia="Times New Roman" w:hAnsi="Arial" w:cs="Arial"/>
                <w:color w:val="auto"/>
                <w:sz w:val="22"/>
                <w:szCs w:val="24"/>
              </w:rPr>
              <w:t>lbs</w:t>
            </w:r>
            <w:proofErr w:type="spellEnd"/>
            <w:r w:rsidRPr="00C534A9">
              <w:rPr>
                <w:rFonts w:ascii="Arial" w:eastAsia="Times New Roman" w:hAnsi="Arial" w:cs="Arial"/>
                <w:color w:val="auto"/>
                <w:sz w:val="22"/>
                <w:szCs w:val="24"/>
              </w:rPr>
              <w:t xml:space="preserve"> / </w:t>
            </w:r>
            <w:proofErr w:type="spellStart"/>
            <w:r w:rsidRPr="00C534A9">
              <w:rPr>
                <w:rFonts w:ascii="Arial" w:eastAsia="Times New Roman" w:hAnsi="Arial" w:cs="Arial"/>
                <w:color w:val="auto"/>
                <w:sz w:val="22"/>
                <w:szCs w:val="24"/>
              </w:rPr>
              <w:t>MMBtu</w:t>
            </w:r>
            <w:proofErr w:type="spellEnd"/>
          </w:p>
        </w:tc>
        <w:tc>
          <w:tcPr>
            <w:tcW w:w="1311" w:type="dxa"/>
            <w:tcBorders>
              <w:top w:val="nil"/>
              <w:left w:val="nil"/>
              <w:bottom w:val="nil"/>
              <w:right w:val="nil"/>
            </w:tcBorders>
            <w:shd w:val="clear" w:color="000000" w:fill="FFFFFF"/>
            <w:noWrap/>
            <w:vAlign w:val="center"/>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174</w:t>
            </w:r>
          </w:p>
        </w:tc>
      </w:tr>
      <w:tr w:rsidR="00791234" w:rsidRPr="00C534A9" w:rsidTr="00A84E91">
        <w:trPr>
          <w:trHeight w:val="255"/>
          <w:jc w:val="center"/>
        </w:trPr>
        <w:tc>
          <w:tcPr>
            <w:tcW w:w="3808" w:type="dxa"/>
            <w:tcBorders>
              <w:top w:val="nil"/>
              <w:left w:val="nil"/>
              <w:bottom w:val="nil"/>
              <w:right w:val="nil"/>
            </w:tcBorders>
            <w:shd w:val="clear" w:color="000000" w:fill="FFFFFF"/>
            <w:noWrap/>
            <w:vAlign w:val="center"/>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CO2 content - Diesel</w:t>
            </w:r>
          </w:p>
        </w:tc>
        <w:tc>
          <w:tcPr>
            <w:tcW w:w="1676" w:type="dxa"/>
            <w:tcBorders>
              <w:top w:val="nil"/>
              <w:left w:val="nil"/>
              <w:bottom w:val="nil"/>
              <w:right w:val="nil"/>
            </w:tcBorders>
            <w:shd w:val="clear" w:color="000000" w:fill="FFFFFF"/>
            <w:noWrap/>
            <w:vAlign w:val="center"/>
            <w:hideMark/>
          </w:tcPr>
          <w:p w:rsidR="00791234" w:rsidRPr="00C534A9" w:rsidRDefault="00791234" w:rsidP="00C534A9">
            <w:pPr>
              <w:spacing w:after="0" w:line="240" w:lineRule="auto"/>
              <w:jc w:val="both"/>
              <w:rPr>
                <w:rFonts w:ascii="Arial" w:eastAsia="Times New Roman" w:hAnsi="Arial" w:cs="Arial"/>
                <w:color w:val="auto"/>
                <w:sz w:val="22"/>
                <w:szCs w:val="24"/>
              </w:rPr>
            </w:pPr>
            <w:proofErr w:type="spellStart"/>
            <w:r w:rsidRPr="00C534A9">
              <w:rPr>
                <w:rFonts w:ascii="Arial" w:eastAsia="Times New Roman" w:hAnsi="Arial" w:cs="Arial"/>
                <w:color w:val="auto"/>
                <w:sz w:val="22"/>
                <w:szCs w:val="24"/>
              </w:rPr>
              <w:t>lbs</w:t>
            </w:r>
            <w:proofErr w:type="spellEnd"/>
            <w:r w:rsidRPr="00C534A9">
              <w:rPr>
                <w:rFonts w:ascii="Arial" w:eastAsia="Times New Roman" w:hAnsi="Arial" w:cs="Arial"/>
                <w:color w:val="auto"/>
                <w:sz w:val="22"/>
                <w:szCs w:val="24"/>
              </w:rPr>
              <w:t xml:space="preserve"> / </w:t>
            </w:r>
            <w:proofErr w:type="spellStart"/>
            <w:r w:rsidRPr="00C534A9">
              <w:rPr>
                <w:rFonts w:ascii="Arial" w:eastAsia="Times New Roman" w:hAnsi="Arial" w:cs="Arial"/>
                <w:color w:val="auto"/>
                <w:sz w:val="22"/>
                <w:szCs w:val="24"/>
              </w:rPr>
              <w:t>MMBtu</w:t>
            </w:r>
            <w:proofErr w:type="spellEnd"/>
          </w:p>
        </w:tc>
        <w:tc>
          <w:tcPr>
            <w:tcW w:w="1311" w:type="dxa"/>
            <w:tcBorders>
              <w:top w:val="nil"/>
              <w:left w:val="nil"/>
              <w:bottom w:val="nil"/>
              <w:right w:val="nil"/>
            </w:tcBorders>
            <w:shd w:val="clear" w:color="000000" w:fill="FFFFFF"/>
            <w:noWrap/>
            <w:vAlign w:val="center"/>
            <w:hideMark/>
          </w:tcPr>
          <w:p w:rsidR="00791234" w:rsidRPr="00C534A9" w:rsidRDefault="002D4BEC"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161</w:t>
            </w:r>
          </w:p>
        </w:tc>
      </w:tr>
      <w:tr w:rsidR="00791234" w:rsidRPr="00C534A9" w:rsidTr="00A84E91">
        <w:trPr>
          <w:trHeight w:val="255"/>
          <w:jc w:val="center"/>
        </w:trPr>
        <w:tc>
          <w:tcPr>
            <w:tcW w:w="3808" w:type="dxa"/>
            <w:tcBorders>
              <w:top w:val="nil"/>
              <w:left w:val="nil"/>
              <w:bottom w:val="nil"/>
              <w:right w:val="nil"/>
            </w:tcBorders>
            <w:shd w:val="clear" w:color="000000" w:fill="FFFFFF"/>
            <w:noWrap/>
            <w:vAlign w:val="center"/>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CO2 content - LPG</w:t>
            </w:r>
          </w:p>
        </w:tc>
        <w:tc>
          <w:tcPr>
            <w:tcW w:w="1676" w:type="dxa"/>
            <w:tcBorders>
              <w:top w:val="nil"/>
              <w:left w:val="nil"/>
              <w:bottom w:val="nil"/>
              <w:right w:val="nil"/>
            </w:tcBorders>
            <w:shd w:val="clear" w:color="000000" w:fill="FFFFFF"/>
            <w:noWrap/>
            <w:vAlign w:val="center"/>
            <w:hideMark/>
          </w:tcPr>
          <w:p w:rsidR="00791234" w:rsidRPr="00C534A9" w:rsidRDefault="00791234" w:rsidP="00C534A9">
            <w:pPr>
              <w:spacing w:after="0" w:line="240" w:lineRule="auto"/>
              <w:jc w:val="both"/>
              <w:rPr>
                <w:rFonts w:ascii="Arial" w:eastAsia="Times New Roman" w:hAnsi="Arial" w:cs="Arial"/>
                <w:color w:val="auto"/>
                <w:sz w:val="22"/>
                <w:szCs w:val="24"/>
              </w:rPr>
            </w:pPr>
            <w:proofErr w:type="spellStart"/>
            <w:r w:rsidRPr="00C534A9">
              <w:rPr>
                <w:rFonts w:ascii="Arial" w:eastAsia="Times New Roman" w:hAnsi="Arial" w:cs="Arial"/>
                <w:color w:val="auto"/>
                <w:sz w:val="22"/>
                <w:szCs w:val="24"/>
              </w:rPr>
              <w:t>lbs</w:t>
            </w:r>
            <w:proofErr w:type="spellEnd"/>
            <w:r w:rsidRPr="00C534A9">
              <w:rPr>
                <w:rFonts w:ascii="Arial" w:eastAsia="Times New Roman" w:hAnsi="Arial" w:cs="Arial"/>
                <w:color w:val="auto"/>
                <w:sz w:val="22"/>
                <w:szCs w:val="24"/>
              </w:rPr>
              <w:t xml:space="preserve"> / </w:t>
            </w:r>
            <w:proofErr w:type="spellStart"/>
            <w:r w:rsidRPr="00C534A9">
              <w:rPr>
                <w:rFonts w:ascii="Arial" w:eastAsia="Times New Roman" w:hAnsi="Arial" w:cs="Arial"/>
                <w:color w:val="auto"/>
                <w:sz w:val="22"/>
                <w:szCs w:val="24"/>
              </w:rPr>
              <w:t>MMBtu</w:t>
            </w:r>
            <w:proofErr w:type="spellEnd"/>
          </w:p>
        </w:tc>
        <w:tc>
          <w:tcPr>
            <w:tcW w:w="1311" w:type="dxa"/>
            <w:tcBorders>
              <w:top w:val="nil"/>
              <w:left w:val="nil"/>
              <w:bottom w:val="nil"/>
              <w:right w:val="nil"/>
            </w:tcBorders>
            <w:shd w:val="clear" w:color="000000" w:fill="FFFFFF"/>
            <w:noWrap/>
            <w:vAlign w:val="center"/>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150</w:t>
            </w:r>
          </w:p>
        </w:tc>
      </w:tr>
      <w:tr w:rsidR="00791234" w:rsidRPr="00C534A9" w:rsidTr="00A84E91">
        <w:trPr>
          <w:trHeight w:val="255"/>
          <w:jc w:val="center"/>
        </w:trPr>
        <w:tc>
          <w:tcPr>
            <w:tcW w:w="3808" w:type="dxa"/>
            <w:tcBorders>
              <w:top w:val="nil"/>
              <w:left w:val="nil"/>
              <w:bottom w:val="nil"/>
              <w:right w:val="nil"/>
            </w:tcBorders>
            <w:shd w:val="clear" w:color="000000" w:fill="FFFFFF"/>
            <w:noWrap/>
            <w:vAlign w:val="center"/>
            <w:hideMark/>
          </w:tcPr>
          <w:p w:rsidR="00791234" w:rsidRPr="00C534A9" w:rsidRDefault="00A84E91"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C</w:t>
            </w:r>
            <w:r w:rsidR="00791234" w:rsidRPr="00C534A9">
              <w:rPr>
                <w:rFonts w:ascii="Arial" w:eastAsia="Times New Roman" w:hAnsi="Arial" w:cs="Arial"/>
                <w:color w:val="auto"/>
                <w:sz w:val="22"/>
                <w:szCs w:val="24"/>
              </w:rPr>
              <w:t>O2 content - NG</w:t>
            </w:r>
          </w:p>
        </w:tc>
        <w:tc>
          <w:tcPr>
            <w:tcW w:w="1676" w:type="dxa"/>
            <w:tcBorders>
              <w:top w:val="nil"/>
              <w:left w:val="nil"/>
              <w:bottom w:val="nil"/>
              <w:right w:val="nil"/>
            </w:tcBorders>
            <w:shd w:val="clear" w:color="000000" w:fill="FFFFFF"/>
            <w:noWrap/>
            <w:vAlign w:val="center"/>
            <w:hideMark/>
          </w:tcPr>
          <w:p w:rsidR="00791234" w:rsidRPr="00C534A9" w:rsidRDefault="00791234" w:rsidP="00C534A9">
            <w:pPr>
              <w:spacing w:after="0" w:line="240" w:lineRule="auto"/>
              <w:jc w:val="both"/>
              <w:rPr>
                <w:rFonts w:ascii="Arial" w:eastAsia="Times New Roman" w:hAnsi="Arial" w:cs="Arial"/>
                <w:color w:val="auto"/>
                <w:sz w:val="22"/>
                <w:szCs w:val="24"/>
              </w:rPr>
            </w:pPr>
            <w:proofErr w:type="spellStart"/>
            <w:r w:rsidRPr="00C534A9">
              <w:rPr>
                <w:rFonts w:ascii="Arial" w:eastAsia="Times New Roman" w:hAnsi="Arial" w:cs="Arial"/>
                <w:color w:val="auto"/>
                <w:sz w:val="22"/>
                <w:szCs w:val="24"/>
              </w:rPr>
              <w:t>lbs</w:t>
            </w:r>
            <w:proofErr w:type="spellEnd"/>
            <w:r w:rsidRPr="00C534A9">
              <w:rPr>
                <w:rFonts w:ascii="Arial" w:eastAsia="Times New Roman" w:hAnsi="Arial" w:cs="Arial"/>
                <w:color w:val="auto"/>
                <w:sz w:val="22"/>
                <w:szCs w:val="24"/>
              </w:rPr>
              <w:t xml:space="preserve"> / </w:t>
            </w:r>
            <w:proofErr w:type="spellStart"/>
            <w:r w:rsidRPr="00C534A9">
              <w:rPr>
                <w:rFonts w:ascii="Arial" w:eastAsia="Times New Roman" w:hAnsi="Arial" w:cs="Arial"/>
                <w:color w:val="auto"/>
                <w:sz w:val="22"/>
                <w:szCs w:val="24"/>
              </w:rPr>
              <w:t>MMBtu</w:t>
            </w:r>
            <w:proofErr w:type="spellEnd"/>
          </w:p>
        </w:tc>
        <w:tc>
          <w:tcPr>
            <w:tcW w:w="1311" w:type="dxa"/>
            <w:tcBorders>
              <w:top w:val="nil"/>
              <w:left w:val="nil"/>
              <w:bottom w:val="nil"/>
              <w:right w:val="nil"/>
            </w:tcBorders>
            <w:shd w:val="clear" w:color="000000" w:fill="FFFFFF"/>
            <w:noWrap/>
            <w:vAlign w:val="center"/>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117</w:t>
            </w:r>
          </w:p>
        </w:tc>
      </w:tr>
      <w:tr w:rsidR="00791234" w:rsidRPr="00C534A9" w:rsidTr="00A84E91">
        <w:trPr>
          <w:trHeight w:val="255"/>
          <w:jc w:val="center"/>
        </w:trPr>
        <w:tc>
          <w:tcPr>
            <w:tcW w:w="3808" w:type="dxa"/>
            <w:tcBorders>
              <w:top w:val="nil"/>
              <w:left w:val="nil"/>
              <w:bottom w:val="nil"/>
              <w:right w:val="nil"/>
            </w:tcBorders>
            <w:shd w:val="clear" w:color="000000" w:fill="FFFFFF"/>
            <w:noWrap/>
            <w:vAlign w:val="center"/>
            <w:hideMark/>
          </w:tcPr>
          <w:p w:rsidR="00791234" w:rsidRPr="00C534A9" w:rsidRDefault="00791234" w:rsidP="00C534A9">
            <w:pPr>
              <w:spacing w:after="0" w:line="240" w:lineRule="auto"/>
              <w:ind w:firstLineChars="100" w:firstLine="220"/>
              <w:jc w:val="both"/>
              <w:rPr>
                <w:rFonts w:ascii="Arial" w:eastAsia="Times New Roman" w:hAnsi="Arial" w:cs="Arial"/>
                <w:color w:val="auto"/>
                <w:sz w:val="22"/>
                <w:szCs w:val="24"/>
              </w:rPr>
            </w:pPr>
          </w:p>
        </w:tc>
        <w:tc>
          <w:tcPr>
            <w:tcW w:w="1676" w:type="dxa"/>
            <w:tcBorders>
              <w:top w:val="nil"/>
              <w:left w:val="nil"/>
              <w:bottom w:val="nil"/>
              <w:right w:val="nil"/>
            </w:tcBorders>
            <w:shd w:val="clear" w:color="000000" w:fill="FFFFFF"/>
            <w:noWrap/>
            <w:vAlign w:val="center"/>
            <w:hideMark/>
          </w:tcPr>
          <w:p w:rsidR="00791234" w:rsidRPr="00C534A9" w:rsidRDefault="00791234" w:rsidP="00C534A9">
            <w:pPr>
              <w:spacing w:after="0" w:line="240" w:lineRule="auto"/>
              <w:jc w:val="both"/>
              <w:rPr>
                <w:rFonts w:ascii="Arial" w:eastAsia="Times New Roman" w:hAnsi="Arial" w:cs="Arial"/>
                <w:color w:val="auto"/>
                <w:sz w:val="22"/>
                <w:szCs w:val="24"/>
              </w:rPr>
            </w:pPr>
          </w:p>
        </w:tc>
        <w:tc>
          <w:tcPr>
            <w:tcW w:w="1311" w:type="dxa"/>
            <w:tcBorders>
              <w:top w:val="nil"/>
              <w:left w:val="nil"/>
              <w:bottom w:val="nil"/>
              <w:right w:val="nil"/>
            </w:tcBorders>
            <w:shd w:val="clear" w:color="000000" w:fill="FFFFFF"/>
            <w:noWrap/>
            <w:vAlign w:val="center"/>
            <w:hideMark/>
          </w:tcPr>
          <w:p w:rsidR="00791234" w:rsidRPr="00C534A9" w:rsidRDefault="00791234" w:rsidP="00C534A9">
            <w:pPr>
              <w:spacing w:after="0" w:line="240" w:lineRule="auto"/>
              <w:jc w:val="both"/>
              <w:rPr>
                <w:rFonts w:ascii="Arial" w:eastAsia="Times New Roman" w:hAnsi="Arial" w:cs="Arial"/>
                <w:color w:val="auto"/>
                <w:sz w:val="22"/>
                <w:szCs w:val="24"/>
              </w:rPr>
            </w:pPr>
          </w:p>
        </w:tc>
      </w:tr>
    </w:tbl>
    <w:p w:rsidR="00E14C8B" w:rsidRPr="00C534A9" w:rsidRDefault="00E14C8B" w:rsidP="00C534A9">
      <w:pPr>
        <w:pStyle w:val="Source"/>
        <w:jc w:val="both"/>
        <w:rPr>
          <w:rFonts w:ascii="Arial" w:hAnsi="Arial" w:cs="Arial"/>
          <w:sz w:val="18"/>
        </w:rPr>
      </w:pPr>
    </w:p>
    <w:p w:rsidR="00E14C8B" w:rsidRPr="00C534A9" w:rsidRDefault="00416EE9" w:rsidP="00C534A9">
      <w:pPr>
        <w:jc w:val="both"/>
        <w:rPr>
          <w:rFonts w:ascii="Arial" w:hAnsi="Arial" w:cs="Arial"/>
          <w:sz w:val="22"/>
        </w:rPr>
      </w:pPr>
      <w:r w:rsidRPr="00C534A9">
        <w:rPr>
          <w:rFonts w:ascii="Arial" w:hAnsi="Arial" w:cs="Arial"/>
          <w:sz w:val="22"/>
        </w:rPr>
        <w:t xml:space="preserve">The assumptions are based on information from NPC, quotes provided by equipment and service providers, studies from reliable sources, and estimations based on similar projects and technologies. </w:t>
      </w:r>
      <w:r w:rsidR="00734D40" w:rsidRPr="00C534A9">
        <w:rPr>
          <w:rFonts w:ascii="Arial" w:hAnsi="Arial" w:cs="Arial"/>
          <w:sz w:val="22"/>
        </w:rPr>
        <w:t>A</w:t>
      </w:r>
      <w:r w:rsidR="00793336" w:rsidRPr="00C534A9">
        <w:rPr>
          <w:rFonts w:ascii="Arial" w:hAnsi="Arial" w:cs="Arial"/>
          <w:sz w:val="22"/>
        </w:rPr>
        <w:t>ssumption</w:t>
      </w:r>
      <w:r w:rsidR="00734D40" w:rsidRPr="00C534A9">
        <w:rPr>
          <w:rFonts w:ascii="Arial" w:hAnsi="Arial" w:cs="Arial"/>
          <w:sz w:val="22"/>
        </w:rPr>
        <w:t>s</w:t>
      </w:r>
      <w:r w:rsidR="00E14C8B" w:rsidRPr="00C534A9">
        <w:rPr>
          <w:rFonts w:ascii="Arial" w:hAnsi="Arial" w:cs="Arial"/>
          <w:sz w:val="22"/>
        </w:rPr>
        <w:t xml:space="preserve"> for </w:t>
      </w:r>
      <w:r w:rsidR="00793336" w:rsidRPr="00C534A9">
        <w:rPr>
          <w:rFonts w:ascii="Arial" w:hAnsi="Arial" w:cs="Arial"/>
          <w:sz w:val="22"/>
        </w:rPr>
        <w:t xml:space="preserve">the </w:t>
      </w:r>
      <w:r w:rsidR="00E14C8B" w:rsidRPr="00C534A9">
        <w:rPr>
          <w:rFonts w:ascii="Arial" w:hAnsi="Arial" w:cs="Arial"/>
          <w:sz w:val="22"/>
        </w:rPr>
        <w:t xml:space="preserve">avoided cost of fuel oil generation </w:t>
      </w:r>
      <w:r w:rsidR="00734D40" w:rsidRPr="00C534A9">
        <w:rPr>
          <w:rFonts w:ascii="Arial" w:hAnsi="Arial" w:cs="Arial"/>
          <w:sz w:val="22"/>
        </w:rPr>
        <w:t>ar</w:t>
      </w:r>
      <w:r w:rsidR="00FD62D2" w:rsidRPr="00C534A9">
        <w:rPr>
          <w:rFonts w:ascii="Arial" w:hAnsi="Arial" w:cs="Arial"/>
          <w:sz w:val="22"/>
        </w:rPr>
        <w:t>e</w:t>
      </w:r>
      <w:r w:rsidR="00E14C8B" w:rsidRPr="00C534A9">
        <w:rPr>
          <w:rFonts w:ascii="Arial" w:hAnsi="Arial" w:cs="Arial"/>
          <w:sz w:val="22"/>
        </w:rPr>
        <w:t xml:space="preserve"> based on the capital, operating, and maintenance costs of diesel-based generation in </w:t>
      </w:r>
      <w:r w:rsidRPr="00C534A9">
        <w:rPr>
          <w:rFonts w:ascii="Arial" w:hAnsi="Arial" w:cs="Arial"/>
          <w:sz w:val="22"/>
        </w:rPr>
        <w:t>Barbados</w:t>
      </w:r>
      <w:r w:rsidR="00E14C8B" w:rsidRPr="00C534A9">
        <w:rPr>
          <w:rFonts w:ascii="Arial" w:hAnsi="Arial" w:cs="Arial"/>
          <w:sz w:val="22"/>
        </w:rPr>
        <w:t xml:space="preserve">. The avoided cost of </w:t>
      </w:r>
      <w:r w:rsidR="00463F1B" w:rsidRPr="00C534A9">
        <w:rPr>
          <w:rFonts w:ascii="Arial" w:hAnsi="Arial" w:cs="Arial"/>
          <w:sz w:val="22"/>
        </w:rPr>
        <w:t>liquid fuel consumption</w:t>
      </w:r>
      <w:r w:rsidR="00E14C8B" w:rsidRPr="00C534A9">
        <w:rPr>
          <w:rFonts w:ascii="Arial" w:hAnsi="Arial" w:cs="Arial"/>
          <w:sz w:val="22"/>
        </w:rPr>
        <w:t xml:space="preserve"> is also based</w:t>
      </w:r>
      <w:r w:rsidRPr="00C534A9">
        <w:rPr>
          <w:rFonts w:ascii="Arial" w:hAnsi="Arial" w:cs="Arial"/>
          <w:sz w:val="22"/>
        </w:rPr>
        <w:t xml:space="preserve"> on the EIA’s </w:t>
      </w:r>
      <w:r w:rsidR="00D67CE0" w:rsidRPr="00C534A9">
        <w:rPr>
          <w:rFonts w:ascii="Arial" w:hAnsi="Arial" w:cs="Arial"/>
          <w:sz w:val="22"/>
        </w:rPr>
        <w:t>2015</w:t>
      </w:r>
      <w:r w:rsidR="00E14C8B" w:rsidRPr="00C534A9">
        <w:rPr>
          <w:rFonts w:ascii="Arial" w:hAnsi="Arial" w:cs="Arial"/>
          <w:sz w:val="22"/>
        </w:rPr>
        <w:t xml:space="preserve"> yearly oil price projections</w:t>
      </w:r>
      <w:r w:rsidR="00463F1B" w:rsidRPr="00C534A9">
        <w:rPr>
          <w:rFonts w:ascii="Arial" w:hAnsi="Arial" w:cs="Arial"/>
          <w:sz w:val="22"/>
        </w:rPr>
        <w:t>, adjusted for the delivered cost to Barbados</w:t>
      </w:r>
      <w:r w:rsidR="00E14C8B" w:rsidRPr="00C534A9">
        <w:rPr>
          <w:rFonts w:ascii="Arial" w:hAnsi="Arial" w:cs="Arial"/>
          <w:sz w:val="22"/>
        </w:rPr>
        <w:t xml:space="preserve">. The 12 percent discount rate is </w:t>
      </w:r>
      <w:r w:rsidR="00463F1B" w:rsidRPr="00C534A9">
        <w:rPr>
          <w:rFonts w:ascii="Arial" w:hAnsi="Arial" w:cs="Arial"/>
          <w:sz w:val="22"/>
        </w:rPr>
        <w:t xml:space="preserve">the discount rate suggested in </w:t>
      </w:r>
      <w:r w:rsidR="00793336" w:rsidRPr="00C534A9">
        <w:rPr>
          <w:rFonts w:ascii="Arial" w:hAnsi="Arial" w:cs="Arial"/>
          <w:sz w:val="22"/>
        </w:rPr>
        <w:t>IDB CBA guidelines</w:t>
      </w:r>
      <w:r w:rsidR="00E14C8B" w:rsidRPr="00C534A9">
        <w:rPr>
          <w:rFonts w:ascii="Arial" w:hAnsi="Arial" w:cs="Arial"/>
          <w:sz w:val="22"/>
        </w:rPr>
        <w:t>.</w:t>
      </w:r>
    </w:p>
    <w:p w:rsidR="00E14C8B" w:rsidRPr="00C534A9" w:rsidRDefault="00E14C8B" w:rsidP="00C534A9">
      <w:pPr>
        <w:pStyle w:val="Heading2"/>
        <w:jc w:val="both"/>
        <w:rPr>
          <w:rFonts w:ascii="Arial" w:hAnsi="Arial" w:cs="Arial"/>
          <w:sz w:val="24"/>
        </w:rPr>
      </w:pPr>
      <w:bookmarkStart w:id="52" w:name="_Toc423341360"/>
      <w:bookmarkStart w:id="53" w:name="_Ref423357309"/>
      <w:bookmarkStart w:id="54" w:name="_Toc423457930"/>
      <w:bookmarkStart w:id="55" w:name="_Toc428351514"/>
      <w:bookmarkStart w:id="56" w:name="_Toc464551501"/>
      <w:r w:rsidRPr="00C534A9">
        <w:rPr>
          <w:rFonts w:ascii="Arial" w:hAnsi="Arial" w:cs="Arial"/>
          <w:sz w:val="24"/>
        </w:rPr>
        <w:t xml:space="preserve">Economic Costs, Economic Benefits, and Net Economic Benefits of </w:t>
      </w:r>
      <w:bookmarkEnd w:id="52"/>
      <w:bookmarkEnd w:id="53"/>
      <w:bookmarkEnd w:id="54"/>
      <w:bookmarkEnd w:id="55"/>
      <w:r w:rsidR="00416EE9" w:rsidRPr="00C534A9">
        <w:rPr>
          <w:rFonts w:ascii="Arial" w:hAnsi="Arial" w:cs="Arial"/>
          <w:sz w:val="24"/>
        </w:rPr>
        <w:t>the micro-LNG expansion and natural gas compressor replacement sub-project</w:t>
      </w:r>
      <w:bookmarkEnd w:id="56"/>
    </w:p>
    <w:p w:rsidR="00E14C8B" w:rsidRPr="00C534A9" w:rsidRDefault="00E14C8B" w:rsidP="00C534A9">
      <w:pPr>
        <w:jc w:val="both"/>
        <w:rPr>
          <w:rFonts w:ascii="Arial" w:hAnsi="Arial" w:cs="Arial"/>
          <w:sz w:val="22"/>
        </w:rPr>
      </w:pPr>
      <w:r w:rsidRPr="00C534A9">
        <w:rPr>
          <w:rFonts w:ascii="Arial" w:hAnsi="Arial" w:cs="Arial"/>
          <w:sz w:val="22"/>
        </w:rPr>
        <w:t>This section presents the results of the CBA</w:t>
      </w:r>
      <w:r w:rsidR="00463F1B" w:rsidRPr="00C534A9">
        <w:rPr>
          <w:rFonts w:ascii="Arial" w:hAnsi="Arial" w:cs="Arial"/>
          <w:sz w:val="22"/>
        </w:rPr>
        <w:t xml:space="preserve"> for the micro-LNG expansion and natural gas compressor replacement</w:t>
      </w:r>
      <w:r w:rsidRPr="00C534A9">
        <w:rPr>
          <w:rFonts w:ascii="Arial" w:hAnsi="Arial" w:cs="Arial"/>
          <w:sz w:val="22"/>
        </w:rPr>
        <w:t xml:space="preserve">. When aggregating the economic cost and benefits of </w:t>
      </w:r>
      <w:r w:rsidR="009D18E2" w:rsidRPr="00C534A9">
        <w:rPr>
          <w:rFonts w:ascii="Arial" w:hAnsi="Arial" w:cs="Arial"/>
          <w:sz w:val="22"/>
        </w:rPr>
        <w:t>the sub-projects</w:t>
      </w:r>
      <w:r w:rsidRPr="00C534A9">
        <w:rPr>
          <w:rFonts w:ascii="Arial" w:hAnsi="Arial" w:cs="Arial"/>
          <w:sz w:val="22"/>
        </w:rPr>
        <w:t xml:space="preserve">, the aggregated net benefits </w:t>
      </w:r>
      <w:r w:rsidR="009F2643" w:rsidRPr="00C534A9">
        <w:rPr>
          <w:rFonts w:ascii="Arial" w:hAnsi="Arial" w:cs="Arial"/>
          <w:sz w:val="22"/>
        </w:rPr>
        <w:t xml:space="preserve">were found to be </w:t>
      </w:r>
      <w:r w:rsidRPr="00C534A9">
        <w:rPr>
          <w:rFonts w:ascii="Arial" w:hAnsi="Arial" w:cs="Arial"/>
          <w:sz w:val="22"/>
        </w:rPr>
        <w:t xml:space="preserve">positive. That means that </w:t>
      </w:r>
      <w:r w:rsidR="009D18E2" w:rsidRPr="00C534A9">
        <w:rPr>
          <w:rFonts w:ascii="Arial" w:hAnsi="Arial" w:cs="Arial"/>
          <w:sz w:val="22"/>
        </w:rPr>
        <w:t xml:space="preserve">expanding the micro-LNG facility and replacing the natural gas compressors with high efficiency electric compressors </w:t>
      </w:r>
      <w:r w:rsidR="00C6431E" w:rsidRPr="00C534A9">
        <w:rPr>
          <w:rFonts w:ascii="Arial" w:hAnsi="Arial" w:cs="Arial"/>
          <w:sz w:val="22"/>
        </w:rPr>
        <w:t>will</w:t>
      </w:r>
      <w:r w:rsidRPr="00C534A9">
        <w:rPr>
          <w:rFonts w:ascii="Arial" w:hAnsi="Arial" w:cs="Arial"/>
          <w:sz w:val="22"/>
        </w:rPr>
        <w:t xml:space="preserve"> generate net economic benefits for </w:t>
      </w:r>
      <w:r w:rsidR="009D18E2" w:rsidRPr="00C534A9">
        <w:rPr>
          <w:rFonts w:ascii="Arial" w:hAnsi="Arial" w:cs="Arial"/>
          <w:sz w:val="22"/>
        </w:rPr>
        <w:t>Barbados</w:t>
      </w:r>
      <w:r w:rsidRPr="00C534A9">
        <w:rPr>
          <w:rFonts w:ascii="Arial" w:hAnsi="Arial" w:cs="Arial"/>
          <w:sz w:val="22"/>
        </w:rPr>
        <w:t>.</w:t>
      </w:r>
    </w:p>
    <w:p w:rsidR="00E14C8B" w:rsidRPr="00C534A9" w:rsidRDefault="00E14C8B" w:rsidP="00C534A9">
      <w:pPr>
        <w:jc w:val="both"/>
        <w:rPr>
          <w:rFonts w:ascii="Arial" w:hAnsi="Arial" w:cs="Arial"/>
          <w:sz w:val="22"/>
        </w:rPr>
      </w:pPr>
      <w:r w:rsidRPr="00C534A9">
        <w:rPr>
          <w:rFonts w:ascii="Arial" w:hAnsi="Arial" w:cs="Arial"/>
          <w:sz w:val="22"/>
        </w:rPr>
        <w:fldChar w:fldCharType="begin"/>
      </w:r>
      <w:r w:rsidRPr="00C534A9">
        <w:rPr>
          <w:rFonts w:ascii="Arial" w:hAnsi="Arial" w:cs="Arial"/>
          <w:sz w:val="22"/>
        </w:rPr>
        <w:instrText xml:space="preserve"> REF _Ref406058165 \h  \* MERGEFORMAT </w:instrText>
      </w:r>
      <w:r w:rsidRPr="00C534A9">
        <w:rPr>
          <w:rFonts w:ascii="Arial" w:hAnsi="Arial" w:cs="Arial"/>
          <w:sz w:val="22"/>
        </w:rPr>
      </w:r>
      <w:r w:rsidRPr="00C534A9">
        <w:rPr>
          <w:rFonts w:ascii="Arial" w:hAnsi="Arial" w:cs="Arial"/>
          <w:sz w:val="22"/>
        </w:rPr>
        <w:fldChar w:fldCharType="separate"/>
      </w:r>
      <w:r w:rsidR="003F3D75" w:rsidRPr="00C534A9">
        <w:rPr>
          <w:rFonts w:ascii="Arial" w:hAnsi="Arial" w:cs="Arial"/>
          <w:sz w:val="22"/>
        </w:rPr>
        <w:t xml:space="preserve">Table </w:t>
      </w:r>
      <w:r w:rsidR="003F3D75" w:rsidRPr="00C534A9">
        <w:rPr>
          <w:rFonts w:ascii="Arial" w:hAnsi="Arial" w:cs="Arial"/>
          <w:noProof/>
          <w:sz w:val="22"/>
        </w:rPr>
        <w:t>3.2</w:t>
      </w:r>
      <w:r w:rsidRPr="00C534A9">
        <w:rPr>
          <w:rFonts w:ascii="Arial" w:hAnsi="Arial" w:cs="Arial"/>
          <w:sz w:val="22"/>
        </w:rPr>
        <w:fldChar w:fldCharType="end"/>
      </w:r>
      <w:r w:rsidRPr="00C534A9">
        <w:rPr>
          <w:rFonts w:ascii="Arial" w:hAnsi="Arial" w:cs="Arial"/>
          <w:sz w:val="22"/>
        </w:rPr>
        <w:t xml:space="preserve"> presents the economic costs and benefits of </w:t>
      </w:r>
      <w:r w:rsidR="009D18E2" w:rsidRPr="00C534A9">
        <w:rPr>
          <w:rFonts w:ascii="Arial" w:hAnsi="Arial" w:cs="Arial"/>
          <w:sz w:val="22"/>
        </w:rPr>
        <w:t>the micro-LNG expansion and natural gas compressor replacement</w:t>
      </w:r>
      <w:r w:rsidRPr="00C534A9">
        <w:rPr>
          <w:rFonts w:ascii="Arial" w:hAnsi="Arial" w:cs="Arial"/>
          <w:sz w:val="22"/>
        </w:rPr>
        <w:t xml:space="preserve">. </w:t>
      </w:r>
    </w:p>
    <w:p w:rsidR="00E14C8B" w:rsidRPr="00C534A9" w:rsidRDefault="00E14C8B" w:rsidP="00C534A9">
      <w:pPr>
        <w:pStyle w:val="Caption"/>
        <w:jc w:val="both"/>
        <w:rPr>
          <w:rFonts w:ascii="Arial" w:hAnsi="Arial" w:cs="Arial"/>
          <w:sz w:val="22"/>
        </w:rPr>
      </w:pPr>
      <w:bookmarkStart w:id="57" w:name="_Ref406058165"/>
      <w:bookmarkStart w:id="58" w:name="_Toc406061448"/>
      <w:bookmarkStart w:id="59" w:name="_Toc418270505"/>
      <w:bookmarkStart w:id="60" w:name="_Toc423341374"/>
      <w:bookmarkStart w:id="61" w:name="_Toc423457904"/>
      <w:bookmarkStart w:id="62" w:name="_Toc428351530"/>
      <w:bookmarkStart w:id="63" w:name="_Toc463508480"/>
      <w:bookmarkStart w:id="64" w:name="_Toc463508969"/>
      <w:proofErr w:type="gramStart"/>
      <w:r w:rsidRPr="00C534A9">
        <w:rPr>
          <w:rFonts w:ascii="Arial" w:hAnsi="Arial" w:cs="Arial"/>
          <w:sz w:val="22"/>
        </w:rPr>
        <w:t xml:space="preserve">Table </w:t>
      </w:r>
      <w:r w:rsidR="007D6B36" w:rsidRPr="00C534A9">
        <w:rPr>
          <w:rFonts w:ascii="Arial" w:hAnsi="Arial" w:cs="Arial"/>
          <w:sz w:val="22"/>
        </w:rPr>
        <w:fldChar w:fldCharType="begin"/>
      </w:r>
      <w:r w:rsidR="007D6B36" w:rsidRPr="00C534A9">
        <w:rPr>
          <w:rFonts w:ascii="Arial" w:hAnsi="Arial" w:cs="Arial"/>
          <w:sz w:val="22"/>
        </w:rPr>
        <w:instrText xml:space="preserve"> STYLEREF 1 \s </w:instrText>
      </w:r>
      <w:r w:rsidR="007D6B36" w:rsidRPr="00C534A9">
        <w:rPr>
          <w:rFonts w:ascii="Arial" w:hAnsi="Arial" w:cs="Arial"/>
          <w:sz w:val="22"/>
        </w:rPr>
        <w:fldChar w:fldCharType="separate"/>
      </w:r>
      <w:r w:rsidR="003F3D75" w:rsidRPr="00C534A9">
        <w:rPr>
          <w:rFonts w:ascii="Arial" w:hAnsi="Arial" w:cs="Arial"/>
          <w:noProof/>
          <w:sz w:val="22"/>
        </w:rPr>
        <w:t>3</w:t>
      </w:r>
      <w:r w:rsidR="007D6B36" w:rsidRPr="00C534A9">
        <w:rPr>
          <w:rFonts w:ascii="Arial" w:hAnsi="Arial" w:cs="Arial"/>
          <w:noProof/>
          <w:sz w:val="22"/>
        </w:rPr>
        <w:fldChar w:fldCharType="end"/>
      </w:r>
      <w:r w:rsidRPr="00C534A9">
        <w:rPr>
          <w:rFonts w:ascii="Arial" w:hAnsi="Arial" w:cs="Arial"/>
          <w:sz w:val="22"/>
        </w:rPr>
        <w:t>.</w:t>
      </w:r>
      <w:proofErr w:type="gramEnd"/>
      <w:r w:rsidR="003343DE" w:rsidRPr="00C534A9">
        <w:rPr>
          <w:rFonts w:ascii="Arial" w:hAnsi="Arial" w:cs="Arial"/>
          <w:sz w:val="22"/>
        </w:rPr>
        <w:fldChar w:fldCharType="begin"/>
      </w:r>
      <w:r w:rsidR="003343DE" w:rsidRPr="00C534A9">
        <w:rPr>
          <w:rFonts w:ascii="Arial" w:hAnsi="Arial" w:cs="Arial"/>
          <w:sz w:val="22"/>
        </w:rPr>
        <w:instrText xml:space="preserve"> SEQ Table \* ARABIC \s 1 </w:instrText>
      </w:r>
      <w:r w:rsidR="003343DE" w:rsidRPr="00C534A9">
        <w:rPr>
          <w:rFonts w:ascii="Arial" w:hAnsi="Arial" w:cs="Arial"/>
          <w:sz w:val="22"/>
        </w:rPr>
        <w:fldChar w:fldCharType="separate"/>
      </w:r>
      <w:r w:rsidR="003F3D75" w:rsidRPr="00C534A9">
        <w:rPr>
          <w:rFonts w:ascii="Arial" w:hAnsi="Arial" w:cs="Arial"/>
          <w:noProof/>
          <w:sz w:val="22"/>
        </w:rPr>
        <w:t>2</w:t>
      </w:r>
      <w:r w:rsidR="003343DE" w:rsidRPr="00C534A9">
        <w:rPr>
          <w:rFonts w:ascii="Arial" w:hAnsi="Arial" w:cs="Arial"/>
          <w:noProof/>
          <w:sz w:val="22"/>
        </w:rPr>
        <w:fldChar w:fldCharType="end"/>
      </w:r>
      <w:bookmarkEnd w:id="57"/>
      <w:r w:rsidRPr="00C534A9">
        <w:rPr>
          <w:rFonts w:ascii="Arial" w:hAnsi="Arial" w:cs="Arial"/>
          <w:sz w:val="22"/>
        </w:rPr>
        <w:t xml:space="preserve">: Economic Costs and Benefits of the </w:t>
      </w:r>
      <w:bookmarkEnd w:id="58"/>
      <w:bookmarkEnd w:id="59"/>
      <w:bookmarkEnd w:id="60"/>
      <w:bookmarkEnd w:id="61"/>
      <w:bookmarkEnd w:id="62"/>
      <w:r w:rsidR="009D18E2" w:rsidRPr="00C534A9">
        <w:rPr>
          <w:rFonts w:ascii="Arial" w:hAnsi="Arial" w:cs="Arial"/>
          <w:sz w:val="22"/>
        </w:rPr>
        <w:t>micro-LNG expansion and natural gas compressor replacement</w:t>
      </w:r>
      <w:r w:rsidR="00416EE9" w:rsidRPr="00C534A9">
        <w:rPr>
          <w:rFonts w:ascii="Arial" w:hAnsi="Arial" w:cs="Arial"/>
          <w:sz w:val="22"/>
        </w:rPr>
        <w:t xml:space="preserve"> sub-project</w:t>
      </w:r>
      <w:r w:rsidR="003A6A5C" w:rsidRPr="00C534A9">
        <w:rPr>
          <w:rFonts w:ascii="Arial" w:hAnsi="Arial" w:cs="Arial"/>
          <w:sz w:val="22"/>
        </w:rPr>
        <w:t xml:space="preserve"> (US$ ‘000)</w:t>
      </w:r>
      <w:bookmarkEnd w:id="63"/>
      <w:bookmarkEnd w:id="64"/>
    </w:p>
    <w:tbl>
      <w:tblPr>
        <w:tblStyle w:val="TableGrid"/>
        <w:tblW w:w="0" w:type="auto"/>
        <w:tblLook w:val="04A0" w:firstRow="1" w:lastRow="0" w:firstColumn="1" w:lastColumn="0" w:noHBand="0" w:noVBand="1"/>
      </w:tblPr>
      <w:tblGrid>
        <w:gridCol w:w="2540"/>
        <w:gridCol w:w="1320"/>
      </w:tblGrid>
      <w:tr w:rsidR="00F02666" w:rsidRPr="00C534A9" w:rsidTr="00D132E2">
        <w:trPr>
          <w:trHeight w:val="450"/>
        </w:trPr>
        <w:tc>
          <w:tcPr>
            <w:tcW w:w="2540" w:type="dxa"/>
            <w:hideMark/>
          </w:tcPr>
          <w:p w:rsidR="00F02666" w:rsidRPr="00C534A9" w:rsidRDefault="00F02666" w:rsidP="00C534A9">
            <w:pPr>
              <w:jc w:val="both"/>
              <w:rPr>
                <w:rFonts w:ascii="Arial" w:hAnsi="Arial" w:cs="Arial"/>
                <w:sz w:val="22"/>
              </w:rPr>
            </w:pPr>
            <w:r w:rsidRPr="00C534A9">
              <w:rPr>
                <w:rFonts w:ascii="Arial" w:hAnsi="Arial" w:cs="Arial"/>
                <w:sz w:val="22"/>
              </w:rPr>
              <w:t>Present Value - Benefits</w:t>
            </w:r>
          </w:p>
        </w:tc>
        <w:tc>
          <w:tcPr>
            <w:tcW w:w="1320" w:type="dxa"/>
            <w:vAlign w:val="center"/>
            <w:hideMark/>
          </w:tcPr>
          <w:p w:rsidR="00F02666" w:rsidRPr="00C534A9" w:rsidRDefault="00F02666" w:rsidP="00C534A9">
            <w:pPr>
              <w:jc w:val="both"/>
              <w:rPr>
                <w:rFonts w:ascii="Arial" w:hAnsi="Arial" w:cs="Arial"/>
                <w:sz w:val="22"/>
              </w:rPr>
            </w:pPr>
            <w:r w:rsidRPr="00C534A9">
              <w:rPr>
                <w:rFonts w:ascii="Arial" w:hAnsi="Arial" w:cs="Arial"/>
                <w:color w:val="000000"/>
                <w:sz w:val="22"/>
              </w:rPr>
              <w:t xml:space="preserve">$37,583 </w:t>
            </w:r>
          </w:p>
        </w:tc>
      </w:tr>
      <w:tr w:rsidR="00F02666" w:rsidRPr="00C534A9" w:rsidTr="00D132E2">
        <w:trPr>
          <w:trHeight w:val="450"/>
        </w:trPr>
        <w:tc>
          <w:tcPr>
            <w:tcW w:w="2540" w:type="dxa"/>
            <w:hideMark/>
          </w:tcPr>
          <w:p w:rsidR="00F02666" w:rsidRPr="00C534A9" w:rsidRDefault="00F02666" w:rsidP="00C534A9">
            <w:pPr>
              <w:jc w:val="both"/>
              <w:rPr>
                <w:rFonts w:ascii="Arial" w:hAnsi="Arial" w:cs="Arial"/>
                <w:sz w:val="22"/>
              </w:rPr>
            </w:pPr>
            <w:r w:rsidRPr="00C534A9">
              <w:rPr>
                <w:rFonts w:ascii="Arial" w:hAnsi="Arial" w:cs="Arial"/>
                <w:sz w:val="22"/>
              </w:rPr>
              <w:t>Present Value  - Costs</w:t>
            </w:r>
          </w:p>
        </w:tc>
        <w:tc>
          <w:tcPr>
            <w:tcW w:w="1320" w:type="dxa"/>
            <w:vAlign w:val="center"/>
            <w:hideMark/>
          </w:tcPr>
          <w:p w:rsidR="00F02666" w:rsidRPr="00C534A9" w:rsidRDefault="00F02666" w:rsidP="00C534A9">
            <w:pPr>
              <w:jc w:val="both"/>
              <w:rPr>
                <w:rFonts w:ascii="Arial" w:hAnsi="Arial" w:cs="Arial"/>
                <w:sz w:val="22"/>
              </w:rPr>
            </w:pPr>
            <w:r w:rsidRPr="00C534A9">
              <w:rPr>
                <w:rFonts w:ascii="Arial" w:hAnsi="Arial" w:cs="Arial"/>
                <w:color w:val="FF0000"/>
                <w:sz w:val="22"/>
              </w:rPr>
              <w:t>($28,391)</w:t>
            </w:r>
          </w:p>
        </w:tc>
      </w:tr>
      <w:tr w:rsidR="00F02666" w:rsidRPr="00C534A9" w:rsidTr="00D132E2">
        <w:trPr>
          <w:trHeight w:val="450"/>
        </w:trPr>
        <w:tc>
          <w:tcPr>
            <w:tcW w:w="2540" w:type="dxa"/>
            <w:hideMark/>
          </w:tcPr>
          <w:p w:rsidR="00F02666" w:rsidRPr="00C534A9" w:rsidRDefault="00F02666" w:rsidP="00C534A9">
            <w:pPr>
              <w:jc w:val="both"/>
              <w:rPr>
                <w:rFonts w:ascii="Arial" w:hAnsi="Arial" w:cs="Arial"/>
                <w:sz w:val="22"/>
              </w:rPr>
            </w:pPr>
            <w:r w:rsidRPr="00C534A9">
              <w:rPr>
                <w:rFonts w:ascii="Arial" w:hAnsi="Arial" w:cs="Arial"/>
                <w:sz w:val="22"/>
              </w:rPr>
              <w:t>Net Present Value</w:t>
            </w:r>
          </w:p>
        </w:tc>
        <w:tc>
          <w:tcPr>
            <w:tcW w:w="1320" w:type="dxa"/>
            <w:vAlign w:val="center"/>
            <w:hideMark/>
          </w:tcPr>
          <w:p w:rsidR="00F02666" w:rsidRPr="00C534A9" w:rsidRDefault="00F02666" w:rsidP="00C534A9">
            <w:pPr>
              <w:jc w:val="both"/>
              <w:rPr>
                <w:rFonts w:ascii="Arial" w:hAnsi="Arial" w:cs="Arial"/>
                <w:sz w:val="22"/>
              </w:rPr>
            </w:pPr>
            <w:r w:rsidRPr="00C534A9">
              <w:rPr>
                <w:rFonts w:ascii="Arial" w:hAnsi="Arial" w:cs="Arial"/>
                <w:color w:val="000000"/>
                <w:sz w:val="22"/>
              </w:rPr>
              <w:t xml:space="preserve">$9,192 </w:t>
            </w:r>
          </w:p>
        </w:tc>
      </w:tr>
      <w:tr w:rsidR="00763386" w:rsidRPr="00C534A9" w:rsidTr="00763386">
        <w:trPr>
          <w:trHeight w:val="450"/>
        </w:trPr>
        <w:tc>
          <w:tcPr>
            <w:tcW w:w="2540" w:type="dxa"/>
            <w:hideMark/>
          </w:tcPr>
          <w:p w:rsidR="00763386" w:rsidRPr="00C534A9" w:rsidRDefault="00763386" w:rsidP="00C534A9">
            <w:pPr>
              <w:jc w:val="both"/>
              <w:rPr>
                <w:rFonts w:ascii="Arial" w:hAnsi="Arial" w:cs="Arial"/>
                <w:sz w:val="22"/>
              </w:rPr>
            </w:pPr>
            <w:r w:rsidRPr="00C534A9">
              <w:rPr>
                <w:rFonts w:ascii="Arial" w:hAnsi="Arial" w:cs="Arial"/>
                <w:sz w:val="22"/>
              </w:rPr>
              <w:t>IRR</w:t>
            </w:r>
          </w:p>
        </w:tc>
        <w:tc>
          <w:tcPr>
            <w:tcW w:w="1320" w:type="dxa"/>
            <w:hideMark/>
          </w:tcPr>
          <w:p w:rsidR="00763386" w:rsidRPr="00C534A9" w:rsidRDefault="00F02666" w:rsidP="00C534A9">
            <w:pPr>
              <w:jc w:val="both"/>
              <w:rPr>
                <w:rFonts w:ascii="Arial" w:hAnsi="Arial" w:cs="Arial"/>
                <w:sz w:val="22"/>
              </w:rPr>
            </w:pPr>
            <w:r w:rsidRPr="00C534A9">
              <w:rPr>
                <w:rFonts w:ascii="Arial" w:hAnsi="Arial" w:cs="Arial"/>
                <w:sz w:val="22"/>
              </w:rPr>
              <w:t>27</w:t>
            </w:r>
            <w:r w:rsidR="00763386" w:rsidRPr="00C534A9">
              <w:rPr>
                <w:rFonts w:ascii="Arial" w:hAnsi="Arial" w:cs="Arial"/>
                <w:sz w:val="22"/>
              </w:rPr>
              <w:t>%</w:t>
            </w:r>
          </w:p>
        </w:tc>
      </w:tr>
    </w:tbl>
    <w:p w:rsidR="00763386" w:rsidRPr="00C534A9" w:rsidRDefault="00763386" w:rsidP="00C534A9">
      <w:pPr>
        <w:jc w:val="both"/>
        <w:rPr>
          <w:rFonts w:ascii="Arial" w:hAnsi="Arial" w:cs="Arial"/>
          <w:sz w:val="22"/>
        </w:rPr>
      </w:pPr>
    </w:p>
    <w:p w:rsidR="00E14C8B" w:rsidRPr="00C534A9" w:rsidRDefault="00E14C8B" w:rsidP="00C534A9">
      <w:pPr>
        <w:pStyle w:val="Source"/>
        <w:jc w:val="both"/>
        <w:rPr>
          <w:rFonts w:ascii="Arial" w:hAnsi="Arial" w:cs="Arial"/>
          <w:sz w:val="18"/>
        </w:rPr>
      </w:pPr>
    </w:p>
    <w:p w:rsidR="00E14C8B" w:rsidRPr="00C534A9" w:rsidRDefault="00E14C8B" w:rsidP="00C534A9">
      <w:pPr>
        <w:jc w:val="both"/>
        <w:rPr>
          <w:rFonts w:ascii="Arial" w:hAnsi="Arial" w:cs="Arial"/>
          <w:sz w:val="22"/>
          <w:highlight w:val="yellow"/>
        </w:rPr>
      </w:pPr>
      <w:r w:rsidRPr="00C534A9">
        <w:rPr>
          <w:rFonts w:ascii="Arial" w:hAnsi="Arial" w:cs="Arial"/>
          <w:sz w:val="22"/>
        </w:rPr>
        <w:t xml:space="preserve">A detailed schedule of the annual benefits and costs for </w:t>
      </w:r>
      <w:r w:rsidR="00BD0C1B" w:rsidRPr="00C534A9">
        <w:rPr>
          <w:rFonts w:ascii="Arial" w:hAnsi="Arial" w:cs="Arial"/>
          <w:sz w:val="22"/>
        </w:rPr>
        <w:t>the micro-LNG facility expansion and compressor replacement sub-project</w:t>
      </w:r>
      <w:r w:rsidRPr="00C534A9">
        <w:rPr>
          <w:rFonts w:ascii="Arial" w:hAnsi="Arial" w:cs="Arial"/>
          <w:sz w:val="22"/>
        </w:rPr>
        <w:t xml:space="preserve"> is included in </w:t>
      </w:r>
      <w:r w:rsidR="009D18E2" w:rsidRPr="00C534A9">
        <w:rPr>
          <w:rFonts w:ascii="Arial" w:hAnsi="Arial" w:cs="Arial"/>
          <w:sz w:val="22"/>
        </w:rPr>
        <w:t xml:space="preserve">Appendix </w:t>
      </w:r>
      <w:r w:rsidR="00BA7018" w:rsidRPr="00C534A9">
        <w:rPr>
          <w:rFonts w:ascii="Arial" w:hAnsi="Arial" w:cs="Arial"/>
          <w:sz w:val="22"/>
        </w:rPr>
        <w:t>A</w:t>
      </w:r>
      <w:r w:rsidR="009D18E2" w:rsidRPr="00C534A9">
        <w:rPr>
          <w:rFonts w:ascii="Arial" w:hAnsi="Arial" w:cs="Arial"/>
          <w:sz w:val="22"/>
        </w:rPr>
        <w:t>.</w:t>
      </w:r>
    </w:p>
    <w:p w:rsidR="00E14C8B" w:rsidRPr="00C534A9" w:rsidRDefault="00E14C8B" w:rsidP="00C534A9">
      <w:pPr>
        <w:pStyle w:val="Heading2"/>
        <w:jc w:val="both"/>
        <w:rPr>
          <w:rFonts w:ascii="Arial" w:hAnsi="Arial" w:cs="Arial"/>
          <w:sz w:val="24"/>
        </w:rPr>
      </w:pPr>
      <w:bookmarkStart w:id="65" w:name="_Ref423357314"/>
      <w:bookmarkStart w:id="66" w:name="_Toc423457931"/>
      <w:bookmarkStart w:id="67" w:name="_Toc428351515"/>
      <w:bookmarkStart w:id="68" w:name="_Ref464208096"/>
      <w:bookmarkStart w:id="69" w:name="_Toc423341361"/>
      <w:bookmarkStart w:id="70" w:name="_Toc464551502"/>
      <w:r w:rsidRPr="00C534A9">
        <w:rPr>
          <w:rFonts w:ascii="Arial" w:hAnsi="Arial" w:cs="Arial"/>
          <w:sz w:val="24"/>
        </w:rPr>
        <w:t xml:space="preserve">Sensitivity Analysis of </w:t>
      </w:r>
      <w:bookmarkEnd w:id="65"/>
      <w:bookmarkEnd w:id="66"/>
      <w:bookmarkEnd w:id="67"/>
      <w:r w:rsidR="009D18E2" w:rsidRPr="00C534A9">
        <w:rPr>
          <w:rFonts w:ascii="Arial" w:hAnsi="Arial" w:cs="Arial"/>
          <w:sz w:val="24"/>
        </w:rPr>
        <w:t>micro-LNG expansion and natural gas compressor replacement</w:t>
      </w:r>
      <w:r w:rsidR="00416EE9" w:rsidRPr="00C534A9">
        <w:rPr>
          <w:rFonts w:ascii="Arial" w:hAnsi="Arial" w:cs="Arial"/>
          <w:sz w:val="24"/>
        </w:rPr>
        <w:t xml:space="preserve"> sub-project</w:t>
      </w:r>
      <w:bookmarkEnd w:id="68"/>
      <w:bookmarkEnd w:id="70"/>
    </w:p>
    <w:bookmarkEnd w:id="69"/>
    <w:p w:rsidR="00552328" w:rsidRDefault="009F2643" w:rsidP="00C534A9">
      <w:pPr>
        <w:jc w:val="both"/>
        <w:rPr>
          <w:rFonts w:ascii="Arial" w:hAnsi="Arial" w:cs="Arial"/>
          <w:sz w:val="22"/>
        </w:rPr>
      </w:pPr>
      <w:r w:rsidRPr="00C534A9">
        <w:rPr>
          <w:rFonts w:ascii="Arial" w:hAnsi="Arial" w:cs="Arial"/>
          <w:sz w:val="22"/>
        </w:rPr>
        <w:t>A</w:t>
      </w:r>
      <w:r w:rsidR="00E14C8B" w:rsidRPr="00C534A9">
        <w:rPr>
          <w:rFonts w:ascii="Arial" w:hAnsi="Arial" w:cs="Arial"/>
          <w:sz w:val="22"/>
        </w:rPr>
        <w:t xml:space="preserve"> sensitivity analysis </w:t>
      </w:r>
      <w:r w:rsidRPr="00C534A9">
        <w:rPr>
          <w:rFonts w:ascii="Arial" w:hAnsi="Arial" w:cs="Arial"/>
          <w:sz w:val="22"/>
        </w:rPr>
        <w:t xml:space="preserve">was conducted </w:t>
      </w:r>
      <w:r w:rsidR="00E14C8B" w:rsidRPr="00C534A9">
        <w:rPr>
          <w:rFonts w:ascii="Arial" w:hAnsi="Arial" w:cs="Arial"/>
          <w:sz w:val="22"/>
        </w:rPr>
        <w:t xml:space="preserve">to estimate </w:t>
      </w:r>
      <w:r w:rsidR="00C6431E" w:rsidRPr="00C534A9">
        <w:rPr>
          <w:rFonts w:ascii="Arial" w:hAnsi="Arial" w:cs="Arial"/>
          <w:sz w:val="22"/>
        </w:rPr>
        <w:t xml:space="preserve">how changes in key variables used in the CBA would </w:t>
      </w:r>
      <w:r w:rsidR="00E14C8B" w:rsidRPr="00C534A9">
        <w:rPr>
          <w:rFonts w:ascii="Arial" w:hAnsi="Arial" w:cs="Arial"/>
          <w:sz w:val="22"/>
        </w:rPr>
        <w:t xml:space="preserve">impact the </w:t>
      </w:r>
      <w:r w:rsidR="009D18E2" w:rsidRPr="00C534A9">
        <w:rPr>
          <w:rFonts w:ascii="Arial" w:hAnsi="Arial" w:cs="Arial"/>
          <w:sz w:val="22"/>
        </w:rPr>
        <w:t>sub-project</w:t>
      </w:r>
      <w:r w:rsidR="00C6431E" w:rsidRPr="00C534A9">
        <w:rPr>
          <w:rFonts w:ascii="Arial" w:hAnsi="Arial" w:cs="Arial"/>
          <w:sz w:val="22"/>
        </w:rPr>
        <w:t>’s estimated</w:t>
      </w:r>
      <w:r w:rsidR="00E14C8B" w:rsidRPr="00C534A9">
        <w:rPr>
          <w:rFonts w:ascii="Arial" w:hAnsi="Arial" w:cs="Arial"/>
          <w:sz w:val="22"/>
        </w:rPr>
        <w:t xml:space="preserve"> economic viability. The independent variables included in </w:t>
      </w:r>
      <w:r w:rsidR="00C6431E" w:rsidRPr="00C534A9">
        <w:rPr>
          <w:rFonts w:ascii="Arial" w:hAnsi="Arial" w:cs="Arial"/>
          <w:sz w:val="22"/>
        </w:rPr>
        <w:t>the</w:t>
      </w:r>
      <w:r w:rsidR="00E14C8B" w:rsidRPr="00C534A9">
        <w:rPr>
          <w:rFonts w:ascii="Arial" w:hAnsi="Arial" w:cs="Arial"/>
          <w:sz w:val="22"/>
        </w:rPr>
        <w:t xml:space="preserve"> sensitivity analysis are </w:t>
      </w:r>
      <w:r w:rsidR="009D18E2" w:rsidRPr="00C534A9">
        <w:rPr>
          <w:rFonts w:ascii="Arial" w:hAnsi="Arial" w:cs="Arial"/>
          <w:sz w:val="22"/>
        </w:rPr>
        <w:t>the price of oil, the price of natural gas, and the price of CO2</w:t>
      </w:r>
      <w:r w:rsidR="00E14C8B" w:rsidRPr="00C534A9">
        <w:rPr>
          <w:rFonts w:ascii="Arial" w:hAnsi="Arial" w:cs="Arial"/>
          <w:sz w:val="22"/>
        </w:rPr>
        <w:t xml:space="preserve">. </w:t>
      </w:r>
      <w:r w:rsidRPr="00C534A9">
        <w:rPr>
          <w:rFonts w:ascii="Arial" w:hAnsi="Arial" w:cs="Arial"/>
          <w:sz w:val="22"/>
        </w:rPr>
        <w:t>T</w:t>
      </w:r>
      <w:r w:rsidR="00E14C8B" w:rsidRPr="00C534A9">
        <w:rPr>
          <w:rFonts w:ascii="Arial" w:hAnsi="Arial" w:cs="Arial"/>
          <w:sz w:val="22"/>
        </w:rPr>
        <w:t xml:space="preserve">hese variables </w:t>
      </w:r>
      <w:r w:rsidRPr="00C534A9">
        <w:rPr>
          <w:rFonts w:ascii="Arial" w:hAnsi="Arial" w:cs="Arial"/>
          <w:sz w:val="22"/>
        </w:rPr>
        <w:t xml:space="preserve">were selected </w:t>
      </w:r>
      <w:r w:rsidR="00E14C8B" w:rsidRPr="00C534A9">
        <w:rPr>
          <w:rFonts w:ascii="Arial" w:hAnsi="Arial" w:cs="Arial"/>
          <w:sz w:val="22"/>
        </w:rPr>
        <w:t xml:space="preserve">based on the likelihood that </w:t>
      </w:r>
      <w:r w:rsidR="00C6431E" w:rsidRPr="00C534A9">
        <w:rPr>
          <w:rFonts w:ascii="Arial" w:hAnsi="Arial" w:cs="Arial"/>
          <w:sz w:val="22"/>
        </w:rPr>
        <w:t>they</w:t>
      </w:r>
      <w:r w:rsidR="00E14C8B" w:rsidRPr="00C534A9">
        <w:rPr>
          <w:rFonts w:ascii="Arial" w:hAnsi="Arial" w:cs="Arial"/>
          <w:sz w:val="22"/>
        </w:rPr>
        <w:t xml:space="preserve"> could change and </w:t>
      </w:r>
      <w:r w:rsidR="00A761A9" w:rsidRPr="00C534A9">
        <w:rPr>
          <w:rFonts w:ascii="Arial" w:hAnsi="Arial" w:cs="Arial"/>
          <w:sz w:val="22"/>
        </w:rPr>
        <w:t xml:space="preserve">they could have a material impact on the </w:t>
      </w:r>
      <w:r w:rsidR="009D18E2" w:rsidRPr="00C534A9">
        <w:rPr>
          <w:rFonts w:ascii="Arial" w:hAnsi="Arial" w:cs="Arial"/>
          <w:sz w:val="22"/>
        </w:rPr>
        <w:t>sub-project</w:t>
      </w:r>
      <w:r w:rsidR="00A761A9" w:rsidRPr="00C534A9">
        <w:rPr>
          <w:rFonts w:ascii="Arial" w:hAnsi="Arial" w:cs="Arial"/>
          <w:sz w:val="22"/>
        </w:rPr>
        <w:t>’s economic viability if</w:t>
      </w:r>
      <w:r w:rsidR="00E14C8B" w:rsidRPr="00C534A9">
        <w:rPr>
          <w:rFonts w:ascii="Arial" w:hAnsi="Arial" w:cs="Arial"/>
          <w:sz w:val="22"/>
        </w:rPr>
        <w:t xml:space="preserve"> they did change.</w:t>
      </w:r>
    </w:p>
    <w:p w:rsidR="00552328" w:rsidRPr="00552328" w:rsidRDefault="00552328" w:rsidP="00552328">
      <w:pPr>
        <w:jc w:val="both"/>
        <w:rPr>
          <w:rFonts w:ascii="Arial" w:hAnsi="Arial" w:cs="Arial"/>
          <w:sz w:val="22"/>
        </w:rPr>
      </w:pPr>
      <w:r>
        <w:rPr>
          <w:rFonts w:ascii="Arial" w:hAnsi="Arial" w:cs="Arial"/>
          <w:sz w:val="22"/>
        </w:rPr>
        <w:t>T</w:t>
      </w:r>
      <w:r w:rsidRPr="00C534A9">
        <w:rPr>
          <w:rFonts w:ascii="Arial" w:hAnsi="Arial" w:cs="Arial"/>
          <w:sz w:val="22"/>
        </w:rPr>
        <w:t xml:space="preserve">he </w:t>
      </w:r>
      <w:r>
        <w:rPr>
          <w:rFonts w:ascii="Arial" w:hAnsi="Arial" w:cs="Arial"/>
          <w:sz w:val="22"/>
        </w:rPr>
        <w:t xml:space="preserve">sensitivity to variations in the </w:t>
      </w:r>
      <w:r w:rsidRPr="00C534A9">
        <w:rPr>
          <w:rFonts w:ascii="Arial" w:hAnsi="Arial" w:cs="Arial"/>
          <w:sz w:val="22"/>
        </w:rPr>
        <w:t>price of oil</w:t>
      </w:r>
      <w:r>
        <w:rPr>
          <w:rFonts w:ascii="Arial" w:hAnsi="Arial" w:cs="Arial"/>
          <w:sz w:val="22"/>
        </w:rPr>
        <w:t xml:space="preserve"> and</w:t>
      </w:r>
      <w:r w:rsidRPr="00C534A9">
        <w:rPr>
          <w:rFonts w:ascii="Arial" w:hAnsi="Arial" w:cs="Arial"/>
          <w:sz w:val="22"/>
        </w:rPr>
        <w:t xml:space="preserve"> the price of natural gas</w:t>
      </w:r>
      <w:r>
        <w:rPr>
          <w:rFonts w:ascii="Arial" w:hAnsi="Arial" w:cs="Arial"/>
          <w:sz w:val="22"/>
        </w:rPr>
        <w:t xml:space="preserve">, however, was analyzed in tandem. That is, instead of analyzing each separately, variations in those variables were considered simultaneously. </w:t>
      </w:r>
      <w:r w:rsidRPr="00552328">
        <w:rPr>
          <w:rFonts w:ascii="Arial" w:hAnsi="Arial" w:cs="Arial"/>
          <w:sz w:val="22"/>
        </w:rPr>
        <w:t xml:space="preserve">North American natural gas and crude oil prices are influenced by many common factors, including economic growth and investment in hydrocarbon exploration. Because a large share of natural gas production is in the form of associated gas (that is, it is produced alongside crude oil from the same resource), natural gas production can be directly influenced by crude oil prices and investment in crude production. In addition, the two fuels are interchangeable for many applications. For example, both natural gas and crude oil can be used as a feedstock for petrochemical production. As a result, any wide disparity in crude oil and natural gas prices would tend to self-correct as interchangeable demand shifts toward the lower cost option. </w:t>
      </w:r>
    </w:p>
    <w:p w:rsidR="00E14C8B" w:rsidRPr="00C534A9" w:rsidRDefault="00552328" w:rsidP="00552328">
      <w:pPr>
        <w:jc w:val="both"/>
        <w:rPr>
          <w:rFonts w:ascii="Arial" w:hAnsi="Arial" w:cs="Arial"/>
          <w:sz w:val="22"/>
        </w:rPr>
      </w:pPr>
      <w:r w:rsidRPr="00552328">
        <w:rPr>
          <w:rFonts w:ascii="Arial" w:hAnsi="Arial" w:cs="Arial"/>
          <w:sz w:val="22"/>
        </w:rPr>
        <w:t>For these reasons, the EIA's crude oil and natural gas price projections are linked to demonstrate the impact of the common assumptions that are inherent in each price scenario.  Comparing crude oil prices from one scenario with natural gas prices from a different scenario could give a distorted view, as key assumptions that result in the price outlook for one will be different in the other.</w:t>
      </w:r>
    </w:p>
    <w:p w:rsidR="00E14C8B" w:rsidRPr="00C534A9" w:rsidRDefault="009F2643" w:rsidP="00C534A9">
      <w:pPr>
        <w:jc w:val="both"/>
        <w:rPr>
          <w:rFonts w:ascii="Arial" w:hAnsi="Arial" w:cs="Arial"/>
          <w:sz w:val="22"/>
        </w:rPr>
      </w:pPr>
      <w:r w:rsidRPr="00C534A9">
        <w:rPr>
          <w:rFonts w:ascii="Arial" w:hAnsi="Arial" w:cs="Arial"/>
          <w:sz w:val="22"/>
        </w:rPr>
        <w:t>The</w:t>
      </w:r>
      <w:r w:rsidR="00E14C8B" w:rsidRPr="00C534A9">
        <w:rPr>
          <w:rFonts w:ascii="Arial" w:hAnsi="Arial" w:cs="Arial"/>
          <w:sz w:val="22"/>
        </w:rPr>
        <w:t xml:space="preserve"> projects remain economically viable when the key variables change to extreme values. </w:t>
      </w:r>
      <w:r w:rsidR="00BA7018" w:rsidRPr="00C534A9">
        <w:rPr>
          <w:rFonts w:ascii="Arial" w:hAnsi="Arial" w:cs="Arial"/>
          <w:sz w:val="22"/>
        </w:rPr>
        <w:t>Changes in the price of fuel oil</w:t>
      </w:r>
      <w:r w:rsidR="00FD62D2" w:rsidRPr="00C534A9">
        <w:rPr>
          <w:rFonts w:ascii="Arial" w:hAnsi="Arial" w:cs="Arial"/>
          <w:sz w:val="22"/>
        </w:rPr>
        <w:t xml:space="preserve"> and natural gas </w:t>
      </w:r>
      <w:r w:rsidR="00997A64" w:rsidRPr="00C534A9">
        <w:rPr>
          <w:rFonts w:ascii="Arial" w:hAnsi="Arial" w:cs="Arial"/>
          <w:sz w:val="22"/>
        </w:rPr>
        <w:t xml:space="preserve">were </w:t>
      </w:r>
      <w:r w:rsidR="00BA7018" w:rsidRPr="00C534A9">
        <w:rPr>
          <w:rFonts w:ascii="Arial" w:hAnsi="Arial" w:cs="Arial"/>
          <w:sz w:val="22"/>
        </w:rPr>
        <w:t>found to have the greatest impact on the project, while variations in the price of CO2 had relatively little impact</w:t>
      </w:r>
      <w:r w:rsidR="001E033E" w:rsidRPr="00C534A9">
        <w:rPr>
          <w:rFonts w:ascii="Arial" w:hAnsi="Arial" w:cs="Arial"/>
          <w:sz w:val="22"/>
        </w:rPr>
        <w:t>.</w:t>
      </w:r>
      <w:r w:rsidR="00E14C8B" w:rsidRPr="00C534A9">
        <w:rPr>
          <w:rFonts w:ascii="Arial" w:hAnsi="Arial" w:cs="Arial"/>
          <w:sz w:val="22"/>
        </w:rPr>
        <w:t xml:space="preserve"> </w:t>
      </w:r>
      <w:r w:rsidRPr="00C534A9">
        <w:rPr>
          <w:rFonts w:ascii="Arial" w:hAnsi="Arial" w:cs="Arial"/>
          <w:sz w:val="22"/>
        </w:rPr>
        <w:t>T</w:t>
      </w:r>
      <w:r w:rsidR="00E14C8B" w:rsidRPr="00C534A9">
        <w:rPr>
          <w:rFonts w:ascii="Arial" w:hAnsi="Arial" w:cs="Arial"/>
          <w:sz w:val="22"/>
        </w:rPr>
        <w:t>his section discuss</w:t>
      </w:r>
      <w:r w:rsidRPr="00C534A9">
        <w:rPr>
          <w:rFonts w:ascii="Arial" w:hAnsi="Arial" w:cs="Arial"/>
          <w:sz w:val="22"/>
        </w:rPr>
        <w:t>es</w:t>
      </w:r>
      <w:r w:rsidR="00E14C8B" w:rsidRPr="00C534A9">
        <w:rPr>
          <w:rFonts w:ascii="Arial" w:hAnsi="Arial" w:cs="Arial"/>
          <w:sz w:val="22"/>
        </w:rPr>
        <w:t xml:space="preserve"> in more detail the effects of:</w:t>
      </w:r>
    </w:p>
    <w:p w:rsidR="00E14C8B" w:rsidRPr="00C534A9" w:rsidRDefault="00477C13" w:rsidP="00C534A9">
      <w:pPr>
        <w:pStyle w:val="ListParagraph"/>
        <w:numPr>
          <w:ilvl w:val="0"/>
          <w:numId w:val="32"/>
        </w:numPr>
        <w:jc w:val="both"/>
        <w:rPr>
          <w:rFonts w:ascii="Arial" w:eastAsia="Arial" w:hAnsi="Arial" w:cs="Arial"/>
          <w:sz w:val="22"/>
        </w:rPr>
      </w:pPr>
      <w:r w:rsidRPr="00C534A9">
        <w:rPr>
          <w:rFonts w:ascii="Arial" w:hAnsi="Arial" w:cs="Arial"/>
          <w:sz w:val="22"/>
        </w:rPr>
        <w:t>a high oil and natural gas price scenario</w:t>
      </w:r>
    </w:p>
    <w:p w:rsidR="005A265C" w:rsidRPr="00C534A9" w:rsidRDefault="00477C13" w:rsidP="00C534A9">
      <w:pPr>
        <w:pStyle w:val="ListParagraph"/>
        <w:numPr>
          <w:ilvl w:val="0"/>
          <w:numId w:val="32"/>
        </w:numPr>
        <w:jc w:val="both"/>
        <w:rPr>
          <w:rFonts w:ascii="Arial" w:eastAsia="Arial" w:hAnsi="Arial" w:cs="Arial"/>
          <w:sz w:val="22"/>
        </w:rPr>
      </w:pPr>
      <w:r w:rsidRPr="00C534A9">
        <w:rPr>
          <w:rFonts w:ascii="Arial" w:hAnsi="Arial" w:cs="Arial"/>
          <w:sz w:val="22"/>
        </w:rPr>
        <w:t>a low oil and natural gas price scenario</w:t>
      </w:r>
    </w:p>
    <w:p w:rsidR="005A59D4" w:rsidRPr="00D132E2" w:rsidRDefault="001E033E" w:rsidP="00C534A9">
      <w:pPr>
        <w:pStyle w:val="ListParagraph"/>
        <w:numPr>
          <w:ilvl w:val="0"/>
          <w:numId w:val="32"/>
        </w:numPr>
        <w:jc w:val="both"/>
        <w:rPr>
          <w:rFonts w:ascii="Arial" w:eastAsia="Arial" w:hAnsi="Arial" w:cs="Arial"/>
          <w:sz w:val="22"/>
        </w:rPr>
      </w:pPr>
      <w:r w:rsidRPr="00C534A9">
        <w:rPr>
          <w:rFonts w:ascii="Arial" w:hAnsi="Arial" w:cs="Arial"/>
          <w:sz w:val="22"/>
        </w:rPr>
        <w:t>Changing the price of CO2</w:t>
      </w:r>
    </w:p>
    <w:p w:rsidR="00E14C8B" w:rsidRPr="00C534A9" w:rsidRDefault="00E14C8B" w:rsidP="00C534A9">
      <w:pPr>
        <w:jc w:val="both"/>
        <w:rPr>
          <w:rFonts w:ascii="Arial" w:hAnsi="Arial" w:cs="Arial"/>
          <w:sz w:val="22"/>
        </w:rPr>
      </w:pPr>
      <w:r w:rsidRPr="00C534A9">
        <w:rPr>
          <w:rFonts w:ascii="Arial" w:hAnsi="Arial" w:cs="Arial"/>
          <w:sz w:val="22"/>
        </w:rPr>
        <w:fldChar w:fldCharType="begin"/>
      </w:r>
      <w:r w:rsidRPr="00C534A9">
        <w:rPr>
          <w:rFonts w:ascii="Arial" w:hAnsi="Arial" w:cs="Arial"/>
          <w:sz w:val="22"/>
        </w:rPr>
        <w:instrText xml:space="preserve"> REF _Ref423452859 \h  \* MERGEFORMAT </w:instrText>
      </w:r>
      <w:r w:rsidRPr="00C534A9">
        <w:rPr>
          <w:rFonts w:ascii="Arial" w:hAnsi="Arial" w:cs="Arial"/>
          <w:sz w:val="22"/>
        </w:rPr>
      </w:r>
      <w:r w:rsidRPr="00C534A9">
        <w:rPr>
          <w:rFonts w:ascii="Arial" w:hAnsi="Arial" w:cs="Arial"/>
          <w:sz w:val="22"/>
        </w:rPr>
        <w:fldChar w:fldCharType="separate"/>
      </w:r>
      <w:r w:rsidR="003F3D75" w:rsidRPr="00C534A9">
        <w:rPr>
          <w:rFonts w:ascii="Arial" w:hAnsi="Arial" w:cs="Arial"/>
          <w:sz w:val="22"/>
        </w:rPr>
        <w:t xml:space="preserve">Table </w:t>
      </w:r>
      <w:r w:rsidR="003F3D75" w:rsidRPr="00C534A9">
        <w:rPr>
          <w:rFonts w:ascii="Arial" w:hAnsi="Arial" w:cs="Arial"/>
          <w:noProof/>
          <w:sz w:val="22"/>
        </w:rPr>
        <w:t>3.3</w:t>
      </w:r>
      <w:r w:rsidRPr="00C534A9">
        <w:rPr>
          <w:rFonts w:ascii="Arial" w:hAnsi="Arial" w:cs="Arial"/>
          <w:sz w:val="22"/>
        </w:rPr>
        <w:fldChar w:fldCharType="end"/>
      </w:r>
      <w:r w:rsidRPr="00C534A9">
        <w:rPr>
          <w:rFonts w:ascii="Arial" w:hAnsi="Arial" w:cs="Arial"/>
          <w:sz w:val="22"/>
        </w:rPr>
        <w:t xml:space="preserve"> presents the results of changing </w:t>
      </w:r>
      <w:r w:rsidR="009D18E2" w:rsidRPr="00C534A9">
        <w:rPr>
          <w:rFonts w:ascii="Arial" w:hAnsi="Arial" w:cs="Arial"/>
          <w:sz w:val="22"/>
        </w:rPr>
        <w:t>the price of oil</w:t>
      </w:r>
      <w:r w:rsidR="00FD62D2" w:rsidRPr="00C534A9">
        <w:rPr>
          <w:rFonts w:ascii="Arial" w:hAnsi="Arial" w:cs="Arial"/>
          <w:sz w:val="22"/>
        </w:rPr>
        <w:t xml:space="preserve"> and natural gas</w:t>
      </w:r>
      <w:r w:rsidRPr="00C534A9">
        <w:rPr>
          <w:rFonts w:ascii="Arial" w:hAnsi="Arial" w:cs="Arial"/>
          <w:sz w:val="22"/>
        </w:rPr>
        <w:t xml:space="preserve">. </w:t>
      </w:r>
      <w:r w:rsidR="009F2643" w:rsidRPr="00C534A9">
        <w:rPr>
          <w:rFonts w:ascii="Arial" w:hAnsi="Arial" w:cs="Arial"/>
          <w:sz w:val="22"/>
        </w:rPr>
        <w:t xml:space="preserve">The table </w:t>
      </w:r>
      <w:r w:rsidRPr="00C534A9">
        <w:rPr>
          <w:rFonts w:ascii="Arial" w:hAnsi="Arial" w:cs="Arial"/>
          <w:sz w:val="22"/>
        </w:rPr>
        <w:t>present</w:t>
      </w:r>
      <w:r w:rsidR="009F2643" w:rsidRPr="00C534A9">
        <w:rPr>
          <w:rFonts w:ascii="Arial" w:hAnsi="Arial" w:cs="Arial"/>
          <w:sz w:val="22"/>
        </w:rPr>
        <w:t>s</w:t>
      </w:r>
      <w:r w:rsidRPr="00C534A9">
        <w:rPr>
          <w:rFonts w:ascii="Arial" w:hAnsi="Arial" w:cs="Arial"/>
          <w:sz w:val="22"/>
        </w:rPr>
        <w:t xml:space="preserve"> the </w:t>
      </w:r>
      <w:r w:rsidR="00A761A9" w:rsidRPr="00C534A9">
        <w:rPr>
          <w:rFonts w:ascii="Arial" w:hAnsi="Arial" w:cs="Arial"/>
          <w:sz w:val="22"/>
        </w:rPr>
        <w:t>present value</w:t>
      </w:r>
      <w:r w:rsidRPr="00C534A9">
        <w:rPr>
          <w:rFonts w:ascii="Arial" w:hAnsi="Arial" w:cs="Arial"/>
          <w:sz w:val="22"/>
        </w:rPr>
        <w:t xml:space="preserve"> of the costs, benefits, and net benefits of </w:t>
      </w:r>
      <w:r w:rsidR="009D18E2" w:rsidRPr="00C534A9">
        <w:rPr>
          <w:rFonts w:ascii="Arial" w:hAnsi="Arial" w:cs="Arial"/>
          <w:sz w:val="22"/>
        </w:rPr>
        <w:t>the micro-LNG expansion and natural gas compressor replacement</w:t>
      </w:r>
      <w:r w:rsidRPr="00C534A9">
        <w:rPr>
          <w:rFonts w:ascii="Arial" w:hAnsi="Arial" w:cs="Arial"/>
          <w:sz w:val="22"/>
        </w:rPr>
        <w:t xml:space="preserve"> for a high case </w:t>
      </w:r>
      <w:r w:rsidR="00FD62D2" w:rsidRPr="00C534A9">
        <w:rPr>
          <w:rFonts w:ascii="Arial" w:hAnsi="Arial" w:cs="Arial"/>
          <w:sz w:val="22"/>
        </w:rPr>
        <w:t xml:space="preserve">(under the EIA </w:t>
      </w:r>
      <w:r w:rsidR="00D67CE0" w:rsidRPr="00C534A9">
        <w:rPr>
          <w:rFonts w:ascii="Arial" w:hAnsi="Arial" w:cs="Arial"/>
          <w:sz w:val="22"/>
        </w:rPr>
        <w:t>2015</w:t>
      </w:r>
      <w:r w:rsidR="00FD62D2" w:rsidRPr="00C534A9">
        <w:rPr>
          <w:rFonts w:ascii="Arial" w:hAnsi="Arial" w:cs="Arial"/>
          <w:sz w:val="22"/>
        </w:rPr>
        <w:t xml:space="preserve"> AEO High Oil Price projection) and low case (under the EIA </w:t>
      </w:r>
      <w:r w:rsidR="00D67CE0" w:rsidRPr="00C534A9">
        <w:rPr>
          <w:rFonts w:ascii="Arial" w:hAnsi="Arial" w:cs="Arial"/>
          <w:sz w:val="22"/>
        </w:rPr>
        <w:t>2015</w:t>
      </w:r>
      <w:r w:rsidR="00FD62D2" w:rsidRPr="00C534A9">
        <w:rPr>
          <w:rFonts w:ascii="Arial" w:hAnsi="Arial" w:cs="Arial"/>
          <w:sz w:val="22"/>
        </w:rPr>
        <w:t xml:space="preserve"> AEO Low Oil Price projection) as well as the base case (annual oil price projections are based on the EIA </w:t>
      </w:r>
      <w:r w:rsidR="00D67CE0" w:rsidRPr="00C534A9">
        <w:rPr>
          <w:rFonts w:ascii="Arial" w:hAnsi="Arial" w:cs="Arial"/>
          <w:sz w:val="22"/>
        </w:rPr>
        <w:t>2015</w:t>
      </w:r>
      <w:r w:rsidR="00FD62D2" w:rsidRPr="00C534A9">
        <w:rPr>
          <w:rFonts w:ascii="Arial" w:hAnsi="Arial" w:cs="Arial"/>
          <w:sz w:val="22"/>
        </w:rPr>
        <w:t xml:space="preserve"> Reference Case price projection</w:t>
      </w:r>
      <w:proofErr w:type="gramStart"/>
      <w:r w:rsidR="00FD62D2" w:rsidRPr="00C534A9">
        <w:rPr>
          <w:rFonts w:ascii="Arial" w:hAnsi="Arial" w:cs="Arial"/>
          <w:sz w:val="22"/>
        </w:rPr>
        <w:t>)</w:t>
      </w:r>
      <w:r w:rsidR="00D67CE0" w:rsidRPr="00C534A9">
        <w:rPr>
          <w:rFonts w:ascii="Arial" w:hAnsi="Arial" w:cs="Arial"/>
          <w:sz w:val="22"/>
        </w:rPr>
        <w:t>2015</w:t>
      </w:r>
      <w:proofErr w:type="gramEnd"/>
      <w:r w:rsidRPr="00C534A9">
        <w:rPr>
          <w:rFonts w:ascii="Arial" w:hAnsi="Arial" w:cs="Arial"/>
          <w:sz w:val="22"/>
        </w:rPr>
        <w:t xml:space="preserve">. The table shows that even </w:t>
      </w:r>
      <w:r w:rsidR="00FD62D2" w:rsidRPr="00C534A9">
        <w:rPr>
          <w:rFonts w:ascii="Arial" w:hAnsi="Arial" w:cs="Arial"/>
          <w:sz w:val="22"/>
        </w:rPr>
        <w:t>under the Low Oil Price scenario</w:t>
      </w:r>
      <w:r w:rsidRPr="00C534A9">
        <w:rPr>
          <w:rFonts w:ascii="Arial" w:hAnsi="Arial" w:cs="Arial"/>
          <w:sz w:val="22"/>
        </w:rPr>
        <w:t xml:space="preserve"> </w:t>
      </w:r>
      <w:r w:rsidR="00A761A9" w:rsidRPr="00C534A9">
        <w:rPr>
          <w:rFonts w:ascii="Arial" w:hAnsi="Arial" w:cs="Arial"/>
          <w:sz w:val="22"/>
        </w:rPr>
        <w:t xml:space="preserve">the </w:t>
      </w:r>
      <w:r w:rsidR="009D18E2" w:rsidRPr="00C534A9">
        <w:rPr>
          <w:rFonts w:ascii="Arial" w:hAnsi="Arial" w:cs="Arial"/>
          <w:sz w:val="22"/>
        </w:rPr>
        <w:t>sub-project</w:t>
      </w:r>
      <w:r w:rsidRPr="00C534A9">
        <w:rPr>
          <w:rFonts w:ascii="Arial" w:hAnsi="Arial" w:cs="Arial"/>
          <w:sz w:val="22"/>
        </w:rPr>
        <w:t xml:space="preserve"> remain</w:t>
      </w:r>
      <w:r w:rsidR="00A761A9" w:rsidRPr="00C534A9">
        <w:rPr>
          <w:rFonts w:ascii="Arial" w:hAnsi="Arial" w:cs="Arial"/>
          <w:sz w:val="22"/>
        </w:rPr>
        <w:t>s</w:t>
      </w:r>
      <w:r w:rsidRPr="00C534A9">
        <w:rPr>
          <w:rFonts w:ascii="Arial" w:hAnsi="Arial" w:cs="Arial"/>
          <w:sz w:val="22"/>
        </w:rPr>
        <w:t xml:space="preserve"> economically viable, with an aggregate NPV of US$</w:t>
      </w:r>
      <w:r w:rsidR="00F02666" w:rsidRPr="00C534A9">
        <w:rPr>
          <w:rFonts w:ascii="Arial" w:hAnsi="Arial" w:cs="Arial"/>
          <w:sz w:val="22"/>
        </w:rPr>
        <w:t>7.2</w:t>
      </w:r>
      <w:r w:rsidR="0051652C" w:rsidRPr="00C534A9">
        <w:rPr>
          <w:rFonts w:ascii="Arial" w:hAnsi="Arial" w:cs="Arial"/>
          <w:sz w:val="22"/>
        </w:rPr>
        <w:t xml:space="preserve"> </w:t>
      </w:r>
      <w:r w:rsidRPr="00C534A9">
        <w:rPr>
          <w:rFonts w:ascii="Arial" w:hAnsi="Arial" w:cs="Arial"/>
          <w:sz w:val="22"/>
        </w:rPr>
        <w:t xml:space="preserve">million. In the high </w:t>
      </w:r>
      <w:r w:rsidR="009D18E2" w:rsidRPr="00C534A9">
        <w:rPr>
          <w:rFonts w:ascii="Arial" w:hAnsi="Arial" w:cs="Arial"/>
          <w:sz w:val="22"/>
        </w:rPr>
        <w:t>oil price</w:t>
      </w:r>
      <w:r w:rsidRPr="00C534A9">
        <w:rPr>
          <w:rFonts w:ascii="Arial" w:hAnsi="Arial" w:cs="Arial"/>
          <w:sz w:val="22"/>
        </w:rPr>
        <w:t xml:space="preserve"> scenario, the aggregate NPV increases to US$</w:t>
      </w:r>
      <w:r w:rsidR="00F02666" w:rsidRPr="00C534A9">
        <w:rPr>
          <w:rFonts w:ascii="Arial" w:hAnsi="Arial" w:cs="Arial"/>
          <w:sz w:val="22"/>
        </w:rPr>
        <w:t>12.8</w:t>
      </w:r>
      <w:r w:rsidR="00A761A9" w:rsidRPr="00C534A9">
        <w:rPr>
          <w:rFonts w:ascii="Arial" w:hAnsi="Arial" w:cs="Arial"/>
          <w:sz w:val="22"/>
        </w:rPr>
        <w:t xml:space="preserve"> </w:t>
      </w:r>
      <w:r w:rsidRPr="00C534A9">
        <w:rPr>
          <w:rFonts w:ascii="Arial" w:hAnsi="Arial" w:cs="Arial"/>
          <w:sz w:val="22"/>
        </w:rPr>
        <w:t>million.</w:t>
      </w:r>
    </w:p>
    <w:p w:rsidR="00E14C8B" w:rsidRPr="00C534A9" w:rsidRDefault="00E14C8B" w:rsidP="00C534A9">
      <w:pPr>
        <w:pStyle w:val="Caption"/>
        <w:jc w:val="both"/>
        <w:rPr>
          <w:rFonts w:ascii="Arial" w:hAnsi="Arial" w:cs="Arial"/>
          <w:sz w:val="22"/>
        </w:rPr>
      </w:pPr>
      <w:bookmarkStart w:id="71" w:name="_Ref423452859"/>
      <w:bookmarkStart w:id="72" w:name="_Toc423457905"/>
      <w:bookmarkStart w:id="73" w:name="_Toc428351531"/>
      <w:bookmarkStart w:id="74" w:name="_Toc463508481"/>
      <w:bookmarkStart w:id="75" w:name="_Toc463508970"/>
      <w:proofErr w:type="gramStart"/>
      <w:r w:rsidRPr="00C534A9">
        <w:rPr>
          <w:rFonts w:ascii="Arial" w:hAnsi="Arial" w:cs="Arial"/>
          <w:sz w:val="22"/>
        </w:rPr>
        <w:t xml:space="preserve">Table </w:t>
      </w:r>
      <w:r w:rsidR="007D6B36" w:rsidRPr="00C534A9">
        <w:rPr>
          <w:rFonts w:ascii="Arial" w:hAnsi="Arial" w:cs="Arial"/>
          <w:sz w:val="22"/>
        </w:rPr>
        <w:fldChar w:fldCharType="begin"/>
      </w:r>
      <w:r w:rsidR="007D6B36" w:rsidRPr="00C534A9">
        <w:rPr>
          <w:rFonts w:ascii="Arial" w:hAnsi="Arial" w:cs="Arial"/>
          <w:sz w:val="22"/>
        </w:rPr>
        <w:instrText xml:space="preserve"> STYLEREF 1 \s </w:instrText>
      </w:r>
      <w:r w:rsidR="007D6B36" w:rsidRPr="00C534A9">
        <w:rPr>
          <w:rFonts w:ascii="Arial" w:hAnsi="Arial" w:cs="Arial"/>
          <w:sz w:val="22"/>
        </w:rPr>
        <w:fldChar w:fldCharType="separate"/>
      </w:r>
      <w:r w:rsidR="003F3D75" w:rsidRPr="00C534A9">
        <w:rPr>
          <w:rFonts w:ascii="Arial" w:hAnsi="Arial" w:cs="Arial"/>
          <w:noProof/>
          <w:sz w:val="22"/>
        </w:rPr>
        <w:t>3</w:t>
      </w:r>
      <w:r w:rsidR="007D6B36" w:rsidRPr="00C534A9">
        <w:rPr>
          <w:rFonts w:ascii="Arial" w:hAnsi="Arial" w:cs="Arial"/>
          <w:noProof/>
          <w:sz w:val="22"/>
        </w:rPr>
        <w:fldChar w:fldCharType="end"/>
      </w:r>
      <w:r w:rsidRPr="00C534A9">
        <w:rPr>
          <w:rFonts w:ascii="Arial" w:hAnsi="Arial" w:cs="Arial"/>
          <w:sz w:val="22"/>
        </w:rPr>
        <w:t>.</w:t>
      </w:r>
      <w:proofErr w:type="gramEnd"/>
      <w:r w:rsidR="003343DE" w:rsidRPr="00C534A9">
        <w:rPr>
          <w:rFonts w:ascii="Arial" w:hAnsi="Arial" w:cs="Arial"/>
          <w:sz w:val="22"/>
        </w:rPr>
        <w:fldChar w:fldCharType="begin"/>
      </w:r>
      <w:r w:rsidR="003343DE" w:rsidRPr="00C534A9">
        <w:rPr>
          <w:rFonts w:ascii="Arial" w:hAnsi="Arial" w:cs="Arial"/>
          <w:sz w:val="22"/>
        </w:rPr>
        <w:instrText xml:space="preserve"> SEQ Table \* ARABIC \s 1 </w:instrText>
      </w:r>
      <w:r w:rsidR="003343DE" w:rsidRPr="00C534A9">
        <w:rPr>
          <w:rFonts w:ascii="Arial" w:hAnsi="Arial" w:cs="Arial"/>
          <w:sz w:val="22"/>
        </w:rPr>
        <w:fldChar w:fldCharType="separate"/>
      </w:r>
      <w:r w:rsidR="003F3D75" w:rsidRPr="00C534A9">
        <w:rPr>
          <w:rFonts w:ascii="Arial" w:hAnsi="Arial" w:cs="Arial"/>
          <w:noProof/>
          <w:sz w:val="22"/>
        </w:rPr>
        <w:t>3</w:t>
      </w:r>
      <w:r w:rsidR="003343DE" w:rsidRPr="00C534A9">
        <w:rPr>
          <w:rFonts w:ascii="Arial" w:hAnsi="Arial" w:cs="Arial"/>
          <w:noProof/>
          <w:sz w:val="22"/>
        </w:rPr>
        <w:fldChar w:fldCharType="end"/>
      </w:r>
      <w:bookmarkEnd w:id="71"/>
      <w:r w:rsidRPr="00C534A9">
        <w:rPr>
          <w:rFonts w:ascii="Arial" w:hAnsi="Arial" w:cs="Arial"/>
          <w:sz w:val="22"/>
        </w:rPr>
        <w:t xml:space="preserve">: CBA Sensitivity to </w:t>
      </w:r>
      <w:bookmarkEnd w:id="72"/>
      <w:bookmarkEnd w:id="73"/>
      <w:r w:rsidR="009D18E2" w:rsidRPr="00C534A9">
        <w:rPr>
          <w:rFonts w:ascii="Arial" w:hAnsi="Arial" w:cs="Arial"/>
          <w:sz w:val="22"/>
        </w:rPr>
        <w:t xml:space="preserve">oil </w:t>
      </w:r>
      <w:r w:rsidR="00FD62D2" w:rsidRPr="00C534A9">
        <w:rPr>
          <w:rFonts w:ascii="Arial" w:hAnsi="Arial" w:cs="Arial"/>
          <w:sz w:val="22"/>
        </w:rPr>
        <w:t xml:space="preserve">and natural gas </w:t>
      </w:r>
      <w:r w:rsidR="009D18E2" w:rsidRPr="00C534A9">
        <w:rPr>
          <w:rFonts w:ascii="Arial" w:hAnsi="Arial" w:cs="Arial"/>
          <w:sz w:val="22"/>
        </w:rPr>
        <w:t>price</w:t>
      </w:r>
      <w:r w:rsidR="003A6A5C" w:rsidRPr="00C534A9">
        <w:rPr>
          <w:rFonts w:ascii="Arial" w:hAnsi="Arial" w:cs="Arial"/>
          <w:sz w:val="22"/>
        </w:rPr>
        <w:t xml:space="preserve"> (US$ ‘000)</w:t>
      </w:r>
      <w:bookmarkEnd w:id="74"/>
      <w:bookmarkEnd w:id="75"/>
    </w:p>
    <w:tbl>
      <w:tblPr>
        <w:tblW w:w="7742" w:type="dxa"/>
        <w:jc w:val="center"/>
        <w:tblInd w:w="93" w:type="dxa"/>
        <w:tblLook w:val="04A0" w:firstRow="1" w:lastRow="0" w:firstColumn="1" w:lastColumn="0" w:noHBand="0" w:noVBand="1"/>
      </w:tblPr>
      <w:tblGrid>
        <w:gridCol w:w="2540"/>
        <w:gridCol w:w="1320"/>
        <w:gridCol w:w="1941"/>
        <w:gridCol w:w="1941"/>
      </w:tblGrid>
      <w:tr w:rsidR="003D447B" w:rsidRPr="00C534A9" w:rsidTr="00F02666">
        <w:trPr>
          <w:trHeight w:val="315"/>
          <w:jc w:val="center"/>
        </w:trPr>
        <w:tc>
          <w:tcPr>
            <w:tcW w:w="2540" w:type="dxa"/>
            <w:tcBorders>
              <w:top w:val="nil"/>
              <w:left w:val="nil"/>
              <w:bottom w:val="nil"/>
              <w:right w:val="nil"/>
            </w:tcBorders>
            <w:shd w:val="clear" w:color="000000" w:fill="F2F2F2"/>
            <w:noWrap/>
            <w:vAlign w:val="center"/>
            <w:hideMark/>
          </w:tcPr>
          <w:p w:rsidR="003D447B" w:rsidRPr="00C534A9" w:rsidRDefault="003D447B" w:rsidP="00C534A9">
            <w:pPr>
              <w:spacing w:after="0" w:line="240" w:lineRule="auto"/>
              <w:jc w:val="both"/>
              <w:rPr>
                <w:rFonts w:ascii="Arial" w:eastAsia="Times New Roman" w:hAnsi="Arial" w:cs="Arial"/>
                <w:b/>
                <w:bCs/>
                <w:color w:val="000000"/>
                <w:sz w:val="22"/>
                <w:szCs w:val="24"/>
              </w:rPr>
            </w:pPr>
            <w:r w:rsidRPr="00C534A9">
              <w:rPr>
                <w:rFonts w:ascii="Arial" w:eastAsia="Times New Roman" w:hAnsi="Arial" w:cs="Arial"/>
                <w:b/>
                <w:bCs/>
                <w:color w:val="000000"/>
                <w:sz w:val="22"/>
                <w:szCs w:val="24"/>
              </w:rPr>
              <w:t>Scenario:</w:t>
            </w:r>
          </w:p>
        </w:tc>
        <w:tc>
          <w:tcPr>
            <w:tcW w:w="1320" w:type="dxa"/>
            <w:tcBorders>
              <w:top w:val="nil"/>
              <w:left w:val="nil"/>
              <w:bottom w:val="nil"/>
              <w:right w:val="nil"/>
            </w:tcBorders>
            <w:shd w:val="clear" w:color="000000" w:fill="F2F2F2"/>
            <w:noWrap/>
            <w:vAlign w:val="center"/>
            <w:hideMark/>
          </w:tcPr>
          <w:p w:rsidR="003D447B" w:rsidRPr="00C534A9" w:rsidRDefault="003D447B" w:rsidP="00C534A9">
            <w:pPr>
              <w:spacing w:after="0" w:line="240" w:lineRule="auto"/>
              <w:jc w:val="both"/>
              <w:rPr>
                <w:rFonts w:ascii="Arial" w:eastAsia="Times New Roman" w:hAnsi="Arial" w:cs="Arial"/>
                <w:b/>
                <w:bCs/>
                <w:color w:val="000000"/>
                <w:sz w:val="22"/>
                <w:szCs w:val="24"/>
              </w:rPr>
            </w:pPr>
            <w:r w:rsidRPr="00C534A9">
              <w:rPr>
                <w:rFonts w:ascii="Arial" w:eastAsia="Times New Roman" w:hAnsi="Arial" w:cs="Arial"/>
                <w:b/>
                <w:bCs/>
                <w:color w:val="000000"/>
                <w:sz w:val="22"/>
                <w:szCs w:val="24"/>
              </w:rPr>
              <w:t>Base</w:t>
            </w:r>
          </w:p>
        </w:tc>
        <w:tc>
          <w:tcPr>
            <w:tcW w:w="1941" w:type="dxa"/>
            <w:tcBorders>
              <w:top w:val="nil"/>
              <w:left w:val="nil"/>
              <w:bottom w:val="nil"/>
              <w:right w:val="nil"/>
            </w:tcBorders>
            <w:shd w:val="clear" w:color="000000" w:fill="F2F2F2"/>
            <w:noWrap/>
            <w:vAlign w:val="center"/>
            <w:hideMark/>
          </w:tcPr>
          <w:p w:rsidR="003D447B" w:rsidRPr="00C534A9" w:rsidRDefault="003D447B" w:rsidP="00C534A9">
            <w:pPr>
              <w:spacing w:after="0" w:line="240" w:lineRule="auto"/>
              <w:jc w:val="both"/>
              <w:rPr>
                <w:rFonts w:ascii="Arial" w:eastAsia="Times New Roman" w:hAnsi="Arial" w:cs="Arial"/>
                <w:b/>
                <w:bCs/>
                <w:color w:val="000000"/>
                <w:sz w:val="22"/>
                <w:szCs w:val="24"/>
              </w:rPr>
            </w:pPr>
            <w:r w:rsidRPr="00C534A9">
              <w:rPr>
                <w:rFonts w:ascii="Arial" w:eastAsia="Times New Roman" w:hAnsi="Arial" w:cs="Arial"/>
                <w:b/>
                <w:bCs/>
                <w:color w:val="000000"/>
                <w:sz w:val="22"/>
                <w:szCs w:val="24"/>
              </w:rPr>
              <w:t>High</w:t>
            </w:r>
          </w:p>
        </w:tc>
        <w:tc>
          <w:tcPr>
            <w:tcW w:w="1941" w:type="dxa"/>
            <w:tcBorders>
              <w:top w:val="nil"/>
              <w:left w:val="nil"/>
              <w:bottom w:val="nil"/>
              <w:right w:val="nil"/>
            </w:tcBorders>
            <w:shd w:val="clear" w:color="000000" w:fill="F2F2F2"/>
            <w:noWrap/>
            <w:vAlign w:val="center"/>
            <w:hideMark/>
          </w:tcPr>
          <w:p w:rsidR="003D447B" w:rsidRPr="00C534A9" w:rsidRDefault="003D447B" w:rsidP="00C534A9">
            <w:pPr>
              <w:spacing w:after="0" w:line="240" w:lineRule="auto"/>
              <w:jc w:val="both"/>
              <w:rPr>
                <w:rFonts w:ascii="Arial" w:eastAsia="Times New Roman" w:hAnsi="Arial" w:cs="Arial"/>
                <w:b/>
                <w:bCs/>
                <w:color w:val="000000"/>
                <w:sz w:val="22"/>
                <w:szCs w:val="24"/>
              </w:rPr>
            </w:pPr>
            <w:r w:rsidRPr="00C534A9">
              <w:rPr>
                <w:rFonts w:ascii="Arial" w:eastAsia="Times New Roman" w:hAnsi="Arial" w:cs="Arial"/>
                <w:b/>
                <w:bCs/>
                <w:color w:val="000000"/>
                <w:sz w:val="22"/>
                <w:szCs w:val="24"/>
              </w:rPr>
              <w:t>Low</w:t>
            </w:r>
          </w:p>
        </w:tc>
      </w:tr>
      <w:tr w:rsidR="00F02666" w:rsidRPr="00C534A9" w:rsidTr="00F02666">
        <w:trPr>
          <w:trHeight w:val="450"/>
          <w:jc w:val="center"/>
        </w:trPr>
        <w:tc>
          <w:tcPr>
            <w:tcW w:w="2540" w:type="dxa"/>
            <w:tcBorders>
              <w:top w:val="nil"/>
              <w:left w:val="nil"/>
              <w:bottom w:val="nil"/>
              <w:right w:val="nil"/>
            </w:tcBorders>
            <w:shd w:val="clear" w:color="auto" w:fill="auto"/>
            <w:noWrap/>
            <w:vAlign w:val="center"/>
            <w:hideMark/>
          </w:tcPr>
          <w:p w:rsidR="00F02666" w:rsidRPr="00C534A9" w:rsidRDefault="00F02666"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Present Value - Benefits</w:t>
            </w:r>
          </w:p>
        </w:tc>
        <w:tc>
          <w:tcPr>
            <w:tcW w:w="1320" w:type="dxa"/>
            <w:tcBorders>
              <w:top w:val="nil"/>
              <w:left w:val="nil"/>
              <w:bottom w:val="nil"/>
              <w:right w:val="nil"/>
            </w:tcBorders>
            <w:shd w:val="clear" w:color="auto" w:fill="auto"/>
            <w:noWrap/>
            <w:vAlign w:val="center"/>
            <w:hideMark/>
          </w:tcPr>
          <w:p w:rsidR="00F02666" w:rsidRPr="00C534A9" w:rsidRDefault="00F02666"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$37,583 </w:t>
            </w:r>
          </w:p>
        </w:tc>
        <w:tc>
          <w:tcPr>
            <w:tcW w:w="1941" w:type="dxa"/>
            <w:tcBorders>
              <w:top w:val="nil"/>
              <w:left w:val="nil"/>
              <w:bottom w:val="nil"/>
              <w:right w:val="nil"/>
            </w:tcBorders>
            <w:shd w:val="clear" w:color="auto" w:fill="auto"/>
            <w:noWrap/>
            <w:vAlign w:val="center"/>
            <w:hideMark/>
          </w:tcPr>
          <w:p w:rsidR="00F02666" w:rsidRPr="00C534A9" w:rsidRDefault="00F02666"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$42,816 </w:t>
            </w:r>
          </w:p>
        </w:tc>
        <w:tc>
          <w:tcPr>
            <w:tcW w:w="1941" w:type="dxa"/>
            <w:tcBorders>
              <w:top w:val="nil"/>
              <w:left w:val="nil"/>
              <w:bottom w:val="nil"/>
              <w:right w:val="nil"/>
            </w:tcBorders>
            <w:shd w:val="clear" w:color="auto" w:fill="auto"/>
            <w:noWrap/>
            <w:vAlign w:val="center"/>
            <w:hideMark/>
          </w:tcPr>
          <w:p w:rsidR="00F02666" w:rsidRPr="00C534A9" w:rsidRDefault="00F02666"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$34,608 </w:t>
            </w:r>
          </w:p>
        </w:tc>
      </w:tr>
      <w:tr w:rsidR="00F02666" w:rsidRPr="00C534A9" w:rsidTr="00F02666">
        <w:trPr>
          <w:trHeight w:val="450"/>
          <w:jc w:val="center"/>
        </w:trPr>
        <w:tc>
          <w:tcPr>
            <w:tcW w:w="2540" w:type="dxa"/>
            <w:tcBorders>
              <w:top w:val="nil"/>
              <w:left w:val="nil"/>
              <w:bottom w:val="single" w:sz="4" w:space="0" w:color="auto"/>
              <w:right w:val="nil"/>
            </w:tcBorders>
            <w:shd w:val="clear" w:color="auto" w:fill="auto"/>
            <w:noWrap/>
            <w:vAlign w:val="center"/>
            <w:hideMark/>
          </w:tcPr>
          <w:p w:rsidR="00F02666" w:rsidRPr="00C534A9" w:rsidRDefault="00F02666"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Present Value  - Costs</w:t>
            </w:r>
          </w:p>
        </w:tc>
        <w:tc>
          <w:tcPr>
            <w:tcW w:w="1320" w:type="dxa"/>
            <w:tcBorders>
              <w:top w:val="nil"/>
              <w:left w:val="nil"/>
              <w:bottom w:val="single" w:sz="4" w:space="0" w:color="auto"/>
              <w:right w:val="nil"/>
            </w:tcBorders>
            <w:shd w:val="clear" w:color="auto" w:fill="auto"/>
            <w:noWrap/>
            <w:vAlign w:val="center"/>
            <w:hideMark/>
          </w:tcPr>
          <w:p w:rsidR="00F02666" w:rsidRPr="00C534A9" w:rsidRDefault="00F02666" w:rsidP="00C534A9">
            <w:pPr>
              <w:spacing w:after="0" w:line="240" w:lineRule="auto"/>
              <w:jc w:val="both"/>
              <w:rPr>
                <w:rFonts w:ascii="Arial" w:eastAsia="Times New Roman" w:hAnsi="Arial" w:cs="Arial"/>
                <w:color w:val="000000"/>
                <w:sz w:val="22"/>
                <w:szCs w:val="24"/>
              </w:rPr>
            </w:pPr>
            <w:r w:rsidRPr="00C534A9">
              <w:rPr>
                <w:rFonts w:ascii="Arial" w:hAnsi="Arial" w:cs="Arial"/>
                <w:color w:val="FF0000"/>
                <w:sz w:val="22"/>
              </w:rPr>
              <w:t>($28,391)</w:t>
            </w:r>
          </w:p>
        </w:tc>
        <w:tc>
          <w:tcPr>
            <w:tcW w:w="1941" w:type="dxa"/>
            <w:tcBorders>
              <w:top w:val="nil"/>
              <w:left w:val="nil"/>
              <w:bottom w:val="single" w:sz="4" w:space="0" w:color="auto"/>
              <w:right w:val="nil"/>
            </w:tcBorders>
            <w:shd w:val="clear" w:color="auto" w:fill="auto"/>
            <w:noWrap/>
            <w:vAlign w:val="center"/>
            <w:hideMark/>
          </w:tcPr>
          <w:p w:rsidR="00F02666" w:rsidRPr="00C534A9" w:rsidRDefault="00F02666" w:rsidP="00C534A9">
            <w:pPr>
              <w:spacing w:after="0" w:line="240" w:lineRule="auto"/>
              <w:jc w:val="both"/>
              <w:rPr>
                <w:rFonts w:ascii="Arial" w:eastAsia="Times New Roman" w:hAnsi="Arial" w:cs="Arial"/>
                <w:color w:val="000000"/>
                <w:sz w:val="22"/>
                <w:szCs w:val="24"/>
              </w:rPr>
            </w:pPr>
            <w:r w:rsidRPr="00C534A9">
              <w:rPr>
                <w:rFonts w:ascii="Arial" w:hAnsi="Arial" w:cs="Arial"/>
                <w:color w:val="FF0000"/>
                <w:sz w:val="22"/>
              </w:rPr>
              <w:t>($29,979)</w:t>
            </w:r>
          </w:p>
        </w:tc>
        <w:tc>
          <w:tcPr>
            <w:tcW w:w="1941" w:type="dxa"/>
            <w:tcBorders>
              <w:top w:val="nil"/>
              <w:left w:val="nil"/>
              <w:bottom w:val="single" w:sz="4" w:space="0" w:color="auto"/>
              <w:right w:val="nil"/>
            </w:tcBorders>
            <w:shd w:val="clear" w:color="auto" w:fill="auto"/>
            <w:noWrap/>
            <w:vAlign w:val="center"/>
            <w:hideMark/>
          </w:tcPr>
          <w:p w:rsidR="00F02666" w:rsidRPr="00C534A9" w:rsidRDefault="00F02666" w:rsidP="00C534A9">
            <w:pPr>
              <w:spacing w:after="0" w:line="240" w:lineRule="auto"/>
              <w:jc w:val="both"/>
              <w:rPr>
                <w:rFonts w:ascii="Arial" w:eastAsia="Times New Roman" w:hAnsi="Arial" w:cs="Arial"/>
                <w:color w:val="000000"/>
                <w:sz w:val="22"/>
                <w:szCs w:val="24"/>
              </w:rPr>
            </w:pPr>
            <w:r w:rsidRPr="00C534A9">
              <w:rPr>
                <w:rFonts w:ascii="Arial" w:hAnsi="Arial" w:cs="Arial"/>
                <w:color w:val="FF0000"/>
                <w:sz w:val="22"/>
              </w:rPr>
              <w:t>($27,359)</w:t>
            </w:r>
          </w:p>
        </w:tc>
      </w:tr>
      <w:tr w:rsidR="00F02666" w:rsidRPr="00C534A9" w:rsidTr="00F02666">
        <w:trPr>
          <w:trHeight w:val="450"/>
          <w:jc w:val="center"/>
        </w:trPr>
        <w:tc>
          <w:tcPr>
            <w:tcW w:w="2540" w:type="dxa"/>
            <w:tcBorders>
              <w:top w:val="nil"/>
              <w:left w:val="nil"/>
              <w:bottom w:val="nil"/>
              <w:right w:val="nil"/>
            </w:tcBorders>
            <w:shd w:val="clear" w:color="auto" w:fill="auto"/>
            <w:noWrap/>
            <w:vAlign w:val="center"/>
            <w:hideMark/>
          </w:tcPr>
          <w:p w:rsidR="00F02666" w:rsidRPr="00C534A9" w:rsidRDefault="00F02666"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Net Present Value</w:t>
            </w:r>
          </w:p>
        </w:tc>
        <w:tc>
          <w:tcPr>
            <w:tcW w:w="1320" w:type="dxa"/>
            <w:tcBorders>
              <w:top w:val="nil"/>
              <w:left w:val="nil"/>
              <w:bottom w:val="nil"/>
              <w:right w:val="nil"/>
            </w:tcBorders>
            <w:shd w:val="clear" w:color="auto" w:fill="auto"/>
            <w:noWrap/>
            <w:vAlign w:val="center"/>
            <w:hideMark/>
          </w:tcPr>
          <w:p w:rsidR="00F02666" w:rsidRPr="00C534A9" w:rsidRDefault="00F02666"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$9,192 </w:t>
            </w:r>
          </w:p>
        </w:tc>
        <w:tc>
          <w:tcPr>
            <w:tcW w:w="1941" w:type="dxa"/>
            <w:tcBorders>
              <w:top w:val="nil"/>
              <w:left w:val="nil"/>
              <w:bottom w:val="nil"/>
              <w:right w:val="nil"/>
            </w:tcBorders>
            <w:shd w:val="clear" w:color="auto" w:fill="auto"/>
            <w:noWrap/>
            <w:vAlign w:val="center"/>
            <w:hideMark/>
          </w:tcPr>
          <w:p w:rsidR="00F02666" w:rsidRPr="00C534A9" w:rsidRDefault="00F02666"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$12,837 </w:t>
            </w:r>
          </w:p>
        </w:tc>
        <w:tc>
          <w:tcPr>
            <w:tcW w:w="1941" w:type="dxa"/>
            <w:tcBorders>
              <w:top w:val="nil"/>
              <w:left w:val="nil"/>
              <w:bottom w:val="nil"/>
              <w:right w:val="nil"/>
            </w:tcBorders>
            <w:shd w:val="clear" w:color="auto" w:fill="auto"/>
            <w:noWrap/>
            <w:vAlign w:val="center"/>
            <w:hideMark/>
          </w:tcPr>
          <w:p w:rsidR="00F02666" w:rsidRPr="00C534A9" w:rsidRDefault="00F02666"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$7,249 </w:t>
            </w:r>
          </w:p>
        </w:tc>
      </w:tr>
      <w:tr w:rsidR="00F02666" w:rsidRPr="00C534A9" w:rsidTr="00F02666">
        <w:trPr>
          <w:trHeight w:val="450"/>
          <w:jc w:val="center"/>
        </w:trPr>
        <w:tc>
          <w:tcPr>
            <w:tcW w:w="2540" w:type="dxa"/>
            <w:tcBorders>
              <w:top w:val="nil"/>
              <w:left w:val="nil"/>
              <w:bottom w:val="nil"/>
              <w:right w:val="nil"/>
            </w:tcBorders>
            <w:shd w:val="clear" w:color="auto" w:fill="auto"/>
            <w:noWrap/>
            <w:vAlign w:val="center"/>
            <w:hideMark/>
          </w:tcPr>
          <w:p w:rsidR="00F02666" w:rsidRPr="00C534A9" w:rsidRDefault="00F02666"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IRR</w:t>
            </w:r>
          </w:p>
        </w:tc>
        <w:tc>
          <w:tcPr>
            <w:tcW w:w="1320" w:type="dxa"/>
            <w:tcBorders>
              <w:top w:val="nil"/>
              <w:left w:val="nil"/>
              <w:bottom w:val="nil"/>
              <w:right w:val="nil"/>
            </w:tcBorders>
            <w:shd w:val="clear" w:color="auto" w:fill="auto"/>
            <w:noWrap/>
            <w:vAlign w:val="center"/>
            <w:hideMark/>
          </w:tcPr>
          <w:p w:rsidR="00F02666" w:rsidRPr="00C534A9" w:rsidRDefault="00F02666"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27%</w:t>
            </w:r>
          </w:p>
        </w:tc>
        <w:tc>
          <w:tcPr>
            <w:tcW w:w="1941" w:type="dxa"/>
            <w:tcBorders>
              <w:top w:val="nil"/>
              <w:left w:val="nil"/>
              <w:bottom w:val="nil"/>
              <w:right w:val="nil"/>
            </w:tcBorders>
            <w:shd w:val="clear" w:color="auto" w:fill="auto"/>
            <w:noWrap/>
            <w:vAlign w:val="center"/>
            <w:hideMark/>
          </w:tcPr>
          <w:p w:rsidR="00F02666" w:rsidRPr="00C534A9" w:rsidRDefault="00F02666"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34%</w:t>
            </w:r>
          </w:p>
        </w:tc>
        <w:tc>
          <w:tcPr>
            <w:tcW w:w="1941" w:type="dxa"/>
            <w:tcBorders>
              <w:top w:val="nil"/>
              <w:left w:val="nil"/>
              <w:bottom w:val="nil"/>
              <w:right w:val="nil"/>
            </w:tcBorders>
            <w:shd w:val="clear" w:color="auto" w:fill="auto"/>
            <w:noWrap/>
            <w:vAlign w:val="center"/>
            <w:hideMark/>
          </w:tcPr>
          <w:p w:rsidR="00F02666" w:rsidRPr="00C534A9" w:rsidRDefault="00F02666"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24%</w:t>
            </w:r>
          </w:p>
        </w:tc>
      </w:tr>
    </w:tbl>
    <w:p w:rsidR="00A761A9" w:rsidRPr="00C534A9" w:rsidRDefault="00A761A9" w:rsidP="00C534A9">
      <w:pPr>
        <w:pStyle w:val="Source"/>
        <w:jc w:val="both"/>
        <w:rPr>
          <w:rFonts w:ascii="Arial" w:hAnsi="Arial" w:cs="Arial"/>
          <w:sz w:val="18"/>
        </w:rPr>
      </w:pPr>
    </w:p>
    <w:p w:rsidR="00A761A9" w:rsidRPr="00C534A9" w:rsidRDefault="00A761A9" w:rsidP="00C534A9">
      <w:pPr>
        <w:jc w:val="both"/>
        <w:rPr>
          <w:rFonts w:ascii="Arial" w:hAnsi="Arial" w:cs="Arial"/>
          <w:sz w:val="22"/>
        </w:rPr>
      </w:pPr>
      <w:r w:rsidRPr="00C534A9">
        <w:rPr>
          <w:rFonts w:ascii="Arial" w:hAnsi="Arial" w:cs="Arial"/>
          <w:sz w:val="22"/>
        </w:rPr>
        <w:t>Table 3.</w:t>
      </w:r>
      <w:r w:rsidR="00FD62D2" w:rsidRPr="00C534A9">
        <w:rPr>
          <w:rFonts w:ascii="Arial" w:hAnsi="Arial" w:cs="Arial"/>
          <w:sz w:val="22"/>
        </w:rPr>
        <w:t>4</w:t>
      </w:r>
      <w:r w:rsidRPr="00C534A9">
        <w:rPr>
          <w:rFonts w:ascii="Arial" w:hAnsi="Arial" w:cs="Arial"/>
          <w:sz w:val="22"/>
        </w:rPr>
        <w:t xml:space="preserve"> </w:t>
      </w:r>
      <w:r w:rsidR="009D18E2" w:rsidRPr="00C534A9">
        <w:rPr>
          <w:rFonts w:ascii="Arial" w:hAnsi="Arial" w:cs="Arial"/>
          <w:sz w:val="22"/>
        </w:rPr>
        <w:t xml:space="preserve">presents the results of changing the price of </w:t>
      </w:r>
      <w:r w:rsidR="005A265C" w:rsidRPr="00C534A9">
        <w:rPr>
          <w:rFonts w:ascii="Arial" w:hAnsi="Arial" w:cs="Arial"/>
          <w:sz w:val="22"/>
        </w:rPr>
        <w:t>CO2</w:t>
      </w:r>
      <w:r w:rsidR="009D18E2" w:rsidRPr="00C534A9">
        <w:rPr>
          <w:rFonts w:ascii="Arial" w:hAnsi="Arial" w:cs="Arial"/>
          <w:sz w:val="22"/>
        </w:rPr>
        <w:t xml:space="preserve">. </w:t>
      </w:r>
      <w:r w:rsidR="009F2643" w:rsidRPr="00C534A9">
        <w:rPr>
          <w:rFonts w:ascii="Arial" w:hAnsi="Arial" w:cs="Arial"/>
          <w:sz w:val="22"/>
        </w:rPr>
        <w:t>The table shows</w:t>
      </w:r>
      <w:r w:rsidR="009D18E2" w:rsidRPr="00C534A9">
        <w:rPr>
          <w:rFonts w:ascii="Arial" w:hAnsi="Arial" w:cs="Arial"/>
          <w:sz w:val="22"/>
        </w:rPr>
        <w:t xml:space="preserve"> the present value of the costs, benefits, and net benefits of the micro-LNG expansion and natural gas compressor replacement for a high case (annual </w:t>
      </w:r>
      <w:r w:rsidR="005A265C" w:rsidRPr="00C534A9">
        <w:rPr>
          <w:rFonts w:ascii="Arial" w:hAnsi="Arial" w:cs="Arial"/>
          <w:sz w:val="22"/>
        </w:rPr>
        <w:t>CO2</w:t>
      </w:r>
      <w:r w:rsidR="009D18E2" w:rsidRPr="00C534A9">
        <w:rPr>
          <w:rFonts w:ascii="Arial" w:hAnsi="Arial" w:cs="Arial"/>
          <w:sz w:val="22"/>
        </w:rPr>
        <w:t xml:space="preserve"> prices are </w:t>
      </w:r>
      <w:r w:rsidR="005A265C" w:rsidRPr="00C534A9">
        <w:rPr>
          <w:rFonts w:ascii="Arial" w:hAnsi="Arial" w:cs="Arial"/>
          <w:sz w:val="22"/>
        </w:rPr>
        <w:t>US$15 per ton, or 50%</w:t>
      </w:r>
      <w:r w:rsidR="009D18E2" w:rsidRPr="00C534A9">
        <w:rPr>
          <w:rFonts w:ascii="Arial" w:hAnsi="Arial" w:cs="Arial"/>
          <w:sz w:val="22"/>
        </w:rPr>
        <w:t xml:space="preserve"> higher than the base case projection) and low case (annual </w:t>
      </w:r>
      <w:r w:rsidR="005A265C" w:rsidRPr="00C534A9">
        <w:rPr>
          <w:rFonts w:ascii="Arial" w:hAnsi="Arial" w:cs="Arial"/>
          <w:sz w:val="22"/>
        </w:rPr>
        <w:t xml:space="preserve">CO2 </w:t>
      </w:r>
      <w:r w:rsidR="009D18E2" w:rsidRPr="00C534A9">
        <w:rPr>
          <w:rFonts w:ascii="Arial" w:hAnsi="Arial" w:cs="Arial"/>
          <w:sz w:val="22"/>
        </w:rPr>
        <w:t xml:space="preserve">prices are </w:t>
      </w:r>
      <w:r w:rsidR="005A265C" w:rsidRPr="00C534A9">
        <w:rPr>
          <w:rFonts w:ascii="Arial" w:hAnsi="Arial" w:cs="Arial"/>
          <w:sz w:val="22"/>
        </w:rPr>
        <w:t>US$6 per ton, or 4</w:t>
      </w:r>
      <w:r w:rsidR="009D18E2" w:rsidRPr="00C534A9">
        <w:rPr>
          <w:rFonts w:ascii="Arial" w:hAnsi="Arial" w:cs="Arial"/>
          <w:sz w:val="22"/>
        </w:rPr>
        <w:t xml:space="preserve">0% lower than the base case projection) as well as the base case (annual </w:t>
      </w:r>
      <w:r w:rsidR="005A265C" w:rsidRPr="00C534A9">
        <w:rPr>
          <w:rFonts w:ascii="Arial" w:hAnsi="Arial" w:cs="Arial"/>
          <w:sz w:val="22"/>
        </w:rPr>
        <w:t>CO2</w:t>
      </w:r>
      <w:r w:rsidR="009D18E2" w:rsidRPr="00C534A9">
        <w:rPr>
          <w:rFonts w:ascii="Arial" w:hAnsi="Arial" w:cs="Arial"/>
          <w:sz w:val="22"/>
        </w:rPr>
        <w:t xml:space="preserve"> price</w:t>
      </w:r>
      <w:r w:rsidR="005A265C" w:rsidRPr="00C534A9">
        <w:rPr>
          <w:rFonts w:ascii="Arial" w:hAnsi="Arial" w:cs="Arial"/>
          <w:sz w:val="22"/>
        </w:rPr>
        <w:t>s are US$10 per ton</w:t>
      </w:r>
      <w:r w:rsidR="009D18E2" w:rsidRPr="00C534A9">
        <w:rPr>
          <w:rFonts w:ascii="Arial" w:hAnsi="Arial" w:cs="Arial"/>
          <w:sz w:val="22"/>
        </w:rPr>
        <w:t xml:space="preserve">). The table shows that after </w:t>
      </w:r>
      <w:r w:rsidR="00F469E3" w:rsidRPr="00C534A9">
        <w:rPr>
          <w:rFonts w:ascii="Arial" w:hAnsi="Arial" w:cs="Arial"/>
          <w:sz w:val="22"/>
        </w:rPr>
        <w:t>increas</w:t>
      </w:r>
      <w:r w:rsidR="009D18E2" w:rsidRPr="00C534A9">
        <w:rPr>
          <w:rFonts w:ascii="Arial" w:hAnsi="Arial" w:cs="Arial"/>
          <w:sz w:val="22"/>
        </w:rPr>
        <w:t xml:space="preserve">ing the </w:t>
      </w:r>
      <w:r w:rsidR="00F469E3" w:rsidRPr="00C534A9">
        <w:rPr>
          <w:rFonts w:ascii="Arial" w:hAnsi="Arial" w:cs="Arial"/>
          <w:sz w:val="22"/>
        </w:rPr>
        <w:t>CO2 price by 5</w:t>
      </w:r>
      <w:r w:rsidR="009D18E2" w:rsidRPr="00C534A9">
        <w:rPr>
          <w:rFonts w:ascii="Arial" w:hAnsi="Arial" w:cs="Arial"/>
          <w:sz w:val="22"/>
        </w:rPr>
        <w:t>0%, the sub-project remains economically viable, with an aggregate NPV of US$</w:t>
      </w:r>
      <w:r w:rsidR="00FD1DBD" w:rsidRPr="00C534A9">
        <w:rPr>
          <w:rFonts w:ascii="Arial" w:hAnsi="Arial" w:cs="Arial"/>
          <w:sz w:val="22"/>
        </w:rPr>
        <w:t>9.0</w:t>
      </w:r>
      <w:r w:rsidR="009D18E2" w:rsidRPr="00C534A9">
        <w:rPr>
          <w:rFonts w:ascii="Arial" w:hAnsi="Arial" w:cs="Arial"/>
          <w:sz w:val="22"/>
        </w:rPr>
        <w:t xml:space="preserve"> million. In the </w:t>
      </w:r>
      <w:r w:rsidR="00F469E3" w:rsidRPr="00C534A9">
        <w:rPr>
          <w:rFonts w:ascii="Arial" w:hAnsi="Arial" w:cs="Arial"/>
          <w:sz w:val="22"/>
        </w:rPr>
        <w:t>low</w:t>
      </w:r>
      <w:r w:rsidR="009D18E2" w:rsidRPr="00C534A9">
        <w:rPr>
          <w:rFonts w:ascii="Arial" w:hAnsi="Arial" w:cs="Arial"/>
          <w:sz w:val="22"/>
        </w:rPr>
        <w:t xml:space="preserve"> </w:t>
      </w:r>
      <w:r w:rsidR="005A265C" w:rsidRPr="00C534A9">
        <w:rPr>
          <w:rFonts w:ascii="Arial" w:hAnsi="Arial" w:cs="Arial"/>
          <w:sz w:val="22"/>
        </w:rPr>
        <w:t>CO2</w:t>
      </w:r>
      <w:r w:rsidR="009D18E2" w:rsidRPr="00C534A9">
        <w:rPr>
          <w:rFonts w:ascii="Arial" w:hAnsi="Arial" w:cs="Arial"/>
          <w:sz w:val="22"/>
        </w:rPr>
        <w:t xml:space="preserve"> price scenario, the aggregate NPV increases to US$</w:t>
      </w:r>
      <w:r w:rsidR="00FD1DBD" w:rsidRPr="00C534A9">
        <w:rPr>
          <w:rFonts w:ascii="Arial" w:hAnsi="Arial" w:cs="Arial"/>
          <w:sz w:val="22"/>
        </w:rPr>
        <w:t>9.4</w:t>
      </w:r>
      <w:r w:rsidR="009D18E2" w:rsidRPr="00C534A9">
        <w:rPr>
          <w:rFonts w:ascii="Arial" w:hAnsi="Arial" w:cs="Arial"/>
          <w:sz w:val="22"/>
        </w:rPr>
        <w:t xml:space="preserve"> million.</w:t>
      </w:r>
    </w:p>
    <w:p w:rsidR="00F469E3" w:rsidRPr="00C534A9" w:rsidRDefault="00BA7018" w:rsidP="00C534A9">
      <w:pPr>
        <w:jc w:val="both"/>
        <w:rPr>
          <w:rFonts w:ascii="Arial" w:hAnsi="Arial" w:cs="Arial"/>
          <w:sz w:val="22"/>
        </w:rPr>
      </w:pPr>
      <w:r w:rsidRPr="00C534A9">
        <w:rPr>
          <w:rFonts w:ascii="Arial" w:hAnsi="Arial" w:cs="Arial"/>
          <w:sz w:val="22"/>
        </w:rPr>
        <w:t>Unlike other sub-projects that were analyzed, the expansion of the micro-LNG facility showed a lower NPV under the high CO2 price sensitivity. This difference is caused by the increase in natural gas consumption as a result of the facility expansion.  In the BAU case without the expansion, consumers facing seasonal shortages are assumed to simply forego the economic benefits from their natural gas consumption, rather than switch to a more carbon intensive liquid fuel. As a result, the investment scenario has higher CO2 emissions than the BAU case.</w:t>
      </w:r>
    </w:p>
    <w:p w:rsidR="00A761A9" w:rsidRPr="00C534A9" w:rsidRDefault="00A761A9" w:rsidP="00C534A9">
      <w:pPr>
        <w:pStyle w:val="Caption"/>
        <w:jc w:val="both"/>
        <w:rPr>
          <w:rFonts w:ascii="Arial" w:hAnsi="Arial" w:cs="Arial"/>
          <w:sz w:val="22"/>
        </w:rPr>
      </w:pPr>
      <w:bookmarkStart w:id="76" w:name="_Toc463508971"/>
      <w:r w:rsidRPr="00C534A9">
        <w:rPr>
          <w:rFonts w:ascii="Arial" w:hAnsi="Arial" w:cs="Arial"/>
          <w:sz w:val="22"/>
        </w:rPr>
        <w:t xml:space="preserve">Table </w:t>
      </w:r>
      <w:r w:rsidR="007D6B36" w:rsidRPr="00C534A9">
        <w:rPr>
          <w:rFonts w:ascii="Arial" w:hAnsi="Arial" w:cs="Arial"/>
          <w:sz w:val="22"/>
        </w:rPr>
        <w:fldChar w:fldCharType="begin"/>
      </w:r>
      <w:r w:rsidR="007D6B36" w:rsidRPr="00C534A9">
        <w:rPr>
          <w:rFonts w:ascii="Arial" w:hAnsi="Arial" w:cs="Arial"/>
          <w:sz w:val="22"/>
        </w:rPr>
        <w:instrText xml:space="preserve"> STYLEREF 1 \s </w:instrText>
      </w:r>
      <w:r w:rsidR="007D6B36" w:rsidRPr="00C534A9">
        <w:rPr>
          <w:rFonts w:ascii="Arial" w:hAnsi="Arial" w:cs="Arial"/>
          <w:sz w:val="22"/>
        </w:rPr>
        <w:fldChar w:fldCharType="separate"/>
      </w:r>
      <w:r w:rsidR="003F3D75" w:rsidRPr="00C534A9">
        <w:rPr>
          <w:rFonts w:ascii="Arial" w:hAnsi="Arial" w:cs="Arial"/>
          <w:noProof/>
          <w:sz w:val="22"/>
        </w:rPr>
        <w:t>3</w:t>
      </w:r>
      <w:r w:rsidR="007D6B36" w:rsidRPr="00C534A9">
        <w:rPr>
          <w:rFonts w:ascii="Arial" w:hAnsi="Arial" w:cs="Arial"/>
          <w:noProof/>
          <w:sz w:val="22"/>
        </w:rPr>
        <w:fldChar w:fldCharType="end"/>
      </w:r>
      <w:r w:rsidRPr="00C534A9">
        <w:rPr>
          <w:rFonts w:ascii="Arial" w:hAnsi="Arial" w:cs="Arial"/>
          <w:sz w:val="22"/>
        </w:rPr>
        <w:t>.</w:t>
      </w:r>
      <w:r w:rsidR="00FD62D2" w:rsidRPr="00C534A9">
        <w:rPr>
          <w:rFonts w:ascii="Arial" w:hAnsi="Arial" w:cs="Arial"/>
          <w:sz w:val="22"/>
        </w:rPr>
        <w:t>4</w:t>
      </w:r>
      <w:r w:rsidRPr="00C534A9">
        <w:rPr>
          <w:rFonts w:ascii="Arial" w:hAnsi="Arial" w:cs="Arial"/>
          <w:sz w:val="22"/>
        </w:rPr>
        <w:t xml:space="preserve">: CBA Sensitivity to </w:t>
      </w:r>
      <w:r w:rsidR="009D18E2" w:rsidRPr="00C534A9">
        <w:rPr>
          <w:rFonts w:ascii="Arial" w:hAnsi="Arial" w:cs="Arial"/>
          <w:sz w:val="22"/>
        </w:rPr>
        <w:t>CO2 price</w:t>
      </w:r>
      <w:r w:rsidR="003A6A5C" w:rsidRPr="00C534A9">
        <w:rPr>
          <w:rFonts w:ascii="Arial" w:hAnsi="Arial" w:cs="Arial"/>
          <w:sz w:val="22"/>
        </w:rPr>
        <w:t xml:space="preserve"> (US$ ‘000)</w:t>
      </w:r>
      <w:bookmarkEnd w:id="76"/>
    </w:p>
    <w:tbl>
      <w:tblPr>
        <w:tblW w:w="6500" w:type="dxa"/>
        <w:jc w:val="center"/>
        <w:tblInd w:w="93" w:type="dxa"/>
        <w:tblLook w:val="04A0" w:firstRow="1" w:lastRow="0" w:firstColumn="1" w:lastColumn="0" w:noHBand="0" w:noVBand="1"/>
      </w:tblPr>
      <w:tblGrid>
        <w:gridCol w:w="2540"/>
        <w:gridCol w:w="1320"/>
        <w:gridCol w:w="1320"/>
        <w:gridCol w:w="1320"/>
      </w:tblGrid>
      <w:tr w:rsidR="003D447B" w:rsidRPr="00C534A9" w:rsidTr="003D447B">
        <w:trPr>
          <w:trHeight w:val="315"/>
          <w:jc w:val="center"/>
        </w:trPr>
        <w:tc>
          <w:tcPr>
            <w:tcW w:w="2540" w:type="dxa"/>
            <w:tcBorders>
              <w:top w:val="nil"/>
              <w:left w:val="nil"/>
              <w:bottom w:val="nil"/>
              <w:right w:val="nil"/>
            </w:tcBorders>
            <w:shd w:val="clear" w:color="000000" w:fill="F2F2F2"/>
            <w:noWrap/>
            <w:vAlign w:val="center"/>
            <w:hideMark/>
          </w:tcPr>
          <w:p w:rsidR="003D447B" w:rsidRPr="00C534A9" w:rsidRDefault="003D447B" w:rsidP="00C534A9">
            <w:pPr>
              <w:spacing w:after="0" w:line="240" w:lineRule="auto"/>
              <w:jc w:val="both"/>
              <w:rPr>
                <w:rFonts w:ascii="Arial" w:eastAsia="Times New Roman" w:hAnsi="Arial" w:cs="Arial"/>
                <w:b/>
                <w:bCs/>
                <w:color w:val="000000"/>
                <w:sz w:val="22"/>
                <w:szCs w:val="24"/>
              </w:rPr>
            </w:pPr>
            <w:r w:rsidRPr="00C534A9">
              <w:rPr>
                <w:rFonts w:ascii="Arial" w:eastAsia="Times New Roman" w:hAnsi="Arial" w:cs="Arial"/>
                <w:b/>
                <w:bCs/>
                <w:color w:val="000000"/>
                <w:sz w:val="22"/>
                <w:szCs w:val="24"/>
              </w:rPr>
              <w:t>Scenario:</w:t>
            </w:r>
          </w:p>
        </w:tc>
        <w:tc>
          <w:tcPr>
            <w:tcW w:w="1320" w:type="dxa"/>
            <w:tcBorders>
              <w:top w:val="nil"/>
              <w:left w:val="nil"/>
              <w:bottom w:val="nil"/>
              <w:right w:val="nil"/>
            </w:tcBorders>
            <w:shd w:val="clear" w:color="000000" w:fill="F2F2F2"/>
            <w:noWrap/>
            <w:vAlign w:val="center"/>
            <w:hideMark/>
          </w:tcPr>
          <w:p w:rsidR="003D447B" w:rsidRPr="00C534A9" w:rsidRDefault="003D447B" w:rsidP="00C534A9">
            <w:pPr>
              <w:spacing w:after="0" w:line="240" w:lineRule="auto"/>
              <w:jc w:val="both"/>
              <w:rPr>
                <w:rFonts w:ascii="Arial" w:eastAsia="Times New Roman" w:hAnsi="Arial" w:cs="Arial"/>
                <w:b/>
                <w:bCs/>
                <w:color w:val="000000"/>
                <w:sz w:val="22"/>
                <w:szCs w:val="24"/>
              </w:rPr>
            </w:pPr>
            <w:r w:rsidRPr="00C534A9">
              <w:rPr>
                <w:rFonts w:ascii="Arial" w:eastAsia="Times New Roman" w:hAnsi="Arial" w:cs="Arial"/>
                <w:b/>
                <w:bCs/>
                <w:color w:val="000000"/>
                <w:sz w:val="22"/>
                <w:szCs w:val="24"/>
              </w:rPr>
              <w:t>Base</w:t>
            </w:r>
          </w:p>
        </w:tc>
        <w:tc>
          <w:tcPr>
            <w:tcW w:w="1320" w:type="dxa"/>
            <w:tcBorders>
              <w:top w:val="nil"/>
              <w:left w:val="nil"/>
              <w:bottom w:val="nil"/>
              <w:right w:val="nil"/>
            </w:tcBorders>
            <w:shd w:val="clear" w:color="000000" w:fill="F2F2F2"/>
            <w:noWrap/>
            <w:vAlign w:val="center"/>
            <w:hideMark/>
          </w:tcPr>
          <w:p w:rsidR="003D447B" w:rsidRPr="00C534A9" w:rsidRDefault="003D447B" w:rsidP="00C534A9">
            <w:pPr>
              <w:spacing w:after="0" w:line="240" w:lineRule="auto"/>
              <w:jc w:val="both"/>
              <w:rPr>
                <w:rFonts w:ascii="Arial" w:eastAsia="Times New Roman" w:hAnsi="Arial" w:cs="Arial"/>
                <w:b/>
                <w:bCs/>
                <w:color w:val="000000"/>
                <w:sz w:val="22"/>
                <w:szCs w:val="24"/>
              </w:rPr>
            </w:pPr>
            <w:r w:rsidRPr="00C534A9">
              <w:rPr>
                <w:rFonts w:ascii="Arial" w:eastAsia="Times New Roman" w:hAnsi="Arial" w:cs="Arial"/>
                <w:b/>
                <w:bCs/>
                <w:color w:val="000000"/>
                <w:sz w:val="22"/>
                <w:szCs w:val="24"/>
              </w:rPr>
              <w:t>High</w:t>
            </w:r>
          </w:p>
        </w:tc>
        <w:tc>
          <w:tcPr>
            <w:tcW w:w="1320" w:type="dxa"/>
            <w:tcBorders>
              <w:top w:val="nil"/>
              <w:left w:val="nil"/>
              <w:bottom w:val="nil"/>
              <w:right w:val="nil"/>
            </w:tcBorders>
            <w:shd w:val="clear" w:color="000000" w:fill="F2F2F2"/>
            <w:noWrap/>
            <w:vAlign w:val="center"/>
            <w:hideMark/>
          </w:tcPr>
          <w:p w:rsidR="003D447B" w:rsidRPr="00C534A9" w:rsidRDefault="003D447B" w:rsidP="00C534A9">
            <w:pPr>
              <w:spacing w:after="0" w:line="240" w:lineRule="auto"/>
              <w:jc w:val="both"/>
              <w:rPr>
                <w:rFonts w:ascii="Arial" w:eastAsia="Times New Roman" w:hAnsi="Arial" w:cs="Arial"/>
                <w:b/>
                <w:bCs/>
                <w:color w:val="000000"/>
                <w:sz w:val="22"/>
                <w:szCs w:val="24"/>
              </w:rPr>
            </w:pPr>
            <w:r w:rsidRPr="00C534A9">
              <w:rPr>
                <w:rFonts w:ascii="Arial" w:eastAsia="Times New Roman" w:hAnsi="Arial" w:cs="Arial"/>
                <w:b/>
                <w:bCs/>
                <w:color w:val="000000"/>
                <w:sz w:val="22"/>
                <w:szCs w:val="24"/>
              </w:rPr>
              <w:t>Low</w:t>
            </w:r>
          </w:p>
        </w:tc>
      </w:tr>
      <w:tr w:rsidR="003D447B" w:rsidRPr="00C534A9" w:rsidTr="003D447B">
        <w:trPr>
          <w:trHeight w:val="315"/>
          <w:jc w:val="center"/>
        </w:trPr>
        <w:tc>
          <w:tcPr>
            <w:tcW w:w="2540" w:type="dxa"/>
            <w:tcBorders>
              <w:top w:val="nil"/>
              <w:left w:val="nil"/>
              <w:bottom w:val="nil"/>
              <w:right w:val="nil"/>
            </w:tcBorders>
            <w:shd w:val="clear" w:color="000000" w:fill="F2F2F2"/>
            <w:noWrap/>
            <w:vAlign w:val="center"/>
            <w:hideMark/>
          </w:tcPr>
          <w:p w:rsidR="003D447B" w:rsidRPr="00C534A9" w:rsidRDefault="003D447B" w:rsidP="00C534A9">
            <w:pPr>
              <w:spacing w:after="0" w:line="240" w:lineRule="auto"/>
              <w:jc w:val="both"/>
              <w:rPr>
                <w:rFonts w:ascii="Arial" w:eastAsia="Times New Roman" w:hAnsi="Arial" w:cs="Arial"/>
                <w:color w:val="000000"/>
                <w:sz w:val="22"/>
                <w:szCs w:val="24"/>
                <w:u w:val="single"/>
              </w:rPr>
            </w:pPr>
            <w:r w:rsidRPr="00C534A9">
              <w:rPr>
                <w:rFonts w:ascii="Arial" w:eastAsia="Times New Roman" w:hAnsi="Arial" w:cs="Arial"/>
                <w:color w:val="000000"/>
                <w:sz w:val="22"/>
                <w:szCs w:val="24"/>
                <w:u w:val="single"/>
              </w:rPr>
              <w:t>US$/tCO2:</w:t>
            </w:r>
          </w:p>
        </w:tc>
        <w:tc>
          <w:tcPr>
            <w:tcW w:w="1320" w:type="dxa"/>
            <w:tcBorders>
              <w:top w:val="nil"/>
              <w:left w:val="nil"/>
              <w:bottom w:val="nil"/>
              <w:right w:val="nil"/>
            </w:tcBorders>
            <w:shd w:val="clear" w:color="000000" w:fill="F2F2F2"/>
            <w:noWrap/>
            <w:vAlign w:val="center"/>
            <w:hideMark/>
          </w:tcPr>
          <w:p w:rsidR="003D447B" w:rsidRPr="00C534A9" w:rsidRDefault="003D447B" w:rsidP="00C534A9">
            <w:pPr>
              <w:spacing w:after="0" w:line="240" w:lineRule="auto"/>
              <w:jc w:val="both"/>
              <w:rPr>
                <w:rFonts w:ascii="Arial" w:eastAsia="Times New Roman" w:hAnsi="Arial" w:cs="Arial"/>
                <w:color w:val="000000"/>
                <w:sz w:val="22"/>
                <w:szCs w:val="24"/>
                <w:u w:val="single"/>
              </w:rPr>
            </w:pPr>
            <w:r w:rsidRPr="00C534A9">
              <w:rPr>
                <w:rFonts w:ascii="Arial" w:eastAsia="Times New Roman" w:hAnsi="Arial" w:cs="Arial"/>
                <w:color w:val="000000"/>
                <w:sz w:val="22"/>
                <w:szCs w:val="24"/>
                <w:u w:val="single"/>
              </w:rPr>
              <w:t>10.00</w:t>
            </w:r>
          </w:p>
        </w:tc>
        <w:tc>
          <w:tcPr>
            <w:tcW w:w="1320" w:type="dxa"/>
            <w:tcBorders>
              <w:top w:val="nil"/>
              <w:left w:val="nil"/>
              <w:bottom w:val="nil"/>
              <w:right w:val="nil"/>
            </w:tcBorders>
            <w:shd w:val="clear" w:color="000000" w:fill="F2F2F2"/>
            <w:noWrap/>
            <w:vAlign w:val="center"/>
            <w:hideMark/>
          </w:tcPr>
          <w:p w:rsidR="003D447B" w:rsidRPr="00C534A9" w:rsidRDefault="003D447B" w:rsidP="00C534A9">
            <w:pPr>
              <w:spacing w:after="0" w:line="240" w:lineRule="auto"/>
              <w:jc w:val="both"/>
              <w:rPr>
                <w:rFonts w:ascii="Arial" w:eastAsia="Times New Roman" w:hAnsi="Arial" w:cs="Arial"/>
                <w:color w:val="000000"/>
                <w:sz w:val="22"/>
                <w:szCs w:val="24"/>
                <w:u w:val="single"/>
              </w:rPr>
            </w:pPr>
            <w:r w:rsidRPr="00C534A9">
              <w:rPr>
                <w:rFonts w:ascii="Arial" w:eastAsia="Times New Roman" w:hAnsi="Arial" w:cs="Arial"/>
                <w:color w:val="000000"/>
                <w:sz w:val="22"/>
                <w:szCs w:val="24"/>
                <w:u w:val="single"/>
              </w:rPr>
              <w:t>15.00</w:t>
            </w:r>
          </w:p>
        </w:tc>
        <w:tc>
          <w:tcPr>
            <w:tcW w:w="1320" w:type="dxa"/>
            <w:tcBorders>
              <w:top w:val="nil"/>
              <w:left w:val="nil"/>
              <w:bottom w:val="nil"/>
              <w:right w:val="nil"/>
            </w:tcBorders>
            <w:shd w:val="clear" w:color="000000" w:fill="F2F2F2"/>
            <w:noWrap/>
            <w:vAlign w:val="center"/>
            <w:hideMark/>
          </w:tcPr>
          <w:p w:rsidR="003D447B" w:rsidRPr="00C534A9" w:rsidRDefault="003D447B" w:rsidP="00C534A9">
            <w:pPr>
              <w:spacing w:after="0" w:line="240" w:lineRule="auto"/>
              <w:jc w:val="both"/>
              <w:rPr>
                <w:rFonts w:ascii="Arial" w:eastAsia="Times New Roman" w:hAnsi="Arial" w:cs="Arial"/>
                <w:color w:val="000000"/>
                <w:sz w:val="22"/>
                <w:szCs w:val="24"/>
                <w:u w:val="single"/>
              </w:rPr>
            </w:pPr>
            <w:r w:rsidRPr="00C534A9">
              <w:rPr>
                <w:rFonts w:ascii="Arial" w:eastAsia="Times New Roman" w:hAnsi="Arial" w:cs="Arial"/>
                <w:color w:val="000000"/>
                <w:sz w:val="22"/>
                <w:szCs w:val="24"/>
                <w:u w:val="single"/>
              </w:rPr>
              <w:t>6.00</w:t>
            </w:r>
          </w:p>
        </w:tc>
      </w:tr>
      <w:tr w:rsidR="00F02666" w:rsidRPr="00C534A9" w:rsidTr="003D447B">
        <w:trPr>
          <w:trHeight w:val="315"/>
          <w:jc w:val="center"/>
        </w:trPr>
        <w:tc>
          <w:tcPr>
            <w:tcW w:w="2540" w:type="dxa"/>
            <w:tcBorders>
              <w:top w:val="nil"/>
              <w:left w:val="nil"/>
              <w:bottom w:val="nil"/>
              <w:right w:val="nil"/>
            </w:tcBorders>
            <w:shd w:val="clear" w:color="auto" w:fill="auto"/>
            <w:noWrap/>
            <w:vAlign w:val="center"/>
            <w:hideMark/>
          </w:tcPr>
          <w:p w:rsidR="00F02666" w:rsidRPr="00C534A9" w:rsidRDefault="00F02666"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Present Value - Benefits</w:t>
            </w:r>
          </w:p>
        </w:tc>
        <w:tc>
          <w:tcPr>
            <w:tcW w:w="1320" w:type="dxa"/>
            <w:tcBorders>
              <w:top w:val="nil"/>
              <w:left w:val="nil"/>
              <w:bottom w:val="nil"/>
              <w:right w:val="nil"/>
            </w:tcBorders>
            <w:shd w:val="clear" w:color="auto" w:fill="auto"/>
            <w:noWrap/>
            <w:vAlign w:val="center"/>
            <w:hideMark/>
          </w:tcPr>
          <w:p w:rsidR="00F02666" w:rsidRPr="00C534A9" w:rsidRDefault="00F02666"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$37,583 </w:t>
            </w:r>
          </w:p>
        </w:tc>
        <w:tc>
          <w:tcPr>
            <w:tcW w:w="1320" w:type="dxa"/>
            <w:tcBorders>
              <w:top w:val="nil"/>
              <w:left w:val="nil"/>
              <w:bottom w:val="nil"/>
              <w:right w:val="nil"/>
            </w:tcBorders>
            <w:shd w:val="clear" w:color="auto" w:fill="auto"/>
            <w:noWrap/>
            <w:vAlign w:val="center"/>
            <w:hideMark/>
          </w:tcPr>
          <w:p w:rsidR="00F02666" w:rsidRPr="00C534A9" w:rsidRDefault="00F02666"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$37,939 </w:t>
            </w:r>
          </w:p>
        </w:tc>
        <w:tc>
          <w:tcPr>
            <w:tcW w:w="1320" w:type="dxa"/>
            <w:tcBorders>
              <w:top w:val="nil"/>
              <w:left w:val="nil"/>
              <w:bottom w:val="nil"/>
              <w:right w:val="nil"/>
            </w:tcBorders>
            <w:shd w:val="clear" w:color="auto" w:fill="auto"/>
            <w:noWrap/>
            <w:vAlign w:val="center"/>
            <w:hideMark/>
          </w:tcPr>
          <w:p w:rsidR="00F02666" w:rsidRPr="00C534A9" w:rsidRDefault="00F02666"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$37,299 </w:t>
            </w:r>
          </w:p>
        </w:tc>
      </w:tr>
      <w:tr w:rsidR="00F02666" w:rsidRPr="00C534A9" w:rsidTr="003D447B">
        <w:trPr>
          <w:trHeight w:val="315"/>
          <w:jc w:val="center"/>
        </w:trPr>
        <w:tc>
          <w:tcPr>
            <w:tcW w:w="2540" w:type="dxa"/>
            <w:tcBorders>
              <w:top w:val="nil"/>
              <w:left w:val="nil"/>
              <w:bottom w:val="single" w:sz="4" w:space="0" w:color="auto"/>
              <w:right w:val="nil"/>
            </w:tcBorders>
            <w:shd w:val="clear" w:color="auto" w:fill="auto"/>
            <w:noWrap/>
            <w:vAlign w:val="center"/>
            <w:hideMark/>
          </w:tcPr>
          <w:p w:rsidR="00F02666" w:rsidRPr="00C534A9" w:rsidRDefault="00F02666"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Present Value  - Costs</w:t>
            </w:r>
          </w:p>
        </w:tc>
        <w:tc>
          <w:tcPr>
            <w:tcW w:w="1320" w:type="dxa"/>
            <w:tcBorders>
              <w:top w:val="nil"/>
              <w:left w:val="nil"/>
              <w:bottom w:val="single" w:sz="4" w:space="0" w:color="auto"/>
              <w:right w:val="nil"/>
            </w:tcBorders>
            <w:shd w:val="clear" w:color="auto" w:fill="auto"/>
            <w:noWrap/>
            <w:vAlign w:val="center"/>
            <w:hideMark/>
          </w:tcPr>
          <w:p w:rsidR="00F02666" w:rsidRPr="00C534A9" w:rsidRDefault="00F02666" w:rsidP="00C534A9">
            <w:pPr>
              <w:spacing w:after="0" w:line="240" w:lineRule="auto"/>
              <w:jc w:val="both"/>
              <w:rPr>
                <w:rFonts w:ascii="Arial" w:eastAsia="Times New Roman" w:hAnsi="Arial" w:cs="Arial"/>
                <w:color w:val="000000"/>
                <w:sz w:val="22"/>
                <w:szCs w:val="24"/>
              </w:rPr>
            </w:pPr>
            <w:r w:rsidRPr="00C534A9">
              <w:rPr>
                <w:rFonts w:ascii="Arial" w:hAnsi="Arial" w:cs="Arial"/>
                <w:color w:val="FF0000"/>
                <w:sz w:val="22"/>
              </w:rPr>
              <w:t>($28,391)</w:t>
            </w:r>
          </w:p>
        </w:tc>
        <w:tc>
          <w:tcPr>
            <w:tcW w:w="1320" w:type="dxa"/>
            <w:tcBorders>
              <w:top w:val="nil"/>
              <w:left w:val="nil"/>
              <w:bottom w:val="single" w:sz="4" w:space="0" w:color="auto"/>
              <w:right w:val="nil"/>
            </w:tcBorders>
            <w:shd w:val="clear" w:color="auto" w:fill="auto"/>
            <w:noWrap/>
            <w:vAlign w:val="center"/>
            <w:hideMark/>
          </w:tcPr>
          <w:p w:rsidR="00F02666" w:rsidRPr="00C534A9" w:rsidRDefault="00F02666" w:rsidP="00C534A9">
            <w:pPr>
              <w:spacing w:after="0" w:line="240" w:lineRule="auto"/>
              <w:jc w:val="both"/>
              <w:rPr>
                <w:rFonts w:ascii="Arial" w:eastAsia="Times New Roman" w:hAnsi="Arial" w:cs="Arial"/>
                <w:color w:val="000000"/>
                <w:sz w:val="22"/>
                <w:szCs w:val="24"/>
              </w:rPr>
            </w:pPr>
            <w:r w:rsidRPr="00C534A9">
              <w:rPr>
                <w:rFonts w:ascii="Arial" w:hAnsi="Arial" w:cs="Arial"/>
                <w:color w:val="FF0000"/>
                <w:sz w:val="22"/>
              </w:rPr>
              <w:t>($28,980)</w:t>
            </w:r>
          </w:p>
        </w:tc>
        <w:tc>
          <w:tcPr>
            <w:tcW w:w="1320" w:type="dxa"/>
            <w:tcBorders>
              <w:top w:val="nil"/>
              <w:left w:val="nil"/>
              <w:bottom w:val="single" w:sz="4" w:space="0" w:color="auto"/>
              <w:right w:val="nil"/>
            </w:tcBorders>
            <w:shd w:val="clear" w:color="auto" w:fill="auto"/>
            <w:noWrap/>
            <w:vAlign w:val="center"/>
            <w:hideMark/>
          </w:tcPr>
          <w:p w:rsidR="00F02666" w:rsidRPr="00C534A9" w:rsidRDefault="00F02666" w:rsidP="00C534A9">
            <w:pPr>
              <w:spacing w:after="0" w:line="240" w:lineRule="auto"/>
              <w:jc w:val="both"/>
              <w:rPr>
                <w:rFonts w:ascii="Arial" w:eastAsia="Times New Roman" w:hAnsi="Arial" w:cs="Arial"/>
                <w:color w:val="000000"/>
                <w:sz w:val="22"/>
                <w:szCs w:val="24"/>
              </w:rPr>
            </w:pPr>
            <w:r w:rsidRPr="00C534A9">
              <w:rPr>
                <w:rFonts w:ascii="Arial" w:hAnsi="Arial" w:cs="Arial"/>
                <w:color w:val="FF0000"/>
                <w:sz w:val="22"/>
              </w:rPr>
              <w:t>($27,920)</w:t>
            </w:r>
          </w:p>
        </w:tc>
      </w:tr>
      <w:tr w:rsidR="00F02666" w:rsidRPr="00C534A9" w:rsidTr="003D447B">
        <w:trPr>
          <w:trHeight w:val="315"/>
          <w:jc w:val="center"/>
        </w:trPr>
        <w:tc>
          <w:tcPr>
            <w:tcW w:w="2540" w:type="dxa"/>
            <w:tcBorders>
              <w:top w:val="nil"/>
              <w:left w:val="nil"/>
              <w:bottom w:val="nil"/>
              <w:right w:val="nil"/>
            </w:tcBorders>
            <w:shd w:val="clear" w:color="auto" w:fill="auto"/>
            <w:noWrap/>
            <w:vAlign w:val="center"/>
            <w:hideMark/>
          </w:tcPr>
          <w:p w:rsidR="00F02666" w:rsidRPr="00C534A9" w:rsidRDefault="00F02666"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Net Present Value</w:t>
            </w:r>
          </w:p>
        </w:tc>
        <w:tc>
          <w:tcPr>
            <w:tcW w:w="1320" w:type="dxa"/>
            <w:tcBorders>
              <w:top w:val="nil"/>
              <w:left w:val="nil"/>
              <w:bottom w:val="nil"/>
              <w:right w:val="nil"/>
            </w:tcBorders>
            <w:shd w:val="clear" w:color="auto" w:fill="auto"/>
            <w:noWrap/>
            <w:vAlign w:val="center"/>
            <w:hideMark/>
          </w:tcPr>
          <w:p w:rsidR="00F02666" w:rsidRPr="00C534A9" w:rsidRDefault="00F02666"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$9,192 </w:t>
            </w:r>
          </w:p>
        </w:tc>
        <w:tc>
          <w:tcPr>
            <w:tcW w:w="1320" w:type="dxa"/>
            <w:tcBorders>
              <w:top w:val="nil"/>
              <w:left w:val="nil"/>
              <w:bottom w:val="nil"/>
              <w:right w:val="nil"/>
            </w:tcBorders>
            <w:shd w:val="clear" w:color="auto" w:fill="auto"/>
            <w:noWrap/>
            <w:vAlign w:val="center"/>
            <w:hideMark/>
          </w:tcPr>
          <w:p w:rsidR="00F02666" w:rsidRPr="00C534A9" w:rsidRDefault="00F02666"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$8,959 </w:t>
            </w:r>
          </w:p>
        </w:tc>
        <w:tc>
          <w:tcPr>
            <w:tcW w:w="1320" w:type="dxa"/>
            <w:tcBorders>
              <w:top w:val="nil"/>
              <w:left w:val="nil"/>
              <w:bottom w:val="nil"/>
              <w:right w:val="nil"/>
            </w:tcBorders>
            <w:shd w:val="clear" w:color="auto" w:fill="auto"/>
            <w:noWrap/>
            <w:vAlign w:val="center"/>
            <w:hideMark/>
          </w:tcPr>
          <w:p w:rsidR="00F02666" w:rsidRPr="00C534A9" w:rsidRDefault="00F02666"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$9,379 </w:t>
            </w:r>
          </w:p>
        </w:tc>
      </w:tr>
      <w:tr w:rsidR="00F02666" w:rsidRPr="00C534A9" w:rsidTr="003D447B">
        <w:trPr>
          <w:trHeight w:val="315"/>
          <w:jc w:val="center"/>
        </w:trPr>
        <w:tc>
          <w:tcPr>
            <w:tcW w:w="2540" w:type="dxa"/>
            <w:tcBorders>
              <w:top w:val="nil"/>
              <w:left w:val="nil"/>
              <w:bottom w:val="nil"/>
              <w:right w:val="nil"/>
            </w:tcBorders>
            <w:shd w:val="clear" w:color="auto" w:fill="auto"/>
            <w:noWrap/>
            <w:vAlign w:val="center"/>
            <w:hideMark/>
          </w:tcPr>
          <w:p w:rsidR="00F02666" w:rsidRPr="00C534A9" w:rsidRDefault="00F02666"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IRR</w:t>
            </w:r>
          </w:p>
        </w:tc>
        <w:tc>
          <w:tcPr>
            <w:tcW w:w="1320" w:type="dxa"/>
            <w:tcBorders>
              <w:top w:val="nil"/>
              <w:left w:val="nil"/>
              <w:bottom w:val="nil"/>
              <w:right w:val="nil"/>
            </w:tcBorders>
            <w:shd w:val="clear" w:color="auto" w:fill="auto"/>
            <w:noWrap/>
            <w:vAlign w:val="center"/>
            <w:hideMark/>
          </w:tcPr>
          <w:p w:rsidR="00F02666" w:rsidRPr="00C534A9" w:rsidRDefault="00F02666"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27%</w:t>
            </w:r>
          </w:p>
        </w:tc>
        <w:tc>
          <w:tcPr>
            <w:tcW w:w="1320" w:type="dxa"/>
            <w:tcBorders>
              <w:top w:val="nil"/>
              <w:left w:val="nil"/>
              <w:bottom w:val="nil"/>
              <w:right w:val="nil"/>
            </w:tcBorders>
            <w:shd w:val="clear" w:color="auto" w:fill="auto"/>
            <w:noWrap/>
            <w:vAlign w:val="center"/>
            <w:hideMark/>
          </w:tcPr>
          <w:p w:rsidR="00F02666" w:rsidRPr="00C534A9" w:rsidRDefault="00F02666"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27%</w:t>
            </w:r>
          </w:p>
        </w:tc>
        <w:tc>
          <w:tcPr>
            <w:tcW w:w="1320" w:type="dxa"/>
            <w:tcBorders>
              <w:top w:val="nil"/>
              <w:left w:val="nil"/>
              <w:bottom w:val="nil"/>
              <w:right w:val="nil"/>
            </w:tcBorders>
            <w:shd w:val="clear" w:color="auto" w:fill="auto"/>
            <w:noWrap/>
            <w:vAlign w:val="center"/>
            <w:hideMark/>
          </w:tcPr>
          <w:p w:rsidR="00F02666" w:rsidRPr="00C534A9" w:rsidRDefault="00F02666"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27%</w:t>
            </w:r>
          </w:p>
        </w:tc>
      </w:tr>
    </w:tbl>
    <w:p w:rsidR="00A761A9" w:rsidRPr="00C534A9" w:rsidRDefault="00A761A9" w:rsidP="00C534A9">
      <w:pPr>
        <w:pStyle w:val="Source"/>
        <w:jc w:val="both"/>
        <w:rPr>
          <w:rFonts w:ascii="Arial" w:hAnsi="Arial" w:cs="Arial"/>
          <w:sz w:val="18"/>
        </w:rPr>
      </w:pPr>
    </w:p>
    <w:p w:rsidR="004E1D2E" w:rsidRPr="00C534A9" w:rsidRDefault="007531CB" w:rsidP="00C534A9">
      <w:pPr>
        <w:jc w:val="both"/>
        <w:rPr>
          <w:rFonts w:ascii="Arial" w:hAnsi="Arial" w:cs="Arial"/>
          <w:sz w:val="22"/>
        </w:rPr>
      </w:pPr>
      <w:r w:rsidRPr="00C534A9">
        <w:rPr>
          <w:rFonts w:ascii="Arial" w:hAnsi="Arial" w:cs="Arial"/>
          <w:sz w:val="22"/>
        </w:rPr>
        <w:t>In a “worst case” scenario in which all three variables are set to the Low value</w:t>
      </w:r>
      <w:r w:rsidR="004C6927" w:rsidRPr="00C534A9">
        <w:rPr>
          <w:rFonts w:ascii="Arial" w:hAnsi="Arial" w:cs="Arial"/>
          <w:sz w:val="22"/>
        </w:rPr>
        <w:t xml:space="preserve"> (</w:t>
      </w:r>
      <w:r w:rsidR="00FD62D2" w:rsidRPr="00C534A9">
        <w:rPr>
          <w:rFonts w:ascii="Arial" w:hAnsi="Arial" w:cs="Arial"/>
          <w:sz w:val="22"/>
        </w:rPr>
        <w:t>the</w:t>
      </w:r>
      <w:r w:rsidR="004C6927" w:rsidRPr="00C534A9">
        <w:rPr>
          <w:rFonts w:ascii="Arial" w:hAnsi="Arial" w:cs="Arial"/>
          <w:sz w:val="22"/>
        </w:rPr>
        <w:t xml:space="preserve"> low oil </w:t>
      </w:r>
      <w:r w:rsidR="00FD62D2" w:rsidRPr="00C534A9">
        <w:rPr>
          <w:rFonts w:ascii="Arial" w:hAnsi="Arial" w:cs="Arial"/>
          <w:sz w:val="22"/>
        </w:rPr>
        <w:t xml:space="preserve">and natural gas </w:t>
      </w:r>
      <w:r w:rsidR="004C6927" w:rsidRPr="00C534A9">
        <w:rPr>
          <w:rFonts w:ascii="Arial" w:hAnsi="Arial" w:cs="Arial"/>
          <w:sz w:val="22"/>
        </w:rPr>
        <w:t>price</w:t>
      </w:r>
      <w:r w:rsidR="00FD62D2" w:rsidRPr="00C534A9">
        <w:rPr>
          <w:rFonts w:ascii="Arial" w:hAnsi="Arial" w:cs="Arial"/>
          <w:sz w:val="22"/>
        </w:rPr>
        <w:t xml:space="preserve"> scenario </w:t>
      </w:r>
      <w:r w:rsidR="004C6927" w:rsidRPr="00C534A9">
        <w:rPr>
          <w:rFonts w:ascii="Arial" w:hAnsi="Arial" w:cs="Arial"/>
          <w:sz w:val="22"/>
        </w:rPr>
        <w:t>and low CO2 price)</w:t>
      </w:r>
      <w:proofErr w:type="gramStart"/>
      <w:r w:rsidRPr="00C534A9">
        <w:rPr>
          <w:rFonts w:ascii="Arial" w:hAnsi="Arial" w:cs="Arial"/>
          <w:sz w:val="22"/>
        </w:rPr>
        <w:t>,</w:t>
      </w:r>
      <w:proofErr w:type="gramEnd"/>
      <w:r w:rsidRPr="00C534A9">
        <w:rPr>
          <w:rFonts w:ascii="Arial" w:hAnsi="Arial" w:cs="Arial"/>
          <w:sz w:val="22"/>
        </w:rPr>
        <w:t xml:space="preserve"> t</w:t>
      </w:r>
      <w:r w:rsidR="004E1D2E" w:rsidRPr="00C534A9">
        <w:rPr>
          <w:rFonts w:ascii="Arial" w:hAnsi="Arial" w:cs="Arial"/>
          <w:sz w:val="22"/>
        </w:rPr>
        <w:t>he Micro-LNG sub-projects remain</w:t>
      </w:r>
      <w:r w:rsidRPr="00C534A9">
        <w:rPr>
          <w:rFonts w:ascii="Arial" w:hAnsi="Arial" w:cs="Arial"/>
          <w:sz w:val="22"/>
        </w:rPr>
        <w:t xml:space="preserve"> economically</w:t>
      </w:r>
      <w:r w:rsidR="004E1D2E" w:rsidRPr="00C534A9">
        <w:rPr>
          <w:rFonts w:ascii="Arial" w:hAnsi="Arial" w:cs="Arial"/>
          <w:sz w:val="22"/>
        </w:rPr>
        <w:t xml:space="preserve"> viable</w:t>
      </w:r>
      <w:r w:rsidRPr="00C534A9">
        <w:rPr>
          <w:rFonts w:ascii="Arial" w:hAnsi="Arial" w:cs="Arial"/>
          <w:sz w:val="22"/>
        </w:rPr>
        <w:t xml:space="preserve">. As shown in Figure 3.2, the </w:t>
      </w:r>
      <w:r w:rsidR="004E1D2E" w:rsidRPr="00C534A9">
        <w:rPr>
          <w:rFonts w:ascii="Arial" w:hAnsi="Arial" w:cs="Arial"/>
          <w:sz w:val="22"/>
        </w:rPr>
        <w:t xml:space="preserve">micro-LNG </w:t>
      </w:r>
      <w:r w:rsidRPr="00C534A9">
        <w:rPr>
          <w:rFonts w:ascii="Arial" w:hAnsi="Arial" w:cs="Arial"/>
          <w:sz w:val="22"/>
        </w:rPr>
        <w:t xml:space="preserve">facility expansion and compressor replacement under </w:t>
      </w:r>
      <w:r w:rsidR="004C6927" w:rsidRPr="00C534A9">
        <w:rPr>
          <w:rFonts w:ascii="Arial" w:hAnsi="Arial" w:cs="Arial"/>
          <w:sz w:val="22"/>
        </w:rPr>
        <w:t xml:space="preserve">this worst case </w:t>
      </w:r>
      <w:r w:rsidRPr="00C534A9">
        <w:rPr>
          <w:rFonts w:ascii="Arial" w:hAnsi="Arial" w:cs="Arial"/>
          <w:sz w:val="22"/>
        </w:rPr>
        <w:t xml:space="preserve">scenario still have an </w:t>
      </w:r>
      <w:r w:rsidR="004E1D2E" w:rsidRPr="00C534A9">
        <w:rPr>
          <w:rFonts w:ascii="Arial" w:hAnsi="Arial" w:cs="Arial"/>
          <w:sz w:val="22"/>
        </w:rPr>
        <w:t>economic NPV of US$</w:t>
      </w:r>
      <w:r w:rsidR="00F02666" w:rsidRPr="00C534A9">
        <w:rPr>
          <w:rFonts w:ascii="Arial" w:hAnsi="Arial" w:cs="Arial"/>
          <w:sz w:val="22"/>
        </w:rPr>
        <w:t>7.2</w:t>
      </w:r>
      <w:r w:rsidR="004E1D2E" w:rsidRPr="00C534A9">
        <w:rPr>
          <w:rFonts w:ascii="Arial" w:hAnsi="Arial" w:cs="Arial"/>
          <w:sz w:val="22"/>
        </w:rPr>
        <w:t xml:space="preserve"> million and EIRR </w:t>
      </w:r>
      <w:r w:rsidR="00F02666" w:rsidRPr="00C534A9">
        <w:rPr>
          <w:rFonts w:ascii="Arial" w:hAnsi="Arial" w:cs="Arial"/>
          <w:sz w:val="22"/>
        </w:rPr>
        <w:t>25</w:t>
      </w:r>
      <w:r w:rsidRPr="00C534A9">
        <w:rPr>
          <w:rFonts w:ascii="Arial" w:hAnsi="Arial" w:cs="Arial"/>
          <w:sz w:val="22"/>
        </w:rPr>
        <w:t>%.</w:t>
      </w:r>
    </w:p>
    <w:p w:rsidR="007531CB" w:rsidRPr="00C534A9" w:rsidRDefault="007531CB" w:rsidP="00D132E2">
      <w:pPr>
        <w:pStyle w:val="Caption"/>
        <w:jc w:val="both"/>
        <w:rPr>
          <w:rFonts w:ascii="Arial" w:hAnsi="Arial" w:cs="Arial"/>
          <w:sz w:val="22"/>
        </w:rPr>
      </w:pPr>
      <w:bookmarkStart w:id="77" w:name="_Toc463508972"/>
      <w:r w:rsidRPr="00C534A9">
        <w:rPr>
          <w:rFonts w:ascii="Arial" w:hAnsi="Arial" w:cs="Arial"/>
          <w:sz w:val="22"/>
        </w:rPr>
        <w:t>Figure 3.2: Net Economic Benefits of the micro-LNG facility expansion and compressor replacement sub-project under worst case scenario (‘000 US$)</w:t>
      </w:r>
      <w:bookmarkEnd w:id="77"/>
    </w:p>
    <w:p w:rsidR="006940A1" w:rsidRPr="00C534A9" w:rsidRDefault="00F02666" w:rsidP="00C534A9">
      <w:pPr>
        <w:pStyle w:val="Heading1"/>
        <w:jc w:val="both"/>
        <w:rPr>
          <w:rFonts w:ascii="Arial" w:hAnsi="Arial" w:cs="Arial"/>
          <w:sz w:val="24"/>
        </w:rPr>
      </w:pPr>
      <w:bookmarkStart w:id="78" w:name="_Toc464551503"/>
      <w:r w:rsidRPr="00C534A9">
        <w:rPr>
          <w:rFonts w:ascii="Arial" w:hAnsi="Arial" w:cs="Arial"/>
          <w:noProof/>
          <w:sz w:val="22"/>
        </w:rPr>
        <w:drawing>
          <wp:inline distT="0" distB="0" distL="0" distR="0" wp14:anchorId="09B9D379" wp14:editId="38F2855A">
            <wp:extent cx="4218940" cy="22739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8940" cy="2273935"/>
                    </a:xfrm>
                    <a:prstGeom prst="rect">
                      <a:avLst/>
                    </a:prstGeom>
                    <a:noFill/>
                  </pic:spPr>
                </pic:pic>
              </a:graphicData>
            </a:graphic>
          </wp:inline>
        </w:drawing>
      </w:r>
      <w:r w:rsidR="006940A1" w:rsidRPr="00C534A9">
        <w:rPr>
          <w:rFonts w:ascii="Arial" w:hAnsi="Arial" w:cs="Arial"/>
          <w:sz w:val="24"/>
        </w:rPr>
        <w:t xml:space="preserve">Cost Benefit Analysis of </w:t>
      </w:r>
      <w:r w:rsidR="00416EE9" w:rsidRPr="00C534A9">
        <w:rPr>
          <w:rFonts w:ascii="Arial" w:hAnsi="Arial" w:cs="Arial"/>
          <w:sz w:val="24"/>
        </w:rPr>
        <w:t>the Wind Turbine Sub-Project</w:t>
      </w:r>
      <w:bookmarkEnd w:id="78"/>
    </w:p>
    <w:p w:rsidR="006940A1" w:rsidRPr="00C534A9" w:rsidRDefault="006940A1" w:rsidP="00C534A9">
      <w:pPr>
        <w:jc w:val="both"/>
        <w:rPr>
          <w:rFonts w:ascii="Arial" w:hAnsi="Arial" w:cs="Arial"/>
          <w:sz w:val="22"/>
        </w:rPr>
      </w:pPr>
      <w:r w:rsidRPr="00C534A9">
        <w:rPr>
          <w:rFonts w:ascii="Arial" w:hAnsi="Arial" w:cs="Arial"/>
          <w:sz w:val="22"/>
        </w:rPr>
        <w:t xml:space="preserve">The purpose of this section is to determine whether </w:t>
      </w:r>
      <w:r w:rsidR="00810F5A" w:rsidRPr="00C534A9">
        <w:rPr>
          <w:rFonts w:ascii="Arial" w:hAnsi="Arial" w:cs="Arial"/>
          <w:sz w:val="22"/>
        </w:rPr>
        <w:t>the proposed 850 kW wind turbine</w:t>
      </w:r>
      <w:r w:rsidRPr="00C534A9">
        <w:rPr>
          <w:rFonts w:ascii="Arial" w:hAnsi="Arial" w:cs="Arial"/>
          <w:sz w:val="22"/>
        </w:rPr>
        <w:t xml:space="preserve"> </w:t>
      </w:r>
      <w:r w:rsidR="006B6437" w:rsidRPr="00C534A9">
        <w:rPr>
          <w:rFonts w:ascii="Arial" w:hAnsi="Arial" w:cs="Arial"/>
          <w:sz w:val="22"/>
        </w:rPr>
        <w:t xml:space="preserve">sub-project </w:t>
      </w:r>
      <w:r w:rsidRPr="00C534A9">
        <w:rPr>
          <w:rFonts w:ascii="Arial" w:hAnsi="Arial" w:cs="Arial"/>
          <w:sz w:val="22"/>
        </w:rPr>
        <w:t xml:space="preserve">is economically viable. To determine </w:t>
      </w:r>
      <w:r w:rsidR="00810F5A" w:rsidRPr="00C534A9">
        <w:rPr>
          <w:rFonts w:ascii="Arial" w:hAnsi="Arial" w:cs="Arial"/>
          <w:sz w:val="22"/>
        </w:rPr>
        <w:t>the wind turbine</w:t>
      </w:r>
      <w:r w:rsidRPr="00C534A9">
        <w:rPr>
          <w:rFonts w:ascii="Arial" w:hAnsi="Arial" w:cs="Arial"/>
          <w:sz w:val="22"/>
        </w:rPr>
        <w:t xml:space="preserve">’s economic viability, a Cost Benefit Analysis (CBA) </w:t>
      </w:r>
      <w:r w:rsidR="009F2643" w:rsidRPr="00C534A9">
        <w:rPr>
          <w:rFonts w:ascii="Arial" w:hAnsi="Arial" w:cs="Arial"/>
          <w:sz w:val="22"/>
        </w:rPr>
        <w:t xml:space="preserve">was performed </w:t>
      </w:r>
      <w:r w:rsidRPr="00C534A9">
        <w:rPr>
          <w:rFonts w:ascii="Arial" w:hAnsi="Arial" w:cs="Arial"/>
          <w:sz w:val="22"/>
        </w:rPr>
        <w:t xml:space="preserve">of the </w:t>
      </w:r>
      <w:r w:rsidR="006B6437" w:rsidRPr="00C534A9">
        <w:rPr>
          <w:rFonts w:ascii="Arial" w:hAnsi="Arial" w:cs="Arial"/>
          <w:sz w:val="22"/>
        </w:rPr>
        <w:t>economic costs and benefits of installing the wind turbine</w:t>
      </w:r>
      <w:r w:rsidRPr="00C534A9">
        <w:rPr>
          <w:rFonts w:ascii="Arial" w:hAnsi="Arial" w:cs="Arial"/>
          <w:sz w:val="22"/>
        </w:rPr>
        <w:t xml:space="preserve">. </w:t>
      </w:r>
      <w:r w:rsidR="009F2643" w:rsidRPr="00C534A9">
        <w:rPr>
          <w:rFonts w:ascii="Arial" w:hAnsi="Arial" w:cs="Arial"/>
          <w:sz w:val="22"/>
        </w:rPr>
        <w:t>T</w:t>
      </w:r>
      <w:r w:rsidRPr="00C534A9">
        <w:rPr>
          <w:rFonts w:ascii="Arial" w:hAnsi="Arial" w:cs="Arial"/>
          <w:sz w:val="22"/>
        </w:rPr>
        <w:t xml:space="preserve">he </w:t>
      </w:r>
      <w:r w:rsidR="006B6437" w:rsidRPr="00C534A9">
        <w:rPr>
          <w:rFonts w:ascii="Arial" w:hAnsi="Arial" w:cs="Arial"/>
          <w:sz w:val="22"/>
        </w:rPr>
        <w:t xml:space="preserve">sub-project </w:t>
      </w:r>
      <w:r w:rsidR="009F2643" w:rsidRPr="00C534A9">
        <w:rPr>
          <w:rFonts w:ascii="Arial" w:hAnsi="Arial" w:cs="Arial"/>
          <w:sz w:val="22"/>
        </w:rPr>
        <w:t xml:space="preserve">was found to have </w:t>
      </w:r>
      <w:r w:rsidR="006B6437" w:rsidRPr="00C534A9">
        <w:rPr>
          <w:rFonts w:ascii="Arial" w:hAnsi="Arial" w:cs="Arial"/>
          <w:sz w:val="22"/>
        </w:rPr>
        <w:t xml:space="preserve">a </w:t>
      </w:r>
      <w:r w:rsidRPr="00C534A9">
        <w:rPr>
          <w:rFonts w:ascii="Arial" w:hAnsi="Arial" w:cs="Arial"/>
          <w:sz w:val="22"/>
        </w:rPr>
        <w:t>net present value (NPV) of approximately US$</w:t>
      </w:r>
      <w:r w:rsidR="00F469E3" w:rsidRPr="00C534A9">
        <w:rPr>
          <w:rFonts w:ascii="Arial" w:hAnsi="Arial" w:cs="Arial"/>
          <w:sz w:val="22"/>
        </w:rPr>
        <w:t>0.</w:t>
      </w:r>
      <w:r w:rsidR="007545BC" w:rsidRPr="00C534A9">
        <w:rPr>
          <w:rFonts w:ascii="Arial" w:hAnsi="Arial" w:cs="Arial"/>
          <w:sz w:val="22"/>
        </w:rPr>
        <w:t xml:space="preserve">57 </w:t>
      </w:r>
      <w:r w:rsidRPr="00C534A9">
        <w:rPr>
          <w:rFonts w:ascii="Arial" w:hAnsi="Arial" w:cs="Arial"/>
          <w:sz w:val="22"/>
        </w:rPr>
        <w:t>million and</w:t>
      </w:r>
      <w:r w:rsidR="00F469E3" w:rsidRPr="00C534A9">
        <w:rPr>
          <w:rFonts w:ascii="Arial" w:hAnsi="Arial" w:cs="Arial"/>
          <w:sz w:val="22"/>
        </w:rPr>
        <w:t xml:space="preserve"> an</w:t>
      </w:r>
      <w:r w:rsidRPr="00C534A9">
        <w:rPr>
          <w:rFonts w:ascii="Arial" w:hAnsi="Arial" w:cs="Arial"/>
          <w:sz w:val="22"/>
        </w:rPr>
        <w:t xml:space="preserve"> internal rate of return of </w:t>
      </w:r>
      <w:r w:rsidR="007545BC" w:rsidRPr="00C534A9">
        <w:rPr>
          <w:rFonts w:ascii="Arial" w:hAnsi="Arial" w:cs="Arial"/>
          <w:sz w:val="22"/>
        </w:rPr>
        <w:t>17</w:t>
      </w:r>
      <w:r w:rsidRPr="00C534A9">
        <w:rPr>
          <w:rFonts w:ascii="Arial" w:hAnsi="Arial" w:cs="Arial"/>
          <w:sz w:val="22"/>
        </w:rPr>
        <w:t xml:space="preserve">% percent. That is, the </w:t>
      </w:r>
      <w:r w:rsidR="006B6437" w:rsidRPr="00C534A9">
        <w:rPr>
          <w:rFonts w:ascii="Arial" w:hAnsi="Arial" w:cs="Arial"/>
          <w:sz w:val="22"/>
        </w:rPr>
        <w:t>wind turbine sub-project is</w:t>
      </w:r>
      <w:r w:rsidRPr="00C534A9">
        <w:rPr>
          <w:rFonts w:ascii="Arial" w:hAnsi="Arial" w:cs="Arial"/>
          <w:sz w:val="22"/>
        </w:rPr>
        <w:t xml:space="preserve"> economically viable. </w:t>
      </w:r>
    </w:p>
    <w:p w:rsidR="006940A1" w:rsidRPr="00C534A9" w:rsidRDefault="006940A1" w:rsidP="00C534A9">
      <w:pPr>
        <w:jc w:val="both"/>
        <w:rPr>
          <w:rFonts w:ascii="Arial" w:hAnsi="Arial" w:cs="Arial"/>
          <w:sz w:val="22"/>
        </w:rPr>
      </w:pPr>
      <w:r w:rsidRPr="00C534A9">
        <w:rPr>
          <w:rFonts w:ascii="Arial" w:hAnsi="Arial" w:cs="Arial"/>
          <w:sz w:val="22"/>
        </w:rPr>
        <w:t xml:space="preserve">The analysis to calculate the net present value of </w:t>
      </w:r>
      <w:r w:rsidR="00C17DB7" w:rsidRPr="00C534A9">
        <w:rPr>
          <w:rFonts w:ascii="Arial" w:hAnsi="Arial" w:cs="Arial"/>
          <w:sz w:val="22"/>
        </w:rPr>
        <w:t>the</w:t>
      </w:r>
      <w:r w:rsidRPr="00C534A9">
        <w:rPr>
          <w:rFonts w:ascii="Arial" w:hAnsi="Arial" w:cs="Arial"/>
          <w:sz w:val="22"/>
        </w:rPr>
        <w:t xml:space="preserve"> </w:t>
      </w:r>
      <w:r w:rsidR="00C17DB7" w:rsidRPr="00C534A9">
        <w:rPr>
          <w:rFonts w:ascii="Arial" w:hAnsi="Arial" w:cs="Arial"/>
          <w:sz w:val="22"/>
        </w:rPr>
        <w:t>wind turbine</w:t>
      </w:r>
      <w:r w:rsidR="006B6437" w:rsidRPr="00C534A9">
        <w:rPr>
          <w:rFonts w:ascii="Arial" w:hAnsi="Arial" w:cs="Arial"/>
          <w:sz w:val="22"/>
        </w:rPr>
        <w:t xml:space="preserve"> sub-project</w:t>
      </w:r>
      <w:r w:rsidRPr="00C534A9">
        <w:rPr>
          <w:rFonts w:ascii="Arial" w:hAnsi="Arial" w:cs="Arial"/>
          <w:sz w:val="22"/>
        </w:rPr>
        <w:t xml:space="preserve"> is presented as follows: </w:t>
      </w:r>
    </w:p>
    <w:p w:rsidR="006940A1" w:rsidRPr="00C534A9" w:rsidRDefault="006940A1" w:rsidP="00C534A9">
      <w:pPr>
        <w:pStyle w:val="ListParagraph"/>
        <w:numPr>
          <w:ilvl w:val="0"/>
          <w:numId w:val="16"/>
        </w:numPr>
        <w:jc w:val="both"/>
        <w:rPr>
          <w:rFonts w:ascii="Arial" w:hAnsi="Arial" w:cs="Arial"/>
          <w:sz w:val="22"/>
        </w:rPr>
      </w:pPr>
      <w:r w:rsidRPr="00C534A9">
        <w:rPr>
          <w:rFonts w:ascii="Arial" w:hAnsi="Arial" w:cs="Arial"/>
          <w:sz w:val="22"/>
        </w:rPr>
        <w:t>Methodology and Assumptions (Section</w:t>
      </w:r>
      <w:r w:rsidR="008A1DD9" w:rsidRPr="00C534A9">
        <w:rPr>
          <w:rFonts w:ascii="Arial" w:hAnsi="Arial" w:cs="Arial"/>
          <w:sz w:val="22"/>
        </w:rPr>
        <w:t xml:space="preserve"> 4.1</w:t>
      </w:r>
      <w:r w:rsidRPr="00C534A9">
        <w:rPr>
          <w:rFonts w:ascii="Arial" w:hAnsi="Arial" w:cs="Arial"/>
          <w:sz w:val="22"/>
        </w:rPr>
        <w:t>)</w:t>
      </w:r>
    </w:p>
    <w:p w:rsidR="006940A1" w:rsidRPr="00C534A9" w:rsidRDefault="006940A1" w:rsidP="00C534A9">
      <w:pPr>
        <w:pStyle w:val="ListParagraph"/>
        <w:numPr>
          <w:ilvl w:val="0"/>
          <w:numId w:val="16"/>
        </w:numPr>
        <w:jc w:val="both"/>
        <w:rPr>
          <w:rFonts w:ascii="Arial" w:hAnsi="Arial" w:cs="Arial"/>
          <w:sz w:val="22"/>
        </w:rPr>
      </w:pPr>
      <w:r w:rsidRPr="00C534A9">
        <w:rPr>
          <w:rFonts w:ascii="Arial" w:hAnsi="Arial" w:cs="Arial"/>
          <w:sz w:val="22"/>
        </w:rPr>
        <w:t xml:space="preserve">Economic Costs, Economic Benefits, and Net Economic Benefits of the </w:t>
      </w:r>
      <w:r w:rsidR="006B6437" w:rsidRPr="00C534A9">
        <w:rPr>
          <w:rFonts w:ascii="Arial" w:hAnsi="Arial" w:cs="Arial"/>
          <w:sz w:val="22"/>
        </w:rPr>
        <w:t>wind turbine sub-project</w:t>
      </w:r>
      <w:r w:rsidRPr="00C534A9">
        <w:rPr>
          <w:rFonts w:ascii="Arial" w:hAnsi="Arial" w:cs="Arial"/>
          <w:sz w:val="22"/>
        </w:rPr>
        <w:t xml:space="preserve"> (Section</w:t>
      </w:r>
      <w:r w:rsidR="008A1DD9" w:rsidRPr="00C534A9">
        <w:rPr>
          <w:rFonts w:ascii="Arial" w:hAnsi="Arial" w:cs="Arial"/>
          <w:sz w:val="22"/>
        </w:rPr>
        <w:t xml:space="preserve"> 4.2</w:t>
      </w:r>
      <w:r w:rsidRPr="00C534A9">
        <w:rPr>
          <w:rFonts w:ascii="Arial" w:hAnsi="Arial" w:cs="Arial"/>
          <w:sz w:val="22"/>
        </w:rPr>
        <w:t>)</w:t>
      </w:r>
    </w:p>
    <w:p w:rsidR="006940A1" w:rsidRPr="00C534A9" w:rsidRDefault="006940A1" w:rsidP="00C534A9">
      <w:pPr>
        <w:pStyle w:val="ListParagraph"/>
        <w:numPr>
          <w:ilvl w:val="0"/>
          <w:numId w:val="16"/>
        </w:numPr>
        <w:jc w:val="both"/>
        <w:rPr>
          <w:rFonts w:ascii="Arial" w:hAnsi="Arial" w:cs="Arial"/>
          <w:sz w:val="22"/>
        </w:rPr>
      </w:pPr>
      <w:r w:rsidRPr="00C534A9">
        <w:rPr>
          <w:rFonts w:ascii="Arial" w:hAnsi="Arial" w:cs="Arial"/>
          <w:sz w:val="22"/>
        </w:rPr>
        <w:t xml:space="preserve">Sensitivity Analysis of the </w:t>
      </w:r>
      <w:r w:rsidR="006B6437" w:rsidRPr="00C534A9">
        <w:rPr>
          <w:rFonts w:ascii="Arial" w:hAnsi="Arial" w:cs="Arial"/>
          <w:sz w:val="22"/>
        </w:rPr>
        <w:t>wind turbine sub-project</w:t>
      </w:r>
      <w:r w:rsidRPr="00C534A9">
        <w:rPr>
          <w:rFonts w:ascii="Arial" w:hAnsi="Arial" w:cs="Arial"/>
          <w:sz w:val="22"/>
        </w:rPr>
        <w:t xml:space="preserve"> (Section</w:t>
      </w:r>
      <w:r w:rsidR="008A1DD9" w:rsidRPr="00C534A9">
        <w:rPr>
          <w:rFonts w:ascii="Arial" w:hAnsi="Arial" w:cs="Arial"/>
          <w:sz w:val="22"/>
        </w:rPr>
        <w:t xml:space="preserve"> 4.3</w:t>
      </w:r>
      <w:r w:rsidRPr="00C534A9">
        <w:rPr>
          <w:rFonts w:ascii="Arial" w:hAnsi="Arial" w:cs="Arial"/>
          <w:sz w:val="22"/>
        </w:rPr>
        <w:t>)</w:t>
      </w:r>
    </w:p>
    <w:p w:rsidR="006940A1" w:rsidRPr="00C534A9" w:rsidRDefault="006940A1" w:rsidP="00C534A9">
      <w:pPr>
        <w:pStyle w:val="Caption"/>
        <w:jc w:val="both"/>
        <w:rPr>
          <w:rFonts w:ascii="Arial" w:hAnsi="Arial" w:cs="Arial"/>
          <w:sz w:val="22"/>
        </w:rPr>
      </w:pPr>
      <w:bookmarkStart w:id="79" w:name="_Toc463508505"/>
      <w:bookmarkStart w:id="80" w:name="_Toc463508973"/>
      <w:proofErr w:type="gramStart"/>
      <w:r w:rsidRPr="00C534A9">
        <w:rPr>
          <w:rFonts w:ascii="Arial" w:hAnsi="Arial" w:cs="Arial"/>
          <w:sz w:val="22"/>
        </w:rPr>
        <w:t xml:space="preserve">Figure </w:t>
      </w:r>
      <w:r w:rsidR="007D6B36" w:rsidRPr="00C534A9">
        <w:rPr>
          <w:rFonts w:ascii="Arial" w:hAnsi="Arial" w:cs="Arial"/>
          <w:sz w:val="22"/>
        </w:rPr>
        <w:fldChar w:fldCharType="begin"/>
      </w:r>
      <w:r w:rsidR="007D6B36" w:rsidRPr="00C534A9">
        <w:rPr>
          <w:rFonts w:ascii="Arial" w:hAnsi="Arial" w:cs="Arial"/>
          <w:sz w:val="22"/>
        </w:rPr>
        <w:instrText xml:space="preserve"> STYLEREF 1 \s </w:instrText>
      </w:r>
      <w:r w:rsidR="007D6B36" w:rsidRPr="00C534A9">
        <w:rPr>
          <w:rFonts w:ascii="Arial" w:hAnsi="Arial" w:cs="Arial"/>
          <w:sz w:val="22"/>
        </w:rPr>
        <w:fldChar w:fldCharType="separate"/>
      </w:r>
      <w:r w:rsidR="003F3D75" w:rsidRPr="00C534A9">
        <w:rPr>
          <w:rFonts w:ascii="Arial" w:hAnsi="Arial" w:cs="Arial"/>
          <w:noProof/>
          <w:sz w:val="22"/>
        </w:rPr>
        <w:t>4</w:t>
      </w:r>
      <w:r w:rsidR="007D6B36" w:rsidRPr="00C534A9">
        <w:rPr>
          <w:rFonts w:ascii="Arial" w:hAnsi="Arial" w:cs="Arial"/>
          <w:noProof/>
          <w:sz w:val="22"/>
        </w:rPr>
        <w:fldChar w:fldCharType="end"/>
      </w:r>
      <w:r w:rsidRPr="00C534A9">
        <w:rPr>
          <w:rFonts w:ascii="Arial" w:hAnsi="Arial" w:cs="Arial"/>
          <w:sz w:val="22"/>
        </w:rPr>
        <w:t>.</w:t>
      </w:r>
      <w:proofErr w:type="gramEnd"/>
      <w:r w:rsidR="003343DE" w:rsidRPr="00C534A9">
        <w:rPr>
          <w:rFonts w:ascii="Arial" w:hAnsi="Arial" w:cs="Arial"/>
          <w:sz w:val="22"/>
        </w:rPr>
        <w:fldChar w:fldCharType="begin"/>
      </w:r>
      <w:r w:rsidR="003343DE" w:rsidRPr="00C534A9">
        <w:rPr>
          <w:rFonts w:ascii="Arial" w:hAnsi="Arial" w:cs="Arial"/>
          <w:sz w:val="22"/>
        </w:rPr>
        <w:instrText xml:space="preserve"> SEQ Figure \* ARABIC \s 1 </w:instrText>
      </w:r>
      <w:r w:rsidR="003343DE" w:rsidRPr="00C534A9">
        <w:rPr>
          <w:rFonts w:ascii="Arial" w:hAnsi="Arial" w:cs="Arial"/>
          <w:sz w:val="22"/>
        </w:rPr>
        <w:fldChar w:fldCharType="separate"/>
      </w:r>
      <w:r w:rsidR="003F3D75" w:rsidRPr="00C534A9">
        <w:rPr>
          <w:rFonts w:ascii="Arial" w:hAnsi="Arial" w:cs="Arial"/>
          <w:noProof/>
          <w:sz w:val="22"/>
        </w:rPr>
        <w:t>1</w:t>
      </w:r>
      <w:r w:rsidR="003343DE" w:rsidRPr="00C534A9">
        <w:rPr>
          <w:rFonts w:ascii="Arial" w:hAnsi="Arial" w:cs="Arial"/>
          <w:noProof/>
          <w:sz w:val="22"/>
        </w:rPr>
        <w:fldChar w:fldCharType="end"/>
      </w:r>
      <w:r w:rsidRPr="00C534A9">
        <w:rPr>
          <w:rFonts w:ascii="Arial" w:hAnsi="Arial" w:cs="Arial"/>
          <w:sz w:val="22"/>
        </w:rPr>
        <w:t xml:space="preserve">: Net Economic Benefits of </w:t>
      </w:r>
      <w:r w:rsidR="00810F5A" w:rsidRPr="00C534A9">
        <w:rPr>
          <w:rFonts w:ascii="Arial" w:hAnsi="Arial" w:cs="Arial"/>
          <w:sz w:val="22"/>
        </w:rPr>
        <w:t>the wind turbine</w:t>
      </w:r>
      <w:r w:rsidR="003A6A5C" w:rsidRPr="00C534A9">
        <w:rPr>
          <w:rFonts w:ascii="Arial" w:hAnsi="Arial" w:cs="Arial"/>
          <w:sz w:val="22"/>
        </w:rPr>
        <w:t xml:space="preserve"> (US$ ‘000)</w:t>
      </w:r>
      <w:bookmarkEnd w:id="79"/>
      <w:bookmarkEnd w:id="80"/>
    </w:p>
    <w:p w:rsidR="007065A3" w:rsidRPr="00C534A9" w:rsidRDefault="007545BC" w:rsidP="00C534A9">
      <w:pPr>
        <w:jc w:val="both"/>
        <w:rPr>
          <w:rFonts w:ascii="Arial" w:hAnsi="Arial" w:cs="Arial"/>
          <w:sz w:val="22"/>
        </w:rPr>
      </w:pPr>
      <w:r w:rsidRPr="00C534A9">
        <w:rPr>
          <w:rFonts w:ascii="Arial" w:hAnsi="Arial" w:cs="Arial"/>
          <w:noProof/>
          <w:sz w:val="22"/>
        </w:rPr>
        <w:drawing>
          <wp:inline distT="0" distB="0" distL="0" distR="0" wp14:anchorId="4AF2909B" wp14:editId="56A26C04">
            <wp:extent cx="4218940" cy="22739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18940" cy="2273935"/>
                    </a:xfrm>
                    <a:prstGeom prst="rect">
                      <a:avLst/>
                    </a:prstGeom>
                    <a:noFill/>
                  </pic:spPr>
                </pic:pic>
              </a:graphicData>
            </a:graphic>
          </wp:inline>
        </w:drawing>
      </w:r>
    </w:p>
    <w:p w:rsidR="006940A1" w:rsidRPr="00C534A9" w:rsidRDefault="006940A1" w:rsidP="00C534A9">
      <w:pPr>
        <w:pStyle w:val="Source"/>
        <w:jc w:val="both"/>
        <w:rPr>
          <w:rFonts w:ascii="Arial" w:hAnsi="Arial" w:cs="Arial"/>
          <w:sz w:val="18"/>
        </w:rPr>
      </w:pPr>
    </w:p>
    <w:p w:rsidR="006940A1" w:rsidRPr="00C534A9" w:rsidRDefault="006940A1" w:rsidP="00C534A9">
      <w:pPr>
        <w:pStyle w:val="Heading2"/>
        <w:jc w:val="both"/>
        <w:rPr>
          <w:rFonts w:ascii="Arial" w:hAnsi="Arial" w:cs="Arial"/>
          <w:sz w:val="24"/>
        </w:rPr>
      </w:pPr>
      <w:bookmarkStart w:id="81" w:name="_Toc464551504"/>
      <w:r w:rsidRPr="00C534A9">
        <w:rPr>
          <w:rFonts w:ascii="Arial" w:hAnsi="Arial" w:cs="Arial"/>
          <w:sz w:val="24"/>
        </w:rPr>
        <w:t>Methodology and Assumptions</w:t>
      </w:r>
      <w:bookmarkEnd w:id="81"/>
    </w:p>
    <w:p w:rsidR="006940A1" w:rsidRPr="00C534A9" w:rsidRDefault="006940A1" w:rsidP="00C534A9">
      <w:pPr>
        <w:jc w:val="both"/>
        <w:rPr>
          <w:rFonts w:ascii="Arial" w:hAnsi="Arial" w:cs="Arial"/>
          <w:sz w:val="22"/>
        </w:rPr>
      </w:pPr>
      <w:r w:rsidRPr="00C534A9">
        <w:rPr>
          <w:rFonts w:ascii="Arial" w:hAnsi="Arial" w:cs="Arial"/>
          <w:sz w:val="22"/>
        </w:rPr>
        <w:t xml:space="preserve">The objective of the CBA methodology is to determine whether or not </w:t>
      </w:r>
      <w:r w:rsidR="00504FB7" w:rsidRPr="00C534A9">
        <w:rPr>
          <w:rFonts w:ascii="Arial" w:hAnsi="Arial" w:cs="Arial"/>
          <w:sz w:val="22"/>
        </w:rPr>
        <w:t>the wind turbine</w:t>
      </w:r>
      <w:r w:rsidRPr="00C534A9">
        <w:rPr>
          <w:rFonts w:ascii="Arial" w:hAnsi="Arial" w:cs="Arial"/>
          <w:sz w:val="22"/>
        </w:rPr>
        <w:t xml:space="preserve"> </w:t>
      </w:r>
      <w:r w:rsidR="006B6437" w:rsidRPr="00C534A9">
        <w:rPr>
          <w:rFonts w:ascii="Arial" w:hAnsi="Arial" w:cs="Arial"/>
          <w:sz w:val="22"/>
        </w:rPr>
        <w:t xml:space="preserve">sub-project </w:t>
      </w:r>
      <w:r w:rsidRPr="00C534A9">
        <w:rPr>
          <w:rFonts w:ascii="Arial" w:hAnsi="Arial" w:cs="Arial"/>
          <w:sz w:val="22"/>
        </w:rPr>
        <w:t xml:space="preserve">is economically viable. This is accomplished by estimating the net benefits of the </w:t>
      </w:r>
      <w:r w:rsidR="00504FB7" w:rsidRPr="00C534A9">
        <w:rPr>
          <w:rFonts w:ascii="Arial" w:hAnsi="Arial" w:cs="Arial"/>
          <w:sz w:val="22"/>
        </w:rPr>
        <w:t>wind turbine</w:t>
      </w:r>
      <w:r w:rsidRPr="00C534A9">
        <w:rPr>
          <w:rFonts w:ascii="Arial" w:hAnsi="Arial" w:cs="Arial"/>
          <w:sz w:val="22"/>
        </w:rPr>
        <w:t xml:space="preserve"> </w:t>
      </w:r>
      <w:r w:rsidR="006B6437" w:rsidRPr="00C534A9">
        <w:rPr>
          <w:rFonts w:ascii="Arial" w:hAnsi="Arial" w:cs="Arial"/>
          <w:sz w:val="22"/>
        </w:rPr>
        <w:t xml:space="preserve">sub-project </w:t>
      </w:r>
      <w:r w:rsidRPr="00C534A9">
        <w:rPr>
          <w:rFonts w:ascii="Arial" w:hAnsi="Arial" w:cs="Arial"/>
          <w:sz w:val="22"/>
        </w:rPr>
        <w:t xml:space="preserve">that will be financed by the </w:t>
      </w:r>
      <w:r w:rsidR="00504FB7" w:rsidRPr="00C534A9">
        <w:rPr>
          <w:rFonts w:ascii="Arial" w:hAnsi="Arial" w:cs="Arial"/>
          <w:sz w:val="22"/>
        </w:rPr>
        <w:t>loan</w:t>
      </w:r>
      <w:r w:rsidRPr="00C534A9">
        <w:rPr>
          <w:rFonts w:ascii="Arial" w:hAnsi="Arial" w:cs="Arial"/>
          <w:sz w:val="22"/>
        </w:rPr>
        <w:t xml:space="preserve">. </w:t>
      </w:r>
    </w:p>
    <w:p w:rsidR="006940A1" w:rsidRPr="00C534A9" w:rsidRDefault="009F2643" w:rsidP="00C534A9">
      <w:pPr>
        <w:jc w:val="both"/>
        <w:rPr>
          <w:rFonts w:ascii="Arial" w:hAnsi="Arial" w:cs="Arial"/>
          <w:sz w:val="22"/>
        </w:rPr>
      </w:pPr>
      <w:r w:rsidRPr="00C534A9">
        <w:rPr>
          <w:rFonts w:ascii="Arial" w:hAnsi="Arial" w:cs="Arial"/>
          <w:sz w:val="22"/>
        </w:rPr>
        <w:t>T</w:t>
      </w:r>
      <w:r w:rsidR="006940A1" w:rsidRPr="00C534A9">
        <w:rPr>
          <w:rFonts w:ascii="Arial" w:hAnsi="Arial" w:cs="Arial"/>
          <w:sz w:val="22"/>
        </w:rPr>
        <w:t xml:space="preserve">he </w:t>
      </w:r>
      <w:r w:rsidR="00504FB7" w:rsidRPr="00C534A9">
        <w:rPr>
          <w:rFonts w:ascii="Arial" w:hAnsi="Arial" w:cs="Arial"/>
          <w:sz w:val="22"/>
        </w:rPr>
        <w:t>wind turbine</w:t>
      </w:r>
      <w:r w:rsidR="006B6437" w:rsidRPr="00C534A9">
        <w:rPr>
          <w:rFonts w:ascii="Arial" w:hAnsi="Arial" w:cs="Arial"/>
          <w:sz w:val="22"/>
        </w:rPr>
        <w:t xml:space="preserve"> sub-project</w:t>
      </w:r>
      <w:r w:rsidR="006940A1" w:rsidRPr="00C534A9">
        <w:rPr>
          <w:rFonts w:ascii="Arial" w:hAnsi="Arial" w:cs="Arial"/>
          <w:sz w:val="22"/>
        </w:rPr>
        <w:t xml:space="preserve">’s net benefits </w:t>
      </w:r>
      <w:r w:rsidRPr="00C534A9">
        <w:rPr>
          <w:rFonts w:ascii="Arial" w:hAnsi="Arial" w:cs="Arial"/>
          <w:sz w:val="22"/>
        </w:rPr>
        <w:t xml:space="preserve">were determined </w:t>
      </w:r>
      <w:r w:rsidR="006940A1" w:rsidRPr="00C534A9">
        <w:rPr>
          <w:rFonts w:ascii="Arial" w:hAnsi="Arial" w:cs="Arial"/>
          <w:sz w:val="22"/>
        </w:rPr>
        <w:t xml:space="preserve">by calculating the difference in </w:t>
      </w:r>
      <w:r w:rsidR="006B6437" w:rsidRPr="00C534A9">
        <w:rPr>
          <w:rFonts w:ascii="Arial" w:hAnsi="Arial" w:cs="Arial"/>
          <w:sz w:val="22"/>
        </w:rPr>
        <w:t>the cost of fuel imports and greenhouse gas emissions</w:t>
      </w:r>
      <w:r w:rsidR="006940A1" w:rsidRPr="00C534A9">
        <w:rPr>
          <w:rFonts w:ascii="Arial" w:hAnsi="Arial" w:cs="Arial"/>
          <w:sz w:val="22"/>
        </w:rPr>
        <w:t xml:space="preserve"> between the </w:t>
      </w:r>
      <w:r w:rsidR="006B6437" w:rsidRPr="00C534A9">
        <w:rPr>
          <w:rFonts w:ascii="Arial" w:hAnsi="Arial" w:cs="Arial"/>
          <w:sz w:val="22"/>
        </w:rPr>
        <w:t>project</w:t>
      </w:r>
      <w:r w:rsidR="006940A1" w:rsidRPr="00C534A9">
        <w:rPr>
          <w:rFonts w:ascii="Arial" w:hAnsi="Arial" w:cs="Arial"/>
          <w:sz w:val="22"/>
        </w:rPr>
        <w:t xml:space="preserve"> scenario and the counterfactual scenario. The counterfactual scenario is </w:t>
      </w:r>
      <w:r w:rsidR="006B6437" w:rsidRPr="00C534A9">
        <w:rPr>
          <w:rFonts w:ascii="Arial" w:hAnsi="Arial" w:cs="Arial"/>
          <w:sz w:val="22"/>
        </w:rPr>
        <w:t>one in which the wind turbine is not built and electricity continues to be provided using imported heavy fuel oil in diesel generators</w:t>
      </w:r>
      <w:r w:rsidR="006940A1" w:rsidRPr="00C534A9">
        <w:rPr>
          <w:rFonts w:ascii="Arial" w:hAnsi="Arial" w:cs="Arial"/>
          <w:sz w:val="22"/>
        </w:rPr>
        <w:t xml:space="preserve">. </w:t>
      </w:r>
    </w:p>
    <w:p w:rsidR="006940A1" w:rsidRPr="00C534A9" w:rsidRDefault="006940A1" w:rsidP="00C534A9">
      <w:pPr>
        <w:jc w:val="both"/>
        <w:rPr>
          <w:rFonts w:ascii="Arial" w:hAnsi="Arial" w:cs="Arial"/>
          <w:sz w:val="22"/>
        </w:rPr>
      </w:pPr>
      <w:r w:rsidRPr="00C534A9">
        <w:rPr>
          <w:rFonts w:ascii="Arial" w:hAnsi="Arial" w:cs="Arial"/>
          <w:sz w:val="22"/>
        </w:rPr>
        <w:t>The steps to calculate the net benefits of the</w:t>
      </w:r>
      <w:r w:rsidR="006B6437" w:rsidRPr="00C534A9">
        <w:rPr>
          <w:rFonts w:ascii="Arial" w:hAnsi="Arial" w:cs="Arial"/>
          <w:sz w:val="22"/>
        </w:rPr>
        <w:t xml:space="preserve"> wind turbine</w:t>
      </w:r>
      <w:r w:rsidRPr="00C534A9">
        <w:rPr>
          <w:rFonts w:ascii="Arial" w:hAnsi="Arial" w:cs="Arial"/>
          <w:sz w:val="22"/>
        </w:rPr>
        <w:t xml:space="preserve"> </w:t>
      </w:r>
      <w:r w:rsidR="006B6437" w:rsidRPr="00C534A9">
        <w:rPr>
          <w:rFonts w:ascii="Arial" w:hAnsi="Arial" w:cs="Arial"/>
          <w:sz w:val="22"/>
        </w:rPr>
        <w:t>sub-project</w:t>
      </w:r>
      <w:r w:rsidRPr="00C534A9">
        <w:rPr>
          <w:rFonts w:ascii="Arial" w:hAnsi="Arial" w:cs="Arial"/>
          <w:sz w:val="22"/>
        </w:rPr>
        <w:t xml:space="preserve"> are:</w:t>
      </w:r>
    </w:p>
    <w:p w:rsidR="006940A1" w:rsidRPr="00C534A9" w:rsidRDefault="006940A1" w:rsidP="00C534A9">
      <w:pPr>
        <w:pStyle w:val="ListParagraph"/>
        <w:numPr>
          <w:ilvl w:val="0"/>
          <w:numId w:val="36"/>
        </w:numPr>
        <w:jc w:val="both"/>
        <w:rPr>
          <w:rFonts w:ascii="Arial" w:hAnsi="Arial" w:cs="Arial"/>
          <w:sz w:val="22"/>
        </w:rPr>
      </w:pPr>
      <w:r w:rsidRPr="00C534A9">
        <w:rPr>
          <w:rFonts w:ascii="Arial" w:hAnsi="Arial" w:cs="Arial"/>
          <w:sz w:val="22"/>
        </w:rPr>
        <w:t xml:space="preserve">Estimate the economic costs of </w:t>
      </w:r>
      <w:r w:rsidR="006B6437" w:rsidRPr="00C534A9">
        <w:rPr>
          <w:rFonts w:ascii="Arial" w:hAnsi="Arial" w:cs="Arial"/>
          <w:sz w:val="22"/>
        </w:rPr>
        <w:t xml:space="preserve">the </w:t>
      </w:r>
      <w:r w:rsidR="006A5BAD" w:rsidRPr="00C534A9">
        <w:rPr>
          <w:rFonts w:ascii="Arial" w:hAnsi="Arial" w:cs="Arial"/>
          <w:sz w:val="22"/>
        </w:rPr>
        <w:t>sub-project</w:t>
      </w:r>
      <w:r w:rsidRPr="00C534A9">
        <w:rPr>
          <w:rFonts w:ascii="Arial" w:hAnsi="Arial" w:cs="Arial"/>
          <w:sz w:val="22"/>
        </w:rPr>
        <w:t xml:space="preserve"> (Section </w:t>
      </w:r>
      <w:r w:rsidR="00810F5A" w:rsidRPr="00C534A9">
        <w:rPr>
          <w:rFonts w:ascii="Arial" w:hAnsi="Arial" w:cs="Arial"/>
          <w:sz w:val="22"/>
        </w:rPr>
        <w:t>4.1.1</w:t>
      </w:r>
      <w:r w:rsidRPr="00C534A9">
        <w:rPr>
          <w:rFonts w:ascii="Arial" w:hAnsi="Arial" w:cs="Arial"/>
          <w:sz w:val="22"/>
        </w:rPr>
        <w:t>)</w:t>
      </w:r>
    </w:p>
    <w:p w:rsidR="006940A1" w:rsidRPr="00C534A9" w:rsidRDefault="006940A1" w:rsidP="00C534A9">
      <w:pPr>
        <w:pStyle w:val="ListParagraph"/>
        <w:numPr>
          <w:ilvl w:val="0"/>
          <w:numId w:val="36"/>
        </w:numPr>
        <w:jc w:val="both"/>
        <w:rPr>
          <w:rFonts w:ascii="Arial" w:hAnsi="Arial" w:cs="Arial"/>
          <w:sz w:val="22"/>
        </w:rPr>
      </w:pPr>
      <w:r w:rsidRPr="00C534A9">
        <w:rPr>
          <w:rFonts w:ascii="Arial" w:hAnsi="Arial" w:cs="Arial"/>
          <w:sz w:val="22"/>
        </w:rPr>
        <w:t xml:space="preserve">Estimate the economic benefits of </w:t>
      </w:r>
      <w:r w:rsidR="006A5BAD" w:rsidRPr="00C534A9">
        <w:rPr>
          <w:rFonts w:ascii="Arial" w:hAnsi="Arial" w:cs="Arial"/>
          <w:sz w:val="22"/>
        </w:rPr>
        <w:t>the sub-project</w:t>
      </w:r>
      <w:r w:rsidRPr="00C534A9">
        <w:rPr>
          <w:rFonts w:ascii="Arial" w:hAnsi="Arial" w:cs="Arial"/>
          <w:sz w:val="22"/>
        </w:rPr>
        <w:t xml:space="preserve"> (Section</w:t>
      </w:r>
      <w:r w:rsidR="00810F5A" w:rsidRPr="00C534A9">
        <w:rPr>
          <w:rFonts w:ascii="Arial" w:hAnsi="Arial" w:cs="Arial"/>
          <w:sz w:val="22"/>
        </w:rPr>
        <w:t xml:space="preserve"> 4.1.2</w:t>
      </w:r>
      <w:r w:rsidRPr="00C534A9">
        <w:rPr>
          <w:rFonts w:ascii="Arial" w:hAnsi="Arial" w:cs="Arial"/>
          <w:sz w:val="22"/>
        </w:rPr>
        <w:t>)</w:t>
      </w:r>
    </w:p>
    <w:p w:rsidR="006940A1" w:rsidRPr="00C534A9" w:rsidRDefault="006940A1" w:rsidP="00C534A9">
      <w:pPr>
        <w:pStyle w:val="ListParagraph"/>
        <w:numPr>
          <w:ilvl w:val="0"/>
          <w:numId w:val="36"/>
        </w:numPr>
        <w:jc w:val="both"/>
        <w:rPr>
          <w:rFonts w:ascii="Arial" w:hAnsi="Arial" w:cs="Arial"/>
          <w:sz w:val="22"/>
        </w:rPr>
      </w:pPr>
      <w:r w:rsidRPr="00C534A9">
        <w:rPr>
          <w:rFonts w:ascii="Arial" w:hAnsi="Arial" w:cs="Arial"/>
          <w:sz w:val="22"/>
        </w:rPr>
        <w:t xml:space="preserve">Estimate the present value of </w:t>
      </w:r>
      <w:r w:rsidR="006A5BAD" w:rsidRPr="00C534A9">
        <w:rPr>
          <w:rFonts w:ascii="Arial" w:hAnsi="Arial" w:cs="Arial"/>
          <w:sz w:val="22"/>
        </w:rPr>
        <w:t>the sub-project’s</w:t>
      </w:r>
      <w:r w:rsidRPr="00C534A9">
        <w:rPr>
          <w:rFonts w:ascii="Arial" w:hAnsi="Arial" w:cs="Arial"/>
          <w:sz w:val="22"/>
        </w:rPr>
        <w:t xml:space="preserve"> net economic benefits (Section </w:t>
      </w:r>
      <w:r w:rsidRPr="00C534A9">
        <w:rPr>
          <w:rFonts w:ascii="Arial" w:hAnsi="Arial" w:cs="Arial"/>
          <w:sz w:val="22"/>
        </w:rPr>
        <w:fldChar w:fldCharType="begin"/>
      </w:r>
      <w:r w:rsidRPr="00C534A9">
        <w:rPr>
          <w:rFonts w:ascii="Arial" w:hAnsi="Arial" w:cs="Arial"/>
          <w:sz w:val="22"/>
        </w:rPr>
        <w:instrText xml:space="preserve"> REF _Ref423355941 \r \h  \* MERGEFORMAT </w:instrText>
      </w:r>
      <w:r w:rsidRPr="00C534A9">
        <w:rPr>
          <w:rFonts w:ascii="Arial" w:hAnsi="Arial" w:cs="Arial"/>
          <w:sz w:val="22"/>
        </w:rPr>
      </w:r>
      <w:r w:rsidRPr="00C534A9">
        <w:rPr>
          <w:rFonts w:ascii="Arial" w:hAnsi="Arial" w:cs="Arial"/>
          <w:sz w:val="22"/>
        </w:rPr>
        <w:fldChar w:fldCharType="separate"/>
      </w:r>
      <w:r w:rsidR="003F3D75" w:rsidRPr="00C534A9">
        <w:rPr>
          <w:rFonts w:ascii="Arial" w:hAnsi="Arial" w:cs="Arial"/>
          <w:sz w:val="22"/>
        </w:rPr>
        <w:t>3.1.3</w:t>
      </w:r>
      <w:r w:rsidRPr="00C534A9">
        <w:rPr>
          <w:rFonts w:ascii="Arial" w:hAnsi="Arial" w:cs="Arial"/>
          <w:sz w:val="22"/>
        </w:rPr>
        <w:fldChar w:fldCharType="end"/>
      </w:r>
      <w:r w:rsidRPr="00C534A9">
        <w:rPr>
          <w:rFonts w:ascii="Arial" w:hAnsi="Arial" w:cs="Arial"/>
          <w:sz w:val="22"/>
        </w:rPr>
        <w:t>).</w:t>
      </w:r>
    </w:p>
    <w:p w:rsidR="006940A1" w:rsidRPr="00C534A9" w:rsidRDefault="006940A1" w:rsidP="00C534A9">
      <w:pPr>
        <w:jc w:val="both"/>
        <w:rPr>
          <w:rFonts w:ascii="Arial" w:hAnsi="Arial" w:cs="Arial"/>
          <w:sz w:val="22"/>
        </w:rPr>
      </w:pPr>
      <w:r w:rsidRPr="00C534A9">
        <w:rPr>
          <w:rFonts w:ascii="Arial" w:hAnsi="Arial" w:cs="Arial"/>
          <w:sz w:val="22"/>
        </w:rPr>
        <w:t xml:space="preserve">Each of these steps and the assumptions used in their calculation (Section </w:t>
      </w:r>
      <w:r w:rsidR="00810F5A" w:rsidRPr="00C534A9">
        <w:rPr>
          <w:rFonts w:ascii="Arial" w:hAnsi="Arial" w:cs="Arial"/>
          <w:sz w:val="22"/>
        </w:rPr>
        <w:t>4.1.4</w:t>
      </w:r>
      <w:r w:rsidRPr="00C534A9">
        <w:rPr>
          <w:rFonts w:ascii="Arial" w:hAnsi="Arial" w:cs="Arial"/>
          <w:sz w:val="22"/>
        </w:rPr>
        <w:t>) are described in more detail below:</w:t>
      </w:r>
    </w:p>
    <w:p w:rsidR="006940A1" w:rsidRPr="00C534A9" w:rsidRDefault="006940A1" w:rsidP="00C534A9">
      <w:pPr>
        <w:pStyle w:val="Heading3"/>
        <w:jc w:val="both"/>
        <w:rPr>
          <w:rFonts w:ascii="Arial" w:hAnsi="Arial" w:cs="Arial"/>
          <w:sz w:val="22"/>
        </w:rPr>
      </w:pPr>
      <w:bookmarkStart w:id="82" w:name="_Toc464551505"/>
      <w:r w:rsidRPr="00C534A9">
        <w:rPr>
          <w:rFonts w:ascii="Arial" w:hAnsi="Arial" w:cs="Arial"/>
          <w:sz w:val="22"/>
        </w:rPr>
        <w:t xml:space="preserve">Economic costs of </w:t>
      </w:r>
      <w:r w:rsidR="006A5BAD" w:rsidRPr="00C534A9">
        <w:rPr>
          <w:rFonts w:ascii="Arial" w:hAnsi="Arial" w:cs="Arial"/>
          <w:sz w:val="22"/>
        </w:rPr>
        <w:t>the wind turbine sub-project</w:t>
      </w:r>
      <w:bookmarkEnd w:id="82"/>
    </w:p>
    <w:p w:rsidR="006940A1" w:rsidRPr="00C534A9" w:rsidRDefault="006940A1" w:rsidP="00C534A9">
      <w:pPr>
        <w:jc w:val="both"/>
        <w:rPr>
          <w:rFonts w:ascii="Arial" w:hAnsi="Arial" w:cs="Arial"/>
          <w:sz w:val="22"/>
        </w:rPr>
      </w:pPr>
      <w:r w:rsidRPr="00C534A9">
        <w:rPr>
          <w:rFonts w:ascii="Arial" w:hAnsi="Arial" w:cs="Arial"/>
          <w:sz w:val="22"/>
        </w:rPr>
        <w:t xml:space="preserve">The economic costs of the </w:t>
      </w:r>
      <w:r w:rsidR="001E033E" w:rsidRPr="00C534A9">
        <w:rPr>
          <w:rFonts w:ascii="Arial" w:hAnsi="Arial" w:cs="Arial"/>
          <w:sz w:val="22"/>
        </w:rPr>
        <w:t>wind turbine</w:t>
      </w:r>
      <w:r w:rsidR="006B6437" w:rsidRPr="00C534A9">
        <w:rPr>
          <w:rFonts w:ascii="Arial" w:hAnsi="Arial" w:cs="Arial"/>
          <w:sz w:val="22"/>
        </w:rPr>
        <w:t xml:space="preserve"> sub-project</w:t>
      </w:r>
      <w:r w:rsidRPr="00C534A9">
        <w:rPr>
          <w:rFonts w:ascii="Arial" w:hAnsi="Arial" w:cs="Arial"/>
          <w:sz w:val="22"/>
        </w:rPr>
        <w:t xml:space="preserve"> include:</w:t>
      </w:r>
    </w:p>
    <w:p w:rsidR="006940A1" w:rsidRPr="00C534A9" w:rsidRDefault="006940A1" w:rsidP="00C534A9">
      <w:pPr>
        <w:pStyle w:val="ListParagraph"/>
        <w:numPr>
          <w:ilvl w:val="0"/>
          <w:numId w:val="35"/>
        </w:numPr>
        <w:jc w:val="both"/>
        <w:rPr>
          <w:rFonts w:ascii="Arial" w:hAnsi="Arial" w:cs="Arial"/>
          <w:sz w:val="22"/>
        </w:rPr>
      </w:pPr>
      <w:r w:rsidRPr="00C534A9">
        <w:rPr>
          <w:rFonts w:ascii="Arial" w:hAnsi="Arial" w:cs="Arial"/>
          <w:b/>
          <w:sz w:val="22"/>
        </w:rPr>
        <w:t>Capital Expenditures (Capex)</w:t>
      </w:r>
      <w:r w:rsidRPr="00C534A9">
        <w:rPr>
          <w:rFonts w:ascii="Arial" w:hAnsi="Arial" w:cs="Arial"/>
          <w:sz w:val="22"/>
        </w:rPr>
        <w:t xml:space="preserve">—these are the capital investments needed to complete the </w:t>
      </w:r>
      <w:r w:rsidR="001E033E" w:rsidRPr="00C534A9">
        <w:rPr>
          <w:rFonts w:ascii="Arial" w:hAnsi="Arial" w:cs="Arial"/>
          <w:sz w:val="22"/>
        </w:rPr>
        <w:t>sub-</w:t>
      </w:r>
      <w:r w:rsidRPr="00C534A9">
        <w:rPr>
          <w:rFonts w:ascii="Arial" w:hAnsi="Arial" w:cs="Arial"/>
          <w:sz w:val="22"/>
        </w:rPr>
        <w:t xml:space="preserve">project. </w:t>
      </w:r>
      <w:r w:rsidR="009F2643" w:rsidRPr="00C534A9">
        <w:rPr>
          <w:rFonts w:ascii="Arial" w:hAnsi="Arial" w:cs="Arial"/>
          <w:sz w:val="22"/>
        </w:rPr>
        <w:t>The capital investments</w:t>
      </w:r>
      <w:r w:rsidRPr="00C534A9">
        <w:rPr>
          <w:rFonts w:ascii="Arial" w:hAnsi="Arial" w:cs="Arial"/>
          <w:sz w:val="22"/>
        </w:rPr>
        <w:t xml:space="preserve"> include the costs for </w:t>
      </w:r>
      <w:r w:rsidR="001E033E" w:rsidRPr="00C534A9">
        <w:rPr>
          <w:rFonts w:ascii="Arial" w:hAnsi="Arial" w:cs="Arial"/>
          <w:sz w:val="22"/>
        </w:rPr>
        <w:t xml:space="preserve">the wind turbine machinery, site preparation, </w:t>
      </w:r>
      <w:r w:rsidR="00BA7018" w:rsidRPr="00C534A9">
        <w:rPr>
          <w:rFonts w:ascii="Arial" w:hAnsi="Arial" w:cs="Arial"/>
          <w:sz w:val="22"/>
        </w:rPr>
        <w:t>and related infrastructure</w:t>
      </w:r>
      <w:r w:rsidR="001E033E" w:rsidRPr="00C534A9">
        <w:rPr>
          <w:rFonts w:ascii="Arial" w:hAnsi="Arial" w:cs="Arial"/>
          <w:sz w:val="22"/>
        </w:rPr>
        <w:t>.</w:t>
      </w:r>
      <w:r w:rsidRPr="00C534A9">
        <w:rPr>
          <w:rFonts w:ascii="Arial" w:hAnsi="Arial" w:cs="Arial"/>
          <w:sz w:val="22"/>
        </w:rPr>
        <w:t xml:space="preserve"> </w:t>
      </w:r>
      <w:r w:rsidR="001E033E" w:rsidRPr="00C534A9">
        <w:rPr>
          <w:rFonts w:ascii="Arial" w:hAnsi="Arial" w:cs="Arial"/>
          <w:sz w:val="22"/>
        </w:rPr>
        <w:t>NPC provided detailed estimates of the sub-project</w:t>
      </w:r>
      <w:r w:rsidRPr="00C534A9">
        <w:rPr>
          <w:rFonts w:ascii="Arial" w:hAnsi="Arial" w:cs="Arial"/>
          <w:sz w:val="22"/>
        </w:rPr>
        <w:t xml:space="preserve"> Capex </w:t>
      </w:r>
      <w:r w:rsidR="001E033E" w:rsidRPr="00C534A9">
        <w:rPr>
          <w:rFonts w:ascii="Arial" w:hAnsi="Arial" w:cs="Arial"/>
          <w:sz w:val="22"/>
        </w:rPr>
        <w:t>based on direct quotes from equipment suppliers and construction firms</w:t>
      </w:r>
      <w:r w:rsidRPr="00C534A9">
        <w:rPr>
          <w:rFonts w:ascii="Arial" w:hAnsi="Arial" w:cs="Arial"/>
          <w:sz w:val="22"/>
        </w:rPr>
        <w:t xml:space="preserve">. </w:t>
      </w:r>
    </w:p>
    <w:p w:rsidR="006940A1" w:rsidRPr="00C534A9" w:rsidRDefault="006940A1" w:rsidP="00C534A9">
      <w:pPr>
        <w:pStyle w:val="Heading3"/>
        <w:jc w:val="both"/>
        <w:rPr>
          <w:rFonts w:ascii="Arial" w:hAnsi="Arial" w:cs="Arial"/>
          <w:sz w:val="22"/>
        </w:rPr>
      </w:pPr>
      <w:bookmarkStart w:id="83" w:name="_Toc464551506"/>
      <w:r w:rsidRPr="00C534A9">
        <w:rPr>
          <w:rFonts w:ascii="Arial" w:hAnsi="Arial" w:cs="Arial"/>
          <w:sz w:val="22"/>
        </w:rPr>
        <w:t xml:space="preserve">Economic benefits of </w:t>
      </w:r>
      <w:r w:rsidR="001E033E" w:rsidRPr="00C534A9">
        <w:rPr>
          <w:rFonts w:ascii="Arial" w:hAnsi="Arial" w:cs="Arial"/>
          <w:sz w:val="22"/>
        </w:rPr>
        <w:t>the wind turbine</w:t>
      </w:r>
      <w:bookmarkEnd w:id="83"/>
    </w:p>
    <w:p w:rsidR="006940A1" w:rsidRPr="00C534A9" w:rsidRDefault="006940A1" w:rsidP="00C534A9">
      <w:pPr>
        <w:jc w:val="both"/>
        <w:rPr>
          <w:rFonts w:ascii="Arial" w:hAnsi="Arial" w:cs="Arial"/>
          <w:sz w:val="22"/>
        </w:rPr>
      </w:pPr>
      <w:r w:rsidRPr="00C534A9">
        <w:rPr>
          <w:rFonts w:ascii="Arial" w:hAnsi="Arial" w:cs="Arial"/>
          <w:sz w:val="22"/>
        </w:rPr>
        <w:t xml:space="preserve">The economic benefits of the </w:t>
      </w:r>
      <w:r w:rsidR="001E033E" w:rsidRPr="00C534A9">
        <w:rPr>
          <w:rFonts w:ascii="Arial" w:hAnsi="Arial" w:cs="Arial"/>
          <w:sz w:val="22"/>
        </w:rPr>
        <w:t>wind turbine sub-project</w:t>
      </w:r>
      <w:r w:rsidRPr="00C534A9">
        <w:rPr>
          <w:rFonts w:ascii="Arial" w:hAnsi="Arial" w:cs="Arial"/>
          <w:sz w:val="22"/>
        </w:rPr>
        <w:t xml:space="preserve"> include:</w:t>
      </w:r>
    </w:p>
    <w:p w:rsidR="006940A1" w:rsidRPr="00C534A9" w:rsidRDefault="006940A1" w:rsidP="00C534A9">
      <w:pPr>
        <w:pStyle w:val="ListParagraph"/>
        <w:numPr>
          <w:ilvl w:val="0"/>
          <w:numId w:val="34"/>
        </w:numPr>
        <w:jc w:val="both"/>
        <w:rPr>
          <w:rFonts w:ascii="Arial" w:hAnsi="Arial" w:cs="Arial"/>
          <w:sz w:val="22"/>
        </w:rPr>
      </w:pPr>
      <w:r w:rsidRPr="00C534A9">
        <w:rPr>
          <w:rFonts w:ascii="Arial" w:hAnsi="Arial" w:cs="Arial"/>
          <w:b/>
          <w:sz w:val="22"/>
        </w:rPr>
        <w:t>Savings in generation costs</w:t>
      </w:r>
      <w:r w:rsidRPr="00C534A9">
        <w:rPr>
          <w:rFonts w:ascii="Arial" w:hAnsi="Arial" w:cs="Arial"/>
          <w:sz w:val="22"/>
        </w:rPr>
        <w:t xml:space="preserve">—generating electricity from </w:t>
      </w:r>
      <w:r w:rsidR="001E033E" w:rsidRPr="00C534A9">
        <w:rPr>
          <w:rFonts w:ascii="Arial" w:hAnsi="Arial" w:cs="Arial"/>
          <w:sz w:val="22"/>
        </w:rPr>
        <w:t>wind power</w:t>
      </w:r>
      <w:r w:rsidRPr="00C534A9">
        <w:rPr>
          <w:rFonts w:ascii="Arial" w:hAnsi="Arial" w:cs="Arial"/>
          <w:sz w:val="22"/>
        </w:rPr>
        <w:t xml:space="preserve"> potentially cost</w:t>
      </w:r>
      <w:r w:rsidR="001E033E" w:rsidRPr="00C534A9">
        <w:rPr>
          <w:rFonts w:ascii="Arial" w:hAnsi="Arial" w:cs="Arial"/>
          <w:sz w:val="22"/>
        </w:rPr>
        <w:t>s</w:t>
      </w:r>
      <w:r w:rsidRPr="00C534A9">
        <w:rPr>
          <w:rFonts w:ascii="Arial" w:hAnsi="Arial" w:cs="Arial"/>
          <w:sz w:val="22"/>
        </w:rPr>
        <w:t xml:space="preserve"> less than generating electricity from fuel oil. Therefore, </w:t>
      </w:r>
      <w:r w:rsidR="001E033E" w:rsidRPr="00C534A9">
        <w:rPr>
          <w:rFonts w:ascii="Arial" w:hAnsi="Arial" w:cs="Arial"/>
          <w:sz w:val="22"/>
        </w:rPr>
        <w:t xml:space="preserve">Barbados </w:t>
      </w:r>
      <w:r w:rsidRPr="00C534A9">
        <w:rPr>
          <w:rFonts w:ascii="Arial" w:hAnsi="Arial" w:cs="Arial"/>
          <w:sz w:val="22"/>
        </w:rPr>
        <w:t xml:space="preserve">will save in generation costs by replacing fuel oil generation with </w:t>
      </w:r>
      <w:r w:rsidR="001E033E" w:rsidRPr="00C534A9">
        <w:rPr>
          <w:rFonts w:ascii="Arial" w:hAnsi="Arial" w:cs="Arial"/>
          <w:sz w:val="22"/>
        </w:rPr>
        <w:t>wind</w:t>
      </w:r>
      <w:r w:rsidRPr="00C534A9">
        <w:rPr>
          <w:rFonts w:ascii="Arial" w:hAnsi="Arial" w:cs="Arial"/>
          <w:sz w:val="22"/>
        </w:rPr>
        <w:t xml:space="preserve"> generation. </w:t>
      </w:r>
      <w:r w:rsidR="00712B41" w:rsidRPr="00C534A9">
        <w:rPr>
          <w:rFonts w:ascii="Arial" w:hAnsi="Arial" w:cs="Arial"/>
          <w:sz w:val="22"/>
        </w:rPr>
        <w:t xml:space="preserve">The </w:t>
      </w:r>
      <w:r w:rsidRPr="00C534A9">
        <w:rPr>
          <w:rFonts w:ascii="Arial" w:hAnsi="Arial" w:cs="Arial"/>
          <w:sz w:val="22"/>
        </w:rPr>
        <w:t xml:space="preserve">savings to the country </w:t>
      </w:r>
      <w:r w:rsidR="00712B41" w:rsidRPr="00C534A9">
        <w:rPr>
          <w:rFonts w:ascii="Arial" w:hAnsi="Arial" w:cs="Arial"/>
          <w:sz w:val="22"/>
        </w:rPr>
        <w:t xml:space="preserve">were estimated </w:t>
      </w:r>
      <w:r w:rsidRPr="00C534A9">
        <w:rPr>
          <w:rFonts w:ascii="Arial" w:hAnsi="Arial" w:cs="Arial"/>
          <w:sz w:val="22"/>
        </w:rPr>
        <w:t xml:space="preserve">as the difference between the Total Avoided Cost (‘TAC’) of fuel oil generation and the Total Operating Costs (‘TOC’) of </w:t>
      </w:r>
      <w:r w:rsidR="001E033E" w:rsidRPr="00C534A9">
        <w:rPr>
          <w:rFonts w:ascii="Arial" w:hAnsi="Arial" w:cs="Arial"/>
          <w:sz w:val="22"/>
        </w:rPr>
        <w:t>wind</w:t>
      </w:r>
      <w:r w:rsidRPr="00C534A9">
        <w:rPr>
          <w:rFonts w:ascii="Arial" w:hAnsi="Arial" w:cs="Arial"/>
          <w:sz w:val="22"/>
        </w:rPr>
        <w:t xml:space="preserve"> generation. The TAC is the marginal cost of </w:t>
      </w:r>
      <w:r w:rsidR="001E033E" w:rsidRPr="00C534A9">
        <w:rPr>
          <w:rFonts w:ascii="Arial" w:hAnsi="Arial" w:cs="Arial"/>
          <w:sz w:val="22"/>
        </w:rPr>
        <w:t>generating electricity with fuel oil in a diesel generator (the primary electricity generation technology on Barbados)</w:t>
      </w:r>
      <w:r w:rsidRPr="00C534A9">
        <w:rPr>
          <w:rFonts w:ascii="Arial" w:hAnsi="Arial" w:cs="Arial"/>
          <w:sz w:val="22"/>
        </w:rPr>
        <w:t xml:space="preserve">. </w:t>
      </w:r>
      <w:r w:rsidR="00AD51DD" w:rsidRPr="00C534A9">
        <w:rPr>
          <w:rFonts w:ascii="Arial" w:hAnsi="Arial" w:cs="Arial"/>
          <w:sz w:val="22"/>
        </w:rPr>
        <w:t>T</w:t>
      </w:r>
      <w:r w:rsidRPr="00C534A9">
        <w:rPr>
          <w:rFonts w:ascii="Arial" w:hAnsi="Arial" w:cs="Arial"/>
          <w:sz w:val="22"/>
        </w:rPr>
        <w:t>he follow</w:t>
      </w:r>
      <w:r w:rsidR="001E033E" w:rsidRPr="00C534A9">
        <w:rPr>
          <w:rFonts w:ascii="Arial" w:hAnsi="Arial" w:cs="Arial"/>
          <w:sz w:val="22"/>
        </w:rPr>
        <w:t xml:space="preserve">ing formulas </w:t>
      </w:r>
      <w:r w:rsidR="00AD51DD" w:rsidRPr="00C534A9">
        <w:rPr>
          <w:rFonts w:ascii="Arial" w:hAnsi="Arial" w:cs="Arial"/>
          <w:sz w:val="22"/>
        </w:rPr>
        <w:t xml:space="preserve">were used </w:t>
      </w:r>
      <w:r w:rsidR="001E033E" w:rsidRPr="00C534A9">
        <w:rPr>
          <w:rFonts w:ascii="Arial" w:hAnsi="Arial" w:cs="Arial"/>
          <w:sz w:val="22"/>
        </w:rPr>
        <w:t>to calculate the savings in generation</w:t>
      </w:r>
      <w:r w:rsidRPr="00C534A9">
        <w:rPr>
          <w:rFonts w:ascii="Arial" w:hAnsi="Arial" w:cs="Arial"/>
          <w:sz w:val="22"/>
        </w:rPr>
        <w:t xml:space="preserve"> costs:</w:t>
      </w:r>
    </w:p>
    <w:p w:rsidR="006940A1" w:rsidRPr="00C534A9" w:rsidRDefault="006940A1" w:rsidP="00C534A9">
      <w:pPr>
        <w:pStyle w:val="ListBullet"/>
        <w:numPr>
          <w:ilvl w:val="0"/>
          <w:numId w:val="0"/>
        </w:numPr>
        <w:rPr>
          <w:rFonts w:ascii="Arial" w:hAnsi="Arial" w:cs="Arial"/>
          <w:sz w:val="20"/>
          <w:szCs w:val="22"/>
        </w:rPr>
      </w:pPr>
      <m:oMathPara>
        <m:oMath>
          <m:r>
            <w:rPr>
              <w:rFonts w:ascii="Cambria Math" w:hAnsi="Cambria Math" w:cs="Arial"/>
              <w:sz w:val="20"/>
              <w:szCs w:val="22"/>
            </w:rPr>
            <m:t xml:space="preserve">TAC </m:t>
          </m:r>
          <m:d>
            <m:dPr>
              <m:ctrlPr>
                <w:rPr>
                  <w:rFonts w:ascii="Cambria Math" w:hAnsi="Cambria Math" w:cs="Arial"/>
                  <w:i/>
                  <w:sz w:val="20"/>
                  <w:szCs w:val="22"/>
                </w:rPr>
              </m:ctrlPr>
            </m:dPr>
            <m:e>
              <m:r>
                <w:rPr>
                  <w:rFonts w:ascii="Cambria Math" w:hAnsi="Cambria Math" w:cs="Arial"/>
                  <w:sz w:val="20"/>
                  <w:szCs w:val="22"/>
                </w:rPr>
                <m:t>US$</m:t>
              </m:r>
            </m:e>
          </m:d>
          <m:r>
            <w:rPr>
              <w:rFonts w:ascii="Cambria Math" w:hAnsi="Cambria Math" w:cs="Arial"/>
              <w:sz w:val="20"/>
              <w:szCs w:val="22"/>
            </w:rPr>
            <m:t xml:space="preserve">=Avoided Cost of Fuel Oil Generation </m:t>
          </m:r>
          <m:d>
            <m:dPr>
              <m:ctrlPr>
                <w:rPr>
                  <w:rFonts w:ascii="Cambria Math" w:hAnsi="Cambria Math" w:cs="Arial"/>
                  <w:i/>
                  <w:sz w:val="20"/>
                  <w:szCs w:val="22"/>
                </w:rPr>
              </m:ctrlPr>
            </m:dPr>
            <m:e>
              <m:f>
                <m:fPr>
                  <m:ctrlPr>
                    <w:rPr>
                      <w:rFonts w:ascii="Cambria Math" w:hAnsi="Cambria Math" w:cs="Arial"/>
                      <w:i/>
                      <w:sz w:val="20"/>
                      <w:szCs w:val="22"/>
                    </w:rPr>
                  </m:ctrlPr>
                </m:fPr>
                <m:num>
                  <m:r>
                    <w:rPr>
                      <w:rFonts w:ascii="Cambria Math" w:hAnsi="Cambria Math" w:cs="Arial"/>
                      <w:sz w:val="20"/>
                      <w:szCs w:val="22"/>
                    </w:rPr>
                    <m:t>US$</m:t>
                  </m:r>
                </m:num>
                <m:den>
                  <m:r>
                    <w:rPr>
                      <w:rFonts w:ascii="Cambria Math" w:hAnsi="Cambria Math" w:cs="Arial"/>
                      <w:sz w:val="20"/>
                      <w:szCs w:val="22"/>
                    </w:rPr>
                    <m:t>kWh</m:t>
                  </m:r>
                </m:den>
              </m:f>
            </m:e>
          </m:d>
          <m:r>
            <w:rPr>
              <w:rFonts w:ascii="Cambria Math" w:hAnsi="Cambria Math" w:cs="Arial"/>
              <w:sz w:val="20"/>
              <w:szCs w:val="22"/>
            </w:rPr>
            <m:t>×Generation from Wind (kWh)</m:t>
          </m:r>
        </m:oMath>
      </m:oMathPara>
    </w:p>
    <w:p w:rsidR="006940A1" w:rsidRPr="00C534A9" w:rsidRDefault="006940A1" w:rsidP="00C534A9">
      <w:pPr>
        <w:pStyle w:val="ListBullet"/>
        <w:numPr>
          <w:ilvl w:val="0"/>
          <w:numId w:val="0"/>
        </w:numPr>
        <w:ind w:firstLine="720"/>
        <w:rPr>
          <w:rFonts w:ascii="Arial" w:hAnsi="Arial" w:cs="Arial"/>
          <w:sz w:val="20"/>
          <w:szCs w:val="22"/>
        </w:rPr>
      </w:pPr>
      <m:oMathPara>
        <m:oMath>
          <m:r>
            <w:rPr>
              <w:rFonts w:ascii="Cambria Math" w:hAnsi="Cambria Math" w:cs="Arial"/>
              <w:sz w:val="20"/>
              <w:szCs w:val="22"/>
            </w:rPr>
            <m:t xml:space="preserve">Avoided Cost of Fuel Oil Generation </m:t>
          </m:r>
          <m:d>
            <m:dPr>
              <m:ctrlPr>
                <w:rPr>
                  <w:rFonts w:ascii="Cambria Math" w:hAnsi="Cambria Math" w:cs="Arial"/>
                  <w:i/>
                  <w:sz w:val="20"/>
                  <w:szCs w:val="22"/>
                </w:rPr>
              </m:ctrlPr>
            </m:dPr>
            <m:e>
              <m:f>
                <m:fPr>
                  <m:ctrlPr>
                    <w:rPr>
                      <w:rFonts w:ascii="Cambria Math" w:hAnsi="Cambria Math" w:cs="Arial"/>
                      <w:i/>
                      <w:sz w:val="20"/>
                      <w:szCs w:val="22"/>
                    </w:rPr>
                  </m:ctrlPr>
                </m:fPr>
                <m:num>
                  <m:r>
                    <w:rPr>
                      <w:rFonts w:ascii="Cambria Math" w:hAnsi="Cambria Math" w:cs="Arial"/>
                      <w:sz w:val="20"/>
                      <w:szCs w:val="22"/>
                    </w:rPr>
                    <m:t>US$</m:t>
                  </m:r>
                </m:num>
                <m:den>
                  <m:r>
                    <w:rPr>
                      <w:rFonts w:ascii="Cambria Math" w:hAnsi="Cambria Math" w:cs="Arial"/>
                      <w:sz w:val="20"/>
                      <w:szCs w:val="22"/>
                    </w:rPr>
                    <m:t>kWh</m:t>
                  </m:r>
                </m:den>
              </m:f>
            </m:e>
          </m:d>
          <m:r>
            <w:rPr>
              <w:rFonts w:ascii="Cambria Math" w:hAnsi="Cambria Math" w:cs="Arial"/>
              <w:sz w:val="20"/>
              <w:szCs w:val="22"/>
            </w:rPr>
            <m:t>=</m:t>
          </m:r>
          <m:f>
            <m:fPr>
              <m:ctrlPr>
                <w:rPr>
                  <w:rFonts w:ascii="Cambria Math" w:hAnsi="Cambria Math" w:cs="Arial"/>
                  <w:i/>
                  <w:sz w:val="20"/>
                  <w:szCs w:val="22"/>
                </w:rPr>
              </m:ctrlPr>
            </m:fPr>
            <m:num>
              <m:r>
                <w:rPr>
                  <w:rFonts w:ascii="Cambria Math" w:hAnsi="Cambria Math" w:cs="Arial"/>
                  <w:sz w:val="20"/>
                  <w:szCs w:val="22"/>
                </w:rPr>
                <m:t>Total Fuel Cost (US$)</m:t>
              </m:r>
            </m:num>
            <m:den>
              <m:r>
                <w:rPr>
                  <w:rFonts w:ascii="Cambria Math" w:hAnsi="Cambria Math" w:cs="Arial"/>
                  <w:sz w:val="20"/>
                  <w:szCs w:val="22"/>
                </w:rPr>
                <m:t>Total Ene</m:t>
              </m:r>
              <m:r>
                <w:rPr>
                  <w:rFonts w:ascii="Cambria Math" w:hAnsi="Cambria Math" w:cs="Arial"/>
                  <w:sz w:val="20"/>
                  <w:szCs w:val="22"/>
                </w:rPr>
                <m:t>rgy Sold (kWh)</m:t>
              </m:r>
            </m:den>
          </m:f>
        </m:oMath>
      </m:oMathPara>
    </w:p>
    <w:p w:rsidR="006940A1" w:rsidRPr="00C534A9" w:rsidRDefault="006940A1" w:rsidP="00C534A9">
      <w:pPr>
        <w:pStyle w:val="ListBullet"/>
        <w:numPr>
          <w:ilvl w:val="0"/>
          <w:numId w:val="0"/>
        </w:numPr>
        <w:ind w:firstLine="720"/>
        <w:rPr>
          <w:rFonts w:ascii="Arial" w:hAnsi="Arial" w:cs="Arial"/>
          <w:sz w:val="20"/>
          <w:szCs w:val="22"/>
        </w:rPr>
      </w:pPr>
      <m:oMathPara>
        <m:oMath>
          <m:r>
            <w:rPr>
              <w:rFonts w:ascii="Cambria Math" w:hAnsi="Cambria Math" w:cs="Arial"/>
              <w:sz w:val="20"/>
              <w:szCs w:val="22"/>
            </w:rPr>
            <m:t xml:space="preserve">TOC(US$)=Operating Costs from Wind </m:t>
          </m:r>
          <m:d>
            <m:dPr>
              <m:ctrlPr>
                <w:rPr>
                  <w:rFonts w:ascii="Cambria Math" w:hAnsi="Cambria Math" w:cs="Arial"/>
                  <w:i/>
                  <w:sz w:val="20"/>
                  <w:szCs w:val="22"/>
                </w:rPr>
              </m:ctrlPr>
            </m:dPr>
            <m:e>
              <m:f>
                <m:fPr>
                  <m:ctrlPr>
                    <w:rPr>
                      <w:rFonts w:ascii="Cambria Math" w:hAnsi="Cambria Math" w:cs="Arial"/>
                      <w:i/>
                      <w:sz w:val="20"/>
                      <w:szCs w:val="22"/>
                    </w:rPr>
                  </m:ctrlPr>
                </m:fPr>
                <m:num>
                  <m:r>
                    <w:rPr>
                      <w:rFonts w:ascii="Cambria Math" w:hAnsi="Cambria Math" w:cs="Arial"/>
                      <w:sz w:val="20"/>
                      <w:szCs w:val="22"/>
                    </w:rPr>
                    <m:t>US$</m:t>
                  </m:r>
                </m:num>
                <m:den>
                  <m:r>
                    <w:rPr>
                      <w:rFonts w:ascii="Cambria Math" w:hAnsi="Cambria Math" w:cs="Arial"/>
                      <w:sz w:val="20"/>
                      <w:szCs w:val="22"/>
                    </w:rPr>
                    <m:t>kWh</m:t>
                  </m:r>
                </m:den>
              </m:f>
            </m:e>
          </m:d>
          <m:r>
            <w:rPr>
              <w:rFonts w:ascii="Cambria Math" w:hAnsi="Cambria Math" w:cs="Arial"/>
              <w:sz w:val="20"/>
              <w:szCs w:val="22"/>
            </w:rPr>
            <m:t>×Generation from Wind (kWh)</m:t>
          </m:r>
        </m:oMath>
      </m:oMathPara>
    </w:p>
    <w:p w:rsidR="006940A1" w:rsidRPr="00C534A9" w:rsidRDefault="006940A1" w:rsidP="00C534A9">
      <w:pPr>
        <w:pStyle w:val="ListParagraph"/>
        <w:numPr>
          <w:ilvl w:val="0"/>
          <w:numId w:val="33"/>
        </w:numPr>
        <w:jc w:val="both"/>
        <w:rPr>
          <w:rFonts w:ascii="Arial" w:hAnsi="Arial" w:cs="Arial"/>
          <w:sz w:val="22"/>
          <w:szCs w:val="24"/>
        </w:rPr>
      </w:pPr>
      <w:r w:rsidRPr="00C534A9">
        <w:rPr>
          <w:rFonts w:ascii="Arial" w:hAnsi="Arial" w:cs="Arial"/>
          <w:b/>
          <w:sz w:val="22"/>
        </w:rPr>
        <w:t>Reduction in CO</w:t>
      </w:r>
      <w:r w:rsidRPr="00C534A9">
        <w:rPr>
          <w:rFonts w:ascii="Cambria Math" w:hAnsi="Cambria Math" w:cs="Cambria Math"/>
          <w:b/>
          <w:sz w:val="22"/>
        </w:rPr>
        <w:t>₂</w:t>
      </w:r>
      <w:r w:rsidRPr="00C534A9">
        <w:rPr>
          <w:rFonts w:ascii="Arial" w:hAnsi="Arial" w:cs="Arial"/>
          <w:b/>
          <w:sz w:val="22"/>
        </w:rPr>
        <w:t xml:space="preserve"> emissions</w:t>
      </w:r>
      <w:r w:rsidRPr="00C534A9">
        <w:rPr>
          <w:rFonts w:ascii="Arial" w:hAnsi="Arial" w:cs="Arial"/>
          <w:sz w:val="22"/>
        </w:rPr>
        <w:t>—</w:t>
      </w:r>
      <w:r w:rsidRPr="00C534A9">
        <w:rPr>
          <w:rFonts w:ascii="Arial" w:hAnsi="Arial" w:cs="Arial"/>
          <w:sz w:val="22"/>
          <w:szCs w:val="24"/>
        </w:rPr>
        <w:t xml:space="preserve">generating electricity from </w:t>
      </w:r>
      <w:r w:rsidR="001E033E" w:rsidRPr="00C534A9">
        <w:rPr>
          <w:rFonts w:ascii="Arial" w:hAnsi="Arial" w:cs="Arial"/>
          <w:sz w:val="22"/>
          <w:szCs w:val="24"/>
        </w:rPr>
        <w:t>wind</w:t>
      </w:r>
      <w:r w:rsidRPr="00C534A9">
        <w:rPr>
          <w:rFonts w:ascii="Arial" w:hAnsi="Arial" w:cs="Arial"/>
          <w:sz w:val="22"/>
          <w:szCs w:val="24"/>
        </w:rPr>
        <w:t xml:space="preserve"> produces less </w:t>
      </w:r>
      <w:r w:rsidRPr="00C534A9">
        <w:rPr>
          <w:rStyle w:val="BodyTextChar"/>
          <w:rFonts w:ascii="Arial" w:hAnsi="Arial" w:cs="Arial"/>
          <w:sz w:val="22"/>
        </w:rPr>
        <w:t>CO</w:t>
      </w:r>
      <w:r w:rsidRPr="00C534A9">
        <w:rPr>
          <w:rStyle w:val="BodyTextChar"/>
          <w:rFonts w:ascii="Cambria Math" w:hAnsi="Cambria Math" w:cs="Cambria Math"/>
          <w:sz w:val="22"/>
        </w:rPr>
        <w:t>₂</w:t>
      </w:r>
      <w:r w:rsidRPr="00C534A9">
        <w:rPr>
          <w:rStyle w:val="BodyTextChar"/>
          <w:rFonts w:ascii="Arial" w:hAnsi="Arial" w:cs="Arial"/>
          <w:sz w:val="22"/>
        </w:rPr>
        <w:t xml:space="preserve"> emissions than generating electricity with fuel oil. </w:t>
      </w:r>
      <w:r w:rsidR="009F2643" w:rsidRPr="00C534A9">
        <w:rPr>
          <w:rFonts w:ascii="Arial" w:hAnsi="Arial" w:cs="Arial"/>
          <w:sz w:val="22"/>
          <w:szCs w:val="24"/>
        </w:rPr>
        <w:t>T</w:t>
      </w:r>
      <w:r w:rsidRPr="00C534A9">
        <w:rPr>
          <w:rFonts w:ascii="Arial" w:hAnsi="Arial" w:cs="Arial"/>
          <w:sz w:val="22"/>
          <w:szCs w:val="24"/>
        </w:rPr>
        <w:t>he economic benefit of the re</w:t>
      </w:r>
      <w:r w:rsidRPr="00C534A9">
        <w:rPr>
          <w:rStyle w:val="BodyTextChar"/>
          <w:rFonts w:ascii="Arial" w:hAnsi="Arial" w:cs="Arial"/>
          <w:sz w:val="22"/>
        </w:rPr>
        <w:t>duction in CO</w:t>
      </w:r>
      <w:r w:rsidRPr="00C534A9">
        <w:rPr>
          <w:rStyle w:val="BodyTextChar"/>
          <w:rFonts w:ascii="Cambria Math" w:hAnsi="Cambria Math" w:cs="Cambria Math"/>
          <w:sz w:val="22"/>
        </w:rPr>
        <w:t>₂</w:t>
      </w:r>
      <w:r w:rsidRPr="00C534A9">
        <w:rPr>
          <w:rFonts w:ascii="Arial" w:hAnsi="Arial" w:cs="Arial"/>
          <w:sz w:val="22"/>
          <w:szCs w:val="24"/>
        </w:rPr>
        <w:t xml:space="preserve"> emissions</w:t>
      </w:r>
      <w:r w:rsidRPr="00C534A9">
        <w:rPr>
          <w:rFonts w:ascii="Arial" w:hAnsi="Arial" w:cs="Arial"/>
          <w:b/>
          <w:sz w:val="22"/>
          <w:szCs w:val="24"/>
        </w:rPr>
        <w:t xml:space="preserve"> </w:t>
      </w:r>
      <w:r w:rsidR="009F2643" w:rsidRPr="00C534A9">
        <w:rPr>
          <w:rFonts w:ascii="Arial" w:hAnsi="Arial" w:cs="Arial"/>
          <w:sz w:val="22"/>
          <w:szCs w:val="24"/>
        </w:rPr>
        <w:t>was calculated</w:t>
      </w:r>
      <w:r w:rsidR="009F2643" w:rsidRPr="00C534A9">
        <w:rPr>
          <w:rFonts w:ascii="Arial" w:hAnsi="Arial" w:cs="Arial"/>
          <w:b/>
          <w:sz w:val="22"/>
          <w:szCs w:val="24"/>
        </w:rPr>
        <w:t xml:space="preserve"> </w:t>
      </w:r>
      <w:r w:rsidRPr="00C534A9">
        <w:rPr>
          <w:rFonts w:ascii="Arial" w:hAnsi="Arial" w:cs="Arial"/>
          <w:sz w:val="22"/>
          <w:szCs w:val="24"/>
        </w:rPr>
        <w:t>as the product of the expected reduction in CO</w:t>
      </w:r>
      <w:r w:rsidRPr="00C534A9">
        <w:rPr>
          <w:rFonts w:ascii="Cambria Math" w:hAnsi="Cambria Math" w:cs="Cambria Math"/>
          <w:sz w:val="22"/>
          <w:szCs w:val="24"/>
        </w:rPr>
        <w:t>₂</w:t>
      </w:r>
      <w:r w:rsidRPr="00C534A9">
        <w:rPr>
          <w:rFonts w:ascii="Arial" w:hAnsi="Arial" w:cs="Arial"/>
          <w:sz w:val="22"/>
          <w:szCs w:val="24"/>
        </w:rPr>
        <w:t xml:space="preserve"> emissions and the social cost of CO</w:t>
      </w:r>
      <w:r w:rsidRPr="00C534A9">
        <w:rPr>
          <w:rFonts w:ascii="Cambria Math" w:hAnsi="Cambria Math" w:cs="Cambria Math"/>
          <w:sz w:val="22"/>
          <w:szCs w:val="24"/>
        </w:rPr>
        <w:t>₂</w:t>
      </w:r>
      <w:r w:rsidRPr="00C534A9">
        <w:rPr>
          <w:rFonts w:ascii="Arial" w:hAnsi="Arial" w:cs="Arial"/>
          <w:sz w:val="22"/>
          <w:szCs w:val="24"/>
        </w:rPr>
        <w:t xml:space="preserve"> emissions. The expected reduction in CO</w:t>
      </w:r>
      <w:r w:rsidRPr="00C534A9">
        <w:rPr>
          <w:rFonts w:ascii="Cambria Math" w:hAnsi="Cambria Math" w:cs="Cambria Math"/>
          <w:sz w:val="22"/>
          <w:szCs w:val="24"/>
        </w:rPr>
        <w:t>₂</w:t>
      </w:r>
      <w:r w:rsidRPr="00C534A9">
        <w:rPr>
          <w:rFonts w:ascii="Arial" w:hAnsi="Arial" w:cs="Arial"/>
          <w:sz w:val="22"/>
          <w:szCs w:val="24"/>
        </w:rPr>
        <w:t xml:space="preserve"> emissions is the product of the CO</w:t>
      </w:r>
      <w:r w:rsidRPr="00C534A9">
        <w:rPr>
          <w:rFonts w:ascii="Cambria Math" w:hAnsi="Cambria Math" w:cs="Cambria Math"/>
          <w:sz w:val="22"/>
          <w:szCs w:val="24"/>
        </w:rPr>
        <w:t>₂</w:t>
      </w:r>
      <w:r w:rsidRPr="00C534A9">
        <w:rPr>
          <w:rFonts w:ascii="Arial" w:hAnsi="Arial" w:cs="Arial"/>
          <w:sz w:val="22"/>
          <w:szCs w:val="24"/>
        </w:rPr>
        <w:t xml:space="preserve"> emissions per unit of electricity produced from fuel oil and the units of electricity produced from geothermal generation.</w:t>
      </w:r>
    </w:p>
    <w:p w:rsidR="006940A1" w:rsidRPr="00C534A9" w:rsidRDefault="006940A1" w:rsidP="00C534A9">
      <w:pPr>
        <w:pStyle w:val="Heading3"/>
        <w:jc w:val="both"/>
        <w:rPr>
          <w:rFonts w:ascii="Arial" w:hAnsi="Arial" w:cs="Arial"/>
          <w:sz w:val="22"/>
        </w:rPr>
      </w:pPr>
      <w:bookmarkStart w:id="84" w:name="_Toc464551507"/>
      <w:r w:rsidRPr="00C534A9">
        <w:rPr>
          <w:rFonts w:ascii="Arial" w:hAnsi="Arial" w:cs="Arial"/>
          <w:sz w:val="22"/>
        </w:rPr>
        <w:t xml:space="preserve">Net Economic Benefits of </w:t>
      </w:r>
      <w:r w:rsidR="001E033E" w:rsidRPr="00C534A9">
        <w:rPr>
          <w:rFonts w:ascii="Arial" w:hAnsi="Arial" w:cs="Arial"/>
          <w:sz w:val="22"/>
        </w:rPr>
        <w:t>the wind turbine sub-project</w:t>
      </w:r>
      <w:bookmarkEnd w:id="84"/>
    </w:p>
    <w:p w:rsidR="006940A1" w:rsidRPr="00C534A9" w:rsidRDefault="006940A1" w:rsidP="00C534A9">
      <w:pPr>
        <w:jc w:val="both"/>
        <w:rPr>
          <w:rFonts w:ascii="Arial" w:hAnsi="Arial" w:cs="Arial"/>
          <w:sz w:val="22"/>
        </w:rPr>
      </w:pPr>
      <w:r w:rsidRPr="00C534A9">
        <w:rPr>
          <w:rFonts w:ascii="Arial" w:hAnsi="Arial" w:cs="Arial"/>
          <w:sz w:val="22"/>
        </w:rPr>
        <w:t xml:space="preserve">After </w:t>
      </w:r>
      <w:r w:rsidR="00712B41" w:rsidRPr="00C534A9">
        <w:rPr>
          <w:rFonts w:ascii="Arial" w:hAnsi="Arial" w:cs="Arial"/>
          <w:sz w:val="22"/>
        </w:rPr>
        <w:t xml:space="preserve">estimating </w:t>
      </w:r>
      <w:r w:rsidRPr="00C534A9">
        <w:rPr>
          <w:rFonts w:ascii="Arial" w:hAnsi="Arial" w:cs="Arial"/>
          <w:sz w:val="22"/>
        </w:rPr>
        <w:t xml:space="preserve">the </w:t>
      </w:r>
      <w:r w:rsidR="00504FB7" w:rsidRPr="00C534A9">
        <w:rPr>
          <w:rFonts w:ascii="Arial" w:hAnsi="Arial" w:cs="Arial"/>
          <w:sz w:val="22"/>
        </w:rPr>
        <w:t>wind turbine</w:t>
      </w:r>
      <w:r w:rsidR="006B6437" w:rsidRPr="00C534A9">
        <w:rPr>
          <w:rFonts w:ascii="Arial" w:hAnsi="Arial" w:cs="Arial"/>
          <w:sz w:val="22"/>
        </w:rPr>
        <w:t xml:space="preserve"> sub-project</w:t>
      </w:r>
      <w:r w:rsidRPr="00C534A9">
        <w:rPr>
          <w:rFonts w:ascii="Arial" w:hAnsi="Arial" w:cs="Arial"/>
          <w:sz w:val="22"/>
        </w:rPr>
        <w:t>’s economic cos</w:t>
      </w:r>
      <w:r w:rsidR="006B6437" w:rsidRPr="00C534A9">
        <w:rPr>
          <w:rFonts w:ascii="Arial" w:hAnsi="Arial" w:cs="Arial"/>
          <w:sz w:val="22"/>
        </w:rPr>
        <w:t>ts and benefits, the next step wa</w:t>
      </w:r>
      <w:r w:rsidRPr="00C534A9">
        <w:rPr>
          <w:rFonts w:ascii="Arial" w:hAnsi="Arial" w:cs="Arial"/>
          <w:sz w:val="22"/>
        </w:rPr>
        <w:t xml:space="preserve">s to calculate the </w:t>
      </w:r>
      <w:r w:rsidR="00504FB7" w:rsidRPr="00C534A9">
        <w:rPr>
          <w:rFonts w:ascii="Arial" w:hAnsi="Arial" w:cs="Arial"/>
          <w:sz w:val="22"/>
        </w:rPr>
        <w:t>wind turbine</w:t>
      </w:r>
      <w:r w:rsidRPr="00C534A9">
        <w:rPr>
          <w:rFonts w:ascii="Arial" w:hAnsi="Arial" w:cs="Arial"/>
          <w:sz w:val="22"/>
        </w:rPr>
        <w:t xml:space="preserve">’s NPV. </w:t>
      </w:r>
      <w:r w:rsidR="006B6437" w:rsidRPr="00C534A9">
        <w:rPr>
          <w:rFonts w:ascii="Arial" w:hAnsi="Arial" w:cs="Arial"/>
          <w:sz w:val="22"/>
        </w:rPr>
        <w:t>This wa</w:t>
      </w:r>
      <w:r w:rsidRPr="00C534A9">
        <w:rPr>
          <w:rFonts w:ascii="Arial" w:hAnsi="Arial" w:cs="Arial"/>
          <w:sz w:val="22"/>
        </w:rPr>
        <w:t xml:space="preserve">s accomplished by subtracting the present value of the </w:t>
      </w:r>
      <w:r w:rsidR="00504FB7" w:rsidRPr="00C534A9">
        <w:rPr>
          <w:rFonts w:ascii="Arial" w:hAnsi="Arial" w:cs="Arial"/>
          <w:sz w:val="22"/>
        </w:rPr>
        <w:t>wind turbine</w:t>
      </w:r>
      <w:r w:rsidRPr="00C534A9">
        <w:rPr>
          <w:rFonts w:ascii="Arial" w:hAnsi="Arial" w:cs="Arial"/>
          <w:sz w:val="22"/>
        </w:rPr>
        <w:t xml:space="preserve">’s costs from the present value of the </w:t>
      </w:r>
      <w:r w:rsidR="00504FB7" w:rsidRPr="00C534A9">
        <w:rPr>
          <w:rFonts w:ascii="Arial" w:hAnsi="Arial" w:cs="Arial"/>
          <w:sz w:val="22"/>
        </w:rPr>
        <w:t>wind turbine</w:t>
      </w:r>
      <w:r w:rsidRPr="00C534A9">
        <w:rPr>
          <w:rFonts w:ascii="Arial" w:hAnsi="Arial" w:cs="Arial"/>
          <w:sz w:val="22"/>
        </w:rPr>
        <w:t xml:space="preserve">’s benefits. </w:t>
      </w:r>
      <w:r w:rsidR="00AD51DD" w:rsidRPr="00C534A9">
        <w:rPr>
          <w:rFonts w:ascii="Arial" w:hAnsi="Arial" w:cs="Arial"/>
          <w:sz w:val="22"/>
        </w:rPr>
        <w:t>T</w:t>
      </w:r>
      <w:r w:rsidRPr="00C534A9">
        <w:rPr>
          <w:rFonts w:ascii="Arial" w:hAnsi="Arial" w:cs="Arial"/>
          <w:sz w:val="22"/>
        </w:rPr>
        <w:t xml:space="preserve">he present </w:t>
      </w:r>
      <w:r w:rsidR="006B6437" w:rsidRPr="00C534A9">
        <w:rPr>
          <w:rFonts w:ascii="Arial" w:hAnsi="Arial" w:cs="Arial"/>
          <w:sz w:val="22"/>
        </w:rPr>
        <w:t xml:space="preserve">value </w:t>
      </w:r>
      <w:r w:rsidRPr="00C534A9">
        <w:rPr>
          <w:rFonts w:ascii="Arial" w:hAnsi="Arial" w:cs="Arial"/>
          <w:sz w:val="22"/>
        </w:rPr>
        <w:t xml:space="preserve">of the </w:t>
      </w:r>
      <w:r w:rsidR="00504FB7" w:rsidRPr="00C534A9">
        <w:rPr>
          <w:rFonts w:ascii="Arial" w:hAnsi="Arial" w:cs="Arial"/>
          <w:sz w:val="22"/>
        </w:rPr>
        <w:t>wind turbine</w:t>
      </w:r>
      <w:r w:rsidRPr="00C534A9">
        <w:rPr>
          <w:rFonts w:ascii="Arial" w:hAnsi="Arial" w:cs="Arial"/>
          <w:sz w:val="22"/>
        </w:rPr>
        <w:t xml:space="preserve">’s costs and </w:t>
      </w:r>
      <w:proofErr w:type="gramStart"/>
      <w:r w:rsidRPr="00C534A9">
        <w:rPr>
          <w:rFonts w:ascii="Arial" w:hAnsi="Arial" w:cs="Arial"/>
          <w:sz w:val="22"/>
        </w:rPr>
        <w:t>benefits,</w:t>
      </w:r>
      <w:proofErr w:type="gramEnd"/>
      <w:r w:rsidRPr="00C534A9">
        <w:rPr>
          <w:rFonts w:ascii="Arial" w:hAnsi="Arial" w:cs="Arial"/>
          <w:sz w:val="22"/>
        </w:rPr>
        <w:t xml:space="preserve"> </w:t>
      </w:r>
      <w:r w:rsidR="00AD51DD" w:rsidRPr="00C534A9">
        <w:rPr>
          <w:rFonts w:ascii="Arial" w:hAnsi="Arial" w:cs="Arial"/>
          <w:sz w:val="22"/>
        </w:rPr>
        <w:t>was determined using</w:t>
      </w:r>
      <w:r w:rsidR="00AD51DD" w:rsidRPr="00C534A9" w:rsidDel="00AD51DD">
        <w:rPr>
          <w:rFonts w:ascii="Arial" w:hAnsi="Arial" w:cs="Arial"/>
          <w:sz w:val="22"/>
        </w:rPr>
        <w:t xml:space="preserve"> </w:t>
      </w:r>
      <w:r w:rsidRPr="00C534A9">
        <w:rPr>
          <w:rFonts w:ascii="Arial" w:hAnsi="Arial" w:cs="Arial"/>
          <w:sz w:val="22"/>
        </w:rPr>
        <w:t xml:space="preserve">a social discount rate of 12 percent (in real terms). If the present value of the </w:t>
      </w:r>
      <w:r w:rsidR="00504FB7" w:rsidRPr="00C534A9">
        <w:rPr>
          <w:rFonts w:ascii="Arial" w:hAnsi="Arial" w:cs="Arial"/>
          <w:sz w:val="22"/>
        </w:rPr>
        <w:t>wind turbine</w:t>
      </w:r>
      <w:r w:rsidR="006B6437" w:rsidRPr="00C534A9">
        <w:rPr>
          <w:rFonts w:ascii="Arial" w:hAnsi="Arial" w:cs="Arial"/>
          <w:sz w:val="22"/>
        </w:rPr>
        <w:t xml:space="preserve"> sub-project</w:t>
      </w:r>
      <w:r w:rsidRPr="00C534A9">
        <w:rPr>
          <w:rFonts w:ascii="Arial" w:hAnsi="Arial" w:cs="Arial"/>
          <w:sz w:val="22"/>
        </w:rPr>
        <w:t xml:space="preserve">’s net benefits is greater than zero, the </w:t>
      </w:r>
      <w:r w:rsidR="00504FB7" w:rsidRPr="00C534A9">
        <w:rPr>
          <w:rFonts w:ascii="Arial" w:hAnsi="Arial" w:cs="Arial"/>
          <w:sz w:val="22"/>
        </w:rPr>
        <w:t>wind turbine</w:t>
      </w:r>
      <w:r w:rsidRPr="00C534A9">
        <w:rPr>
          <w:rFonts w:ascii="Arial" w:hAnsi="Arial" w:cs="Arial"/>
          <w:sz w:val="22"/>
        </w:rPr>
        <w:t xml:space="preserve"> is economically viable.  </w:t>
      </w:r>
    </w:p>
    <w:p w:rsidR="006940A1" w:rsidRPr="00C534A9" w:rsidRDefault="006940A1" w:rsidP="00C534A9">
      <w:pPr>
        <w:pStyle w:val="Heading3"/>
        <w:jc w:val="both"/>
        <w:rPr>
          <w:rFonts w:ascii="Arial" w:hAnsi="Arial" w:cs="Arial"/>
          <w:sz w:val="22"/>
        </w:rPr>
      </w:pPr>
      <w:bookmarkStart w:id="85" w:name="_Toc464551508"/>
      <w:r w:rsidRPr="00C534A9">
        <w:rPr>
          <w:rFonts w:ascii="Arial" w:hAnsi="Arial" w:cs="Arial"/>
          <w:sz w:val="22"/>
        </w:rPr>
        <w:t xml:space="preserve">Assumptions for </w:t>
      </w:r>
      <w:r w:rsidR="001E033E" w:rsidRPr="00C534A9">
        <w:rPr>
          <w:rFonts w:ascii="Arial" w:hAnsi="Arial" w:cs="Arial"/>
          <w:sz w:val="22"/>
        </w:rPr>
        <w:t>the wind turbine sub-project</w:t>
      </w:r>
      <w:bookmarkEnd w:id="85"/>
    </w:p>
    <w:p w:rsidR="006940A1" w:rsidRPr="00C534A9" w:rsidRDefault="006940A1" w:rsidP="00C534A9">
      <w:pPr>
        <w:jc w:val="both"/>
        <w:rPr>
          <w:rFonts w:ascii="Arial" w:hAnsi="Arial" w:cs="Arial"/>
          <w:sz w:val="22"/>
        </w:rPr>
      </w:pPr>
      <w:r w:rsidRPr="00C534A9">
        <w:rPr>
          <w:rFonts w:ascii="Arial" w:hAnsi="Arial" w:cs="Arial"/>
          <w:sz w:val="22"/>
        </w:rPr>
        <w:t xml:space="preserve">To determine the </w:t>
      </w:r>
      <w:r w:rsidR="00712C73" w:rsidRPr="00C534A9">
        <w:rPr>
          <w:rFonts w:ascii="Arial" w:hAnsi="Arial" w:cs="Arial"/>
          <w:sz w:val="22"/>
        </w:rPr>
        <w:t>sub-project</w:t>
      </w:r>
      <w:r w:rsidRPr="00C534A9">
        <w:rPr>
          <w:rFonts w:ascii="Arial" w:hAnsi="Arial" w:cs="Arial"/>
          <w:sz w:val="22"/>
        </w:rPr>
        <w:t xml:space="preserve">’s net benefits, the </w:t>
      </w:r>
      <w:r w:rsidR="00712C73" w:rsidRPr="00C534A9">
        <w:rPr>
          <w:rFonts w:ascii="Arial" w:hAnsi="Arial" w:cs="Arial"/>
          <w:sz w:val="22"/>
        </w:rPr>
        <w:t xml:space="preserve">wind turbine’s </w:t>
      </w:r>
      <w:r w:rsidRPr="00C534A9">
        <w:rPr>
          <w:rFonts w:ascii="Arial" w:hAnsi="Arial" w:cs="Arial"/>
          <w:sz w:val="22"/>
        </w:rPr>
        <w:t xml:space="preserve">annual economic costs and benefits for a period of </w:t>
      </w:r>
      <w:r w:rsidR="00712C73" w:rsidRPr="00C534A9">
        <w:rPr>
          <w:rFonts w:ascii="Arial" w:hAnsi="Arial" w:cs="Arial"/>
          <w:sz w:val="22"/>
        </w:rPr>
        <w:t>25</w:t>
      </w:r>
      <w:r w:rsidR="00E439E9" w:rsidRPr="00C534A9">
        <w:rPr>
          <w:rFonts w:ascii="Arial" w:hAnsi="Arial" w:cs="Arial"/>
          <w:sz w:val="22"/>
        </w:rPr>
        <w:t xml:space="preserve"> </w:t>
      </w:r>
      <w:r w:rsidRPr="00C534A9">
        <w:rPr>
          <w:rFonts w:ascii="Arial" w:hAnsi="Arial" w:cs="Arial"/>
          <w:sz w:val="22"/>
        </w:rPr>
        <w:t>years</w:t>
      </w:r>
      <w:r w:rsidR="00712B41" w:rsidRPr="00C534A9">
        <w:rPr>
          <w:rFonts w:ascii="Arial" w:hAnsi="Arial" w:cs="Arial"/>
          <w:sz w:val="22"/>
        </w:rPr>
        <w:t xml:space="preserve"> were estimated</w:t>
      </w:r>
      <w:r w:rsidRPr="00C534A9">
        <w:rPr>
          <w:rFonts w:ascii="Arial" w:hAnsi="Arial" w:cs="Arial"/>
          <w:sz w:val="22"/>
        </w:rPr>
        <w:t xml:space="preserve">. </w:t>
      </w:r>
      <w:r w:rsidRPr="00C534A9">
        <w:rPr>
          <w:rFonts w:ascii="Arial" w:hAnsi="Arial" w:cs="Arial"/>
          <w:sz w:val="22"/>
        </w:rPr>
        <w:fldChar w:fldCharType="begin"/>
      </w:r>
      <w:r w:rsidRPr="00C534A9">
        <w:rPr>
          <w:rFonts w:ascii="Arial" w:hAnsi="Arial" w:cs="Arial"/>
          <w:sz w:val="22"/>
        </w:rPr>
        <w:instrText xml:space="preserve"> REF _Ref406057891 \h  \* MERGEFORMAT </w:instrText>
      </w:r>
      <w:r w:rsidRPr="00C534A9">
        <w:rPr>
          <w:rFonts w:ascii="Arial" w:hAnsi="Arial" w:cs="Arial"/>
          <w:sz w:val="22"/>
        </w:rPr>
      </w:r>
      <w:r w:rsidRPr="00C534A9">
        <w:rPr>
          <w:rFonts w:ascii="Arial" w:hAnsi="Arial" w:cs="Arial"/>
          <w:sz w:val="22"/>
        </w:rPr>
        <w:fldChar w:fldCharType="separate"/>
      </w:r>
      <w:r w:rsidR="003F3D75" w:rsidRPr="00C534A9">
        <w:rPr>
          <w:rFonts w:ascii="Arial" w:hAnsi="Arial" w:cs="Arial"/>
          <w:sz w:val="22"/>
        </w:rPr>
        <w:t xml:space="preserve">Table </w:t>
      </w:r>
      <w:r w:rsidR="002377C5" w:rsidRPr="00C534A9">
        <w:rPr>
          <w:rFonts w:ascii="Arial" w:hAnsi="Arial" w:cs="Arial"/>
          <w:noProof/>
          <w:sz w:val="22"/>
        </w:rPr>
        <w:t>4</w:t>
      </w:r>
      <w:r w:rsidR="003F3D75" w:rsidRPr="00C534A9">
        <w:rPr>
          <w:rFonts w:ascii="Arial" w:hAnsi="Arial" w:cs="Arial"/>
          <w:noProof/>
          <w:sz w:val="22"/>
        </w:rPr>
        <w:t>.1</w:t>
      </w:r>
      <w:r w:rsidRPr="00C534A9">
        <w:rPr>
          <w:rFonts w:ascii="Arial" w:hAnsi="Arial" w:cs="Arial"/>
          <w:sz w:val="22"/>
        </w:rPr>
        <w:fldChar w:fldCharType="end"/>
      </w:r>
      <w:r w:rsidRPr="00C534A9">
        <w:rPr>
          <w:rFonts w:ascii="Arial" w:hAnsi="Arial" w:cs="Arial"/>
          <w:sz w:val="22"/>
        </w:rPr>
        <w:t xml:space="preserve"> presents the assumptions used to calculate the </w:t>
      </w:r>
      <w:r w:rsidR="00712C73" w:rsidRPr="00C534A9">
        <w:rPr>
          <w:rFonts w:ascii="Arial" w:hAnsi="Arial" w:cs="Arial"/>
          <w:sz w:val="22"/>
        </w:rPr>
        <w:t xml:space="preserve">wind turbine’s </w:t>
      </w:r>
      <w:r w:rsidRPr="00C534A9">
        <w:rPr>
          <w:rFonts w:ascii="Arial" w:hAnsi="Arial" w:cs="Arial"/>
          <w:sz w:val="22"/>
        </w:rPr>
        <w:t xml:space="preserve">economic costs and benefits. </w:t>
      </w:r>
    </w:p>
    <w:p w:rsidR="006940A1" w:rsidRPr="00C534A9" w:rsidRDefault="006940A1" w:rsidP="00C534A9">
      <w:pPr>
        <w:pStyle w:val="Caption"/>
        <w:jc w:val="both"/>
        <w:rPr>
          <w:rFonts w:ascii="Arial" w:hAnsi="Arial" w:cs="Arial"/>
          <w:sz w:val="22"/>
        </w:rPr>
      </w:pPr>
      <w:bookmarkStart w:id="86" w:name="_Toc463508482"/>
      <w:bookmarkStart w:id="87" w:name="_Toc463508974"/>
      <w:proofErr w:type="gramStart"/>
      <w:r w:rsidRPr="00C534A9">
        <w:rPr>
          <w:rFonts w:ascii="Arial" w:hAnsi="Arial" w:cs="Arial"/>
          <w:sz w:val="22"/>
        </w:rPr>
        <w:t xml:space="preserve">Table </w:t>
      </w:r>
      <w:r w:rsidR="007D6B36" w:rsidRPr="00C534A9">
        <w:rPr>
          <w:rFonts w:ascii="Arial" w:hAnsi="Arial" w:cs="Arial"/>
          <w:sz w:val="22"/>
        </w:rPr>
        <w:fldChar w:fldCharType="begin"/>
      </w:r>
      <w:r w:rsidR="007D6B36" w:rsidRPr="00C534A9">
        <w:rPr>
          <w:rFonts w:ascii="Arial" w:hAnsi="Arial" w:cs="Arial"/>
          <w:sz w:val="22"/>
        </w:rPr>
        <w:instrText xml:space="preserve"> STYLEREF 1 \s </w:instrText>
      </w:r>
      <w:r w:rsidR="007D6B36" w:rsidRPr="00C534A9">
        <w:rPr>
          <w:rFonts w:ascii="Arial" w:hAnsi="Arial" w:cs="Arial"/>
          <w:sz w:val="22"/>
        </w:rPr>
        <w:fldChar w:fldCharType="separate"/>
      </w:r>
      <w:r w:rsidR="003F3D75" w:rsidRPr="00C534A9">
        <w:rPr>
          <w:rFonts w:ascii="Arial" w:hAnsi="Arial" w:cs="Arial"/>
          <w:noProof/>
          <w:sz w:val="22"/>
        </w:rPr>
        <w:t>4</w:t>
      </w:r>
      <w:r w:rsidR="007D6B36" w:rsidRPr="00C534A9">
        <w:rPr>
          <w:rFonts w:ascii="Arial" w:hAnsi="Arial" w:cs="Arial"/>
          <w:noProof/>
          <w:sz w:val="22"/>
        </w:rPr>
        <w:fldChar w:fldCharType="end"/>
      </w:r>
      <w:r w:rsidRPr="00C534A9">
        <w:rPr>
          <w:rFonts w:ascii="Arial" w:hAnsi="Arial" w:cs="Arial"/>
          <w:sz w:val="22"/>
        </w:rPr>
        <w:t>.</w:t>
      </w:r>
      <w:proofErr w:type="gramEnd"/>
      <w:r w:rsidR="003343DE" w:rsidRPr="00C534A9">
        <w:rPr>
          <w:rFonts w:ascii="Arial" w:hAnsi="Arial" w:cs="Arial"/>
          <w:sz w:val="22"/>
        </w:rPr>
        <w:fldChar w:fldCharType="begin"/>
      </w:r>
      <w:r w:rsidR="003343DE" w:rsidRPr="00C534A9">
        <w:rPr>
          <w:rFonts w:ascii="Arial" w:hAnsi="Arial" w:cs="Arial"/>
          <w:sz w:val="22"/>
        </w:rPr>
        <w:instrText xml:space="preserve"> SEQ Table \* ARABIC \s 1 </w:instrText>
      </w:r>
      <w:r w:rsidR="003343DE" w:rsidRPr="00C534A9">
        <w:rPr>
          <w:rFonts w:ascii="Arial" w:hAnsi="Arial" w:cs="Arial"/>
          <w:sz w:val="22"/>
        </w:rPr>
        <w:fldChar w:fldCharType="separate"/>
      </w:r>
      <w:r w:rsidR="003F3D75" w:rsidRPr="00C534A9">
        <w:rPr>
          <w:rFonts w:ascii="Arial" w:hAnsi="Arial" w:cs="Arial"/>
          <w:noProof/>
          <w:sz w:val="22"/>
        </w:rPr>
        <w:t>1</w:t>
      </w:r>
      <w:r w:rsidR="003343DE" w:rsidRPr="00C534A9">
        <w:rPr>
          <w:rFonts w:ascii="Arial" w:hAnsi="Arial" w:cs="Arial"/>
          <w:noProof/>
          <w:sz w:val="22"/>
        </w:rPr>
        <w:fldChar w:fldCharType="end"/>
      </w:r>
      <w:r w:rsidRPr="00C534A9">
        <w:rPr>
          <w:rFonts w:ascii="Arial" w:hAnsi="Arial" w:cs="Arial"/>
          <w:sz w:val="22"/>
        </w:rPr>
        <w:t xml:space="preserve">: Assumptions Used to Determine the </w:t>
      </w:r>
      <w:r w:rsidR="00712C73" w:rsidRPr="00C534A9">
        <w:rPr>
          <w:rFonts w:ascii="Arial" w:hAnsi="Arial" w:cs="Arial"/>
          <w:sz w:val="22"/>
        </w:rPr>
        <w:t xml:space="preserve">Wind Turbine </w:t>
      </w:r>
      <w:r w:rsidRPr="00C534A9">
        <w:rPr>
          <w:rFonts w:ascii="Arial" w:hAnsi="Arial" w:cs="Arial"/>
          <w:sz w:val="22"/>
        </w:rPr>
        <w:t>Economic Costs and Benefits</w:t>
      </w:r>
      <w:bookmarkEnd w:id="86"/>
      <w:bookmarkEnd w:id="87"/>
      <w:r w:rsidRPr="00C534A9">
        <w:rPr>
          <w:rFonts w:ascii="Arial" w:hAnsi="Arial" w:cs="Arial"/>
          <w:sz w:val="22"/>
        </w:rPr>
        <w:t xml:space="preserve"> </w:t>
      </w:r>
    </w:p>
    <w:tbl>
      <w:tblPr>
        <w:tblW w:w="6795" w:type="dxa"/>
        <w:jc w:val="center"/>
        <w:tblInd w:w="-27" w:type="dxa"/>
        <w:tblLook w:val="04A0" w:firstRow="1" w:lastRow="0" w:firstColumn="1" w:lastColumn="0" w:noHBand="0" w:noVBand="1"/>
      </w:tblPr>
      <w:tblGrid>
        <w:gridCol w:w="3808"/>
        <w:gridCol w:w="1676"/>
        <w:gridCol w:w="1311"/>
      </w:tblGrid>
      <w:tr w:rsidR="008F48F3" w:rsidRPr="00C534A9" w:rsidTr="00A74A3E">
        <w:trPr>
          <w:trHeight w:val="255"/>
          <w:jc w:val="center"/>
        </w:trPr>
        <w:tc>
          <w:tcPr>
            <w:tcW w:w="3808" w:type="dxa"/>
            <w:tcBorders>
              <w:top w:val="nil"/>
              <w:left w:val="nil"/>
              <w:bottom w:val="nil"/>
              <w:right w:val="nil"/>
            </w:tcBorders>
            <w:shd w:val="clear" w:color="000000" w:fill="FFFFFF"/>
            <w:noWrap/>
            <w:vAlign w:val="bottom"/>
          </w:tcPr>
          <w:p w:rsidR="008F48F3" w:rsidRPr="00C534A9" w:rsidRDefault="008F48F3" w:rsidP="00C534A9">
            <w:pPr>
              <w:spacing w:after="0" w:line="240" w:lineRule="auto"/>
              <w:jc w:val="both"/>
              <w:rPr>
                <w:rFonts w:ascii="Arial" w:eastAsia="Times New Roman" w:hAnsi="Arial" w:cs="Arial"/>
                <w:b/>
                <w:color w:val="auto"/>
                <w:sz w:val="22"/>
                <w:szCs w:val="24"/>
                <w:u w:val="single"/>
              </w:rPr>
            </w:pPr>
            <w:r w:rsidRPr="00C534A9">
              <w:rPr>
                <w:rFonts w:ascii="Arial" w:eastAsia="Times New Roman" w:hAnsi="Arial" w:cs="Arial"/>
                <w:b/>
                <w:color w:val="auto"/>
                <w:sz w:val="22"/>
                <w:szCs w:val="24"/>
                <w:u w:val="single"/>
              </w:rPr>
              <w:t>Input prices</w:t>
            </w:r>
          </w:p>
        </w:tc>
        <w:tc>
          <w:tcPr>
            <w:tcW w:w="1676" w:type="dxa"/>
            <w:tcBorders>
              <w:top w:val="nil"/>
              <w:left w:val="nil"/>
              <w:bottom w:val="nil"/>
              <w:right w:val="nil"/>
            </w:tcBorders>
            <w:shd w:val="clear" w:color="000000" w:fill="FFFFFF"/>
            <w:vAlign w:val="bottom"/>
          </w:tcPr>
          <w:p w:rsidR="008F48F3" w:rsidRPr="00C534A9" w:rsidRDefault="008F48F3" w:rsidP="00C534A9">
            <w:pPr>
              <w:spacing w:after="0" w:line="240" w:lineRule="auto"/>
              <w:jc w:val="both"/>
              <w:rPr>
                <w:rFonts w:ascii="Arial" w:eastAsia="Times New Roman" w:hAnsi="Arial" w:cs="Arial"/>
                <w:color w:val="auto"/>
                <w:sz w:val="22"/>
                <w:szCs w:val="24"/>
              </w:rPr>
            </w:pPr>
          </w:p>
        </w:tc>
        <w:tc>
          <w:tcPr>
            <w:tcW w:w="1311" w:type="dxa"/>
            <w:tcBorders>
              <w:top w:val="nil"/>
              <w:left w:val="nil"/>
              <w:bottom w:val="nil"/>
              <w:right w:val="nil"/>
            </w:tcBorders>
            <w:shd w:val="clear" w:color="000000" w:fill="FFFFFF"/>
            <w:noWrap/>
            <w:vAlign w:val="bottom"/>
          </w:tcPr>
          <w:p w:rsidR="008F48F3" w:rsidRPr="00C534A9" w:rsidRDefault="008F48F3" w:rsidP="00C534A9">
            <w:pPr>
              <w:spacing w:after="0" w:line="240" w:lineRule="auto"/>
              <w:jc w:val="both"/>
              <w:rPr>
                <w:rFonts w:ascii="Arial" w:eastAsia="Times New Roman" w:hAnsi="Arial" w:cs="Arial"/>
                <w:color w:val="auto"/>
                <w:sz w:val="22"/>
                <w:szCs w:val="24"/>
              </w:rPr>
            </w:pPr>
          </w:p>
        </w:tc>
      </w:tr>
      <w:tr w:rsidR="00791234" w:rsidRPr="00C534A9" w:rsidTr="00A74A3E">
        <w:trPr>
          <w:trHeight w:val="255"/>
          <w:jc w:val="center"/>
        </w:trPr>
        <w:tc>
          <w:tcPr>
            <w:tcW w:w="3808"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CO2 price</w:t>
            </w:r>
          </w:p>
        </w:tc>
        <w:tc>
          <w:tcPr>
            <w:tcW w:w="1676" w:type="dxa"/>
            <w:tcBorders>
              <w:top w:val="nil"/>
              <w:left w:val="nil"/>
              <w:bottom w:val="nil"/>
              <w:right w:val="nil"/>
            </w:tcBorders>
            <w:shd w:val="clear" w:color="000000" w:fill="FFFFFF"/>
            <w:vAlign w:val="bottom"/>
            <w:hideMark/>
          </w:tcPr>
          <w:p w:rsidR="00791234" w:rsidRPr="00C534A9" w:rsidRDefault="008F48F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US$/ton CO2</w:t>
            </w:r>
          </w:p>
        </w:tc>
        <w:tc>
          <w:tcPr>
            <w:tcW w:w="1311"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xml:space="preserve">                     10.00 </w:t>
            </w:r>
          </w:p>
        </w:tc>
      </w:tr>
      <w:tr w:rsidR="00791234" w:rsidRPr="00C534A9" w:rsidTr="00A74A3E">
        <w:trPr>
          <w:trHeight w:val="255"/>
          <w:jc w:val="center"/>
        </w:trPr>
        <w:tc>
          <w:tcPr>
            <w:tcW w:w="3808"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w:t>
            </w:r>
          </w:p>
        </w:tc>
        <w:tc>
          <w:tcPr>
            <w:tcW w:w="1676" w:type="dxa"/>
            <w:tcBorders>
              <w:top w:val="nil"/>
              <w:left w:val="nil"/>
              <w:bottom w:val="nil"/>
              <w:right w:val="nil"/>
            </w:tcBorders>
            <w:shd w:val="clear" w:color="000000" w:fill="FFFFFF"/>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w:t>
            </w:r>
          </w:p>
        </w:tc>
        <w:tc>
          <w:tcPr>
            <w:tcW w:w="1311"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w:t>
            </w:r>
          </w:p>
        </w:tc>
      </w:tr>
      <w:tr w:rsidR="00791234" w:rsidRPr="00C534A9" w:rsidTr="00A74A3E">
        <w:trPr>
          <w:trHeight w:val="255"/>
          <w:jc w:val="center"/>
        </w:trPr>
        <w:tc>
          <w:tcPr>
            <w:tcW w:w="3808"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Retail electricity price base rate</w:t>
            </w:r>
          </w:p>
        </w:tc>
        <w:tc>
          <w:tcPr>
            <w:tcW w:w="1676"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B$/kwh</w:t>
            </w:r>
          </w:p>
        </w:tc>
        <w:tc>
          <w:tcPr>
            <w:tcW w:w="1311"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0.1345</w:t>
            </w:r>
          </w:p>
        </w:tc>
      </w:tr>
      <w:tr w:rsidR="00791234" w:rsidRPr="00C534A9" w:rsidTr="00A74A3E">
        <w:trPr>
          <w:trHeight w:val="255"/>
          <w:jc w:val="center"/>
        </w:trPr>
        <w:tc>
          <w:tcPr>
            <w:tcW w:w="3808"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ind w:firstLineChars="100" w:firstLine="220"/>
              <w:jc w:val="both"/>
              <w:rPr>
                <w:rFonts w:ascii="Arial" w:eastAsia="Times New Roman" w:hAnsi="Arial" w:cs="Arial"/>
                <w:color w:val="auto"/>
                <w:sz w:val="22"/>
                <w:szCs w:val="24"/>
              </w:rPr>
            </w:pPr>
            <w:r w:rsidRPr="00C534A9">
              <w:rPr>
                <w:rFonts w:ascii="Arial" w:eastAsia="Times New Roman" w:hAnsi="Arial" w:cs="Arial"/>
                <w:color w:val="auto"/>
                <w:sz w:val="22"/>
                <w:szCs w:val="24"/>
              </w:rPr>
              <w:t> </w:t>
            </w:r>
          </w:p>
        </w:tc>
        <w:tc>
          <w:tcPr>
            <w:tcW w:w="1676"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w:t>
            </w:r>
          </w:p>
        </w:tc>
        <w:tc>
          <w:tcPr>
            <w:tcW w:w="1311"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w:t>
            </w:r>
          </w:p>
        </w:tc>
      </w:tr>
      <w:tr w:rsidR="00791234" w:rsidRPr="00C534A9" w:rsidTr="00A74A3E">
        <w:trPr>
          <w:trHeight w:val="255"/>
          <w:jc w:val="center"/>
        </w:trPr>
        <w:tc>
          <w:tcPr>
            <w:tcW w:w="3808"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b/>
                <w:bCs/>
                <w:color w:val="auto"/>
                <w:sz w:val="22"/>
                <w:szCs w:val="24"/>
                <w:u w:val="single"/>
              </w:rPr>
            </w:pPr>
            <w:r w:rsidRPr="00C534A9">
              <w:rPr>
                <w:rFonts w:ascii="Arial" w:eastAsia="Times New Roman" w:hAnsi="Arial" w:cs="Arial"/>
                <w:b/>
                <w:bCs/>
                <w:color w:val="auto"/>
                <w:sz w:val="22"/>
                <w:szCs w:val="24"/>
                <w:u w:val="single"/>
              </w:rPr>
              <w:t>Heat rate by plant type</w:t>
            </w:r>
          </w:p>
        </w:tc>
        <w:tc>
          <w:tcPr>
            <w:tcW w:w="1676"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w:t>
            </w:r>
          </w:p>
        </w:tc>
        <w:tc>
          <w:tcPr>
            <w:tcW w:w="1311"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w:t>
            </w:r>
          </w:p>
        </w:tc>
      </w:tr>
      <w:tr w:rsidR="008F48F3" w:rsidRPr="00C534A9" w:rsidTr="00A74A3E">
        <w:trPr>
          <w:trHeight w:val="255"/>
          <w:jc w:val="center"/>
        </w:trPr>
        <w:tc>
          <w:tcPr>
            <w:tcW w:w="3808" w:type="dxa"/>
            <w:tcBorders>
              <w:top w:val="nil"/>
              <w:left w:val="nil"/>
              <w:bottom w:val="nil"/>
              <w:right w:val="nil"/>
            </w:tcBorders>
            <w:shd w:val="clear" w:color="000000" w:fill="FFFFFF"/>
            <w:noWrap/>
            <w:vAlign w:val="bottom"/>
          </w:tcPr>
          <w:p w:rsidR="008F48F3" w:rsidRPr="00C534A9" w:rsidRDefault="008F48F3" w:rsidP="00C534A9">
            <w:pPr>
              <w:spacing w:after="0" w:line="240" w:lineRule="auto"/>
              <w:jc w:val="both"/>
              <w:rPr>
                <w:rFonts w:ascii="Arial" w:eastAsia="Times New Roman" w:hAnsi="Arial" w:cs="Arial"/>
                <w:color w:val="auto"/>
                <w:sz w:val="22"/>
                <w:szCs w:val="24"/>
              </w:rPr>
            </w:pPr>
          </w:p>
        </w:tc>
        <w:tc>
          <w:tcPr>
            <w:tcW w:w="1676" w:type="dxa"/>
            <w:tcBorders>
              <w:top w:val="nil"/>
              <w:left w:val="nil"/>
              <w:bottom w:val="nil"/>
              <w:right w:val="nil"/>
            </w:tcBorders>
            <w:shd w:val="clear" w:color="000000" w:fill="FFFFFF"/>
            <w:noWrap/>
            <w:vAlign w:val="bottom"/>
          </w:tcPr>
          <w:p w:rsidR="008F48F3" w:rsidRPr="00C534A9" w:rsidRDefault="008F48F3" w:rsidP="00C534A9">
            <w:pPr>
              <w:spacing w:after="0" w:line="240" w:lineRule="auto"/>
              <w:jc w:val="both"/>
              <w:rPr>
                <w:rFonts w:ascii="Arial" w:eastAsia="Times New Roman" w:hAnsi="Arial" w:cs="Arial"/>
                <w:color w:val="auto"/>
                <w:sz w:val="22"/>
                <w:szCs w:val="24"/>
              </w:rPr>
            </w:pPr>
          </w:p>
        </w:tc>
        <w:tc>
          <w:tcPr>
            <w:tcW w:w="1311" w:type="dxa"/>
            <w:tcBorders>
              <w:top w:val="nil"/>
              <w:left w:val="nil"/>
              <w:bottom w:val="nil"/>
              <w:right w:val="nil"/>
            </w:tcBorders>
            <w:shd w:val="clear" w:color="000000" w:fill="FFFFFF"/>
            <w:noWrap/>
            <w:vAlign w:val="bottom"/>
          </w:tcPr>
          <w:p w:rsidR="008F48F3" w:rsidRPr="00C534A9" w:rsidRDefault="008F48F3" w:rsidP="00C534A9">
            <w:pPr>
              <w:spacing w:after="0" w:line="240" w:lineRule="auto"/>
              <w:jc w:val="both"/>
              <w:rPr>
                <w:rFonts w:ascii="Arial" w:eastAsia="Times New Roman" w:hAnsi="Arial" w:cs="Arial"/>
                <w:color w:val="auto"/>
                <w:sz w:val="22"/>
                <w:szCs w:val="24"/>
              </w:rPr>
            </w:pPr>
          </w:p>
        </w:tc>
      </w:tr>
      <w:tr w:rsidR="00791234" w:rsidRPr="00C534A9" w:rsidTr="00A74A3E">
        <w:trPr>
          <w:trHeight w:val="255"/>
          <w:jc w:val="center"/>
        </w:trPr>
        <w:tc>
          <w:tcPr>
            <w:tcW w:w="3808"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Low Speed Diesel, HFO (existing)</w:t>
            </w:r>
          </w:p>
        </w:tc>
        <w:tc>
          <w:tcPr>
            <w:tcW w:w="1676"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Btu/kWh</w:t>
            </w:r>
          </w:p>
        </w:tc>
        <w:tc>
          <w:tcPr>
            <w:tcW w:w="1311"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xml:space="preserve">         7,835 </w:t>
            </w:r>
          </w:p>
        </w:tc>
      </w:tr>
      <w:tr w:rsidR="00791234" w:rsidRPr="00C534A9" w:rsidTr="00A74A3E">
        <w:trPr>
          <w:trHeight w:val="255"/>
          <w:jc w:val="center"/>
        </w:trPr>
        <w:tc>
          <w:tcPr>
            <w:tcW w:w="3808"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Solar</w:t>
            </w:r>
          </w:p>
        </w:tc>
        <w:tc>
          <w:tcPr>
            <w:tcW w:w="1676"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Btu/kWh</w:t>
            </w:r>
          </w:p>
        </w:tc>
        <w:tc>
          <w:tcPr>
            <w:tcW w:w="1311"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xml:space="preserve">                 -   </w:t>
            </w:r>
          </w:p>
        </w:tc>
      </w:tr>
      <w:tr w:rsidR="00791234" w:rsidRPr="00C534A9" w:rsidTr="00A74A3E">
        <w:trPr>
          <w:trHeight w:val="255"/>
          <w:jc w:val="center"/>
        </w:trPr>
        <w:tc>
          <w:tcPr>
            <w:tcW w:w="3808"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Wind</w:t>
            </w:r>
          </w:p>
        </w:tc>
        <w:tc>
          <w:tcPr>
            <w:tcW w:w="1676"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Btu/kWh</w:t>
            </w:r>
          </w:p>
        </w:tc>
        <w:tc>
          <w:tcPr>
            <w:tcW w:w="1311"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xml:space="preserve">                -   </w:t>
            </w:r>
          </w:p>
        </w:tc>
      </w:tr>
      <w:tr w:rsidR="00791234" w:rsidRPr="00C534A9" w:rsidTr="00A74A3E">
        <w:trPr>
          <w:trHeight w:val="255"/>
          <w:jc w:val="center"/>
        </w:trPr>
        <w:tc>
          <w:tcPr>
            <w:tcW w:w="3808"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ind w:firstLineChars="100" w:firstLine="220"/>
              <w:jc w:val="both"/>
              <w:rPr>
                <w:rFonts w:ascii="Arial" w:eastAsia="Times New Roman" w:hAnsi="Arial" w:cs="Arial"/>
                <w:color w:val="auto"/>
                <w:sz w:val="22"/>
                <w:szCs w:val="24"/>
              </w:rPr>
            </w:pPr>
            <w:r w:rsidRPr="00C534A9">
              <w:rPr>
                <w:rFonts w:ascii="Arial" w:eastAsia="Times New Roman" w:hAnsi="Arial" w:cs="Arial"/>
                <w:color w:val="auto"/>
                <w:sz w:val="22"/>
                <w:szCs w:val="24"/>
              </w:rPr>
              <w:t> </w:t>
            </w:r>
          </w:p>
        </w:tc>
        <w:tc>
          <w:tcPr>
            <w:tcW w:w="1676"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w:t>
            </w:r>
          </w:p>
        </w:tc>
        <w:tc>
          <w:tcPr>
            <w:tcW w:w="1311"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w:t>
            </w:r>
          </w:p>
        </w:tc>
      </w:tr>
      <w:tr w:rsidR="00791234" w:rsidRPr="00C534A9" w:rsidTr="00A74A3E">
        <w:trPr>
          <w:trHeight w:val="255"/>
          <w:jc w:val="center"/>
        </w:trPr>
        <w:tc>
          <w:tcPr>
            <w:tcW w:w="5484" w:type="dxa"/>
            <w:gridSpan w:val="2"/>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b/>
                <w:bCs/>
                <w:color w:val="auto"/>
                <w:sz w:val="22"/>
                <w:szCs w:val="24"/>
                <w:u w:val="single"/>
              </w:rPr>
            </w:pPr>
            <w:r w:rsidRPr="00C534A9">
              <w:rPr>
                <w:rFonts w:ascii="Arial" w:eastAsia="Times New Roman" w:hAnsi="Arial" w:cs="Arial"/>
                <w:b/>
                <w:bCs/>
                <w:color w:val="auto"/>
                <w:sz w:val="22"/>
                <w:szCs w:val="24"/>
                <w:u w:val="single"/>
              </w:rPr>
              <w:t>O&amp;M Cost (Fixed &amp; Variable) by plant type</w:t>
            </w:r>
          </w:p>
        </w:tc>
        <w:tc>
          <w:tcPr>
            <w:tcW w:w="1311"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w:t>
            </w:r>
          </w:p>
        </w:tc>
      </w:tr>
      <w:tr w:rsidR="00791234" w:rsidRPr="00C534A9" w:rsidTr="00A74A3E">
        <w:trPr>
          <w:trHeight w:val="255"/>
          <w:jc w:val="center"/>
        </w:trPr>
        <w:tc>
          <w:tcPr>
            <w:tcW w:w="3808"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Low Speed Diesel, HFO (existing)</w:t>
            </w:r>
          </w:p>
        </w:tc>
        <w:tc>
          <w:tcPr>
            <w:tcW w:w="1676"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US$/kWh</w:t>
            </w:r>
          </w:p>
        </w:tc>
        <w:tc>
          <w:tcPr>
            <w:tcW w:w="1311"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0.02</w:t>
            </w:r>
          </w:p>
        </w:tc>
      </w:tr>
      <w:tr w:rsidR="00791234" w:rsidRPr="00C534A9" w:rsidTr="00A74A3E">
        <w:trPr>
          <w:trHeight w:val="255"/>
          <w:jc w:val="center"/>
        </w:trPr>
        <w:tc>
          <w:tcPr>
            <w:tcW w:w="3808"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Solar</w:t>
            </w:r>
          </w:p>
        </w:tc>
        <w:tc>
          <w:tcPr>
            <w:tcW w:w="1676"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US$/kW/year</w:t>
            </w:r>
          </w:p>
        </w:tc>
        <w:tc>
          <w:tcPr>
            <w:tcW w:w="1311"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30.00</w:t>
            </w:r>
          </w:p>
        </w:tc>
      </w:tr>
      <w:tr w:rsidR="00791234" w:rsidRPr="00C534A9" w:rsidTr="00A74A3E">
        <w:trPr>
          <w:trHeight w:val="255"/>
          <w:jc w:val="center"/>
        </w:trPr>
        <w:tc>
          <w:tcPr>
            <w:tcW w:w="3808"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Wind</w:t>
            </w:r>
          </w:p>
        </w:tc>
        <w:tc>
          <w:tcPr>
            <w:tcW w:w="1676"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US$/kW/year</w:t>
            </w:r>
          </w:p>
        </w:tc>
        <w:tc>
          <w:tcPr>
            <w:tcW w:w="1311"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46.00</w:t>
            </w:r>
          </w:p>
        </w:tc>
      </w:tr>
      <w:tr w:rsidR="008F48F3" w:rsidRPr="00C534A9" w:rsidTr="008F48F3">
        <w:trPr>
          <w:trHeight w:val="255"/>
          <w:jc w:val="center"/>
        </w:trPr>
        <w:tc>
          <w:tcPr>
            <w:tcW w:w="3808" w:type="dxa"/>
            <w:tcBorders>
              <w:top w:val="nil"/>
              <w:left w:val="nil"/>
              <w:bottom w:val="nil"/>
              <w:right w:val="nil"/>
            </w:tcBorders>
            <w:shd w:val="clear" w:color="000000" w:fill="FFFFFF"/>
            <w:noWrap/>
            <w:vAlign w:val="bottom"/>
          </w:tcPr>
          <w:p w:rsidR="008F48F3" w:rsidRPr="00C534A9" w:rsidRDefault="008F48F3" w:rsidP="00C534A9">
            <w:pPr>
              <w:spacing w:after="0" w:line="240" w:lineRule="auto"/>
              <w:jc w:val="both"/>
              <w:rPr>
                <w:rFonts w:ascii="Arial" w:eastAsia="Times New Roman" w:hAnsi="Arial" w:cs="Arial"/>
                <w:b/>
                <w:color w:val="auto"/>
                <w:sz w:val="22"/>
                <w:szCs w:val="24"/>
                <w:u w:val="single"/>
              </w:rPr>
            </w:pPr>
          </w:p>
          <w:p w:rsidR="008F48F3" w:rsidRPr="00C534A9" w:rsidRDefault="008F48F3" w:rsidP="00C534A9">
            <w:pPr>
              <w:spacing w:after="0" w:line="240" w:lineRule="auto"/>
              <w:jc w:val="both"/>
              <w:rPr>
                <w:rFonts w:ascii="Arial" w:eastAsia="Times New Roman" w:hAnsi="Arial" w:cs="Arial"/>
                <w:b/>
                <w:color w:val="auto"/>
                <w:sz w:val="22"/>
                <w:szCs w:val="24"/>
                <w:u w:val="single"/>
              </w:rPr>
            </w:pPr>
            <w:r w:rsidRPr="00C534A9">
              <w:rPr>
                <w:rFonts w:ascii="Arial" w:eastAsia="Times New Roman" w:hAnsi="Arial" w:cs="Arial"/>
                <w:b/>
                <w:color w:val="auto"/>
                <w:sz w:val="22"/>
                <w:szCs w:val="24"/>
                <w:u w:val="single"/>
              </w:rPr>
              <w:t>Fuel characteristics</w:t>
            </w:r>
          </w:p>
        </w:tc>
        <w:tc>
          <w:tcPr>
            <w:tcW w:w="1676" w:type="dxa"/>
            <w:tcBorders>
              <w:top w:val="nil"/>
              <w:left w:val="nil"/>
              <w:bottom w:val="nil"/>
              <w:right w:val="nil"/>
            </w:tcBorders>
            <w:shd w:val="clear" w:color="000000" w:fill="FFFFFF"/>
            <w:noWrap/>
            <w:vAlign w:val="bottom"/>
          </w:tcPr>
          <w:p w:rsidR="008F48F3" w:rsidRPr="00C534A9" w:rsidRDefault="008F48F3" w:rsidP="00C534A9">
            <w:pPr>
              <w:spacing w:after="0" w:line="240" w:lineRule="auto"/>
              <w:jc w:val="both"/>
              <w:rPr>
                <w:rFonts w:ascii="Arial" w:eastAsia="Times New Roman" w:hAnsi="Arial" w:cs="Arial"/>
                <w:color w:val="auto"/>
                <w:sz w:val="22"/>
                <w:szCs w:val="24"/>
              </w:rPr>
            </w:pPr>
          </w:p>
        </w:tc>
        <w:tc>
          <w:tcPr>
            <w:tcW w:w="1311" w:type="dxa"/>
            <w:tcBorders>
              <w:top w:val="nil"/>
              <w:left w:val="nil"/>
              <w:bottom w:val="nil"/>
              <w:right w:val="nil"/>
            </w:tcBorders>
            <w:shd w:val="clear" w:color="000000" w:fill="FFFFFF"/>
            <w:noWrap/>
            <w:vAlign w:val="bottom"/>
          </w:tcPr>
          <w:p w:rsidR="008F48F3" w:rsidRPr="00C534A9" w:rsidRDefault="008F48F3" w:rsidP="00C534A9">
            <w:pPr>
              <w:spacing w:after="0" w:line="240" w:lineRule="auto"/>
              <w:jc w:val="both"/>
              <w:rPr>
                <w:rFonts w:ascii="Arial" w:eastAsia="Times New Roman" w:hAnsi="Arial" w:cs="Arial"/>
                <w:color w:val="auto"/>
                <w:sz w:val="22"/>
                <w:szCs w:val="24"/>
              </w:rPr>
            </w:pPr>
          </w:p>
        </w:tc>
      </w:tr>
      <w:tr w:rsidR="008F48F3" w:rsidRPr="00C534A9" w:rsidTr="008F48F3">
        <w:trPr>
          <w:trHeight w:val="255"/>
          <w:jc w:val="center"/>
        </w:trPr>
        <w:tc>
          <w:tcPr>
            <w:tcW w:w="3808" w:type="dxa"/>
            <w:tcBorders>
              <w:top w:val="nil"/>
              <w:left w:val="nil"/>
              <w:bottom w:val="nil"/>
              <w:right w:val="nil"/>
            </w:tcBorders>
            <w:shd w:val="clear" w:color="000000" w:fill="FFFFFF"/>
            <w:noWrap/>
            <w:vAlign w:val="bottom"/>
          </w:tcPr>
          <w:p w:rsidR="008F48F3" w:rsidRPr="00C534A9" w:rsidRDefault="008F48F3" w:rsidP="00C534A9">
            <w:pPr>
              <w:spacing w:after="0" w:line="240" w:lineRule="auto"/>
              <w:ind w:firstLineChars="100" w:firstLine="220"/>
              <w:jc w:val="both"/>
              <w:rPr>
                <w:rFonts w:ascii="Arial" w:eastAsia="Times New Roman" w:hAnsi="Arial" w:cs="Arial"/>
                <w:color w:val="auto"/>
                <w:sz w:val="22"/>
                <w:szCs w:val="24"/>
              </w:rPr>
            </w:pPr>
          </w:p>
          <w:p w:rsidR="008F48F3" w:rsidRPr="00C534A9" w:rsidRDefault="008F48F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Calorific Value HFO</w:t>
            </w:r>
          </w:p>
        </w:tc>
        <w:tc>
          <w:tcPr>
            <w:tcW w:w="1676" w:type="dxa"/>
            <w:tcBorders>
              <w:top w:val="nil"/>
              <w:left w:val="nil"/>
              <w:bottom w:val="nil"/>
              <w:right w:val="nil"/>
            </w:tcBorders>
            <w:shd w:val="clear" w:color="000000" w:fill="FFFFFF"/>
            <w:noWrap/>
            <w:vAlign w:val="bottom"/>
          </w:tcPr>
          <w:p w:rsidR="008F48F3" w:rsidRPr="00C534A9" w:rsidRDefault="008F48F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BTU/BBL</w:t>
            </w:r>
          </w:p>
        </w:tc>
        <w:tc>
          <w:tcPr>
            <w:tcW w:w="1311" w:type="dxa"/>
            <w:tcBorders>
              <w:top w:val="nil"/>
              <w:left w:val="nil"/>
              <w:bottom w:val="nil"/>
              <w:right w:val="nil"/>
            </w:tcBorders>
            <w:shd w:val="clear" w:color="000000" w:fill="FFFFFF"/>
            <w:noWrap/>
            <w:vAlign w:val="bottom"/>
          </w:tcPr>
          <w:p w:rsidR="008F48F3" w:rsidRPr="00C534A9" w:rsidRDefault="008F48F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6,287,000</w:t>
            </w:r>
          </w:p>
        </w:tc>
      </w:tr>
      <w:tr w:rsidR="008F48F3" w:rsidRPr="00C534A9" w:rsidTr="008F48F3">
        <w:trPr>
          <w:trHeight w:val="255"/>
          <w:jc w:val="center"/>
        </w:trPr>
        <w:tc>
          <w:tcPr>
            <w:tcW w:w="3808" w:type="dxa"/>
            <w:tcBorders>
              <w:top w:val="nil"/>
              <w:left w:val="nil"/>
              <w:bottom w:val="nil"/>
              <w:right w:val="nil"/>
            </w:tcBorders>
            <w:shd w:val="clear" w:color="000000" w:fill="FFFFFF"/>
            <w:noWrap/>
            <w:vAlign w:val="bottom"/>
          </w:tcPr>
          <w:p w:rsidR="008F48F3" w:rsidRPr="00C534A9" w:rsidRDefault="008F48F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Calorific Value Diesel</w:t>
            </w:r>
          </w:p>
        </w:tc>
        <w:tc>
          <w:tcPr>
            <w:tcW w:w="1676" w:type="dxa"/>
            <w:tcBorders>
              <w:top w:val="nil"/>
              <w:left w:val="nil"/>
              <w:bottom w:val="nil"/>
              <w:right w:val="nil"/>
            </w:tcBorders>
            <w:shd w:val="clear" w:color="000000" w:fill="FFFFFF"/>
            <w:noWrap/>
            <w:vAlign w:val="bottom"/>
          </w:tcPr>
          <w:p w:rsidR="008F48F3" w:rsidRPr="00C534A9" w:rsidRDefault="008F48F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BTU/BBL</w:t>
            </w:r>
          </w:p>
        </w:tc>
        <w:tc>
          <w:tcPr>
            <w:tcW w:w="1311" w:type="dxa"/>
            <w:tcBorders>
              <w:top w:val="nil"/>
              <w:left w:val="nil"/>
              <w:bottom w:val="nil"/>
              <w:right w:val="nil"/>
            </w:tcBorders>
            <w:shd w:val="clear" w:color="000000" w:fill="FFFFFF"/>
            <w:noWrap/>
            <w:vAlign w:val="bottom"/>
          </w:tcPr>
          <w:p w:rsidR="008F48F3" w:rsidRPr="00C534A9" w:rsidRDefault="008F48F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5,551,365</w:t>
            </w:r>
          </w:p>
        </w:tc>
      </w:tr>
      <w:tr w:rsidR="008F48F3" w:rsidRPr="00C534A9" w:rsidTr="008F48F3">
        <w:trPr>
          <w:trHeight w:val="255"/>
          <w:jc w:val="center"/>
        </w:trPr>
        <w:tc>
          <w:tcPr>
            <w:tcW w:w="3808" w:type="dxa"/>
            <w:tcBorders>
              <w:top w:val="nil"/>
              <w:left w:val="nil"/>
              <w:bottom w:val="nil"/>
              <w:right w:val="nil"/>
            </w:tcBorders>
            <w:shd w:val="clear" w:color="000000" w:fill="FFFFFF"/>
            <w:noWrap/>
            <w:vAlign w:val="bottom"/>
          </w:tcPr>
          <w:p w:rsidR="008F48F3" w:rsidRPr="00C534A9" w:rsidRDefault="008F48F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Calorific Value LPG</w:t>
            </w:r>
          </w:p>
        </w:tc>
        <w:tc>
          <w:tcPr>
            <w:tcW w:w="1676" w:type="dxa"/>
            <w:tcBorders>
              <w:top w:val="nil"/>
              <w:left w:val="nil"/>
              <w:bottom w:val="nil"/>
              <w:right w:val="nil"/>
            </w:tcBorders>
            <w:shd w:val="clear" w:color="000000" w:fill="FFFFFF"/>
            <w:noWrap/>
            <w:vAlign w:val="bottom"/>
          </w:tcPr>
          <w:p w:rsidR="008F48F3" w:rsidRPr="00C534A9" w:rsidRDefault="008F48F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BTU/</w:t>
            </w:r>
            <w:proofErr w:type="spellStart"/>
            <w:r w:rsidRPr="00C534A9">
              <w:rPr>
                <w:rFonts w:ascii="Arial" w:eastAsia="Times New Roman" w:hAnsi="Arial" w:cs="Arial"/>
                <w:color w:val="auto"/>
                <w:sz w:val="22"/>
                <w:szCs w:val="24"/>
              </w:rPr>
              <w:t>lb</w:t>
            </w:r>
            <w:proofErr w:type="spellEnd"/>
          </w:p>
        </w:tc>
        <w:tc>
          <w:tcPr>
            <w:tcW w:w="1311" w:type="dxa"/>
            <w:tcBorders>
              <w:top w:val="nil"/>
              <w:left w:val="nil"/>
              <w:bottom w:val="nil"/>
              <w:right w:val="nil"/>
            </w:tcBorders>
            <w:shd w:val="clear" w:color="000000" w:fill="FFFFFF"/>
            <w:noWrap/>
            <w:vAlign w:val="bottom"/>
          </w:tcPr>
          <w:p w:rsidR="008F48F3" w:rsidRPr="00C534A9" w:rsidRDefault="008F48F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21,561</w:t>
            </w:r>
          </w:p>
        </w:tc>
      </w:tr>
      <w:tr w:rsidR="008F48F3" w:rsidRPr="00C534A9" w:rsidTr="008F48F3">
        <w:trPr>
          <w:trHeight w:val="255"/>
          <w:jc w:val="center"/>
        </w:trPr>
        <w:tc>
          <w:tcPr>
            <w:tcW w:w="3808" w:type="dxa"/>
            <w:tcBorders>
              <w:top w:val="nil"/>
              <w:left w:val="nil"/>
              <w:bottom w:val="nil"/>
              <w:right w:val="nil"/>
            </w:tcBorders>
            <w:shd w:val="clear" w:color="000000" w:fill="FFFFFF"/>
            <w:noWrap/>
            <w:vAlign w:val="bottom"/>
          </w:tcPr>
          <w:p w:rsidR="008F48F3" w:rsidRPr="00C534A9" w:rsidRDefault="008F48F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Calorific Value NG</w:t>
            </w:r>
          </w:p>
        </w:tc>
        <w:tc>
          <w:tcPr>
            <w:tcW w:w="1676" w:type="dxa"/>
            <w:tcBorders>
              <w:top w:val="nil"/>
              <w:left w:val="nil"/>
              <w:bottom w:val="nil"/>
              <w:right w:val="nil"/>
            </w:tcBorders>
            <w:shd w:val="clear" w:color="000000" w:fill="FFFFFF"/>
            <w:noWrap/>
            <w:vAlign w:val="bottom"/>
          </w:tcPr>
          <w:p w:rsidR="008F48F3" w:rsidRPr="00C534A9" w:rsidRDefault="008F48F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BTU/ft^3</w:t>
            </w:r>
          </w:p>
        </w:tc>
        <w:tc>
          <w:tcPr>
            <w:tcW w:w="1311" w:type="dxa"/>
            <w:tcBorders>
              <w:top w:val="nil"/>
              <w:left w:val="nil"/>
              <w:bottom w:val="nil"/>
              <w:right w:val="nil"/>
            </w:tcBorders>
            <w:shd w:val="clear" w:color="000000" w:fill="FFFFFF"/>
            <w:noWrap/>
            <w:vAlign w:val="bottom"/>
          </w:tcPr>
          <w:p w:rsidR="008F48F3" w:rsidRPr="00C534A9" w:rsidRDefault="008F48F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1,050</w:t>
            </w:r>
          </w:p>
        </w:tc>
      </w:tr>
      <w:tr w:rsidR="008F48F3" w:rsidRPr="00C534A9" w:rsidTr="008F48F3">
        <w:trPr>
          <w:trHeight w:val="255"/>
          <w:jc w:val="center"/>
        </w:trPr>
        <w:tc>
          <w:tcPr>
            <w:tcW w:w="3808" w:type="dxa"/>
            <w:tcBorders>
              <w:top w:val="nil"/>
              <w:left w:val="nil"/>
              <w:bottom w:val="nil"/>
              <w:right w:val="nil"/>
            </w:tcBorders>
            <w:shd w:val="clear" w:color="000000" w:fill="FFFFFF"/>
            <w:noWrap/>
            <w:vAlign w:val="bottom"/>
          </w:tcPr>
          <w:p w:rsidR="008F48F3" w:rsidRPr="00C534A9" w:rsidRDefault="008F48F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CO2 content - HFO</w:t>
            </w:r>
          </w:p>
        </w:tc>
        <w:tc>
          <w:tcPr>
            <w:tcW w:w="1676" w:type="dxa"/>
            <w:tcBorders>
              <w:top w:val="nil"/>
              <w:left w:val="nil"/>
              <w:bottom w:val="nil"/>
              <w:right w:val="nil"/>
            </w:tcBorders>
            <w:shd w:val="clear" w:color="000000" w:fill="FFFFFF"/>
            <w:noWrap/>
            <w:vAlign w:val="bottom"/>
          </w:tcPr>
          <w:p w:rsidR="008F48F3" w:rsidRPr="00C534A9" w:rsidRDefault="008F48F3" w:rsidP="00C534A9">
            <w:pPr>
              <w:spacing w:after="0" w:line="240" w:lineRule="auto"/>
              <w:jc w:val="both"/>
              <w:rPr>
                <w:rFonts w:ascii="Arial" w:eastAsia="Times New Roman" w:hAnsi="Arial" w:cs="Arial"/>
                <w:color w:val="auto"/>
                <w:sz w:val="22"/>
                <w:szCs w:val="24"/>
              </w:rPr>
            </w:pPr>
            <w:proofErr w:type="spellStart"/>
            <w:r w:rsidRPr="00C534A9">
              <w:rPr>
                <w:rFonts w:ascii="Arial" w:eastAsia="Times New Roman" w:hAnsi="Arial" w:cs="Arial"/>
                <w:color w:val="auto"/>
                <w:sz w:val="22"/>
                <w:szCs w:val="24"/>
              </w:rPr>
              <w:t>lbs</w:t>
            </w:r>
            <w:proofErr w:type="spellEnd"/>
            <w:r w:rsidRPr="00C534A9">
              <w:rPr>
                <w:rFonts w:ascii="Arial" w:eastAsia="Times New Roman" w:hAnsi="Arial" w:cs="Arial"/>
                <w:color w:val="auto"/>
                <w:sz w:val="22"/>
                <w:szCs w:val="24"/>
              </w:rPr>
              <w:t xml:space="preserve"> / </w:t>
            </w:r>
            <w:proofErr w:type="spellStart"/>
            <w:r w:rsidRPr="00C534A9">
              <w:rPr>
                <w:rFonts w:ascii="Arial" w:eastAsia="Times New Roman" w:hAnsi="Arial" w:cs="Arial"/>
                <w:color w:val="auto"/>
                <w:sz w:val="22"/>
                <w:szCs w:val="24"/>
              </w:rPr>
              <w:t>MMBtu</w:t>
            </w:r>
            <w:proofErr w:type="spellEnd"/>
          </w:p>
        </w:tc>
        <w:tc>
          <w:tcPr>
            <w:tcW w:w="1311" w:type="dxa"/>
            <w:tcBorders>
              <w:top w:val="nil"/>
              <w:left w:val="nil"/>
              <w:bottom w:val="nil"/>
              <w:right w:val="nil"/>
            </w:tcBorders>
            <w:shd w:val="clear" w:color="000000" w:fill="FFFFFF"/>
            <w:noWrap/>
            <w:vAlign w:val="bottom"/>
          </w:tcPr>
          <w:p w:rsidR="008F48F3" w:rsidRPr="00C534A9" w:rsidRDefault="008F48F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174</w:t>
            </w:r>
          </w:p>
        </w:tc>
      </w:tr>
      <w:tr w:rsidR="008F48F3" w:rsidRPr="00C534A9" w:rsidTr="008F48F3">
        <w:trPr>
          <w:trHeight w:val="255"/>
          <w:jc w:val="center"/>
        </w:trPr>
        <w:tc>
          <w:tcPr>
            <w:tcW w:w="3808" w:type="dxa"/>
            <w:tcBorders>
              <w:top w:val="nil"/>
              <w:left w:val="nil"/>
              <w:bottom w:val="nil"/>
              <w:right w:val="nil"/>
            </w:tcBorders>
            <w:shd w:val="clear" w:color="000000" w:fill="FFFFFF"/>
            <w:noWrap/>
            <w:vAlign w:val="bottom"/>
          </w:tcPr>
          <w:p w:rsidR="008F48F3" w:rsidRPr="00C534A9" w:rsidRDefault="008F48F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CO2 content - Diesel</w:t>
            </w:r>
          </w:p>
        </w:tc>
        <w:tc>
          <w:tcPr>
            <w:tcW w:w="1676" w:type="dxa"/>
            <w:tcBorders>
              <w:top w:val="nil"/>
              <w:left w:val="nil"/>
              <w:bottom w:val="nil"/>
              <w:right w:val="nil"/>
            </w:tcBorders>
            <w:shd w:val="clear" w:color="000000" w:fill="FFFFFF"/>
            <w:noWrap/>
            <w:vAlign w:val="bottom"/>
          </w:tcPr>
          <w:p w:rsidR="008F48F3" w:rsidRPr="00C534A9" w:rsidRDefault="008F48F3" w:rsidP="00C534A9">
            <w:pPr>
              <w:spacing w:after="0" w:line="240" w:lineRule="auto"/>
              <w:jc w:val="both"/>
              <w:rPr>
                <w:rFonts w:ascii="Arial" w:eastAsia="Times New Roman" w:hAnsi="Arial" w:cs="Arial"/>
                <w:color w:val="auto"/>
                <w:sz w:val="22"/>
                <w:szCs w:val="24"/>
              </w:rPr>
            </w:pPr>
            <w:proofErr w:type="spellStart"/>
            <w:r w:rsidRPr="00C534A9">
              <w:rPr>
                <w:rFonts w:ascii="Arial" w:eastAsia="Times New Roman" w:hAnsi="Arial" w:cs="Arial"/>
                <w:color w:val="auto"/>
                <w:sz w:val="22"/>
                <w:szCs w:val="24"/>
              </w:rPr>
              <w:t>lbs</w:t>
            </w:r>
            <w:proofErr w:type="spellEnd"/>
            <w:r w:rsidRPr="00C534A9">
              <w:rPr>
                <w:rFonts w:ascii="Arial" w:eastAsia="Times New Roman" w:hAnsi="Arial" w:cs="Arial"/>
                <w:color w:val="auto"/>
                <w:sz w:val="22"/>
                <w:szCs w:val="24"/>
              </w:rPr>
              <w:t xml:space="preserve"> / </w:t>
            </w:r>
            <w:proofErr w:type="spellStart"/>
            <w:r w:rsidRPr="00C534A9">
              <w:rPr>
                <w:rFonts w:ascii="Arial" w:eastAsia="Times New Roman" w:hAnsi="Arial" w:cs="Arial"/>
                <w:color w:val="auto"/>
                <w:sz w:val="22"/>
                <w:szCs w:val="24"/>
              </w:rPr>
              <w:t>MMBtu</w:t>
            </w:r>
            <w:proofErr w:type="spellEnd"/>
          </w:p>
        </w:tc>
        <w:tc>
          <w:tcPr>
            <w:tcW w:w="1311" w:type="dxa"/>
            <w:tcBorders>
              <w:top w:val="nil"/>
              <w:left w:val="nil"/>
              <w:bottom w:val="nil"/>
              <w:right w:val="nil"/>
            </w:tcBorders>
            <w:shd w:val="clear" w:color="000000" w:fill="FFFFFF"/>
            <w:noWrap/>
            <w:vAlign w:val="bottom"/>
          </w:tcPr>
          <w:p w:rsidR="008F48F3" w:rsidRPr="00C534A9" w:rsidRDefault="008F48F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161</w:t>
            </w:r>
          </w:p>
        </w:tc>
      </w:tr>
      <w:tr w:rsidR="008F48F3" w:rsidRPr="00C534A9" w:rsidTr="008F48F3">
        <w:trPr>
          <w:trHeight w:val="255"/>
          <w:jc w:val="center"/>
        </w:trPr>
        <w:tc>
          <w:tcPr>
            <w:tcW w:w="3808" w:type="dxa"/>
            <w:tcBorders>
              <w:top w:val="nil"/>
              <w:left w:val="nil"/>
              <w:bottom w:val="nil"/>
              <w:right w:val="nil"/>
            </w:tcBorders>
            <w:shd w:val="clear" w:color="000000" w:fill="FFFFFF"/>
            <w:noWrap/>
            <w:vAlign w:val="bottom"/>
          </w:tcPr>
          <w:p w:rsidR="008F48F3" w:rsidRPr="00C534A9" w:rsidRDefault="008F48F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CO2 content - LPG</w:t>
            </w:r>
          </w:p>
        </w:tc>
        <w:tc>
          <w:tcPr>
            <w:tcW w:w="1676" w:type="dxa"/>
            <w:tcBorders>
              <w:top w:val="nil"/>
              <w:left w:val="nil"/>
              <w:bottom w:val="nil"/>
              <w:right w:val="nil"/>
            </w:tcBorders>
            <w:shd w:val="clear" w:color="000000" w:fill="FFFFFF"/>
            <w:noWrap/>
            <w:vAlign w:val="bottom"/>
          </w:tcPr>
          <w:p w:rsidR="008F48F3" w:rsidRPr="00C534A9" w:rsidRDefault="008F48F3" w:rsidP="00C534A9">
            <w:pPr>
              <w:spacing w:after="0" w:line="240" w:lineRule="auto"/>
              <w:jc w:val="both"/>
              <w:rPr>
                <w:rFonts w:ascii="Arial" w:eastAsia="Times New Roman" w:hAnsi="Arial" w:cs="Arial"/>
                <w:color w:val="auto"/>
                <w:sz w:val="22"/>
                <w:szCs w:val="24"/>
              </w:rPr>
            </w:pPr>
            <w:proofErr w:type="spellStart"/>
            <w:r w:rsidRPr="00C534A9">
              <w:rPr>
                <w:rFonts w:ascii="Arial" w:eastAsia="Times New Roman" w:hAnsi="Arial" w:cs="Arial"/>
                <w:color w:val="auto"/>
                <w:sz w:val="22"/>
                <w:szCs w:val="24"/>
              </w:rPr>
              <w:t>lbs</w:t>
            </w:r>
            <w:proofErr w:type="spellEnd"/>
            <w:r w:rsidRPr="00C534A9">
              <w:rPr>
                <w:rFonts w:ascii="Arial" w:eastAsia="Times New Roman" w:hAnsi="Arial" w:cs="Arial"/>
                <w:color w:val="auto"/>
                <w:sz w:val="22"/>
                <w:szCs w:val="24"/>
              </w:rPr>
              <w:t xml:space="preserve"> / </w:t>
            </w:r>
            <w:proofErr w:type="spellStart"/>
            <w:r w:rsidRPr="00C534A9">
              <w:rPr>
                <w:rFonts w:ascii="Arial" w:eastAsia="Times New Roman" w:hAnsi="Arial" w:cs="Arial"/>
                <w:color w:val="auto"/>
                <w:sz w:val="22"/>
                <w:szCs w:val="24"/>
              </w:rPr>
              <w:t>MMBtu</w:t>
            </w:r>
            <w:proofErr w:type="spellEnd"/>
          </w:p>
        </w:tc>
        <w:tc>
          <w:tcPr>
            <w:tcW w:w="1311" w:type="dxa"/>
            <w:tcBorders>
              <w:top w:val="nil"/>
              <w:left w:val="nil"/>
              <w:bottom w:val="nil"/>
              <w:right w:val="nil"/>
            </w:tcBorders>
            <w:shd w:val="clear" w:color="000000" w:fill="FFFFFF"/>
            <w:noWrap/>
            <w:vAlign w:val="bottom"/>
          </w:tcPr>
          <w:p w:rsidR="008F48F3" w:rsidRPr="00C534A9" w:rsidRDefault="008F48F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150</w:t>
            </w:r>
          </w:p>
        </w:tc>
      </w:tr>
      <w:tr w:rsidR="008F48F3" w:rsidRPr="00C534A9" w:rsidTr="008F48F3">
        <w:trPr>
          <w:trHeight w:val="255"/>
          <w:jc w:val="center"/>
        </w:trPr>
        <w:tc>
          <w:tcPr>
            <w:tcW w:w="3808" w:type="dxa"/>
            <w:tcBorders>
              <w:top w:val="nil"/>
              <w:left w:val="nil"/>
              <w:bottom w:val="nil"/>
              <w:right w:val="nil"/>
            </w:tcBorders>
            <w:shd w:val="clear" w:color="000000" w:fill="FFFFFF"/>
            <w:noWrap/>
            <w:vAlign w:val="bottom"/>
          </w:tcPr>
          <w:p w:rsidR="008F48F3" w:rsidRPr="00C534A9" w:rsidRDefault="008F48F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CO2 content - NG</w:t>
            </w:r>
          </w:p>
        </w:tc>
        <w:tc>
          <w:tcPr>
            <w:tcW w:w="1676" w:type="dxa"/>
            <w:tcBorders>
              <w:top w:val="nil"/>
              <w:left w:val="nil"/>
              <w:bottom w:val="nil"/>
              <w:right w:val="nil"/>
            </w:tcBorders>
            <w:shd w:val="clear" w:color="000000" w:fill="FFFFFF"/>
            <w:noWrap/>
            <w:vAlign w:val="bottom"/>
          </w:tcPr>
          <w:p w:rsidR="008F48F3" w:rsidRPr="00C534A9" w:rsidRDefault="008F48F3" w:rsidP="00C534A9">
            <w:pPr>
              <w:spacing w:after="0" w:line="240" w:lineRule="auto"/>
              <w:jc w:val="both"/>
              <w:rPr>
                <w:rFonts w:ascii="Arial" w:eastAsia="Times New Roman" w:hAnsi="Arial" w:cs="Arial"/>
                <w:color w:val="auto"/>
                <w:sz w:val="22"/>
                <w:szCs w:val="24"/>
              </w:rPr>
            </w:pPr>
            <w:proofErr w:type="spellStart"/>
            <w:r w:rsidRPr="00C534A9">
              <w:rPr>
                <w:rFonts w:ascii="Arial" w:eastAsia="Times New Roman" w:hAnsi="Arial" w:cs="Arial"/>
                <w:color w:val="auto"/>
                <w:sz w:val="22"/>
                <w:szCs w:val="24"/>
              </w:rPr>
              <w:t>lbs</w:t>
            </w:r>
            <w:proofErr w:type="spellEnd"/>
            <w:r w:rsidRPr="00C534A9">
              <w:rPr>
                <w:rFonts w:ascii="Arial" w:eastAsia="Times New Roman" w:hAnsi="Arial" w:cs="Arial"/>
                <w:color w:val="auto"/>
                <w:sz w:val="22"/>
                <w:szCs w:val="24"/>
              </w:rPr>
              <w:t xml:space="preserve"> / </w:t>
            </w:r>
            <w:proofErr w:type="spellStart"/>
            <w:r w:rsidRPr="00C534A9">
              <w:rPr>
                <w:rFonts w:ascii="Arial" w:eastAsia="Times New Roman" w:hAnsi="Arial" w:cs="Arial"/>
                <w:color w:val="auto"/>
                <w:sz w:val="22"/>
                <w:szCs w:val="24"/>
              </w:rPr>
              <w:t>MMBtu</w:t>
            </w:r>
            <w:proofErr w:type="spellEnd"/>
          </w:p>
        </w:tc>
        <w:tc>
          <w:tcPr>
            <w:tcW w:w="1311" w:type="dxa"/>
            <w:tcBorders>
              <w:top w:val="nil"/>
              <w:left w:val="nil"/>
              <w:bottom w:val="nil"/>
              <w:right w:val="nil"/>
            </w:tcBorders>
            <w:shd w:val="clear" w:color="000000" w:fill="FFFFFF"/>
            <w:noWrap/>
            <w:vAlign w:val="bottom"/>
          </w:tcPr>
          <w:p w:rsidR="008F48F3" w:rsidRPr="00C534A9" w:rsidRDefault="008F48F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117</w:t>
            </w:r>
          </w:p>
        </w:tc>
      </w:tr>
    </w:tbl>
    <w:p w:rsidR="006940A1" w:rsidRPr="00C534A9" w:rsidRDefault="006940A1" w:rsidP="00C534A9">
      <w:pPr>
        <w:pStyle w:val="Source"/>
        <w:jc w:val="both"/>
        <w:rPr>
          <w:rFonts w:ascii="Arial" w:hAnsi="Arial" w:cs="Arial"/>
          <w:sz w:val="18"/>
        </w:rPr>
      </w:pPr>
    </w:p>
    <w:p w:rsidR="006940A1" w:rsidRPr="00C534A9" w:rsidRDefault="006A5BAD" w:rsidP="00C534A9">
      <w:pPr>
        <w:jc w:val="both"/>
        <w:rPr>
          <w:rFonts w:ascii="Arial" w:hAnsi="Arial" w:cs="Arial"/>
          <w:sz w:val="22"/>
        </w:rPr>
      </w:pPr>
      <w:r w:rsidRPr="00C534A9">
        <w:rPr>
          <w:rFonts w:ascii="Arial" w:hAnsi="Arial" w:cs="Arial"/>
          <w:sz w:val="22"/>
        </w:rPr>
        <w:t xml:space="preserve">The assumptions are based on information provided by the NPC, quotes from equipment and service providers, studies from reliable sources, and estimations based on similar projects and technologies. For example, NPC determined that an 850 kW scale turbine would be best suited for their electricity needs and the proposed location of the wind turbine. </w:t>
      </w:r>
      <w:r w:rsidR="00E439E9" w:rsidRPr="00C534A9">
        <w:rPr>
          <w:rFonts w:ascii="Arial" w:hAnsi="Arial" w:cs="Arial"/>
          <w:sz w:val="22"/>
        </w:rPr>
        <w:t xml:space="preserve">The wind </w:t>
      </w:r>
      <w:proofErr w:type="gramStart"/>
      <w:r w:rsidR="00E439E9" w:rsidRPr="00C534A9">
        <w:rPr>
          <w:rFonts w:ascii="Arial" w:hAnsi="Arial" w:cs="Arial"/>
          <w:sz w:val="22"/>
        </w:rPr>
        <w:t>turbine’s</w:t>
      </w:r>
      <w:proofErr w:type="gramEnd"/>
      <w:r w:rsidR="00E439E9" w:rsidRPr="00C534A9">
        <w:rPr>
          <w:rFonts w:ascii="Arial" w:hAnsi="Arial" w:cs="Arial"/>
          <w:sz w:val="22"/>
        </w:rPr>
        <w:t xml:space="preserve"> expected capacity factor (31%) was also based on data from the equipment provider and NPC. </w:t>
      </w:r>
      <w:r w:rsidRPr="00C534A9">
        <w:rPr>
          <w:rFonts w:ascii="Arial" w:hAnsi="Arial" w:cs="Arial"/>
          <w:sz w:val="22"/>
        </w:rPr>
        <w:t xml:space="preserve">The data on capital expenditures are based on a detailed quote provided to NPC by </w:t>
      </w:r>
      <w:r w:rsidR="008670B6" w:rsidRPr="00C534A9">
        <w:rPr>
          <w:rFonts w:ascii="Arial" w:hAnsi="Arial" w:cs="Arial"/>
          <w:sz w:val="22"/>
        </w:rPr>
        <w:t>Hydro-Star Energy, LLC</w:t>
      </w:r>
      <w:r w:rsidRPr="00C534A9">
        <w:rPr>
          <w:rFonts w:ascii="Arial" w:hAnsi="Arial" w:cs="Arial"/>
          <w:sz w:val="22"/>
        </w:rPr>
        <w:t xml:space="preserve">.  </w:t>
      </w:r>
      <w:r w:rsidR="00734D40" w:rsidRPr="00C534A9">
        <w:rPr>
          <w:rFonts w:ascii="Arial" w:hAnsi="Arial" w:cs="Arial"/>
          <w:sz w:val="22"/>
        </w:rPr>
        <w:t>A</w:t>
      </w:r>
      <w:r w:rsidRPr="00C534A9">
        <w:rPr>
          <w:rFonts w:ascii="Arial" w:hAnsi="Arial" w:cs="Arial"/>
          <w:sz w:val="22"/>
        </w:rPr>
        <w:t>ssumptions for avoided cost of fuel oil gener</w:t>
      </w:r>
      <w:r w:rsidR="007A76B8" w:rsidRPr="00C534A9">
        <w:rPr>
          <w:rFonts w:ascii="Arial" w:hAnsi="Arial" w:cs="Arial"/>
          <w:sz w:val="22"/>
        </w:rPr>
        <w:t xml:space="preserve">ation are based on the </w:t>
      </w:r>
      <w:r w:rsidRPr="00C534A9">
        <w:rPr>
          <w:rFonts w:ascii="Arial" w:hAnsi="Arial" w:cs="Arial"/>
          <w:sz w:val="22"/>
        </w:rPr>
        <w:t xml:space="preserve">operating, and maintenance costs of diesel-based generation in Barbados.  The avoided cost of fuel generation is also based on the EIA’s </w:t>
      </w:r>
      <w:r w:rsidR="00D67CE0" w:rsidRPr="00C534A9">
        <w:rPr>
          <w:rFonts w:ascii="Arial" w:hAnsi="Arial" w:cs="Arial"/>
          <w:sz w:val="22"/>
        </w:rPr>
        <w:t>2015</w:t>
      </w:r>
      <w:r w:rsidRPr="00C534A9">
        <w:rPr>
          <w:rFonts w:ascii="Arial" w:hAnsi="Arial" w:cs="Arial"/>
          <w:sz w:val="22"/>
        </w:rPr>
        <w:t xml:space="preserve"> yearly WTI oil price projections, adjusted to reflect the delivered cost of heavy fuel oil in Barbados. </w:t>
      </w:r>
      <w:r w:rsidR="006940A1" w:rsidRPr="00C534A9">
        <w:rPr>
          <w:rFonts w:ascii="Arial" w:hAnsi="Arial" w:cs="Arial"/>
          <w:sz w:val="22"/>
        </w:rPr>
        <w:t>The 12 percent discount rate is in line with IDB CBA guidelines.</w:t>
      </w:r>
    </w:p>
    <w:p w:rsidR="006940A1" w:rsidRPr="00C534A9" w:rsidRDefault="006940A1" w:rsidP="00C534A9">
      <w:pPr>
        <w:pStyle w:val="Heading2"/>
        <w:jc w:val="both"/>
        <w:rPr>
          <w:rFonts w:ascii="Arial" w:hAnsi="Arial" w:cs="Arial"/>
          <w:sz w:val="24"/>
        </w:rPr>
      </w:pPr>
      <w:bookmarkStart w:id="88" w:name="_Toc464551509"/>
      <w:r w:rsidRPr="00C534A9">
        <w:rPr>
          <w:rFonts w:ascii="Arial" w:hAnsi="Arial" w:cs="Arial"/>
          <w:sz w:val="24"/>
        </w:rPr>
        <w:t xml:space="preserve">Economic Costs, Economic Benefits, and Net Economic Benefits of </w:t>
      </w:r>
      <w:r w:rsidR="00712C73" w:rsidRPr="00C534A9">
        <w:rPr>
          <w:rFonts w:ascii="Arial" w:hAnsi="Arial" w:cs="Arial"/>
          <w:sz w:val="24"/>
        </w:rPr>
        <w:t>the wind turbine</w:t>
      </w:r>
      <w:bookmarkEnd w:id="88"/>
    </w:p>
    <w:p w:rsidR="006940A1" w:rsidRPr="00C534A9" w:rsidRDefault="006940A1" w:rsidP="00C534A9">
      <w:pPr>
        <w:jc w:val="both"/>
        <w:rPr>
          <w:rFonts w:ascii="Arial" w:hAnsi="Arial" w:cs="Arial"/>
          <w:sz w:val="22"/>
        </w:rPr>
      </w:pPr>
      <w:r w:rsidRPr="00C534A9">
        <w:rPr>
          <w:rFonts w:ascii="Arial" w:hAnsi="Arial" w:cs="Arial"/>
          <w:sz w:val="22"/>
        </w:rPr>
        <w:t xml:space="preserve">This section presents the results of the CBA. </w:t>
      </w:r>
      <w:r w:rsidR="00712C73" w:rsidRPr="00C534A9">
        <w:rPr>
          <w:rFonts w:ascii="Arial" w:hAnsi="Arial" w:cs="Arial"/>
          <w:sz w:val="22"/>
        </w:rPr>
        <w:t>After comparing the</w:t>
      </w:r>
      <w:r w:rsidRPr="00C534A9">
        <w:rPr>
          <w:rFonts w:ascii="Arial" w:hAnsi="Arial" w:cs="Arial"/>
          <w:sz w:val="22"/>
        </w:rPr>
        <w:t xml:space="preserve"> economic cost</w:t>
      </w:r>
      <w:r w:rsidR="00712C73" w:rsidRPr="00C534A9">
        <w:rPr>
          <w:rFonts w:ascii="Arial" w:hAnsi="Arial" w:cs="Arial"/>
          <w:sz w:val="22"/>
        </w:rPr>
        <w:t>s</w:t>
      </w:r>
      <w:r w:rsidRPr="00C534A9">
        <w:rPr>
          <w:rFonts w:ascii="Arial" w:hAnsi="Arial" w:cs="Arial"/>
          <w:sz w:val="22"/>
        </w:rPr>
        <w:t xml:space="preserve"> and benefits of </w:t>
      </w:r>
      <w:r w:rsidR="00712C73" w:rsidRPr="00C534A9">
        <w:rPr>
          <w:rFonts w:ascii="Arial" w:hAnsi="Arial" w:cs="Arial"/>
          <w:sz w:val="22"/>
        </w:rPr>
        <w:t>the proposed wind turbine</w:t>
      </w:r>
      <w:r w:rsidR="00416EE9" w:rsidRPr="00C534A9">
        <w:rPr>
          <w:rFonts w:ascii="Arial" w:hAnsi="Arial" w:cs="Arial"/>
          <w:sz w:val="22"/>
        </w:rPr>
        <w:t xml:space="preserve"> sub-project</w:t>
      </w:r>
      <w:r w:rsidRPr="00C534A9">
        <w:rPr>
          <w:rFonts w:ascii="Arial" w:hAnsi="Arial" w:cs="Arial"/>
          <w:sz w:val="22"/>
        </w:rPr>
        <w:t xml:space="preserve">, the aggregated net benefits </w:t>
      </w:r>
      <w:r w:rsidR="009F2643" w:rsidRPr="00C534A9">
        <w:rPr>
          <w:rFonts w:ascii="Arial" w:hAnsi="Arial" w:cs="Arial"/>
          <w:sz w:val="22"/>
        </w:rPr>
        <w:t xml:space="preserve">were found to be </w:t>
      </w:r>
      <w:r w:rsidRPr="00C534A9">
        <w:rPr>
          <w:rFonts w:ascii="Arial" w:hAnsi="Arial" w:cs="Arial"/>
          <w:sz w:val="22"/>
        </w:rPr>
        <w:t>positive. That m</w:t>
      </w:r>
      <w:r w:rsidR="00712C73" w:rsidRPr="00C534A9">
        <w:rPr>
          <w:rFonts w:ascii="Arial" w:hAnsi="Arial" w:cs="Arial"/>
          <w:sz w:val="22"/>
        </w:rPr>
        <w:t>eans that installing the wind turbine</w:t>
      </w:r>
      <w:r w:rsidRPr="00C534A9">
        <w:rPr>
          <w:rFonts w:ascii="Arial" w:hAnsi="Arial" w:cs="Arial"/>
          <w:sz w:val="22"/>
        </w:rPr>
        <w:t xml:space="preserve"> will generate net economic benefits for </w:t>
      </w:r>
      <w:r w:rsidR="00712C73" w:rsidRPr="00C534A9">
        <w:rPr>
          <w:rFonts w:ascii="Arial" w:hAnsi="Arial" w:cs="Arial"/>
          <w:sz w:val="22"/>
        </w:rPr>
        <w:t>Barbados</w:t>
      </w:r>
      <w:r w:rsidRPr="00C534A9">
        <w:rPr>
          <w:rFonts w:ascii="Arial" w:hAnsi="Arial" w:cs="Arial"/>
          <w:sz w:val="22"/>
        </w:rPr>
        <w:t>.</w:t>
      </w:r>
    </w:p>
    <w:p w:rsidR="006940A1" w:rsidRPr="00C534A9" w:rsidRDefault="006940A1" w:rsidP="00C534A9">
      <w:pPr>
        <w:jc w:val="both"/>
        <w:rPr>
          <w:rFonts w:ascii="Arial" w:hAnsi="Arial" w:cs="Arial"/>
          <w:sz w:val="22"/>
        </w:rPr>
      </w:pPr>
      <w:r w:rsidRPr="00C534A9">
        <w:rPr>
          <w:rFonts w:ascii="Arial" w:hAnsi="Arial" w:cs="Arial"/>
          <w:sz w:val="22"/>
        </w:rPr>
        <w:fldChar w:fldCharType="begin"/>
      </w:r>
      <w:r w:rsidRPr="00C534A9">
        <w:rPr>
          <w:rFonts w:ascii="Arial" w:hAnsi="Arial" w:cs="Arial"/>
          <w:sz w:val="22"/>
        </w:rPr>
        <w:instrText xml:space="preserve"> REF _Ref406058165 \h  \* MERGEFORMAT </w:instrText>
      </w:r>
      <w:r w:rsidRPr="00C534A9">
        <w:rPr>
          <w:rFonts w:ascii="Arial" w:hAnsi="Arial" w:cs="Arial"/>
          <w:sz w:val="22"/>
        </w:rPr>
      </w:r>
      <w:r w:rsidRPr="00C534A9">
        <w:rPr>
          <w:rFonts w:ascii="Arial" w:hAnsi="Arial" w:cs="Arial"/>
          <w:sz w:val="22"/>
        </w:rPr>
        <w:fldChar w:fldCharType="separate"/>
      </w:r>
      <w:r w:rsidR="003F3D75" w:rsidRPr="00C534A9">
        <w:rPr>
          <w:rFonts w:ascii="Arial" w:hAnsi="Arial" w:cs="Arial"/>
          <w:sz w:val="22"/>
        </w:rPr>
        <w:t xml:space="preserve">Table </w:t>
      </w:r>
      <w:r w:rsidR="002377C5" w:rsidRPr="00C534A9">
        <w:rPr>
          <w:rFonts w:ascii="Arial" w:hAnsi="Arial" w:cs="Arial"/>
          <w:noProof/>
          <w:sz w:val="22"/>
        </w:rPr>
        <w:t>4</w:t>
      </w:r>
      <w:r w:rsidR="003F3D75" w:rsidRPr="00C534A9">
        <w:rPr>
          <w:rFonts w:ascii="Arial" w:hAnsi="Arial" w:cs="Arial"/>
          <w:noProof/>
          <w:sz w:val="22"/>
        </w:rPr>
        <w:t>.2</w:t>
      </w:r>
      <w:r w:rsidRPr="00C534A9">
        <w:rPr>
          <w:rFonts w:ascii="Arial" w:hAnsi="Arial" w:cs="Arial"/>
          <w:sz w:val="22"/>
        </w:rPr>
        <w:fldChar w:fldCharType="end"/>
      </w:r>
      <w:r w:rsidRPr="00C534A9">
        <w:rPr>
          <w:rFonts w:ascii="Arial" w:hAnsi="Arial" w:cs="Arial"/>
          <w:sz w:val="22"/>
        </w:rPr>
        <w:t xml:space="preserve"> presents the economic costs and benefits </w:t>
      </w:r>
      <w:r w:rsidR="00712C73" w:rsidRPr="00C534A9">
        <w:rPr>
          <w:rFonts w:ascii="Arial" w:hAnsi="Arial" w:cs="Arial"/>
          <w:sz w:val="22"/>
        </w:rPr>
        <w:t>of the wind turbine sub-project</w:t>
      </w:r>
      <w:r w:rsidRPr="00C534A9">
        <w:rPr>
          <w:rFonts w:ascii="Arial" w:hAnsi="Arial" w:cs="Arial"/>
          <w:sz w:val="22"/>
        </w:rPr>
        <w:t xml:space="preserve">. </w:t>
      </w:r>
    </w:p>
    <w:p w:rsidR="006940A1" w:rsidRPr="00C534A9" w:rsidRDefault="006940A1" w:rsidP="00C534A9">
      <w:pPr>
        <w:pStyle w:val="Caption"/>
        <w:jc w:val="both"/>
        <w:rPr>
          <w:rFonts w:ascii="Arial" w:hAnsi="Arial" w:cs="Arial"/>
          <w:sz w:val="22"/>
        </w:rPr>
      </w:pPr>
      <w:bookmarkStart w:id="89" w:name="_Toc463508483"/>
      <w:bookmarkStart w:id="90" w:name="_Toc463508975"/>
      <w:proofErr w:type="gramStart"/>
      <w:r w:rsidRPr="00C534A9">
        <w:rPr>
          <w:rFonts w:ascii="Arial" w:hAnsi="Arial" w:cs="Arial"/>
          <w:sz w:val="22"/>
        </w:rPr>
        <w:t xml:space="preserve">Table </w:t>
      </w:r>
      <w:r w:rsidR="007D6B36" w:rsidRPr="00C534A9">
        <w:rPr>
          <w:rFonts w:ascii="Arial" w:hAnsi="Arial" w:cs="Arial"/>
          <w:sz w:val="22"/>
        </w:rPr>
        <w:fldChar w:fldCharType="begin"/>
      </w:r>
      <w:r w:rsidR="007D6B36" w:rsidRPr="00C534A9">
        <w:rPr>
          <w:rFonts w:ascii="Arial" w:hAnsi="Arial" w:cs="Arial"/>
          <w:sz w:val="22"/>
        </w:rPr>
        <w:instrText xml:space="preserve"> STYLEREF 1 \s </w:instrText>
      </w:r>
      <w:r w:rsidR="007D6B36" w:rsidRPr="00C534A9">
        <w:rPr>
          <w:rFonts w:ascii="Arial" w:hAnsi="Arial" w:cs="Arial"/>
          <w:sz w:val="22"/>
        </w:rPr>
        <w:fldChar w:fldCharType="separate"/>
      </w:r>
      <w:r w:rsidR="003F3D75" w:rsidRPr="00C534A9">
        <w:rPr>
          <w:rFonts w:ascii="Arial" w:hAnsi="Arial" w:cs="Arial"/>
          <w:noProof/>
          <w:sz w:val="22"/>
        </w:rPr>
        <w:t>4</w:t>
      </w:r>
      <w:r w:rsidR="007D6B36" w:rsidRPr="00C534A9">
        <w:rPr>
          <w:rFonts w:ascii="Arial" w:hAnsi="Arial" w:cs="Arial"/>
          <w:noProof/>
          <w:sz w:val="22"/>
        </w:rPr>
        <w:fldChar w:fldCharType="end"/>
      </w:r>
      <w:r w:rsidRPr="00C534A9">
        <w:rPr>
          <w:rFonts w:ascii="Arial" w:hAnsi="Arial" w:cs="Arial"/>
          <w:sz w:val="22"/>
        </w:rPr>
        <w:t>.</w:t>
      </w:r>
      <w:proofErr w:type="gramEnd"/>
      <w:r w:rsidR="003343DE" w:rsidRPr="00C534A9">
        <w:rPr>
          <w:rFonts w:ascii="Arial" w:hAnsi="Arial" w:cs="Arial"/>
          <w:sz w:val="22"/>
        </w:rPr>
        <w:fldChar w:fldCharType="begin"/>
      </w:r>
      <w:r w:rsidR="003343DE" w:rsidRPr="00C534A9">
        <w:rPr>
          <w:rFonts w:ascii="Arial" w:hAnsi="Arial" w:cs="Arial"/>
          <w:sz w:val="22"/>
        </w:rPr>
        <w:instrText xml:space="preserve"> SEQ Table \* ARABIC \s 1 </w:instrText>
      </w:r>
      <w:r w:rsidR="003343DE" w:rsidRPr="00C534A9">
        <w:rPr>
          <w:rFonts w:ascii="Arial" w:hAnsi="Arial" w:cs="Arial"/>
          <w:sz w:val="22"/>
        </w:rPr>
        <w:fldChar w:fldCharType="separate"/>
      </w:r>
      <w:r w:rsidR="003F3D75" w:rsidRPr="00C534A9">
        <w:rPr>
          <w:rFonts w:ascii="Arial" w:hAnsi="Arial" w:cs="Arial"/>
          <w:noProof/>
          <w:sz w:val="22"/>
        </w:rPr>
        <w:t>2</w:t>
      </w:r>
      <w:r w:rsidR="003343DE" w:rsidRPr="00C534A9">
        <w:rPr>
          <w:rFonts w:ascii="Arial" w:hAnsi="Arial" w:cs="Arial"/>
          <w:noProof/>
          <w:sz w:val="22"/>
        </w:rPr>
        <w:fldChar w:fldCharType="end"/>
      </w:r>
      <w:r w:rsidRPr="00C534A9">
        <w:rPr>
          <w:rFonts w:ascii="Arial" w:hAnsi="Arial" w:cs="Arial"/>
          <w:sz w:val="22"/>
        </w:rPr>
        <w:t xml:space="preserve">: Economic Costs and Benefits of the </w:t>
      </w:r>
      <w:r w:rsidR="00712C73" w:rsidRPr="00C534A9">
        <w:rPr>
          <w:rFonts w:ascii="Arial" w:hAnsi="Arial" w:cs="Arial"/>
          <w:sz w:val="22"/>
        </w:rPr>
        <w:t>Wind Turbine</w:t>
      </w:r>
      <w:r w:rsidR="003A6A5C" w:rsidRPr="00C534A9">
        <w:rPr>
          <w:rFonts w:ascii="Arial" w:hAnsi="Arial" w:cs="Arial"/>
          <w:sz w:val="22"/>
        </w:rPr>
        <w:t xml:space="preserve"> (US$ ‘000)</w:t>
      </w:r>
      <w:bookmarkEnd w:id="89"/>
      <w:bookmarkEnd w:id="90"/>
    </w:p>
    <w:tbl>
      <w:tblPr>
        <w:tblStyle w:val="TableGrid"/>
        <w:tblW w:w="0" w:type="auto"/>
        <w:tblLook w:val="04A0" w:firstRow="1" w:lastRow="0" w:firstColumn="1" w:lastColumn="0" w:noHBand="0" w:noVBand="1"/>
      </w:tblPr>
      <w:tblGrid>
        <w:gridCol w:w="2540"/>
        <w:gridCol w:w="1320"/>
      </w:tblGrid>
      <w:tr w:rsidR="007545BC" w:rsidRPr="00C534A9" w:rsidTr="00D132E2">
        <w:trPr>
          <w:trHeight w:val="450"/>
        </w:trPr>
        <w:tc>
          <w:tcPr>
            <w:tcW w:w="2540" w:type="dxa"/>
            <w:hideMark/>
          </w:tcPr>
          <w:p w:rsidR="007545BC" w:rsidRPr="00C534A9" w:rsidRDefault="007545BC" w:rsidP="00C534A9">
            <w:pPr>
              <w:jc w:val="both"/>
              <w:rPr>
                <w:rFonts w:ascii="Arial" w:hAnsi="Arial" w:cs="Arial"/>
                <w:sz w:val="22"/>
              </w:rPr>
            </w:pPr>
            <w:r w:rsidRPr="00C534A9">
              <w:rPr>
                <w:rFonts w:ascii="Arial" w:hAnsi="Arial" w:cs="Arial"/>
                <w:sz w:val="22"/>
              </w:rPr>
              <w:t>Present Value - Benefits</w:t>
            </w:r>
          </w:p>
        </w:tc>
        <w:tc>
          <w:tcPr>
            <w:tcW w:w="1320" w:type="dxa"/>
            <w:vAlign w:val="center"/>
            <w:hideMark/>
          </w:tcPr>
          <w:p w:rsidR="007545BC" w:rsidRPr="00C534A9" w:rsidRDefault="007545BC" w:rsidP="00C534A9">
            <w:pPr>
              <w:jc w:val="both"/>
              <w:rPr>
                <w:rFonts w:ascii="Arial" w:hAnsi="Arial" w:cs="Arial"/>
                <w:sz w:val="22"/>
              </w:rPr>
            </w:pPr>
            <w:r w:rsidRPr="00C534A9">
              <w:rPr>
                <w:rFonts w:ascii="Arial" w:hAnsi="Arial" w:cs="Arial"/>
                <w:color w:val="000000"/>
                <w:sz w:val="22"/>
              </w:rPr>
              <w:t xml:space="preserve">$2,333 </w:t>
            </w:r>
          </w:p>
        </w:tc>
      </w:tr>
      <w:tr w:rsidR="007545BC" w:rsidRPr="00C534A9" w:rsidTr="00D132E2">
        <w:trPr>
          <w:trHeight w:val="450"/>
        </w:trPr>
        <w:tc>
          <w:tcPr>
            <w:tcW w:w="2540" w:type="dxa"/>
            <w:hideMark/>
          </w:tcPr>
          <w:p w:rsidR="007545BC" w:rsidRPr="00C534A9" w:rsidRDefault="007545BC" w:rsidP="00C534A9">
            <w:pPr>
              <w:jc w:val="both"/>
              <w:rPr>
                <w:rFonts w:ascii="Arial" w:hAnsi="Arial" w:cs="Arial"/>
                <w:sz w:val="22"/>
              </w:rPr>
            </w:pPr>
            <w:r w:rsidRPr="00C534A9">
              <w:rPr>
                <w:rFonts w:ascii="Arial" w:hAnsi="Arial" w:cs="Arial"/>
                <w:sz w:val="22"/>
              </w:rPr>
              <w:t>Present Value  - Costs</w:t>
            </w:r>
          </w:p>
        </w:tc>
        <w:tc>
          <w:tcPr>
            <w:tcW w:w="1320" w:type="dxa"/>
            <w:vAlign w:val="center"/>
            <w:hideMark/>
          </w:tcPr>
          <w:p w:rsidR="007545BC" w:rsidRPr="00C534A9" w:rsidRDefault="007545BC" w:rsidP="00C534A9">
            <w:pPr>
              <w:jc w:val="both"/>
              <w:rPr>
                <w:rFonts w:ascii="Arial" w:hAnsi="Arial" w:cs="Arial"/>
                <w:sz w:val="22"/>
              </w:rPr>
            </w:pPr>
            <w:r w:rsidRPr="00C534A9">
              <w:rPr>
                <w:rFonts w:ascii="Arial" w:hAnsi="Arial" w:cs="Arial"/>
                <w:color w:val="FF0000"/>
                <w:sz w:val="22"/>
              </w:rPr>
              <w:t>($1,759)</w:t>
            </w:r>
          </w:p>
        </w:tc>
      </w:tr>
      <w:tr w:rsidR="007545BC" w:rsidRPr="00C534A9" w:rsidTr="00D132E2">
        <w:trPr>
          <w:trHeight w:val="450"/>
        </w:trPr>
        <w:tc>
          <w:tcPr>
            <w:tcW w:w="2540" w:type="dxa"/>
            <w:hideMark/>
          </w:tcPr>
          <w:p w:rsidR="007545BC" w:rsidRPr="00C534A9" w:rsidRDefault="007545BC" w:rsidP="00C534A9">
            <w:pPr>
              <w:jc w:val="both"/>
              <w:rPr>
                <w:rFonts w:ascii="Arial" w:hAnsi="Arial" w:cs="Arial"/>
                <w:sz w:val="22"/>
              </w:rPr>
            </w:pPr>
            <w:r w:rsidRPr="00C534A9">
              <w:rPr>
                <w:rFonts w:ascii="Arial" w:hAnsi="Arial" w:cs="Arial"/>
                <w:sz w:val="22"/>
              </w:rPr>
              <w:t>Net Present Value</w:t>
            </w:r>
          </w:p>
        </w:tc>
        <w:tc>
          <w:tcPr>
            <w:tcW w:w="1320" w:type="dxa"/>
            <w:vAlign w:val="center"/>
            <w:hideMark/>
          </w:tcPr>
          <w:p w:rsidR="007545BC" w:rsidRPr="00C534A9" w:rsidRDefault="007545BC" w:rsidP="00C534A9">
            <w:pPr>
              <w:jc w:val="both"/>
              <w:rPr>
                <w:rFonts w:ascii="Arial" w:hAnsi="Arial" w:cs="Arial"/>
                <w:sz w:val="22"/>
              </w:rPr>
            </w:pPr>
            <w:r w:rsidRPr="00C534A9">
              <w:rPr>
                <w:rFonts w:ascii="Arial" w:hAnsi="Arial" w:cs="Arial"/>
                <w:color w:val="000000"/>
                <w:sz w:val="22"/>
              </w:rPr>
              <w:t xml:space="preserve">$574 </w:t>
            </w:r>
          </w:p>
        </w:tc>
      </w:tr>
      <w:tr w:rsidR="007545BC" w:rsidRPr="00C534A9" w:rsidTr="00D132E2">
        <w:trPr>
          <w:trHeight w:val="450"/>
        </w:trPr>
        <w:tc>
          <w:tcPr>
            <w:tcW w:w="2540" w:type="dxa"/>
            <w:hideMark/>
          </w:tcPr>
          <w:p w:rsidR="007545BC" w:rsidRPr="00C534A9" w:rsidRDefault="007545BC" w:rsidP="00C534A9">
            <w:pPr>
              <w:jc w:val="both"/>
              <w:rPr>
                <w:rFonts w:ascii="Arial" w:hAnsi="Arial" w:cs="Arial"/>
                <w:sz w:val="22"/>
              </w:rPr>
            </w:pPr>
            <w:r w:rsidRPr="00C534A9">
              <w:rPr>
                <w:rFonts w:ascii="Arial" w:hAnsi="Arial" w:cs="Arial"/>
                <w:sz w:val="22"/>
              </w:rPr>
              <w:t>IRR</w:t>
            </w:r>
          </w:p>
        </w:tc>
        <w:tc>
          <w:tcPr>
            <w:tcW w:w="1320" w:type="dxa"/>
            <w:vAlign w:val="center"/>
            <w:hideMark/>
          </w:tcPr>
          <w:p w:rsidR="007545BC" w:rsidRPr="00C534A9" w:rsidRDefault="007545BC" w:rsidP="00C534A9">
            <w:pPr>
              <w:jc w:val="both"/>
              <w:rPr>
                <w:rFonts w:ascii="Arial" w:hAnsi="Arial" w:cs="Arial"/>
                <w:sz w:val="22"/>
              </w:rPr>
            </w:pPr>
            <w:r w:rsidRPr="00C534A9">
              <w:rPr>
                <w:rFonts w:ascii="Arial" w:hAnsi="Arial" w:cs="Arial"/>
                <w:color w:val="000000"/>
                <w:sz w:val="22"/>
              </w:rPr>
              <w:t>17%</w:t>
            </w:r>
          </w:p>
        </w:tc>
      </w:tr>
    </w:tbl>
    <w:p w:rsidR="006940A1" w:rsidRPr="00C534A9" w:rsidRDefault="006940A1" w:rsidP="00C534A9">
      <w:pPr>
        <w:pStyle w:val="Source"/>
        <w:jc w:val="both"/>
        <w:rPr>
          <w:rFonts w:ascii="Arial" w:hAnsi="Arial" w:cs="Arial"/>
          <w:sz w:val="18"/>
        </w:rPr>
      </w:pPr>
    </w:p>
    <w:p w:rsidR="006940A1" w:rsidRPr="00C534A9" w:rsidRDefault="006940A1" w:rsidP="00C534A9">
      <w:pPr>
        <w:jc w:val="both"/>
        <w:rPr>
          <w:rFonts w:ascii="Arial" w:hAnsi="Arial" w:cs="Arial"/>
          <w:sz w:val="22"/>
          <w:highlight w:val="yellow"/>
        </w:rPr>
      </w:pPr>
      <w:r w:rsidRPr="00C534A9">
        <w:rPr>
          <w:rFonts w:ascii="Arial" w:hAnsi="Arial" w:cs="Arial"/>
          <w:sz w:val="22"/>
        </w:rPr>
        <w:t xml:space="preserve">A detailed schedule of the annual benefits and costs for </w:t>
      </w:r>
      <w:r w:rsidR="003A65F8" w:rsidRPr="00C534A9">
        <w:rPr>
          <w:rFonts w:ascii="Arial" w:hAnsi="Arial" w:cs="Arial"/>
          <w:sz w:val="22"/>
        </w:rPr>
        <w:t>the wind turbine sub-project</w:t>
      </w:r>
      <w:r w:rsidRPr="00C534A9">
        <w:rPr>
          <w:rFonts w:ascii="Arial" w:hAnsi="Arial" w:cs="Arial"/>
          <w:sz w:val="22"/>
        </w:rPr>
        <w:t xml:space="preserve"> is included in </w:t>
      </w:r>
      <w:r w:rsidR="00712C73" w:rsidRPr="00C534A9">
        <w:rPr>
          <w:rFonts w:ascii="Arial" w:hAnsi="Arial" w:cs="Arial"/>
          <w:sz w:val="22"/>
        </w:rPr>
        <w:t xml:space="preserve">Appendix </w:t>
      </w:r>
      <w:r w:rsidR="008670B6" w:rsidRPr="00C534A9">
        <w:rPr>
          <w:rFonts w:ascii="Arial" w:hAnsi="Arial" w:cs="Arial"/>
          <w:sz w:val="22"/>
        </w:rPr>
        <w:t>A</w:t>
      </w:r>
      <w:r w:rsidR="00712C73" w:rsidRPr="00C534A9">
        <w:rPr>
          <w:rFonts w:ascii="Arial" w:hAnsi="Arial" w:cs="Arial"/>
          <w:sz w:val="22"/>
        </w:rPr>
        <w:t>.</w:t>
      </w:r>
    </w:p>
    <w:p w:rsidR="006940A1" w:rsidRPr="00C534A9" w:rsidRDefault="006940A1" w:rsidP="00C534A9">
      <w:pPr>
        <w:pStyle w:val="Heading2"/>
        <w:jc w:val="both"/>
        <w:rPr>
          <w:rFonts w:ascii="Arial" w:hAnsi="Arial" w:cs="Arial"/>
          <w:sz w:val="24"/>
        </w:rPr>
      </w:pPr>
      <w:bookmarkStart w:id="91" w:name="_Toc464551510"/>
      <w:r w:rsidRPr="00C534A9">
        <w:rPr>
          <w:rFonts w:ascii="Arial" w:hAnsi="Arial" w:cs="Arial"/>
          <w:sz w:val="24"/>
        </w:rPr>
        <w:t xml:space="preserve">Sensitivity Analysis of </w:t>
      </w:r>
      <w:r w:rsidR="003A65F8" w:rsidRPr="00C534A9">
        <w:rPr>
          <w:rFonts w:ascii="Arial" w:hAnsi="Arial" w:cs="Arial"/>
          <w:sz w:val="24"/>
        </w:rPr>
        <w:t>the wind turbine</w:t>
      </w:r>
      <w:r w:rsidR="00416EE9" w:rsidRPr="00C534A9">
        <w:rPr>
          <w:rFonts w:ascii="Arial" w:hAnsi="Arial" w:cs="Arial"/>
          <w:sz w:val="24"/>
        </w:rPr>
        <w:t xml:space="preserve"> sub-project</w:t>
      </w:r>
      <w:bookmarkEnd w:id="91"/>
    </w:p>
    <w:p w:rsidR="006940A1" w:rsidRPr="00C534A9" w:rsidRDefault="009F2643" w:rsidP="00C534A9">
      <w:pPr>
        <w:jc w:val="both"/>
        <w:rPr>
          <w:rFonts w:ascii="Arial" w:hAnsi="Arial" w:cs="Arial"/>
          <w:sz w:val="22"/>
        </w:rPr>
      </w:pPr>
      <w:r w:rsidRPr="00C534A9">
        <w:rPr>
          <w:rFonts w:ascii="Arial" w:hAnsi="Arial" w:cs="Arial"/>
          <w:sz w:val="22"/>
        </w:rPr>
        <w:t>A</w:t>
      </w:r>
      <w:r w:rsidR="006940A1" w:rsidRPr="00C534A9">
        <w:rPr>
          <w:rFonts w:ascii="Arial" w:hAnsi="Arial" w:cs="Arial"/>
          <w:sz w:val="22"/>
        </w:rPr>
        <w:t xml:space="preserve"> sensitivity analysis </w:t>
      </w:r>
      <w:r w:rsidRPr="00C534A9">
        <w:rPr>
          <w:rFonts w:ascii="Arial" w:hAnsi="Arial" w:cs="Arial"/>
          <w:sz w:val="22"/>
        </w:rPr>
        <w:t xml:space="preserve">was conducted </w:t>
      </w:r>
      <w:r w:rsidR="006940A1" w:rsidRPr="00C534A9">
        <w:rPr>
          <w:rFonts w:ascii="Arial" w:hAnsi="Arial" w:cs="Arial"/>
          <w:sz w:val="22"/>
        </w:rPr>
        <w:t xml:space="preserve">to estimate how changes in key variables used in the CBA would impact the </w:t>
      </w:r>
      <w:r w:rsidR="00712C73" w:rsidRPr="00C534A9">
        <w:rPr>
          <w:rFonts w:ascii="Arial" w:hAnsi="Arial" w:cs="Arial"/>
          <w:sz w:val="22"/>
        </w:rPr>
        <w:t>wind turbine</w:t>
      </w:r>
      <w:r w:rsidR="006940A1" w:rsidRPr="00C534A9">
        <w:rPr>
          <w:rFonts w:ascii="Arial" w:hAnsi="Arial" w:cs="Arial"/>
          <w:sz w:val="22"/>
        </w:rPr>
        <w:t xml:space="preserve">’s estimated economic viability. The independent variables included in the sensitivity analysis are </w:t>
      </w:r>
      <w:r w:rsidR="00712C73" w:rsidRPr="00C534A9">
        <w:rPr>
          <w:rFonts w:ascii="Arial" w:hAnsi="Arial" w:cs="Arial"/>
          <w:sz w:val="22"/>
        </w:rPr>
        <w:t>the price of oil, the price of CO2, and the wind turbine capacity factor</w:t>
      </w:r>
      <w:r w:rsidR="006940A1" w:rsidRPr="00C534A9">
        <w:rPr>
          <w:rFonts w:ascii="Arial" w:hAnsi="Arial" w:cs="Arial"/>
          <w:sz w:val="22"/>
        </w:rPr>
        <w:t xml:space="preserve">. </w:t>
      </w:r>
      <w:r w:rsidRPr="00C534A9">
        <w:rPr>
          <w:rFonts w:ascii="Arial" w:hAnsi="Arial" w:cs="Arial"/>
          <w:sz w:val="22"/>
        </w:rPr>
        <w:t>T</w:t>
      </w:r>
      <w:r w:rsidR="006940A1" w:rsidRPr="00C534A9">
        <w:rPr>
          <w:rFonts w:ascii="Arial" w:hAnsi="Arial" w:cs="Arial"/>
          <w:sz w:val="22"/>
        </w:rPr>
        <w:t xml:space="preserve">hese variables </w:t>
      </w:r>
      <w:r w:rsidRPr="00C534A9">
        <w:rPr>
          <w:rFonts w:ascii="Arial" w:hAnsi="Arial" w:cs="Arial"/>
          <w:sz w:val="22"/>
        </w:rPr>
        <w:t xml:space="preserve">were selected </w:t>
      </w:r>
      <w:r w:rsidR="006940A1" w:rsidRPr="00C534A9">
        <w:rPr>
          <w:rFonts w:ascii="Arial" w:hAnsi="Arial" w:cs="Arial"/>
          <w:sz w:val="22"/>
        </w:rPr>
        <w:t xml:space="preserve">based on the likelihood that they could change and they could have a material impact on the </w:t>
      </w:r>
      <w:r w:rsidR="00712C73" w:rsidRPr="00C534A9">
        <w:rPr>
          <w:rFonts w:ascii="Arial" w:hAnsi="Arial" w:cs="Arial"/>
          <w:sz w:val="22"/>
        </w:rPr>
        <w:t>wind turbine</w:t>
      </w:r>
      <w:r w:rsidR="006940A1" w:rsidRPr="00C534A9">
        <w:rPr>
          <w:rFonts w:ascii="Arial" w:hAnsi="Arial" w:cs="Arial"/>
          <w:sz w:val="22"/>
        </w:rPr>
        <w:t xml:space="preserve">’s economic viability if they did change. </w:t>
      </w:r>
    </w:p>
    <w:p w:rsidR="006940A1" w:rsidRPr="00C534A9" w:rsidRDefault="009F2643" w:rsidP="00C534A9">
      <w:pPr>
        <w:jc w:val="both"/>
        <w:rPr>
          <w:rFonts w:ascii="Arial" w:hAnsi="Arial" w:cs="Arial"/>
          <w:sz w:val="22"/>
        </w:rPr>
      </w:pPr>
      <w:r w:rsidRPr="00C534A9">
        <w:rPr>
          <w:rFonts w:ascii="Arial" w:hAnsi="Arial" w:cs="Arial"/>
          <w:sz w:val="22"/>
        </w:rPr>
        <w:t>T</w:t>
      </w:r>
      <w:r w:rsidR="006940A1" w:rsidRPr="00C534A9">
        <w:rPr>
          <w:rFonts w:ascii="Arial" w:hAnsi="Arial" w:cs="Arial"/>
          <w:sz w:val="22"/>
        </w:rPr>
        <w:t xml:space="preserve">he </w:t>
      </w:r>
      <w:r w:rsidR="00712C73" w:rsidRPr="00C534A9">
        <w:rPr>
          <w:rFonts w:ascii="Arial" w:hAnsi="Arial" w:cs="Arial"/>
          <w:sz w:val="22"/>
        </w:rPr>
        <w:t>wind turbine</w:t>
      </w:r>
      <w:r w:rsidR="006940A1" w:rsidRPr="00C534A9">
        <w:rPr>
          <w:rFonts w:ascii="Arial" w:hAnsi="Arial" w:cs="Arial"/>
          <w:sz w:val="22"/>
        </w:rPr>
        <w:t xml:space="preserve"> remain</w:t>
      </w:r>
      <w:r w:rsidR="00712C73" w:rsidRPr="00C534A9">
        <w:rPr>
          <w:rFonts w:ascii="Arial" w:hAnsi="Arial" w:cs="Arial"/>
          <w:sz w:val="22"/>
        </w:rPr>
        <w:t>s</w:t>
      </w:r>
      <w:r w:rsidR="006940A1" w:rsidRPr="00C534A9">
        <w:rPr>
          <w:rFonts w:ascii="Arial" w:hAnsi="Arial" w:cs="Arial"/>
          <w:sz w:val="22"/>
        </w:rPr>
        <w:t xml:space="preserve"> economically viable when the key variables change to extreme values. </w:t>
      </w:r>
      <w:r w:rsidR="008670B6" w:rsidRPr="00C534A9">
        <w:rPr>
          <w:rFonts w:ascii="Arial" w:hAnsi="Arial" w:cs="Arial"/>
          <w:sz w:val="22"/>
        </w:rPr>
        <w:t>Variations in the price of oil had the greatest impact on the sub-project’s NPV, while variations in the price of CO2 had relatively little impact</w:t>
      </w:r>
      <w:r w:rsidR="00416EE9" w:rsidRPr="00C534A9">
        <w:rPr>
          <w:rFonts w:ascii="Arial" w:hAnsi="Arial" w:cs="Arial"/>
          <w:sz w:val="22"/>
        </w:rPr>
        <w:t>.</w:t>
      </w:r>
      <w:r w:rsidR="006940A1" w:rsidRPr="00C534A9">
        <w:rPr>
          <w:rFonts w:ascii="Arial" w:hAnsi="Arial" w:cs="Arial"/>
          <w:sz w:val="22"/>
        </w:rPr>
        <w:t xml:space="preserve"> </w:t>
      </w:r>
      <w:r w:rsidRPr="00C534A9">
        <w:rPr>
          <w:rFonts w:ascii="Arial" w:hAnsi="Arial" w:cs="Arial"/>
          <w:sz w:val="22"/>
        </w:rPr>
        <w:t>T</w:t>
      </w:r>
      <w:r w:rsidR="006940A1" w:rsidRPr="00C534A9">
        <w:rPr>
          <w:rFonts w:ascii="Arial" w:hAnsi="Arial" w:cs="Arial"/>
          <w:sz w:val="22"/>
        </w:rPr>
        <w:t>his section discuss</w:t>
      </w:r>
      <w:r w:rsidRPr="00C534A9">
        <w:rPr>
          <w:rFonts w:ascii="Arial" w:hAnsi="Arial" w:cs="Arial"/>
          <w:sz w:val="22"/>
        </w:rPr>
        <w:t>es</w:t>
      </w:r>
      <w:r w:rsidR="006940A1" w:rsidRPr="00C534A9">
        <w:rPr>
          <w:rFonts w:ascii="Arial" w:hAnsi="Arial" w:cs="Arial"/>
          <w:sz w:val="22"/>
        </w:rPr>
        <w:t xml:space="preserve"> in more detail the effects of:</w:t>
      </w:r>
    </w:p>
    <w:p w:rsidR="006940A1" w:rsidRPr="00C534A9" w:rsidRDefault="00712C73" w:rsidP="00C534A9">
      <w:pPr>
        <w:pStyle w:val="ListParagraph"/>
        <w:numPr>
          <w:ilvl w:val="0"/>
          <w:numId w:val="32"/>
        </w:numPr>
        <w:jc w:val="both"/>
        <w:rPr>
          <w:rFonts w:ascii="Arial" w:eastAsia="Arial" w:hAnsi="Arial" w:cs="Arial"/>
          <w:sz w:val="22"/>
        </w:rPr>
      </w:pPr>
      <w:r w:rsidRPr="00C534A9">
        <w:rPr>
          <w:rFonts w:ascii="Arial" w:hAnsi="Arial" w:cs="Arial"/>
          <w:sz w:val="22"/>
        </w:rPr>
        <w:t>Changing the oil price</w:t>
      </w:r>
    </w:p>
    <w:p w:rsidR="00712C73" w:rsidRPr="00C534A9" w:rsidRDefault="00712C73" w:rsidP="00C534A9">
      <w:pPr>
        <w:pStyle w:val="ListParagraph"/>
        <w:numPr>
          <w:ilvl w:val="0"/>
          <w:numId w:val="32"/>
        </w:numPr>
        <w:jc w:val="both"/>
        <w:rPr>
          <w:rFonts w:ascii="Arial" w:eastAsia="Arial" w:hAnsi="Arial" w:cs="Arial"/>
          <w:sz w:val="22"/>
        </w:rPr>
      </w:pPr>
      <w:r w:rsidRPr="00C534A9">
        <w:rPr>
          <w:rFonts w:ascii="Arial" w:hAnsi="Arial" w:cs="Arial"/>
          <w:sz w:val="22"/>
        </w:rPr>
        <w:t>Changing the CO2 price</w:t>
      </w:r>
    </w:p>
    <w:p w:rsidR="00712C73" w:rsidRPr="00C534A9" w:rsidRDefault="00712C73" w:rsidP="00C534A9">
      <w:pPr>
        <w:pStyle w:val="ListParagraph"/>
        <w:numPr>
          <w:ilvl w:val="0"/>
          <w:numId w:val="32"/>
        </w:numPr>
        <w:jc w:val="both"/>
        <w:rPr>
          <w:rFonts w:ascii="Arial" w:eastAsia="Arial" w:hAnsi="Arial" w:cs="Arial"/>
          <w:sz w:val="22"/>
        </w:rPr>
      </w:pPr>
      <w:r w:rsidRPr="00C534A9">
        <w:rPr>
          <w:rFonts w:ascii="Arial" w:hAnsi="Arial" w:cs="Arial"/>
          <w:sz w:val="22"/>
        </w:rPr>
        <w:t>Changing the wind turbine capacity factor</w:t>
      </w:r>
    </w:p>
    <w:p w:rsidR="006940A1" w:rsidRPr="00C534A9" w:rsidRDefault="006940A1" w:rsidP="00C534A9">
      <w:pPr>
        <w:jc w:val="both"/>
        <w:rPr>
          <w:rFonts w:ascii="Arial" w:hAnsi="Arial" w:cs="Arial"/>
          <w:sz w:val="22"/>
        </w:rPr>
      </w:pPr>
      <w:r w:rsidRPr="00C534A9">
        <w:rPr>
          <w:rFonts w:ascii="Arial" w:hAnsi="Arial" w:cs="Arial"/>
          <w:sz w:val="22"/>
        </w:rPr>
        <w:fldChar w:fldCharType="begin"/>
      </w:r>
      <w:r w:rsidRPr="00C534A9">
        <w:rPr>
          <w:rFonts w:ascii="Arial" w:hAnsi="Arial" w:cs="Arial"/>
          <w:sz w:val="22"/>
        </w:rPr>
        <w:instrText xml:space="preserve"> REF _Ref423452859 \h  \* MERGEFORMAT </w:instrText>
      </w:r>
      <w:r w:rsidRPr="00C534A9">
        <w:rPr>
          <w:rFonts w:ascii="Arial" w:hAnsi="Arial" w:cs="Arial"/>
          <w:sz w:val="22"/>
        </w:rPr>
      </w:r>
      <w:r w:rsidRPr="00C534A9">
        <w:rPr>
          <w:rFonts w:ascii="Arial" w:hAnsi="Arial" w:cs="Arial"/>
          <w:sz w:val="22"/>
        </w:rPr>
        <w:fldChar w:fldCharType="separate"/>
      </w:r>
      <w:r w:rsidR="003F3D75" w:rsidRPr="00C534A9">
        <w:rPr>
          <w:rFonts w:ascii="Arial" w:hAnsi="Arial" w:cs="Arial"/>
          <w:sz w:val="22"/>
        </w:rPr>
        <w:t xml:space="preserve">Table </w:t>
      </w:r>
      <w:r w:rsidR="002377C5" w:rsidRPr="00C534A9">
        <w:rPr>
          <w:rFonts w:ascii="Arial" w:hAnsi="Arial" w:cs="Arial"/>
          <w:noProof/>
          <w:sz w:val="22"/>
        </w:rPr>
        <w:t>4</w:t>
      </w:r>
      <w:r w:rsidR="003F3D75" w:rsidRPr="00C534A9">
        <w:rPr>
          <w:rFonts w:ascii="Arial" w:hAnsi="Arial" w:cs="Arial"/>
          <w:noProof/>
          <w:sz w:val="22"/>
        </w:rPr>
        <w:t>.3</w:t>
      </w:r>
      <w:r w:rsidRPr="00C534A9">
        <w:rPr>
          <w:rFonts w:ascii="Arial" w:hAnsi="Arial" w:cs="Arial"/>
          <w:sz w:val="22"/>
        </w:rPr>
        <w:fldChar w:fldCharType="end"/>
      </w:r>
      <w:r w:rsidRPr="00C534A9">
        <w:rPr>
          <w:rFonts w:ascii="Arial" w:hAnsi="Arial" w:cs="Arial"/>
          <w:sz w:val="22"/>
        </w:rPr>
        <w:t xml:space="preserve"> </w:t>
      </w:r>
      <w:r w:rsidR="00712C73" w:rsidRPr="00C534A9">
        <w:rPr>
          <w:rFonts w:ascii="Arial" w:hAnsi="Arial" w:cs="Arial"/>
          <w:sz w:val="22"/>
        </w:rPr>
        <w:t xml:space="preserve">presents the results of changing the price of oil. </w:t>
      </w:r>
      <w:r w:rsidR="009F2643" w:rsidRPr="00C534A9">
        <w:rPr>
          <w:rFonts w:ascii="Arial" w:hAnsi="Arial" w:cs="Arial"/>
          <w:sz w:val="22"/>
        </w:rPr>
        <w:t xml:space="preserve">The table shows </w:t>
      </w:r>
      <w:r w:rsidR="00712C73" w:rsidRPr="00C534A9">
        <w:rPr>
          <w:rFonts w:ascii="Arial" w:hAnsi="Arial" w:cs="Arial"/>
          <w:sz w:val="22"/>
        </w:rPr>
        <w:t>the present value of the costs, benefits, and net benefits of the wind turbine for a high case (</w:t>
      </w:r>
      <w:r w:rsidR="00477C13" w:rsidRPr="00C534A9">
        <w:rPr>
          <w:rFonts w:ascii="Arial" w:hAnsi="Arial" w:cs="Arial"/>
          <w:sz w:val="22"/>
        </w:rPr>
        <w:t xml:space="preserve">under the EIA </w:t>
      </w:r>
      <w:r w:rsidR="00D67CE0" w:rsidRPr="00C534A9">
        <w:rPr>
          <w:rFonts w:ascii="Arial" w:hAnsi="Arial" w:cs="Arial"/>
          <w:sz w:val="22"/>
        </w:rPr>
        <w:t>2015</w:t>
      </w:r>
      <w:r w:rsidR="00477C13" w:rsidRPr="00C534A9">
        <w:rPr>
          <w:rFonts w:ascii="Arial" w:hAnsi="Arial" w:cs="Arial"/>
          <w:sz w:val="22"/>
        </w:rPr>
        <w:t xml:space="preserve"> AEO High Oil Price</w:t>
      </w:r>
      <w:r w:rsidR="00712C73" w:rsidRPr="00C534A9">
        <w:rPr>
          <w:rFonts w:ascii="Arial" w:hAnsi="Arial" w:cs="Arial"/>
          <w:sz w:val="22"/>
        </w:rPr>
        <w:t xml:space="preserve"> projection) and low case (</w:t>
      </w:r>
      <w:r w:rsidR="00477C13" w:rsidRPr="00C534A9">
        <w:rPr>
          <w:rFonts w:ascii="Arial" w:hAnsi="Arial" w:cs="Arial"/>
          <w:sz w:val="22"/>
        </w:rPr>
        <w:t xml:space="preserve">under the EIA </w:t>
      </w:r>
      <w:r w:rsidR="00D67CE0" w:rsidRPr="00C534A9">
        <w:rPr>
          <w:rFonts w:ascii="Arial" w:hAnsi="Arial" w:cs="Arial"/>
          <w:sz w:val="22"/>
        </w:rPr>
        <w:t>2015</w:t>
      </w:r>
      <w:r w:rsidR="00477C13" w:rsidRPr="00C534A9">
        <w:rPr>
          <w:rFonts w:ascii="Arial" w:hAnsi="Arial" w:cs="Arial"/>
          <w:sz w:val="22"/>
        </w:rPr>
        <w:t xml:space="preserve"> AEO Low Oil Price projection</w:t>
      </w:r>
      <w:r w:rsidR="00712C73" w:rsidRPr="00C534A9">
        <w:rPr>
          <w:rFonts w:ascii="Arial" w:hAnsi="Arial" w:cs="Arial"/>
          <w:sz w:val="22"/>
        </w:rPr>
        <w:t xml:space="preserve">) as well as the base case (annual oil price projections are based on the EIA </w:t>
      </w:r>
      <w:r w:rsidR="00D67CE0" w:rsidRPr="00C534A9">
        <w:rPr>
          <w:rFonts w:ascii="Arial" w:hAnsi="Arial" w:cs="Arial"/>
          <w:sz w:val="22"/>
        </w:rPr>
        <w:t>2015</w:t>
      </w:r>
      <w:r w:rsidR="00712C73" w:rsidRPr="00C534A9">
        <w:rPr>
          <w:rFonts w:ascii="Arial" w:hAnsi="Arial" w:cs="Arial"/>
          <w:sz w:val="22"/>
        </w:rPr>
        <w:t xml:space="preserve"> </w:t>
      </w:r>
      <w:r w:rsidR="00477C13" w:rsidRPr="00C534A9">
        <w:rPr>
          <w:rFonts w:ascii="Arial" w:hAnsi="Arial" w:cs="Arial"/>
          <w:sz w:val="22"/>
        </w:rPr>
        <w:t>Reference Case p</w:t>
      </w:r>
      <w:r w:rsidR="00712C73" w:rsidRPr="00C534A9">
        <w:rPr>
          <w:rFonts w:ascii="Arial" w:hAnsi="Arial" w:cs="Arial"/>
          <w:sz w:val="22"/>
        </w:rPr>
        <w:t xml:space="preserve">rice </w:t>
      </w:r>
      <w:r w:rsidR="00477C13" w:rsidRPr="00C534A9">
        <w:rPr>
          <w:rFonts w:ascii="Arial" w:hAnsi="Arial" w:cs="Arial"/>
          <w:sz w:val="22"/>
        </w:rPr>
        <w:t>projection</w:t>
      </w:r>
      <w:r w:rsidR="00712C73" w:rsidRPr="00C534A9">
        <w:rPr>
          <w:rFonts w:ascii="Arial" w:hAnsi="Arial" w:cs="Arial"/>
          <w:sz w:val="22"/>
        </w:rPr>
        <w:t xml:space="preserve">). The table shows that </w:t>
      </w:r>
      <w:r w:rsidR="00244133" w:rsidRPr="00C534A9">
        <w:rPr>
          <w:rFonts w:ascii="Arial" w:hAnsi="Arial" w:cs="Arial"/>
          <w:sz w:val="22"/>
        </w:rPr>
        <w:t>under the Low</w:t>
      </w:r>
      <w:r w:rsidR="00712C73" w:rsidRPr="00C534A9">
        <w:rPr>
          <w:rFonts w:ascii="Arial" w:hAnsi="Arial" w:cs="Arial"/>
          <w:sz w:val="22"/>
        </w:rPr>
        <w:t xml:space="preserve"> oil price </w:t>
      </w:r>
      <w:r w:rsidR="00244133" w:rsidRPr="00C534A9">
        <w:rPr>
          <w:rFonts w:ascii="Arial" w:hAnsi="Arial" w:cs="Arial"/>
          <w:sz w:val="22"/>
        </w:rPr>
        <w:t>scenario,</w:t>
      </w:r>
      <w:r w:rsidR="00712C73" w:rsidRPr="00C534A9">
        <w:rPr>
          <w:rFonts w:ascii="Arial" w:hAnsi="Arial" w:cs="Arial"/>
          <w:sz w:val="22"/>
        </w:rPr>
        <w:t xml:space="preserve"> the sub-project </w:t>
      </w:r>
      <w:r w:rsidR="00244133" w:rsidRPr="00C534A9">
        <w:rPr>
          <w:rFonts w:ascii="Arial" w:hAnsi="Arial" w:cs="Arial"/>
          <w:sz w:val="22"/>
        </w:rPr>
        <w:t xml:space="preserve">is </w:t>
      </w:r>
      <w:r w:rsidR="00FD1DBD" w:rsidRPr="00C534A9">
        <w:rPr>
          <w:rFonts w:ascii="Arial" w:hAnsi="Arial" w:cs="Arial"/>
          <w:sz w:val="22"/>
        </w:rPr>
        <w:t xml:space="preserve">marginally </w:t>
      </w:r>
      <w:r w:rsidR="00712C73" w:rsidRPr="00C534A9">
        <w:rPr>
          <w:rFonts w:ascii="Arial" w:hAnsi="Arial" w:cs="Arial"/>
          <w:sz w:val="22"/>
        </w:rPr>
        <w:t>economically viable, with an aggregate NPV of US</w:t>
      </w:r>
      <w:r w:rsidR="00244133" w:rsidRPr="00C534A9">
        <w:rPr>
          <w:rFonts w:ascii="Arial" w:hAnsi="Arial" w:cs="Arial"/>
          <w:sz w:val="22"/>
        </w:rPr>
        <w:t>-</w:t>
      </w:r>
      <w:r w:rsidR="00712C73" w:rsidRPr="00C534A9">
        <w:rPr>
          <w:rFonts w:ascii="Arial" w:hAnsi="Arial" w:cs="Arial"/>
          <w:sz w:val="22"/>
        </w:rPr>
        <w:t>$</w:t>
      </w:r>
      <w:r w:rsidR="00F469E3" w:rsidRPr="00C534A9">
        <w:rPr>
          <w:rFonts w:ascii="Arial" w:hAnsi="Arial" w:cs="Arial"/>
          <w:sz w:val="22"/>
        </w:rPr>
        <w:t>0.</w:t>
      </w:r>
      <w:r w:rsidR="00FD1DBD" w:rsidRPr="00C534A9">
        <w:rPr>
          <w:rFonts w:ascii="Arial" w:hAnsi="Arial" w:cs="Arial"/>
          <w:sz w:val="22"/>
        </w:rPr>
        <w:t xml:space="preserve">04 </w:t>
      </w:r>
      <w:r w:rsidR="00712C73" w:rsidRPr="00C534A9">
        <w:rPr>
          <w:rFonts w:ascii="Arial" w:hAnsi="Arial" w:cs="Arial"/>
          <w:sz w:val="22"/>
        </w:rPr>
        <w:t>million</w:t>
      </w:r>
      <w:r w:rsidR="00244133" w:rsidRPr="00C534A9">
        <w:rPr>
          <w:rFonts w:ascii="Arial" w:hAnsi="Arial" w:cs="Arial"/>
          <w:sz w:val="22"/>
        </w:rPr>
        <w:t xml:space="preserve"> and </w:t>
      </w:r>
      <w:proofErr w:type="gramStart"/>
      <w:r w:rsidR="00244133" w:rsidRPr="00C534A9">
        <w:rPr>
          <w:rFonts w:ascii="Arial" w:hAnsi="Arial" w:cs="Arial"/>
          <w:sz w:val="22"/>
        </w:rPr>
        <w:t>a</w:t>
      </w:r>
      <w:proofErr w:type="gramEnd"/>
      <w:r w:rsidR="00244133" w:rsidRPr="00C534A9">
        <w:rPr>
          <w:rFonts w:ascii="Arial" w:hAnsi="Arial" w:cs="Arial"/>
          <w:sz w:val="22"/>
        </w:rPr>
        <w:t xml:space="preserve"> EIRR of </w:t>
      </w:r>
      <w:r w:rsidR="00FD1DBD" w:rsidRPr="00C534A9">
        <w:rPr>
          <w:rFonts w:ascii="Arial" w:hAnsi="Arial" w:cs="Arial"/>
          <w:sz w:val="22"/>
        </w:rPr>
        <w:t>12</w:t>
      </w:r>
      <w:r w:rsidR="00244133" w:rsidRPr="00C534A9">
        <w:rPr>
          <w:rFonts w:ascii="Arial" w:hAnsi="Arial" w:cs="Arial"/>
          <w:sz w:val="22"/>
        </w:rPr>
        <w:t>% (</w:t>
      </w:r>
      <w:r w:rsidR="00FD1DBD" w:rsidRPr="00C534A9">
        <w:rPr>
          <w:rFonts w:ascii="Arial" w:hAnsi="Arial" w:cs="Arial"/>
          <w:sz w:val="22"/>
        </w:rPr>
        <w:t>equal to</w:t>
      </w:r>
      <w:r w:rsidR="00244133" w:rsidRPr="00C534A9">
        <w:rPr>
          <w:rFonts w:ascii="Arial" w:hAnsi="Arial" w:cs="Arial"/>
          <w:sz w:val="22"/>
        </w:rPr>
        <w:t xml:space="preserve"> the 12% hurdle rate)</w:t>
      </w:r>
      <w:r w:rsidR="00712C73" w:rsidRPr="00C534A9">
        <w:rPr>
          <w:rFonts w:ascii="Arial" w:hAnsi="Arial" w:cs="Arial"/>
          <w:sz w:val="22"/>
        </w:rPr>
        <w:t>. In the high oil price scenario, the aggregate NPV increases to US$</w:t>
      </w:r>
      <w:r w:rsidR="00244133" w:rsidRPr="00C534A9">
        <w:rPr>
          <w:rFonts w:ascii="Arial" w:hAnsi="Arial" w:cs="Arial"/>
          <w:sz w:val="22"/>
        </w:rPr>
        <w:t>2.</w:t>
      </w:r>
      <w:r w:rsidR="00F469E3" w:rsidRPr="00C534A9">
        <w:rPr>
          <w:rFonts w:ascii="Arial" w:hAnsi="Arial" w:cs="Arial"/>
          <w:sz w:val="22"/>
        </w:rPr>
        <w:t>0</w:t>
      </w:r>
      <w:r w:rsidR="00712C73" w:rsidRPr="00C534A9">
        <w:rPr>
          <w:rFonts w:ascii="Arial" w:hAnsi="Arial" w:cs="Arial"/>
          <w:sz w:val="22"/>
        </w:rPr>
        <w:t xml:space="preserve"> million.</w:t>
      </w:r>
    </w:p>
    <w:p w:rsidR="006940A1" w:rsidRPr="00C534A9" w:rsidRDefault="006940A1" w:rsidP="00C534A9">
      <w:pPr>
        <w:pStyle w:val="Caption"/>
        <w:jc w:val="both"/>
        <w:rPr>
          <w:rFonts w:ascii="Arial" w:hAnsi="Arial" w:cs="Arial"/>
          <w:sz w:val="22"/>
        </w:rPr>
      </w:pPr>
      <w:bookmarkStart w:id="92" w:name="_Toc463508484"/>
      <w:bookmarkStart w:id="93" w:name="_Toc463508976"/>
      <w:proofErr w:type="gramStart"/>
      <w:r w:rsidRPr="00C534A9">
        <w:rPr>
          <w:rFonts w:ascii="Arial" w:hAnsi="Arial" w:cs="Arial"/>
          <w:sz w:val="22"/>
        </w:rPr>
        <w:t xml:space="preserve">Table </w:t>
      </w:r>
      <w:r w:rsidR="007D6B36" w:rsidRPr="00C534A9">
        <w:rPr>
          <w:rFonts w:ascii="Arial" w:hAnsi="Arial" w:cs="Arial"/>
          <w:sz w:val="22"/>
        </w:rPr>
        <w:fldChar w:fldCharType="begin"/>
      </w:r>
      <w:r w:rsidR="007D6B36" w:rsidRPr="00C534A9">
        <w:rPr>
          <w:rFonts w:ascii="Arial" w:hAnsi="Arial" w:cs="Arial"/>
          <w:sz w:val="22"/>
        </w:rPr>
        <w:instrText xml:space="preserve"> STYLEREF 1 \s </w:instrText>
      </w:r>
      <w:r w:rsidR="007D6B36" w:rsidRPr="00C534A9">
        <w:rPr>
          <w:rFonts w:ascii="Arial" w:hAnsi="Arial" w:cs="Arial"/>
          <w:sz w:val="22"/>
        </w:rPr>
        <w:fldChar w:fldCharType="separate"/>
      </w:r>
      <w:r w:rsidR="003F3D75" w:rsidRPr="00C534A9">
        <w:rPr>
          <w:rFonts w:ascii="Arial" w:hAnsi="Arial" w:cs="Arial"/>
          <w:noProof/>
          <w:sz w:val="22"/>
        </w:rPr>
        <w:t>4</w:t>
      </w:r>
      <w:r w:rsidR="007D6B36" w:rsidRPr="00C534A9">
        <w:rPr>
          <w:rFonts w:ascii="Arial" w:hAnsi="Arial" w:cs="Arial"/>
          <w:noProof/>
          <w:sz w:val="22"/>
        </w:rPr>
        <w:fldChar w:fldCharType="end"/>
      </w:r>
      <w:r w:rsidRPr="00C534A9">
        <w:rPr>
          <w:rFonts w:ascii="Arial" w:hAnsi="Arial" w:cs="Arial"/>
          <w:sz w:val="22"/>
        </w:rPr>
        <w:t>.</w:t>
      </w:r>
      <w:proofErr w:type="gramEnd"/>
      <w:r w:rsidR="003343DE" w:rsidRPr="00C534A9">
        <w:rPr>
          <w:rFonts w:ascii="Arial" w:hAnsi="Arial" w:cs="Arial"/>
          <w:sz w:val="22"/>
        </w:rPr>
        <w:fldChar w:fldCharType="begin"/>
      </w:r>
      <w:r w:rsidR="003343DE" w:rsidRPr="00C534A9">
        <w:rPr>
          <w:rFonts w:ascii="Arial" w:hAnsi="Arial" w:cs="Arial"/>
          <w:sz w:val="22"/>
        </w:rPr>
        <w:instrText xml:space="preserve"> SEQ Table \* ARABIC \s 1 </w:instrText>
      </w:r>
      <w:r w:rsidR="003343DE" w:rsidRPr="00C534A9">
        <w:rPr>
          <w:rFonts w:ascii="Arial" w:hAnsi="Arial" w:cs="Arial"/>
          <w:sz w:val="22"/>
        </w:rPr>
        <w:fldChar w:fldCharType="separate"/>
      </w:r>
      <w:r w:rsidR="003F3D75" w:rsidRPr="00C534A9">
        <w:rPr>
          <w:rFonts w:ascii="Arial" w:hAnsi="Arial" w:cs="Arial"/>
          <w:noProof/>
          <w:sz w:val="22"/>
        </w:rPr>
        <w:t>3</w:t>
      </w:r>
      <w:r w:rsidR="003343DE" w:rsidRPr="00C534A9">
        <w:rPr>
          <w:rFonts w:ascii="Arial" w:hAnsi="Arial" w:cs="Arial"/>
          <w:noProof/>
          <w:sz w:val="22"/>
        </w:rPr>
        <w:fldChar w:fldCharType="end"/>
      </w:r>
      <w:r w:rsidRPr="00C534A9">
        <w:rPr>
          <w:rFonts w:ascii="Arial" w:hAnsi="Arial" w:cs="Arial"/>
          <w:sz w:val="22"/>
        </w:rPr>
        <w:t xml:space="preserve">: CBA Sensitivity to </w:t>
      </w:r>
      <w:r w:rsidR="00712C73" w:rsidRPr="00C534A9">
        <w:rPr>
          <w:rFonts w:ascii="Arial" w:hAnsi="Arial" w:cs="Arial"/>
          <w:sz w:val="22"/>
        </w:rPr>
        <w:t>oil price</w:t>
      </w:r>
      <w:r w:rsidR="003A6A5C" w:rsidRPr="00C534A9">
        <w:rPr>
          <w:rFonts w:ascii="Arial" w:hAnsi="Arial" w:cs="Arial"/>
          <w:sz w:val="22"/>
        </w:rPr>
        <w:t xml:space="preserve"> (US$ ‘000)</w:t>
      </w:r>
      <w:bookmarkEnd w:id="92"/>
      <w:bookmarkEnd w:id="93"/>
    </w:p>
    <w:tbl>
      <w:tblPr>
        <w:tblW w:w="7292" w:type="dxa"/>
        <w:jc w:val="center"/>
        <w:tblInd w:w="93" w:type="dxa"/>
        <w:tblLook w:val="04A0" w:firstRow="1" w:lastRow="0" w:firstColumn="1" w:lastColumn="0" w:noHBand="0" w:noVBand="1"/>
      </w:tblPr>
      <w:tblGrid>
        <w:gridCol w:w="2540"/>
        <w:gridCol w:w="1320"/>
        <w:gridCol w:w="1716"/>
        <w:gridCol w:w="1716"/>
      </w:tblGrid>
      <w:tr w:rsidR="007065A3" w:rsidRPr="00C534A9" w:rsidTr="007545BC">
        <w:trPr>
          <w:trHeight w:val="315"/>
          <w:jc w:val="center"/>
        </w:trPr>
        <w:tc>
          <w:tcPr>
            <w:tcW w:w="2540"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b/>
                <w:bCs/>
                <w:color w:val="000000"/>
                <w:sz w:val="22"/>
                <w:szCs w:val="24"/>
              </w:rPr>
            </w:pPr>
            <w:r w:rsidRPr="00C534A9">
              <w:rPr>
                <w:rFonts w:ascii="Arial" w:eastAsia="Times New Roman" w:hAnsi="Arial" w:cs="Arial"/>
                <w:b/>
                <w:bCs/>
                <w:color w:val="000000"/>
                <w:sz w:val="22"/>
                <w:szCs w:val="24"/>
              </w:rPr>
              <w:t>Scenario:</w:t>
            </w:r>
          </w:p>
        </w:tc>
        <w:tc>
          <w:tcPr>
            <w:tcW w:w="1320"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b/>
                <w:bCs/>
                <w:color w:val="000000"/>
                <w:sz w:val="22"/>
                <w:szCs w:val="24"/>
              </w:rPr>
            </w:pPr>
            <w:r w:rsidRPr="00C534A9">
              <w:rPr>
                <w:rFonts w:ascii="Arial" w:eastAsia="Times New Roman" w:hAnsi="Arial" w:cs="Arial"/>
                <w:b/>
                <w:bCs/>
                <w:color w:val="000000"/>
                <w:sz w:val="22"/>
                <w:szCs w:val="24"/>
              </w:rPr>
              <w:t>Base</w:t>
            </w:r>
          </w:p>
        </w:tc>
        <w:tc>
          <w:tcPr>
            <w:tcW w:w="1716"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b/>
                <w:bCs/>
                <w:color w:val="000000"/>
                <w:sz w:val="22"/>
                <w:szCs w:val="24"/>
              </w:rPr>
            </w:pPr>
            <w:r w:rsidRPr="00C534A9">
              <w:rPr>
                <w:rFonts w:ascii="Arial" w:eastAsia="Times New Roman" w:hAnsi="Arial" w:cs="Arial"/>
                <w:b/>
                <w:bCs/>
                <w:color w:val="000000"/>
                <w:sz w:val="22"/>
                <w:szCs w:val="24"/>
              </w:rPr>
              <w:t>High</w:t>
            </w:r>
          </w:p>
        </w:tc>
        <w:tc>
          <w:tcPr>
            <w:tcW w:w="1716"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b/>
                <w:bCs/>
                <w:color w:val="000000"/>
                <w:sz w:val="22"/>
                <w:szCs w:val="24"/>
              </w:rPr>
            </w:pPr>
            <w:r w:rsidRPr="00C534A9">
              <w:rPr>
                <w:rFonts w:ascii="Arial" w:eastAsia="Times New Roman" w:hAnsi="Arial" w:cs="Arial"/>
                <w:b/>
                <w:bCs/>
                <w:color w:val="000000"/>
                <w:sz w:val="22"/>
                <w:szCs w:val="24"/>
              </w:rPr>
              <w:t>Low</w:t>
            </w:r>
          </w:p>
        </w:tc>
      </w:tr>
      <w:tr w:rsidR="007545BC" w:rsidRPr="00C534A9" w:rsidTr="007545BC">
        <w:trPr>
          <w:trHeight w:val="450"/>
          <w:jc w:val="center"/>
        </w:trPr>
        <w:tc>
          <w:tcPr>
            <w:tcW w:w="2540" w:type="dxa"/>
            <w:tcBorders>
              <w:top w:val="nil"/>
              <w:left w:val="nil"/>
              <w:bottom w:val="nil"/>
              <w:right w:val="nil"/>
            </w:tcBorders>
            <w:shd w:val="clear" w:color="auto" w:fill="auto"/>
            <w:noWrap/>
            <w:vAlign w:val="center"/>
            <w:hideMark/>
          </w:tcPr>
          <w:p w:rsidR="007545BC" w:rsidRPr="00C534A9" w:rsidRDefault="007545BC"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Present Value - Benefits</w:t>
            </w:r>
          </w:p>
        </w:tc>
        <w:tc>
          <w:tcPr>
            <w:tcW w:w="1320" w:type="dxa"/>
            <w:tcBorders>
              <w:top w:val="nil"/>
              <w:left w:val="nil"/>
              <w:bottom w:val="nil"/>
              <w:right w:val="nil"/>
            </w:tcBorders>
            <w:shd w:val="clear" w:color="auto" w:fill="auto"/>
            <w:noWrap/>
            <w:vAlign w:val="center"/>
            <w:hideMark/>
          </w:tcPr>
          <w:p w:rsidR="007545BC" w:rsidRPr="00C534A9" w:rsidRDefault="007545BC"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$2,333 </w:t>
            </w:r>
          </w:p>
        </w:tc>
        <w:tc>
          <w:tcPr>
            <w:tcW w:w="1716" w:type="dxa"/>
            <w:tcBorders>
              <w:top w:val="nil"/>
              <w:left w:val="nil"/>
              <w:bottom w:val="nil"/>
              <w:right w:val="nil"/>
            </w:tcBorders>
            <w:shd w:val="clear" w:color="auto" w:fill="auto"/>
            <w:noWrap/>
            <w:vAlign w:val="center"/>
            <w:hideMark/>
          </w:tcPr>
          <w:p w:rsidR="007545BC" w:rsidRPr="00C534A9" w:rsidRDefault="007545BC"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$3,766 </w:t>
            </w:r>
          </w:p>
        </w:tc>
        <w:tc>
          <w:tcPr>
            <w:tcW w:w="1716" w:type="dxa"/>
            <w:tcBorders>
              <w:top w:val="nil"/>
              <w:left w:val="nil"/>
              <w:bottom w:val="nil"/>
              <w:right w:val="nil"/>
            </w:tcBorders>
            <w:shd w:val="clear" w:color="auto" w:fill="auto"/>
            <w:noWrap/>
            <w:vAlign w:val="center"/>
            <w:hideMark/>
          </w:tcPr>
          <w:p w:rsidR="007545BC" w:rsidRPr="00C534A9" w:rsidRDefault="007545BC"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$1,796 </w:t>
            </w:r>
          </w:p>
        </w:tc>
      </w:tr>
      <w:tr w:rsidR="007545BC" w:rsidRPr="00C534A9" w:rsidTr="007545BC">
        <w:trPr>
          <w:trHeight w:val="450"/>
          <w:jc w:val="center"/>
        </w:trPr>
        <w:tc>
          <w:tcPr>
            <w:tcW w:w="2540" w:type="dxa"/>
            <w:tcBorders>
              <w:top w:val="nil"/>
              <w:left w:val="nil"/>
              <w:bottom w:val="single" w:sz="4" w:space="0" w:color="auto"/>
              <w:right w:val="nil"/>
            </w:tcBorders>
            <w:shd w:val="clear" w:color="auto" w:fill="auto"/>
            <w:noWrap/>
            <w:vAlign w:val="center"/>
            <w:hideMark/>
          </w:tcPr>
          <w:p w:rsidR="007545BC" w:rsidRPr="00C534A9" w:rsidRDefault="007545BC"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Present Value  - Costs</w:t>
            </w:r>
          </w:p>
        </w:tc>
        <w:tc>
          <w:tcPr>
            <w:tcW w:w="1320" w:type="dxa"/>
            <w:tcBorders>
              <w:top w:val="nil"/>
              <w:left w:val="nil"/>
              <w:bottom w:val="single" w:sz="4" w:space="0" w:color="auto"/>
              <w:right w:val="nil"/>
            </w:tcBorders>
            <w:shd w:val="clear" w:color="auto" w:fill="auto"/>
            <w:noWrap/>
            <w:vAlign w:val="center"/>
            <w:hideMark/>
          </w:tcPr>
          <w:p w:rsidR="007545BC" w:rsidRPr="00C534A9" w:rsidRDefault="007545BC" w:rsidP="00C534A9">
            <w:pPr>
              <w:spacing w:after="0" w:line="240" w:lineRule="auto"/>
              <w:jc w:val="both"/>
              <w:rPr>
                <w:rFonts w:ascii="Arial" w:eastAsia="Times New Roman" w:hAnsi="Arial" w:cs="Arial"/>
                <w:color w:val="000000"/>
                <w:sz w:val="22"/>
                <w:szCs w:val="24"/>
              </w:rPr>
            </w:pPr>
            <w:r w:rsidRPr="00C534A9">
              <w:rPr>
                <w:rFonts w:ascii="Arial" w:hAnsi="Arial" w:cs="Arial"/>
                <w:color w:val="FF0000"/>
                <w:sz w:val="22"/>
              </w:rPr>
              <w:t>($1,759)</w:t>
            </w:r>
          </w:p>
        </w:tc>
        <w:tc>
          <w:tcPr>
            <w:tcW w:w="1716" w:type="dxa"/>
            <w:tcBorders>
              <w:top w:val="nil"/>
              <w:left w:val="nil"/>
              <w:bottom w:val="single" w:sz="4" w:space="0" w:color="auto"/>
              <w:right w:val="nil"/>
            </w:tcBorders>
            <w:shd w:val="clear" w:color="auto" w:fill="auto"/>
            <w:noWrap/>
            <w:vAlign w:val="center"/>
            <w:hideMark/>
          </w:tcPr>
          <w:p w:rsidR="007545BC" w:rsidRPr="00C534A9" w:rsidRDefault="007545BC" w:rsidP="00C534A9">
            <w:pPr>
              <w:spacing w:after="0" w:line="240" w:lineRule="auto"/>
              <w:jc w:val="both"/>
              <w:rPr>
                <w:rFonts w:ascii="Arial" w:eastAsia="Times New Roman" w:hAnsi="Arial" w:cs="Arial"/>
                <w:color w:val="000000"/>
                <w:sz w:val="22"/>
                <w:szCs w:val="24"/>
              </w:rPr>
            </w:pPr>
            <w:r w:rsidRPr="00C534A9">
              <w:rPr>
                <w:rFonts w:ascii="Arial" w:hAnsi="Arial" w:cs="Arial"/>
                <w:color w:val="FF0000"/>
                <w:sz w:val="22"/>
              </w:rPr>
              <w:t>($1,759)</w:t>
            </w:r>
          </w:p>
        </w:tc>
        <w:tc>
          <w:tcPr>
            <w:tcW w:w="1716" w:type="dxa"/>
            <w:tcBorders>
              <w:top w:val="nil"/>
              <w:left w:val="nil"/>
              <w:bottom w:val="single" w:sz="4" w:space="0" w:color="auto"/>
              <w:right w:val="nil"/>
            </w:tcBorders>
            <w:shd w:val="clear" w:color="auto" w:fill="auto"/>
            <w:noWrap/>
            <w:vAlign w:val="center"/>
            <w:hideMark/>
          </w:tcPr>
          <w:p w:rsidR="007545BC" w:rsidRPr="00C534A9" w:rsidRDefault="007545BC" w:rsidP="00C534A9">
            <w:pPr>
              <w:spacing w:after="0" w:line="240" w:lineRule="auto"/>
              <w:jc w:val="both"/>
              <w:rPr>
                <w:rFonts w:ascii="Arial" w:eastAsia="Times New Roman" w:hAnsi="Arial" w:cs="Arial"/>
                <w:color w:val="000000"/>
                <w:sz w:val="22"/>
                <w:szCs w:val="24"/>
              </w:rPr>
            </w:pPr>
            <w:r w:rsidRPr="00C534A9">
              <w:rPr>
                <w:rFonts w:ascii="Arial" w:hAnsi="Arial" w:cs="Arial"/>
                <w:color w:val="FF0000"/>
                <w:sz w:val="22"/>
              </w:rPr>
              <w:t>($1,759)</w:t>
            </w:r>
          </w:p>
        </w:tc>
      </w:tr>
      <w:tr w:rsidR="007545BC" w:rsidRPr="00C534A9" w:rsidTr="007545BC">
        <w:trPr>
          <w:trHeight w:val="450"/>
          <w:jc w:val="center"/>
        </w:trPr>
        <w:tc>
          <w:tcPr>
            <w:tcW w:w="2540" w:type="dxa"/>
            <w:tcBorders>
              <w:top w:val="nil"/>
              <w:left w:val="nil"/>
              <w:bottom w:val="nil"/>
              <w:right w:val="nil"/>
            </w:tcBorders>
            <w:shd w:val="clear" w:color="auto" w:fill="auto"/>
            <w:noWrap/>
            <w:vAlign w:val="center"/>
            <w:hideMark/>
          </w:tcPr>
          <w:p w:rsidR="007545BC" w:rsidRPr="00C534A9" w:rsidRDefault="007545BC"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Net Present Value</w:t>
            </w:r>
          </w:p>
        </w:tc>
        <w:tc>
          <w:tcPr>
            <w:tcW w:w="1320" w:type="dxa"/>
            <w:tcBorders>
              <w:top w:val="nil"/>
              <w:left w:val="nil"/>
              <w:bottom w:val="nil"/>
              <w:right w:val="nil"/>
            </w:tcBorders>
            <w:shd w:val="clear" w:color="auto" w:fill="auto"/>
            <w:noWrap/>
            <w:vAlign w:val="center"/>
            <w:hideMark/>
          </w:tcPr>
          <w:p w:rsidR="007545BC" w:rsidRPr="00C534A9" w:rsidRDefault="007545BC"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$574 </w:t>
            </w:r>
          </w:p>
        </w:tc>
        <w:tc>
          <w:tcPr>
            <w:tcW w:w="1716" w:type="dxa"/>
            <w:tcBorders>
              <w:top w:val="nil"/>
              <w:left w:val="nil"/>
              <w:bottom w:val="nil"/>
              <w:right w:val="nil"/>
            </w:tcBorders>
            <w:shd w:val="clear" w:color="auto" w:fill="auto"/>
            <w:noWrap/>
            <w:vAlign w:val="center"/>
            <w:hideMark/>
          </w:tcPr>
          <w:p w:rsidR="007545BC" w:rsidRPr="00C534A9" w:rsidRDefault="007545BC"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$2,006 </w:t>
            </w:r>
          </w:p>
        </w:tc>
        <w:tc>
          <w:tcPr>
            <w:tcW w:w="1716" w:type="dxa"/>
            <w:tcBorders>
              <w:top w:val="nil"/>
              <w:left w:val="nil"/>
              <w:bottom w:val="nil"/>
              <w:right w:val="nil"/>
            </w:tcBorders>
            <w:shd w:val="clear" w:color="auto" w:fill="auto"/>
            <w:noWrap/>
            <w:vAlign w:val="center"/>
            <w:hideMark/>
          </w:tcPr>
          <w:p w:rsidR="007545BC" w:rsidRPr="00C534A9" w:rsidRDefault="007545BC"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$37 </w:t>
            </w:r>
          </w:p>
        </w:tc>
      </w:tr>
      <w:tr w:rsidR="007545BC" w:rsidRPr="00C534A9" w:rsidTr="007545BC">
        <w:trPr>
          <w:trHeight w:val="450"/>
          <w:jc w:val="center"/>
        </w:trPr>
        <w:tc>
          <w:tcPr>
            <w:tcW w:w="2540" w:type="dxa"/>
            <w:tcBorders>
              <w:top w:val="nil"/>
              <w:left w:val="nil"/>
              <w:bottom w:val="nil"/>
              <w:right w:val="nil"/>
            </w:tcBorders>
            <w:shd w:val="clear" w:color="auto" w:fill="auto"/>
            <w:noWrap/>
            <w:vAlign w:val="center"/>
            <w:hideMark/>
          </w:tcPr>
          <w:p w:rsidR="007545BC" w:rsidRPr="00C534A9" w:rsidRDefault="007545BC"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IRR</w:t>
            </w:r>
          </w:p>
        </w:tc>
        <w:tc>
          <w:tcPr>
            <w:tcW w:w="1320" w:type="dxa"/>
            <w:tcBorders>
              <w:top w:val="nil"/>
              <w:left w:val="nil"/>
              <w:bottom w:val="nil"/>
              <w:right w:val="nil"/>
            </w:tcBorders>
            <w:shd w:val="clear" w:color="auto" w:fill="auto"/>
            <w:noWrap/>
            <w:vAlign w:val="center"/>
            <w:hideMark/>
          </w:tcPr>
          <w:p w:rsidR="007545BC" w:rsidRPr="00C534A9" w:rsidRDefault="007545BC"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17%</w:t>
            </w:r>
          </w:p>
        </w:tc>
        <w:tc>
          <w:tcPr>
            <w:tcW w:w="1716" w:type="dxa"/>
            <w:tcBorders>
              <w:top w:val="nil"/>
              <w:left w:val="nil"/>
              <w:bottom w:val="nil"/>
              <w:right w:val="nil"/>
            </w:tcBorders>
            <w:shd w:val="clear" w:color="auto" w:fill="auto"/>
            <w:noWrap/>
            <w:vAlign w:val="center"/>
            <w:hideMark/>
          </w:tcPr>
          <w:p w:rsidR="007545BC" w:rsidRPr="00C534A9" w:rsidRDefault="007545BC"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27%</w:t>
            </w:r>
          </w:p>
        </w:tc>
        <w:tc>
          <w:tcPr>
            <w:tcW w:w="1716" w:type="dxa"/>
            <w:tcBorders>
              <w:top w:val="nil"/>
              <w:left w:val="nil"/>
              <w:bottom w:val="nil"/>
              <w:right w:val="nil"/>
            </w:tcBorders>
            <w:shd w:val="clear" w:color="auto" w:fill="auto"/>
            <w:noWrap/>
            <w:vAlign w:val="center"/>
            <w:hideMark/>
          </w:tcPr>
          <w:p w:rsidR="007545BC" w:rsidRPr="00C534A9" w:rsidRDefault="007545BC"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12%</w:t>
            </w:r>
          </w:p>
        </w:tc>
      </w:tr>
    </w:tbl>
    <w:p w:rsidR="00220712" w:rsidRPr="00C534A9" w:rsidRDefault="00220712" w:rsidP="00C534A9">
      <w:pPr>
        <w:jc w:val="both"/>
        <w:rPr>
          <w:rFonts w:ascii="Arial" w:hAnsi="Arial" w:cs="Arial"/>
          <w:sz w:val="22"/>
        </w:rPr>
      </w:pPr>
    </w:p>
    <w:p w:rsidR="006940A1" w:rsidRPr="00C534A9" w:rsidRDefault="006940A1" w:rsidP="00C534A9">
      <w:pPr>
        <w:pStyle w:val="Source"/>
        <w:jc w:val="both"/>
        <w:rPr>
          <w:rFonts w:ascii="Arial" w:hAnsi="Arial" w:cs="Arial"/>
          <w:sz w:val="18"/>
        </w:rPr>
      </w:pPr>
    </w:p>
    <w:p w:rsidR="006940A1" w:rsidRPr="00C534A9" w:rsidRDefault="007A76B8" w:rsidP="00C534A9">
      <w:pPr>
        <w:jc w:val="both"/>
        <w:rPr>
          <w:rFonts w:ascii="Arial" w:hAnsi="Arial" w:cs="Arial"/>
          <w:sz w:val="22"/>
        </w:rPr>
      </w:pPr>
      <w:r w:rsidRPr="00C534A9">
        <w:rPr>
          <w:rFonts w:ascii="Arial" w:hAnsi="Arial" w:cs="Arial"/>
          <w:sz w:val="22"/>
        </w:rPr>
        <w:t>Table 4</w:t>
      </w:r>
      <w:r w:rsidR="006940A1" w:rsidRPr="00C534A9">
        <w:rPr>
          <w:rFonts w:ascii="Arial" w:hAnsi="Arial" w:cs="Arial"/>
          <w:sz w:val="22"/>
        </w:rPr>
        <w:t xml:space="preserve">.4 </w:t>
      </w:r>
      <w:r w:rsidR="00712C73" w:rsidRPr="00C534A9">
        <w:rPr>
          <w:rFonts w:ascii="Arial" w:hAnsi="Arial" w:cs="Arial"/>
          <w:sz w:val="22"/>
        </w:rPr>
        <w:t xml:space="preserve">presents the results of changing the price of CO2. </w:t>
      </w:r>
      <w:r w:rsidR="009F2643" w:rsidRPr="00C534A9">
        <w:rPr>
          <w:rFonts w:ascii="Arial" w:hAnsi="Arial" w:cs="Arial"/>
          <w:sz w:val="22"/>
        </w:rPr>
        <w:t>The table shows</w:t>
      </w:r>
      <w:r w:rsidR="00712C73" w:rsidRPr="00C534A9">
        <w:rPr>
          <w:rFonts w:ascii="Arial" w:hAnsi="Arial" w:cs="Arial"/>
          <w:sz w:val="22"/>
        </w:rPr>
        <w:t xml:space="preserve"> the present value of the costs, benefits, and net benefits of the wind turbine for a high case (annual CO2 prices are US$15 per </w:t>
      </w:r>
      <w:r w:rsidR="00997A64" w:rsidRPr="00C534A9">
        <w:rPr>
          <w:rFonts w:ascii="Arial" w:hAnsi="Arial" w:cs="Arial"/>
          <w:sz w:val="22"/>
        </w:rPr>
        <w:t>ton</w:t>
      </w:r>
      <w:r w:rsidR="00712C73" w:rsidRPr="00C534A9">
        <w:rPr>
          <w:rFonts w:ascii="Arial" w:hAnsi="Arial" w:cs="Arial"/>
          <w:sz w:val="22"/>
        </w:rPr>
        <w:t xml:space="preserve">, or 50% higher than the base case projection) and low case (annual CO2 prices are US$6 per </w:t>
      </w:r>
      <w:r w:rsidR="00997A64" w:rsidRPr="00C534A9">
        <w:rPr>
          <w:rFonts w:ascii="Arial" w:hAnsi="Arial" w:cs="Arial"/>
          <w:sz w:val="22"/>
        </w:rPr>
        <w:t>ton</w:t>
      </w:r>
      <w:r w:rsidR="00712C73" w:rsidRPr="00C534A9">
        <w:rPr>
          <w:rFonts w:ascii="Arial" w:hAnsi="Arial" w:cs="Arial"/>
          <w:sz w:val="22"/>
        </w:rPr>
        <w:t xml:space="preserve">, or 40% lower than the base case projection) as well as the base case (annual CO2 prices are US$10 per </w:t>
      </w:r>
      <w:r w:rsidR="00997A64" w:rsidRPr="00C534A9">
        <w:rPr>
          <w:rFonts w:ascii="Arial" w:hAnsi="Arial" w:cs="Arial"/>
          <w:sz w:val="22"/>
        </w:rPr>
        <w:t>ton</w:t>
      </w:r>
      <w:r w:rsidR="00712C73" w:rsidRPr="00C534A9">
        <w:rPr>
          <w:rFonts w:ascii="Arial" w:hAnsi="Arial" w:cs="Arial"/>
          <w:sz w:val="22"/>
        </w:rPr>
        <w:t>). The table shows that even after lowering the CO2 price by 40%, the sub-project remains economically viable, with an aggregate NPV of US$</w:t>
      </w:r>
      <w:r w:rsidR="00F469E3" w:rsidRPr="00C534A9">
        <w:rPr>
          <w:rFonts w:ascii="Arial" w:hAnsi="Arial" w:cs="Arial"/>
          <w:sz w:val="22"/>
        </w:rPr>
        <w:t>0.</w:t>
      </w:r>
      <w:r w:rsidR="007545BC" w:rsidRPr="00C534A9">
        <w:rPr>
          <w:rFonts w:ascii="Arial" w:hAnsi="Arial" w:cs="Arial"/>
          <w:sz w:val="22"/>
        </w:rPr>
        <w:t xml:space="preserve">54 </w:t>
      </w:r>
      <w:r w:rsidR="00712C73" w:rsidRPr="00C534A9">
        <w:rPr>
          <w:rFonts w:ascii="Arial" w:hAnsi="Arial" w:cs="Arial"/>
          <w:sz w:val="22"/>
        </w:rPr>
        <w:t xml:space="preserve">million. In the high CO2 price scenario, the aggregate NPV </w:t>
      </w:r>
      <w:r w:rsidR="00F469E3" w:rsidRPr="00C534A9">
        <w:rPr>
          <w:rFonts w:ascii="Arial" w:hAnsi="Arial" w:cs="Arial"/>
          <w:sz w:val="22"/>
        </w:rPr>
        <w:t>is slightly higher than the base case at</w:t>
      </w:r>
      <w:r w:rsidR="00712C73" w:rsidRPr="00C534A9">
        <w:rPr>
          <w:rFonts w:ascii="Arial" w:hAnsi="Arial" w:cs="Arial"/>
          <w:sz w:val="22"/>
        </w:rPr>
        <w:t xml:space="preserve"> US$</w:t>
      </w:r>
      <w:r w:rsidR="00F469E3" w:rsidRPr="00C534A9">
        <w:rPr>
          <w:rFonts w:ascii="Arial" w:hAnsi="Arial" w:cs="Arial"/>
          <w:sz w:val="22"/>
        </w:rPr>
        <w:t>0.</w:t>
      </w:r>
      <w:r w:rsidR="007545BC" w:rsidRPr="00C534A9">
        <w:rPr>
          <w:rFonts w:ascii="Arial" w:hAnsi="Arial" w:cs="Arial"/>
          <w:sz w:val="22"/>
        </w:rPr>
        <w:t xml:space="preserve">62 </w:t>
      </w:r>
      <w:r w:rsidR="00712C73" w:rsidRPr="00C534A9">
        <w:rPr>
          <w:rFonts w:ascii="Arial" w:hAnsi="Arial" w:cs="Arial"/>
          <w:sz w:val="22"/>
        </w:rPr>
        <w:t>million</w:t>
      </w:r>
      <w:r w:rsidR="006940A1" w:rsidRPr="00C534A9">
        <w:rPr>
          <w:rFonts w:ascii="Arial" w:hAnsi="Arial" w:cs="Arial"/>
          <w:sz w:val="22"/>
        </w:rPr>
        <w:t>.</w:t>
      </w:r>
    </w:p>
    <w:p w:rsidR="006940A1" w:rsidRPr="00C534A9" w:rsidRDefault="006940A1" w:rsidP="00C534A9">
      <w:pPr>
        <w:pStyle w:val="Caption"/>
        <w:jc w:val="both"/>
        <w:rPr>
          <w:rFonts w:ascii="Arial" w:hAnsi="Arial" w:cs="Arial"/>
          <w:sz w:val="22"/>
        </w:rPr>
      </w:pPr>
      <w:bookmarkStart w:id="94" w:name="_Toc463508977"/>
      <w:r w:rsidRPr="00C534A9">
        <w:rPr>
          <w:rFonts w:ascii="Arial" w:hAnsi="Arial" w:cs="Arial"/>
          <w:sz w:val="22"/>
        </w:rPr>
        <w:t xml:space="preserve">Table </w:t>
      </w:r>
      <w:r w:rsidR="007D6B36" w:rsidRPr="00C534A9">
        <w:rPr>
          <w:rFonts w:ascii="Arial" w:hAnsi="Arial" w:cs="Arial"/>
          <w:sz w:val="22"/>
        </w:rPr>
        <w:fldChar w:fldCharType="begin"/>
      </w:r>
      <w:r w:rsidR="007D6B36" w:rsidRPr="00C534A9">
        <w:rPr>
          <w:rFonts w:ascii="Arial" w:hAnsi="Arial" w:cs="Arial"/>
          <w:sz w:val="22"/>
        </w:rPr>
        <w:instrText xml:space="preserve"> STYLEREF 1 \s </w:instrText>
      </w:r>
      <w:r w:rsidR="007D6B36" w:rsidRPr="00C534A9">
        <w:rPr>
          <w:rFonts w:ascii="Arial" w:hAnsi="Arial" w:cs="Arial"/>
          <w:sz w:val="22"/>
        </w:rPr>
        <w:fldChar w:fldCharType="separate"/>
      </w:r>
      <w:r w:rsidR="003F3D75" w:rsidRPr="00C534A9">
        <w:rPr>
          <w:rFonts w:ascii="Arial" w:hAnsi="Arial" w:cs="Arial"/>
          <w:noProof/>
          <w:sz w:val="22"/>
        </w:rPr>
        <w:t>4</w:t>
      </w:r>
      <w:r w:rsidR="007D6B36" w:rsidRPr="00C534A9">
        <w:rPr>
          <w:rFonts w:ascii="Arial" w:hAnsi="Arial" w:cs="Arial"/>
          <w:noProof/>
          <w:sz w:val="22"/>
        </w:rPr>
        <w:fldChar w:fldCharType="end"/>
      </w:r>
      <w:r w:rsidRPr="00C534A9">
        <w:rPr>
          <w:rFonts w:ascii="Arial" w:hAnsi="Arial" w:cs="Arial"/>
          <w:sz w:val="22"/>
        </w:rPr>
        <w:t xml:space="preserve">.4: CBA Sensitivity to </w:t>
      </w:r>
      <w:r w:rsidR="00712C73" w:rsidRPr="00C534A9">
        <w:rPr>
          <w:rFonts w:ascii="Arial" w:hAnsi="Arial" w:cs="Arial"/>
          <w:sz w:val="22"/>
        </w:rPr>
        <w:t>CO2 price</w:t>
      </w:r>
      <w:r w:rsidR="003A6A5C" w:rsidRPr="00C534A9">
        <w:rPr>
          <w:rFonts w:ascii="Arial" w:hAnsi="Arial" w:cs="Arial"/>
          <w:sz w:val="22"/>
        </w:rPr>
        <w:t xml:space="preserve"> (US$ ‘000)</w:t>
      </w:r>
      <w:bookmarkEnd w:id="94"/>
    </w:p>
    <w:tbl>
      <w:tblPr>
        <w:tblW w:w="6500" w:type="dxa"/>
        <w:jc w:val="center"/>
        <w:tblInd w:w="93" w:type="dxa"/>
        <w:tblLook w:val="04A0" w:firstRow="1" w:lastRow="0" w:firstColumn="1" w:lastColumn="0" w:noHBand="0" w:noVBand="1"/>
      </w:tblPr>
      <w:tblGrid>
        <w:gridCol w:w="2540"/>
        <w:gridCol w:w="1320"/>
        <w:gridCol w:w="1320"/>
        <w:gridCol w:w="1320"/>
      </w:tblGrid>
      <w:tr w:rsidR="007065A3" w:rsidRPr="00C534A9" w:rsidTr="007065A3">
        <w:trPr>
          <w:trHeight w:val="315"/>
          <w:jc w:val="center"/>
        </w:trPr>
        <w:tc>
          <w:tcPr>
            <w:tcW w:w="2540"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b/>
                <w:bCs/>
                <w:color w:val="000000"/>
                <w:sz w:val="22"/>
                <w:szCs w:val="24"/>
              </w:rPr>
            </w:pPr>
            <w:r w:rsidRPr="00C534A9">
              <w:rPr>
                <w:rFonts w:ascii="Arial" w:eastAsia="Times New Roman" w:hAnsi="Arial" w:cs="Arial"/>
                <w:b/>
                <w:bCs/>
                <w:color w:val="000000"/>
                <w:sz w:val="22"/>
                <w:szCs w:val="24"/>
              </w:rPr>
              <w:t>Scenario:</w:t>
            </w:r>
          </w:p>
        </w:tc>
        <w:tc>
          <w:tcPr>
            <w:tcW w:w="1320"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b/>
                <w:bCs/>
                <w:color w:val="000000"/>
                <w:sz w:val="22"/>
                <w:szCs w:val="24"/>
              </w:rPr>
            </w:pPr>
            <w:r w:rsidRPr="00C534A9">
              <w:rPr>
                <w:rFonts w:ascii="Arial" w:eastAsia="Times New Roman" w:hAnsi="Arial" w:cs="Arial"/>
                <w:b/>
                <w:bCs/>
                <w:color w:val="000000"/>
                <w:sz w:val="22"/>
                <w:szCs w:val="24"/>
              </w:rPr>
              <w:t>Base</w:t>
            </w:r>
          </w:p>
        </w:tc>
        <w:tc>
          <w:tcPr>
            <w:tcW w:w="1320"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b/>
                <w:bCs/>
                <w:color w:val="000000"/>
                <w:sz w:val="22"/>
                <w:szCs w:val="24"/>
              </w:rPr>
            </w:pPr>
            <w:r w:rsidRPr="00C534A9">
              <w:rPr>
                <w:rFonts w:ascii="Arial" w:eastAsia="Times New Roman" w:hAnsi="Arial" w:cs="Arial"/>
                <w:b/>
                <w:bCs/>
                <w:color w:val="000000"/>
                <w:sz w:val="22"/>
                <w:szCs w:val="24"/>
              </w:rPr>
              <w:t>High</w:t>
            </w:r>
          </w:p>
        </w:tc>
        <w:tc>
          <w:tcPr>
            <w:tcW w:w="1320"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b/>
                <w:bCs/>
                <w:color w:val="000000"/>
                <w:sz w:val="22"/>
                <w:szCs w:val="24"/>
              </w:rPr>
            </w:pPr>
            <w:r w:rsidRPr="00C534A9">
              <w:rPr>
                <w:rFonts w:ascii="Arial" w:eastAsia="Times New Roman" w:hAnsi="Arial" w:cs="Arial"/>
                <w:b/>
                <w:bCs/>
                <w:color w:val="000000"/>
                <w:sz w:val="22"/>
                <w:szCs w:val="24"/>
              </w:rPr>
              <w:t>Low</w:t>
            </w:r>
          </w:p>
        </w:tc>
      </w:tr>
      <w:tr w:rsidR="007065A3" w:rsidRPr="00C534A9" w:rsidTr="007065A3">
        <w:trPr>
          <w:trHeight w:val="315"/>
          <w:jc w:val="center"/>
        </w:trPr>
        <w:tc>
          <w:tcPr>
            <w:tcW w:w="2540"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color w:val="000000"/>
                <w:sz w:val="22"/>
                <w:szCs w:val="24"/>
                <w:u w:val="single"/>
              </w:rPr>
            </w:pPr>
            <w:r w:rsidRPr="00C534A9">
              <w:rPr>
                <w:rFonts w:ascii="Arial" w:eastAsia="Times New Roman" w:hAnsi="Arial" w:cs="Arial"/>
                <w:color w:val="000000"/>
                <w:sz w:val="22"/>
                <w:szCs w:val="24"/>
                <w:u w:val="single"/>
              </w:rPr>
              <w:t>US$/tCO2:</w:t>
            </w:r>
          </w:p>
        </w:tc>
        <w:tc>
          <w:tcPr>
            <w:tcW w:w="1320"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color w:val="000000"/>
                <w:sz w:val="22"/>
                <w:szCs w:val="24"/>
                <w:u w:val="single"/>
              </w:rPr>
            </w:pPr>
            <w:r w:rsidRPr="00C534A9">
              <w:rPr>
                <w:rFonts w:ascii="Arial" w:eastAsia="Times New Roman" w:hAnsi="Arial" w:cs="Arial"/>
                <w:color w:val="000000"/>
                <w:sz w:val="22"/>
                <w:szCs w:val="24"/>
                <w:u w:val="single"/>
              </w:rPr>
              <w:t>10.00</w:t>
            </w:r>
          </w:p>
        </w:tc>
        <w:tc>
          <w:tcPr>
            <w:tcW w:w="1320"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color w:val="000000"/>
                <w:sz w:val="22"/>
                <w:szCs w:val="24"/>
                <w:u w:val="single"/>
              </w:rPr>
            </w:pPr>
            <w:r w:rsidRPr="00C534A9">
              <w:rPr>
                <w:rFonts w:ascii="Arial" w:eastAsia="Times New Roman" w:hAnsi="Arial" w:cs="Arial"/>
                <w:color w:val="000000"/>
                <w:sz w:val="22"/>
                <w:szCs w:val="24"/>
                <w:u w:val="single"/>
              </w:rPr>
              <w:t>15.00</w:t>
            </w:r>
          </w:p>
        </w:tc>
        <w:tc>
          <w:tcPr>
            <w:tcW w:w="1320"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color w:val="000000"/>
                <w:sz w:val="22"/>
                <w:szCs w:val="24"/>
                <w:u w:val="single"/>
              </w:rPr>
            </w:pPr>
            <w:r w:rsidRPr="00C534A9">
              <w:rPr>
                <w:rFonts w:ascii="Arial" w:eastAsia="Times New Roman" w:hAnsi="Arial" w:cs="Arial"/>
                <w:color w:val="000000"/>
                <w:sz w:val="22"/>
                <w:szCs w:val="24"/>
                <w:u w:val="single"/>
              </w:rPr>
              <w:t>6.00</w:t>
            </w:r>
          </w:p>
        </w:tc>
      </w:tr>
      <w:tr w:rsidR="007545BC" w:rsidRPr="00C534A9" w:rsidTr="007065A3">
        <w:trPr>
          <w:trHeight w:val="315"/>
          <w:jc w:val="center"/>
        </w:trPr>
        <w:tc>
          <w:tcPr>
            <w:tcW w:w="2540" w:type="dxa"/>
            <w:tcBorders>
              <w:top w:val="nil"/>
              <w:left w:val="nil"/>
              <w:bottom w:val="nil"/>
              <w:right w:val="nil"/>
            </w:tcBorders>
            <w:shd w:val="clear" w:color="auto" w:fill="auto"/>
            <w:noWrap/>
            <w:vAlign w:val="center"/>
            <w:hideMark/>
          </w:tcPr>
          <w:p w:rsidR="007545BC" w:rsidRPr="00C534A9" w:rsidRDefault="007545BC"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Present Value - Benefits</w:t>
            </w:r>
          </w:p>
        </w:tc>
        <w:tc>
          <w:tcPr>
            <w:tcW w:w="1320" w:type="dxa"/>
            <w:tcBorders>
              <w:top w:val="nil"/>
              <w:left w:val="nil"/>
              <w:bottom w:val="nil"/>
              <w:right w:val="nil"/>
            </w:tcBorders>
            <w:shd w:val="clear" w:color="auto" w:fill="auto"/>
            <w:noWrap/>
            <w:vAlign w:val="center"/>
            <w:hideMark/>
          </w:tcPr>
          <w:p w:rsidR="007545BC" w:rsidRPr="00C534A9" w:rsidRDefault="007545BC"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$2,333 </w:t>
            </w:r>
          </w:p>
        </w:tc>
        <w:tc>
          <w:tcPr>
            <w:tcW w:w="1320" w:type="dxa"/>
            <w:tcBorders>
              <w:top w:val="nil"/>
              <w:left w:val="nil"/>
              <w:bottom w:val="nil"/>
              <w:right w:val="nil"/>
            </w:tcBorders>
            <w:shd w:val="clear" w:color="auto" w:fill="auto"/>
            <w:noWrap/>
            <w:vAlign w:val="center"/>
            <w:hideMark/>
          </w:tcPr>
          <w:p w:rsidR="007545BC" w:rsidRPr="00C534A9" w:rsidRDefault="007545BC"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$2,382 </w:t>
            </w:r>
          </w:p>
        </w:tc>
        <w:tc>
          <w:tcPr>
            <w:tcW w:w="1320" w:type="dxa"/>
            <w:tcBorders>
              <w:top w:val="nil"/>
              <w:left w:val="nil"/>
              <w:bottom w:val="nil"/>
              <w:right w:val="nil"/>
            </w:tcBorders>
            <w:shd w:val="clear" w:color="auto" w:fill="auto"/>
            <w:noWrap/>
            <w:vAlign w:val="center"/>
            <w:hideMark/>
          </w:tcPr>
          <w:p w:rsidR="007545BC" w:rsidRPr="00C534A9" w:rsidRDefault="007545BC"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$2,294 </w:t>
            </w:r>
          </w:p>
        </w:tc>
      </w:tr>
      <w:tr w:rsidR="007545BC" w:rsidRPr="00C534A9" w:rsidTr="007065A3">
        <w:trPr>
          <w:trHeight w:val="315"/>
          <w:jc w:val="center"/>
        </w:trPr>
        <w:tc>
          <w:tcPr>
            <w:tcW w:w="2540" w:type="dxa"/>
            <w:tcBorders>
              <w:top w:val="nil"/>
              <w:left w:val="nil"/>
              <w:bottom w:val="single" w:sz="4" w:space="0" w:color="auto"/>
              <w:right w:val="nil"/>
            </w:tcBorders>
            <w:shd w:val="clear" w:color="auto" w:fill="auto"/>
            <w:noWrap/>
            <w:vAlign w:val="center"/>
            <w:hideMark/>
          </w:tcPr>
          <w:p w:rsidR="007545BC" w:rsidRPr="00C534A9" w:rsidRDefault="007545BC"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Present Value  - Costs</w:t>
            </w:r>
          </w:p>
        </w:tc>
        <w:tc>
          <w:tcPr>
            <w:tcW w:w="1320" w:type="dxa"/>
            <w:tcBorders>
              <w:top w:val="nil"/>
              <w:left w:val="nil"/>
              <w:bottom w:val="single" w:sz="4" w:space="0" w:color="auto"/>
              <w:right w:val="nil"/>
            </w:tcBorders>
            <w:shd w:val="clear" w:color="auto" w:fill="auto"/>
            <w:noWrap/>
            <w:vAlign w:val="center"/>
            <w:hideMark/>
          </w:tcPr>
          <w:p w:rsidR="007545BC" w:rsidRPr="00C534A9" w:rsidRDefault="007545BC" w:rsidP="00C534A9">
            <w:pPr>
              <w:spacing w:after="0" w:line="240" w:lineRule="auto"/>
              <w:jc w:val="both"/>
              <w:rPr>
                <w:rFonts w:ascii="Arial" w:eastAsia="Times New Roman" w:hAnsi="Arial" w:cs="Arial"/>
                <w:color w:val="000000"/>
                <w:sz w:val="22"/>
                <w:szCs w:val="24"/>
              </w:rPr>
            </w:pPr>
            <w:r w:rsidRPr="00C534A9">
              <w:rPr>
                <w:rFonts w:ascii="Arial" w:hAnsi="Arial" w:cs="Arial"/>
                <w:color w:val="FF0000"/>
                <w:sz w:val="22"/>
              </w:rPr>
              <w:t>($1,759)</w:t>
            </w:r>
          </w:p>
        </w:tc>
        <w:tc>
          <w:tcPr>
            <w:tcW w:w="1320" w:type="dxa"/>
            <w:tcBorders>
              <w:top w:val="nil"/>
              <w:left w:val="nil"/>
              <w:bottom w:val="single" w:sz="4" w:space="0" w:color="auto"/>
              <w:right w:val="nil"/>
            </w:tcBorders>
            <w:shd w:val="clear" w:color="auto" w:fill="auto"/>
            <w:noWrap/>
            <w:vAlign w:val="center"/>
            <w:hideMark/>
          </w:tcPr>
          <w:p w:rsidR="007545BC" w:rsidRPr="00C534A9" w:rsidRDefault="007545BC" w:rsidP="00C534A9">
            <w:pPr>
              <w:spacing w:after="0" w:line="240" w:lineRule="auto"/>
              <w:jc w:val="both"/>
              <w:rPr>
                <w:rFonts w:ascii="Arial" w:eastAsia="Times New Roman" w:hAnsi="Arial" w:cs="Arial"/>
                <w:color w:val="000000"/>
                <w:sz w:val="22"/>
                <w:szCs w:val="24"/>
              </w:rPr>
            </w:pPr>
            <w:r w:rsidRPr="00C534A9">
              <w:rPr>
                <w:rFonts w:ascii="Arial" w:hAnsi="Arial" w:cs="Arial"/>
                <w:color w:val="FF0000"/>
                <w:sz w:val="22"/>
              </w:rPr>
              <w:t>($1,759)</w:t>
            </w:r>
          </w:p>
        </w:tc>
        <w:tc>
          <w:tcPr>
            <w:tcW w:w="1320" w:type="dxa"/>
            <w:tcBorders>
              <w:top w:val="nil"/>
              <w:left w:val="nil"/>
              <w:bottom w:val="single" w:sz="4" w:space="0" w:color="auto"/>
              <w:right w:val="nil"/>
            </w:tcBorders>
            <w:shd w:val="clear" w:color="auto" w:fill="auto"/>
            <w:noWrap/>
            <w:vAlign w:val="center"/>
            <w:hideMark/>
          </w:tcPr>
          <w:p w:rsidR="007545BC" w:rsidRPr="00C534A9" w:rsidRDefault="007545BC" w:rsidP="00C534A9">
            <w:pPr>
              <w:spacing w:after="0" w:line="240" w:lineRule="auto"/>
              <w:jc w:val="both"/>
              <w:rPr>
                <w:rFonts w:ascii="Arial" w:eastAsia="Times New Roman" w:hAnsi="Arial" w:cs="Arial"/>
                <w:color w:val="000000"/>
                <w:sz w:val="22"/>
                <w:szCs w:val="24"/>
              </w:rPr>
            </w:pPr>
            <w:r w:rsidRPr="00C534A9">
              <w:rPr>
                <w:rFonts w:ascii="Arial" w:hAnsi="Arial" w:cs="Arial"/>
                <w:color w:val="FF0000"/>
                <w:sz w:val="22"/>
              </w:rPr>
              <w:t>($1,759)</w:t>
            </w:r>
          </w:p>
        </w:tc>
      </w:tr>
      <w:tr w:rsidR="007545BC" w:rsidRPr="00C534A9" w:rsidTr="007065A3">
        <w:trPr>
          <w:trHeight w:val="315"/>
          <w:jc w:val="center"/>
        </w:trPr>
        <w:tc>
          <w:tcPr>
            <w:tcW w:w="2540" w:type="dxa"/>
            <w:tcBorders>
              <w:top w:val="nil"/>
              <w:left w:val="nil"/>
              <w:bottom w:val="nil"/>
              <w:right w:val="nil"/>
            </w:tcBorders>
            <w:shd w:val="clear" w:color="auto" w:fill="auto"/>
            <w:noWrap/>
            <w:vAlign w:val="center"/>
            <w:hideMark/>
          </w:tcPr>
          <w:p w:rsidR="007545BC" w:rsidRPr="00C534A9" w:rsidRDefault="007545BC"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Net Present Value</w:t>
            </w:r>
          </w:p>
        </w:tc>
        <w:tc>
          <w:tcPr>
            <w:tcW w:w="1320" w:type="dxa"/>
            <w:tcBorders>
              <w:top w:val="nil"/>
              <w:left w:val="nil"/>
              <w:bottom w:val="nil"/>
              <w:right w:val="nil"/>
            </w:tcBorders>
            <w:shd w:val="clear" w:color="auto" w:fill="auto"/>
            <w:noWrap/>
            <w:vAlign w:val="center"/>
            <w:hideMark/>
          </w:tcPr>
          <w:p w:rsidR="007545BC" w:rsidRPr="00C534A9" w:rsidRDefault="007545BC"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$574 </w:t>
            </w:r>
          </w:p>
        </w:tc>
        <w:tc>
          <w:tcPr>
            <w:tcW w:w="1320" w:type="dxa"/>
            <w:tcBorders>
              <w:top w:val="nil"/>
              <w:left w:val="nil"/>
              <w:bottom w:val="nil"/>
              <w:right w:val="nil"/>
            </w:tcBorders>
            <w:shd w:val="clear" w:color="auto" w:fill="auto"/>
            <w:noWrap/>
            <w:vAlign w:val="center"/>
            <w:hideMark/>
          </w:tcPr>
          <w:p w:rsidR="007545BC" w:rsidRPr="00C534A9" w:rsidRDefault="007545BC"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$623 </w:t>
            </w:r>
          </w:p>
        </w:tc>
        <w:tc>
          <w:tcPr>
            <w:tcW w:w="1320" w:type="dxa"/>
            <w:tcBorders>
              <w:top w:val="nil"/>
              <w:left w:val="nil"/>
              <w:bottom w:val="nil"/>
              <w:right w:val="nil"/>
            </w:tcBorders>
            <w:shd w:val="clear" w:color="auto" w:fill="auto"/>
            <w:noWrap/>
            <w:vAlign w:val="center"/>
            <w:hideMark/>
          </w:tcPr>
          <w:p w:rsidR="007545BC" w:rsidRPr="00C534A9" w:rsidRDefault="007545BC"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$535 </w:t>
            </w:r>
          </w:p>
        </w:tc>
      </w:tr>
      <w:tr w:rsidR="007545BC" w:rsidRPr="00C534A9" w:rsidTr="007065A3">
        <w:trPr>
          <w:trHeight w:val="315"/>
          <w:jc w:val="center"/>
        </w:trPr>
        <w:tc>
          <w:tcPr>
            <w:tcW w:w="2540" w:type="dxa"/>
            <w:tcBorders>
              <w:top w:val="nil"/>
              <w:left w:val="nil"/>
              <w:bottom w:val="nil"/>
              <w:right w:val="nil"/>
            </w:tcBorders>
            <w:shd w:val="clear" w:color="auto" w:fill="auto"/>
            <w:noWrap/>
            <w:vAlign w:val="center"/>
            <w:hideMark/>
          </w:tcPr>
          <w:p w:rsidR="007545BC" w:rsidRPr="00C534A9" w:rsidRDefault="007545BC"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IRR</w:t>
            </w:r>
          </w:p>
        </w:tc>
        <w:tc>
          <w:tcPr>
            <w:tcW w:w="1320" w:type="dxa"/>
            <w:tcBorders>
              <w:top w:val="nil"/>
              <w:left w:val="nil"/>
              <w:bottom w:val="nil"/>
              <w:right w:val="nil"/>
            </w:tcBorders>
            <w:shd w:val="clear" w:color="auto" w:fill="auto"/>
            <w:noWrap/>
            <w:vAlign w:val="center"/>
            <w:hideMark/>
          </w:tcPr>
          <w:p w:rsidR="007545BC" w:rsidRPr="00C534A9" w:rsidRDefault="007545BC"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17%</w:t>
            </w:r>
          </w:p>
        </w:tc>
        <w:tc>
          <w:tcPr>
            <w:tcW w:w="1320" w:type="dxa"/>
            <w:tcBorders>
              <w:top w:val="nil"/>
              <w:left w:val="nil"/>
              <w:bottom w:val="nil"/>
              <w:right w:val="nil"/>
            </w:tcBorders>
            <w:shd w:val="clear" w:color="auto" w:fill="auto"/>
            <w:noWrap/>
            <w:vAlign w:val="center"/>
            <w:hideMark/>
          </w:tcPr>
          <w:p w:rsidR="007545BC" w:rsidRPr="00C534A9" w:rsidRDefault="007545BC"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17%</w:t>
            </w:r>
          </w:p>
        </w:tc>
        <w:tc>
          <w:tcPr>
            <w:tcW w:w="1320" w:type="dxa"/>
            <w:tcBorders>
              <w:top w:val="nil"/>
              <w:left w:val="nil"/>
              <w:bottom w:val="nil"/>
              <w:right w:val="nil"/>
            </w:tcBorders>
            <w:shd w:val="clear" w:color="auto" w:fill="auto"/>
            <w:noWrap/>
            <w:vAlign w:val="center"/>
            <w:hideMark/>
          </w:tcPr>
          <w:p w:rsidR="007545BC" w:rsidRPr="00C534A9" w:rsidRDefault="007545BC"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16%</w:t>
            </w:r>
          </w:p>
        </w:tc>
      </w:tr>
    </w:tbl>
    <w:p w:rsidR="00220712" w:rsidRPr="00C534A9" w:rsidRDefault="00220712" w:rsidP="00C534A9">
      <w:pPr>
        <w:jc w:val="both"/>
        <w:rPr>
          <w:rFonts w:ascii="Arial" w:hAnsi="Arial" w:cs="Arial"/>
          <w:sz w:val="22"/>
        </w:rPr>
      </w:pPr>
    </w:p>
    <w:p w:rsidR="006940A1" w:rsidRPr="00C534A9" w:rsidRDefault="006940A1" w:rsidP="00C534A9">
      <w:pPr>
        <w:pStyle w:val="Source"/>
        <w:jc w:val="both"/>
        <w:rPr>
          <w:rFonts w:ascii="Arial" w:hAnsi="Arial" w:cs="Arial"/>
          <w:sz w:val="18"/>
        </w:rPr>
      </w:pPr>
    </w:p>
    <w:p w:rsidR="006940A1" w:rsidRPr="00C534A9" w:rsidRDefault="007A76B8" w:rsidP="00C534A9">
      <w:pPr>
        <w:jc w:val="both"/>
        <w:rPr>
          <w:rFonts w:ascii="Arial" w:hAnsi="Arial" w:cs="Arial"/>
          <w:sz w:val="22"/>
        </w:rPr>
      </w:pPr>
      <w:r w:rsidRPr="00C534A9">
        <w:rPr>
          <w:rFonts w:ascii="Arial" w:hAnsi="Arial" w:cs="Arial"/>
          <w:sz w:val="22"/>
        </w:rPr>
        <w:t>Table 4</w:t>
      </w:r>
      <w:r w:rsidR="006940A1" w:rsidRPr="00C534A9">
        <w:rPr>
          <w:rFonts w:ascii="Arial" w:hAnsi="Arial" w:cs="Arial"/>
          <w:sz w:val="22"/>
        </w:rPr>
        <w:t xml:space="preserve">.5 presents the results of changing </w:t>
      </w:r>
      <w:r w:rsidR="00712C73" w:rsidRPr="00C534A9">
        <w:rPr>
          <w:rFonts w:ascii="Arial" w:hAnsi="Arial" w:cs="Arial"/>
          <w:sz w:val="22"/>
        </w:rPr>
        <w:t>the wind turbine capacity</w:t>
      </w:r>
      <w:r w:rsidR="006940A1" w:rsidRPr="00C534A9">
        <w:rPr>
          <w:rFonts w:ascii="Arial" w:hAnsi="Arial" w:cs="Arial"/>
          <w:sz w:val="22"/>
        </w:rPr>
        <w:t xml:space="preserve">. </w:t>
      </w:r>
      <w:r w:rsidR="009F2643" w:rsidRPr="00C534A9">
        <w:rPr>
          <w:rFonts w:ascii="Arial" w:hAnsi="Arial" w:cs="Arial"/>
          <w:sz w:val="22"/>
        </w:rPr>
        <w:t>The table shows</w:t>
      </w:r>
      <w:r w:rsidR="006940A1" w:rsidRPr="00C534A9">
        <w:rPr>
          <w:rFonts w:ascii="Arial" w:hAnsi="Arial" w:cs="Arial"/>
          <w:sz w:val="22"/>
        </w:rPr>
        <w:t xml:space="preserve"> the present value of the costs, benefits, and net benefits of </w:t>
      </w:r>
      <w:r w:rsidR="00712C73" w:rsidRPr="00C534A9">
        <w:rPr>
          <w:rFonts w:ascii="Arial" w:hAnsi="Arial" w:cs="Arial"/>
          <w:sz w:val="22"/>
        </w:rPr>
        <w:t>the wind turbine</w:t>
      </w:r>
      <w:r w:rsidR="006940A1" w:rsidRPr="00C534A9">
        <w:rPr>
          <w:rFonts w:ascii="Arial" w:hAnsi="Arial" w:cs="Arial"/>
          <w:sz w:val="22"/>
        </w:rPr>
        <w:t xml:space="preserve"> for a high case (</w:t>
      </w:r>
      <w:r w:rsidR="00712C73" w:rsidRPr="00C534A9">
        <w:rPr>
          <w:rFonts w:ascii="Arial" w:hAnsi="Arial" w:cs="Arial"/>
          <w:sz w:val="22"/>
        </w:rPr>
        <w:t>capacity factor is increased to 33%</w:t>
      </w:r>
      <w:r w:rsidR="006940A1" w:rsidRPr="00C534A9">
        <w:rPr>
          <w:rFonts w:ascii="Arial" w:hAnsi="Arial" w:cs="Arial"/>
          <w:sz w:val="22"/>
        </w:rPr>
        <w:t>) and low case (</w:t>
      </w:r>
      <w:r w:rsidR="00712C73" w:rsidRPr="00C534A9">
        <w:rPr>
          <w:rFonts w:ascii="Arial" w:hAnsi="Arial" w:cs="Arial"/>
          <w:sz w:val="22"/>
        </w:rPr>
        <w:t>capacity factor is decreased to 28%</w:t>
      </w:r>
      <w:r w:rsidR="006940A1" w:rsidRPr="00C534A9">
        <w:rPr>
          <w:rFonts w:ascii="Arial" w:hAnsi="Arial" w:cs="Arial"/>
          <w:sz w:val="22"/>
        </w:rPr>
        <w:t>) as well as the base case (</w:t>
      </w:r>
      <w:r w:rsidR="00712C73" w:rsidRPr="00C534A9">
        <w:rPr>
          <w:rFonts w:ascii="Arial" w:hAnsi="Arial" w:cs="Arial"/>
          <w:sz w:val="22"/>
        </w:rPr>
        <w:t>capacity factor equal to 31%</w:t>
      </w:r>
      <w:r w:rsidR="006940A1" w:rsidRPr="00C534A9">
        <w:rPr>
          <w:rFonts w:ascii="Arial" w:hAnsi="Arial" w:cs="Arial"/>
          <w:sz w:val="22"/>
        </w:rPr>
        <w:t xml:space="preserve">). </w:t>
      </w:r>
      <w:r w:rsidR="00E439E9" w:rsidRPr="00C534A9">
        <w:rPr>
          <w:rFonts w:ascii="Arial" w:hAnsi="Arial" w:cs="Arial"/>
          <w:sz w:val="22"/>
        </w:rPr>
        <w:t>The high case (33% capacity factor) is based on the estimated capacity factor for wind turbines in Barbados from a 2015 study on wind and solar capacity integration in Barbados that was conducted by GE Energy Consulting</w:t>
      </w:r>
      <w:r w:rsidR="00E439E9" w:rsidRPr="00C534A9">
        <w:rPr>
          <w:rStyle w:val="FootnoteReference"/>
          <w:rFonts w:ascii="Arial" w:hAnsi="Arial" w:cs="Arial"/>
          <w:sz w:val="16"/>
        </w:rPr>
        <w:footnoteReference w:id="3"/>
      </w:r>
      <w:r w:rsidR="00E439E9" w:rsidRPr="00C534A9">
        <w:rPr>
          <w:rFonts w:ascii="Arial" w:hAnsi="Arial" w:cs="Arial"/>
          <w:sz w:val="22"/>
        </w:rPr>
        <w:t>. The low case (</w:t>
      </w:r>
      <w:r w:rsidR="00095DE4" w:rsidRPr="00C534A9">
        <w:rPr>
          <w:rFonts w:ascii="Arial" w:hAnsi="Arial" w:cs="Arial"/>
          <w:sz w:val="22"/>
        </w:rPr>
        <w:t>28</w:t>
      </w:r>
      <w:r w:rsidR="00E439E9" w:rsidRPr="00C534A9">
        <w:rPr>
          <w:rFonts w:ascii="Arial" w:hAnsi="Arial" w:cs="Arial"/>
          <w:sz w:val="22"/>
        </w:rPr>
        <w:t>% capacity factor) is based on</w:t>
      </w:r>
      <w:r w:rsidR="00095DE4" w:rsidRPr="00C534A9">
        <w:rPr>
          <w:rFonts w:ascii="Arial" w:hAnsi="Arial" w:cs="Arial"/>
          <w:sz w:val="22"/>
        </w:rPr>
        <w:t xml:space="preserve"> the assumptions used in the 2012 BL&amp;P Integrated Resource Plan.</w:t>
      </w:r>
      <w:r w:rsidR="00095DE4" w:rsidRPr="00C534A9">
        <w:rPr>
          <w:rStyle w:val="FootnoteReference"/>
          <w:rFonts w:ascii="Arial" w:hAnsi="Arial" w:cs="Arial"/>
          <w:sz w:val="16"/>
        </w:rPr>
        <w:footnoteReference w:id="4"/>
      </w:r>
      <w:r w:rsidR="00E439E9" w:rsidRPr="00C534A9">
        <w:rPr>
          <w:rFonts w:ascii="Arial" w:hAnsi="Arial" w:cs="Arial"/>
          <w:sz w:val="22"/>
        </w:rPr>
        <w:t xml:space="preserve"> </w:t>
      </w:r>
      <w:r w:rsidR="006940A1" w:rsidRPr="00C534A9">
        <w:rPr>
          <w:rFonts w:ascii="Arial" w:hAnsi="Arial" w:cs="Arial"/>
          <w:sz w:val="22"/>
        </w:rPr>
        <w:t xml:space="preserve">The table shows that even after lowering </w:t>
      </w:r>
      <w:r w:rsidR="003A65F8" w:rsidRPr="00C534A9">
        <w:rPr>
          <w:rFonts w:ascii="Arial" w:hAnsi="Arial" w:cs="Arial"/>
          <w:sz w:val="22"/>
        </w:rPr>
        <w:t>the capacity factor by 10% (or 3 percentage points)</w:t>
      </w:r>
      <w:proofErr w:type="gramStart"/>
      <w:r w:rsidR="006940A1" w:rsidRPr="00C534A9">
        <w:rPr>
          <w:rFonts w:ascii="Arial" w:hAnsi="Arial" w:cs="Arial"/>
          <w:sz w:val="22"/>
        </w:rPr>
        <w:t>,</w:t>
      </w:r>
      <w:proofErr w:type="gramEnd"/>
      <w:r w:rsidR="006940A1" w:rsidRPr="00C534A9">
        <w:rPr>
          <w:rFonts w:ascii="Arial" w:hAnsi="Arial" w:cs="Arial"/>
          <w:sz w:val="22"/>
        </w:rPr>
        <w:t xml:space="preserve"> the </w:t>
      </w:r>
      <w:r w:rsidR="003A65F8" w:rsidRPr="00C534A9">
        <w:rPr>
          <w:rFonts w:ascii="Arial" w:hAnsi="Arial" w:cs="Arial"/>
          <w:sz w:val="22"/>
        </w:rPr>
        <w:t>wind turbine</w:t>
      </w:r>
      <w:r w:rsidR="006940A1" w:rsidRPr="00C534A9">
        <w:rPr>
          <w:rFonts w:ascii="Arial" w:hAnsi="Arial" w:cs="Arial"/>
          <w:sz w:val="22"/>
        </w:rPr>
        <w:t xml:space="preserve"> remains economically viable, with an aggregate NPV of US$</w:t>
      </w:r>
      <w:r w:rsidR="00F469E3" w:rsidRPr="00C534A9">
        <w:rPr>
          <w:rFonts w:ascii="Arial" w:hAnsi="Arial" w:cs="Arial"/>
          <w:sz w:val="22"/>
        </w:rPr>
        <w:t>0.3</w:t>
      </w:r>
      <w:r w:rsidR="00FD1DBD" w:rsidRPr="00C534A9">
        <w:rPr>
          <w:rFonts w:ascii="Arial" w:hAnsi="Arial" w:cs="Arial"/>
          <w:sz w:val="22"/>
        </w:rPr>
        <w:t>4</w:t>
      </w:r>
      <w:r w:rsidR="006940A1" w:rsidRPr="00C534A9">
        <w:rPr>
          <w:rFonts w:ascii="Arial" w:hAnsi="Arial" w:cs="Arial"/>
          <w:sz w:val="22"/>
        </w:rPr>
        <w:t xml:space="preserve"> million. In the high </w:t>
      </w:r>
      <w:r w:rsidR="00F469E3" w:rsidRPr="00C534A9">
        <w:rPr>
          <w:rFonts w:ascii="Arial" w:hAnsi="Arial" w:cs="Arial"/>
          <w:sz w:val="22"/>
        </w:rPr>
        <w:t>capacity fac</w:t>
      </w:r>
      <w:r w:rsidR="003A65F8" w:rsidRPr="00C534A9">
        <w:rPr>
          <w:rFonts w:ascii="Arial" w:hAnsi="Arial" w:cs="Arial"/>
          <w:sz w:val="22"/>
        </w:rPr>
        <w:t>tor</w:t>
      </w:r>
      <w:r w:rsidR="006940A1" w:rsidRPr="00C534A9">
        <w:rPr>
          <w:rFonts w:ascii="Arial" w:hAnsi="Arial" w:cs="Arial"/>
          <w:sz w:val="22"/>
        </w:rPr>
        <w:t xml:space="preserve"> scenario, the aggregate NPV increases to US$</w:t>
      </w:r>
      <w:r w:rsidR="00F469E3" w:rsidRPr="00C534A9">
        <w:rPr>
          <w:rFonts w:ascii="Arial" w:hAnsi="Arial" w:cs="Arial"/>
          <w:sz w:val="22"/>
        </w:rPr>
        <w:t>0.6</w:t>
      </w:r>
      <w:r w:rsidR="00FD1DBD" w:rsidRPr="00C534A9">
        <w:rPr>
          <w:rFonts w:ascii="Arial" w:hAnsi="Arial" w:cs="Arial"/>
          <w:sz w:val="22"/>
        </w:rPr>
        <w:t>9</w:t>
      </w:r>
      <w:r w:rsidR="006940A1" w:rsidRPr="00C534A9">
        <w:rPr>
          <w:rFonts w:ascii="Arial" w:hAnsi="Arial" w:cs="Arial"/>
          <w:sz w:val="22"/>
        </w:rPr>
        <w:t xml:space="preserve"> million.</w:t>
      </w:r>
    </w:p>
    <w:p w:rsidR="006940A1" w:rsidRPr="00C534A9" w:rsidRDefault="006940A1" w:rsidP="00C534A9">
      <w:pPr>
        <w:pStyle w:val="Caption"/>
        <w:jc w:val="both"/>
        <w:rPr>
          <w:rFonts w:ascii="Arial" w:hAnsi="Arial" w:cs="Arial"/>
          <w:sz w:val="22"/>
        </w:rPr>
      </w:pPr>
      <w:bookmarkStart w:id="95" w:name="_Toc463508978"/>
      <w:r w:rsidRPr="00C534A9">
        <w:rPr>
          <w:rFonts w:ascii="Arial" w:hAnsi="Arial" w:cs="Arial"/>
          <w:sz w:val="22"/>
        </w:rPr>
        <w:t xml:space="preserve">Table </w:t>
      </w:r>
      <w:r w:rsidR="007D6B36" w:rsidRPr="00C534A9">
        <w:rPr>
          <w:rFonts w:ascii="Arial" w:hAnsi="Arial" w:cs="Arial"/>
          <w:sz w:val="22"/>
        </w:rPr>
        <w:fldChar w:fldCharType="begin"/>
      </w:r>
      <w:r w:rsidR="007D6B36" w:rsidRPr="00C534A9">
        <w:rPr>
          <w:rFonts w:ascii="Arial" w:hAnsi="Arial" w:cs="Arial"/>
          <w:sz w:val="22"/>
        </w:rPr>
        <w:instrText xml:space="preserve"> STYLEREF 1 \s </w:instrText>
      </w:r>
      <w:r w:rsidR="007D6B36" w:rsidRPr="00C534A9">
        <w:rPr>
          <w:rFonts w:ascii="Arial" w:hAnsi="Arial" w:cs="Arial"/>
          <w:sz w:val="22"/>
        </w:rPr>
        <w:fldChar w:fldCharType="separate"/>
      </w:r>
      <w:r w:rsidR="003F3D75" w:rsidRPr="00C534A9">
        <w:rPr>
          <w:rFonts w:ascii="Arial" w:hAnsi="Arial" w:cs="Arial"/>
          <w:noProof/>
          <w:sz w:val="22"/>
        </w:rPr>
        <w:t>4</w:t>
      </w:r>
      <w:r w:rsidR="007D6B36" w:rsidRPr="00C534A9">
        <w:rPr>
          <w:rFonts w:ascii="Arial" w:hAnsi="Arial" w:cs="Arial"/>
          <w:noProof/>
          <w:sz w:val="22"/>
        </w:rPr>
        <w:fldChar w:fldCharType="end"/>
      </w:r>
      <w:r w:rsidRPr="00C534A9">
        <w:rPr>
          <w:rFonts w:ascii="Arial" w:hAnsi="Arial" w:cs="Arial"/>
          <w:sz w:val="22"/>
        </w:rPr>
        <w:t xml:space="preserve">.5: CBA Sensitivity to </w:t>
      </w:r>
      <w:r w:rsidR="00712C73" w:rsidRPr="00C534A9">
        <w:rPr>
          <w:rFonts w:ascii="Arial" w:hAnsi="Arial" w:cs="Arial"/>
          <w:sz w:val="22"/>
        </w:rPr>
        <w:t>capacity factor</w:t>
      </w:r>
      <w:r w:rsidR="003A6A5C" w:rsidRPr="00C534A9">
        <w:rPr>
          <w:rFonts w:ascii="Arial" w:hAnsi="Arial" w:cs="Arial"/>
          <w:sz w:val="22"/>
        </w:rPr>
        <w:t xml:space="preserve"> (US$ ‘000)</w:t>
      </w:r>
      <w:bookmarkEnd w:id="95"/>
    </w:p>
    <w:tbl>
      <w:tblPr>
        <w:tblW w:w="6500" w:type="dxa"/>
        <w:jc w:val="center"/>
        <w:tblInd w:w="93" w:type="dxa"/>
        <w:tblLook w:val="04A0" w:firstRow="1" w:lastRow="0" w:firstColumn="1" w:lastColumn="0" w:noHBand="0" w:noVBand="1"/>
      </w:tblPr>
      <w:tblGrid>
        <w:gridCol w:w="2540"/>
        <w:gridCol w:w="1320"/>
        <w:gridCol w:w="1320"/>
        <w:gridCol w:w="1320"/>
      </w:tblGrid>
      <w:tr w:rsidR="007065A3" w:rsidRPr="00C534A9" w:rsidTr="007065A3">
        <w:trPr>
          <w:trHeight w:val="315"/>
          <w:jc w:val="center"/>
        </w:trPr>
        <w:tc>
          <w:tcPr>
            <w:tcW w:w="2540"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b/>
                <w:bCs/>
                <w:color w:val="000000"/>
                <w:sz w:val="22"/>
                <w:szCs w:val="24"/>
              </w:rPr>
            </w:pPr>
            <w:r w:rsidRPr="00C534A9">
              <w:rPr>
                <w:rFonts w:ascii="Arial" w:eastAsia="Times New Roman" w:hAnsi="Arial" w:cs="Arial"/>
                <w:b/>
                <w:bCs/>
                <w:color w:val="000000"/>
                <w:sz w:val="22"/>
                <w:szCs w:val="24"/>
              </w:rPr>
              <w:t>Scenario:</w:t>
            </w:r>
          </w:p>
        </w:tc>
        <w:tc>
          <w:tcPr>
            <w:tcW w:w="1320"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b/>
                <w:bCs/>
                <w:color w:val="000000"/>
                <w:sz w:val="22"/>
                <w:szCs w:val="24"/>
              </w:rPr>
            </w:pPr>
            <w:r w:rsidRPr="00C534A9">
              <w:rPr>
                <w:rFonts w:ascii="Arial" w:eastAsia="Times New Roman" w:hAnsi="Arial" w:cs="Arial"/>
                <w:b/>
                <w:bCs/>
                <w:color w:val="000000"/>
                <w:sz w:val="22"/>
                <w:szCs w:val="24"/>
              </w:rPr>
              <w:t>Base</w:t>
            </w:r>
          </w:p>
        </w:tc>
        <w:tc>
          <w:tcPr>
            <w:tcW w:w="1320"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b/>
                <w:bCs/>
                <w:color w:val="000000"/>
                <w:sz w:val="22"/>
                <w:szCs w:val="24"/>
              </w:rPr>
            </w:pPr>
            <w:r w:rsidRPr="00C534A9">
              <w:rPr>
                <w:rFonts w:ascii="Arial" w:eastAsia="Times New Roman" w:hAnsi="Arial" w:cs="Arial"/>
                <w:b/>
                <w:bCs/>
                <w:color w:val="000000"/>
                <w:sz w:val="22"/>
                <w:szCs w:val="24"/>
              </w:rPr>
              <w:t>High</w:t>
            </w:r>
          </w:p>
        </w:tc>
        <w:tc>
          <w:tcPr>
            <w:tcW w:w="1320"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b/>
                <w:bCs/>
                <w:color w:val="000000"/>
                <w:sz w:val="22"/>
                <w:szCs w:val="24"/>
              </w:rPr>
            </w:pPr>
            <w:r w:rsidRPr="00C534A9">
              <w:rPr>
                <w:rFonts w:ascii="Arial" w:eastAsia="Times New Roman" w:hAnsi="Arial" w:cs="Arial"/>
                <w:b/>
                <w:bCs/>
                <w:color w:val="000000"/>
                <w:sz w:val="22"/>
                <w:szCs w:val="24"/>
              </w:rPr>
              <w:t>Low</w:t>
            </w:r>
          </w:p>
        </w:tc>
      </w:tr>
      <w:tr w:rsidR="007065A3" w:rsidRPr="00C534A9" w:rsidTr="007065A3">
        <w:trPr>
          <w:trHeight w:val="315"/>
          <w:jc w:val="center"/>
        </w:trPr>
        <w:tc>
          <w:tcPr>
            <w:tcW w:w="2540"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color w:val="000000"/>
                <w:sz w:val="22"/>
                <w:szCs w:val="24"/>
                <w:u w:val="single"/>
              </w:rPr>
            </w:pPr>
            <w:r w:rsidRPr="00C534A9">
              <w:rPr>
                <w:rFonts w:ascii="Arial" w:eastAsia="Times New Roman" w:hAnsi="Arial" w:cs="Arial"/>
                <w:color w:val="000000"/>
                <w:sz w:val="22"/>
                <w:szCs w:val="24"/>
                <w:u w:val="single"/>
              </w:rPr>
              <w:t>Capacity Factor:</w:t>
            </w:r>
          </w:p>
        </w:tc>
        <w:tc>
          <w:tcPr>
            <w:tcW w:w="1320"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color w:val="000000"/>
                <w:sz w:val="22"/>
                <w:szCs w:val="24"/>
                <w:u w:val="single"/>
              </w:rPr>
            </w:pPr>
            <w:r w:rsidRPr="00C534A9">
              <w:rPr>
                <w:rFonts w:ascii="Arial" w:eastAsia="Times New Roman" w:hAnsi="Arial" w:cs="Arial"/>
                <w:color w:val="000000"/>
                <w:sz w:val="22"/>
                <w:szCs w:val="24"/>
                <w:u w:val="single"/>
              </w:rPr>
              <w:t>31%</w:t>
            </w:r>
          </w:p>
        </w:tc>
        <w:tc>
          <w:tcPr>
            <w:tcW w:w="1320"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color w:val="000000"/>
                <w:sz w:val="22"/>
                <w:szCs w:val="24"/>
                <w:u w:val="single"/>
              </w:rPr>
            </w:pPr>
            <w:r w:rsidRPr="00C534A9">
              <w:rPr>
                <w:rFonts w:ascii="Arial" w:eastAsia="Times New Roman" w:hAnsi="Arial" w:cs="Arial"/>
                <w:color w:val="000000"/>
                <w:sz w:val="22"/>
                <w:szCs w:val="24"/>
                <w:u w:val="single"/>
              </w:rPr>
              <w:t>33%</w:t>
            </w:r>
          </w:p>
        </w:tc>
        <w:tc>
          <w:tcPr>
            <w:tcW w:w="1320"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color w:val="000000"/>
                <w:sz w:val="22"/>
                <w:szCs w:val="24"/>
                <w:u w:val="single"/>
              </w:rPr>
            </w:pPr>
            <w:r w:rsidRPr="00C534A9">
              <w:rPr>
                <w:rFonts w:ascii="Arial" w:eastAsia="Times New Roman" w:hAnsi="Arial" w:cs="Arial"/>
                <w:color w:val="000000"/>
                <w:sz w:val="22"/>
                <w:szCs w:val="24"/>
                <w:u w:val="single"/>
              </w:rPr>
              <w:t>28%</w:t>
            </w:r>
          </w:p>
        </w:tc>
      </w:tr>
      <w:tr w:rsidR="00FD1DBD" w:rsidRPr="00C534A9" w:rsidTr="007065A3">
        <w:trPr>
          <w:trHeight w:val="315"/>
          <w:jc w:val="center"/>
        </w:trPr>
        <w:tc>
          <w:tcPr>
            <w:tcW w:w="2540" w:type="dxa"/>
            <w:tcBorders>
              <w:top w:val="nil"/>
              <w:left w:val="nil"/>
              <w:bottom w:val="nil"/>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Present Value - Benefits</w:t>
            </w:r>
          </w:p>
        </w:tc>
        <w:tc>
          <w:tcPr>
            <w:tcW w:w="1320" w:type="dxa"/>
            <w:tcBorders>
              <w:top w:val="nil"/>
              <w:left w:val="nil"/>
              <w:bottom w:val="nil"/>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$2,333 </w:t>
            </w:r>
          </w:p>
        </w:tc>
        <w:tc>
          <w:tcPr>
            <w:tcW w:w="1320" w:type="dxa"/>
            <w:tcBorders>
              <w:top w:val="nil"/>
              <w:left w:val="nil"/>
              <w:bottom w:val="nil"/>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$2,446 </w:t>
            </w:r>
          </w:p>
        </w:tc>
        <w:tc>
          <w:tcPr>
            <w:tcW w:w="1320" w:type="dxa"/>
            <w:tcBorders>
              <w:top w:val="nil"/>
              <w:left w:val="nil"/>
              <w:bottom w:val="nil"/>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$2,100 </w:t>
            </w:r>
          </w:p>
        </w:tc>
      </w:tr>
      <w:tr w:rsidR="00FD1DBD" w:rsidRPr="00C534A9" w:rsidTr="007065A3">
        <w:trPr>
          <w:trHeight w:val="315"/>
          <w:jc w:val="center"/>
        </w:trPr>
        <w:tc>
          <w:tcPr>
            <w:tcW w:w="2540" w:type="dxa"/>
            <w:tcBorders>
              <w:top w:val="nil"/>
              <w:left w:val="nil"/>
              <w:bottom w:val="single" w:sz="4" w:space="0" w:color="auto"/>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Present Value  - Costs</w:t>
            </w:r>
          </w:p>
        </w:tc>
        <w:tc>
          <w:tcPr>
            <w:tcW w:w="1320" w:type="dxa"/>
            <w:tcBorders>
              <w:top w:val="nil"/>
              <w:left w:val="nil"/>
              <w:bottom w:val="single" w:sz="4" w:space="0" w:color="auto"/>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hAnsi="Arial" w:cs="Arial"/>
                <w:color w:val="FF0000"/>
                <w:sz w:val="22"/>
              </w:rPr>
              <w:t>($1,759)</w:t>
            </w:r>
          </w:p>
        </w:tc>
        <w:tc>
          <w:tcPr>
            <w:tcW w:w="1320" w:type="dxa"/>
            <w:tcBorders>
              <w:top w:val="nil"/>
              <w:left w:val="nil"/>
              <w:bottom w:val="single" w:sz="4" w:space="0" w:color="auto"/>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hAnsi="Arial" w:cs="Arial"/>
                <w:color w:val="FF0000"/>
                <w:sz w:val="22"/>
              </w:rPr>
              <w:t>($1,759)</w:t>
            </w:r>
          </w:p>
        </w:tc>
        <w:tc>
          <w:tcPr>
            <w:tcW w:w="1320" w:type="dxa"/>
            <w:tcBorders>
              <w:top w:val="nil"/>
              <w:left w:val="nil"/>
              <w:bottom w:val="single" w:sz="4" w:space="0" w:color="auto"/>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hAnsi="Arial" w:cs="Arial"/>
                <w:color w:val="FF0000"/>
                <w:sz w:val="22"/>
              </w:rPr>
              <w:t>($1,759)</w:t>
            </w:r>
          </w:p>
        </w:tc>
      </w:tr>
      <w:tr w:rsidR="00FD1DBD" w:rsidRPr="00C534A9" w:rsidTr="007065A3">
        <w:trPr>
          <w:trHeight w:val="315"/>
          <w:jc w:val="center"/>
        </w:trPr>
        <w:tc>
          <w:tcPr>
            <w:tcW w:w="2540" w:type="dxa"/>
            <w:tcBorders>
              <w:top w:val="nil"/>
              <w:left w:val="nil"/>
              <w:bottom w:val="nil"/>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Net Present Value</w:t>
            </w:r>
          </w:p>
        </w:tc>
        <w:tc>
          <w:tcPr>
            <w:tcW w:w="1320" w:type="dxa"/>
            <w:tcBorders>
              <w:top w:val="nil"/>
              <w:left w:val="nil"/>
              <w:bottom w:val="nil"/>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$574 </w:t>
            </w:r>
          </w:p>
        </w:tc>
        <w:tc>
          <w:tcPr>
            <w:tcW w:w="1320" w:type="dxa"/>
            <w:tcBorders>
              <w:top w:val="nil"/>
              <w:left w:val="nil"/>
              <w:bottom w:val="nil"/>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$687 </w:t>
            </w:r>
          </w:p>
        </w:tc>
        <w:tc>
          <w:tcPr>
            <w:tcW w:w="1320" w:type="dxa"/>
            <w:tcBorders>
              <w:top w:val="nil"/>
              <w:left w:val="nil"/>
              <w:bottom w:val="nil"/>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$341 </w:t>
            </w:r>
          </w:p>
        </w:tc>
      </w:tr>
      <w:tr w:rsidR="00FD1DBD" w:rsidRPr="00C534A9" w:rsidTr="007065A3">
        <w:trPr>
          <w:trHeight w:val="315"/>
          <w:jc w:val="center"/>
        </w:trPr>
        <w:tc>
          <w:tcPr>
            <w:tcW w:w="2540" w:type="dxa"/>
            <w:tcBorders>
              <w:top w:val="nil"/>
              <w:left w:val="nil"/>
              <w:bottom w:val="nil"/>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IRR</w:t>
            </w:r>
          </w:p>
        </w:tc>
        <w:tc>
          <w:tcPr>
            <w:tcW w:w="1320" w:type="dxa"/>
            <w:tcBorders>
              <w:top w:val="nil"/>
              <w:left w:val="nil"/>
              <w:bottom w:val="nil"/>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17%</w:t>
            </w:r>
          </w:p>
        </w:tc>
        <w:tc>
          <w:tcPr>
            <w:tcW w:w="1320" w:type="dxa"/>
            <w:tcBorders>
              <w:top w:val="nil"/>
              <w:left w:val="nil"/>
              <w:bottom w:val="nil"/>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18%</w:t>
            </w:r>
          </w:p>
        </w:tc>
        <w:tc>
          <w:tcPr>
            <w:tcW w:w="1320" w:type="dxa"/>
            <w:tcBorders>
              <w:top w:val="nil"/>
              <w:left w:val="nil"/>
              <w:bottom w:val="nil"/>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15%</w:t>
            </w:r>
          </w:p>
        </w:tc>
      </w:tr>
    </w:tbl>
    <w:p w:rsidR="00220712" w:rsidRPr="00C534A9" w:rsidRDefault="00220712" w:rsidP="00C534A9">
      <w:pPr>
        <w:jc w:val="both"/>
        <w:rPr>
          <w:rFonts w:ascii="Arial" w:hAnsi="Arial" w:cs="Arial"/>
          <w:sz w:val="22"/>
        </w:rPr>
      </w:pPr>
    </w:p>
    <w:p w:rsidR="006940A1" w:rsidRPr="00C534A9" w:rsidRDefault="006940A1" w:rsidP="00C534A9">
      <w:pPr>
        <w:pStyle w:val="Source"/>
        <w:jc w:val="both"/>
        <w:rPr>
          <w:rFonts w:ascii="Arial" w:hAnsi="Arial" w:cs="Arial"/>
          <w:sz w:val="18"/>
        </w:rPr>
      </w:pPr>
    </w:p>
    <w:p w:rsidR="007531CB" w:rsidRPr="00C534A9" w:rsidRDefault="007531CB" w:rsidP="00C534A9">
      <w:pPr>
        <w:jc w:val="both"/>
        <w:rPr>
          <w:rFonts w:ascii="Arial" w:hAnsi="Arial" w:cs="Arial"/>
          <w:sz w:val="22"/>
        </w:rPr>
      </w:pPr>
      <w:r w:rsidRPr="00C534A9">
        <w:rPr>
          <w:rFonts w:ascii="Arial" w:hAnsi="Arial" w:cs="Arial"/>
          <w:sz w:val="22"/>
        </w:rPr>
        <w:t>In a “worst case” scenario in which all three variables are set to the Low value (a low oil price, a low CO2 price, and a low utilization rate)</w:t>
      </w:r>
      <w:proofErr w:type="gramStart"/>
      <w:r w:rsidRPr="00C534A9">
        <w:rPr>
          <w:rFonts w:ascii="Arial" w:hAnsi="Arial" w:cs="Arial"/>
          <w:sz w:val="22"/>
        </w:rPr>
        <w:t>,</w:t>
      </w:r>
      <w:proofErr w:type="gramEnd"/>
      <w:r w:rsidRPr="00C534A9">
        <w:rPr>
          <w:rFonts w:ascii="Arial" w:hAnsi="Arial" w:cs="Arial"/>
          <w:sz w:val="22"/>
        </w:rPr>
        <w:t xml:space="preserve"> the wind turbine sub-project </w:t>
      </w:r>
      <w:r w:rsidR="006C53DB" w:rsidRPr="00C534A9">
        <w:rPr>
          <w:rFonts w:ascii="Arial" w:hAnsi="Arial" w:cs="Arial"/>
          <w:sz w:val="22"/>
        </w:rPr>
        <w:t>is</w:t>
      </w:r>
      <w:r w:rsidRPr="00C534A9">
        <w:rPr>
          <w:rFonts w:ascii="Arial" w:hAnsi="Arial" w:cs="Arial"/>
          <w:sz w:val="22"/>
        </w:rPr>
        <w:t xml:space="preserve"> </w:t>
      </w:r>
      <w:r w:rsidR="00997A64" w:rsidRPr="00C534A9">
        <w:rPr>
          <w:rFonts w:ascii="Arial" w:hAnsi="Arial" w:cs="Arial"/>
          <w:sz w:val="22"/>
        </w:rPr>
        <w:t>un</w:t>
      </w:r>
      <w:r w:rsidRPr="00C534A9">
        <w:rPr>
          <w:rFonts w:ascii="Arial" w:hAnsi="Arial" w:cs="Arial"/>
          <w:sz w:val="22"/>
        </w:rPr>
        <w:t>economic. As shown in Figure 4.2, the wind turbine</w:t>
      </w:r>
      <w:r w:rsidR="00470692" w:rsidRPr="00C534A9">
        <w:rPr>
          <w:rFonts w:ascii="Arial" w:hAnsi="Arial" w:cs="Arial"/>
          <w:sz w:val="22"/>
        </w:rPr>
        <w:t xml:space="preserve"> sub-project</w:t>
      </w:r>
      <w:r w:rsidRPr="00C534A9">
        <w:rPr>
          <w:rFonts w:ascii="Arial" w:hAnsi="Arial" w:cs="Arial"/>
          <w:sz w:val="22"/>
        </w:rPr>
        <w:t xml:space="preserve"> under a worst case scenario has an economic NPV of US$</w:t>
      </w:r>
      <w:r w:rsidR="00FD1DBD" w:rsidRPr="00C534A9">
        <w:rPr>
          <w:rFonts w:ascii="Arial" w:hAnsi="Arial" w:cs="Arial"/>
          <w:sz w:val="22"/>
        </w:rPr>
        <w:t>-0.18 million</w:t>
      </w:r>
      <w:r w:rsidRPr="00C534A9">
        <w:rPr>
          <w:rFonts w:ascii="Arial" w:hAnsi="Arial" w:cs="Arial"/>
          <w:sz w:val="22"/>
        </w:rPr>
        <w:t xml:space="preserve"> and </w:t>
      </w:r>
      <w:r w:rsidR="006C53DB" w:rsidRPr="00C534A9">
        <w:rPr>
          <w:rFonts w:ascii="Arial" w:hAnsi="Arial" w:cs="Arial"/>
          <w:sz w:val="22"/>
        </w:rPr>
        <w:t xml:space="preserve">an </w:t>
      </w:r>
      <w:r w:rsidRPr="00C534A9">
        <w:rPr>
          <w:rFonts w:ascii="Arial" w:hAnsi="Arial" w:cs="Arial"/>
          <w:sz w:val="22"/>
        </w:rPr>
        <w:t xml:space="preserve">EIRR </w:t>
      </w:r>
      <w:r w:rsidR="006C53DB" w:rsidRPr="00C534A9">
        <w:rPr>
          <w:rFonts w:ascii="Arial" w:hAnsi="Arial" w:cs="Arial"/>
          <w:sz w:val="22"/>
        </w:rPr>
        <w:t xml:space="preserve">of </w:t>
      </w:r>
      <w:r w:rsidR="00FD1DBD" w:rsidRPr="00C534A9">
        <w:rPr>
          <w:rFonts w:ascii="Arial" w:hAnsi="Arial" w:cs="Arial"/>
          <w:sz w:val="22"/>
        </w:rPr>
        <w:t>10</w:t>
      </w:r>
      <w:r w:rsidRPr="00C534A9">
        <w:rPr>
          <w:rFonts w:ascii="Arial" w:hAnsi="Arial" w:cs="Arial"/>
          <w:sz w:val="22"/>
        </w:rPr>
        <w:t>%</w:t>
      </w:r>
      <w:r w:rsidR="00FD1DBD" w:rsidRPr="00C534A9">
        <w:rPr>
          <w:rFonts w:ascii="Arial" w:hAnsi="Arial" w:cs="Arial"/>
          <w:sz w:val="22"/>
        </w:rPr>
        <w:t xml:space="preserve"> (below the 12% hurdle rate)</w:t>
      </w:r>
      <w:r w:rsidRPr="00C534A9">
        <w:rPr>
          <w:rFonts w:ascii="Arial" w:hAnsi="Arial" w:cs="Arial"/>
          <w:sz w:val="22"/>
        </w:rPr>
        <w:t>.</w:t>
      </w:r>
    </w:p>
    <w:p w:rsidR="007531CB" w:rsidRPr="00C534A9" w:rsidRDefault="007531CB" w:rsidP="00C534A9">
      <w:pPr>
        <w:pStyle w:val="Caption"/>
        <w:jc w:val="both"/>
        <w:rPr>
          <w:rFonts w:ascii="Arial" w:hAnsi="Arial" w:cs="Arial"/>
          <w:sz w:val="22"/>
        </w:rPr>
      </w:pPr>
      <w:bookmarkStart w:id="96" w:name="_Toc463508979"/>
      <w:r w:rsidRPr="00C534A9">
        <w:rPr>
          <w:rFonts w:ascii="Arial" w:hAnsi="Arial" w:cs="Arial"/>
          <w:sz w:val="22"/>
        </w:rPr>
        <w:t>Figure 4.2: Net Economic Benefits of the wind turbine sub-project under a worst case scenario (‘000 US$)</w:t>
      </w:r>
      <w:bookmarkEnd w:id="96"/>
    </w:p>
    <w:p w:rsidR="006940A1" w:rsidRPr="00C534A9" w:rsidRDefault="00FD1DBD" w:rsidP="00D132E2">
      <w:pPr>
        <w:jc w:val="both"/>
        <w:rPr>
          <w:rFonts w:ascii="Arial" w:hAnsi="Arial" w:cs="Arial"/>
          <w:sz w:val="22"/>
        </w:rPr>
      </w:pPr>
      <w:r w:rsidRPr="00C534A9">
        <w:rPr>
          <w:rFonts w:ascii="Arial" w:hAnsi="Arial" w:cs="Arial"/>
          <w:noProof/>
          <w:sz w:val="22"/>
        </w:rPr>
        <w:drawing>
          <wp:inline distT="0" distB="0" distL="0" distR="0" wp14:anchorId="3016A9E6" wp14:editId="7080AB3A">
            <wp:extent cx="4218940" cy="227393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18940" cy="2273935"/>
                    </a:xfrm>
                    <a:prstGeom prst="rect">
                      <a:avLst/>
                    </a:prstGeom>
                    <a:noFill/>
                  </pic:spPr>
                </pic:pic>
              </a:graphicData>
            </a:graphic>
          </wp:inline>
        </w:drawing>
      </w:r>
    </w:p>
    <w:p w:rsidR="006940A1" w:rsidRPr="00C534A9" w:rsidRDefault="006940A1" w:rsidP="00C534A9">
      <w:pPr>
        <w:pStyle w:val="Heading1"/>
        <w:jc w:val="both"/>
        <w:rPr>
          <w:rFonts w:ascii="Arial" w:hAnsi="Arial" w:cs="Arial"/>
          <w:sz w:val="24"/>
        </w:rPr>
      </w:pPr>
      <w:bookmarkStart w:id="97" w:name="_Toc464551511"/>
      <w:r w:rsidRPr="00C534A9">
        <w:rPr>
          <w:rFonts w:ascii="Arial" w:hAnsi="Arial" w:cs="Arial"/>
          <w:sz w:val="24"/>
        </w:rPr>
        <w:t xml:space="preserve">Cost Benefit Analysis of </w:t>
      </w:r>
      <w:r w:rsidR="006B6437" w:rsidRPr="00C534A9">
        <w:rPr>
          <w:rFonts w:ascii="Arial" w:hAnsi="Arial" w:cs="Arial"/>
          <w:sz w:val="24"/>
        </w:rPr>
        <w:t>Solar Panel Sub-Project</w:t>
      </w:r>
      <w:bookmarkEnd w:id="97"/>
    </w:p>
    <w:p w:rsidR="006B6437" w:rsidRPr="00C534A9" w:rsidRDefault="006B6437" w:rsidP="00C534A9">
      <w:pPr>
        <w:jc w:val="both"/>
        <w:rPr>
          <w:rFonts w:ascii="Arial" w:hAnsi="Arial" w:cs="Arial"/>
          <w:sz w:val="22"/>
        </w:rPr>
      </w:pPr>
      <w:r w:rsidRPr="00C534A9">
        <w:rPr>
          <w:rFonts w:ascii="Arial" w:hAnsi="Arial" w:cs="Arial"/>
          <w:sz w:val="22"/>
        </w:rPr>
        <w:t xml:space="preserve">The purpose of this section is to determine whether the proposed 300 kW </w:t>
      </w:r>
      <w:r w:rsidR="00AA4E6F" w:rsidRPr="00C534A9">
        <w:rPr>
          <w:rFonts w:ascii="Arial" w:hAnsi="Arial" w:cs="Arial"/>
          <w:sz w:val="22"/>
        </w:rPr>
        <w:t>PV system</w:t>
      </w:r>
      <w:r w:rsidRPr="00C534A9">
        <w:rPr>
          <w:rFonts w:ascii="Arial" w:hAnsi="Arial" w:cs="Arial"/>
          <w:sz w:val="22"/>
        </w:rPr>
        <w:t xml:space="preserve"> </w:t>
      </w:r>
      <w:proofErr w:type="gramStart"/>
      <w:r w:rsidRPr="00C534A9">
        <w:rPr>
          <w:rFonts w:ascii="Arial" w:hAnsi="Arial" w:cs="Arial"/>
          <w:sz w:val="22"/>
        </w:rPr>
        <w:t>sub-project</w:t>
      </w:r>
      <w:proofErr w:type="gramEnd"/>
      <w:r w:rsidRPr="00C534A9">
        <w:rPr>
          <w:rFonts w:ascii="Arial" w:hAnsi="Arial" w:cs="Arial"/>
          <w:sz w:val="22"/>
        </w:rPr>
        <w:t xml:space="preserve"> is economically viable. To determine the </w:t>
      </w:r>
      <w:r w:rsidR="00AA4E6F" w:rsidRPr="00C534A9">
        <w:rPr>
          <w:rFonts w:ascii="Arial" w:hAnsi="Arial" w:cs="Arial"/>
          <w:sz w:val="22"/>
        </w:rPr>
        <w:t>PV system</w:t>
      </w:r>
      <w:r w:rsidRPr="00C534A9">
        <w:rPr>
          <w:rFonts w:ascii="Arial" w:hAnsi="Arial" w:cs="Arial"/>
          <w:sz w:val="22"/>
        </w:rPr>
        <w:t xml:space="preserve"> sub-project’s economic viability, a Cost Benefit Analysis (CBA) of the economic costs and benefits of installing the </w:t>
      </w:r>
      <w:r w:rsidR="00AA4E6F" w:rsidRPr="00C534A9">
        <w:rPr>
          <w:rFonts w:ascii="Arial" w:hAnsi="Arial" w:cs="Arial"/>
          <w:sz w:val="22"/>
        </w:rPr>
        <w:t>PV system</w:t>
      </w:r>
      <w:r w:rsidRPr="00C534A9">
        <w:rPr>
          <w:rFonts w:ascii="Arial" w:hAnsi="Arial" w:cs="Arial"/>
          <w:sz w:val="22"/>
        </w:rPr>
        <w:t>s</w:t>
      </w:r>
      <w:r w:rsidR="009F2643" w:rsidRPr="00C534A9">
        <w:rPr>
          <w:rFonts w:ascii="Arial" w:hAnsi="Arial" w:cs="Arial"/>
          <w:sz w:val="22"/>
        </w:rPr>
        <w:t xml:space="preserve"> was performed</w:t>
      </w:r>
      <w:r w:rsidRPr="00C534A9">
        <w:rPr>
          <w:rFonts w:ascii="Arial" w:hAnsi="Arial" w:cs="Arial"/>
          <w:sz w:val="22"/>
        </w:rPr>
        <w:t xml:space="preserve">. </w:t>
      </w:r>
      <w:r w:rsidR="009F2643" w:rsidRPr="00C534A9">
        <w:rPr>
          <w:rFonts w:ascii="Arial" w:hAnsi="Arial" w:cs="Arial"/>
          <w:sz w:val="22"/>
        </w:rPr>
        <w:t>T</w:t>
      </w:r>
      <w:r w:rsidRPr="00C534A9">
        <w:rPr>
          <w:rFonts w:ascii="Arial" w:hAnsi="Arial" w:cs="Arial"/>
          <w:sz w:val="22"/>
        </w:rPr>
        <w:t xml:space="preserve">he sub-project </w:t>
      </w:r>
      <w:r w:rsidR="009F2643" w:rsidRPr="00C534A9">
        <w:rPr>
          <w:rFonts w:ascii="Arial" w:hAnsi="Arial" w:cs="Arial"/>
          <w:sz w:val="22"/>
        </w:rPr>
        <w:t xml:space="preserve">was found to have </w:t>
      </w:r>
      <w:r w:rsidRPr="00C534A9">
        <w:rPr>
          <w:rFonts w:ascii="Arial" w:hAnsi="Arial" w:cs="Arial"/>
          <w:sz w:val="22"/>
        </w:rPr>
        <w:t>a net present value (NPV) of approximately US$</w:t>
      </w:r>
      <w:r w:rsidR="00FD1DBD" w:rsidRPr="00C534A9">
        <w:rPr>
          <w:rFonts w:ascii="Arial" w:hAnsi="Arial" w:cs="Arial"/>
          <w:sz w:val="22"/>
        </w:rPr>
        <w:t>45</w:t>
      </w:r>
      <w:r w:rsidR="00F469E3" w:rsidRPr="00C534A9">
        <w:rPr>
          <w:rFonts w:ascii="Arial" w:hAnsi="Arial" w:cs="Arial"/>
          <w:sz w:val="22"/>
        </w:rPr>
        <w:t>,000</w:t>
      </w:r>
      <w:r w:rsidRPr="00C534A9">
        <w:rPr>
          <w:rFonts w:ascii="Arial" w:hAnsi="Arial" w:cs="Arial"/>
          <w:sz w:val="22"/>
        </w:rPr>
        <w:t xml:space="preserve"> and internal rate of return of </w:t>
      </w:r>
      <w:r w:rsidR="00F469E3" w:rsidRPr="00C534A9">
        <w:rPr>
          <w:rFonts w:ascii="Arial" w:hAnsi="Arial" w:cs="Arial"/>
          <w:sz w:val="22"/>
        </w:rPr>
        <w:t>13</w:t>
      </w:r>
      <w:r w:rsidRPr="00C534A9">
        <w:rPr>
          <w:rFonts w:ascii="Arial" w:hAnsi="Arial" w:cs="Arial"/>
          <w:sz w:val="22"/>
        </w:rPr>
        <w:t xml:space="preserve">% percent. That is, the </w:t>
      </w:r>
      <w:r w:rsidR="00AA4E6F" w:rsidRPr="00C534A9">
        <w:rPr>
          <w:rFonts w:ascii="Arial" w:hAnsi="Arial" w:cs="Arial"/>
          <w:sz w:val="22"/>
        </w:rPr>
        <w:t>PV system</w:t>
      </w:r>
      <w:r w:rsidRPr="00C534A9">
        <w:rPr>
          <w:rFonts w:ascii="Arial" w:hAnsi="Arial" w:cs="Arial"/>
          <w:sz w:val="22"/>
        </w:rPr>
        <w:t xml:space="preserve"> sub-project is economically viable. </w:t>
      </w:r>
    </w:p>
    <w:p w:rsidR="006B6437" w:rsidRPr="00C534A9" w:rsidRDefault="006B6437" w:rsidP="00C534A9">
      <w:pPr>
        <w:jc w:val="both"/>
        <w:rPr>
          <w:rFonts w:ascii="Arial" w:hAnsi="Arial" w:cs="Arial"/>
          <w:sz w:val="22"/>
        </w:rPr>
      </w:pPr>
      <w:r w:rsidRPr="00C534A9">
        <w:rPr>
          <w:rFonts w:ascii="Arial" w:hAnsi="Arial" w:cs="Arial"/>
          <w:sz w:val="22"/>
        </w:rPr>
        <w:t xml:space="preserve">The analysis to calculate the net present value of the </w:t>
      </w:r>
      <w:r w:rsidR="00AA4E6F" w:rsidRPr="00C534A9">
        <w:rPr>
          <w:rFonts w:ascii="Arial" w:hAnsi="Arial" w:cs="Arial"/>
          <w:sz w:val="22"/>
        </w:rPr>
        <w:t>PV system</w:t>
      </w:r>
      <w:r w:rsidRPr="00C534A9">
        <w:rPr>
          <w:rFonts w:ascii="Arial" w:hAnsi="Arial" w:cs="Arial"/>
          <w:sz w:val="22"/>
        </w:rPr>
        <w:t xml:space="preserve"> sub-project is presented as follows: </w:t>
      </w:r>
    </w:p>
    <w:p w:rsidR="006B6437" w:rsidRPr="00C534A9" w:rsidRDefault="006B6437" w:rsidP="00C534A9">
      <w:pPr>
        <w:pStyle w:val="ListParagraph"/>
        <w:numPr>
          <w:ilvl w:val="0"/>
          <w:numId w:val="16"/>
        </w:numPr>
        <w:jc w:val="both"/>
        <w:rPr>
          <w:rFonts w:ascii="Arial" w:hAnsi="Arial" w:cs="Arial"/>
          <w:sz w:val="22"/>
        </w:rPr>
      </w:pPr>
      <w:r w:rsidRPr="00C534A9">
        <w:rPr>
          <w:rFonts w:ascii="Arial" w:hAnsi="Arial" w:cs="Arial"/>
          <w:sz w:val="22"/>
        </w:rPr>
        <w:t xml:space="preserve">Methodology and Assumptions (Section </w:t>
      </w:r>
      <w:r w:rsidRPr="00C534A9">
        <w:rPr>
          <w:rFonts w:ascii="Arial" w:hAnsi="Arial" w:cs="Arial"/>
          <w:sz w:val="22"/>
        </w:rPr>
        <w:fldChar w:fldCharType="begin"/>
      </w:r>
      <w:r w:rsidRPr="00C534A9">
        <w:rPr>
          <w:rFonts w:ascii="Arial" w:hAnsi="Arial" w:cs="Arial"/>
          <w:sz w:val="22"/>
        </w:rPr>
        <w:instrText xml:space="preserve"> REF _Ref423357305 \r \h  \* MERGEFORMAT </w:instrText>
      </w:r>
      <w:r w:rsidRPr="00C534A9">
        <w:rPr>
          <w:rFonts w:ascii="Arial" w:hAnsi="Arial" w:cs="Arial"/>
          <w:sz w:val="22"/>
        </w:rPr>
      </w:r>
      <w:r w:rsidRPr="00C534A9">
        <w:rPr>
          <w:rFonts w:ascii="Arial" w:hAnsi="Arial" w:cs="Arial"/>
          <w:sz w:val="22"/>
        </w:rPr>
        <w:fldChar w:fldCharType="separate"/>
      </w:r>
      <w:r w:rsidR="00AD1CFB" w:rsidRPr="00C534A9">
        <w:rPr>
          <w:rFonts w:ascii="Arial" w:hAnsi="Arial" w:cs="Arial"/>
          <w:sz w:val="22"/>
        </w:rPr>
        <w:t>5</w:t>
      </w:r>
      <w:r w:rsidR="003F3D75" w:rsidRPr="00C534A9">
        <w:rPr>
          <w:rFonts w:ascii="Arial" w:hAnsi="Arial" w:cs="Arial"/>
          <w:sz w:val="22"/>
        </w:rPr>
        <w:t>.1</w:t>
      </w:r>
      <w:r w:rsidRPr="00C534A9">
        <w:rPr>
          <w:rFonts w:ascii="Arial" w:hAnsi="Arial" w:cs="Arial"/>
          <w:sz w:val="22"/>
        </w:rPr>
        <w:fldChar w:fldCharType="end"/>
      </w:r>
      <w:r w:rsidRPr="00C534A9">
        <w:rPr>
          <w:rFonts w:ascii="Arial" w:hAnsi="Arial" w:cs="Arial"/>
          <w:sz w:val="22"/>
        </w:rPr>
        <w:t>)</w:t>
      </w:r>
    </w:p>
    <w:p w:rsidR="006B6437" w:rsidRPr="00C534A9" w:rsidRDefault="006B6437" w:rsidP="00C534A9">
      <w:pPr>
        <w:pStyle w:val="ListParagraph"/>
        <w:numPr>
          <w:ilvl w:val="0"/>
          <w:numId w:val="16"/>
        </w:numPr>
        <w:jc w:val="both"/>
        <w:rPr>
          <w:rFonts w:ascii="Arial" w:hAnsi="Arial" w:cs="Arial"/>
          <w:sz w:val="22"/>
        </w:rPr>
      </w:pPr>
      <w:r w:rsidRPr="00C534A9">
        <w:rPr>
          <w:rFonts w:ascii="Arial" w:hAnsi="Arial" w:cs="Arial"/>
          <w:sz w:val="22"/>
        </w:rPr>
        <w:t xml:space="preserve">Economic Costs, Economic Benefits, and Net Economic Benefits of the </w:t>
      </w:r>
      <w:r w:rsidR="00AA4E6F" w:rsidRPr="00C534A9">
        <w:rPr>
          <w:rFonts w:ascii="Arial" w:hAnsi="Arial" w:cs="Arial"/>
          <w:sz w:val="22"/>
        </w:rPr>
        <w:t>PV system</w:t>
      </w:r>
      <w:r w:rsidRPr="00C534A9">
        <w:rPr>
          <w:rFonts w:ascii="Arial" w:hAnsi="Arial" w:cs="Arial"/>
          <w:sz w:val="22"/>
        </w:rPr>
        <w:t xml:space="preserve"> sub-project (Section </w:t>
      </w:r>
      <w:r w:rsidRPr="00C534A9">
        <w:rPr>
          <w:rFonts w:ascii="Arial" w:hAnsi="Arial" w:cs="Arial"/>
          <w:sz w:val="22"/>
        </w:rPr>
        <w:fldChar w:fldCharType="begin"/>
      </w:r>
      <w:r w:rsidRPr="00C534A9">
        <w:rPr>
          <w:rFonts w:ascii="Arial" w:hAnsi="Arial" w:cs="Arial"/>
          <w:sz w:val="22"/>
        </w:rPr>
        <w:instrText xml:space="preserve"> REF _Ref423357309 \r \h  \* MERGEFORMAT </w:instrText>
      </w:r>
      <w:r w:rsidRPr="00C534A9">
        <w:rPr>
          <w:rFonts w:ascii="Arial" w:hAnsi="Arial" w:cs="Arial"/>
          <w:sz w:val="22"/>
        </w:rPr>
      </w:r>
      <w:r w:rsidRPr="00C534A9">
        <w:rPr>
          <w:rFonts w:ascii="Arial" w:hAnsi="Arial" w:cs="Arial"/>
          <w:sz w:val="22"/>
        </w:rPr>
        <w:fldChar w:fldCharType="separate"/>
      </w:r>
      <w:r w:rsidR="00AD1CFB" w:rsidRPr="00C534A9">
        <w:rPr>
          <w:rFonts w:ascii="Arial" w:hAnsi="Arial" w:cs="Arial"/>
          <w:sz w:val="22"/>
        </w:rPr>
        <w:t>5.</w:t>
      </w:r>
      <w:r w:rsidR="003F3D75" w:rsidRPr="00C534A9">
        <w:rPr>
          <w:rFonts w:ascii="Arial" w:hAnsi="Arial" w:cs="Arial"/>
          <w:sz w:val="22"/>
        </w:rPr>
        <w:t>2</w:t>
      </w:r>
      <w:r w:rsidRPr="00C534A9">
        <w:rPr>
          <w:rFonts w:ascii="Arial" w:hAnsi="Arial" w:cs="Arial"/>
          <w:sz w:val="22"/>
        </w:rPr>
        <w:fldChar w:fldCharType="end"/>
      </w:r>
      <w:r w:rsidRPr="00C534A9">
        <w:rPr>
          <w:rFonts w:ascii="Arial" w:hAnsi="Arial" w:cs="Arial"/>
          <w:sz w:val="22"/>
        </w:rPr>
        <w:t>)</w:t>
      </w:r>
    </w:p>
    <w:p w:rsidR="006B6437" w:rsidRPr="00C534A9" w:rsidRDefault="006B6437" w:rsidP="00C534A9">
      <w:pPr>
        <w:pStyle w:val="ListParagraph"/>
        <w:numPr>
          <w:ilvl w:val="0"/>
          <w:numId w:val="16"/>
        </w:numPr>
        <w:jc w:val="both"/>
        <w:rPr>
          <w:rFonts w:ascii="Arial" w:hAnsi="Arial" w:cs="Arial"/>
          <w:sz w:val="22"/>
        </w:rPr>
      </w:pPr>
      <w:r w:rsidRPr="00C534A9">
        <w:rPr>
          <w:rFonts w:ascii="Arial" w:hAnsi="Arial" w:cs="Arial"/>
          <w:sz w:val="22"/>
        </w:rPr>
        <w:t xml:space="preserve">Sensitivity Analysis of the </w:t>
      </w:r>
      <w:r w:rsidR="00AA4E6F" w:rsidRPr="00C534A9">
        <w:rPr>
          <w:rFonts w:ascii="Arial" w:hAnsi="Arial" w:cs="Arial"/>
          <w:sz w:val="22"/>
        </w:rPr>
        <w:t>PV system</w:t>
      </w:r>
      <w:r w:rsidRPr="00C534A9">
        <w:rPr>
          <w:rFonts w:ascii="Arial" w:hAnsi="Arial" w:cs="Arial"/>
          <w:sz w:val="22"/>
        </w:rPr>
        <w:t xml:space="preserve"> sub-project (Section </w:t>
      </w:r>
      <w:r w:rsidRPr="00C534A9">
        <w:rPr>
          <w:rFonts w:ascii="Arial" w:hAnsi="Arial" w:cs="Arial"/>
          <w:sz w:val="22"/>
        </w:rPr>
        <w:fldChar w:fldCharType="begin"/>
      </w:r>
      <w:r w:rsidRPr="00C534A9">
        <w:rPr>
          <w:rFonts w:ascii="Arial" w:hAnsi="Arial" w:cs="Arial"/>
          <w:sz w:val="22"/>
        </w:rPr>
        <w:instrText xml:space="preserve"> REF _Ref423357314 \r \h  \* MERGEFORMAT </w:instrText>
      </w:r>
      <w:r w:rsidRPr="00C534A9">
        <w:rPr>
          <w:rFonts w:ascii="Arial" w:hAnsi="Arial" w:cs="Arial"/>
          <w:sz w:val="22"/>
        </w:rPr>
      </w:r>
      <w:r w:rsidRPr="00C534A9">
        <w:rPr>
          <w:rFonts w:ascii="Arial" w:hAnsi="Arial" w:cs="Arial"/>
          <w:sz w:val="22"/>
        </w:rPr>
        <w:fldChar w:fldCharType="separate"/>
      </w:r>
      <w:r w:rsidR="00AD1CFB" w:rsidRPr="00C534A9">
        <w:rPr>
          <w:rFonts w:ascii="Arial" w:hAnsi="Arial" w:cs="Arial"/>
          <w:sz w:val="22"/>
        </w:rPr>
        <w:t>5</w:t>
      </w:r>
      <w:r w:rsidR="003F3D75" w:rsidRPr="00C534A9">
        <w:rPr>
          <w:rFonts w:ascii="Arial" w:hAnsi="Arial" w:cs="Arial"/>
          <w:sz w:val="22"/>
        </w:rPr>
        <w:t>.3</w:t>
      </w:r>
      <w:r w:rsidRPr="00C534A9">
        <w:rPr>
          <w:rFonts w:ascii="Arial" w:hAnsi="Arial" w:cs="Arial"/>
          <w:sz w:val="22"/>
        </w:rPr>
        <w:fldChar w:fldCharType="end"/>
      </w:r>
      <w:r w:rsidRPr="00C534A9">
        <w:rPr>
          <w:rFonts w:ascii="Arial" w:hAnsi="Arial" w:cs="Arial"/>
          <w:sz w:val="22"/>
        </w:rPr>
        <w:t>)</w:t>
      </w:r>
    </w:p>
    <w:p w:rsidR="006B6437" w:rsidRPr="00C534A9" w:rsidRDefault="006B6437" w:rsidP="00C534A9">
      <w:pPr>
        <w:pStyle w:val="Caption"/>
        <w:jc w:val="both"/>
        <w:rPr>
          <w:rFonts w:ascii="Arial" w:hAnsi="Arial" w:cs="Arial"/>
          <w:sz w:val="22"/>
        </w:rPr>
      </w:pPr>
      <w:bookmarkStart w:id="98" w:name="_Toc463508506"/>
      <w:bookmarkStart w:id="99" w:name="_Toc463508980"/>
      <w:proofErr w:type="gramStart"/>
      <w:r w:rsidRPr="00C534A9">
        <w:rPr>
          <w:rFonts w:ascii="Arial" w:hAnsi="Arial" w:cs="Arial"/>
          <w:sz w:val="22"/>
        </w:rPr>
        <w:t>Figure 5.</w:t>
      </w:r>
      <w:proofErr w:type="gramEnd"/>
      <w:r w:rsidR="003343DE" w:rsidRPr="00C534A9">
        <w:rPr>
          <w:rFonts w:ascii="Arial" w:hAnsi="Arial" w:cs="Arial"/>
          <w:sz w:val="22"/>
        </w:rPr>
        <w:fldChar w:fldCharType="begin"/>
      </w:r>
      <w:r w:rsidR="003343DE" w:rsidRPr="00C534A9">
        <w:rPr>
          <w:rFonts w:ascii="Arial" w:hAnsi="Arial" w:cs="Arial"/>
          <w:sz w:val="22"/>
        </w:rPr>
        <w:instrText xml:space="preserve"> SEQ Figure \* ARABIC \s 1 </w:instrText>
      </w:r>
      <w:r w:rsidR="003343DE" w:rsidRPr="00C534A9">
        <w:rPr>
          <w:rFonts w:ascii="Arial" w:hAnsi="Arial" w:cs="Arial"/>
          <w:sz w:val="22"/>
        </w:rPr>
        <w:fldChar w:fldCharType="separate"/>
      </w:r>
      <w:r w:rsidR="003F3D75" w:rsidRPr="00C534A9">
        <w:rPr>
          <w:rFonts w:ascii="Arial" w:hAnsi="Arial" w:cs="Arial"/>
          <w:noProof/>
          <w:sz w:val="22"/>
        </w:rPr>
        <w:t>1</w:t>
      </w:r>
      <w:r w:rsidR="003343DE" w:rsidRPr="00C534A9">
        <w:rPr>
          <w:rFonts w:ascii="Arial" w:hAnsi="Arial" w:cs="Arial"/>
          <w:noProof/>
          <w:sz w:val="22"/>
        </w:rPr>
        <w:fldChar w:fldCharType="end"/>
      </w:r>
      <w:r w:rsidRPr="00C534A9">
        <w:rPr>
          <w:rFonts w:ascii="Arial" w:hAnsi="Arial" w:cs="Arial"/>
          <w:sz w:val="22"/>
        </w:rPr>
        <w:t xml:space="preserve">: Net Economic Benefits of the </w:t>
      </w:r>
      <w:r w:rsidR="00AA4E6F" w:rsidRPr="00C534A9">
        <w:rPr>
          <w:rFonts w:ascii="Arial" w:hAnsi="Arial" w:cs="Arial"/>
          <w:sz w:val="22"/>
        </w:rPr>
        <w:t>PV system</w:t>
      </w:r>
      <w:r w:rsidRPr="00C534A9">
        <w:rPr>
          <w:rFonts w:ascii="Arial" w:hAnsi="Arial" w:cs="Arial"/>
          <w:sz w:val="22"/>
        </w:rPr>
        <w:t xml:space="preserve"> sub-project</w:t>
      </w:r>
      <w:r w:rsidR="003A6A5C" w:rsidRPr="00C534A9">
        <w:rPr>
          <w:rFonts w:ascii="Arial" w:hAnsi="Arial" w:cs="Arial"/>
          <w:sz w:val="22"/>
        </w:rPr>
        <w:t xml:space="preserve"> (US$ ‘000)</w:t>
      </w:r>
      <w:bookmarkEnd w:id="98"/>
      <w:bookmarkEnd w:id="99"/>
    </w:p>
    <w:p w:rsidR="006B6437" w:rsidRPr="00C534A9" w:rsidRDefault="00FD1DBD" w:rsidP="00C534A9">
      <w:pPr>
        <w:jc w:val="both"/>
        <w:rPr>
          <w:rFonts w:ascii="Arial" w:hAnsi="Arial" w:cs="Arial"/>
          <w:sz w:val="22"/>
        </w:rPr>
      </w:pPr>
      <w:r w:rsidRPr="00C534A9">
        <w:rPr>
          <w:rFonts w:ascii="Arial" w:hAnsi="Arial" w:cs="Arial"/>
          <w:noProof/>
          <w:sz w:val="22"/>
        </w:rPr>
        <w:drawing>
          <wp:inline distT="0" distB="0" distL="0" distR="0" wp14:anchorId="1335C5A3" wp14:editId="10EBB18B">
            <wp:extent cx="4346575" cy="227393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46575" cy="2273935"/>
                    </a:xfrm>
                    <a:prstGeom prst="rect">
                      <a:avLst/>
                    </a:prstGeom>
                    <a:noFill/>
                  </pic:spPr>
                </pic:pic>
              </a:graphicData>
            </a:graphic>
          </wp:inline>
        </w:drawing>
      </w:r>
    </w:p>
    <w:p w:rsidR="006B6437" w:rsidRPr="00C534A9" w:rsidRDefault="006B6437" w:rsidP="00C534A9">
      <w:pPr>
        <w:pStyle w:val="Source"/>
        <w:jc w:val="both"/>
        <w:rPr>
          <w:rFonts w:ascii="Arial" w:hAnsi="Arial" w:cs="Arial"/>
          <w:sz w:val="18"/>
        </w:rPr>
      </w:pPr>
    </w:p>
    <w:p w:rsidR="006B6437" w:rsidRPr="00C534A9" w:rsidRDefault="006B6437" w:rsidP="00C534A9">
      <w:pPr>
        <w:pStyle w:val="Heading2"/>
        <w:jc w:val="both"/>
        <w:rPr>
          <w:rFonts w:ascii="Arial" w:hAnsi="Arial" w:cs="Arial"/>
          <w:sz w:val="24"/>
        </w:rPr>
      </w:pPr>
      <w:bookmarkStart w:id="100" w:name="_Toc464551512"/>
      <w:r w:rsidRPr="00C534A9">
        <w:rPr>
          <w:rFonts w:ascii="Arial" w:hAnsi="Arial" w:cs="Arial"/>
          <w:sz w:val="24"/>
        </w:rPr>
        <w:t>Methodology and Assumptions</w:t>
      </w:r>
      <w:bookmarkEnd w:id="100"/>
    </w:p>
    <w:p w:rsidR="006B6437" w:rsidRPr="00C534A9" w:rsidRDefault="006B6437" w:rsidP="00C534A9">
      <w:pPr>
        <w:jc w:val="both"/>
        <w:rPr>
          <w:rFonts w:ascii="Arial" w:hAnsi="Arial" w:cs="Arial"/>
          <w:sz w:val="22"/>
        </w:rPr>
      </w:pPr>
      <w:r w:rsidRPr="00C534A9">
        <w:rPr>
          <w:rFonts w:ascii="Arial" w:hAnsi="Arial" w:cs="Arial"/>
          <w:sz w:val="22"/>
        </w:rPr>
        <w:t xml:space="preserve">The objective of the CBA methodology is to determine whether or not the </w:t>
      </w:r>
      <w:r w:rsidR="00AA4E6F" w:rsidRPr="00C534A9">
        <w:rPr>
          <w:rFonts w:ascii="Arial" w:hAnsi="Arial" w:cs="Arial"/>
          <w:sz w:val="22"/>
        </w:rPr>
        <w:t>PV system</w:t>
      </w:r>
      <w:r w:rsidRPr="00C534A9">
        <w:rPr>
          <w:rFonts w:ascii="Arial" w:hAnsi="Arial" w:cs="Arial"/>
          <w:sz w:val="22"/>
        </w:rPr>
        <w:t xml:space="preserve"> sub-project is economically viable. This is accomplished by estimating the net benefits of the </w:t>
      </w:r>
      <w:r w:rsidR="00AA4E6F" w:rsidRPr="00C534A9">
        <w:rPr>
          <w:rFonts w:ascii="Arial" w:hAnsi="Arial" w:cs="Arial"/>
          <w:sz w:val="22"/>
        </w:rPr>
        <w:t>PV system</w:t>
      </w:r>
      <w:r w:rsidRPr="00C534A9">
        <w:rPr>
          <w:rFonts w:ascii="Arial" w:hAnsi="Arial" w:cs="Arial"/>
          <w:sz w:val="22"/>
        </w:rPr>
        <w:t xml:space="preserve"> sub-project that will be financed by the loan. </w:t>
      </w:r>
    </w:p>
    <w:p w:rsidR="006B6437" w:rsidRPr="00C534A9" w:rsidRDefault="009F2643" w:rsidP="00C534A9">
      <w:pPr>
        <w:jc w:val="both"/>
        <w:rPr>
          <w:rFonts w:ascii="Arial" w:hAnsi="Arial" w:cs="Arial"/>
          <w:sz w:val="22"/>
        </w:rPr>
      </w:pPr>
      <w:r w:rsidRPr="00C534A9">
        <w:rPr>
          <w:rFonts w:ascii="Arial" w:hAnsi="Arial" w:cs="Arial"/>
          <w:sz w:val="22"/>
        </w:rPr>
        <w:t>The</w:t>
      </w:r>
      <w:r w:rsidR="006B6437" w:rsidRPr="00C534A9">
        <w:rPr>
          <w:rFonts w:ascii="Arial" w:hAnsi="Arial" w:cs="Arial"/>
          <w:sz w:val="22"/>
        </w:rPr>
        <w:t xml:space="preserve"> </w:t>
      </w:r>
      <w:r w:rsidR="00AA4E6F" w:rsidRPr="00C534A9">
        <w:rPr>
          <w:rFonts w:ascii="Arial" w:hAnsi="Arial" w:cs="Arial"/>
          <w:sz w:val="22"/>
        </w:rPr>
        <w:t>PV system</w:t>
      </w:r>
      <w:r w:rsidR="006B6437" w:rsidRPr="00C534A9">
        <w:rPr>
          <w:rFonts w:ascii="Arial" w:hAnsi="Arial" w:cs="Arial"/>
          <w:sz w:val="22"/>
        </w:rPr>
        <w:t xml:space="preserve"> sub-project’s net benefits </w:t>
      </w:r>
      <w:r w:rsidRPr="00C534A9">
        <w:rPr>
          <w:rFonts w:ascii="Arial" w:hAnsi="Arial" w:cs="Arial"/>
          <w:sz w:val="22"/>
        </w:rPr>
        <w:t xml:space="preserve">were determined </w:t>
      </w:r>
      <w:r w:rsidR="006B6437" w:rsidRPr="00C534A9">
        <w:rPr>
          <w:rFonts w:ascii="Arial" w:hAnsi="Arial" w:cs="Arial"/>
          <w:sz w:val="22"/>
        </w:rPr>
        <w:t xml:space="preserve">by calculating the difference in the cost of fuel imports and greenhouse gas emissions between the project scenario and the counterfactual scenario. The counterfactual scenario is one in which the </w:t>
      </w:r>
      <w:r w:rsidR="00AA4E6F" w:rsidRPr="00C534A9">
        <w:rPr>
          <w:rFonts w:ascii="Arial" w:hAnsi="Arial" w:cs="Arial"/>
          <w:sz w:val="22"/>
        </w:rPr>
        <w:t>PV system</w:t>
      </w:r>
      <w:r w:rsidR="006B6437" w:rsidRPr="00C534A9">
        <w:rPr>
          <w:rFonts w:ascii="Arial" w:hAnsi="Arial" w:cs="Arial"/>
          <w:sz w:val="22"/>
        </w:rPr>
        <w:t xml:space="preserve"> project is not built and electricity continues to be provided using imported heavy fuel oil in diesel generators. </w:t>
      </w:r>
    </w:p>
    <w:p w:rsidR="006B6437" w:rsidRPr="00C534A9" w:rsidRDefault="006B6437" w:rsidP="00C534A9">
      <w:pPr>
        <w:jc w:val="both"/>
        <w:rPr>
          <w:rFonts w:ascii="Arial" w:hAnsi="Arial" w:cs="Arial"/>
          <w:sz w:val="22"/>
        </w:rPr>
      </w:pPr>
      <w:r w:rsidRPr="00C534A9">
        <w:rPr>
          <w:rFonts w:ascii="Arial" w:hAnsi="Arial" w:cs="Arial"/>
          <w:sz w:val="22"/>
        </w:rPr>
        <w:t xml:space="preserve">The steps to calculate the net benefits of the </w:t>
      </w:r>
      <w:r w:rsidR="00AA4E6F" w:rsidRPr="00C534A9">
        <w:rPr>
          <w:rFonts w:ascii="Arial" w:hAnsi="Arial" w:cs="Arial"/>
          <w:sz w:val="22"/>
        </w:rPr>
        <w:t>PV system</w:t>
      </w:r>
      <w:r w:rsidRPr="00C534A9">
        <w:rPr>
          <w:rFonts w:ascii="Arial" w:hAnsi="Arial" w:cs="Arial"/>
          <w:sz w:val="22"/>
        </w:rPr>
        <w:t xml:space="preserve"> sub-project are:</w:t>
      </w:r>
    </w:p>
    <w:p w:rsidR="006B6437" w:rsidRPr="00C534A9" w:rsidRDefault="006B6437" w:rsidP="00C534A9">
      <w:pPr>
        <w:pStyle w:val="ListParagraph"/>
        <w:numPr>
          <w:ilvl w:val="0"/>
          <w:numId w:val="36"/>
        </w:numPr>
        <w:jc w:val="both"/>
        <w:rPr>
          <w:rFonts w:ascii="Arial" w:hAnsi="Arial" w:cs="Arial"/>
          <w:sz w:val="22"/>
        </w:rPr>
      </w:pPr>
      <w:r w:rsidRPr="00C534A9">
        <w:rPr>
          <w:rFonts w:ascii="Arial" w:hAnsi="Arial" w:cs="Arial"/>
          <w:sz w:val="22"/>
        </w:rPr>
        <w:t xml:space="preserve">Estimate the economic costs of the sub-project (Section </w:t>
      </w:r>
      <w:r w:rsidR="007A76B8" w:rsidRPr="00C534A9">
        <w:rPr>
          <w:rFonts w:ascii="Arial" w:hAnsi="Arial" w:cs="Arial"/>
          <w:sz w:val="22"/>
        </w:rPr>
        <w:t>5</w:t>
      </w:r>
      <w:r w:rsidRPr="00C534A9">
        <w:rPr>
          <w:rFonts w:ascii="Arial" w:hAnsi="Arial" w:cs="Arial"/>
          <w:sz w:val="22"/>
        </w:rPr>
        <w:t>.1.1)</w:t>
      </w:r>
    </w:p>
    <w:p w:rsidR="006B6437" w:rsidRPr="00C534A9" w:rsidRDefault="006B6437" w:rsidP="00C534A9">
      <w:pPr>
        <w:pStyle w:val="ListParagraph"/>
        <w:numPr>
          <w:ilvl w:val="0"/>
          <w:numId w:val="36"/>
        </w:numPr>
        <w:jc w:val="both"/>
        <w:rPr>
          <w:rFonts w:ascii="Arial" w:hAnsi="Arial" w:cs="Arial"/>
          <w:sz w:val="22"/>
        </w:rPr>
      </w:pPr>
      <w:r w:rsidRPr="00C534A9">
        <w:rPr>
          <w:rFonts w:ascii="Arial" w:hAnsi="Arial" w:cs="Arial"/>
          <w:sz w:val="22"/>
        </w:rPr>
        <w:t>Estimate the economic benefits of the sub-project (Section</w:t>
      </w:r>
      <w:r w:rsidR="007A76B8" w:rsidRPr="00C534A9">
        <w:rPr>
          <w:rFonts w:ascii="Arial" w:hAnsi="Arial" w:cs="Arial"/>
          <w:sz w:val="22"/>
        </w:rPr>
        <w:t xml:space="preserve"> 5</w:t>
      </w:r>
      <w:r w:rsidRPr="00C534A9">
        <w:rPr>
          <w:rFonts w:ascii="Arial" w:hAnsi="Arial" w:cs="Arial"/>
          <w:sz w:val="22"/>
        </w:rPr>
        <w:t>.1.2)</w:t>
      </w:r>
    </w:p>
    <w:p w:rsidR="006B6437" w:rsidRPr="00C534A9" w:rsidRDefault="006B6437" w:rsidP="00C534A9">
      <w:pPr>
        <w:pStyle w:val="ListParagraph"/>
        <w:numPr>
          <w:ilvl w:val="0"/>
          <w:numId w:val="36"/>
        </w:numPr>
        <w:jc w:val="both"/>
        <w:rPr>
          <w:rFonts w:ascii="Arial" w:hAnsi="Arial" w:cs="Arial"/>
          <w:sz w:val="22"/>
        </w:rPr>
      </w:pPr>
      <w:r w:rsidRPr="00C534A9">
        <w:rPr>
          <w:rFonts w:ascii="Arial" w:hAnsi="Arial" w:cs="Arial"/>
          <w:sz w:val="22"/>
        </w:rPr>
        <w:t>Estimate the present value of the sub-project’s net economic benefits (Section</w:t>
      </w:r>
      <w:r w:rsidR="008A1DD9" w:rsidRPr="00C534A9">
        <w:rPr>
          <w:rFonts w:ascii="Arial" w:hAnsi="Arial" w:cs="Arial"/>
          <w:sz w:val="22"/>
        </w:rPr>
        <w:t xml:space="preserve"> 5.1.3</w:t>
      </w:r>
      <w:r w:rsidRPr="00C534A9">
        <w:rPr>
          <w:rFonts w:ascii="Arial" w:hAnsi="Arial" w:cs="Arial"/>
          <w:sz w:val="22"/>
        </w:rPr>
        <w:t>).</w:t>
      </w:r>
    </w:p>
    <w:p w:rsidR="006B6437" w:rsidRPr="00C534A9" w:rsidRDefault="006B6437" w:rsidP="00C534A9">
      <w:pPr>
        <w:jc w:val="both"/>
        <w:rPr>
          <w:rFonts w:ascii="Arial" w:hAnsi="Arial" w:cs="Arial"/>
          <w:sz w:val="22"/>
        </w:rPr>
      </w:pPr>
      <w:r w:rsidRPr="00C534A9">
        <w:rPr>
          <w:rFonts w:ascii="Arial" w:hAnsi="Arial" w:cs="Arial"/>
          <w:sz w:val="22"/>
        </w:rPr>
        <w:t xml:space="preserve">Each of these steps and the assumptions used in their calculation (Section </w:t>
      </w:r>
      <w:r w:rsidR="007A76B8" w:rsidRPr="00C534A9">
        <w:rPr>
          <w:rFonts w:ascii="Arial" w:hAnsi="Arial" w:cs="Arial"/>
          <w:sz w:val="22"/>
        </w:rPr>
        <w:t>5</w:t>
      </w:r>
      <w:r w:rsidRPr="00C534A9">
        <w:rPr>
          <w:rFonts w:ascii="Arial" w:hAnsi="Arial" w:cs="Arial"/>
          <w:sz w:val="22"/>
        </w:rPr>
        <w:t>.1.4) are described in more detail below:</w:t>
      </w:r>
    </w:p>
    <w:p w:rsidR="006B6437" w:rsidRPr="00C534A9" w:rsidRDefault="006B6437" w:rsidP="00C534A9">
      <w:pPr>
        <w:pStyle w:val="Heading3"/>
        <w:jc w:val="both"/>
        <w:rPr>
          <w:rFonts w:ascii="Arial" w:hAnsi="Arial" w:cs="Arial"/>
          <w:sz w:val="22"/>
        </w:rPr>
      </w:pPr>
      <w:bookmarkStart w:id="101" w:name="_Toc464551513"/>
      <w:r w:rsidRPr="00C534A9">
        <w:rPr>
          <w:rFonts w:ascii="Arial" w:hAnsi="Arial" w:cs="Arial"/>
          <w:sz w:val="22"/>
        </w:rPr>
        <w:t xml:space="preserve">Economic costs of the </w:t>
      </w:r>
      <w:r w:rsidR="00AA4E6F" w:rsidRPr="00C534A9">
        <w:rPr>
          <w:rFonts w:ascii="Arial" w:hAnsi="Arial" w:cs="Arial"/>
          <w:sz w:val="22"/>
        </w:rPr>
        <w:t>PV system</w:t>
      </w:r>
      <w:r w:rsidRPr="00C534A9">
        <w:rPr>
          <w:rFonts w:ascii="Arial" w:hAnsi="Arial" w:cs="Arial"/>
          <w:sz w:val="22"/>
        </w:rPr>
        <w:t xml:space="preserve"> sub-project</w:t>
      </w:r>
      <w:bookmarkEnd w:id="101"/>
    </w:p>
    <w:p w:rsidR="006B6437" w:rsidRPr="00C534A9" w:rsidRDefault="006B6437" w:rsidP="00C534A9">
      <w:pPr>
        <w:jc w:val="both"/>
        <w:rPr>
          <w:rFonts w:ascii="Arial" w:hAnsi="Arial" w:cs="Arial"/>
          <w:sz w:val="22"/>
        </w:rPr>
      </w:pPr>
      <w:r w:rsidRPr="00C534A9">
        <w:rPr>
          <w:rFonts w:ascii="Arial" w:hAnsi="Arial" w:cs="Arial"/>
          <w:sz w:val="22"/>
        </w:rPr>
        <w:t xml:space="preserve">The economic costs of the </w:t>
      </w:r>
      <w:r w:rsidR="00AA4E6F" w:rsidRPr="00C534A9">
        <w:rPr>
          <w:rFonts w:ascii="Arial" w:hAnsi="Arial" w:cs="Arial"/>
          <w:sz w:val="22"/>
        </w:rPr>
        <w:t>PV system</w:t>
      </w:r>
      <w:r w:rsidRPr="00C534A9">
        <w:rPr>
          <w:rFonts w:ascii="Arial" w:hAnsi="Arial" w:cs="Arial"/>
          <w:sz w:val="22"/>
        </w:rPr>
        <w:t xml:space="preserve"> sub-project include:</w:t>
      </w:r>
    </w:p>
    <w:p w:rsidR="006B6437" w:rsidRPr="00C534A9" w:rsidRDefault="006B6437" w:rsidP="00C534A9">
      <w:pPr>
        <w:pStyle w:val="ListParagraph"/>
        <w:numPr>
          <w:ilvl w:val="0"/>
          <w:numId w:val="35"/>
        </w:numPr>
        <w:jc w:val="both"/>
        <w:rPr>
          <w:rFonts w:ascii="Arial" w:hAnsi="Arial" w:cs="Arial"/>
          <w:sz w:val="22"/>
        </w:rPr>
      </w:pPr>
      <w:r w:rsidRPr="00C534A9">
        <w:rPr>
          <w:rFonts w:ascii="Arial" w:hAnsi="Arial" w:cs="Arial"/>
          <w:b/>
          <w:sz w:val="22"/>
        </w:rPr>
        <w:t>Capital Expenditures (Capex)</w:t>
      </w:r>
      <w:r w:rsidRPr="00C534A9">
        <w:rPr>
          <w:rFonts w:ascii="Arial" w:hAnsi="Arial" w:cs="Arial"/>
          <w:sz w:val="22"/>
        </w:rPr>
        <w:t xml:space="preserve">—these are the capital investments needed to complete the sub-project. </w:t>
      </w:r>
      <w:r w:rsidR="009F2643" w:rsidRPr="00C534A9">
        <w:rPr>
          <w:rFonts w:ascii="Arial" w:hAnsi="Arial" w:cs="Arial"/>
          <w:sz w:val="22"/>
        </w:rPr>
        <w:t>The capital costs</w:t>
      </w:r>
      <w:r w:rsidRPr="00C534A9">
        <w:rPr>
          <w:rFonts w:ascii="Arial" w:hAnsi="Arial" w:cs="Arial"/>
          <w:sz w:val="22"/>
        </w:rPr>
        <w:t xml:space="preserve"> include the costs for the </w:t>
      </w:r>
      <w:r w:rsidR="00AA4E6F" w:rsidRPr="00C534A9">
        <w:rPr>
          <w:rFonts w:ascii="Arial" w:hAnsi="Arial" w:cs="Arial"/>
          <w:sz w:val="22"/>
        </w:rPr>
        <w:t>PV system</w:t>
      </w:r>
      <w:r w:rsidRPr="00C534A9">
        <w:rPr>
          <w:rFonts w:ascii="Arial" w:hAnsi="Arial" w:cs="Arial"/>
          <w:sz w:val="22"/>
        </w:rPr>
        <w:t xml:space="preserve"> and balance of system, site preparation, </w:t>
      </w:r>
      <w:r w:rsidR="008670B6" w:rsidRPr="00C534A9">
        <w:rPr>
          <w:rFonts w:ascii="Arial" w:hAnsi="Arial" w:cs="Arial"/>
          <w:sz w:val="22"/>
        </w:rPr>
        <w:t>and related infrastructure</w:t>
      </w:r>
      <w:r w:rsidRPr="00C534A9">
        <w:rPr>
          <w:rFonts w:ascii="Arial" w:hAnsi="Arial" w:cs="Arial"/>
          <w:sz w:val="22"/>
        </w:rPr>
        <w:t xml:space="preserve">. NPC provided estimates of the sub-project Capex. </w:t>
      </w:r>
    </w:p>
    <w:p w:rsidR="006B6437" w:rsidRPr="00C534A9" w:rsidRDefault="006B6437" w:rsidP="00C534A9">
      <w:pPr>
        <w:pStyle w:val="Heading3"/>
        <w:jc w:val="both"/>
        <w:rPr>
          <w:rFonts w:ascii="Arial" w:hAnsi="Arial" w:cs="Arial"/>
          <w:sz w:val="22"/>
        </w:rPr>
      </w:pPr>
      <w:bookmarkStart w:id="102" w:name="_Toc464551514"/>
      <w:r w:rsidRPr="00C534A9">
        <w:rPr>
          <w:rFonts w:ascii="Arial" w:hAnsi="Arial" w:cs="Arial"/>
          <w:sz w:val="22"/>
        </w:rPr>
        <w:t xml:space="preserve">Economic benefits of the </w:t>
      </w:r>
      <w:r w:rsidR="00AA4E6F" w:rsidRPr="00C534A9">
        <w:rPr>
          <w:rFonts w:ascii="Arial" w:hAnsi="Arial" w:cs="Arial"/>
          <w:sz w:val="22"/>
        </w:rPr>
        <w:t>PV system</w:t>
      </w:r>
      <w:bookmarkEnd w:id="102"/>
    </w:p>
    <w:p w:rsidR="006B6437" w:rsidRPr="00C534A9" w:rsidRDefault="006B6437" w:rsidP="00C534A9">
      <w:pPr>
        <w:jc w:val="both"/>
        <w:rPr>
          <w:rFonts w:ascii="Arial" w:hAnsi="Arial" w:cs="Arial"/>
          <w:sz w:val="22"/>
        </w:rPr>
      </w:pPr>
      <w:r w:rsidRPr="00C534A9">
        <w:rPr>
          <w:rFonts w:ascii="Arial" w:hAnsi="Arial" w:cs="Arial"/>
          <w:sz w:val="22"/>
        </w:rPr>
        <w:t xml:space="preserve">The economic benefits of the </w:t>
      </w:r>
      <w:r w:rsidR="00AA4E6F" w:rsidRPr="00C534A9">
        <w:rPr>
          <w:rFonts w:ascii="Arial" w:hAnsi="Arial" w:cs="Arial"/>
          <w:sz w:val="22"/>
        </w:rPr>
        <w:t>PV system</w:t>
      </w:r>
      <w:r w:rsidRPr="00C534A9">
        <w:rPr>
          <w:rFonts w:ascii="Arial" w:hAnsi="Arial" w:cs="Arial"/>
          <w:sz w:val="22"/>
        </w:rPr>
        <w:t xml:space="preserve"> sub-project include:</w:t>
      </w:r>
    </w:p>
    <w:p w:rsidR="006B6437" w:rsidRPr="00C534A9" w:rsidRDefault="006B6437" w:rsidP="00C534A9">
      <w:pPr>
        <w:pStyle w:val="ListParagraph"/>
        <w:numPr>
          <w:ilvl w:val="0"/>
          <w:numId w:val="34"/>
        </w:numPr>
        <w:jc w:val="both"/>
        <w:rPr>
          <w:rFonts w:ascii="Arial" w:hAnsi="Arial" w:cs="Arial"/>
          <w:sz w:val="22"/>
        </w:rPr>
      </w:pPr>
      <w:r w:rsidRPr="00C534A9">
        <w:rPr>
          <w:rFonts w:ascii="Arial" w:hAnsi="Arial" w:cs="Arial"/>
          <w:b/>
          <w:sz w:val="22"/>
        </w:rPr>
        <w:t>Savings in generation costs</w:t>
      </w:r>
      <w:r w:rsidRPr="00C534A9">
        <w:rPr>
          <w:rFonts w:ascii="Arial" w:hAnsi="Arial" w:cs="Arial"/>
          <w:sz w:val="22"/>
        </w:rPr>
        <w:t xml:space="preserve">—generating electricity from </w:t>
      </w:r>
      <w:r w:rsidR="007A76B8" w:rsidRPr="00C534A9">
        <w:rPr>
          <w:rFonts w:ascii="Arial" w:hAnsi="Arial" w:cs="Arial"/>
          <w:sz w:val="22"/>
        </w:rPr>
        <w:t>solar</w:t>
      </w:r>
      <w:r w:rsidRPr="00C534A9">
        <w:rPr>
          <w:rFonts w:ascii="Arial" w:hAnsi="Arial" w:cs="Arial"/>
          <w:sz w:val="22"/>
        </w:rPr>
        <w:t xml:space="preserve"> power potentially costs less than generating electricity from fuel oil. Therefore, Barbados will save in generation costs by replacing fuel oil generation with wind generation. </w:t>
      </w:r>
      <w:r w:rsidR="00712B41" w:rsidRPr="00C534A9">
        <w:rPr>
          <w:rFonts w:ascii="Arial" w:hAnsi="Arial" w:cs="Arial"/>
          <w:sz w:val="22"/>
        </w:rPr>
        <w:t xml:space="preserve">The </w:t>
      </w:r>
      <w:r w:rsidRPr="00C534A9">
        <w:rPr>
          <w:rFonts w:ascii="Arial" w:hAnsi="Arial" w:cs="Arial"/>
          <w:sz w:val="22"/>
        </w:rPr>
        <w:t xml:space="preserve">savings to the country </w:t>
      </w:r>
      <w:r w:rsidR="00712B41" w:rsidRPr="00C534A9">
        <w:rPr>
          <w:rFonts w:ascii="Arial" w:hAnsi="Arial" w:cs="Arial"/>
          <w:sz w:val="22"/>
        </w:rPr>
        <w:t xml:space="preserve">were estimated </w:t>
      </w:r>
      <w:r w:rsidRPr="00C534A9">
        <w:rPr>
          <w:rFonts w:ascii="Arial" w:hAnsi="Arial" w:cs="Arial"/>
          <w:sz w:val="22"/>
        </w:rPr>
        <w:t xml:space="preserve">as the difference between the Total Avoided Cost (‘TAC’) of fuel oil generation and the Total Operating Costs (‘TOC’) of wind generation. The TAC is the marginal cost of generating electricity with fuel oil in a diesel generator (the primary electricity generation technology on Barbados). </w:t>
      </w:r>
      <w:r w:rsidR="00AD51DD" w:rsidRPr="00C534A9">
        <w:rPr>
          <w:rFonts w:ascii="Arial" w:hAnsi="Arial" w:cs="Arial"/>
          <w:sz w:val="22"/>
        </w:rPr>
        <w:t>T</w:t>
      </w:r>
      <w:r w:rsidRPr="00C534A9">
        <w:rPr>
          <w:rFonts w:ascii="Arial" w:hAnsi="Arial" w:cs="Arial"/>
          <w:sz w:val="22"/>
        </w:rPr>
        <w:t xml:space="preserve">he following formulas </w:t>
      </w:r>
      <w:r w:rsidR="00AD51DD" w:rsidRPr="00C534A9">
        <w:rPr>
          <w:rFonts w:ascii="Arial" w:hAnsi="Arial" w:cs="Arial"/>
          <w:sz w:val="22"/>
        </w:rPr>
        <w:t xml:space="preserve">were used </w:t>
      </w:r>
      <w:r w:rsidRPr="00C534A9">
        <w:rPr>
          <w:rFonts w:ascii="Arial" w:hAnsi="Arial" w:cs="Arial"/>
          <w:sz w:val="22"/>
        </w:rPr>
        <w:t>to calculate the savings in generation costs:</w:t>
      </w:r>
    </w:p>
    <w:p w:rsidR="006B6437" w:rsidRPr="00C534A9" w:rsidRDefault="006B6437" w:rsidP="00C534A9">
      <w:pPr>
        <w:pStyle w:val="ListBullet"/>
        <w:numPr>
          <w:ilvl w:val="0"/>
          <w:numId w:val="0"/>
        </w:numPr>
        <w:rPr>
          <w:rFonts w:ascii="Arial" w:hAnsi="Arial" w:cs="Arial"/>
          <w:sz w:val="20"/>
          <w:szCs w:val="22"/>
        </w:rPr>
      </w:pPr>
      <m:oMathPara>
        <m:oMath>
          <m:r>
            <w:rPr>
              <w:rFonts w:ascii="Cambria Math" w:hAnsi="Cambria Math" w:cs="Arial"/>
              <w:sz w:val="20"/>
              <w:szCs w:val="22"/>
            </w:rPr>
            <m:t xml:space="preserve">TAC </m:t>
          </m:r>
          <m:d>
            <m:dPr>
              <m:ctrlPr>
                <w:rPr>
                  <w:rFonts w:ascii="Cambria Math" w:hAnsi="Cambria Math" w:cs="Arial"/>
                  <w:i/>
                  <w:sz w:val="20"/>
                  <w:szCs w:val="22"/>
                </w:rPr>
              </m:ctrlPr>
            </m:dPr>
            <m:e>
              <m:r>
                <w:rPr>
                  <w:rFonts w:ascii="Cambria Math" w:hAnsi="Cambria Math" w:cs="Arial"/>
                  <w:sz w:val="20"/>
                  <w:szCs w:val="22"/>
                </w:rPr>
                <m:t>US$</m:t>
              </m:r>
            </m:e>
          </m:d>
          <m:r>
            <w:rPr>
              <w:rFonts w:ascii="Cambria Math" w:hAnsi="Cambria Math" w:cs="Arial"/>
              <w:sz w:val="20"/>
              <w:szCs w:val="22"/>
            </w:rPr>
            <m:t xml:space="preserve">=Avoided Cost of Fuel Oil Generation </m:t>
          </m:r>
          <m:d>
            <m:dPr>
              <m:ctrlPr>
                <w:rPr>
                  <w:rFonts w:ascii="Cambria Math" w:hAnsi="Cambria Math" w:cs="Arial"/>
                  <w:i/>
                  <w:sz w:val="20"/>
                  <w:szCs w:val="22"/>
                </w:rPr>
              </m:ctrlPr>
            </m:dPr>
            <m:e>
              <m:f>
                <m:fPr>
                  <m:ctrlPr>
                    <w:rPr>
                      <w:rFonts w:ascii="Cambria Math" w:hAnsi="Cambria Math" w:cs="Arial"/>
                      <w:i/>
                      <w:sz w:val="20"/>
                      <w:szCs w:val="22"/>
                    </w:rPr>
                  </m:ctrlPr>
                </m:fPr>
                <m:num>
                  <m:r>
                    <w:rPr>
                      <w:rFonts w:ascii="Cambria Math" w:hAnsi="Cambria Math" w:cs="Arial"/>
                      <w:sz w:val="20"/>
                      <w:szCs w:val="22"/>
                    </w:rPr>
                    <m:t>US$</m:t>
                  </m:r>
                </m:num>
                <m:den>
                  <m:r>
                    <w:rPr>
                      <w:rFonts w:ascii="Cambria Math" w:hAnsi="Cambria Math" w:cs="Arial"/>
                      <w:sz w:val="20"/>
                      <w:szCs w:val="22"/>
                    </w:rPr>
                    <m:t>kWh</m:t>
                  </m:r>
                </m:den>
              </m:f>
            </m:e>
          </m:d>
          <m:r>
            <w:rPr>
              <w:rFonts w:ascii="Cambria Math" w:hAnsi="Cambria Math" w:cs="Arial"/>
              <w:sz w:val="20"/>
              <w:szCs w:val="22"/>
            </w:rPr>
            <m:t>×Generation from Solar (kWh)</m:t>
          </m:r>
        </m:oMath>
      </m:oMathPara>
    </w:p>
    <w:p w:rsidR="006B6437" w:rsidRPr="00C534A9" w:rsidRDefault="006B6437" w:rsidP="00C534A9">
      <w:pPr>
        <w:pStyle w:val="ListBullet"/>
        <w:numPr>
          <w:ilvl w:val="0"/>
          <w:numId w:val="0"/>
        </w:numPr>
        <w:ind w:firstLine="720"/>
        <w:rPr>
          <w:rFonts w:ascii="Arial" w:hAnsi="Arial" w:cs="Arial"/>
          <w:sz w:val="20"/>
          <w:szCs w:val="22"/>
        </w:rPr>
      </w:pPr>
      <m:oMathPara>
        <m:oMath>
          <m:r>
            <w:rPr>
              <w:rFonts w:ascii="Cambria Math" w:hAnsi="Cambria Math" w:cs="Arial"/>
              <w:sz w:val="20"/>
              <w:szCs w:val="22"/>
            </w:rPr>
            <m:t xml:space="preserve">Avoided Cost of Fuel Oil Generation </m:t>
          </m:r>
          <m:d>
            <m:dPr>
              <m:ctrlPr>
                <w:rPr>
                  <w:rFonts w:ascii="Cambria Math" w:hAnsi="Cambria Math" w:cs="Arial"/>
                  <w:i/>
                  <w:sz w:val="20"/>
                  <w:szCs w:val="22"/>
                </w:rPr>
              </m:ctrlPr>
            </m:dPr>
            <m:e>
              <m:f>
                <m:fPr>
                  <m:ctrlPr>
                    <w:rPr>
                      <w:rFonts w:ascii="Cambria Math" w:hAnsi="Cambria Math" w:cs="Arial"/>
                      <w:i/>
                      <w:sz w:val="20"/>
                      <w:szCs w:val="22"/>
                    </w:rPr>
                  </m:ctrlPr>
                </m:fPr>
                <m:num>
                  <m:r>
                    <w:rPr>
                      <w:rFonts w:ascii="Cambria Math" w:hAnsi="Cambria Math" w:cs="Arial"/>
                      <w:sz w:val="20"/>
                      <w:szCs w:val="22"/>
                    </w:rPr>
                    <m:t>US$</m:t>
                  </m:r>
                </m:num>
                <m:den>
                  <m:r>
                    <w:rPr>
                      <w:rFonts w:ascii="Cambria Math" w:hAnsi="Cambria Math" w:cs="Arial"/>
                      <w:sz w:val="20"/>
                      <w:szCs w:val="22"/>
                    </w:rPr>
                    <m:t>kWh</m:t>
                  </m:r>
                </m:den>
              </m:f>
            </m:e>
          </m:d>
          <m:r>
            <w:rPr>
              <w:rFonts w:ascii="Cambria Math" w:hAnsi="Cambria Math" w:cs="Arial"/>
              <w:sz w:val="20"/>
              <w:szCs w:val="22"/>
            </w:rPr>
            <m:t>=</m:t>
          </m:r>
          <m:f>
            <m:fPr>
              <m:ctrlPr>
                <w:rPr>
                  <w:rFonts w:ascii="Cambria Math" w:hAnsi="Cambria Math" w:cs="Arial"/>
                  <w:i/>
                  <w:sz w:val="20"/>
                  <w:szCs w:val="22"/>
                </w:rPr>
              </m:ctrlPr>
            </m:fPr>
            <m:num>
              <m:r>
                <w:rPr>
                  <w:rFonts w:ascii="Cambria Math" w:hAnsi="Cambria Math" w:cs="Arial"/>
                  <w:sz w:val="20"/>
                  <w:szCs w:val="22"/>
                </w:rPr>
                <m:t>Total Fuel Cost (US$)</m:t>
              </m:r>
            </m:num>
            <m:den>
              <m:r>
                <w:rPr>
                  <w:rFonts w:ascii="Cambria Math" w:hAnsi="Cambria Math" w:cs="Arial"/>
                  <w:sz w:val="20"/>
                  <w:szCs w:val="22"/>
                </w:rPr>
                <m:t>Total Energy Sold (kWh)</m:t>
              </m:r>
            </m:den>
          </m:f>
        </m:oMath>
      </m:oMathPara>
    </w:p>
    <w:p w:rsidR="006B6437" w:rsidRPr="00C534A9" w:rsidRDefault="006B6437" w:rsidP="00C534A9">
      <w:pPr>
        <w:pStyle w:val="ListBullet"/>
        <w:numPr>
          <w:ilvl w:val="0"/>
          <w:numId w:val="0"/>
        </w:numPr>
        <w:ind w:firstLine="720"/>
        <w:rPr>
          <w:rFonts w:ascii="Arial" w:hAnsi="Arial" w:cs="Arial"/>
          <w:sz w:val="20"/>
          <w:szCs w:val="22"/>
        </w:rPr>
      </w:pPr>
      <m:oMathPara>
        <m:oMath>
          <m:r>
            <w:rPr>
              <w:rFonts w:ascii="Cambria Math" w:hAnsi="Cambria Math" w:cs="Arial"/>
              <w:sz w:val="20"/>
              <w:szCs w:val="22"/>
            </w:rPr>
            <m:t xml:space="preserve">TOC(US$)=Operating Costs from Wind </m:t>
          </m:r>
          <m:d>
            <m:dPr>
              <m:ctrlPr>
                <w:rPr>
                  <w:rFonts w:ascii="Cambria Math" w:hAnsi="Cambria Math" w:cs="Arial"/>
                  <w:i/>
                  <w:sz w:val="20"/>
                  <w:szCs w:val="22"/>
                </w:rPr>
              </m:ctrlPr>
            </m:dPr>
            <m:e>
              <m:f>
                <m:fPr>
                  <m:ctrlPr>
                    <w:rPr>
                      <w:rFonts w:ascii="Cambria Math" w:hAnsi="Cambria Math" w:cs="Arial"/>
                      <w:i/>
                      <w:sz w:val="20"/>
                      <w:szCs w:val="22"/>
                    </w:rPr>
                  </m:ctrlPr>
                </m:fPr>
                <m:num>
                  <m:r>
                    <w:rPr>
                      <w:rFonts w:ascii="Cambria Math" w:hAnsi="Cambria Math" w:cs="Arial"/>
                      <w:sz w:val="20"/>
                      <w:szCs w:val="22"/>
                    </w:rPr>
                    <m:t>US$</m:t>
                  </m:r>
                </m:num>
                <m:den>
                  <m:r>
                    <w:rPr>
                      <w:rFonts w:ascii="Cambria Math" w:hAnsi="Cambria Math" w:cs="Arial"/>
                      <w:sz w:val="20"/>
                      <w:szCs w:val="22"/>
                    </w:rPr>
                    <m:t>kWh</m:t>
                  </m:r>
                </m:den>
              </m:f>
            </m:e>
          </m:d>
          <m:r>
            <w:rPr>
              <w:rFonts w:ascii="Cambria Math" w:hAnsi="Cambria Math" w:cs="Arial"/>
              <w:sz w:val="20"/>
              <w:szCs w:val="22"/>
            </w:rPr>
            <m:t>×Generation from So</m:t>
          </m:r>
          <m:r>
            <w:rPr>
              <w:rFonts w:ascii="Cambria Math" w:hAnsi="Cambria Math" w:cs="Arial"/>
              <w:sz w:val="20"/>
              <w:szCs w:val="22"/>
            </w:rPr>
            <m:t>lar (kWh)</m:t>
          </m:r>
        </m:oMath>
      </m:oMathPara>
    </w:p>
    <w:p w:rsidR="006B6437" w:rsidRPr="00C534A9" w:rsidRDefault="006B6437" w:rsidP="00C534A9">
      <w:pPr>
        <w:pStyle w:val="ListParagraph"/>
        <w:numPr>
          <w:ilvl w:val="0"/>
          <w:numId w:val="33"/>
        </w:numPr>
        <w:jc w:val="both"/>
        <w:rPr>
          <w:rFonts w:ascii="Arial" w:hAnsi="Arial" w:cs="Arial"/>
          <w:sz w:val="22"/>
          <w:szCs w:val="24"/>
        </w:rPr>
      </w:pPr>
      <w:r w:rsidRPr="00C534A9">
        <w:rPr>
          <w:rFonts w:ascii="Arial" w:hAnsi="Arial" w:cs="Arial"/>
          <w:b/>
          <w:sz w:val="22"/>
        </w:rPr>
        <w:t>Reduction in CO</w:t>
      </w:r>
      <w:r w:rsidRPr="00C534A9">
        <w:rPr>
          <w:rFonts w:ascii="Cambria Math" w:hAnsi="Cambria Math" w:cs="Cambria Math"/>
          <w:b/>
          <w:sz w:val="22"/>
        </w:rPr>
        <w:t>₂</w:t>
      </w:r>
      <w:r w:rsidRPr="00C534A9">
        <w:rPr>
          <w:rFonts w:ascii="Arial" w:hAnsi="Arial" w:cs="Arial"/>
          <w:b/>
          <w:sz w:val="22"/>
        </w:rPr>
        <w:t xml:space="preserve"> emissions</w:t>
      </w:r>
      <w:r w:rsidRPr="00C534A9">
        <w:rPr>
          <w:rFonts w:ascii="Arial" w:hAnsi="Arial" w:cs="Arial"/>
          <w:sz w:val="22"/>
        </w:rPr>
        <w:t>—</w:t>
      </w:r>
      <w:r w:rsidRPr="00C534A9">
        <w:rPr>
          <w:rFonts w:ascii="Arial" w:hAnsi="Arial" w:cs="Arial"/>
          <w:sz w:val="22"/>
          <w:szCs w:val="24"/>
        </w:rPr>
        <w:t xml:space="preserve">generating electricity from </w:t>
      </w:r>
      <w:r w:rsidR="00AA4E6F" w:rsidRPr="00C534A9">
        <w:rPr>
          <w:rFonts w:ascii="Arial" w:hAnsi="Arial" w:cs="Arial"/>
          <w:sz w:val="22"/>
          <w:szCs w:val="24"/>
        </w:rPr>
        <w:t>PV system</w:t>
      </w:r>
      <w:r w:rsidR="007A76B8" w:rsidRPr="00C534A9">
        <w:rPr>
          <w:rFonts w:ascii="Arial" w:hAnsi="Arial" w:cs="Arial"/>
          <w:sz w:val="22"/>
          <w:szCs w:val="24"/>
        </w:rPr>
        <w:t>s</w:t>
      </w:r>
      <w:r w:rsidRPr="00C534A9">
        <w:rPr>
          <w:rFonts w:ascii="Arial" w:hAnsi="Arial" w:cs="Arial"/>
          <w:sz w:val="22"/>
          <w:szCs w:val="24"/>
        </w:rPr>
        <w:t xml:space="preserve"> produces less </w:t>
      </w:r>
      <w:r w:rsidRPr="00C534A9">
        <w:rPr>
          <w:rStyle w:val="BodyTextChar"/>
          <w:rFonts w:ascii="Arial" w:hAnsi="Arial" w:cs="Arial"/>
          <w:sz w:val="22"/>
        </w:rPr>
        <w:t>CO</w:t>
      </w:r>
      <w:r w:rsidRPr="00C534A9">
        <w:rPr>
          <w:rStyle w:val="BodyTextChar"/>
          <w:rFonts w:ascii="Cambria Math" w:hAnsi="Cambria Math" w:cs="Cambria Math"/>
          <w:sz w:val="22"/>
        </w:rPr>
        <w:t>₂</w:t>
      </w:r>
      <w:r w:rsidRPr="00C534A9">
        <w:rPr>
          <w:rStyle w:val="BodyTextChar"/>
          <w:rFonts w:ascii="Arial" w:hAnsi="Arial" w:cs="Arial"/>
          <w:sz w:val="22"/>
        </w:rPr>
        <w:t xml:space="preserve"> emissions than generating electricity with fuel oil. </w:t>
      </w:r>
      <w:r w:rsidR="009F2643" w:rsidRPr="00C534A9">
        <w:rPr>
          <w:rFonts w:ascii="Arial" w:hAnsi="Arial" w:cs="Arial"/>
          <w:sz w:val="22"/>
          <w:szCs w:val="24"/>
        </w:rPr>
        <w:t>T</w:t>
      </w:r>
      <w:r w:rsidRPr="00C534A9">
        <w:rPr>
          <w:rFonts w:ascii="Arial" w:hAnsi="Arial" w:cs="Arial"/>
          <w:sz w:val="22"/>
          <w:szCs w:val="24"/>
        </w:rPr>
        <w:t>he economic benefit of the re</w:t>
      </w:r>
      <w:r w:rsidRPr="00C534A9">
        <w:rPr>
          <w:rStyle w:val="BodyTextChar"/>
          <w:rFonts w:ascii="Arial" w:hAnsi="Arial" w:cs="Arial"/>
          <w:sz w:val="22"/>
        </w:rPr>
        <w:t>duction in CO</w:t>
      </w:r>
      <w:r w:rsidRPr="00C534A9">
        <w:rPr>
          <w:rStyle w:val="BodyTextChar"/>
          <w:rFonts w:ascii="Cambria Math" w:hAnsi="Cambria Math" w:cs="Cambria Math"/>
          <w:sz w:val="22"/>
        </w:rPr>
        <w:t>₂</w:t>
      </w:r>
      <w:r w:rsidRPr="00C534A9">
        <w:rPr>
          <w:rFonts w:ascii="Arial" w:hAnsi="Arial" w:cs="Arial"/>
          <w:sz w:val="22"/>
          <w:szCs w:val="24"/>
        </w:rPr>
        <w:t xml:space="preserve"> emissions</w:t>
      </w:r>
      <w:r w:rsidRPr="00C534A9">
        <w:rPr>
          <w:rFonts w:ascii="Arial" w:hAnsi="Arial" w:cs="Arial"/>
          <w:b/>
          <w:sz w:val="22"/>
          <w:szCs w:val="24"/>
        </w:rPr>
        <w:t xml:space="preserve"> </w:t>
      </w:r>
      <w:r w:rsidR="009F2643" w:rsidRPr="00C534A9">
        <w:rPr>
          <w:rFonts w:ascii="Arial" w:hAnsi="Arial" w:cs="Arial"/>
          <w:sz w:val="22"/>
          <w:szCs w:val="24"/>
        </w:rPr>
        <w:t>was calculated</w:t>
      </w:r>
      <w:r w:rsidR="009F2643" w:rsidRPr="00C534A9">
        <w:rPr>
          <w:rFonts w:ascii="Arial" w:hAnsi="Arial" w:cs="Arial"/>
          <w:b/>
          <w:sz w:val="22"/>
          <w:szCs w:val="24"/>
        </w:rPr>
        <w:t xml:space="preserve"> </w:t>
      </w:r>
      <w:r w:rsidRPr="00C534A9">
        <w:rPr>
          <w:rFonts w:ascii="Arial" w:hAnsi="Arial" w:cs="Arial"/>
          <w:sz w:val="22"/>
          <w:szCs w:val="24"/>
        </w:rPr>
        <w:t>as the product of the expected reduction in CO</w:t>
      </w:r>
      <w:r w:rsidRPr="00C534A9">
        <w:rPr>
          <w:rFonts w:ascii="Cambria Math" w:hAnsi="Cambria Math" w:cs="Cambria Math"/>
          <w:sz w:val="22"/>
          <w:szCs w:val="24"/>
        </w:rPr>
        <w:t>₂</w:t>
      </w:r>
      <w:r w:rsidRPr="00C534A9">
        <w:rPr>
          <w:rFonts w:ascii="Arial" w:hAnsi="Arial" w:cs="Arial"/>
          <w:sz w:val="22"/>
          <w:szCs w:val="24"/>
        </w:rPr>
        <w:t xml:space="preserve"> emissions and the social cost of CO</w:t>
      </w:r>
      <w:r w:rsidRPr="00C534A9">
        <w:rPr>
          <w:rFonts w:ascii="Cambria Math" w:hAnsi="Cambria Math" w:cs="Cambria Math"/>
          <w:sz w:val="22"/>
          <w:szCs w:val="24"/>
        </w:rPr>
        <w:t>₂</w:t>
      </w:r>
      <w:r w:rsidRPr="00C534A9">
        <w:rPr>
          <w:rFonts w:ascii="Arial" w:hAnsi="Arial" w:cs="Arial"/>
          <w:sz w:val="22"/>
          <w:szCs w:val="24"/>
        </w:rPr>
        <w:t xml:space="preserve"> emissions. The expected reduction in CO</w:t>
      </w:r>
      <w:r w:rsidRPr="00C534A9">
        <w:rPr>
          <w:rFonts w:ascii="Cambria Math" w:hAnsi="Cambria Math" w:cs="Cambria Math"/>
          <w:sz w:val="22"/>
          <w:szCs w:val="24"/>
        </w:rPr>
        <w:t>₂</w:t>
      </w:r>
      <w:r w:rsidRPr="00C534A9">
        <w:rPr>
          <w:rFonts w:ascii="Arial" w:hAnsi="Arial" w:cs="Arial"/>
          <w:sz w:val="22"/>
          <w:szCs w:val="24"/>
        </w:rPr>
        <w:t xml:space="preserve"> emissions is the product of the CO</w:t>
      </w:r>
      <w:r w:rsidRPr="00C534A9">
        <w:rPr>
          <w:rFonts w:ascii="Cambria Math" w:hAnsi="Cambria Math" w:cs="Cambria Math"/>
          <w:sz w:val="22"/>
          <w:szCs w:val="24"/>
        </w:rPr>
        <w:t>₂</w:t>
      </w:r>
      <w:r w:rsidRPr="00C534A9">
        <w:rPr>
          <w:rFonts w:ascii="Arial" w:hAnsi="Arial" w:cs="Arial"/>
          <w:sz w:val="22"/>
          <w:szCs w:val="24"/>
        </w:rPr>
        <w:t xml:space="preserve"> emissions per unit of electricity produced from fuel oil and the units of electricity produced from geothermal generation.</w:t>
      </w:r>
    </w:p>
    <w:p w:rsidR="006B6437" w:rsidRPr="00C534A9" w:rsidRDefault="006B6437" w:rsidP="00C534A9">
      <w:pPr>
        <w:pStyle w:val="Heading3"/>
        <w:jc w:val="both"/>
        <w:rPr>
          <w:rFonts w:ascii="Arial" w:hAnsi="Arial" w:cs="Arial"/>
          <w:sz w:val="22"/>
        </w:rPr>
      </w:pPr>
      <w:bookmarkStart w:id="103" w:name="_Toc464551515"/>
      <w:r w:rsidRPr="00C534A9">
        <w:rPr>
          <w:rFonts w:ascii="Arial" w:hAnsi="Arial" w:cs="Arial"/>
          <w:sz w:val="22"/>
        </w:rPr>
        <w:t xml:space="preserve">Net Economic Benefits of the </w:t>
      </w:r>
      <w:r w:rsidR="00AA4E6F" w:rsidRPr="00C534A9">
        <w:rPr>
          <w:rFonts w:ascii="Arial" w:hAnsi="Arial" w:cs="Arial"/>
          <w:sz w:val="22"/>
        </w:rPr>
        <w:t>PV system</w:t>
      </w:r>
      <w:r w:rsidRPr="00C534A9">
        <w:rPr>
          <w:rFonts w:ascii="Arial" w:hAnsi="Arial" w:cs="Arial"/>
          <w:sz w:val="22"/>
        </w:rPr>
        <w:t xml:space="preserve"> sub-project</w:t>
      </w:r>
      <w:bookmarkEnd w:id="103"/>
    </w:p>
    <w:p w:rsidR="006B6437" w:rsidRPr="00C534A9" w:rsidRDefault="006B6437" w:rsidP="00C534A9">
      <w:pPr>
        <w:jc w:val="both"/>
        <w:rPr>
          <w:rFonts w:ascii="Arial" w:hAnsi="Arial" w:cs="Arial"/>
          <w:sz w:val="22"/>
        </w:rPr>
      </w:pPr>
      <w:r w:rsidRPr="00C534A9">
        <w:rPr>
          <w:rFonts w:ascii="Arial" w:hAnsi="Arial" w:cs="Arial"/>
          <w:sz w:val="22"/>
        </w:rPr>
        <w:t>After estimat</w:t>
      </w:r>
      <w:r w:rsidR="00712B41" w:rsidRPr="00C534A9">
        <w:rPr>
          <w:rFonts w:ascii="Arial" w:hAnsi="Arial" w:cs="Arial"/>
          <w:sz w:val="22"/>
        </w:rPr>
        <w:t>ing</w:t>
      </w:r>
      <w:r w:rsidRPr="00C534A9">
        <w:rPr>
          <w:rFonts w:ascii="Arial" w:hAnsi="Arial" w:cs="Arial"/>
          <w:sz w:val="22"/>
        </w:rPr>
        <w:t xml:space="preserve"> the </w:t>
      </w:r>
      <w:r w:rsidR="00AA4E6F" w:rsidRPr="00C534A9">
        <w:rPr>
          <w:rFonts w:ascii="Arial" w:hAnsi="Arial" w:cs="Arial"/>
          <w:sz w:val="22"/>
        </w:rPr>
        <w:t>PV system</w:t>
      </w:r>
      <w:r w:rsidRPr="00C534A9">
        <w:rPr>
          <w:rFonts w:ascii="Arial" w:hAnsi="Arial" w:cs="Arial"/>
          <w:sz w:val="22"/>
        </w:rPr>
        <w:t xml:space="preserve"> sub-project’s economic costs and benefits, the next step was to calculate the </w:t>
      </w:r>
      <w:r w:rsidR="00AA4E6F" w:rsidRPr="00C534A9">
        <w:rPr>
          <w:rFonts w:ascii="Arial" w:hAnsi="Arial" w:cs="Arial"/>
          <w:sz w:val="22"/>
        </w:rPr>
        <w:t>PV system</w:t>
      </w:r>
      <w:r w:rsidRPr="00C534A9">
        <w:rPr>
          <w:rFonts w:ascii="Arial" w:hAnsi="Arial" w:cs="Arial"/>
          <w:sz w:val="22"/>
        </w:rPr>
        <w:t xml:space="preserve">’s NPV. This was accomplished by subtracting the present value of the </w:t>
      </w:r>
      <w:r w:rsidR="00AA4E6F" w:rsidRPr="00C534A9">
        <w:rPr>
          <w:rFonts w:ascii="Arial" w:hAnsi="Arial" w:cs="Arial"/>
          <w:sz w:val="22"/>
        </w:rPr>
        <w:t>PV system</w:t>
      </w:r>
      <w:r w:rsidRPr="00C534A9">
        <w:rPr>
          <w:rFonts w:ascii="Arial" w:hAnsi="Arial" w:cs="Arial"/>
          <w:sz w:val="22"/>
        </w:rPr>
        <w:t xml:space="preserve">’s costs from the present value of the </w:t>
      </w:r>
      <w:r w:rsidR="00AA4E6F" w:rsidRPr="00C534A9">
        <w:rPr>
          <w:rFonts w:ascii="Arial" w:hAnsi="Arial" w:cs="Arial"/>
          <w:sz w:val="22"/>
        </w:rPr>
        <w:t>PV system</w:t>
      </w:r>
      <w:r w:rsidRPr="00C534A9">
        <w:rPr>
          <w:rFonts w:ascii="Arial" w:hAnsi="Arial" w:cs="Arial"/>
          <w:sz w:val="22"/>
        </w:rPr>
        <w:t xml:space="preserve">’s benefits. </w:t>
      </w:r>
      <w:r w:rsidR="00AD51DD" w:rsidRPr="00C534A9">
        <w:rPr>
          <w:rFonts w:ascii="Arial" w:hAnsi="Arial" w:cs="Arial"/>
          <w:sz w:val="22"/>
        </w:rPr>
        <w:t>T</w:t>
      </w:r>
      <w:r w:rsidRPr="00C534A9">
        <w:rPr>
          <w:rFonts w:ascii="Arial" w:hAnsi="Arial" w:cs="Arial"/>
          <w:sz w:val="22"/>
        </w:rPr>
        <w:t xml:space="preserve">he present value of the </w:t>
      </w:r>
      <w:r w:rsidR="00AA4E6F" w:rsidRPr="00C534A9">
        <w:rPr>
          <w:rFonts w:ascii="Arial" w:hAnsi="Arial" w:cs="Arial"/>
          <w:sz w:val="22"/>
        </w:rPr>
        <w:t>PV system</w:t>
      </w:r>
      <w:r w:rsidRPr="00C534A9">
        <w:rPr>
          <w:rFonts w:ascii="Arial" w:hAnsi="Arial" w:cs="Arial"/>
          <w:sz w:val="22"/>
        </w:rPr>
        <w:t xml:space="preserve">’s costs and </w:t>
      </w:r>
      <w:proofErr w:type="gramStart"/>
      <w:r w:rsidRPr="00C534A9">
        <w:rPr>
          <w:rFonts w:ascii="Arial" w:hAnsi="Arial" w:cs="Arial"/>
          <w:sz w:val="22"/>
        </w:rPr>
        <w:t>benefits,</w:t>
      </w:r>
      <w:proofErr w:type="gramEnd"/>
      <w:r w:rsidRPr="00C534A9">
        <w:rPr>
          <w:rFonts w:ascii="Arial" w:hAnsi="Arial" w:cs="Arial"/>
          <w:sz w:val="22"/>
        </w:rPr>
        <w:t xml:space="preserve"> </w:t>
      </w:r>
      <w:r w:rsidR="00AD51DD" w:rsidRPr="00C534A9">
        <w:rPr>
          <w:rFonts w:ascii="Arial" w:hAnsi="Arial" w:cs="Arial"/>
          <w:sz w:val="22"/>
        </w:rPr>
        <w:t>was determined using</w:t>
      </w:r>
      <w:r w:rsidRPr="00C534A9">
        <w:rPr>
          <w:rFonts w:ascii="Arial" w:hAnsi="Arial" w:cs="Arial"/>
          <w:sz w:val="22"/>
        </w:rPr>
        <w:t xml:space="preserve"> a social discount rate of 12 percent (in real terms). If the present value of the </w:t>
      </w:r>
      <w:r w:rsidR="00AA4E6F" w:rsidRPr="00C534A9">
        <w:rPr>
          <w:rFonts w:ascii="Arial" w:hAnsi="Arial" w:cs="Arial"/>
          <w:sz w:val="22"/>
        </w:rPr>
        <w:t>PV system</w:t>
      </w:r>
      <w:r w:rsidRPr="00C534A9">
        <w:rPr>
          <w:rFonts w:ascii="Arial" w:hAnsi="Arial" w:cs="Arial"/>
          <w:sz w:val="22"/>
        </w:rPr>
        <w:t xml:space="preserve"> sub-project’s net benefits is greater than zero, the </w:t>
      </w:r>
      <w:r w:rsidR="00AA4E6F" w:rsidRPr="00C534A9">
        <w:rPr>
          <w:rFonts w:ascii="Arial" w:hAnsi="Arial" w:cs="Arial"/>
          <w:sz w:val="22"/>
        </w:rPr>
        <w:t>PV system</w:t>
      </w:r>
      <w:r w:rsidRPr="00C534A9">
        <w:rPr>
          <w:rFonts w:ascii="Arial" w:hAnsi="Arial" w:cs="Arial"/>
          <w:sz w:val="22"/>
        </w:rPr>
        <w:t xml:space="preserve"> is economically viable.  </w:t>
      </w:r>
    </w:p>
    <w:p w:rsidR="006B6437" w:rsidRPr="00C534A9" w:rsidRDefault="006B6437" w:rsidP="00C534A9">
      <w:pPr>
        <w:pStyle w:val="Heading3"/>
        <w:jc w:val="both"/>
        <w:rPr>
          <w:rFonts w:ascii="Arial" w:hAnsi="Arial" w:cs="Arial"/>
          <w:sz w:val="22"/>
        </w:rPr>
      </w:pPr>
      <w:bookmarkStart w:id="104" w:name="_Toc464551516"/>
      <w:r w:rsidRPr="00C534A9">
        <w:rPr>
          <w:rFonts w:ascii="Arial" w:hAnsi="Arial" w:cs="Arial"/>
          <w:sz w:val="22"/>
        </w:rPr>
        <w:t xml:space="preserve">Assumptions for the </w:t>
      </w:r>
      <w:r w:rsidR="00AA4E6F" w:rsidRPr="00C534A9">
        <w:rPr>
          <w:rFonts w:ascii="Arial" w:hAnsi="Arial" w:cs="Arial"/>
          <w:sz w:val="22"/>
        </w:rPr>
        <w:t>PV system</w:t>
      </w:r>
      <w:r w:rsidRPr="00C534A9">
        <w:rPr>
          <w:rFonts w:ascii="Arial" w:hAnsi="Arial" w:cs="Arial"/>
          <w:sz w:val="22"/>
        </w:rPr>
        <w:t xml:space="preserve"> sub-project</w:t>
      </w:r>
      <w:bookmarkEnd w:id="104"/>
    </w:p>
    <w:p w:rsidR="006B6437" w:rsidRPr="00C534A9" w:rsidRDefault="006B6437" w:rsidP="00C534A9">
      <w:pPr>
        <w:jc w:val="both"/>
        <w:rPr>
          <w:rFonts w:ascii="Arial" w:hAnsi="Arial" w:cs="Arial"/>
          <w:sz w:val="22"/>
        </w:rPr>
      </w:pPr>
      <w:r w:rsidRPr="00C534A9">
        <w:rPr>
          <w:rFonts w:ascii="Arial" w:hAnsi="Arial" w:cs="Arial"/>
          <w:sz w:val="22"/>
        </w:rPr>
        <w:t xml:space="preserve">To determine the sub-project’s net benefits, the </w:t>
      </w:r>
      <w:r w:rsidR="00AA4E6F" w:rsidRPr="00C534A9">
        <w:rPr>
          <w:rFonts w:ascii="Arial" w:hAnsi="Arial" w:cs="Arial"/>
          <w:sz w:val="22"/>
        </w:rPr>
        <w:t>PV system</w:t>
      </w:r>
      <w:r w:rsidRPr="00C534A9">
        <w:rPr>
          <w:rFonts w:ascii="Arial" w:hAnsi="Arial" w:cs="Arial"/>
          <w:sz w:val="22"/>
        </w:rPr>
        <w:t>’s annual economic costs and benefits for a period of 25years</w:t>
      </w:r>
      <w:r w:rsidR="00712B41" w:rsidRPr="00C534A9">
        <w:rPr>
          <w:rFonts w:ascii="Arial" w:hAnsi="Arial" w:cs="Arial"/>
          <w:sz w:val="22"/>
        </w:rPr>
        <w:t xml:space="preserve"> were estimated</w:t>
      </w:r>
      <w:r w:rsidRPr="00C534A9">
        <w:rPr>
          <w:rFonts w:ascii="Arial" w:hAnsi="Arial" w:cs="Arial"/>
          <w:sz w:val="22"/>
        </w:rPr>
        <w:t xml:space="preserve">. </w:t>
      </w:r>
      <w:r w:rsidRPr="00C534A9">
        <w:rPr>
          <w:rFonts w:ascii="Arial" w:hAnsi="Arial" w:cs="Arial"/>
          <w:sz w:val="22"/>
        </w:rPr>
        <w:fldChar w:fldCharType="begin"/>
      </w:r>
      <w:r w:rsidRPr="00C534A9">
        <w:rPr>
          <w:rFonts w:ascii="Arial" w:hAnsi="Arial" w:cs="Arial"/>
          <w:sz w:val="22"/>
        </w:rPr>
        <w:instrText xml:space="preserve"> REF _Ref406057891 \h  \* MERGEFORMAT </w:instrText>
      </w:r>
      <w:r w:rsidRPr="00C534A9">
        <w:rPr>
          <w:rFonts w:ascii="Arial" w:hAnsi="Arial" w:cs="Arial"/>
          <w:sz w:val="22"/>
        </w:rPr>
      </w:r>
      <w:r w:rsidRPr="00C534A9">
        <w:rPr>
          <w:rFonts w:ascii="Arial" w:hAnsi="Arial" w:cs="Arial"/>
          <w:sz w:val="22"/>
        </w:rPr>
        <w:fldChar w:fldCharType="separate"/>
      </w:r>
      <w:r w:rsidR="003F3D75" w:rsidRPr="00C534A9">
        <w:rPr>
          <w:rFonts w:ascii="Arial" w:hAnsi="Arial" w:cs="Arial"/>
          <w:sz w:val="22"/>
        </w:rPr>
        <w:t xml:space="preserve">Table </w:t>
      </w:r>
      <w:r w:rsidR="00006A8B" w:rsidRPr="00C534A9">
        <w:rPr>
          <w:rFonts w:ascii="Arial" w:hAnsi="Arial" w:cs="Arial"/>
          <w:sz w:val="22"/>
        </w:rPr>
        <w:t>5</w:t>
      </w:r>
      <w:r w:rsidR="003F3D75" w:rsidRPr="00C534A9">
        <w:rPr>
          <w:rFonts w:ascii="Arial" w:hAnsi="Arial" w:cs="Arial"/>
          <w:sz w:val="22"/>
        </w:rPr>
        <w:t>.1</w:t>
      </w:r>
      <w:r w:rsidRPr="00C534A9">
        <w:rPr>
          <w:rFonts w:ascii="Arial" w:hAnsi="Arial" w:cs="Arial"/>
          <w:sz w:val="22"/>
        </w:rPr>
        <w:fldChar w:fldCharType="end"/>
      </w:r>
      <w:r w:rsidRPr="00C534A9">
        <w:rPr>
          <w:rFonts w:ascii="Arial" w:hAnsi="Arial" w:cs="Arial"/>
          <w:sz w:val="22"/>
        </w:rPr>
        <w:t xml:space="preserve"> presents the assumptions used to calculate the </w:t>
      </w:r>
      <w:r w:rsidR="00AA4E6F" w:rsidRPr="00C534A9">
        <w:rPr>
          <w:rFonts w:ascii="Arial" w:hAnsi="Arial" w:cs="Arial"/>
          <w:sz w:val="22"/>
        </w:rPr>
        <w:t>PV system</w:t>
      </w:r>
      <w:r w:rsidRPr="00C534A9">
        <w:rPr>
          <w:rFonts w:ascii="Arial" w:hAnsi="Arial" w:cs="Arial"/>
          <w:sz w:val="22"/>
        </w:rPr>
        <w:t xml:space="preserve">’s economic costs and benefits. </w:t>
      </w:r>
    </w:p>
    <w:p w:rsidR="006B6437" w:rsidRPr="00C534A9" w:rsidRDefault="006B6437" w:rsidP="00C534A9">
      <w:pPr>
        <w:pStyle w:val="Caption"/>
        <w:jc w:val="both"/>
        <w:rPr>
          <w:rFonts w:ascii="Arial" w:hAnsi="Arial" w:cs="Arial"/>
          <w:sz w:val="22"/>
        </w:rPr>
      </w:pPr>
      <w:bookmarkStart w:id="105" w:name="_Toc463508485"/>
      <w:bookmarkStart w:id="106" w:name="_Toc463508981"/>
      <w:proofErr w:type="gramStart"/>
      <w:r w:rsidRPr="00C534A9">
        <w:rPr>
          <w:rFonts w:ascii="Arial" w:hAnsi="Arial" w:cs="Arial"/>
          <w:sz w:val="22"/>
        </w:rPr>
        <w:t xml:space="preserve">Table </w:t>
      </w:r>
      <w:r w:rsidR="007A76B8" w:rsidRPr="00C534A9">
        <w:rPr>
          <w:rFonts w:ascii="Arial" w:hAnsi="Arial" w:cs="Arial"/>
          <w:sz w:val="22"/>
        </w:rPr>
        <w:t>5</w:t>
      </w:r>
      <w:r w:rsidRPr="00C534A9">
        <w:rPr>
          <w:rFonts w:ascii="Arial" w:hAnsi="Arial" w:cs="Arial"/>
          <w:sz w:val="22"/>
        </w:rPr>
        <w:t>.</w:t>
      </w:r>
      <w:proofErr w:type="gramEnd"/>
      <w:r w:rsidR="003343DE" w:rsidRPr="00C534A9">
        <w:rPr>
          <w:rFonts w:ascii="Arial" w:hAnsi="Arial" w:cs="Arial"/>
          <w:sz w:val="22"/>
        </w:rPr>
        <w:fldChar w:fldCharType="begin"/>
      </w:r>
      <w:r w:rsidR="003343DE" w:rsidRPr="00C534A9">
        <w:rPr>
          <w:rFonts w:ascii="Arial" w:hAnsi="Arial" w:cs="Arial"/>
          <w:sz w:val="22"/>
        </w:rPr>
        <w:instrText xml:space="preserve"> SEQ Table \* ARABIC \s 1 </w:instrText>
      </w:r>
      <w:r w:rsidR="003343DE" w:rsidRPr="00C534A9">
        <w:rPr>
          <w:rFonts w:ascii="Arial" w:hAnsi="Arial" w:cs="Arial"/>
          <w:sz w:val="22"/>
        </w:rPr>
        <w:fldChar w:fldCharType="separate"/>
      </w:r>
      <w:r w:rsidR="003F3D75" w:rsidRPr="00C534A9">
        <w:rPr>
          <w:rFonts w:ascii="Arial" w:hAnsi="Arial" w:cs="Arial"/>
          <w:noProof/>
          <w:sz w:val="22"/>
        </w:rPr>
        <w:t>1</w:t>
      </w:r>
      <w:r w:rsidR="003343DE" w:rsidRPr="00C534A9">
        <w:rPr>
          <w:rFonts w:ascii="Arial" w:hAnsi="Arial" w:cs="Arial"/>
          <w:noProof/>
          <w:sz w:val="22"/>
        </w:rPr>
        <w:fldChar w:fldCharType="end"/>
      </w:r>
      <w:r w:rsidRPr="00C534A9">
        <w:rPr>
          <w:rFonts w:ascii="Arial" w:hAnsi="Arial" w:cs="Arial"/>
          <w:sz w:val="22"/>
        </w:rPr>
        <w:t>: Assumptions Used to Determine the Solar panel Economic Costs and Benefits</w:t>
      </w:r>
      <w:bookmarkEnd w:id="105"/>
      <w:bookmarkEnd w:id="106"/>
      <w:r w:rsidRPr="00C534A9">
        <w:rPr>
          <w:rFonts w:ascii="Arial" w:hAnsi="Arial" w:cs="Arial"/>
          <w:sz w:val="22"/>
        </w:rPr>
        <w:t xml:space="preserve"> </w:t>
      </w:r>
    </w:p>
    <w:tbl>
      <w:tblPr>
        <w:tblW w:w="6795" w:type="dxa"/>
        <w:jc w:val="center"/>
        <w:tblInd w:w="-27" w:type="dxa"/>
        <w:tblLook w:val="04A0" w:firstRow="1" w:lastRow="0" w:firstColumn="1" w:lastColumn="0" w:noHBand="0" w:noVBand="1"/>
      </w:tblPr>
      <w:tblGrid>
        <w:gridCol w:w="3808"/>
        <w:gridCol w:w="1676"/>
        <w:gridCol w:w="1311"/>
      </w:tblGrid>
      <w:tr w:rsidR="00443AB3" w:rsidRPr="00C534A9" w:rsidTr="00A74A3E">
        <w:trPr>
          <w:trHeight w:val="255"/>
          <w:jc w:val="center"/>
        </w:trPr>
        <w:tc>
          <w:tcPr>
            <w:tcW w:w="3808" w:type="dxa"/>
            <w:tcBorders>
              <w:top w:val="nil"/>
              <w:left w:val="nil"/>
              <w:bottom w:val="nil"/>
              <w:right w:val="nil"/>
            </w:tcBorders>
            <w:shd w:val="clear" w:color="000000" w:fill="FFFFFF"/>
            <w:noWrap/>
            <w:vAlign w:val="bottom"/>
          </w:tcPr>
          <w:p w:rsidR="00443AB3" w:rsidRPr="00C534A9" w:rsidRDefault="00443AB3" w:rsidP="00C534A9">
            <w:pPr>
              <w:spacing w:after="0" w:line="240" w:lineRule="auto"/>
              <w:jc w:val="both"/>
              <w:rPr>
                <w:rFonts w:ascii="Arial" w:eastAsia="Times New Roman" w:hAnsi="Arial" w:cs="Arial"/>
                <w:b/>
                <w:color w:val="auto"/>
                <w:sz w:val="22"/>
                <w:szCs w:val="24"/>
                <w:u w:val="single"/>
              </w:rPr>
            </w:pPr>
            <w:r w:rsidRPr="00C534A9">
              <w:rPr>
                <w:rFonts w:ascii="Arial" w:eastAsia="Times New Roman" w:hAnsi="Arial" w:cs="Arial"/>
                <w:b/>
                <w:color w:val="auto"/>
                <w:sz w:val="22"/>
                <w:szCs w:val="24"/>
                <w:u w:val="single"/>
              </w:rPr>
              <w:t>Input prices</w:t>
            </w:r>
          </w:p>
        </w:tc>
        <w:tc>
          <w:tcPr>
            <w:tcW w:w="1676" w:type="dxa"/>
            <w:tcBorders>
              <w:top w:val="nil"/>
              <w:left w:val="nil"/>
              <w:bottom w:val="nil"/>
              <w:right w:val="nil"/>
            </w:tcBorders>
            <w:shd w:val="clear" w:color="000000" w:fill="FFFFFF"/>
            <w:vAlign w:val="bottom"/>
          </w:tcPr>
          <w:p w:rsidR="00443AB3" w:rsidRPr="00C534A9" w:rsidRDefault="00443AB3" w:rsidP="00C534A9">
            <w:pPr>
              <w:spacing w:after="0" w:line="240" w:lineRule="auto"/>
              <w:jc w:val="both"/>
              <w:rPr>
                <w:rFonts w:ascii="Arial" w:eastAsia="Times New Roman" w:hAnsi="Arial" w:cs="Arial"/>
                <w:color w:val="auto"/>
                <w:sz w:val="22"/>
                <w:szCs w:val="24"/>
              </w:rPr>
            </w:pPr>
          </w:p>
        </w:tc>
        <w:tc>
          <w:tcPr>
            <w:tcW w:w="1311" w:type="dxa"/>
            <w:tcBorders>
              <w:top w:val="nil"/>
              <w:left w:val="nil"/>
              <w:bottom w:val="nil"/>
              <w:right w:val="nil"/>
            </w:tcBorders>
            <w:shd w:val="clear" w:color="000000" w:fill="FFFFFF"/>
            <w:noWrap/>
            <w:vAlign w:val="bottom"/>
          </w:tcPr>
          <w:p w:rsidR="00443AB3" w:rsidRPr="00C534A9" w:rsidRDefault="00443AB3" w:rsidP="00C534A9">
            <w:pPr>
              <w:spacing w:after="0" w:line="240" w:lineRule="auto"/>
              <w:jc w:val="both"/>
              <w:rPr>
                <w:rFonts w:ascii="Arial" w:eastAsia="Times New Roman" w:hAnsi="Arial" w:cs="Arial"/>
                <w:color w:val="auto"/>
                <w:sz w:val="22"/>
                <w:szCs w:val="24"/>
              </w:rPr>
            </w:pPr>
          </w:p>
        </w:tc>
      </w:tr>
      <w:tr w:rsidR="00443AB3" w:rsidRPr="00C534A9" w:rsidTr="00A74A3E">
        <w:trPr>
          <w:trHeight w:val="255"/>
          <w:jc w:val="center"/>
        </w:trPr>
        <w:tc>
          <w:tcPr>
            <w:tcW w:w="3808" w:type="dxa"/>
            <w:tcBorders>
              <w:top w:val="nil"/>
              <w:left w:val="nil"/>
              <w:bottom w:val="nil"/>
              <w:right w:val="nil"/>
            </w:tcBorders>
            <w:shd w:val="clear" w:color="000000" w:fill="FFFFFF"/>
            <w:noWrap/>
            <w:vAlign w:val="bottom"/>
            <w:hideMark/>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CO2 price</w:t>
            </w:r>
          </w:p>
        </w:tc>
        <w:tc>
          <w:tcPr>
            <w:tcW w:w="1676" w:type="dxa"/>
            <w:tcBorders>
              <w:top w:val="nil"/>
              <w:left w:val="nil"/>
              <w:bottom w:val="nil"/>
              <w:right w:val="nil"/>
            </w:tcBorders>
            <w:shd w:val="clear" w:color="000000" w:fill="FFFFFF"/>
            <w:vAlign w:val="bottom"/>
            <w:hideMark/>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US$/ton CO2</w:t>
            </w:r>
          </w:p>
        </w:tc>
        <w:tc>
          <w:tcPr>
            <w:tcW w:w="1311" w:type="dxa"/>
            <w:tcBorders>
              <w:top w:val="nil"/>
              <w:left w:val="nil"/>
              <w:bottom w:val="nil"/>
              <w:right w:val="nil"/>
            </w:tcBorders>
            <w:shd w:val="clear" w:color="000000" w:fill="FFFFFF"/>
            <w:noWrap/>
            <w:vAlign w:val="bottom"/>
            <w:hideMark/>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xml:space="preserve">                     10.00 </w:t>
            </w:r>
          </w:p>
        </w:tc>
      </w:tr>
      <w:tr w:rsidR="00443AB3" w:rsidRPr="00C534A9" w:rsidTr="00A74A3E">
        <w:trPr>
          <w:trHeight w:val="255"/>
          <w:jc w:val="center"/>
        </w:trPr>
        <w:tc>
          <w:tcPr>
            <w:tcW w:w="3808" w:type="dxa"/>
            <w:tcBorders>
              <w:top w:val="nil"/>
              <w:left w:val="nil"/>
              <w:bottom w:val="nil"/>
              <w:right w:val="nil"/>
            </w:tcBorders>
            <w:shd w:val="clear" w:color="000000" w:fill="FFFFFF"/>
            <w:noWrap/>
            <w:vAlign w:val="bottom"/>
            <w:hideMark/>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w:t>
            </w:r>
          </w:p>
        </w:tc>
        <w:tc>
          <w:tcPr>
            <w:tcW w:w="1676" w:type="dxa"/>
            <w:tcBorders>
              <w:top w:val="nil"/>
              <w:left w:val="nil"/>
              <w:bottom w:val="nil"/>
              <w:right w:val="nil"/>
            </w:tcBorders>
            <w:shd w:val="clear" w:color="000000" w:fill="FFFFFF"/>
            <w:vAlign w:val="bottom"/>
            <w:hideMark/>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w:t>
            </w:r>
          </w:p>
        </w:tc>
        <w:tc>
          <w:tcPr>
            <w:tcW w:w="1311" w:type="dxa"/>
            <w:tcBorders>
              <w:top w:val="nil"/>
              <w:left w:val="nil"/>
              <w:bottom w:val="nil"/>
              <w:right w:val="nil"/>
            </w:tcBorders>
            <w:shd w:val="clear" w:color="000000" w:fill="FFFFFF"/>
            <w:noWrap/>
            <w:vAlign w:val="bottom"/>
            <w:hideMark/>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w:t>
            </w:r>
          </w:p>
        </w:tc>
      </w:tr>
      <w:tr w:rsidR="00443AB3" w:rsidRPr="00C534A9" w:rsidTr="00A74A3E">
        <w:trPr>
          <w:trHeight w:val="255"/>
          <w:jc w:val="center"/>
        </w:trPr>
        <w:tc>
          <w:tcPr>
            <w:tcW w:w="3808" w:type="dxa"/>
            <w:tcBorders>
              <w:top w:val="nil"/>
              <w:left w:val="nil"/>
              <w:bottom w:val="nil"/>
              <w:right w:val="nil"/>
            </w:tcBorders>
            <w:shd w:val="clear" w:color="000000" w:fill="FFFFFF"/>
            <w:noWrap/>
            <w:vAlign w:val="bottom"/>
            <w:hideMark/>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Retail electricity price base rate</w:t>
            </w:r>
          </w:p>
        </w:tc>
        <w:tc>
          <w:tcPr>
            <w:tcW w:w="1676" w:type="dxa"/>
            <w:tcBorders>
              <w:top w:val="nil"/>
              <w:left w:val="nil"/>
              <w:bottom w:val="nil"/>
              <w:right w:val="nil"/>
            </w:tcBorders>
            <w:shd w:val="clear" w:color="000000" w:fill="FFFFFF"/>
            <w:noWrap/>
            <w:vAlign w:val="bottom"/>
            <w:hideMark/>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B$/kwh</w:t>
            </w:r>
          </w:p>
        </w:tc>
        <w:tc>
          <w:tcPr>
            <w:tcW w:w="1311" w:type="dxa"/>
            <w:tcBorders>
              <w:top w:val="nil"/>
              <w:left w:val="nil"/>
              <w:bottom w:val="nil"/>
              <w:right w:val="nil"/>
            </w:tcBorders>
            <w:shd w:val="clear" w:color="000000" w:fill="FFFFFF"/>
            <w:noWrap/>
            <w:vAlign w:val="bottom"/>
            <w:hideMark/>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0.1345</w:t>
            </w:r>
          </w:p>
        </w:tc>
      </w:tr>
      <w:tr w:rsidR="00443AB3" w:rsidRPr="00C534A9" w:rsidTr="00A74A3E">
        <w:trPr>
          <w:trHeight w:val="255"/>
          <w:jc w:val="center"/>
        </w:trPr>
        <w:tc>
          <w:tcPr>
            <w:tcW w:w="3808" w:type="dxa"/>
            <w:tcBorders>
              <w:top w:val="nil"/>
              <w:left w:val="nil"/>
              <w:bottom w:val="nil"/>
              <w:right w:val="nil"/>
            </w:tcBorders>
            <w:shd w:val="clear" w:color="000000" w:fill="FFFFFF"/>
            <w:noWrap/>
            <w:vAlign w:val="bottom"/>
            <w:hideMark/>
          </w:tcPr>
          <w:p w:rsidR="00443AB3" w:rsidRPr="00C534A9" w:rsidRDefault="00443AB3" w:rsidP="00C534A9">
            <w:pPr>
              <w:spacing w:after="0" w:line="240" w:lineRule="auto"/>
              <w:ind w:firstLineChars="100" w:firstLine="220"/>
              <w:jc w:val="both"/>
              <w:rPr>
                <w:rFonts w:ascii="Arial" w:eastAsia="Times New Roman" w:hAnsi="Arial" w:cs="Arial"/>
                <w:color w:val="auto"/>
                <w:sz w:val="22"/>
                <w:szCs w:val="24"/>
              </w:rPr>
            </w:pPr>
            <w:r w:rsidRPr="00C534A9">
              <w:rPr>
                <w:rFonts w:ascii="Arial" w:eastAsia="Times New Roman" w:hAnsi="Arial" w:cs="Arial"/>
                <w:color w:val="auto"/>
                <w:sz w:val="22"/>
                <w:szCs w:val="24"/>
              </w:rPr>
              <w:t> </w:t>
            </w:r>
          </w:p>
        </w:tc>
        <w:tc>
          <w:tcPr>
            <w:tcW w:w="1676" w:type="dxa"/>
            <w:tcBorders>
              <w:top w:val="nil"/>
              <w:left w:val="nil"/>
              <w:bottom w:val="nil"/>
              <w:right w:val="nil"/>
            </w:tcBorders>
            <w:shd w:val="clear" w:color="000000" w:fill="FFFFFF"/>
            <w:noWrap/>
            <w:vAlign w:val="bottom"/>
            <w:hideMark/>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w:t>
            </w:r>
          </w:p>
        </w:tc>
        <w:tc>
          <w:tcPr>
            <w:tcW w:w="1311" w:type="dxa"/>
            <w:tcBorders>
              <w:top w:val="nil"/>
              <w:left w:val="nil"/>
              <w:bottom w:val="nil"/>
              <w:right w:val="nil"/>
            </w:tcBorders>
            <w:shd w:val="clear" w:color="000000" w:fill="FFFFFF"/>
            <w:noWrap/>
            <w:vAlign w:val="bottom"/>
            <w:hideMark/>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w:t>
            </w:r>
          </w:p>
        </w:tc>
      </w:tr>
      <w:tr w:rsidR="00443AB3" w:rsidRPr="00C534A9" w:rsidTr="00A74A3E">
        <w:trPr>
          <w:trHeight w:val="255"/>
          <w:jc w:val="center"/>
        </w:trPr>
        <w:tc>
          <w:tcPr>
            <w:tcW w:w="3808" w:type="dxa"/>
            <w:tcBorders>
              <w:top w:val="nil"/>
              <w:left w:val="nil"/>
              <w:bottom w:val="nil"/>
              <w:right w:val="nil"/>
            </w:tcBorders>
            <w:shd w:val="clear" w:color="000000" w:fill="FFFFFF"/>
            <w:noWrap/>
            <w:vAlign w:val="bottom"/>
            <w:hideMark/>
          </w:tcPr>
          <w:p w:rsidR="00443AB3" w:rsidRPr="00C534A9" w:rsidRDefault="00443AB3" w:rsidP="00C534A9">
            <w:pPr>
              <w:spacing w:after="0" w:line="240" w:lineRule="auto"/>
              <w:jc w:val="both"/>
              <w:rPr>
                <w:rFonts w:ascii="Arial" w:eastAsia="Times New Roman" w:hAnsi="Arial" w:cs="Arial"/>
                <w:b/>
                <w:bCs/>
                <w:color w:val="auto"/>
                <w:sz w:val="22"/>
                <w:szCs w:val="24"/>
                <w:u w:val="single"/>
              </w:rPr>
            </w:pPr>
            <w:r w:rsidRPr="00C534A9">
              <w:rPr>
                <w:rFonts w:ascii="Arial" w:eastAsia="Times New Roman" w:hAnsi="Arial" w:cs="Arial"/>
                <w:b/>
                <w:bCs/>
                <w:color w:val="auto"/>
                <w:sz w:val="22"/>
                <w:szCs w:val="24"/>
                <w:u w:val="single"/>
              </w:rPr>
              <w:t>Heat rate by plant type</w:t>
            </w:r>
          </w:p>
        </w:tc>
        <w:tc>
          <w:tcPr>
            <w:tcW w:w="1676" w:type="dxa"/>
            <w:tcBorders>
              <w:top w:val="nil"/>
              <w:left w:val="nil"/>
              <w:bottom w:val="nil"/>
              <w:right w:val="nil"/>
            </w:tcBorders>
            <w:shd w:val="clear" w:color="000000" w:fill="FFFFFF"/>
            <w:noWrap/>
            <w:vAlign w:val="bottom"/>
            <w:hideMark/>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w:t>
            </w:r>
          </w:p>
        </w:tc>
        <w:tc>
          <w:tcPr>
            <w:tcW w:w="1311" w:type="dxa"/>
            <w:tcBorders>
              <w:top w:val="nil"/>
              <w:left w:val="nil"/>
              <w:bottom w:val="nil"/>
              <w:right w:val="nil"/>
            </w:tcBorders>
            <w:shd w:val="clear" w:color="000000" w:fill="FFFFFF"/>
            <w:noWrap/>
            <w:vAlign w:val="bottom"/>
            <w:hideMark/>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w:t>
            </w:r>
          </w:p>
        </w:tc>
      </w:tr>
      <w:tr w:rsidR="00443AB3" w:rsidRPr="00C534A9" w:rsidTr="00A74A3E">
        <w:trPr>
          <w:trHeight w:val="255"/>
          <w:jc w:val="center"/>
        </w:trPr>
        <w:tc>
          <w:tcPr>
            <w:tcW w:w="3808" w:type="dxa"/>
            <w:tcBorders>
              <w:top w:val="nil"/>
              <w:left w:val="nil"/>
              <w:bottom w:val="nil"/>
              <w:right w:val="nil"/>
            </w:tcBorders>
            <w:shd w:val="clear" w:color="000000" w:fill="FFFFFF"/>
            <w:noWrap/>
            <w:vAlign w:val="bottom"/>
          </w:tcPr>
          <w:p w:rsidR="00443AB3" w:rsidRPr="00C534A9" w:rsidRDefault="00443AB3" w:rsidP="00C534A9">
            <w:pPr>
              <w:spacing w:after="0" w:line="240" w:lineRule="auto"/>
              <w:jc w:val="both"/>
              <w:rPr>
                <w:rFonts w:ascii="Arial" w:eastAsia="Times New Roman" w:hAnsi="Arial" w:cs="Arial"/>
                <w:color w:val="auto"/>
                <w:sz w:val="22"/>
                <w:szCs w:val="24"/>
              </w:rPr>
            </w:pPr>
          </w:p>
        </w:tc>
        <w:tc>
          <w:tcPr>
            <w:tcW w:w="1676" w:type="dxa"/>
            <w:tcBorders>
              <w:top w:val="nil"/>
              <w:left w:val="nil"/>
              <w:bottom w:val="nil"/>
              <w:right w:val="nil"/>
            </w:tcBorders>
            <w:shd w:val="clear" w:color="000000" w:fill="FFFFFF"/>
            <w:noWrap/>
            <w:vAlign w:val="bottom"/>
          </w:tcPr>
          <w:p w:rsidR="00443AB3" w:rsidRPr="00C534A9" w:rsidRDefault="00443AB3" w:rsidP="00C534A9">
            <w:pPr>
              <w:spacing w:after="0" w:line="240" w:lineRule="auto"/>
              <w:jc w:val="both"/>
              <w:rPr>
                <w:rFonts w:ascii="Arial" w:eastAsia="Times New Roman" w:hAnsi="Arial" w:cs="Arial"/>
                <w:color w:val="auto"/>
                <w:sz w:val="22"/>
                <w:szCs w:val="24"/>
              </w:rPr>
            </w:pPr>
          </w:p>
        </w:tc>
        <w:tc>
          <w:tcPr>
            <w:tcW w:w="1311" w:type="dxa"/>
            <w:tcBorders>
              <w:top w:val="nil"/>
              <w:left w:val="nil"/>
              <w:bottom w:val="nil"/>
              <w:right w:val="nil"/>
            </w:tcBorders>
            <w:shd w:val="clear" w:color="000000" w:fill="FFFFFF"/>
            <w:noWrap/>
            <w:vAlign w:val="bottom"/>
          </w:tcPr>
          <w:p w:rsidR="00443AB3" w:rsidRPr="00C534A9" w:rsidRDefault="00443AB3" w:rsidP="00C534A9">
            <w:pPr>
              <w:spacing w:after="0" w:line="240" w:lineRule="auto"/>
              <w:jc w:val="both"/>
              <w:rPr>
                <w:rFonts w:ascii="Arial" w:eastAsia="Times New Roman" w:hAnsi="Arial" w:cs="Arial"/>
                <w:color w:val="auto"/>
                <w:sz w:val="22"/>
                <w:szCs w:val="24"/>
              </w:rPr>
            </w:pPr>
          </w:p>
        </w:tc>
      </w:tr>
      <w:tr w:rsidR="00443AB3" w:rsidRPr="00C534A9" w:rsidTr="00A74A3E">
        <w:trPr>
          <w:trHeight w:val="255"/>
          <w:jc w:val="center"/>
        </w:trPr>
        <w:tc>
          <w:tcPr>
            <w:tcW w:w="3808" w:type="dxa"/>
            <w:tcBorders>
              <w:top w:val="nil"/>
              <w:left w:val="nil"/>
              <w:bottom w:val="nil"/>
              <w:right w:val="nil"/>
            </w:tcBorders>
            <w:shd w:val="clear" w:color="000000" w:fill="FFFFFF"/>
            <w:noWrap/>
            <w:vAlign w:val="bottom"/>
            <w:hideMark/>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Low Speed Diesel, HFO (existing)</w:t>
            </w:r>
          </w:p>
        </w:tc>
        <w:tc>
          <w:tcPr>
            <w:tcW w:w="1676" w:type="dxa"/>
            <w:tcBorders>
              <w:top w:val="nil"/>
              <w:left w:val="nil"/>
              <w:bottom w:val="nil"/>
              <w:right w:val="nil"/>
            </w:tcBorders>
            <w:shd w:val="clear" w:color="000000" w:fill="FFFFFF"/>
            <w:noWrap/>
            <w:vAlign w:val="bottom"/>
            <w:hideMark/>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Btu/kWh</w:t>
            </w:r>
          </w:p>
        </w:tc>
        <w:tc>
          <w:tcPr>
            <w:tcW w:w="1311" w:type="dxa"/>
            <w:tcBorders>
              <w:top w:val="nil"/>
              <w:left w:val="nil"/>
              <w:bottom w:val="nil"/>
              <w:right w:val="nil"/>
            </w:tcBorders>
            <w:shd w:val="clear" w:color="000000" w:fill="FFFFFF"/>
            <w:noWrap/>
            <w:vAlign w:val="bottom"/>
            <w:hideMark/>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xml:space="preserve">         7,835 </w:t>
            </w:r>
          </w:p>
        </w:tc>
      </w:tr>
      <w:tr w:rsidR="00443AB3" w:rsidRPr="00C534A9" w:rsidTr="00A74A3E">
        <w:trPr>
          <w:trHeight w:val="255"/>
          <w:jc w:val="center"/>
        </w:trPr>
        <w:tc>
          <w:tcPr>
            <w:tcW w:w="3808" w:type="dxa"/>
            <w:tcBorders>
              <w:top w:val="nil"/>
              <w:left w:val="nil"/>
              <w:bottom w:val="nil"/>
              <w:right w:val="nil"/>
            </w:tcBorders>
            <w:shd w:val="clear" w:color="000000" w:fill="FFFFFF"/>
            <w:noWrap/>
            <w:vAlign w:val="bottom"/>
            <w:hideMark/>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Solar</w:t>
            </w:r>
          </w:p>
        </w:tc>
        <w:tc>
          <w:tcPr>
            <w:tcW w:w="1676" w:type="dxa"/>
            <w:tcBorders>
              <w:top w:val="nil"/>
              <w:left w:val="nil"/>
              <w:bottom w:val="nil"/>
              <w:right w:val="nil"/>
            </w:tcBorders>
            <w:shd w:val="clear" w:color="000000" w:fill="FFFFFF"/>
            <w:noWrap/>
            <w:vAlign w:val="bottom"/>
            <w:hideMark/>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Btu/kWh</w:t>
            </w:r>
          </w:p>
        </w:tc>
        <w:tc>
          <w:tcPr>
            <w:tcW w:w="1311" w:type="dxa"/>
            <w:tcBorders>
              <w:top w:val="nil"/>
              <w:left w:val="nil"/>
              <w:bottom w:val="nil"/>
              <w:right w:val="nil"/>
            </w:tcBorders>
            <w:shd w:val="clear" w:color="000000" w:fill="FFFFFF"/>
            <w:noWrap/>
            <w:vAlign w:val="bottom"/>
            <w:hideMark/>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xml:space="preserve">                 -   </w:t>
            </w:r>
          </w:p>
        </w:tc>
      </w:tr>
      <w:tr w:rsidR="00443AB3" w:rsidRPr="00C534A9" w:rsidTr="00A74A3E">
        <w:trPr>
          <w:trHeight w:val="255"/>
          <w:jc w:val="center"/>
        </w:trPr>
        <w:tc>
          <w:tcPr>
            <w:tcW w:w="3808" w:type="dxa"/>
            <w:tcBorders>
              <w:top w:val="nil"/>
              <w:left w:val="nil"/>
              <w:bottom w:val="nil"/>
              <w:right w:val="nil"/>
            </w:tcBorders>
            <w:shd w:val="clear" w:color="000000" w:fill="FFFFFF"/>
            <w:noWrap/>
            <w:vAlign w:val="bottom"/>
            <w:hideMark/>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Wind</w:t>
            </w:r>
          </w:p>
        </w:tc>
        <w:tc>
          <w:tcPr>
            <w:tcW w:w="1676" w:type="dxa"/>
            <w:tcBorders>
              <w:top w:val="nil"/>
              <w:left w:val="nil"/>
              <w:bottom w:val="nil"/>
              <w:right w:val="nil"/>
            </w:tcBorders>
            <w:shd w:val="clear" w:color="000000" w:fill="FFFFFF"/>
            <w:noWrap/>
            <w:vAlign w:val="bottom"/>
            <w:hideMark/>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Btu/kWh</w:t>
            </w:r>
          </w:p>
        </w:tc>
        <w:tc>
          <w:tcPr>
            <w:tcW w:w="1311" w:type="dxa"/>
            <w:tcBorders>
              <w:top w:val="nil"/>
              <w:left w:val="nil"/>
              <w:bottom w:val="nil"/>
              <w:right w:val="nil"/>
            </w:tcBorders>
            <w:shd w:val="clear" w:color="000000" w:fill="FFFFFF"/>
            <w:noWrap/>
            <w:vAlign w:val="bottom"/>
            <w:hideMark/>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xml:space="preserve">                -   </w:t>
            </w:r>
          </w:p>
        </w:tc>
      </w:tr>
      <w:tr w:rsidR="00443AB3" w:rsidRPr="00C534A9" w:rsidTr="00A74A3E">
        <w:trPr>
          <w:trHeight w:val="255"/>
          <w:jc w:val="center"/>
        </w:trPr>
        <w:tc>
          <w:tcPr>
            <w:tcW w:w="3808" w:type="dxa"/>
            <w:tcBorders>
              <w:top w:val="nil"/>
              <w:left w:val="nil"/>
              <w:bottom w:val="nil"/>
              <w:right w:val="nil"/>
            </w:tcBorders>
            <w:shd w:val="clear" w:color="000000" w:fill="FFFFFF"/>
            <w:noWrap/>
            <w:vAlign w:val="bottom"/>
            <w:hideMark/>
          </w:tcPr>
          <w:p w:rsidR="00443AB3" w:rsidRPr="00C534A9" w:rsidRDefault="00443AB3" w:rsidP="00C534A9">
            <w:pPr>
              <w:spacing w:after="0" w:line="240" w:lineRule="auto"/>
              <w:ind w:firstLineChars="100" w:firstLine="220"/>
              <w:jc w:val="both"/>
              <w:rPr>
                <w:rFonts w:ascii="Arial" w:eastAsia="Times New Roman" w:hAnsi="Arial" w:cs="Arial"/>
                <w:color w:val="auto"/>
                <w:sz w:val="22"/>
                <w:szCs w:val="24"/>
              </w:rPr>
            </w:pPr>
            <w:r w:rsidRPr="00C534A9">
              <w:rPr>
                <w:rFonts w:ascii="Arial" w:eastAsia="Times New Roman" w:hAnsi="Arial" w:cs="Arial"/>
                <w:color w:val="auto"/>
                <w:sz w:val="22"/>
                <w:szCs w:val="24"/>
              </w:rPr>
              <w:t> </w:t>
            </w:r>
          </w:p>
        </w:tc>
        <w:tc>
          <w:tcPr>
            <w:tcW w:w="1676" w:type="dxa"/>
            <w:tcBorders>
              <w:top w:val="nil"/>
              <w:left w:val="nil"/>
              <w:bottom w:val="nil"/>
              <w:right w:val="nil"/>
            </w:tcBorders>
            <w:shd w:val="clear" w:color="000000" w:fill="FFFFFF"/>
            <w:noWrap/>
            <w:vAlign w:val="bottom"/>
            <w:hideMark/>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w:t>
            </w:r>
          </w:p>
        </w:tc>
        <w:tc>
          <w:tcPr>
            <w:tcW w:w="1311" w:type="dxa"/>
            <w:tcBorders>
              <w:top w:val="nil"/>
              <w:left w:val="nil"/>
              <w:bottom w:val="nil"/>
              <w:right w:val="nil"/>
            </w:tcBorders>
            <w:shd w:val="clear" w:color="000000" w:fill="FFFFFF"/>
            <w:noWrap/>
            <w:vAlign w:val="bottom"/>
            <w:hideMark/>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w:t>
            </w:r>
          </w:p>
        </w:tc>
      </w:tr>
      <w:tr w:rsidR="00443AB3" w:rsidRPr="00C534A9" w:rsidTr="00A74A3E">
        <w:trPr>
          <w:trHeight w:val="255"/>
          <w:jc w:val="center"/>
        </w:trPr>
        <w:tc>
          <w:tcPr>
            <w:tcW w:w="5484" w:type="dxa"/>
            <w:gridSpan w:val="2"/>
            <w:tcBorders>
              <w:top w:val="nil"/>
              <w:left w:val="nil"/>
              <w:bottom w:val="nil"/>
              <w:right w:val="nil"/>
            </w:tcBorders>
            <w:shd w:val="clear" w:color="000000" w:fill="FFFFFF"/>
            <w:noWrap/>
            <w:vAlign w:val="bottom"/>
            <w:hideMark/>
          </w:tcPr>
          <w:p w:rsidR="00443AB3" w:rsidRPr="00C534A9" w:rsidRDefault="00443AB3" w:rsidP="00C534A9">
            <w:pPr>
              <w:spacing w:after="0" w:line="240" w:lineRule="auto"/>
              <w:jc w:val="both"/>
              <w:rPr>
                <w:rFonts w:ascii="Arial" w:eastAsia="Times New Roman" w:hAnsi="Arial" w:cs="Arial"/>
                <w:b/>
                <w:bCs/>
                <w:color w:val="auto"/>
                <w:sz w:val="22"/>
                <w:szCs w:val="24"/>
                <w:u w:val="single"/>
              </w:rPr>
            </w:pPr>
            <w:r w:rsidRPr="00C534A9">
              <w:rPr>
                <w:rFonts w:ascii="Arial" w:eastAsia="Times New Roman" w:hAnsi="Arial" w:cs="Arial"/>
                <w:b/>
                <w:bCs/>
                <w:color w:val="auto"/>
                <w:sz w:val="22"/>
                <w:szCs w:val="24"/>
                <w:u w:val="single"/>
              </w:rPr>
              <w:t>O&amp;M Cost (Fixed &amp; Variable) by plant type</w:t>
            </w:r>
          </w:p>
        </w:tc>
        <w:tc>
          <w:tcPr>
            <w:tcW w:w="1311" w:type="dxa"/>
            <w:tcBorders>
              <w:top w:val="nil"/>
              <w:left w:val="nil"/>
              <w:bottom w:val="nil"/>
              <w:right w:val="nil"/>
            </w:tcBorders>
            <w:shd w:val="clear" w:color="000000" w:fill="FFFFFF"/>
            <w:noWrap/>
            <w:vAlign w:val="bottom"/>
            <w:hideMark/>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w:t>
            </w:r>
          </w:p>
        </w:tc>
      </w:tr>
      <w:tr w:rsidR="00443AB3" w:rsidRPr="00C534A9" w:rsidTr="00A74A3E">
        <w:trPr>
          <w:trHeight w:val="255"/>
          <w:jc w:val="center"/>
        </w:trPr>
        <w:tc>
          <w:tcPr>
            <w:tcW w:w="3808" w:type="dxa"/>
            <w:tcBorders>
              <w:top w:val="nil"/>
              <w:left w:val="nil"/>
              <w:bottom w:val="nil"/>
              <w:right w:val="nil"/>
            </w:tcBorders>
            <w:shd w:val="clear" w:color="000000" w:fill="FFFFFF"/>
            <w:noWrap/>
            <w:vAlign w:val="bottom"/>
            <w:hideMark/>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Low Speed Diesel, HFO (existing)</w:t>
            </w:r>
          </w:p>
        </w:tc>
        <w:tc>
          <w:tcPr>
            <w:tcW w:w="1676" w:type="dxa"/>
            <w:tcBorders>
              <w:top w:val="nil"/>
              <w:left w:val="nil"/>
              <w:bottom w:val="nil"/>
              <w:right w:val="nil"/>
            </w:tcBorders>
            <w:shd w:val="clear" w:color="000000" w:fill="FFFFFF"/>
            <w:noWrap/>
            <w:vAlign w:val="bottom"/>
            <w:hideMark/>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US$/kWh</w:t>
            </w:r>
          </w:p>
        </w:tc>
        <w:tc>
          <w:tcPr>
            <w:tcW w:w="1311" w:type="dxa"/>
            <w:tcBorders>
              <w:top w:val="nil"/>
              <w:left w:val="nil"/>
              <w:bottom w:val="nil"/>
              <w:right w:val="nil"/>
            </w:tcBorders>
            <w:shd w:val="clear" w:color="000000" w:fill="FFFFFF"/>
            <w:noWrap/>
            <w:vAlign w:val="bottom"/>
            <w:hideMark/>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0.02</w:t>
            </w:r>
          </w:p>
        </w:tc>
      </w:tr>
      <w:tr w:rsidR="00443AB3" w:rsidRPr="00C534A9" w:rsidTr="00A74A3E">
        <w:trPr>
          <w:trHeight w:val="255"/>
          <w:jc w:val="center"/>
        </w:trPr>
        <w:tc>
          <w:tcPr>
            <w:tcW w:w="3808" w:type="dxa"/>
            <w:tcBorders>
              <w:top w:val="nil"/>
              <w:left w:val="nil"/>
              <w:bottom w:val="nil"/>
              <w:right w:val="nil"/>
            </w:tcBorders>
            <w:shd w:val="clear" w:color="000000" w:fill="FFFFFF"/>
            <w:noWrap/>
            <w:vAlign w:val="bottom"/>
            <w:hideMark/>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Solar</w:t>
            </w:r>
          </w:p>
        </w:tc>
        <w:tc>
          <w:tcPr>
            <w:tcW w:w="1676" w:type="dxa"/>
            <w:tcBorders>
              <w:top w:val="nil"/>
              <w:left w:val="nil"/>
              <w:bottom w:val="nil"/>
              <w:right w:val="nil"/>
            </w:tcBorders>
            <w:shd w:val="clear" w:color="000000" w:fill="FFFFFF"/>
            <w:noWrap/>
            <w:vAlign w:val="bottom"/>
            <w:hideMark/>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US$/kW/year</w:t>
            </w:r>
          </w:p>
        </w:tc>
        <w:tc>
          <w:tcPr>
            <w:tcW w:w="1311" w:type="dxa"/>
            <w:tcBorders>
              <w:top w:val="nil"/>
              <w:left w:val="nil"/>
              <w:bottom w:val="nil"/>
              <w:right w:val="nil"/>
            </w:tcBorders>
            <w:shd w:val="clear" w:color="000000" w:fill="FFFFFF"/>
            <w:noWrap/>
            <w:vAlign w:val="bottom"/>
            <w:hideMark/>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30.00</w:t>
            </w:r>
          </w:p>
        </w:tc>
      </w:tr>
      <w:tr w:rsidR="00443AB3" w:rsidRPr="00C534A9" w:rsidTr="00A74A3E">
        <w:trPr>
          <w:trHeight w:val="255"/>
          <w:jc w:val="center"/>
        </w:trPr>
        <w:tc>
          <w:tcPr>
            <w:tcW w:w="3808" w:type="dxa"/>
            <w:tcBorders>
              <w:top w:val="nil"/>
              <w:left w:val="nil"/>
              <w:bottom w:val="nil"/>
              <w:right w:val="nil"/>
            </w:tcBorders>
            <w:shd w:val="clear" w:color="000000" w:fill="FFFFFF"/>
            <w:noWrap/>
            <w:vAlign w:val="bottom"/>
            <w:hideMark/>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Wind</w:t>
            </w:r>
          </w:p>
        </w:tc>
        <w:tc>
          <w:tcPr>
            <w:tcW w:w="1676" w:type="dxa"/>
            <w:tcBorders>
              <w:top w:val="nil"/>
              <w:left w:val="nil"/>
              <w:bottom w:val="nil"/>
              <w:right w:val="nil"/>
            </w:tcBorders>
            <w:shd w:val="clear" w:color="000000" w:fill="FFFFFF"/>
            <w:noWrap/>
            <w:vAlign w:val="bottom"/>
            <w:hideMark/>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US$/kW/year</w:t>
            </w:r>
          </w:p>
        </w:tc>
        <w:tc>
          <w:tcPr>
            <w:tcW w:w="1311" w:type="dxa"/>
            <w:tcBorders>
              <w:top w:val="nil"/>
              <w:left w:val="nil"/>
              <w:bottom w:val="nil"/>
              <w:right w:val="nil"/>
            </w:tcBorders>
            <w:shd w:val="clear" w:color="000000" w:fill="FFFFFF"/>
            <w:noWrap/>
            <w:vAlign w:val="bottom"/>
            <w:hideMark/>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46.00</w:t>
            </w:r>
          </w:p>
        </w:tc>
      </w:tr>
      <w:tr w:rsidR="00443AB3" w:rsidRPr="00C534A9" w:rsidTr="00A74A3E">
        <w:trPr>
          <w:trHeight w:val="255"/>
          <w:jc w:val="center"/>
        </w:trPr>
        <w:tc>
          <w:tcPr>
            <w:tcW w:w="3808" w:type="dxa"/>
            <w:tcBorders>
              <w:top w:val="nil"/>
              <w:left w:val="nil"/>
              <w:bottom w:val="nil"/>
              <w:right w:val="nil"/>
            </w:tcBorders>
            <w:shd w:val="clear" w:color="000000" w:fill="FFFFFF"/>
            <w:noWrap/>
            <w:vAlign w:val="bottom"/>
          </w:tcPr>
          <w:p w:rsidR="00443AB3" w:rsidRPr="00C534A9" w:rsidRDefault="00443AB3" w:rsidP="00C534A9">
            <w:pPr>
              <w:spacing w:after="0" w:line="240" w:lineRule="auto"/>
              <w:jc w:val="both"/>
              <w:rPr>
                <w:rFonts w:ascii="Arial" w:eastAsia="Times New Roman" w:hAnsi="Arial" w:cs="Arial"/>
                <w:b/>
                <w:color w:val="auto"/>
                <w:sz w:val="22"/>
                <w:szCs w:val="24"/>
                <w:u w:val="single"/>
              </w:rPr>
            </w:pPr>
          </w:p>
          <w:p w:rsidR="00443AB3" w:rsidRPr="00C534A9" w:rsidRDefault="00443AB3" w:rsidP="00C534A9">
            <w:pPr>
              <w:spacing w:after="0" w:line="240" w:lineRule="auto"/>
              <w:jc w:val="both"/>
              <w:rPr>
                <w:rFonts w:ascii="Arial" w:eastAsia="Times New Roman" w:hAnsi="Arial" w:cs="Arial"/>
                <w:b/>
                <w:color w:val="auto"/>
                <w:sz w:val="22"/>
                <w:szCs w:val="24"/>
                <w:u w:val="single"/>
              </w:rPr>
            </w:pPr>
            <w:r w:rsidRPr="00C534A9">
              <w:rPr>
                <w:rFonts w:ascii="Arial" w:eastAsia="Times New Roman" w:hAnsi="Arial" w:cs="Arial"/>
                <w:b/>
                <w:color w:val="auto"/>
                <w:sz w:val="22"/>
                <w:szCs w:val="24"/>
                <w:u w:val="single"/>
              </w:rPr>
              <w:t>Fuel characteristics</w:t>
            </w:r>
          </w:p>
        </w:tc>
        <w:tc>
          <w:tcPr>
            <w:tcW w:w="1676" w:type="dxa"/>
            <w:tcBorders>
              <w:top w:val="nil"/>
              <w:left w:val="nil"/>
              <w:bottom w:val="nil"/>
              <w:right w:val="nil"/>
            </w:tcBorders>
            <w:shd w:val="clear" w:color="000000" w:fill="FFFFFF"/>
            <w:noWrap/>
            <w:vAlign w:val="bottom"/>
          </w:tcPr>
          <w:p w:rsidR="00443AB3" w:rsidRPr="00C534A9" w:rsidRDefault="00443AB3" w:rsidP="00C534A9">
            <w:pPr>
              <w:spacing w:after="0" w:line="240" w:lineRule="auto"/>
              <w:jc w:val="both"/>
              <w:rPr>
                <w:rFonts w:ascii="Arial" w:eastAsia="Times New Roman" w:hAnsi="Arial" w:cs="Arial"/>
                <w:color w:val="auto"/>
                <w:sz w:val="22"/>
                <w:szCs w:val="24"/>
              </w:rPr>
            </w:pPr>
          </w:p>
        </w:tc>
        <w:tc>
          <w:tcPr>
            <w:tcW w:w="1311" w:type="dxa"/>
            <w:tcBorders>
              <w:top w:val="nil"/>
              <w:left w:val="nil"/>
              <w:bottom w:val="nil"/>
              <w:right w:val="nil"/>
            </w:tcBorders>
            <w:shd w:val="clear" w:color="000000" w:fill="FFFFFF"/>
            <w:noWrap/>
            <w:vAlign w:val="bottom"/>
          </w:tcPr>
          <w:p w:rsidR="00443AB3" w:rsidRPr="00C534A9" w:rsidRDefault="00443AB3" w:rsidP="00C534A9">
            <w:pPr>
              <w:spacing w:after="0" w:line="240" w:lineRule="auto"/>
              <w:jc w:val="both"/>
              <w:rPr>
                <w:rFonts w:ascii="Arial" w:eastAsia="Times New Roman" w:hAnsi="Arial" w:cs="Arial"/>
                <w:color w:val="auto"/>
                <w:sz w:val="22"/>
                <w:szCs w:val="24"/>
              </w:rPr>
            </w:pPr>
          </w:p>
        </w:tc>
      </w:tr>
      <w:tr w:rsidR="00443AB3" w:rsidRPr="00C534A9" w:rsidTr="00A74A3E">
        <w:trPr>
          <w:trHeight w:val="255"/>
          <w:jc w:val="center"/>
        </w:trPr>
        <w:tc>
          <w:tcPr>
            <w:tcW w:w="3808" w:type="dxa"/>
            <w:tcBorders>
              <w:top w:val="nil"/>
              <w:left w:val="nil"/>
              <w:bottom w:val="nil"/>
              <w:right w:val="nil"/>
            </w:tcBorders>
            <w:shd w:val="clear" w:color="000000" w:fill="FFFFFF"/>
            <w:noWrap/>
            <w:vAlign w:val="bottom"/>
          </w:tcPr>
          <w:p w:rsidR="00443AB3" w:rsidRPr="00C534A9" w:rsidRDefault="00443AB3" w:rsidP="00C534A9">
            <w:pPr>
              <w:spacing w:after="0" w:line="240" w:lineRule="auto"/>
              <w:ind w:firstLineChars="100" w:firstLine="220"/>
              <w:jc w:val="both"/>
              <w:rPr>
                <w:rFonts w:ascii="Arial" w:eastAsia="Times New Roman" w:hAnsi="Arial" w:cs="Arial"/>
                <w:color w:val="auto"/>
                <w:sz w:val="22"/>
                <w:szCs w:val="24"/>
              </w:rPr>
            </w:pPr>
          </w:p>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Calorific Value HFO</w:t>
            </w:r>
          </w:p>
        </w:tc>
        <w:tc>
          <w:tcPr>
            <w:tcW w:w="1676" w:type="dxa"/>
            <w:tcBorders>
              <w:top w:val="nil"/>
              <w:left w:val="nil"/>
              <w:bottom w:val="nil"/>
              <w:right w:val="nil"/>
            </w:tcBorders>
            <w:shd w:val="clear" w:color="000000" w:fill="FFFFFF"/>
            <w:noWrap/>
            <w:vAlign w:val="bottom"/>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BTU/BBL</w:t>
            </w:r>
          </w:p>
        </w:tc>
        <w:tc>
          <w:tcPr>
            <w:tcW w:w="1311" w:type="dxa"/>
            <w:tcBorders>
              <w:top w:val="nil"/>
              <w:left w:val="nil"/>
              <w:bottom w:val="nil"/>
              <w:right w:val="nil"/>
            </w:tcBorders>
            <w:shd w:val="clear" w:color="000000" w:fill="FFFFFF"/>
            <w:noWrap/>
            <w:vAlign w:val="bottom"/>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6,287,000</w:t>
            </w:r>
          </w:p>
        </w:tc>
      </w:tr>
      <w:tr w:rsidR="00443AB3" w:rsidRPr="00C534A9" w:rsidTr="00A74A3E">
        <w:trPr>
          <w:trHeight w:val="255"/>
          <w:jc w:val="center"/>
        </w:trPr>
        <w:tc>
          <w:tcPr>
            <w:tcW w:w="3808" w:type="dxa"/>
            <w:tcBorders>
              <w:top w:val="nil"/>
              <w:left w:val="nil"/>
              <w:bottom w:val="nil"/>
              <w:right w:val="nil"/>
            </w:tcBorders>
            <w:shd w:val="clear" w:color="000000" w:fill="FFFFFF"/>
            <w:noWrap/>
            <w:vAlign w:val="bottom"/>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Calorific Value Diesel</w:t>
            </w:r>
          </w:p>
        </w:tc>
        <w:tc>
          <w:tcPr>
            <w:tcW w:w="1676" w:type="dxa"/>
            <w:tcBorders>
              <w:top w:val="nil"/>
              <w:left w:val="nil"/>
              <w:bottom w:val="nil"/>
              <w:right w:val="nil"/>
            </w:tcBorders>
            <w:shd w:val="clear" w:color="000000" w:fill="FFFFFF"/>
            <w:noWrap/>
            <w:vAlign w:val="bottom"/>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BTU/BBL</w:t>
            </w:r>
          </w:p>
        </w:tc>
        <w:tc>
          <w:tcPr>
            <w:tcW w:w="1311" w:type="dxa"/>
            <w:tcBorders>
              <w:top w:val="nil"/>
              <w:left w:val="nil"/>
              <w:bottom w:val="nil"/>
              <w:right w:val="nil"/>
            </w:tcBorders>
            <w:shd w:val="clear" w:color="000000" w:fill="FFFFFF"/>
            <w:noWrap/>
            <w:vAlign w:val="bottom"/>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5,551,365</w:t>
            </w:r>
          </w:p>
        </w:tc>
      </w:tr>
      <w:tr w:rsidR="00443AB3" w:rsidRPr="00C534A9" w:rsidTr="00A74A3E">
        <w:trPr>
          <w:trHeight w:val="255"/>
          <w:jc w:val="center"/>
        </w:trPr>
        <w:tc>
          <w:tcPr>
            <w:tcW w:w="3808" w:type="dxa"/>
            <w:tcBorders>
              <w:top w:val="nil"/>
              <w:left w:val="nil"/>
              <w:bottom w:val="nil"/>
              <w:right w:val="nil"/>
            </w:tcBorders>
            <w:shd w:val="clear" w:color="000000" w:fill="FFFFFF"/>
            <w:noWrap/>
            <w:vAlign w:val="bottom"/>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Calorific Value LPG</w:t>
            </w:r>
          </w:p>
        </w:tc>
        <w:tc>
          <w:tcPr>
            <w:tcW w:w="1676" w:type="dxa"/>
            <w:tcBorders>
              <w:top w:val="nil"/>
              <w:left w:val="nil"/>
              <w:bottom w:val="nil"/>
              <w:right w:val="nil"/>
            </w:tcBorders>
            <w:shd w:val="clear" w:color="000000" w:fill="FFFFFF"/>
            <w:noWrap/>
            <w:vAlign w:val="bottom"/>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BTU/</w:t>
            </w:r>
            <w:proofErr w:type="spellStart"/>
            <w:r w:rsidRPr="00C534A9">
              <w:rPr>
                <w:rFonts w:ascii="Arial" w:eastAsia="Times New Roman" w:hAnsi="Arial" w:cs="Arial"/>
                <w:color w:val="auto"/>
                <w:sz w:val="22"/>
                <w:szCs w:val="24"/>
              </w:rPr>
              <w:t>lb</w:t>
            </w:r>
            <w:proofErr w:type="spellEnd"/>
          </w:p>
        </w:tc>
        <w:tc>
          <w:tcPr>
            <w:tcW w:w="1311" w:type="dxa"/>
            <w:tcBorders>
              <w:top w:val="nil"/>
              <w:left w:val="nil"/>
              <w:bottom w:val="nil"/>
              <w:right w:val="nil"/>
            </w:tcBorders>
            <w:shd w:val="clear" w:color="000000" w:fill="FFFFFF"/>
            <w:noWrap/>
            <w:vAlign w:val="bottom"/>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21,561</w:t>
            </w:r>
          </w:p>
        </w:tc>
      </w:tr>
      <w:tr w:rsidR="00443AB3" w:rsidRPr="00C534A9" w:rsidTr="00A74A3E">
        <w:trPr>
          <w:trHeight w:val="255"/>
          <w:jc w:val="center"/>
        </w:trPr>
        <w:tc>
          <w:tcPr>
            <w:tcW w:w="3808" w:type="dxa"/>
            <w:tcBorders>
              <w:top w:val="nil"/>
              <w:left w:val="nil"/>
              <w:bottom w:val="nil"/>
              <w:right w:val="nil"/>
            </w:tcBorders>
            <w:shd w:val="clear" w:color="000000" w:fill="FFFFFF"/>
            <w:noWrap/>
            <w:vAlign w:val="bottom"/>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Calorific Value NG</w:t>
            </w:r>
          </w:p>
        </w:tc>
        <w:tc>
          <w:tcPr>
            <w:tcW w:w="1676" w:type="dxa"/>
            <w:tcBorders>
              <w:top w:val="nil"/>
              <w:left w:val="nil"/>
              <w:bottom w:val="nil"/>
              <w:right w:val="nil"/>
            </w:tcBorders>
            <w:shd w:val="clear" w:color="000000" w:fill="FFFFFF"/>
            <w:noWrap/>
            <w:vAlign w:val="bottom"/>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BTU/ft^3</w:t>
            </w:r>
          </w:p>
        </w:tc>
        <w:tc>
          <w:tcPr>
            <w:tcW w:w="1311" w:type="dxa"/>
            <w:tcBorders>
              <w:top w:val="nil"/>
              <w:left w:val="nil"/>
              <w:bottom w:val="nil"/>
              <w:right w:val="nil"/>
            </w:tcBorders>
            <w:shd w:val="clear" w:color="000000" w:fill="FFFFFF"/>
            <w:noWrap/>
            <w:vAlign w:val="bottom"/>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1,050</w:t>
            </w:r>
          </w:p>
        </w:tc>
      </w:tr>
      <w:tr w:rsidR="00443AB3" w:rsidRPr="00C534A9" w:rsidTr="00A74A3E">
        <w:trPr>
          <w:trHeight w:val="255"/>
          <w:jc w:val="center"/>
        </w:trPr>
        <w:tc>
          <w:tcPr>
            <w:tcW w:w="3808" w:type="dxa"/>
            <w:tcBorders>
              <w:top w:val="nil"/>
              <w:left w:val="nil"/>
              <w:bottom w:val="nil"/>
              <w:right w:val="nil"/>
            </w:tcBorders>
            <w:shd w:val="clear" w:color="000000" w:fill="FFFFFF"/>
            <w:noWrap/>
            <w:vAlign w:val="bottom"/>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CO2 content - HFO</w:t>
            </w:r>
          </w:p>
        </w:tc>
        <w:tc>
          <w:tcPr>
            <w:tcW w:w="1676" w:type="dxa"/>
            <w:tcBorders>
              <w:top w:val="nil"/>
              <w:left w:val="nil"/>
              <w:bottom w:val="nil"/>
              <w:right w:val="nil"/>
            </w:tcBorders>
            <w:shd w:val="clear" w:color="000000" w:fill="FFFFFF"/>
            <w:noWrap/>
            <w:vAlign w:val="bottom"/>
          </w:tcPr>
          <w:p w:rsidR="00443AB3" w:rsidRPr="00C534A9" w:rsidRDefault="00443AB3" w:rsidP="00C534A9">
            <w:pPr>
              <w:spacing w:after="0" w:line="240" w:lineRule="auto"/>
              <w:jc w:val="both"/>
              <w:rPr>
                <w:rFonts w:ascii="Arial" w:eastAsia="Times New Roman" w:hAnsi="Arial" w:cs="Arial"/>
                <w:color w:val="auto"/>
                <w:sz w:val="22"/>
                <w:szCs w:val="24"/>
              </w:rPr>
            </w:pPr>
            <w:proofErr w:type="spellStart"/>
            <w:r w:rsidRPr="00C534A9">
              <w:rPr>
                <w:rFonts w:ascii="Arial" w:eastAsia="Times New Roman" w:hAnsi="Arial" w:cs="Arial"/>
                <w:color w:val="auto"/>
                <w:sz w:val="22"/>
                <w:szCs w:val="24"/>
              </w:rPr>
              <w:t>lbs</w:t>
            </w:r>
            <w:proofErr w:type="spellEnd"/>
            <w:r w:rsidRPr="00C534A9">
              <w:rPr>
                <w:rFonts w:ascii="Arial" w:eastAsia="Times New Roman" w:hAnsi="Arial" w:cs="Arial"/>
                <w:color w:val="auto"/>
                <w:sz w:val="22"/>
                <w:szCs w:val="24"/>
              </w:rPr>
              <w:t xml:space="preserve"> / </w:t>
            </w:r>
            <w:proofErr w:type="spellStart"/>
            <w:r w:rsidRPr="00C534A9">
              <w:rPr>
                <w:rFonts w:ascii="Arial" w:eastAsia="Times New Roman" w:hAnsi="Arial" w:cs="Arial"/>
                <w:color w:val="auto"/>
                <w:sz w:val="22"/>
                <w:szCs w:val="24"/>
              </w:rPr>
              <w:t>MMBtu</w:t>
            </w:r>
            <w:proofErr w:type="spellEnd"/>
          </w:p>
        </w:tc>
        <w:tc>
          <w:tcPr>
            <w:tcW w:w="1311" w:type="dxa"/>
            <w:tcBorders>
              <w:top w:val="nil"/>
              <w:left w:val="nil"/>
              <w:bottom w:val="nil"/>
              <w:right w:val="nil"/>
            </w:tcBorders>
            <w:shd w:val="clear" w:color="000000" w:fill="FFFFFF"/>
            <w:noWrap/>
            <w:vAlign w:val="bottom"/>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174</w:t>
            </w:r>
          </w:p>
        </w:tc>
      </w:tr>
      <w:tr w:rsidR="00443AB3" w:rsidRPr="00C534A9" w:rsidTr="00A74A3E">
        <w:trPr>
          <w:trHeight w:val="255"/>
          <w:jc w:val="center"/>
        </w:trPr>
        <w:tc>
          <w:tcPr>
            <w:tcW w:w="3808" w:type="dxa"/>
            <w:tcBorders>
              <w:top w:val="nil"/>
              <w:left w:val="nil"/>
              <w:bottom w:val="nil"/>
              <w:right w:val="nil"/>
            </w:tcBorders>
            <w:shd w:val="clear" w:color="000000" w:fill="FFFFFF"/>
            <w:noWrap/>
            <w:vAlign w:val="bottom"/>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CO2 content - Diesel</w:t>
            </w:r>
          </w:p>
        </w:tc>
        <w:tc>
          <w:tcPr>
            <w:tcW w:w="1676" w:type="dxa"/>
            <w:tcBorders>
              <w:top w:val="nil"/>
              <w:left w:val="nil"/>
              <w:bottom w:val="nil"/>
              <w:right w:val="nil"/>
            </w:tcBorders>
            <w:shd w:val="clear" w:color="000000" w:fill="FFFFFF"/>
            <w:noWrap/>
            <w:vAlign w:val="bottom"/>
          </w:tcPr>
          <w:p w:rsidR="00443AB3" w:rsidRPr="00C534A9" w:rsidRDefault="00443AB3" w:rsidP="00C534A9">
            <w:pPr>
              <w:spacing w:after="0" w:line="240" w:lineRule="auto"/>
              <w:jc w:val="both"/>
              <w:rPr>
                <w:rFonts w:ascii="Arial" w:eastAsia="Times New Roman" w:hAnsi="Arial" w:cs="Arial"/>
                <w:color w:val="auto"/>
                <w:sz w:val="22"/>
                <w:szCs w:val="24"/>
              </w:rPr>
            </w:pPr>
            <w:proofErr w:type="spellStart"/>
            <w:r w:rsidRPr="00C534A9">
              <w:rPr>
                <w:rFonts w:ascii="Arial" w:eastAsia="Times New Roman" w:hAnsi="Arial" w:cs="Arial"/>
                <w:color w:val="auto"/>
                <w:sz w:val="22"/>
                <w:szCs w:val="24"/>
              </w:rPr>
              <w:t>lbs</w:t>
            </w:r>
            <w:proofErr w:type="spellEnd"/>
            <w:r w:rsidRPr="00C534A9">
              <w:rPr>
                <w:rFonts w:ascii="Arial" w:eastAsia="Times New Roman" w:hAnsi="Arial" w:cs="Arial"/>
                <w:color w:val="auto"/>
                <w:sz w:val="22"/>
                <w:szCs w:val="24"/>
              </w:rPr>
              <w:t xml:space="preserve"> / </w:t>
            </w:r>
            <w:proofErr w:type="spellStart"/>
            <w:r w:rsidRPr="00C534A9">
              <w:rPr>
                <w:rFonts w:ascii="Arial" w:eastAsia="Times New Roman" w:hAnsi="Arial" w:cs="Arial"/>
                <w:color w:val="auto"/>
                <w:sz w:val="22"/>
                <w:szCs w:val="24"/>
              </w:rPr>
              <w:t>MMBtu</w:t>
            </w:r>
            <w:proofErr w:type="spellEnd"/>
          </w:p>
        </w:tc>
        <w:tc>
          <w:tcPr>
            <w:tcW w:w="1311" w:type="dxa"/>
            <w:tcBorders>
              <w:top w:val="nil"/>
              <w:left w:val="nil"/>
              <w:bottom w:val="nil"/>
              <w:right w:val="nil"/>
            </w:tcBorders>
            <w:shd w:val="clear" w:color="000000" w:fill="FFFFFF"/>
            <w:noWrap/>
            <w:vAlign w:val="bottom"/>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161</w:t>
            </w:r>
          </w:p>
        </w:tc>
      </w:tr>
      <w:tr w:rsidR="00443AB3" w:rsidRPr="00C534A9" w:rsidTr="00A74A3E">
        <w:trPr>
          <w:trHeight w:val="255"/>
          <w:jc w:val="center"/>
        </w:trPr>
        <w:tc>
          <w:tcPr>
            <w:tcW w:w="3808" w:type="dxa"/>
            <w:tcBorders>
              <w:top w:val="nil"/>
              <w:left w:val="nil"/>
              <w:bottom w:val="nil"/>
              <w:right w:val="nil"/>
            </w:tcBorders>
            <w:shd w:val="clear" w:color="000000" w:fill="FFFFFF"/>
            <w:noWrap/>
            <w:vAlign w:val="bottom"/>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CO2 content - LPG</w:t>
            </w:r>
          </w:p>
        </w:tc>
        <w:tc>
          <w:tcPr>
            <w:tcW w:w="1676" w:type="dxa"/>
            <w:tcBorders>
              <w:top w:val="nil"/>
              <w:left w:val="nil"/>
              <w:bottom w:val="nil"/>
              <w:right w:val="nil"/>
            </w:tcBorders>
            <w:shd w:val="clear" w:color="000000" w:fill="FFFFFF"/>
            <w:noWrap/>
            <w:vAlign w:val="bottom"/>
          </w:tcPr>
          <w:p w:rsidR="00443AB3" w:rsidRPr="00C534A9" w:rsidRDefault="00443AB3" w:rsidP="00C534A9">
            <w:pPr>
              <w:spacing w:after="0" w:line="240" w:lineRule="auto"/>
              <w:jc w:val="both"/>
              <w:rPr>
                <w:rFonts w:ascii="Arial" w:eastAsia="Times New Roman" w:hAnsi="Arial" w:cs="Arial"/>
                <w:color w:val="auto"/>
                <w:sz w:val="22"/>
                <w:szCs w:val="24"/>
              </w:rPr>
            </w:pPr>
            <w:proofErr w:type="spellStart"/>
            <w:r w:rsidRPr="00C534A9">
              <w:rPr>
                <w:rFonts w:ascii="Arial" w:eastAsia="Times New Roman" w:hAnsi="Arial" w:cs="Arial"/>
                <w:color w:val="auto"/>
                <w:sz w:val="22"/>
                <w:szCs w:val="24"/>
              </w:rPr>
              <w:t>lbs</w:t>
            </w:r>
            <w:proofErr w:type="spellEnd"/>
            <w:r w:rsidRPr="00C534A9">
              <w:rPr>
                <w:rFonts w:ascii="Arial" w:eastAsia="Times New Roman" w:hAnsi="Arial" w:cs="Arial"/>
                <w:color w:val="auto"/>
                <w:sz w:val="22"/>
                <w:szCs w:val="24"/>
              </w:rPr>
              <w:t xml:space="preserve"> / </w:t>
            </w:r>
            <w:proofErr w:type="spellStart"/>
            <w:r w:rsidRPr="00C534A9">
              <w:rPr>
                <w:rFonts w:ascii="Arial" w:eastAsia="Times New Roman" w:hAnsi="Arial" w:cs="Arial"/>
                <w:color w:val="auto"/>
                <w:sz w:val="22"/>
                <w:szCs w:val="24"/>
              </w:rPr>
              <w:t>MMBtu</w:t>
            </w:r>
            <w:proofErr w:type="spellEnd"/>
          </w:p>
        </w:tc>
        <w:tc>
          <w:tcPr>
            <w:tcW w:w="1311" w:type="dxa"/>
            <w:tcBorders>
              <w:top w:val="nil"/>
              <w:left w:val="nil"/>
              <w:bottom w:val="nil"/>
              <w:right w:val="nil"/>
            </w:tcBorders>
            <w:shd w:val="clear" w:color="000000" w:fill="FFFFFF"/>
            <w:noWrap/>
            <w:vAlign w:val="bottom"/>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150</w:t>
            </w:r>
          </w:p>
        </w:tc>
      </w:tr>
      <w:tr w:rsidR="00443AB3" w:rsidRPr="00C534A9" w:rsidTr="00A74A3E">
        <w:trPr>
          <w:trHeight w:val="255"/>
          <w:jc w:val="center"/>
        </w:trPr>
        <w:tc>
          <w:tcPr>
            <w:tcW w:w="3808" w:type="dxa"/>
            <w:tcBorders>
              <w:top w:val="nil"/>
              <w:left w:val="nil"/>
              <w:bottom w:val="nil"/>
              <w:right w:val="nil"/>
            </w:tcBorders>
            <w:shd w:val="clear" w:color="000000" w:fill="FFFFFF"/>
            <w:noWrap/>
            <w:vAlign w:val="bottom"/>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CO2 content - NG</w:t>
            </w:r>
          </w:p>
        </w:tc>
        <w:tc>
          <w:tcPr>
            <w:tcW w:w="1676" w:type="dxa"/>
            <w:tcBorders>
              <w:top w:val="nil"/>
              <w:left w:val="nil"/>
              <w:bottom w:val="nil"/>
              <w:right w:val="nil"/>
            </w:tcBorders>
            <w:shd w:val="clear" w:color="000000" w:fill="FFFFFF"/>
            <w:noWrap/>
            <w:vAlign w:val="bottom"/>
          </w:tcPr>
          <w:p w:rsidR="00443AB3" w:rsidRPr="00C534A9" w:rsidRDefault="00443AB3" w:rsidP="00C534A9">
            <w:pPr>
              <w:spacing w:after="0" w:line="240" w:lineRule="auto"/>
              <w:jc w:val="both"/>
              <w:rPr>
                <w:rFonts w:ascii="Arial" w:eastAsia="Times New Roman" w:hAnsi="Arial" w:cs="Arial"/>
                <w:color w:val="auto"/>
                <w:sz w:val="22"/>
                <w:szCs w:val="24"/>
              </w:rPr>
            </w:pPr>
            <w:proofErr w:type="spellStart"/>
            <w:r w:rsidRPr="00C534A9">
              <w:rPr>
                <w:rFonts w:ascii="Arial" w:eastAsia="Times New Roman" w:hAnsi="Arial" w:cs="Arial"/>
                <w:color w:val="auto"/>
                <w:sz w:val="22"/>
                <w:szCs w:val="24"/>
              </w:rPr>
              <w:t>lbs</w:t>
            </w:r>
            <w:proofErr w:type="spellEnd"/>
            <w:r w:rsidRPr="00C534A9">
              <w:rPr>
                <w:rFonts w:ascii="Arial" w:eastAsia="Times New Roman" w:hAnsi="Arial" w:cs="Arial"/>
                <w:color w:val="auto"/>
                <w:sz w:val="22"/>
                <w:szCs w:val="24"/>
              </w:rPr>
              <w:t xml:space="preserve"> / </w:t>
            </w:r>
            <w:proofErr w:type="spellStart"/>
            <w:r w:rsidRPr="00C534A9">
              <w:rPr>
                <w:rFonts w:ascii="Arial" w:eastAsia="Times New Roman" w:hAnsi="Arial" w:cs="Arial"/>
                <w:color w:val="auto"/>
                <w:sz w:val="22"/>
                <w:szCs w:val="24"/>
              </w:rPr>
              <w:t>MMBtu</w:t>
            </w:r>
            <w:proofErr w:type="spellEnd"/>
          </w:p>
        </w:tc>
        <w:tc>
          <w:tcPr>
            <w:tcW w:w="1311" w:type="dxa"/>
            <w:tcBorders>
              <w:top w:val="nil"/>
              <w:left w:val="nil"/>
              <w:bottom w:val="nil"/>
              <w:right w:val="nil"/>
            </w:tcBorders>
            <w:shd w:val="clear" w:color="000000" w:fill="FFFFFF"/>
            <w:noWrap/>
            <w:vAlign w:val="bottom"/>
          </w:tcPr>
          <w:p w:rsidR="00443AB3" w:rsidRPr="00C534A9" w:rsidRDefault="00443AB3"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117</w:t>
            </w:r>
          </w:p>
        </w:tc>
      </w:tr>
    </w:tbl>
    <w:p w:rsidR="006B6437" w:rsidRPr="00C534A9" w:rsidRDefault="006B6437" w:rsidP="00C534A9">
      <w:pPr>
        <w:pStyle w:val="Source"/>
        <w:jc w:val="both"/>
        <w:rPr>
          <w:rFonts w:ascii="Arial" w:hAnsi="Arial" w:cs="Arial"/>
          <w:sz w:val="18"/>
        </w:rPr>
      </w:pPr>
    </w:p>
    <w:p w:rsidR="006B6437" w:rsidRPr="00C534A9" w:rsidRDefault="006B6437" w:rsidP="00C534A9">
      <w:pPr>
        <w:jc w:val="both"/>
        <w:rPr>
          <w:rFonts w:ascii="Arial" w:hAnsi="Arial" w:cs="Arial"/>
          <w:sz w:val="22"/>
        </w:rPr>
      </w:pPr>
      <w:r w:rsidRPr="00C534A9">
        <w:rPr>
          <w:rFonts w:ascii="Arial" w:hAnsi="Arial" w:cs="Arial"/>
          <w:sz w:val="22"/>
        </w:rPr>
        <w:t xml:space="preserve">The assumptions are based on information provided by the NPC, quotes from equipment and service providers, studies from reliable sources, and estimations based on similar projects and technologies. For example, </w:t>
      </w:r>
      <w:r w:rsidR="007A76B8" w:rsidRPr="00C534A9">
        <w:rPr>
          <w:rFonts w:ascii="Arial" w:hAnsi="Arial" w:cs="Arial"/>
          <w:sz w:val="22"/>
        </w:rPr>
        <w:t>NPC determined that a</w:t>
      </w:r>
      <w:r w:rsidRPr="00C534A9">
        <w:rPr>
          <w:rFonts w:ascii="Arial" w:hAnsi="Arial" w:cs="Arial"/>
          <w:sz w:val="22"/>
        </w:rPr>
        <w:t xml:space="preserve"> </w:t>
      </w:r>
      <w:r w:rsidR="007A76B8" w:rsidRPr="00C534A9">
        <w:rPr>
          <w:rFonts w:ascii="Arial" w:hAnsi="Arial" w:cs="Arial"/>
          <w:sz w:val="22"/>
        </w:rPr>
        <w:t>30</w:t>
      </w:r>
      <w:r w:rsidRPr="00C534A9">
        <w:rPr>
          <w:rFonts w:ascii="Arial" w:hAnsi="Arial" w:cs="Arial"/>
          <w:sz w:val="22"/>
        </w:rPr>
        <w:t xml:space="preserve">0 kW scale </w:t>
      </w:r>
      <w:r w:rsidR="007A76B8" w:rsidRPr="00C534A9">
        <w:rPr>
          <w:rFonts w:ascii="Arial" w:hAnsi="Arial" w:cs="Arial"/>
          <w:sz w:val="22"/>
        </w:rPr>
        <w:t xml:space="preserve">solar array </w:t>
      </w:r>
      <w:r w:rsidRPr="00C534A9">
        <w:rPr>
          <w:rFonts w:ascii="Arial" w:hAnsi="Arial" w:cs="Arial"/>
          <w:sz w:val="22"/>
        </w:rPr>
        <w:t xml:space="preserve">would be best suited for their electricity needs and the proposed location of the </w:t>
      </w:r>
      <w:r w:rsidR="00AA4E6F" w:rsidRPr="00C534A9">
        <w:rPr>
          <w:rFonts w:ascii="Arial" w:hAnsi="Arial" w:cs="Arial"/>
          <w:sz w:val="22"/>
        </w:rPr>
        <w:t>PV system</w:t>
      </w:r>
      <w:r w:rsidR="007A76B8" w:rsidRPr="00C534A9">
        <w:rPr>
          <w:rFonts w:ascii="Arial" w:hAnsi="Arial" w:cs="Arial"/>
          <w:sz w:val="22"/>
        </w:rPr>
        <w:t>s</w:t>
      </w:r>
      <w:r w:rsidRPr="00C534A9">
        <w:rPr>
          <w:rFonts w:ascii="Arial" w:hAnsi="Arial" w:cs="Arial"/>
          <w:sz w:val="22"/>
        </w:rPr>
        <w:t xml:space="preserve">. </w:t>
      </w:r>
      <w:r w:rsidR="00E439E9" w:rsidRPr="00C534A9">
        <w:rPr>
          <w:rFonts w:ascii="Arial" w:hAnsi="Arial" w:cs="Arial"/>
          <w:sz w:val="22"/>
        </w:rPr>
        <w:t xml:space="preserve">The PV system expected capacity factor (20%) was also based on data from the equipment provider and NPC. </w:t>
      </w:r>
      <w:r w:rsidR="00734D40" w:rsidRPr="00C534A9">
        <w:rPr>
          <w:rFonts w:ascii="Arial" w:hAnsi="Arial" w:cs="Arial"/>
          <w:sz w:val="22"/>
        </w:rPr>
        <w:t>A</w:t>
      </w:r>
      <w:r w:rsidRPr="00C534A9">
        <w:rPr>
          <w:rFonts w:ascii="Arial" w:hAnsi="Arial" w:cs="Arial"/>
          <w:sz w:val="22"/>
        </w:rPr>
        <w:t xml:space="preserve">ssumptions for avoided cost of fuel oil generation are based on the operating, and maintenance costs of diesel-based generation in Barbados.  The avoided cost of fuel generation is also based on the EIA’s </w:t>
      </w:r>
      <w:r w:rsidR="00D67CE0" w:rsidRPr="00C534A9">
        <w:rPr>
          <w:rFonts w:ascii="Arial" w:hAnsi="Arial" w:cs="Arial"/>
          <w:sz w:val="22"/>
        </w:rPr>
        <w:t>2015</w:t>
      </w:r>
      <w:r w:rsidRPr="00C534A9">
        <w:rPr>
          <w:rFonts w:ascii="Arial" w:hAnsi="Arial" w:cs="Arial"/>
          <w:sz w:val="22"/>
        </w:rPr>
        <w:t xml:space="preserve"> yearly WTI oil price projections, adjusted to reflect the delivered cost of heavy fuel oil in Barbados. The 12 percent discount rate is in line with IDB CBA guidelines.</w:t>
      </w:r>
    </w:p>
    <w:p w:rsidR="006B6437" w:rsidRPr="00C534A9" w:rsidRDefault="006B6437" w:rsidP="00C534A9">
      <w:pPr>
        <w:pStyle w:val="Heading2"/>
        <w:jc w:val="both"/>
        <w:rPr>
          <w:rFonts w:ascii="Arial" w:hAnsi="Arial" w:cs="Arial"/>
          <w:sz w:val="24"/>
        </w:rPr>
      </w:pPr>
      <w:bookmarkStart w:id="107" w:name="_Toc464551517"/>
      <w:r w:rsidRPr="00C534A9">
        <w:rPr>
          <w:rFonts w:ascii="Arial" w:hAnsi="Arial" w:cs="Arial"/>
          <w:sz w:val="24"/>
        </w:rPr>
        <w:t xml:space="preserve">Economic Costs, Economic Benefits, and Net Economic Benefits of the </w:t>
      </w:r>
      <w:r w:rsidR="00AA4E6F" w:rsidRPr="00C534A9">
        <w:rPr>
          <w:rFonts w:ascii="Arial" w:hAnsi="Arial" w:cs="Arial"/>
          <w:sz w:val="24"/>
        </w:rPr>
        <w:t>PV system sub-project</w:t>
      </w:r>
      <w:bookmarkEnd w:id="107"/>
    </w:p>
    <w:p w:rsidR="006B6437" w:rsidRPr="00C534A9" w:rsidRDefault="006B6437" w:rsidP="00C534A9">
      <w:pPr>
        <w:jc w:val="both"/>
        <w:rPr>
          <w:rFonts w:ascii="Arial" w:hAnsi="Arial" w:cs="Arial"/>
          <w:sz w:val="22"/>
        </w:rPr>
      </w:pPr>
      <w:r w:rsidRPr="00C534A9">
        <w:rPr>
          <w:rFonts w:ascii="Arial" w:hAnsi="Arial" w:cs="Arial"/>
          <w:sz w:val="22"/>
        </w:rPr>
        <w:t xml:space="preserve">This section presents the results of the CBA. After comparing the economic costs and benefits of the proposed </w:t>
      </w:r>
      <w:r w:rsidR="00AA4E6F" w:rsidRPr="00C534A9">
        <w:rPr>
          <w:rFonts w:ascii="Arial" w:hAnsi="Arial" w:cs="Arial"/>
          <w:sz w:val="22"/>
        </w:rPr>
        <w:t>PV system</w:t>
      </w:r>
      <w:r w:rsidRPr="00C534A9">
        <w:rPr>
          <w:rFonts w:ascii="Arial" w:hAnsi="Arial" w:cs="Arial"/>
          <w:sz w:val="22"/>
        </w:rPr>
        <w:t xml:space="preserve"> sub-project, the aggregated net benefits </w:t>
      </w:r>
      <w:r w:rsidR="00957ACC" w:rsidRPr="00C534A9">
        <w:rPr>
          <w:rFonts w:ascii="Arial" w:hAnsi="Arial" w:cs="Arial"/>
          <w:sz w:val="22"/>
        </w:rPr>
        <w:t xml:space="preserve">were found to be </w:t>
      </w:r>
      <w:r w:rsidRPr="00C534A9">
        <w:rPr>
          <w:rFonts w:ascii="Arial" w:hAnsi="Arial" w:cs="Arial"/>
          <w:sz w:val="22"/>
        </w:rPr>
        <w:t xml:space="preserve">positive. That means that installing the </w:t>
      </w:r>
      <w:r w:rsidR="00AA4E6F" w:rsidRPr="00C534A9">
        <w:rPr>
          <w:rFonts w:ascii="Arial" w:hAnsi="Arial" w:cs="Arial"/>
          <w:sz w:val="22"/>
        </w:rPr>
        <w:t>PV system</w:t>
      </w:r>
      <w:r w:rsidRPr="00C534A9">
        <w:rPr>
          <w:rFonts w:ascii="Arial" w:hAnsi="Arial" w:cs="Arial"/>
          <w:sz w:val="22"/>
        </w:rPr>
        <w:t xml:space="preserve"> will generate net economic benefits for Barbados.</w:t>
      </w:r>
    </w:p>
    <w:p w:rsidR="006B6437" w:rsidRPr="00C534A9" w:rsidRDefault="006B6437" w:rsidP="00C534A9">
      <w:pPr>
        <w:jc w:val="both"/>
        <w:rPr>
          <w:rFonts w:ascii="Arial" w:hAnsi="Arial" w:cs="Arial"/>
          <w:sz w:val="22"/>
        </w:rPr>
      </w:pPr>
      <w:r w:rsidRPr="00C534A9">
        <w:rPr>
          <w:rFonts w:ascii="Arial" w:hAnsi="Arial" w:cs="Arial"/>
          <w:sz w:val="22"/>
        </w:rPr>
        <w:fldChar w:fldCharType="begin"/>
      </w:r>
      <w:r w:rsidRPr="00C534A9">
        <w:rPr>
          <w:rFonts w:ascii="Arial" w:hAnsi="Arial" w:cs="Arial"/>
          <w:sz w:val="22"/>
        </w:rPr>
        <w:instrText xml:space="preserve"> REF _Ref406058165 \h  \* MERGEFORMAT </w:instrText>
      </w:r>
      <w:r w:rsidRPr="00C534A9">
        <w:rPr>
          <w:rFonts w:ascii="Arial" w:hAnsi="Arial" w:cs="Arial"/>
          <w:sz w:val="22"/>
        </w:rPr>
      </w:r>
      <w:r w:rsidRPr="00C534A9">
        <w:rPr>
          <w:rFonts w:ascii="Arial" w:hAnsi="Arial" w:cs="Arial"/>
          <w:sz w:val="22"/>
        </w:rPr>
        <w:fldChar w:fldCharType="separate"/>
      </w:r>
      <w:r w:rsidR="003F3D75" w:rsidRPr="00C534A9">
        <w:rPr>
          <w:rFonts w:ascii="Arial" w:hAnsi="Arial" w:cs="Arial"/>
          <w:sz w:val="22"/>
        </w:rPr>
        <w:t xml:space="preserve">Table </w:t>
      </w:r>
      <w:r w:rsidR="00006A8B" w:rsidRPr="00C534A9">
        <w:rPr>
          <w:rFonts w:ascii="Arial" w:hAnsi="Arial" w:cs="Arial"/>
          <w:sz w:val="22"/>
        </w:rPr>
        <w:t>5</w:t>
      </w:r>
      <w:r w:rsidR="003F3D75" w:rsidRPr="00C534A9">
        <w:rPr>
          <w:rFonts w:ascii="Arial" w:hAnsi="Arial" w:cs="Arial"/>
          <w:sz w:val="22"/>
        </w:rPr>
        <w:t>.2</w:t>
      </w:r>
      <w:r w:rsidRPr="00C534A9">
        <w:rPr>
          <w:rFonts w:ascii="Arial" w:hAnsi="Arial" w:cs="Arial"/>
          <w:sz w:val="22"/>
        </w:rPr>
        <w:fldChar w:fldCharType="end"/>
      </w:r>
      <w:r w:rsidRPr="00C534A9">
        <w:rPr>
          <w:rFonts w:ascii="Arial" w:hAnsi="Arial" w:cs="Arial"/>
          <w:sz w:val="22"/>
        </w:rPr>
        <w:t xml:space="preserve"> presents the economic costs and benefits of the </w:t>
      </w:r>
      <w:r w:rsidR="00AA4E6F" w:rsidRPr="00C534A9">
        <w:rPr>
          <w:rFonts w:ascii="Arial" w:hAnsi="Arial" w:cs="Arial"/>
          <w:sz w:val="22"/>
        </w:rPr>
        <w:t>PV system</w:t>
      </w:r>
      <w:r w:rsidRPr="00C534A9">
        <w:rPr>
          <w:rFonts w:ascii="Arial" w:hAnsi="Arial" w:cs="Arial"/>
          <w:sz w:val="22"/>
        </w:rPr>
        <w:t xml:space="preserve"> sub-project. </w:t>
      </w:r>
    </w:p>
    <w:p w:rsidR="006B6437" w:rsidRPr="00C534A9" w:rsidRDefault="006B6437" w:rsidP="00C534A9">
      <w:pPr>
        <w:pStyle w:val="Caption"/>
        <w:jc w:val="both"/>
        <w:rPr>
          <w:rFonts w:ascii="Arial" w:hAnsi="Arial" w:cs="Arial"/>
          <w:sz w:val="22"/>
        </w:rPr>
      </w:pPr>
      <w:bookmarkStart w:id="108" w:name="_Toc463508486"/>
      <w:bookmarkStart w:id="109" w:name="_Toc463508982"/>
      <w:proofErr w:type="gramStart"/>
      <w:r w:rsidRPr="00C534A9">
        <w:rPr>
          <w:rFonts w:ascii="Arial" w:hAnsi="Arial" w:cs="Arial"/>
          <w:sz w:val="22"/>
        </w:rPr>
        <w:t xml:space="preserve">Table </w:t>
      </w:r>
      <w:r w:rsidR="007A76B8" w:rsidRPr="00C534A9">
        <w:rPr>
          <w:rFonts w:ascii="Arial" w:hAnsi="Arial" w:cs="Arial"/>
          <w:sz w:val="22"/>
        </w:rPr>
        <w:t>5</w:t>
      </w:r>
      <w:r w:rsidRPr="00C534A9">
        <w:rPr>
          <w:rFonts w:ascii="Arial" w:hAnsi="Arial" w:cs="Arial"/>
          <w:sz w:val="22"/>
        </w:rPr>
        <w:t>.</w:t>
      </w:r>
      <w:proofErr w:type="gramEnd"/>
      <w:r w:rsidR="003343DE" w:rsidRPr="00C534A9">
        <w:rPr>
          <w:rFonts w:ascii="Arial" w:hAnsi="Arial" w:cs="Arial"/>
          <w:sz w:val="22"/>
        </w:rPr>
        <w:fldChar w:fldCharType="begin"/>
      </w:r>
      <w:r w:rsidR="003343DE" w:rsidRPr="00C534A9">
        <w:rPr>
          <w:rFonts w:ascii="Arial" w:hAnsi="Arial" w:cs="Arial"/>
          <w:sz w:val="22"/>
        </w:rPr>
        <w:instrText xml:space="preserve"> SEQ Table \* ARABIC \s 1 </w:instrText>
      </w:r>
      <w:r w:rsidR="003343DE" w:rsidRPr="00C534A9">
        <w:rPr>
          <w:rFonts w:ascii="Arial" w:hAnsi="Arial" w:cs="Arial"/>
          <w:sz w:val="22"/>
        </w:rPr>
        <w:fldChar w:fldCharType="separate"/>
      </w:r>
      <w:r w:rsidR="003F3D75" w:rsidRPr="00C534A9">
        <w:rPr>
          <w:rFonts w:ascii="Arial" w:hAnsi="Arial" w:cs="Arial"/>
          <w:noProof/>
          <w:sz w:val="22"/>
        </w:rPr>
        <w:t>2</w:t>
      </w:r>
      <w:r w:rsidR="003343DE" w:rsidRPr="00C534A9">
        <w:rPr>
          <w:rFonts w:ascii="Arial" w:hAnsi="Arial" w:cs="Arial"/>
          <w:noProof/>
          <w:sz w:val="22"/>
        </w:rPr>
        <w:fldChar w:fldCharType="end"/>
      </w:r>
      <w:r w:rsidRPr="00C534A9">
        <w:rPr>
          <w:rFonts w:ascii="Arial" w:hAnsi="Arial" w:cs="Arial"/>
          <w:sz w:val="22"/>
        </w:rPr>
        <w:t xml:space="preserve">: Economic Costs and Benefits of the </w:t>
      </w:r>
      <w:r w:rsidR="00AA4E6F" w:rsidRPr="00C534A9">
        <w:rPr>
          <w:rFonts w:ascii="Arial" w:hAnsi="Arial" w:cs="Arial"/>
          <w:sz w:val="22"/>
        </w:rPr>
        <w:t>PV system sub-project</w:t>
      </w:r>
      <w:r w:rsidR="003A6A5C" w:rsidRPr="00C534A9">
        <w:rPr>
          <w:rFonts w:ascii="Arial" w:hAnsi="Arial" w:cs="Arial"/>
          <w:sz w:val="22"/>
        </w:rPr>
        <w:t xml:space="preserve"> (US$ ‘000)</w:t>
      </w:r>
      <w:bookmarkEnd w:id="108"/>
      <w:bookmarkEnd w:id="109"/>
    </w:p>
    <w:tbl>
      <w:tblPr>
        <w:tblStyle w:val="TableGrid"/>
        <w:tblW w:w="0" w:type="auto"/>
        <w:tblLook w:val="04A0" w:firstRow="1" w:lastRow="0" w:firstColumn="1" w:lastColumn="0" w:noHBand="0" w:noVBand="1"/>
      </w:tblPr>
      <w:tblGrid>
        <w:gridCol w:w="2540"/>
        <w:gridCol w:w="1320"/>
      </w:tblGrid>
      <w:tr w:rsidR="00FD1DBD" w:rsidRPr="00C534A9" w:rsidTr="00D132E2">
        <w:trPr>
          <w:trHeight w:val="450"/>
        </w:trPr>
        <w:tc>
          <w:tcPr>
            <w:tcW w:w="2540" w:type="dxa"/>
            <w:hideMark/>
          </w:tcPr>
          <w:p w:rsidR="00FD1DBD" w:rsidRPr="00C534A9" w:rsidRDefault="00FD1DBD" w:rsidP="00C534A9">
            <w:pPr>
              <w:jc w:val="both"/>
              <w:rPr>
                <w:rFonts w:ascii="Arial" w:hAnsi="Arial" w:cs="Arial"/>
                <w:sz w:val="22"/>
              </w:rPr>
            </w:pPr>
            <w:r w:rsidRPr="00C534A9">
              <w:rPr>
                <w:rFonts w:ascii="Arial" w:hAnsi="Arial" w:cs="Arial"/>
                <w:sz w:val="22"/>
              </w:rPr>
              <w:t>Present Value - Benefits</w:t>
            </w:r>
          </w:p>
        </w:tc>
        <w:tc>
          <w:tcPr>
            <w:tcW w:w="1320" w:type="dxa"/>
            <w:vAlign w:val="center"/>
            <w:hideMark/>
          </w:tcPr>
          <w:p w:rsidR="00FD1DBD" w:rsidRPr="00C534A9" w:rsidRDefault="00FD1DBD" w:rsidP="00C534A9">
            <w:pPr>
              <w:jc w:val="both"/>
              <w:rPr>
                <w:rFonts w:ascii="Arial" w:hAnsi="Arial" w:cs="Arial"/>
                <w:sz w:val="22"/>
              </w:rPr>
            </w:pPr>
            <w:r w:rsidRPr="00C534A9">
              <w:rPr>
                <w:rFonts w:ascii="Arial" w:hAnsi="Arial" w:cs="Arial"/>
                <w:color w:val="000000"/>
                <w:sz w:val="22"/>
              </w:rPr>
              <w:t xml:space="preserve">$531 </w:t>
            </w:r>
          </w:p>
        </w:tc>
      </w:tr>
      <w:tr w:rsidR="00FD1DBD" w:rsidRPr="00C534A9" w:rsidTr="00D132E2">
        <w:trPr>
          <w:trHeight w:val="450"/>
        </w:trPr>
        <w:tc>
          <w:tcPr>
            <w:tcW w:w="2540" w:type="dxa"/>
            <w:hideMark/>
          </w:tcPr>
          <w:p w:rsidR="00FD1DBD" w:rsidRPr="00C534A9" w:rsidRDefault="00FD1DBD" w:rsidP="00C534A9">
            <w:pPr>
              <w:jc w:val="both"/>
              <w:rPr>
                <w:rFonts w:ascii="Arial" w:hAnsi="Arial" w:cs="Arial"/>
                <w:sz w:val="22"/>
              </w:rPr>
            </w:pPr>
            <w:r w:rsidRPr="00C534A9">
              <w:rPr>
                <w:rFonts w:ascii="Arial" w:hAnsi="Arial" w:cs="Arial"/>
                <w:sz w:val="22"/>
              </w:rPr>
              <w:t>Present Value  - Costs</w:t>
            </w:r>
          </w:p>
        </w:tc>
        <w:tc>
          <w:tcPr>
            <w:tcW w:w="1320" w:type="dxa"/>
            <w:vAlign w:val="center"/>
            <w:hideMark/>
          </w:tcPr>
          <w:p w:rsidR="00FD1DBD" w:rsidRPr="00C534A9" w:rsidRDefault="00FD1DBD" w:rsidP="00C534A9">
            <w:pPr>
              <w:jc w:val="both"/>
              <w:rPr>
                <w:rFonts w:ascii="Arial" w:hAnsi="Arial" w:cs="Arial"/>
                <w:sz w:val="22"/>
              </w:rPr>
            </w:pPr>
            <w:r w:rsidRPr="00C534A9">
              <w:rPr>
                <w:rFonts w:ascii="Arial" w:hAnsi="Arial" w:cs="Arial"/>
                <w:color w:val="FF0000"/>
                <w:sz w:val="22"/>
              </w:rPr>
              <w:t>($487)</w:t>
            </w:r>
          </w:p>
        </w:tc>
      </w:tr>
      <w:tr w:rsidR="00FD1DBD" w:rsidRPr="00C534A9" w:rsidTr="00D132E2">
        <w:trPr>
          <w:trHeight w:val="450"/>
        </w:trPr>
        <w:tc>
          <w:tcPr>
            <w:tcW w:w="2540" w:type="dxa"/>
            <w:hideMark/>
          </w:tcPr>
          <w:p w:rsidR="00FD1DBD" w:rsidRPr="00C534A9" w:rsidRDefault="00FD1DBD" w:rsidP="00C534A9">
            <w:pPr>
              <w:jc w:val="both"/>
              <w:rPr>
                <w:rFonts w:ascii="Arial" w:hAnsi="Arial" w:cs="Arial"/>
                <w:sz w:val="22"/>
              </w:rPr>
            </w:pPr>
            <w:r w:rsidRPr="00C534A9">
              <w:rPr>
                <w:rFonts w:ascii="Arial" w:hAnsi="Arial" w:cs="Arial"/>
                <w:sz w:val="22"/>
              </w:rPr>
              <w:t>Net Present Value</w:t>
            </w:r>
          </w:p>
        </w:tc>
        <w:tc>
          <w:tcPr>
            <w:tcW w:w="1320" w:type="dxa"/>
            <w:vAlign w:val="center"/>
            <w:hideMark/>
          </w:tcPr>
          <w:p w:rsidR="00FD1DBD" w:rsidRPr="00C534A9" w:rsidRDefault="00FD1DBD" w:rsidP="00C534A9">
            <w:pPr>
              <w:jc w:val="both"/>
              <w:rPr>
                <w:rFonts w:ascii="Arial" w:hAnsi="Arial" w:cs="Arial"/>
                <w:sz w:val="22"/>
              </w:rPr>
            </w:pPr>
            <w:r w:rsidRPr="00C534A9">
              <w:rPr>
                <w:rFonts w:ascii="Arial" w:hAnsi="Arial" w:cs="Arial"/>
                <w:color w:val="000000"/>
                <w:sz w:val="22"/>
              </w:rPr>
              <w:t xml:space="preserve">$45 </w:t>
            </w:r>
          </w:p>
        </w:tc>
      </w:tr>
      <w:tr w:rsidR="00FD1DBD" w:rsidRPr="00C534A9" w:rsidTr="00D132E2">
        <w:trPr>
          <w:trHeight w:val="450"/>
        </w:trPr>
        <w:tc>
          <w:tcPr>
            <w:tcW w:w="2540" w:type="dxa"/>
            <w:hideMark/>
          </w:tcPr>
          <w:p w:rsidR="00FD1DBD" w:rsidRPr="00C534A9" w:rsidRDefault="00FD1DBD" w:rsidP="00C534A9">
            <w:pPr>
              <w:jc w:val="both"/>
              <w:rPr>
                <w:rFonts w:ascii="Arial" w:hAnsi="Arial" w:cs="Arial"/>
                <w:sz w:val="22"/>
              </w:rPr>
            </w:pPr>
            <w:r w:rsidRPr="00C534A9">
              <w:rPr>
                <w:rFonts w:ascii="Arial" w:hAnsi="Arial" w:cs="Arial"/>
                <w:sz w:val="22"/>
              </w:rPr>
              <w:t>IRR</w:t>
            </w:r>
          </w:p>
        </w:tc>
        <w:tc>
          <w:tcPr>
            <w:tcW w:w="1320" w:type="dxa"/>
            <w:vAlign w:val="center"/>
            <w:hideMark/>
          </w:tcPr>
          <w:p w:rsidR="00FD1DBD" w:rsidRPr="00C534A9" w:rsidRDefault="00FD1DBD" w:rsidP="00C534A9">
            <w:pPr>
              <w:jc w:val="both"/>
              <w:rPr>
                <w:rFonts w:ascii="Arial" w:hAnsi="Arial" w:cs="Arial"/>
                <w:sz w:val="22"/>
              </w:rPr>
            </w:pPr>
            <w:r w:rsidRPr="00C534A9">
              <w:rPr>
                <w:rFonts w:ascii="Arial" w:hAnsi="Arial" w:cs="Arial"/>
                <w:color w:val="000000"/>
                <w:sz w:val="22"/>
              </w:rPr>
              <w:t>13%</w:t>
            </w:r>
          </w:p>
        </w:tc>
      </w:tr>
    </w:tbl>
    <w:p w:rsidR="006B6437" w:rsidRPr="00C534A9" w:rsidRDefault="006B6437" w:rsidP="00C534A9">
      <w:pPr>
        <w:pStyle w:val="Source"/>
        <w:jc w:val="both"/>
        <w:rPr>
          <w:rFonts w:ascii="Arial" w:hAnsi="Arial" w:cs="Arial"/>
          <w:sz w:val="18"/>
        </w:rPr>
      </w:pPr>
    </w:p>
    <w:p w:rsidR="006B6437" w:rsidRPr="00C534A9" w:rsidRDefault="006B6437" w:rsidP="00C534A9">
      <w:pPr>
        <w:jc w:val="both"/>
        <w:rPr>
          <w:rFonts w:ascii="Arial" w:hAnsi="Arial" w:cs="Arial"/>
          <w:sz w:val="22"/>
          <w:highlight w:val="yellow"/>
        </w:rPr>
      </w:pPr>
      <w:r w:rsidRPr="00C534A9">
        <w:rPr>
          <w:rFonts w:ascii="Arial" w:hAnsi="Arial" w:cs="Arial"/>
          <w:sz w:val="22"/>
        </w:rPr>
        <w:t xml:space="preserve">A detailed schedule of the annual benefits and costs for the </w:t>
      </w:r>
      <w:r w:rsidR="00AA4E6F" w:rsidRPr="00C534A9">
        <w:rPr>
          <w:rFonts w:ascii="Arial" w:hAnsi="Arial" w:cs="Arial"/>
          <w:sz w:val="22"/>
        </w:rPr>
        <w:t>PV system</w:t>
      </w:r>
      <w:r w:rsidRPr="00C534A9">
        <w:rPr>
          <w:rFonts w:ascii="Arial" w:hAnsi="Arial" w:cs="Arial"/>
          <w:sz w:val="22"/>
        </w:rPr>
        <w:t xml:space="preserve"> sub-project is included in Appendix </w:t>
      </w:r>
      <w:r w:rsidR="008670B6" w:rsidRPr="00C534A9">
        <w:rPr>
          <w:rFonts w:ascii="Arial" w:hAnsi="Arial" w:cs="Arial"/>
          <w:sz w:val="22"/>
        </w:rPr>
        <w:t>A</w:t>
      </w:r>
      <w:r w:rsidRPr="00C534A9">
        <w:rPr>
          <w:rFonts w:ascii="Arial" w:hAnsi="Arial" w:cs="Arial"/>
          <w:sz w:val="22"/>
        </w:rPr>
        <w:t>.</w:t>
      </w:r>
    </w:p>
    <w:p w:rsidR="006B6437" w:rsidRPr="00C534A9" w:rsidRDefault="006B6437" w:rsidP="00C534A9">
      <w:pPr>
        <w:pStyle w:val="Heading2"/>
        <w:jc w:val="both"/>
        <w:rPr>
          <w:rFonts w:ascii="Arial" w:hAnsi="Arial" w:cs="Arial"/>
          <w:sz w:val="24"/>
        </w:rPr>
      </w:pPr>
      <w:bookmarkStart w:id="110" w:name="_Toc464551518"/>
      <w:r w:rsidRPr="00C534A9">
        <w:rPr>
          <w:rFonts w:ascii="Arial" w:hAnsi="Arial" w:cs="Arial"/>
          <w:sz w:val="24"/>
        </w:rPr>
        <w:t xml:space="preserve">Sensitivity Analysis of the </w:t>
      </w:r>
      <w:r w:rsidR="00AA4E6F" w:rsidRPr="00C534A9">
        <w:rPr>
          <w:rFonts w:ascii="Arial" w:hAnsi="Arial" w:cs="Arial"/>
          <w:sz w:val="24"/>
        </w:rPr>
        <w:t>PV system</w:t>
      </w:r>
      <w:r w:rsidRPr="00C534A9">
        <w:rPr>
          <w:rFonts w:ascii="Arial" w:hAnsi="Arial" w:cs="Arial"/>
          <w:sz w:val="24"/>
        </w:rPr>
        <w:t xml:space="preserve"> sub-project</w:t>
      </w:r>
      <w:bookmarkEnd w:id="110"/>
    </w:p>
    <w:p w:rsidR="006B6437" w:rsidRPr="00C534A9" w:rsidRDefault="00957ACC" w:rsidP="00C534A9">
      <w:pPr>
        <w:jc w:val="both"/>
        <w:rPr>
          <w:rFonts w:ascii="Arial" w:hAnsi="Arial" w:cs="Arial"/>
          <w:sz w:val="22"/>
        </w:rPr>
      </w:pPr>
      <w:r w:rsidRPr="00C534A9">
        <w:rPr>
          <w:rFonts w:ascii="Arial" w:hAnsi="Arial" w:cs="Arial"/>
          <w:sz w:val="22"/>
        </w:rPr>
        <w:t>A</w:t>
      </w:r>
      <w:r w:rsidR="006B6437" w:rsidRPr="00C534A9">
        <w:rPr>
          <w:rFonts w:ascii="Arial" w:hAnsi="Arial" w:cs="Arial"/>
          <w:sz w:val="22"/>
        </w:rPr>
        <w:t xml:space="preserve"> sensitivity analysis </w:t>
      </w:r>
      <w:r w:rsidRPr="00C534A9">
        <w:rPr>
          <w:rFonts w:ascii="Arial" w:hAnsi="Arial" w:cs="Arial"/>
          <w:sz w:val="22"/>
        </w:rPr>
        <w:t xml:space="preserve">was conducted </w:t>
      </w:r>
      <w:r w:rsidR="006B6437" w:rsidRPr="00C534A9">
        <w:rPr>
          <w:rFonts w:ascii="Arial" w:hAnsi="Arial" w:cs="Arial"/>
          <w:sz w:val="22"/>
        </w:rPr>
        <w:t xml:space="preserve">to estimate how changes in key variables used in the CBA would impact the </w:t>
      </w:r>
      <w:r w:rsidR="00AA4E6F" w:rsidRPr="00C534A9">
        <w:rPr>
          <w:rFonts w:ascii="Arial" w:hAnsi="Arial" w:cs="Arial"/>
          <w:sz w:val="22"/>
        </w:rPr>
        <w:t>PV system</w:t>
      </w:r>
      <w:r w:rsidR="006B6437" w:rsidRPr="00C534A9">
        <w:rPr>
          <w:rFonts w:ascii="Arial" w:hAnsi="Arial" w:cs="Arial"/>
          <w:sz w:val="22"/>
        </w:rPr>
        <w:t xml:space="preserve">’s estimated economic viability. The independent variables included in the sensitivity analysis are the price of oil, the price of CO2, and the solar </w:t>
      </w:r>
      <w:r w:rsidR="007A76B8" w:rsidRPr="00C534A9">
        <w:rPr>
          <w:rFonts w:ascii="Arial" w:hAnsi="Arial" w:cs="Arial"/>
          <w:sz w:val="22"/>
        </w:rPr>
        <w:t>plant’s</w:t>
      </w:r>
      <w:r w:rsidR="006B6437" w:rsidRPr="00C534A9">
        <w:rPr>
          <w:rFonts w:ascii="Arial" w:hAnsi="Arial" w:cs="Arial"/>
          <w:sz w:val="22"/>
        </w:rPr>
        <w:t xml:space="preserve"> capacity factor. </w:t>
      </w:r>
      <w:r w:rsidRPr="00C534A9">
        <w:rPr>
          <w:rFonts w:ascii="Arial" w:hAnsi="Arial" w:cs="Arial"/>
          <w:sz w:val="22"/>
        </w:rPr>
        <w:t>T</w:t>
      </w:r>
      <w:r w:rsidR="006B6437" w:rsidRPr="00C534A9">
        <w:rPr>
          <w:rFonts w:ascii="Arial" w:hAnsi="Arial" w:cs="Arial"/>
          <w:sz w:val="22"/>
        </w:rPr>
        <w:t xml:space="preserve">hese variables </w:t>
      </w:r>
      <w:r w:rsidRPr="00C534A9">
        <w:rPr>
          <w:rFonts w:ascii="Arial" w:hAnsi="Arial" w:cs="Arial"/>
          <w:sz w:val="22"/>
        </w:rPr>
        <w:t xml:space="preserve">were selected </w:t>
      </w:r>
      <w:r w:rsidR="006B6437" w:rsidRPr="00C534A9">
        <w:rPr>
          <w:rFonts w:ascii="Arial" w:hAnsi="Arial" w:cs="Arial"/>
          <w:sz w:val="22"/>
        </w:rPr>
        <w:t xml:space="preserve">based on the likelihood that they could change and they could have a material impact on the </w:t>
      </w:r>
      <w:r w:rsidR="00AA4E6F" w:rsidRPr="00C534A9">
        <w:rPr>
          <w:rFonts w:ascii="Arial" w:hAnsi="Arial" w:cs="Arial"/>
          <w:sz w:val="22"/>
        </w:rPr>
        <w:t>PV system</w:t>
      </w:r>
      <w:r w:rsidR="006B6437" w:rsidRPr="00C534A9">
        <w:rPr>
          <w:rFonts w:ascii="Arial" w:hAnsi="Arial" w:cs="Arial"/>
          <w:sz w:val="22"/>
        </w:rPr>
        <w:t xml:space="preserve">’s economic viability if they did change. </w:t>
      </w:r>
    </w:p>
    <w:p w:rsidR="006B6437" w:rsidRPr="00C534A9" w:rsidRDefault="00957ACC" w:rsidP="00C534A9">
      <w:pPr>
        <w:jc w:val="both"/>
        <w:rPr>
          <w:rFonts w:ascii="Arial" w:hAnsi="Arial" w:cs="Arial"/>
          <w:sz w:val="22"/>
        </w:rPr>
      </w:pPr>
      <w:r w:rsidRPr="00C534A9">
        <w:rPr>
          <w:rFonts w:ascii="Arial" w:hAnsi="Arial" w:cs="Arial"/>
          <w:sz w:val="22"/>
        </w:rPr>
        <w:t>T</w:t>
      </w:r>
      <w:r w:rsidR="006B6437" w:rsidRPr="00C534A9">
        <w:rPr>
          <w:rFonts w:ascii="Arial" w:hAnsi="Arial" w:cs="Arial"/>
          <w:sz w:val="22"/>
        </w:rPr>
        <w:t xml:space="preserve">he </w:t>
      </w:r>
      <w:r w:rsidR="00AA4E6F" w:rsidRPr="00C534A9">
        <w:rPr>
          <w:rFonts w:ascii="Arial" w:hAnsi="Arial" w:cs="Arial"/>
          <w:sz w:val="22"/>
        </w:rPr>
        <w:t>PV system</w:t>
      </w:r>
      <w:r w:rsidR="006B6437" w:rsidRPr="00C534A9">
        <w:rPr>
          <w:rFonts w:ascii="Arial" w:hAnsi="Arial" w:cs="Arial"/>
          <w:sz w:val="22"/>
        </w:rPr>
        <w:t xml:space="preserve"> remains economically viable when the key variables change to extreme values. </w:t>
      </w:r>
      <w:r w:rsidR="008670B6" w:rsidRPr="00C534A9">
        <w:rPr>
          <w:rFonts w:ascii="Arial" w:hAnsi="Arial" w:cs="Arial"/>
          <w:sz w:val="22"/>
        </w:rPr>
        <w:t>Variations in the PV system’s capacity factor had the greatest impact on the sub-project’s NPV, while variations in the price of CO2 had relatively little impact</w:t>
      </w:r>
      <w:r w:rsidR="006B6437" w:rsidRPr="00C534A9">
        <w:rPr>
          <w:rFonts w:ascii="Arial" w:hAnsi="Arial" w:cs="Arial"/>
          <w:sz w:val="22"/>
        </w:rPr>
        <w:t xml:space="preserve">. </w:t>
      </w:r>
      <w:r w:rsidRPr="00C534A9">
        <w:rPr>
          <w:rFonts w:ascii="Arial" w:hAnsi="Arial" w:cs="Arial"/>
          <w:sz w:val="22"/>
        </w:rPr>
        <w:t>T</w:t>
      </w:r>
      <w:r w:rsidR="006B6437" w:rsidRPr="00C534A9">
        <w:rPr>
          <w:rFonts w:ascii="Arial" w:hAnsi="Arial" w:cs="Arial"/>
          <w:sz w:val="22"/>
        </w:rPr>
        <w:t>his section discuss</w:t>
      </w:r>
      <w:r w:rsidRPr="00C534A9">
        <w:rPr>
          <w:rFonts w:ascii="Arial" w:hAnsi="Arial" w:cs="Arial"/>
          <w:sz w:val="22"/>
        </w:rPr>
        <w:t>es</w:t>
      </w:r>
      <w:r w:rsidR="006B6437" w:rsidRPr="00C534A9">
        <w:rPr>
          <w:rFonts w:ascii="Arial" w:hAnsi="Arial" w:cs="Arial"/>
          <w:sz w:val="22"/>
        </w:rPr>
        <w:t xml:space="preserve"> in more detail the effects of:</w:t>
      </w:r>
    </w:p>
    <w:p w:rsidR="006B6437" w:rsidRPr="00C534A9" w:rsidRDefault="006B6437" w:rsidP="00C534A9">
      <w:pPr>
        <w:pStyle w:val="ListParagraph"/>
        <w:numPr>
          <w:ilvl w:val="0"/>
          <w:numId w:val="32"/>
        </w:numPr>
        <w:jc w:val="both"/>
        <w:rPr>
          <w:rFonts w:ascii="Arial" w:eastAsia="Arial" w:hAnsi="Arial" w:cs="Arial"/>
          <w:sz w:val="22"/>
        </w:rPr>
      </w:pPr>
      <w:r w:rsidRPr="00C534A9">
        <w:rPr>
          <w:rFonts w:ascii="Arial" w:hAnsi="Arial" w:cs="Arial"/>
          <w:sz w:val="22"/>
        </w:rPr>
        <w:t>Changing the oil price</w:t>
      </w:r>
    </w:p>
    <w:p w:rsidR="006B6437" w:rsidRPr="00C534A9" w:rsidRDefault="006B6437" w:rsidP="00C534A9">
      <w:pPr>
        <w:pStyle w:val="ListParagraph"/>
        <w:numPr>
          <w:ilvl w:val="0"/>
          <w:numId w:val="32"/>
        </w:numPr>
        <w:jc w:val="both"/>
        <w:rPr>
          <w:rFonts w:ascii="Arial" w:eastAsia="Arial" w:hAnsi="Arial" w:cs="Arial"/>
          <w:sz w:val="22"/>
        </w:rPr>
      </w:pPr>
      <w:r w:rsidRPr="00C534A9">
        <w:rPr>
          <w:rFonts w:ascii="Arial" w:hAnsi="Arial" w:cs="Arial"/>
          <w:sz w:val="22"/>
        </w:rPr>
        <w:t>Changing the CO2 price</w:t>
      </w:r>
    </w:p>
    <w:p w:rsidR="006B6437" w:rsidRPr="00C534A9" w:rsidRDefault="006B6437" w:rsidP="00C534A9">
      <w:pPr>
        <w:pStyle w:val="ListParagraph"/>
        <w:numPr>
          <w:ilvl w:val="0"/>
          <w:numId w:val="32"/>
        </w:numPr>
        <w:jc w:val="both"/>
        <w:rPr>
          <w:rFonts w:ascii="Arial" w:eastAsia="Arial" w:hAnsi="Arial" w:cs="Arial"/>
          <w:sz w:val="22"/>
        </w:rPr>
      </w:pPr>
      <w:r w:rsidRPr="00C534A9">
        <w:rPr>
          <w:rFonts w:ascii="Arial" w:hAnsi="Arial" w:cs="Arial"/>
          <w:sz w:val="22"/>
        </w:rPr>
        <w:t>Changing the solar p</w:t>
      </w:r>
      <w:r w:rsidR="007A76B8" w:rsidRPr="00C534A9">
        <w:rPr>
          <w:rFonts w:ascii="Arial" w:hAnsi="Arial" w:cs="Arial"/>
          <w:sz w:val="22"/>
        </w:rPr>
        <w:t>lant</w:t>
      </w:r>
      <w:r w:rsidRPr="00C534A9">
        <w:rPr>
          <w:rFonts w:ascii="Arial" w:hAnsi="Arial" w:cs="Arial"/>
          <w:sz w:val="22"/>
        </w:rPr>
        <w:t xml:space="preserve"> capacity factor</w:t>
      </w:r>
    </w:p>
    <w:p w:rsidR="006B6437" w:rsidRPr="00C534A9" w:rsidRDefault="006B6437" w:rsidP="00C534A9">
      <w:pPr>
        <w:jc w:val="both"/>
        <w:rPr>
          <w:rFonts w:ascii="Arial" w:hAnsi="Arial" w:cs="Arial"/>
          <w:sz w:val="22"/>
        </w:rPr>
      </w:pPr>
      <w:r w:rsidRPr="00C534A9">
        <w:rPr>
          <w:rFonts w:ascii="Arial" w:hAnsi="Arial" w:cs="Arial"/>
          <w:sz w:val="22"/>
        </w:rPr>
        <w:fldChar w:fldCharType="begin"/>
      </w:r>
      <w:r w:rsidRPr="00C534A9">
        <w:rPr>
          <w:rFonts w:ascii="Arial" w:hAnsi="Arial" w:cs="Arial"/>
          <w:sz w:val="22"/>
        </w:rPr>
        <w:instrText xml:space="preserve"> REF _Ref423452859 \h  \* MERGEFORMAT </w:instrText>
      </w:r>
      <w:r w:rsidRPr="00C534A9">
        <w:rPr>
          <w:rFonts w:ascii="Arial" w:hAnsi="Arial" w:cs="Arial"/>
          <w:sz w:val="22"/>
        </w:rPr>
      </w:r>
      <w:r w:rsidRPr="00C534A9">
        <w:rPr>
          <w:rFonts w:ascii="Arial" w:hAnsi="Arial" w:cs="Arial"/>
          <w:sz w:val="22"/>
        </w:rPr>
        <w:fldChar w:fldCharType="separate"/>
      </w:r>
      <w:r w:rsidR="003F3D75" w:rsidRPr="00C534A9">
        <w:rPr>
          <w:rFonts w:ascii="Arial" w:hAnsi="Arial" w:cs="Arial"/>
          <w:sz w:val="22"/>
        </w:rPr>
        <w:t xml:space="preserve">Table </w:t>
      </w:r>
      <w:r w:rsidR="00006A8B" w:rsidRPr="00C534A9">
        <w:rPr>
          <w:rFonts w:ascii="Arial" w:hAnsi="Arial" w:cs="Arial"/>
          <w:sz w:val="22"/>
        </w:rPr>
        <w:t>5</w:t>
      </w:r>
      <w:r w:rsidR="003F3D75" w:rsidRPr="00C534A9">
        <w:rPr>
          <w:rFonts w:ascii="Arial" w:hAnsi="Arial" w:cs="Arial"/>
          <w:sz w:val="22"/>
        </w:rPr>
        <w:t>.3</w:t>
      </w:r>
      <w:r w:rsidRPr="00C534A9">
        <w:rPr>
          <w:rFonts w:ascii="Arial" w:hAnsi="Arial" w:cs="Arial"/>
          <w:sz w:val="22"/>
        </w:rPr>
        <w:fldChar w:fldCharType="end"/>
      </w:r>
      <w:r w:rsidRPr="00C534A9">
        <w:rPr>
          <w:rFonts w:ascii="Arial" w:hAnsi="Arial" w:cs="Arial"/>
          <w:sz w:val="22"/>
        </w:rPr>
        <w:t xml:space="preserve"> presents the results of changing the price of oil. </w:t>
      </w:r>
      <w:r w:rsidR="009F2643" w:rsidRPr="00C534A9">
        <w:rPr>
          <w:rFonts w:ascii="Arial" w:hAnsi="Arial" w:cs="Arial"/>
          <w:sz w:val="22"/>
        </w:rPr>
        <w:t>The table shows</w:t>
      </w:r>
      <w:r w:rsidRPr="00C534A9">
        <w:rPr>
          <w:rFonts w:ascii="Arial" w:hAnsi="Arial" w:cs="Arial"/>
          <w:sz w:val="22"/>
        </w:rPr>
        <w:t xml:space="preserve"> the present value of the costs, benefits, and net benefits of the </w:t>
      </w:r>
      <w:r w:rsidR="00AA4E6F" w:rsidRPr="00C534A9">
        <w:rPr>
          <w:rFonts w:ascii="Arial" w:hAnsi="Arial" w:cs="Arial"/>
          <w:sz w:val="22"/>
        </w:rPr>
        <w:t>PV system</w:t>
      </w:r>
      <w:r w:rsidRPr="00C534A9">
        <w:rPr>
          <w:rFonts w:ascii="Arial" w:hAnsi="Arial" w:cs="Arial"/>
          <w:sz w:val="22"/>
        </w:rPr>
        <w:t xml:space="preserve"> for a high case </w:t>
      </w:r>
      <w:r w:rsidR="00477C13" w:rsidRPr="00C534A9">
        <w:rPr>
          <w:rFonts w:ascii="Arial" w:hAnsi="Arial" w:cs="Arial"/>
          <w:sz w:val="22"/>
        </w:rPr>
        <w:t xml:space="preserve">(under the EIA </w:t>
      </w:r>
      <w:r w:rsidR="00D67CE0" w:rsidRPr="00C534A9">
        <w:rPr>
          <w:rFonts w:ascii="Arial" w:hAnsi="Arial" w:cs="Arial"/>
          <w:sz w:val="22"/>
        </w:rPr>
        <w:t>2015</w:t>
      </w:r>
      <w:r w:rsidR="00477C13" w:rsidRPr="00C534A9">
        <w:rPr>
          <w:rFonts w:ascii="Arial" w:hAnsi="Arial" w:cs="Arial"/>
          <w:sz w:val="22"/>
        </w:rPr>
        <w:t xml:space="preserve"> AEO High Oil Price projection) and low case (under the EIA </w:t>
      </w:r>
      <w:r w:rsidR="00D67CE0" w:rsidRPr="00C534A9">
        <w:rPr>
          <w:rFonts w:ascii="Arial" w:hAnsi="Arial" w:cs="Arial"/>
          <w:sz w:val="22"/>
        </w:rPr>
        <w:t>2015</w:t>
      </w:r>
      <w:r w:rsidR="00477C13" w:rsidRPr="00C534A9">
        <w:rPr>
          <w:rFonts w:ascii="Arial" w:hAnsi="Arial" w:cs="Arial"/>
          <w:sz w:val="22"/>
        </w:rPr>
        <w:t xml:space="preserve"> AEO Low Oil Price projection) as well as the base case (annual oil price projections are based on the EIA </w:t>
      </w:r>
      <w:r w:rsidR="00D67CE0" w:rsidRPr="00C534A9">
        <w:rPr>
          <w:rFonts w:ascii="Arial" w:hAnsi="Arial" w:cs="Arial"/>
          <w:sz w:val="22"/>
        </w:rPr>
        <w:t>2015</w:t>
      </w:r>
      <w:r w:rsidR="00477C13" w:rsidRPr="00C534A9">
        <w:rPr>
          <w:rFonts w:ascii="Arial" w:hAnsi="Arial" w:cs="Arial"/>
          <w:sz w:val="22"/>
        </w:rPr>
        <w:t xml:space="preserve"> Reference Case price projection)</w:t>
      </w:r>
      <w:r w:rsidRPr="00C534A9">
        <w:rPr>
          <w:rFonts w:ascii="Arial" w:hAnsi="Arial" w:cs="Arial"/>
          <w:sz w:val="22"/>
        </w:rPr>
        <w:t xml:space="preserve">. The table shows that </w:t>
      </w:r>
      <w:r w:rsidR="006C53DB" w:rsidRPr="00C534A9">
        <w:rPr>
          <w:rFonts w:ascii="Arial" w:hAnsi="Arial" w:cs="Arial"/>
          <w:sz w:val="22"/>
        </w:rPr>
        <w:t>under the Low</w:t>
      </w:r>
      <w:r w:rsidRPr="00C534A9">
        <w:rPr>
          <w:rFonts w:ascii="Arial" w:hAnsi="Arial" w:cs="Arial"/>
          <w:sz w:val="22"/>
        </w:rPr>
        <w:t xml:space="preserve"> oil price </w:t>
      </w:r>
      <w:r w:rsidR="006C53DB" w:rsidRPr="00C534A9">
        <w:rPr>
          <w:rFonts w:ascii="Arial" w:hAnsi="Arial" w:cs="Arial"/>
          <w:sz w:val="22"/>
        </w:rPr>
        <w:t>scenario,</w:t>
      </w:r>
      <w:r w:rsidRPr="00C534A9">
        <w:rPr>
          <w:rFonts w:ascii="Arial" w:hAnsi="Arial" w:cs="Arial"/>
          <w:sz w:val="22"/>
        </w:rPr>
        <w:t xml:space="preserve"> the sub-project </w:t>
      </w:r>
      <w:r w:rsidR="00F469E3" w:rsidRPr="00C534A9">
        <w:rPr>
          <w:rFonts w:ascii="Arial" w:hAnsi="Arial" w:cs="Arial"/>
          <w:sz w:val="22"/>
        </w:rPr>
        <w:t>is marginally un</w:t>
      </w:r>
      <w:r w:rsidRPr="00C534A9">
        <w:rPr>
          <w:rFonts w:ascii="Arial" w:hAnsi="Arial" w:cs="Arial"/>
          <w:sz w:val="22"/>
        </w:rPr>
        <w:t>economic, with an aggregate NPV of US$</w:t>
      </w:r>
      <w:r w:rsidR="00F469E3" w:rsidRPr="00C534A9">
        <w:rPr>
          <w:rFonts w:ascii="Arial" w:hAnsi="Arial" w:cs="Arial"/>
          <w:sz w:val="22"/>
        </w:rPr>
        <w:t>-</w:t>
      </w:r>
      <w:r w:rsidR="00FD1DBD" w:rsidRPr="00C534A9">
        <w:rPr>
          <w:rFonts w:ascii="Arial" w:hAnsi="Arial" w:cs="Arial"/>
          <w:sz w:val="22"/>
        </w:rPr>
        <w:t>78</w:t>
      </w:r>
      <w:r w:rsidR="00F469E3" w:rsidRPr="00C534A9">
        <w:rPr>
          <w:rFonts w:ascii="Arial" w:hAnsi="Arial" w:cs="Arial"/>
          <w:sz w:val="22"/>
        </w:rPr>
        <w:t>,000</w:t>
      </w:r>
      <w:r w:rsidRPr="00C534A9">
        <w:rPr>
          <w:rFonts w:ascii="Arial" w:hAnsi="Arial" w:cs="Arial"/>
          <w:sz w:val="22"/>
        </w:rPr>
        <w:t>.</w:t>
      </w:r>
      <w:r w:rsidR="00F469E3" w:rsidRPr="00C534A9">
        <w:rPr>
          <w:rFonts w:ascii="Arial" w:hAnsi="Arial" w:cs="Arial"/>
          <w:sz w:val="22"/>
        </w:rPr>
        <w:t xml:space="preserve"> This implies that under a low oil price scenario the return from the PV system investment would be less than the 12% discount rate. Indeed, the IRR in this scenario is </w:t>
      </w:r>
      <w:r w:rsidR="00FD1DBD" w:rsidRPr="00C534A9">
        <w:rPr>
          <w:rFonts w:ascii="Arial" w:hAnsi="Arial" w:cs="Arial"/>
          <w:sz w:val="22"/>
        </w:rPr>
        <w:t>9</w:t>
      </w:r>
      <w:r w:rsidR="00F469E3" w:rsidRPr="00C534A9">
        <w:rPr>
          <w:rFonts w:ascii="Arial" w:hAnsi="Arial" w:cs="Arial"/>
          <w:sz w:val="22"/>
        </w:rPr>
        <w:t>%, slightly below the 12% hurdle rate.</w:t>
      </w:r>
      <w:r w:rsidRPr="00C534A9">
        <w:rPr>
          <w:rFonts w:ascii="Arial" w:hAnsi="Arial" w:cs="Arial"/>
          <w:sz w:val="22"/>
        </w:rPr>
        <w:t xml:space="preserve"> In the high oil price scenario, the aggregate NPV increases to US$</w:t>
      </w:r>
      <w:r w:rsidR="006C53DB" w:rsidRPr="00C534A9">
        <w:rPr>
          <w:rFonts w:ascii="Arial" w:hAnsi="Arial" w:cs="Arial"/>
          <w:sz w:val="22"/>
        </w:rPr>
        <w:t>37</w:t>
      </w:r>
      <w:r w:rsidR="00FD1DBD" w:rsidRPr="00C534A9">
        <w:rPr>
          <w:rFonts w:ascii="Arial" w:hAnsi="Arial" w:cs="Arial"/>
          <w:sz w:val="22"/>
        </w:rPr>
        <w:t>1</w:t>
      </w:r>
      <w:r w:rsidR="00F469E3" w:rsidRPr="00C534A9">
        <w:rPr>
          <w:rFonts w:ascii="Arial" w:hAnsi="Arial" w:cs="Arial"/>
          <w:sz w:val="22"/>
        </w:rPr>
        <w:t>,000</w:t>
      </w:r>
      <w:r w:rsidR="006C53DB" w:rsidRPr="00C534A9">
        <w:rPr>
          <w:rFonts w:ascii="Arial" w:hAnsi="Arial" w:cs="Arial"/>
          <w:sz w:val="22"/>
        </w:rPr>
        <w:t xml:space="preserve"> and an EIRR of 22%</w:t>
      </w:r>
      <w:r w:rsidRPr="00C534A9">
        <w:rPr>
          <w:rFonts w:ascii="Arial" w:hAnsi="Arial" w:cs="Arial"/>
          <w:sz w:val="22"/>
        </w:rPr>
        <w:t>.</w:t>
      </w:r>
    </w:p>
    <w:p w:rsidR="006B6437" w:rsidRPr="00C534A9" w:rsidRDefault="006B6437" w:rsidP="00C534A9">
      <w:pPr>
        <w:pStyle w:val="Caption"/>
        <w:jc w:val="both"/>
        <w:rPr>
          <w:rFonts w:ascii="Arial" w:hAnsi="Arial" w:cs="Arial"/>
          <w:sz w:val="22"/>
        </w:rPr>
      </w:pPr>
      <w:bookmarkStart w:id="111" w:name="_Toc463508487"/>
      <w:bookmarkStart w:id="112" w:name="_Toc463508983"/>
      <w:proofErr w:type="gramStart"/>
      <w:r w:rsidRPr="00C534A9">
        <w:rPr>
          <w:rFonts w:ascii="Arial" w:hAnsi="Arial" w:cs="Arial"/>
          <w:sz w:val="22"/>
        </w:rPr>
        <w:t xml:space="preserve">Table </w:t>
      </w:r>
      <w:r w:rsidR="007A76B8" w:rsidRPr="00C534A9">
        <w:rPr>
          <w:rFonts w:ascii="Arial" w:hAnsi="Arial" w:cs="Arial"/>
          <w:sz w:val="22"/>
        </w:rPr>
        <w:t>5</w:t>
      </w:r>
      <w:r w:rsidRPr="00C534A9">
        <w:rPr>
          <w:rFonts w:ascii="Arial" w:hAnsi="Arial" w:cs="Arial"/>
          <w:sz w:val="22"/>
        </w:rPr>
        <w:t>.</w:t>
      </w:r>
      <w:proofErr w:type="gramEnd"/>
      <w:r w:rsidR="003343DE" w:rsidRPr="00C534A9">
        <w:rPr>
          <w:rFonts w:ascii="Arial" w:hAnsi="Arial" w:cs="Arial"/>
          <w:sz w:val="22"/>
        </w:rPr>
        <w:fldChar w:fldCharType="begin"/>
      </w:r>
      <w:r w:rsidR="003343DE" w:rsidRPr="00C534A9">
        <w:rPr>
          <w:rFonts w:ascii="Arial" w:hAnsi="Arial" w:cs="Arial"/>
          <w:sz w:val="22"/>
        </w:rPr>
        <w:instrText xml:space="preserve"> SEQ Table \* ARABIC \s 1 </w:instrText>
      </w:r>
      <w:r w:rsidR="003343DE" w:rsidRPr="00C534A9">
        <w:rPr>
          <w:rFonts w:ascii="Arial" w:hAnsi="Arial" w:cs="Arial"/>
          <w:sz w:val="22"/>
        </w:rPr>
        <w:fldChar w:fldCharType="separate"/>
      </w:r>
      <w:r w:rsidR="003F3D75" w:rsidRPr="00C534A9">
        <w:rPr>
          <w:rFonts w:ascii="Arial" w:hAnsi="Arial" w:cs="Arial"/>
          <w:noProof/>
          <w:sz w:val="22"/>
        </w:rPr>
        <w:t>3</w:t>
      </w:r>
      <w:r w:rsidR="003343DE" w:rsidRPr="00C534A9">
        <w:rPr>
          <w:rFonts w:ascii="Arial" w:hAnsi="Arial" w:cs="Arial"/>
          <w:noProof/>
          <w:sz w:val="22"/>
        </w:rPr>
        <w:fldChar w:fldCharType="end"/>
      </w:r>
      <w:r w:rsidRPr="00C534A9">
        <w:rPr>
          <w:rFonts w:ascii="Arial" w:hAnsi="Arial" w:cs="Arial"/>
          <w:sz w:val="22"/>
        </w:rPr>
        <w:t>: CBA Sensitivity to oil price</w:t>
      </w:r>
      <w:r w:rsidR="003A6A5C" w:rsidRPr="00C534A9">
        <w:rPr>
          <w:rFonts w:ascii="Arial" w:hAnsi="Arial" w:cs="Arial"/>
          <w:sz w:val="22"/>
        </w:rPr>
        <w:t xml:space="preserve"> (US$ ‘000)</w:t>
      </w:r>
      <w:bookmarkEnd w:id="111"/>
      <w:bookmarkEnd w:id="112"/>
    </w:p>
    <w:tbl>
      <w:tblPr>
        <w:tblW w:w="6632" w:type="dxa"/>
        <w:jc w:val="center"/>
        <w:tblInd w:w="93" w:type="dxa"/>
        <w:tblLook w:val="04A0" w:firstRow="1" w:lastRow="0" w:firstColumn="1" w:lastColumn="0" w:noHBand="0" w:noVBand="1"/>
      </w:tblPr>
      <w:tblGrid>
        <w:gridCol w:w="2540"/>
        <w:gridCol w:w="1320"/>
        <w:gridCol w:w="1386"/>
        <w:gridCol w:w="1386"/>
      </w:tblGrid>
      <w:tr w:rsidR="007065A3" w:rsidRPr="00C534A9" w:rsidTr="00FD1DBD">
        <w:trPr>
          <w:trHeight w:val="315"/>
          <w:jc w:val="center"/>
        </w:trPr>
        <w:tc>
          <w:tcPr>
            <w:tcW w:w="2540"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b/>
                <w:bCs/>
                <w:color w:val="000000"/>
                <w:sz w:val="22"/>
                <w:szCs w:val="24"/>
              </w:rPr>
            </w:pPr>
            <w:r w:rsidRPr="00C534A9">
              <w:rPr>
                <w:rFonts w:ascii="Arial" w:eastAsia="Times New Roman" w:hAnsi="Arial" w:cs="Arial"/>
                <w:b/>
                <w:bCs/>
                <w:color w:val="000000"/>
                <w:sz w:val="22"/>
                <w:szCs w:val="24"/>
              </w:rPr>
              <w:t>Scenario:</w:t>
            </w:r>
          </w:p>
        </w:tc>
        <w:tc>
          <w:tcPr>
            <w:tcW w:w="1320"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b/>
                <w:bCs/>
                <w:color w:val="000000"/>
                <w:sz w:val="22"/>
                <w:szCs w:val="24"/>
              </w:rPr>
            </w:pPr>
            <w:r w:rsidRPr="00C534A9">
              <w:rPr>
                <w:rFonts w:ascii="Arial" w:eastAsia="Times New Roman" w:hAnsi="Arial" w:cs="Arial"/>
                <w:b/>
                <w:bCs/>
                <w:color w:val="000000"/>
                <w:sz w:val="22"/>
                <w:szCs w:val="24"/>
              </w:rPr>
              <w:t>Base</w:t>
            </w:r>
          </w:p>
        </w:tc>
        <w:tc>
          <w:tcPr>
            <w:tcW w:w="1386"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b/>
                <w:bCs/>
                <w:color w:val="000000"/>
                <w:sz w:val="22"/>
                <w:szCs w:val="24"/>
              </w:rPr>
            </w:pPr>
            <w:r w:rsidRPr="00C534A9">
              <w:rPr>
                <w:rFonts w:ascii="Arial" w:eastAsia="Times New Roman" w:hAnsi="Arial" w:cs="Arial"/>
                <w:b/>
                <w:bCs/>
                <w:color w:val="000000"/>
                <w:sz w:val="22"/>
                <w:szCs w:val="24"/>
              </w:rPr>
              <w:t>High</w:t>
            </w:r>
          </w:p>
        </w:tc>
        <w:tc>
          <w:tcPr>
            <w:tcW w:w="1386"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b/>
                <w:bCs/>
                <w:color w:val="000000"/>
                <w:sz w:val="22"/>
                <w:szCs w:val="24"/>
              </w:rPr>
            </w:pPr>
            <w:r w:rsidRPr="00C534A9">
              <w:rPr>
                <w:rFonts w:ascii="Arial" w:eastAsia="Times New Roman" w:hAnsi="Arial" w:cs="Arial"/>
                <w:b/>
                <w:bCs/>
                <w:color w:val="000000"/>
                <w:sz w:val="22"/>
                <w:szCs w:val="24"/>
              </w:rPr>
              <w:t>Low</w:t>
            </w:r>
          </w:p>
        </w:tc>
      </w:tr>
      <w:tr w:rsidR="00FD1DBD" w:rsidRPr="00C534A9" w:rsidTr="00FD1DBD">
        <w:trPr>
          <w:trHeight w:val="450"/>
          <w:jc w:val="center"/>
        </w:trPr>
        <w:tc>
          <w:tcPr>
            <w:tcW w:w="2540" w:type="dxa"/>
            <w:tcBorders>
              <w:top w:val="nil"/>
              <w:left w:val="nil"/>
              <w:bottom w:val="nil"/>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Present Value - Benefits</w:t>
            </w:r>
          </w:p>
        </w:tc>
        <w:tc>
          <w:tcPr>
            <w:tcW w:w="1320" w:type="dxa"/>
            <w:tcBorders>
              <w:top w:val="nil"/>
              <w:left w:val="nil"/>
              <w:bottom w:val="nil"/>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$531 </w:t>
            </w:r>
          </w:p>
        </w:tc>
        <w:tc>
          <w:tcPr>
            <w:tcW w:w="1386" w:type="dxa"/>
            <w:tcBorders>
              <w:top w:val="nil"/>
              <w:left w:val="nil"/>
              <w:bottom w:val="nil"/>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$857 </w:t>
            </w:r>
          </w:p>
        </w:tc>
        <w:tc>
          <w:tcPr>
            <w:tcW w:w="1386" w:type="dxa"/>
            <w:tcBorders>
              <w:top w:val="nil"/>
              <w:left w:val="nil"/>
              <w:bottom w:val="nil"/>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$409 </w:t>
            </w:r>
          </w:p>
        </w:tc>
      </w:tr>
      <w:tr w:rsidR="00FD1DBD" w:rsidRPr="00C534A9" w:rsidTr="00FD1DBD">
        <w:trPr>
          <w:trHeight w:val="450"/>
          <w:jc w:val="center"/>
        </w:trPr>
        <w:tc>
          <w:tcPr>
            <w:tcW w:w="2540" w:type="dxa"/>
            <w:tcBorders>
              <w:top w:val="nil"/>
              <w:left w:val="nil"/>
              <w:bottom w:val="single" w:sz="4" w:space="0" w:color="auto"/>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Present Value  - Costs</w:t>
            </w:r>
          </w:p>
        </w:tc>
        <w:tc>
          <w:tcPr>
            <w:tcW w:w="1320" w:type="dxa"/>
            <w:tcBorders>
              <w:top w:val="nil"/>
              <w:left w:val="nil"/>
              <w:bottom w:val="single" w:sz="4" w:space="0" w:color="auto"/>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hAnsi="Arial" w:cs="Arial"/>
                <w:color w:val="FF0000"/>
                <w:sz w:val="22"/>
              </w:rPr>
              <w:t>($487)</w:t>
            </w:r>
          </w:p>
        </w:tc>
        <w:tc>
          <w:tcPr>
            <w:tcW w:w="1386" w:type="dxa"/>
            <w:tcBorders>
              <w:top w:val="nil"/>
              <w:left w:val="nil"/>
              <w:bottom w:val="single" w:sz="4" w:space="0" w:color="auto"/>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hAnsi="Arial" w:cs="Arial"/>
                <w:color w:val="FF0000"/>
                <w:sz w:val="22"/>
              </w:rPr>
              <w:t>($487)</w:t>
            </w:r>
          </w:p>
        </w:tc>
        <w:tc>
          <w:tcPr>
            <w:tcW w:w="1386" w:type="dxa"/>
            <w:tcBorders>
              <w:top w:val="nil"/>
              <w:left w:val="nil"/>
              <w:bottom w:val="single" w:sz="4" w:space="0" w:color="auto"/>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hAnsi="Arial" w:cs="Arial"/>
                <w:color w:val="FF0000"/>
                <w:sz w:val="22"/>
              </w:rPr>
              <w:t>($487)</w:t>
            </w:r>
          </w:p>
        </w:tc>
      </w:tr>
      <w:tr w:rsidR="00FD1DBD" w:rsidRPr="00C534A9" w:rsidTr="00FD1DBD">
        <w:trPr>
          <w:trHeight w:val="450"/>
          <w:jc w:val="center"/>
        </w:trPr>
        <w:tc>
          <w:tcPr>
            <w:tcW w:w="2540" w:type="dxa"/>
            <w:tcBorders>
              <w:top w:val="nil"/>
              <w:left w:val="nil"/>
              <w:bottom w:val="nil"/>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Net Present Value</w:t>
            </w:r>
          </w:p>
        </w:tc>
        <w:tc>
          <w:tcPr>
            <w:tcW w:w="1320" w:type="dxa"/>
            <w:tcBorders>
              <w:top w:val="nil"/>
              <w:left w:val="nil"/>
              <w:bottom w:val="nil"/>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$45 </w:t>
            </w:r>
          </w:p>
        </w:tc>
        <w:tc>
          <w:tcPr>
            <w:tcW w:w="1386" w:type="dxa"/>
            <w:tcBorders>
              <w:top w:val="nil"/>
              <w:left w:val="nil"/>
              <w:bottom w:val="nil"/>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$371 </w:t>
            </w:r>
          </w:p>
        </w:tc>
        <w:tc>
          <w:tcPr>
            <w:tcW w:w="1386" w:type="dxa"/>
            <w:tcBorders>
              <w:top w:val="nil"/>
              <w:left w:val="nil"/>
              <w:bottom w:val="nil"/>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hAnsi="Arial" w:cs="Arial"/>
                <w:color w:val="FF0000"/>
                <w:sz w:val="22"/>
              </w:rPr>
              <w:t>($78)</w:t>
            </w:r>
          </w:p>
        </w:tc>
      </w:tr>
      <w:tr w:rsidR="00FD1DBD" w:rsidRPr="00C534A9" w:rsidTr="00FD1DBD">
        <w:trPr>
          <w:trHeight w:val="450"/>
          <w:jc w:val="center"/>
        </w:trPr>
        <w:tc>
          <w:tcPr>
            <w:tcW w:w="2540" w:type="dxa"/>
            <w:tcBorders>
              <w:top w:val="nil"/>
              <w:left w:val="nil"/>
              <w:bottom w:val="nil"/>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IRR</w:t>
            </w:r>
          </w:p>
        </w:tc>
        <w:tc>
          <w:tcPr>
            <w:tcW w:w="1320" w:type="dxa"/>
            <w:tcBorders>
              <w:top w:val="nil"/>
              <w:left w:val="nil"/>
              <w:bottom w:val="nil"/>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13%</w:t>
            </w:r>
          </w:p>
        </w:tc>
        <w:tc>
          <w:tcPr>
            <w:tcW w:w="1386" w:type="dxa"/>
            <w:tcBorders>
              <w:top w:val="nil"/>
              <w:left w:val="nil"/>
              <w:bottom w:val="nil"/>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22%</w:t>
            </w:r>
          </w:p>
        </w:tc>
        <w:tc>
          <w:tcPr>
            <w:tcW w:w="1386" w:type="dxa"/>
            <w:tcBorders>
              <w:top w:val="nil"/>
              <w:left w:val="nil"/>
              <w:bottom w:val="nil"/>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9%</w:t>
            </w:r>
          </w:p>
        </w:tc>
      </w:tr>
    </w:tbl>
    <w:p w:rsidR="00220712" w:rsidRPr="00C534A9" w:rsidRDefault="00220712" w:rsidP="00C534A9">
      <w:pPr>
        <w:jc w:val="both"/>
        <w:rPr>
          <w:rFonts w:ascii="Arial" w:hAnsi="Arial" w:cs="Arial"/>
          <w:sz w:val="22"/>
        </w:rPr>
      </w:pPr>
    </w:p>
    <w:p w:rsidR="006B6437" w:rsidRPr="00C534A9" w:rsidRDefault="006B6437" w:rsidP="00C534A9">
      <w:pPr>
        <w:pStyle w:val="Source"/>
        <w:jc w:val="both"/>
        <w:rPr>
          <w:rFonts w:ascii="Arial" w:hAnsi="Arial" w:cs="Arial"/>
          <w:sz w:val="18"/>
        </w:rPr>
      </w:pPr>
    </w:p>
    <w:p w:rsidR="006B6437" w:rsidRPr="00C534A9" w:rsidRDefault="007A76B8" w:rsidP="00C534A9">
      <w:pPr>
        <w:jc w:val="both"/>
        <w:rPr>
          <w:rFonts w:ascii="Arial" w:hAnsi="Arial" w:cs="Arial"/>
          <w:sz w:val="22"/>
        </w:rPr>
      </w:pPr>
      <w:r w:rsidRPr="00C534A9">
        <w:rPr>
          <w:rFonts w:ascii="Arial" w:hAnsi="Arial" w:cs="Arial"/>
          <w:sz w:val="22"/>
        </w:rPr>
        <w:t>Table 5</w:t>
      </w:r>
      <w:r w:rsidR="006B6437" w:rsidRPr="00C534A9">
        <w:rPr>
          <w:rFonts w:ascii="Arial" w:hAnsi="Arial" w:cs="Arial"/>
          <w:sz w:val="22"/>
        </w:rPr>
        <w:t xml:space="preserve">.4 presents the results of changing the price of CO2. </w:t>
      </w:r>
      <w:r w:rsidR="009F2643" w:rsidRPr="00C534A9">
        <w:rPr>
          <w:rFonts w:ascii="Arial" w:hAnsi="Arial" w:cs="Arial"/>
          <w:sz w:val="22"/>
        </w:rPr>
        <w:t>The table shows</w:t>
      </w:r>
      <w:r w:rsidR="006B6437" w:rsidRPr="00C534A9">
        <w:rPr>
          <w:rFonts w:ascii="Arial" w:hAnsi="Arial" w:cs="Arial"/>
          <w:sz w:val="22"/>
        </w:rPr>
        <w:t xml:space="preserve"> the present value of the costs, benefits, and net benefits of the </w:t>
      </w:r>
      <w:r w:rsidR="00AA4E6F" w:rsidRPr="00C534A9">
        <w:rPr>
          <w:rFonts w:ascii="Arial" w:hAnsi="Arial" w:cs="Arial"/>
          <w:sz w:val="22"/>
        </w:rPr>
        <w:t>PV system</w:t>
      </w:r>
      <w:r w:rsidR="006B6437" w:rsidRPr="00C534A9">
        <w:rPr>
          <w:rFonts w:ascii="Arial" w:hAnsi="Arial" w:cs="Arial"/>
          <w:sz w:val="22"/>
        </w:rPr>
        <w:t xml:space="preserve"> for a high case (annual CO2 prices are US$15 per </w:t>
      </w:r>
      <w:r w:rsidR="00997A64" w:rsidRPr="00C534A9">
        <w:rPr>
          <w:rFonts w:ascii="Arial" w:hAnsi="Arial" w:cs="Arial"/>
          <w:sz w:val="22"/>
        </w:rPr>
        <w:t>ton</w:t>
      </w:r>
      <w:r w:rsidR="006B6437" w:rsidRPr="00C534A9">
        <w:rPr>
          <w:rFonts w:ascii="Arial" w:hAnsi="Arial" w:cs="Arial"/>
          <w:sz w:val="22"/>
        </w:rPr>
        <w:t xml:space="preserve">, or 50% higher than the base case projection) and low case (annual CO2 prices are US$6 per </w:t>
      </w:r>
      <w:r w:rsidR="00997A64" w:rsidRPr="00C534A9">
        <w:rPr>
          <w:rFonts w:ascii="Arial" w:hAnsi="Arial" w:cs="Arial"/>
          <w:sz w:val="22"/>
        </w:rPr>
        <w:t>ton</w:t>
      </w:r>
      <w:r w:rsidR="006B6437" w:rsidRPr="00C534A9">
        <w:rPr>
          <w:rFonts w:ascii="Arial" w:hAnsi="Arial" w:cs="Arial"/>
          <w:sz w:val="22"/>
        </w:rPr>
        <w:t xml:space="preserve">, or 40% lower than the base case projection) as well as the base case (annual CO2 prices are US$10 per </w:t>
      </w:r>
      <w:r w:rsidR="00997A64" w:rsidRPr="00C534A9">
        <w:rPr>
          <w:rFonts w:ascii="Arial" w:hAnsi="Arial" w:cs="Arial"/>
          <w:sz w:val="22"/>
        </w:rPr>
        <w:t>ton</w:t>
      </w:r>
      <w:r w:rsidR="006B6437" w:rsidRPr="00C534A9">
        <w:rPr>
          <w:rFonts w:ascii="Arial" w:hAnsi="Arial" w:cs="Arial"/>
          <w:sz w:val="22"/>
        </w:rPr>
        <w:t>). The table shows that even after lowering the CO2 price by 40%, the sub-project remains economically viable, with an aggregate NPV of US$</w:t>
      </w:r>
      <w:r w:rsidR="00FD1DBD" w:rsidRPr="00C534A9">
        <w:rPr>
          <w:rFonts w:ascii="Arial" w:hAnsi="Arial" w:cs="Arial"/>
          <w:sz w:val="22"/>
        </w:rPr>
        <w:t>36</w:t>
      </w:r>
      <w:r w:rsidR="00F469E3" w:rsidRPr="00C534A9">
        <w:rPr>
          <w:rFonts w:ascii="Arial" w:hAnsi="Arial" w:cs="Arial"/>
          <w:sz w:val="22"/>
        </w:rPr>
        <w:t>,000</w:t>
      </w:r>
      <w:r w:rsidR="006B6437" w:rsidRPr="00C534A9">
        <w:rPr>
          <w:rFonts w:ascii="Arial" w:hAnsi="Arial" w:cs="Arial"/>
          <w:sz w:val="22"/>
        </w:rPr>
        <w:t>. In the high CO2 price scenario, the aggregate NPV increases to US$</w:t>
      </w:r>
      <w:r w:rsidR="00FD1DBD" w:rsidRPr="00C534A9">
        <w:rPr>
          <w:rFonts w:ascii="Arial" w:hAnsi="Arial" w:cs="Arial"/>
          <w:sz w:val="22"/>
        </w:rPr>
        <w:t>56</w:t>
      </w:r>
      <w:r w:rsidR="00F469E3" w:rsidRPr="00C534A9">
        <w:rPr>
          <w:rFonts w:ascii="Arial" w:hAnsi="Arial" w:cs="Arial"/>
          <w:sz w:val="22"/>
        </w:rPr>
        <w:t>,000</w:t>
      </w:r>
      <w:r w:rsidR="006B6437" w:rsidRPr="00C534A9">
        <w:rPr>
          <w:rFonts w:ascii="Arial" w:hAnsi="Arial" w:cs="Arial"/>
          <w:sz w:val="22"/>
        </w:rPr>
        <w:t>.</w:t>
      </w:r>
    </w:p>
    <w:p w:rsidR="006B6437" w:rsidRPr="00C534A9" w:rsidRDefault="006B6437" w:rsidP="00C534A9">
      <w:pPr>
        <w:pStyle w:val="Caption"/>
        <w:jc w:val="both"/>
        <w:rPr>
          <w:rFonts w:ascii="Arial" w:hAnsi="Arial" w:cs="Arial"/>
          <w:sz w:val="22"/>
        </w:rPr>
      </w:pPr>
      <w:bookmarkStart w:id="113" w:name="_Toc463508984"/>
      <w:r w:rsidRPr="00C534A9">
        <w:rPr>
          <w:rFonts w:ascii="Arial" w:hAnsi="Arial" w:cs="Arial"/>
          <w:sz w:val="22"/>
        </w:rPr>
        <w:t xml:space="preserve">Table </w:t>
      </w:r>
      <w:r w:rsidR="007A76B8" w:rsidRPr="00C534A9">
        <w:rPr>
          <w:rFonts w:ascii="Arial" w:hAnsi="Arial" w:cs="Arial"/>
          <w:sz w:val="22"/>
        </w:rPr>
        <w:t>5</w:t>
      </w:r>
      <w:r w:rsidRPr="00C534A9">
        <w:rPr>
          <w:rFonts w:ascii="Arial" w:hAnsi="Arial" w:cs="Arial"/>
          <w:sz w:val="22"/>
        </w:rPr>
        <w:t>.4: CBA Sensitivity to CO2 price</w:t>
      </w:r>
      <w:r w:rsidR="003A6A5C" w:rsidRPr="00C534A9">
        <w:rPr>
          <w:rFonts w:ascii="Arial" w:hAnsi="Arial" w:cs="Arial"/>
          <w:sz w:val="22"/>
        </w:rPr>
        <w:t xml:space="preserve"> (US$ ‘000)</w:t>
      </w:r>
      <w:bookmarkEnd w:id="113"/>
    </w:p>
    <w:tbl>
      <w:tblPr>
        <w:tblW w:w="6500" w:type="dxa"/>
        <w:jc w:val="center"/>
        <w:tblInd w:w="93" w:type="dxa"/>
        <w:tblLook w:val="04A0" w:firstRow="1" w:lastRow="0" w:firstColumn="1" w:lastColumn="0" w:noHBand="0" w:noVBand="1"/>
      </w:tblPr>
      <w:tblGrid>
        <w:gridCol w:w="2540"/>
        <w:gridCol w:w="1320"/>
        <w:gridCol w:w="1320"/>
        <w:gridCol w:w="1320"/>
      </w:tblGrid>
      <w:tr w:rsidR="007065A3" w:rsidRPr="00C534A9" w:rsidTr="007065A3">
        <w:trPr>
          <w:trHeight w:val="315"/>
          <w:jc w:val="center"/>
        </w:trPr>
        <w:tc>
          <w:tcPr>
            <w:tcW w:w="2540"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b/>
                <w:bCs/>
                <w:color w:val="000000"/>
                <w:sz w:val="22"/>
                <w:szCs w:val="24"/>
              </w:rPr>
            </w:pPr>
            <w:r w:rsidRPr="00C534A9">
              <w:rPr>
                <w:rFonts w:ascii="Arial" w:eastAsia="Times New Roman" w:hAnsi="Arial" w:cs="Arial"/>
                <w:b/>
                <w:bCs/>
                <w:color w:val="000000"/>
                <w:sz w:val="22"/>
                <w:szCs w:val="24"/>
              </w:rPr>
              <w:t>Scenario:</w:t>
            </w:r>
          </w:p>
        </w:tc>
        <w:tc>
          <w:tcPr>
            <w:tcW w:w="1320"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b/>
                <w:bCs/>
                <w:color w:val="000000"/>
                <w:sz w:val="22"/>
                <w:szCs w:val="24"/>
              </w:rPr>
            </w:pPr>
            <w:r w:rsidRPr="00C534A9">
              <w:rPr>
                <w:rFonts w:ascii="Arial" w:eastAsia="Times New Roman" w:hAnsi="Arial" w:cs="Arial"/>
                <w:b/>
                <w:bCs/>
                <w:color w:val="000000"/>
                <w:sz w:val="22"/>
                <w:szCs w:val="24"/>
              </w:rPr>
              <w:t>Base</w:t>
            </w:r>
          </w:p>
        </w:tc>
        <w:tc>
          <w:tcPr>
            <w:tcW w:w="1320"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b/>
                <w:bCs/>
                <w:color w:val="000000"/>
                <w:sz w:val="22"/>
                <w:szCs w:val="24"/>
              </w:rPr>
            </w:pPr>
            <w:r w:rsidRPr="00C534A9">
              <w:rPr>
                <w:rFonts w:ascii="Arial" w:eastAsia="Times New Roman" w:hAnsi="Arial" w:cs="Arial"/>
                <w:b/>
                <w:bCs/>
                <w:color w:val="000000"/>
                <w:sz w:val="22"/>
                <w:szCs w:val="24"/>
              </w:rPr>
              <w:t>High</w:t>
            </w:r>
          </w:p>
        </w:tc>
        <w:tc>
          <w:tcPr>
            <w:tcW w:w="1320"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b/>
                <w:bCs/>
                <w:color w:val="000000"/>
                <w:sz w:val="22"/>
                <w:szCs w:val="24"/>
              </w:rPr>
            </w:pPr>
            <w:r w:rsidRPr="00C534A9">
              <w:rPr>
                <w:rFonts w:ascii="Arial" w:eastAsia="Times New Roman" w:hAnsi="Arial" w:cs="Arial"/>
                <w:b/>
                <w:bCs/>
                <w:color w:val="000000"/>
                <w:sz w:val="22"/>
                <w:szCs w:val="24"/>
              </w:rPr>
              <w:t>Low</w:t>
            </w:r>
          </w:p>
        </w:tc>
      </w:tr>
      <w:tr w:rsidR="007065A3" w:rsidRPr="00C534A9" w:rsidTr="007065A3">
        <w:trPr>
          <w:trHeight w:val="315"/>
          <w:jc w:val="center"/>
        </w:trPr>
        <w:tc>
          <w:tcPr>
            <w:tcW w:w="2540"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color w:val="000000"/>
                <w:sz w:val="22"/>
                <w:szCs w:val="24"/>
                <w:u w:val="single"/>
              </w:rPr>
            </w:pPr>
            <w:r w:rsidRPr="00C534A9">
              <w:rPr>
                <w:rFonts w:ascii="Arial" w:eastAsia="Times New Roman" w:hAnsi="Arial" w:cs="Arial"/>
                <w:color w:val="000000"/>
                <w:sz w:val="22"/>
                <w:szCs w:val="24"/>
                <w:u w:val="single"/>
              </w:rPr>
              <w:t>US$/tCO2:</w:t>
            </w:r>
          </w:p>
        </w:tc>
        <w:tc>
          <w:tcPr>
            <w:tcW w:w="1320"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color w:val="000000"/>
                <w:sz w:val="22"/>
                <w:szCs w:val="24"/>
                <w:u w:val="single"/>
              </w:rPr>
            </w:pPr>
            <w:r w:rsidRPr="00C534A9">
              <w:rPr>
                <w:rFonts w:ascii="Arial" w:eastAsia="Times New Roman" w:hAnsi="Arial" w:cs="Arial"/>
                <w:color w:val="000000"/>
                <w:sz w:val="22"/>
                <w:szCs w:val="24"/>
                <w:u w:val="single"/>
              </w:rPr>
              <w:t>10.00</w:t>
            </w:r>
          </w:p>
        </w:tc>
        <w:tc>
          <w:tcPr>
            <w:tcW w:w="1320"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color w:val="000000"/>
                <w:sz w:val="22"/>
                <w:szCs w:val="24"/>
                <w:u w:val="single"/>
              </w:rPr>
            </w:pPr>
            <w:r w:rsidRPr="00C534A9">
              <w:rPr>
                <w:rFonts w:ascii="Arial" w:eastAsia="Times New Roman" w:hAnsi="Arial" w:cs="Arial"/>
                <w:color w:val="000000"/>
                <w:sz w:val="22"/>
                <w:szCs w:val="24"/>
                <w:u w:val="single"/>
              </w:rPr>
              <w:t>15.00</w:t>
            </w:r>
          </w:p>
        </w:tc>
        <w:tc>
          <w:tcPr>
            <w:tcW w:w="1320"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color w:val="000000"/>
                <w:sz w:val="22"/>
                <w:szCs w:val="24"/>
                <w:u w:val="single"/>
              </w:rPr>
            </w:pPr>
            <w:r w:rsidRPr="00C534A9">
              <w:rPr>
                <w:rFonts w:ascii="Arial" w:eastAsia="Times New Roman" w:hAnsi="Arial" w:cs="Arial"/>
                <w:color w:val="000000"/>
                <w:sz w:val="22"/>
                <w:szCs w:val="24"/>
                <w:u w:val="single"/>
              </w:rPr>
              <w:t>6.00</w:t>
            </w:r>
          </w:p>
        </w:tc>
      </w:tr>
      <w:tr w:rsidR="00FD1DBD" w:rsidRPr="00C534A9" w:rsidTr="007065A3">
        <w:trPr>
          <w:trHeight w:val="315"/>
          <w:jc w:val="center"/>
        </w:trPr>
        <w:tc>
          <w:tcPr>
            <w:tcW w:w="2540" w:type="dxa"/>
            <w:tcBorders>
              <w:top w:val="nil"/>
              <w:left w:val="nil"/>
              <w:bottom w:val="nil"/>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Present Value - Benefits</w:t>
            </w:r>
          </w:p>
        </w:tc>
        <w:tc>
          <w:tcPr>
            <w:tcW w:w="1320" w:type="dxa"/>
            <w:tcBorders>
              <w:top w:val="nil"/>
              <w:left w:val="nil"/>
              <w:bottom w:val="nil"/>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$531 </w:t>
            </w:r>
          </w:p>
        </w:tc>
        <w:tc>
          <w:tcPr>
            <w:tcW w:w="1320" w:type="dxa"/>
            <w:tcBorders>
              <w:top w:val="nil"/>
              <w:left w:val="nil"/>
              <w:bottom w:val="nil"/>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$542 </w:t>
            </w:r>
          </w:p>
        </w:tc>
        <w:tc>
          <w:tcPr>
            <w:tcW w:w="1320" w:type="dxa"/>
            <w:tcBorders>
              <w:top w:val="nil"/>
              <w:left w:val="nil"/>
              <w:bottom w:val="nil"/>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$522 </w:t>
            </w:r>
          </w:p>
        </w:tc>
      </w:tr>
      <w:tr w:rsidR="00FD1DBD" w:rsidRPr="00C534A9" w:rsidTr="007065A3">
        <w:trPr>
          <w:trHeight w:val="315"/>
          <w:jc w:val="center"/>
        </w:trPr>
        <w:tc>
          <w:tcPr>
            <w:tcW w:w="2540" w:type="dxa"/>
            <w:tcBorders>
              <w:top w:val="nil"/>
              <w:left w:val="nil"/>
              <w:bottom w:val="single" w:sz="4" w:space="0" w:color="auto"/>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Present Value  - Costs</w:t>
            </w:r>
          </w:p>
        </w:tc>
        <w:tc>
          <w:tcPr>
            <w:tcW w:w="1320" w:type="dxa"/>
            <w:tcBorders>
              <w:top w:val="nil"/>
              <w:left w:val="nil"/>
              <w:bottom w:val="single" w:sz="4" w:space="0" w:color="auto"/>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hAnsi="Arial" w:cs="Arial"/>
                <w:color w:val="FF0000"/>
                <w:sz w:val="22"/>
              </w:rPr>
              <w:t>($487)</w:t>
            </w:r>
          </w:p>
        </w:tc>
        <w:tc>
          <w:tcPr>
            <w:tcW w:w="1320" w:type="dxa"/>
            <w:tcBorders>
              <w:top w:val="nil"/>
              <w:left w:val="nil"/>
              <w:bottom w:val="single" w:sz="4" w:space="0" w:color="auto"/>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hAnsi="Arial" w:cs="Arial"/>
                <w:color w:val="FF0000"/>
                <w:sz w:val="22"/>
              </w:rPr>
              <w:t>($487)</w:t>
            </w:r>
          </w:p>
        </w:tc>
        <w:tc>
          <w:tcPr>
            <w:tcW w:w="1320" w:type="dxa"/>
            <w:tcBorders>
              <w:top w:val="nil"/>
              <w:left w:val="nil"/>
              <w:bottom w:val="single" w:sz="4" w:space="0" w:color="auto"/>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hAnsi="Arial" w:cs="Arial"/>
                <w:color w:val="FF0000"/>
                <w:sz w:val="22"/>
              </w:rPr>
              <w:t>($487)</w:t>
            </w:r>
          </w:p>
        </w:tc>
      </w:tr>
      <w:tr w:rsidR="00FD1DBD" w:rsidRPr="00C534A9" w:rsidTr="007065A3">
        <w:trPr>
          <w:trHeight w:val="315"/>
          <w:jc w:val="center"/>
        </w:trPr>
        <w:tc>
          <w:tcPr>
            <w:tcW w:w="2540" w:type="dxa"/>
            <w:tcBorders>
              <w:top w:val="nil"/>
              <w:left w:val="nil"/>
              <w:bottom w:val="nil"/>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Net Present Value</w:t>
            </w:r>
          </w:p>
        </w:tc>
        <w:tc>
          <w:tcPr>
            <w:tcW w:w="1320" w:type="dxa"/>
            <w:tcBorders>
              <w:top w:val="nil"/>
              <w:left w:val="nil"/>
              <w:bottom w:val="nil"/>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$45 </w:t>
            </w:r>
          </w:p>
        </w:tc>
        <w:tc>
          <w:tcPr>
            <w:tcW w:w="1320" w:type="dxa"/>
            <w:tcBorders>
              <w:top w:val="nil"/>
              <w:left w:val="nil"/>
              <w:bottom w:val="nil"/>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$56 </w:t>
            </w:r>
          </w:p>
        </w:tc>
        <w:tc>
          <w:tcPr>
            <w:tcW w:w="1320" w:type="dxa"/>
            <w:tcBorders>
              <w:top w:val="nil"/>
              <w:left w:val="nil"/>
              <w:bottom w:val="nil"/>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$36 </w:t>
            </w:r>
          </w:p>
        </w:tc>
      </w:tr>
      <w:tr w:rsidR="00FD1DBD" w:rsidRPr="00C534A9" w:rsidTr="007065A3">
        <w:trPr>
          <w:trHeight w:val="315"/>
          <w:jc w:val="center"/>
        </w:trPr>
        <w:tc>
          <w:tcPr>
            <w:tcW w:w="2540" w:type="dxa"/>
            <w:tcBorders>
              <w:top w:val="nil"/>
              <w:left w:val="nil"/>
              <w:bottom w:val="nil"/>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IRR</w:t>
            </w:r>
          </w:p>
        </w:tc>
        <w:tc>
          <w:tcPr>
            <w:tcW w:w="1320" w:type="dxa"/>
            <w:tcBorders>
              <w:top w:val="nil"/>
              <w:left w:val="nil"/>
              <w:bottom w:val="nil"/>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13%</w:t>
            </w:r>
          </w:p>
        </w:tc>
        <w:tc>
          <w:tcPr>
            <w:tcW w:w="1320" w:type="dxa"/>
            <w:tcBorders>
              <w:top w:val="nil"/>
              <w:left w:val="nil"/>
              <w:bottom w:val="nil"/>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14%</w:t>
            </w:r>
          </w:p>
        </w:tc>
        <w:tc>
          <w:tcPr>
            <w:tcW w:w="1320" w:type="dxa"/>
            <w:tcBorders>
              <w:top w:val="nil"/>
              <w:left w:val="nil"/>
              <w:bottom w:val="nil"/>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13%</w:t>
            </w:r>
          </w:p>
        </w:tc>
      </w:tr>
    </w:tbl>
    <w:p w:rsidR="00220712" w:rsidRPr="00C534A9" w:rsidRDefault="00220712" w:rsidP="00C534A9">
      <w:pPr>
        <w:jc w:val="both"/>
        <w:rPr>
          <w:rFonts w:ascii="Arial" w:hAnsi="Arial" w:cs="Arial"/>
          <w:sz w:val="22"/>
        </w:rPr>
      </w:pPr>
    </w:p>
    <w:p w:rsidR="006B6437" w:rsidRPr="00C534A9" w:rsidRDefault="006B6437" w:rsidP="00C534A9">
      <w:pPr>
        <w:pStyle w:val="Source"/>
        <w:jc w:val="both"/>
        <w:rPr>
          <w:rFonts w:ascii="Arial" w:hAnsi="Arial" w:cs="Arial"/>
          <w:sz w:val="18"/>
        </w:rPr>
      </w:pPr>
    </w:p>
    <w:p w:rsidR="006B6437" w:rsidRPr="00C534A9" w:rsidRDefault="007A76B8" w:rsidP="00C534A9">
      <w:pPr>
        <w:jc w:val="both"/>
        <w:rPr>
          <w:rFonts w:ascii="Arial" w:hAnsi="Arial" w:cs="Arial"/>
          <w:sz w:val="22"/>
        </w:rPr>
      </w:pPr>
      <w:r w:rsidRPr="00C534A9">
        <w:rPr>
          <w:rFonts w:ascii="Arial" w:hAnsi="Arial" w:cs="Arial"/>
          <w:sz w:val="22"/>
        </w:rPr>
        <w:t>Table 5</w:t>
      </w:r>
      <w:r w:rsidR="006B6437" w:rsidRPr="00C534A9">
        <w:rPr>
          <w:rFonts w:ascii="Arial" w:hAnsi="Arial" w:cs="Arial"/>
          <w:sz w:val="22"/>
        </w:rPr>
        <w:t xml:space="preserve">.5 presents the results of changing the </w:t>
      </w:r>
      <w:r w:rsidR="00AA4E6F" w:rsidRPr="00C534A9">
        <w:rPr>
          <w:rFonts w:ascii="Arial" w:hAnsi="Arial" w:cs="Arial"/>
          <w:sz w:val="22"/>
        </w:rPr>
        <w:t>PV system</w:t>
      </w:r>
      <w:r w:rsidR="006B6437" w:rsidRPr="00C534A9">
        <w:rPr>
          <w:rFonts w:ascii="Arial" w:hAnsi="Arial" w:cs="Arial"/>
          <w:sz w:val="22"/>
        </w:rPr>
        <w:t xml:space="preserve"> capacity. </w:t>
      </w:r>
      <w:r w:rsidR="009F2643" w:rsidRPr="00C534A9">
        <w:rPr>
          <w:rFonts w:ascii="Arial" w:hAnsi="Arial" w:cs="Arial"/>
          <w:sz w:val="22"/>
        </w:rPr>
        <w:t>The table shows</w:t>
      </w:r>
      <w:r w:rsidR="006B6437" w:rsidRPr="00C534A9">
        <w:rPr>
          <w:rFonts w:ascii="Arial" w:hAnsi="Arial" w:cs="Arial"/>
          <w:sz w:val="22"/>
        </w:rPr>
        <w:t xml:space="preserve"> the present value of the costs, benefits, and net benefits of the </w:t>
      </w:r>
      <w:r w:rsidR="00AA4E6F" w:rsidRPr="00C534A9">
        <w:rPr>
          <w:rFonts w:ascii="Arial" w:hAnsi="Arial" w:cs="Arial"/>
          <w:sz w:val="22"/>
        </w:rPr>
        <w:t>PV system</w:t>
      </w:r>
      <w:r w:rsidR="006B6437" w:rsidRPr="00C534A9">
        <w:rPr>
          <w:rFonts w:ascii="Arial" w:hAnsi="Arial" w:cs="Arial"/>
          <w:sz w:val="22"/>
        </w:rPr>
        <w:t xml:space="preserve"> for a high case (capacity factor is increased to </w:t>
      </w:r>
      <w:r w:rsidRPr="00C534A9">
        <w:rPr>
          <w:rFonts w:ascii="Arial" w:hAnsi="Arial" w:cs="Arial"/>
          <w:sz w:val="22"/>
        </w:rPr>
        <w:t>22</w:t>
      </w:r>
      <w:r w:rsidR="006B6437" w:rsidRPr="00C534A9">
        <w:rPr>
          <w:rFonts w:ascii="Arial" w:hAnsi="Arial" w:cs="Arial"/>
          <w:sz w:val="22"/>
        </w:rPr>
        <w:t xml:space="preserve">%) and low case (capacity factor is decreased to </w:t>
      </w:r>
      <w:r w:rsidRPr="00C534A9">
        <w:rPr>
          <w:rFonts w:ascii="Arial" w:hAnsi="Arial" w:cs="Arial"/>
          <w:sz w:val="22"/>
        </w:rPr>
        <w:t>1</w:t>
      </w:r>
      <w:r w:rsidR="006B6437" w:rsidRPr="00C534A9">
        <w:rPr>
          <w:rFonts w:ascii="Arial" w:hAnsi="Arial" w:cs="Arial"/>
          <w:sz w:val="22"/>
        </w:rPr>
        <w:t xml:space="preserve">8%) as well as the base case (capacity factor equal to </w:t>
      </w:r>
      <w:r w:rsidRPr="00C534A9">
        <w:rPr>
          <w:rFonts w:ascii="Arial" w:hAnsi="Arial" w:cs="Arial"/>
          <w:sz w:val="22"/>
        </w:rPr>
        <w:t>20</w:t>
      </w:r>
      <w:r w:rsidR="006B6437" w:rsidRPr="00C534A9">
        <w:rPr>
          <w:rFonts w:ascii="Arial" w:hAnsi="Arial" w:cs="Arial"/>
          <w:sz w:val="22"/>
        </w:rPr>
        <w:t xml:space="preserve">%). </w:t>
      </w:r>
      <w:r w:rsidR="00095DE4" w:rsidRPr="00C534A9">
        <w:rPr>
          <w:rFonts w:ascii="Arial" w:hAnsi="Arial" w:cs="Arial"/>
          <w:sz w:val="22"/>
        </w:rPr>
        <w:t>The high case (22% capacity factor) is based on the estimated capacity factor for distributed PV systems in Barbados from a 2015 study on wind and solar capacity integration in Barbados that was conducted by GE Energy Consulting</w:t>
      </w:r>
      <w:r w:rsidR="00095DE4" w:rsidRPr="00C534A9">
        <w:rPr>
          <w:rStyle w:val="FootnoteReference"/>
          <w:rFonts w:ascii="Arial" w:hAnsi="Arial" w:cs="Arial"/>
          <w:sz w:val="16"/>
        </w:rPr>
        <w:footnoteReference w:id="5"/>
      </w:r>
      <w:r w:rsidR="00095DE4" w:rsidRPr="00C534A9">
        <w:rPr>
          <w:rFonts w:ascii="Arial" w:hAnsi="Arial" w:cs="Arial"/>
          <w:sz w:val="22"/>
        </w:rPr>
        <w:t>. The low case (18% capacity factor) is based on the assumptions used in the 2012 BL&amp;P Integrated Resource Plan.</w:t>
      </w:r>
      <w:r w:rsidR="00095DE4" w:rsidRPr="00C534A9">
        <w:rPr>
          <w:rStyle w:val="FootnoteReference"/>
          <w:rFonts w:ascii="Arial" w:hAnsi="Arial" w:cs="Arial"/>
          <w:sz w:val="16"/>
        </w:rPr>
        <w:footnoteReference w:id="6"/>
      </w:r>
      <w:r w:rsidR="00095DE4" w:rsidRPr="00C534A9">
        <w:rPr>
          <w:rFonts w:ascii="Arial" w:hAnsi="Arial" w:cs="Arial"/>
          <w:sz w:val="22"/>
        </w:rPr>
        <w:t xml:space="preserve"> </w:t>
      </w:r>
      <w:r w:rsidR="006B6437" w:rsidRPr="00C534A9">
        <w:rPr>
          <w:rFonts w:ascii="Arial" w:hAnsi="Arial" w:cs="Arial"/>
          <w:sz w:val="22"/>
        </w:rPr>
        <w:t xml:space="preserve">The table shows that after lowering the capacity factor by 10% (or </w:t>
      </w:r>
      <w:r w:rsidRPr="00C534A9">
        <w:rPr>
          <w:rFonts w:ascii="Arial" w:hAnsi="Arial" w:cs="Arial"/>
          <w:sz w:val="22"/>
        </w:rPr>
        <w:t>2</w:t>
      </w:r>
      <w:r w:rsidR="006B6437" w:rsidRPr="00C534A9">
        <w:rPr>
          <w:rFonts w:ascii="Arial" w:hAnsi="Arial" w:cs="Arial"/>
          <w:sz w:val="22"/>
        </w:rPr>
        <w:t xml:space="preserve"> percentage points), the </w:t>
      </w:r>
      <w:r w:rsidRPr="00C534A9">
        <w:rPr>
          <w:rFonts w:ascii="Arial" w:hAnsi="Arial" w:cs="Arial"/>
          <w:sz w:val="22"/>
        </w:rPr>
        <w:t>solar plant</w:t>
      </w:r>
      <w:r w:rsidR="006B6437" w:rsidRPr="00C534A9">
        <w:rPr>
          <w:rFonts w:ascii="Arial" w:hAnsi="Arial" w:cs="Arial"/>
          <w:sz w:val="22"/>
        </w:rPr>
        <w:t xml:space="preserve"> </w:t>
      </w:r>
      <w:r w:rsidR="00F469E3" w:rsidRPr="00C534A9">
        <w:rPr>
          <w:rFonts w:ascii="Arial" w:hAnsi="Arial" w:cs="Arial"/>
          <w:sz w:val="22"/>
        </w:rPr>
        <w:t>is</w:t>
      </w:r>
      <w:r w:rsidR="006B6437" w:rsidRPr="00C534A9">
        <w:rPr>
          <w:rFonts w:ascii="Arial" w:hAnsi="Arial" w:cs="Arial"/>
          <w:sz w:val="22"/>
        </w:rPr>
        <w:t xml:space="preserve"> </w:t>
      </w:r>
      <w:r w:rsidRPr="00C534A9">
        <w:rPr>
          <w:rFonts w:ascii="Arial" w:hAnsi="Arial" w:cs="Arial"/>
          <w:sz w:val="22"/>
        </w:rPr>
        <w:t xml:space="preserve">marginally </w:t>
      </w:r>
      <w:r w:rsidR="00F469E3" w:rsidRPr="00C534A9">
        <w:rPr>
          <w:rFonts w:ascii="Arial" w:hAnsi="Arial" w:cs="Arial"/>
          <w:sz w:val="22"/>
        </w:rPr>
        <w:t>uneconomic</w:t>
      </w:r>
      <w:r w:rsidR="006B6437" w:rsidRPr="00C534A9">
        <w:rPr>
          <w:rFonts w:ascii="Arial" w:hAnsi="Arial" w:cs="Arial"/>
          <w:sz w:val="22"/>
        </w:rPr>
        <w:t xml:space="preserve">, with an aggregate </w:t>
      </w:r>
      <w:r w:rsidR="00FD1DBD" w:rsidRPr="00C534A9">
        <w:rPr>
          <w:rFonts w:ascii="Arial" w:hAnsi="Arial" w:cs="Arial"/>
          <w:sz w:val="22"/>
        </w:rPr>
        <w:t>E</w:t>
      </w:r>
      <w:r w:rsidR="006B6437" w:rsidRPr="00C534A9">
        <w:rPr>
          <w:rFonts w:ascii="Arial" w:hAnsi="Arial" w:cs="Arial"/>
          <w:sz w:val="22"/>
        </w:rPr>
        <w:t>NPV of US$</w:t>
      </w:r>
      <w:r w:rsidR="00F469E3" w:rsidRPr="00C534A9">
        <w:rPr>
          <w:rFonts w:ascii="Arial" w:hAnsi="Arial" w:cs="Arial"/>
          <w:sz w:val="22"/>
        </w:rPr>
        <w:t>-</w:t>
      </w:r>
      <w:r w:rsidR="00FD1DBD" w:rsidRPr="00C534A9">
        <w:rPr>
          <w:rFonts w:ascii="Arial" w:hAnsi="Arial" w:cs="Arial"/>
          <w:sz w:val="22"/>
        </w:rPr>
        <w:t>9</w:t>
      </w:r>
      <w:r w:rsidR="00F469E3" w:rsidRPr="00C534A9">
        <w:rPr>
          <w:rFonts w:ascii="Arial" w:hAnsi="Arial" w:cs="Arial"/>
          <w:sz w:val="22"/>
        </w:rPr>
        <w:t>,000</w:t>
      </w:r>
      <w:r w:rsidR="00FD1DBD" w:rsidRPr="00C534A9">
        <w:rPr>
          <w:rFonts w:ascii="Arial" w:hAnsi="Arial" w:cs="Arial"/>
          <w:sz w:val="22"/>
        </w:rPr>
        <w:t xml:space="preserve">and </w:t>
      </w:r>
      <w:proofErr w:type="gramStart"/>
      <w:r w:rsidR="00FD1DBD" w:rsidRPr="00C534A9">
        <w:rPr>
          <w:rFonts w:ascii="Arial" w:hAnsi="Arial" w:cs="Arial"/>
          <w:sz w:val="22"/>
        </w:rPr>
        <w:t>an</w:t>
      </w:r>
      <w:proofErr w:type="gramEnd"/>
      <w:r w:rsidR="00F469E3" w:rsidRPr="00C534A9">
        <w:rPr>
          <w:rFonts w:ascii="Arial" w:hAnsi="Arial" w:cs="Arial"/>
          <w:sz w:val="22"/>
        </w:rPr>
        <w:t xml:space="preserve"> </w:t>
      </w:r>
      <w:r w:rsidR="00FD1DBD" w:rsidRPr="00C534A9">
        <w:rPr>
          <w:rFonts w:ascii="Arial" w:hAnsi="Arial" w:cs="Arial"/>
          <w:sz w:val="22"/>
        </w:rPr>
        <w:t>E</w:t>
      </w:r>
      <w:r w:rsidR="00F469E3" w:rsidRPr="00C534A9">
        <w:rPr>
          <w:rFonts w:ascii="Arial" w:hAnsi="Arial" w:cs="Arial"/>
          <w:sz w:val="22"/>
        </w:rPr>
        <w:t>IRR in this scenario is 11</w:t>
      </w:r>
      <w:r w:rsidR="00FD1DBD" w:rsidRPr="00C534A9">
        <w:rPr>
          <w:rFonts w:ascii="Arial" w:hAnsi="Arial" w:cs="Arial"/>
          <w:sz w:val="22"/>
        </w:rPr>
        <w:t>.7</w:t>
      </w:r>
      <w:r w:rsidR="00F469E3" w:rsidRPr="00C534A9">
        <w:rPr>
          <w:rFonts w:ascii="Arial" w:hAnsi="Arial" w:cs="Arial"/>
          <w:sz w:val="22"/>
        </w:rPr>
        <w:t xml:space="preserve">%, slightly below the 12% hurdle rate. </w:t>
      </w:r>
      <w:r w:rsidR="006B6437" w:rsidRPr="00C534A9">
        <w:rPr>
          <w:rFonts w:ascii="Arial" w:hAnsi="Arial" w:cs="Arial"/>
          <w:sz w:val="22"/>
        </w:rPr>
        <w:t xml:space="preserve">In the high </w:t>
      </w:r>
      <w:r w:rsidRPr="00C534A9">
        <w:rPr>
          <w:rFonts w:ascii="Arial" w:hAnsi="Arial" w:cs="Arial"/>
          <w:sz w:val="22"/>
        </w:rPr>
        <w:t>capacity fac</w:t>
      </w:r>
      <w:r w:rsidR="006B6437" w:rsidRPr="00C534A9">
        <w:rPr>
          <w:rFonts w:ascii="Arial" w:hAnsi="Arial" w:cs="Arial"/>
          <w:sz w:val="22"/>
        </w:rPr>
        <w:t xml:space="preserve">tor scenario, the aggregate </w:t>
      </w:r>
      <w:r w:rsidR="00FD1DBD" w:rsidRPr="00C534A9">
        <w:rPr>
          <w:rFonts w:ascii="Arial" w:hAnsi="Arial" w:cs="Arial"/>
          <w:sz w:val="22"/>
        </w:rPr>
        <w:t>E</w:t>
      </w:r>
      <w:r w:rsidR="006B6437" w:rsidRPr="00C534A9">
        <w:rPr>
          <w:rFonts w:ascii="Arial" w:hAnsi="Arial" w:cs="Arial"/>
          <w:sz w:val="22"/>
        </w:rPr>
        <w:t>NPV increases to US$</w:t>
      </w:r>
      <w:r w:rsidR="00FD1DBD" w:rsidRPr="00C534A9">
        <w:rPr>
          <w:rFonts w:ascii="Arial" w:hAnsi="Arial" w:cs="Arial"/>
          <w:sz w:val="22"/>
        </w:rPr>
        <w:t>98</w:t>
      </w:r>
      <w:r w:rsidR="00F469E3" w:rsidRPr="00C534A9">
        <w:rPr>
          <w:rFonts w:ascii="Arial" w:hAnsi="Arial" w:cs="Arial"/>
          <w:sz w:val="22"/>
        </w:rPr>
        <w:t>,000</w:t>
      </w:r>
      <w:r w:rsidR="006B6437" w:rsidRPr="00C534A9">
        <w:rPr>
          <w:rFonts w:ascii="Arial" w:hAnsi="Arial" w:cs="Arial"/>
          <w:sz w:val="22"/>
        </w:rPr>
        <w:t>.</w:t>
      </w:r>
    </w:p>
    <w:p w:rsidR="006B6437" w:rsidRPr="00C534A9" w:rsidRDefault="006B6437" w:rsidP="00C534A9">
      <w:pPr>
        <w:pStyle w:val="Caption"/>
        <w:jc w:val="both"/>
        <w:rPr>
          <w:rFonts w:ascii="Arial" w:hAnsi="Arial" w:cs="Arial"/>
          <w:sz w:val="22"/>
        </w:rPr>
      </w:pPr>
      <w:bookmarkStart w:id="114" w:name="_Toc463508985"/>
      <w:r w:rsidRPr="00C534A9">
        <w:rPr>
          <w:rFonts w:ascii="Arial" w:hAnsi="Arial" w:cs="Arial"/>
          <w:sz w:val="22"/>
        </w:rPr>
        <w:t xml:space="preserve">Table </w:t>
      </w:r>
      <w:r w:rsidR="007A76B8" w:rsidRPr="00C534A9">
        <w:rPr>
          <w:rFonts w:ascii="Arial" w:hAnsi="Arial" w:cs="Arial"/>
          <w:sz w:val="22"/>
        </w:rPr>
        <w:t>5</w:t>
      </w:r>
      <w:r w:rsidRPr="00C534A9">
        <w:rPr>
          <w:rFonts w:ascii="Arial" w:hAnsi="Arial" w:cs="Arial"/>
          <w:sz w:val="22"/>
        </w:rPr>
        <w:t>.5: CBA Sensitivity to capacity factor</w:t>
      </w:r>
      <w:r w:rsidR="003A6A5C" w:rsidRPr="00C534A9">
        <w:rPr>
          <w:rFonts w:ascii="Arial" w:hAnsi="Arial" w:cs="Arial"/>
          <w:sz w:val="22"/>
        </w:rPr>
        <w:t xml:space="preserve"> (US$ ‘000)</w:t>
      </w:r>
      <w:bookmarkEnd w:id="114"/>
    </w:p>
    <w:tbl>
      <w:tblPr>
        <w:tblW w:w="6500" w:type="dxa"/>
        <w:jc w:val="center"/>
        <w:tblInd w:w="93" w:type="dxa"/>
        <w:tblLook w:val="04A0" w:firstRow="1" w:lastRow="0" w:firstColumn="1" w:lastColumn="0" w:noHBand="0" w:noVBand="1"/>
      </w:tblPr>
      <w:tblGrid>
        <w:gridCol w:w="2540"/>
        <w:gridCol w:w="1320"/>
        <w:gridCol w:w="1320"/>
        <w:gridCol w:w="1320"/>
      </w:tblGrid>
      <w:tr w:rsidR="007065A3" w:rsidRPr="00C534A9" w:rsidTr="007065A3">
        <w:trPr>
          <w:trHeight w:val="315"/>
          <w:jc w:val="center"/>
        </w:trPr>
        <w:tc>
          <w:tcPr>
            <w:tcW w:w="2540"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b/>
                <w:bCs/>
                <w:color w:val="000000"/>
                <w:sz w:val="22"/>
                <w:szCs w:val="24"/>
              </w:rPr>
            </w:pPr>
            <w:r w:rsidRPr="00C534A9">
              <w:rPr>
                <w:rFonts w:ascii="Arial" w:eastAsia="Times New Roman" w:hAnsi="Arial" w:cs="Arial"/>
                <w:b/>
                <w:bCs/>
                <w:color w:val="000000"/>
                <w:sz w:val="22"/>
                <w:szCs w:val="24"/>
              </w:rPr>
              <w:t>Scenario:</w:t>
            </w:r>
          </w:p>
        </w:tc>
        <w:tc>
          <w:tcPr>
            <w:tcW w:w="1320"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b/>
                <w:bCs/>
                <w:color w:val="000000"/>
                <w:sz w:val="22"/>
                <w:szCs w:val="24"/>
              </w:rPr>
            </w:pPr>
            <w:r w:rsidRPr="00C534A9">
              <w:rPr>
                <w:rFonts w:ascii="Arial" w:eastAsia="Times New Roman" w:hAnsi="Arial" w:cs="Arial"/>
                <w:b/>
                <w:bCs/>
                <w:color w:val="000000"/>
                <w:sz w:val="22"/>
                <w:szCs w:val="24"/>
              </w:rPr>
              <w:t>Base</w:t>
            </w:r>
          </w:p>
        </w:tc>
        <w:tc>
          <w:tcPr>
            <w:tcW w:w="1320"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b/>
                <w:bCs/>
                <w:color w:val="000000"/>
                <w:sz w:val="22"/>
                <w:szCs w:val="24"/>
              </w:rPr>
            </w:pPr>
            <w:r w:rsidRPr="00C534A9">
              <w:rPr>
                <w:rFonts w:ascii="Arial" w:eastAsia="Times New Roman" w:hAnsi="Arial" w:cs="Arial"/>
                <w:b/>
                <w:bCs/>
                <w:color w:val="000000"/>
                <w:sz w:val="22"/>
                <w:szCs w:val="24"/>
              </w:rPr>
              <w:t>High</w:t>
            </w:r>
          </w:p>
        </w:tc>
        <w:tc>
          <w:tcPr>
            <w:tcW w:w="1320"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b/>
                <w:bCs/>
                <w:color w:val="000000"/>
                <w:sz w:val="22"/>
                <w:szCs w:val="24"/>
              </w:rPr>
            </w:pPr>
            <w:r w:rsidRPr="00C534A9">
              <w:rPr>
                <w:rFonts w:ascii="Arial" w:eastAsia="Times New Roman" w:hAnsi="Arial" w:cs="Arial"/>
                <w:b/>
                <w:bCs/>
                <w:color w:val="000000"/>
                <w:sz w:val="22"/>
                <w:szCs w:val="24"/>
              </w:rPr>
              <w:t>Low</w:t>
            </w:r>
          </w:p>
        </w:tc>
      </w:tr>
      <w:tr w:rsidR="007065A3" w:rsidRPr="00C534A9" w:rsidTr="007065A3">
        <w:trPr>
          <w:trHeight w:val="315"/>
          <w:jc w:val="center"/>
        </w:trPr>
        <w:tc>
          <w:tcPr>
            <w:tcW w:w="2540"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color w:val="000000"/>
                <w:sz w:val="22"/>
                <w:szCs w:val="24"/>
                <w:u w:val="single"/>
              </w:rPr>
            </w:pPr>
            <w:r w:rsidRPr="00C534A9">
              <w:rPr>
                <w:rFonts w:ascii="Arial" w:eastAsia="Times New Roman" w:hAnsi="Arial" w:cs="Arial"/>
                <w:color w:val="000000"/>
                <w:sz w:val="22"/>
                <w:szCs w:val="24"/>
                <w:u w:val="single"/>
              </w:rPr>
              <w:t>Capacity Factor:</w:t>
            </w:r>
          </w:p>
        </w:tc>
        <w:tc>
          <w:tcPr>
            <w:tcW w:w="1320"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color w:val="000000"/>
                <w:sz w:val="22"/>
                <w:szCs w:val="24"/>
                <w:u w:val="single"/>
              </w:rPr>
            </w:pPr>
            <w:r w:rsidRPr="00C534A9">
              <w:rPr>
                <w:rFonts w:ascii="Arial" w:eastAsia="Times New Roman" w:hAnsi="Arial" w:cs="Arial"/>
                <w:color w:val="000000"/>
                <w:sz w:val="22"/>
                <w:szCs w:val="24"/>
                <w:u w:val="single"/>
              </w:rPr>
              <w:t>20%</w:t>
            </w:r>
          </w:p>
        </w:tc>
        <w:tc>
          <w:tcPr>
            <w:tcW w:w="1320"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color w:val="000000"/>
                <w:sz w:val="22"/>
                <w:szCs w:val="24"/>
                <w:u w:val="single"/>
              </w:rPr>
            </w:pPr>
            <w:r w:rsidRPr="00C534A9">
              <w:rPr>
                <w:rFonts w:ascii="Arial" w:eastAsia="Times New Roman" w:hAnsi="Arial" w:cs="Arial"/>
                <w:color w:val="000000"/>
                <w:sz w:val="22"/>
                <w:szCs w:val="24"/>
                <w:u w:val="single"/>
              </w:rPr>
              <w:t>22%</w:t>
            </w:r>
          </w:p>
        </w:tc>
        <w:tc>
          <w:tcPr>
            <w:tcW w:w="1320"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color w:val="000000"/>
                <w:sz w:val="22"/>
                <w:szCs w:val="24"/>
                <w:u w:val="single"/>
              </w:rPr>
            </w:pPr>
            <w:r w:rsidRPr="00C534A9">
              <w:rPr>
                <w:rFonts w:ascii="Arial" w:eastAsia="Times New Roman" w:hAnsi="Arial" w:cs="Arial"/>
                <w:color w:val="000000"/>
                <w:sz w:val="22"/>
                <w:szCs w:val="24"/>
                <w:u w:val="single"/>
              </w:rPr>
              <w:t>18%</w:t>
            </w:r>
          </w:p>
        </w:tc>
      </w:tr>
      <w:tr w:rsidR="00FD1DBD" w:rsidRPr="00C534A9" w:rsidTr="007065A3">
        <w:trPr>
          <w:trHeight w:val="315"/>
          <w:jc w:val="center"/>
        </w:trPr>
        <w:tc>
          <w:tcPr>
            <w:tcW w:w="2540" w:type="dxa"/>
            <w:tcBorders>
              <w:top w:val="nil"/>
              <w:left w:val="nil"/>
              <w:bottom w:val="nil"/>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Present Value - Benefits</w:t>
            </w:r>
          </w:p>
        </w:tc>
        <w:tc>
          <w:tcPr>
            <w:tcW w:w="1320" w:type="dxa"/>
            <w:tcBorders>
              <w:top w:val="nil"/>
              <w:left w:val="nil"/>
              <w:bottom w:val="nil"/>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$531 </w:t>
            </w:r>
          </w:p>
        </w:tc>
        <w:tc>
          <w:tcPr>
            <w:tcW w:w="1320" w:type="dxa"/>
            <w:tcBorders>
              <w:top w:val="nil"/>
              <w:left w:val="nil"/>
              <w:bottom w:val="nil"/>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$584 </w:t>
            </w:r>
          </w:p>
        </w:tc>
        <w:tc>
          <w:tcPr>
            <w:tcW w:w="1320" w:type="dxa"/>
            <w:tcBorders>
              <w:top w:val="nil"/>
              <w:left w:val="nil"/>
              <w:bottom w:val="nil"/>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$478 </w:t>
            </w:r>
          </w:p>
        </w:tc>
      </w:tr>
      <w:tr w:rsidR="00FD1DBD" w:rsidRPr="00C534A9" w:rsidTr="007065A3">
        <w:trPr>
          <w:trHeight w:val="315"/>
          <w:jc w:val="center"/>
        </w:trPr>
        <w:tc>
          <w:tcPr>
            <w:tcW w:w="2540" w:type="dxa"/>
            <w:tcBorders>
              <w:top w:val="nil"/>
              <w:left w:val="nil"/>
              <w:bottom w:val="single" w:sz="4" w:space="0" w:color="auto"/>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Present Value  - Costs</w:t>
            </w:r>
          </w:p>
        </w:tc>
        <w:tc>
          <w:tcPr>
            <w:tcW w:w="1320" w:type="dxa"/>
            <w:tcBorders>
              <w:top w:val="nil"/>
              <w:left w:val="nil"/>
              <w:bottom w:val="single" w:sz="4" w:space="0" w:color="auto"/>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hAnsi="Arial" w:cs="Arial"/>
                <w:color w:val="FF0000"/>
                <w:sz w:val="22"/>
              </w:rPr>
              <w:t>($487)</w:t>
            </w:r>
          </w:p>
        </w:tc>
        <w:tc>
          <w:tcPr>
            <w:tcW w:w="1320" w:type="dxa"/>
            <w:tcBorders>
              <w:top w:val="nil"/>
              <w:left w:val="nil"/>
              <w:bottom w:val="single" w:sz="4" w:space="0" w:color="auto"/>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hAnsi="Arial" w:cs="Arial"/>
                <w:color w:val="FF0000"/>
                <w:sz w:val="22"/>
              </w:rPr>
              <w:t>($487)</w:t>
            </w:r>
          </w:p>
        </w:tc>
        <w:tc>
          <w:tcPr>
            <w:tcW w:w="1320" w:type="dxa"/>
            <w:tcBorders>
              <w:top w:val="nil"/>
              <w:left w:val="nil"/>
              <w:bottom w:val="single" w:sz="4" w:space="0" w:color="auto"/>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hAnsi="Arial" w:cs="Arial"/>
                <w:color w:val="FF0000"/>
                <w:sz w:val="22"/>
              </w:rPr>
              <w:t>($487)</w:t>
            </w:r>
          </w:p>
        </w:tc>
      </w:tr>
      <w:tr w:rsidR="00FD1DBD" w:rsidRPr="00C534A9" w:rsidTr="007065A3">
        <w:trPr>
          <w:trHeight w:val="315"/>
          <w:jc w:val="center"/>
        </w:trPr>
        <w:tc>
          <w:tcPr>
            <w:tcW w:w="2540" w:type="dxa"/>
            <w:tcBorders>
              <w:top w:val="nil"/>
              <w:left w:val="nil"/>
              <w:bottom w:val="nil"/>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Net Present Value</w:t>
            </w:r>
          </w:p>
        </w:tc>
        <w:tc>
          <w:tcPr>
            <w:tcW w:w="1320" w:type="dxa"/>
            <w:tcBorders>
              <w:top w:val="nil"/>
              <w:left w:val="nil"/>
              <w:bottom w:val="nil"/>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$45 </w:t>
            </w:r>
          </w:p>
        </w:tc>
        <w:tc>
          <w:tcPr>
            <w:tcW w:w="1320" w:type="dxa"/>
            <w:tcBorders>
              <w:top w:val="nil"/>
              <w:left w:val="nil"/>
              <w:bottom w:val="nil"/>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$98 </w:t>
            </w:r>
          </w:p>
        </w:tc>
        <w:tc>
          <w:tcPr>
            <w:tcW w:w="1320" w:type="dxa"/>
            <w:tcBorders>
              <w:top w:val="nil"/>
              <w:left w:val="nil"/>
              <w:bottom w:val="nil"/>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hAnsi="Arial" w:cs="Arial"/>
                <w:color w:val="FF0000"/>
                <w:sz w:val="22"/>
              </w:rPr>
              <w:t>($9)</w:t>
            </w:r>
          </w:p>
        </w:tc>
      </w:tr>
      <w:tr w:rsidR="00FD1DBD" w:rsidRPr="00C534A9" w:rsidTr="007065A3">
        <w:trPr>
          <w:trHeight w:val="315"/>
          <w:jc w:val="center"/>
        </w:trPr>
        <w:tc>
          <w:tcPr>
            <w:tcW w:w="2540" w:type="dxa"/>
            <w:tcBorders>
              <w:top w:val="nil"/>
              <w:left w:val="nil"/>
              <w:bottom w:val="nil"/>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IRR</w:t>
            </w:r>
          </w:p>
        </w:tc>
        <w:tc>
          <w:tcPr>
            <w:tcW w:w="1320" w:type="dxa"/>
            <w:tcBorders>
              <w:top w:val="nil"/>
              <w:left w:val="nil"/>
              <w:bottom w:val="nil"/>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13%</w:t>
            </w:r>
          </w:p>
        </w:tc>
        <w:tc>
          <w:tcPr>
            <w:tcW w:w="1320" w:type="dxa"/>
            <w:tcBorders>
              <w:top w:val="nil"/>
              <w:left w:val="nil"/>
              <w:bottom w:val="nil"/>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15%</w:t>
            </w:r>
          </w:p>
        </w:tc>
        <w:tc>
          <w:tcPr>
            <w:tcW w:w="1320" w:type="dxa"/>
            <w:tcBorders>
              <w:top w:val="nil"/>
              <w:left w:val="nil"/>
              <w:bottom w:val="nil"/>
              <w:right w:val="nil"/>
            </w:tcBorders>
            <w:shd w:val="clear" w:color="auto" w:fill="auto"/>
            <w:noWrap/>
            <w:vAlign w:val="center"/>
            <w:hideMark/>
          </w:tcPr>
          <w:p w:rsidR="00FD1DBD" w:rsidRPr="00C534A9" w:rsidRDefault="00FD1DBD"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12%</w:t>
            </w:r>
          </w:p>
        </w:tc>
      </w:tr>
    </w:tbl>
    <w:p w:rsidR="00220712" w:rsidRPr="00C534A9" w:rsidRDefault="00220712" w:rsidP="00C534A9">
      <w:pPr>
        <w:jc w:val="both"/>
        <w:rPr>
          <w:rFonts w:ascii="Arial" w:hAnsi="Arial" w:cs="Arial"/>
          <w:sz w:val="22"/>
        </w:rPr>
      </w:pPr>
    </w:p>
    <w:p w:rsidR="006B6437" w:rsidRPr="00C534A9" w:rsidRDefault="006B6437" w:rsidP="00C534A9">
      <w:pPr>
        <w:pStyle w:val="Source"/>
        <w:jc w:val="both"/>
        <w:rPr>
          <w:rFonts w:ascii="Arial" w:hAnsi="Arial" w:cs="Arial"/>
          <w:sz w:val="18"/>
        </w:rPr>
      </w:pPr>
    </w:p>
    <w:p w:rsidR="006C2DE5" w:rsidRPr="00C534A9" w:rsidRDefault="006C2DE5" w:rsidP="00C534A9">
      <w:pPr>
        <w:jc w:val="both"/>
        <w:rPr>
          <w:rFonts w:ascii="Arial" w:hAnsi="Arial" w:cs="Arial"/>
          <w:sz w:val="22"/>
        </w:rPr>
      </w:pPr>
      <w:r w:rsidRPr="00C534A9">
        <w:rPr>
          <w:rFonts w:ascii="Arial" w:hAnsi="Arial" w:cs="Arial"/>
          <w:sz w:val="22"/>
        </w:rPr>
        <w:t>In a “worst case” scenario in which all three variables are set to the Low value (a low oil price, a low CO2 price, and a low utilization rate)</w:t>
      </w:r>
      <w:proofErr w:type="gramStart"/>
      <w:r w:rsidRPr="00C534A9">
        <w:rPr>
          <w:rFonts w:ascii="Arial" w:hAnsi="Arial" w:cs="Arial"/>
          <w:sz w:val="22"/>
        </w:rPr>
        <w:t>,</w:t>
      </w:r>
      <w:proofErr w:type="gramEnd"/>
      <w:r w:rsidRPr="00C534A9">
        <w:rPr>
          <w:rFonts w:ascii="Arial" w:hAnsi="Arial" w:cs="Arial"/>
          <w:sz w:val="22"/>
        </w:rPr>
        <w:t xml:space="preserve"> the </w:t>
      </w:r>
      <w:r w:rsidR="002A7DDE" w:rsidRPr="00C534A9">
        <w:rPr>
          <w:rFonts w:ascii="Arial" w:hAnsi="Arial" w:cs="Arial"/>
          <w:sz w:val="22"/>
        </w:rPr>
        <w:t>solar panel</w:t>
      </w:r>
      <w:r w:rsidRPr="00C534A9">
        <w:rPr>
          <w:rFonts w:ascii="Arial" w:hAnsi="Arial" w:cs="Arial"/>
          <w:sz w:val="22"/>
        </w:rPr>
        <w:t xml:space="preserve"> sub-project </w:t>
      </w:r>
      <w:r w:rsidR="002A7DDE" w:rsidRPr="00C534A9">
        <w:rPr>
          <w:rFonts w:ascii="Arial" w:hAnsi="Arial" w:cs="Arial"/>
          <w:sz w:val="22"/>
        </w:rPr>
        <w:t>is no longer</w:t>
      </w:r>
      <w:r w:rsidRPr="00C534A9">
        <w:rPr>
          <w:rFonts w:ascii="Arial" w:hAnsi="Arial" w:cs="Arial"/>
          <w:sz w:val="22"/>
        </w:rPr>
        <w:t xml:space="preserve"> economically viable. As shown in Figure </w:t>
      </w:r>
      <w:r w:rsidR="002A7DDE" w:rsidRPr="00C534A9">
        <w:rPr>
          <w:rFonts w:ascii="Arial" w:hAnsi="Arial" w:cs="Arial"/>
          <w:sz w:val="22"/>
        </w:rPr>
        <w:t>5</w:t>
      </w:r>
      <w:r w:rsidRPr="00C534A9">
        <w:rPr>
          <w:rFonts w:ascii="Arial" w:hAnsi="Arial" w:cs="Arial"/>
          <w:sz w:val="22"/>
        </w:rPr>
        <w:t xml:space="preserve">.2, the </w:t>
      </w:r>
      <w:r w:rsidR="002A7DDE" w:rsidRPr="00C534A9">
        <w:rPr>
          <w:rFonts w:ascii="Arial" w:hAnsi="Arial" w:cs="Arial"/>
          <w:sz w:val="22"/>
        </w:rPr>
        <w:t>solar panel sub-project</w:t>
      </w:r>
      <w:r w:rsidRPr="00C534A9">
        <w:rPr>
          <w:rFonts w:ascii="Arial" w:hAnsi="Arial" w:cs="Arial"/>
          <w:sz w:val="22"/>
        </w:rPr>
        <w:t xml:space="preserve"> under a </w:t>
      </w:r>
      <w:r w:rsidR="002A7DDE" w:rsidRPr="00C534A9">
        <w:rPr>
          <w:rFonts w:ascii="Arial" w:hAnsi="Arial" w:cs="Arial"/>
          <w:sz w:val="22"/>
        </w:rPr>
        <w:t>worst case scenario</w:t>
      </w:r>
      <w:r w:rsidRPr="00C534A9">
        <w:rPr>
          <w:rFonts w:ascii="Arial" w:hAnsi="Arial" w:cs="Arial"/>
          <w:sz w:val="22"/>
        </w:rPr>
        <w:t xml:space="preserve"> has an economic NPV of US$</w:t>
      </w:r>
      <w:r w:rsidR="004946D8" w:rsidRPr="00C534A9">
        <w:rPr>
          <w:rFonts w:ascii="Arial" w:hAnsi="Arial" w:cs="Arial"/>
          <w:sz w:val="22"/>
        </w:rPr>
        <w:t>-</w:t>
      </w:r>
      <w:r w:rsidR="003F234E" w:rsidRPr="00C534A9">
        <w:rPr>
          <w:rFonts w:ascii="Arial" w:hAnsi="Arial" w:cs="Arial"/>
          <w:sz w:val="22"/>
        </w:rPr>
        <w:t>127</w:t>
      </w:r>
      <w:r w:rsidRPr="00C534A9">
        <w:rPr>
          <w:rFonts w:ascii="Arial" w:hAnsi="Arial" w:cs="Arial"/>
          <w:sz w:val="22"/>
        </w:rPr>
        <w:t xml:space="preserve">,000 and EIRR </w:t>
      </w:r>
      <w:r w:rsidR="004946D8" w:rsidRPr="00C534A9">
        <w:rPr>
          <w:rFonts w:ascii="Arial" w:hAnsi="Arial" w:cs="Arial"/>
          <w:sz w:val="22"/>
        </w:rPr>
        <w:t xml:space="preserve">of </w:t>
      </w:r>
      <w:r w:rsidR="003F234E" w:rsidRPr="00C534A9">
        <w:rPr>
          <w:rFonts w:ascii="Arial" w:hAnsi="Arial" w:cs="Arial"/>
          <w:sz w:val="22"/>
        </w:rPr>
        <w:t>8</w:t>
      </w:r>
      <w:r w:rsidRPr="00C534A9">
        <w:rPr>
          <w:rFonts w:ascii="Arial" w:hAnsi="Arial" w:cs="Arial"/>
          <w:sz w:val="22"/>
        </w:rPr>
        <w:t>%</w:t>
      </w:r>
      <w:r w:rsidR="002A7DDE" w:rsidRPr="00C534A9">
        <w:rPr>
          <w:rFonts w:ascii="Arial" w:hAnsi="Arial" w:cs="Arial"/>
          <w:sz w:val="22"/>
        </w:rPr>
        <w:t xml:space="preserve">, </w:t>
      </w:r>
      <w:r w:rsidR="004946D8" w:rsidRPr="00C534A9">
        <w:rPr>
          <w:rFonts w:ascii="Arial" w:hAnsi="Arial" w:cs="Arial"/>
          <w:sz w:val="22"/>
        </w:rPr>
        <w:t xml:space="preserve">well </w:t>
      </w:r>
      <w:r w:rsidR="002A7DDE" w:rsidRPr="00C534A9">
        <w:rPr>
          <w:rFonts w:ascii="Arial" w:hAnsi="Arial" w:cs="Arial"/>
          <w:sz w:val="22"/>
        </w:rPr>
        <w:t>below the 12% hurdle rate</w:t>
      </w:r>
      <w:r w:rsidRPr="00C534A9">
        <w:rPr>
          <w:rFonts w:ascii="Arial" w:hAnsi="Arial" w:cs="Arial"/>
          <w:sz w:val="22"/>
        </w:rPr>
        <w:t>.</w:t>
      </w:r>
    </w:p>
    <w:p w:rsidR="006C2DE5" w:rsidRPr="00C534A9" w:rsidRDefault="006C2DE5" w:rsidP="00C534A9">
      <w:pPr>
        <w:pStyle w:val="Caption"/>
        <w:jc w:val="both"/>
        <w:rPr>
          <w:rFonts w:ascii="Arial" w:hAnsi="Arial" w:cs="Arial"/>
          <w:sz w:val="22"/>
        </w:rPr>
      </w:pPr>
      <w:bookmarkStart w:id="115" w:name="_Toc463508986"/>
      <w:r w:rsidRPr="00C534A9">
        <w:rPr>
          <w:rFonts w:ascii="Arial" w:hAnsi="Arial" w:cs="Arial"/>
          <w:sz w:val="22"/>
        </w:rPr>
        <w:t xml:space="preserve">Figure </w:t>
      </w:r>
      <w:r w:rsidR="002A7DDE" w:rsidRPr="00C534A9">
        <w:rPr>
          <w:rFonts w:ascii="Arial" w:hAnsi="Arial" w:cs="Arial"/>
          <w:sz w:val="22"/>
        </w:rPr>
        <w:t>5</w:t>
      </w:r>
      <w:r w:rsidRPr="00C534A9">
        <w:rPr>
          <w:rFonts w:ascii="Arial" w:hAnsi="Arial" w:cs="Arial"/>
          <w:sz w:val="22"/>
        </w:rPr>
        <w:t xml:space="preserve">.2: Net Economic Benefits of the </w:t>
      </w:r>
      <w:r w:rsidR="002A7DDE" w:rsidRPr="00C534A9">
        <w:rPr>
          <w:rFonts w:ascii="Arial" w:hAnsi="Arial" w:cs="Arial"/>
          <w:sz w:val="22"/>
        </w:rPr>
        <w:t>solar panel</w:t>
      </w:r>
      <w:r w:rsidRPr="00C534A9">
        <w:rPr>
          <w:rFonts w:ascii="Arial" w:hAnsi="Arial" w:cs="Arial"/>
          <w:sz w:val="22"/>
        </w:rPr>
        <w:t xml:space="preserve"> sub-project under a worst case scenario (‘000 US$)</w:t>
      </w:r>
      <w:bookmarkEnd w:id="115"/>
    </w:p>
    <w:p w:rsidR="004E1D2E" w:rsidRPr="00C534A9" w:rsidRDefault="003F234E" w:rsidP="00D132E2">
      <w:pPr>
        <w:jc w:val="both"/>
        <w:rPr>
          <w:rFonts w:ascii="Arial" w:hAnsi="Arial" w:cs="Arial"/>
          <w:sz w:val="22"/>
        </w:rPr>
      </w:pPr>
      <w:r w:rsidRPr="00C534A9">
        <w:rPr>
          <w:rFonts w:ascii="Arial" w:hAnsi="Arial" w:cs="Arial"/>
          <w:noProof/>
          <w:sz w:val="22"/>
        </w:rPr>
        <w:drawing>
          <wp:inline distT="0" distB="0" distL="0" distR="0" wp14:anchorId="3D06E53B" wp14:editId="4C94EA11">
            <wp:extent cx="4346575" cy="227393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46575" cy="2273935"/>
                    </a:xfrm>
                    <a:prstGeom prst="rect">
                      <a:avLst/>
                    </a:prstGeom>
                    <a:noFill/>
                  </pic:spPr>
                </pic:pic>
              </a:graphicData>
            </a:graphic>
          </wp:inline>
        </w:drawing>
      </w:r>
      <w:r w:rsidR="006940A1" w:rsidRPr="00C534A9">
        <w:rPr>
          <w:rFonts w:ascii="Arial" w:hAnsi="Arial" w:cs="Arial"/>
          <w:sz w:val="22"/>
        </w:rPr>
        <w:br w:type="page"/>
      </w:r>
    </w:p>
    <w:p w:rsidR="006940A1" w:rsidRPr="00C534A9" w:rsidRDefault="006940A1" w:rsidP="00C534A9">
      <w:pPr>
        <w:pStyle w:val="Heading1"/>
        <w:jc w:val="both"/>
        <w:rPr>
          <w:rFonts w:ascii="Arial" w:hAnsi="Arial" w:cs="Arial"/>
          <w:sz w:val="24"/>
        </w:rPr>
      </w:pPr>
      <w:bookmarkStart w:id="116" w:name="_Toc464551519"/>
      <w:r w:rsidRPr="00C534A9">
        <w:rPr>
          <w:rFonts w:ascii="Arial" w:hAnsi="Arial" w:cs="Arial"/>
          <w:sz w:val="24"/>
        </w:rPr>
        <w:t xml:space="preserve">Cost Benefit Analysis of </w:t>
      </w:r>
      <w:r w:rsidR="00504FB7" w:rsidRPr="00C534A9">
        <w:rPr>
          <w:rFonts w:ascii="Arial" w:hAnsi="Arial" w:cs="Arial"/>
          <w:sz w:val="24"/>
        </w:rPr>
        <w:t>the Very Small LNG terminal</w:t>
      </w:r>
      <w:bookmarkEnd w:id="116"/>
    </w:p>
    <w:p w:rsidR="006940A1" w:rsidRPr="00C534A9" w:rsidRDefault="006940A1" w:rsidP="00C534A9">
      <w:pPr>
        <w:jc w:val="both"/>
        <w:rPr>
          <w:rFonts w:ascii="Arial" w:hAnsi="Arial" w:cs="Arial"/>
          <w:sz w:val="22"/>
        </w:rPr>
      </w:pPr>
      <w:r w:rsidRPr="00C534A9">
        <w:rPr>
          <w:rFonts w:ascii="Arial" w:hAnsi="Arial" w:cs="Arial"/>
          <w:sz w:val="22"/>
        </w:rPr>
        <w:t xml:space="preserve">The purpose of this section is to determine whether </w:t>
      </w:r>
      <w:r w:rsidR="00EF0DCD" w:rsidRPr="00C534A9">
        <w:rPr>
          <w:rFonts w:ascii="Arial" w:hAnsi="Arial" w:cs="Arial"/>
          <w:sz w:val="22"/>
        </w:rPr>
        <w:t>the very small (</w:t>
      </w:r>
      <w:r w:rsidR="00504FB7" w:rsidRPr="00C534A9">
        <w:rPr>
          <w:rFonts w:ascii="Arial" w:hAnsi="Arial" w:cs="Arial"/>
          <w:sz w:val="22"/>
        </w:rPr>
        <w:t>VS</w:t>
      </w:r>
      <w:r w:rsidR="00EF0DCD" w:rsidRPr="00C534A9">
        <w:rPr>
          <w:rFonts w:ascii="Arial" w:hAnsi="Arial" w:cs="Arial"/>
          <w:sz w:val="22"/>
        </w:rPr>
        <w:t>)</w:t>
      </w:r>
      <w:r w:rsidR="00504FB7" w:rsidRPr="00C534A9">
        <w:rPr>
          <w:rFonts w:ascii="Arial" w:hAnsi="Arial" w:cs="Arial"/>
          <w:sz w:val="22"/>
        </w:rPr>
        <w:t xml:space="preserve"> LNG terminal</w:t>
      </w:r>
      <w:r w:rsidRPr="00C534A9">
        <w:rPr>
          <w:rFonts w:ascii="Arial" w:hAnsi="Arial" w:cs="Arial"/>
          <w:sz w:val="22"/>
        </w:rPr>
        <w:t xml:space="preserve"> </w:t>
      </w:r>
      <w:r w:rsidR="00EF0DCD" w:rsidRPr="00C534A9">
        <w:rPr>
          <w:rFonts w:ascii="Arial" w:hAnsi="Arial" w:cs="Arial"/>
          <w:sz w:val="22"/>
        </w:rPr>
        <w:t xml:space="preserve">that is proposed to be developed under a Public-Private Partnership arrangement </w:t>
      </w:r>
      <w:r w:rsidRPr="00C534A9">
        <w:rPr>
          <w:rFonts w:ascii="Arial" w:hAnsi="Arial" w:cs="Arial"/>
          <w:sz w:val="22"/>
        </w:rPr>
        <w:t xml:space="preserve">is economically viable. </w:t>
      </w:r>
      <w:r w:rsidR="0015036F" w:rsidRPr="00C534A9">
        <w:rPr>
          <w:rFonts w:ascii="Arial" w:hAnsi="Arial" w:cs="Arial"/>
          <w:sz w:val="22"/>
        </w:rPr>
        <w:t xml:space="preserve">Although the </w:t>
      </w:r>
      <w:r w:rsidR="00504FB7" w:rsidRPr="00C534A9">
        <w:rPr>
          <w:rFonts w:ascii="Arial" w:hAnsi="Arial" w:cs="Arial"/>
          <w:sz w:val="22"/>
        </w:rPr>
        <w:t>VS LNG terminal</w:t>
      </w:r>
      <w:r w:rsidRPr="00C534A9">
        <w:rPr>
          <w:rFonts w:ascii="Arial" w:hAnsi="Arial" w:cs="Arial"/>
          <w:sz w:val="22"/>
        </w:rPr>
        <w:t xml:space="preserve"> </w:t>
      </w:r>
      <w:r w:rsidR="0015036F" w:rsidRPr="00C534A9">
        <w:rPr>
          <w:rFonts w:ascii="Arial" w:hAnsi="Arial" w:cs="Arial"/>
          <w:sz w:val="22"/>
        </w:rPr>
        <w:t>will not be directly funded under this loan operation, the loan does provide funding to support the preparation of the PPP structure and bid documents and process to build the proposed VS LNG terminal</w:t>
      </w:r>
      <w:r w:rsidRPr="00C534A9">
        <w:rPr>
          <w:rFonts w:ascii="Arial" w:hAnsi="Arial" w:cs="Arial"/>
          <w:sz w:val="22"/>
        </w:rPr>
        <w:t xml:space="preserve">. To determine </w:t>
      </w:r>
      <w:r w:rsidR="0015036F" w:rsidRPr="00C534A9">
        <w:rPr>
          <w:rFonts w:ascii="Arial" w:hAnsi="Arial" w:cs="Arial"/>
          <w:sz w:val="22"/>
        </w:rPr>
        <w:t xml:space="preserve">the </w:t>
      </w:r>
      <w:r w:rsidR="00504FB7" w:rsidRPr="00C534A9">
        <w:rPr>
          <w:rFonts w:ascii="Arial" w:hAnsi="Arial" w:cs="Arial"/>
          <w:sz w:val="22"/>
        </w:rPr>
        <w:t>VS LNG terminal</w:t>
      </w:r>
      <w:r w:rsidRPr="00C534A9">
        <w:rPr>
          <w:rFonts w:ascii="Arial" w:hAnsi="Arial" w:cs="Arial"/>
          <w:sz w:val="22"/>
        </w:rPr>
        <w:t xml:space="preserve">’s economic viability, a Cost Benefit Analysis (CBA) </w:t>
      </w:r>
      <w:r w:rsidR="00957ACC" w:rsidRPr="00C534A9">
        <w:rPr>
          <w:rFonts w:ascii="Arial" w:hAnsi="Arial" w:cs="Arial"/>
          <w:sz w:val="22"/>
        </w:rPr>
        <w:t>was performed on</w:t>
      </w:r>
      <w:r w:rsidRPr="00C534A9">
        <w:rPr>
          <w:rFonts w:ascii="Arial" w:hAnsi="Arial" w:cs="Arial"/>
          <w:sz w:val="22"/>
        </w:rPr>
        <w:t xml:space="preserve"> the </w:t>
      </w:r>
      <w:r w:rsidR="0015036F" w:rsidRPr="00C534A9">
        <w:rPr>
          <w:rFonts w:ascii="Arial" w:hAnsi="Arial" w:cs="Arial"/>
          <w:sz w:val="22"/>
        </w:rPr>
        <w:t>investment required to build the terminal and convert existing diesel generators running on HFO to burn natural gas instead</w:t>
      </w:r>
      <w:r w:rsidRPr="00C534A9">
        <w:rPr>
          <w:rFonts w:ascii="Arial" w:hAnsi="Arial" w:cs="Arial"/>
          <w:sz w:val="22"/>
        </w:rPr>
        <w:t xml:space="preserve">. </w:t>
      </w:r>
      <w:r w:rsidR="00957ACC" w:rsidRPr="00C534A9">
        <w:rPr>
          <w:rFonts w:ascii="Arial" w:hAnsi="Arial" w:cs="Arial"/>
          <w:sz w:val="22"/>
        </w:rPr>
        <w:t>T</w:t>
      </w:r>
      <w:r w:rsidRPr="00C534A9">
        <w:rPr>
          <w:rFonts w:ascii="Arial" w:hAnsi="Arial" w:cs="Arial"/>
          <w:sz w:val="22"/>
        </w:rPr>
        <w:t xml:space="preserve">he </w:t>
      </w:r>
      <w:r w:rsidR="0015036F" w:rsidRPr="00C534A9">
        <w:rPr>
          <w:rFonts w:ascii="Arial" w:hAnsi="Arial" w:cs="Arial"/>
          <w:sz w:val="22"/>
        </w:rPr>
        <w:t xml:space="preserve">VS LNG terminal </w:t>
      </w:r>
      <w:r w:rsidR="00957ACC" w:rsidRPr="00C534A9">
        <w:rPr>
          <w:rFonts w:ascii="Arial" w:hAnsi="Arial" w:cs="Arial"/>
          <w:sz w:val="22"/>
        </w:rPr>
        <w:t xml:space="preserve">was found to have </w:t>
      </w:r>
      <w:r w:rsidR="0015036F" w:rsidRPr="00C534A9">
        <w:rPr>
          <w:rFonts w:ascii="Arial" w:hAnsi="Arial" w:cs="Arial"/>
          <w:sz w:val="22"/>
        </w:rPr>
        <w:t>an</w:t>
      </w:r>
      <w:r w:rsidRPr="00C534A9">
        <w:rPr>
          <w:rFonts w:ascii="Arial" w:hAnsi="Arial" w:cs="Arial"/>
          <w:sz w:val="22"/>
        </w:rPr>
        <w:t xml:space="preserve"> aggregate net present value (NPV) of approximately US$</w:t>
      </w:r>
      <w:r w:rsidR="00882797" w:rsidRPr="00C534A9">
        <w:rPr>
          <w:rFonts w:ascii="Arial" w:hAnsi="Arial" w:cs="Arial"/>
          <w:sz w:val="22"/>
        </w:rPr>
        <w:t xml:space="preserve">81 </w:t>
      </w:r>
      <w:r w:rsidRPr="00C534A9">
        <w:rPr>
          <w:rFonts w:ascii="Arial" w:hAnsi="Arial" w:cs="Arial"/>
          <w:sz w:val="22"/>
        </w:rPr>
        <w:t xml:space="preserve">million and internal rate of return of </w:t>
      </w:r>
      <w:r w:rsidR="00882797" w:rsidRPr="00C534A9">
        <w:rPr>
          <w:rFonts w:ascii="Arial" w:hAnsi="Arial" w:cs="Arial"/>
          <w:sz w:val="22"/>
        </w:rPr>
        <w:t>29</w:t>
      </w:r>
      <w:r w:rsidRPr="00C534A9">
        <w:rPr>
          <w:rFonts w:ascii="Arial" w:hAnsi="Arial" w:cs="Arial"/>
          <w:sz w:val="22"/>
        </w:rPr>
        <w:t xml:space="preserve">% percent. That is, the </w:t>
      </w:r>
      <w:r w:rsidR="00504FB7" w:rsidRPr="00C534A9">
        <w:rPr>
          <w:rFonts w:ascii="Arial" w:hAnsi="Arial" w:cs="Arial"/>
          <w:sz w:val="22"/>
        </w:rPr>
        <w:t>VS LNG terminal</w:t>
      </w:r>
      <w:r w:rsidRPr="00C534A9">
        <w:rPr>
          <w:rFonts w:ascii="Arial" w:hAnsi="Arial" w:cs="Arial"/>
          <w:sz w:val="22"/>
        </w:rPr>
        <w:t xml:space="preserve"> </w:t>
      </w:r>
      <w:r w:rsidR="0015036F" w:rsidRPr="00C534A9">
        <w:rPr>
          <w:rFonts w:ascii="Arial" w:hAnsi="Arial" w:cs="Arial"/>
          <w:sz w:val="22"/>
        </w:rPr>
        <w:t>is</w:t>
      </w:r>
      <w:r w:rsidRPr="00C534A9">
        <w:rPr>
          <w:rFonts w:ascii="Arial" w:hAnsi="Arial" w:cs="Arial"/>
          <w:sz w:val="22"/>
        </w:rPr>
        <w:t xml:space="preserve"> economically viable. </w:t>
      </w:r>
    </w:p>
    <w:p w:rsidR="006940A1" w:rsidRPr="00C534A9" w:rsidRDefault="006940A1" w:rsidP="00C534A9">
      <w:pPr>
        <w:jc w:val="both"/>
        <w:rPr>
          <w:rFonts w:ascii="Arial" w:hAnsi="Arial" w:cs="Arial"/>
          <w:sz w:val="22"/>
        </w:rPr>
      </w:pPr>
      <w:r w:rsidRPr="00C534A9">
        <w:rPr>
          <w:rFonts w:ascii="Arial" w:hAnsi="Arial" w:cs="Arial"/>
          <w:sz w:val="22"/>
        </w:rPr>
        <w:t xml:space="preserve">The analysis to calculate the net present value of </w:t>
      </w:r>
      <w:r w:rsidR="0015036F" w:rsidRPr="00C534A9">
        <w:rPr>
          <w:rFonts w:ascii="Arial" w:hAnsi="Arial" w:cs="Arial"/>
          <w:sz w:val="22"/>
        </w:rPr>
        <w:t>the</w:t>
      </w:r>
      <w:r w:rsidRPr="00C534A9">
        <w:rPr>
          <w:rFonts w:ascii="Arial" w:hAnsi="Arial" w:cs="Arial"/>
          <w:sz w:val="22"/>
        </w:rPr>
        <w:t xml:space="preserve"> </w:t>
      </w:r>
      <w:r w:rsidR="00504FB7" w:rsidRPr="00C534A9">
        <w:rPr>
          <w:rFonts w:ascii="Arial" w:hAnsi="Arial" w:cs="Arial"/>
          <w:sz w:val="22"/>
        </w:rPr>
        <w:t>VS LNG terminal</w:t>
      </w:r>
      <w:r w:rsidRPr="00C534A9">
        <w:rPr>
          <w:rFonts w:ascii="Arial" w:hAnsi="Arial" w:cs="Arial"/>
          <w:sz w:val="22"/>
        </w:rPr>
        <w:t xml:space="preserve"> is presented as follows: </w:t>
      </w:r>
    </w:p>
    <w:p w:rsidR="006940A1" w:rsidRPr="00C534A9" w:rsidRDefault="006940A1" w:rsidP="00C534A9">
      <w:pPr>
        <w:pStyle w:val="ListParagraph"/>
        <w:numPr>
          <w:ilvl w:val="0"/>
          <w:numId w:val="16"/>
        </w:numPr>
        <w:jc w:val="both"/>
        <w:rPr>
          <w:rFonts w:ascii="Arial" w:hAnsi="Arial" w:cs="Arial"/>
          <w:sz w:val="22"/>
        </w:rPr>
      </w:pPr>
      <w:r w:rsidRPr="00C534A9">
        <w:rPr>
          <w:rFonts w:ascii="Arial" w:hAnsi="Arial" w:cs="Arial"/>
          <w:sz w:val="22"/>
        </w:rPr>
        <w:t>Methodology and Assumptions (</w:t>
      </w:r>
      <w:r w:rsidR="005967D0" w:rsidRPr="00C534A9">
        <w:rPr>
          <w:rFonts w:ascii="Arial" w:hAnsi="Arial" w:cs="Arial"/>
          <w:sz w:val="22"/>
        </w:rPr>
        <w:t>Section 6.1</w:t>
      </w:r>
      <w:r w:rsidRPr="00C534A9">
        <w:rPr>
          <w:rFonts w:ascii="Arial" w:hAnsi="Arial" w:cs="Arial"/>
          <w:sz w:val="22"/>
        </w:rPr>
        <w:t>)</w:t>
      </w:r>
    </w:p>
    <w:p w:rsidR="006940A1" w:rsidRPr="00C534A9" w:rsidRDefault="006940A1" w:rsidP="00C534A9">
      <w:pPr>
        <w:pStyle w:val="ListParagraph"/>
        <w:numPr>
          <w:ilvl w:val="0"/>
          <w:numId w:val="16"/>
        </w:numPr>
        <w:jc w:val="both"/>
        <w:rPr>
          <w:rFonts w:ascii="Arial" w:hAnsi="Arial" w:cs="Arial"/>
          <w:sz w:val="22"/>
        </w:rPr>
      </w:pPr>
      <w:r w:rsidRPr="00C534A9">
        <w:rPr>
          <w:rFonts w:ascii="Arial" w:hAnsi="Arial" w:cs="Arial"/>
          <w:sz w:val="22"/>
        </w:rPr>
        <w:t xml:space="preserve">Economic Costs, Economic Benefits, and Net Economic Benefits of the </w:t>
      </w:r>
      <w:r w:rsidR="00504FB7" w:rsidRPr="00C534A9">
        <w:rPr>
          <w:rFonts w:ascii="Arial" w:hAnsi="Arial" w:cs="Arial"/>
          <w:sz w:val="22"/>
        </w:rPr>
        <w:t>VS LNG terminal</w:t>
      </w:r>
      <w:r w:rsidRPr="00C534A9">
        <w:rPr>
          <w:rFonts w:ascii="Arial" w:hAnsi="Arial" w:cs="Arial"/>
          <w:sz w:val="22"/>
        </w:rPr>
        <w:t xml:space="preserve"> (Section</w:t>
      </w:r>
      <w:r w:rsidR="005967D0" w:rsidRPr="00C534A9">
        <w:rPr>
          <w:rFonts w:ascii="Arial" w:hAnsi="Arial" w:cs="Arial"/>
          <w:sz w:val="22"/>
        </w:rPr>
        <w:t xml:space="preserve"> 6.2</w:t>
      </w:r>
      <w:r w:rsidRPr="00C534A9">
        <w:rPr>
          <w:rFonts w:ascii="Arial" w:hAnsi="Arial" w:cs="Arial"/>
          <w:sz w:val="22"/>
        </w:rPr>
        <w:t>)</w:t>
      </w:r>
    </w:p>
    <w:p w:rsidR="006940A1" w:rsidRPr="00C534A9" w:rsidRDefault="006940A1" w:rsidP="00C534A9">
      <w:pPr>
        <w:pStyle w:val="ListParagraph"/>
        <w:numPr>
          <w:ilvl w:val="0"/>
          <w:numId w:val="16"/>
        </w:numPr>
        <w:jc w:val="both"/>
        <w:rPr>
          <w:rFonts w:ascii="Arial" w:hAnsi="Arial" w:cs="Arial"/>
          <w:sz w:val="22"/>
        </w:rPr>
      </w:pPr>
      <w:r w:rsidRPr="00C534A9">
        <w:rPr>
          <w:rFonts w:ascii="Arial" w:hAnsi="Arial" w:cs="Arial"/>
          <w:sz w:val="22"/>
        </w:rPr>
        <w:t xml:space="preserve">Sensitivity Analysis of the </w:t>
      </w:r>
      <w:r w:rsidR="00504FB7" w:rsidRPr="00C534A9">
        <w:rPr>
          <w:rFonts w:ascii="Arial" w:hAnsi="Arial" w:cs="Arial"/>
          <w:sz w:val="22"/>
        </w:rPr>
        <w:t>VS LNG terminal</w:t>
      </w:r>
      <w:r w:rsidRPr="00C534A9">
        <w:rPr>
          <w:rFonts w:ascii="Arial" w:hAnsi="Arial" w:cs="Arial"/>
          <w:sz w:val="22"/>
        </w:rPr>
        <w:t xml:space="preserve"> (</w:t>
      </w:r>
      <w:r w:rsidR="005967D0" w:rsidRPr="00C534A9">
        <w:rPr>
          <w:rFonts w:ascii="Arial" w:hAnsi="Arial" w:cs="Arial"/>
          <w:sz w:val="22"/>
        </w:rPr>
        <w:t>Section 6.3</w:t>
      </w:r>
      <w:r w:rsidRPr="00C534A9">
        <w:rPr>
          <w:rFonts w:ascii="Arial" w:hAnsi="Arial" w:cs="Arial"/>
          <w:sz w:val="22"/>
        </w:rPr>
        <w:t>)</w:t>
      </w:r>
    </w:p>
    <w:p w:rsidR="006940A1" w:rsidRPr="00C534A9" w:rsidRDefault="006940A1" w:rsidP="00C534A9">
      <w:pPr>
        <w:pStyle w:val="Caption"/>
        <w:jc w:val="both"/>
        <w:rPr>
          <w:rFonts w:ascii="Arial" w:hAnsi="Arial" w:cs="Arial"/>
          <w:sz w:val="22"/>
        </w:rPr>
      </w:pPr>
      <w:bookmarkStart w:id="117" w:name="_Toc463508507"/>
      <w:bookmarkStart w:id="118" w:name="_Toc463508987"/>
      <w:proofErr w:type="gramStart"/>
      <w:r w:rsidRPr="00C534A9">
        <w:rPr>
          <w:rFonts w:ascii="Arial" w:hAnsi="Arial" w:cs="Arial"/>
          <w:sz w:val="22"/>
        </w:rPr>
        <w:t xml:space="preserve">Figure </w:t>
      </w:r>
      <w:r w:rsidR="007D6B36" w:rsidRPr="00C534A9">
        <w:rPr>
          <w:rFonts w:ascii="Arial" w:hAnsi="Arial" w:cs="Arial"/>
          <w:sz w:val="22"/>
        </w:rPr>
        <w:fldChar w:fldCharType="begin"/>
      </w:r>
      <w:r w:rsidR="007D6B36" w:rsidRPr="00C534A9">
        <w:rPr>
          <w:rFonts w:ascii="Arial" w:hAnsi="Arial" w:cs="Arial"/>
          <w:sz w:val="22"/>
        </w:rPr>
        <w:instrText xml:space="preserve"> STYLEREF 1 \s </w:instrText>
      </w:r>
      <w:r w:rsidR="007D6B36" w:rsidRPr="00C534A9">
        <w:rPr>
          <w:rFonts w:ascii="Arial" w:hAnsi="Arial" w:cs="Arial"/>
          <w:sz w:val="22"/>
        </w:rPr>
        <w:fldChar w:fldCharType="separate"/>
      </w:r>
      <w:r w:rsidR="003F3D75" w:rsidRPr="00C534A9">
        <w:rPr>
          <w:rFonts w:ascii="Arial" w:hAnsi="Arial" w:cs="Arial"/>
          <w:noProof/>
          <w:sz w:val="22"/>
        </w:rPr>
        <w:t>6</w:t>
      </w:r>
      <w:r w:rsidR="007D6B36" w:rsidRPr="00C534A9">
        <w:rPr>
          <w:rFonts w:ascii="Arial" w:hAnsi="Arial" w:cs="Arial"/>
          <w:noProof/>
          <w:sz w:val="22"/>
        </w:rPr>
        <w:fldChar w:fldCharType="end"/>
      </w:r>
      <w:r w:rsidRPr="00C534A9">
        <w:rPr>
          <w:rFonts w:ascii="Arial" w:hAnsi="Arial" w:cs="Arial"/>
          <w:sz w:val="22"/>
        </w:rPr>
        <w:t>.</w:t>
      </w:r>
      <w:proofErr w:type="gramEnd"/>
      <w:r w:rsidR="003343DE" w:rsidRPr="00C534A9">
        <w:rPr>
          <w:rFonts w:ascii="Arial" w:hAnsi="Arial" w:cs="Arial"/>
          <w:sz w:val="22"/>
        </w:rPr>
        <w:fldChar w:fldCharType="begin"/>
      </w:r>
      <w:r w:rsidR="003343DE" w:rsidRPr="00C534A9">
        <w:rPr>
          <w:rFonts w:ascii="Arial" w:hAnsi="Arial" w:cs="Arial"/>
          <w:sz w:val="22"/>
        </w:rPr>
        <w:instrText xml:space="preserve"> SEQ Figure \* ARABIC \s 1 </w:instrText>
      </w:r>
      <w:r w:rsidR="003343DE" w:rsidRPr="00C534A9">
        <w:rPr>
          <w:rFonts w:ascii="Arial" w:hAnsi="Arial" w:cs="Arial"/>
          <w:sz w:val="22"/>
        </w:rPr>
        <w:fldChar w:fldCharType="separate"/>
      </w:r>
      <w:r w:rsidR="003F3D75" w:rsidRPr="00C534A9">
        <w:rPr>
          <w:rFonts w:ascii="Arial" w:hAnsi="Arial" w:cs="Arial"/>
          <w:noProof/>
          <w:sz w:val="22"/>
        </w:rPr>
        <w:t>1</w:t>
      </w:r>
      <w:r w:rsidR="003343DE" w:rsidRPr="00C534A9">
        <w:rPr>
          <w:rFonts w:ascii="Arial" w:hAnsi="Arial" w:cs="Arial"/>
          <w:noProof/>
          <w:sz w:val="22"/>
        </w:rPr>
        <w:fldChar w:fldCharType="end"/>
      </w:r>
      <w:r w:rsidRPr="00C534A9">
        <w:rPr>
          <w:rFonts w:ascii="Arial" w:hAnsi="Arial" w:cs="Arial"/>
          <w:sz w:val="22"/>
        </w:rPr>
        <w:t xml:space="preserve">: Net Economic Benefits of </w:t>
      </w:r>
      <w:r w:rsidR="003A6A5C" w:rsidRPr="00C534A9">
        <w:rPr>
          <w:rFonts w:ascii="Arial" w:hAnsi="Arial" w:cs="Arial"/>
          <w:sz w:val="22"/>
        </w:rPr>
        <w:t xml:space="preserve">the </w:t>
      </w:r>
      <w:r w:rsidR="00504FB7" w:rsidRPr="00C534A9">
        <w:rPr>
          <w:rFonts w:ascii="Arial" w:hAnsi="Arial" w:cs="Arial"/>
          <w:sz w:val="22"/>
        </w:rPr>
        <w:t xml:space="preserve">VS LNG </w:t>
      </w:r>
      <w:r w:rsidR="003A6A5C" w:rsidRPr="00C534A9">
        <w:rPr>
          <w:rFonts w:ascii="Arial" w:hAnsi="Arial" w:cs="Arial"/>
          <w:sz w:val="22"/>
        </w:rPr>
        <w:t>T</w:t>
      </w:r>
      <w:r w:rsidR="00504FB7" w:rsidRPr="00C534A9">
        <w:rPr>
          <w:rFonts w:ascii="Arial" w:hAnsi="Arial" w:cs="Arial"/>
          <w:sz w:val="22"/>
        </w:rPr>
        <w:t>erminal</w:t>
      </w:r>
      <w:r w:rsidR="003A6A5C" w:rsidRPr="00C534A9">
        <w:rPr>
          <w:rFonts w:ascii="Arial" w:hAnsi="Arial" w:cs="Arial"/>
          <w:sz w:val="22"/>
        </w:rPr>
        <w:t xml:space="preserve"> (US$ ‘000)</w:t>
      </w:r>
      <w:bookmarkEnd w:id="117"/>
      <w:bookmarkEnd w:id="118"/>
    </w:p>
    <w:p w:rsidR="006940A1" w:rsidRPr="00C534A9" w:rsidRDefault="00882797" w:rsidP="00C534A9">
      <w:pPr>
        <w:jc w:val="both"/>
        <w:rPr>
          <w:rFonts w:ascii="Arial" w:hAnsi="Arial" w:cs="Arial"/>
          <w:sz w:val="22"/>
        </w:rPr>
      </w:pPr>
      <w:r w:rsidRPr="00C534A9">
        <w:rPr>
          <w:rFonts w:ascii="Arial" w:hAnsi="Arial" w:cs="Arial"/>
          <w:noProof/>
          <w:sz w:val="22"/>
        </w:rPr>
        <w:drawing>
          <wp:inline distT="0" distB="0" distL="0" distR="0" wp14:anchorId="07E45BA8" wp14:editId="5E9CE876">
            <wp:extent cx="4218940" cy="227393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18940" cy="2273935"/>
                    </a:xfrm>
                    <a:prstGeom prst="rect">
                      <a:avLst/>
                    </a:prstGeom>
                    <a:noFill/>
                  </pic:spPr>
                </pic:pic>
              </a:graphicData>
            </a:graphic>
          </wp:inline>
        </w:drawing>
      </w:r>
    </w:p>
    <w:p w:rsidR="006940A1" w:rsidRPr="00C534A9" w:rsidRDefault="006940A1" w:rsidP="00C534A9">
      <w:pPr>
        <w:pStyle w:val="Source"/>
        <w:jc w:val="both"/>
        <w:rPr>
          <w:rFonts w:ascii="Arial" w:hAnsi="Arial" w:cs="Arial"/>
          <w:sz w:val="18"/>
        </w:rPr>
      </w:pPr>
    </w:p>
    <w:p w:rsidR="006940A1" w:rsidRPr="00C534A9" w:rsidRDefault="006940A1" w:rsidP="00C534A9">
      <w:pPr>
        <w:pStyle w:val="Heading2"/>
        <w:jc w:val="both"/>
        <w:rPr>
          <w:rFonts w:ascii="Arial" w:hAnsi="Arial" w:cs="Arial"/>
          <w:sz w:val="24"/>
        </w:rPr>
      </w:pPr>
      <w:bookmarkStart w:id="119" w:name="_Toc464551520"/>
      <w:r w:rsidRPr="00C534A9">
        <w:rPr>
          <w:rFonts w:ascii="Arial" w:hAnsi="Arial" w:cs="Arial"/>
          <w:sz w:val="24"/>
        </w:rPr>
        <w:t>Methodology and Assumptions</w:t>
      </w:r>
      <w:bookmarkEnd w:id="119"/>
    </w:p>
    <w:p w:rsidR="006940A1" w:rsidRPr="00C534A9" w:rsidRDefault="006940A1" w:rsidP="00C534A9">
      <w:pPr>
        <w:jc w:val="both"/>
        <w:rPr>
          <w:rFonts w:ascii="Arial" w:hAnsi="Arial" w:cs="Arial"/>
          <w:sz w:val="22"/>
        </w:rPr>
      </w:pPr>
      <w:r w:rsidRPr="00C534A9">
        <w:rPr>
          <w:rFonts w:ascii="Arial" w:hAnsi="Arial" w:cs="Arial"/>
          <w:sz w:val="22"/>
        </w:rPr>
        <w:t xml:space="preserve">The objective of the CBA methodology is to determine whether or not </w:t>
      </w:r>
      <w:r w:rsidR="0015036F" w:rsidRPr="00C534A9">
        <w:rPr>
          <w:rFonts w:ascii="Arial" w:hAnsi="Arial" w:cs="Arial"/>
          <w:sz w:val="22"/>
        </w:rPr>
        <w:t xml:space="preserve">the </w:t>
      </w:r>
      <w:r w:rsidR="00504FB7" w:rsidRPr="00C534A9">
        <w:rPr>
          <w:rFonts w:ascii="Arial" w:hAnsi="Arial" w:cs="Arial"/>
          <w:sz w:val="22"/>
        </w:rPr>
        <w:t>VS LNG terminal</w:t>
      </w:r>
      <w:r w:rsidRPr="00C534A9">
        <w:rPr>
          <w:rFonts w:ascii="Arial" w:hAnsi="Arial" w:cs="Arial"/>
          <w:sz w:val="22"/>
        </w:rPr>
        <w:t xml:space="preserve"> is economically viable. This is accomplished by estimating the net</w:t>
      </w:r>
      <w:r w:rsidR="0015036F" w:rsidRPr="00C534A9">
        <w:rPr>
          <w:rFonts w:ascii="Arial" w:hAnsi="Arial" w:cs="Arial"/>
          <w:sz w:val="22"/>
        </w:rPr>
        <w:t xml:space="preserve"> benefits that the VS LNG terminal will provide</w:t>
      </w:r>
      <w:r w:rsidRPr="00C534A9">
        <w:rPr>
          <w:rFonts w:ascii="Arial" w:hAnsi="Arial" w:cs="Arial"/>
          <w:sz w:val="22"/>
        </w:rPr>
        <w:t xml:space="preserve">. </w:t>
      </w:r>
    </w:p>
    <w:p w:rsidR="006940A1" w:rsidRPr="00C534A9" w:rsidRDefault="00957ACC" w:rsidP="00C534A9">
      <w:pPr>
        <w:jc w:val="both"/>
        <w:rPr>
          <w:rFonts w:ascii="Arial" w:hAnsi="Arial" w:cs="Arial"/>
          <w:sz w:val="22"/>
        </w:rPr>
      </w:pPr>
      <w:r w:rsidRPr="00C534A9">
        <w:rPr>
          <w:rFonts w:ascii="Arial" w:hAnsi="Arial" w:cs="Arial"/>
          <w:sz w:val="22"/>
        </w:rPr>
        <w:t>The</w:t>
      </w:r>
      <w:r w:rsidR="006940A1" w:rsidRPr="00C534A9">
        <w:rPr>
          <w:rFonts w:ascii="Arial" w:hAnsi="Arial" w:cs="Arial"/>
          <w:sz w:val="22"/>
        </w:rPr>
        <w:t xml:space="preserve"> </w:t>
      </w:r>
      <w:r w:rsidR="00504FB7" w:rsidRPr="00C534A9">
        <w:rPr>
          <w:rFonts w:ascii="Arial" w:hAnsi="Arial" w:cs="Arial"/>
          <w:sz w:val="22"/>
        </w:rPr>
        <w:t>VS LNG terminal</w:t>
      </w:r>
      <w:r w:rsidR="006940A1" w:rsidRPr="00C534A9">
        <w:rPr>
          <w:rFonts w:ascii="Arial" w:hAnsi="Arial" w:cs="Arial"/>
          <w:sz w:val="22"/>
        </w:rPr>
        <w:t xml:space="preserve">’s net benefits </w:t>
      </w:r>
      <w:r w:rsidRPr="00C534A9">
        <w:rPr>
          <w:rFonts w:ascii="Arial" w:hAnsi="Arial" w:cs="Arial"/>
          <w:sz w:val="22"/>
        </w:rPr>
        <w:t xml:space="preserve">were determined </w:t>
      </w:r>
      <w:r w:rsidR="006940A1" w:rsidRPr="00C534A9">
        <w:rPr>
          <w:rFonts w:ascii="Arial" w:hAnsi="Arial" w:cs="Arial"/>
          <w:sz w:val="22"/>
        </w:rPr>
        <w:t xml:space="preserve">by calculating the difference in </w:t>
      </w:r>
      <w:r w:rsidR="0015036F" w:rsidRPr="00C534A9">
        <w:rPr>
          <w:rFonts w:ascii="Arial" w:hAnsi="Arial" w:cs="Arial"/>
          <w:sz w:val="22"/>
        </w:rPr>
        <w:t>the cost of electricity and greenhouse gas emissions between the project</w:t>
      </w:r>
      <w:r w:rsidR="006940A1" w:rsidRPr="00C534A9">
        <w:rPr>
          <w:rFonts w:ascii="Arial" w:hAnsi="Arial" w:cs="Arial"/>
          <w:sz w:val="22"/>
        </w:rPr>
        <w:t xml:space="preserve"> scenario and the counterfactual scenario. The counterfactual scenario is </w:t>
      </w:r>
      <w:r w:rsidR="0015036F" w:rsidRPr="00C534A9">
        <w:rPr>
          <w:rFonts w:ascii="Arial" w:hAnsi="Arial" w:cs="Arial"/>
          <w:sz w:val="22"/>
        </w:rPr>
        <w:t>one in which the VS LNG terminal is not built and Barbados’ electricity generation continues to be provided by diesel generators burning imported fuel oil</w:t>
      </w:r>
      <w:r w:rsidR="006940A1" w:rsidRPr="00C534A9">
        <w:rPr>
          <w:rFonts w:ascii="Arial" w:hAnsi="Arial" w:cs="Arial"/>
          <w:sz w:val="22"/>
        </w:rPr>
        <w:t xml:space="preserve">. </w:t>
      </w:r>
    </w:p>
    <w:p w:rsidR="006940A1" w:rsidRPr="00C534A9" w:rsidRDefault="006940A1" w:rsidP="00C534A9">
      <w:pPr>
        <w:jc w:val="both"/>
        <w:rPr>
          <w:rFonts w:ascii="Arial" w:hAnsi="Arial" w:cs="Arial"/>
          <w:sz w:val="22"/>
        </w:rPr>
      </w:pPr>
      <w:r w:rsidRPr="00C534A9">
        <w:rPr>
          <w:rFonts w:ascii="Arial" w:hAnsi="Arial" w:cs="Arial"/>
          <w:sz w:val="22"/>
        </w:rPr>
        <w:t xml:space="preserve">The steps to calculate the net benefits of the </w:t>
      </w:r>
      <w:r w:rsidR="0015036F" w:rsidRPr="00C534A9">
        <w:rPr>
          <w:rFonts w:ascii="Arial" w:hAnsi="Arial" w:cs="Arial"/>
          <w:sz w:val="22"/>
        </w:rPr>
        <w:t>VS LNG terminal</w:t>
      </w:r>
      <w:r w:rsidRPr="00C534A9">
        <w:rPr>
          <w:rFonts w:ascii="Arial" w:hAnsi="Arial" w:cs="Arial"/>
          <w:sz w:val="22"/>
        </w:rPr>
        <w:t>:</w:t>
      </w:r>
    </w:p>
    <w:p w:rsidR="006940A1" w:rsidRPr="00C534A9" w:rsidRDefault="006940A1" w:rsidP="00C534A9">
      <w:pPr>
        <w:pStyle w:val="ListParagraph"/>
        <w:numPr>
          <w:ilvl w:val="0"/>
          <w:numId w:val="36"/>
        </w:numPr>
        <w:jc w:val="both"/>
        <w:rPr>
          <w:rFonts w:ascii="Arial" w:hAnsi="Arial" w:cs="Arial"/>
          <w:sz w:val="22"/>
        </w:rPr>
      </w:pPr>
      <w:r w:rsidRPr="00C534A9">
        <w:rPr>
          <w:rFonts w:ascii="Arial" w:hAnsi="Arial" w:cs="Arial"/>
          <w:sz w:val="22"/>
        </w:rPr>
        <w:t xml:space="preserve">Estimate the economic costs of </w:t>
      </w:r>
      <w:r w:rsidR="0015036F" w:rsidRPr="00C534A9">
        <w:rPr>
          <w:rFonts w:ascii="Arial" w:hAnsi="Arial" w:cs="Arial"/>
          <w:sz w:val="22"/>
        </w:rPr>
        <w:t>the VS LNG terminal</w:t>
      </w:r>
      <w:r w:rsidRPr="00C534A9">
        <w:rPr>
          <w:rFonts w:ascii="Arial" w:hAnsi="Arial" w:cs="Arial"/>
          <w:sz w:val="22"/>
        </w:rPr>
        <w:t xml:space="preserve"> (Section </w:t>
      </w:r>
      <w:r w:rsidR="0015036F" w:rsidRPr="00C534A9">
        <w:rPr>
          <w:rFonts w:ascii="Arial" w:hAnsi="Arial" w:cs="Arial"/>
          <w:sz w:val="22"/>
        </w:rPr>
        <w:t>6.1.1</w:t>
      </w:r>
      <w:r w:rsidRPr="00C534A9">
        <w:rPr>
          <w:rFonts w:ascii="Arial" w:hAnsi="Arial" w:cs="Arial"/>
          <w:sz w:val="22"/>
        </w:rPr>
        <w:t>)</w:t>
      </w:r>
    </w:p>
    <w:p w:rsidR="006940A1" w:rsidRPr="00C534A9" w:rsidRDefault="006940A1" w:rsidP="00C534A9">
      <w:pPr>
        <w:pStyle w:val="ListParagraph"/>
        <w:numPr>
          <w:ilvl w:val="0"/>
          <w:numId w:val="36"/>
        </w:numPr>
        <w:jc w:val="both"/>
        <w:rPr>
          <w:rFonts w:ascii="Arial" w:hAnsi="Arial" w:cs="Arial"/>
          <w:sz w:val="22"/>
        </w:rPr>
      </w:pPr>
      <w:r w:rsidRPr="00C534A9">
        <w:rPr>
          <w:rFonts w:ascii="Arial" w:hAnsi="Arial" w:cs="Arial"/>
          <w:sz w:val="22"/>
        </w:rPr>
        <w:t xml:space="preserve">Estimate the economic benefits of </w:t>
      </w:r>
      <w:r w:rsidR="0015036F" w:rsidRPr="00C534A9">
        <w:rPr>
          <w:rFonts w:ascii="Arial" w:hAnsi="Arial" w:cs="Arial"/>
          <w:sz w:val="22"/>
        </w:rPr>
        <w:t>the VS LNG terminal</w:t>
      </w:r>
      <w:r w:rsidRPr="00C534A9">
        <w:rPr>
          <w:rFonts w:ascii="Arial" w:hAnsi="Arial" w:cs="Arial"/>
          <w:sz w:val="22"/>
        </w:rPr>
        <w:t xml:space="preserve"> (Section</w:t>
      </w:r>
      <w:r w:rsidR="00A26952" w:rsidRPr="00C534A9">
        <w:rPr>
          <w:rFonts w:ascii="Arial" w:hAnsi="Arial" w:cs="Arial"/>
          <w:sz w:val="22"/>
        </w:rPr>
        <w:t xml:space="preserve"> 6.1.2</w:t>
      </w:r>
      <w:r w:rsidRPr="00C534A9">
        <w:rPr>
          <w:rFonts w:ascii="Arial" w:hAnsi="Arial" w:cs="Arial"/>
          <w:sz w:val="22"/>
        </w:rPr>
        <w:t>)</w:t>
      </w:r>
    </w:p>
    <w:p w:rsidR="006940A1" w:rsidRPr="00C534A9" w:rsidRDefault="006940A1" w:rsidP="00C534A9">
      <w:pPr>
        <w:pStyle w:val="ListParagraph"/>
        <w:numPr>
          <w:ilvl w:val="0"/>
          <w:numId w:val="36"/>
        </w:numPr>
        <w:jc w:val="both"/>
        <w:rPr>
          <w:rFonts w:ascii="Arial" w:hAnsi="Arial" w:cs="Arial"/>
          <w:sz w:val="22"/>
        </w:rPr>
      </w:pPr>
      <w:r w:rsidRPr="00C534A9">
        <w:rPr>
          <w:rFonts w:ascii="Arial" w:hAnsi="Arial" w:cs="Arial"/>
          <w:sz w:val="22"/>
        </w:rPr>
        <w:t xml:space="preserve">Estimate the present value of </w:t>
      </w:r>
      <w:r w:rsidR="0015036F" w:rsidRPr="00C534A9">
        <w:rPr>
          <w:rFonts w:ascii="Arial" w:hAnsi="Arial" w:cs="Arial"/>
          <w:sz w:val="22"/>
        </w:rPr>
        <w:t>the VS LNG terminal’s</w:t>
      </w:r>
      <w:r w:rsidRPr="00C534A9">
        <w:rPr>
          <w:rFonts w:ascii="Arial" w:hAnsi="Arial" w:cs="Arial"/>
          <w:sz w:val="22"/>
        </w:rPr>
        <w:t xml:space="preserve"> net economic benefits (Section </w:t>
      </w:r>
      <w:r w:rsidRPr="00C534A9">
        <w:rPr>
          <w:rFonts w:ascii="Arial" w:hAnsi="Arial" w:cs="Arial"/>
          <w:sz w:val="22"/>
        </w:rPr>
        <w:fldChar w:fldCharType="begin"/>
      </w:r>
      <w:r w:rsidRPr="00C534A9">
        <w:rPr>
          <w:rFonts w:ascii="Arial" w:hAnsi="Arial" w:cs="Arial"/>
          <w:sz w:val="22"/>
        </w:rPr>
        <w:instrText xml:space="preserve"> REF _Ref423355941 \r \h  \* MERGEFORMAT </w:instrText>
      </w:r>
      <w:r w:rsidRPr="00C534A9">
        <w:rPr>
          <w:rFonts w:ascii="Arial" w:hAnsi="Arial" w:cs="Arial"/>
          <w:sz w:val="22"/>
        </w:rPr>
      </w:r>
      <w:r w:rsidRPr="00C534A9">
        <w:rPr>
          <w:rFonts w:ascii="Arial" w:hAnsi="Arial" w:cs="Arial"/>
          <w:sz w:val="22"/>
        </w:rPr>
        <w:fldChar w:fldCharType="separate"/>
      </w:r>
      <w:r w:rsidR="00A26952" w:rsidRPr="00C534A9">
        <w:rPr>
          <w:rFonts w:ascii="Arial" w:hAnsi="Arial" w:cs="Arial"/>
          <w:sz w:val="22"/>
        </w:rPr>
        <w:t>6</w:t>
      </w:r>
      <w:r w:rsidR="003F3D75" w:rsidRPr="00C534A9">
        <w:rPr>
          <w:rFonts w:ascii="Arial" w:hAnsi="Arial" w:cs="Arial"/>
          <w:sz w:val="22"/>
        </w:rPr>
        <w:t>.1.3</w:t>
      </w:r>
      <w:r w:rsidRPr="00C534A9">
        <w:rPr>
          <w:rFonts w:ascii="Arial" w:hAnsi="Arial" w:cs="Arial"/>
          <w:sz w:val="22"/>
        </w:rPr>
        <w:fldChar w:fldCharType="end"/>
      </w:r>
      <w:r w:rsidRPr="00C534A9">
        <w:rPr>
          <w:rFonts w:ascii="Arial" w:hAnsi="Arial" w:cs="Arial"/>
          <w:sz w:val="22"/>
        </w:rPr>
        <w:t>).</w:t>
      </w:r>
    </w:p>
    <w:p w:rsidR="006940A1" w:rsidRPr="00C534A9" w:rsidRDefault="006940A1" w:rsidP="00C534A9">
      <w:pPr>
        <w:jc w:val="both"/>
        <w:rPr>
          <w:rFonts w:ascii="Arial" w:hAnsi="Arial" w:cs="Arial"/>
          <w:sz w:val="22"/>
        </w:rPr>
      </w:pPr>
      <w:r w:rsidRPr="00C534A9">
        <w:rPr>
          <w:rFonts w:ascii="Arial" w:hAnsi="Arial" w:cs="Arial"/>
          <w:sz w:val="22"/>
        </w:rPr>
        <w:t xml:space="preserve">Each of these steps and the assumptions used in their calculation (Section </w:t>
      </w:r>
      <w:r w:rsidRPr="00C534A9">
        <w:rPr>
          <w:rFonts w:ascii="Arial" w:hAnsi="Arial" w:cs="Arial"/>
          <w:sz w:val="22"/>
        </w:rPr>
        <w:fldChar w:fldCharType="begin"/>
      </w:r>
      <w:r w:rsidRPr="00C534A9">
        <w:rPr>
          <w:rFonts w:ascii="Arial" w:hAnsi="Arial" w:cs="Arial"/>
          <w:sz w:val="22"/>
        </w:rPr>
        <w:instrText xml:space="preserve"> REF _Ref423355969 \r \h  \* MERGEFORMAT </w:instrText>
      </w:r>
      <w:r w:rsidRPr="00C534A9">
        <w:rPr>
          <w:rFonts w:ascii="Arial" w:hAnsi="Arial" w:cs="Arial"/>
          <w:sz w:val="22"/>
        </w:rPr>
      </w:r>
      <w:r w:rsidRPr="00C534A9">
        <w:rPr>
          <w:rFonts w:ascii="Arial" w:hAnsi="Arial" w:cs="Arial"/>
          <w:sz w:val="22"/>
        </w:rPr>
        <w:fldChar w:fldCharType="separate"/>
      </w:r>
      <w:r w:rsidR="00A26952" w:rsidRPr="00C534A9">
        <w:rPr>
          <w:rFonts w:ascii="Arial" w:hAnsi="Arial" w:cs="Arial"/>
          <w:sz w:val="22"/>
        </w:rPr>
        <w:t>6</w:t>
      </w:r>
      <w:r w:rsidR="003F3D75" w:rsidRPr="00C534A9">
        <w:rPr>
          <w:rFonts w:ascii="Arial" w:hAnsi="Arial" w:cs="Arial"/>
          <w:sz w:val="22"/>
        </w:rPr>
        <w:t>.1.4</w:t>
      </w:r>
      <w:r w:rsidRPr="00C534A9">
        <w:rPr>
          <w:rFonts w:ascii="Arial" w:hAnsi="Arial" w:cs="Arial"/>
          <w:sz w:val="22"/>
        </w:rPr>
        <w:fldChar w:fldCharType="end"/>
      </w:r>
      <w:r w:rsidRPr="00C534A9">
        <w:rPr>
          <w:rFonts w:ascii="Arial" w:hAnsi="Arial" w:cs="Arial"/>
          <w:sz w:val="22"/>
        </w:rPr>
        <w:t>) are described in more detail below:</w:t>
      </w:r>
    </w:p>
    <w:p w:rsidR="006940A1" w:rsidRPr="00C534A9" w:rsidRDefault="006940A1" w:rsidP="00C534A9">
      <w:pPr>
        <w:pStyle w:val="Heading3"/>
        <w:jc w:val="both"/>
        <w:rPr>
          <w:rFonts w:ascii="Arial" w:hAnsi="Arial" w:cs="Arial"/>
          <w:sz w:val="22"/>
        </w:rPr>
      </w:pPr>
      <w:bookmarkStart w:id="120" w:name="_Toc464551521"/>
      <w:r w:rsidRPr="00C534A9">
        <w:rPr>
          <w:rFonts w:ascii="Arial" w:hAnsi="Arial" w:cs="Arial"/>
          <w:sz w:val="22"/>
        </w:rPr>
        <w:t xml:space="preserve">Economic costs of </w:t>
      </w:r>
      <w:r w:rsidR="008670B6" w:rsidRPr="00C534A9">
        <w:rPr>
          <w:rFonts w:ascii="Arial" w:hAnsi="Arial" w:cs="Arial"/>
          <w:sz w:val="22"/>
        </w:rPr>
        <w:t>the VS LNG terminal</w:t>
      </w:r>
      <w:bookmarkEnd w:id="120"/>
    </w:p>
    <w:p w:rsidR="006940A1" w:rsidRPr="00C534A9" w:rsidRDefault="0015036F" w:rsidP="00C534A9">
      <w:pPr>
        <w:jc w:val="both"/>
        <w:rPr>
          <w:rFonts w:ascii="Arial" w:hAnsi="Arial" w:cs="Arial"/>
          <w:sz w:val="22"/>
        </w:rPr>
      </w:pPr>
      <w:r w:rsidRPr="00C534A9">
        <w:rPr>
          <w:rFonts w:ascii="Arial" w:hAnsi="Arial" w:cs="Arial"/>
          <w:sz w:val="22"/>
        </w:rPr>
        <w:t xml:space="preserve">The economic costs of the VS LNG terminal </w:t>
      </w:r>
      <w:r w:rsidR="006940A1" w:rsidRPr="00C534A9">
        <w:rPr>
          <w:rFonts w:ascii="Arial" w:hAnsi="Arial" w:cs="Arial"/>
          <w:sz w:val="22"/>
        </w:rPr>
        <w:t>include:</w:t>
      </w:r>
    </w:p>
    <w:p w:rsidR="006940A1" w:rsidRPr="00C534A9" w:rsidRDefault="0015036F" w:rsidP="00C534A9">
      <w:pPr>
        <w:pStyle w:val="ListParagraph"/>
        <w:numPr>
          <w:ilvl w:val="0"/>
          <w:numId w:val="35"/>
        </w:numPr>
        <w:jc w:val="both"/>
        <w:rPr>
          <w:rFonts w:ascii="Arial" w:hAnsi="Arial" w:cs="Arial"/>
          <w:sz w:val="22"/>
        </w:rPr>
      </w:pPr>
      <w:r w:rsidRPr="00C534A9">
        <w:rPr>
          <w:rFonts w:ascii="Arial" w:hAnsi="Arial" w:cs="Arial"/>
          <w:b/>
          <w:sz w:val="22"/>
        </w:rPr>
        <w:t xml:space="preserve">Terminal </w:t>
      </w:r>
      <w:r w:rsidR="006940A1" w:rsidRPr="00C534A9">
        <w:rPr>
          <w:rFonts w:ascii="Arial" w:hAnsi="Arial" w:cs="Arial"/>
          <w:b/>
          <w:sz w:val="22"/>
        </w:rPr>
        <w:t>Capital Expenditures (</w:t>
      </w:r>
      <w:r w:rsidRPr="00C534A9">
        <w:rPr>
          <w:rFonts w:ascii="Arial" w:hAnsi="Arial" w:cs="Arial"/>
          <w:b/>
          <w:sz w:val="22"/>
        </w:rPr>
        <w:t xml:space="preserve">Terminal </w:t>
      </w:r>
      <w:r w:rsidR="006940A1" w:rsidRPr="00C534A9">
        <w:rPr>
          <w:rFonts w:ascii="Arial" w:hAnsi="Arial" w:cs="Arial"/>
          <w:b/>
          <w:sz w:val="22"/>
        </w:rPr>
        <w:t>Capex)</w:t>
      </w:r>
      <w:r w:rsidR="006940A1" w:rsidRPr="00C534A9">
        <w:rPr>
          <w:rFonts w:ascii="Arial" w:hAnsi="Arial" w:cs="Arial"/>
          <w:sz w:val="22"/>
        </w:rPr>
        <w:t xml:space="preserve">—these are the capital investments needed to complete the project. </w:t>
      </w:r>
      <w:r w:rsidR="00957ACC" w:rsidRPr="00C534A9">
        <w:rPr>
          <w:rFonts w:ascii="Arial" w:hAnsi="Arial" w:cs="Arial"/>
          <w:sz w:val="22"/>
        </w:rPr>
        <w:t>The capital investments</w:t>
      </w:r>
      <w:r w:rsidR="006940A1" w:rsidRPr="00C534A9">
        <w:rPr>
          <w:rFonts w:ascii="Arial" w:hAnsi="Arial" w:cs="Arial"/>
          <w:sz w:val="22"/>
        </w:rPr>
        <w:t xml:space="preserve"> include the costs </w:t>
      </w:r>
      <w:r w:rsidRPr="00C534A9">
        <w:rPr>
          <w:rFonts w:ascii="Arial" w:hAnsi="Arial" w:cs="Arial"/>
          <w:sz w:val="22"/>
        </w:rPr>
        <w:t>to design, engineer, and build the proposed VS regasification terminal and related infrastructure in Barbados</w:t>
      </w:r>
      <w:r w:rsidR="006940A1" w:rsidRPr="00C534A9">
        <w:rPr>
          <w:rFonts w:ascii="Arial" w:hAnsi="Arial" w:cs="Arial"/>
          <w:sz w:val="22"/>
        </w:rPr>
        <w:t xml:space="preserve">. </w:t>
      </w:r>
      <w:r w:rsidRPr="00C534A9">
        <w:rPr>
          <w:rFonts w:ascii="Arial" w:hAnsi="Arial" w:cs="Arial"/>
          <w:sz w:val="22"/>
        </w:rPr>
        <w:t>Costs associated with the LNG value chain prior to delivery to Barbados (including natural gas production, liquefaction, and LNG shipping costs) are included in the delivered price of LNG</w:t>
      </w:r>
      <w:r w:rsidR="006940A1" w:rsidRPr="00C534A9">
        <w:rPr>
          <w:rFonts w:ascii="Arial" w:hAnsi="Arial" w:cs="Arial"/>
          <w:sz w:val="22"/>
        </w:rPr>
        <w:t xml:space="preserve">. </w:t>
      </w:r>
    </w:p>
    <w:p w:rsidR="0015036F" w:rsidRPr="00C534A9" w:rsidRDefault="0015036F" w:rsidP="00C534A9">
      <w:pPr>
        <w:pStyle w:val="ListParagraph"/>
        <w:numPr>
          <w:ilvl w:val="0"/>
          <w:numId w:val="35"/>
        </w:numPr>
        <w:jc w:val="both"/>
        <w:rPr>
          <w:rFonts w:ascii="Arial" w:hAnsi="Arial" w:cs="Arial"/>
          <w:sz w:val="22"/>
        </w:rPr>
      </w:pPr>
      <w:r w:rsidRPr="00C534A9">
        <w:rPr>
          <w:rFonts w:ascii="Arial" w:hAnsi="Arial" w:cs="Arial"/>
          <w:b/>
          <w:sz w:val="22"/>
        </w:rPr>
        <w:t>Power Plant Conversion Capital Expenditures (Plant Capex</w:t>
      </w:r>
      <w:proofErr w:type="gramStart"/>
      <w:r w:rsidRPr="00C534A9">
        <w:rPr>
          <w:rFonts w:ascii="Arial" w:hAnsi="Arial" w:cs="Arial"/>
          <w:b/>
          <w:sz w:val="22"/>
        </w:rPr>
        <w:t>)</w:t>
      </w:r>
      <w:r w:rsidRPr="00C534A9">
        <w:rPr>
          <w:rFonts w:ascii="Arial" w:hAnsi="Arial" w:cs="Arial"/>
          <w:sz w:val="22"/>
        </w:rPr>
        <w:t>—</w:t>
      </w:r>
      <w:proofErr w:type="gramEnd"/>
      <w:r w:rsidR="008670B6" w:rsidRPr="00C534A9">
        <w:rPr>
          <w:rFonts w:ascii="Arial" w:hAnsi="Arial" w:cs="Arial"/>
          <w:sz w:val="22"/>
        </w:rPr>
        <w:t xml:space="preserve"> these are the capital investments needed to allow </w:t>
      </w:r>
      <w:r w:rsidR="00222066" w:rsidRPr="00C534A9">
        <w:rPr>
          <w:rFonts w:ascii="Arial" w:hAnsi="Arial" w:cs="Arial"/>
          <w:sz w:val="22"/>
        </w:rPr>
        <w:t>BL&amp;P</w:t>
      </w:r>
      <w:r w:rsidR="008670B6" w:rsidRPr="00C534A9">
        <w:rPr>
          <w:rFonts w:ascii="Arial" w:hAnsi="Arial" w:cs="Arial"/>
          <w:sz w:val="22"/>
        </w:rPr>
        <w:t xml:space="preserve">’s existing units to use natural gas to generate electricity. </w:t>
      </w:r>
      <w:r w:rsidR="00957ACC" w:rsidRPr="00C534A9">
        <w:rPr>
          <w:rFonts w:ascii="Arial" w:hAnsi="Arial" w:cs="Arial"/>
          <w:sz w:val="22"/>
        </w:rPr>
        <w:t>The capital investments</w:t>
      </w:r>
      <w:r w:rsidR="008670B6" w:rsidRPr="00C534A9">
        <w:rPr>
          <w:rFonts w:ascii="Arial" w:hAnsi="Arial" w:cs="Arial"/>
          <w:sz w:val="22"/>
        </w:rPr>
        <w:t xml:space="preserve"> include the costs to retrofit 80 MW of electricity generation capacity and the related infrastructure to bring natural gas to the power plants. </w:t>
      </w:r>
      <w:r w:rsidRPr="00C534A9">
        <w:rPr>
          <w:rFonts w:ascii="Arial" w:hAnsi="Arial" w:cs="Arial"/>
          <w:sz w:val="22"/>
        </w:rPr>
        <w:t xml:space="preserve"> </w:t>
      </w:r>
    </w:p>
    <w:p w:rsidR="008670B6" w:rsidRPr="00C534A9" w:rsidRDefault="008670B6" w:rsidP="00C534A9">
      <w:pPr>
        <w:pStyle w:val="ListParagraph"/>
        <w:numPr>
          <w:ilvl w:val="0"/>
          <w:numId w:val="35"/>
        </w:numPr>
        <w:jc w:val="both"/>
        <w:rPr>
          <w:rFonts w:ascii="Arial" w:hAnsi="Arial" w:cs="Arial"/>
          <w:sz w:val="22"/>
        </w:rPr>
      </w:pPr>
      <w:r w:rsidRPr="00C534A9">
        <w:rPr>
          <w:rFonts w:ascii="Arial" w:hAnsi="Arial" w:cs="Arial"/>
          <w:b/>
          <w:sz w:val="22"/>
        </w:rPr>
        <w:t>Natural gas imports</w:t>
      </w:r>
      <w:r w:rsidRPr="00C534A9">
        <w:rPr>
          <w:rFonts w:ascii="Arial" w:hAnsi="Arial" w:cs="Arial"/>
          <w:sz w:val="22"/>
        </w:rPr>
        <w:t xml:space="preserve">—these are the annual expenses incurred by importing natural gas through the VS LNG terminal.  </w:t>
      </w:r>
      <w:r w:rsidR="00957ACC" w:rsidRPr="00C534A9">
        <w:rPr>
          <w:rFonts w:ascii="Arial" w:hAnsi="Arial" w:cs="Arial"/>
          <w:sz w:val="22"/>
        </w:rPr>
        <w:t>The</w:t>
      </w:r>
      <w:r w:rsidRPr="00C534A9">
        <w:rPr>
          <w:rFonts w:ascii="Arial" w:hAnsi="Arial" w:cs="Arial"/>
          <w:sz w:val="22"/>
        </w:rPr>
        <w:t xml:space="preserve"> economic cost of natural gas imports </w:t>
      </w:r>
      <w:r w:rsidR="00957ACC" w:rsidRPr="00C534A9">
        <w:rPr>
          <w:rFonts w:ascii="Arial" w:hAnsi="Arial" w:cs="Arial"/>
          <w:sz w:val="22"/>
        </w:rPr>
        <w:t xml:space="preserve">was calculated </w:t>
      </w:r>
      <w:r w:rsidRPr="00C534A9">
        <w:rPr>
          <w:rFonts w:ascii="Arial" w:hAnsi="Arial" w:cs="Arial"/>
          <w:sz w:val="22"/>
        </w:rPr>
        <w:t>as the product of the cost to import a unit of natural gas and the expected volume of imported natural gas. The volume of natural gas imports was calculated as product of the power generation capacity converted to use natural gas, the average capacity factor of the converted power plants, and the heat rate (that is, the efficiency at which they convert fuel to electricity) of the converted power plants. The cost to import natural gas was calculated as the sum of costs to acquire natural gas in the United States, liquefy it, and ship it to Barbados.</w:t>
      </w:r>
    </w:p>
    <w:p w:rsidR="008670B6" w:rsidRDefault="008670B6" w:rsidP="00C534A9">
      <w:pPr>
        <w:pStyle w:val="ListParagraph"/>
        <w:numPr>
          <w:ilvl w:val="0"/>
          <w:numId w:val="35"/>
        </w:numPr>
        <w:jc w:val="both"/>
        <w:rPr>
          <w:rFonts w:ascii="Arial" w:hAnsi="Arial" w:cs="Arial"/>
          <w:sz w:val="22"/>
        </w:rPr>
      </w:pPr>
      <w:r w:rsidRPr="00C534A9">
        <w:rPr>
          <w:rFonts w:ascii="Arial" w:hAnsi="Arial" w:cs="Arial"/>
          <w:b/>
          <w:sz w:val="22"/>
        </w:rPr>
        <w:t>Incremental CO</w:t>
      </w:r>
      <w:r w:rsidRPr="00C534A9">
        <w:rPr>
          <w:rFonts w:ascii="Cambria Math" w:hAnsi="Cambria Math" w:cs="Cambria Math"/>
          <w:b/>
          <w:sz w:val="22"/>
        </w:rPr>
        <w:t>₂</w:t>
      </w:r>
      <w:r w:rsidRPr="00C534A9">
        <w:rPr>
          <w:rFonts w:ascii="Arial" w:hAnsi="Arial" w:cs="Arial"/>
          <w:b/>
          <w:sz w:val="22"/>
        </w:rPr>
        <w:t xml:space="preserve"> emissions</w:t>
      </w:r>
      <w:r w:rsidRPr="00C534A9">
        <w:rPr>
          <w:rFonts w:ascii="Arial" w:hAnsi="Arial" w:cs="Arial"/>
          <w:sz w:val="22"/>
        </w:rPr>
        <w:t>—</w:t>
      </w:r>
      <w:r w:rsidRPr="00C534A9">
        <w:rPr>
          <w:rFonts w:ascii="Arial" w:hAnsi="Arial" w:cs="Arial"/>
          <w:sz w:val="22"/>
          <w:szCs w:val="24"/>
        </w:rPr>
        <w:t xml:space="preserve">consuming natural gas produces </w:t>
      </w:r>
      <w:r w:rsidRPr="00C534A9">
        <w:rPr>
          <w:rStyle w:val="BodyTextChar"/>
          <w:rFonts w:ascii="Arial" w:hAnsi="Arial" w:cs="Arial"/>
          <w:sz w:val="22"/>
        </w:rPr>
        <w:t>CO</w:t>
      </w:r>
      <w:r w:rsidRPr="00C534A9">
        <w:rPr>
          <w:rStyle w:val="BodyTextChar"/>
          <w:rFonts w:ascii="Cambria Math" w:hAnsi="Cambria Math" w:cs="Cambria Math"/>
          <w:sz w:val="22"/>
        </w:rPr>
        <w:t>₂</w:t>
      </w:r>
      <w:r w:rsidRPr="00C534A9">
        <w:rPr>
          <w:rStyle w:val="BodyTextChar"/>
          <w:rFonts w:ascii="Arial" w:hAnsi="Arial" w:cs="Arial"/>
          <w:sz w:val="22"/>
        </w:rPr>
        <w:t xml:space="preserve"> emissions, although less than those produced by consuming liquid fuels such as fuel oil, diesel, and LPG. Building the VS LNG terminal will allow greater natural gas consumption than in the BAU scenario, thereby resulting in an increase in CO</w:t>
      </w:r>
      <w:r w:rsidRPr="00C534A9">
        <w:rPr>
          <w:rStyle w:val="BodyTextChar"/>
          <w:rFonts w:ascii="Cambria Math" w:hAnsi="Cambria Math" w:cs="Cambria Math"/>
          <w:sz w:val="22"/>
        </w:rPr>
        <w:t>₂</w:t>
      </w:r>
      <w:r w:rsidRPr="00C534A9">
        <w:rPr>
          <w:rStyle w:val="BodyTextChar"/>
          <w:rFonts w:ascii="Arial" w:hAnsi="Arial" w:cs="Arial"/>
          <w:sz w:val="22"/>
        </w:rPr>
        <w:t xml:space="preserve"> emissions from natural gas consumption. </w:t>
      </w:r>
      <w:r w:rsidR="00957ACC" w:rsidRPr="00C534A9">
        <w:rPr>
          <w:rFonts w:ascii="Arial" w:hAnsi="Arial" w:cs="Arial"/>
          <w:sz w:val="22"/>
          <w:szCs w:val="24"/>
        </w:rPr>
        <w:t>Th</w:t>
      </w:r>
      <w:r w:rsidRPr="00C534A9">
        <w:rPr>
          <w:rFonts w:ascii="Arial" w:hAnsi="Arial" w:cs="Arial"/>
          <w:sz w:val="22"/>
          <w:szCs w:val="24"/>
        </w:rPr>
        <w:t>e economic cost of incremental</w:t>
      </w:r>
      <w:r w:rsidRPr="00C534A9">
        <w:rPr>
          <w:rStyle w:val="BodyTextChar"/>
          <w:rFonts w:ascii="Arial" w:hAnsi="Arial" w:cs="Arial"/>
          <w:sz w:val="22"/>
        </w:rPr>
        <w:t xml:space="preserve"> CO</w:t>
      </w:r>
      <w:r w:rsidRPr="00C534A9">
        <w:rPr>
          <w:rStyle w:val="BodyTextChar"/>
          <w:rFonts w:ascii="Cambria Math" w:hAnsi="Cambria Math" w:cs="Cambria Math"/>
          <w:sz w:val="22"/>
        </w:rPr>
        <w:t>₂</w:t>
      </w:r>
      <w:r w:rsidRPr="00C534A9">
        <w:rPr>
          <w:rFonts w:ascii="Arial" w:hAnsi="Arial" w:cs="Arial"/>
          <w:sz w:val="22"/>
          <w:szCs w:val="24"/>
        </w:rPr>
        <w:t xml:space="preserve"> emissions</w:t>
      </w:r>
      <w:r w:rsidRPr="00C534A9">
        <w:rPr>
          <w:rFonts w:ascii="Arial" w:hAnsi="Arial" w:cs="Arial"/>
          <w:b/>
          <w:sz w:val="22"/>
          <w:szCs w:val="24"/>
        </w:rPr>
        <w:t xml:space="preserve"> </w:t>
      </w:r>
      <w:r w:rsidRPr="00C534A9">
        <w:rPr>
          <w:rFonts w:ascii="Arial" w:hAnsi="Arial" w:cs="Arial"/>
          <w:sz w:val="22"/>
          <w:szCs w:val="24"/>
        </w:rPr>
        <w:t xml:space="preserve">from natural gas consumption </w:t>
      </w:r>
      <w:r w:rsidR="00957ACC" w:rsidRPr="00C534A9">
        <w:rPr>
          <w:rFonts w:ascii="Arial" w:hAnsi="Arial" w:cs="Arial"/>
          <w:sz w:val="22"/>
          <w:szCs w:val="24"/>
        </w:rPr>
        <w:t xml:space="preserve">was calculated </w:t>
      </w:r>
      <w:r w:rsidRPr="00C534A9">
        <w:rPr>
          <w:rFonts w:ascii="Arial" w:hAnsi="Arial" w:cs="Arial"/>
          <w:sz w:val="22"/>
          <w:szCs w:val="24"/>
        </w:rPr>
        <w:t>as the product of the expected incremental CO</w:t>
      </w:r>
      <w:r w:rsidRPr="00C534A9">
        <w:rPr>
          <w:rFonts w:ascii="Cambria Math" w:hAnsi="Cambria Math" w:cs="Cambria Math"/>
          <w:sz w:val="22"/>
          <w:szCs w:val="24"/>
        </w:rPr>
        <w:t>₂</w:t>
      </w:r>
      <w:r w:rsidRPr="00C534A9">
        <w:rPr>
          <w:rFonts w:ascii="Arial" w:hAnsi="Arial" w:cs="Arial"/>
          <w:sz w:val="22"/>
          <w:szCs w:val="24"/>
        </w:rPr>
        <w:t xml:space="preserve"> emissions and the social cost of CO</w:t>
      </w:r>
      <w:r w:rsidRPr="00C534A9">
        <w:rPr>
          <w:rFonts w:ascii="Cambria Math" w:hAnsi="Cambria Math" w:cs="Cambria Math"/>
          <w:sz w:val="22"/>
          <w:szCs w:val="24"/>
        </w:rPr>
        <w:t>₂</w:t>
      </w:r>
      <w:r w:rsidRPr="00C534A9">
        <w:rPr>
          <w:rFonts w:ascii="Arial" w:hAnsi="Arial" w:cs="Arial"/>
          <w:sz w:val="22"/>
          <w:szCs w:val="24"/>
        </w:rPr>
        <w:t xml:space="preserve"> emissions. The expected incremental CO</w:t>
      </w:r>
      <w:r w:rsidRPr="00C534A9">
        <w:rPr>
          <w:rFonts w:ascii="Cambria Math" w:hAnsi="Cambria Math" w:cs="Cambria Math"/>
          <w:sz w:val="22"/>
          <w:szCs w:val="24"/>
        </w:rPr>
        <w:t>₂</w:t>
      </w:r>
      <w:r w:rsidRPr="00C534A9">
        <w:rPr>
          <w:rFonts w:ascii="Arial" w:hAnsi="Arial" w:cs="Arial"/>
          <w:sz w:val="22"/>
          <w:szCs w:val="24"/>
        </w:rPr>
        <w:t xml:space="preserve"> emissions is the product of the CO</w:t>
      </w:r>
      <w:r w:rsidRPr="00C534A9">
        <w:rPr>
          <w:rFonts w:ascii="Cambria Math" w:hAnsi="Cambria Math" w:cs="Cambria Math"/>
          <w:sz w:val="22"/>
          <w:szCs w:val="24"/>
        </w:rPr>
        <w:t>₂</w:t>
      </w:r>
      <w:r w:rsidRPr="00C534A9">
        <w:rPr>
          <w:rFonts w:ascii="Arial" w:hAnsi="Arial" w:cs="Arial"/>
          <w:sz w:val="22"/>
          <w:szCs w:val="24"/>
        </w:rPr>
        <w:t xml:space="preserve"> emissions per unit of natural gas consumed and the incremental units of natural gas imported through the expanded facility</w:t>
      </w:r>
      <w:r w:rsidRPr="00C534A9">
        <w:rPr>
          <w:rFonts w:ascii="Arial" w:hAnsi="Arial" w:cs="Arial"/>
          <w:sz w:val="22"/>
        </w:rPr>
        <w:t>.</w:t>
      </w:r>
    </w:p>
    <w:p w:rsidR="006155CD" w:rsidRPr="00C534A9" w:rsidRDefault="006155CD" w:rsidP="00D132E2">
      <w:pPr>
        <w:pStyle w:val="ListParagraph"/>
        <w:jc w:val="both"/>
        <w:rPr>
          <w:rFonts w:ascii="Arial" w:hAnsi="Arial" w:cs="Arial"/>
          <w:sz w:val="22"/>
        </w:rPr>
      </w:pPr>
    </w:p>
    <w:p w:rsidR="006940A1" w:rsidRPr="00C534A9" w:rsidRDefault="006940A1" w:rsidP="00C534A9">
      <w:pPr>
        <w:pStyle w:val="Heading3"/>
        <w:jc w:val="both"/>
        <w:rPr>
          <w:rFonts w:ascii="Arial" w:hAnsi="Arial" w:cs="Arial"/>
          <w:sz w:val="22"/>
        </w:rPr>
      </w:pPr>
      <w:bookmarkStart w:id="121" w:name="_Toc464551522"/>
      <w:r w:rsidRPr="00C534A9">
        <w:rPr>
          <w:rFonts w:ascii="Arial" w:hAnsi="Arial" w:cs="Arial"/>
          <w:sz w:val="22"/>
        </w:rPr>
        <w:t xml:space="preserve">Economic benefits of </w:t>
      </w:r>
      <w:r w:rsidR="0015036F" w:rsidRPr="00C534A9">
        <w:rPr>
          <w:rFonts w:ascii="Arial" w:hAnsi="Arial" w:cs="Arial"/>
          <w:sz w:val="22"/>
        </w:rPr>
        <w:t>the VS LNG terminal</w:t>
      </w:r>
      <w:bookmarkEnd w:id="121"/>
    </w:p>
    <w:p w:rsidR="006940A1" w:rsidRPr="00C534A9" w:rsidRDefault="006940A1" w:rsidP="00C534A9">
      <w:pPr>
        <w:jc w:val="both"/>
        <w:rPr>
          <w:rFonts w:ascii="Arial" w:hAnsi="Arial" w:cs="Arial"/>
          <w:sz w:val="22"/>
        </w:rPr>
      </w:pPr>
      <w:r w:rsidRPr="00C534A9">
        <w:rPr>
          <w:rFonts w:ascii="Arial" w:hAnsi="Arial" w:cs="Arial"/>
          <w:sz w:val="22"/>
        </w:rPr>
        <w:t xml:space="preserve">The economic benefits of </w:t>
      </w:r>
      <w:r w:rsidR="0015036F" w:rsidRPr="00C534A9">
        <w:rPr>
          <w:rFonts w:ascii="Arial" w:hAnsi="Arial" w:cs="Arial"/>
          <w:sz w:val="22"/>
        </w:rPr>
        <w:t xml:space="preserve">the VS LNG terminal </w:t>
      </w:r>
      <w:r w:rsidRPr="00C534A9">
        <w:rPr>
          <w:rFonts w:ascii="Arial" w:hAnsi="Arial" w:cs="Arial"/>
          <w:sz w:val="22"/>
        </w:rPr>
        <w:t>include:</w:t>
      </w:r>
    </w:p>
    <w:p w:rsidR="006940A1" w:rsidRPr="00C534A9" w:rsidRDefault="006940A1" w:rsidP="00C534A9">
      <w:pPr>
        <w:pStyle w:val="ListParagraph"/>
        <w:numPr>
          <w:ilvl w:val="0"/>
          <w:numId w:val="34"/>
        </w:numPr>
        <w:jc w:val="both"/>
        <w:rPr>
          <w:rFonts w:ascii="Arial" w:hAnsi="Arial" w:cs="Arial"/>
          <w:sz w:val="22"/>
        </w:rPr>
      </w:pPr>
      <w:r w:rsidRPr="00C534A9">
        <w:rPr>
          <w:rFonts w:ascii="Arial" w:hAnsi="Arial" w:cs="Arial"/>
          <w:b/>
          <w:sz w:val="22"/>
        </w:rPr>
        <w:t>Savings in generation costs</w:t>
      </w:r>
      <w:r w:rsidRPr="00C534A9">
        <w:rPr>
          <w:rFonts w:ascii="Arial" w:hAnsi="Arial" w:cs="Arial"/>
          <w:sz w:val="22"/>
        </w:rPr>
        <w:t xml:space="preserve">—generating electricity </w:t>
      </w:r>
      <w:r w:rsidR="00CB0656" w:rsidRPr="00C534A9">
        <w:rPr>
          <w:rFonts w:ascii="Arial" w:hAnsi="Arial" w:cs="Arial"/>
          <w:sz w:val="22"/>
        </w:rPr>
        <w:t>with natural gas</w:t>
      </w:r>
      <w:r w:rsidRPr="00C534A9">
        <w:rPr>
          <w:rFonts w:ascii="Arial" w:hAnsi="Arial" w:cs="Arial"/>
          <w:sz w:val="22"/>
        </w:rPr>
        <w:t xml:space="preserve"> potentially cost</w:t>
      </w:r>
      <w:r w:rsidR="00CB0656" w:rsidRPr="00C534A9">
        <w:rPr>
          <w:rFonts w:ascii="Arial" w:hAnsi="Arial" w:cs="Arial"/>
          <w:sz w:val="22"/>
        </w:rPr>
        <w:t>s</w:t>
      </w:r>
      <w:r w:rsidRPr="00C534A9">
        <w:rPr>
          <w:rFonts w:ascii="Arial" w:hAnsi="Arial" w:cs="Arial"/>
          <w:sz w:val="22"/>
        </w:rPr>
        <w:t xml:space="preserve"> less than generating electricity from fuel oil. Therefore, the country will save in generation costs by replacing fuel oil generation with </w:t>
      </w:r>
      <w:r w:rsidR="00CB0656" w:rsidRPr="00C534A9">
        <w:rPr>
          <w:rFonts w:ascii="Arial" w:hAnsi="Arial" w:cs="Arial"/>
          <w:sz w:val="22"/>
        </w:rPr>
        <w:t>natural gas-fired</w:t>
      </w:r>
      <w:r w:rsidRPr="00C534A9">
        <w:rPr>
          <w:rFonts w:ascii="Arial" w:hAnsi="Arial" w:cs="Arial"/>
          <w:sz w:val="22"/>
        </w:rPr>
        <w:t xml:space="preserve"> generation. </w:t>
      </w:r>
      <w:r w:rsidR="00712B41" w:rsidRPr="00C534A9">
        <w:rPr>
          <w:rFonts w:ascii="Arial" w:hAnsi="Arial" w:cs="Arial"/>
          <w:sz w:val="22"/>
        </w:rPr>
        <w:t>T</w:t>
      </w:r>
      <w:r w:rsidRPr="00C534A9">
        <w:rPr>
          <w:rFonts w:ascii="Arial" w:hAnsi="Arial" w:cs="Arial"/>
          <w:sz w:val="22"/>
        </w:rPr>
        <w:t xml:space="preserve">he savings to the country </w:t>
      </w:r>
      <w:r w:rsidR="00712B41" w:rsidRPr="00C534A9">
        <w:rPr>
          <w:rFonts w:ascii="Arial" w:hAnsi="Arial" w:cs="Arial"/>
          <w:sz w:val="22"/>
        </w:rPr>
        <w:t xml:space="preserve">were estimated </w:t>
      </w:r>
      <w:r w:rsidRPr="00C534A9">
        <w:rPr>
          <w:rFonts w:ascii="Arial" w:hAnsi="Arial" w:cs="Arial"/>
          <w:sz w:val="22"/>
        </w:rPr>
        <w:t xml:space="preserve">as the difference between the Total Avoided Cost (‘TAC’) of fuel oil generation and the Total Operating Costs (‘TOC’) of geothermal generation. The TAC is the long run marginal cost of diesel generation. </w:t>
      </w:r>
      <w:r w:rsidR="00734D40" w:rsidRPr="00C534A9">
        <w:rPr>
          <w:rFonts w:ascii="Arial" w:hAnsi="Arial" w:cs="Arial"/>
          <w:sz w:val="22"/>
        </w:rPr>
        <w:t>The</w:t>
      </w:r>
      <w:r w:rsidRPr="00C534A9">
        <w:rPr>
          <w:rFonts w:ascii="Arial" w:hAnsi="Arial" w:cs="Arial"/>
          <w:sz w:val="22"/>
        </w:rPr>
        <w:t xml:space="preserve"> following formulas </w:t>
      </w:r>
      <w:r w:rsidR="00734D40" w:rsidRPr="00C534A9">
        <w:rPr>
          <w:rFonts w:ascii="Arial" w:hAnsi="Arial" w:cs="Arial"/>
          <w:sz w:val="22"/>
        </w:rPr>
        <w:t xml:space="preserve">were used </w:t>
      </w:r>
      <w:r w:rsidRPr="00C534A9">
        <w:rPr>
          <w:rFonts w:ascii="Arial" w:hAnsi="Arial" w:cs="Arial"/>
          <w:sz w:val="22"/>
        </w:rPr>
        <w:t>to calculation the savings in generations costs:</w:t>
      </w:r>
    </w:p>
    <w:p w:rsidR="006940A1" w:rsidRPr="00C534A9" w:rsidRDefault="006940A1" w:rsidP="00C534A9">
      <w:pPr>
        <w:pStyle w:val="ListBullet"/>
        <w:numPr>
          <w:ilvl w:val="0"/>
          <w:numId w:val="0"/>
        </w:numPr>
        <w:rPr>
          <w:rFonts w:ascii="Arial" w:hAnsi="Arial" w:cs="Arial"/>
          <w:sz w:val="20"/>
          <w:szCs w:val="22"/>
        </w:rPr>
      </w:pPr>
      <m:oMathPara>
        <m:oMath>
          <m:r>
            <w:rPr>
              <w:rFonts w:ascii="Cambria Math" w:hAnsi="Cambria Math" w:cs="Arial"/>
              <w:sz w:val="20"/>
              <w:szCs w:val="22"/>
            </w:rPr>
            <m:t xml:space="preserve">TAC </m:t>
          </m:r>
          <m:d>
            <m:dPr>
              <m:ctrlPr>
                <w:rPr>
                  <w:rFonts w:ascii="Cambria Math" w:hAnsi="Cambria Math" w:cs="Arial"/>
                  <w:i/>
                  <w:sz w:val="20"/>
                  <w:szCs w:val="22"/>
                </w:rPr>
              </m:ctrlPr>
            </m:dPr>
            <m:e>
              <m:r>
                <w:rPr>
                  <w:rFonts w:ascii="Cambria Math" w:hAnsi="Cambria Math" w:cs="Arial"/>
                  <w:sz w:val="20"/>
                  <w:szCs w:val="22"/>
                </w:rPr>
                <m:t>US$</m:t>
              </m:r>
            </m:e>
          </m:d>
          <m:r>
            <w:rPr>
              <w:rFonts w:ascii="Cambria Math" w:hAnsi="Cambria Math" w:cs="Arial"/>
              <w:sz w:val="20"/>
              <w:szCs w:val="22"/>
            </w:rPr>
            <m:t xml:space="preserve">=Avoided Cost of Fuel Oil Generation </m:t>
          </m:r>
          <m:d>
            <m:dPr>
              <m:ctrlPr>
                <w:rPr>
                  <w:rFonts w:ascii="Cambria Math" w:hAnsi="Cambria Math" w:cs="Arial"/>
                  <w:i/>
                  <w:sz w:val="20"/>
                  <w:szCs w:val="22"/>
                </w:rPr>
              </m:ctrlPr>
            </m:dPr>
            <m:e>
              <m:f>
                <m:fPr>
                  <m:ctrlPr>
                    <w:rPr>
                      <w:rFonts w:ascii="Cambria Math" w:hAnsi="Cambria Math" w:cs="Arial"/>
                      <w:i/>
                      <w:sz w:val="20"/>
                      <w:szCs w:val="22"/>
                    </w:rPr>
                  </m:ctrlPr>
                </m:fPr>
                <m:num>
                  <m:r>
                    <w:rPr>
                      <w:rFonts w:ascii="Cambria Math" w:hAnsi="Cambria Math" w:cs="Arial"/>
                      <w:sz w:val="20"/>
                      <w:szCs w:val="22"/>
                    </w:rPr>
                    <m:t>US$</m:t>
                  </m:r>
                </m:num>
                <m:den>
                  <m:r>
                    <w:rPr>
                      <w:rFonts w:ascii="Cambria Math" w:hAnsi="Cambria Math" w:cs="Arial"/>
                      <w:sz w:val="20"/>
                      <w:szCs w:val="22"/>
                    </w:rPr>
                    <m:t>kWh</m:t>
                  </m:r>
                </m:den>
              </m:f>
            </m:e>
          </m:d>
          <m:r>
            <w:rPr>
              <w:rFonts w:ascii="Cambria Math" w:hAnsi="Cambria Math" w:cs="Arial"/>
              <w:sz w:val="20"/>
              <w:szCs w:val="22"/>
            </w:rPr>
            <m:t>×Generation from natural gas (kWh)</m:t>
          </m:r>
        </m:oMath>
      </m:oMathPara>
    </w:p>
    <w:p w:rsidR="006940A1" w:rsidRPr="00C534A9" w:rsidRDefault="006940A1" w:rsidP="00C534A9">
      <w:pPr>
        <w:pStyle w:val="ListBullet"/>
        <w:numPr>
          <w:ilvl w:val="0"/>
          <w:numId w:val="0"/>
        </w:numPr>
        <w:ind w:firstLine="720"/>
        <w:rPr>
          <w:rFonts w:ascii="Arial" w:hAnsi="Arial" w:cs="Arial"/>
          <w:sz w:val="20"/>
          <w:szCs w:val="22"/>
        </w:rPr>
      </w:pPr>
      <m:oMathPara>
        <m:oMath>
          <m:r>
            <w:rPr>
              <w:rFonts w:ascii="Cambria Math" w:hAnsi="Cambria Math" w:cs="Arial"/>
              <w:sz w:val="20"/>
              <w:szCs w:val="22"/>
            </w:rPr>
            <m:t xml:space="preserve">Avoided Cost of Fuel Oil Generation </m:t>
          </m:r>
          <m:d>
            <m:dPr>
              <m:ctrlPr>
                <w:rPr>
                  <w:rFonts w:ascii="Cambria Math" w:hAnsi="Cambria Math" w:cs="Arial"/>
                  <w:i/>
                  <w:sz w:val="20"/>
                  <w:szCs w:val="22"/>
                </w:rPr>
              </m:ctrlPr>
            </m:dPr>
            <m:e>
              <m:f>
                <m:fPr>
                  <m:ctrlPr>
                    <w:rPr>
                      <w:rFonts w:ascii="Cambria Math" w:hAnsi="Cambria Math" w:cs="Arial"/>
                      <w:i/>
                      <w:sz w:val="20"/>
                      <w:szCs w:val="22"/>
                    </w:rPr>
                  </m:ctrlPr>
                </m:fPr>
                <m:num>
                  <m:r>
                    <w:rPr>
                      <w:rFonts w:ascii="Cambria Math" w:hAnsi="Cambria Math" w:cs="Arial"/>
                      <w:sz w:val="20"/>
                      <w:szCs w:val="22"/>
                    </w:rPr>
                    <m:t>US$</m:t>
                  </m:r>
                </m:num>
                <m:den>
                  <m:r>
                    <w:rPr>
                      <w:rFonts w:ascii="Cambria Math" w:hAnsi="Cambria Math" w:cs="Arial"/>
                      <w:sz w:val="20"/>
                      <w:szCs w:val="22"/>
                    </w:rPr>
                    <m:t>kWh</m:t>
                  </m:r>
                </m:den>
              </m:f>
            </m:e>
          </m:d>
          <m:r>
            <w:rPr>
              <w:rFonts w:ascii="Cambria Math" w:hAnsi="Cambria Math" w:cs="Arial"/>
              <w:sz w:val="20"/>
              <w:szCs w:val="22"/>
            </w:rPr>
            <m:t>=</m:t>
          </m:r>
          <m:f>
            <m:fPr>
              <m:ctrlPr>
                <w:rPr>
                  <w:rFonts w:ascii="Cambria Math" w:hAnsi="Cambria Math" w:cs="Arial"/>
                  <w:i/>
                  <w:sz w:val="20"/>
                  <w:szCs w:val="22"/>
                </w:rPr>
              </m:ctrlPr>
            </m:fPr>
            <m:num>
              <m:r>
                <w:rPr>
                  <w:rFonts w:ascii="Cambria Math" w:hAnsi="Cambria Math" w:cs="Arial"/>
                  <w:sz w:val="20"/>
                  <w:szCs w:val="22"/>
                </w:rPr>
                <m:t>Total Fuel Cost (US$)</m:t>
              </m:r>
            </m:num>
            <m:den>
              <m:r>
                <w:rPr>
                  <w:rFonts w:ascii="Cambria Math" w:hAnsi="Cambria Math" w:cs="Arial"/>
                  <w:sz w:val="20"/>
                  <w:szCs w:val="22"/>
                </w:rPr>
                <m:t>Total Energy Sold (kWh)</m:t>
              </m:r>
            </m:den>
          </m:f>
        </m:oMath>
      </m:oMathPara>
    </w:p>
    <w:p w:rsidR="006940A1" w:rsidRPr="00C534A9" w:rsidRDefault="00CB0656" w:rsidP="00C534A9">
      <w:pPr>
        <w:pStyle w:val="ListBullet"/>
        <w:numPr>
          <w:ilvl w:val="0"/>
          <w:numId w:val="0"/>
        </w:numPr>
        <w:ind w:firstLine="720"/>
        <w:rPr>
          <w:rFonts w:ascii="Arial" w:hAnsi="Arial" w:cs="Arial"/>
          <w:sz w:val="20"/>
          <w:szCs w:val="22"/>
        </w:rPr>
      </w:pPr>
      <m:oMathPara>
        <m:oMath>
          <m:r>
            <w:rPr>
              <w:rFonts w:ascii="Cambria Math" w:hAnsi="Cambria Math" w:cs="Arial"/>
              <w:sz w:val="20"/>
              <w:szCs w:val="22"/>
            </w:rPr>
            <m:t>TOC</m:t>
          </m:r>
          <m:d>
            <m:dPr>
              <m:ctrlPr>
                <w:rPr>
                  <w:rFonts w:ascii="Cambria Math" w:hAnsi="Cambria Math" w:cs="Arial"/>
                  <w:i/>
                  <w:sz w:val="20"/>
                  <w:szCs w:val="22"/>
                </w:rPr>
              </m:ctrlPr>
            </m:dPr>
            <m:e>
              <m:r>
                <w:rPr>
                  <w:rFonts w:ascii="Cambria Math" w:hAnsi="Cambria Math" w:cs="Arial"/>
                  <w:sz w:val="20"/>
                  <w:szCs w:val="22"/>
                </w:rPr>
                <m:t>US$</m:t>
              </m:r>
            </m:e>
          </m:d>
          <m:r>
            <w:rPr>
              <w:rFonts w:ascii="Cambria Math" w:hAnsi="Cambria Math" w:cs="Arial"/>
              <w:sz w:val="20"/>
              <w:szCs w:val="22"/>
            </w:rPr>
            <m:t xml:space="preserve">=Operating Costs from natural gas </m:t>
          </m:r>
          <m:d>
            <m:dPr>
              <m:ctrlPr>
                <w:rPr>
                  <w:rFonts w:ascii="Cambria Math" w:hAnsi="Cambria Math" w:cs="Arial"/>
                  <w:i/>
                  <w:sz w:val="20"/>
                  <w:szCs w:val="22"/>
                </w:rPr>
              </m:ctrlPr>
            </m:dPr>
            <m:e>
              <m:f>
                <m:fPr>
                  <m:ctrlPr>
                    <w:rPr>
                      <w:rFonts w:ascii="Cambria Math" w:hAnsi="Cambria Math" w:cs="Arial"/>
                      <w:i/>
                      <w:sz w:val="20"/>
                      <w:szCs w:val="22"/>
                    </w:rPr>
                  </m:ctrlPr>
                </m:fPr>
                <m:num>
                  <m:r>
                    <w:rPr>
                      <w:rFonts w:ascii="Cambria Math" w:hAnsi="Cambria Math" w:cs="Arial"/>
                      <w:sz w:val="20"/>
                      <w:szCs w:val="22"/>
                    </w:rPr>
                    <m:t>US$</m:t>
                  </m:r>
                </m:num>
                <m:den>
                  <m:r>
                    <w:rPr>
                      <w:rFonts w:ascii="Cambria Math" w:hAnsi="Cambria Math" w:cs="Arial"/>
                      <w:sz w:val="20"/>
                      <w:szCs w:val="22"/>
                    </w:rPr>
                    <m:t>kWh</m:t>
                  </m:r>
                </m:den>
              </m:f>
            </m:e>
          </m:d>
          <m:r>
            <w:rPr>
              <w:rFonts w:ascii="Cambria Math" w:hAnsi="Cambria Math" w:cs="Arial"/>
              <w:sz w:val="20"/>
              <w:szCs w:val="22"/>
            </w:rPr>
            <m:t>×Generation from natural gas (kWh)</m:t>
          </m:r>
        </m:oMath>
      </m:oMathPara>
    </w:p>
    <w:p w:rsidR="006940A1" w:rsidRPr="00C534A9" w:rsidRDefault="006940A1" w:rsidP="00C534A9">
      <w:pPr>
        <w:pStyle w:val="ListParagraph"/>
        <w:numPr>
          <w:ilvl w:val="0"/>
          <w:numId w:val="33"/>
        </w:numPr>
        <w:jc w:val="both"/>
        <w:rPr>
          <w:rFonts w:ascii="Arial" w:hAnsi="Arial" w:cs="Arial"/>
          <w:sz w:val="22"/>
          <w:szCs w:val="24"/>
        </w:rPr>
      </w:pPr>
      <w:r w:rsidRPr="00C534A9">
        <w:rPr>
          <w:rFonts w:ascii="Arial" w:hAnsi="Arial" w:cs="Arial"/>
          <w:b/>
          <w:sz w:val="22"/>
        </w:rPr>
        <w:t>Reduction in CO</w:t>
      </w:r>
      <w:r w:rsidRPr="00C534A9">
        <w:rPr>
          <w:rFonts w:ascii="Cambria Math" w:hAnsi="Cambria Math" w:cs="Cambria Math"/>
          <w:b/>
          <w:sz w:val="22"/>
        </w:rPr>
        <w:t>₂</w:t>
      </w:r>
      <w:r w:rsidRPr="00C534A9">
        <w:rPr>
          <w:rFonts w:ascii="Arial" w:hAnsi="Arial" w:cs="Arial"/>
          <w:b/>
          <w:sz w:val="22"/>
        </w:rPr>
        <w:t xml:space="preserve"> emissions</w:t>
      </w:r>
      <w:r w:rsidRPr="00C534A9">
        <w:rPr>
          <w:rFonts w:ascii="Arial" w:hAnsi="Arial" w:cs="Arial"/>
          <w:sz w:val="22"/>
        </w:rPr>
        <w:t>—</w:t>
      </w:r>
      <w:r w:rsidRPr="00C534A9">
        <w:rPr>
          <w:rFonts w:ascii="Arial" w:hAnsi="Arial" w:cs="Arial"/>
          <w:sz w:val="22"/>
          <w:szCs w:val="24"/>
        </w:rPr>
        <w:t xml:space="preserve">generating electricity </w:t>
      </w:r>
      <w:r w:rsidR="00CB0656" w:rsidRPr="00C534A9">
        <w:rPr>
          <w:rFonts w:ascii="Arial" w:hAnsi="Arial" w:cs="Arial"/>
          <w:sz w:val="22"/>
          <w:szCs w:val="24"/>
        </w:rPr>
        <w:t>with natural gas</w:t>
      </w:r>
      <w:r w:rsidRPr="00C534A9">
        <w:rPr>
          <w:rFonts w:ascii="Arial" w:hAnsi="Arial" w:cs="Arial"/>
          <w:sz w:val="22"/>
          <w:szCs w:val="24"/>
        </w:rPr>
        <w:t xml:space="preserve"> produces less </w:t>
      </w:r>
      <w:r w:rsidRPr="00C534A9">
        <w:rPr>
          <w:rStyle w:val="BodyTextChar"/>
          <w:rFonts w:ascii="Arial" w:hAnsi="Arial" w:cs="Arial"/>
          <w:sz w:val="22"/>
        </w:rPr>
        <w:t>CO</w:t>
      </w:r>
      <w:r w:rsidRPr="00C534A9">
        <w:rPr>
          <w:rStyle w:val="BodyTextChar"/>
          <w:rFonts w:ascii="Cambria Math" w:hAnsi="Cambria Math" w:cs="Cambria Math"/>
          <w:sz w:val="22"/>
        </w:rPr>
        <w:t>₂</w:t>
      </w:r>
      <w:r w:rsidRPr="00C534A9">
        <w:rPr>
          <w:rStyle w:val="BodyTextChar"/>
          <w:rFonts w:ascii="Arial" w:hAnsi="Arial" w:cs="Arial"/>
          <w:sz w:val="22"/>
        </w:rPr>
        <w:t xml:space="preserve"> emissions than generating electricity with fuel oil. </w:t>
      </w:r>
      <w:r w:rsidR="00957ACC" w:rsidRPr="00C534A9">
        <w:rPr>
          <w:rFonts w:ascii="Arial" w:hAnsi="Arial" w:cs="Arial"/>
          <w:sz w:val="22"/>
          <w:szCs w:val="24"/>
        </w:rPr>
        <w:t>T</w:t>
      </w:r>
      <w:r w:rsidRPr="00C534A9">
        <w:rPr>
          <w:rFonts w:ascii="Arial" w:hAnsi="Arial" w:cs="Arial"/>
          <w:sz w:val="22"/>
          <w:szCs w:val="24"/>
        </w:rPr>
        <w:t>he economic benefit of the re</w:t>
      </w:r>
      <w:r w:rsidRPr="00C534A9">
        <w:rPr>
          <w:rStyle w:val="BodyTextChar"/>
          <w:rFonts w:ascii="Arial" w:hAnsi="Arial" w:cs="Arial"/>
          <w:sz w:val="22"/>
        </w:rPr>
        <w:t>duction in CO</w:t>
      </w:r>
      <w:r w:rsidRPr="00C534A9">
        <w:rPr>
          <w:rStyle w:val="BodyTextChar"/>
          <w:rFonts w:ascii="Cambria Math" w:hAnsi="Cambria Math" w:cs="Cambria Math"/>
          <w:sz w:val="22"/>
        </w:rPr>
        <w:t>₂</w:t>
      </w:r>
      <w:r w:rsidRPr="00C534A9">
        <w:rPr>
          <w:rFonts w:ascii="Arial" w:hAnsi="Arial" w:cs="Arial"/>
          <w:sz w:val="22"/>
          <w:szCs w:val="24"/>
        </w:rPr>
        <w:t xml:space="preserve"> emissions</w:t>
      </w:r>
      <w:r w:rsidRPr="00C534A9">
        <w:rPr>
          <w:rFonts w:ascii="Arial" w:hAnsi="Arial" w:cs="Arial"/>
          <w:b/>
          <w:sz w:val="22"/>
          <w:szCs w:val="24"/>
        </w:rPr>
        <w:t xml:space="preserve"> </w:t>
      </w:r>
      <w:r w:rsidR="00957ACC" w:rsidRPr="00C534A9">
        <w:rPr>
          <w:rFonts w:ascii="Arial" w:hAnsi="Arial" w:cs="Arial"/>
          <w:sz w:val="22"/>
          <w:szCs w:val="24"/>
        </w:rPr>
        <w:t>was calculated</w:t>
      </w:r>
      <w:r w:rsidR="00957ACC" w:rsidRPr="00C534A9">
        <w:rPr>
          <w:rFonts w:ascii="Arial" w:hAnsi="Arial" w:cs="Arial"/>
          <w:b/>
          <w:sz w:val="22"/>
          <w:szCs w:val="24"/>
        </w:rPr>
        <w:t xml:space="preserve"> </w:t>
      </w:r>
      <w:r w:rsidRPr="00C534A9">
        <w:rPr>
          <w:rFonts w:ascii="Arial" w:hAnsi="Arial" w:cs="Arial"/>
          <w:sz w:val="22"/>
          <w:szCs w:val="24"/>
        </w:rPr>
        <w:t>as the product of the expected reduction in CO</w:t>
      </w:r>
      <w:r w:rsidRPr="00C534A9">
        <w:rPr>
          <w:rFonts w:ascii="Cambria Math" w:hAnsi="Cambria Math" w:cs="Cambria Math"/>
          <w:sz w:val="22"/>
          <w:szCs w:val="24"/>
        </w:rPr>
        <w:t>₂</w:t>
      </w:r>
      <w:r w:rsidRPr="00C534A9">
        <w:rPr>
          <w:rFonts w:ascii="Arial" w:hAnsi="Arial" w:cs="Arial"/>
          <w:sz w:val="22"/>
          <w:szCs w:val="24"/>
        </w:rPr>
        <w:t xml:space="preserve"> emissions and the social cost of CO</w:t>
      </w:r>
      <w:r w:rsidRPr="00C534A9">
        <w:rPr>
          <w:rFonts w:ascii="Cambria Math" w:hAnsi="Cambria Math" w:cs="Cambria Math"/>
          <w:sz w:val="22"/>
          <w:szCs w:val="24"/>
        </w:rPr>
        <w:t>₂</w:t>
      </w:r>
      <w:r w:rsidRPr="00C534A9">
        <w:rPr>
          <w:rFonts w:ascii="Arial" w:hAnsi="Arial" w:cs="Arial"/>
          <w:sz w:val="22"/>
          <w:szCs w:val="24"/>
        </w:rPr>
        <w:t xml:space="preserve"> emissions. The expected reduction in CO</w:t>
      </w:r>
      <w:r w:rsidRPr="00C534A9">
        <w:rPr>
          <w:rFonts w:ascii="Cambria Math" w:hAnsi="Cambria Math" w:cs="Cambria Math"/>
          <w:sz w:val="22"/>
          <w:szCs w:val="24"/>
        </w:rPr>
        <w:t>₂</w:t>
      </w:r>
      <w:r w:rsidRPr="00C534A9">
        <w:rPr>
          <w:rFonts w:ascii="Arial" w:hAnsi="Arial" w:cs="Arial"/>
          <w:sz w:val="22"/>
          <w:szCs w:val="24"/>
        </w:rPr>
        <w:t xml:space="preserve"> emissions is the product of the CO</w:t>
      </w:r>
      <w:r w:rsidRPr="00C534A9">
        <w:rPr>
          <w:rFonts w:ascii="Cambria Math" w:hAnsi="Cambria Math" w:cs="Cambria Math"/>
          <w:sz w:val="22"/>
          <w:szCs w:val="24"/>
        </w:rPr>
        <w:t>₂</w:t>
      </w:r>
      <w:r w:rsidRPr="00C534A9">
        <w:rPr>
          <w:rFonts w:ascii="Arial" w:hAnsi="Arial" w:cs="Arial"/>
          <w:sz w:val="22"/>
          <w:szCs w:val="24"/>
        </w:rPr>
        <w:t xml:space="preserve"> emissions per unit of electricity produced from fuel oil and the units of electricity produced </w:t>
      </w:r>
      <w:r w:rsidR="00CB0656" w:rsidRPr="00C534A9">
        <w:rPr>
          <w:rFonts w:ascii="Arial" w:hAnsi="Arial" w:cs="Arial"/>
          <w:sz w:val="22"/>
          <w:szCs w:val="24"/>
        </w:rPr>
        <w:t>with natural gas</w:t>
      </w:r>
      <w:r w:rsidRPr="00C534A9">
        <w:rPr>
          <w:rFonts w:ascii="Arial" w:hAnsi="Arial" w:cs="Arial"/>
          <w:sz w:val="22"/>
          <w:szCs w:val="24"/>
        </w:rPr>
        <w:t>.</w:t>
      </w:r>
    </w:p>
    <w:p w:rsidR="006940A1" w:rsidRPr="00C534A9" w:rsidRDefault="006940A1" w:rsidP="00C534A9">
      <w:pPr>
        <w:pStyle w:val="Heading3"/>
        <w:jc w:val="both"/>
        <w:rPr>
          <w:rFonts w:ascii="Arial" w:hAnsi="Arial" w:cs="Arial"/>
          <w:sz w:val="22"/>
        </w:rPr>
      </w:pPr>
      <w:bookmarkStart w:id="122" w:name="_Toc464551523"/>
      <w:r w:rsidRPr="00C534A9">
        <w:rPr>
          <w:rFonts w:ascii="Arial" w:hAnsi="Arial" w:cs="Arial"/>
          <w:sz w:val="22"/>
        </w:rPr>
        <w:t xml:space="preserve">Net Economic Benefits of </w:t>
      </w:r>
      <w:r w:rsidR="00CB0656" w:rsidRPr="00C534A9">
        <w:rPr>
          <w:rFonts w:ascii="Arial" w:hAnsi="Arial" w:cs="Arial"/>
          <w:sz w:val="22"/>
        </w:rPr>
        <w:t>the VS LNG sub-project</w:t>
      </w:r>
      <w:bookmarkEnd w:id="122"/>
    </w:p>
    <w:p w:rsidR="006940A1" w:rsidRPr="00C534A9" w:rsidRDefault="006940A1" w:rsidP="00C534A9">
      <w:pPr>
        <w:jc w:val="both"/>
        <w:rPr>
          <w:rFonts w:ascii="Arial" w:hAnsi="Arial" w:cs="Arial"/>
          <w:sz w:val="22"/>
        </w:rPr>
      </w:pPr>
      <w:r w:rsidRPr="00C534A9">
        <w:rPr>
          <w:rFonts w:ascii="Arial" w:hAnsi="Arial" w:cs="Arial"/>
          <w:sz w:val="22"/>
        </w:rPr>
        <w:t>After estimat</w:t>
      </w:r>
      <w:r w:rsidR="00712B41" w:rsidRPr="00C534A9">
        <w:rPr>
          <w:rFonts w:ascii="Arial" w:hAnsi="Arial" w:cs="Arial"/>
          <w:sz w:val="22"/>
        </w:rPr>
        <w:t>ing</w:t>
      </w:r>
      <w:r w:rsidRPr="00C534A9">
        <w:rPr>
          <w:rFonts w:ascii="Arial" w:hAnsi="Arial" w:cs="Arial"/>
          <w:sz w:val="22"/>
        </w:rPr>
        <w:t xml:space="preserve"> the </w:t>
      </w:r>
      <w:r w:rsidR="00504FB7" w:rsidRPr="00C534A9">
        <w:rPr>
          <w:rFonts w:ascii="Arial" w:hAnsi="Arial" w:cs="Arial"/>
          <w:sz w:val="22"/>
        </w:rPr>
        <w:t>VS LNG terminal</w:t>
      </w:r>
      <w:r w:rsidRPr="00C534A9">
        <w:rPr>
          <w:rFonts w:ascii="Arial" w:hAnsi="Arial" w:cs="Arial"/>
          <w:sz w:val="22"/>
        </w:rPr>
        <w:t xml:space="preserve">’s economic costs and benefits, the next step is to calculate the </w:t>
      </w:r>
      <w:r w:rsidR="00504FB7" w:rsidRPr="00C534A9">
        <w:rPr>
          <w:rFonts w:ascii="Arial" w:hAnsi="Arial" w:cs="Arial"/>
          <w:sz w:val="22"/>
        </w:rPr>
        <w:t>VS LNG terminal</w:t>
      </w:r>
      <w:r w:rsidRPr="00C534A9">
        <w:rPr>
          <w:rFonts w:ascii="Arial" w:hAnsi="Arial" w:cs="Arial"/>
          <w:sz w:val="22"/>
        </w:rPr>
        <w:t xml:space="preserve">’s NPV. This is accomplished by subtracting the present value of the </w:t>
      </w:r>
      <w:r w:rsidR="00504FB7" w:rsidRPr="00C534A9">
        <w:rPr>
          <w:rFonts w:ascii="Arial" w:hAnsi="Arial" w:cs="Arial"/>
          <w:sz w:val="22"/>
        </w:rPr>
        <w:t>VS LNG terminal</w:t>
      </w:r>
      <w:r w:rsidRPr="00C534A9">
        <w:rPr>
          <w:rFonts w:ascii="Arial" w:hAnsi="Arial" w:cs="Arial"/>
          <w:sz w:val="22"/>
        </w:rPr>
        <w:t xml:space="preserve">’s costs from the present value of the </w:t>
      </w:r>
      <w:r w:rsidR="00504FB7" w:rsidRPr="00C534A9">
        <w:rPr>
          <w:rFonts w:ascii="Arial" w:hAnsi="Arial" w:cs="Arial"/>
          <w:sz w:val="22"/>
        </w:rPr>
        <w:t>VS LNG terminal</w:t>
      </w:r>
      <w:r w:rsidRPr="00C534A9">
        <w:rPr>
          <w:rFonts w:ascii="Arial" w:hAnsi="Arial" w:cs="Arial"/>
          <w:sz w:val="22"/>
        </w:rPr>
        <w:t xml:space="preserve">’s benefits. The present of the </w:t>
      </w:r>
      <w:r w:rsidR="00504FB7" w:rsidRPr="00C534A9">
        <w:rPr>
          <w:rFonts w:ascii="Arial" w:hAnsi="Arial" w:cs="Arial"/>
          <w:sz w:val="22"/>
        </w:rPr>
        <w:t>VS LNG terminal</w:t>
      </w:r>
      <w:r w:rsidRPr="00C534A9">
        <w:rPr>
          <w:rFonts w:ascii="Arial" w:hAnsi="Arial" w:cs="Arial"/>
          <w:sz w:val="22"/>
        </w:rPr>
        <w:t xml:space="preserve">’s costs and benefits, </w:t>
      </w:r>
      <w:r w:rsidR="00AD51DD" w:rsidRPr="00C534A9">
        <w:rPr>
          <w:rFonts w:ascii="Arial" w:hAnsi="Arial" w:cs="Arial"/>
          <w:sz w:val="22"/>
        </w:rPr>
        <w:t>was determined using</w:t>
      </w:r>
      <w:r w:rsidRPr="00C534A9">
        <w:rPr>
          <w:rFonts w:ascii="Arial" w:hAnsi="Arial" w:cs="Arial"/>
          <w:sz w:val="22"/>
        </w:rPr>
        <w:t xml:space="preserve"> a social discount rate of 12 percent (in real terms). If the present value of the </w:t>
      </w:r>
      <w:r w:rsidR="00504FB7" w:rsidRPr="00C534A9">
        <w:rPr>
          <w:rFonts w:ascii="Arial" w:hAnsi="Arial" w:cs="Arial"/>
          <w:sz w:val="22"/>
        </w:rPr>
        <w:t>VS LNG terminal</w:t>
      </w:r>
      <w:r w:rsidRPr="00C534A9">
        <w:rPr>
          <w:rFonts w:ascii="Arial" w:hAnsi="Arial" w:cs="Arial"/>
          <w:sz w:val="22"/>
        </w:rPr>
        <w:t xml:space="preserve">’s net benefits is greater than zero, the </w:t>
      </w:r>
      <w:r w:rsidR="00504FB7" w:rsidRPr="00C534A9">
        <w:rPr>
          <w:rFonts w:ascii="Arial" w:hAnsi="Arial" w:cs="Arial"/>
          <w:sz w:val="22"/>
        </w:rPr>
        <w:t>VS LNG terminal</w:t>
      </w:r>
      <w:r w:rsidRPr="00C534A9">
        <w:rPr>
          <w:rFonts w:ascii="Arial" w:hAnsi="Arial" w:cs="Arial"/>
          <w:sz w:val="22"/>
        </w:rPr>
        <w:t xml:space="preserve"> is economically viable.  </w:t>
      </w:r>
    </w:p>
    <w:p w:rsidR="006940A1" w:rsidRPr="00C534A9" w:rsidRDefault="006940A1" w:rsidP="00C534A9">
      <w:pPr>
        <w:pStyle w:val="Heading3"/>
        <w:jc w:val="both"/>
        <w:rPr>
          <w:rFonts w:ascii="Arial" w:hAnsi="Arial" w:cs="Arial"/>
          <w:sz w:val="22"/>
        </w:rPr>
      </w:pPr>
      <w:bookmarkStart w:id="123" w:name="_Toc464551524"/>
      <w:r w:rsidRPr="00C534A9">
        <w:rPr>
          <w:rFonts w:ascii="Arial" w:hAnsi="Arial" w:cs="Arial"/>
          <w:sz w:val="22"/>
        </w:rPr>
        <w:t xml:space="preserve">Assumptions for </w:t>
      </w:r>
      <w:r w:rsidR="0015036F" w:rsidRPr="00C534A9">
        <w:rPr>
          <w:rFonts w:ascii="Arial" w:hAnsi="Arial" w:cs="Arial"/>
          <w:sz w:val="22"/>
        </w:rPr>
        <w:t>the VS LNG terminal</w:t>
      </w:r>
      <w:bookmarkEnd w:id="123"/>
    </w:p>
    <w:p w:rsidR="006940A1" w:rsidRPr="00C534A9" w:rsidRDefault="006940A1" w:rsidP="00C534A9">
      <w:pPr>
        <w:jc w:val="both"/>
        <w:rPr>
          <w:rFonts w:ascii="Arial" w:hAnsi="Arial" w:cs="Arial"/>
          <w:sz w:val="22"/>
        </w:rPr>
      </w:pPr>
      <w:r w:rsidRPr="00C534A9">
        <w:rPr>
          <w:rFonts w:ascii="Arial" w:hAnsi="Arial" w:cs="Arial"/>
          <w:sz w:val="22"/>
        </w:rPr>
        <w:t xml:space="preserve">To determine </w:t>
      </w:r>
      <w:r w:rsidR="0015036F" w:rsidRPr="00C534A9">
        <w:rPr>
          <w:rFonts w:ascii="Arial" w:hAnsi="Arial" w:cs="Arial"/>
          <w:sz w:val="22"/>
        </w:rPr>
        <w:t>the VS LNG terminal</w:t>
      </w:r>
      <w:r w:rsidRPr="00C534A9">
        <w:rPr>
          <w:rFonts w:ascii="Arial" w:hAnsi="Arial" w:cs="Arial"/>
          <w:sz w:val="22"/>
        </w:rPr>
        <w:t xml:space="preserve">’s net benefits, the annual economic costs and benefits of </w:t>
      </w:r>
      <w:r w:rsidR="0015036F" w:rsidRPr="00C534A9">
        <w:rPr>
          <w:rFonts w:ascii="Arial" w:hAnsi="Arial" w:cs="Arial"/>
          <w:sz w:val="22"/>
        </w:rPr>
        <w:t>the VS LNG terminal</w:t>
      </w:r>
      <w:r w:rsidRPr="00C534A9">
        <w:rPr>
          <w:rFonts w:ascii="Arial" w:hAnsi="Arial" w:cs="Arial"/>
          <w:sz w:val="22"/>
        </w:rPr>
        <w:t xml:space="preserve">, for a period of </w:t>
      </w:r>
      <w:r w:rsidR="00C16F12" w:rsidRPr="00C534A9">
        <w:rPr>
          <w:rFonts w:ascii="Arial" w:hAnsi="Arial" w:cs="Arial"/>
          <w:sz w:val="22"/>
        </w:rPr>
        <w:t>25</w:t>
      </w:r>
      <w:r w:rsidRPr="00C534A9">
        <w:rPr>
          <w:rFonts w:ascii="Arial" w:hAnsi="Arial" w:cs="Arial"/>
          <w:sz w:val="22"/>
        </w:rPr>
        <w:t xml:space="preserve"> years</w:t>
      </w:r>
      <w:r w:rsidR="00712B41" w:rsidRPr="00C534A9">
        <w:rPr>
          <w:rFonts w:ascii="Arial" w:hAnsi="Arial" w:cs="Arial"/>
          <w:sz w:val="22"/>
        </w:rPr>
        <w:t>, were estimated</w:t>
      </w:r>
      <w:r w:rsidRPr="00C534A9">
        <w:rPr>
          <w:rFonts w:ascii="Arial" w:hAnsi="Arial" w:cs="Arial"/>
          <w:sz w:val="22"/>
        </w:rPr>
        <w:t xml:space="preserve">. </w:t>
      </w:r>
      <w:r w:rsidRPr="00C534A9">
        <w:rPr>
          <w:rFonts w:ascii="Arial" w:hAnsi="Arial" w:cs="Arial"/>
          <w:sz w:val="22"/>
        </w:rPr>
        <w:fldChar w:fldCharType="begin"/>
      </w:r>
      <w:r w:rsidRPr="00C534A9">
        <w:rPr>
          <w:rFonts w:ascii="Arial" w:hAnsi="Arial" w:cs="Arial"/>
          <w:sz w:val="22"/>
        </w:rPr>
        <w:instrText xml:space="preserve"> REF _Ref406057891 \h  \* MERGEFORMAT </w:instrText>
      </w:r>
      <w:r w:rsidRPr="00C534A9">
        <w:rPr>
          <w:rFonts w:ascii="Arial" w:hAnsi="Arial" w:cs="Arial"/>
          <w:sz w:val="22"/>
        </w:rPr>
      </w:r>
      <w:r w:rsidRPr="00C534A9">
        <w:rPr>
          <w:rFonts w:ascii="Arial" w:hAnsi="Arial" w:cs="Arial"/>
          <w:sz w:val="22"/>
        </w:rPr>
        <w:fldChar w:fldCharType="separate"/>
      </w:r>
      <w:r w:rsidR="003F3D75" w:rsidRPr="00C534A9">
        <w:rPr>
          <w:rFonts w:ascii="Arial" w:hAnsi="Arial" w:cs="Arial"/>
          <w:sz w:val="22"/>
        </w:rPr>
        <w:t xml:space="preserve">Table </w:t>
      </w:r>
      <w:r w:rsidR="00CB0656" w:rsidRPr="00C534A9">
        <w:rPr>
          <w:rFonts w:ascii="Arial" w:hAnsi="Arial" w:cs="Arial"/>
          <w:noProof/>
          <w:sz w:val="22"/>
        </w:rPr>
        <w:t>6</w:t>
      </w:r>
      <w:r w:rsidR="003F3D75" w:rsidRPr="00C534A9">
        <w:rPr>
          <w:rFonts w:ascii="Arial" w:hAnsi="Arial" w:cs="Arial"/>
          <w:noProof/>
          <w:sz w:val="22"/>
        </w:rPr>
        <w:t>.1</w:t>
      </w:r>
      <w:r w:rsidRPr="00C534A9">
        <w:rPr>
          <w:rFonts w:ascii="Arial" w:hAnsi="Arial" w:cs="Arial"/>
          <w:sz w:val="22"/>
        </w:rPr>
        <w:fldChar w:fldCharType="end"/>
      </w:r>
      <w:r w:rsidRPr="00C534A9">
        <w:rPr>
          <w:rFonts w:ascii="Arial" w:hAnsi="Arial" w:cs="Arial"/>
          <w:sz w:val="22"/>
        </w:rPr>
        <w:t xml:space="preserve"> presents the assumptions used to calculate the economic costs and benefits of </w:t>
      </w:r>
      <w:r w:rsidR="00C16F12" w:rsidRPr="00C534A9">
        <w:rPr>
          <w:rFonts w:ascii="Arial" w:hAnsi="Arial" w:cs="Arial"/>
          <w:sz w:val="22"/>
        </w:rPr>
        <w:t>the VS LNG terminal</w:t>
      </w:r>
      <w:r w:rsidRPr="00C534A9">
        <w:rPr>
          <w:rFonts w:ascii="Arial" w:hAnsi="Arial" w:cs="Arial"/>
          <w:sz w:val="22"/>
        </w:rPr>
        <w:t xml:space="preserve">. </w:t>
      </w:r>
    </w:p>
    <w:p w:rsidR="006940A1" w:rsidRPr="00C534A9" w:rsidRDefault="006940A1" w:rsidP="00C534A9">
      <w:pPr>
        <w:pStyle w:val="Caption"/>
        <w:jc w:val="both"/>
        <w:rPr>
          <w:rFonts w:ascii="Arial" w:hAnsi="Arial" w:cs="Arial"/>
          <w:sz w:val="22"/>
        </w:rPr>
      </w:pPr>
      <w:bookmarkStart w:id="124" w:name="_Toc463508488"/>
      <w:bookmarkStart w:id="125" w:name="_Toc463508988"/>
      <w:proofErr w:type="gramStart"/>
      <w:r w:rsidRPr="00C534A9">
        <w:rPr>
          <w:rFonts w:ascii="Arial" w:hAnsi="Arial" w:cs="Arial"/>
          <w:sz w:val="22"/>
        </w:rPr>
        <w:t xml:space="preserve">Table </w:t>
      </w:r>
      <w:r w:rsidR="007D6B36" w:rsidRPr="00C534A9">
        <w:rPr>
          <w:rFonts w:ascii="Arial" w:hAnsi="Arial" w:cs="Arial"/>
          <w:sz w:val="22"/>
        </w:rPr>
        <w:fldChar w:fldCharType="begin"/>
      </w:r>
      <w:r w:rsidR="007D6B36" w:rsidRPr="00C534A9">
        <w:rPr>
          <w:rFonts w:ascii="Arial" w:hAnsi="Arial" w:cs="Arial"/>
          <w:sz w:val="22"/>
        </w:rPr>
        <w:instrText xml:space="preserve"> STYLEREF 1 \s </w:instrText>
      </w:r>
      <w:r w:rsidR="007D6B36" w:rsidRPr="00C534A9">
        <w:rPr>
          <w:rFonts w:ascii="Arial" w:hAnsi="Arial" w:cs="Arial"/>
          <w:sz w:val="22"/>
        </w:rPr>
        <w:fldChar w:fldCharType="separate"/>
      </w:r>
      <w:r w:rsidR="003F3D75" w:rsidRPr="00C534A9">
        <w:rPr>
          <w:rFonts w:ascii="Arial" w:hAnsi="Arial" w:cs="Arial"/>
          <w:noProof/>
          <w:sz w:val="22"/>
        </w:rPr>
        <w:t>6</w:t>
      </w:r>
      <w:r w:rsidR="007D6B36" w:rsidRPr="00C534A9">
        <w:rPr>
          <w:rFonts w:ascii="Arial" w:hAnsi="Arial" w:cs="Arial"/>
          <w:noProof/>
          <w:sz w:val="22"/>
        </w:rPr>
        <w:fldChar w:fldCharType="end"/>
      </w:r>
      <w:r w:rsidRPr="00C534A9">
        <w:rPr>
          <w:rFonts w:ascii="Arial" w:hAnsi="Arial" w:cs="Arial"/>
          <w:sz w:val="22"/>
        </w:rPr>
        <w:t>.</w:t>
      </w:r>
      <w:proofErr w:type="gramEnd"/>
      <w:r w:rsidR="003343DE" w:rsidRPr="00C534A9">
        <w:rPr>
          <w:rFonts w:ascii="Arial" w:hAnsi="Arial" w:cs="Arial"/>
          <w:sz w:val="22"/>
        </w:rPr>
        <w:fldChar w:fldCharType="begin"/>
      </w:r>
      <w:r w:rsidR="003343DE" w:rsidRPr="00C534A9">
        <w:rPr>
          <w:rFonts w:ascii="Arial" w:hAnsi="Arial" w:cs="Arial"/>
          <w:sz w:val="22"/>
        </w:rPr>
        <w:instrText xml:space="preserve"> SEQ Table \* ARABIC \s 1 </w:instrText>
      </w:r>
      <w:r w:rsidR="003343DE" w:rsidRPr="00C534A9">
        <w:rPr>
          <w:rFonts w:ascii="Arial" w:hAnsi="Arial" w:cs="Arial"/>
          <w:sz w:val="22"/>
        </w:rPr>
        <w:fldChar w:fldCharType="separate"/>
      </w:r>
      <w:r w:rsidR="003F3D75" w:rsidRPr="00C534A9">
        <w:rPr>
          <w:rFonts w:ascii="Arial" w:hAnsi="Arial" w:cs="Arial"/>
          <w:noProof/>
          <w:sz w:val="22"/>
        </w:rPr>
        <w:t>1</w:t>
      </w:r>
      <w:r w:rsidR="003343DE" w:rsidRPr="00C534A9">
        <w:rPr>
          <w:rFonts w:ascii="Arial" w:hAnsi="Arial" w:cs="Arial"/>
          <w:noProof/>
          <w:sz w:val="22"/>
        </w:rPr>
        <w:fldChar w:fldCharType="end"/>
      </w:r>
      <w:r w:rsidRPr="00C534A9">
        <w:rPr>
          <w:rFonts w:ascii="Arial" w:hAnsi="Arial" w:cs="Arial"/>
          <w:sz w:val="22"/>
        </w:rPr>
        <w:t xml:space="preserve">: Assumptions Used to Determine the Economic Costs and Benefits of </w:t>
      </w:r>
      <w:r w:rsidR="00C16F12" w:rsidRPr="00C534A9">
        <w:rPr>
          <w:rFonts w:ascii="Arial" w:hAnsi="Arial" w:cs="Arial"/>
          <w:sz w:val="22"/>
        </w:rPr>
        <w:t>the VS LNG terminal</w:t>
      </w:r>
      <w:bookmarkEnd w:id="124"/>
      <w:bookmarkEnd w:id="125"/>
    </w:p>
    <w:tbl>
      <w:tblPr>
        <w:tblW w:w="6795" w:type="dxa"/>
        <w:jc w:val="center"/>
        <w:tblInd w:w="-27" w:type="dxa"/>
        <w:tblLook w:val="04A0" w:firstRow="1" w:lastRow="0" w:firstColumn="1" w:lastColumn="0" w:noHBand="0" w:noVBand="1"/>
      </w:tblPr>
      <w:tblGrid>
        <w:gridCol w:w="3808"/>
        <w:gridCol w:w="1676"/>
        <w:gridCol w:w="1311"/>
      </w:tblGrid>
      <w:tr w:rsidR="00791234" w:rsidRPr="00C534A9" w:rsidTr="00D132E2">
        <w:trPr>
          <w:trHeight w:val="144"/>
          <w:jc w:val="center"/>
        </w:trPr>
        <w:tc>
          <w:tcPr>
            <w:tcW w:w="3808"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b/>
                <w:bCs/>
                <w:color w:val="auto"/>
                <w:sz w:val="22"/>
                <w:szCs w:val="24"/>
                <w:u w:val="single"/>
              </w:rPr>
            </w:pPr>
            <w:r w:rsidRPr="00C534A9">
              <w:rPr>
                <w:rFonts w:ascii="Arial" w:eastAsia="Times New Roman" w:hAnsi="Arial" w:cs="Arial"/>
                <w:b/>
                <w:bCs/>
                <w:color w:val="auto"/>
                <w:sz w:val="22"/>
                <w:szCs w:val="24"/>
                <w:u w:val="single"/>
              </w:rPr>
              <w:t>NG Value chain</w:t>
            </w:r>
          </w:p>
        </w:tc>
        <w:tc>
          <w:tcPr>
            <w:tcW w:w="1676" w:type="dxa"/>
            <w:tcBorders>
              <w:top w:val="nil"/>
              <w:left w:val="nil"/>
              <w:bottom w:val="nil"/>
              <w:right w:val="nil"/>
            </w:tcBorders>
            <w:shd w:val="clear" w:color="000000" w:fill="FFFFFF"/>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w:t>
            </w:r>
          </w:p>
        </w:tc>
        <w:tc>
          <w:tcPr>
            <w:tcW w:w="1311"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w:t>
            </w:r>
          </w:p>
        </w:tc>
      </w:tr>
      <w:tr w:rsidR="00791234" w:rsidRPr="00C534A9" w:rsidTr="00D132E2">
        <w:trPr>
          <w:trHeight w:val="144"/>
          <w:jc w:val="center"/>
        </w:trPr>
        <w:tc>
          <w:tcPr>
            <w:tcW w:w="3808"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NG premium over HH</w:t>
            </w:r>
          </w:p>
        </w:tc>
        <w:tc>
          <w:tcPr>
            <w:tcW w:w="1676" w:type="dxa"/>
            <w:tcBorders>
              <w:top w:val="nil"/>
              <w:left w:val="nil"/>
              <w:bottom w:val="nil"/>
              <w:right w:val="nil"/>
            </w:tcBorders>
            <w:shd w:val="clear" w:color="000000" w:fill="FFFFFF"/>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w:t>
            </w:r>
          </w:p>
        </w:tc>
        <w:tc>
          <w:tcPr>
            <w:tcW w:w="1311"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20%</w:t>
            </w:r>
          </w:p>
        </w:tc>
      </w:tr>
      <w:tr w:rsidR="00791234" w:rsidRPr="00C534A9" w:rsidTr="00D132E2">
        <w:trPr>
          <w:trHeight w:val="144"/>
          <w:jc w:val="center"/>
        </w:trPr>
        <w:tc>
          <w:tcPr>
            <w:tcW w:w="3808"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Liquefaction base cost</w:t>
            </w:r>
          </w:p>
        </w:tc>
        <w:tc>
          <w:tcPr>
            <w:tcW w:w="1676" w:type="dxa"/>
            <w:tcBorders>
              <w:top w:val="nil"/>
              <w:left w:val="nil"/>
              <w:bottom w:val="nil"/>
              <w:right w:val="nil"/>
            </w:tcBorders>
            <w:shd w:val="clear" w:color="000000" w:fill="FFFFFF"/>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US$/</w:t>
            </w:r>
            <w:proofErr w:type="spellStart"/>
            <w:r w:rsidRPr="00C534A9">
              <w:rPr>
                <w:rFonts w:ascii="Arial" w:eastAsia="Times New Roman" w:hAnsi="Arial" w:cs="Arial"/>
                <w:color w:val="auto"/>
                <w:sz w:val="22"/>
                <w:szCs w:val="24"/>
              </w:rPr>
              <w:t>MMBtu</w:t>
            </w:r>
            <w:proofErr w:type="spellEnd"/>
          </w:p>
        </w:tc>
        <w:tc>
          <w:tcPr>
            <w:tcW w:w="1311"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xml:space="preserve">           1.75 </w:t>
            </w:r>
          </w:p>
        </w:tc>
      </w:tr>
      <w:tr w:rsidR="00791234" w:rsidRPr="00C534A9" w:rsidTr="00D132E2">
        <w:trPr>
          <w:trHeight w:val="144"/>
          <w:jc w:val="center"/>
        </w:trPr>
        <w:tc>
          <w:tcPr>
            <w:tcW w:w="3808"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Liquefaction NG losses</w:t>
            </w:r>
          </w:p>
        </w:tc>
        <w:tc>
          <w:tcPr>
            <w:tcW w:w="1676" w:type="dxa"/>
            <w:tcBorders>
              <w:top w:val="nil"/>
              <w:left w:val="nil"/>
              <w:bottom w:val="nil"/>
              <w:right w:val="nil"/>
            </w:tcBorders>
            <w:shd w:val="clear" w:color="000000" w:fill="FFFFFF"/>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w:t>
            </w:r>
          </w:p>
        </w:tc>
        <w:tc>
          <w:tcPr>
            <w:tcW w:w="1311"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9%</w:t>
            </w:r>
          </w:p>
        </w:tc>
      </w:tr>
      <w:tr w:rsidR="00791234" w:rsidRPr="00C534A9" w:rsidTr="00D132E2">
        <w:trPr>
          <w:trHeight w:val="144"/>
          <w:jc w:val="center"/>
        </w:trPr>
        <w:tc>
          <w:tcPr>
            <w:tcW w:w="3808"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Shipping base cost</w:t>
            </w:r>
          </w:p>
        </w:tc>
        <w:tc>
          <w:tcPr>
            <w:tcW w:w="1676" w:type="dxa"/>
            <w:tcBorders>
              <w:top w:val="nil"/>
              <w:left w:val="nil"/>
              <w:bottom w:val="nil"/>
              <w:right w:val="nil"/>
            </w:tcBorders>
            <w:shd w:val="clear" w:color="000000" w:fill="FFFFFF"/>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US$/</w:t>
            </w:r>
            <w:proofErr w:type="spellStart"/>
            <w:r w:rsidRPr="00C534A9">
              <w:rPr>
                <w:rFonts w:ascii="Arial" w:eastAsia="Times New Roman" w:hAnsi="Arial" w:cs="Arial"/>
                <w:color w:val="auto"/>
                <w:sz w:val="22"/>
                <w:szCs w:val="24"/>
              </w:rPr>
              <w:t>MMBtu</w:t>
            </w:r>
            <w:proofErr w:type="spellEnd"/>
          </w:p>
        </w:tc>
        <w:tc>
          <w:tcPr>
            <w:tcW w:w="1311"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xml:space="preserve">            1.22 </w:t>
            </w:r>
          </w:p>
        </w:tc>
      </w:tr>
      <w:tr w:rsidR="00791234" w:rsidRPr="00C534A9" w:rsidTr="00D132E2">
        <w:trPr>
          <w:trHeight w:val="144"/>
          <w:jc w:val="center"/>
        </w:trPr>
        <w:tc>
          <w:tcPr>
            <w:tcW w:w="3808"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Shipping NG losses</w:t>
            </w:r>
          </w:p>
        </w:tc>
        <w:tc>
          <w:tcPr>
            <w:tcW w:w="1676" w:type="dxa"/>
            <w:tcBorders>
              <w:top w:val="nil"/>
              <w:left w:val="nil"/>
              <w:bottom w:val="nil"/>
              <w:right w:val="nil"/>
            </w:tcBorders>
            <w:shd w:val="clear" w:color="000000" w:fill="FFFFFF"/>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w:t>
            </w:r>
          </w:p>
        </w:tc>
        <w:tc>
          <w:tcPr>
            <w:tcW w:w="1311"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0.75%</w:t>
            </w:r>
          </w:p>
        </w:tc>
      </w:tr>
      <w:tr w:rsidR="00791234" w:rsidRPr="00C534A9" w:rsidTr="00D132E2">
        <w:trPr>
          <w:trHeight w:val="144"/>
          <w:jc w:val="center"/>
        </w:trPr>
        <w:tc>
          <w:tcPr>
            <w:tcW w:w="3808"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proofErr w:type="spellStart"/>
            <w:r w:rsidRPr="00C534A9">
              <w:rPr>
                <w:rFonts w:ascii="Arial" w:eastAsia="Times New Roman" w:hAnsi="Arial" w:cs="Arial"/>
                <w:color w:val="auto"/>
                <w:sz w:val="22"/>
                <w:szCs w:val="24"/>
              </w:rPr>
              <w:t>Regassification</w:t>
            </w:r>
            <w:proofErr w:type="spellEnd"/>
            <w:r w:rsidRPr="00C534A9">
              <w:rPr>
                <w:rFonts w:ascii="Arial" w:eastAsia="Times New Roman" w:hAnsi="Arial" w:cs="Arial"/>
                <w:color w:val="auto"/>
                <w:sz w:val="22"/>
                <w:szCs w:val="24"/>
              </w:rPr>
              <w:t xml:space="preserve"> OPEX costs</w:t>
            </w:r>
          </w:p>
        </w:tc>
        <w:tc>
          <w:tcPr>
            <w:tcW w:w="1676" w:type="dxa"/>
            <w:tcBorders>
              <w:top w:val="nil"/>
              <w:left w:val="nil"/>
              <w:bottom w:val="nil"/>
              <w:right w:val="nil"/>
            </w:tcBorders>
            <w:shd w:val="clear" w:color="000000" w:fill="FFFFFF"/>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US$/</w:t>
            </w:r>
            <w:proofErr w:type="spellStart"/>
            <w:r w:rsidRPr="00C534A9">
              <w:rPr>
                <w:rFonts w:ascii="Arial" w:eastAsia="Times New Roman" w:hAnsi="Arial" w:cs="Arial"/>
                <w:color w:val="auto"/>
                <w:sz w:val="22"/>
                <w:szCs w:val="24"/>
              </w:rPr>
              <w:t>MMBtu</w:t>
            </w:r>
            <w:proofErr w:type="spellEnd"/>
          </w:p>
        </w:tc>
        <w:tc>
          <w:tcPr>
            <w:tcW w:w="1311"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xml:space="preserve">            0.20 </w:t>
            </w:r>
          </w:p>
        </w:tc>
      </w:tr>
      <w:tr w:rsidR="00791234" w:rsidRPr="00C534A9" w:rsidTr="00D132E2">
        <w:trPr>
          <w:trHeight w:val="144"/>
          <w:jc w:val="center"/>
        </w:trPr>
        <w:tc>
          <w:tcPr>
            <w:tcW w:w="3808"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proofErr w:type="spellStart"/>
            <w:r w:rsidRPr="00C534A9">
              <w:rPr>
                <w:rFonts w:ascii="Arial" w:eastAsia="Times New Roman" w:hAnsi="Arial" w:cs="Arial"/>
                <w:color w:val="auto"/>
                <w:sz w:val="22"/>
                <w:szCs w:val="24"/>
              </w:rPr>
              <w:t>Regassification</w:t>
            </w:r>
            <w:proofErr w:type="spellEnd"/>
            <w:r w:rsidRPr="00C534A9">
              <w:rPr>
                <w:rFonts w:ascii="Arial" w:eastAsia="Times New Roman" w:hAnsi="Arial" w:cs="Arial"/>
                <w:color w:val="auto"/>
                <w:sz w:val="22"/>
                <w:szCs w:val="24"/>
              </w:rPr>
              <w:t xml:space="preserve"> NG losses</w:t>
            </w:r>
          </w:p>
        </w:tc>
        <w:tc>
          <w:tcPr>
            <w:tcW w:w="1676" w:type="dxa"/>
            <w:tcBorders>
              <w:top w:val="nil"/>
              <w:left w:val="nil"/>
              <w:bottom w:val="nil"/>
              <w:right w:val="nil"/>
            </w:tcBorders>
            <w:shd w:val="clear" w:color="000000" w:fill="FFFFFF"/>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w:t>
            </w:r>
          </w:p>
        </w:tc>
        <w:tc>
          <w:tcPr>
            <w:tcW w:w="1311"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1.5%</w:t>
            </w:r>
          </w:p>
        </w:tc>
      </w:tr>
      <w:tr w:rsidR="00791234" w:rsidRPr="00C534A9" w:rsidTr="00D132E2">
        <w:trPr>
          <w:trHeight w:val="144"/>
          <w:jc w:val="center"/>
        </w:trPr>
        <w:tc>
          <w:tcPr>
            <w:tcW w:w="3808"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ind w:firstLineChars="100" w:firstLine="220"/>
              <w:jc w:val="both"/>
              <w:rPr>
                <w:rFonts w:ascii="Arial" w:eastAsia="Times New Roman" w:hAnsi="Arial" w:cs="Arial"/>
                <w:color w:val="auto"/>
                <w:sz w:val="22"/>
                <w:szCs w:val="24"/>
              </w:rPr>
            </w:pPr>
            <w:r w:rsidRPr="00C534A9">
              <w:rPr>
                <w:rFonts w:ascii="Arial" w:eastAsia="Times New Roman" w:hAnsi="Arial" w:cs="Arial"/>
                <w:color w:val="auto"/>
                <w:sz w:val="22"/>
                <w:szCs w:val="24"/>
              </w:rPr>
              <w:t> </w:t>
            </w:r>
          </w:p>
        </w:tc>
        <w:tc>
          <w:tcPr>
            <w:tcW w:w="1676" w:type="dxa"/>
            <w:tcBorders>
              <w:top w:val="nil"/>
              <w:left w:val="nil"/>
              <w:bottom w:val="nil"/>
              <w:right w:val="nil"/>
            </w:tcBorders>
            <w:shd w:val="clear" w:color="000000" w:fill="FFFFFF"/>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w:t>
            </w:r>
          </w:p>
        </w:tc>
        <w:tc>
          <w:tcPr>
            <w:tcW w:w="1311"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w:t>
            </w:r>
          </w:p>
        </w:tc>
      </w:tr>
      <w:tr w:rsidR="00791234" w:rsidRPr="00C534A9" w:rsidTr="00D132E2">
        <w:trPr>
          <w:trHeight w:val="144"/>
          <w:jc w:val="center"/>
        </w:trPr>
        <w:tc>
          <w:tcPr>
            <w:tcW w:w="3808"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ind w:firstLineChars="100" w:firstLine="220"/>
              <w:jc w:val="both"/>
              <w:rPr>
                <w:rFonts w:ascii="Arial" w:eastAsia="Times New Roman" w:hAnsi="Arial" w:cs="Arial"/>
                <w:color w:val="auto"/>
                <w:sz w:val="22"/>
                <w:szCs w:val="24"/>
              </w:rPr>
            </w:pPr>
            <w:r w:rsidRPr="00C534A9">
              <w:rPr>
                <w:rFonts w:ascii="Arial" w:eastAsia="Times New Roman" w:hAnsi="Arial" w:cs="Arial"/>
                <w:color w:val="auto"/>
                <w:sz w:val="22"/>
                <w:szCs w:val="24"/>
              </w:rPr>
              <w:t> </w:t>
            </w:r>
          </w:p>
        </w:tc>
        <w:tc>
          <w:tcPr>
            <w:tcW w:w="1676"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w:t>
            </w:r>
          </w:p>
        </w:tc>
        <w:tc>
          <w:tcPr>
            <w:tcW w:w="1311"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w:t>
            </w:r>
          </w:p>
        </w:tc>
      </w:tr>
      <w:tr w:rsidR="00A26952" w:rsidRPr="00C534A9" w:rsidTr="00D132E2">
        <w:trPr>
          <w:trHeight w:val="144"/>
          <w:jc w:val="center"/>
        </w:trPr>
        <w:tc>
          <w:tcPr>
            <w:tcW w:w="3808" w:type="dxa"/>
            <w:tcBorders>
              <w:top w:val="nil"/>
              <w:left w:val="nil"/>
              <w:bottom w:val="nil"/>
              <w:right w:val="nil"/>
            </w:tcBorders>
            <w:shd w:val="clear" w:color="000000" w:fill="FFFFFF"/>
            <w:noWrap/>
            <w:vAlign w:val="bottom"/>
            <w:hideMark/>
          </w:tcPr>
          <w:p w:rsidR="00A26952" w:rsidRPr="00C534A9" w:rsidRDefault="00A26952" w:rsidP="00C534A9">
            <w:pPr>
              <w:spacing w:after="0" w:line="240" w:lineRule="auto"/>
              <w:jc w:val="both"/>
              <w:rPr>
                <w:rFonts w:ascii="Arial" w:eastAsia="Times New Roman" w:hAnsi="Arial" w:cs="Arial"/>
                <w:b/>
                <w:color w:val="auto"/>
                <w:sz w:val="22"/>
                <w:szCs w:val="24"/>
                <w:u w:val="single"/>
              </w:rPr>
            </w:pPr>
            <w:r w:rsidRPr="00C534A9">
              <w:rPr>
                <w:rFonts w:ascii="Arial" w:eastAsia="Times New Roman" w:hAnsi="Arial" w:cs="Arial"/>
                <w:b/>
                <w:color w:val="auto"/>
                <w:sz w:val="22"/>
                <w:szCs w:val="24"/>
                <w:u w:val="single"/>
              </w:rPr>
              <w:t>Input prices</w:t>
            </w:r>
          </w:p>
        </w:tc>
        <w:tc>
          <w:tcPr>
            <w:tcW w:w="1676" w:type="dxa"/>
            <w:tcBorders>
              <w:top w:val="nil"/>
              <w:left w:val="nil"/>
              <w:bottom w:val="nil"/>
              <w:right w:val="nil"/>
            </w:tcBorders>
            <w:shd w:val="clear" w:color="000000" w:fill="FFFFFF"/>
            <w:noWrap/>
            <w:vAlign w:val="bottom"/>
            <w:hideMark/>
          </w:tcPr>
          <w:p w:rsidR="00A26952" w:rsidRPr="00C534A9" w:rsidRDefault="00A26952" w:rsidP="00C534A9">
            <w:pPr>
              <w:spacing w:after="0" w:line="240" w:lineRule="auto"/>
              <w:jc w:val="both"/>
              <w:rPr>
                <w:rFonts w:ascii="Arial" w:eastAsia="Times New Roman" w:hAnsi="Arial" w:cs="Arial"/>
                <w:color w:val="auto"/>
                <w:sz w:val="22"/>
                <w:szCs w:val="24"/>
              </w:rPr>
            </w:pPr>
          </w:p>
        </w:tc>
        <w:tc>
          <w:tcPr>
            <w:tcW w:w="1311" w:type="dxa"/>
            <w:tcBorders>
              <w:top w:val="nil"/>
              <w:left w:val="nil"/>
              <w:bottom w:val="nil"/>
              <w:right w:val="nil"/>
            </w:tcBorders>
            <w:shd w:val="clear" w:color="000000" w:fill="FFFFFF"/>
            <w:noWrap/>
            <w:vAlign w:val="bottom"/>
            <w:hideMark/>
          </w:tcPr>
          <w:p w:rsidR="00A26952" w:rsidRPr="00C534A9" w:rsidRDefault="00A26952" w:rsidP="00C534A9">
            <w:pPr>
              <w:spacing w:after="0" w:line="240" w:lineRule="auto"/>
              <w:jc w:val="both"/>
              <w:rPr>
                <w:rFonts w:ascii="Arial" w:eastAsia="Times New Roman" w:hAnsi="Arial" w:cs="Arial"/>
                <w:color w:val="auto"/>
                <w:sz w:val="22"/>
                <w:szCs w:val="24"/>
              </w:rPr>
            </w:pPr>
          </w:p>
        </w:tc>
      </w:tr>
      <w:tr w:rsidR="00A26952" w:rsidRPr="00C534A9" w:rsidTr="00D132E2">
        <w:trPr>
          <w:trHeight w:val="144"/>
          <w:jc w:val="center"/>
        </w:trPr>
        <w:tc>
          <w:tcPr>
            <w:tcW w:w="3808" w:type="dxa"/>
            <w:tcBorders>
              <w:top w:val="nil"/>
              <w:left w:val="nil"/>
              <w:bottom w:val="nil"/>
              <w:right w:val="nil"/>
            </w:tcBorders>
            <w:shd w:val="clear" w:color="000000" w:fill="FFFFFF"/>
            <w:noWrap/>
            <w:vAlign w:val="bottom"/>
            <w:hideMark/>
          </w:tcPr>
          <w:p w:rsidR="00A26952" w:rsidRPr="00C534A9" w:rsidRDefault="00A26952"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CO2 price</w:t>
            </w:r>
          </w:p>
        </w:tc>
        <w:tc>
          <w:tcPr>
            <w:tcW w:w="1676" w:type="dxa"/>
            <w:tcBorders>
              <w:top w:val="nil"/>
              <w:left w:val="nil"/>
              <w:bottom w:val="nil"/>
              <w:right w:val="nil"/>
            </w:tcBorders>
            <w:shd w:val="clear" w:color="000000" w:fill="FFFFFF"/>
            <w:noWrap/>
            <w:vAlign w:val="bottom"/>
            <w:hideMark/>
          </w:tcPr>
          <w:p w:rsidR="00A26952" w:rsidRPr="00C534A9" w:rsidRDefault="00A26952"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US$/ton CO2</w:t>
            </w:r>
          </w:p>
        </w:tc>
        <w:tc>
          <w:tcPr>
            <w:tcW w:w="1311" w:type="dxa"/>
            <w:tcBorders>
              <w:top w:val="nil"/>
              <w:left w:val="nil"/>
              <w:bottom w:val="nil"/>
              <w:right w:val="nil"/>
            </w:tcBorders>
            <w:shd w:val="clear" w:color="000000" w:fill="FFFFFF"/>
            <w:noWrap/>
            <w:vAlign w:val="bottom"/>
            <w:hideMark/>
          </w:tcPr>
          <w:p w:rsidR="00A26952" w:rsidRPr="00C534A9" w:rsidRDefault="00A26952"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xml:space="preserve">                     10.00 </w:t>
            </w:r>
          </w:p>
        </w:tc>
      </w:tr>
      <w:tr w:rsidR="00A26952" w:rsidRPr="00C534A9" w:rsidTr="00D132E2">
        <w:trPr>
          <w:trHeight w:val="144"/>
          <w:jc w:val="center"/>
        </w:trPr>
        <w:tc>
          <w:tcPr>
            <w:tcW w:w="3808" w:type="dxa"/>
            <w:tcBorders>
              <w:top w:val="nil"/>
              <w:left w:val="nil"/>
              <w:bottom w:val="nil"/>
              <w:right w:val="nil"/>
            </w:tcBorders>
            <w:shd w:val="clear" w:color="000000" w:fill="FFFFFF"/>
            <w:noWrap/>
            <w:vAlign w:val="bottom"/>
            <w:hideMark/>
          </w:tcPr>
          <w:p w:rsidR="00A26952" w:rsidRPr="00C534A9" w:rsidRDefault="00A26952"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w:t>
            </w:r>
          </w:p>
        </w:tc>
        <w:tc>
          <w:tcPr>
            <w:tcW w:w="1676" w:type="dxa"/>
            <w:tcBorders>
              <w:top w:val="nil"/>
              <w:left w:val="nil"/>
              <w:bottom w:val="nil"/>
              <w:right w:val="nil"/>
            </w:tcBorders>
            <w:shd w:val="clear" w:color="000000" w:fill="FFFFFF"/>
            <w:noWrap/>
            <w:vAlign w:val="bottom"/>
            <w:hideMark/>
          </w:tcPr>
          <w:p w:rsidR="00A26952" w:rsidRPr="00C534A9" w:rsidRDefault="00A26952"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w:t>
            </w:r>
          </w:p>
        </w:tc>
        <w:tc>
          <w:tcPr>
            <w:tcW w:w="1311" w:type="dxa"/>
            <w:tcBorders>
              <w:top w:val="nil"/>
              <w:left w:val="nil"/>
              <w:bottom w:val="nil"/>
              <w:right w:val="nil"/>
            </w:tcBorders>
            <w:shd w:val="clear" w:color="000000" w:fill="FFFFFF"/>
            <w:noWrap/>
            <w:vAlign w:val="bottom"/>
            <w:hideMark/>
          </w:tcPr>
          <w:p w:rsidR="00A26952" w:rsidRPr="00C534A9" w:rsidRDefault="00A26952"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w:t>
            </w:r>
          </w:p>
        </w:tc>
      </w:tr>
      <w:tr w:rsidR="00A26952" w:rsidRPr="00C534A9" w:rsidTr="00D132E2">
        <w:trPr>
          <w:trHeight w:val="144"/>
          <w:jc w:val="center"/>
        </w:trPr>
        <w:tc>
          <w:tcPr>
            <w:tcW w:w="3808" w:type="dxa"/>
            <w:tcBorders>
              <w:top w:val="nil"/>
              <w:left w:val="nil"/>
              <w:bottom w:val="nil"/>
              <w:right w:val="nil"/>
            </w:tcBorders>
            <w:shd w:val="clear" w:color="000000" w:fill="FFFFFF"/>
            <w:noWrap/>
            <w:vAlign w:val="bottom"/>
            <w:hideMark/>
          </w:tcPr>
          <w:p w:rsidR="00A26952" w:rsidRPr="00C534A9" w:rsidRDefault="00A26952"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Retail electricity price base rate</w:t>
            </w:r>
          </w:p>
        </w:tc>
        <w:tc>
          <w:tcPr>
            <w:tcW w:w="1676" w:type="dxa"/>
            <w:tcBorders>
              <w:top w:val="nil"/>
              <w:left w:val="nil"/>
              <w:bottom w:val="nil"/>
              <w:right w:val="nil"/>
            </w:tcBorders>
            <w:shd w:val="clear" w:color="000000" w:fill="FFFFFF"/>
            <w:noWrap/>
            <w:vAlign w:val="bottom"/>
            <w:hideMark/>
          </w:tcPr>
          <w:p w:rsidR="00A26952" w:rsidRPr="00C534A9" w:rsidRDefault="00A26952"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B$/kwh</w:t>
            </w:r>
          </w:p>
        </w:tc>
        <w:tc>
          <w:tcPr>
            <w:tcW w:w="1311" w:type="dxa"/>
            <w:tcBorders>
              <w:top w:val="nil"/>
              <w:left w:val="nil"/>
              <w:bottom w:val="nil"/>
              <w:right w:val="nil"/>
            </w:tcBorders>
            <w:shd w:val="clear" w:color="000000" w:fill="FFFFFF"/>
            <w:noWrap/>
            <w:vAlign w:val="bottom"/>
            <w:hideMark/>
          </w:tcPr>
          <w:p w:rsidR="00A26952" w:rsidRPr="00C534A9" w:rsidRDefault="00A26952"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0.1345</w:t>
            </w:r>
          </w:p>
        </w:tc>
      </w:tr>
      <w:tr w:rsidR="00A26952" w:rsidRPr="00C534A9" w:rsidTr="00D132E2">
        <w:trPr>
          <w:trHeight w:val="144"/>
          <w:jc w:val="center"/>
        </w:trPr>
        <w:tc>
          <w:tcPr>
            <w:tcW w:w="3808" w:type="dxa"/>
            <w:tcBorders>
              <w:top w:val="nil"/>
              <w:left w:val="nil"/>
              <w:bottom w:val="nil"/>
              <w:right w:val="nil"/>
            </w:tcBorders>
            <w:shd w:val="clear" w:color="000000" w:fill="FFFFFF"/>
            <w:noWrap/>
            <w:vAlign w:val="bottom"/>
            <w:hideMark/>
          </w:tcPr>
          <w:p w:rsidR="00A26952" w:rsidRPr="00C534A9" w:rsidRDefault="00A26952" w:rsidP="00C534A9">
            <w:pPr>
              <w:spacing w:after="0" w:line="240" w:lineRule="auto"/>
              <w:ind w:firstLineChars="100" w:firstLine="220"/>
              <w:jc w:val="both"/>
              <w:rPr>
                <w:rFonts w:ascii="Arial" w:eastAsia="Times New Roman" w:hAnsi="Arial" w:cs="Arial"/>
                <w:color w:val="auto"/>
                <w:sz w:val="22"/>
                <w:szCs w:val="24"/>
              </w:rPr>
            </w:pPr>
            <w:r w:rsidRPr="00C534A9">
              <w:rPr>
                <w:rFonts w:ascii="Arial" w:eastAsia="Times New Roman" w:hAnsi="Arial" w:cs="Arial"/>
                <w:color w:val="auto"/>
                <w:sz w:val="22"/>
                <w:szCs w:val="24"/>
              </w:rPr>
              <w:t> </w:t>
            </w:r>
          </w:p>
        </w:tc>
        <w:tc>
          <w:tcPr>
            <w:tcW w:w="1676" w:type="dxa"/>
            <w:tcBorders>
              <w:top w:val="nil"/>
              <w:left w:val="nil"/>
              <w:bottom w:val="nil"/>
              <w:right w:val="nil"/>
            </w:tcBorders>
            <w:shd w:val="clear" w:color="000000" w:fill="FFFFFF"/>
            <w:noWrap/>
            <w:vAlign w:val="bottom"/>
            <w:hideMark/>
          </w:tcPr>
          <w:p w:rsidR="00A26952" w:rsidRPr="00C534A9" w:rsidRDefault="00A26952"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w:t>
            </w:r>
          </w:p>
        </w:tc>
        <w:tc>
          <w:tcPr>
            <w:tcW w:w="1311" w:type="dxa"/>
            <w:tcBorders>
              <w:top w:val="nil"/>
              <w:left w:val="nil"/>
              <w:bottom w:val="nil"/>
              <w:right w:val="nil"/>
            </w:tcBorders>
            <w:shd w:val="clear" w:color="000000" w:fill="FFFFFF"/>
            <w:noWrap/>
            <w:vAlign w:val="bottom"/>
            <w:hideMark/>
          </w:tcPr>
          <w:p w:rsidR="00A26952" w:rsidRPr="00C534A9" w:rsidRDefault="00A26952"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w:t>
            </w:r>
          </w:p>
        </w:tc>
      </w:tr>
      <w:tr w:rsidR="00A26952" w:rsidRPr="00C534A9" w:rsidTr="00D132E2">
        <w:trPr>
          <w:trHeight w:val="144"/>
          <w:jc w:val="center"/>
        </w:trPr>
        <w:tc>
          <w:tcPr>
            <w:tcW w:w="3808" w:type="dxa"/>
            <w:tcBorders>
              <w:top w:val="nil"/>
              <w:left w:val="nil"/>
              <w:bottom w:val="nil"/>
              <w:right w:val="nil"/>
            </w:tcBorders>
            <w:shd w:val="clear" w:color="000000" w:fill="FFFFFF"/>
            <w:noWrap/>
            <w:vAlign w:val="bottom"/>
          </w:tcPr>
          <w:p w:rsidR="00A26952" w:rsidRPr="00C534A9" w:rsidRDefault="00A26952" w:rsidP="00C534A9">
            <w:pPr>
              <w:spacing w:after="0" w:line="240" w:lineRule="auto"/>
              <w:jc w:val="both"/>
              <w:rPr>
                <w:rFonts w:ascii="Arial" w:eastAsia="Times New Roman" w:hAnsi="Arial" w:cs="Arial"/>
                <w:b/>
                <w:color w:val="auto"/>
                <w:sz w:val="22"/>
                <w:szCs w:val="24"/>
                <w:u w:val="single"/>
              </w:rPr>
            </w:pPr>
          </w:p>
          <w:p w:rsidR="00A26952" w:rsidRPr="00C534A9" w:rsidRDefault="00A26952" w:rsidP="00C534A9">
            <w:pPr>
              <w:spacing w:after="0" w:line="240" w:lineRule="auto"/>
              <w:jc w:val="both"/>
              <w:rPr>
                <w:rFonts w:ascii="Arial" w:eastAsia="Times New Roman" w:hAnsi="Arial" w:cs="Arial"/>
                <w:b/>
                <w:color w:val="auto"/>
                <w:sz w:val="22"/>
                <w:szCs w:val="24"/>
                <w:u w:val="single"/>
              </w:rPr>
            </w:pPr>
            <w:r w:rsidRPr="00C534A9">
              <w:rPr>
                <w:rFonts w:ascii="Arial" w:eastAsia="Times New Roman" w:hAnsi="Arial" w:cs="Arial"/>
                <w:b/>
                <w:color w:val="auto"/>
                <w:sz w:val="22"/>
                <w:szCs w:val="24"/>
                <w:u w:val="single"/>
              </w:rPr>
              <w:t>Fuel characteristics</w:t>
            </w:r>
          </w:p>
        </w:tc>
        <w:tc>
          <w:tcPr>
            <w:tcW w:w="1676" w:type="dxa"/>
            <w:tcBorders>
              <w:top w:val="nil"/>
              <w:left w:val="nil"/>
              <w:bottom w:val="nil"/>
              <w:right w:val="nil"/>
            </w:tcBorders>
            <w:shd w:val="clear" w:color="000000" w:fill="FFFFFF"/>
            <w:noWrap/>
            <w:vAlign w:val="bottom"/>
          </w:tcPr>
          <w:p w:rsidR="00A26952" w:rsidRPr="00C534A9" w:rsidRDefault="00A26952" w:rsidP="00C534A9">
            <w:pPr>
              <w:spacing w:after="0" w:line="240" w:lineRule="auto"/>
              <w:jc w:val="both"/>
              <w:rPr>
                <w:rFonts w:ascii="Arial" w:eastAsia="Times New Roman" w:hAnsi="Arial" w:cs="Arial"/>
                <w:color w:val="auto"/>
                <w:sz w:val="22"/>
                <w:szCs w:val="24"/>
              </w:rPr>
            </w:pPr>
          </w:p>
        </w:tc>
        <w:tc>
          <w:tcPr>
            <w:tcW w:w="1311" w:type="dxa"/>
            <w:tcBorders>
              <w:top w:val="nil"/>
              <w:left w:val="nil"/>
              <w:bottom w:val="nil"/>
              <w:right w:val="nil"/>
            </w:tcBorders>
            <w:shd w:val="clear" w:color="000000" w:fill="FFFFFF"/>
            <w:noWrap/>
            <w:vAlign w:val="bottom"/>
          </w:tcPr>
          <w:p w:rsidR="00A26952" w:rsidRPr="00C534A9" w:rsidRDefault="00A26952" w:rsidP="00C534A9">
            <w:pPr>
              <w:spacing w:after="0" w:line="240" w:lineRule="auto"/>
              <w:jc w:val="both"/>
              <w:rPr>
                <w:rFonts w:ascii="Arial" w:eastAsia="Times New Roman" w:hAnsi="Arial" w:cs="Arial"/>
                <w:color w:val="auto"/>
                <w:sz w:val="22"/>
                <w:szCs w:val="24"/>
              </w:rPr>
            </w:pPr>
          </w:p>
        </w:tc>
      </w:tr>
      <w:tr w:rsidR="00A26952" w:rsidRPr="00C534A9" w:rsidTr="00D132E2">
        <w:trPr>
          <w:trHeight w:val="144"/>
          <w:jc w:val="center"/>
        </w:trPr>
        <w:tc>
          <w:tcPr>
            <w:tcW w:w="3808" w:type="dxa"/>
            <w:tcBorders>
              <w:top w:val="nil"/>
              <w:left w:val="nil"/>
              <w:bottom w:val="nil"/>
              <w:right w:val="nil"/>
            </w:tcBorders>
            <w:shd w:val="clear" w:color="000000" w:fill="FFFFFF"/>
            <w:noWrap/>
            <w:vAlign w:val="bottom"/>
          </w:tcPr>
          <w:p w:rsidR="00A26952" w:rsidRPr="00C534A9" w:rsidRDefault="00A26952" w:rsidP="00C534A9">
            <w:pPr>
              <w:spacing w:after="0" w:line="240" w:lineRule="auto"/>
              <w:ind w:firstLineChars="100" w:firstLine="220"/>
              <w:jc w:val="both"/>
              <w:rPr>
                <w:rFonts w:ascii="Arial" w:eastAsia="Times New Roman" w:hAnsi="Arial" w:cs="Arial"/>
                <w:color w:val="auto"/>
                <w:sz w:val="22"/>
                <w:szCs w:val="24"/>
              </w:rPr>
            </w:pPr>
          </w:p>
          <w:p w:rsidR="00A26952" w:rsidRPr="00C534A9" w:rsidRDefault="00A26952"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Calorific Value HFO</w:t>
            </w:r>
          </w:p>
        </w:tc>
        <w:tc>
          <w:tcPr>
            <w:tcW w:w="1676" w:type="dxa"/>
            <w:tcBorders>
              <w:top w:val="nil"/>
              <w:left w:val="nil"/>
              <w:bottom w:val="nil"/>
              <w:right w:val="nil"/>
            </w:tcBorders>
            <w:shd w:val="clear" w:color="000000" w:fill="FFFFFF"/>
            <w:noWrap/>
            <w:vAlign w:val="bottom"/>
          </w:tcPr>
          <w:p w:rsidR="00A26952" w:rsidRPr="00C534A9" w:rsidRDefault="00A26952"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BTU/BBL</w:t>
            </w:r>
          </w:p>
        </w:tc>
        <w:tc>
          <w:tcPr>
            <w:tcW w:w="1311" w:type="dxa"/>
            <w:tcBorders>
              <w:top w:val="nil"/>
              <w:left w:val="nil"/>
              <w:bottom w:val="nil"/>
              <w:right w:val="nil"/>
            </w:tcBorders>
            <w:shd w:val="clear" w:color="000000" w:fill="FFFFFF"/>
            <w:noWrap/>
            <w:vAlign w:val="bottom"/>
          </w:tcPr>
          <w:p w:rsidR="00A26952" w:rsidRPr="00C534A9" w:rsidRDefault="00A26952"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6,287,000</w:t>
            </w:r>
          </w:p>
        </w:tc>
      </w:tr>
      <w:tr w:rsidR="00A26952" w:rsidRPr="00C534A9" w:rsidTr="00D132E2">
        <w:trPr>
          <w:trHeight w:val="144"/>
          <w:jc w:val="center"/>
        </w:trPr>
        <w:tc>
          <w:tcPr>
            <w:tcW w:w="3808" w:type="dxa"/>
            <w:tcBorders>
              <w:top w:val="nil"/>
              <w:left w:val="nil"/>
              <w:bottom w:val="nil"/>
              <w:right w:val="nil"/>
            </w:tcBorders>
            <w:shd w:val="clear" w:color="000000" w:fill="FFFFFF"/>
            <w:noWrap/>
            <w:vAlign w:val="bottom"/>
          </w:tcPr>
          <w:p w:rsidR="00A26952" w:rsidRPr="00C534A9" w:rsidRDefault="00A26952"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Calorific Value Diesel</w:t>
            </w:r>
          </w:p>
        </w:tc>
        <w:tc>
          <w:tcPr>
            <w:tcW w:w="1676" w:type="dxa"/>
            <w:tcBorders>
              <w:top w:val="nil"/>
              <w:left w:val="nil"/>
              <w:bottom w:val="nil"/>
              <w:right w:val="nil"/>
            </w:tcBorders>
            <w:shd w:val="clear" w:color="000000" w:fill="FFFFFF"/>
            <w:noWrap/>
            <w:vAlign w:val="bottom"/>
          </w:tcPr>
          <w:p w:rsidR="00A26952" w:rsidRPr="00C534A9" w:rsidRDefault="00A26952"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BTU/BBL</w:t>
            </w:r>
          </w:p>
        </w:tc>
        <w:tc>
          <w:tcPr>
            <w:tcW w:w="1311" w:type="dxa"/>
            <w:tcBorders>
              <w:top w:val="nil"/>
              <w:left w:val="nil"/>
              <w:bottom w:val="nil"/>
              <w:right w:val="nil"/>
            </w:tcBorders>
            <w:shd w:val="clear" w:color="000000" w:fill="FFFFFF"/>
            <w:noWrap/>
            <w:vAlign w:val="bottom"/>
          </w:tcPr>
          <w:p w:rsidR="00A26952" w:rsidRPr="00C534A9" w:rsidRDefault="00A26952"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5,551,365</w:t>
            </w:r>
          </w:p>
        </w:tc>
      </w:tr>
      <w:tr w:rsidR="00A26952" w:rsidRPr="00C534A9" w:rsidTr="00D132E2">
        <w:trPr>
          <w:trHeight w:val="144"/>
          <w:jc w:val="center"/>
        </w:trPr>
        <w:tc>
          <w:tcPr>
            <w:tcW w:w="3808" w:type="dxa"/>
            <w:tcBorders>
              <w:top w:val="nil"/>
              <w:left w:val="nil"/>
              <w:bottom w:val="nil"/>
              <w:right w:val="nil"/>
            </w:tcBorders>
            <w:shd w:val="clear" w:color="000000" w:fill="FFFFFF"/>
            <w:noWrap/>
            <w:vAlign w:val="bottom"/>
          </w:tcPr>
          <w:p w:rsidR="00A26952" w:rsidRPr="00C534A9" w:rsidRDefault="00A26952"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Calorific Value LPG</w:t>
            </w:r>
          </w:p>
        </w:tc>
        <w:tc>
          <w:tcPr>
            <w:tcW w:w="1676" w:type="dxa"/>
            <w:tcBorders>
              <w:top w:val="nil"/>
              <w:left w:val="nil"/>
              <w:bottom w:val="nil"/>
              <w:right w:val="nil"/>
            </w:tcBorders>
            <w:shd w:val="clear" w:color="000000" w:fill="FFFFFF"/>
            <w:noWrap/>
            <w:vAlign w:val="bottom"/>
          </w:tcPr>
          <w:p w:rsidR="00A26952" w:rsidRPr="00C534A9" w:rsidRDefault="00A26952"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BTU/</w:t>
            </w:r>
            <w:proofErr w:type="spellStart"/>
            <w:r w:rsidRPr="00C534A9">
              <w:rPr>
                <w:rFonts w:ascii="Arial" w:eastAsia="Times New Roman" w:hAnsi="Arial" w:cs="Arial"/>
                <w:color w:val="auto"/>
                <w:sz w:val="22"/>
                <w:szCs w:val="24"/>
              </w:rPr>
              <w:t>lb</w:t>
            </w:r>
            <w:proofErr w:type="spellEnd"/>
          </w:p>
        </w:tc>
        <w:tc>
          <w:tcPr>
            <w:tcW w:w="1311" w:type="dxa"/>
            <w:tcBorders>
              <w:top w:val="nil"/>
              <w:left w:val="nil"/>
              <w:bottom w:val="nil"/>
              <w:right w:val="nil"/>
            </w:tcBorders>
            <w:shd w:val="clear" w:color="000000" w:fill="FFFFFF"/>
            <w:noWrap/>
            <w:vAlign w:val="bottom"/>
          </w:tcPr>
          <w:p w:rsidR="00A26952" w:rsidRPr="00C534A9" w:rsidRDefault="00A26952"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21,561</w:t>
            </w:r>
          </w:p>
        </w:tc>
      </w:tr>
      <w:tr w:rsidR="00A26952" w:rsidRPr="00C534A9" w:rsidTr="00D132E2">
        <w:trPr>
          <w:trHeight w:val="144"/>
          <w:jc w:val="center"/>
        </w:trPr>
        <w:tc>
          <w:tcPr>
            <w:tcW w:w="3808" w:type="dxa"/>
            <w:tcBorders>
              <w:top w:val="nil"/>
              <w:left w:val="nil"/>
              <w:bottom w:val="nil"/>
              <w:right w:val="nil"/>
            </w:tcBorders>
            <w:shd w:val="clear" w:color="000000" w:fill="FFFFFF"/>
            <w:noWrap/>
            <w:vAlign w:val="bottom"/>
          </w:tcPr>
          <w:p w:rsidR="00A26952" w:rsidRPr="00C534A9" w:rsidRDefault="00A26952"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Calorific Value NG</w:t>
            </w:r>
          </w:p>
        </w:tc>
        <w:tc>
          <w:tcPr>
            <w:tcW w:w="1676" w:type="dxa"/>
            <w:tcBorders>
              <w:top w:val="nil"/>
              <w:left w:val="nil"/>
              <w:bottom w:val="nil"/>
              <w:right w:val="nil"/>
            </w:tcBorders>
            <w:shd w:val="clear" w:color="000000" w:fill="FFFFFF"/>
            <w:noWrap/>
            <w:vAlign w:val="bottom"/>
          </w:tcPr>
          <w:p w:rsidR="00A26952" w:rsidRPr="00C534A9" w:rsidRDefault="00A26952"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BTU/ft^3</w:t>
            </w:r>
          </w:p>
        </w:tc>
        <w:tc>
          <w:tcPr>
            <w:tcW w:w="1311" w:type="dxa"/>
            <w:tcBorders>
              <w:top w:val="nil"/>
              <w:left w:val="nil"/>
              <w:bottom w:val="nil"/>
              <w:right w:val="nil"/>
            </w:tcBorders>
            <w:shd w:val="clear" w:color="000000" w:fill="FFFFFF"/>
            <w:noWrap/>
            <w:vAlign w:val="bottom"/>
          </w:tcPr>
          <w:p w:rsidR="00A26952" w:rsidRPr="00C534A9" w:rsidRDefault="00A26952"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1,050</w:t>
            </w:r>
          </w:p>
        </w:tc>
      </w:tr>
      <w:tr w:rsidR="00A26952" w:rsidRPr="00C534A9" w:rsidTr="00D132E2">
        <w:trPr>
          <w:trHeight w:val="144"/>
          <w:jc w:val="center"/>
        </w:trPr>
        <w:tc>
          <w:tcPr>
            <w:tcW w:w="3808" w:type="dxa"/>
            <w:tcBorders>
              <w:top w:val="nil"/>
              <w:left w:val="nil"/>
              <w:bottom w:val="nil"/>
              <w:right w:val="nil"/>
            </w:tcBorders>
            <w:shd w:val="clear" w:color="000000" w:fill="FFFFFF"/>
            <w:noWrap/>
            <w:vAlign w:val="bottom"/>
          </w:tcPr>
          <w:p w:rsidR="00A26952" w:rsidRPr="00C534A9" w:rsidRDefault="00A26952"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CO2 content - HFO</w:t>
            </w:r>
          </w:p>
        </w:tc>
        <w:tc>
          <w:tcPr>
            <w:tcW w:w="1676" w:type="dxa"/>
            <w:tcBorders>
              <w:top w:val="nil"/>
              <w:left w:val="nil"/>
              <w:bottom w:val="nil"/>
              <w:right w:val="nil"/>
            </w:tcBorders>
            <w:shd w:val="clear" w:color="000000" w:fill="FFFFFF"/>
            <w:noWrap/>
            <w:vAlign w:val="bottom"/>
          </w:tcPr>
          <w:p w:rsidR="00A26952" w:rsidRPr="00C534A9" w:rsidRDefault="00A26952" w:rsidP="00C534A9">
            <w:pPr>
              <w:spacing w:after="0" w:line="240" w:lineRule="auto"/>
              <w:jc w:val="both"/>
              <w:rPr>
                <w:rFonts w:ascii="Arial" w:eastAsia="Times New Roman" w:hAnsi="Arial" w:cs="Arial"/>
                <w:color w:val="auto"/>
                <w:sz w:val="22"/>
                <w:szCs w:val="24"/>
              </w:rPr>
            </w:pPr>
            <w:proofErr w:type="spellStart"/>
            <w:r w:rsidRPr="00C534A9">
              <w:rPr>
                <w:rFonts w:ascii="Arial" w:eastAsia="Times New Roman" w:hAnsi="Arial" w:cs="Arial"/>
                <w:color w:val="auto"/>
                <w:sz w:val="22"/>
                <w:szCs w:val="24"/>
              </w:rPr>
              <w:t>lbs</w:t>
            </w:r>
            <w:proofErr w:type="spellEnd"/>
            <w:r w:rsidRPr="00C534A9">
              <w:rPr>
                <w:rFonts w:ascii="Arial" w:eastAsia="Times New Roman" w:hAnsi="Arial" w:cs="Arial"/>
                <w:color w:val="auto"/>
                <w:sz w:val="22"/>
                <w:szCs w:val="24"/>
              </w:rPr>
              <w:t xml:space="preserve"> / </w:t>
            </w:r>
            <w:proofErr w:type="spellStart"/>
            <w:r w:rsidRPr="00C534A9">
              <w:rPr>
                <w:rFonts w:ascii="Arial" w:eastAsia="Times New Roman" w:hAnsi="Arial" w:cs="Arial"/>
                <w:color w:val="auto"/>
                <w:sz w:val="22"/>
                <w:szCs w:val="24"/>
              </w:rPr>
              <w:t>MMBtu</w:t>
            </w:r>
            <w:proofErr w:type="spellEnd"/>
          </w:p>
        </w:tc>
        <w:tc>
          <w:tcPr>
            <w:tcW w:w="1311" w:type="dxa"/>
            <w:tcBorders>
              <w:top w:val="nil"/>
              <w:left w:val="nil"/>
              <w:bottom w:val="nil"/>
              <w:right w:val="nil"/>
            </w:tcBorders>
            <w:shd w:val="clear" w:color="000000" w:fill="FFFFFF"/>
            <w:noWrap/>
            <w:vAlign w:val="bottom"/>
          </w:tcPr>
          <w:p w:rsidR="00A26952" w:rsidRPr="00C534A9" w:rsidRDefault="00A26952"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174</w:t>
            </w:r>
          </w:p>
        </w:tc>
      </w:tr>
      <w:tr w:rsidR="00A26952" w:rsidRPr="00C534A9" w:rsidTr="00D132E2">
        <w:trPr>
          <w:trHeight w:val="144"/>
          <w:jc w:val="center"/>
        </w:trPr>
        <w:tc>
          <w:tcPr>
            <w:tcW w:w="3808" w:type="dxa"/>
            <w:tcBorders>
              <w:top w:val="nil"/>
              <w:left w:val="nil"/>
              <w:bottom w:val="nil"/>
              <w:right w:val="nil"/>
            </w:tcBorders>
            <w:shd w:val="clear" w:color="000000" w:fill="FFFFFF"/>
            <w:noWrap/>
            <w:vAlign w:val="bottom"/>
          </w:tcPr>
          <w:p w:rsidR="00A26952" w:rsidRPr="00C534A9" w:rsidRDefault="00A26952"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CO2 content - Diesel</w:t>
            </w:r>
          </w:p>
        </w:tc>
        <w:tc>
          <w:tcPr>
            <w:tcW w:w="1676" w:type="dxa"/>
            <w:tcBorders>
              <w:top w:val="nil"/>
              <w:left w:val="nil"/>
              <w:bottom w:val="nil"/>
              <w:right w:val="nil"/>
            </w:tcBorders>
            <w:shd w:val="clear" w:color="000000" w:fill="FFFFFF"/>
            <w:noWrap/>
            <w:vAlign w:val="bottom"/>
          </w:tcPr>
          <w:p w:rsidR="00A26952" w:rsidRPr="00C534A9" w:rsidRDefault="00A26952" w:rsidP="00C534A9">
            <w:pPr>
              <w:spacing w:after="0" w:line="240" w:lineRule="auto"/>
              <w:jc w:val="both"/>
              <w:rPr>
                <w:rFonts w:ascii="Arial" w:eastAsia="Times New Roman" w:hAnsi="Arial" w:cs="Arial"/>
                <w:color w:val="auto"/>
                <w:sz w:val="22"/>
                <w:szCs w:val="24"/>
              </w:rPr>
            </w:pPr>
            <w:proofErr w:type="spellStart"/>
            <w:r w:rsidRPr="00C534A9">
              <w:rPr>
                <w:rFonts w:ascii="Arial" w:eastAsia="Times New Roman" w:hAnsi="Arial" w:cs="Arial"/>
                <w:color w:val="auto"/>
                <w:sz w:val="22"/>
                <w:szCs w:val="24"/>
              </w:rPr>
              <w:t>lbs</w:t>
            </w:r>
            <w:proofErr w:type="spellEnd"/>
            <w:r w:rsidRPr="00C534A9">
              <w:rPr>
                <w:rFonts w:ascii="Arial" w:eastAsia="Times New Roman" w:hAnsi="Arial" w:cs="Arial"/>
                <w:color w:val="auto"/>
                <w:sz w:val="22"/>
                <w:szCs w:val="24"/>
              </w:rPr>
              <w:t xml:space="preserve"> / </w:t>
            </w:r>
            <w:proofErr w:type="spellStart"/>
            <w:r w:rsidRPr="00C534A9">
              <w:rPr>
                <w:rFonts w:ascii="Arial" w:eastAsia="Times New Roman" w:hAnsi="Arial" w:cs="Arial"/>
                <w:color w:val="auto"/>
                <w:sz w:val="22"/>
                <w:szCs w:val="24"/>
              </w:rPr>
              <w:t>MMBtu</w:t>
            </w:r>
            <w:proofErr w:type="spellEnd"/>
          </w:p>
        </w:tc>
        <w:tc>
          <w:tcPr>
            <w:tcW w:w="1311" w:type="dxa"/>
            <w:tcBorders>
              <w:top w:val="nil"/>
              <w:left w:val="nil"/>
              <w:bottom w:val="nil"/>
              <w:right w:val="nil"/>
            </w:tcBorders>
            <w:shd w:val="clear" w:color="000000" w:fill="FFFFFF"/>
            <w:noWrap/>
            <w:vAlign w:val="bottom"/>
          </w:tcPr>
          <w:p w:rsidR="00A26952" w:rsidRPr="00C534A9" w:rsidRDefault="00A26952"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161</w:t>
            </w:r>
          </w:p>
        </w:tc>
      </w:tr>
      <w:tr w:rsidR="00A26952" w:rsidRPr="00C534A9" w:rsidTr="00D132E2">
        <w:trPr>
          <w:trHeight w:val="144"/>
          <w:jc w:val="center"/>
        </w:trPr>
        <w:tc>
          <w:tcPr>
            <w:tcW w:w="3808" w:type="dxa"/>
            <w:tcBorders>
              <w:top w:val="nil"/>
              <w:left w:val="nil"/>
              <w:bottom w:val="nil"/>
              <w:right w:val="nil"/>
            </w:tcBorders>
            <w:shd w:val="clear" w:color="000000" w:fill="FFFFFF"/>
            <w:noWrap/>
            <w:vAlign w:val="bottom"/>
          </w:tcPr>
          <w:p w:rsidR="00A26952" w:rsidRPr="00C534A9" w:rsidRDefault="00A26952"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CO2 content - LPG</w:t>
            </w:r>
          </w:p>
        </w:tc>
        <w:tc>
          <w:tcPr>
            <w:tcW w:w="1676" w:type="dxa"/>
            <w:tcBorders>
              <w:top w:val="nil"/>
              <w:left w:val="nil"/>
              <w:bottom w:val="nil"/>
              <w:right w:val="nil"/>
            </w:tcBorders>
            <w:shd w:val="clear" w:color="000000" w:fill="FFFFFF"/>
            <w:noWrap/>
            <w:vAlign w:val="bottom"/>
          </w:tcPr>
          <w:p w:rsidR="00A26952" w:rsidRPr="00C534A9" w:rsidRDefault="00A26952" w:rsidP="00C534A9">
            <w:pPr>
              <w:spacing w:after="0" w:line="240" w:lineRule="auto"/>
              <w:jc w:val="both"/>
              <w:rPr>
                <w:rFonts w:ascii="Arial" w:eastAsia="Times New Roman" w:hAnsi="Arial" w:cs="Arial"/>
                <w:color w:val="auto"/>
                <w:sz w:val="22"/>
                <w:szCs w:val="24"/>
              </w:rPr>
            </w:pPr>
            <w:proofErr w:type="spellStart"/>
            <w:r w:rsidRPr="00C534A9">
              <w:rPr>
                <w:rFonts w:ascii="Arial" w:eastAsia="Times New Roman" w:hAnsi="Arial" w:cs="Arial"/>
                <w:color w:val="auto"/>
                <w:sz w:val="22"/>
                <w:szCs w:val="24"/>
              </w:rPr>
              <w:t>lbs</w:t>
            </w:r>
            <w:proofErr w:type="spellEnd"/>
            <w:r w:rsidRPr="00C534A9">
              <w:rPr>
                <w:rFonts w:ascii="Arial" w:eastAsia="Times New Roman" w:hAnsi="Arial" w:cs="Arial"/>
                <w:color w:val="auto"/>
                <w:sz w:val="22"/>
                <w:szCs w:val="24"/>
              </w:rPr>
              <w:t xml:space="preserve"> / </w:t>
            </w:r>
            <w:proofErr w:type="spellStart"/>
            <w:r w:rsidRPr="00C534A9">
              <w:rPr>
                <w:rFonts w:ascii="Arial" w:eastAsia="Times New Roman" w:hAnsi="Arial" w:cs="Arial"/>
                <w:color w:val="auto"/>
                <w:sz w:val="22"/>
                <w:szCs w:val="24"/>
              </w:rPr>
              <w:t>MMBtu</w:t>
            </w:r>
            <w:proofErr w:type="spellEnd"/>
          </w:p>
        </w:tc>
        <w:tc>
          <w:tcPr>
            <w:tcW w:w="1311" w:type="dxa"/>
            <w:tcBorders>
              <w:top w:val="nil"/>
              <w:left w:val="nil"/>
              <w:bottom w:val="nil"/>
              <w:right w:val="nil"/>
            </w:tcBorders>
            <w:shd w:val="clear" w:color="000000" w:fill="FFFFFF"/>
            <w:noWrap/>
            <w:vAlign w:val="bottom"/>
          </w:tcPr>
          <w:p w:rsidR="00A26952" w:rsidRPr="00C534A9" w:rsidRDefault="00A26952"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150</w:t>
            </w:r>
          </w:p>
        </w:tc>
      </w:tr>
      <w:tr w:rsidR="00A26952" w:rsidRPr="00C534A9" w:rsidTr="00D132E2">
        <w:trPr>
          <w:trHeight w:val="144"/>
          <w:jc w:val="center"/>
        </w:trPr>
        <w:tc>
          <w:tcPr>
            <w:tcW w:w="3808" w:type="dxa"/>
            <w:tcBorders>
              <w:top w:val="nil"/>
              <w:left w:val="nil"/>
              <w:bottom w:val="nil"/>
              <w:right w:val="nil"/>
            </w:tcBorders>
            <w:shd w:val="clear" w:color="000000" w:fill="FFFFFF"/>
            <w:noWrap/>
            <w:vAlign w:val="bottom"/>
          </w:tcPr>
          <w:p w:rsidR="00A26952" w:rsidRPr="00C534A9" w:rsidRDefault="00A26952"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CO2 content - NG</w:t>
            </w:r>
          </w:p>
        </w:tc>
        <w:tc>
          <w:tcPr>
            <w:tcW w:w="1676" w:type="dxa"/>
            <w:tcBorders>
              <w:top w:val="nil"/>
              <w:left w:val="nil"/>
              <w:bottom w:val="nil"/>
              <w:right w:val="nil"/>
            </w:tcBorders>
            <w:shd w:val="clear" w:color="000000" w:fill="FFFFFF"/>
            <w:noWrap/>
            <w:vAlign w:val="bottom"/>
          </w:tcPr>
          <w:p w:rsidR="00A26952" w:rsidRPr="00C534A9" w:rsidRDefault="00A26952" w:rsidP="00C534A9">
            <w:pPr>
              <w:spacing w:after="0" w:line="240" w:lineRule="auto"/>
              <w:jc w:val="both"/>
              <w:rPr>
                <w:rFonts w:ascii="Arial" w:eastAsia="Times New Roman" w:hAnsi="Arial" w:cs="Arial"/>
                <w:color w:val="auto"/>
                <w:sz w:val="22"/>
                <w:szCs w:val="24"/>
              </w:rPr>
            </w:pPr>
            <w:proofErr w:type="spellStart"/>
            <w:r w:rsidRPr="00C534A9">
              <w:rPr>
                <w:rFonts w:ascii="Arial" w:eastAsia="Times New Roman" w:hAnsi="Arial" w:cs="Arial"/>
                <w:color w:val="auto"/>
                <w:sz w:val="22"/>
                <w:szCs w:val="24"/>
              </w:rPr>
              <w:t>lbs</w:t>
            </w:r>
            <w:proofErr w:type="spellEnd"/>
            <w:r w:rsidRPr="00C534A9">
              <w:rPr>
                <w:rFonts w:ascii="Arial" w:eastAsia="Times New Roman" w:hAnsi="Arial" w:cs="Arial"/>
                <w:color w:val="auto"/>
                <w:sz w:val="22"/>
                <w:szCs w:val="24"/>
              </w:rPr>
              <w:t xml:space="preserve"> / </w:t>
            </w:r>
            <w:proofErr w:type="spellStart"/>
            <w:r w:rsidRPr="00C534A9">
              <w:rPr>
                <w:rFonts w:ascii="Arial" w:eastAsia="Times New Roman" w:hAnsi="Arial" w:cs="Arial"/>
                <w:color w:val="auto"/>
                <w:sz w:val="22"/>
                <w:szCs w:val="24"/>
              </w:rPr>
              <w:t>MMBtu</w:t>
            </w:r>
            <w:proofErr w:type="spellEnd"/>
          </w:p>
        </w:tc>
        <w:tc>
          <w:tcPr>
            <w:tcW w:w="1311" w:type="dxa"/>
            <w:tcBorders>
              <w:top w:val="nil"/>
              <w:left w:val="nil"/>
              <w:bottom w:val="nil"/>
              <w:right w:val="nil"/>
            </w:tcBorders>
            <w:shd w:val="clear" w:color="000000" w:fill="FFFFFF"/>
            <w:noWrap/>
            <w:vAlign w:val="bottom"/>
          </w:tcPr>
          <w:p w:rsidR="00A26952" w:rsidRPr="00C534A9" w:rsidRDefault="00A26952"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117</w:t>
            </w:r>
          </w:p>
        </w:tc>
      </w:tr>
      <w:tr w:rsidR="00791234" w:rsidRPr="00C534A9" w:rsidTr="00D132E2">
        <w:trPr>
          <w:trHeight w:val="144"/>
          <w:jc w:val="center"/>
        </w:trPr>
        <w:tc>
          <w:tcPr>
            <w:tcW w:w="3808"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ind w:firstLineChars="100" w:firstLine="220"/>
              <w:jc w:val="both"/>
              <w:rPr>
                <w:rFonts w:ascii="Arial" w:eastAsia="Times New Roman" w:hAnsi="Arial" w:cs="Arial"/>
                <w:color w:val="auto"/>
                <w:sz w:val="22"/>
                <w:szCs w:val="24"/>
              </w:rPr>
            </w:pPr>
            <w:r w:rsidRPr="00C534A9">
              <w:rPr>
                <w:rFonts w:ascii="Arial" w:eastAsia="Times New Roman" w:hAnsi="Arial" w:cs="Arial"/>
                <w:color w:val="auto"/>
                <w:sz w:val="22"/>
                <w:szCs w:val="24"/>
              </w:rPr>
              <w:t> </w:t>
            </w:r>
          </w:p>
        </w:tc>
        <w:tc>
          <w:tcPr>
            <w:tcW w:w="1676"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w:t>
            </w:r>
          </w:p>
        </w:tc>
        <w:tc>
          <w:tcPr>
            <w:tcW w:w="1311"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w:t>
            </w:r>
          </w:p>
        </w:tc>
      </w:tr>
      <w:tr w:rsidR="00791234" w:rsidRPr="00C534A9" w:rsidTr="00D132E2">
        <w:trPr>
          <w:trHeight w:val="144"/>
          <w:jc w:val="center"/>
        </w:trPr>
        <w:tc>
          <w:tcPr>
            <w:tcW w:w="3808"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b/>
                <w:bCs/>
                <w:color w:val="auto"/>
                <w:sz w:val="22"/>
                <w:szCs w:val="24"/>
                <w:u w:val="single"/>
              </w:rPr>
            </w:pPr>
            <w:r w:rsidRPr="00C534A9">
              <w:rPr>
                <w:rFonts w:ascii="Arial" w:eastAsia="Times New Roman" w:hAnsi="Arial" w:cs="Arial"/>
                <w:b/>
                <w:bCs/>
                <w:color w:val="auto"/>
                <w:sz w:val="22"/>
                <w:szCs w:val="24"/>
                <w:u w:val="single"/>
              </w:rPr>
              <w:t>Heat rate by plant type</w:t>
            </w:r>
          </w:p>
        </w:tc>
        <w:tc>
          <w:tcPr>
            <w:tcW w:w="1676"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w:t>
            </w:r>
          </w:p>
        </w:tc>
        <w:tc>
          <w:tcPr>
            <w:tcW w:w="1311"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w:t>
            </w:r>
          </w:p>
        </w:tc>
      </w:tr>
      <w:tr w:rsidR="00791234" w:rsidRPr="00C534A9" w:rsidTr="00D132E2">
        <w:trPr>
          <w:trHeight w:val="144"/>
          <w:jc w:val="center"/>
        </w:trPr>
        <w:tc>
          <w:tcPr>
            <w:tcW w:w="3808"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Low Speed Diesel, HFO (existing)</w:t>
            </w:r>
          </w:p>
        </w:tc>
        <w:tc>
          <w:tcPr>
            <w:tcW w:w="1676"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Btu/kWh</w:t>
            </w:r>
          </w:p>
        </w:tc>
        <w:tc>
          <w:tcPr>
            <w:tcW w:w="1311"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xml:space="preserve">         7,835 </w:t>
            </w:r>
          </w:p>
        </w:tc>
      </w:tr>
      <w:tr w:rsidR="00791234" w:rsidRPr="00C534A9" w:rsidTr="00D132E2">
        <w:trPr>
          <w:trHeight w:val="144"/>
          <w:jc w:val="center"/>
        </w:trPr>
        <w:tc>
          <w:tcPr>
            <w:tcW w:w="3808"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Solar</w:t>
            </w:r>
          </w:p>
        </w:tc>
        <w:tc>
          <w:tcPr>
            <w:tcW w:w="1676"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Btu/kWh</w:t>
            </w:r>
          </w:p>
        </w:tc>
        <w:tc>
          <w:tcPr>
            <w:tcW w:w="1311"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xml:space="preserve">                -   </w:t>
            </w:r>
          </w:p>
        </w:tc>
      </w:tr>
      <w:tr w:rsidR="00791234" w:rsidRPr="00C534A9" w:rsidTr="00D132E2">
        <w:trPr>
          <w:trHeight w:val="144"/>
          <w:jc w:val="center"/>
        </w:trPr>
        <w:tc>
          <w:tcPr>
            <w:tcW w:w="3808"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Wind</w:t>
            </w:r>
          </w:p>
        </w:tc>
        <w:tc>
          <w:tcPr>
            <w:tcW w:w="1676"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Btu/kWh</w:t>
            </w:r>
          </w:p>
        </w:tc>
        <w:tc>
          <w:tcPr>
            <w:tcW w:w="1311"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xml:space="preserve">                 -   </w:t>
            </w:r>
          </w:p>
        </w:tc>
      </w:tr>
      <w:tr w:rsidR="00791234" w:rsidRPr="00C534A9" w:rsidTr="00D132E2">
        <w:trPr>
          <w:trHeight w:val="144"/>
          <w:jc w:val="center"/>
        </w:trPr>
        <w:tc>
          <w:tcPr>
            <w:tcW w:w="3808" w:type="dxa"/>
            <w:tcBorders>
              <w:top w:val="nil"/>
              <w:left w:val="nil"/>
              <w:bottom w:val="nil"/>
              <w:right w:val="nil"/>
            </w:tcBorders>
            <w:shd w:val="clear" w:color="000000" w:fill="FFFFFF"/>
            <w:noWrap/>
            <w:vAlign w:val="bottom"/>
            <w:hideMark/>
          </w:tcPr>
          <w:p w:rsidR="00791234" w:rsidRPr="00C534A9" w:rsidRDefault="00A26952"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Lo</w:t>
            </w:r>
            <w:r w:rsidR="00791234" w:rsidRPr="00C534A9">
              <w:rPr>
                <w:rFonts w:ascii="Arial" w:eastAsia="Times New Roman" w:hAnsi="Arial" w:cs="Arial"/>
                <w:color w:val="auto"/>
                <w:sz w:val="22"/>
                <w:szCs w:val="24"/>
              </w:rPr>
              <w:t>w Speed Diesel, NG</w:t>
            </w:r>
          </w:p>
        </w:tc>
        <w:tc>
          <w:tcPr>
            <w:tcW w:w="1676"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Btu/kWh</w:t>
            </w:r>
          </w:p>
        </w:tc>
        <w:tc>
          <w:tcPr>
            <w:tcW w:w="1311"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xml:space="preserve">         7,344 </w:t>
            </w:r>
          </w:p>
        </w:tc>
      </w:tr>
      <w:tr w:rsidR="00791234" w:rsidRPr="00C534A9" w:rsidTr="00D132E2">
        <w:trPr>
          <w:trHeight w:val="144"/>
          <w:jc w:val="center"/>
        </w:trPr>
        <w:tc>
          <w:tcPr>
            <w:tcW w:w="3808"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ind w:firstLineChars="100" w:firstLine="220"/>
              <w:jc w:val="both"/>
              <w:rPr>
                <w:rFonts w:ascii="Arial" w:eastAsia="Times New Roman" w:hAnsi="Arial" w:cs="Arial"/>
                <w:color w:val="auto"/>
                <w:sz w:val="22"/>
                <w:szCs w:val="24"/>
              </w:rPr>
            </w:pPr>
            <w:r w:rsidRPr="00C534A9">
              <w:rPr>
                <w:rFonts w:ascii="Arial" w:eastAsia="Times New Roman" w:hAnsi="Arial" w:cs="Arial"/>
                <w:color w:val="auto"/>
                <w:sz w:val="22"/>
                <w:szCs w:val="24"/>
              </w:rPr>
              <w:t> </w:t>
            </w:r>
          </w:p>
        </w:tc>
        <w:tc>
          <w:tcPr>
            <w:tcW w:w="1676"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w:t>
            </w:r>
          </w:p>
        </w:tc>
        <w:tc>
          <w:tcPr>
            <w:tcW w:w="1311"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w:t>
            </w:r>
          </w:p>
        </w:tc>
      </w:tr>
      <w:tr w:rsidR="00791234" w:rsidRPr="00C534A9" w:rsidTr="00D132E2">
        <w:trPr>
          <w:trHeight w:val="144"/>
          <w:jc w:val="center"/>
        </w:trPr>
        <w:tc>
          <w:tcPr>
            <w:tcW w:w="5484" w:type="dxa"/>
            <w:gridSpan w:val="2"/>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b/>
                <w:bCs/>
                <w:color w:val="auto"/>
                <w:sz w:val="22"/>
                <w:szCs w:val="24"/>
                <w:u w:val="single"/>
              </w:rPr>
            </w:pPr>
            <w:r w:rsidRPr="00C534A9">
              <w:rPr>
                <w:rFonts w:ascii="Arial" w:eastAsia="Times New Roman" w:hAnsi="Arial" w:cs="Arial"/>
                <w:b/>
                <w:bCs/>
                <w:color w:val="auto"/>
                <w:sz w:val="22"/>
                <w:szCs w:val="24"/>
                <w:u w:val="single"/>
              </w:rPr>
              <w:t>O&amp;M Cost (Fixed &amp; Variable) by plant type</w:t>
            </w:r>
          </w:p>
        </w:tc>
        <w:tc>
          <w:tcPr>
            <w:tcW w:w="1311"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 </w:t>
            </w:r>
          </w:p>
        </w:tc>
      </w:tr>
      <w:tr w:rsidR="00791234" w:rsidRPr="00C534A9" w:rsidTr="00D132E2">
        <w:trPr>
          <w:trHeight w:val="144"/>
          <w:jc w:val="center"/>
        </w:trPr>
        <w:tc>
          <w:tcPr>
            <w:tcW w:w="3808"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Low Speed Diesel, HFO (existing)</w:t>
            </w:r>
          </w:p>
        </w:tc>
        <w:tc>
          <w:tcPr>
            <w:tcW w:w="1676"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US$/kWh</w:t>
            </w:r>
          </w:p>
        </w:tc>
        <w:tc>
          <w:tcPr>
            <w:tcW w:w="1311"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0.02</w:t>
            </w:r>
          </w:p>
        </w:tc>
      </w:tr>
      <w:tr w:rsidR="00791234" w:rsidRPr="00C534A9" w:rsidTr="00D132E2">
        <w:trPr>
          <w:trHeight w:val="144"/>
          <w:jc w:val="center"/>
        </w:trPr>
        <w:tc>
          <w:tcPr>
            <w:tcW w:w="3808"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Solar</w:t>
            </w:r>
          </w:p>
        </w:tc>
        <w:tc>
          <w:tcPr>
            <w:tcW w:w="1676"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US$/kW/year</w:t>
            </w:r>
          </w:p>
        </w:tc>
        <w:tc>
          <w:tcPr>
            <w:tcW w:w="1311"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30.00</w:t>
            </w:r>
          </w:p>
        </w:tc>
      </w:tr>
      <w:tr w:rsidR="00791234" w:rsidRPr="00C534A9" w:rsidTr="00D132E2">
        <w:trPr>
          <w:trHeight w:val="144"/>
          <w:jc w:val="center"/>
        </w:trPr>
        <w:tc>
          <w:tcPr>
            <w:tcW w:w="3808"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Wind</w:t>
            </w:r>
          </w:p>
        </w:tc>
        <w:tc>
          <w:tcPr>
            <w:tcW w:w="1676"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US$/kW/year</w:t>
            </w:r>
          </w:p>
        </w:tc>
        <w:tc>
          <w:tcPr>
            <w:tcW w:w="1311"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46.00</w:t>
            </w:r>
          </w:p>
        </w:tc>
      </w:tr>
      <w:tr w:rsidR="00791234" w:rsidRPr="00C534A9" w:rsidTr="00D132E2">
        <w:trPr>
          <w:trHeight w:val="144"/>
          <w:jc w:val="center"/>
        </w:trPr>
        <w:tc>
          <w:tcPr>
            <w:tcW w:w="3808"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Low Speed Diesel, NG</w:t>
            </w:r>
          </w:p>
        </w:tc>
        <w:tc>
          <w:tcPr>
            <w:tcW w:w="1676"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US$/kWh</w:t>
            </w:r>
          </w:p>
        </w:tc>
        <w:tc>
          <w:tcPr>
            <w:tcW w:w="1311"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22"/>
                <w:szCs w:val="24"/>
              </w:rPr>
            </w:pPr>
            <w:r w:rsidRPr="00C534A9">
              <w:rPr>
                <w:rFonts w:ascii="Arial" w:eastAsia="Times New Roman" w:hAnsi="Arial" w:cs="Arial"/>
                <w:color w:val="auto"/>
                <w:sz w:val="22"/>
                <w:szCs w:val="24"/>
              </w:rPr>
              <w:t>0.01</w:t>
            </w:r>
          </w:p>
        </w:tc>
      </w:tr>
    </w:tbl>
    <w:p w:rsidR="006940A1" w:rsidRPr="00C534A9" w:rsidRDefault="006940A1" w:rsidP="00C534A9">
      <w:pPr>
        <w:pStyle w:val="Source"/>
        <w:jc w:val="both"/>
        <w:rPr>
          <w:rFonts w:ascii="Arial" w:hAnsi="Arial" w:cs="Arial"/>
          <w:sz w:val="18"/>
        </w:rPr>
      </w:pPr>
    </w:p>
    <w:p w:rsidR="006940A1" w:rsidRPr="00C534A9" w:rsidRDefault="00734D40" w:rsidP="00C534A9">
      <w:pPr>
        <w:jc w:val="both"/>
        <w:rPr>
          <w:rFonts w:ascii="Arial" w:hAnsi="Arial" w:cs="Arial"/>
          <w:sz w:val="22"/>
        </w:rPr>
      </w:pPr>
      <w:r w:rsidRPr="00C534A9">
        <w:rPr>
          <w:rFonts w:ascii="Arial" w:hAnsi="Arial" w:cs="Arial"/>
          <w:sz w:val="22"/>
        </w:rPr>
        <w:t>A</w:t>
      </w:r>
      <w:r w:rsidR="006940A1" w:rsidRPr="00C534A9">
        <w:rPr>
          <w:rFonts w:ascii="Arial" w:hAnsi="Arial" w:cs="Arial"/>
          <w:sz w:val="22"/>
        </w:rPr>
        <w:t>ssumption</w:t>
      </w:r>
      <w:r w:rsidRPr="00C534A9">
        <w:rPr>
          <w:rFonts w:ascii="Arial" w:hAnsi="Arial" w:cs="Arial"/>
          <w:sz w:val="22"/>
        </w:rPr>
        <w:t>s</w:t>
      </w:r>
      <w:r w:rsidR="006940A1" w:rsidRPr="00C534A9">
        <w:rPr>
          <w:rFonts w:ascii="Arial" w:hAnsi="Arial" w:cs="Arial"/>
          <w:sz w:val="22"/>
        </w:rPr>
        <w:t xml:space="preserve"> for the avoided cost of fuel oil generation </w:t>
      </w:r>
      <w:r w:rsidRPr="00C534A9">
        <w:rPr>
          <w:rFonts w:ascii="Arial" w:hAnsi="Arial" w:cs="Arial"/>
          <w:sz w:val="22"/>
        </w:rPr>
        <w:t>are</w:t>
      </w:r>
      <w:r w:rsidR="006940A1" w:rsidRPr="00C534A9">
        <w:rPr>
          <w:rFonts w:ascii="Arial" w:hAnsi="Arial" w:cs="Arial"/>
          <w:sz w:val="22"/>
        </w:rPr>
        <w:t xml:space="preserve"> based on the capital, operating, and maintenance costs of </w:t>
      </w:r>
      <w:r w:rsidR="00CB0656" w:rsidRPr="00C534A9">
        <w:rPr>
          <w:rFonts w:ascii="Arial" w:hAnsi="Arial" w:cs="Arial"/>
          <w:sz w:val="22"/>
        </w:rPr>
        <w:t>a diesel generator</w:t>
      </w:r>
      <w:r w:rsidR="006940A1" w:rsidRPr="00C534A9">
        <w:rPr>
          <w:rFonts w:ascii="Arial" w:hAnsi="Arial" w:cs="Arial"/>
          <w:sz w:val="22"/>
        </w:rPr>
        <w:t xml:space="preserve"> in </w:t>
      </w:r>
      <w:r w:rsidR="00C16F12" w:rsidRPr="00C534A9">
        <w:rPr>
          <w:rFonts w:ascii="Arial" w:hAnsi="Arial" w:cs="Arial"/>
          <w:sz w:val="22"/>
        </w:rPr>
        <w:t>Barbados</w:t>
      </w:r>
      <w:r w:rsidR="006940A1" w:rsidRPr="00C534A9">
        <w:rPr>
          <w:rFonts w:ascii="Arial" w:hAnsi="Arial" w:cs="Arial"/>
          <w:sz w:val="22"/>
        </w:rPr>
        <w:t>. The avoided cost of fuel</w:t>
      </w:r>
      <w:r w:rsidR="00CB0656" w:rsidRPr="00C534A9">
        <w:rPr>
          <w:rFonts w:ascii="Arial" w:hAnsi="Arial" w:cs="Arial"/>
          <w:sz w:val="22"/>
        </w:rPr>
        <w:t xml:space="preserve"> oil-fired</w:t>
      </w:r>
      <w:r w:rsidR="006940A1" w:rsidRPr="00C534A9">
        <w:rPr>
          <w:rFonts w:ascii="Arial" w:hAnsi="Arial" w:cs="Arial"/>
          <w:sz w:val="22"/>
        </w:rPr>
        <w:t xml:space="preserve"> generation is also based</w:t>
      </w:r>
      <w:r w:rsidR="00C16F12" w:rsidRPr="00C534A9">
        <w:rPr>
          <w:rFonts w:ascii="Arial" w:hAnsi="Arial" w:cs="Arial"/>
          <w:sz w:val="22"/>
        </w:rPr>
        <w:t xml:space="preserve"> on the EIA’s </w:t>
      </w:r>
      <w:r w:rsidR="00D67CE0" w:rsidRPr="00C534A9">
        <w:rPr>
          <w:rFonts w:ascii="Arial" w:hAnsi="Arial" w:cs="Arial"/>
          <w:sz w:val="22"/>
        </w:rPr>
        <w:t>2015</w:t>
      </w:r>
      <w:r w:rsidR="006940A1" w:rsidRPr="00C534A9">
        <w:rPr>
          <w:rFonts w:ascii="Arial" w:hAnsi="Arial" w:cs="Arial"/>
          <w:sz w:val="22"/>
        </w:rPr>
        <w:t xml:space="preserve"> yearly oil price projections. The 12 percent discount rate is in line with the IDB CBA guidelines.</w:t>
      </w:r>
    </w:p>
    <w:p w:rsidR="006940A1" w:rsidRPr="00C534A9" w:rsidRDefault="006940A1" w:rsidP="00C534A9">
      <w:pPr>
        <w:pStyle w:val="Heading2"/>
        <w:jc w:val="both"/>
        <w:rPr>
          <w:rFonts w:ascii="Arial" w:hAnsi="Arial" w:cs="Arial"/>
          <w:sz w:val="24"/>
        </w:rPr>
      </w:pPr>
      <w:bookmarkStart w:id="126" w:name="_Toc464551525"/>
      <w:r w:rsidRPr="00C534A9">
        <w:rPr>
          <w:rFonts w:ascii="Arial" w:hAnsi="Arial" w:cs="Arial"/>
          <w:sz w:val="24"/>
        </w:rPr>
        <w:t xml:space="preserve">Economic Costs, Economic Benefits, and Net Economic Benefits of </w:t>
      </w:r>
      <w:r w:rsidR="00C16F12" w:rsidRPr="00C534A9">
        <w:rPr>
          <w:rFonts w:ascii="Arial" w:hAnsi="Arial" w:cs="Arial"/>
          <w:sz w:val="24"/>
        </w:rPr>
        <w:t>the VS LNG terminal</w:t>
      </w:r>
      <w:bookmarkEnd w:id="126"/>
    </w:p>
    <w:p w:rsidR="006940A1" w:rsidRPr="00C534A9" w:rsidRDefault="006940A1" w:rsidP="00C534A9">
      <w:pPr>
        <w:jc w:val="both"/>
        <w:rPr>
          <w:rFonts w:ascii="Arial" w:hAnsi="Arial" w:cs="Arial"/>
          <w:sz w:val="22"/>
        </w:rPr>
      </w:pPr>
      <w:r w:rsidRPr="00C534A9">
        <w:rPr>
          <w:rFonts w:ascii="Arial" w:hAnsi="Arial" w:cs="Arial"/>
          <w:sz w:val="22"/>
        </w:rPr>
        <w:t xml:space="preserve">This section presents the results of the CBA. When aggregating the economic cost and benefits of </w:t>
      </w:r>
      <w:r w:rsidR="00C16F12" w:rsidRPr="00C534A9">
        <w:rPr>
          <w:rFonts w:ascii="Arial" w:hAnsi="Arial" w:cs="Arial"/>
          <w:sz w:val="22"/>
        </w:rPr>
        <w:t>the VS LNG terminal</w:t>
      </w:r>
      <w:r w:rsidRPr="00C534A9">
        <w:rPr>
          <w:rFonts w:ascii="Arial" w:hAnsi="Arial" w:cs="Arial"/>
          <w:sz w:val="22"/>
        </w:rPr>
        <w:t xml:space="preserve">, the aggregated net benefits </w:t>
      </w:r>
      <w:r w:rsidR="00957ACC" w:rsidRPr="00C534A9">
        <w:rPr>
          <w:rFonts w:ascii="Arial" w:hAnsi="Arial" w:cs="Arial"/>
          <w:sz w:val="22"/>
        </w:rPr>
        <w:t xml:space="preserve">were found to be </w:t>
      </w:r>
      <w:r w:rsidRPr="00C534A9">
        <w:rPr>
          <w:rFonts w:ascii="Arial" w:hAnsi="Arial" w:cs="Arial"/>
          <w:sz w:val="22"/>
        </w:rPr>
        <w:t xml:space="preserve">positive. That means that </w:t>
      </w:r>
      <w:r w:rsidR="00C16F12" w:rsidRPr="00C534A9">
        <w:rPr>
          <w:rFonts w:ascii="Arial" w:hAnsi="Arial" w:cs="Arial"/>
          <w:sz w:val="22"/>
        </w:rPr>
        <w:t>the VS LNG terminal</w:t>
      </w:r>
      <w:r w:rsidRPr="00C534A9">
        <w:rPr>
          <w:rFonts w:ascii="Arial" w:hAnsi="Arial" w:cs="Arial"/>
          <w:sz w:val="22"/>
        </w:rPr>
        <w:t xml:space="preserve"> will generate net economic benefits for </w:t>
      </w:r>
      <w:r w:rsidR="00C16F12" w:rsidRPr="00C534A9">
        <w:rPr>
          <w:rFonts w:ascii="Arial" w:hAnsi="Arial" w:cs="Arial"/>
          <w:sz w:val="22"/>
        </w:rPr>
        <w:t>Barbados</w:t>
      </w:r>
      <w:r w:rsidRPr="00C534A9">
        <w:rPr>
          <w:rFonts w:ascii="Arial" w:hAnsi="Arial" w:cs="Arial"/>
          <w:sz w:val="22"/>
        </w:rPr>
        <w:t>.</w:t>
      </w:r>
    </w:p>
    <w:p w:rsidR="006940A1" w:rsidRPr="00C534A9" w:rsidRDefault="006940A1" w:rsidP="00C534A9">
      <w:pPr>
        <w:jc w:val="both"/>
        <w:rPr>
          <w:rFonts w:ascii="Arial" w:hAnsi="Arial" w:cs="Arial"/>
          <w:sz w:val="22"/>
        </w:rPr>
      </w:pPr>
      <w:r w:rsidRPr="00C534A9">
        <w:rPr>
          <w:rFonts w:ascii="Arial" w:hAnsi="Arial" w:cs="Arial"/>
          <w:sz w:val="22"/>
        </w:rPr>
        <w:fldChar w:fldCharType="begin"/>
      </w:r>
      <w:r w:rsidRPr="00C534A9">
        <w:rPr>
          <w:rFonts w:ascii="Arial" w:hAnsi="Arial" w:cs="Arial"/>
          <w:sz w:val="22"/>
        </w:rPr>
        <w:instrText xml:space="preserve"> REF _Ref406058165 \h  \* MERGEFORMAT </w:instrText>
      </w:r>
      <w:r w:rsidRPr="00C534A9">
        <w:rPr>
          <w:rFonts w:ascii="Arial" w:hAnsi="Arial" w:cs="Arial"/>
          <w:sz w:val="22"/>
        </w:rPr>
      </w:r>
      <w:r w:rsidRPr="00C534A9">
        <w:rPr>
          <w:rFonts w:ascii="Arial" w:hAnsi="Arial" w:cs="Arial"/>
          <w:sz w:val="22"/>
        </w:rPr>
        <w:fldChar w:fldCharType="separate"/>
      </w:r>
      <w:r w:rsidR="003F3D75" w:rsidRPr="00C534A9">
        <w:rPr>
          <w:rFonts w:ascii="Arial" w:hAnsi="Arial" w:cs="Arial"/>
          <w:sz w:val="22"/>
        </w:rPr>
        <w:t xml:space="preserve">Table </w:t>
      </w:r>
      <w:r w:rsidR="00CB0656" w:rsidRPr="00C534A9">
        <w:rPr>
          <w:rFonts w:ascii="Arial" w:hAnsi="Arial" w:cs="Arial"/>
          <w:noProof/>
          <w:sz w:val="22"/>
        </w:rPr>
        <w:t>6</w:t>
      </w:r>
      <w:r w:rsidR="003F3D75" w:rsidRPr="00C534A9">
        <w:rPr>
          <w:rFonts w:ascii="Arial" w:hAnsi="Arial" w:cs="Arial"/>
          <w:noProof/>
          <w:sz w:val="22"/>
        </w:rPr>
        <w:t>.2</w:t>
      </w:r>
      <w:r w:rsidRPr="00C534A9">
        <w:rPr>
          <w:rFonts w:ascii="Arial" w:hAnsi="Arial" w:cs="Arial"/>
          <w:sz w:val="22"/>
        </w:rPr>
        <w:fldChar w:fldCharType="end"/>
      </w:r>
      <w:r w:rsidRPr="00C534A9">
        <w:rPr>
          <w:rFonts w:ascii="Arial" w:hAnsi="Arial" w:cs="Arial"/>
          <w:sz w:val="22"/>
        </w:rPr>
        <w:t xml:space="preserve"> presents the economic costs and benefits of </w:t>
      </w:r>
      <w:r w:rsidR="00C16F12" w:rsidRPr="00C534A9">
        <w:rPr>
          <w:rFonts w:ascii="Arial" w:hAnsi="Arial" w:cs="Arial"/>
          <w:sz w:val="22"/>
        </w:rPr>
        <w:t>the VS LNG terminal</w:t>
      </w:r>
      <w:r w:rsidRPr="00C534A9">
        <w:rPr>
          <w:rFonts w:ascii="Arial" w:hAnsi="Arial" w:cs="Arial"/>
          <w:sz w:val="22"/>
        </w:rPr>
        <w:t xml:space="preserve">. </w:t>
      </w:r>
    </w:p>
    <w:p w:rsidR="006940A1" w:rsidRPr="00C534A9" w:rsidRDefault="006940A1" w:rsidP="00C534A9">
      <w:pPr>
        <w:pStyle w:val="Caption"/>
        <w:jc w:val="both"/>
        <w:rPr>
          <w:rFonts w:ascii="Arial" w:hAnsi="Arial" w:cs="Arial"/>
          <w:sz w:val="22"/>
        </w:rPr>
      </w:pPr>
      <w:bookmarkStart w:id="127" w:name="_Toc463508489"/>
      <w:bookmarkStart w:id="128" w:name="_Toc463508989"/>
      <w:proofErr w:type="gramStart"/>
      <w:r w:rsidRPr="00C534A9">
        <w:rPr>
          <w:rFonts w:ascii="Arial" w:hAnsi="Arial" w:cs="Arial"/>
          <w:sz w:val="22"/>
        </w:rPr>
        <w:t xml:space="preserve">Table </w:t>
      </w:r>
      <w:r w:rsidR="007D6B36" w:rsidRPr="00C534A9">
        <w:rPr>
          <w:rFonts w:ascii="Arial" w:hAnsi="Arial" w:cs="Arial"/>
          <w:sz w:val="22"/>
        </w:rPr>
        <w:fldChar w:fldCharType="begin"/>
      </w:r>
      <w:r w:rsidR="007D6B36" w:rsidRPr="00C534A9">
        <w:rPr>
          <w:rFonts w:ascii="Arial" w:hAnsi="Arial" w:cs="Arial"/>
          <w:sz w:val="22"/>
        </w:rPr>
        <w:instrText xml:space="preserve"> STYLEREF 1 \s </w:instrText>
      </w:r>
      <w:r w:rsidR="007D6B36" w:rsidRPr="00C534A9">
        <w:rPr>
          <w:rFonts w:ascii="Arial" w:hAnsi="Arial" w:cs="Arial"/>
          <w:sz w:val="22"/>
        </w:rPr>
        <w:fldChar w:fldCharType="separate"/>
      </w:r>
      <w:r w:rsidR="003F3D75" w:rsidRPr="00C534A9">
        <w:rPr>
          <w:rFonts w:ascii="Arial" w:hAnsi="Arial" w:cs="Arial"/>
          <w:noProof/>
          <w:sz w:val="22"/>
        </w:rPr>
        <w:t>6</w:t>
      </w:r>
      <w:r w:rsidR="007D6B36" w:rsidRPr="00C534A9">
        <w:rPr>
          <w:rFonts w:ascii="Arial" w:hAnsi="Arial" w:cs="Arial"/>
          <w:noProof/>
          <w:sz w:val="22"/>
        </w:rPr>
        <w:fldChar w:fldCharType="end"/>
      </w:r>
      <w:r w:rsidRPr="00C534A9">
        <w:rPr>
          <w:rFonts w:ascii="Arial" w:hAnsi="Arial" w:cs="Arial"/>
          <w:sz w:val="22"/>
        </w:rPr>
        <w:t>.</w:t>
      </w:r>
      <w:proofErr w:type="gramEnd"/>
      <w:r w:rsidR="003343DE" w:rsidRPr="00C534A9">
        <w:rPr>
          <w:rFonts w:ascii="Arial" w:hAnsi="Arial" w:cs="Arial"/>
          <w:sz w:val="22"/>
        </w:rPr>
        <w:fldChar w:fldCharType="begin"/>
      </w:r>
      <w:r w:rsidR="003343DE" w:rsidRPr="00C534A9">
        <w:rPr>
          <w:rFonts w:ascii="Arial" w:hAnsi="Arial" w:cs="Arial"/>
          <w:sz w:val="22"/>
        </w:rPr>
        <w:instrText xml:space="preserve"> SEQ Table \* ARABIC \s 1 </w:instrText>
      </w:r>
      <w:r w:rsidR="003343DE" w:rsidRPr="00C534A9">
        <w:rPr>
          <w:rFonts w:ascii="Arial" w:hAnsi="Arial" w:cs="Arial"/>
          <w:sz w:val="22"/>
        </w:rPr>
        <w:fldChar w:fldCharType="separate"/>
      </w:r>
      <w:r w:rsidR="003F3D75" w:rsidRPr="00C534A9">
        <w:rPr>
          <w:rFonts w:ascii="Arial" w:hAnsi="Arial" w:cs="Arial"/>
          <w:noProof/>
          <w:sz w:val="22"/>
        </w:rPr>
        <w:t>2</w:t>
      </w:r>
      <w:r w:rsidR="003343DE" w:rsidRPr="00C534A9">
        <w:rPr>
          <w:rFonts w:ascii="Arial" w:hAnsi="Arial" w:cs="Arial"/>
          <w:noProof/>
          <w:sz w:val="22"/>
        </w:rPr>
        <w:fldChar w:fldCharType="end"/>
      </w:r>
      <w:r w:rsidRPr="00C534A9">
        <w:rPr>
          <w:rFonts w:ascii="Arial" w:hAnsi="Arial" w:cs="Arial"/>
          <w:sz w:val="22"/>
        </w:rPr>
        <w:t xml:space="preserve">: Economic Costs and Benefits </w:t>
      </w:r>
      <w:r w:rsidR="00C16F12" w:rsidRPr="00C534A9">
        <w:rPr>
          <w:rFonts w:ascii="Arial" w:hAnsi="Arial" w:cs="Arial"/>
          <w:sz w:val="22"/>
        </w:rPr>
        <w:t>of the VS LNG terminal</w:t>
      </w:r>
      <w:r w:rsidR="003A6A5C" w:rsidRPr="00C534A9">
        <w:rPr>
          <w:rFonts w:ascii="Arial" w:hAnsi="Arial" w:cs="Arial"/>
          <w:sz w:val="22"/>
        </w:rPr>
        <w:t xml:space="preserve"> (US$ ‘000)</w:t>
      </w:r>
      <w:bookmarkEnd w:id="127"/>
      <w:bookmarkEnd w:id="128"/>
    </w:p>
    <w:tbl>
      <w:tblPr>
        <w:tblStyle w:val="TableGrid"/>
        <w:tblW w:w="0" w:type="auto"/>
        <w:tblLook w:val="04A0" w:firstRow="1" w:lastRow="0" w:firstColumn="1" w:lastColumn="0" w:noHBand="0" w:noVBand="1"/>
      </w:tblPr>
      <w:tblGrid>
        <w:gridCol w:w="2540"/>
        <w:gridCol w:w="1320"/>
      </w:tblGrid>
      <w:tr w:rsidR="00882797" w:rsidRPr="00C534A9" w:rsidTr="00D132E2">
        <w:trPr>
          <w:trHeight w:val="450"/>
        </w:trPr>
        <w:tc>
          <w:tcPr>
            <w:tcW w:w="2540" w:type="dxa"/>
            <w:hideMark/>
          </w:tcPr>
          <w:p w:rsidR="00882797" w:rsidRPr="00C534A9" w:rsidRDefault="00882797" w:rsidP="00C534A9">
            <w:pPr>
              <w:jc w:val="both"/>
              <w:rPr>
                <w:rFonts w:ascii="Arial" w:hAnsi="Arial" w:cs="Arial"/>
                <w:sz w:val="22"/>
              </w:rPr>
            </w:pPr>
            <w:r w:rsidRPr="00C534A9">
              <w:rPr>
                <w:rFonts w:ascii="Arial" w:hAnsi="Arial" w:cs="Arial"/>
                <w:sz w:val="22"/>
              </w:rPr>
              <w:t>Present Value - Benefits</w:t>
            </w:r>
          </w:p>
        </w:tc>
        <w:tc>
          <w:tcPr>
            <w:tcW w:w="1320" w:type="dxa"/>
            <w:vAlign w:val="center"/>
            <w:hideMark/>
          </w:tcPr>
          <w:p w:rsidR="00882797" w:rsidRPr="00C534A9" w:rsidRDefault="00882797" w:rsidP="00C534A9">
            <w:pPr>
              <w:jc w:val="both"/>
              <w:rPr>
                <w:rFonts w:ascii="Arial" w:hAnsi="Arial" w:cs="Arial"/>
                <w:sz w:val="22"/>
              </w:rPr>
            </w:pPr>
            <w:r w:rsidRPr="00C534A9">
              <w:rPr>
                <w:rFonts w:ascii="Arial" w:hAnsi="Arial" w:cs="Arial"/>
                <w:color w:val="000000"/>
                <w:sz w:val="22"/>
              </w:rPr>
              <w:t xml:space="preserve">$518,436 </w:t>
            </w:r>
          </w:p>
        </w:tc>
      </w:tr>
      <w:tr w:rsidR="00882797" w:rsidRPr="00C534A9" w:rsidTr="00D132E2">
        <w:trPr>
          <w:trHeight w:val="450"/>
        </w:trPr>
        <w:tc>
          <w:tcPr>
            <w:tcW w:w="2540" w:type="dxa"/>
            <w:hideMark/>
          </w:tcPr>
          <w:p w:rsidR="00882797" w:rsidRPr="00C534A9" w:rsidRDefault="00882797" w:rsidP="00C534A9">
            <w:pPr>
              <w:jc w:val="both"/>
              <w:rPr>
                <w:rFonts w:ascii="Arial" w:hAnsi="Arial" w:cs="Arial"/>
                <w:sz w:val="22"/>
              </w:rPr>
            </w:pPr>
            <w:r w:rsidRPr="00C534A9">
              <w:rPr>
                <w:rFonts w:ascii="Arial" w:hAnsi="Arial" w:cs="Arial"/>
                <w:sz w:val="22"/>
              </w:rPr>
              <w:t>Present Value  - Costs</w:t>
            </w:r>
          </w:p>
        </w:tc>
        <w:tc>
          <w:tcPr>
            <w:tcW w:w="1320" w:type="dxa"/>
            <w:vAlign w:val="center"/>
            <w:hideMark/>
          </w:tcPr>
          <w:p w:rsidR="00882797" w:rsidRPr="00C534A9" w:rsidRDefault="00882797" w:rsidP="00C534A9">
            <w:pPr>
              <w:jc w:val="both"/>
              <w:rPr>
                <w:rFonts w:ascii="Arial" w:hAnsi="Arial" w:cs="Arial"/>
                <w:sz w:val="22"/>
              </w:rPr>
            </w:pPr>
            <w:r w:rsidRPr="00C534A9">
              <w:rPr>
                <w:rFonts w:ascii="Arial" w:hAnsi="Arial" w:cs="Arial"/>
                <w:color w:val="FF0000"/>
                <w:sz w:val="22"/>
              </w:rPr>
              <w:t>($437,572)</w:t>
            </w:r>
          </w:p>
        </w:tc>
      </w:tr>
      <w:tr w:rsidR="00882797" w:rsidRPr="00C534A9" w:rsidTr="00D132E2">
        <w:trPr>
          <w:trHeight w:val="450"/>
        </w:trPr>
        <w:tc>
          <w:tcPr>
            <w:tcW w:w="2540" w:type="dxa"/>
            <w:hideMark/>
          </w:tcPr>
          <w:p w:rsidR="00882797" w:rsidRPr="00C534A9" w:rsidRDefault="00882797" w:rsidP="00C534A9">
            <w:pPr>
              <w:jc w:val="both"/>
              <w:rPr>
                <w:rFonts w:ascii="Arial" w:hAnsi="Arial" w:cs="Arial"/>
                <w:sz w:val="22"/>
              </w:rPr>
            </w:pPr>
            <w:r w:rsidRPr="00C534A9">
              <w:rPr>
                <w:rFonts w:ascii="Arial" w:hAnsi="Arial" w:cs="Arial"/>
                <w:sz w:val="22"/>
              </w:rPr>
              <w:t>Net Present Value</w:t>
            </w:r>
          </w:p>
        </w:tc>
        <w:tc>
          <w:tcPr>
            <w:tcW w:w="1320" w:type="dxa"/>
            <w:vAlign w:val="center"/>
            <w:hideMark/>
          </w:tcPr>
          <w:p w:rsidR="00882797" w:rsidRPr="00C534A9" w:rsidRDefault="00882797" w:rsidP="00C534A9">
            <w:pPr>
              <w:jc w:val="both"/>
              <w:rPr>
                <w:rFonts w:ascii="Arial" w:hAnsi="Arial" w:cs="Arial"/>
                <w:sz w:val="22"/>
              </w:rPr>
            </w:pPr>
            <w:r w:rsidRPr="00C534A9">
              <w:rPr>
                <w:rFonts w:ascii="Arial" w:hAnsi="Arial" w:cs="Arial"/>
                <w:color w:val="000000"/>
                <w:sz w:val="22"/>
              </w:rPr>
              <w:t xml:space="preserve">$80,864 </w:t>
            </w:r>
          </w:p>
        </w:tc>
      </w:tr>
      <w:tr w:rsidR="00882797" w:rsidRPr="00C534A9" w:rsidTr="00D132E2">
        <w:trPr>
          <w:trHeight w:val="450"/>
        </w:trPr>
        <w:tc>
          <w:tcPr>
            <w:tcW w:w="2540" w:type="dxa"/>
            <w:hideMark/>
          </w:tcPr>
          <w:p w:rsidR="00882797" w:rsidRPr="00C534A9" w:rsidRDefault="00882797" w:rsidP="00C534A9">
            <w:pPr>
              <w:jc w:val="both"/>
              <w:rPr>
                <w:rFonts w:ascii="Arial" w:hAnsi="Arial" w:cs="Arial"/>
                <w:sz w:val="22"/>
              </w:rPr>
            </w:pPr>
            <w:r w:rsidRPr="00C534A9">
              <w:rPr>
                <w:rFonts w:ascii="Arial" w:hAnsi="Arial" w:cs="Arial"/>
                <w:sz w:val="22"/>
              </w:rPr>
              <w:t>IRR</w:t>
            </w:r>
          </w:p>
        </w:tc>
        <w:tc>
          <w:tcPr>
            <w:tcW w:w="1320" w:type="dxa"/>
            <w:vAlign w:val="center"/>
            <w:hideMark/>
          </w:tcPr>
          <w:p w:rsidR="00882797" w:rsidRPr="00C534A9" w:rsidRDefault="00882797" w:rsidP="00C534A9">
            <w:pPr>
              <w:jc w:val="both"/>
              <w:rPr>
                <w:rFonts w:ascii="Arial" w:hAnsi="Arial" w:cs="Arial"/>
                <w:sz w:val="22"/>
              </w:rPr>
            </w:pPr>
            <w:r w:rsidRPr="00C534A9">
              <w:rPr>
                <w:rFonts w:ascii="Arial" w:hAnsi="Arial" w:cs="Arial"/>
                <w:color w:val="000000"/>
                <w:sz w:val="22"/>
              </w:rPr>
              <w:t>29%</w:t>
            </w:r>
          </w:p>
        </w:tc>
      </w:tr>
    </w:tbl>
    <w:p w:rsidR="006940A1" w:rsidRPr="00C534A9" w:rsidRDefault="006940A1" w:rsidP="00C534A9">
      <w:pPr>
        <w:pStyle w:val="Source"/>
        <w:jc w:val="both"/>
        <w:rPr>
          <w:rFonts w:ascii="Arial" w:hAnsi="Arial" w:cs="Arial"/>
          <w:sz w:val="18"/>
        </w:rPr>
      </w:pPr>
    </w:p>
    <w:p w:rsidR="006940A1" w:rsidRPr="00C534A9" w:rsidRDefault="006940A1" w:rsidP="00C534A9">
      <w:pPr>
        <w:jc w:val="both"/>
        <w:rPr>
          <w:rFonts w:ascii="Arial" w:hAnsi="Arial" w:cs="Arial"/>
          <w:sz w:val="22"/>
          <w:highlight w:val="yellow"/>
        </w:rPr>
      </w:pPr>
      <w:r w:rsidRPr="00C534A9">
        <w:rPr>
          <w:rFonts w:ascii="Arial" w:hAnsi="Arial" w:cs="Arial"/>
          <w:sz w:val="22"/>
        </w:rPr>
        <w:t xml:space="preserve">A detailed schedule of the annual benefits and costs for </w:t>
      </w:r>
      <w:r w:rsidR="00C16F12" w:rsidRPr="00C534A9">
        <w:rPr>
          <w:rFonts w:ascii="Arial" w:hAnsi="Arial" w:cs="Arial"/>
          <w:sz w:val="22"/>
        </w:rPr>
        <w:t>the VS LNG terminal</w:t>
      </w:r>
      <w:r w:rsidRPr="00C534A9">
        <w:rPr>
          <w:rFonts w:ascii="Arial" w:hAnsi="Arial" w:cs="Arial"/>
          <w:sz w:val="22"/>
        </w:rPr>
        <w:t xml:space="preserve"> is included in </w:t>
      </w:r>
      <w:r w:rsidR="00C16F12" w:rsidRPr="00C534A9">
        <w:rPr>
          <w:rFonts w:ascii="Arial" w:hAnsi="Arial" w:cs="Arial"/>
          <w:sz w:val="22"/>
        </w:rPr>
        <w:t xml:space="preserve">Appendix </w:t>
      </w:r>
      <w:r w:rsidR="00CB0656" w:rsidRPr="00C534A9">
        <w:rPr>
          <w:rFonts w:ascii="Arial" w:hAnsi="Arial" w:cs="Arial"/>
          <w:sz w:val="22"/>
        </w:rPr>
        <w:t>A</w:t>
      </w:r>
    </w:p>
    <w:p w:rsidR="006940A1" w:rsidRPr="00C534A9" w:rsidRDefault="006940A1" w:rsidP="00C534A9">
      <w:pPr>
        <w:pStyle w:val="Heading2"/>
        <w:jc w:val="both"/>
        <w:rPr>
          <w:rFonts w:ascii="Arial" w:hAnsi="Arial" w:cs="Arial"/>
          <w:sz w:val="24"/>
        </w:rPr>
      </w:pPr>
      <w:bookmarkStart w:id="129" w:name="_Toc464551526"/>
      <w:r w:rsidRPr="00C534A9">
        <w:rPr>
          <w:rFonts w:ascii="Arial" w:hAnsi="Arial" w:cs="Arial"/>
          <w:sz w:val="24"/>
        </w:rPr>
        <w:t xml:space="preserve">Sensitivity Analysis of </w:t>
      </w:r>
      <w:r w:rsidR="00C16F12" w:rsidRPr="00C534A9">
        <w:rPr>
          <w:rFonts w:ascii="Arial" w:hAnsi="Arial" w:cs="Arial"/>
          <w:sz w:val="24"/>
        </w:rPr>
        <w:t>the VS LNG terminal</w:t>
      </w:r>
      <w:bookmarkEnd w:id="129"/>
    </w:p>
    <w:p w:rsidR="006940A1" w:rsidRPr="00C534A9" w:rsidRDefault="00957ACC" w:rsidP="00C534A9">
      <w:pPr>
        <w:jc w:val="both"/>
        <w:rPr>
          <w:rFonts w:ascii="Arial" w:hAnsi="Arial" w:cs="Arial"/>
          <w:sz w:val="22"/>
        </w:rPr>
      </w:pPr>
      <w:r w:rsidRPr="00C534A9">
        <w:rPr>
          <w:rFonts w:ascii="Arial" w:hAnsi="Arial" w:cs="Arial"/>
          <w:sz w:val="22"/>
        </w:rPr>
        <w:t>A</w:t>
      </w:r>
      <w:r w:rsidR="006940A1" w:rsidRPr="00C534A9">
        <w:rPr>
          <w:rFonts w:ascii="Arial" w:hAnsi="Arial" w:cs="Arial"/>
          <w:sz w:val="22"/>
        </w:rPr>
        <w:t xml:space="preserve"> sensitivity analysis </w:t>
      </w:r>
      <w:r w:rsidRPr="00C534A9">
        <w:rPr>
          <w:rFonts w:ascii="Arial" w:hAnsi="Arial" w:cs="Arial"/>
          <w:sz w:val="22"/>
        </w:rPr>
        <w:t xml:space="preserve">was conducted </w:t>
      </w:r>
      <w:r w:rsidR="006940A1" w:rsidRPr="00C534A9">
        <w:rPr>
          <w:rFonts w:ascii="Arial" w:hAnsi="Arial" w:cs="Arial"/>
          <w:sz w:val="22"/>
        </w:rPr>
        <w:t xml:space="preserve">to estimate how changes in key variables used in the CBA would impact </w:t>
      </w:r>
      <w:r w:rsidR="00C16F12" w:rsidRPr="00C534A9">
        <w:rPr>
          <w:rFonts w:ascii="Arial" w:hAnsi="Arial" w:cs="Arial"/>
          <w:sz w:val="22"/>
        </w:rPr>
        <w:t>the VS LNG terminal</w:t>
      </w:r>
      <w:r w:rsidR="006940A1" w:rsidRPr="00C534A9">
        <w:rPr>
          <w:rFonts w:ascii="Arial" w:hAnsi="Arial" w:cs="Arial"/>
          <w:sz w:val="22"/>
        </w:rPr>
        <w:t xml:space="preserve">’s estimated economic viability. The independent variables </w:t>
      </w:r>
      <w:r w:rsidR="00D0636E" w:rsidRPr="00C534A9">
        <w:rPr>
          <w:rFonts w:ascii="Arial" w:hAnsi="Arial" w:cs="Arial"/>
          <w:sz w:val="22"/>
        </w:rPr>
        <w:t>that were</w:t>
      </w:r>
      <w:r w:rsidR="006940A1" w:rsidRPr="00C534A9">
        <w:rPr>
          <w:rFonts w:ascii="Arial" w:hAnsi="Arial" w:cs="Arial"/>
          <w:sz w:val="22"/>
        </w:rPr>
        <w:t xml:space="preserve"> included in the sensitivity analysis are </w:t>
      </w:r>
      <w:r w:rsidR="00C16F12" w:rsidRPr="00C534A9">
        <w:rPr>
          <w:rFonts w:ascii="Arial" w:hAnsi="Arial" w:cs="Arial"/>
          <w:sz w:val="22"/>
        </w:rPr>
        <w:t>the price of oil</w:t>
      </w:r>
      <w:r w:rsidR="006940A1" w:rsidRPr="00C534A9">
        <w:rPr>
          <w:rFonts w:ascii="Arial" w:hAnsi="Arial" w:cs="Arial"/>
          <w:sz w:val="22"/>
        </w:rPr>
        <w:t xml:space="preserve">, </w:t>
      </w:r>
      <w:r w:rsidR="00C16F12" w:rsidRPr="00C534A9">
        <w:rPr>
          <w:rFonts w:ascii="Arial" w:hAnsi="Arial" w:cs="Arial"/>
          <w:sz w:val="22"/>
        </w:rPr>
        <w:t>the price of natural gas, and the price of CO2</w:t>
      </w:r>
      <w:r w:rsidR="00D0636E" w:rsidRPr="00C534A9">
        <w:rPr>
          <w:rFonts w:ascii="Arial" w:hAnsi="Arial" w:cs="Arial"/>
          <w:sz w:val="22"/>
        </w:rPr>
        <w:t>. T</w:t>
      </w:r>
      <w:r w:rsidR="006940A1" w:rsidRPr="00C534A9">
        <w:rPr>
          <w:rFonts w:ascii="Arial" w:hAnsi="Arial" w:cs="Arial"/>
          <w:sz w:val="22"/>
        </w:rPr>
        <w:t xml:space="preserve">hese variables </w:t>
      </w:r>
      <w:r w:rsidR="00D0636E" w:rsidRPr="00C534A9">
        <w:rPr>
          <w:rFonts w:ascii="Arial" w:hAnsi="Arial" w:cs="Arial"/>
          <w:sz w:val="22"/>
        </w:rPr>
        <w:t xml:space="preserve">were selected </w:t>
      </w:r>
      <w:r w:rsidR="006940A1" w:rsidRPr="00C534A9">
        <w:rPr>
          <w:rFonts w:ascii="Arial" w:hAnsi="Arial" w:cs="Arial"/>
          <w:sz w:val="22"/>
        </w:rPr>
        <w:t xml:space="preserve">based on the likelihood that they could change and they could have a material impact on </w:t>
      </w:r>
      <w:r w:rsidR="00C16F12" w:rsidRPr="00C534A9">
        <w:rPr>
          <w:rFonts w:ascii="Arial" w:hAnsi="Arial" w:cs="Arial"/>
          <w:sz w:val="22"/>
        </w:rPr>
        <w:t>the VS LNG terminal</w:t>
      </w:r>
      <w:r w:rsidR="006940A1" w:rsidRPr="00C534A9">
        <w:rPr>
          <w:rFonts w:ascii="Arial" w:hAnsi="Arial" w:cs="Arial"/>
          <w:sz w:val="22"/>
        </w:rPr>
        <w:t xml:space="preserve">’s economic viability if they did change. </w:t>
      </w:r>
    </w:p>
    <w:p w:rsidR="00C16F12" w:rsidRPr="00C534A9" w:rsidRDefault="00CB0656" w:rsidP="00C534A9">
      <w:pPr>
        <w:jc w:val="both"/>
        <w:rPr>
          <w:rFonts w:ascii="Arial" w:hAnsi="Arial" w:cs="Arial"/>
          <w:sz w:val="22"/>
        </w:rPr>
      </w:pPr>
      <w:bookmarkStart w:id="130" w:name="_Toc423341370"/>
      <w:bookmarkStart w:id="131" w:name="_Ref423444436"/>
      <w:bookmarkStart w:id="132" w:name="_Ref423444475"/>
      <w:bookmarkStart w:id="133" w:name="_Toc423457940"/>
      <w:bookmarkStart w:id="134" w:name="_Toc428351524"/>
      <w:r w:rsidRPr="00C534A9">
        <w:rPr>
          <w:rFonts w:ascii="Arial" w:hAnsi="Arial" w:cs="Arial"/>
          <w:sz w:val="22"/>
        </w:rPr>
        <w:t>The VS LNG terminal is most sensitive to changes in the price of oil and the price of natural gas, while it was largely insensitive to changes in the price of CO2</w:t>
      </w:r>
      <w:r w:rsidR="00C16F12" w:rsidRPr="00C534A9">
        <w:rPr>
          <w:rFonts w:ascii="Arial" w:hAnsi="Arial" w:cs="Arial"/>
          <w:sz w:val="22"/>
        </w:rPr>
        <w:t xml:space="preserve">. </w:t>
      </w:r>
      <w:r w:rsidR="00957ACC" w:rsidRPr="00C534A9">
        <w:rPr>
          <w:rFonts w:ascii="Arial" w:hAnsi="Arial" w:cs="Arial"/>
          <w:sz w:val="22"/>
        </w:rPr>
        <w:t>T</w:t>
      </w:r>
      <w:r w:rsidR="00C16F12" w:rsidRPr="00C534A9">
        <w:rPr>
          <w:rFonts w:ascii="Arial" w:hAnsi="Arial" w:cs="Arial"/>
          <w:sz w:val="22"/>
        </w:rPr>
        <w:t>his section discuss</w:t>
      </w:r>
      <w:r w:rsidR="00957ACC" w:rsidRPr="00C534A9">
        <w:rPr>
          <w:rFonts w:ascii="Arial" w:hAnsi="Arial" w:cs="Arial"/>
          <w:sz w:val="22"/>
        </w:rPr>
        <w:t>es</w:t>
      </w:r>
      <w:r w:rsidR="00C16F12" w:rsidRPr="00C534A9">
        <w:rPr>
          <w:rFonts w:ascii="Arial" w:hAnsi="Arial" w:cs="Arial"/>
          <w:sz w:val="22"/>
        </w:rPr>
        <w:t xml:space="preserve"> in more detail the effects of:</w:t>
      </w:r>
    </w:p>
    <w:p w:rsidR="00C16F12" w:rsidRPr="00C534A9" w:rsidRDefault="00C16F12" w:rsidP="00C534A9">
      <w:pPr>
        <w:pStyle w:val="ListParagraph"/>
        <w:numPr>
          <w:ilvl w:val="0"/>
          <w:numId w:val="32"/>
        </w:numPr>
        <w:jc w:val="both"/>
        <w:rPr>
          <w:rFonts w:ascii="Arial" w:eastAsia="Arial" w:hAnsi="Arial" w:cs="Arial"/>
          <w:sz w:val="22"/>
        </w:rPr>
      </w:pPr>
      <w:r w:rsidRPr="00C534A9">
        <w:rPr>
          <w:rFonts w:ascii="Arial" w:hAnsi="Arial" w:cs="Arial"/>
          <w:sz w:val="22"/>
        </w:rPr>
        <w:t>Changing the price of oil</w:t>
      </w:r>
      <w:r w:rsidR="00477C13" w:rsidRPr="00C534A9">
        <w:rPr>
          <w:rFonts w:ascii="Arial" w:hAnsi="Arial" w:cs="Arial"/>
          <w:sz w:val="22"/>
        </w:rPr>
        <w:t xml:space="preserve"> and natural gas</w:t>
      </w:r>
    </w:p>
    <w:p w:rsidR="00C16F12" w:rsidRPr="00C534A9" w:rsidRDefault="00C16F12" w:rsidP="00C534A9">
      <w:pPr>
        <w:pStyle w:val="ListParagraph"/>
        <w:numPr>
          <w:ilvl w:val="0"/>
          <w:numId w:val="32"/>
        </w:numPr>
        <w:jc w:val="both"/>
        <w:rPr>
          <w:rFonts w:ascii="Arial" w:eastAsia="Arial" w:hAnsi="Arial" w:cs="Arial"/>
          <w:sz w:val="22"/>
        </w:rPr>
      </w:pPr>
      <w:r w:rsidRPr="00C534A9">
        <w:rPr>
          <w:rFonts w:ascii="Arial" w:hAnsi="Arial" w:cs="Arial"/>
          <w:sz w:val="22"/>
        </w:rPr>
        <w:t>Changing the price of CO2</w:t>
      </w:r>
    </w:p>
    <w:p w:rsidR="00C16F12" w:rsidRPr="00C534A9" w:rsidRDefault="005967D0" w:rsidP="00C534A9">
      <w:pPr>
        <w:jc w:val="both"/>
        <w:rPr>
          <w:rFonts w:ascii="Arial" w:hAnsi="Arial" w:cs="Arial"/>
          <w:sz w:val="22"/>
        </w:rPr>
      </w:pPr>
      <w:r w:rsidRPr="00C534A9">
        <w:rPr>
          <w:rFonts w:ascii="Arial" w:hAnsi="Arial" w:cs="Arial"/>
          <w:sz w:val="22"/>
        </w:rPr>
        <w:t>Table 6.3</w:t>
      </w:r>
      <w:r w:rsidR="008A1DD9" w:rsidRPr="00C534A9">
        <w:rPr>
          <w:rFonts w:ascii="Arial" w:hAnsi="Arial" w:cs="Arial"/>
          <w:sz w:val="22"/>
        </w:rPr>
        <w:t xml:space="preserve"> </w:t>
      </w:r>
      <w:r w:rsidR="00C16F12" w:rsidRPr="00C534A9">
        <w:rPr>
          <w:rFonts w:ascii="Arial" w:hAnsi="Arial" w:cs="Arial"/>
          <w:sz w:val="22"/>
        </w:rPr>
        <w:t>presents the results of changing the price of oil</w:t>
      </w:r>
      <w:r w:rsidR="00D0636E" w:rsidRPr="00C534A9">
        <w:rPr>
          <w:rFonts w:ascii="Arial" w:hAnsi="Arial" w:cs="Arial"/>
          <w:sz w:val="22"/>
        </w:rPr>
        <w:t xml:space="preserve"> and natural gas</w:t>
      </w:r>
      <w:r w:rsidR="00552328">
        <w:rPr>
          <w:rStyle w:val="FootnoteReference"/>
          <w:rFonts w:cs="Arial"/>
        </w:rPr>
        <w:footnoteReference w:id="7"/>
      </w:r>
      <w:r w:rsidR="00C16F12" w:rsidRPr="00C534A9">
        <w:rPr>
          <w:rFonts w:ascii="Arial" w:hAnsi="Arial" w:cs="Arial"/>
          <w:sz w:val="22"/>
        </w:rPr>
        <w:t xml:space="preserve">. </w:t>
      </w:r>
      <w:r w:rsidR="009F2643" w:rsidRPr="00C534A9">
        <w:rPr>
          <w:rFonts w:ascii="Arial" w:hAnsi="Arial" w:cs="Arial"/>
          <w:sz w:val="22"/>
        </w:rPr>
        <w:t>The table shows</w:t>
      </w:r>
      <w:r w:rsidR="00C16F12" w:rsidRPr="00C534A9">
        <w:rPr>
          <w:rFonts w:ascii="Arial" w:hAnsi="Arial" w:cs="Arial"/>
          <w:sz w:val="22"/>
        </w:rPr>
        <w:t xml:space="preserve"> the present value of the costs, benefits, and net benefits of the VS LNG terminal for a high case </w:t>
      </w:r>
      <w:r w:rsidR="00477C13" w:rsidRPr="00C534A9">
        <w:rPr>
          <w:rFonts w:ascii="Arial" w:hAnsi="Arial" w:cs="Arial"/>
          <w:sz w:val="22"/>
        </w:rPr>
        <w:t xml:space="preserve">(based on WTI and Henry Hub under the EIA </w:t>
      </w:r>
      <w:r w:rsidR="00D67CE0" w:rsidRPr="00C534A9">
        <w:rPr>
          <w:rFonts w:ascii="Arial" w:hAnsi="Arial" w:cs="Arial"/>
          <w:sz w:val="22"/>
        </w:rPr>
        <w:t>2015</w:t>
      </w:r>
      <w:r w:rsidR="00477C13" w:rsidRPr="00C534A9">
        <w:rPr>
          <w:rFonts w:ascii="Arial" w:hAnsi="Arial" w:cs="Arial"/>
          <w:sz w:val="22"/>
        </w:rPr>
        <w:t xml:space="preserve"> AEO High Oil Price projection) and low case (based on WTI and Henry Hub under the EIA </w:t>
      </w:r>
      <w:r w:rsidR="00D67CE0" w:rsidRPr="00C534A9">
        <w:rPr>
          <w:rFonts w:ascii="Arial" w:hAnsi="Arial" w:cs="Arial"/>
          <w:sz w:val="22"/>
        </w:rPr>
        <w:t>2015</w:t>
      </w:r>
      <w:r w:rsidR="00477C13" w:rsidRPr="00C534A9">
        <w:rPr>
          <w:rFonts w:ascii="Arial" w:hAnsi="Arial" w:cs="Arial"/>
          <w:sz w:val="22"/>
        </w:rPr>
        <w:t xml:space="preserve"> AEO Low Oil Price projection) as well as the base case (based on annual WTI and Henry Hub price projections in the EIA </w:t>
      </w:r>
      <w:r w:rsidR="00D67CE0" w:rsidRPr="00C534A9">
        <w:rPr>
          <w:rFonts w:ascii="Arial" w:hAnsi="Arial" w:cs="Arial"/>
          <w:sz w:val="22"/>
        </w:rPr>
        <w:t>2015</w:t>
      </w:r>
      <w:r w:rsidR="00477C13" w:rsidRPr="00C534A9">
        <w:rPr>
          <w:rFonts w:ascii="Arial" w:hAnsi="Arial" w:cs="Arial"/>
          <w:sz w:val="22"/>
        </w:rPr>
        <w:t xml:space="preserve"> Reference Case price projection</w:t>
      </w:r>
      <w:proofErr w:type="gramStart"/>
      <w:r w:rsidR="00477C13" w:rsidRPr="00C534A9">
        <w:rPr>
          <w:rFonts w:ascii="Arial" w:hAnsi="Arial" w:cs="Arial"/>
          <w:sz w:val="22"/>
        </w:rPr>
        <w:t>)</w:t>
      </w:r>
      <w:r w:rsidR="00D67CE0" w:rsidRPr="00C534A9">
        <w:rPr>
          <w:rFonts w:ascii="Arial" w:hAnsi="Arial" w:cs="Arial"/>
          <w:sz w:val="22"/>
        </w:rPr>
        <w:t>2015</w:t>
      </w:r>
      <w:proofErr w:type="gramEnd"/>
      <w:r w:rsidR="00C16F12" w:rsidRPr="00C534A9">
        <w:rPr>
          <w:rFonts w:ascii="Arial" w:hAnsi="Arial" w:cs="Arial"/>
          <w:sz w:val="22"/>
        </w:rPr>
        <w:t>. The table shows that</w:t>
      </w:r>
      <w:r w:rsidR="00882797" w:rsidRPr="00C534A9">
        <w:rPr>
          <w:rFonts w:ascii="Arial" w:hAnsi="Arial" w:cs="Arial"/>
          <w:sz w:val="22"/>
        </w:rPr>
        <w:t xml:space="preserve"> even</w:t>
      </w:r>
      <w:r w:rsidR="00C16F12" w:rsidRPr="00C534A9">
        <w:rPr>
          <w:rFonts w:ascii="Arial" w:hAnsi="Arial" w:cs="Arial"/>
          <w:sz w:val="22"/>
        </w:rPr>
        <w:t xml:space="preserve"> </w:t>
      </w:r>
      <w:r w:rsidR="00D0636E" w:rsidRPr="00C534A9">
        <w:rPr>
          <w:rFonts w:ascii="Arial" w:hAnsi="Arial" w:cs="Arial"/>
          <w:sz w:val="22"/>
        </w:rPr>
        <w:t>under the Low</w:t>
      </w:r>
      <w:r w:rsidR="00C16F12" w:rsidRPr="00C534A9">
        <w:rPr>
          <w:rFonts w:ascii="Arial" w:hAnsi="Arial" w:cs="Arial"/>
          <w:sz w:val="22"/>
        </w:rPr>
        <w:t xml:space="preserve"> oil price </w:t>
      </w:r>
      <w:r w:rsidR="00D0636E" w:rsidRPr="00C534A9">
        <w:rPr>
          <w:rFonts w:ascii="Arial" w:hAnsi="Arial" w:cs="Arial"/>
          <w:sz w:val="22"/>
        </w:rPr>
        <w:t>scenario,</w:t>
      </w:r>
      <w:r w:rsidR="00C16F12" w:rsidRPr="00C534A9">
        <w:rPr>
          <w:rFonts w:ascii="Arial" w:hAnsi="Arial" w:cs="Arial"/>
          <w:sz w:val="22"/>
        </w:rPr>
        <w:t xml:space="preserve"> </w:t>
      </w:r>
      <w:r w:rsidR="00F469E3" w:rsidRPr="00C534A9">
        <w:rPr>
          <w:rFonts w:ascii="Arial" w:hAnsi="Arial" w:cs="Arial"/>
          <w:sz w:val="22"/>
        </w:rPr>
        <w:t>the</w:t>
      </w:r>
      <w:r w:rsidR="00C16F12" w:rsidRPr="00C534A9">
        <w:rPr>
          <w:rFonts w:ascii="Arial" w:hAnsi="Arial" w:cs="Arial"/>
          <w:sz w:val="22"/>
        </w:rPr>
        <w:t xml:space="preserve"> VS LNG terminal </w:t>
      </w:r>
      <w:r w:rsidR="00D0636E" w:rsidRPr="00C534A9">
        <w:rPr>
          <w:rFonts w:ascii="Arial" w:hAnsi="Arial" w:cs="Arial"/>
          <w:sz w:val="22"/>
        </w:rPr>
        <w:t>i</w:t>
      </w:r>
      <w:r w:rsidR="00882797" w:rsidRPr="00C534A9">
        <w:rPr>
          <w:rFonts w:ascii="Arial" w:hAnsi="Arial" w:cs="Arial"/>
          <w:sz w:val="22"/>
        </w:rPr>
        <w:t xml:space="preserve">s </w:t>
      </w:r>
      <w:r w:rsidR="00D0636E" w:rsidRPr="00C534A9">
        <w:rPr>
          <w:rFonts w:ascii="Arial" w:hAnsi="Arial" w:cs="Arial"/>
          <w:sz w:val="22"/>
        </w:rPr>
        <w:t>economic</w:t>
      </w:r>
      <w:r w:rsidR="00C16F12" w:rsidRPr="00C534A9">
        <w:rPr>
          <w:rFonts w:ascii="Arial" w:hAnsi="Arial" w:cs="Arial"/>
          <w:sz w:val="22"/>
        </w:rPr>
        <w:t xml:space="preserve">, with an aggregate </w:t>
      </w:r>
      <w:r w:rsidR="00882797" w:rsidRPr="00C534A9">
        <w:rPr>
          <w:rFonts w:ascii="Arial" w:hAnsi="Arial" w:cs="Arial"/>
          <w:sz w:val="22"/>
        </w:rPr>
        <w:t>E</w:t>
      </w:r>
      <w:r w:rsidR="00C16F12" w:rsidRPr="00C534A9">
        <w:rPr>
          <w:rFonts w:ascii="Arial" w:hAnsi="Arial" w:cs="Arial"/>
          <w:sz w:val="22"/>
        </w:rPr>
        <w:t>NPV of US$</w:t>
      </w:r>
      <w:r w:rsidR="00882797" w:rsidRPr="00C534A9">
        <w:rPr>
          <w:rFonts w:ascii="Arial" w:hAnsi="Arial" w:cs="Arial"/>
          <w:sz w:val="22"/>
        </w:rPr>
        <w:t>43.1</w:t>
      </w:r>
      <w:r w:rsidR="00C16F12" w:rsidRPr="00C534A9">
        <w:rPr>
          <w:rFonts w:ascii="Arial" w:hAnsi="Arial" w:cs="Arial"/>
          <w:sz w:val="22"/>
        </w:rPr>
        <w:t xml:space="preserve"> million</w:t>
      </w:r>
      <w:r w:rsidR="00882797" w:rsidRPr="00C534A9">
        <w:rPr>
          <w:rFonts w:ascii="Arial" w:hAnsi="Arial" w:cs="Arial"/>
          <w:sz w:val="22"/>
        </w:rPr>
        <w:t xml:space="preserve"> and an</w:t>
      </w:r>
      <w:r w:rsidR="00C16F12" w:rsidRPr="00C534A9">
        <w:rPr>
          <w:rFonts w:ascii="Arial" w:hAnsi="Arial" w:cs="Arial"/>
          <w:sz w:val="22"/>
        </w:rPr>
        <w:t xml:space="preserve"> </w:t>
      </w:r>
      <w:r w:rsidR="00882797" w:rsidRPr="00C534A9">
        <w:rPr>
          <w:rFonts w:ascii="Arial" w:hAnsi="Arial" w:cs="Arial"/>
          <w:sz w:val="22"/>
        </w:rPr>
        <w:t>E</w:t>
      </w:r>
      <w:r w:rsidR="00F469E3" w:rsidRPr="00C534A9">
        <w:rPr>
          <w:rFonts w:ascii="Arial" w:hAnsi="Arial" w:cs="Arial"/>
          <w:sz w:val="22"/>
        </w:rPr>
        <w:t xml:space="preserve">IRR </w:t>
      </w:r>
      <w:r w:rsidR="00882797" w:rsidRPr="00C534A9">
        <w:rPr>
          <w:rFonts w:ascii="Arial" w:hAnsi="Arial" w:cs="Arial"/>
          <w:sz w:val="22"/>
        </w:rPr>
        <w:t>of</w:t>
      </w:r>
      <w:r w:rsidR="00F469E3" w:rsidRPr="00C534A9">
        <w:rPr>
          <w:rFonts w:ascii="Arial" w:hAnsi="Arial" w:cs="Arial"/>
          <w:sz w:val="22"/>
        </w:rPr>
        <w:t xml:space="preserve"> </w:t>
      </w:r>
      <w:r w:rsidR="00882797" w:rsidRPr="00C534A9">
        <w:rPr>
          <w:rFonts w:ascii="Arial" w:hAnsi="Arial" w:cs="Arial"/>
          <w:sz w:val="22"/>
        </w:rPr>
        <w:t>2</w:t>
      </w:r>
      <w:r w:rsidR="00D0636E" w:rsidRPr="00C534A9">
        <w:rPr>
          <w:rFonts w:ascii="Arial" w:hAnsi="Arial" w:cs="Arial"/>
          <w:sz w:val="22"/>
        </w:rPr>
        <w:t>2</w:t>
      </w:r>
      <w:r w:rsidR="00F469E3" w:rsidRPr="00C534A9">
        <w:rPr>
          <w:rFonts w:ascii="Arial" w:hAnsi="Arial" w:cs="Arial"/>
          <w:sz w:val="22"/>
        </w:rPr>
        <w:t xml:space="preserve">%. </w:t>
      </w:r>
      <w:r w:rsidR="00C16F12" w:rsidRPr="00C534A9">
        <w:rPr>
          <w:rFonts w:ascii="Arial" w:hAnsi="Arial" w:cs="Arial"/>
          <w:sz w:val="22"/>
        </w:rPr>
        <w:t xml:space="preserve">In the high oil price scenario, the aggregate </w:t>
      </w:r>
      <w:r w:rsidR="00882797" w:rsidRPr="00C534A9">
        <w:rPr>
          <w:rFonts w:ascii="Arial" w:hAnsi="Arial" w:cs="Arial"/>
          <w:sz w:val="22"/>
        </w:rPr>
        <w:t>E</w:t>
      </w:r>
      <w:r w:rsidR="00C16F12" w:rsidRPr="00C534A9">
        <w:rPr>
          <w:rFonts w:ascii="Arial" w:hAnsi="Arial" w:cs="Arial"/>
          <w:sz w:val="22"/>
        </w:rPr>
        <w:t>NPV increases to US$</w:t>
      </w:r>
      <w:r w:rsidR="00882797" w:rsidRPr="00C534A9">
        <w:rPr>
          <w:rFonts w:ascii="Arial" w:hAnsi="Arial" w:cs="Arial"/>
          <w:sz w:val="22"/>
        </w:rPr>
        <w:t>15</w:t>
      </w:r>
      <w:r w:rsidR="00D0636E" w:rsidRPr="00C534A9">
        <w:rPr>
          <w:rFonts w:ascii="Arial" w:hAnsi="Arial" w:cs="Arial"/>
          <w:sz w:val="22"/>
        </w:rPr>
        <w:t xml:space="preserve">0 </w:t>
      </w:r>
      <w:r w:rsidR="00C16F12" w:rsidRPr="00C534A9">
        <w:rPr>
          <w:rFonts w:ascii="Arial" w:hAnsi="Arial" w:cs="Arial"/>
          <w:sz w:val="22"/>
        </w:rPr>
        <w:t>million</w:t>
      </w:r>
      <w:r w:rsidR="00D0636E" w:rsidRPr="00C534A9">
        <w:rPr>
          <w:rFonts w:ascii="Arial" w:hAnsi="Arial" w:cs="Arial"/>
          <w:sz w:val="22"/>
        </w:rPr>
        <w:t xml:space="preserve"> with an EIRR of </w:t>
      </w:r>
      <w:r w:rsidR="00882797" w:rsidRPr="00C534A9">
        <w:rPr>
          <w:rFonts w:ascii="Arial" w:hAnsi="Arial" w:cs="Arial"/>
          <w:sz w:val="22"/>
        </w:rPr>
        <w:t>47</w:t>
      </w:r>
      <w:r w:rsidR="00D0636E" w:rsidRPr="00C534A9">
        <w:rPr>
          <w:rFonts w:ascii="Arial" w:hAnsi="Arial" w:cs="Arial"/>
          <w:sz w:val="22"/>
        </w:rPr>
        <w:t>%</w:t>
      </w:r>
      <w:r w:rsidR="00C16F12" w:rsidRPr="00C534A9">
        <w:rPr>
          <w:rFonts w:ascii="Arial" w:hAnsi="Arial" w:cs="Arial"/>
          <w:sz w:val="22"/>
        </w:rPr>
        <w:t>.</w:t>
      </w:r>
    </w:p>
    <w:p w:rsidR="00C16F12" w:rsidRPr="00C534A9" w:rsidRDefault="00C16F12" w:rsidP="00C534A9">
      <w:pPr>
        <w:pStyle w:val="Caption"/>
        <w:jc w:val="both"/>
        <w:rPr>
          <w:rFonts w:ascii="Arial" w:hAnsi="Arial" w:cs="Arial"/>
          <w:sz w:val="22"/>
        </w:rPr>
      </w:pPr>
      <w:bookmarkStart w:id="135" w:name="_Toc463508490"/>
      <w:bookmarkStart w:id="136" w:name="_Toc463508990"/>
      <w:proofErr w:type="gramStart"/>
      <w:r w:rsidRPr="00C534A9">
        <w:rPr>
          <w:rFonts w:ascii="Arial" w:hAnsi="Arial" w:cs="Arial"/>
          <w:sz w:val="22"/>
        </w:rPr>
        <w:t>Table 6.</w:t>
      </w:r>
      <w:proofErr w:type="gramEnd"/>
      <w:r w:rsidR="003343DE" w:rsidRPr="00C534A9">
        <w:rPr>
          <w:rFonts w:ascii="Arial" w:hAnsi="Arial" w:cs="Arial"/>
          <w:sz w:val="22"/>
        </w:rPr>
        <w:fldChar w:fldCharType="begin"/>
      </w:r>
      <w:r w:rsidR="003343DE" w:rsidRPr="00C534A9">
        <w:rPr>
          <w:rFonts w:ascii="Arial" w:hAnsi="Arial" w:cs="Arial"/>
          <w:sz w:val="22"/>
        </w:rPr>
        <w:instrText xml:space="preserve"> SEQ Table \* ARABIC \s 1 </w:instrText>
      </w:r>
      <w:r w:rsidR="003343DE" w:rsidRPr="00C534A9">
        <w:rPr>
          <w:rFonts w:ascii="Arial" w:hAnsi="Arial" w:cs="Arial"/>
          <w:sz w:val="22"/>
        </w:rPr>
        <w:fldChar w:fldCharType="separate"/>
      </w:r>
      <w:r w:rsidR="003F3D75" w:rsidRPr="00C534A9">
        <w:rPr>
          <w:rFonts w:ascii="Arial" w:hAnsi="Arial" w:cs="Arial"/>
          <w:noProof/>
          <w:sz w:val="22"/>
        </w:rPr>
        <w:t>3</w:t>
      </w:r>
      <w:r w:rsidR="003343DE" w:rsidRPr="00C534A9">
        <w:rPr>
          <w:rFonts w:ascii="Arial" w:hAnsi="Arial" w:cs="Arial"/>
          <w:noProof/>
          <w:sz w:val="22"/>
        </w:rPr>
        <w:fldChar w:fldCharType="end"/>
      </w:r>
      <w:r w:rsidRPr="00C534A9">
        <w:rPr>
          <w:rFonts w:ascii="Arial" w:hAnsi="Arial" w:cs="Arial"/>
          <w:sz w:val="22"/>
        </w:rPr>
        <w:t xml:space="preserve">: CBA Sensitivity to oil </w:t>
      </w:r>
      <w:r w:rsidR="00552328">
        <w:rPr>
          <w:rFonts w:ascii="Arial" w:hAnsi="Arial" w:cs="Arial"/>
          <w:sz w:val="22"/>
        </w:rPr>
        <w:t xml:space="preserve">and natural gas </w:t>
      </w:r>
      <w:r w:rsidRPr="00C534A9">
        <w:rPr>
          <w:rFonts w:ascii="Arial" w:hAnsi="Arial" w:cs="Arial"/>
          <w:sz w:val="22"/>
        </w:rPr>
        <w:t>price</w:t>
      </w:r>
      <w:r w:rsidR="003A6A5C" w:rsidRPr="00C534A9">
        <w:rPr>
          <w:rFonts w:ascii="Arial" w:hAnsi="Arial" w:cs="Arial"/>
          <w:sz w:val="22"/>
        </w:rPr>
        <w:t xml:space="preserve"> (US$ ‘000)</w:t>
      </w:r>
      <w:bookmarkEnd w:id="135"/>
      <w:bookmarkEnd w:id="136"/>
    </w:p>
    <w:tbl>
      <w:tblPr>
        <w:tblW w:w="8192" w:type="dxa"/>
        <w:jc w:val="center"/>
        <w:tblInd w:w="93" w:type="dxa"/>
        <w:tblLook w:val="04A0" w:firstRow="1" w:lastRow="0" w:firstColumn="1" w:lastColumn="0" w:noHBand="0" w:noVBand="1"/>
      </w:tblPr>
      <w:tblGrid>
        <w:gridCol w:w="2540"/>
        <w:gridCol w:w="1320"/>
        <w:gridCol w:w="2166"/>
        <w:gridCol w:w="2166"/>
      </w:tblGrid>
      <w:tr w:rsidR="007065A3" w:rsidRPr="00C534A9" w:rsidTr="00882797">
        <w:trPr>
          <w:trHeight w:val="315"/>
          <w:jc w:val="center"/>
        </w:trPr>
        <w:tc>
          <w:tcPr>
            <w:tcW w:w="2540"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b/>
                <w:bCs/>
                <w:color w:val="000000"/>
                <w:sz w:val="22"/>
                <w:szCs w:val="24"/>
              </w:rPr>
            </w:pPr>
            <w:r w:rsidRPr="00C534A9">
              <w:rPr>
                <w:rFonts w:ascii="Arial" w:eastAsia="Times New Roman" w:hAnsi="Arial" w:cs="Arial"/>
                <w:b/>
                <w:bCs/>
                <w:color w:val="000000"/>
                <w:sz w:val="22"/>
                <w:szCs w:val="24"/>
              </w:rPr>
              <w:t>Scenario:</w:t>
            </w:r>
          </w:p>
        </w:tc>
        <w:tc>
          <w:tcPr>
            <w:tcW w:w="1320"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b/>
                <w:bCs/>
                <w:color w:val="000000"/>
                <w:sz w:val="22"/>
                <w:szCs w:val="24"/>
              </w:rPr>
            </w:pPr>
            <w:r w:rsidRPr="00C534A9">
              <w:rPr>
                <w:rFonts w:ascii="Arial" w:eastAsia="Times New Roman" w:hAnsi="Arial" w:cs="Arial"/>
                <w:b/>
                <w:bCs/>
                <w:color w:val="000000"/>
                <w:sz w:val="22"/>
                <w:szCs w:val="24"/>
              </w:rPr>
              <w:t>Base</w:t>
            </w:r>
          </w:p>
        </w:tc>
        <w:tc>
          <w:tcPr>
            <w:tcW w:w="2166"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b/>
                <w:bCs/>
                <w:color w:val="000000"/>
                <w:sz w:val="22"/>
                <w:szCs w:val="24"/>
              </w:rPr>
            </w:pPr>
            <w:r w:rsidRPr="00C534A9">
              <w:rPr>
                <w:rFonts w:ascii="Arial" w:eastAsia="Times New Roman" w:hAnsi="Arial" w:cs="Arial"/>
                <w:b/>
                <w:bCs/>
                <w:color w:val="000000"/>
                <w:sz w:val="22"/>
                <w:szCs w:val="24"/>
              </w:rPr>
              <w:t>High</w:t>
            </w:r>
          </w:p>
        </w:tc>
        <w:tc>
          <w:tcPr>
            <w:tcW w:w="2166"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b/>
                <w:bCs/>
                <w:color w:val="000000"/>
                <w:sz w:val="22"/>
                <w:szCs w:val="24"/>
              </w:rPr>
            </w:pPr>
            <w:r w:rsidRPr="00C534A9">
              <w:rPr>
                <w:rFonts w:ascii="Arial" w:eastAsia="Times New Roman" w:hAnsi="Arial" w:cs="Arial"/>
                <w:b/>
                <w:bCs/>
                <w:color w:val="000000"/>
                <w:sz w:val="22"/>
                <w:szCs w:val="24"/>
              </w:rPr>
              <w:t>Low</w:t>
            </w:r>
          </w:p>
        </w:tc>
      </w:tr>
      <w:tr w:rsidR="00882797" w:rsidRPr="00C534A9" w:rsidTr="00882797">
        <w:trPr>
          <w:trHeight w:val="450"/>
          <w:jc w:val="center"/>
        </w:trPr>
        <w:tc>
          <w:tcPr>
            <w:tcW w:w="2540" w:type="dxa"/>
            <w:tcBorders>
              <w:top w:val="nil"/>
              <w:left w:val="nil"/>
              <w:bottom w:val="nil"/>
              <w:right w:val="nil"/>
            </w:tcBorders>
            <w:shd w:val="clear" w:color="auto" w:fill="auto"/>
            <w:noWrap/>
            <w:vAlign w:val="center"/>
            <w:hideMark/>
          </w:tcPr>
          <w:p w:rsidR="00882797" w:rsidRPr="00C534A9" w:rsidRDefault="00882797"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Present Value - Benefits</w:t>
            </w:r>
          </w:p>
        </w:tc>
        <w:tc>
          <w:tcPr>
            <w:tcW w:w="1320" w:type="dxa"/>
            <w:tcBorders>
              <w:top w:val="nil"/>
              <w:left w:val="nil"/>
              <w:bottom w:val="nil"/>
              <w:right w:val="nil"/>
            </w:tcBorders>
            <w:shd w:val="clear" w:color="auto" w:fill="auto"/>
            <w:noWrap/>
            <w:vAlign w:val="center"/>
            <w:hideMark/>
          </w:tcPr>
          <w:p w:rsidR="00882797" w:rsidRPr="00C534A9" w:rsidRDefault="00882797"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$518,436 </w:t>
            </w:r>
          </w:p>
        </w:tc>
        <w:tc>
          <w:tcPr>
            <w:tcW w:w="2166" w:type="dxa"/>
            <w:tcBorders>
              <w:top w:val="nil"/>
              <w:left w:val="nil"/>
              <w:bottom w:val="nil"/>
              <w:right w:val="nil"/>
            </w:tcBorders>
            <w:shd w:val="clear" w:color="auto" w:fill="auto"/>
            <w:noWrap/>
            <w:vAlign w:val="center"/>
            <w:hideMark/>
          </w:tcPr>
          <w:p w:rsidR="00882797" w:rsidRPr="00C534A9" w:rsidRDefault="00882797"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$636,476 </w:t>
            </w:r>
          </w:p>
        </w:tc>
        <w:tc>
          <w:tcPr>
            <w:tcW w:w="2166" w:type="dxa"/>
            <w:tcBorders>
              <w:top w:val="nil"/>
              <w:left w:val="nil"/>
              <w:bottom w:val="nil"/>
              <w:right w:val="nil"/>
            </w:tcBorders>
            <w:shd w:val="clear" w:color="auto" w:fill="auto"/>
            <w:noWrap/>
            <w:vAlign w:val="center"/>
            <w:hideMark/>
          </w:tcPr>
          <w:p w:rsidR="00882797" w:rsidRPr="00C534A9" w:rsidRDefault="00882797"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$459,224 </w:t>
            </w:r>
          </w:p>
        </w:tc>
      </w:tr>
      <w:tr w:rsidR="00882797" w:rsidRPr="00C534A9" w:rsidTr="00882797">
        <w:trPr>
          <w:trHeight w:val="450"/>
          <w:jc w:val="center"/>
        </w:trPr>
        <w:tc>
          <w:tcPr>
            <w:tcW w:w="2540" w:type="dxa"/>
            <w:tcBorders>
              <w:top w:val="nil"/>
              <w:left w:val="nil"/>
              <w:bottom w:val="single" w:sz="4" w:space="0" w:color="auto"/>
              <w:right w:val="nil"/>
            </w:tcBorders>
            <w:shd w:val="clear" w:color="auto" w:fill="auto"/>
            <w:noWrap/>
            <w:vAlign w:val="center"/>
            <w:hideMark/>
          </w:tcPr>
          <w:p w:rsidR="00882797" w:rsidRPr="00C534A9" w:rsidRDefault="00882797"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Present Value  - Costs</w:t>
            </w:r>
          </w:p>
        </w:tc>
        <w:tc>
          <w:tcPr>
            <w:tcW w:w="1320" w:type="dxa"/>
            <w:tcBorders>
              <w:top w:val="nil"/>
              <w:left w:val="nil"/>
              <w:bottom w:val="single" w:sz="4" w:space="0" w:color="auto"/>
              <w:right w:val="nil"/>
            </w:tcBorders>
            <w:shd w:val="clear" w:color="auto" w:fill="auto"/>
            <w:noWrap/>
            <w:vAlign w:val="center"/>
            <w:hideMark/>
          </w:tcPr>
          <w:p w:rsidR="00882797" w:rsidRPr="00C534A9" w:rsidRDefault="00882797" w:rsidP="00C534A9">
            <w:pPr>
              <w:spacing w:after="0" w:line="240" w:lineRule="auto"/>
              <w:jc w:val="both"/>
              <w:rPr>
                <w:rFonts w:ascii="Arial" w:eastAsia="Times New Roman" w:hAnsi="Arial" w:cs="Arial"/>
                <w:color w:val="000000"/>
                <w:sz w:val="22"/>
                <w:szCs w:val="24"/>
              </w:rPr>
            </w:pPr>
            <w:r w:rsidRPr="00C534A9">
              <w:rPr>
                <w:rFonts w:ascii="Arial" w:hAnsi="Arial" w:cs="Arial"/>
                <w:color w:val="FF0000"/>
                <w:sz w:val="22"/>
              </w:rPr>
              <w:t>($437,572)</w:t>
            </w:r>
          </w:p>
        </w:tc>
        <w:tc>
          <w:tcPr>
            <w:tcW w:w="2166" w:type="dxa"/>
            <w:tcBorders>
              <w:top w:val="nil"/>
              <w:left w:val="nil"/>
              <w:bottom w:val="single" w:sz="4" w:space="0" w:color="auto"/>
              <w:right w:val="nil"/>
            </w:tcBorders>
            <w:shd w:val="clear" w:color="auto" w:fill="auto"/>
            <w:noWrap/>
            <w:vAlign w:val="center"/>
            <w:hideMark/>
          </w:tcPr>
          <w:p w:rsidR="00882797" w:rsidRPr="00C534A9" w:rsidRDefault="00882797" w:rsidP="00C534A9">
            <w:pPr>
              <w:spacing w:after="0" w:line="240" w:lineRule="auto"/>
              <w:jc w:val="both"/>
              <w:rPr>
                <w:rFonts w:ascii="Arial" w:eastAsia="Times New Roman" w:hAnsi="Arial" w:cs="Arial"/>
                <w:color w:val="000000"/>
                <w:sz w:val="22"/>
                <w:szCs w:val="24"/>
              </w:rPr>
            </w:pPr>
            <w:r w:rsidRPr="00C534A9">
              <w:rPr>
                <w:rFonts w:ascii="Arial" w:hAnsi="Arial" w:cs="Arial"/>
                <w:color w:val="FF0000"/>
                <w:sz w:val="22"/>
              </w:rPr>
              <w:t>($486,109)</w:t>
            </w:r>
          </w:p>
        </w:tc>
        <w:tc>
          <w:tcPr>
            <w:tcW w:w="2166" w:type="dxa"/>
            <w:tcBorders>
              <w:top w:val="nil"/>
              <w:left w:val="nil"/>
              <w:bottom w:val="single" w:sz="4" w:space="0" w:color="auto"/>
              <w:right w:val="nil"/>
            </w:tcBorders>
            <w:shd w:val="clear" w:color="auto" w:fill="auto"/>
            <w:noWrap/>
            <w:vAlign w:val="center"/>
            <w:hideMark/>
          </w:tcPr>
          <w:p w:rsidR="00882797" w:rsidRPr="00C534A9" w:rsidRDefault="00882797" w:rsidP="00C534A9">
            <w:pPr>
              <w:spacing w:after="0" w:line="240" w:lineRule="auto"/>
              <w:jc w:val="both"/>
              <w:rPr>
                <w:rFonts w:ascii="Arial" w:eastAsia="Times New Roman" w:hAnsi="Arial" w:cs="Arial"/>
                <w:color w:val="000000"/>
                <w:sz w:val="22"/>
                <w:szCs w:val="24"/>
              </w:rPr>
            </w:pPr>
            <w:r w:rsidRPr="00C534A9">
              <w:rPr>
                <w:rFonts w:ascii="Arial" w:hAnsi="Arial" w:cs="Arial"/>
                <w:color w:val="FF0000"/>
                <w:sz w:val="22"/>
              </w:rPr>
              <w:t>($416,118)</w:t>
            </w:r>
          </w:p>
        </w:tc>
      </w:tr>
      <w:tr w:rsidR="00882797" w:rsidRPr="00C534A9" w:rsidTr="00882797">
        <w:trPr>
          <w:trHeight w:val="450"/>
          <w:jc w:val="center"/>
        </w:trPr>
        <w:tc>
          <w:tcPr>
            <w:tcW w:w="2540" w:type="dxa"/>
            <w:tcBorders>
              <w:top w:val="nil"/>
              <w:left w:val="nil"/>
              <w:bottom w:val="nil"/>
              <w:right w:val="nil"/>
            </w:tcBorders>
            <w:shd w:val="clear" w:color="auto" w:fill="auto"/>
            <w:noWrap/>
            <w:vAlign w:val="center"/>
            <w:hideMark/>
          </w:tcPr>
          <w:p w:rsidR="00882797" w:rsidRPr="00C534A9" w:rsidRDefault="00882797"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Net Present Value</w:t>
            </w:r>
          </w:p>
        </w:tc>
        <w:tc>
          <w:tcPr>
            <w:tcW w:w="1320" w:type="dxa"/>
            <w:tcBorders>
              <w:top w:val="nil"/>
              <w:left w:val="nil"/>
              <w:bottom w:val="nil"/>
              <w:right w:val="nil"/>
            </w:tcBorders>
            <w:shd w:val="clear" w:color="auto" w:fill="auto"/>
            <w:noWrap/>
            <w:vAlign w:val="center"/>
            <w:hideMark/>
          </w:tcPr>
          <w:p w:rsidR="00882797" w:rsidRPr="00C534A9" w:rsidRDefault="00882797"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$80,864 </w:t>
            </w:r>
          </w:p>
        </w:tc>
        <w:tc>
          <w:tcPr>
            <w:tcW w:w="2166" w:type="dxa"/>
            <w:tcBorders>
              <w:top w:val="nil"/>
              <w:left w:val="nil"/>
              <w:bottom w:val="nil"/>
              <w:right w:val="nil"/>
            </w:tcBorders>
            <w:shd w:val="clear" w:color="auto" w:fill="auto"/>
            <w:noWrap/>
            <w:vAlign w:val="center"/>
            <w:hideMark/>
          </w:tcPr>
          <w:p w:rsidR="00882797" w:rsidRPr="00C534A9" w:rsidRDefault="00882797"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$150,367 </w:t>
            </w:r>
          </w:p>
        </w:tc>
        <w:tc>
          <w:tcPr>
            <w:tcW w:w="2166" w:type="dxa"/>
            <w:tcBorders>
              <w:top w:val="nil"/>
              <w:left w:val="nil"/>
              <w:bottom w:val="nil"/>
              <w:right w:val="nil"/>
            </w:tcBorders>
            <w:shd w:val="clear" w:color="auto" w:fill="auto"/>
            <w:noWrap/>
            <w:vAlign w:val="center"/>
            <w:hideMark/>
          </w:tcPr>
          <w:p w:rsidR="00882797" w:rsidRPr="00C534A9" w:rsidRDefault="00882797"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$43,107 </w:t>
            </w:r>
          </w:p>
        </w:tc>
      </w:tr>
      <w:tr w:rsidR="00882797" w:rsidRPr="00C534A9" w:rsidTr="00882797">
        <w:trPr>
          <w:trHeight w:val="450"/>
          <w:jc w:val="center"/>
        </w:trPr>
        <w:tc>
          <w:tcPr>
            <w:tcW w:w="2540" w:type="dxa"/>
            <w:tcBorders>
              <w:top w:val="nil"/>
              <w:left w:val="nil"/>
              <w:bottom w:val="nil"/>
              <w:right w:val="nil"/>
            </w:tcBorders>
            <w:shd w:val="clear" w:color="auto" w:fill="auto"/>
            <w:noWrap/>
            <w:vAlign w:val="center"/>
            <w:hideMark/>
          </w:tcPr>
          <w:p w:rsidR="00882797" w:rsidRPr="00C534A9" w:rsidRDefault="00882797"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IRR</w:t>
            </w:r>
          </w:p>
        </w:tc>
        <w:tc>
          <w:tcPr>
            <w:tcW w:w="1320" w:type="dxa"/>
            <w:tcBorders>
              <w:top w:val="nil"/>
              <w:left w:val="nil"/>
              <w:bottom w:val="nil"/>
              <w:right w:val="nil"/>
            </w:tcBorders>
            <w:shd w:val="clear" w:color="auto" w:fill="auto"/>
            <w:noWrap/>
            <w:vAlign w:val="center"/>
            <w:hideMark/>
          </w:tcPr>
          <w:p w:rsidR="00882797" w:rsidRPr="00C534A9" w:rsidRDefault="00882797"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29%</w:t>
            </w:r>
          </w:p>
        </w:tc>
        <w:tc>
          <w:tcPr>
            <w:tcW w:w="2166" w:type="dxa"/>
            <w:tcBorders>
              <w:top w:val="nil"/>
              <w:left w:val="nil"/>
              <w:bottom w:val="nil"/>
              <w:right w:val="nil"/>
            </w:tcBorders>
            <w:shd w:val="clear" w:color="auto" w:fill="auto"/>
            <w:noWrap/>
            <w:vAlign w:val="center"/>
            <w:hideMark/>
          </w:tcPr>
          <w:p w:rsidR="00882797" w:rsidRPr="00C534A9" w:rsidRDefault="00882797"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47%</w:t>
            </w:r>
          </w:p>
        </w:tc>
        <w:tc>
          <w:tcPr>
            <w:tcW w:w="2166" w:type="dxa"/>
            <w:tcBorders>
              <w:top w:val="nil"/>
              <w:left w:val="nil"/>
              <w:bottom w:val="nil"/>
              <w:right w:val="nil"/>
            </w:tcBorders>
            <w:shd w:val="clear" w:color="auto" w:fill="auto"/>
            <w:noWrap/>
            <w:vAlign w:val="center"/>
            <w:hideMark/>
          </w:tcPr>
          <w:p w:rsidR="00882797" w:rsidRPr="00C534A9" w:rsidRDefault="00882797"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22%</w:t>
            </w:r>
          </w:p>
        </w:tc>
      </w:tr>
    </w:tbl>
    <w:p w:rsidR="00C16F12" w:rsidRPr="00C534A9" w:rsidRDefault="00C16F12" w:rsidP="00C534A9">
      <w:pPr>
        <w:pStyle w:val="Source"/>
        <w:jc w:val="both"/>
        <w:rPr>
          <w:rFonts w:ascii="Arial" w:hAnsi="Arial" w:cs="Arial"/>
          <w:sz w:val="18"/>
        </w:rPr>
      </w:pPr>
    </w:p>
    <w:p w:rsidR="00C16F12" w:rsidRPr="00C534A9" w:rsidRDefault="00C16F12" w:rsidP="00C534A9">
      <w:pPr>
        <w:jc w:val="both"/>
        <w:rPr>
          <w:rFonts w:ascii="Arial" w:hAnsi="Arial" w:cs="Arial"/>
          <w:sz w:val="22"/>
        </w:rPr>
      </w:pPr>
      <w:r w:rsidRPr="00C534A9">
        <w:rPr>
          <w:rFonts w:ascii="Arial" w:hAnsi="Arial" w:cs="Arial"/>
          <w:sz w:val="22"/>
        </w:rPr>
        <w:t>Table 6.</w:t>
      </w:r>
      <w:r w:rsidR="00D0636E" w:rsidRPr="00C534A9">
        <w:rPr>
          <w:rFonts w:ascii="Arial" w:hAnsi="Arial" w:cs="Arial"/>
          <w:sz w:val="22"/>
        </w:rPr>
        <w:t>4</w:t>
      </w:r>
      <w:r w:rsidRPr="00C534A9">
        <w:rPr>
          <w:rFonts w:ascii="Arial" w:hAnsi="Arial" w:cs="Arial"/>
          <w:sz w:val="22"/>
        </w:rPr>
        <w:t xml:space="preserve"> presents the results of changing the price of CO2. </w:t>
      </w:r>
      <w:r w:rsidR="009F2643" w:rsidRPr="00C534A9">
        <w:rPr>
          <w:rFonts w:ascii="Arial" w:hAnsi="Arial" w:cs="Arial"/>
          <w:sz w:val="22"/>
        </w:rPr>
        <w:t>The table shows</w:t>
      </w:r>
      <w:r w:rsidRPr="00C534A9">
        <w:rPr>
          <w:rFonts w:ascii="Arial" w:hAnsi="Arial" w:cs="Arial"/>
          <w:sz w:val="22"/>
        </w:rPr>
        <w:t xml:space="preserve"> the present value of the costs, benefits, and net benefits of the VS LNG terminal for a high case (annual CO2 prices are US$15 per </w:t>
      </w:r>
      <w:r w:rsidR="00997A64" w:rsidRPr="00C534A9">
        <w:rPr>
          <w:rFonts w:ascii="Arial" w:hAnsi="Arial" w:cs="Arial"/>
          <w:sz w:val="22"/>
        </w:rPr>
        <w:t>ton</w:t>
      </w:r>
      <w:r w:rsidRPr="00C534A9">
        <w:rPr>
          <w:rFonts w:ascii="Arial" w:hAnsi="Arial" w:cs="Arial"/>
          <w:sz w:val="22"/>
        </w:rPr>
        <w:t xml:space="preserve">, or 50% higher than the base case projection) and low case (annual CO2 prices are US$6 per </w:t>
      </w:r>
      <w:r w:rsidR="00997A64" w:rsidRPr="00C534A9">
        <w:rPr>
          <w:rFonts w:ascii="Arial" w:hAnsi="Arial" w:cs="Arial"/>
          <w:sz w:val="22"/>
        </w:rPr>
        <w:t>ton</w:t>
      </w:r>
      <w:r w:rsidRPr="00C534A9">
        <w:rPr>
          <w:rFonts w:ascii="Arial" w:hAnsi="Arial" w:cs="Arial"/>
          <w:sz w:val="22"/>
        </w:rPr>
        <w:t xml:space="preserve">, or 40% lower than the base case projection) as well as the base case (annual CO2 prices are US$10 per </w:t>
      </w:r>
      <w:r w:rsidR="00997A64" w:rsidRPr="00C534A9">
        <w:rPr>
          <w:rFonts w:ascii="Arial" w:hAnsi="Arial" w:cs="Arial"/>
          <w:sz w:val="22"/>
        </w:rPr>
        <w:t>ton</w:t>
      </w:r>
      <w:r w:rsidRPr="00C534A9">
        <w:rPr>
          <w:rFonts w:ascii="Arial" w:hAnsi="Arial" w:cs="Arial"/>
          <w:sz w:val="22"/>
        </w:rPr>
        <w:t>). The table shows that even after lowering the CO2 price by 40%, the VS LNG terminal remains economically viable, with an aggregate NPV of US$</w:t>
      </w:r>
      <w:r w:rsidR="005E2AC8" w:rsidRPr="00C534A9">
        <w:rPr>
          <w:rFonts w:ascii="Arial" w:hAnsi="Arial" w:cs="Arial"/>
          <w:sz w:val="22"/>
        </w:rPr>
        <w:t xml:space="preserve">78 </w:t>
      </w:r>
      <w:r w:rsidRPr="00C534A9">
        <w:rPr>
          <w:rFonts w:ascii="Arial" w:hAnsi="Arial" w:cs="Arial"/>
          <w:sz w:val="22"/>
        </w:rPr>
        <w:t>million. In the high CO2 price scenario, the aggregate NPV increases to US$</w:t>
      </w:r>
      <w:r w:rsidR="005E2AC8" w:rsidRPr="00C534A9">
        <w:rPr>
          <w:rFonts w:ascii="Arial" w:hAnsi="Arial" w:cs="Arial"/>
          <w:sz w:val="22"/>
        </w:rPr>
        <w:t xml:space="preserve">84 </w:t>
      </w:r>
      <w:r w:rsidRPr="00C534A9">
        <w:rPr>
          <w:rFonts w:ascii="Arial" w:hAnsi="Arial" w:cs="Arial"/>
          <w:sz w:val="22"/>
        </w:rPr>
        <w:t>million.</w:t>
      </w:r>
    </w:p>
    <w:p w:rsidR="00C16F12" w:rsidRPr="00C534A9" w:rsidRDefault="00C16F12" w:rsidP="00C534A9">
      <w:pPr>
        <w:pStyle w:val="Caption"/>
        <w:jc w:val="both"/>
        <w:rPr>
          <w:rFonts w:ascii="Arial" w:hAnsi="Arial" w:cs="Arial"/>
          <w:sz w:val="22"/>
        </w:rPr>
      </w:pPr>
      <w:bookmarkStart w:id="137" w:name="_Toc463508991"/>
      <w:r w:rsidRPr="00C534A9">
        <w:rPr>
          <w:rFonts w:ascii="Arial" w:hAnsi="Arial" w:cs="Arial"/>
          <w:sz w:val="22"/>
        </w:rPr>
        <w:t>Table 6.</w:t>
      </w:r>
      <w:r w:rsidR="00D0636E" w:rsidRPr="00C534A9">
        <w:rPr>
          <w:rFonts w:ascii="Arial" w:hAnsi="Arial" w:cs="Arial"/>
          <w:sz w:val="22"/>
        </w:rPr>
        <w:t>4</w:t>
      </w:r>
      <w:r w:rsidRPr="00C534A9">
        <w:rPr>
          <w:rFonts w:ascii="Arial" w:hAnsi="Arial" w:cs="Arial"/>
          <w:sz w:val="22"/>
        </w:rPr>
        <w:t>: CBA Sensitivity to CO2 price</w:t>
      </w:r>
      <w:r w:rsidR="003A6A5C" w:rsidRPr="00C534A9">
        <w:rPr>
          <w:rFonts w:ascii="Arial" w:hAnsi="Arial" w:cs="Arial"/>
          <w:sz w:val="22"/>
        </w:rPr>
        <w:t xml:space="preserve"> (US$ ‘000)</w:t>
      </w:r>
      <w:bookmarkEnd w:id="137"/>
    </w:p>
    <w:tbl>
      <w:tblPr>
        <w:tblW w:w="6500" w:type="dxa"/>
        <w:jc w:val="center"/>
        <w:tblInd w:w="93" w:type="dxa"/>
        <w:tblLook w:val="04A0" w:firstRow="1" w:lastRow="0" w:firstColumn="1" w:lastColumn="0" w:noHBand="0" w:noVBand="1"/>
      </w:tblPr>
      <w:tblGrid>
        <w:gridCol w:w="2540"/>
        <w:gridCol w:w="1320"/>
        <w:gridCol w:w="1320"/>
        <w:gridCol w:w="1320"/>
      </w:tblGrid>
      <w:tr w:rsidR="007065A3" w:rsidRPr="00C534A9" w:rsidTr="007065A3">
        <w:trPr>
          <w:trHeight w:val="315"/>
          <w:jc w:val="center"/>
        </w:trPr>
        <w:tc>
          <w:tcPr>
            <w:tcW w:w="2540"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b/>
                <w:bCs/>
                <w:color w:val="000000"/>
                <w:sz w:val="22"/>
                <w:szCs w:val="24"/>
              </w:rPr>
            </w:pPr>
            <w:r w:rsidRPr="00C534A9">
              <w:rPr>
                <w:rFonts w:ascii="Arial" w:eastAsia="Times New Roman" w:hAnsi="Arial" w:cs="Arial"/>
                <w:b/>
                <w:bCs/>
                <w:color w:val="000000"/>
                <w:sz w:val="22"/>
                <w:szCs w:val="24"/>
              </w:rPr>
              <w:t>Scenario:</w:t>
            </w:r>
          </w:p>
        </w:tc>
        <w:tc>
          <w:tcPr>
            <w:tcW w:w="1320"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b/>
                <w:bCs/>
                <w:color w:val="000000"/>
                <w:sz w:val="22"/>
                <w:szCs w:val="24"/>
              </w:rPr>
            </w:pPr>
            <w:r w:rsidRPr="00C534A9">
              <w:rPr>
                <w:rFonts w:ascii="Arial" w:eastAsia="Times New Roman" w:hAnsi="Arial" w:cs="Arial"/>
                <w:b/>
                <w:bCs/>
                <w:color w:val="000000"/>
                <w:sz w:val="22"/>
                <w:szCs w:val="24"/>
              </w:rPr>
              <w:t>Base</w:t>
            </w:r>
          </w:p>
        </w:tc>
        <w:tc>
          <w:tcPr>
            <w:tcW w:w="1320"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b/>
                <w:bCs/>
                <w:color w:val="000000"/>
                <w:sz w:val="22"/>
                <w:szCs w:val="24"/>
              </w:rPr>
            </w:pPr>
            <w:r w:rsidRPr="00C534A9">
              <w:rPr>
                <w:rFonts w:ascii="Arial" w:eastAsia="Times New Roman" w:hAnsi="Arial" w:cs="Arial"/>
                <w:b/>
                <w:bCs/>
                <w:color w:val="000000"/>
                <w:sz w:val="22"/>
                <w:szCs w:val="24"/>
              </w:rPr>
              <w:t>High</w:t>
            </w:r>
          </w:p>
        </w:tc>
        <w:tc>
          <w:tcPr>
            <w:tcW w:w="1320"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b/>
                <w:bCs/>
                <w:color w:val="000000"/>
                <w:sz w:val="22"/>
                <w:szCs w:val="24"/>
              </w:rPr>
            </w:pPr>
            <w:r w:rsidRPr="00C534A9">
              <w:rPr>
                <w:rFonts w:ascii="Arial" w:eastAsia="Times New Roman" w:hAnsi="Arial" w:cs="Arial"/>
                <w:b/>
                <w:bCs/>
                <w:color w:val="000000"/>
                <w:sz w:val="22"/>
                <w:szCs w:val="24"/>
              </w:rPr>
              <w:t>Low</w:t>
            </w:r>
          </w:p>
        </w:tc>
      </w:tr>
      <w:tr w:rsidR="007065A3" w:rsidRPr="00C534A9" w:rsidTr="007065A3">
        <w:trPr>
          <w:trHeight w:val="315"/>
          <w:jc w:val="center"/>
        </w:trPr>
        <w:tc>
          <w:tcPr>
            <w:tcW w:w="2540"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color w:val="000000"/>
                <w:sz w:val="22"/>
                <w:szCs w:val="24"/>
                <w:u w:val="single"/>
              </w:rPr>
            </w:pPr>
            <w:r w:rsidRPr="00C534A9">
              <w:rPr>
                <w:rFonts w:ascii="Arial" w:eastAsia="Times New Roman" w:hAnsi="Arial" w:cs="Arial"/>
                <w:color w:val="000000"/>
                <w:sz w:val="22"/>
                <w:szCs w:val="24"/>
                <w:u w:val="single"/>
              </w:rPr>
              <w:t>US$/tCO2:</w:t>
            </w:r>
          </w:p>
        </w:tc>
        <w:tc>
          <w:tcPr>
            <w:tcW w:w="1320"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color w:val="000000"/>
                <w:sz w:val="22"/>
                <w:szCs w:val="24"/>
                <w:u w:val="single"/>
              </w:rPr>
            </w:pPr>
            <w:r w:rsidRPr="00C534A9">
              <w:rPr>
                <w:rFonts w:ascii="Arial" w:eastAsia="Times New Roman" w:hAnsi="Arial" w:cs="Arial"/>
                <w:color w:val="000000"/>
                <w:sz w:val="22"/>
                <w:szCs w:val="24"/>
                <w:u w:val="single"/>
              </w:rPr>
              <w:t>10.00</w:t>
            </w:r>
          </w:p>
        </w:tc>
        <w:tc>
          <w:tcPr>
            <w:tcW w:w="1320"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color w:val="000000"/>
                <w:sz w:val="22"/>
                <w:szCs w:val="24"/>
                <w:u w:val="single"/>
              </w:rPr>
            </w:pPr>
            <w:r w:rsidRPr="00C534A9">
              <w:rPr>
                <w:rFonts w:ascii="Arial" w:eastAsia="Times New Roman" w:hAnsi="Arial" w:cs="Arial"/>
                <w:color w:val="000000"/>
                <w:sz w:val="22"/>
                <w:szCs w:val="24"/>
                <w:u w:val="single"/>
              </w:rPr>
              <w:t>15.00</w:t>
            </w:r>
          </w:p>
        </w:tc>
        <w:tc>
          <w:tcPr>
            <w:tcW w:w="1320" w:type="dxa"/>
            <w:tcBorders>
              <w:top w:val="nil"/>
              <w:left w:val="nil"/>
              <w:bottom w:val="nil"/>
              <w:right w:val="nil"/>
            </w:tcBorders>
            <w:shd w:val="clear" w:color="000000" w:fill="F2F2F2"/>
            <w:noWrap/>
            <w:vAlign w:val="center"/>
            <w:hideMark/>
          </w:tcPr>
          <w:p w:rsidR="007065A3" w:rsidRPr="00C534A9" w:rsidRDefault="007065A3" w:rsidP="00C534A9">
            <w:pPr>
              <w:spacing w:after="0" w:line="240" w:lineRule="auto"/>
              <w:jc w:val="both"/>
              <w:rPr>
                <w:rFonts w:ascii="Arial" w:eastAsia="Times New Roman" w:hAnsi="Arial" w:cs="Arial"/>
                <w:color w:val="000000"/>
                <w:sz w:val="22"/>
                <w:szCs w:val="24"/>
                <w:u w:val="single"/>
              </w:rPr>
            </w:pPr>
            <w:r w:rsidRPr="00C534A9">
              <w:rPr>
                <w:rFonts w:ascii="Arial" w:eastAsia="Times New Roman" w:hAnsi="Arial" w:cs="Arial"/>
                <w:color w:val="000000"/>
                <w:sz w:val="22"/>
                <w:szCs w:val="24"/>
                <w:u w:val="single"/>
              </w:rPr>
              <w:t>6.00</w:t>
            </w:r>
          </w:p>
        </w:tc>
      </w:tr>
      <w:tr w:rsidR="005E2AC8" w:rsidRPr="00C534A9" w:rsidTr="007065A3">
        <w:trPr>
          <w:trHeight w:val="315"/>
          <w:jc w:val="center"/>
        </w:trPr>
        <w:tc>
          <w:tcPr>
            <w:tcW w:w="2540" w:type="dxa"/>
            <w:tcBorders>
              <w:top w:val="nil"/>
              <w:left w:val="nil"/>
              <w:bottom w:val="nil"/>
              <w:right w:val="nil"/>
            </w:tcBorders>
            <w:shd w:val="clear" w:color="auto" w:fill="auto"/>
            <w:noWrap/>
            <w:vAlign w:val="center"/>
            <w:hideMark/>
          </w:tcPr>
          <w:p w:rsidR="005E2AC8" w:rsidRPr="00C534A9" w:rsidRDefault="005E2AC8"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Present Value - Benefits</w:t>
            </w:r>
          </w:p>
        </w:tc>
        <w:tc>
          <w:tcPr>
            <w:tcW w:w="1320" w:type="dxa"/>
            <w:tcBorders>
              <w:top w:val="nil"/>
              <w:left w:val="nil"/>
              <w:bottom w:val="nil"/>
              <w:right w:val="nil"/>
            </w:tcBorders>
            <w:shd w:val="clear" w:color="auto" w:fill="auto"/>
            <w:noWrap/>
            <w:vAlign w:val="center"/>
            <w:hideMark/>
          </w:tcPr>
          <w:p w:rsidR="005E2AC8" w:rsidRPr="00C534A9" w:rsidRDefault="005E2AC8"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$518,436 </w:t>
            </w:r>
          </w:p>
        </w:tc>
        <w:tc>
          <w:tcPr>
            <w:tcW w:w="1320" w:type="dxa"/>
            <w:tcBorders>
              <w:top w:val="nil"/>
              <w:left w:val="nil"/>
              <w:bottom w:val="nil"/>
              <w:right w:val="nil"/>
            </w:tcBorders>
            <w:shd w:val="clear" w:color="auto" w:fill="auto"/>
            <w:noWrap/>
            <w:vAlign w:val="center"/>
            <w:hideMark/>
          </w:tcPr>
          <w:p w:rsidR="005E2AC8" w:rsidRPr="00C534A9" w:rsidRDefault="005E2AC8"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$527,754 </w:t>
            </w:r>
          </w:p>
        </w:tc>
        <w:tc>
          <w:tcPr>
            <w:tcW w:w="1320" w:type="dxa"/>
            <w:tcBorders>
              <w:top w:val="nil"/>
              <w:left w:val="nil"/>
              <w:bottom w:val="nil"/>
              <w:right w:val="nil"/>
            </w:tcBorders>
            <w:shd w:val="clear" w:color="auto" w:fill="auto"/>
            <w:noWrap/>
            <w:vAlign w:val="center"/>
            <w:hideMark/>
          </w:tcPr>
          <w:p w:rsidR="005E2AC8" w:rsidRPr="00C534A9" w:rsidRDefault="005E2AC8"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$510,981 </w:t>
            </w:r>
          </w:p>
        </w:tc>
      </w:tr>
      <w:tr w:rsidR="005E2AC8" w:rsidRPr="00C534A9" w:rsidTr="007065A3">
        <w:trPr>
          <w:trHeight w:val="315"/>
          <w:jc w:val="center"/>
        </w:trPr>
        <w:tc>
          <w:tcPr>
            <w:tcW w:w="2540" w:type="dxa"/>
            <w:tcBorders>
              <w:top w:val="nil"/>
              <w:left w:val="nil"/>
              <w:bottom w:val="single" w:sz="4" w:space="0" w:color="auto"/>
              <w:right w:val="nil"/>
            </w:tcBorders>
            <w:shd w:val="clear" w:color="auto" w:fill="auto"/>
            <w:noWrap/>
            <w:vAlign w:val="center"/>
            <w:hideMark/>
          </w:tcPr>
          <w:p w:rsidR="005E2AC8" w:rsidRPr="00C534A9" w:rsidRDefault="005E2AC8"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Present Value  - Costs</w:t>
            </w:r>
          </w:p>
        </w:tc>
        <w:tc>
          <w:tcPr>
            <w:tcW w:w="1320" w:type="dxa"/>
            <w:tcBorders>
              <w:top w:val="nil"/>
              <w:left w:val="nil"/>
              <w:bottom w:val="single" w:sz="4" w:space="0" w:color="auto"/>
              <w:right w:val="nil"/>
            </w:tcBorders>
            <w:shd w:val="clear" w:color="auto" w:fill="auto"/>
            <w:noWrap/>
            <w:vAlign w:val="center"/>
            <w:hideMark/>
          </w:tcPr>
          <w:p w:rsidR="005E2AC8" w:rsidRPr="00C534A9" w:rsidRDefault="005E2AC8" w:rsidP="00C534A9">
            <w:pPr>
              <w:spacing w:after="0" w:line="240" w:lineRule="auto"/>
              <w:jc w:val="both"/>
              <w:rPr>
                <w:rFonts w:ascii="Arial" w:eastAsia="Times New Roman" w:hAnsi="Arial" w:cs="Arial"/>
                <w:color w:val="000000"/>
                <w:sz w:val="22"/>
                <w:szCs w:val="24"/>
              </w:rPr>
            </w:pPr>
            <w:r w:rsidRPr="00C534A9">
              <w:rPr>
                <w:rFonts w:ascii="Arial" w:hAnsi="Arial" w:cs="Arial"/>
                <w:color w:val="FF0000"/>
                <w:sz w:val="22"/>
              </w:rPr>
              <w:t>($437,572)</w:t>
            </w:r>
          </w:p>
        </w:tc>
        <w:tc>
          <w:tcPr>
            <w:tcW w:w="1320" w:type="dxa"/>
            <w:tcBorders>
              <w:top w:val="nil"/>
              <w:left w:val="nil"/>
              <w:bottom w:val="single" w:sz="4" w:space="0" w:color="auto"/>
              <w:right w:val="nil"/>
            </w:tcBorders>
            <w:shd w:val="clear" w:color="auto" w:fill="auto"/>
            <w:noWrap/>
            <w:vAlign w:val="center"/>
            <w:hideMark/>
          </w:tcPr>
          <w:p w:rsidR="005E2AC8" w:rsidRPr="00C534A9" w:rsidRDefault="005E2AC8" w:rsidP="00C534A9">
            <w:pPr>
              <w:spacing w:after="0" w:line="240" w:lineRule="auto"/>
              <w:jc w:val="both"/>
              <w:rPr>
                <w:rFonts w:ascii="Arial" w:eastAsia="Times New Roman" w:hAnsi="Arial" w:cs="Arial"/>
                <w:color w:val="000000"/>
                <w:sz w:val="22"/>
                <w:szCs w:val="24"/>
              </w:rPr>
            </w:pPr>
            <w:r w:rsidRPr="00C534A9">
              <w:rPr>
                <w:rFonts w:ascii="Arial" w:hAnsi="Arial" w:cs="Arial"/>
                <w:color w:val="FF0000"/>
                <w:sz w:val="22"/>
              </w:rPr>
              <w:t>($443,454)</w:t>
            </w:r>
          </w:p>
        </w:tc>
        <w:tc>
          <w:tcPr>
            <w:tcW w:w="1320" w:type="dxa"/>
            <w:tcBorders>
              <w:top w:val="nil"/>
              <w:left w:val="nil"/>
              <w:bottom w:val="single" w:sz="4" w:space="0" w:color="auto"/>
              <w:right w:val="nil"/>
            </w:tcBorders>
            <w:shd w:val="clear" w:color="auto" w:fill="auto"/>
            <w:noWrap/>
            <w:vAlign w:val="center"/>
            <w:hideMark/>
          </w:tcPr>
          <w:p w:rsidR="005E2AC8" w:rsidRPr="00C534A9" w:rsidRDefault="005E2AC8" w:rsidP="00C534A9">
            <w:pPr>
              <w:spacing w:after="0" w:line="240" w:lineRule="auto"/>
              <w:jc w:val="both"/>
              <w:rPr>
                <w:rFonts w:ascii="Arial" w:eastAsia="Times New Roman" w:hAnsi="Arial" w:cs="Arial"/>
                <w:color w:val="000000"/>
                <w:sz w:val="22"/>
                <w:szCs w:val="24"/>
              </w:rPr>
            </w:pPr>
            <w:r w:rsidRPr="00C534A9">
              <w:rPr>
                <w:rFonts w:ascii="Arial" w:hAnsi="Arial" w:cs="Arial"/>
                <w:color w:val="FF0000"/>
                <w:sz w:val="22"/>
              </w:rPr>
              <w:t>($432,866)</w:t>
            </w:r>
          </w:p>
        </w:tc>
      </w:tr>
      <w:tr w:rsidR="005E2AC8" w:rsidRPr="00C534A9" w:rsidTr="007065A3">
        <w:trPr>
          <w:trHeight w:val="315"/>
          <w:jc w:val="center"/>
        </w:trPr>
        <w:tc>
          <w:tcPr>
            <w:tcW w:w="2540" w:type="dxa"/>
            <w:tcBorders>
              <w:top w:val="nil"/>
              <w:left w:val="nil"/>
              <w:bottom w:val="nil"/>
              <w:right w:val="nil"/>
            </w:tcBorders>
            <w:shd w:val="clear" w:color="auto" w:fill="auto"/>
            <w:noWrap/>
            <w:vAlign w:val="center"/>
            <w:hideMark/>
          </w:tcPr>
          <w:p w:rsidR="005E2AC8" w:rsidRPr="00C534A9" w:rsidRDefault="005E2AC8"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Net Present Value</w:t>
            </w:r>
          </w:p>
        </w:tc>
        <w:tc>
          <w:tcPr>
            <w:tcW w:w="1320" w:type="dxa"/>
            <w:tcBorders>
              <w:top w:val="nil"/>
              <w:left w:val="nil"/>
              <w:bottom w:val="nil"/>
              <w:right w:val="nil"/>
            </w:tcBorders>
            <w:shd w:val="clear" w:color="auto" w:fill="auto"/>
            <w:noWrap/>
            <w:vAlign w:val="center"/>
            <w:hideMark/>
          </w:tcPr>
          <w:p w:rsidR="005E2AC8" w:rsidRPr="00C534A9" w:rsidRDefault="005E2AC8"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$80,864 </w:t>
            </w:r>
          </w:p>
        </w:tc>
        <w:tc>
          <w:tcPr>
            <w:tcW w:w="1320" w:type="dxa"/>
            <w:tcBorders>
              <w:top w:val="nil"/>
              <w:left w:val="nil"/>
              <w:bottom w:val="nil"/>
              <w:right w:val="nil"/>
            </w:tcBorders>
            <w:shd w:val="clear" w:color="auto" w:fill="auto"/>
            <w:noWrap/>
            <w:vAlign w:val="center"/>
            <w:hideMark/>
          </w:tcPr>
          <w:p w:rsidR="005E2AC8" w:rsidRPr="00C534A9" w:rsidRDefault="005E2AC8"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$84,300 </w:t>
            </w:r>
          </w:p>
        </w:tc>
        <w:tc>
          <w:tcPr>
            <w:tcW w:w="1320" w:type="dxa"/>
            <w:tcBorders>
              <w:top w:val="nil"/>
              <w:left w:val="nil"/>
              <w:bottom w:val="nil"/>
              <w:right w:val="nil"/>
            </w:tcBorders>
            <w:shd w:val="clear" w:color="auto" w:fill="auto"/>
            <w:noWrap/>
            <w:vAlign w:val="center"/>
            <w:hideMark/>
          </w:tcPr>
          <w:p w:rsidR="005E2AC8" w:rsidRPr="00C534A9" w:rsidRDefault="005E2AC8"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 xml:space="preserve">$78,116 </w:t>
            </w:r>
          </w:p>
        </w:tc>
      </w:tr>
      <w:tr w:rsidR="005E2AC8" w:rsidRPr="00C534A9" w:rsidTr="007065A3">
        <w:trPr>
          <w:trHeight w:val="315"/>
          <w:jc w:val="center"/>
        </w:trPr>
        <w:tc>
          <w:tcPr>
            <w:tcW w:w="2540" w:type="dxa"/>
            <w:tcBorders>
              <w:top w:val="nil"/>
              <w:left w:val="nil"/>
              <w:bottom w:val="nil"/>
              <w:right w:val="nil"/>
            </w:tcBorders>
            <w:shd w:val="clear" w:color="auto" w:fill="auto"/>
            <w:noWrap/>
            <w:vAlign w:val="center"/>
            <w:hideMark/>
          </w:tcPr>
          <w:p w:rsidR="005E2AC8" w:rsidRPr="00C534A9" w:rsidRDefault="005E2AC8"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IRR</w:t>
            </w:r>
          </w:p>
        </w:tc>
        <w:tc>
          <w:tcPr>
            <w:tcW w:w="1320" w:type="dxa"/>
            <w:tcBorders>
              <w:top w:val="nil"/>
              <w:left w:val="nil"/>
              <w:bottom w:val="nil"/>
              <w:right w:val="nil"/>
            </w:tcBorders>
            <w:shd w:val="clear" w:color="auto" w:fill="auto"/>
            <w:noWrap/>
            <w:vAlign w:val="center"/>
            <w:hideMark/>
          </w:tcPr>
          <w:p w:rsidR="005E2AC8" w:rsidRPr="00C534A9" w:rsidRDefault="005E2AC8"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29%</w:t>
            </w:r>
          </w:p>
        </w:tc>
        <w:tc>
          <w:tcPr>
            <w:tcW w:w="1320" w:type="dxa"/>
            <w:tcBorders>
              <w:top w:val="nil"/>
              <w:left w:val="nil"/>
              <w:bottom w:val="nil"/>
              <w:right w:val="nil"/>
            </w:tcBorders>
            <w:shd w:val="clear" w:color="auto" w:fill="auto"/>
            <w:noWrap/>
            <w:vAlign w:val="center"/>
            <w:hideMark/>
          </w:tcPr>
          <w:p w:rsidR="005E2AC8" w:rsidRPr="00C534A9" w:rsidRDefault="005E2AC8"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29%</w:t>
            </w:r>
          </w:p>
        </w:tc>
        <w:tc>
          <w:tcPr>
            <w:tcW w:w="1320" w:type="dxa"/>
            <w:tcBorders>
              <w:top w:val="nil"/>
              <w:left w:val="nil"/>
              <w:bottom w:val="nil"/>
              <w:right w:val="nil"/>
            </w:tcBorders>
            <w:shd w:val="clear" w:color="auto" w:fill="auto"/>
            <w:noWrap/>
            <w:vAlign w:val="center"/>
            <w:hideMark/>
          </w:tcPr>
          <w:p w:rsidR="005E2AC8" w:rsidRPr="00C534A9" w:rsidRDefault="005E2AC8" w:rsidP="00C534A9">
            <w:pPr>
              <w:spacing w:after="0" w:line="240" w:lineRule="auto"/>
              <w:jc w:val="both"/>
              <w:rPr>
                <w:rFonts w:ascii="Arial" w:eastAsia="Times New Roman" w:hAnsi="Arial" w:cs="Arial"/>
                <w:color w:val="000000"/>
                <w:sz w:val="22"/>
                <w:szCs w:val="24"/>
              </w:rPr>
            </w:pPr>
            <w:r w:rsidRPr="00C534A9">
              <w:rPr>
                <w:rFonts w:ascii="Arial" w:hAnsi="Arial" w:cs="Arial"/>
                <w:color w:val="000000"/>
                <w:sz w:val="22"/>
              </w:rPr>
              <w:t>28%</w:t>
            </w:r>
          </w:p>
        </w:tc>
      </w:tr>
    </w:tbl>
    <w:p w:rsidR="00220712" w:rsidRPr="00C534A9" w:rsidRDefault="00220712" w:rsidP="00C534A9">
      <w:pPr>
        <w:jc w:val="both"/>
        <w:rPr>
          <w:rFonts w:ascii="Arial" w:hAnsi="Arial" w:cs="Arial"/>
          <w:sz w:val="22"/>
        </w:rPr>
      </w:pPr>
    </w:p>
    <w:p w:rsidR="00C16F12" w:rsidRPr="00C534A9" w:rsidRDefault="00C16F12" w:rsidP="00C534A9">
      <w:pPr>
        <w:pStyle w:val="Source"/>
        <w:jc w:val="both"/>
        <w:rPr>
          <w:rFonts w:ascii="Arial" w:hAnsi="Arial" w:cs="Arial"/>
          <w:sz w:val="18"/>
        </w:rPr>
      </w:pPr>
    </w:p>
    <w:p w:rsidR="006D749C" w:rsidRPr="00C534A9" w:rsidRDefault="006D749C" w:rsidP="00C534A9">
      <w:pPr>
        <w:jc w:val="both"/>
        <w:rPr>
          <w:rFonts w:ascii="Arial" w:hAnsi="Arial" w:cs="Arial"/>
          <w:sz w:val="22"/>
        </w:rPr>
      </w:pPr>
      <w:r w:rsidRPr="00C534A9">
        <w:rPr>
          <w:rFonts w:ascii="Arial" w:hAnsi="Arial" w:cs="Arial"/>
          <w:sz w:val="22"/>
        </w:rPr>
        <w:t xml:space="preserve">In a “worst case” scenario in which all three variables are set to the Low value (a low oil </w:t>
      </w:r>
      <w:r w:rsidR="00D0636E" w:rsidRPr="00C534A9">
        <w:rPr>
          <w:rFonts w:ascii="Arial" w:hAnsi="Arial" w:cs="Arial"/>
          <w:sz w:val="22"/>
        </w:rPr>
        <w:t>and natural gas price</w:t>
      </w:r>
      <w:r w:rsidRPr="00C534A9">
        <w:rPr>
          <w:rFonts w:ascii="Arial" w:hAnsi="Arial" w:cs="Arial"/>
          <w:sz w:val="22"/>
        </w:rPr>
        <w:t xml:space="preserve"> and a low CO2 price)</w:t>
      </w:r>
      <w:proofErr w:type="gramStart"/>
      <w:r w:rsidRPr="00C534A9">
        <w:rPr>
          <w:rFonts w:ascii="Arial" w:hAnsi="Arial" w:cs="Arial"/>
          <w:sz w:val="22"/>
        </w:rPr>
        <w:t>,</w:t>
      </w:r>
      <w:proofErr w:type="gramEnd"/>
      <w:r w:rsidRPr="00C534A9">
        <w:rPr>
          <w:rFonts w:ascii="Arial" w:hAnsi="Arial" w:cs="Arial"/>
          <w:sz w:val="22"/>
        </w:rPr>
        <w:t xml:space="preserve"> the VS LNG terminal sub-project </w:t>
      </w:r>
      <w:r w:rsidR="005E2AC8" w:rsidRPr="00C534A9">
        <w:rPr>
          <w:rFonts w:ascii="Arial" w:hAnsi="Arial" w:cs="Arial"/>
          <w:sz w:val="22"/>
        </w:rPr>
        <w:t>remains</w:t>
      </w:r>
      <w:r w:rsidR="00D0636E" w:rsidRPr="00C534A9">
        <w:rPr>
          <w:rFonts w:ascii="Arial" w:hAnsi="Arial" w:cs="Arial"/>
          <w:sz w:val="22"/>
        </w:rPr>
        <w:t xml:space="preserve"> </w:t>
      </w:r>
      <w:r w:rsidRPr="00C534A9">
        <w:rPr>
          <w:rFonts w:ascii="Arial" w:hAnsi="Arial" w:cs="Arial"/>
          <w:sz w:val="22"/>
        </w:rPr>
        <w:t>economically viable. As shown in Figure 6.2, the VS LNG terminal under a worst case scenario has an economic NPV of US</w:t>
      </w:r>
      <w:r w:rsidR="005E2AC8" w:rsidRPr="00C534A9">
        <w:rPr>
          <w:rFonts w:ascii="Arial" w:hAnsi="Arial" w:cs="Arial"/>
          <w:sz w:val="22"/>
        </w:rPr>
        <w:t>$33 m</w:t>
      </w:r>
      <w:r w:rsidRPr="00C534A9">
        <w:rPr>
          <w:rFonts w:ascii="Arial" w:hAnsi="Arial" w:cs="Arial"/>
          <w:sz w:val="22"/>
        </w:rPr>
        <w:t xml:space="preserve">illion and EIRR </w:t>
      </w:r>
      <w:r w:rsidR="00A271DA" w:rsidRPr="00C534A9">
        <w:rPr>
          <w:rFonts w:ascii="Arial" w:hAnsi="Arial" w:cs="Arial"/>
          <w:sz w:val="22"/>
        </w:rPr>
        <w:t xml:space="preserve">of </w:t>
      </w:r>
      <w:r w:rsidR="005E2AC8" w:rsidRPr="00C534A9">
        <w:rPr>
          <w:rFonts w:ascii="Arial" w:hAnsi="Arial" w:cs="Arial"/>
          <w:sz w:val="22"/>
        </w:rPr>
        <w:t>22</w:t>
      </w:r>
      <w:r w:rsidRPr="00C534A9">
        <w:rPr>
          <w:rFonts w:ascii="Arial" w:hAnsi="Arial" w:cs="Arial"/>
          <w:sz w:val="22"/>
        </w:rPr>
        <w:t>%.</w:t>
      </w:r>
    </w:p>
    <w:p w:rsidR="006D749C" w:rsidRPr="00C534A9" w:rsidRDefault="006D749C" w:rsidP="00C534A9">
      <w:pPr>
        <w:pStyle w:val="Caption"/>
        <w:jc w:val="both"/>
        <w:rPr>
          <w:rFonts w:ascii="Arial" w:hAnsi="Arial" w:cs="Arial"/>
          <w:sz w:val="22"/>
        </w:rPr>
      </w:pPr>
      <w:bookmarkStart w:id="138" w:name="_Toc463508992"/>
      <w:r w:rsidRPr="00C534A9">
        <w:rPr>
          <w:rFonts w:ascii="Arial" w:hAnsi="Arial" w:cs="Arial"/>
          <w:sz w:val="22"/>
        </w:rPr>
        <w:t>Figure 6.2: Net Economic Benefits of the VS LNG terminal sub-project under a worst case scenario (‘000 US$)</w:t>
      </w:r>
      <w:bookmarkEnd w:id="138"/>
    </w:p>
    <w:p w:rsidR="004E1D2E" w:rsidRPr="00C534A9" w:rsidRDefault="005E2AC8" w:rsidP="00D132E2">
      <w:pPr>
        <w:jc w:val="both"/>
        <w:rPr>
          <w:rFonts w:ascii="Arial" w:hAnsi="Arial" w:cs="Arial"/>
          <w:sz w:val="22"/>
        </w:rPr>
      </w:pPr>
      <w:r w:rsidRPr="00C534A9">
        <w:rPr>
          <w:rFonts w:ascii="Arial" w:hAnsi="Arial" w:cs="Arial"/>
          <w:noProof/>
          <w:sz w:val="22"/>
        </w:rPr>
        <w:drawing>
          <wp:inline distT="0" distB="0" distL="0" distR="0" wp14:anchorId="448EEC0E" wp14:editId="3A02B239">
            <wp:extent cx="4224655" cy="2273935"/>
            <wp:effectExtent l="0" t="0" r="444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24655" cy="2273935"/>
                    </a:xfrm>
                    <a:prstGeom prst="rect">
                      <a:avLst/>
                    </a:prstGeom>
                    <a:noFill/>
                  </pic:spPr>
                </pic:pic>
              </a:graphicData>
            </a:graphic>
          </wp:inline>
        </w:drawing>
      </w:r>
    </w:p>
    <w:p w:rsidR="006940A1" w:rsidRPr="00C534A9" w:rsidRDefault="006940A1" w:rsidP="00C534A9">
      <w:pPr>
        <w:pStyle w:val="Heading1"/>
        <w:jc w:val="both"/>
        <w:rPr>
          <w:rFonts w:ascii="Arial" w:hAnsi="Arial" w:cs="Arial"/>
          <w:sz w:val="24"/>
        </w:rPr>
      </w:pPr>
      <w:bookmarkStart w:id="139" w:name="_Toc464551527"/>
      <w:r w:rsidRPr="00C534A9">
        <w:rPr>
          <w:rFonts w:ascii="Arial" w:hAnsi="Arial" w:cs="Arial"/>
          <w:sz w:val="24"/>
        </w:rPr>
        <w:t xml:space="preserve">Cost Benefit Analysis of All </w:t>
      </w:r>
      <w:bookmarkEnd w:id="130"/>
      <w:bookmarkEnd w:id="131"/>
      <w:bookmarkEnd w:id="132"/>
      <w:bookmarkEnd w:id="133"/>
      <w:bookmarkEnd w:id="134"/>
      <w:r w:rsidR="001C39E0" w:rsidRPr="00C534A9">
        <w:rPr>
          <w:rFonts w:ascii="Arial" w:hAnsi="Arial" w:cs="Arial"/>
          <w:sz w:val="24"/>
        </w:rPr>
        <w:t>Sub-Projects</w:t>
      </w:r>
      <w:bookmarkEnd w:id="139"/>
      <w:r w:rsidR="001C39E0" w:rsidRPr="00C534A9">
        <w:rPr>
          <w:rFonts w:ascii="Arial" w:hAnsi="Arial" w:cs="Arial"/>
          <w:sz w:val="24"/>
        </w:rPr>
        <w:t xml:space="preserve"> </w:t>
      </w:r>
    </w:p>
    <w:p w:rsidR="006940A1" w:rsidRPr="00C534A9" w:rsidRDefault="006940A1" w:rsidP="00C534A9">
      <w:pPr>
        <w:jc w:val="both"/>
        <w:rPr>
          <w:rFonts w:ascii="Arial" w:hAnsi="Arial" w:cs="Arial"/>
          <w:sz w:val="22"/>
        </w:rPr>
      </w:pPr>
      <w:r w:rsidRPr="00C534A9">
        <w:rPr>
          <w:rFonts w:ascii="Arial" w:hAnsi="Arial" w:cs="Arial"/>
          <w:sz w:val="22"/>
        </w:rPr>
        <w:t xml:space="preserve">This section shows the aggregate economic viability of the </w:t>
      </w:r>
      <w:r w:rsidR="001C39E0" w:rsidRPr="00C534A9">
        <w:rPr>
          <w:rFonts w:ascii="Arial" w:hAnsi="Arial" w:cs="Arial"/>
          <w:sz w:val="22"/>
        </w:rPr>
        <w:t>three main sub-projects of the loan operation</w:t>
      </w:r>
      <w:r w:rsidRPr="00C534A9">
        <w:rPr>
          <w:rFonts w:ascii="Arial" w:hAnsi="Arial" w:cs="Arial"/>
          <w:sz w:val="22"/>
        </w:rPr>
        <w:t xml:space="preserve">. Among other investments, the Program will fund </w:t>
      </w:r>
      <w:r w:rsidR="001C39E0" w:rsidRPr="00C534A9">
        <w:rPr>
          <w:rFonts w:ascii="Arial" w:hAnsi="Arial" w:cs="Arial"/>
          <w:sz w:val="22"/>
        </w:rPr>
        <w:t xml:space="preserve">the micro-LNG facility expansion, natural gas compressor replacement, an 850 kW wind turbine, and 300 kW of </w:t>
      </w:r>
      <w:r w:rsidR="00AA4E6F" w:rsidRPr="00C534A9">
        <w:rPr>
          <w:rFonts w:ascii="Arial" w:hAnsi="Arial" w:cs="Arial"/>
          <w:sz w:val="22"/>
        </w:rPr>
        <w:t>PV system</w:t>
      </w:r>
      <w:r w:rsidR="001C39E0" w:rsidRPr="00C534A9">
        <w:rPr>
          <w:rFonts w:ascii="Arial" w:hAnsi="Arial" w:cs="Arial"/>
          <w:sz w:val="22"/>
        </w:rPr>
        <w:t>s</w:t>
      </w:r>
      <w:r w:rsidRPr="00C534A9">
        <w:rPr>
          <w:rFonts w:ascii="Arial" w:hAnsi="Arial" w:cs="Arial"/>
          <w:sz w:val="22"/>
        </w:rPr>
        <w:t xml:space="preserve">. </w:t>
      </w:r>
    </w:p>
    <w:p w:rsidR="006940A1" w:rsidRPr="00C534A9" w:rsidRDefault="006940A1" w:rsidP="00C534A9">
      <w:pPr>
        <w:jc w:val="both"/>
        <w:rPr>
          <w:rFonts w:ascii="Arial" w:hAnsi="Arial" w:cs="Arial"/>
          <w:sz w:val="22"/>
        </w:rPr>
      </w:pPr>
      <w:r w:rsidRPr="00C534A9">
        <w:rPr>
          <w:rFonts w:ascii="Arial" w:hAnsi="Arial" w:cs="Arial"/>
          <w:sz w:val="22"/>
        </w:rPr>
        <w:t xml:space="preserve">To determine the </w:t>
      </w:r>
      <w:r w:rsidR="001C39E0" w:rsidRPr="00C534A9">
        <w:rPr>
          <w:rFonts w:ascii="Arial" w:hAnsi="Arial" w:cs="Arial"/>
          <w:sz w:val="22"/>
        </w:rPr>
        <w:t>aggregate project</w:t>
      </w:r>
      <w:r w:rsidRPr="00C534A9">
        <w:rPr>
          <w:rFonts w:ascii="Arial" w:hAnsi="Arial" w:cs="Arial"/>
          <w:sz w:val="22"/>
        </w:rPr>
        <w:t xml:space="preserve">’s economic viability, a Cost Benefit Analysis (CBA) </w:t>
      </w:r>
      <w:r w:rsidR="00957ACC" w:rsidRPr="00C534A9">
        <w:rPr>
          <w:rFonts w:ascii="Arial" w:hAnsi="Arial" w:cs="Arial"/>
          <w:sz w:val="22"/>
        </w:rPr>
        <w:t>was performed on</w:t>
      </w:r>
      <w:r w:rsidRPr="00C534A9">
        <w:rPr>
          <w:rFonts w:ascii="Arial" w:hAnsi="Arial" w:cs="Arial"/>
          <w:sz w:val="22"/>
        </w:rPr>
        <w:t xml:space="preserve"> the </w:t>
      </w:r>
      <w:r w:rsidR="001C39E0" w:rsidRPr="00C534A9">
        <w:rPr>
          <w:rFonts w:ascii="Arial" w:hAnsi="Arial" w:cs="Arial"/>
          <w:sz w:val="22"/>
        </w:rPr>
        <w:t>sub-projects</w:t>
      </w:r>
      <w:r w:rsidRPr="00C534A9">
        <w:rPr>
          <w:rFonts w:ascii="Arial" w:hAnsi="Arial" w:cs="Arial"/>
          <w:sz w:val="22"/>
        </w:rPr>
        <w:t xml:space="preserve"> that it will fund</w:t>
      </w:r>
      <w:r w:rsidR="001C39E0" w:rsidRPr="00C534A9">
        <w:rPr>
          <w:rFonts w:ascii="Arial" w:hAnsi="Arial" w:cs="Arial"/>
          <w:sz w:val="22"/>
        </w:rPr>
        <w:t xml:space="preserve"> noted above</w:t>
      </w:r>
      <w:r w:rsidRPr="00C534A9">
        <w:rPr>
          <w:rFonts w:ascii="Arial" w:hAnsi="Arial" w:cs="Arial"/>
          <w:sz w:val="22"/>
        </w:rPr>
        <w:t xml:space="preserve">. </w:t>
      </w:r>
      <w:r w:rsidR="00957ACC" w:rsidRPr="00C534A9">
        <w:rPr>
          <w:rFonts w:ascii="Arial" w:hAnsi="Arial" w:cs="Arial"/>
          <w:sz w:val="22"/>
        </w:rPr>
        <w:t>T</w:t>
      </w:r>
      <w:r w:rsidRPr="00C534A9">
        <w:rPr>
          <w:rFonts w:ascii="Arial" w:hAnsi="Arial" w:cs="Arial"/>
          <w:sz w:val="22"/>
        </w:rPr>
        <w:t xml:space="preserve">he </w:t>
      </w:r>
      <w:r w:rsidR="001C39E0" w:rsidRPr="00C534A9">
        <w:rPr>
          <w:rFonts w:ascii="Arial" w:hAnsi="Arial" w:cs="Arial"/>
          <w:sz w:val="22"/>
        </w:rPr>
        <w:t xml:space="preserve">sub-projects </w:t>
      </w:r>
      <w:r w:rsidR="00957ACC" w:rsidRPr="00C534A9">
        <w:rPr>
          <w:rFonts w:ascii="Arial" w:hAnsi="Arial" w:cs="Arial"/>
          <w:sz w:val="22"/>
        </w:rPr>
        <w:t xml:space="preserve">were found to </w:t>
      </w:r>
      <w:r w:rsidRPr="00C534A9">
        <w:rPr>
          <w:rFonts w:ascii="Arial" w:hAnsi="Arial" w:cs="Arial"/>
          <w:sz w:val="22"/>
        </w:rPr>
        <w:t>have an aggregate net present value (NPV) of approximately US$</w:t>
      </w:r>
      <w:r w:rsidR="00CC6BE1" w:rsidRPr="00C534A9">
        <w:rPr>
          <w:rFonts w:ascii="Arial" w:hAnsi="Arial" w:cs="Arial"/>
          <w:sz w:val="22"/>
        </w:rPr>
        <w:t>9.8</w:t>
      </w:r>
      <w:r w:rsidRPr="00C534A9">
        <w:rPr>
          <w:rFonts w:ascii="Arial" w:hAnsi="Arial" w:cs="Arial"/>
          <w:sz w:val="22"/>
        </w:rPr>
        <w:t xml:space="preserve"> million.  </w:t>
      </w:r>
      <w:r w:rsidR="009F2591" w:rsidRPr="00C534A9">
        <w:rPr>
          <w:rFonts w:ascii="Arial" w:hAnsi="Arial" w:cs="Arial"/>
          <w:sz w:val="22"/>
        </w:rPr>
        <w:t>Figure 7.1 shows the aggregate present value benefits, costs and net present value of the sub-projects included in the analysis.</w:t>
      </w:r>
    </w:p>
    <w:p w:rsidR="00605602" w:rsidRPr="00C534A9" w:rsidRDefault="006940A1" w:rsidP="00C534A9">
      <w:pPr>
        <w:pStyle w:val="Caption"/>
        <w:jc w:val="both"/>
        <w:rPr>
          <w:rFonts w:ascii="Arial" w:hAnsi="Arial" w:cs="Arial"/>
          <w:sz w:val="22"/>
        </w:rPr>
      </w:pPr>
      <w:bookmarkStart w:id="140" w:name="_Toc428351549"/>
      <w:bookmarkStart w:id="141" w:name="_Toc463508508"/>
      <w:bookmarkStart w:id="142" w:name="_Toc463508993"/>
      <w:proofErr w:type="gramStart"/>
      <w:r w:rsidRPr="00C534A9">
        <w:rPr>
          <w:rFonts w:ascii="Arial" w:hAnsi="Arial" w:cs="Arial"/>
          <w:sz w:val="22"/>
        </w:rPr>
        <w:t>Figure 7.</w:t>
      </w:r>
      <w:proofErr w:type="gramEnd"/>
      <w:r w:rsidR="003343DE" w:rsidRPr="00C534A9">
        <w:rPr>
          <w:rFonts w:ascii="Arial" w:hAnsi="Arial" w:cs="Arial"/>
          <w:sz w:val="22"/>
        </w:rPr>
        <w:fldChar w:fldCharType="begin"/>
      </w:r>
      <w:r w:rsidR="003343DE" w:rsidRPr="00C534A9">
        <w:rPr>
          <w:rFonts w:ascii="Arial" w:hAnsi="Arial" w:cs="Arial"/>
          <w:sz w:val="22"/>
        </w:rPr>
        <w:instrText xml:space="preserve"> SEQ Figure \* ARABIC \s 1 </w:instrText>
      </w:r>
      <w:r w:rsidR="003343DE" w:rsidRPr="00C534A9">
        <w:rPr>
          <w:rFonts w:ascii="Arial" w:hAnsi="Arial" w:cs="Arial"/>
          <w:sz w:val="22"/>
        </w:rPr>
        <w:fldChar w:fldCharType="separate"/>
      </w:r>
      <w:r w:rsidR="003F3D75" w:rsidRPr="00C534A9">
        <w:rPr>
          <w:rFonts w:ascii="Arial" w:hAnsi="Arial" w:cs="Arial"/>
          <w:noProof/>
          <w:sz w:val="22"/>
        </w:rPr>
        <w:t>1</w:t>
      </w:r>
      <w:r w:rsidR="003343DE" w:rsidRPr="00C534A9">
        <w:rPr>
          <w:rFonts w:ascii="Arial" w:hAnsi="Arial" w:cs="Arial"/>
          <w:noProof/>
          <w:sz w:val="22"/>
        </w:rPr>
        <w:fldChar w:fldCharType="end"/>
      </w:r>
      <w:r w:rsidRPr="00C534A9">
        <w:rPr>
          <w:rFonts w:ascii="Arial" w:hAnsi="Arial" w:cs="Arial"/>
          <w:sz w:val="22"/>
        </w:rPr>
        <w:t xml:space="preserve">: Net Economic Benefits of the </w:t>
      </w:r>
      <w:bookmarkEnd w:id="140"/>
      <w:r w:rsidR="007C761F" w:rsidRPr="00C534A9">
        <w:rPr>
          <w:rFonts w:ascii="Arial" w:hAnsi="Arial" w:cs="Arial"/>
          <w:sz w:val="22"/>
        </w:rPr>
        <w:t>Sub-</w:t>
      </w:r>
      <w:r w:rsidR="001C39E0" w:rsidRPr="00C534A9">
        <w:rPr>
          <w:rFonts w:ascii="Arial" w:hAnsi="Arial" w:cs="Arial"/>
          <w:sz w:val="22"/>
        </w:rPr>
        <w:t>Project</w:t>
      </w:r>
      <w:r w:rsidR="007C761F" w:rsidRPr="00C534A9">
        <w:rPr>
          <w:rFonts w:ascii="Arial" w:hAnsi="Arial" w:cs="Arial"/>
          <w:sz w:val="22"/>
        </w:rPr>
        <w:t>s (not including the VS LNG terminal)</w:t>
      </w:r>
      <w:r w:rsidR="003A6A5C" w:rsidRPr="00C534A9">
        <w:rPr>
          <w:rFonts w:ascii="Arial" w:hAnsi="Arial" w:cs="Arial"/>
          <w:sz w:val="22"/>
        </w:rPr>
        <w:t xml:space="preserve"> (US$ ‘000)</w:t>
      </w:r>
      <w:bookmarkEnd w:id="141"/>
      <w:bookmarkEnd w:id="142"/>
    </w:p>
    <w:p w:rsidR="006940A1" w:rsidRPr="00C534A9" w:rsidRDefault="00605602" w:rsidP="00C534A9">
      <w:pPr>
        <w:pStyle w:val="Caption"/>
        <w:jc w:val="both"/>
        <w:rPr>
          <w:rFonts w:ascii="Arial" w:hAnsi="Arial" w:cs="Arial"/>
          <w:sz w:val="22"/>
        </w:rPr>
      </w:pPr>
      <w:r w:rsidRPr="00C534A9">
        <w:rPr>
          <w:rFonts w:ascii="Arial" w:hAnsi="Arial" w:cs="Arial"/>
          <w:noProof/>
          <w:sz w:val="22"/>
        </w:rPr>
        <w:drawing>
          <wp:inline distT="0" distB="0" distL="0" distR="0" wp14:anchorId="147C0615" wp14:editId="75021124">
            <wp:extent cx="4218940" cy="2280285"/>
            <wp:effectExtent l="0" t="0" r="0" b="57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18940" cy="2280285"/>
                    </a:xfrm>
                    <a:prstGeom prst="rect">
                      <a:avLst/>
                    </a:prstGeom>
                    <a:noFill/>
                  </pic:spPr>
                </pic:pic>
              </a:graphicData>
            </a:graphic>
          </wp:inline>
        </w:drawing>
      </w:r>
    </w:p>
    <w:p w:rsidR="00CC6BE1" w:rsidRPr="00C534A9" w:rsidRDefault="00CC6BE1" w:rsidP="00C534A9">
      <w:pPr>
        <w:jc w:val="both"/>
        <w:rPr>
          <w:rFonts w:ascii="Arial" w:hAnsi="Arial" w:cs="Arial"/>
          <w:sz w:val="22"/>
        </w:rPr>
      </w:pPr>
    </w:p>
    <w:p w:rsidR="007C761F" w:rsidRPr="00C534A9" w:rsidRDefault="007C761F" w:rsidP="00C534A9">
      <w:pPr>
        <w:jc w:val="both"/>
        <w:rPr>
          <w:rFonts w:ascii="Arial" w:hAnsi="Arial" w:cs="Arial"/>
          <w:sz w:val="22"/>
        </w:rPr>
      </w:pPr>
    </w:p>
    <w:p w:rsidR="006940A1" w:rsidRPr="00C534A9" w:rsidRDefault="006940A1" w:rsidP="00C534A9">
      <w:pPr>
        <w:pStyle w:val="Source"/>
        <w:jc w:val="both"/>
        <w:rPr>
          <w:rFonts w:ascii="Arial" w:hAnsi="Arial" w:cs="Arial"/>
          <w:sz w:val="18"/>
        </w:rPr>
      </w:pPr>
    </w:p>
    <w:p w:rsidR="00990A65" w:rsidRPr="00C534A9" w:rsidRDefault="006940A1" w:rsidP="00C534A9">
      <w:pPr>
        <w:jc w:val="both"/>
        <w:rPr>
          <w:rFonts w:ascii="Arial" w:hAnsi="Arial" w:cs="Arial"/>
          <w:sz w:val="22"/>
        </w:rPr>
      </w:pPr>
      <w:r w:rsidRPr="00C534A9">
        <w:rPr>
          <w:rFonts w:ascii="Arial" w:hAnsi="Arial" w:cs="Arial"/>
          <w:sz w:val="22"/>
        </w:rPr>
        <w:fldChar w:fldCharType="begin"/>
      </w:r>
      <w:r w:rsidRPr="00C534A9">
        <w:rPr>
          <w:rFonts w:ascii="Arial" w:hAnsi="Arial" w:cs="Arial"/>
          <w:sz w:val="22"/>
        </w:rPr>
        <w:instrText xml:space="preserve"> REF _Ref423440191 \h  \* MERGEFORMAT </w:instrText>
      </w:r>
      <w:r w:rsidRPr="00C534A9">
        <w:rPr>
          <w:rFonts w:ascii="Arial" w:hAnsi="Arial" w:cs="Arial"/>
          <w:sz w:val="22"/>
        </w:rPr>
      </w:r>
      <w:r w:rsidRPr="00C534A9">
        <w:rPr>
          <w:rFonts w:ascii="Arial" w:hAnsi="Arial" w:cs="Arial"/>
          <w:sz w:val="22"/>
        </w:rPr>
        <w:fldChar w:fldCharType="separate"/>
      </w:r>
      <w:r w:rsidR="003F3D75" w:rsidRPr="00C534A9">
        <w:rPr>
          <w:rFonts w:ascii="Arial" w:hAnsi="Arial" w:cs="Arial"/>
          <w:sz w:val="22"/>
        </w:rPr>
        <w:t xml:space="preserve">Table </w:t>
      </w:r>
      <w:r w:rsidR="003F3D75" w:rsidRPr="00C534A9">
        <w:rPr>
          <w:rFonts w:ascii="Arial" w:hAnsi="Arial" w:cs="Arial"/>
          <w:noProof/>
          <w:sz w:val="22"/>
        </w:rPr>
        <w:t>7.1</w:t>
      </w:r>
      <w:r w:rsidRPr="00C534A9">
        <w:rPr>
          <w:rFonts w:ascii="Arial" w:hAnsi="Arial" w:cs="Arial"/>
          <w:sz w:val="22"/>
        </w:rPr>
        <w:fldChar w:fldCharType="end"/>
      </w:r>
      <w:r w:rsidRPr="00C534A9">
        <w:rPr>
          <w:rFonts w:ascii="Arial" w:hAnsi="Arial" w:cs="Arial"/>
          <w:sz w:val="22"/>
        </w:rPr>
        <w:t xml:space="preserve"> presents the economic costs and benefits of </w:t>
      </w:r>
      <w:r w:rsidR="009F2591" w:rsidRPr="00C534A9">
        <w:rPr>
          <w:rFonts w:ascii="Arial" w:hAnsi="Arial" w:cs="Arial"/>
          <w:sz w:val="22"/>
        </w:rPr>
        <w:t>the aggregated</w:t>
      </w:r>
      <w:r w:rsidRPr="00C534A9">
        <w:rPr>
          <w:rFonts w:ascii="Arial" w:hAnsi="Arial" w:cs="Arial"/>
          <w:sz w:val="22"/>
        </w:rPr>
        <w:t xml:space="preserve"> </w:t>
      </w:r>
      <w:r w:rsidR="001C39E0" w:rsidRPr="00C534A9">
        <w:rPr>
          <w:rFonts w:ascii="Arial" w:hAnsi="Arial" w:cs="Arial"/>
          <w:sz w:val="22"/>
        </w:rPr>
        <w:t>sub-project</w:t>
      </w:r>
      <w:r w:rsidR="009F2591" w:rsidRPr="00C534A9">
        <w:rPr>
          <w:rFonts w:ascii="Arial" w:hAnsi="Arial" w:cs="Arial"/>
          <w:sz w:val="22"/>
        </w:rPr>
        <w:t>s</w:t>
      </w:r>
      <w:r w:rsidRPr="00C534A9">
        <w:rPr>
          <w:rFonts w:ascii="Arial" w:hAnsi="Arial" w:cs="Arial"/>
          <w:sz w:val="22"/>
        </w:rPr>
        <w:t xml:space="preserve">. </w:t>
      </w:r>
      <w:bookmarkStart w:id="143" w:name="_Ref423440191"/>
      <w:bookmarkStart w:id="144" w:name="_Toc423341375"/>
      <w:bookmarkStart w:id="145" w:name="_Toc423457912"/>
      <w:bookmarkStart w:id="146" w:name="_Toc428351539"/>
    </w:p>
    <w:p w:rsidR="006940A1" w:rsidRPr="00C534A9" w:rsidRDefault="006940A1" w:rsidP="00C534A9">
      <w:pPr>
        <w:pStyle w:val="Caption"/>
        <w:jc w:val="both"/>
        <w:rPr>
          <w:rFonts w:ascii="Arial" w:hAnsi="Arial" w:cs="Arial"/>
          <w:sz w:val="22"/>
        </w:rPr>
      </w:pPr>
      <w:bookmarkStart w:id="147" w:name="_Toc463508491"/>
      <w:bookmarkStart w:id="148" w:name="_Toc463508994"/>
      <w:proofErr w:type="gramStart"/>
      <w:r w:rsidRPr="00C534A9">
        <w:rPr>
          <w:rFonts w:ascii="Arial" w:hAnsi="Arial" w:cs="Arial"/>
          <w:sz w:val="22"/>
        </w:rPr>
        <w:t>Table 7.</w:t>
      </w:r>
      <w:proofErr w:type="gramEnd"/>
      <w:r w:rsidR="003343DE" w:rsidRPr="00C534A9">
        <w:rPr>
          <w:rFonts w:ascii="Arial" w:hAnsi="Arial" w:cs="Arial"/>
          <w:sz w:val="22"/>
        </w:rPr>
        <w:fldChar w:fldCharType="begin"/>
      </w:r>
      <w:r w:rsidR="003343DE" w:rsidRPr="00C534A9">
        <w:rPr>
          <w:rFonts w:ascii="Arial" w:hAnsi="Arial" w:cs="Arial"/>
          <w:sz w:val="22"/>
        </w:rPr>
        <w:instrText xml:space="preserve"> SEQ Table \* ARABIC \s 1 </w:instrText>
      </w:r>
      <w:r w:rsidR="003343DE" w:rsidRPr="00C534A9">
        <w:rPr>
          <w:rFonts w:ascii="Arial" w:hAnsi="Arial" w:cs="Arial"/>
          <w:sz w:val="22"/>
        </w:rPr>
        <w:fldChar w:fldCharType="separate"/>
      </w:r>
      <w:r w:rsidR="003F3D75" w:rsidRPr="00C534A9">
        <w:rPr>
          <w:rFonts w:ascii="Arial" w:hAnsi="Arial" w:cs="Arial"/>
          <w:noProof/>
          <w:sz w:val="22"/>
        </w:rPr>
        <w:t>1</w:t>
      </w:r>
      <w:r w:rsidR="003343DE" w:rsidRPr="00C534A9">
        <w:rPr>
          <w:rFonts w:ascii="Arial" w:hAnsi="Arial" w:cs="Arial"/>
          <w:noProof/>
          <w:sz w:val="22"/>
        </w:rPr>
        <w:fldChar w:fldCharType="end"/>
      </w:r>
      <w:bookmarkEnd w:id="143"/>
      <w:r w:rsidRPr="00C534A9">
        <w:rPr>
          <w:rFonts w:ascii="Arial" w:hAnsi="Arial" w:cs="Arial"/>
          <w:sz w:val="22"/>
        </w:rPr>
        <w:t xml:space="preserve">: Economic Costs and Benefits </w:t>
      </w:r>
      <w:bookmarkEnd w:id="144"/>
      <w:bookmarkEnd w:id="145"/>
      <w:bookmarkEnd w:id="146"/>
      <w:r w:rsidR="00990A65" w:rsidRPr="00C534A9">
        <w:rPr>
          <w:rFonts w:ascii="Arial" w:hAnsi="Arial" w:cs="Arial"/>
          <w:sz w:val="22"/>
        </w:rPr>
        <w:t xml:space="preserve">of all Sub-Project </w:t>
      </w:r>
      <w:proofErr w:type="gramStart"/>
      <w:r w:rsidR="00990A65" w:rsidRPr="00C534A9">
        <w:rPr>
          <w:rFonts w:ascii="Arial" w:hAnsi="Arial" w:cs="Arial"/>
          <w:sz w:val="22"/>
        </w:rPr>
        <w:t>except</w:t>
      </w:r>
      <w:proofErr w:type="gramEnd"/>
      <w:r w:rsidR="00990A65" w:rsidRPr="00C534A9">
        <w:rPr>
          <w:rFonts w:ascii="Arial" w:hAnsi="Arial" w:cs="Arial"/>
          <w:sz w:val="22"/>
        </w:rPr>
        <w:t xml:space="preserve"> the VS LNG terminal</w:t>
      </w:r>
      <w:r w:rsidR="003A6A5C" w:rsidRPr="00C534A9">
        <w:rPr>
          <w:rFonts w:ascii="Arial" w:hAnsi="Arial" w:cs="Arial"/>
          <w:sz w:val="22"/>
        </w:rPr>
        <w:t xml:space="preserve"> (US$ ‘000)</w:t>
      </w:r>
      <w:bookmarkEnd w:id="147"/>
      <w:bookmarkEnd w:id="148"/>
    </w:p>
    <w:tbl>
      <w:tblPr>
        <w:tblStyle w:val="TableGrid"/>
        <w:tblW w:w="0" w:type="auto"/>
        <w:tblLook w:val="04A0" w:firstRow="1" w:lastRow="0" w:firstColumn="1" w:lastColumn="0" w:noHBand="0" w:noVBand="1"/>
      </w:tblPr>
      <w:tblGrid>
        <w:gridCol w:w="2540"/>
        <w:gridCol w:w="1895"/>
      </w:tblGrid>
      <w:tr w:rsidR="00605602" w:rsidRPr="00C534A9" w:rsidTr="00D132E2">
        <w:trPr>
          <w:trHeight w:val="450"/>
        </w:trPr>
        <w:tc>
          <w:tcPr>
            <w:tcW w:w="2540" w:type="dxa"/>
            <w:hideMark/>
          </w:tcPr>
          <w:p w:rsidR="00605602" w:rsidRPr="00C534A9" w:rsidRDefault="00605602" w:rsidP="00C534A9">
            <w:pPr>
              <w:jc w:val="both"/>
              <w:rPr>
                <w:rFonts w:ascii="Arial" w:hAnsi="Arial" w:cs="Arial"/>
                <w:sz w:val="22"/>
              </w:rPr>
            </w:pPr>
            <w:r w:rsidRPr="00C534A9">
              <w:rPr>
                <w:rFonts w:ascii="Arial" w:hAnsi="Arial" w:cs="Arial"/>
                <w:sz w:val="22"/>
              </w:rPr>
              <w:t>Present Value - Benefits</w:t>
            </w:r>
          </w:p>
        </w:tc>
        <w:tc>
          <w:tcPr>
            <w:tcW w:w="1895" w:type="dxa"/>
            <w:vAlign w:val="center"/>
            <w:hideMark/>
          </w:tcPr>
          <w:p w:rsidR="00605602" w:rsidRPr="00C534A9" w:rsidRDefault="00605602" w:rsidP="00C534A9">
            <w:pPr>
              <w:jc w:val="both"/>
              <w:rPr>
                <w:rFonts w:ascii="Arial" w:hAnsi="Arial" w:cs="Arial"/>
                <w:sz w:val="22"/>
              </w:rPr>
            </w:pPr>
            <w:r w:rsidRPr="00C534A9">
              <w:rPr>
                <w:rFonts w:ascii="Arial" w:hAnsi="Arial" w:cs="Arial"/>
                <w:color w:val="000000"/>
                <w:sz w:val="22"/>
              </w:rPr>
              <w:t xml:space="preserve">$40,418 </w:t>
            </w:r>
          </w:p>
        </w:tc>
      </w:tr>
      <w:tr w:rsidR="00605602" w:rsidRPr="00C534A9" w:rsidTr="00D132E2">
        <w:trPr>
          <w:trHeight w:val="450"/>
        </w:trPr>
        <w:tc>
          <w:tcPr>
            <w:tcW w:w="2540" w:type="dxa"/>
            <w:hideMark/>
          </w:tcPr>
          <w:p w:rsidR="00605602" w:rsidRPr="00C534A9" w:rsidRDefault="00605602" w:rsidP="00C534A9">
            <w:pPr>
              <w:jc w:val="both"/>
              <w:rPr>
                <w:rFonts w:ascii="Arial" w:hAnsi="Arial" w:cs="Arial"/>
                <w:sz w:val="22"/>
              </w:rPr>
            </w:pPr>
            <w:r w:rsidRPr="00C534A9">
              <w:rPr>
                <w:rFonts w:ascii="Arial" w:hAnsi="Arial" w:cs="Arial"/>
                <w:sz w:val="22"/>
              </w:rPr>
              <w:t>Present Value  - Costs</w:t>
            </w:r>
          </w:p>
        </w:tc>
        <w:tc>
          <w:tcPr>
            <w:tcW w:w="1895" w:type="dxa"/>
            <w:vAlign w:val="center"/>
            <w:hideMark/>
          </w:tcPr>
          <w:p w:rsidR="00605602" w:rsidRPr="00C534A9" w:rsidRDefault="00605602" w:rsidP="00C534A9">
            <w:pPr>
              <w:jc w:val="both"/>
              <w:rPr>
                <w:rFonts w:ascii="Arial" w:hAnsi="Arial" w:cs="Arial"/>
                <w:sz w:val="22"/>
              </w:rPr>
            </w:pPr>
            <w:r w:rsidRPr="00C534A9">
              <w:rPr>
                <w:rFonts w:ascii="Arial" w:hAnsi="Arial" w:cs="Arial"/>
                <w:color w:val="FF0000"/>
                <w:sz w:val="22"/>
              </w:rPr>
              <w:t>($30,635)</w:t>
            </w:r>
          </w:p>
        </w:tc>
      </w:tr>
      <w:tr w:rsidR="00605602" w:rsidRPr="00C534A9" w:rsidTr="00D132E2">
        <w:trPr>
          <w:trHeight w:val="450"/>
        </w:trPr>
        <w:tc>
          <w:tcPr>
            <w:tcW w:w="2540" w:type="dxa"/>
            <w:hideMark/>
          </w:tcPr>
          <w:p w:rsidR="00605602" w:rsidRPr="00C534A9" w:rsidRDefault="00605602" w:rsidP="00C534A9">
            <w:pPr>
              <w:jc w:val="both"/>
              <w:rPr>
                <w:rFonts w:ascii="Arial" w:hAnsi="Arial" w:cs="Arial"/>
                <w:sz w:val="22"/>
              </w:rPr>
            </w:pPr>
            <w:r w:rsidRPr="00C534A9">
              <w:rPr>
                <w:rFonts w:ascii="Arial" w:hAnsi="Arial" w:cs="Arial"/>
                <w:sz w:val="22"/>
              </w:rPr>
              <w:t>Net Present Value</w:t>
            </w:r>
          </w:p>
        </w:tc>
        <w:tc>
          <w:tcPr>
            <w:tcW w:w="1895" w:type="dxa"/>
            <w:vAlign w:val="center"/>
            <w:hideMark/>
          </w:tcPr>
          <w:p w:rsidR="00605602" w:rsidRPr="00C534A9" w:rsidRDefault="00605602" w:rsidP="00C534A9">
            <w:pPr>
              <w:jc w:val="both"/>
              <w:rPr>
                <w:rFonts w:ascii="Arial" w:hAnsi="Arial" w:cs="Arial"/>
                <w:sz w:val="22"/>
              </w:rPr>
            </w:pPr>
            <w:r w:rsidRPr="00C534A9">
              <w:rPr>
                <w:rFonts w:ascii="Arial" w:hAnsi="Arial" w:cs="Arial"/>
                <w:color w:val="000000"/>
                <w:sz w:val="22"/>
              </w:rPr>
              <w:t xml:space="preserve">$9,783 </w:t>
            </w:r>
          </w:p>
        </w:tc>
      </w:tr>
      <w:tr w:rsidR="00605602" w:rsidRPr="00C534A9" w:rsidTr="00D132E2">
        <w:trPr>
          <w:trHeight w:val="450"/>
        </w:trPr>
        <w:tc>
          <w:tcPr>
            <w:tcW w:w="2540" w:type="dxa"/>
            <w:hideMark/>
          </w:tcPr>
          <w:p w:rsidR="00605602" w:rsidRPr="00C534A9" w:rsidRDefault="00605602" w:rsidP="00C534A9">
            <w:pPr>
              <w:jc w:val="both"/>
              <w:rPr>
                <w:rFonts w:ascii="Arial" w:hAnsi="Arial" w:cs="Arial"/>
                <w:sz w:val="22"/>
              </w:rPr>
            </w:pPr>
            <w:r w:rsidRPr="00C534A9">
              <w:rPr>
                <w:rFonts w:ascii="Arial" w:hAnsi="Arial" w:cs="Arial"/>
                <w:sz w:val="22"/>
              </w:rPr>
              <w:t>IRR</w:t>
            </w:r>
          </w:p>
        </w:tc>
        <w:tc>
          <w:tcPr>
            <w:tcW w:w="1895" w:type="dxa"/>
            <w:vAlign w:val="center"/>
            <w:hideMark/>
          </w:tcPr>
          <w:p w:rsidR="00605602" w:rsidRPr="00C534A9" w:rsidRDefault="00605602" w:rsidP="00C534A9">
            <w:pPr>
              <w:jc w:val="both"/>
              <w:rPr>
                <w:rFonts w:ascii="Arial" w:hAnsi="Arial" w:cs="Arial"/>
                <w:sz w:val="22"/>
              </w:rPr>
            </w:pPr>
            <w:r w:rsidRPr="00C534A9">
              <w:rPr>
                <w:rFonts w:ascii="Arial" w:hAnsi="Arial" w:cs="Arial"/>
                <w:color w:val="000000"/>
                <w:sz w:val="22"/>
              </w:rPr>
              <w:t>25%</w:t>
            </w:r>
          </w:p>
        </w:tc>
      </w:tr>
    </w:tbl>
    <w:p w:rsidR="00220712" w:rsidRPr="00C534A9" w:rsidRDefault="00220712" w:rsidP="00C534A9">
      <w:pPr>
        <w:jc w:val="both"/>
        <w:rPr>
          <w:rFonts w:ascii="Arial" w:hAnsi="Arial" w:cs="Arial"/>
          <w:sz w:val="22"/>
        </w:rPr>
      </w:pPr>
    </w:p>
    <w:p w:rsidR="006940A1" w:rsidRPr="00C534A9" w:rsidRDefault="006940A1" w:rsidP="00C534A9">
      <w:pPr>
        <w:pStyle w:val="Source"/>
        <w:jc w:val="both"/>
        <w:rPr>
          <w:rFonts w:ascii="Arial" w:hAnsi="Arial" w:cs="Arial"/>
          <w:sz w:val="18"/>
        </w:rPr>
      </w:pPr>
    </w:p>
    <w:p w:rsidR="00605602" w:rsidRPr="00C534A9" w:rsidRDefault="00EF1EC7" w:rsidP="00C534A9">
      <w:pPr>
        <w:jc w:val="both"/>
        <w:rPr>
          <w:rFonts w:ascii="Arial" w:hAnsi="Arial" w:cs="Arial"/>
          <w:sz w:val="22"/>
        </w:rPr>
      </w:pPr>
      <w:r w:rsidRPr="00C534A9">
        <w:rPr>
          <w:rFonts w:ascii="Arial" w:hAnsi="Arial" w:cs="Arial"/>
          <w:sz w:val="22"/>
        </w:rPr>
        <w:t xml:space="preserve">The sensitivity analyses that were conducted on each sub-project were aggregated to examine the impact of changing key variables on the total project economic viability. The aggregated results shown here </w:t>
      </w:r>
      <w:r w:rsidR="00605602" w:rsidRPr="00C534A9">
        <w:rPr>
          <w:rFonts w:ascii="Arial" w:hAnsi="Arial" w:cs="Arial"/>
          <w:sz w:val="22"/>
        </w:rPr>
        <w:t xml:space="preserve">show </w:t>
      </w:r>
      <w:r w:rsidRPr="00C534A9">
        <w:rPr>
          <w:rFonts w:ascii="Arial" w:hAnsi="Arial" w:cs="Arial"/>
          <w:sz w:val="22"/>
        </w:rPr>
        <w:t xml:space="preserve">the impact of </w:t>
      </w:r>
      <w:r w:rsidR="00605602" w:rsidRPr="00C534A9">
        <w:rPr>
          <w:rFonts w:ascii="Arial" w:hAnsi="Arial" w:cs="Arial"/>
          <w:sz w:val="22"/>
        </w:rPr>
        <w:t>a</w:t>
      </w:r>
      <w:r w:rsidRPr="00C534A9">
        <w:rPr>
          <w:rFonts w:ascii="Arial" w:hAnsi="Arial" w:cs="Arial"/>
          <w:sz w:val="22"/>
        </w:rPr>
        <w:t xml:space="preserve"> “worst case” scenario.</w:t>
      </w:r>
      <w:r w:rsidR="00605602" w:rsidRPr="00C534A9">
        <w:rPr>
          <w:rFonts w:ascii="Arial" w:hAnsi="Arial" w:cs="Arial"/>
          <w:sz w:val="22"/>
        </w:rPr>
        <w:t xml:space="preserve"> </w:t>
      </w:r>
    </w:p>
    <w:p w:rsidR="00EF1EC7" w:rsidRPr="00C534A9" w:rsidRDefault="00EF1EC7" w:rsidP="00C534A9">
      <w:pPr>
        <w:jc w:val="both"/>
        <w:rPr>
          <w:rFonts w:ascii="Arial" w:hAnsi="Arial" w:cs="Arial"/>
          <w:sz w:val="22"/>
        </w:rPr>
      </w:pPr>
      <w:r w:rsidRPr="00C534A9">
        <w:rPr>
          <w:rFonts w:ascii="Arial" w:hAnsi="Arial" w:cs="Arial"/>
          <w:sz w:val="22"/>
        </w:rPr>
        <w:t>In a “worst case” scenario in which all variables are set to the Low value (a low oil and natural gas price, a low CO2 price, and low utilization rates for the RE technologies), the total project is still economically viable. As shown in Figure 6.2, the total project under a worst case scenario has an economic NPV of US$</w:t>
      </w:r>
      <w:r w:rsidR="000753FF" w:rsidRPr="00C534A9">
        <w:rPr>
          <w:rFonts w:ascii="Arial" w:hAnsi="Arial" w:cs="Arial"/>
          <w:sz w:val="22"/>
        </w:rPr>
        <w:t>6.9</w:t>
      </w:r>
      <w:r w:rsidRPr="00C534A9">
        <w:rPr>
          <w:rFonts w:ascii="Arial" w:hAnsi="Arial" w:cs="Arial"/>
          <w:sz w:val="22"/>
        </w:rPr>
        <w:t xml:space="preserve"> million and EIRR of </w:t>
      </w:r>
      <w:r w:rsidR="000753FF" w:rsidRPr="00C534A9">
        <w:rPr>
          <w:rFonts w:ascii="Arial" w:hAnsi="Arial" w:cs="Arial"/>
          <w:sz w:val="22"/>
        </w:rPr>
        <w:t>22</w:t>
      </w:r>
      <w:r w:rsidRPr="00C534A9">
        <w:rPr>
          <w:rFonts w:ascii="Arial" w:hAnsi="Arial" w:cs="Arial"/>
          <w:sz w:val="22"/>
        </w:rPr>
        <w:t>%.</w:t>
      </w:r>
    </w:p>
    <w:p w:rsidR="00EF1EC7" w:rsidRPr="00C534A9" w:rsidRDefault="00EF1EC7" w:rsidP="00C534A9">
      <w:pPr>
        <w:pStyle w:val="Caption"/>
        <w:jc w:val="both"/>
        <w:rPr>
          <w:rFonts w:ascii="Arial" w:hAnsi="Arial" w:cs="Arial"/>
          <w:sz w:val="22"/>
        </w:rPr>
      </w:pPr>
      <w:bookmarkStart w:id="149" w:name="_Toc463508996"/>
      <w:r w:rsidRPr="00C534A9">
        <w:rPr>
          <w:rFonts w:ascii="Arial" w:hAnsi="Arial" w:cs="Arial"/>
          <w:sz w:val="22"/>
        </w:rPr>
        <w:t xml:space="preserve">Figure </w:t>
      </w:r>
      <w:r w:rsidR="00EB0B68" w:rsidRPr="00C534A9">
        <w:rPr>
          <w:rFonts w:ascii="Arial" w:hAnsi="Arial" w:cs="Arial"/>
          <w:sz w:val="22"/>
        </w:rPr>
        <w:t>7</w:t>
      </w:r>
      <w:r w:rsidRPr="00C534A9">
        <w:rPr>
          <w:rFonts w:ascii="Arial" w:hAnsi="Arial" w:cs="Arial"/>
          <w:sz w:val="22"/>
        </w:rPr>
        <w:t>.2: Net Economic Benefits of the total project under a worst case scenario (‘000 US$)</w:t>
      </w:r>
      <w:bookmarkEnd w:id="149"/>
    </w:p>
    <w:p w:rsidR="00EF1EC7" w:rsidRPr="00C534A9" w:rsidRDefault="00605602" w:rsidP="00C534A9">
      <w:pPr>
        <w:jc w:val="both"/>
        <w:rPr>
          <w:rFonts w:ascii="Arial" w:hAnsi="Arial" w:cs="Arial"/>
          <w:sz w:val="22"/>
        </w:rPr>
      </w:pPr>
      <w:r w:rsidRPr="00C534A9">
        <w:rPr>
          <w:rFonts w:ascii="Arial" w:hAnsi="Arial" w:cs="Arial"/>
          <w:noProof/>
          <w:sz w:val="22"/>
        </w:rPr>
        <w:drawing>
          <wp:inline distT="0" distB="0" distL="0" distR="0" wp14:anchorId="6B589726" wp14:editId="40AB7D6C">
            <wp:extent cx="4224655" cy="2273935"/>
            <wp:effectExtent l="0" t="0" r="444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24655" cy="2273935"/>
                    </a:xfrm>
                    <a:prstGeom prst="rect">
                      <a:avLst/>
                    </a:prstGeom>
                    <a:noFill/>
                  </pic:spPr>
                </pic:pic>
              </a:graphicData>
            </a:graphic>
          </wp:inline>
        </w:drawing>
      </w:r>
    </w:p>
    <w:p w:rsidR="00EF1EC7" w:rsidRPr="00C534A9" w:rsidRDefault="00EF1EC7" w:rsidP="00C534A9">
      <w:pPr>
        <w:jc w:val="both"/>
        <w:rPr>
          <w:rFonts w:ascii="Arial" w:hAnsi="Arial" w:cs="Arial"/>
          <w:sz w:val="22"/>
        </w:rPr>
      </w:pPr>
    </w:p>
    <w:p w:rsidR="00EF1EC7" w:rsidRPr="00C534A9" w:rsidRDefault="00EB0B68" w:rsidP="00D132E2">
      <w:pPr>
        <w:pStyle w:val="Heading2"/>
        <w:jc w:val="both"/>
        <w:rPr>
          <w:rFonts w:ascii="Arial" w:hAnsi="Arial" w:cs="Arial"/>
        </w:rPr>
      </w:pPr>
      <w:bookmarkStart w:id="150" w:name="_Toc464551528"/>
      <w:r w:rsidRPr="00C534A9">
        <w:rPr>
          <w:rFonts w:ascii="Arial" w:hAnsi="Arial" w:cs="Arial"/>
          <w:sz w:val="24"/>
        </w:rPr>
        <w:t>Total Project with the VS</w:t>
      </w:r>
      <w:r w:rsidR="00EF1EC7" w:rsidRPr="00C534A9">
        <w:rPr>
          <w:rFonts w:ascii="Arial" w:hAnsi="Arial" w:cs="Arial"/>
          <w:sz w:val="24"/>
        </w:rPr>
        <w:t xml:space="preserve"> LNG</w:t>
      </w:r>
      <w:bookmarkEnd w:id="150"/>
    </w:p>
    <w:p w:rsidR="009F2591" w:rsidRPr="00C534A9" w:rsidRDefault="009F2591" w:rsidP="00C534A9">
      <w:pPr>
        <w:jc w:val="both"/>
        <w:rPr>
          <w:rFonts w:ascii="Arial" w:hAnsi="Arial" w:cs="Arial"/>
          <w:sz w:val="22"/>
        </w:rPr>
      </w:pPr>
      <w:r w:rsidRPr="00C534A9">
        <w:rPr>
          <w:rFonts w:ascii="Arial" w:hAnsi="Arial" w:cs="Arial"/>
          <w:sz w:val="22"/>
        </w:rPr>
        <w:t>If the VS LNG terminal is included in the analysis, the aggregate net present value is increased to US$</w:t>
      </w:r>
      <w:r w:rsidR="00E80139" w:rsidRPr="00C534A9">
        <w:rPr>
          <w:rFonts w:ascii="Arial" w:hAnsi="Arial" w:cs="Arial"/>
          <w:sz w:val="22"/>
        </w:rPr>
        <w:t>88.9</w:t>
      </w:r>
      <w:r w:rsidR="00EB0B68" w:rsidRPr="00C534A9">
        <w:rPr>
          <w:rFonts w:ascii="Arial" w:hAnsi="Arial" w:cs="Arial"/>
          <w:sz w:val="22"/>
        </w:rPr>
        <w:t xml:space="preserve"> </w:t>
      </w:r>
      <w:r w:rsidRPr="00C534A9">
        <w:rPr>
          <w:rFonts w:ascii="Arial" w:hAnsi="Arial" w:cs="Arial"/>
          <w:sz w:val="22"/>
        </w:rPr>
        <w:t xml:space="preserve">million owing to the large size of the investment in the VS LNG terminal. The economic internal rate of return increases to </w:t>
      </w:r>
      <w:r w:rsidR="00EB0B68" w:rsidRPr="00C534A9">
        <w:rPr>
          <w:rFonts w:ascii="Arial" w:hAnsi="Arial" w:cs="Arial"/>
          <w:sz w:val="22"/>
        </w:rPr>
        <w:t>2</w:t>
      </w:r>
      <w:r w:rsidRPr="00C534A9">
        <w:rPr>
          <w:rFonts w:ascii="Arial" w:hAnsi="Arial" w:cs="Arial"/>
          <w:sz w:val="22"/>
        </w:rPr>
        <w:t xml:space="preserve">8%. Figure 7.2 and Table 7.2 show the aggregate present value benefits, costs, and net present value for the aggregate sub-projects including the VS LNG terminal. </w:t>
      </w:r>
    </w:p>
    <w:p w:rsidR="009F2591" w:rsidRPr="00C534A9" w:rsidRDefault="009F2591" w:rsidP="00C534A9">
      <w:pPr>
        <w:pStyle w:val="Caption"/>
        <w:jc w:val="both"/>
        <w:rPr>
          <w:rFonts w:ascii="Arial" w:hAnsi="Arial" w:cs="Arial"/>
          <w:sz w:val="22"/>
        </w:rPr>
      </w:pPr>
      <w:bookmarkStart w:id="151" w:name="_Toc463508997"/>
      <w:r w:rsidRPr="00C534A9">
        <w:rPr>
          <w:rFonts w:ascii="Arial" w:hAnsi="Arial" w:cs="Arial"/>
          <w:sz w:val="22"/>
        </w:rPr>
        <w:t>Figure 7.</w:t>
      </w:r>
      <w:r w:rsidR="00EB0B68" w:rsidRPr="00C534A9">
        <w:rPr>
          <w:rFonts w:ascii="Arial" w:hAnsi="Arial" w:cs="Arial"/>
          <w:sz w:val="22"/>
        </w:rPr>
        <w:t>3</w:t>
      </w:r>
      <w:r w:rsidRPr="00C534A9">
        <w:rPr>
          <w:rFonts w:ascii="Arial" w:hAnsi="Arial" w:cs="Arial"/>
          <w:sz w:val="22"/>
        </w:rPr>
        <w:t>: Net Economic Benefits of the Sub-Projects (including the VS LNG terminal) (US$ ‘000)</w:t>
      </w:r>
      <w:bookmarkEnd w:id="151"/>
    </w:p>
    <w:p w:rsidR="009F2591" w:rsidRPr="00C534A9" w:rsidRDefault="00605602" w:rsidP="00C534A9">
      <w:pPr>
        <w:jc w:val="both"/>
        <w:rPr>
          <w:rFonts w:ascii="Arial" w:hAnsi="Arial" w:cs="Arial"/>
          <w:sz w:val="22"/>
        </w:rPr>
      </w:pPr>
      <w:r w:rsidRPr="00C534A9">
        <w:rPr>
          <w:rFonts w:ascii="Arial" w:hAnsi="Arial" w:cs="Arial"/>
          <w:noProof/>
          <w:sz w:val="22"/>
        </w:rPr>
        <w:drawing>
          <wp:inline distT="0" distB="0" distL="0" distR="0" wp14:anchorId="0DF77260" wp14:editId="68EB940E">
            <wp:extent cx="4261485" cy="2273935"/>
            <wp:effectExtent l="0" t="0" r="571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61485" cy="2273935"/>
                    </a:xfrm>
                    <a:prstGeom prst="rect">
                      <a:avLst/>
                    </a:prstGeom>
                    <a:noFill/>
                  </pic:spPr>
                </pic:pic>
              </a:graphicData>
            </a:graphic>
          </wp:inline>
        </w:drawing>
      </w:r>
    </w:p>
    <w:p w:rsidR="009F2591" w:rsidRPr="00C534A9" w:rsidRDefault="009F2591" w:rsidP="00C534A9">
      <w:pPr>
        <w:pStyle w:val="Source"/>
        <w:jc w:val="both"/>
        <w:rPr>
          <w:rFonts w:ascii="Arial" w:hAnsi="Arial" w:cs="Arial"/>
          <w:sz w:val="18"/>
        </w:rPr>
      </w:pPr>
    </w:p>
    <w:p w:rsidR="00990A65" w:rsidRPr="00C534A9" w:rsidRDefault="00990A65" w:rsidP="00C534A9">
      <w:pPr>
        <w:pStyle w:val="Caption"/>
        <w:jc w:val="both"/>
        <w:rPr>
          <w:rFonts w:ascii="Arial" w:hAnsi="Arial" w:cs="Arial"/>
          <w:sz w:val="22"/>
        </w:rPr>
      </w:pPr>
      <w:bookmarkStart w:id="152" w:name="_Toc463508998"/>
      <w:r w:rsidRPr="00C534A9">
        <w:rPr>
          <w:rFonts w:ascii="Arial" w:hAnsi="Arial" w:cs="Arial"/>
          <w:sz w:val="22"/>
        </w:rPr>
        <w:t>Table 7.</w:t>
      </w:r>
      <w:r w:rsidR="00EB0B68" w:rsidRPr="00C534A9">
        <w:rPr>
          <w:rFonts w:ascii="Arial" w:hAnsi="Arial" w:cs="Arial"/>
          <w:sz w:val="22"/>
        </w:rPr>
        <w:t>3</w:t>
      </w:r>
      <w:r w:rsidRPr="00C534A9">
        <w:rPr>
          <w:rFonts w:ascii="Arial" w:hAnsi="Arial" w:cs="Arial"/>
          <w:sz w:val="22"/>
        </w:rPr>
        <w:t>: Aggregated Economic Costs and Benefits of all sub-project including the VS LNG terminal (US$ ‘000)</w:t>
      </w:r>
      <w:bookmarkEnd w:id="152"/>
    </w:p>
    <w:tbl>
      <w:tblPr>
        <w:tblStyle w:val="TableGrid"/>
        <w:tblW w:w="0" w:type="auto"/>
        <w:tblLook w:val="04A0" w:firstRow="1" w:lastRow="0" w:firstColumn="1" w:lastColumn="0" w:noHBand="0" w:noVBand="1"/>
      </w:tblPr>
      <w:tblGrid>
        <w:gridCol w:w="2540"/>
        <w:gridCol w:w="2120"/>
      </w:tblGrid>
      <w:tr w:rsidR="00605602" w:rsidRPr="00C534A9" w:rsidTr="00D132E2">
        <w:trPr>
          <w:trHeight w:val="450"/>
        </w:trPr>
        <w:tc>
          <w:tcPr>
            <w:tcW w:w="2540" w:type="dxa"/>
            <w:hideMark/>
          </w:tcPr>
          <w:p w:rsidR="00605602" w:rsidRPr="00C534A9" w:rsidRDefault="00605602" w:rsidP="00C534A9">
            <w:pPr>
              <w:jc w:val="both"/>
              <w:rPr>
                <w:rFonts w:ascii="Arial" w:hAnsi="Arial" w:cs="Arial"/>
                <w:sz w:val="22"/>
              </w:rPr>
            </w:pPr>
            <w:r w:rsidRPr="00C534A9">
              <w:rPr>
                <w:rFonts w:ascii="Arial" w:hAnsi="Arial" w:cs="Arial"/>
                <w:sz w:val="22"/>
              </w:rPr>
              <w:t>Present Value - Benefits</w:t>
            </w:r>
          </w:p>
        </w:tc>
        <w:tc>
          <w:tcPr>
            <w:tcW w:w="2120" w:type="dxa"/>
            <w:vAlign w:val="center"/>
            <w:hideMark/>
          </w:tcPr>
          <w:p w:rsidR="00605602" w:rsidRPr="00C534A9" w:rsidRDefault="00605602" w:rsidP="00C534A9">
            <w:pPr>
              <w:jc w:val="both"/>
              <w:rPr>
                <w:rFonts w:ascii="Arial" w:hAnsi="Arial" w:cs="Arial"/>
                <w:sz w:val="22"/>
              </w:rPr>
            </w:pPr>
            <w:r w:rsidRPr="00C534A9">
              <w:rPr>
                <w:rFonts w:ascii="Arial" w:hAnsi="Arial" w:cs="Arial"/>
                <w:color w:val="000000"/>
                <w:sz w:val="22"/>
              </w:rPr>
              <w:t xml:space="preserve">$549,339 </w:t>
            </w:r>
          </w:p>
        </w:tc>
      </w:tr>
      <w:tr w:rsidR="00605602" w:rsidRPr="00C534A9" w:rsidTr="00D132E2">
        <w:trPr>
          <w:trHeight w:val="450"/>
        </w:trPr>
        <w:tc>
          <w:tcPr>
            <w:tcW w:w="2540" w:type="dxa"/>
            <w:hideMark/>
          </w:tcPr>
          <w:p w:rsidR="00605602" w:rsidRPr="00C534A9" w:rsidRDefault="00605602" w:rsidP="00C534A9">
            <w:pPr>
              <w:jc w:val="both"/>
              <w:rPr>
                <w:rFonts w:ascii="Arial" w:hAnsi="Arial" w:cs="Arial"/>
                <w:sz w:val="22"/>
              </w:rPr>
            </w:pPr>
            <w:r w:rsidRPr="00C534A9">
              <w:rPr>
                <w:rFonts w:ascii="Arial" w:hAnsi="Arial" w:cs="Arial"/>
                <w:sz w:val="22"/>
              </w:rPr>
              <w:t>Present Value  - Costs</w:t>
            </w:r>
          </w:p>
        </w:tc>
        <w:tc>
          <w:tcPr>
            <w:tcW w:w="2120" w:type="dxa"/>
            <w:vAlign w:val="center"/>
            <w:hideMark/>
          </w:tcPr>
          <w:p w:rsidR="00605602" w:rsidRPr="00C534A9" w:rsidRDefault="00605602" w:rsidP="00C534A9">
            <w:pPr>
              <w:jc w:val="both"/>
              <w:rPr>
                <w:rFonts w:ascii="Arial" w:hAnsi="Arial" w:cs="Arial"/>
                <w:sz w:val="22"/>
              </w:rPr>
            </w:pPr>
            <w:r w:rsidRPr="00C534A9">
              <w:rPr>
                <w:rFonts w:ascii="Arial" w:hAnsi="Arial" w:cs="Arial"/>
                <w:color w:val="FF0000"/>
                <w:sz w:val="22"/>
              </w:rPr>
              <w:t>($460,499)</w:t>
            </w:r>
          </w:p>
        </w:tc>
      </w:tr>
      <w:tr w:rsidR="00605602" w:rsidRPr="00C534A9" w:rsidTr="00D132E2">
        <w:trPr>
          <w:trHeight w:val="450"/>
        </w:trPr>
        <w:tc>
          <w:tcPr>
            <w:tcW w:w="2540" w:type="dxa"/>
            <w:hideMark/>
          </w:tcPr>
          <w:p w:rsidR="00605602" w:rsidRPr="00C534A9" w:rsidRDefault="00605602" w:rsidP="00C534A9">
            <w:pPr>
              <w:jc w:val="both"/>
              <w:rPr>
                <w:rFonts w:ascii="Arial" w:hAnsi="Arial" w:cs="Arial"/>
                <w:sz w:val="22"/>
              </w:rPr>
            </w:pPr>
            <w:r w:rsidRPr="00C534A9">
              <w:rPr>
                <w:rFonts w:ascii="Arial" w:hAnsi="Arial" w:cs="Arial"/>
                <w:sz w:val="22"/>
              </w:rPr>
              <w:t>Net Present Value</w:t>
            </w:r>
          </w:p>
        </w:tc>
        <w:tc>
          <w:tcPr>
            <w:tcW w:w="2120" w:type="dxa"/>
            <w:vAlign w:val="center"/>
            <w:hideMark/>
          </w:tcPr>
          <w:p w:rsidR="00605602" w:rsidRPr="00C534A9" w:rsidRDefault="00605602" w:rsidP="00C534A9">
            <w:pPr>
              <w:jc w:val="both"/>
              <w:rPr>
                <w:rFonts w:ascii="Arial" w:hAnsi="Arial" w:cs="Arial"/>
                <w:sz w:val="22"/>
              </w:rPr>
            </w:pPr>
            <w:r w:rsidRPr="00C534A9">
              <w:rPr>
                <w:rFonts w:ascii="Arial" w:hAnsi="Arial" w:cs="Arial"/>
                <w:color w:val="000000"/>
                <w:sz w:val="22"/>
              </w:rPr>
              <w:t xml:space="preserve">$88,840 </w:t>
            </w:r>
          </w:p>
        </w:tc>
      </w:tr>
      <w:tr w:rsidR="00605602" w:rsidRPr="00C534A9" w:rsidTr="00D132E2">
        <w:trPr>
          <w:trHeight w:val="450"/>
        </w:trPr>
        <w:tc>
          <w:tcPr>
            <w:tcW w:w="2540" w:type="dxa"/>
            <w:hideMark/>
          </w:tcPr>
          <w:p w:rsidR="00605602" w:rsidRPr="00C534A9" w:rsidRDefault="00605602" w:rsidP="00C534A9">
            <w:pPr>
              <w:jc w:val="both"/>
              <w:rPr>
                <w:rFonts w:ascii="Arial" w:hAnsi="Arial" w:cs="Arial"/>
                <w:sz w:val="22"/>
              </w:rPr>
            </w:pPr>
            <w:r w:rsidRPr="00C534A9">
              <w:rPr>
                <w:rFonts w:ascii="Arial" w:hAnsi="Arial" w:cs="Arial"/>
                <w:sz w:val="22"/>
              </w:rPr>
              <w:t>IRR</w:t>
            </w:r>
          </w:p>
        </w:tc>
        <w:tc>
          <w:tcPr>
            <w:tcW w:w="2120" w:type="dxa"/>
            <w:vAlign w:val="center"/>
            <w:hideMark/>
          </w:tcPr>
          <w:p w:rsidR="00605602" w:rsidRPr="00C534A9" w:rsidRDefault="00605602" w:rsidP="00C534A9">
            <w:pPr>
              <w:jc w:val="both"/>
              <w:rPr>
                <w:rFonts w:ascii="Arial" w:hAnsi="Arial" w:cs="Arial"/>
                <w:sz w:val="22"/>
              </w:rPr>
            </w:pPr>
            <w:r w:rsidRPr="00C534A9">
              <w:rPr>
                <w:rFonts w:ascii="Arial" w:hAnsi="Arial" w:cs="Arial"/>
                <w:color w:val="000000"/>
                <w:sz w:val="22"/>
              </w:rPr>
              <w:t>28%</w:t>
            </w:r>
          </w:p>
        </w:tc>
      </w:tr>
    </w:tbl>
    <w:p w:rsidR="00990A65" w:rsidRPr="00C534A9" w:rsidRDefault="00990A65" w:rsidP="00C534A9">
      <w:pPr>
        <w:pStyle w:val="Source"/>
        <w:jc w:val="both"/>
        <w:rPr>
          <w:rFonts w:ascii="Arial" w:hAnsi="Arial" w:cs="Arial"/>
          <w:sz w:val="18"/>
        </w:rPr>
      </w:pPr>
    </w:p>
    <w:p w:rsidR="00EB0B68" w:rsidRPr="00C534A9" w:rsidRDefault="00EB0B68" w:rsidP="00D132E2">
      <w:pPr>
        <w:pStyle w:val="Heading2"/>
        <w:numPr>
          <w:ilvl w:val="0"/>
          <w:numId w:val="0"/>
        </w:numPr>
        <w:jc w:val="both"/>
        <w:rPr>
          <w:rFonts w:ascii="Arial" w:hAnsi="Arial" w:cs="Arial"/>
          <w:sz w:val="24"/>
        </w:rPr>
      </w:pPr>
    </w:p>
    <w:p w:rsidR="00EB0B68" w:rsidRPr="00C534A9" w:rsidRDefault="00EB0B68" w:rsidP="00C534A9">
      <w:pPr>
        <w:jc w:val="both"/>
        <w:rPr>
          <w:rFonts w:ascii="Arial" w:hAnsi="Arial" w:cs="Arial"/>
          <w:sz w:val="22"/>
        </w:rPr>
      </w:pPr>
      <w:r w:rsidRPr="00C534A9">
        <w:rPr>
          <w:rFonts w:ascii="Arial" w:hAnsi="Arial" w:cs="Arial"/>
          <w:sz w:val="22"/>
        </w:rPr>
        <w:t xml:space="preserve">The sensitivity analyses that were conducted on each sub-project including the VS LNG terminal were aggregated to examine the impact of changing key variables on the total project economic viability. </w:t>
      </w:r>
      <w:r w:rsidR="00605602" w:rsidRPr="00C534A9">
        <w:rPr>
          <w:rFonts w:ascii="Arial" w:hAnsi="Arial" w:cs="Arial"/>
          <w:sz w:val="22"/>
        </w:rPr>
        <w:t xml:space="preserve"> </w:t>
      </w:r>
      <w:r w:rsidRPr="00C534A9">
        <w:rPr>
          <w:rFonts w:ascii="Arial" w:hAnsi="Arial" w:cs="Arial"/>
          <w:sz w:val="22"/>
        </w:rPr>
        <w:t xml:space="preserve">In a “worst case” scenario in which all variables are set to the Low value (a low oil and natural gas price, a low CO2 price, and low utilization rates for the RE technologies), the total project is still economically viable. As shown in Figure </w:t>
      </w:r>
      <w:r w:rsidR="00605602" w:rsidRPr="00C534A9">
        <w:rPr>
          <w:rFonts w:ascii="Arial" w:hAnsi="Arial" w:cs="Arial"/>
          <w:sz w:val="22"/>
        </w:rPr>
        <w:t>7.4</w:t>
      </w:r>
      <w:r w:rsidRPr="00C534A9">
        <w:rPr>
          <w:rFonts w:ascii="Arial" w:hAnsi="Arial" w:cs="Arial"/>
          <w:sz w:val="22"/>
        </w:rPr>
        <w:t>, the total project under a worst case scenario has an economic NPV of US$</w:t>
      </w:r>
      <w:r w:rsidR="00605602" w:rsidRPr="00C534A9">
        <w:rPr>
          <w:rFonts w:ascii="Arial" w:hAnsi="Arial" w:cs="Arial"/>
          <w:sz w:val="22"/>
        </w:rPr>
        <w:t>46.</w:t>
      </w:r>
      <w:r w:rsidR="00E80139" w:rsidRPr="00C534A9">
        <w:rPr>
          <w:rFonts w:ascii="Arial" w:hAnsi="Arial" w:cs="Arial"/>
          <w:sz w:val="22"/>
        </w:rPr>
        <w:t>7</w:t>
      </w:r>
      <w:r w:rsidRPr="00C534A9">
        <w:rPr>
          <w:rFonts w:ascii="Arial" w:hAnsi="Arial" w:cs="Arial"/>
          <w:sz w:val="22"/>
        </w:rPr>
        <w:t xml:space="preserve"> million and EIRR of 22%.</w:t>
      </w:r>
    </w:p>
    <w:p w:rsidR="00EB0B68" w:rsidRPr="00C534A9" w:rsidRDefault="00EB0B68" w:rsidP="00C534A9">
      <w:pPr>
        <w:pStyle w:val="Caption"/>
        <w:jc w:val="both"/>
        <w:rPr>
          <w:rFonts w:ascii="Arial" w:hAnsi="Arial" w:cs="Arial"/>
          <w:sz w:val="22"/>
        </w:rPr>
      </w:pPr>
      <w:r w:rsidRPr="00C534A9">
        <w:rPr>
          <w:rFonts w:ascii="Arial" w:hAnsi="Arial" w:cs="Arial"/>
          <w:sz w:val="22"/>
        </w:rPr>
        <w:t>Figure 7.4: Net Economic Benefits of the total project under a worst case scenario (‘000 US$)</w:t>
      </w:r>
    </w:p>
    <w:p w:rsidR="00EB0B68" w:rsidRPr="00C534A9" w:rsidRDefault="00605602" w:rsidP="00C534A9">
      <w:pPr>
        <w:jc w:val="both"/>
        <w:rPr>
          <w:rFonts w:ascii="Arial" w:hAnsi="Arial" w:cs="Arial"/>
          <w:sz w:val="22"/>
        </w:rPr>
      </w:pPr>
      <w:r w:rsidRPr="00C534A9">
        <w:rPr>
          <w:rFonts w:ascii="Arial" w:hAnsi="Arial" w:cs="Arial"/>
          <w:noProof/>
          <w:sz w:val="22"/>
        </w:rPr>
        <w:drawing>
          <wp:inline distT="0" distB="0" distL="0" distR="0" wp14:anchorId="309BCC5B" wp14:editId="63FB8EC8">
            <wp:extent cx="4261485" cy="2280285"/>
            <wp:effectExtent l="0" t="0" r="5715" b="571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61485" cy="2280285"/>
                    </a:xfrm>
                    <a:prstGeom prst="rect">
                      <a:avLst/>
                    </a:prstGeom>
                    <a:noFill/>
                  </pic:spPr>
                </pic:pic>
              </a:graphicData>
            </a:graphic>
          </wp:inline>
        </w:drawing>
      </w:r>
    </w:p>
    <w:p w:rsidR="00EF1EC7" w:rsidRPr="00C534A9" w:rsidRDefault="00EF1EC7" w:rsidP="00C534A9">
      <w:pPr>
        <w:jc w:val="both"/>
        <w:rPr>
          <w:rFonts w:ascii="Arial" w:hAnsi="Arial" w:cs="Arial"/>
          <w:sz w:val="22"/>
        </w:rPr>
      </w:pPr>
    </w:p>
    <w:p w:rsidR="005171A9" w:rsidRPr="00C534A9" w:rsidRDefault="005171A9" w:rsidP="00C534A9">
      <w:pPr>
        <w:jc w:val="both"/>
        <w:rPr>
          <w:rFonts w:ascii="Arial" w:eastAsiaTheme="majorEastAsia" w:hAnsi="Arial" w:cs="Arial"/>
          <w:spacing w:val="5"/>
          <w:kern w:val="28"/>
          <w:sz w:val="44"/>
          <w:szCs w:val="52"/>
        </w:rPr>
      </w:pPr>
      <w:r w:rsidRPr="00C534A9">
        <w:rPr>
          <w:rFonts w:ascii="Arial" w:hAnsi="Arial" w:cs="Arial"/>
          <w:sz w:val="22"/>
        </w:rPr>
        <w:br w:type="page"/>
      </w:r>
    </w:p>
    <w:p w:rsidR="00BE1449" w:rsidRPr="00C534A9" w:rsidRDefault="00BE1449" w:rsidP="00552328">
      <w:pPr>
        <w:pStyle w:val="Title"/>
      </w:pPr>
      <w:r w:rsidRPr="00C534A9">
        <w:t>Section B: Financial Analysis</w:t>
      </w:r>
    </w:p>
    <w:p w:rsidR="00BE1449" w:rsidRPr="00C534A9" w:rsidRDefault="00BE1449" w:rsidP="00C534A9">
      <w:pPr>
        <w:pStyle w:val="Heading1"/>
        <w:jc w:val="both"/>
        <w:rPr>
          <w:rFonts w:ascii="Arial" w:hAnsi="Arial" w:cs="Arial"/>
          <w:sz w:val="24"/>
        </w:rPr>
      </w:pPr>
      <w:bookmarkStart w:id="153" w:name="_Toc464551529"/>
      <w:r w:rsidRPr="00C534A9">
        <w:rPr>
          <w:rFonts w:ascii="Arial" w:hAnsi="Arial" w:cs="Arial"/>
          <w:sz w:val="24"/>
        </w:rPr>
        <w:t>Introduction</w:t>
      </w:r>
      <w:bookmarkEnd w:id="153"/>
    </w:p>
    <w:p w:rsidR="00BE1449" w:rsidRPr="00C534A9" w:rsidRDefault="00BE1449" w:rsidP="00C534A9">
      <w:pPr>
        <w:jc w:val="both"/>
        <w:rPr>
          <w:rFonts w:ascii="Arial" w:hAnsi="Arial" w:cs="Arial"/>
          <w:sz w:val="22"/>
        </w:rPr>
      </w:pPr>
      <w:r w:rsidRPr="00C534A9">
        <w:rPr>
          <w:rFonts w:ascii="Arial" w:hAnsi="Arial" w:cs="Arial"/>
          <w:sz w:val="22"/>
        </w:rPr>
        <w:t xml:space="preserve">The Inter-American Development Bank (IDB) is preparing a loan operation (Loan BA-L1012) for the Government of Barbados (GOB) to support the deployment of cleaner fuels and renewable energies in the country. This operation will be a loan to be executed by the National Petroleum Corporation (NPC) of Barbados. The main objective is to support Barbados’ energy security by enhancing the energy sector as well as promoting the introduction of cleaner fuels such as natural gas (NG) in the form of liquefied natural gas (LNG) and the implementation of smart energy solutions such as photovoltaic power systems for NG production activities and design of new smart and green energy public buildings.  </w:t>
      </w:r>
    </w:p>
    <w:p w:rsidR="00BE1449" w:rsidRPr="00C534A9" w:rsidRDefault="00BE1449" w:rsidP="00C534A9">
      <w:pPr>
        <w:jc w:val="both"/>
        <w:rPr>
          <w:rFonts w:ascii="Arial" w:hAnsi="Arial" w:cs="Arial"/>
          <w:sz w:val="22"/>
        </w:rPr>
      </w:pPr>
      <w:r w:rsidRPr="00C534A9">
        <w:rPr>
          <w:rFonts w:ascii="Arial" w:hAnsi="Arial" w:cs="Arial"/>
          <w:sz w:val="22"/>
        </w:rPr>
        <w:t xml:space="preserve">This Section presents the Financial Analysis of the sub-projects noted in the CBA in Section A. The Financial Analysis is carried out to examine the financial viability of the projects from the point of view of the NPC, the project Executing Agency. The analysis will determine if the individual sub-projects and the project as a whole are financially viable for the company and if the resulting cash flows will be sufficient to cover the costs of the proposed IDB loan operation to finance the investments. </w:t>
      </w:r>
    </w:p>
    <w:p w:rsidR="00BE1449" w:rsidRPr="00C534A9" w:rsidRDefault="00BE1449" w:rsidP="00C534A9">
      <w:pPr>
        <w:jc w:val="both"/>
        <w:rPr>
          <w:rFonts w:ascii="Arial" w:hAnsi="Arial" w:cs="Arial"/>
          <w:sz w:val="22"/>
        </w:rPr>
      </w:pPr>
      <w:r w:rsidRPr="00C534A9">
        <w:rPr>
          <w:rFonts w:ascii="Arial" w:hAnsi="Arial" w:cs="Arial"/>
          <w:sz w:val="22"/>
        </w:rPr>
        <w:t xml:space="preserve">This </w:t>
      </w:r>
      <w:r w:rsidR="00E56B36" w:rsidRPr="00C534A9">
        <w:rPr>
          <w:rFonts w:ascii="Arial" w:hAnsi="Arial" w:cs="Arial"/>
          <w:sz w:val="22"/>
        </w:rPr>
        <w:t>financial analysis</w:t>
      </w:r>
      <w:r w:rsidRPr="00C534A9">
        <w:rPr>
          <w:rFonts w:ascii="Arial" w:hAnsi="Arial" w:cs="Arial"/>
          <w:sz w:val="22"/>
        </w:rPr>
        <w:t xml:space="preserve"> suggests that the </w:t>
      </w:r>
      <w:r w:rsidR="00E56B36" w:rsidRPr="00C534A9">
        <w:rPr>
          <w:rFonts w:ascii="Arial" w:hAnsi="Arial" w:cs="Arial"/>
          <w:sz w:val="22"/>
        </w:rPr>
        <w:t>sub-project</w:t>
      </w:r>
      <w:r w:rsidRPr="00C534A9">
        <w:rPr>
          <w:rFonts w:ascii="Arial" w:hAnsi="Arial" w:cs="Arial"/>
          <w:sz w:val="22"/>
        </w:rPr>
        <w:t xml:space="preserve">s that were analyzed </w:t>
      </w:r>
      <w:r w:rsidR="0096360D" w:rsidRPr="00C534A9">
        <w:rPr>
          <w:rFonts w:ascii="Arial" w:hAnsi="Arial" w:cs="Arial"/>
          <w:sz w:val="22"/>
        </w:rPr>
        <w:t xml:space="preserve">will </w:t>
      </w:r>
      <w:r w:rsidRPr="00C534A9">
        <w:rPr>
          <w:rFonts w:ascii="Arial" w:hAnsi="Arial" w:cs="Arial"/>
          <w:sz w:val="22"/>
        </w:rPr>
        <w:t xml:space="preserve">generate an aggregate Net Present Value of </w:t>
      </w:r>
      <w:r w:rsidRPr="00C534A9">
        <w:rPr>
          <w:rFonts w:ascii="Arial" w:hAnsi="Arial" w:cs="Arial"/>
          <w:b/>
          <w:sz w:val="22"/>
        </w:rPr>
        <w:t>US$</w:t>
      </w:r>
      <w:r w:rsidR="00E80139" w:rsidRPr="00C534A9">
        <w:rPr>
          <w:rFonts w:ascii="Arial" w:hAnsi="Arial" w:cs="Arial"/>
          <w:b/>
          <w:sz w:val="22"/>
        </w:rPr>
        <w:t>9.7</w:t>
      </w:r>
      <w:r w:rsidRPr="00C534A9">
        <w:rPr>
          <w:rFonts w:ascii="Arial" w:hAnsi="Arial" w:cs="Arial"/>
          <w:b/>
          <w:sz w:val="22"/>
        </w:rPr>
        <w:t>million</w:t>
      </w:r>
      <w:r w:rsidRPr="00C534A9">
        <w:rPr>
          <w:rStyle w:val="FootnoteReference"/>
          <w:rFonts w:ascii="Arial" w:hAnsi="Arial" w:cs="Arial"/>
          <w:b/>
          <w:sz w:val="20"/>
          <w:szCs w:val="22"/>
        </w:rPr>
        <w:footnoteReference w:id="8"/>
      </w:r>
      <w:r w:rsidRPr="00C534A9">
        <w:rPr>
          <w:rFonts w:ascii="Arial" w:hAnsi="Arial" w:cs="Arial"/>
          <w:sz w:val="22"/>
        </w:rPr>
        <w:t xml:space="preserve"> and an </w:t>
      </w:r>
      <w:r w:rsidRPr="00C534A9">
        <w:rPr>
          <w:rFonts w:ascii="Arial" w:hAnsi="Arial" w:cs="Arial"/>
          <w:b/>
          <w:sz w:val="22"/>
        </w:rPr>
        <w:t xml:space="preserve">internal rate of return of </w:t>
      </w:r>
      <w:r w:rsidR="00E80139" w:rsidRPr="00C534A9">
        <w:rPr>
          <w:rFonts w:ascii="Arial" w:hAnsi="Arial" w:cs="Arial"/>
          <w:b/>
          <w:sz w:val="22"/>
        </w:rPr>
        <w:t xml:space="preserve">15 </w:t>
      </w:r>
      <w:r w:rsidRPr="00C534A9">
        <w:rPr>
          <w:rFonts w:ascii="Arial" w:hAnsi="Arial" w:cs="Arial"/>
          <w:b/>
          <w:sz w:val="22"/>
        </w:rPr>
        <w:t>percent</w:t>
      </w:r>
      <w:r w:rsidRPr="00C534A9">
        <w:rPr>
          <w:rFonts w:ascii="Arial" w:hAnsi="Arial" w:cs="Arial"/>
          <w:sz w:val="22"/>
        </w:rPr>
        <w:t xml:space="preserve"> over a 25 year period</w:t>
      </w:r>
      <w:r w:rsidR="00E56B36" w:rsidRPr="00C534A9">
        <w:rPr>
          <w:rFonts w:ascii="Arial" w:hAnsi="Arial" w:cs="Arial"/>
          <w:sz w:val="22"/>
        </w:rPr>
        <w:t xml:space="preserve"> for NPC</w:t>
      </w:r>
      <w:r w:rsidRPr="00C534A9">
        <w:rPr>
          <w:rFonts w:ascii="Arial" w:hAnsi="Arial" w:cs="Arial"/>
          <w:sz w:val="22"/>
        </w:rPr>
        <w:t xml:space="preserve">. </w:t>
      </w:r>
    </w:p>
    <w:p w:rsidR="00BE1449" w:rsidRPr="00C534A9" w:rsidRDefault="00957ACC" w:rsidP="00C534A9">
      <w:pPr>
        <w:jc w:val="both"/>
        <w:rPr>
          <w:rFonts w:ascii="Arial" w:hAnsi="Arial" w:cs="Arial"/>
          <w:sz w:val="22"/>
        </w:rPr>
      </w:pPr>
      <w:r w:rsidRPr="00C534A9">
        <w:rPr>
          <w:rFonts w:ascii="Arial" w:hAnsi="Arial" w:cs="Arial"/>
          <w:sz w:val="22"/>
        </w:rPr>
        <w:t>T</w:t>
      </w:r>
      <w:r w:rsidR="00BE1449" w:rsidRPr="00C534A9">
        <w:rPr>
          <w:rFonts w:ascii="Arial" w:hAnsi="Arial" w:cs="Arial"/>
          <w:sz w:val="22"/>
        </w:rPr>
        <w:t xml:space="preserve">his </w:t>
      </w:r>
      <w:r w:rsidR="00E56B36" w:rsidRPr="00C534A9">
        <w:rPr>
          <w:rFonts w:ascii="Arial" w:hAnsi="Arial" w:cs="Arial"/>
          <w:sz w:val="22"/>
        </w:rPr>
        <w:t>section</w:t>
      </w:r>
      <w:r w:rsidR="00BE1449" w:rsidRPr="00C534A9">
        <w:rPr>
          <w:rFonts w:ascii="Arial" w:hAnsi="Arial" w:cs="Arial"/>
          <w:sz w:val="22"/>
        </w:rPr>
        <w:t xml:space="preserve"> present</w:t>
      </w:r>
      <w:r w:rsidRPr="00C534A9">
        <w:rPr>
          <w:rFonts w:ascii="Arial" w:hAnsi="Arial" w:cs="Arial"/>
          <w:sz w:val="22"/>
        </w:rPr>
        <w:t>s</w:t>
      </w:r>
      <w:r w:rsidR="00BE1449" w:rsidRPr="00C534A9">
        <w:rPr>
          <w:rFonts w:ascii="Arial" w:hAnsi="Arial" w:cs="Arial"/>
          <w:sz w:val="22"/>
        </w:rPr>
        <w:t xml:space="preserve"> </w:t>
      </w:r>
      <w:r w:rsidRPr="00C534A9">
        <w:rPr>
          <w:rFonts w:ascii="Arial" w:hAnsi="Arial" w:cs="Arial"/>
          <w:sz w:val="22"/>
        </w:rPr>
        <w:t>the</w:t>
      </w:r>
      <w:r w:rsidR="00BE1449" w:rsidRPr="00C534A9">
        <w:rPr>
          <w:rFonts w:ascii="Arial" w:hAnsi="Arial" w:cs="Arial"/>
          <w:sz w:val="22"/>
        </w:rPr>
        <w:t xml:space="preserve"> </w:t>
      </w:r>
      <w:r w:rsidR="00E56B36" w:rsidRPr="00C534A9">
        <w:rPr>
          <w:rFonts w:ascii="Arial" w:hAnsi="Arial" w:cs="Arial"/>
          <w:sz w:val="22"/>
        </w:rPr>
        <w:t xml:space="preserve">financial </w:t>
      </w:r>
      <w:r w:rsidR="00BE1449" w:rsidRPr="00C534A9">
        <w:rPr>
          <w:rFonts w:ascii="Arial" w:hAnsi="Arial" w:cs="Arial"/>
          <w:sz w:val="22"/>
        </w:rPr>
        <w:t>analysis in detail as follows:</w:t>
      </w:r>
    </w:p>
    <w:p w:rsidR="00BE1449" w:rsidRPr="00C534A9" w:rsidRDefault="00E56B36" w:rsidP="00C534A9">
      <w:pPr>
        <w:pStyle w:val="ListParagraph"/>
        <w:numPr>
          <w:ilvl w:val="0"/>
          <w:numId w:val="14"/>
        </w:numPr>
        <w:jc w:val="both"/>
        <w:rPr>
          <w:rFonts w:ascii="Arial" w:hAnsi="Arial" w:cs="Arial"/>
          <w:sz w:val="22"/>
        </w:rPr>
      </w:pPr>
      <w:r w:rsidRPr="00C534A9">
        <w:rPr>
          <w:rFonts w:ascii="Arial" w:hAnsi="Arial" w:cs="Arial"/>
          <w:b/>
          <w:sz w:val="22"/>
        </w:rPr>
        <w:t>Financial</w:t>
      </w:r>
      <w:r w:rsidR="00BE1449" w:rsidRPr="00C534A9">
        <w:rPr>
          <w:rFonts w:ascii="Arial" w:hAnsi="Arial" w:cs="Arial"/>
          <w:b/>
          <w:sz w:val="22"/>
        </w:rPr>
        <w:t xml:space="preserve"> Analysis of the micro LNG facility expansion sub-project</w:t>
      </w:r>
      <w:r w:rsidR="00BE1449" w:rsidRPr="00C534A9">
        <w:rPr>
          <w:rFonts w:ascii="Arial" w:hAnsi="Arial" w:cs="Arial"/>
          <w:sz w:val="22"/>
        </w:rPr>
        <w:t xml:space="preserve">—shows that the expansion of the micro-LNG facility is </w:t>
      </w:r>
      <w:r w:rsidRPr="00C534A9">
        <w:rPr>
          <w:rFonts w:ascii="Arial" w:hAnsi="Arial" w:cs="Arial"/>
          <w:sz w:val="22"/>
        </w:rPr>
        <w:t>profitable for NPC</w:t>
      </w:r>
      <w:r w:rsidR="00BE1449" w:rsidRPr="00C534A9">
        <w:rPr>
          <w:rFonts w:ascii="Arial" w:hAnsi="Arial" w:cs="Arial"/>
          <w:sz w:val="22"/>
        </w:rPr>
        <w:t>. It does so by showing that the sub-project</w:t>
      </w:r>
      <w:r w:rsidRPr="00C534A9">
        <w:rPr>
          <w:rFonts w:ascii="Arial" w:hAnsi="Arial" w:cs="Arial"/>
          <w:sz w:val="22"/>
        </w:rPr>
        <w:t>’s NPV</w:t>
      </w:r>
      <w:r w:rsidR="00BE1449" w:rsidRPr="00C534A9">
        <w:rPr>
          <w:rFonts w:ascii="Arial" w:hAnsi="Arial" w:cs="Arial"/>
          <w:sz w:val="22"/>
        </w:rPr>
        <w:t xml:space="preserve"> </w:t>
      </w:r>
      <w:r w:rsidRPr="00C534A9">
        <w:rPr>
          <w:rFonts w:ascii="Arial" w:hAnsi="Arial" w:cs="Arial"/>
          <w:sz w:val="22"/>
        </w:rPr>
        <w:t>is</w:t>
      </w:r>
      <w:r w:rsidR="00BE1449" w:rsidRPr="00C534A9">
        <w:rPr>
          <w:rFonts w:ascii="Arial" w:hAnsi="Arial" w:cs="Arial"/>
          <w:sz w:val="22"/>
        </w:rPr>
        <w:t xml:space="preserve"> positive and the </w:t>
      </w:r>
      <w:r w:rsidRPr="00C534A9">
        <w:rPr>
          <w:rFonts w:ascii="Arial" w:hAnsi="Arial" w:cs="Arial"/>
          <w:sz w:val="22"/>
        </w:rPr>
        <w:t>internal</w:t>
      </w:r>
      <w:r w:rsidR="00BE1449" w:rsidRPr="00C534A9">
        <w:rPr>
          <w:rFonts w:ascii="Arial" w:hAnsi="Arial" w:cs="Arial"/>
          <w:sz w:val="22"/>
        </w:rPr>
        <w:t xml:space="preserve"> rate of return exceeds the discount rate. </w:t>
      </w:r>
      <w:r w:rsidR="002B03F8" w:rsidRPr="00C534A9">
        <w:rPr>
          <w:rFonts w:ascii="Arial" w:hAnsi="Arial" w:cs="Arial"/>
          <w:sz w:val="22"/>
        </w:rPr>
        <w:t xml:space="preserve">The debt coverage ratio is also acceptable throughout the loan period. </w:t>
      </w:r>
      <w:r w:rsidR="00BE1449" w:rsidRPr="00C534A9">
        <w:rPr>
          <w:rFonts w:ascii="Arial" w:hAnsi="Arial" w:cs="Arial"/>
          <w:sz w:val="22"/>
        </w:rPr>
        <w:t xml:space="preserve">The section also presents the assumptions and methodology used to calculate these results (Section </w:t>
      </w:r>
      <w:r w:rsidR="00C86A61" w:rsidRPr="00C534A9">
        <w:rPr>
          <w:rFonts w:ascii="Arial" w:hAnsi="Arial" w:cs="Arial"/>
          <w:sz w:val="22"/>
        </w:rPr>
        <w:t>9</w:t>
      </w:r>
      <w:r w:rsidR="00BE1449" w:rsidRPr="00C534A9">
        <w:rPr>
          <w:rFonts w:ascii="Arial" w:hAnsi="Arial" w:cs="Arial"/>
          <w:sz w:val="22"/>
        </w:rPr>
        <w:t>).</w:t>
      </w:r>
    </w:p>
    <w:p w:rsidR="00E56B36" w:rsidRPr="00C534A9" w:rsidRDefault="00E56B36" w:rsidP="00C534A9">
      <w:pPr>
        <w:pStyle w:val="ListParagraph"/>
        <w:numPr>
          <w:ilvl w:val="0"/>
          <w:numId w:val="14"/>
        </w:numPr>
        <w:jc w:val="both"/>
        <w:rPr>
          <w:rFonts w:ascii="Arial" w:hAnsi="Arial" w:cs="Arial"/>
          <w:sz w:val="22"/>
        </w:rPr>
      </w:pPr>
      <w:r w:rsidRPr="00C534A9">
        <w:rPr>
          <w:rFonts w:ascii="Arial" w:hAnsi="Arial" w:cs="Arial"/>
          <w:b/>
          <w:sz w:val="22"/>
        </w:rPr>
        <w:t>Financial Analysis of the compressor replacement sub-project</w:t>
      </w:r>
      <w:r w:rsidRPr="00C534A9">
        <w:rPr>
          <w:rFonts w:ascii="Arial" w:hAnsi="Arial" w:cs="Arial"/>
          <w:sz w:val="22"/>
        </w:rPr>
        <w:t xml:space="preserve">—shows that the replacement of the natural gas compressors is profitable for NPC. It does so by showing that the sub-project’s NPV is positive and the internal rate of return exceeds the discount rate. </w:t>
      </w:r>
      <w:r w:rsidR="002B03F8" w:rsidRPr="00C534A9">
        <w:rPr>
          <w:rFonts w:ascii="Arial" w:hAnsi="Arial" w:cs="Arial"/>
          <w:sz w:val="22"/>
        </w:rPr>
        <w:t xml:space="preserve">The debt coverage ratio is also acceptable throughout the loan period. </w:t>
      </w:r>
      <w:r w:rsidRPr="00C534A9">
        <w:rPr>
          <w:rFonts w:ascii="Arial" w:hAnsi="Arial" w:cs="Arial"/>
          <w:sz w:val="22"/>
        </w:rPr>
        <w:t>The section also presents the assumptions and methodology used to calculate these results (Section</w:t>
      </w:r>
      <w:r w:rsidR="00CC670E" w:rsidRPr="00C534A9">
        <w:rPr>
          <w:rFonts w:ascii="Arial" w:hAnsi="Arial" w:cs="Arial"/>
          <w:sz w:val="22"/>
        </w:rPr>
        <w:t xml:space="preserve"> </w:t>
      </w:r>
      <w:r w:rsidR="00C86A61" w:rsidRPr="00C534A9">
        <w:rPr>
          <w:rFonts w:ascii="Arial" w:hAnsi="Arial" w:cs="Arial"/>
          <w:sz w:val="22"/>
        </w:rPr>
        <w:t>10</w:t>
      </w:r>
      <w:r w:rsidRPr="00C534A9">
        <w:rPr>
          <w:rFonts w:ascii="Arial" w:hAnsi="Arial" w:cs="Arial"/>
          <w:sz w:val="22"/>
        </w:rPr>
        <w:t>).</w:t>
      </w:r>
    </w:p>
    <w:p w:rsidR="00BE1449" w:rsidRPr="00C534A9" w:rsidRDefault="00E56B36" w:rsidP="00C534A9">
      <w:pPr>
        <w:pStyle w:val="ListParagraph"/>
        <w:numPr>
          <w:ilvl w:val="0"/>
          <w:numId w:val="14"/>
        </w:numPr>
        <w:jc w:val="both"/>
        <w:rPr>
          <w:rFonts w:ascii="Arial" w:hAnsi="Arial" w:cs="Arial"/>
          <w:sz w:val="22"/>
        </w:rPr>
      </w:pPr>
      <w:r w:rsidRPr="00C534A9">
        <w:rPr>
          <w:rFonts w:ascii="Arial" w:hAnsi="Arial" w:cs="Arial"/>
          <w:b/>
          <w:sz w:val="22"/>
        </w:rPr>
        <w:t xml:space="preserve">Financial </w:t>
      </w:r>
      <w:r w:rsidR="00BE1449" w:rsidRPr="00C534A9">
        <w:rPr>
          <w:rFonts w:ascii="Arial" w:hAnsi="Arial" w:cs="Arial"/>
          <w:b/>
          <w:sz w:val="22"/>
        </w:rPr>
        <w:t>Analysis of the 850 kW wind turbine sub-project</w:t>
      </w:r>
      <w:r w:rsidR="00BE1449" w:rsidRPr="00C534A9">
        <w:rPr>
          <w:rFonts w:ascii="Arial" w:hAnsi="Arial" w:cs="Arial"/>
          <w:sz w:val="22"/>
        </w:rPr>
        <w:t xml:space="preserve">—shows that the 850 kW wind turbine </w:t>
      </w:r>
      <w:r w:rsidRPr="00C534A9">
        <w:rPr>
          <w:rFonts w:ascii="Arial" w:hAnsi="Arial" w:cs="Arial"/>
          <w:sz w:val="22"/>
        </w:rPr>
        <w:t xml:space="preserve">is profitable for NPC. It does so by showing that the sub-project’s NPV is positive and the internal rate of return exceeds the discount rate. </w:t>
      </w:r>
      <w:r w:rsidR="002B03F8" w:rsidRPr="00C534A9">
        <w:rPr>
          <w:rFonts w:ascii="Arial" w:hAnsi="Arial" w:cs="Arial"/>
          <w:sz w:val="22"/>
        </w:rPr>
        <w:t xml:space="preserve">The debt coverage ratio is also acceptable throughout the loan period. </w:t>
      </w:r>
      <w:r w:rsidRPr="00C534A9">
        <w:rPr>
          <w:rFonts w:ascii="Arial" w:hAnsi="Arial" w:cs="Arial"/>
          <w:sz w:val="22"/>
        </w:rPr>
        <w:t>The section also presents the assumptions and methodology used to calculate these results (Section</w:t>
      </w:r>
      <w:r w:rsidR="00CC670E" w:rsidRPr="00C534A9">
        <w:rPr>
          <w:rFonts w:ascii="Arial" w:hAnsi="Arial" w:cs="Arial"/>
          <w:sz w:val="22"/>
        </w:rPr>
        <w:t xml:space="preserve"> 1</w:t>
      </w:r>
      <w:r w:rsidR="00C86A61" w:rsidRPr="00C534A9">
        <w:rPr>
          <w:rFonts w:ascii="Arial" w:hAnsi="Arial" w:cs="Arial"/>
          <w:sz w:val="22"/>
        </w:rPr>
        <w:t>1</w:t>
      </w:r>
      <w:r w:rsidRPr="00C534A9">
        <w:rPr>
          <w:rFonts w:ascii="Arial" w:hAnsi="Arial" w:cs="Arial"/>
          <w:sz w:val="22"/>
        </w:rPr>
        <w:t>)</w:t>
      </w:r>
      <w:r w:rsidR="00BE1449" w:rsidRPr="00C534A9">
        <w:rPr>
          <w:rFonts w:ascii="Arial" w:hAnsi="Arial" w:cs="Arial"/>
          <w:sz w:val="22"/>
        </w:rPr>
        <w:t>.</w:t>
      </w:r>
    </w:p>
    <w:p w:rsidR="00BE1449" w:rsidRPr="00C534A9" w:rsidRDefault="00E56B36" w:rsidP="00C534A9">
      <w:pPr>
        <w:pStyle w:val="ListParagraph"/>
        <w:numPr>
          <w:ilvl w:val="0"/>
          <w:numId w:val="14"/>
        </w:numPr>
        <w:jc w:val="both"/>
        <w:rPr>
          <w:rFonts w:ascii="Arial" w:hAnsi="Arial" w:cs="Arial"/>
          <w:sz w:val="22"/>
        </w:rPr>
      </w:pPr>
      <w:r w:rsidRPr="00C534A9">
        <w:rPr>
          <w:rFonts w:ascii="Arial" w:hAnsi="Arial" w:cs="Arial"/>
          <w:b/>
          <w:sz w:val="22"/>
        </w:rPr>
        <w:t xml:space="preserve">Financial </w:t>
      </w:r>
      <w:r w:rsidR="00BE1449" w:rsidRPr="00C534A9">
        <w:rPr>
          <w:rFonts w:ascii="Arial" w:hAnsi="Arial" w:cs="Arial"/>
          <w:b/>
          <w:sz w:val="22"/>
        </w:rPr>
        <w:t xml:space="preserve">Analysis of the 300kW </w:t>
      </w:r>
      <w:r w:rsidR="00AA4E6F" w:rsidRPr="00C534A9">
        <w:rPr>
          <w:rFonts w:ascii="Arial" w:hAnsi="Arial" w:cs="Arial"/>
          <w:b/>
          <w:sz w:val="22"/>
        </w:rPr>
        <w:t>PV system</w:t>
      </w:r>
      <w:r w:rsidR="00BE1449" w:rsidRPr="00C534A9">
        <w:rPr>
          <w:rFonts w:ascii="Arial" w:hAnsi="Arial" w:cs="Arial"/>
          <w:b/>
          <w:sz w:val="22"/>
        </w:rPr>
        <w:t xml:space="preserve"> sub-project</w:t>
      </w:r>
      <w:r w:rsidR="00BE1449" w:rsidRPr="00C534A9">
        <w:rPr>
          <w:rFonts w:ascii="Arial" w:hAnsi="Arial" w:cs="Arial"/>
          <w:sz w:val="22"/>
        </w:rPr>
        <w:t xml:space="preserve">—shows that the installation of </w:t>
      </w:r>
      <w:r w:rsidR="008A1DD9" w:rsidRPr="00C534A9">
        <w:rPr>
          <w:rFonts w:ascii="Arial" w:hAnsi="Arial" w:cs="Arial"/>
          <w:sz w:val="22"/>
        </w:rPr>
        <w:t>a 300 kW</w:t>
      </w:r>
      <w:r w:rsidR="00BE1449" w:rsidRPr="00C534A9">
        <w:rPr>
          <w:rFonts w:ascii="Arial" w:hAnsi="Arial" w:cs="Arial"/>
          <w:sz w:val="22"/>
        </w:rPr>
        <w:t xml:space="preserve"> </w:t>
      </w:r>
      <w:r w:rsidR="00AA4E6F" w:rsidRPr="00C534A9">
        <w:rPr>
          <w:rFonts w:ascii="Arial" w:hAnsi="Arial" w:cs="Arial"/>
          <w:sz w:val="22"/>
        </w:rPr>
        <w:t>PV system</w:t>
      </w:r>
      <w:r w:rsidR="00BE1449" w:rsidRPr="00C534A9">
        <w:rPr>
          <w:rFonts w:ascii="Arial" w:hAnsi="Arial" w:cs="Arial"/>
          <w:sz w:val="22"/>
        </w:rPr>
        <w:t xml:space="preserve"> </w:t>
      </w:r>
      <w:r w:rsidRPr="00C534A9">
        <w:rPr>
          <w:rFonts w:ascii="Arial" w:hAnsi="Arial" w:cs="Arial"/>
          <w:sz w:val="22"/>
        </w:rPr>
        <w:t xml:space="preserve">is profitable for NPC. It does so by showing that the sub-project’s NPV is positive and the internal rate of return exceeds the discount rate. </w:t>
      </w:r>
      <w:r w:rsidR="002B03F8" w:rsidRPr="00C534A9">
        <w:rPr>
          <w:rFonts w:ascii="Arial" w:hAnsi="Arial" w:cs="Arial"/>
          <w:sz w:val="22"/>
        </w:rPr>
        <w:t xml:space="preserve">The debt coverage ratio is also acceptable throughout the loan period. </w:t>
      </w:r>
      <w:r w:rsidRPr="00C534A9">
        <w:rPr>
          <w:rFonts w:ascii="Arial" w:hAnsi="Arial" w:cs="Arial"/>
          <w:sz w:val="22"/>
        </w:rPr>
        <w:t>The section also presents the assumptions and methodology used to calculate these results (Section</w:t>
      </w:r>
      <w:r w:rsidR="00CC670E" w:rsidRPr="00C534A9">
        <w:rPr>
          <w:rFonts w:ascii="Arial" w:hAnsi="Arial" w:cs="Arial"/>
          <w:sz w:val="22"/>
        </w:rPr>
        <w:t xml:space="preserve"> 1</w:t>
      </w:r>
      <w:r w:rsidR="00C86A61" w:rsidRPr="00C534A9">
        <w:rPr>
          <w:rFonts w:ascii="Arial" w:hAnsi="Arial" w:cs="Arial"/>
          <w:sz w:val="22"/>
        </w:rPr>
        <w:t>2</w:t>
      </w:r>
      <w:r w:rsidRPr="00C534A9">
        <w:rPr>
          <w:rFonts w:ascii="Arial" w:hAnsi="Arial" w:cs="Arial"/>
          <w:sz w:val="22"/>
        </w:rPr>
        <w:t>)</w:t>
      </w:r>
    </w:p>
    <w:p w:rsidR="00BE1449" w:rsidRPr="00C534A9" w:rsidRDefault="00E56B36" w:rsidP="00C534A9">
      <w:pPr>
        <w:pStyle w:val="ListParagraph"/>
        <w:numPr>
          <w:ilvl w:val="0"/>
          <w:numId w:val="14"/>
        </w:numPr>
        <w:jc w:val="both"/>
        <w:rPr>
          <w:rFonts w:ascii="Arial" w:hAnsi="Arial" w:cs="Arial"/>
          <w:sz w:val="22"/>
        </w:rPr>
      </w:pPr>
      <w:r w:rsidRPr="00C534A9">
        <w:rPr>
          <w:rFonts w:ascii="Arial" w:hAnsi="Arial" w:cs="Arial"/>
          <w:b/>
          <w:sz w:val="22"/>
        </w:rPr>
        <w:t xml:space="preserve">Financial </w:t>
      </w:r>
      <w:r w:rsidR="00BE1449" w:rsidRPr="00C534A9">
        <w:rPr>
          <w:rFonts w:ascii="Arial" w:hAnsi="Arial" w:cs="Arial"/>
          <w:b/>
          <w:sz w:val="22"/>
        </w:rPr>
        <w:t>Analysis of the VS LNG terminal</w:t>
      </w:r>
      <w:r w:rsidR="00BE1449" w:rsidRPr="00C534A9">
        <w:rPr>
          <w:rFonts w:ascii="Arial" w:hAnsi="Arial" w:cs="Arial"/>
          <w:sz w:val="22"/>
        </w:rPr>
        <w:t xml:space="preserve">—shows that the VS LNG terminal </w:t>
      </w:r>
      <w:r w:rsidRPr="00C534A9">
        <w:rPr>
          <w:rFonts w:ascii="Arial" w:hAnsi="Arial" w:cs="Arial"/>
          <w:sz w:val="22"/>
        </w:rPr>
        <w:t>is profitable for NPC. It does so by showing that the sub-project’s NPV is positive and the internal rate of return exceeds the discount rate.</w:t>
      </w:r>
      <w:r w:rsidR="002B03F8" w:rsidRPr="00C534A9">
        <w:rPr>
          <w:rFonts w:ascii="Arial" w:hAnsi="Arial" w:cs="Arial"/>
          <w:sz w:val="22"/>
        </w:rPr>
        <w:t xml:space="preserve"> The debt coverage ratio is also acceptable throughout the loan period.</w:t>
      </w:r>
      <w:r w:rsidRPr="00C534A9">
        <w:rPr>
          <w:rFonts w:ascii="Arial" w:hAnsi="Arial" w:cs="Arial"/>
          <w:sz w:val="22"/>
        </w:rPr>
        <w:t xml:space="preserve"> The section also presents the assumptions and methodology used to calculate these results (Section</w:t>
      </w:r>
      <w:r w:rsidR="00CC670E" w:rsidRPr="00C534A9">
        <w:rPr>
          <w:rFonts w:ascii="Arial" w:hAnsi="Arial" w:cs="Arial"/>
          <w:sz w:val="22"/>
        </w:rPr>
        <w:t xml:space="preserve"> 1</w:t>
      </w:r>
      <w:r w:rsidR="00C86A61" w:rsidRPr="00C534A9">
        <w:rPr>
          <w:rFonts w:ascii="Arial" w:hAnsi="Arial" w:cs="Arial"/>
          <w:sz w:val="22"/>
        </w:rPr>
        <w:t>3</w:t>
      </w:r>
      <w:r w:rsidRPr="00C534A9">
        <w:rPr>
          <w:rFonts w:ascii="Arial" w:hAnsi="Arial" w:cs="Arial"/>
          <w:sz w:val="22"/>
        </w:rPr>
        <w:t>)</w:t>
      </w:r>
      <w:r w:rsidR="00BE1449" w:rsidRPr="00C534A9">
        <w:rPr>
          <w:rFonts w:ascii="Arial" w:hAnsi="Arial" w:cs="Arial"/>
          <w:sz w:val="22"/>
        </w:rPr>
        <w:t>.</w:t>
      </w:r>
    </w:p>
    <w:p w:rsidR="00BE1449" w:rsidRPr="00C534A9" w:rsidRDefault="00E56B36" w:rsidP="00C534A9">
      <w:pPr>
        <w:pStyle w:val="ListParagraph"/>
        <w:numPr>
          <w:ilvl w:val="0"/>
          <w:numId w:val="14"/>
        </w:numPr>
        <w:jc w:val="both"/>
        <w:rPr>
          <w:rFonts w:ascii="Arial" w:hAnsi="Arial" w:cs="Arial"/>
          <w:sz w:val="22"/>
        </w:rPr>
      </w:pPr>
      <w:r w:rsidRPr="00C534A9">
        <w:rPr>
          <w:rFonts w:ascii="Arial" w:hAnsi="Arial" w:cs="Arial"/>
          <w:b/>
          <w:sz w:val="22"/>
        </w:rPr>
        <w:t xml:space="preserve">Financial </w:t>
      </w:r>
      <w:r w:rsidR="00BE1449" w:rsidRPr="00C534A9">
        <w:rPr>
          <w:rFonts w:ascii="Arial" w:hAnsi="Arial" w:cs="Arial"/>
          <w:b/>
          <w:sz w:val="22"/>
        </w:rPr>
        <w:t>Analysis of all Sub-Projects</w:t>
      </w:r>
      <w:r w:rsidR="00BE1449" w:rsidRPr="00C534A9">
        <w:rPr>
          <w:rFonts w:ascii="Arial" w:hAnsi="Arial" w:cs="Arial"/>
          <w:sz w:val="22"/>
        </w:rPr>
        <w:t xml:space="preserve">—aggregates the results presented in the previous sections to show the </w:t>
      </w:r>
      <w:r w:rsidRPr="00C534A9">
        <w:rPr>
          <w:rFonts w:ascii="Arial" w:hAnsi="Arial" w:cs="Arial"/>
          <w:sz w:val="22"/>
        </w:rPr>
        <w:t>profitability</w:t>
      </w:r>
      <w:r w:rsidR="00BE1449" w:rsidRPr="00C534A9">
        <w:rPr>
          <w:rFonts w:ascii="Arial" w:hAnsi="Arial" w:cs="Arial"/>
          <w:sz w:val="22"/>
        </w:rPr>
        <w:t xml:space="preserve"> and financial viability of the loan operation sub-projects as a whole (Section </w:t>
      </w:r>
      <w:r w:rsidR="00CC670E" w:rsidRPr="00C534A9">
        <w:rPr>
          <w:rFonts w:ascii="Arial" w:hAnsi="Arial" w:cs="Arial"/>
          <w:sz w:val="22"/>
        </w:rPr>
        <w:t>1</w:t>
      </w:r>
      <w:r w:rsidR="00C86A61" w:rsidRPr="00C534A9">
        <w:rPr>
          <w:rFonts w:ascii="Arial" w:hAnsi="Arial" w:cs="Arial"/>
          <w:sz w:val="22"/>
        </w:rPr>
        <w:t>4</w:t>
      </w:r>
      <w:r w:rsidR="00BE1449" w:rsidRPr="00C534A9">
        <w:rPr>
          <w:rFonts w:ascii="Arial" w:hAnsi="Arial" w:cs="Arial"/>
          <w:sz w:val="22"/>
        </w:rPr>
        <w:t>).</w:t>
      </w:r>
    </w:p>
    <w:p w:rsidR="00C86A61" w:rsidRPr="00C534A9" w:rsidRDefault="00C86A61" w:rsidP="00C534A9">
      <w:pPr>
        <w:pStyle w:val="Heading2"/>
        <w:jc w:val="both"/>
        <w:rPr>
          <w:rFonts w:ascii="Arial" w:hAnsi="Arial" w:cs="Arial"/>
          <w:sz w:val="24"/>
        </w:rPr>
      </w:pPr>
      <w:bookmarkStart w:id="154" w:name="_Toc464551530"/>
      <w:r w:rsidRPr="00C534A9">
        <w:rPr>
          <w:rFonts w:ascii="Arial" w:hAnsi="Arial" w:cs="Arial"/>
          <w:sz w:val="24"/>
        </w:rPr>
        <w:t xml:space="preserve">Financial Analysis </w:t>
      </w:r>
      <w:r w:rsidR="0096360D" w:rsidRPr="00C534A9">
        <w:rPr>
          <w:rFonts w:ascii="Arial" w:hAnsi="Arial" w:cs="Arial"/>
          <w:sz w:val="24"/>
        </w:rPr>
        <w:t>Variables and Assumptions</w:t>
      </w:r>
      <w:bookmarkEnd w:id="154"/>
    </w:p>
    <w:p w:rsidR="00C86A61" w:rsidRPr="00C534A9" w:rsidRDefault="00F122AA" w:rsidP="00C534A9">
      <w:pPr>
        <w:jc w:val="both"/>
        <w:rPr>
          <w:rFonts w:ascii="Arial" w:hAnsi="Arial" w:cs="Arial"/>
          <w:sz w:val="22"/>
          <w:szCs w:val="24"/>
        </w:rPr>
      </w:pPr>
      <w:r w:rsidRPr="00C534A9">
        <w:rPr>
          <w:rFonts w:ascii="Arial" w:hAnsi="Arial" w:cs="Arial"/>
          <w:sz w:val="22"/>
        </w:rPr>
        <w:t xml:space="preserve">The financial analysis is based on the revenue and expense streams for each of the sub-projects identified in the CBA above. </w:t>
      </w:r>
      <w:r w:rsidRPr="00C534A9">
        <w:rPr>
          <w:rStyle w:val="BodyTextChar"/>
          <w:rFonts w:ascii="Arial" w:hAnsi="Arial" w:cs="Arial"/>
          <w:sz w:val="22"/>
        </w:rPr>
        <w:t>For each sub-project, the CBA assumptions and calculations for the expected benefits and costs were used to calculate the expected annual income and the annual expenses that accrue to NPC as a result of the sub-project</w:t>
      </w:r>
      <w:r w:rsidRPr="00C534A9">
        <w:rPr>
          <w:rFonts w:ascii="Arial" w:hAnsi="Arial" w:cs="Arial"/>
          <w:sz w:val="22"/>
          <w:szCs w:val="24"/>
        </w:rPr>
        <w:t xml:space="preserve">. Table 8.1 shows the specific loan terms, including the interest rate and tenor, Barbados’ tax rate, and the straight line depreciation period that were used for the financial analysis. These factors were applied to calculate the sub-projects’ earnings, net cash flow, and debt coverage ratios for each of the 25 years included in the analysis. This series of future cash flows was then used to calculate the NPV and the internal rate of return (IRR) from NPC’s perspective. </w:t>
      </w:r>
      <w:r w:rsidRPr="00C534A9">
        <w:rPr>
          <w:rStyle w:val="BodyTextChar"/>
          <w:rFonts w:ascii="Arial" w:hAnsi="Arial" w:cs="Arial"/>
          <w:sz w:val="22"/>
        </w:rPr>
        <w:t xml:space="preserve"> </w:t>
      </w:r>
    </w:p>
    <w:p w:rsidR="0096360D" w:rsidRPr="00C534A9" w:rsidRDefault="0096360D" w:rsidP="00C534A9">
      <w:pPr>
        <w:pStyle w:val="Caption"/>
        <w:jc w:val="both"/>
        <w:rPr>
          <w:rFonts w:ascii="Arial" w:hAnsi="Arial" w:cs="Arial"/>
          <w:sz w:val="22"/>
        </w:rPr>
      </w:pPr>
      <w:bookmarkStart w:id="155" w:name="_Toc463508999"/>
      <w:r w:rsidRPr="00C534A9">
        <w:rPr>
          <w:rFonts w:ascii="Arial" w:hAnsi="Arial" w:cs="Arial"/>
          <w:sz w:val="22"/>
        </w:rPr>
        <w:t>T</w:t>
      </w:r>
      <w:r w:rsidR="00791234" w:rsidRPr="00C534A9">
        <w:rPr>
          <w:rFonts w:ascii="Arial" w:hAnsi="Arial" w:cs="Arial"/>
          <w:sz w:val="22"/>
        </w:rPr>
        <w:t>able 8.1</w:t>
      </w:r>
      <w:r w:rsidRPr="00C534A9">
        <w:rPr>
          <w:rFonts w:ascii="Arial" w:hAnsi="Arial" w:cs="Arial"/>
          <w:sz w:val="22"/>
        </w:rPr>
        <w:t xml:space="preserve"> </w:t>
      </w:r>
      <w:r w:rsidR="00791234" w:rsidRPr="00C534A9">
        <w:rPr>
          <w:rFonts w:ascii="Arial" w:hAnsi="Arial" w:cs="Arial"/>
          <w:sz w:val="22"/>
        </w:rPr>
        <w:t>Financial Analysis Assumptions and Variables</w:t>
      </w:r>
      <w:bookmarkEnd w:id="155"/>
    </w:p>
    <w:tbl>
      <w:tblPr>
        <w:tblW w:w="6795" w:type="dxa"/>
        <w:jc w:val="center"/>
        <w:tblInd w:w="-27" w:type="dxa"/>
        <w:tblLook w:val="04A0" w:firstRow="1" w:lastRow="0" w:firstColumn="1" w:lastColumn="0" w:noHBand="0" w:noVBand="1"/>
      </w:tblPr>
      <w:tblGrid>
        <w:gridCol w:w="3808"/>
        <w:gridCol w:w="1676"/>
        <w:gridCol w:w="1311"/>
      </w:tblGrid>
      <w:tr w:rsidR="00791234" w:rsidRPr="00C534A9" w:rsidTr="00A74A3E">
        <w:trPr>
          <w:trHeight w:val="255"/>
          <w:jc w:val="center"/>
        </w:trPr>
        <w:tc>
          <w:tcPr>
            <w:tcW w:w="3808"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b/>
                <w:bCs/>
                <w:color w:val="auto"/>
                <w:sz w:val="18"/>
                <w:szCs w:val="20"/>
                <w:u w:val="single"/>
              </w:rPr>
            </w:pPr>
            <w:r w:rsidRPr="00C534A9">
              <w:rPr>
                <w:rFonts w:ascii="Arial" w:eastAsia="Times New Roman" w:hAnsi="Arial" w:cs="Arial"/>
                <w:b/>
                <w:bCs/>
                <w:color w:val="auto"/>
                <w:sz w:val="18"/>
                <w:szCs w:val="20"/>
                <w:u w:val="single"/>
              </w:rPr>
              <w:t>Financial variables</w:t>
            </w:r>
          </w:p>
        </w:tc>
        <w:tc>
          <w:tcPr>
            <w:tcW w:w="1676"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18"/>
                <w:szCs w:val="20"/>
              </w:rPr>
            </w:pPr>
            <w:r w:rsidRPr="00C534A9">
              <w:rPr>
                <w:rFonts w:ascii="Arial" w:eastAsia="Times New Roman" w:hAnsi="Arial" w:cs="Arial"/>
                <w:color w:val="auto"/>
                <w:sz w:val="18"/>
                <w:szCs w:val="20"/>
              </w:rPr>
              <w:t> </w:t>
            </w:r>
          </w:p>
        </w:tc>
        <w:tc>
          <w:tcPr>
            <w:tcW w:w="1311"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18"/>
                <w:szCs w:val="20"/>
              </w:rPr>
            </w:pPr>
            <w:r w:rsidRPr="00C534A9">
              <w:rPr>
                <w:rFonts w:ascii="Arial" w:eastAsia="Times New Roman" w:hAnsi="Arial" w:cs="Arial"/>
                <w:color w:val="auto"/>
                <w:sz w:val="18"/>
                <w:szCs w:val="20"/>
              </w:rPr>
              <w:t> </w:t>
            </w:r>
          </w:p>
        </w:tc>
      </w:tr>
      <w:tr w:rsidR="00791234" w:rsidRPr="00C534A9" w:rsidTr="00A74A3E">
        <w:trPr>
          <w:trHeight w:val="255"/>
          <w:jc w:val="center"/>
        </w:trPr>
        <w:tc>
          <w:tcPr>
            <w:tcW w:w="3808"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18"/>
                <w:szCs w:val="20"/>
              </w:rPr>
            </w:pPr>
            <w:r w:rsidRPr="00C534A9">
              <w:rPr>
                <w:rFonts w:ascii="Arial" w:eastAsia="Times New Roman" w:hAnsi="Arial" w:cs="Arial"/>
                <w:color w:val="auto"/>
                <w:sz w:val="18"/>
                <w:szCs w:val="20"/>
              </w:rPr>
              <w:t>Tax rate</w:t>
            </w:r>
          </w:p>
        </w:tc>
        <w:tc>
          <w:tcPr>
            <w:tcW w:w="1676"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18"/>
                <w:szCs w:val="20"/>
              </w:rPr>
            </w:pPr>
            <w:r w:rsidRPr="00C534A9">
              <w:rPr>
                <w:rFonts w:ascii="Arial" w:eastAsia="Times New Roman" w:hAnsi="Arial" w:cs="Arial"/>
                <w:color w:val="auto"/>
                <w:sz w:val="18"/>
                <w:szCs w:val="20"/>
              </w:rPr>
              <w:t>%</w:t>
            </w:r>
          </w:p>
        </w:tc>
        <w:tc>
          <w:tcPr>
            <w:tcW w:w="1311"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18"/>
                <w:szCs w:val="20"/>
              </w:rPr>
            </w:pPr>
            <w:r w:rsidRPr="00C534A9">
              <w:rPr>
                <w:rFonts w:ascii="Arial" w:eastAsia="Times New Roman" w:hAnsi="Arial" w:cs="Arial"/>
                <w:color w:val="auto"/>
                <w:sz w:val="18"/>
                <w:szCs w:val="20"/>
              </w:rPr>
              <w:t>25%</w:t>
            </w:r>
          </w:p>
        </w:tc>
      </w:tr>
      <w:tr w:rsidR="00791234" w:rsidRPr="00C534A9" w:rsidTr="00A74A3E">
        <w:trPr>
          <w:trHeight w:val="255"/>
          <w:jc w:val="center"/>
        </w:trPr>
        <w:tc>
          <w:tcPr>
            <w:tcW w:w="3808"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18"/>
                <w:szCs w:val="20"/>
              </w:rPr>
            </w:pPr>
            <w:r w:rsidRPr="00C534A9">
              <w:rPr>
                <w:rFonts w:ascii="Arial" w:eastAsia="Times New Roman" w:hAnsi="Arial" w:cs="Arial"/>
                <w:color w:val="auto"/>
                <w:sz w:val="18"/>
                <w:szCs w:val="20"/>
              </w:rPr>
              <w:t>Depreciation period (straight line)</w:t>
            </w:r>
          </w:p>
        </w:tc>
        <w:tc>
          <w:tcPr>
            <w:tcW w:w="1676"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18"/>
                <w:szCs w:val="20"/>
              </w:rPr>
            </w:pPr>
            <w:r w:rsidRPr="00C534A9">
              <w:rPr>
                <w:rFonts w:ascii="Arial" w:eastAsia="Times New Roman" w:hAnsi="Arial" w:cs="Arial"/>
                <w:color w:val="auto"/>
                <w:sz w:val="18"/>
                <w:szCs w:val="20"/>
              </w:rPr>
              <w:t>years</w:t>
            </w:r>
          </w:p>
        </w:tc>
        <w:tc>
          <w:tcPr>
            <w:tcW w:w="1311"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18"/>
                <w:szCs w:val="20"/>
              </w:rPr>
            </w:pPr>
            <w:r w:rsidRPr="00C534A9">
              <w:rPr>
                <w:rFonts w:ascii="Arial" w:eastAsia="Times New Roman" w:hAnsi="Arial" w:cs="Arial"/>
                <w:color w:val="auto"/>
                <w:sz w:val="18"/>
                <w:szCs w:val="20"/>
              </w:rPr>
              <w:t>15</w:t>
            </w:r>
          </w:p>
        </w:tc>
      </w:tr>
      <w:tr w:rsidR="00791234" w:rsidRPr="00C534A9" w:rsidTr="00A74A3E">
        <w:trPr>
          <w:trHeight w:val="255"/>
          <w:jc w:val="center"/>
        </w:trPr>
        <w:tc>
          <w:tcPr>
            <w:tcW w:w="3808"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18"/>
                <w:szCs w:val="20"/>
              </w:rPr>
            </w:pPr>
            <w:r w:rsidRPr="00C534A9">
              <w:rPr>
                <w:rFonts w:ascii="Arial" w:eastAsia="Times New Roman" w:hAnsi="Arial" w:cs="Arial"/>
                <w:color w:val="auto"/>
                <w:sz w:val="18"/>
                <w:szCs w:val="20"/>
              </w:rPr>
              <w:t>Interest rate</w:t>
            </w:r>
          </w:p>
        </w:tc>
        <w:tc>
          <w:tcPr>
            <w:tcW w:w="1676"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18"/>
                <w:szCs w:val="20"/>
              </w:rPr>
            </w:pPr>
            <w:r w:rsidRPr="00C534A9">
              <w:rPr>
                <w:rFonts w:ascii="Arial" w:eastAsia="Times New Roman" w:hAnsi="Arial" w:cs="Arial"/>
                <w:color w:val="auto"/>
                <w:sz w:val="18"/>
                <w:szCs w:val="20"/>
              </w:rPr>
              <w:t>%</w:t>
            </w:r>
          </w:p>
        </w:tc>
        <w:tc>
          <w:tcPr>
            <w:tcW w:w="1311"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18"/>
                <w:szCs w:val="20"/>
              </w:rPr>
            </w:pPr>
            <w:r w:rsidRPr="00C534A9">
              <w:rPr>
                <w:rFonts w:ascii="Arial" w:eastAsia="Times New Roman" w:hAnsi="Arial" w:cs="Arial"/>
                <w:color w:val="auto"/>
                <w:sz w:val="18"/>
                <w:szCs w:val="20"/>
              </w:rPr>
              <w:t>1.65%</w:t>
            </w:r>
          </w:p>
        </w:tc>
      </w:tr>
      <w:tr w:rsidR="00791234" w:rsidRPr="00C534A9" w:rsidTr="00A74A3E">
        <w:trPr>
          <w:trHeight w:val="255"/>
          <w:jc w:val="center"/>
        </w:trPr>
        <w:tc>
          <w:tcPr>
            <w:tcW w:w="3808"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18"/>
                <w:szCs w:val="20"/>
              </w:rPr>
            </w:pPr>
            <w:r w:rsidRPr="00C534A9">
              <w:rPr>
                <w:rFonts w:ascii="Arial" w:eastAsia="Times New Roman" w:hAnsi="Arial" w:cs="Arial"/>
                <w:color w:val="auto"/>
                <w:sz w:val="18"/>
                <w:szCs w:val="20"/>
              </w:rPr>
              <w:t>Loan period</w:t>
            </w:r>
          </w:p>
        </w:tc>
        <w:tc>
          <w:tcPr>
            <w:tcW w:w="1676" w:type="dxa"/>
            <w:tcBorders>
              <w:top w:val="nil"/>
              <w:left w:val="nil"/>
              <w:bottom w:val="nil"/>
              <w:right w:val="nil"/>
            </w:tcBorders>
            <w:shd w:val="clear" w:color="000000" w:fill="FFFFFF"/>
            <w:vAlign w:val="bottom"/>
            <w:hideMark/>
          </w:tcPr>
          <w:p w:rsidR="00791234" w:rsidRPr="00C534A9" w:rsidRDefault="00791234" w:rsidP="00C534A9">
            <w:pPr>
              <w:spacing w:after="0" w:line="240" w:lineRule="auto"/>
              <w:jc w:val="both"/>
              <w:rPr>
                <w:rFonts w:ascii="Arial" w:eastAsia="Times New Roman" w:hAnsi="Arial" w:cs="Arial"/>
                <w:color w:val="auto"/>
                <w:sz w:val="18"/>
                <w:szCs w:val="20"/>
              </w:rPr>
            </w:pPr>
            <w:r w:rsidRPr="00C534A9">
              <w:rPr>
                <w:rFonts w:ascii="Arial" w:eastAsia="Times New Roman" w:hAnsi="Arial" w:cs="Arial"/>
                <w:color w:val="auto"/>
                <w:sz w:val="18"/>
                <w:szCs w:val="20"/>
              </w:rPr>
              <w:t>years</w:t>
            </w:r>
          </w:p>
        </w:tc>
        <w:tc>
          <w:tcPr>
            <w:tcW w:w="1311"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18"/>
                <w:szCs w:val="20"/>
              </w:rPr>
            </w:pPr>
            <w:r w:rsidRPr="00C534A9">
              <w:rPr>
                <w:rFonts w:ascii="Arial" w:eastAsia="Times New Roman" w:hAnsi="Arial" w:cs="Arial"/>
                <w:color w:val="auto"/>
                <w:sz w:val="18"/>
                <w:szCs w:val="20"/>
              </w:rPr>
              <w:t>25</w:t>
            </w:r>
          </w:p>
        </w:tc>
      </w:tr>
      <w:tr w:rsidR="00791234" w:rsidRPr="00C534A9" w:rsidTr="00A74A3E">
        <w:trPr>
          <w:trHeight w:val="255"/>
          <w:jc w:val="center"/>
        </w:trPr>
        <w:tc>
          <w:tcPr>
            <w:tcW w:w="3808"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18"/>
                <w:szCs w:val="20"/>
              </w:rPr>
            </w:pPr>
            <w:r w:rsidRPr="00C534A9">
              <w:rPr>
                <w:rFonts w:ascii="Arial" w:eastAsia="Times New Roman" w:hAnsi="Arial" w:cs="Arial"/>
                <w:color w:val="auto"/>
                <w:sz w:val="18"/>
                <w:szCs w:val="20"/>
              </w:rPr>
              <w:t>Real discount rate</w:t>
            </w:r>
          </w:p>
        </w:tc>
        <w:tc>
          <w:tcPr>
            <w:tcW w:w="1676" w:type="dxa"/>
            <w:tcBorders>
              <w:top w:val="nil"/>
              <w:left w:val="nil"/>
              <w:bottom w:val="nil"/>
              <w:right w:val="nil"/>
            </w:tcBorders>
            <w:shd w:val="clear" w:color="000000" w:fill="FFFFFF"/>
            <w:vAlign w:val="bottom"/>
            <w:hideMark/>
          </w:tcPr>
          <w:p w:rsidR="00791234" w:rsidRPr="00C534A9" w:rsidRDefault="00791234" w:rsidP="00C534A9">
            <w:pPr>
              <w:spacing w:after="0" w:line="240" w:lineRule="auto"/>
              <w:jc w:val="both"/>
              <w:rPr>
                <w:rFonts w:ascii="Arial" w:eastAsia="Times New Roman" w:hAnsi="Arial" w:cs="Arial"/>
                <w:color w:val="auto"/>
                <w:sz w:val="18"/>
                <w:szCs w:val="20"/>
              </w:rPr>
            </w:pPr>
            <w:r w:rsidRPr="00C534A9">
              <w:rPr>
                <w:rFonts w:ascii="Arial" w:eastAsia="Times New Roman" w:hAnsi="Arial" w:cs="Arial"/>
                <w:color w:val="auto"/>
                <w:sz w:val="18"/>
                <w:szCs w:val="20"/>
              </w:rPr>
              <w:t>%</w:t>
            </w:r>
          </w:p>
        </w:tc>
        <w:tc>
          <w:tcPr>
            <w:tcW w:w="1311"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18"/>
                <w:szCs w:val="20"/>
              </w:rPr>
            </w:pPr>
            <w:r w:rsidRPr="00C534A9">
              <w:rPr>
                <w:rFonts w:ascii="Arial" w:eastAsia="Times New Roman" w:hAnsi="Arial" w:cs="Arial"/>
                <w:color w:val="auto"/>
                <w:sz w:val="18"/>
                <w:szCs w:val="20"/>
              </w:rPr>
              <w:t>12%</w:t>
            </w:r>
          </w:p>
        </w:tc>
      </w:tr>
      <w:tr w:rsidR="00791234" w:rsidRPr="00C534A9" w:rsidTr="00A74A3E">
        <w:trPr>
          <w:trHeight w:val="255"/>
          <w:jc w:val="center"/>
        </w:trPr>
        <w:tc>
          <w:tcPr>
            <w:tcW w:w="3808"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ind w:firstLineChars="100" w:firstLine="180"/>
              <w:jc w:val="both"/>
              <w:rPr>
                <w:rFonts w:ascii="Arial" w:eastAsia="Times New Roman" w:hAnsi="Arial" w:cs="Arial"/>
                <w:color w:val="auto"/>
                <w:sz w:val="18"/>
                <w:szCs w:val="20"/>
              </w:rPr>
            </w:pPr>
            <w:r w:rsidRPr="00C534A9">
              <w:rPr>
                <w:rFonts w:ascii="Arial" w:eastAsia="Times New Roman" w:hAnsi="Arial" w:cs="Arial"/>
                <w:color w:val="auto"/>
                <w:sz w:val="18"/>
                <w:szCs w:val="20"/>
              </w:rPr>
              <w:t> </w:t>
            </w:r>
          </w:p>
        </w:tc>
        <w:tc>
          <w:tcPr>
            <w:tcW w:w="1676" w:type="dxa"/>
            <w:tcBorders>
              <w:top w:val="nil"/>
              <w:left w:val="nil"/>
              <w:bottom w:val="nil"/>
              <w:right w:val="nil"/>
            </w:tcBorders>
            <w:shd w:val="clear" w:color="000000" w:fill="FFFFFF"/>
            <w:vAlign w:val="bottom"/>
            <w:hideMark/>
          </w:tcPr>
          <w:p w:rsidR="00791234" w:rsidRPr="00C534A9" w:rsidRDefault="00791234" w:rsidP="00C534A9">
            <w:pPr>
              <w:spacing w:after="0" w:line="240" w:lineRule="auto"/>
              <w:jc w:val="both"/>
              <w:rPr>
                <w:rFonts w:ascii="Arial" w:eastAsia="Times New Roman" w:hAnsi="Arial" w:cs="Arial"/>
                <w:color w:val="auto"/>
                <w:sz w:val="18"/>
                <w:szCs w:val="20"/>
              </w:rPr>
            </w:pPr>
            <w:r w:rsidRPr="00C534A9">
              <w:rPr>
                <w:rFonts w:ascii="Arial" w:eastAsia="Times New Roman" w:hAnsi="Arial" w:cs="Arial"/>
                <w:color w:val="auto"/>
                <w:sz w:val="18"/>
                <w:szCs w:val="20"/>
              </w:rPr>
              <w:t> </w:t>
            </w:r>
          </w:p>
        </w:tc>
        <w:tc>
          <w:tcPr>
            <w:tcW w:w="1311" w:type="dxa"/>
            <w:tcBorders>
              <w:top w:val="nil"/>
              <w:left w:val="nil"/>
              <w:bottom w:val="nil"/>
              <w:right w:val="nil"/>
            </w:tcBorders>
            <w:shd w:val="clear" w:color="000000" w:fill="FFFFFF"/>
            <w:noWrap/>
            <w:vAlign w:val="bottom"/>
            <w:hideMark/>
          </w:tcPr>
          <w:p w:rsidR="00791234" w:rsidRPr="00C534A9" w:rsidRDefault="00791234" w:rsidP="00C534A9">
            <w:pPr>
              <w:spacing w:after="0" w:line="240" w:lineRule="auto"/>
              <w:jc w:val="both"/>
              <w:rPr>
                <w:rFonts w:ascii="Arial" w:eastAsia="Times New Roman" w:hAnsi="Arial" w:cs="Arial"/>
                <w:color w:val="auto"/>
                <w:sz w:val="18"/>
                <w:szCs w:val="20"/>
              </w:rPr>
            </w:pPr>
            <w:r w:rsidRPr="00C534A9">
              <w:rPr>
                <w:rFonts w:ascii="Arial" w:eastAsia="Times New Roman" w:hAnsi="Arial" w:cs="Arial"/>
                <w:color w:val="auto"/>
                <w:sz w:val="18"/>
                <w:szCs w:val="20"/>
              </w:rPr>
              <w:t> </w:t>
            </w:r>
          </w:p>
        </w:tc>
      </w:tr>
    </w:tbl>
    <w:p w:rsidR="00791234" w:rsidRPr="00C534A9" w:rsidRDefault="00791234" w:rsidP="00C534A9">
      <w:pPr>
        <w:pStyle w:val="Source"/>
        <w:jc w:val="both"/>
        <w:rPr>
          <w:rFonts w:ascii="Arial" w:hAnsi="Arial" w:cs="Arial"/>
          <w:sz w:val="18"/>
        </w:rPr>
      </w:pPr>
    </w:p>
    <w:p w:rsidR="00BE1449" w:rsidRPr="00C534A9" w:rsidRDefault="00BE1449" w:rsidP="00C534A9">
      <w:pPr>
        <w:jc w:val="both"/>
        <w:rPr>
          <w:rFonts w:ascii="Arial" w:hAnsi="Arial" w:cs="Arial"/>
          <w:b/>
          <w:sz w:val="22"/>
          <w:u w:val="single"/>
        </w:rPr>
      </w:pPr>
      <w:r w:rsidRPr="00C534A9">
        <w:rPr>
          <w:rFonts w:ascii="Arial" w:hAnsi="Arial" w:cs="Arial"/>
          <w:b/>
          <w:sz w:val="22"/>
          <w:u w:val="single"/>
        </w:rPr>
        <w:br w:type="page"/>
      </w:r>
    </w:p>
    <w:p w:rsidR="00BE1449" w:rsidRPr="00C534A9" w:rsidRDefault="00C86A61" w:rsidP="00C534A9">
      <w:pPr>
        <w:pStyle w:val="Heading1"/>
        <w:jc w:val="both"/>
        <w:rPr>
          <w:rFonts w:ascii="Arial" w:hAnsi="Arial" w:cs="Arial"/>
          <w:sz w:val="24"/>
        </w:rPr>
      </w:pPr>
      <w:bookmarkStart w:id="156" w:name="_Toc464551531"/>
      <w:r w:rsidRPr="00C534A9">
        <w:rPr>
          <w:rFonts w:ascii="Arial" w:hAnsi="Arial" w:cs="Arial"/>
          <w:sz w:val="24"/>
        </w:rPr>
        <w:t>Financial</w:t>
      </w:r>
      <w:r w:rsidR="00BE1449" w:rsidRPr="00C534A9">
        <w:rPr>
          <w:rFonts w:ascii="Arial" w:hAnsi="Arial" w:cs="Arial"/>
          <w:sz w:val="24"/>
        </w:rPr>
        <w:t xml:space="preserve"> Analysis of the Micro-LNG Facility Expansion Sub-Project</w:t>
      </w:r>
      <w:bookmarkEnd w:id="156"/>
    </w:p>
    <w:p w:rsidR="00BE1449" w:rsidRPr="00C534A9" w:rsidRDefault="00BE1449" w:rsidP="00C534A9">
      <w:pPr>
        <w:jc w:val="both"/>
        <w:rPr>
          <w:rFonts w:ascii="Arial" w:hAnsi="Arial" w:cs="Arial"/>
          <w:sz w:val="22"/>
        </w:rPr>
      </w:pPr>
      <w:r w:rsidRPr="00C534A9">
        <w:rPr>
          <w:rFonts w:ascii="Arial" w:hAnsi="Arial" w:cs="Arial"/>
          <w:sz w:val="22"/>
        </w:rPr>
        <w:t xml:space="preserve">The purpose of this section is to determine whether the expansion of the micro-LNG facility that will be funded under the proposed loan operation (the Project) is </w:t>
      </w:r>
      <w:r w:rsidR="00C86A61" w:rsidRPr="00C534A9">
        <w:rPr>
          <w:rFonts w:ascii="Arial" w:hAnsi="Arial" w:cs="Arial"/>
          <w:sz w:val="22"/>
        </w:rPr>
        <w:t>financi</w:t>
      </w:r>
      <w:r w:rsidRPr="00C534A9">
        <w:rPr>
          <w:rFonts w:ascii="Arial" w:hAnsi="Arial" w:cs="Arial"/>
          <w:sz w:val="22"/>
        </w:rPr>
        <w:t>ally viable</w:t>
      </w:r>
      <w:r w:rsidR="00C86A61" w:rsidRPr="00C534A9">
        <w:rPr>
          <w:rFonts w:ascii="Arial" w:hAnsi="Arial" w:cs="Arial"/>
          <w:sz w:val="22"/>
        </w:rPr>
        <w:t xml:space="preserve"> for NPC</w:t>
      </w:r>
      <w:r w:rsidRPr="00C534A9">
        <w:rPr>
          <w:rFonts w:ascii="Arial" w:hAnsi="Arial" w:cs="Arial"/>
          <w:sz w:val="22"/>
        </w:rPr>
        <w:t xml:space="preserve">. The </w:t>
      </w:r>
      <w:r w:rsidR="00C86A61" w:rsidRPr="00C534A9">
        <w:rPr>
          <w:rFonts w:ascii="Arial" w:hAnsi="Arial" w:cs="Arial"/>
          <w:sz w:val="22"/>
        </w:rPr>
        <w:t>financial analysis</w:t>
      </w:r>
      <w:r w:rsidRPr="00C534A9">
        <w:rPr>
          <w:rFonts w:ascii="Arial" w:hAnsi="Arial" w:cs="Arial"/>
          <w:sz w:val="22"/>
        </w:rPr>
        <w:t xml:space="preserve"> </w:t>
      </w:r>
      <w:r w:rsidR="00C86A61" w:rsidRPr="00C534A9">
        <w:rPr>
          <w:rFonts w:ascii="Arial" w:hAnsi="Arial" w:cs="Arial"/>
          <w:sz w:val="22"/>
        </w:rPr>
        <w:t xml:space="preserve">described below finds that the sub-project has a </w:t>
      </w:r>
      <w:r w:rsidRPr="00C534A9">
        <w:rPr>
          <w:rFonts w:ascii="Arial" w:hAnsi="Arial" w:cs="Arial"/>
          <w:sz w:val="22"/>
        </w:rPr>
        <w:t xml:space="preserve">net present value (NPV) </w:t>
      </w:r>
      <w:r w:rsidR="00C86A61" w:rsidRPr="00C534A9">
        <w:rPr>
          <w:rFonts w:ascii="Arial" w:hAnsi="Arial" w:cs="Arial"/>
          <w:sz w:val="22"/>
        </w:rPr>
        <w:t xml:space="preserve">to NPC </w:t>
      </w:r>
      <w:r w:rsidRPr="00C534A9">
        <w:rPr>
          <w:rFonts w:ascii="Arial" w:hAnsi="Arial" w:cs="Arial"/>
          <w:sz w:val="22"/>
        </w:rPr>
        <w:t>of approximately US$</w:t>
      </w:r>
      <w:r w:rsidR="00B04513" w:rsidRPr="00C534A9" w:rsidDel="00B04513">
        <w:rPr>
          <w:rFonts w:ascii="Arial" w:hAnsi="Arial" w:cs="Arial"/>
          <w:sz w:val="22"/>
        </w:rPr>
        <w:t xml:space="preserve"> </w:t>
      </w:r>
      <w:r w:rsidR="00B04513" w:rsidRPr="00C534A9">
        <w:rPr>
          <w:rFonts w:ascii="Arial" w:hAnsi="Arial" w:cs="Arial"/>
          <w:sz w:val="22"/>
        </w:rPr>
        <w:t>222,000</w:t>
      </w:r>
      <w:r w:rsidRPr="00C534A9">
        <w:rPr>
          <w:rFonts w:ascii="Arial" w:hAnsi="Arial" w:cs="Arial"/>
          <w:sz w:val="22"/>
        </w:rPr>
        <w:t xml:space="preserve"> and </w:t>
      </w:r>
      <w:r w:rsidR="00C86A61" w:rsidRPr="00C534A9">
        <w:rPr>
          <w:rFonts w:ascii="Arial" w:hAnsi="Arial" w:cs="Arial"/>
          <w:sz w:val="22"/>
        </w:rPr>
        <w:t>internal</w:t>
      </w:r>
      <w:r w:rsidRPr="00C534A9">
        <w:rPr>
          <w:rFonts w:ascii="Arial" w:hAnsi="Arial" w:cs="Arial"/>
          <w:sz w:val="22"/>
        </w:rPr>
        <w:t xml:space="preserve"> rate of return of </w:t>
      </w:r>
      <w:r w:rsidR="00B04513" w:rsidRPr="00C534A9">
        <w:rPr>
          <w:rFonts w:ascii="Arial" w:hAnsi="Arial" w:cs="Arial"/>
          <w:sz w:val="22"/>
        </w:rPr>
        <w:t>13</w:t>
      </w:r>
      <w:r w:rsidRPr="00C534A9">
        <w:rPr>
          <w:rFonts w:ascii="Arial" w:hAnsi="Arial" w:cs="Arial"/>
          <w:sz w:val="22"/>
        </w:rPr>
        <w:t xml:space="preserve">% percent. </w:t>
      </w:r>
      <w:r w:rsidR="00C86A61" w:rsidRPr="00C534A9">
        <w:rPr>
          <w:rFonts w:ascii="Arial" w:hAnsi="Arial" w:cs="Arial"/>
          <w:sz w:val="22"/>
        </w:rPr>
        <w:t>That is, the sub-project</w:t>
      </w:r>
      <w:r w:rsidRPr="00C534A9">
        <w:rPr>
          <w:rFonts w:ascii="Arial" w:hAnsi="Arial" w:cs="Arial"/>
          <w:sz w:val="22"/>
        </w:rPr>
        <w:t xml:space="preserve"> would be profitable for NPC. Finally, the financial analysis showed that the debt coverage ratio (defined as the annual cash flow generated by the sub-projects divided by the annual payments required for the loan interest and principle repayments) is never lower than </w:t>
      </w:r>
      <w:r w:rsidR="00B04513" w:rsidRPr="00C534A9">
        <w:rPr>
          <w:rFonts w:ascii="Arial" w:hAnsi="Arial" w:cs="Arial"/>
          <w:sz w:val="22"/>
        </w:rPr>
        <w:t>2.55</w:t>
      </w:r>
      <w:r w:rsidRPr="00C534A9">
        <w:rPr>
          <w:rFonts w:ascii="Arial" w:hAnsi="Arial" w:cs="Arial"/>
          <w:sz w:val="22"/>
        </w:rPr>
        <w:t>. This means the project will generate sufficient cash flow to cover operating expenses and debt repayment obligations in any given year.</w:t>
      </w:r>
    </w:p>
    <w:p w:rsidR="00BE1449" w:rsidRPr="00C534A9" w:rsidRDefault="00BE1449" w:rsidP="00C534A9">
      <w:pPr>
        <w:jc w:val="both"/>
        <w:rPr>
          <w:rFonts w:ascii="Arial" w:hAnsi="Arial" w:cs="Arial"/>
          <w:sz w:val="22"/>
        </w:rPr>
      </w:pPr>
      <w:r w:rsidRPr="00C534A9">
        <w:rPr>
          <w:rFonts w:ascii="Arial" w:hAnsi="Arial" w:cs="Arial"/>
          <w:sz w:val="22"/>
        </w:rPr>
        <w:t xml:space="preserve">The analysis to calculate the net present value of the sub-projects is presented as follows: </w:t>
      </w:r>
    </w:p>
    <w:p w:rsidR="00BE1449" w:rsidRPr="00C534A9" w:rsidRDefault="00C86A61" w:rsidP="00C534A9">
      <w:pPr>
        <w:pStyle w:val="ListParagraph"/>
        <w:numPr>
          <w:ilvl w:val="0"/>
          <w:numId w:val="16"/>
        </w:numPr>
        <w:jc w:val="both"/>
        <w:rPr>
          <w:rFonts w:ascii="Arial" w:hAnsi="Arial" w:cs="Arial"/>
          <w:sz w:val="22"/>
        </w:rPr>
      </w:pPr>
      <w:r w:rsidRPr="00C534A9">
        <w:rPr>
          <w:rFonts w:ascii="Arial" w:hAnsi="Arial" w:cs="Arial"/>
          <w:sz w:val="22"/>
        </w:rPr>
        <w:t>Financial Analysis</w:t>
      </w:r>
      <w:r w:rsidR="00BE1449" w:rsidRPr="00C534A9">
        <w:rPr>
          <w:rFonts w:ascii="Arial" w:hAnsi="Arial" w:cs="Arial"/>
          <w:sz w:val="22"/>
        </w:rPr>
        <w:t xml:space="preserve"> (Section </w:t>
      </w:r>
      <w:r w:rsidR="00BE1449" w:rsidRPr="00C534A9">
        <w:rPr>
          <w:rFonts w:ascii="Arial" w:hAnsi="Arial" w:cs="Arial"/>
          <w:sz w:val="22"/>
        </w:rPr>
        <w:fldChar w:fldCharType="begin"/>
      </w:r>
      <w:r w:rsidR="00BE1449" w:rsidRPr="00C534A9">
        <w:rPr>
          <w:rFonts w:ascii="Arial" w:hAnsi="Arial" w:cs="Arial"/>
          <w:sz w:val="22"/>
        </w:rPr>
        <w:instrText xml:space="preserve"> REF _Ref423357305 \r \h  \* MERGEFORMAT </w:instrText>
      </w:r>
      <w:r w:rsidR="00BE1449" w:rsidRPr="00C534A9">
        <w:rPr>
          <w:rFonts w:ascii="Arial" w:hAnsi="Arial" w:cs="Arial"/>
          <w:sz w:val="22"/>
        </w:rPr>
      </w:r>
      <w:r w:rsidR="00BE1449" w:rsidRPr="00C534A9">
        <w:rPr>
          <w:rFonts w:ascii="Arial" w:hAnsi="Arial" w:cs="Arial"/>
          <w:sz w:val="22"/>
        </w:rPr>
        <w:fldChar w:fldCharType="separate"/>
      </w:r>
      <w:r w:rsidR="00567452" w:rsidRPr="00C534A9">
        <w:rPr>
          <w:rFonts w:ascii="Arial" w:hAnsi="Arial" w:cs="Arial"/>
          <w:sz w:val="22"/>
        </w:rPr>
        <w:t>9</w:t>
      </w:r>
      <w:r w:rsidR="003F3D75" w:rsidRPr="00C534A9">
        <w:rPr>
          <w:rFonts w:ascii="Arial" w:hAnsi="Arial" w:cs="Arial"/>
          <w:sz w:val="22"/>
        </w:rPr>
        <w:t>.1</w:t>
      </w:r>
      <w:r w:rsidR="00BE1449" w:rsidRPr="00C534A9">
        <w:rPr>
          <w:rFonts w:ascii="Arial" w:hAnsi="Arial" w:cs="Arial"/>
          <w:sz w:val="22"/>
        </w:rPr>
        <w:fldChar w:fldCharType="end"/>
      </w:r>
      <w:r w:rsidR="00BE1449" w:rsidRPr="00C534A9">
        <w:rPr>
          <w:rFonts w:ascii="Arial" w:hAnsi="Arial" w:cs="Arial"/>
          <w:sz w:val="22"/>
        </w:rPr>
        <w:t>)</w:t>
      </w:r>
    </w:p>
    <w:p w:rsidR="00BE1449" w:rsidRPr="00C534A9" w:rsidRDefault="00567452" w:rsidP="00C534A9">
      <w:pPr>
        <w:pStyle w:val="ListParagraph"/>
        <w:numPr>
          <w:ilvl w:val="0"/>
          <w:numId w:val="16"/>
        </w:numPr>
        <w:jc w:val="both"/>
        <w:rPr>
          <w:rFonts w:ascii="Arial" w:hAnsi="Arial" w:cs="Arial"/>
          <w:sz w:val="22"/>
        </w:rPr>
      </w:pPr>
      <w:r w:rsidRPr="00C534A9">
        <w:rPr>
          <w:rFonts w:ascii="Arial" w:hAnsi="Arial" w:cs="Arial"/>
          <w:sz w:val="22"/>
        </w:rPr>
        <w:t>Profitability</w:t>
      </w:r>
      <w:r w:rsidR="00BE1449" w:rsidRPr="00C534A9">
        <w:rPr>
          <w:rFonts w:ascii="Arial" w:hAnsi="Arial" w:cs="Arial"/>
          <w:sz w:val="22"/>
        </w:rPr>
        <w:t xml:space="preserve"> (Section </w:t>
      </w:r>
      <w:r w:rsidRPr="00C534A9">
        <w:rPr>
          <w:rFonts w:ascii="Arial" w:hAnsi="Arial" w:cs="Arial"/>
          <w:sz w:val="22"/>
        </w:rPr>
        <w:t>9.2</w:t>
      </w:r>
      <w:r w:rsidR="00BE1449" w:rsidRPr="00C534A9">
        <w:rPr>
          <w:rFonts w:ascii="Arial" w:hAnsi="Arial" w:cs="Arial"/>
          <w:sz w:val="22"/>
        </w:rPr>
        <w:t>)</w:t>
      </w:r>
    </w:p>
    <w:p w:rsidR="00BE1449" w:rsidRPr="00C534A9" w:rsidRDefault="00C86A61" w:rsidP="00C534A9">
      <w:pPr>
        <w:pStyle w:val="Heading2"/>
        <w:jc w:val="both"/>
        <w:rPr>
          <w:rFonts w:ascii="Arial" w:hAnsi="Arial" w:cs="Arial"/>
          <w:sz w:val="24"/>
        </w:rPr>
      </w:pPr>
      <w:bookmarkStart w:id="157" w:name="_Toc464551532"/>
      <w:r w:rsidRPr="00C534A9">
        <w:rPr>
          <w:rFonts w:ascii="Arial" w:hAnsi="Arial" w:cs="Arial"/>
          <w:sz w:val="24"/>
        </w:rPr>
        <w:t>Financial Analysis</w:t>
      </w:r>
      <w:bookmarkEnd w:id="157"/>
    </w:p>
    <w:p w:rsidR="00BE1449" w:rsidRPr="00C534A9" w:rsidRDefault="00BE1449" w:rsidP="00C534A9">
      <w:pPr>
        <w:jc w:val="both"/>
        <w:rPr>
          <w:rFonts w:ascii="Arial" w:hAnsi="Arial" w:cs="Arial"/>
          <w:sz w:val="22"/>
        </w:rPr>
      </w:pPr>
      <w:r w:rsidRPr="00C534A9">
        <w:rPr>
          <w:rFonts w:ascii="Arial" w:hAnsi="Arial" w:cs="Arial"/>
          <w:sz w:val="22"/>
        </w:rPr>
        <w:t xml:space="preserve">The objective of </w:t>
      </w:r>
      <w:r w:rsidR="00C86A61" w:rsidRPr="00C534A9">
        <w:rPr>
          <w:rFonts w:ascii="Arial" w:hAnsi="Arial" w:cs="Arial"/>
          <w:sz w:val="22"/>
        </w:rPr>
        <w:t>the financial analysis</w:t>
      </w:r>
      <w:r w:rsidRPr="00C534A9">
        <w:rPr>
          <w:rFonts w:ascii="Arial" w:hAnsi="Arial" w:cs="Arial"/>
          <w:sz w:val="22"/>
        </w:rPr>
        <w:t xml:space="preserve"> is to determine whether or not the micro-LNG facility expansion </w:t>
      </w:r>
      <w:r w:rsidR="00C86A61" w:rsidRPr="00C534A9">
        <w:rPr>
          <w:rFonts w:ascii="Arial" w:hAnsi="Arial" w:cs="Arial"/>
          <w:sz w:val="22"/>
        </w:rPr>
        <w:t>is</w:t>
      </w:r>
      <w:r w:rsidRPr="00C534A9">
        <w:rPr>
          <w:rFonts w:ascii="Arial" w:hAnsi="Arial" w:cs="Arial"/>
          <w:sz w:val="22"/>
        </w:rPr>
        <w:t xml:space="preserve"> </w:t>
      </w:r>
      <w:r w:rsidR="00C86A61" w:rsidRPr="00C534A9">
        <w:rPr>
          <w:rFonts w:ascii="Arial" w:hAnsi="Arial" w:cs="Arial"/>
          <w:sz w:val="22"/>
        </w:rPr>
        <w:t>profitable</w:t>
      </w:r>
      <w:r w:rsidRPr="00C534A9">
        <w:rPr>
          <w:rFonts w:ascii="Arial" w:hAnsi="Arial" w:cs="Arial"/>
          <w:sz w:val="22"/>
        </w:rPr>
        <w:t xml:space="preserve">. This is accomplished by estimating the net </w:t>
      </w:r>
      <w:r w:rsidR="00C86A61" w:rsidRPr="00C534A9">
        <w:rPr>
          <w:rFonts w:ascii="Arial" w:hAnsi="Arial" w:cs="Arial"/>
          <w:sz w:val="22"/>
        </w:rPr>
        <w:t>financial flows that</w:t>
      </w:r>
      <w:r w:rsidRPr="00C534A9">
        <w:rPr>
          <w:rFonts w:ascii="Arial" w:hAnsi="Arial" w:cs="Arial"/>
          <w:sz w:val="22"/>
        </w:rPr>
        <w:t xml:space="preserve"> the </w:t>
      </w:r>
      <w:r w:rsidR="00C86A61" w:rsidRPr="00C534A9">
        <w:rPr>
          <w:rFonts w:ascii="Arial" w:hAnsi="Arial" w:cs="Arial"/>
          <w:sz w:val="22"/>
        </w:rPr>
        <w:t>sub-project will generate</w:t>
      </w:r>
      <w:r w:rsidRPr="00C534A9">
        <w:rPr>
          <w:rFonts w:ascii="Arial" w:hAnsi="Arial" w:cs="Arial"/>
          <w:sz w:val="22"/>
        </w:rPr>
        <w:t xml:space="preserve">. </w:t>
      </w:r>
    </w:p>
    <w:p w:rsidR="00BE1449" w:rsidRPr="00C534A9" w:rsidRDefault="00957ACC" w:rsidP="00C534A9">
      <w:pPr>
        <w:jc w:val="both"/>
        <w:rPr>
          <w:rFonts w:ascii="Arial" w:hAnsi="Arial" w:cs="Arial"/>
          <w:sz w:val="22"/>
        </w:rPr>
      </w:pPr>
      <w:r w:rsidRPr="00C534A9">
        <w:rPr>
          <w:rFonts w:ascii="Arial" w:hAnsi="Arial" w:cs="Arial"/>
          <w:sz w:val="22"/>
        </w:rPr>
        <w:t>T</w:t>
      </w:r>
      <w:r w:rsidR="00BE1449" w:rsidRPr="00C534A9">
        <w:rPr>
          <w:rFonts w:ascii="Arial" w:hAnsi="Arial" w:cs="Arial"/>
          <w:sz w:val="22"/>
        </w:rPr>
        <w:t xml:space="preserve">he sub-project’s net </w:t>
      </w:r>
      <w:r w:rsidR="00C86A61" w:rsidRPr="00C534A9">
        <w:rPr>
          <w:rFonts w:ascii="Arial" w:hAnsi="Arial" w:cs="Arial"/>
          <w:sz w:val="22"/>
        </w:rPr>
        <w:t>financial flows</w:t>
      </w:r>
      <w:r w:rsidR="00BE1449" w:rsidRPr="00C534A9">
        <w:rPr>
          <w:rFonts w:ascii="Arial" w:hAnsi="Arial" w:cs="Arial"/>
          <w:sz w:val="22"/>
        </w:rPr>
        <w:t xml:space="preserve"> </w:t>
      </w:r>
      <w:r w:rsidRPr="00C534A9">
        <w:rPr>
          <w:rFonts w:ascii="Arial" w:hAnsi="Arial" w:cs="Arial"/>
          <w:sz w:val="22"/>
        </w:rPr>
        <w:t xml:space="preserve">were determined </w:t>
      </w:r>
      <w:r w:rsidR="00BE1449" w:rsidRPr="00C534A9">
        <w:rPr>
          <w:rFonts w:ascii="Arial" w:hAnsi="Arial" w:cs="Arial"/>
          <w:sz w:val="22"/>
        </w:rPr>
        <w:t xml:space="preserve">by calculating the </w:t>
      </w:r>
      <w:r w:rsidR="00C86A61" w:rsidRPr="00C534A9">
        <w:rPr>
          <w:rFonts w:ascii="Arial" w:hAnsi="Arial" w:cs="Arial"/>
          <w:sz w:val="22"/>
        </w:rPr>
        <w:t xml:space="preserve">projects income and expenses, applying factors such as the loan interest rate, loan period, depreciation rate, </w:t>
      </w:r>
      <w:r w:rsidR="00567452" w:rsidRPr="00C534A9">
        <w:rPr>
          <w:rFonts w:ascii="Arial" w:hAnsi="Arial" w:cs="Arial"/>
          <w:sz w:val="22"/>
        </w:rPr>
        <w:t xml:space="preserve">and the </w:t>
      </w:r>
      <w:r w:rsidR="00C86A61" w:rsidRPr="00C534A9">
        <w:rPr>
          <w:rFonts w:ascii="Arial" w:hAnsi="Arial" w:cs="Arial"/>
          <w:sz w:val="22"/>
        </w:rPr>
        <w:t>Barbados corporate tax rate</w:t>
      </w:r>
      <w:r w:rsidR="00567452" w:rsidRPr="00C534A9">
        <w:rPr>
          <w:rFonts w:ascii="Arial" w:hAnsi="Arial" w:cs="Arial"/>
          <w:sz w:val="22"/>
        </w:rPr>
        <w:t xml:space="preserve"> </w:t>
      </w:r>
      <w:r w:rsidR="0096360D" w:rsidRPr="00C534A9">
        <w:rPr>
          <w:rFonts w:ascii="Arial" w:hAnsi="Arial" w:cs="Arial"/>
          <w:sz w:val="22"/>
        </w:rPr>
        <w:t>as described in Section 8.1</w:t>
      </w:r>
      <w:r w:rsidR="00BE1449" w:rsidRPr="00C534A9">
        <w:rPr>
          <w:rFonts w:ascii="Arial" w:hAnsi="Arial" w:cs="Arial"/>
          <w:sz w:val="22"/>
        </w:rPr>
        <w:t xml:space="preserve">. </w:t>
      </w:r>
      <w:r w:rsidR="00B82B8A" w:rsidRPr="00C534A9">
        <w:rPr>
          <w:rFonts w:ascii="Arial" w:hAnsi="Arial" w:cs="Arial"/>
          <w:sz w:val="22"/>
        </w:rPr>
        <w:t>This analysis results in the expected cash flows attributable to the project for each year of the loan’s 25 year period. These cash flows are then converted to the sub-project NPV and IRR using</w:t>
      </w:r>
      <w:r w:rsidR="00A74A3E" w:rsidRPr="00C534A9">
        <w:rPr>
          <w:rFonts w:ascii="Arial" w:hAnsi="Arial" w:cs="Arial"/>
          <w:sz w:val="22"/>
        </w:rPr>
        <w:t xml:space="preserve"> a 12 percent real</w:t>
      </w:r>
      <w:r w:rsidR="00B82B8A" w:rsidRPr="00C534A9">
        <w:rPr>
          <w:rFonts w:ascii="Arial" w:hAnsi="Arial" w:cs="Arial"/>
          <w:sz w:val="22"/>
        </w:rPr>
        <w:t xml:space="preserve"> discount rate.</w:t>
      </w:r>
    </w:p>
    <w:p w:rsidR="00BE1449" w:rsidRPr="00C534A9" w:rsidRDefault="00BE1449" w:rsidP="00C534A9">
      <w:pPr>
        <w:jc w:val="both"/>
        <w:rPr>
          <w:rFonts w:ascii="Arial" w:hAnsi="Arial" w:cs="Arial"/>
          <w:sz w:val="22"/>
        </w:rPr>
      </w:pPr>
      <w:r w:rsidRPr="00C534A9">
        <w:rPr>
          <w:rFonts w:ascii="Arial" w:hAnsi="Arial" w:cs="Arial"/>
          <w:sz w:val="22"/>
        </w:rPr>
        <w:t xml:space="preserve">The steps to calculate the </w:t>
      </w:r>
      <w:r w:rsidR="003F491C" w:rsidRPr="00C534A9">
        <w:rPr>
          <w:rFonts w:ascii="Arial" w:hAnsi="Arial" w:cs="Arial"/>
          <w:sz w:val="22"/>
        </w:rPr>
        <w:t>sub-project profitability</w:t>
      </w:r>
      <w:r w:rsidRPr="00C534A9">
        <w:rPr>
          <w:rFonts w:ascii="Arial" w:hAnsi="Arial" w:cs="Arial"/>
          <w:sz w:val="22"/>
        </w:rPr>
        <w:t xml:space="preserve"> are:</w:t>
      </w:r>
    </w:p>
    <w:p w:rsidR="00BE1449" w:rsidRPr="00C534A9" w:rsidRDefault="00BE1449" w:rsidP="00C534A9">
      <w:pPr>
        <w:pStyle w:val="ListParagraph"/>
        <w:numPr>
          <w:ilvl w:val="0"/>
          <w:numId w:val="36"/>
        </w:numPr>
        <w:jc w:val="both"/>
        <w:rPr>
          <w:rFonts w:ascii="Arial" w:hAnsi="Arial" w:cs="Arial"/>
          <w:sz w:val="22"/>
        </w:rPr>
      </w:pPr>
      <w:r w:rsidRPr="00C534A9">
        <w:rPr>
          <w:rFonts w:ascii="Arial" w:hAnsi="Arial" w:cs="Arial"/>
          <w:sz w:val="22"/>
        </w:rPr>
        <w:t xml:space="preserve">Estimate the </w:t>
      </w:r>
      <w:r w:rsidR="003F491C" w:rsidRPr="00C534A9">
        <w:rPr>
          <w:rFonts w:ascii="Arial" w:hAnsi="Arial" w:cs="Arial"/>
          <w:sz w:val="22"/>
        </w:rPr>
        <w:t>annual income associated with</w:t>
      </w:r>
      <w:r w:rsidRPr="00C534A9">
        <w:rPr>
          <w:rFonts w:ascii="Arial" w:hAnsi="Arial" w:cs="Arial"/>
          <w:sz w:val="22"/>
        </w:rPr>
        <w:t xml:space="preserve"> expanding the micro-LNG facility (Section </w:t>
      </w:r>
      <w:r w:rsidR="003F491C" w:rsidRPr="00C534A9">
        <w:rPr>
          <w:rFonts w:ascii="Arial" w:hAnsi="Arial" w:cs="Arial"/>
          <w:sz w:val="22"/>
        </w:rPr>
        <w:t>9</w:t>
      </w:r>
      <w:r w:rsidRPr="00C534A9">
        <w:rPr>
          <w:rFonts w:ascii="Arial" w:hAnsi="Arial" w:cs="Arial"/>
          <w:sz w:val="22"/>
        </w:rPr>
        <w:t>.1.1)</w:t>
      </w:r>
    </w:p>
    <w:p w:rsidR="00BE1449" w:rsidRPr="00C534A9" w:rsidRDefault="00BE1449" w:rsidP="00C534A9">
      <w:pPr>
        <w:pStyle w:val="ListParagraph"/>
        <w:numPr>
          <w:ilvl w:val="0"/>
          <w:numId w:val="36"/>
        </w:numPr>
        <w:jc w:val="both"/>
        <w:rPr>
          <w:rFonts w:ascii="Arial" w:hAnsi="Arial" w:cs="Arial"/>
          <w:sz w:val="22"/>
        </w:rPr>
      </w:pPr>
      <w:r w:rsidRPr="00C534A9">
        <w:rPr>
          <w:rFonts w:ascii="Arial" w:hAnsi="Arial" w:cs="Arial"/>
          <w:sz w:val="22"/>
        </w:rPr>
        <w:t xml:space="preserve">Estimate the </w:t>
      </w:r>
      <w:r w:rsidR="003F491C" w:rsidRPr="00C534A9">
        <w:rPr>
          <w:rFonts w:ascii="Arial" w:hAnsi="Arial" w:cs="Arial"/>
          <w:sz w:val="22"/>
        </w:rPr>
        <w:t xml:space="preserve">annual </w:t>
      </w:r>
      <w:r w:rsidR="00CF5FE8" w:rsidRPr="00C534A9">
        <w:rPr>
          <w:rFonts w:ascii="Arial" w:hAnsi="Arial" w:cs="Arial"/>
          <w:sz w:val="22"/>
        </w:rPr>
        <w:t>expenses</w:t>
      </w:r>
      <w:r w:rsidR="003F491C" w:rsidRPr="00C534A9">
        <w:rPr>
          <w:rFonts w:ascii="Arial" w:hAnsi="Arial" w:cs="Arial"/>
          <w:sz w:val="22"/>
        </w:rPr>
        <w:t xml:space="preserve"> associated with</w:t>
      </w:r>
      <w:r w:rsidRPr="00C534A9">
        <w:rPr>
          <w:rFonts w:ascii="Arial" w:hAnsi="Arial" w:cs="Arial"/>
          <w:sz w:val="22"/>
        </w:rPr>
        <w:t xml:space="preserve"> expanding the micro-LNG facility (Section</w:t>
      </w:r>
      <w:r w:rsidR="003F491C" w:rsidRPr="00C534A9">
        <w:rPr>
          <w:rFonts w:ascii="Arial" w:hAnsi="Arial" w:cs="Arial"/>
          <w:sz w:val="22"/>
        </w:rPr>
        <w:t xml:space="preserve"> 9</w:t>
      </w:r>
      <w:r w:rsidRPr="00C534A9">
        <w:rPr>
          <w:rFonts w:ascii="Arial" w:hAnsi="Arial" w:cs="Arial"/>
          <w:sz w:val="22"/>
        </w:rPr>
        <w:t>.1.2)</w:t>
      </w:r>
    </w:p>
    <w:p w:rsidR="00BE1449" w:rsidRPr="00C534A9" w:rsidRDefault="003F491C" w:rsidP="00C534A9">
      <w:pPr>
        <w:pStyle w:val="ListParagraph"/>
        <w:numPr>
          <w:ilvl w:val="0"/>
          <w:numId w:val="36"/>
        </w:numPr>
        <w:jc w:val="both"/>
        <w:rPr>
          <w:rFonts w:ascii="Arial" w:hAnsi="Arial" w:cs="Arial"/>
          <w:sz w:val="22"/>
        </w:rPr>
      </w:pPr>
      <w:r w:rsidRPr="00C534A9">
        <w:rPr>
          <w:rFonts w:ascii="Arial" w:hAnsi="Arial" w:cs="Arial"/>
          <w:sz w:val="22"/>
        </w:rPr>
        <w:t xml:space="preserve">Calculate the annual cash flows resulting from the associated income and </w:t>
      </w:r>
      <w:r w:rsidR="00A752FD" w:rsidRPr="00C534A9">
        <w:rPr>
          <w:rFonts w:ascii="Arial" w:hAnsi="Arial" w:cs="Arial"/>
          <w:sz w:val="22"/>
        </w:rPr>
        <w:t>expense</w:t>
      </w:r>
      <w:r w:rsidRPr="00C534A9">
        <w:rPr>
          <w:rFonts w:ascii="Arial" w:hAnsi="Arial" w:cs="Arial"/>
          <w:sz w:val="22"/>
        </w:rPr>
        <w:t xml:space="preserve">s, based on the financial and tax variables noted in section </w:t>
      </w:r>
      <w:r w:rsidR="006606F6" w:rsidRPr="00C534A9">
        <w:rPr>
          <w:rFonts w:ascii="Arial" w:hAnsi="Arial" w:cs="Arial"/>
          <w:sz w:val="22"/>
        </w:rPr>
        <w:t>8.1</w:t>
      </w:r>
      <w:r w:rsidRPr="00C534A9">
        <w:rPr>
          <w:rFonts w:ascii="Arial" w:hAnsi="Arial" w:cs="Arial"/>
          <w:sz w:val="22"/>
        </w:rPr>
        <w:t xml:space="preserve"> above</w:t>
      </w:r>
      <w:r w:rsidR="00BE1449" w:rsidRPr="00C534A9">
        <w:rPr>
          <w:rFonts w:ascii="Arial" w:hAnsi="Arial" w:cs="Arial"/>
          <w:sz w:val="22"/>
        </w:rPr>
        <w:t xml:space="preserve"> (Section </w:t>
      </w:r>
      <w:r w:rsidR="00BE1449" w:rsidRPr="00C534A9">
        <w:rPr>
          <w:rFonts w:ascii="Arial" w:hAnsi="Arial" w:cs="Arial"/>
          <w:sz w:val="22"/>
        </w:rPr>
        <w:fldChar w:fldCharType="begin"/>
      </w:r>
      <w:r w:rsidR="00BE1449" w:rsidRPr="00C534A9">
        <w:rPr>
          <w:rFonts w:ascii="Arial" w:hAnsi="Arial" w:cs="Arial"/>
          <w:sz w:val="22"/>
        </w:rPr>
        <w:instrText xml:space="preserve"> REF _Ref423355941 \r \h  \* MERGEFORMAT </w:instrText>
      </w:r>
      <w:r w:rsidR="00BE1449" w:rsidRPr="00C534A9">
        <w:rPr>
          <w:rFonts w:ascii="Arial" w:hAnsi="Arial" w:cs="Arial"/>
          <w:sz w:val="22"/>
        </w:rPr>
      </w:r>
      <w:r w:rsidR="00BE1449" w:rsidRPr="00C534A9">
        <w:rPr>
          <w:rFonts w:ascii="Arial" w:hAnsi="Arial" w:cs="Arial"/>
          <w:sz w:val="22"/>
        </w:rPr>
        <w:fldChar w:fldCharType="separate"/>
      </w:r>
      <w:r w:rsidR="003F3D75" w:rsidRPr="00C534A9">
        <w:rPr>
          <w:rFonts w:ascii="Arial" w:hAnsi="Arial" w:cs="Arial"/>
          <w:sz w:val="22"/>
        </w:rPr>
        <w:t>9.1.3</w:t>
      </w:r>
      <w:r w:rsidR="00BE1449" w:rsidRPr="00C534A9">
        <w:rPr>
          <w:rFonts w:ascii="Arial" w:hAnsi="Arial" w:cs="Arial"/>
          <w:sz w:val="22"/>
        </w:rPr>
        <w:fldChar w:fldCharType="end"/>
      </w:r>
      <w:r w:rsidR="00BE1449" w:rsidRPr="00C534A9">
        <w:rPr>
          <w:rFonts w:ascii="Arial" w:hAnsi="Arial" w:cs="Arial"/>
          <w:sz w:val="22"/>
        </w:rPr>
        <w:t>).</w:t>
      </w:r>
    </w:p>
    <w:p w:rsidR="00BE1449" w:rsidRPr="00C534A9" w:rsidRDefault="00BE1449" w:rsidP="00C534A9">
      <w:pPr>
        <w:jc w:val="both"/>
        <w:rPr>
          <w:rFonts w:ascii="Arial" w:hAnsi="Arial" w:cs="Arial"/>
          <w:sz w:val="22"/>
        </w:rPr>
      </w:pPr>
      <w:r w:rsidRPr="00C534A9">
        <w:rPr>
          <w:rFonts w:ascii="Arial" w:hAnsi="Arial" w:cs="Arial"/>
          <w:sz w:val="22"/>
        </w:rPr>
        <w:t>Each of these steps and the assumptions used in their calculation are described in more detail below.</w:t>
      </w:r>
    </w:p>
    <w:p w:rsidR="0096360D" w:rsidRPr="00C534A9" w:rsidRDefault="0096360D" w:rsidP="00C534A9">
      <w:pPr>
        <w:pStyle w:val="Heading3"/>
        <w:jc w:val="both"/>
        <w:rPr>
          <w:rFonts w:ascii="Arial" w:hAnsi="Arial" w:cs="Arial"/>
          <w:sz w:val="22"/>
        </w:rPr>
      </w:pPr>
      <w:bookmarkStart w:id="158" w:name="_Toc464551533"/>
      <w:r w:rsidRPr="00C534A9">
        <w:rPr>
          <w:rFonts w:ascii="Arial" w:hAnsi="Arial" w:cs="Arial"/>
          <w:sz w:val="22"/>
        </w:rPr>
        <w:t>Income of the micro-LNG expansion sub-project</w:t>
      </w:r>
      <w:bookmarkEnd w:id="158"/>
    </w:p>
    <w:p w:rsidR="0096360D" w:rsidRPr="00C534A9" w:rsidRDefault="0096360D" w:rsidP="00C534A9">
      <w:pPr>
        <w:jc w:val="both"/>
        <w:rPr>
          <w:rFonts w:ascii="Arial" w:hAnsi="Arial" w:cs="Arial"/>
          <w:sz w:val="22"/>
        </w:rPr>
      </w:pPr>
      <w:r w:rsidRPr="00C534A9">
        <w:rPr>
          <w:rFonts w:ascii="Arial" w:hAnsi="Arial" w:cs="Arial"/>
          <w:sz w:val="22"/>
        </w:rPr>
        <w:t>The sources of income associated with the sub-project include:</w:t>
      </w:r>
    </w:p>
    <w:p w:rsidR="0096360D" w:rsidRPr="00C534A9" w:rsidRDefault="0096360D" w:rsidP="00C534A9">
      <w:pPr>
        <w:pStyle w:val="ListParagraph"/>
        <w:numPr>
          <w:ilvl w:val="0"/>
          <w:numId w:val="34"/>
        </w:numPr>
        <w:spacing w:after="120"/>
        <w:jc w:val="both"/>
        <w:rPr>
          <w:rFonts w:ascii="Arial" w:hAnsi="Arial" w:cs="Arial"/>
          <w:sz w:val="22"/>
        </w:rPr>
      </w:pPr>
      <w:r w:rsidRPr="00C534A9">
        <w:rPr>
          <w:rFonts w:ascii="Arial" w:hAnsi="Arial" w:cs="Arial"/>
          <w:b/>
          <w:sz w:val="22"/>
        </w:rPr>
        <w:t>Natural gas sales</w:t>
      </w:r>
      <w:r w:rsidRPr="00C534A9">
        <w:rPr>
          <w:rFonts w:ascii="Arial" w:hAnsi="Arial" w:cs="Arial"/>
          <w:sz w:val="22"/>
        </w:rPr>
        <w:t xml:space="preserve">—NPC </w:t>
      </w:r>
      <w:r w:rsidR="00F03DE8" w:rsidRPr="00C534A9">
        <w:rPr>
          <w:rFonts w:ascii="Arial" w:hAnsi="Arial" w:cs="Arial"/>
          <w:sz w:val="22"/>
        </w:rPr>
        <w:t>will sell the</w:t>
      </w:r>
      <w:r w:rsidRPr="00C534A9">
        <w:rPr>
          <w:rFonts w:ascii="Arial" w:hAnsi="Arial" w:cs="Arial"/>
          <w:sz w:val="22"/>
        </w:rPr>
        <w:t xml:space="preserve"> natural gas </w:t>
      </w:r>
      <w:r w:rsidR="00F03DE8" w:rsidRPr="00C534A9">
        <w:rPr>
          <w:rFonts w:ascii="Arial" w:hAnsi="Arial" w:cs="Arial"/>
          <w:sz w:val="22"/>
        </w:rPr>
        <w:t xml:space="preserve">that it imports </w:t>
      </w:r>
      <w:r w:rsidRPr="00C534A9">
        <w:rPr>
          <w:rFonts w:ascii="Arial" w:hAnsi="Arial" w:cs="Arial"/>
          <w:sz w:val="22"/>
        </w:rPr>
        <w:t xml:space="preserve">to new </w:t>
      </w:r>
      <w:r w:rsidR="00F03DE8" w:rsidRPr="00C534A9">
        <w:rPr>
          <w:rFonts w:ascii="Arial" w:hAnsi="Arial" w:cs="Arial"/>
          <w:sz w:val="22"/>
        </w:rPr>
        <w:t xml:space="preserve">and existing </w:t>
      </w:r>
      <w:r w:rsidRPr="00C534A9">
        <w:rPr>
          <w:rFonts w:ascii="Arial" w:hAnsi="Arial" w:cs="Arial"/>
          <w:sz w:val="22"/>
        </w:rPr>
        <w:t xml:space="preserve">customers. The </w:t>
      </w:r>
      <w:r w:rsidR="00F03DE8" w:rsidRPr="00C534A9">
        <w:rPr>
          <w:rFonts w:ascii="Arial" w:hAnsi="Arial" w:cs="Arial"/>
          <w:sz w:val="22"/>
        </w:rPr>
        <w:t>total income from natural gas sales is the product of the number of natural gas units sold and the price per unit.</w:t>
      </w:r>
    </w:p>
    <w:p w:rsidR="00BE1449" w:rsidRPr="00C534A9" w:rsidRDefault="00CF5FE8" w:rsidP="00C534A9">
      <w:pPr>
        <w:pStyle w:val="Heading3"/>
        <w:jc w:val="both"/>
        <w:rPr>
          <w:rFonts w:ascii="Arial" w:hAnsi="Arial" w:cs="Arial"/>
          <w:sz w:val="22"/>
        </w:rPr>
      </w:pPr>
      <w:bookmarkStart w:id="159" w:name="_Toc464551534"/>
      <w:r w:rsidRPr="00C534A9">
        <w:rPr>
          <w:rFonts w:ascii="Arial" w:hAnsi="Arial" w:cs="Arial"/>
          <w:sz w:val="22"/>
        </w:rPr>
        <w:t>Expenses</w:t>
      </w:r>
      <w:r w:rsidR="00BE1449" w:rsidRPr="00C534A9">
        <w:rPr>
          <w:rFonts w:ascii="Arial" w:hAnsi="Arial" w:cs="Arial"/>
          <w:sz w:val="22"/>
        </w:rPr>
        <w:t xml:space="preserve"> of the micro-LNG expansion sub-project</w:t>
      </w:r>
      <w:bookmarkEnd w:id="159"/>
    </w:p>
    <w:p w:rsidR="00BE1449" w:rsidRPr="00C534A9" w:rsidRDefault="0096360D" w:rsidP="00C534A9">
      <w:pPr>
        <w:jc w:val="both"/>
        <w:rPr>
          <w:rFonts w:ascii="Arial" w:hAnsi="Arial" w:cs="Arial"/>
          <w:sz w:val="22"/>
        </w:rPr>
      </w:pPr>
      <w:r w:rsidRPr="00C534A9">
        <w:rPr>
          <w:rFonts w:ascii="Arial" w:hAnsi="Arial" w:cs="Arial"/>
          <w:sz w:val="22"/>
        </w:rPr>
        <w:t>The</w:t>
      </w:r>
      <w:r w:rsidR="00BE1449" w:rsidRPr="00C534A9">
        <w:rPr>
          <w:rFonts w:ascii="Arial" w:hAnsi="Arial" w:cs="Arial"/>
          <w:sz w:val="22"/>
        </w:rPr>
        <w:t xml:space="preserve"> costs </w:t>
      </w:r>
      <w:r w:rsidRPr="00C534A9">
        <w:rPr>
          <w:rFonts w:ascii="Arial" w:hAnsi="Arial" w:cs="Arial"/>
          <w:sz w:val="22"/>
        </w:rPr>
        <w:t>associated with</w:t>
      </w:r>
      <w:r w:rsidR="00BE1449" w:rsidRPr="00C534A9">
        <w:rPr>
          <w:rFonts w:ascii="Arial" w:hAnsi="Arial" w:cs="Arial"/>
          <w:sz w:val="22"/>
        </w:rPr>
        <w:t xml:space="preserve"> the sub-project </w:t>
      </w:r>
      <w:r w:rsidRPr="00C534A9">
        <w:rPr>
          <w:rFonts w:ascii="Arial" w:hAnsi="Arial" w:cs="Arial"/>
          <w:sz w:val="22"/>
        </w:rPr>
        <w:t>include</w:t>
      </w:r>
      <w:r w:rsidR="00BE1449" w:rsidRPr="00C534A9">
        <w:rPr>
          <w:rFonts w:ascii="Arial" w:hAnsi="Arial" w:cs="Arial"/>
          <w:sz w:val="22"/>
        </w:rPr>
        <w:t>:</w:t>
      </w:r>
    </w:p>
    <w:p w:rsidR="00BE1449" w:rsidRPr="00C534A9" w:rsidRDefault="00BE1449" w:rsidP="00C534A9">
      <w:pPr>
        <w:pStyle w:val="ListParagraph"/>
        <w:numPr>
          <w:ilvl w:val="0"/>
          <w:numId w:val="35"/>
        </w:numPr>
        <w:jc w:val="both"/>
        <w:rPr>
          <w:rFonts w:ascii="Arial" w:hAnsi="Arial" w:cs="Arial"/>
          <w:sz w:val="22"/>
        </w:rPr>
      </w:pPr>
      <w:r w:rsidRPr="00C534A9">
        <w:rPr>
          <w:rFonts w:ascii="Arial" w:hAnsi="Arial" w:cs="Arial"/>
          <w:b/>
          <w:sz w:val="22"/>
        </w:rPr>
        <w:t>Capital Expenditures (Capex)</w:t>
      </w:r>
      <w:r w:rsidRPr="00C534A9">
        <w:rPr>
          <w:rFonts w:ascii="Arial" w:hAnsi="Arial" w:cs="Arial"/>
          <w:sz w:val="22"/>
        </w:rPr>
        <w:t xml:space="preserve">—these are the capital investments needed to complete the sub-project. </w:t>
      </w:r>
      <w:r w:rsidR="00957ACC" w:rsidRPr="00C534A9">
        <w:rPr>
          <w:rFonts w:ascii="Arial" w:hAnsi="Arial" w:cs="Arial"/>
          <w:sz w:val="22"/>
        </w:rPr>
        <w:t>The capital investments</w:t>
      </w:r>
      <w:r w:rsidRPr="00C534A9">
        <w:rPr>
          <w:rFonts w:ascii="Arial" w:hAnsi="Arial" w:cs="Arial"/>
          <w:sz w:val="22"/>
        </w:rPr>
        <w:t xml:space="preserve"> include the costs for the physical upgrades to the micro-LNG site, LNG receiving and handling systems to accommodate the increased LNG through-put volumes, on-site LNG storage, additional ISO containers, </w:t>
      </w:r>
      <w:proofErr w:type="gramStart"/>
      <w:r w:rsidRPr="00C534A9">
        <w:rPr>
          <w:rFonts w:ascii="Arial" w:hAnsi="Arial" w:cs="Arial"/>
          <w:sz w:val="22"/>
        </w:rPr>
        <w:t>new</w:t>
      </w:r>
      <w:proofErr w:type="gramEnd"/>
      <w:r w:rsidRPr="00C534A9">
        <w:rPr>
          <w:rFonts w:ascii="Arial" w:hAnsi="Arial" w:cs="Arial"/>
          <w:sz w:val="22"/>
        </w:rPr>
        <w:t xml:space="preserve"> electric compressors and associated systems, and related consulting costs for the expansion design, engineering and procurement. NPC provided detailed estimates of the Capex required for the sub-projects as part of the loan procurement plan.  </w:t>
      </w:r>
      <w:r w:rsidR="00AA31CB" w:rsidRPr="00C534A9">
        <w:rPr>
          <w:rFonts w:ascii="Arial" w:hAnsi="Arial" w:cs="Arial"/>
          <w:sz w:val="22"/>
        </w:rPr>
        <w:t>The estimated Capex for the micro-LNG expansion is US$3.9 million.</w:t>
      </w:r>
    </w:p>
    <w:p w:rsidR="00CF5FE8" w:rsidRPr="00C534A9" w:rsidRDefault="00CF5FE8" w:rsidP="00C534A9">
      <w:pPr>
        <w:pStyle w:val="ListParagraph"/>
        <w:numPr>
          <w:ilvl w:val="0"/>
          <w:numId w:val="35"/>
        </w:numPr>
        <w:jc w:val="both"/>
        <w:rPr>
          <w:rFonts w:ascii="Arial" w:hAnsi="Arial" w:cs="Arial"/>
          <w:sz w:val="22"/>
        </w:rPr>
      </w:pPr>
      <w:r w:rsidRPr="00C534A9">
        <w:rPr>
          <w:rFonts w:ascii="Arial" w:hAnsi="Arial" w:cs="Arial"/>
          <w:b/>
          <w:sz w:val="22"/>
        </w:rPr>
        <w:t>Operational Expenditures (</w:t>
      </w:r>
      <w:proofErr w:type="spellStart"/>
      <w:r w:rsidRPr="00C534A9">
        <w:rPr>
          <w:rFonts w:ascii="Arial" w:hAnsi="Arial" w:cs="Arial"/>
          <w:b/>
          <w:sz w:val="22"/>
        </w:rPr>
        <w:t>Opex</w:t>
      </w:r>
      <w:proofErr w:type="spellEnd"/>
      <w:r w:rsidRPr="00C534A9">
        <w:rPr>
          <w:rFonts w:ascii="Arial" w:hAnsi="Arial" w:cs="Arial"/>
          <w:b/>
          <w:sz w:val="22"/>
        </w:rPr>
        <w:t>)</w:t>
      </w:r>
      <w:r w:rsidRPr="00C534A9">
        <w:rPr>
          <w:rFonts w:ascii="Arial" w:hAnsi="Arial" w:cs="Arial"/>
          <w:sz w:val="22"/>
        </w:rPr>
        <w:t>—</w:t>
      </w:r>
      <w:r w:rsidR="003A1657" w:rsidRPr="00C534A9">
        <w:rPr>
          <w:rFonts w:ascii="Arial" w:hAnsi="Arial" w:cs="Arial"/>
          <w:sz w:val="22"/>
        </w:rPr>
        <w:t>these are the annual expenses incurred to operate and maintain the micro-LNG facility and related infrastructure. Operating expenses include fixed costs that are not directly dependent on the volume of natural gas processes, such as personnel and land costs, and variable costs that are a function of the volume of natural gas, such as electricity consumed by the natural gas compressors and NG losses in the regasification process.</w:t>
      </w:r>
    </w:p>
    <w:p w:rsidR="00BE1449" w:rsidRPr="00C534A9" w:rsidRDefault="00BE1449" w:rsidP="00C534A9">
      <w:pPr>
        <w:pStyle w:val="ListParagraph"/>
        <w:numPr>
          <w:ilvl w:val="0"/>
          <w:numId w:val="35"/>
        </w:numPr>
        <w:jc w:val="both"/>
        <w:rPr>
          <w:rFonts w:ascii="Arial" w:hAnsi="Arial" w:cs="Arial"/>
          <w:sz w:val="22"/>
        </w:rPr>
      </w:pPr>
      <w:r w:rsidRPr="00C534A9">
        <w:rPr>
          <w:rFonts w:ascii="Arial" w:hAnsi="Arial" w:cs="Arial"/>
          <w:b/>
          <w:sz w:val="22"/>
        </w:rPr>
        <w:t xml:space="preserve">Natural gas </w:t>
      </w:r>
      <w:r w:rsidR="0096360D" w:rsidRPr="00C534A9">
        <w:rPr>
          <w:rFonts w:ascii="Arial" w:hAnsi="Arial" w:cs="Arial"/>
          <w:b/>
          <w:sz w:val="22"/>
        </w:rPr>
        <w:t>purchases</w:t>
      </w:r>
      <w:r w:rsidRPr="00C534A9">
        <w:rPr>
          <w:rFonts w:ascii="Arial" w:hAnsi="Arial" w:cs="Arial"/>
          <w:sz w:val="22"/>
        </w:rPr>
        <w:t xml:space="preserve">—these are </w:t>
      </w:r>
      <w:r w:rsidR="003A1657" w:rsidRPr="00C534A9">
        <w:rPr>
          <w:rFonts w:ascii="Arial" w:hAnsi="Arial" w:cs="Arial"/>
          <w:sz w:val="22"/>
        </w:rPr>
        <w:t>the annual expenses incurred by purchasing</w:t>
      </w:r>
      <w:r w:rsidRPr="00C534A9">
        <w:rPr>
          <w:rFonts w:ascii="Arial" w:hAnsi="Arial" w:cs="Arial"/>
          <w:sz w:val="22"/>
        </w:rPr>
        <w:t xml:space="preserve"> natural gas </w:t>
      </w:r>
      <w:r w:rsidR="003A1657" w:rsidRPr="00C534A9">
        <w:rPr>
          <w:rFonts w:ascii="Arial" w:hAnsi="Arial" w:cs="Arial"/>
          <w:sz w:val="22"/>
        </w:rPr>
        <w:t>on the international markets to import</w:t>
      </w:r>
      <w:r w:rsidRPr="00C534A9">
        <w:rPr>
          <w:rFonts w:ascii="Arial" w:hAnsi="Arial" w:cs="Arial"/>
          <w:sz w:val="22"/>
        </w:rPr>
        <w:t xml:space="preserve"> through the expanded facility.  </w:t>
      </w:r>
      <w:r w:rsidR="00957ACC" w:rsidRPr="00C534A9">
        <w:rPr>
          <w:rFonts w:ascii="Arial" w:hAnsi="Arial" w:cs="Arial"/>
          <w:sz w:val="22"/>
        </w:rPr>
        <w:t>T</w:t>
      </w:r>
      <w:r w:rsidRPr="00C534A9">
        <w:rPr>
          <w:rFonts w:ascii="Arial" w:hAnsi="Arial" w:cs="Arial"/>
          <w:sz w:val="22"/>
        </w:rPr>
        <w:t xml:space="preserve">he cost of natural gas imports </w:t>
      </w:r>
      <w:r w:rsidR="00957ACC" w:rsidRPr="00C534A9">
        <w:rPr>
          <w:rFonts w:ascii="Arial" w:hAnsi="Arial" w:cs="Arial"/>
          <w:sz w:val="22"/>
        </w:rPr>
        <w:t xml:space="preserve">was calculated </w:t>
      </w:r>
      <w:r w:rsidRPr="00C534A9">
        <w:rPr>
          <w:rFonts w:ascii="Arial" w:hAnsi="Arial" w:cs="Arial"/>
          <w:sz w:val="22"/>
        </w:rPr>
        <w:t>as the product of the cost to import a unit of natural gas and the expected incremental volume of imported natural gas. The volume of incremental natural gas imports was calculated as the minimum of Barbados’ incremental natural gas supply gap and the maximum capacity of the expanding micro-LNG facility. The incremental natural gas supply gap was calculated as the sum of cumulative decline in domestic natural gas production from BNOCL (estimated from the reported decline in natural gas production from 2013 to 2015) plus new natural gas demand from NPC’s existing and planned new customers.</w:t>
      </w:r>
    </w:p>
    <w:p w:rsidR="0096360D" w:rsidRPr="00C534A9" w:rsidRDefault="0096360D" w:rsidP="00C534A9">
      <w:pPr>
        <w:pStyle w:val="ListParagraph"/>
        <w:numPr>
          <w:ilvl w:val="0"/>
          <w:numId w:val="35"/>
        </w:numPr>
        <w:jc w:val="both"/>
        <w:rPr>
          <w:rFonts w:ascii="Arial" w:hAnsi="Arial" w:cs="Arial"/>
          <w:sz w:val="22"/>
        </w:rPr>
      </w:pPr>
      <w:r w:rsidRPr="00C534A9">
        <w:rPr>
          <w:rFonts w:ascii="Arial" w:hAnsi="Arial" w:cs="Arial"/>
          <w:b/>
          <w:sz w:val="22"/>
        </w:rPr>
        <w:t>Loan interest payments</w:t>
      </w:r>
      <w:r w:rsidR="00BE1449" w:rsidRPr="00C534A9">
        <w:rPr>
          <w:rFonts w:ascii="Arial" w:hAnsi="Arial" w:cs="Arial"/>
          <w:sz w:val="22"/>
        </w:rPr>
        <w:t>—</w:t>
      </w:r>
      <w:r w:rsidR="003A1657" w:rsidRPr="00C534A9">
        <w:rPr>
          <w:rFonts w:ascii="Arial" w:hAnsi="Arial" w:cs="Arial"/>
          <w:sz w:val="22"/>
          <w:szCs w:val="24"/>
        </w:rPr>
        <w:t xml:space="preserve">these are the financing charges for the IDB loan for the capital investment in the sub-project. According to the IDB, the loan terms include an interest rate of LIBOR + 1.15 percent (currently roughly 1.65%) and a 25 year repayment period, </w:t>
      </w:r>
    </w:p>
    <w:p w:rsidR="00BE1449" w:rsidRPr="00C534A9" w:rsidRDefault="0096360D" w:rsidP="00C534A9">
      <w:pPr>
        <w:pStyle w:val="ListParagraph"/>
        <w:numPr>
          <w:ilvl w:val="0"/>
          <w:numId w:val="35"/>
        </w:numPr>
        <w:jc w:val="both"/>
        <w:rPr>
          <w:rFonts w:ascii="Arial" w:hAnsi="Arial" w:cs="Arial"/>
          <w:sz w:val="22"/>
        </w:rPr>
      </w:pPr>
      <w:r w:rsidRPr="00C534A9">
        <w:rPr>
          <w:rFonts w:ascii="Arial" w:hAnsi="Arial" w:cs="Arial"/>
          <w:b/>
          <w:sz w:val="22"/>
        </w:rPr>
        <w:t>Corporate taxes</w:t>
      </w:r>
      <w:r w:rsidR="003A1657" w:rsidRPr="00C534A9">
        <w:rPr>
          <w:rFonts w:ascii="Arial" w:hAnsi="Arial" w:cs="Arial"/>
          <w:sz w:val="22"/>
        </w:rPr>
        <w:t>—these are the taxes that NPC must pay on the profits that are generated by the sub-project</w:t>
      </w:r>
      <w:r w:rsidR="00BE1449" w:rsidRPr="00C534A9">
        <w:rPr>
          <w:rFonts w:ascii="Arial" w:hAnsi="Arial" w:cs="Arial"/>
          <w:sz w:val="22"/>
        </w:rPr>
        <w:t>.</w:t>
      </w:r>
      <w:r w:rsidR="003A1657" w:rsidRPr="00C534A9">
        <w:rPr>
          <w:rFonts w:ascii="Arial" w:hAnsi="Arial" w:cs="Arial"/>
          <w:sz w:val="22"/>
        </w:rPr>
        <w:t xml:space="preserve"> Barbados’ corporate tax rate is currently 25%. This rate was applied to the sub-project earnings after deducting interest and amortization expenses. </w:t>
      </w:r>
      <w:r w:rsidR="00957ACC" w:rsidRPr="00C534A9">
        <w:rPr>
          <w:rFonts w:ascii="Arial" w:hAnsi="Arial" w:cs="Arial"/>
          <w:sz w:val="22"/>
        </w:rPr>
        <w:t>T</w:t>
      </w:r>
      <w:r w:rsidR="003A1657" w:rsidRPr="00C534A9">
        <w:rPr>
          <w:rFonts w:ascii="Arial" w:hAnsi="Arial" w:cs="Arial"/>
          <w:sz w:val="22"/>
        </w:rPr>
        <w:t xml:space="preserve">he sub-project assets </w:t>
      </w:r>
      <w:r w:rsidR="00957ACC" w:rsidRPr="00C534A9">
        <w:rPr>
          <w:rFonts w:ascii="Arial" w:hAnsi="Arial" w:cs="Arial"/>
          <w:sz w:val="22"/>
        </w:rPr>
        <w:t xml:space="preserve">were assumed to </w:t>
      </w:r>
      <w:r w:rsidR="003A1657" w:rsidRPr="00C534A9">
        <w:rPr>
          <w:rFonts w:ascii="Arial" w:hAnsi="Arial" w:cs="Arial"/>
          <w:sz w:val="22"/>
        </w:rPr>
        <w:t xml:space="preserve">be amortized with </w:t>
      </w:r>
      <w:proofErr w:type="gramStart"/>
      <w:r w:rsidR="003A1657" w:rsidRPr="00C534A9">
        <w:rPr>
          <w:rFonts w:ascii="Arial" w:hAnsi="Arial" w:cs="Arial"/>
          <w:sz w:val="22"/>
        </w:rPr>
        <w:t>a 15</w:t>
      </w:r>
      <w:proofErr w:type="gramEnd"/>
      <w:r w:rsidR="003A1657" w:rsidRPr="00C534A9">
        <w:rPr>
          <w:rFonts w:ascii="Arial" w:hAnsi="Arial" w:cs="Arial"/>
          <w:sz w:val="22"/>
        </w:rPr>
        <w:t xml:space="preserve">-year straight line depreciation. </w:t>
      </w:r>
      <w:r w:rsidR="00957ACC" w:rsidRPr="00C534A9">
        <w:rPr>
          <w:rFonts w:ascii="Arial" w:hAnsi="Arial" w:cs="Arial"/>
          <w:sz w:val="22"/>
        </w:rPr>
        <w:t>The</w:t>
      </w:r>
      <w:r w:rsidR="003A1657" w:rsidRPr="00C534A9">
        <w:rPr>
          <w:rFonts w:ascii="Arial" w:hAnsi="Arial" w:cs="Arial"/>
          <w:sz w:val="22"/>
        </w:rPr>
        <w:t xml:space="preserve"> full corporate tax rate </w:t>
      </w:r>
      <w:r w:rsidR="00957ACC" w:rsidRPr="00C534A9">
        <w:rPr>
          <w:rFonts w:ascii="Arial" w:hAnsi="Arial" w:cs="Arial"/>
          <w:sz w:val="22"/>
        </w:rPr>
        <w:t xml:space="preserve">was assumed to </w:t>
      </w:r>
      <w:r w:rsidR="003A1657" w:rsidRPr="00C534A9">
        <w:rPr>
          <w:rFonts w:ascii="Arial" w:hAnsi="Arial" w:cs="Arial"/>
          <w:sz w:val="22"/>
        </w:rPr>
        <w:t>be applied to the sub-project.</w:t>
      </w:r>
    </w:p>
    <w:p w:rsidR="00BE1449" w:rsidRPr="00C534A9" w:rsidRDefault="00CF5FE8" w:rsidP="00C534A9">
      <w:pPr>
        <w:pStyle w:val="Heading3"/>
        <w:jc w:val="both"/>
        <w:rPr>
          <w:rFonts w:ascii="Arial" w:hAnsi="Arial" w:cs="Arial"/>
          <w:sz w:val="22"/>
        </w:rPr>
      </w:pPr>
      <w:bookmarkStart w:id="160" w:name="_Toc464551535"/>
      <w:r w:rsidRPr="00C534A9">
        <w:rPr>
          <w:rFonts w:ascii="Arial" w:hAnsi="Arial" w:cs="Arial"/>
          <w:sz w:val="22"/>
        </w:rPr>
        <w:t>Cash flows</w:t>
      </w:r>
      <w:r w:rsidR="00BE1449" w:rsidRPr="00C534A9">
        <w:rPr>
          <w:rFonts w:ascii="Arial" w:hAnsi="Arial" w:cs="Arial"/>
          <w:sz w:val="22"/>
        </w:rPr>
        <w:t xml:space="preserve"> of the micro-LNG expansion sub-project</w:t>
      </w:r>
      <w:bookmarkEnd w:id="160"/>
    </w:p>
    <w:p w:rsidR="00BE1449" w:rsidRPr="00C534A9" w:rsidRDefault="00BE1449" w:rsidP="00C534A9">
      <w:pPr>
        <w:jc w:val="both"/>
        <w:rPr>
          <w:rFonts w:ascii="Arial" w:hAnsi="Arial" w:cs="Arial"/>
          <w:sz w:val="22"/>
        </w:rPr>
      </w:pPr>
      <w:r w:rsidRPr="00C534A9">
        <w:rPr>
          <w:rFonts w:ascii="Arial" w:hAnsi="Arial" w:cs="Arial"/>
          <w:sz w:val="22"/>
        </w:rPr>
        <w:t>After estimat</w:t>
      </w:r>
      <w:r w:rsidR="00712B41" w:rsidRPr="00C534A9">
        <w:rPr>
          <w:rFonts w:ascii="Arial" w:hAnsi="Arial" w:cs="Arial"/>
          <w:sz w:val="22"/>
        </w:rPr>
        <w:t>ing</w:t>
      </w:r>
      <w:r w:rsidRPr="00C534A9">
        <w:rPr>
          <w:rFonts w:ascii="Arial" w:hAnsi="Arial" w:cs="Arial"/>
          <w:sz w:val="22"/>
        </w:rPr>
        <w:t xml:space="preserve"> the sub-project’s </w:t>
      </w:r>
      <w:r w:rsidR="00CF5FE8" w:rsidRPr="00C534A9">
        <w:rPr>
          <w:rFonts w:ascii="Arial" w:hAnsi="Arial" w:cs="Arial"/>
          <w:sz w:val="22"/>
        </w:rPr>
        <w:t>associated income and expenses</w:t>
      </w:r>
      <w:r w:rsidRPr="00C534A9">
        <w:rPr>
          <w:rFonts w:ascii="Arial" w:hAnsi="Arial" w:cs="Arial"/>
          <w:sz w:val="22"/>
        </w:rPr>
        <w:t xml:space="preserve">, the next step is to calculate the sub-project’s </w:t>
      </w:r>
      <w:r w:rsidR="00CF5FE8" w:rsidRPr="00C534A9">
        <w:rPr>
          <w:rFonts w:ascii="Arial" w:hAnsi="Arial" w:cs="Arial"/>
          <w:sz w:val="22"/>
        </w:rPr>
        <w:t>annual cash flow</w:t>
      </w:r>
      <w:r w:rsidRPr="00C534A9">
        <w:rPr>
          <w:rFonts w:ascii="Arial" w:hAnsi="Arial" w:cs="Arial"/>
          <w:sz w:val="22"/>
        </w:rPr>
        <w:t xml:space="preserve">. This is accomplished by subtracting the present value of the sub-project’s costs from the present value of the sub-project’s benefits. </w:t>
      </w:r>
      <w:r w:rsidR="00AD51DD" w:rsidRPr="00C534A9">
        <w:rPr>
          <w:rFonts w:ascii="Arial" w:hAnsi="Arial" w:cs="Arial"/>
          <w:sz w:val="22"/>
        </w:rPr>
        <w:t>T</w:t>
      </w:r>
      <w:r w:rsidRPr="00C534A9">
        <w:rPr>
          <w:rFonts w:ascii="Arial" w:hAnsi="Arial" w:cs="Arial"/>
          <w:sz w:val="22"/>
        </w:rPr>
        <w:t xml:space="preserve">he present value of the sub-project’s costs and </w:t>
      </w:r>
      <w:proofErr w:type="gramStart"/>
      <w:r w:rsidRPr="00C534A9">
        <w:rPr>
          <w:rFonts w:ascii="Arial" w:hAnsi="Arial" w:cs="Arial"/>
          <w:sz w:val="22"/>
        </w:rPr>
        <w:t>benefits,</w:t>
      </w:r>
      <w:proofErr w:type="gramEnd"/>
      <w:r w:rsidRPr="00C534A9">
        <w:rPr>
          <w:rFonts w:ascii="Arial" w:hAnsi="Arial" w:cs="Arial"/>
          <w:sz w:val="22"/>
        </w:rPr>
        <w:t xml:space="preserve"> </w:t>
      </w:r>
      <w:r w:rsidR="00AD51DD" w:rsidRPr="00C534A9">
        <w:rPr>
          <w:rFonts w:ascii="Arial" w:hAnsi="Arial" w:cs="Arial"/>
          <w:sz w:val="22"/>
        </w:rPr>
        <w:t>was determined using</w:t>
      </w:r>
      <w:r w:rsidRPr="00C534A9">
        <w:rPr>
          <w:rFonts w:ascii="Arial" w:hAnsi="Arial" w:cs="Arial"/>
          <w:sz w:val="22"/>
        </w:rPr>
        <w:t xml:space="preserve"> a social discount rate of 12 percent (in real terms). If the present value of the sub-project’s net benefits is greater than zero, the </w:t>
      </w:r>
      <w:r w:rsidR="00AA31CB" w:rsidRPr="00C534A9">
        <w:rPr>
          <w:rFonts w:ascii="Arial" w:hAnsi="Arial" w:cs="Arial"/>
          <w:sz w:val="22"/>
        </w:rPr>
        <w:t>sub-project</w:t>
      </w:r>
      <w:r w:rsidRPr="00C534A9">
        <w:rPr>
          <w:rFonts w:ascii="Arial" w:hAnsi="Arial" w:cs="Arial"/>
          <w:sz w:val="22"/>
        </w:rPr>
        <w:t xml:space="preserve"> is economically viable.  </w:t>
      </w:r>
    </w:p>
    <w:p w:rsidR="00BE1449" w:rsidRPr="00C534A9" w:rsidRDefault="00CF5FE8" w:rsidP="00C534A9">
      <w:pPr>
        <w:pStyle w:val="Heading2"/>
        <w:jc w:val="both"/>
        <w:rPr>
          <w:rFonts w:ascii="Arial" w:hAnsi="Arial" w:cs="Arial"/>
          <w:sz w:val="24"/>
        </w:rPr>
      </w:pPr>
      <w:bookmarkStart w:id="161" w:name="_Toc464551536"/>
      <w:r w:rsidRPr="00C534A9">
        <w:rPr>
          <w:rFonts w:ascii="Arial" w:hAnsi="Arial" w:cs="Arial"/>
          <w:sz w:val="24"/>
        </w:rPr>
        <w:t>Profitability</w:t>
      </w:r>
      <w:r w:rsidR="00BE1449" w:rsidRPr="00C534A9">
        <w:rPr>
          <w:rFonts w:ascii="Arial" w:hAnsi="Arial" w:cs="Arial"/>
          <w:sz w:val="24"/>
        </w:rPr>
        <w:t xml:space="preserve"> of the micro-LNG expansion sub-project</w:t>
      </w:r>
      <w:bookmarkEnd w:id="161"/>
    </w:p>
    <w:p w:rsidR="00BE1449" w:rsidRPr="00C534A9" w:rsidRDefault="00BE1449" w:rsidP="00C534A9">
      <w:pPr>
        <w:jc w:val="both"/>
        <w:rPr>
          <w:rFonts w:ascii="Arial" w:hAnsi="Arial" w:cs="Arial"/>
          <w:sz w:val="22"/>
        </w:rPr>
      </w:pPr>
      <w:r w:rsidRPr="00C534A9">
        <w:rPr>
          <w:rFonts w:ascii="Arial" w:hAnsi="Arial" w:cs="Arial"/>
          <w:sz w:val="22"/>
        </w:rPr>
        <w:t xml:space="preserve">This section presents the results of the </w:t>
      </w:r>
      <w:r w:rsidR="003F491C" w:rsidRPr="00C534A9">
        <w:rPr>
          <w:rFonts w:ascii="Arial" w:hAnsi="Arial" w:cs="Arial"/>
          <w:sz w:val="22"/>
        </w:rPr>
        <w:t>financial analysis</w:t>
      </w:r>
      <w:r w:rsidRPr="00C534A9">
        <w:rPr>
          <w:rFonts w:ascii="Arial" w:hAnsi="Arial" w:cs="Arial"/>
          <w:sz w:val="22"/>
        </w:rPr>
        <w:t xml:space="preserve"> for the micro-LNG expansion. </w:t>
      </w:r>
      <w:r w:rsidR="00CF5FE8" w:rsidRPr="00C534A9">
        <w:rPr>
          <w:rFonts w:ascii="Arial" w:hAnsi="Arial" w:cs="Arial"/>
          <w:sz w:val="22"/>
        </w:rPr>
        <w:t>T</w:t>
      </w:r>
      <w:r w:rsidRPr="00C534A9">
        <w:rPr>
          <w:rFonts w:ascii="Arial" w:hAnsi="Arial" w:cs="Arial"/>
          <w:sz w:val="22"/>
        </w:rPr>
        <w:t xml:space="preserve">he </w:t>
      </w:r>
      <w:r w:rsidR="00CF5FE8" w:rsidRPr="00C534A9">
        <w:rPr>
          <w:rFonts w:ascii="Arial" w:hAnsi="Arial" w:cs="Arial"/>
          <w:sz w:val="22"/>
        </w:rPr>
        <w:t>sub-</w:t>
      </w:r>
      <w:r w:rsidR="003F491C" w:rsidRPr="00C534A9">
        <w:rPr>
          <w:rFonts w:ascii="Arial" w:hAnsi="Arial" w:cs="Arial"/>
          <w:sz w:val="22"/>
        </w:rPr>
        <w:t>project</w:t>
      </w:r>
      <w:r w:rsidR="00CF5FE8" w:rsidRPr="00C534A9">
        <w:rPr>
          <w:rFonts w:ascii="Arial" w:hAnsi="Arial" w:cs="Arial"/>
          <w:sz w:val="22"/>
        </w:rPr>
        <w:t>’s</w:t>
      </w:r>
      <w:r w:rsidR="003F491C" w:rsidRPr="00C534A9">
        <w:rPr>
          <w:rFonts w:ascii="Arial" w:hAnsi="Arial" w:cs="Arial"/>
          <w:sz w:val="22"/>
        </w:rPr>
        <w:t xml:space="preserve"> net present value is</w:t>
      </w:r>
      <w:r w:rsidRPr="00C534A9">
        <w:rPr>
          <w:rFonts w:ascii="Arial" w:hAnsi="Arial" w:cs="Arial"/>
          <w:sz w:val="22"/>
        </w:rPr>
        <w:t xml:space="preserve"> </w:t>
      </w:r>
      <w:r w:rsidR="00196B2F" w:rsidRPr="00C534A9">
        <w:rPr>
          <w:rFonts w:ascii="Arial" w:hAnsi="Arial" w:cs="Arial"/>
          <w:sz w:val="22"/>
        </w:rPr>
        <w:t>US$</w:t>
      </w:r>
      <w:r w:rsidR="00B04513" w:rsidRPr="00C534A9" w:rsidDel="00B04513">
        <w:rPr>
          <w:rFonts w:ascii="Arial" w:hAnsi="Arial" w:cs="Arial"/>
          <w:sz w:val="22"/>
        </w:rPr>
        <w:t xml:space="preserve"> </w:t>
      </w:r>
      <w:r w:rsidR="00B04513" w:rsidRPr="00C534A9">
        <w:rPr>
          <w:rFonts w:ascii="Arial" w:hAnsi="Arial" w:cs="Arial"/>
          <w:sz w:val="22"/>
        </w:rPr>
        <w:t xml:space="preserve">222,000 </w:t>
      </w:r>
      <w:r w:rsidR="00C26910" w:rsidRPr="00C534A9">
        <w:rPr>
          <w:rFonts w:ascii="Arial" w:hAnsi="Arial" w:cs="Arial"/>
          <w:sz w:val="22"/>
        </w:rPr>
        <w:t xml:space="preserve">and the IRR is </w:t>
      </w:r>
      <w:r w:rsidR="00B04513" w:rsidRPr="00C534A9">
        <w:rPr>
          <w:rFonts w:ascii="Arial" w:hAnsi="Arial" w:cs="Arial"/>
          <w:sz w:val="22"/>
        </w:rPr>
        <w:t>13</w:t>
      </w:r>
      <w:r w:rsidR="00C26910" w:rsidRPr="00C534A9">
        <w:rPr>
          <w:rFonts w:ascii="Arial" w:hAnsi="Arial" w:cs="Arial"/>
          <w:sz w:val="22"/>
        </w:rPr>
        <w:t>%</w:t>
      </w:r>
      <w:r w:rsidRPr="00C534A9">
        <w:rPr>
          <w:rFonts w:ascii="Arial" w:hAnsi="Arial" w:cs="Arial"/>
          <w:sz w:val="22"/>
        </w:rPr>
        <w:t>. Th</w:t>
      </w:r>
      <w:r w:rsidR="00C26910" w:rsidRPr="00C534A9">
        <w:rPr>
          <w:rFonts w:ascii="Arial" w:hAnsi="Arial" w:cs="Arial"/>
          <w:sz w:val="22"/>
        </w:rPr>
        <w:t xml:space="preserve">e positive NPV and IRR above the 12% hurdle rate </w:t>
      </w:r>
      <w:r w:rsidRPr="00C534A9">
        <w:rPr>
          <w:rFonts w:ascii="Arial" w:hAnsi="Arial" w:cs="Arial"/>
          <w:sz w:val="22"/>
        </w:rPr>
        <w:t xml:space="preserve">means that expanding the micro-LNG facility will generate </w:t>
      </w:r>
      <w:r w:rsidR="003F491C" w:rsidRPr="00C534A9">
        <w:rPr>
          <w:rFonts w:ascii="Arial" w:hAnsi="Arial" w:cs="Arial"/>
          <w:sz w:val="22"/>
        </w:rPr>
        <w:t xml:space="preserve">a </w:t>
      </w:r>
      <w:r w:rsidRPr="00C534A9">
        <w:rPr>
          <w:rFonts w:ascii="Arial" w:hAnsi="Arial" w:cs="Arial"/>
          <w:sz w:val="22"/>
        </w:rPr>
        <w:t xml:space="preserve">net </w:t>
      </w:r>
      <w:r w:rsidR="003F491C" w:rsidRPr="00C534A9">
        <w:rPr>
          <w:rFonts w:ascii="Arial" w:hAnsi="Arial" w:cs="Arial"/>
          <w:sz w:val="22"/>
        </w:rPr>
        <w:t>profit</w:t>
      </w:r>
      <w:r w:rsidRPr="00C534A9">
        <w:rPr>
          <w:rFonts w:ascii="Arial" w:hAnsi="Arial" w:cs="Arial"/>
          <w:sz w:val="22"/>
        </w:rPr>
        <w:t xml:space="preserve"> for </w:t>
      </w:r>
      <w:r w:rsidR="003F491C" w:rsidRPr="00C534A9">
        <w:rPr>
          <w:rFonts w:ascii="Arial" w:hAnsi="Arial" w:cs="Arial"/>
          <w:sz w:val="22"/>
        </w:rPr>
        <w:t>NPC</w:t>
      </w:r>
      <w:r w:rsidRPr="00C534A9">
        <w:rPr>
          <w:rFonts w:ascii="Arial" w:hAnsi="Arial" w:cs="Arial"/>
          <w:sz w:val="22"/>
        </w:rPr>
        <w:t>.</w:t>
      </w:r>
      <w:r w:rsidR="00CF5FE8" w:rsidRPr="00C534A9">
        <w:rPr>
          <w:rFonts w:ascii="Arial" w:hAnsi="Arial" w:cs="Arial"/>
          <w:sz w:val="22"/>
        </w:rPr>
        <w:t xml:space="preserve"> </w:t>
      </w:r>
      <w:r w:rsidR="00C26910" w:rsidRPr="00C534A9">
        <w:rPr>
          <w:rFonts w:ascii="Arial" w:hAnsi="Arial" w:cs="Arial"/>
          <w:sz w:val="22"/>
        </w:rPr>
        <w:t xml:space="preserve">In addition, the </w:t>
      </w:r>
      <w:r w:rsidR="00791234" w:rsidRPr="00C534A9">
        <w:rPr>
          <w:rFonts w:ascii="Arial" w:hAnsi="Arial" w:cs="Arial"/>
          <w:sz w:val="22"/>
        </w:rPr>
        <w:t>minimum</w:t>
      </w:r>
      <w:r w:rsidR="00CF5FE8" w:rsidRPr="00C534A9">
        <w:rPr>
          <w:rFonts w:ascii="Arial" w:hAnsi="Arial" w:cs="Arial"/>
          <w:sz w:val="22"/>
        </w:rPr>
        <w:t xml:space="preserve"> debt coverage ratio</w:t>
      </w:r>
      <w:r w:rsidR="00C26910" w:rsidRPr="00C534A9">
        <w:rPr>
          <w:rFonts w:ascii="Arial" w:hAnsi="Arial" w:cs="Arial"/>
          <w:sz w:val="22"/>
        </w:rPr>
        <w:t xml:space="preserve"> in any given year is </w:t>
      </w:r>
      <w:r w:rsidR="00B04513" w:rsidRPr="00C534A9">
        <w:rPr>
          <w:rFonts w:ascii="Arial" w:hAnsi="Arial" w:cs="Arial"/>
          <w:sz w:val="22"/>
        </w:rPr>
        <w:t>2.55</w:t>
      </w:r>
      <w:r w:rsidR="00CF5FE8" w:rsidRPr="00C534A9">
        <w:rPr>
          <w:rFonts w:ascii="Arial" w:hAnsi="Arial" w:cs="Arial"/>
          <w:sz w:val="22"/>
        </w:rPr>
        <w:t>.</w:t>
      </w:r>
      <w:r w:rsidR="00C26910" w:rsidRPr="00C534A9">
        <w:rPr>
          <w:rFonts w:ascii="Arial" w:hAnsi="Arial" w:cs="Arial"/>
          <w:sz w:val="22"/>
        </w:rPr>
        <w:t xml:space="preserve"> This indicates that the sub-project will generate sufficient cash flows to cover operating expenses and debt repayment obligations in any given year.</w:t>
      </w:r>
    </w:p>
    <w:p w:rsidR="00BE1449" w:rsidRPr="00C534A9" w:rsidRDefault="00BE1449" w:rsidP="00C534A9">
      <w:pPr>
        <w:jc w:val="both"/>
        <w:rPr>
          <w:rFonts w:ascii="Arial" w:hAnsi="Arial" w:cs="Arial"/>
          <w:sz w:val="22"/>
        </w:rPr>
      </w:pPr>
      <w:r w:rsidRPr="00C534A9">
        <w:rPr>
          <w:rFonts w:ascii="Arial" w:hAnsi="Arial" w:cs="Arial"/>
          <w:sz w:val="22"/>
        </w:rPr>
        <w:fldChar w:fldCharType="begin"/>
      </w:r>
      <w:r w:rsidRPr="00C534A9">
        <w:rPr>
          <w:rFonts w:ascii="Arial" w:hAnsi="Arial" w:cs="Arial"/>
          <w:sz w:val="22"/>
        </w:rPr>
        <w:instrText xml:space="preserve"> REF _Ref406058165 \h  \* MERGEFORMAT </w:instrText>
      </w:r>
      <w:r w:rsidRPr="00C534A9">
        <w:rPr>
          <w:rFonts w:ascii="Arial" w:hAnsi="Arial" w:cs="Arial"/>
          <w:sz w:val="22"/>
        </w:rPr>
      </w:r>
      <w:r w:rsidRPr="00C534A9">
        <w:rPr>
          <w:rFonts w:ascii="Arial" w:hAnsi="Arial" w:cs="Arial"/>
          <w:sz w:val="22"/>
        </w:rPr>
        <w:fldChar w:fldCharType="separate"/>
      </w:r>
      <w:r w:rsidR="003F3D75" w:rsidRPr="00C534A9">
        <w:rPr>
          <w:rFonts w:ascii="Arial" w:hAnsi="Arial" w:cs="Arial"/>
          <w:sz w:val="22"/>
        </w:rPr>
        <w:t xml:space="preserve">Table </w:t>
      </w:r>
      <w:r w:rsidR="00CF5FE8" w:rsidRPr="00C534A9">
        <w:rPr>
          <w:rFonts w:ascii="Arial" w:hAnsi="Arial" w:cs="Arial"/>
          <w:noProof/>
          <w:sz w:val="22"/>
        </w:rPr>
        <w:t>9</w:t>
      </w:r>
      <w:r w:rsidR="003F3D75" w:rsidRPr="00C534A9">
        <w:rPr>
          <w:rFonts w:ascii="Arial" w:hAnsi="Arial" w:cs="Arial"/>
          <w:noProof/>
          <w:sz w:val="22"/>
        </w:rPr>
        <w:t>.2</w:t>
      </w:r>
      <w:r w:rsidRPr="00C534A9">
        <w:rPr>
          <w:rFonts w:ascii="Arial" w:hAnsi="Arial" w:cs="Arial"/>
          <w:sz w:val="22"/>
        </w:rPr>
        <w:fldChar w:fldCharType="end"/>
      </w:r>
      <w:r w:rsidRPr="00C534A9">
        <w:rPr>
          <w:rFonts w:ascii="Arial" w:hAnsi="Arial" w:cs="Arial"/>
          <w:sz w:val="22"/>
        </w:rPr>
        <w:t xml:space="preserve"> presents </w:t>
      </w:r>
      <w:r w:rsidR="00196B2F" w:rsidRPr="00C534A9">
        <w:rPr>
          <w:rFonts w:ascii="Arial" w:hAnsi="Arial" w:cs="Arial"/>
          <w:sz w:val="22"/>
        </w:rPr>
        <w:t>the</w:t>
      </w:r>
      <w:r w:rsidR="003F491C" w:rsidRPr="00C534A9">
        <w:rPr>
          <w:rFonts w:ascii="Arial" w:hAnsi="Arial" w:cs="Arial"/>
          <w:sz w:val="22"/>
        </w:rPr>
        <w:t xml:space="preserve"> financial summary</w:t>
      </w:r>
      <w:r w:rsidRPr="00C534A9">
        <w:rPr>
          <w:rFonts w:ascii="Arial" w:hAnsi="Arial" w:cs="Arial"/>
          <w:sz w:val="22"/>
        </w:rPr>
        <w:t xml:space="preserve"> of the micro-LNG expansion </w:t>
      </w:r>
      <w:r w:rsidR="003F491C" w:rsidRPr="00C534A9">
        <w:rPr>
          <w:rFonts w:ascii="Arial" w:hAnsi="Arial" w:cs="Arial"/>
          <w:sz w:val="22"/>
        </w:rPr>
        <w:t>sub-project</w:t>
      </w:r>
      <w:r w:rsidRPr="00C534A9">
        <w:rPr>
          <w:rFonts w:ascii="Arial" w:hAnsi="Arial" w:cs="Arial"/>
          <w:sz w:val="22"/>
        </w:rPr>
        <w:t xml:space="preserve">. </w:t>
      </w:r>
    </w:p>
    <w:p w:rsidR="00BE1449" w:rsidRPr="00C534A9" w:rsidRDefault="00BE1449" w:rsidP="00C534A9">
      <w:pPr>
        <w:pStyle w:val="Caption"/>
        <w:jc w:val="both"/>
        <w:rPr>
          <w:rFonts w:ascii="Arial" w:hAnsi="Arial" w:cs="Arial"/>
          <w:sz w:val="22"/>
        </w:rPr>
      </w:pPr>
      <w:bookmarkStart w:id="162" w:name="_Toc463508493"/>
      <w:bookmarkStart w:id="163" w:name="_Toc463509000"/>
      <w:proofErr w:type="gramStart"/>
      <w:r w:rsidRPr="00C534A9">
        <w:rPr>
          <w:rFonts w:ascii="Arial" w:hAnsi="Arial" w:cs="Arial"/>
          <w:sz w:val="22"/>
        </w:rPr>
        <w:t xml:space="preserve">Table </w:t>
      </w:r>
      <w:r w:rsidR="003F491C" w:rsidRPr="00C534A9">
        <w:rPr>
          <w:rFonts w:ascii="Arial" w:hAnsi="Arial" w:cs="Arial"/>
          <w:sz w:val="22"/>
        </w:rPr>
        <w:t>9</w:t>
      </w:r>
      <w:r w:rsidRPr="00C534A9">
        <w:rPr>
          <w:rFonts w:ascii="Arial" w:hAnsi="Arial" w:cs="Arial"/>
          <w:sz w:val="22"/>
        </w:rPr>
        <w:t>.</w:t>
      </w:r>
      <w:proofErr w:type="gramEnd"/>
      <w:r w:rsidR="003343DE" w:rsidRPr="00C534A9">
        <w:rPr>
          <w:rFonts w:ascii="Arial" w:hAnsi="Arial" w:cs="Arial"/>
          <w:sz w:val="22"/>
        </w:rPr>
        <w:fldChar w:fldCharType="begin"/>
      </w:r>
      <w:r w:rsidR="003343DE" w:rsidRPr="00C534A9">
        <w:rPr>
          <w:rFonts w:ascii="Arial" w:hAnsi="Arial" w:cs="Arial"/>
          <w:sz w:val="22"/>
        </w:rPr>
        <w:instrText xml:space="preserve"> SEQ Table \* ARABIC \s 1 </w:instrText>
      </w:r>
      <w:r w:rsidR="003343DE" w:rsidRPr="00C534A9">
        <w:rPr>
          <w:rFonts w:ascii="Arial" w:hAnsi="Arial" w:cs="Arial"/>
          <w:sz w:val="22"/>
        </w:rPr>
        <w:fldChar w:fldCharType="separate"/>
      </w:r>
      <w:r w:rsidR="003F3D75" w:rsidRPr="00C534A9">
        <w:rPr>
          <w:rFonts w:ascii="Arial" w:hAnsi="Arial" w:cs="Arial"/>
          <w:noProof/>
          <w:sz w:val="22"/>
        </w:rPr>
        <w:t>2</w:t>
      </w:r>
      <w:r w:rsidR="003343DE" w:rsidRPr="00C534A9">
        <w:rPr>
          <w:rFonts w:ascii="Arial" w:hAnsi="Arial" w:cs="Arial"/>
          <w:noProof/>
          <w:sz w:val="22"/>
        </w:rPr>
        <w:fldChar w:fldCharType="end"/>
      </w:r>
      <w:r w:rsidRPr="00C534A9">
        <w:rPr>
          <w:rFonts w:ascii="Arial" w:hAnsi="Arial" w:cs="Arial"/>
          <w:sz w:val="22"/>
        </w:rPr>
        <w:t xml:space="preserve">: </w:t>
      </w:r>
      <w:r w:rsidR="003F491C" w:rsidRPr="00C534A9">
        <w:rPr>
          <w:rFonts w:ascii="Arial" w:hAnsi="Arial" w:cs="Arial"/>
          <w:sz w:val="22"/>
        </w:rPr>
        <w:t>Financial summary</w:t>
      </w:r>
      <w:r w:rsidRPr="00C534A9">
        <w:rPr>
          <w:rFonts w:ascii="Arial" w:hAnsi="Arial" w:cs="Arial"/>
          <w:sz w:val="22"/>
        </w:rPr>
        <w:t xml:space="preserve"> of the micro-LNG expansion sub-project</w:t>
      </w:r>
      <w:r w:rsidR="003A6A5C" w:rsidRPr="00C534A9">
        <w:rPr>
          <w:rFonts w:ascii="Arial" w:hAnsi="Arial" w:cs="Arial"/>
          <w:sz w:val="22"/>
        </w:rPr>
        <w:t xml:space="preserve"> (US$ ‘000)</w:t>
      </w:r>
      <w:bookmarkEnd w:id="162"/>
      <w:bookmarkEnd w:id="163"/>
    </w:p>
    <w:tbl>
      <w:tblPr>
        <w:tblW w:w="3860" w:type="dxa"/>
        <w:jc w:val="center"/>
        <w:tblInd w:w="93" w:type="dxa"/>
        <w:tblLook w:val="04A0" w:firstRow="1" w:lastRow="0" w:firstColumn="1" w:lastColumn="0" w:noHBand="0" w:noVBand="1"/>
      </w:tblPr>
      <w:tblGrid>
        <w:gridCol w:w="2540"/>
        <w:gridCol w:w="1320"/>
      </w:tblGrid>
      <w:tr w:rsidR="00990A65" w:rsidRPr="00C534A9" w:rsidTr="00990A65">
        <w:trPr>
          <w:trHeight w:val="450"/>
          <w:jc w:val="center"/>
        </w:trPr>
        <w:tc>
          <w:tcPr>
            <w:tcW w:w="2540" w:type="dxa"/>
            <w:tcBorders>
              <w:top w:val="nil"/>
              <w:left w:val="nil"/>
              <w:bottom w:val="nil"/>
              <w:right w:val="nil"/>
            </w:tcBorders>
            <w:shd w:val="clear" w:color="auto" w:fill="auto"/>
            <w:noWrap/>
            <w:vAlign w:val="center"/>
            <w:hideMark/>
          </w:tcPr>
          <w:p w:rsidR="00990A65" w:rsidRPr="00C534A9" w:rsidRDefault="00990A65"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Net Present Value</w:t>
            </w:r>
          </w:p>
        </w:tc>
        <w:tc>
          <w:tcPr>
            <w:tcW w:w="1320" w:type="dxa"/>
            <w:tcBorders>
              <w:top w:val="nil"/>
              <w:left w:val="nil"/>
              <w:bottom w:val="nil"/>
              <w:right w:val="nil"/>
            </w:tcBorders>
            <w:shd w:val="clear" w:color="auto" w:fill="auto"/>
            <w:noWrap/>
            <w:vAlign w:val="center"/>
            <w:hideMark/>
          </w:tcPr>
          <w:p w:rsidR="00990A65" w:rsidRPr="00C534A9" w:rsidRDefault="0051652C"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w:t>
            </w:r>
            <w:r w:rsidR="00B04513" w:rsidRPr="00C534A9">
              <w:rPr>
                <w:rFonts w:ascii="Arial" w:eastAsia="Times New Roman" w:hAnsi="Arial" w:cs="Arial"/>
                <w:color w:val="000000"/>
                <w:sz w:val="22"/>
                <w:szCs w:val="24"/>
              </w:rPr>
              <w:t>222</w:t>
            </w:r>
            <w:r w:rsidR="00990A65" w:rsidRPr="00C534A9">
              <w:rPr>
                <w:rFonts w:ascii="Arial" w:eastAsia="Times New Roman" w:hAnsi="Arial" w:cs="Arial"/>
                <w:color w:val="000000"/>
                <w:sz w:val="22"/>
                <w:szCs w:val="24"/>
              </w:rPr>
              <w:t xml:space="preserve"> </w:t>
            </w:r>
          </w:p>
        </w:tc>
      </w:tr>
      <w:tr w:rsidR="00990A65" w:rsidRPr="00C534A9" w:rsidTr="00990A65">
        <w:trPr>
          <w:trHeight w:val="450"/>
          <w:jc w:val="center"/>
        </w:trPr>
        <w:tc>
          <w:tcPr>
            <w:tcW w:w="2540" w:type="dxa"/>
            <w:tcBorders>
              <w:top w:val="nil"/>
              <w:left w:val="nil"/>
              <w:bottom w:val="nil"/>
              <w:right w:val="nil"/>
            </w:tcBorders>
            <w:shd w:val="clear" w:color="auto" w:fill="auto"/>
            <w:noWrap/>
            <w:vAlign w:val="center"/>
            <w:hideMark/>
          </w:tcPr>
          <w:p w:rsidR="00990A65" w:rsidRPr="00C534A9" w:rsidRDefault="00990A65"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IRR</w:t>
            </w:r>
          </w:p>
        </w:tc>
        <w:tc>
          <w:tcPr>
            <w:tcW w:w="1320" w:type="dxa"/>
            <w:tcBorders>
              <w:top w:val="nil"/>
              <w:left w:val="nil"/>
              <w:bottom w:val="nil"/>
              <w:right w:val="nil"/>
            </w:tcBorders>
            <w:shd w:val="clear" w:color="auto" w:fill="auto"/>
            <w:noWrap/>
            <w:vAlign w:val="center"/>
            <w:hideMark/>
          </w:tcPr>
          <w:p w:rsidR="00990A65" w:rsidRPr="00C534A9" w:rsidRDefault="00B04513"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13</w:t>
            </w:r>
            <w:r w:rsidR="00990A65" w:rsidRPr="00C534A9">
              <w:rPr>
                <w:rFonts w:ascii="Arial" w:eastAsia="Times New Roman" w:hAnsi="Arial" w:cs="Arial"/>
                <w:color w:val="000000"/>
                <w:sz w:val="22"/>
                <w:szCs w:val="24"/>
              </w:rPr>
              <w:t>%</w:t>
            </w:r>
          </w:p>
        </w:tc>
      </w:tr>
    </w:tbl>
    <w:p w:rsidR="00BE1449" w:rsidRPr="00C534A9" w:rsidRDefault="00BE1449" w:rsidP="00C534A9">
      <w:pPr>
        <w:pStyle w:val="Source"/>
        <w:jc w:val="both"/>
        <w:rPr>
          <w:rFonts w:ascii="Arial" w:hAnsi="Arial" w:cs="Arial"/>
          <w:sz w:val="18"/>
        </w:rPr>
      </w:pPr>
    </w:p>
    <w:p w:rsidR="00BE1449" w:rsidRPr="00C534A9" w:rsidRDefault="00BE1449" w:rsidP="00C534A9">
      <w:pPr>
        <w:jc w:val="both"/>
        <w:rPr>
          <w:rFonts w:ascii="Arial" w:hAnsi="Arial" w:cs="Arial"/>
          <w:sz w:val="22"/>
        </w:rPr>
      </w:pPr>
      <w:r w:rsidRPr="00C534A9">
        <w:rPr>
          <w:rFonts w:ascii="Arial" w:hAnsi="Arial" w:cs="Arial"/>
          <w:sz w:val="22"/>
        </w:rPr>
        <w:t xml:space="preserve">A detailed schedule of the annual </w:t>
      </w:r>
      <w:r w:rsidR="003F491C" w:rsidRPr="00C534A9">
        <w:rPr>
          <w:rFonts w:ascii="Arial" w:hAnsi="Arial" w:cs="Arial"/>
          <w:sz w:val="22"/>
        </w:rPr>
        <w:t>cash flow calculations for the micro-LNG expansion sub-project</w:t>
      </w:r>
      <w:r w:rsidRPr="00C534A9">
        <w:rPr>
          <w:rFonts w:ascii="Arial" w:hAnsi="Arial" w:cs="Arial"/>
          <w:sz w:val="22"/>
        </w:rPr>
        <w:t xml:space="preserve"> is included in Appendix </w:t>
      </w:r>
      <w:r w:rsidR="006606F6" w:rsidRPr="00C534A9">
        <w:rPr>
          <w:rFonts w:ascii="Arial" w:hAnsi="Arial" w:cs="Arial"/>
          <w:sz w:val="22"/>
        </w:rPr>
        <w:t>B</w:t>
      </w:r>
      <w:r w:rsidRPr="00C534A9">
        <w:rPr>
          <w:rFonts w:ascii="Arial" w:hAnsi="Arial" w:cs="Arial"/>
          <w:sz w:val="22"/>
        </w:rPr>
        <w:t>.</w:t>
      </w:r>
    </w:p>
    <w:p w:rsidR="00C26910" w:rsidRPr="00C534A9" w:rsidRDefault="00047DC3" w:rsidP="00C534A9">
      <w:pPr>
        <w:jc w:val="both"/>
        <w:rPr>
          <w:rFonts w:ascii="Arial" w:hAnsi="Arial" w:cs="Arial"/>
          <w:sz w:val="22"/>
        </w:rPr>
      </w:pPr>
      <w:r w:rsidRPr="00C534A9">
        <w:rPr>
          <w:rFonts w:ascii="Arial" w:hAnsi="Arial" w:cs="Arial"/>
          <w:sz w:val="22"/>
        </w:rPr>
        <w:br w:type="page"/>
      </w:r>
    </w:p>
    <w:p w:rsidR="00C26910" w:rsidRPr="00C534A9" w:rsidRDefault="00C26910" w:rsidP="00C534A9">
      <w:pPr>
        <w:pStyle w:val="Heading1"/>
        <w:jc w:val="both"/>
        <w:rPr>
          <w:rFonts w:ascii="Arial" w:hAnsi="Arial" w:cs="Arial"/>
          <w:sz w:val="24"/>
        </w:rPr>
      </w:pPr>
      <w:bookmarkStart w:id="164" w:name="_Toc464551537"/>
      <w:r w:rsidRPr="00C534A9">
        <w:rPr>
          <w:rFonts w:ascii="Arial" w:hAnsi="Arial" w:cs="Arial"/>
          <w:sz w:val="24"/>
        </w:rPr>
        <w:t xml:space="preserve">Financial Analysis of the </w:t>
      </w:r>
      <w:r w:rsidR="00A74A3E" w:rsidRPr="00C534A9">
        <w:rPr>
          <w:rFonts w:ascii="Arial" w:hAnsi="Arial" w:cs="Arial"/>
          <w:sz w:val="24"/>
        </w:rPr>
        <w:t>Compressor Replacement</w:t>
      </w:r>
      <w:r w:rsidRPr="00C534A9">
        <w:rPr>
          <w:rFonts w:ascii="Arial" w:hAnsi="Arial" w:cs="Arial"/>
          <w:sz w:val="24"/>
        </w:rPr>
        <w:t xml:space="preserve"> Sub-Project</w:t>
      </w:r>
      <w:bookmarkEnd w:id="164"/>
    </w:p>
    <w:p w:rsidR="00C26910" w:rsidRPr="00C534A9" w:rsidRDefault="00C26910" w:rsidP="00C534A9">
      <w:pPr>
        <w:jc w:val="both"/>
        <w:rPr>
          <w:rFonts w:ascii="Arial" w:hAnsi="Arial" w:cs="Arial"/>
          <w:sz w:val="22"/>
        </w:rPr>
      </w:pPr>
      <w:r w:rsidRPr="00C534A9">
        <w:rPr>
          <w:rFonts w:ascii="Arial" w:hAnsi="Arial" w:cs="Arial"/>
          <w:sz w:val="22"/>
        </w:rPr>
        <w:t xml:space="preserve">The purpose of this section is to determine whether the </w:t>
      </w:r>
      <w:r w:rsidR="00A74A3E" w:rsidRPr="00C534A9">
        <w:rPr>
          <w:rFonts w:ascii="Arial" w:hAnsi="Arial" w:cs="Arial"/>
          <w:sz w:val="22"/>
        </w:rPr>
        <w:t>compressor replacement</w:t>
      </w:r>
      <w:r w:rsidRPr="00C534A9">
        <w:rPr>
          <w:rFonts w:ascii="Arial" w:hAnsi="Arial" w:cs="Arial"/>
          <w:sz w:val="22"/>
        </w:rPr>
        <w:t xml:space="preserve"> </w:t>
      </w:r>
      <w:r w:rsidR="00A74A3E" w:rsidRPr="00C534A9">
        <w:rPr>
          <w:rFonts w:ascii="Arial" w:hAnsi="Arial" w:cs="Arial"/>
          <w:sz w:val="22"/>
        </w:rPr>
        <w:t xml:space="preserve">sub-project </w:t>
      </w:r>
      <w:r w:rsidRPr="00C534A9">
        <w:rPr>
          <w:rFonts w:ascii="Arial" w:hAnsi="Arial" w:cs="Arial"/>
          <w:sz w:val="22"/>
        </w:rPr>
        <w:t>that will be funded under the proposed loan operation (the Project) is financially viable for NPC. The financial analysis described below finds that the sub-project has a net present value (NPV) to NPC of approximately US$</w:t>
      </w:r>
      <w:r w:rsidR="00B04513" w:rsidRPr="00C534A9">
        <w:rPr>
          <w:rFonts w:ascii="Arial" w:hAnsi="Arial" w:cs="Arial"/>
          <w:sz w:val="22"/>
        </w:rPr>
        <w:t>513</w:t>
      </w:r>
      <w:r w:rsidR="006F3089" w:rsidRPr="00C534A9">
        <w:rPr>
          <w:rFonts w:ascii="Arial" w:hAnsi="Arial" w:cs="Arial"/>
          <w:sz w:val="22"/>
        </w:rPr>
        <w:t>,000</w:t>
      </w:r>
      <w:r w:rsidRPr="00C534A9">
        <w:rPr>
          <w:rFonts w:ascii="Arial" w:hAnsi="Arial" w:cs="Arial"/>
          <w:sz w:val="22"/>
        </w:rPr>
        <w:t xml:space="preserve"> and internal rate of return of </w:t>
      </w:r>
      <w:r w:rsidR="00B04513" w:rsidRPr="00C534A9">
        <w:rPr>
          <w:rFonts w:ascii="Arial" w:hAnsi="Arial" w:cs="Arial"/>
          <w:sz w:val="22"/>
        </w:rPr>
        <w:t>20</w:t>
      </w:r>
      <w:r w:rsidRPr="00C534A9">
        <w:rPr>
          <w:rFonts w:ascii="Arial" w:hAnsi="Arial" w:cs="Arial"/>
          <w:sz w:val="22"/>
        </w:rPr>
        <w:t xml:space="preserve">% percent. That is, the sub-project would be profitable for NPC. Finally, the financial analysis showed that the debt coverage ratio (defined as the annual cash flow generated by the sub-projects divided by the annual payments required for the loan interest and principle repayments) is never lower than </w:t>
      </w:r>
      <w:r w:rsidR="00B04513" w:rsidRPr="00C534A9">
        <w:rPr>
          <w:rFonts w:ascii="Arial" w:hAnsi="Arial" w:cs="Arial"/>
          <w:sz w:val="22"/>
        </w:rPr>
        <w:t>3.05</w:t>
      </w:r>
      <w:r w:rsidRPr="00C534A9">
        <w:rPr>
          <w:rFonts w:ascii="Arial" w:hAnsi="Arial" w:cs="Arial"/>
          <w:sz w:val="22"/>
        </w:rPr>
        <w:t>. This means the project will generate sufficient cash flow to cover operating expenses and debt repayment obligations in any given year.</w:t>
      </w:r>
    </w:p>
    <w:p w:rsidR="00C26910" w:rsidRPr="00C534A9" w:rsidRDefault="00C26910" w:rsidP="00C534A9">
      <w:pPr>
        <w:jc w:val="both"/>
        <w:rPr>
          <w:rFonts w:ascii="Arial" w:hAnsi="Arial" w:cs="Arial"/>
          <w:sz w:val="22"/>
        </w:rPr>
      </w:pPr>
      <w:r w:rsidRPr="00C534A9">
        <w:rPr>
          <w:rFonts w:ascii="Arial" w:hAnsi="Arial" w:cs="Arial"/>
          <w:sz w:val="22"/>
        </w:rPr>
        <w:t xml:space="preserve">The analysis to calculate the net present value of the sub-projects is presented as follows: </w:t>
      </w:r>
    </w:p>
    <w:p w:rsidR="00C26910" w:rsidRPr="00C534A9" w:rsidRDefault="00C26910" w:rsidP="00C534A9">
      <w:pPr>
        <w:pStyle w:val="ListParagraph"/>
        <w:numPr>
          <w:ilvl w:val="0"/>
          <w:numId w:val="16"/>
        </w:numPr>
        <w:jc w:val="both"/>
        <w:rPr>
          <w:rFonts w:ascii="Arial" w:hAnsi="Arial" w:cs="Arial"/>
          <w:sz w:val="22"/>
        </w:rPr>
      </w:pPr>
      <w:r w:rsidRPr="00C534A9">
        <w:rPr>
          <w:rFonts w:ascii="Arial" w:hAnsi="Arial" w:cs="Arial"/>
          <w:sz w:val="22"/>
        </w:rPr>
        <w:t xml:space="preserve">Financial Analysis (Section </w:t>
      </w:r>
      <w:r w:rsidRPr="00C534A9">
        <w:rPr>
          <w:rFonts w:ascii="Arial" w:hAnsi="Arial" w:cs="Arial"/>
          <w:sz w:val="22"/>
        </w:rPr>
        <w:fldChar w:fldCharType="begin"/>
      </w:r>
      <w:r w:rsidRPr="00C534A9">
        <w:rPr>
          <w:rFonts w:ascii="Arial" w:hAnsi="Arial" w:cs="Arial"/>
          <w:sz w:val="22"/>
        </w:rPr>
        <w:instrText xml:space="preserve"> REF _Ref423357305 \r \h  \* MERGEFORMAT </w:instrText>
      </w:r>
      <w:r w:rsidRPr="00C534A9">
        <w:rPr>
          <w:rFonts w:ascii="Arial" w:hAnsi="Arial" w:cs="Arial"/>
          <w:sz w:val="22"/>
        </w:rPr>
      </w:r>
      <w:r w:rsidRPr="00C534A9">
        <w:rPr>
          <w:rFonts w:ascii="Arial" w:hAnsi="Arial" w:cs="Arial"/>
          <w:sz w:val="22"/>
        </w:rPr>
        <w:fldChar w:fldCharType="separate"/>
      </w:r>
      <w:r w:rsidR="00B76EFA" w:rsidRPr="00C534A9">
        <w:rPr>
          <w:rFonts w:ascii="Arial" w:hAnsi="Arial" w:cs="Arial"/>
          <w:sz w:val="22"/>
        </w:rPr>
        <w:t>10</w:t>
      </w:r>
      <w:r w:rsidRPr="00C534A9">
        <w:rPr>
          <w:rFonts w:ascii="Arial" w:hAnsi="Arial" w:cs="Arial"/>
          <w:sz w:val="22"/>
        </w:rPr>
        <w:t>.1</w:t>
      </w:r>
      <w:r w:rsidRPr="00C534A9">
        <w:rPr>
          <w:rFonts w:ascii="Arial" w:hAnsi="Arial" w:cs="Arial"/>
          <w:sz w:val="22"/>
        </w:rPr>
        <w:fldChar w:fldCharType="end"/>
      </w:r>
      <w:r w:rsidRPr="00C534A9">
        <w:rPr>
          <w:rFonts w:ascii="Arial" w:hAnsi="Arial" w:cs="Arial"/>
          <w:sz w:val="22"/>
        </w:rPr>
        <w:t>)</w:t>
      </w:r>
    </w:p>
    <w:p w:rsidR="00C26910" w:rsidRPr="00C534A9" w:rsidRDefault="00C26910" w:rsidP="00C534A9">
      <w:pPr>
        <w:pStyle w:val="ListParagraph"/>
        <w:numPr>
          <w:ilvl w:val="0"/>
          <w:numId w:val="16"/>
        </w:numPr>
        <w:jc w:val="both"/>
        <w:rPr>
          <w:rFonts w:ascii="Arial" w:hAnsi="Arial" w:cs="Arial"/>
          <w:sz w:val="22"/>
        </w:rPr>
      </w:pPr>
      <w:r w:rsidRPr="00C534A9">
        <w:rPr>
          <w:rFonts w:ascii="Arial" w:hAnsi="Arial" w:cs="Arial"/>
          <w:sz w:val="22"/>
        </w:rPr>
        <w:t xml:space="preserve">Profitability (Section </w:t>
      </w:r>
      <w:r w:rsidR="00B76EFA" w:rsidRPr="00C534A9">
        <w:rPr>
          <w:rFonts w:ascii="Arial" w:hAnsi="Arial" w:cs="Arial"/>
          <w:sz w:val="22"/>
        </w:rPr>
        <w:t>10</w:t>
      </w:r>
      <w:r w:rsidRPr="00C534A9">
        <w:rPr>
          <w:rFonts w:ascii="Arial" w:hAnsi="Arial" w:cs="Arial"/>
          <w:sz w:val="22"/>
        </w:rPr>
        <w:t>.2)</w:t>
      </w:r>
    </w:p>
    <w:p w:rsidR="00C26910" w:rsidRPr="00C534A9" w:rsidRDefault="00C26910" w:rsidP="00C534A9">
      <w:pPr>
        <w:pStyle w:val="Heading2"/>
        <w:jc w:val="both"/>
        <w:rPr>
          <w:rFonts w:ascii="Arial" w:hAnsi="Arial" w:cs="Arial"/>
          <w:sz w:val="24"/>
        </w:rPr>
      </w:pPr>
      <w:bookmarkStart w:id="165" w:name="_Toc464551538"/>
      <w:r w:rsidRPr="00C534A9">
        <w:rPr>
          <w:rFonts w:ascii="Arial" w:hAnsi="Arial" w:cs="Arial"/>
          <w:sz w:val="24"/>
        </w:rPr>
        <w:t>Financial Analysis</w:t>
      </w:r>
      <w:bookmarkEnd w:id="165"/>
    </w:p>
    <w:p w:rsidR="00C26910" w:rsidRPr="00C534A9" w:rsidRDefault="00C26910" w:rsidP="00C534A9">
      <w:pPr>
        <w:jc w:val="both"/>
        <w:rPr>
          <w:rFonts w:ascii="Arial" w:hAnsi="Arial" w:cs="Arial"/>
          <w:sz w:val="22"/>
        </w:rPr>
      </w:pPr>
      <w:r w:rsidRPr="00C534A9">
        <w:rPr>
          <w:rFonts w:ascii="Arial" w:hAnsi="Arial" w:cs="Arial"/>
          <w:sz w:val="22"/>
        </w:rPr>
        <w:t xml:space="preserve">The objective of the financial analysis is to determine whether or not the </w:t>
      </w:r>
      <w:r w:rsidR="00A74A3E" w:rsidRPr="00C534A9">
        <w:rPr>
          <w:rFonts w:ascii="Arial" w:hAnsi="Arial" w:cs="Arial"/>
          <w:sz w:val="22"/>
        </w:rPr>
        <w:t xml:space="preserve">compressor replacement </w:t>
      </w:r>
      <w:r w:rsidRPr="00C534A9">
        <w:rPr>
          <w:rFonts w:ascii="Arial" w:hAnsi="Arial" w:cs="Arial"/>
          <w:sz w:val="22"/>
        </w:rPr>
        <w:t xml:space="preserve">is profitable. This is accomplished by estimating the net financial flows that the sub-project will generate. </w:t>
      </w:r>
    </w:p>
    <w:p w:rsidR="00C26910" w:rsidRPr="00C534A9" w:rsidRDefault="00957ACC" w:rsidP="00C534A9">
      <w:pPr>
        <w:jc w:val="both"/>
        <w:rPr>
          <w:rFonts w:ascii="Arial" w:hAnsi="Arial" w:cs="Arial"/>
          <w:sz w:val="22"/>
        </w:rPr>
      </w:pPr>
      <w:r w:rsidRPr="00C534A9">
        <w:rPr>
          <w:rFonts w:ascii="Arial" w:hAnsi="Arial" w:cs="Arial"/>
          <w:sz w:val="22"/>
        </w:rPr>
        <w:t>T</w:t>
      </w:r>
      <w:r w:rsidR="00C26910" w:rsidRPr="00C534A9">
        <w:rPr>
          <w:rFonts w:ascii="Arial" w:hAnsi="Arial" w:cs="Arial"/>
          <w:sz w:val="22"/>
        </w:rPr>
        <w:t xml:space="preserve">he sub-project’s net financial flows </w:t>
      </w:r>
      <w:r w:rsidRPr="00C534A9">
        <w:rPr>
          <w:rFonts w:ascii="Arial" w:hAnsi="Arial" w:cs="Arial"/>
          <w:sz w:val="22"/>
        </w:rPr>
        <w:t xml:space="preserve">were determined </w:t>
      </w:r>
      <w:r w:rsidR="00C26910" w:rsidRPr="00C534A9">
        <w:rPr>
          <w:rFonts w:ascii="Arial" w:hAnsi="Arial" w:cs="Arial"/>
          <w:sz w:val="22"/>
        </w:rPr>
        <w:t>by calculating the projects income and expenses, applying factors such as the loan interest rate, loan period, depreciation rate, and the Barbados corporate tax rate as described in Section 8.1. This analysis results in the expected cash flows attributable to the project for each year of the loan’s 25 year period. These cash flows are then converted to the sub-project NPV and IRR usi</w:t>
      </w:r>
      <w:r w:rsidR="00A74A3E" w:rsidRPr="00C534A9">
        <w:rPr>
          <w:rFonts w:ascii="Arial" w:hAnsi="Arial" w:cs="Arial"/>
          <w:sz w:val="22"/>
        </w:rPr>
        <w:t>ng a 12 percent real</w:t>
      </w:r>
      <w:r w:rsidR="00C26910" w:rsidRPr="00C534A9">
        <w:rPr>
          <w:rFonts w:ascii="Arial" w:hAnsi="Arial" w:cs="Arial"/>
          <w:sz w:val="22"/>
        </w:rPr>
        <w:t xml:space="preserve"> discount rate.</w:t>
      </w:r>
    </w:p>
    <w:p w:rsidR="00C26910" w:rsidRPr="00C534A9" w:rsidRDefault="00C26910" w:rsidP="00C534A9">
      <w:pPr>
        <w:jc w:val="both"/>
        <w:rPr>
          <w:rFonts w:ascii="Arial" w:hAnsi="Arial" w:cs="Arial"/>
          <w:sz w:val="22"/>
        </w:rPr>
      </w:pPr>
      <w:r w:rsidRPr="00C534A9">
        <w:rPr>
          <w:rFonts w:ascii="Arial" w:hAnsi="Arial" w:cs="Arial"/>
          <w:sz w:val="22"/>
        </w:rPr>
        <w:t>The steps to calculate the sub-project profitability are:</w:t>
      </w:r>
    </w:p>
    <w:p w:rsidR="00C26910" w:rsidRPr="00C534A9" w:rsidRDefault="00C26910" w:rsidP="00C534A9">
      <w:pPr>
        <w:pStyle w:val="ListParagraph"/>
        <w:numPr>
          <w:ilvl w:val="0"/>
          <w:numId w:val="36"/>
        </w:numPr>
        <w:jc w:val="both"/>
        <w:rPr>
          <w:rFonts w:ascii="Arial" w:hAnsi="Arial" w:cs="Arial"/>
          <w:sz w:val="22"/>
        </w:rPr>
      </w:pPr>
      <w:r w:rsidRPr="00C534A9">
        <w:rPr>
          <w:rFonts w:ascii="Arial" w:hAnsi="Arial" w:cs="Arial"/>
          <w:sz w:val="22"/>
        </w:rPr>
        <w:t xml:space="preserve">Estimate the annual income associated with </w:t>
      </w:r>
      <w:r w:rsidR="00A74A3E" w:rsidRPr="00C534A9">
        <w:rPr>
          <w:rFonts w:ascii="Arial" w:hAnsi="Arial" w:cs="Arial"/>
          <w:sz w:val="22"/>
        </w:rPr>
        <w:t>the compressor replacement</w:t>
      </w:r>
      <w:r w:rsidRPr="00C534A9">
        <w:rPr>
          <w:rFonts w:ascii="Arial" w:hAnsi="Arial" w:cs="Arial"/>
          <w:sz w:val="22"/>
        </w:rPr>
        <w:t xml:space="preserve"> (Section </w:t>
      </w:r>
      <w:r w:rsidR="00B76EFA" w:rsidRPr="00C534A9">
        <w:rPr>
          <w:rFonts w:ascii="Arial" w:hAnsi="Arial" w:cs="Arial"/>
          <w:sz w:val="22"/>
        </w:rPr>
        <w:t>10</w:t>
      </w:r>
      <w:r w:rsidRPr="00C534A9">
        <w:rPr>
          <w:rFonts w:ascii="Arial" w:hAnsi="Arial" w:cs="Arial"/>
          <w:sz w:val="22"/>
        </w:rPr>
        <w:t>.1.1)</w:t>
      </w:r>
    </w:p>
    <w:p w:rsidR="00C26910" w:rsidRPr="00C534A9" w:rsidRDefault="00C26910" w:rsidP="00C534A9">
      <w:pPr>
        <w:pStyle w:val="ListParagraph"/>
        <w:numPr>
          <w:ilvl w:val="0"/>
          <w:numId w:val="36"/>
        </w:numPr>
        <w:jc w:val="both"/>
        <w:rPr>
          <w:rFonts w:ascii="Arial" w:hAnsi="Arial" w:cs="Arial"/>
          <w:sz w:val="22"/>
        </w:rPr>
      </w:pPr>
      <w:r w:rsidRPr="00C534A9">
        <w:rPr>
          <w:rFonts w:ascii="Arial" w:hAnsi="Arial" w:cs="Arial"/>
          <w:sz w:val="22"/>
        </w:rPr>
        <w:t xml:space="preserve">Estimate the annual expenses associated with </w:t>
      </w:r>
      <w:r w:rsidR="00A74A3E" w:rsidRPr="00C534A9">
        <w:rPr>
          <w:rFonts w:ascii="Arial" w:hAnsi="Arial" w:cs="Arial"/>
          <w:sz w:val="22"/>
        </w:rPr>
        <w:t>the compressor replacement</w:t>
      </w:r>
      <w:r w:rsidRPr="00C534A9">
        <w:rPr>
          <w:rFonts w:ascii="Arial" w:hAnsi="Arial" w:cs="Arial"/>
          <w:sz w:val="22"/>
        </w:rPr>
        <w:t xml:space="preserve"> (Section</w:t>
      </w:r>
      <w:r w:rsidR="00B76EFA" w:rsidRPr="00C534A9">
        <w:rPr>
          <w:rFonts w:ascii="Arial" w:hAnsi="Arial" w:cs="Arial"/>
          <w:sz w:val="22"/>
        </w:rPr>
        <w:t xml:space="preserve"> 10</w:t>
      </w:r>
      <w:r w:rsidRPr="00C534A9">
        <w:rPr>
          <w:rFonts w:ascii="Arial" w:hAnsi="Arial" w:cs="Arial"/>
          <w:sz w:val="22"/>
        </w:rPr>
        <w:t>.1.2)</w:t>
      </w:r>
    </w:p>
    <w:p w:rsidR="00C26910" w:rsidRPr="00C534A9" w:rsidRDefault="00C26910" w:rsidP="00C534A9">
      <w:pPr>
        <w:pStyle w:val="ListParagraph"/>
        <w:numPr>
          <w:ilvl w:val="0"/>
          <w:numId w:val="36"/>
        </w:numPr>
        <w:jc w:val="both"/>
        <w:rPr>
          <w:rFonts w:ascii="Arial" w:hAnsi="Arial" w:cs="Arial"/>
          <w:sz w:val="22"/>
        </w:rPr>
      </w:pPr>
      <w:r w:rsidRPr="00C534A9">
        <w:rPr>
          <w:rFonts w:ascii="Arial" w:hAnsi="Arial" w:cs="Arial"/>
          <w:sz w:val="22"/>
        </w:rPr>
        <w:t xml:space="preserve">Calculate the annual cash flows resulting from the associated income and </w:t>
      </w:r>
      <w:r w:rsidR="00A752FD" w:rsidRPr="00C534A9">
        <w:rPr>
          <w:rFonts w:ascii="Arial" w:hAnsi="Arial" w:cs="Arial"/>
          <w:sz w:val="22"/>
        </w:rPr>
        <w:t>expense</w:t>
      </w:r>
      <w:r w:rsidRPr="00C534A9">
        <w:rPr>
          <w:rFonts w:ascii="Arial" w:hAnsi="Arial" w:cs="Arial"/>
          <w:sz w:val="22"/>
        </w:rPr>
        <w:t xml:space="preserve">s, based on the financial and tax variables noted in section </w:t>
      </w:r>
      <w:r w:rsidR="00464FDE" w:rsidRPr="00C534A9">
        <w:rPr>
          <w:rFonts w:ascii="Arial" w:hAnsi="Arial" w:cs="Arial"/>
          <w:sz w:val="22"/>
        </w:rPr>
        <w:t>8.1</w:t>
      </w:r>
      <w:r w:rsidRPr="00C534A9">
        <w:rPr>
          <w:rFonts w:ascii="Arial" w:hAnsi="Arial" w:cs="Arial"/>
          <w:sz w:val="22"/>
        </w:rPr>
        <w:t xml:space="preserve"> above (Section </w:t>
      </w:r>
      <w:r w:rsidRPr="00C534A9">
        <w:rPr>
          <w:rFonts w:ascii="Arial" w:hAnsi="Arial" w:cs="Arial"/>
          <w:sz w:val="22"/>
        </w:rPr>
        <w:fldChar w:fldCharType="begin"/>
      </w:r>
      <w:r w:rsidRPr="00C534A9">
        <w:rPr>
          <w:rFonts w:ascii="Arial" w:hAnsi="Arial" w:cs="Arial"/>
          <w:sz w:val="22"/>
        </w:rPr>
        <w:instrText xml:space="preserve"> REF _Ref423355941 \r \h  \* MERGEFORMAT </w:instrText>
      </w:r>
      <w:r w:rsidRPr="00C534A9">
        <w:rPr>
          <w:rFonts w:ascii="Arial" w:hAnsi="Arial" w:cs="Arial"/>
          <w:sz w:val="22"/>
        </w:rPr>
      </w:r>
      <w:r w:rsidRPr="00C534A9">
        <w:rPr>
          <w:rFonts w:ascii="Arial" w:hAnsi="Arial" w:cs="Arial"/>
          <w:sz w:val="22"/>
        </w:rPr>
        <w:fldChar w:fldCharType="separate"/>
      </w:r>
      <w:r w:rsidR="00B76EFA" w:rsidRPr="00C534A9">
        <w:rPr>
          <w:rFonts w:ascii="Arial" w:hAnsi="Arial" w:cs="Arial"/>
          <w:sz w:val="22"/>
        </w:rPr>
        <w:t>10</w:t>
      </w:r>
      <w:r w:rsidRPr="00C534A9">
        <w:rPr>
          <w:rFonts w:ascii="Arial" w:hAnsi="Arial" w:cs="Arial"/>
          <w:sz w:val="22"/>
        </w:rPr>
        <w:t>.1.3</w:t>
      </w:r>
      <w:r w:rsidRPr="00C534A9">
        <w:rPr>
          <w:rFonts w:ascii="Arial" w:hAnsi="Arial" w:cs="Arial"/>
          <w:sz w:val="22"/>
        </w:rPr>
        <w:fldChar w:fldCharType="end"/>
      </w:r>
      <w:r w:rsidRPr="00C534A9">
        <w:rPr>
          <w:rFonts w:ascii="Arial" w:hAnsi="Arial" w:cs="Arial"/>
          <w:sz w:val="22"/>
        </w:rPr>
        <w:t>).</w:t>
      </w:r>
    </w:p>
    <w:p w:rsidR="00C26910" w:rsidRPr="00C534A9" w:rsidRDefault="00C26910" w:rsidP="00C534A9">
      <w:pPr>
        <w:jc w:val="both"/>
        <w:rPr>
          <w:rFonts w:ascii="Arial" w:hAnsi="Arial" w:cs="Arial"/>
          <w:sz w:val="22"/>
        </w:rPr>
      </w:pPr>
      <w:r w:rsidRPr="00C534A9">
        <w:rPr>
          <w:rFonts w:ascii="Arial" w:hAnsi="Arial" w:cs="Arial"/>
          <w:sz w:val="22"/>
        </w:rPr>
        <w:t>Each of these steps and the assumptions used in their calculation are described in more detail below.</w:t>
      </w:r>
    </w:p>
    <w:p w:rsidR="00C26910" w:rsidRPr="00C534A9" w:rsidRDefault="00C26910" w:rsidP="00C534A9">
      <w:pPr>
        <w:pStyle w:val="Heading3"/>
        <w:jc w:val="both"/>
        <w:rPr>
          <w:rFonts w:ascii="Arial" w:hAnsi="Arial" w:cs="Arial"/>
          <w:sz w:val="22"/>
        </w:rPr>
      </w:pPr>
      <w:bookmarkStart w:id="166" w:name="_Toc464551539"/>
      <w:r w:rsidRPr="00C534A9">
        <w:rPr>
          <w:rFonts w:ascii="Arial" w:hAnsi="Arial" w:cs="Arial"/>
          <w:sz w:val="22"/>
        </w:rPr>
        <w:t xml:space="preserve">Income of the </w:t>
      </w:r>
      <w:r w:rsidR="00AA31CB" w:rsidRPr="00C534A9">
        <w:rPr>
          <w:rFonts w:ascii="Arial" w:hAnsi="Arial" w:cs="Arial"/>
          <w:sz w:val="22"/>
        </w:rPr>
        <w:t>compressor replacement</w:t>
      </w:r>
      <w:r w:rsidRPr="00C534A9">
        <w:rPr>
          <w:rFonts w:ascii="Arial" w:hAnsi="Arial" w:cs="Arial"/>
          <w:sz w:val="22"/>
        </w:rPr>
        <w:t xml:space="preserve"> sub-project</w:t>
      </w:r>
      <w:bookmarkEnd w:id="166"/>
    </w:p>
    <w:p w:rsidR="00C26910" w:rsidRPr="00C534A9" w:rsidRDefault="00C26910" w:rsidP="00C534A9">
      <w:pPr>
        <w:jc w:val="both"/>
        <w:rPr>
          <w:rFonts w:ascii="Arial" w:hAnsi="Arial" w:cs="Arial"/>
          <w:sz w:val="22"/>
        </w:rPr>
      </w:pPr>
      <w:r w:rsidRPr="00C534A9">
        <w:rPr>
          <w:rFonts w:ascii="Arial" w:hAnsi="Arial" w:cs="Arial"/>
          <w:sz w:val="22"/>
        </w:rPr>
        <w:t>The sources of income associated with the sub-project include:</w:t>
      </w:r>
    </w:p>
    <w:p w:rsidR="00C26910" w:rsidRPr="00C534A9" w:rsidRDefault="00C26910" w:rsidP="00C534A9">
      <w:pPr>
        <w:pStyle w:val="ListParagraph"/>
        <w:numPr>
          <w:ilvl w:val="0"/>
          <w:numId w:val="34"/>
        </w:numPr>
        <w:spacing w:after="120"/>
        <w:jc w:val="both"/>
        <w:rPr>
          <w:rFonts w:ascii="Arial" w:hAnsi="Arial" w:cs="Arial"/>
          <w:sz w:val="22"/>
        </w:rPr>
      </w:pPr>
      <w:r w:rsidRPr="00C534A9">
        <w:rPr>
          <w:rFonts w:ascii="Arial" w:hAnsi="Arial" w:cs="Arial"/>
          <w:b/>
          <w:sz w:val="22"/>
        </w:rPr>
        <w:t>Natural gas sales</w:t>
      </w:r>
      <w:r w:rsidRPr="00C534A9">
        <w:rPr>
          <w:rFonts w:ascii="Arial" w:hAnsi="Arial" w:cs="Arial"/>
          <w:sz w:val="22"/>
        </w:rPr>
        <w:t xml:space="preserve">—NPC will sell the natural gas that it </w:t>
      </w:r>
      <w:r w:rsidR="00AA31CB" w:rsidRPr="00C534A9">
        <w:rPr>
          <w:rFonts w:ascii="Arial" w:hAnsi="Arial" w:cs="Arial"/>
          <w:sz w:val="22"/>
        </w:rPr>
        <w:t>saves from converting the compressors to electricity</w:t>
      </w:r>
      <w:r w:rsidRPr="00C534A9">
        <w:rPr>
          <w:rFonts w:ascii="Arial" w:hAnsi="Arial" w:cs="Arial"/>
          <w:sz w:val="22"/>
        </w:rPr>
        <w:t xml:space="preserve">. </w:t>
      </w:r>
      <w:r w:rsidR="00AA31CB" w:rsidRPr="00C534A9">
        <w:rPr>
          <w:rFonts w:ascii="Arial" w:hAnsi="Arial" w:cs="Arial"/>
          <w:sz w:val="22"/>
        </w:rPr>
        <w:t>NPC estimates that converting the compressors will save roughly 90 million cubic feet of natural gas per year (</w:t>
      </w:r>
      <w:proofErr w:type="spellStart"/>
      <w:r w:rsidR="00AA31CB" w:rsidRPr="00C534A9">
        <w:rPr>
          <w:rFonts w:ascii="Arial" w:hAnsi="Arial" w:cs="Arial"/>
          <w:sz w:val="22"/>
        </w:rPr>
        <w:t>MMcf</w:t>
      </w:r>
      <w:proofErr w:type="spellEnd"/>
      <w:r w:rsidR="00AA31CB" w:rsidRPr="00C534A9">
        <w:rPr>
          <w:rFonts w:ascii="Arial" w:hAnsi="Arial" w:cs="Arial"/>
          <w:sz w:val="22"/>
        </w:rPr>
        <w:t xml:space="preserve"> per year). </w:t>
      </w:r>
      <w:r w:rsidRPr="00C534A9">
        <w:rPr>
          <w:rFonts w:ascii="Arial" w:hAnsi="Arial" w:cs="Arial"/>
          <w:sz w:val="22"/>
        </w:rPr>
        <w:t xml:space="preserve">The total income from natural gas sales is the product of the number of natural gas units </w:t>
      </w:r>
      <w:r w:rsidR="00AA31CB" w:rsidRPr="00C534A9">
        <w:rPr>
          <w:rFonts w:ascii="Arial" w:hAnsi="Arial" w:cs="Arial"/>
          <w:sz w:val="22"/>
        </w:rPr>
        <w:t>that are saved from the conversion</w:t>
      </w:r>
      <w:r w:rsidRPr="00C534A9">
        <w:rPr>
          <w:rFonts w:ascii="Arial" w:hAnsi="Arial" w:cs="Arial"/>
          <w:sz w:val="22"/>
        </w:rPr>
        <w:t xml:space="preserve"> and the price per unit.</w:t>
      </w:r>
    </w:p>
    <w:p w:rsidR="00C26910" w:rsidRPr="00C534A9" w:rsidRDefault="00C26910" w:rsidP="00C534A9">
      <w:pPr>
        <w:pStyle w:val="Heading3"/>
        <w:jc w:val="both"/>
        <w:rPr>
          <w:rFonts w:ascii="Arial" w:hAnsi="Arial" w:cs="Arial"/>
          <w:sz w:val="22"/>
        </w:rPr>
      </w:pPr>
      <w:bookmarkStart w:id="167" w:name="_Toc464551540"/>
      <w:r w:rsidRPr="00C534A9">
        <w:rPr>
          <w:rFonts w:ascii="Arial" w:hAnsi="Arial" w:cs="Arial"/>
          <w:sz w:val="22"/>
        </w:rPr>
        <w:t xml:space="preserve">Expenses of the </w:t>
      </w:r>
      <w:r w:rsidR="00AA31CB" w:rsidRPr="00C534A9">
        <w:rPr>
          <w:rFonts w:ascii="Arial" w:hAnsi="Arial" w:cs="Arial"/>
          <w:sz w:val="22"/>
        </w:rPr>
        <w:t>compressor replacement</w:t>
      </w:r>
      <w:r w:rsidRPr="00C534A9">
        <w:rPr>
          <w:rFonts w:ascii="Arial" w:hAnsi="Arial" w:cs="Arial"/>
          <w:sz w:val="22"/>
        </w:rPr>
        <w:t xml:space="preserve"> sub-project</w:t>
      </w:r>
      <w:bookmarkEnd w:id="167"/>
    </w:p>
    <w:p w:rsidR="00C26910" w:rsidRPr="00C534A9" w:rsidRDefault="00C26910" w:rsidP="00C534A9">
      <w:pPr>
        <w:jc w:val="both"/>
        <w:rPr>
          <w:rFonts w:ascii="Arial" w:hAnsi="Arial" w:cs="Arial"/>
          <w:sz w:val="22"/>
        </w:rPr>
      </w:pPr>
      <w:r w:rsidRPr="00C534A9">
        <w:rPr>
          <w:rFonts w:ascii="Arial" w:hAnsi="Arial" w:cs="Arial"/>
          <w:sz w:val="22"/>
        </w:rPr>
        <w:t>The costs associated with the sub-project include:</w:t>
      </w:r>
    </w:p>
    <w:p w:rsidR="00C26910" w:rsidRPr="00C534A9" w:rsidRDefault="00C26910" w:rsidP="00C534A9">
      <w:pPr>
        <w:pStyle w:val="ListParagraph"/>
        <w:numPr>
          <w:ilvl w:val="0"/>
          <w:numId w:val="35"/>
        </w:numPr>
        <w:jc w:val="both"/>
        <w:rPr>
          <w:rFonts w:ascii="Arial" w:hAnsi="Arial" w:cs="Arial"/>
          <w:sz w:val="22"/>
        </w:rPr>
      </w:pPr>
      <w:r w:rsidRPr="00C534A9">
        <w:rPr>
          <w:rFonts w:ascii="Arial" w:hAnsi="Arial" w:cs="Arial"/>
          <w:b/>
          <w:sz w:val="22"/>
        </w:rPr>
        <w:t>Capital Expenditures (Capex)</w:t>
      </w:r>
      <w:r w:rsidRPr="00C534A9">
        <w:rPr>
          <w:rFonts w:ascii="Arial" w:hAnsi="Arial" w:cs="Arial"/>
          <w:sz w:val="22"/>
        </w:rPr>
        <w:t xml:space="preserve">—these are the capital investments needed to complete the sub-project. </w:t>
      </w:r>
      <w:r w:rsidR="00957ACC" w:rsidRPr="00C534A9">
        <w:rPr>
          <w:rFonts w:ascii="Arial" w:hAnsi="Arial" w:cs="Arial"/>
          <w:sz w:val="22"/>
        </w:rPr>
        <w:t>The capital investments</w:t>
      </w:r>
      <w:r w:rsidRPr="00C534A9">
        <w:rPr>
          <w:rFonts w:ascii="Arial" w:hAnsi="Arial" w:cs="Arial"/>
          <w:sz w:val="22"/>
        </w:rPr>
        <w:t xml:space="preserve"> include the costs for the </w:t>
      </w:r>
      <w:r w:rsidR="00AA31CB" w:rsidRPr="00C534A9">
        <w:rPr>
          <w:rFonts w:ascii="Arial" w:hAnsi="Arial" w:cs="Arial"/>
          <w:sz w:val="22"/>
        </w:rPr>
        <w:t>new compressors</w:t>
      </w:r>
      <w:r w:rsidRPr="00C534A9">
        <w:rPr>
          <w:rFonts w:ascii="Arial" w:hAnsi="Arial" w:cs="Arial"/>
          <w:sz w:val="22"/>
        </w:rPr>
        <w:t>, and related consulting costs for the engine</w:t>
      </w:r>
      <w:r w:rsidR="00AA31CB" w:rsidRPr="00C534A9">
        <w:rPr>
          <w:rFonts w:ascii="Arial" w:hAnsi="Arial" w:cs="Arial"/>
          <w:sz w:val="22"/>
        </w:rPr>
        <w:t>ering,</w:t>
      </w:r>
      <w:r w:rsidRPr="00C534A9">
        <w:rPr>
          <w:rFonts w:ascii="Arial" w:hAnsi="Arial" w:cs="Arial"/>
          <w:sz w:val="22"/>
        </w:rPr>
        <w:t xml:space="preserve"> procurement</w:t>
      </w:r>
      <w:r w:rsidR="00AA31CB" w:rsidRPr="00C534A9">
        <w:rPr>
          <w:rFonts w:ascii="Arial" w:hAnsi="Arial" w:cs="Arial"/>
          <w:sz w:val="22"/>
        </w:rPr>
        <w:t>, and installation</w:t>
      </w:r>
      <w:r w:rsidRPr="00C534A9">
        <w:rPr>
          <w:rFonts w:ascii="Arial" w:hAnsi="Arial" w:cs="Arial"/>
          <w:sz w:val="22"/>
        </w:rPr>
        <w:t>. NPC provided detailed estimates of the Capex required for the sub-projects as part of the loan procurement plan.</w:t>
      </w:r>
      <w:r w:rsidR="00AA31CB" w:rsidRPr="00C534A9">
        <w:rPr>
          <w:rFonts w:ascii="Arial" w:hAnsi="Arial" w:cs="Arial"/>
          <w:sz w:val="22"/>
        </w:rPr>
        <w:t xml:space="preserve"> The estimated Capex for the new compressors is US$913,000.</w:t>
      </w:r>
      <w:r w:rsidRPr="00C534A9">
        <w:rPr>
          <w:rFonts w:ascii="Arial" w:hAnsi="Arial" w:cs="Arial"/>
          <w:sz w:val="22"/>
        </w:rPr>
        <w:t xml:space="preserve">  </w:t>
      </w:r>
    </w:p>
    <w:p w:rsidR="00C26910" w:rsidRPr="00C534A9" w:rsidRDefault="00C26910" w:rsidP="00C534A9">
      <w:pPr>
        <w:pStyle w:val="ListParagraph"/>
        <w:numPr>
          <w:ilvl w:val="0"/>
          <w:numId w:val="35"/>
        </w:numPr>
        <w:jc w:val="both"/>
        <w:rPr>
          <w:rFonts w:ascii="Arial" w:hAnsi="Arial" w:cs="Arial"/>
          <w:sz w:val="22"/>
        </w:rPr>
      </w:pPr>
      <w:r w:rsidRPr="00C534A9">
        <w:rPr>
          <w:rFonts w:ascii="Arial" w:hAnsi="Arial" w:cs="Arial"/>
          <w:b/>
          <w:sz w:val="22"/>
        </w:rPr>
        <w:t>Operational Expenditures (</w:t>
      </w:r>
      <w:proofErr w:type="spellStart"/>
      <w:r w:rsidRPr="00C534A9">
        <w:rPr>
          <w:rFonts w:ascii="Arial" w:hAnsi="Arial" w:cs="Arial"/>
          <w:b/>
          <w:sz w:val="22"/>
        </w:rPr>
        <w:t>Opex</w:t>
      </w:r>
      <w:proofErr w:type="spellEnd"/>
      <w:r w:rsidRPr="00C534A9">
        <w:rPr>
          <w:rFonts w:ascii="Arial" w:hAnsi="Arial" w:cs="Arial"/>
          <w:b/>
          <w:sz w:val="22"/>
        </w:rPr>
        <w:t>)</w:t>
      </w:r>
      <w:r w:rsidRPr="00C534A9">
        <w:rPr>
          <w:rFonts w:ascii="Arial" w:hAnsi="Arial" w:cs="Arial"/>
          <w:sz w:val="22"/>
        </w:rPr>
        <w:t xml:space="preserve">—these are the annual expenses incurred to operate and maintain </w:t>
      </w:r>
      <w:r w:rsidR="008731D7" w:rsidRPr="00C534A9">
        <w:rPr>
          <w:rFonts w:ascii="Arial" w:hAnsi="Arial" w:cs="Arial"/>
          <w:sz w:val="22"/>
        </w:rPr>
        <w:t xml:space="preserve">(O&amp;M) </w:t>
      </w:r>
      <w:r w:rsidRPr="00C534A9">
        <w:rPr>
          <w:rFonts w:ascii="Arial" w:hAnsi="Arial" w:cs="Arial"/>
          <w:sz w:val="22"/>
        </w:rPr>
        <w:t xml:space="preserve">the </w:t>
      </w:r>
      <w:r w:rsidR="00A74A3E" w:rsidRPr="00C534A9">
        <w:rPr>
          <w:rFonts w:ascii="Arial" w:hAnsi="Arial" w:cs="Arial"/>
          <w:sz w:val="22"/>
        </w:rPr>
        <w:t>compressor</w:t>
      </w:r>
      <w:r w:rsidR="00AA31CB" w:rsidRPr="00C534A9">
        <w:rPr>
          <w:rFonts w:ascii="Arial" w:hAnsi="Arial" w:cs="Arial"/>
          <w:sz w:val="22"/>
        </w:rPr>
        <w:t>s and purchase the electricity required to operate them</w:t>
      </w:r>
      <w:r w:rsidRPr="00C534A9">
        <w:rPr>
          <w:rFonts w:ascii="Arial" w:hAnsi="Arial" w:cs="Arial"/>
          <w:sz w:val="22"/>
        </w:rPr>
        <w:t xml:space="preserve">. </w:t>
      </w:r>
      <w:r w:rsidR="00AA31CB" w:rsidRPr="00C534A9">
        <w:rPr>
          <w:rFonts w:ascii="Arial" w:hAnsi="Arial" w:cs="Arial"/>
          <w:sz w:val="22"/>
        </w:rPr>
        <w:t xml:space="preserve">The compressors’ </w:t>
      </w:r>
      <w:r w:rsidR="008731D7" w:rsidRPr="00C534A9">
        <w:rPr>
          <w:rFonts w:ascii="Arial" w:hAnsi="Arial" w:cs="Arial"/>
          <w:sz w:val="22"/>
        </w:rPr>
        <w:t xml:space="preserve">annual </w:t>
      </w:r>
      <w:r w:rsidR="00AA31CB" w:rsidRPr="00C534A9">
        <w:rPr>
          <w:rFonts w:ascii="Arial" w:hAnsi="Arial" w:cs="Arial"/>
          <w:sz w:val="22"/>
        </w:rPr>
        <w:t>O&amp;M expenses are estimated to be 1.5% of the Capex, or US$13,700 per year. The cost of electricity is estimated to be the product of the electricity consumption and the price NPC pays for electricity. NPC estimated that the compressors would consume 2,050 kWh per year</w:t>
      </w:r>
      <w:r w:rsidRPr="00C534A9">
        <w:rPr>
          <w:rFonts w:ascii="Arial" w:hAnsi="Arial" w:cs="Arial"/>
          <w:sz w:val="22"/>
        </w:rPr>
        <w:t>.</w:t>
      </w:r>
      <w:r w:rsidR="00AA31CB" w:rsidRPr="00C534A9">
        <w:rPr>
          <w:rFonts w:ascii="Arial" w:hAnsi="Arial" w:cs="Arial"/>
          <w:sz w:val="22"/>
        </w:rPr>
        <w:t xml:space="preserve"> </w:t>
      </w:r>
    </w:p>
    <w:p w:rsidR="00C26910" w:rsidRPr="00C534A9" w:rsidRDefault="00C26910" w:rsidP="00C534A9">
      <w:pPr>
        <w:pStyle w:val="ListParagraph"/>
        <w:numPr>
          <w:ilvl w:val="0"/>
          <w:numId w:val="35"/>
        </w:numPr>
        <w:jc w:val="both"/>
        <w:rPr>
          <w:rFonts w:ascii="Arial" w:hAnsi="Arial" w:cs="Arial"/>
          <w:sz w:val="22"/>
        </w:rPr>
      </w:pPr>
      <w:r w:rsidRPr="00C534A9">
        <w:rPr>
          <w:rFonts w:ascii="Arial" w:hAnsi="Arial" w:cs="Arial"/>
          <w:b/>
          <w:sz w:val="22"/>
        </w:rPr>
        <w:t>Loan interest payments</w:t>
      </w:r>
      <w:r w:rsidRPr="00C534A9">
        <w:rPr>
          <w:rFonts w:ascii="Arial" w:hAnsi="Arial" w:cs="Arial"/>
          <w:sz w:val="22"/>
        </w:rPr>
        <w:t>—</w:t>
      </w:r>
      <w:r w:rsidRPr="00C534A9">
        <w:rPr>
          <w:rFonts w:ascii="Arial" w:hAnsi="Arial" w:cs="Arial"/>
          <w:sz w:val="22"/>
          <w:szCs w:val="24"/>
        </w:rPr>
        <w:t xml:space="preserve">these are the financing charges for the IDB loan for the capital investment in the sub-project. According to the IDB, the loan terms include an interest rate of LIBOR + 1.15 percent (currently roughly 1.65%) and a 25 year repayment period, </w:t>
      </w:r>
    </w:p>
    <w:p w:rsidR="00C26910" w:rsidRPr="00C534A9" w:rsidRDefault="00C26910" w:rsidP="00C534A9">
      <w:pPr>
        <w:pStyle w:val="ListParagraph"/>
        <w:numPr>
          <w:ilvl w:val="0"/>
          <w:numId w:val="35"/>
        </w:numPr>
        <w:jc w:val="both"/>
        <w:rPr>
          <w:rFonts w:ascii="Arial" w:hAnsi="Arial" w:cs="Arial"/>
          <w:sz w:val="22"/>
        </w:rPr>
      </w:pPr>
      <w:r w:rsidRPr="00C534A9">
        <w:rPr>
          <w:rFonts w:ascii="Arial" w:hAnsi="Arial" w:cs="Arial"/>
          <w:b/>
          <w:sz w:val="22"/>
        </w:rPr>
        <w:t>Corporate taxes</w:t>
      </w:r>
      <w:r w:rsidRPr="00C534A9">
        <w:rPr>
          <w:rFonts w:ascii="Arial" w:hAnsi="Arial" w:cs="Arial"/>
          <w:sz w:val="22"/>
        </w:rPr>
        <w:t xml:space="preserve">—these are the taxes that NPC must pay on the profits that are generated by the sub-project. Barbados’ corporate tax rate is currently 25%. This rate was applied to the sub-project earnings after deducting interest and amortization expenses. </w:t>
      </w:r>
      <w:r w:rsidR="00957ACC" w:rsidRPr="00C534A9">
        <w:rPr>
          <w:rFonts w:ascii="Arial" w:hAnsi="Arial" w:cs="Arial"/>
          <w:sz w:val="22"/>
        </w:rPr>
        <w:t>T</w:t>
      </w:r>
      <w:r w:rsidRPr="00C534A9">
        <w:rPr>
          <w:rFonts w:ascii="Arial" w:hAnsi="Arial" w:cs="Arial"/>
          <w:sz w:val="22"/>
        </w:rPr>
        <w:t xml:space="preserve">he sub-project assets </w:t>
      </w:r>
      <w:r w:rsidR="00957ACC" w:rsidRPr="00C534A9">
        <w:rPr>
          <w:rFonts w:ascii="Arial" w:hAnsi="Arial" w:cs="Arial"/>
          <w:sz w:val="22"/>
        </w:rPr>
        <w:t xml:space="preserve">were assumed </w:t>
      </w:r>
      <w:proofErr w:type="gramStart"/>
      <w:r w:rsidR="00957ACC" w:rsidRPr="00C534A9">
        <w:rPr>
          <w:rFonts w:ascii="Arial" w:hAnsi="Arial" w:cs="Arial"/>
          <w:sz w:val="22"/>
        </w:rPr>
        <w:t xml:space="preserve">to </w:t>
      </w:r>
      <w:r w:rsidRPr="00C534A9">
        <w:rPr>
          <w:rFonts w:ascii="Arial" w:hAnsi="Arial" w:cs="Arial"/>
          <w:sz w:val="22"/>
        </w:rPr>
        <w:t xml:space="preserve"> be</w:t>
      </w:r>
      <w:proofErr w:type="gramEnd"/>
      <w:r w:rsidRPr="00C534A9">
        <w:rPr>
          <w:rFonts w:ascii="Arial" w:hAnsi="Arial" w:cs="Arial"/>
          <w:sz w:val="22"/>
        </w:rPr>
        <w:t xml:space="preserve"> amortized with a 15-year straight line depreciation. </w:t>
      </w:r>
      <w:r w:rsidR="00957ACC" w:rsidRPr="00C534A9">
        <w:rPr>
          <w:rFonts w:ascii="Arial" w:hAnsi="Arial" w:cs="Arial"/>
          <w:sz w:val="22"/>
        </w:rPr>
        <w:t>T</w:t>
      </w:r>
      <w:r w:rsidRPr="00C534A9">
        <w:rPr>
          <w:rFonts w:ascii="Arial" w:hAnsi="Arial" w:cs="Arial"/>
          <w:sz w:val="22"/>
        </w:rPr>
        <w:t xml:space="preserve">he full corporate tax rate </w:t>
      </w:r>
      <w:r w:rsidR="00957ACC" w:rsidRPr="00C534A9">
        <w:rPr>
          <w:rFonts w:ascii="Arial" w:hAnsi="Arial" w:cs="Arial"/>
          <w:sz w:val="22"/>
        </w:rPr>
        <w:t xml:space="preserve">was assumed to </w:t>
      </w:r>
      <w:r w:rsidRPr="00C534A9">
        <w:rPr>
          <w:rFonts w:ascii="Arial" w:hAnsi="Arial" w:cs="Arial"/>
          <w:sz w:val="22"/>
        </w:rPr>
        <w:t>be applied to the sub-project.</w:t>
      </w:r>
    </w:p>
    <w:p w:rsidR="00C26910" w:rsidRPr="00C534A9" w:rsidRDefault="00C26910" w:rsidP="00C534A9">
      <w:pPr>
        <w:pStyle w:val="Heading3"/>
        <w:jc w:val="both"/>
        <w:rPr>
          <w:rFonts w:ascii="Arial" w:hAnsi="Arial" w:cs="Arial"/>
          <w:sz w:val="22"/>
        </w:rPr>
      </w:pPr>
      <w:bookmarkStart w:id="168" w:name="_Toc464551541"/>
      <w:r w:rsidRPr="00C534A9">
        <w:rPr>
          <w:rFonts w:ascii="Arial" w:hAnsi="Arial" w:cs="Arial"/>
          <w:sz w:val="22"/>
        </w:rPr>
        <w:t xml:space="preserve">Cash flows of the </w:t>
      </w:r>
      <w:r w:rsidR="00AA31CB" w:rsidRPr="00C534A9">
        <w:rPr>
          <w:rFonts w:ascii="Arial" w:hAnsi="Arial" w:cs="Arial"/>
          <w:sz w:val="22"/>
        </w:rPr>
        <w:t xml:space="preserve">compressor replacement </w:t>
      </w:r>
      <w:r w:rsidRPr="00C534A9">
        <w:rPr>
          <w:rFonts w:ascii="Arial" w:hAnsi="Arial" w:cs="Arial"/>
          <w:sz w:val="22"/>
        </w:rPr>
        <w:t>sub-project</w:t>
      </w:r>
      <w:bookmarkEnd w:id="168"/>
    </w:p>
    <w:p w:rsidR="00C26910" w:rsidRPr="00C534A9" w:rsidRDefault="00C26910" w:rsidP="00C534A9">
      <w:pPr>
        <w:jc w:val="both"/>
        <w:rPr>
          <w:rFonts w:ascii="Arial" w:hAnsi="Arial" w:cs="Arial"/>
          <w:sz w:val="22"/>
        </w:rPr>
      </w:pPr>
      <w:r w:rsidRPr="00C534A9">
        <w:rPr>
          <w:rFonts w:ascii="Arial" w:hAnsi="Arial" w:cs="Arial"/>
          <w:sz w:val="22"/>
        </w:rPr>
        <w:t>After estimat</w:t>
      </w:r>
      <w:r w:rsidR="00712B41" w:rsidRPr="00C534A9">
        <w:rPr>
          <w:rFonts w:ascii="Arial" w:hAnsi="Arial" w:cs="Arial"/>
          <w:sz w:val="22"/>
        </w:rPr>
        <w:t>ing</w:t>
      </w:r>
      <w:r w:rsidRPr="00C534A9">
        <w:rPr>
          <w:rFonts w:ascii="Arial" w:hAnsi="Arial" w:cs="Arial"/>
          <w:sz w:val="22"/>
        </w:rPr>
        <w:t xml:space="preserve"> the sub-project’s associated income and expenses, the next step is to calculate the sub-project’s annual cash flow. This is accomplished by subtracting the present value of the sub-project’s costs from the present value of the sub-project’s benefits. </w:t>
      </w:r>
      <w:r w:rsidR="00AD51DD" w:rsidRPr="00C534A9">
        <w:rPr>
          <w:rFonts w:ascii="Arial" w:hAnsi="Arial" w:cs="Arial"/>
          <w:sz w:val="22"/>
        </w:rPr>
        <w:t>T</w:t>
      </w:r>
      <w:r w:rsidRPr="00C534A9">
        <w:rPr>
          <w:rFonts w:ascii="Arial" w:hAnsi="Arial" w:cs="Arial"/>
          <w:sz w:val="22"/>
        </w:rPr>
        <w:t xml:space="preserve">he present value of the sub-project’s costs and </w:t>
      </w:r>
      <w:proofErr w:type="gramStart"/>
      <w:r w:rsidRPr="00C534A9">
        <w:rPr>
          <w:rFonts w:ascii="Arial" w:hAnsi="Arial" w:cs="Arial"/>
          <w:sz w:val="22"/>
        </w:rPr>
        <w:t>benefits,</w:t>
      </w:r>
      <w:proofErr w:type="gramEnd"/>
      <w:r w:rsidRPr="00C534A9">
        <w:rPr>
          <w:rFonts w:ascii="Arial" w:hAnsi="Arial" w:cs="Arial"/>
          <w:sz w:val="22"/>
        </w:rPr>
        <w:t xml:space="preserve"> </w:t>
      </w:r>
      <w:r w:rsidR="00AD51DD" w:rsidRPr="00C534A9">
        <w:rPr>
          <w:rFonts w:ascii="Arial" w:hAnsi="Arial" w:cs="Arial"/>
          <w:sz w:val="22"/>
        </w:rPr>
        <w:t>was determined using</w:t>
      </w:r>
      <w:r w:rsidRPr="00C534A9">
        <w:rPr>
          <w:rFonts w:ascii="Arial" w:hAnsi="Arial" w:cs="Arial"/>
          <w:sz w:val="22"/>
        </w:rPr>
        <w:t xml:space="preserve"> a social discount rate of 12 percent (in real terms). If the present value of the sub-project’s net benefits is greater than zero, the </w:t>
      </w:r>
      <w:r w:rsidR="00AA31CB" w:rsidRPr="00C534A9">
        <w:rPr>
          <w:rFonts w:ascii="Arial" w:hAnsi="Arial" w:cs="Arial"/>
          <w:sz w:val="22"/>
        </w:rPr>
        <w:t>sub-project</w:t>
      </w:r>
      <w:r w:rsidRPr="00C534A9">
        <w:rPr>
          <w:rFonts w:ascii="Arial" w:hAnsi="Arial" w:cs="Arial"/>
          <w:sz w:val="22"/>
        </w:rPr>
        <w:t xml:space="preserve"> is economically viable.  </w:t>
      </w:r>
    </w:p>
    <w:p w:rsidR="00C26910" w:rsidRPr="00C534A9" w:rsidRDefault="00C26910" w:rsidP="00C534A9">
      <w:pPr>
        <w:pStyle w:val="Heading2"/>
        <w:jc w:val="both"/>
        <w:rPr>
          <w:rFonts w:ascii="Arial" w:hAnsi="Arial" w:cs="Arial"/>
          <w:sz w:val="24"/>
        </w:rPr>
      </w:pPr>
      <w:bookmarkStart w:id="169" w:name="_Toc464551542"/>
      <w:r w:rsidRPr="00C534A9">
        <w:rPr>
          <w:rFonts w:ascii="Arial" w:hAnsi="Arial" w:cs="Arial"/>
          <w:sz w:val="24"/>
        </w:rPr>
        <w:t xml:space="preserve">Profitability of the </w:t>
      </w:r>
      <w:r w:rsidR="00264D55" w:rsidRPr="00C534A9">
        <w:rPr>
          <w:rFonts w:ascii="Arial" w:hAnsi="Arial" w:cs="Arial"/>
          <w:sz w:val="24"/>
        </w:rPr>
        <w:t>compressor replacement</w:t>
      </w:r>
      <w:r w:rsidRPr="00C534A9">
        <w:rPr>
          <w:rFonts w:ascii="Arial" w:hAnsi="Arial" w:cs="Arial"/>
          <w:sz w:val="24"/>
        </w:rPr>
        <w:t xml:space="preserve"> sub-project</w:t>
      </w:r>
      <w:bookmarkEnd w:id="169"/>
    </w:p>
    <w:p w:rsidR="00C26910" w:rsidRPr="00C534A9" w:rsidRDefault="00C26910" w:rsidP="00C534A9">
      <w:pPr>
        <w:jc w:val="both"/>
        <w:rPr>
          <w:rFonts w:ascii="Arial" w:hAnsi="Arial" w:cs="Arial"/>
          <w:sz w:val="22"/>
        </w:rPr>
      </w:pPr>
      <w:r w:rsidRPr="00C534A9">
        <w:rPr>
          <w:rFonts w:ascii="Arial" w:hAnsi="Arial" w:cs="Arial"/>
          <w:sz w:val="22"/>
        </w:rPr>
        <w:t xml:space="preserve">This section presents the results of the financial analysis for </w:t>
      </w:r>
      <w:r w:rsidR="00AA31CB" w:rsidRPr="00C534A9">
        <w:rPr>
          <w:rFonts w:ascii="Arial" w:hAnsi="Arial" w:cs="Arial"/>
          <w:sz w:val="22"/>
        </w:rPr>
        <w:t>the compressor replacement sub-project</w:t>
      </w:r>
      <w:r w:rsidRPr="00C534A9">
        <w:rPr>
          <w:rFonts w:ascii="Arial" w:hAnsi="Arial" w:cs="Arial"/>
          <w:sz w:val="22"/>
        </w:rPr>
        <w:t xml:space="preserve">. The sub-project’s net present value is </w:t>
      </w:r>
      <w:r w:rsidR="006F3089" w:rsidRPr="00C534A9">
        <w:rPr>
          <w:rFonts w:ascii="Arial" w:hAnsi="Arial" w:cs="Arial"/>
          <w:sz w:val="22"/>
        </w:rPr>
        <w:t>US$</w:t>
      </w:r>
      <w:r w:rsidR="00B04513" w:rsidRPr="00C534A9">
        <w:rPr>
          <w:rFonts w:ascii="Arial" w:hAnsi="Arial" w:cs="Arial"/>
          <w:sz w:val="22"/>
        </w:rPr>
        <w:t>513</w:t>
      </w:r>
      <w:r w:rsidR="006F3089" w:rsidRPr="00C534A9">
        <w:rPr>
          <w:rFonts w:ascii="Arial" w:hAnsi="Arial" w:cs="Arial"/>
          <w:sz w:val="22"/>
        </w:rPr>
        <w:t>,000</w:t>
      </w:r>
      <w:r w:rsidRPr="00C534A9">
        <w:rPr>
          <w:rFonts w:ascii="Arial" w:hAnsi="Arial" w:cs="Arial"/>
          <w:sz w:val="22"/>
        </w:rPr>
        <w:t xml:space="preserve"> and the IRR is </w:t>
      </w:r>
      <w:r w:rsidR="00B04513" w:rsidRPr="00C534A9">
        <w:rPr>
          <w:rFonts w:ascii="Arial" w:hAnsi="Arial" w:cs="Arial"/>
          <w:sz w:val="22"/>
        </w:rPr>
        <w:t>20</w:t>
      </w:r>
      <w:r w:rsidRPr="00C534A9">
        <w:rPr>
          <w:rFonts w:ascii="Arial" w:hAnsi="Arial" w:cs="Arial"/>
          <w:sz w:val="22"/>
        </w:rPr>
        <w:t xml:space="preserve">%. The positive NPV and IRR above the 12% hurdle rate means that </w:t>
      </w:r>
      <w:r w:rsidR="00AA31CB" w:rsidRPr="00C534A9">
        <w:rPr>
          <w:rFonts w:ascii="Arial" w:hAnsi="Arial" w:cs="Arial"/>
          <w:sz w:val="22"/>
        </w:rPr>
        <w:t>replacing</w:t>
      </w:r>
      <w:r w:rsidRPr="00C534A9">
        <w:rPr>
          <w:rFonts w:ascii="Arial" w:hAnsi="Arial" w:cs="Arial"/>
          <w:sz w:val="22"/>
        </w:rPr>
        <w:t xml:space="preserve"> the </w:t>
      </w:r>
      <w:r w:rsidR="00A74A3E" w:rsidRPr="00C534A9">
        <w:rPr>
          <w:rFonts w:ascii="Arial" w:hAnsi="Arial" w:cs="Arial"/>
          <w:sz w:val="22"/>
        </w:rPr>
        <w:t>compressor</w:t>
      </w:r>
      <w:r w:rsidR="00AA31CB" w:rsidRPr="00C534A9">
        <w:rPr>
          <w:rFonts w:ascii="Arial" w:hAnsi="Arial" w:cs="Arial"/>
          <w:sz w:val="22"/>
        </w:rPr>
        <w:t>s</w:t>
      </w:r>
      <w:r w:rsidR="00A74A3E" w:rsidRPr="00C534A9">
        <w:rPr>
          <w:rFonts w:ascii="Arial" w:hAnsi="Arial" w:cs="Arial"/>
          <w:sz w:val="22"/>
        </w:rPr>
        <w:t xml:space="preserve"> </w:t>
      </w:r>
      <w:r w:rsidRPr="00C534A9">
        <w:rPr>
          <w:rFonts w:ascii="Arial" w:hAnsi="Arial" w:cs="Arial"/>
          <w:sz w:val="22"/>
        </w:rPr>
        <w:t xml:space="preserve">will generate a net profit for NPC. In addition, the minimum debt coverage ratio in any given year is </w:t>
      </w:r>
      <w:r w:rsidR="00B04513" w:rsidRPr="00C534A9">
        <w:rPr>
          <w:rFonts w:ascii="Arial" w:hAnsi="Arial" w:cs="Arial"/>
          <w:sz w:val="22"/>
        </w:rPr>
        <w:t>3.05</w:t>
      </w:r>
      <w:r w:rsidRPr="00C534A9">
        <w:rPr>
          <w:rFonts w:ascii="Arial" w:hAnsi="Arial" w:cs="Arial"/>
          <w:sz w:val="22"/>
        </w:rPr>
        <w:t>. This indicates that the sub-project will generate sufficient cash flows to cover operating expenses and debt repayment obligations in any given year.</w:t>
      </w:r>
    </w:p>
    <w:p w:rsidR="00C26910" w:rsidRPr="00C534A9" w:rsidRDefault="00C26910" w:rsidP="00C534A9">
      <w:pPr>
        <w:jc w:val="both"/>
        <w:rPr>
          <w:rFonts w:ascii="Arial" w:hAnsi="Arial" w:cs="Arial"/>
          <w:sz w:val="22"/>
        </w:rPr>
      </w:pPr>
      <w:r w:rsidRPr="00C534A9">
        <w:rPr>
          <w:rFonts w:ascii="Arial" w:hAnsi="Arial" w:cs="Arial"/>
          <w:sz w:val="22"/>
        </w:rPr>
        <w:fldChar w:fldCharType="begin"/>
      </w:r>
      <w:r w:rsidRPr="00C534A9">
        <w:rPr>
          <w:rFonts w:ascii="Arial" w:hAnsi="Arial" w:cs="Arial"/>
          <w:sz w:val="22"/>
        </w:rPr>
        <w:instrText xml:space="preserve"> REF _Ref406058165 \h  \* MERGEFORMAT </w:instrText>
      </w:r>
      <w:r w:rsidRPr="00C534A9">
        <w:rPr>
          <w:rFonts w:ascii="Arial" w:hAnsi="Arial" w:cs="Arial"/>
          <w:sz w:val="22"/>
        </w:rPr>
      </w:r>
      <w:r w:rsidRPr="00C534A9">
        <w:rPr>
          <w:rFonts w:ascii="Arial" w:hAnsi="Arial" w:cs="Arial"/>
          <w:sz w:val="22"/>
        </w:rPr>
        <w:fldChar w:fldCharType="separate"/>
      </w:r>
      <w:r w:rsidRPr="00C534A9">
        <w:rPr>
          <w:rFonts w:ascii="Arial" w:hAnsi="Arial" w:cs="Arial"/>
          <w:sz w:val="22"/>
        </w:rPr>
        <w:t xml:space="preserve">Table </w:t>
      </w:r>
      <w:r w:rsidR="004F47E6" w:rsidRPr="00C534A9">
        <w:rPr>
          <w:rFonts w:ascii="Arial" w:hAnsi="Arial" w:cs="Arial"/>
          <w:noProof/>
          <w:sz w:val="22"/>
        </w:rPr>
        <w:t>10</w:t>
      </w:r>
      <w:r w:rsidRPr="00C534A9">
        <w:rPr>
          <w:rFonts w:ascii="Arial" w:hAnsi="Arial" w:cs="Arial"/>
          <w:noProof/>
          <w:sz w:val="22"/>
        </w:rPr>
        <w:t>.2</w:t>
      </w:r>
      <w:r w:rsidRPr="00C534A9">
        <w:rPr>
          <w:rFonts w:ascii="Arial" w:hAnsi="Arial" w:cs="Arial"/>
          <w:sz w:val="22"/>
        </w:rPr>
        <w:fldChar w:fldCharType="end"/>
      </w:r>
      <w:r w:rsidRPr="00C534A9">
        <w:rPr>
          <w:rFonts w:ascii="Arial" w:hAnsi="Arial" w:cs="Arial"/>
          <w:sz w:val="22"/>
        </w:rPr>
        <w:t xml:space="preserve"> presents </w:t>
      </w:r>
      <w:r w:rsidR="006F3089" w:rsidRPr="00C534A9">
        <w:rPr>
          <w:rFonts w:ascii="Arial" w:hAnsi="Arial" w:cs="Arial"/>
          <w:sz w:val="22"/>
        </w:rPr>
        <w:t>the</w:t>
      </w:r>
      <w:r w:rsidRPr="00C534A9">
        <w:rPr>
          <w:rFonts w:ascii="Arial" w:hAnsi="Arial" w:cs="Arial"/>
          <w:sz w:val="22"/>
        </w:rPr>
        <w:t xml:space="preserve"> financial summary of the </w:t>
      </w:r>
      <w:r w:rsidR="00264D55" w:rsidRPr="00C534A9">
        <w:rPr>
          <w:rFonts w:ascii="Arial" w:hAnsi="Arial" w:cs="Arial"/>
          <w:sz w:val="22"/>
        </w:rPr>
        <w:t>compressor replac</w:t>
      </w:r>
      <w:r w:rsidR="00E23A03" w:rsidRPr="00C534A9">
        <w:rPr>
          <w:rFonts w:ascii="Arial" w:hAnsi="Arial" w:cs="Arial"/>
          <w:sz w:val="22"/>
        </w:rPr>
        <w:t>e</w:t>
      </w:r>
      <w:r w:rsidR="00264D55" w:rsidRPr="00C534A9">
        <w:rPr>
          <w:rFonts w:ascii="Arial" w:hAnsi="Arial" w:cs="Arial"/>
          <w:sz w:val="22"/>
        </w:rPr>
        <w:t>ment</w:t>
      </w:r>
      <w:r w:rsidRPr="00C534A9">
        <w:rPr>
          <w:rFonts w:ascii="Arial" w:hAnsi="Arial" w:cs="Arial"/>
          <w:sz w:val="22"/>
        </w:rPr>
        <w:t xml:space="preserve"> sub-project. </w:t>
      </w:r>
    </w:p>
    <w:p w:rsidR="00C26910" w:rsidRPr="00C534A9" w:rsidRDefault="00C26910" w:rsidP="00C534A9">
      <w:pPr>
        <w:pStyle w:val="Caption"/>
        <w:jc w:val="both"/>
        <w:rPr>
          <w:rFonts w:ascii="Arial" w:hAnsi="Arial" w:cs="Arial"/>
          <w:sz w:val="22"/>
        </w:rPr>
      </w:pPr>
      <w:bookmarkStart w:id="170" w:name="_Toc463508494"/>
      <w:bookmarkStart w:id="171" w:name="_Toc463509001"/>
      <w:proofErr w:type="gramStart"/>
      <w:r w:rsidRPr="00C534A9">
        <w:rPr>
          <w:rFonts w:ascii="Arial" w:hAnsi="Arial" w:cs="Arial"/>
          <w:sz w:val="22"/>
        </w:rPr>
        <w:t xml:space="preserve">Table </w:t>
      </w:r>
      <w:r w:rsidR="004F47E6" w:rsidRPr="00C534A9">
        <w:rPr>
          <w:rFonts w:ascii="Arial" w:hAnsi="Arial" w:cs="Arial"/>
          <w:sz w:val="22"/>
        </w:rPr>
        <w:t>10</w:t>
      </w:r>
      <w:r w:rsidRPr="00C534A9">
        <w:rPr>
          <w:rFonts w:ascii="Arial" w:hAnsi="Arial" w:cs="Arial"/>
          <w:sz w:val="22"/>
        </w:rPr>
        <w:t>.</w:t>
      </w:r>
      <w:proofErr w:type="gramEnd"/>
      <w:r w:rsidR="003343DE" w:rsidRPr="00C534A9">
        <w:rPr>
          <w:rFonts w:ascii="Arial" w:hAnsi="Arial" w:cs="Arial"/>
          <w:sz w:val="22"/>
        </w:rPr>
        <w:fldChar w:fldCharType="begin"/>
      </w:r>
      <w:r w:rsidR="003343DE" w:rsidRPr="00C534A9">
        <w:rPr>
          <w:rFonts w:ascii="Arial" w:hAnsi="Arial" w:cs="Arial"/>
          <w:sz w:val="22"/>
        </w:rPr>
        <w:instrText xml:space="preserve"> SEQ Table \* ARABIC \s 1 </w:instrText>
      </w:r>
      <w:r w:rsidR="003343DE" w:rsidRPr="00C534A9">
        <w:rPr>
          <w:rFonts w:ascii="Arial" w:hAnsi="Arial" w:cs="Arial"/>
          <w:sz w:val="22"/>
        </w:rPr>
        <w:fldChar w:fldCharType="separate"/>
      </w:r>
      <w:r w:rsidRPr="00C534A9">
        <w:rPr>
          <w:rFonts w:ascii="Arial" w:hAnsi="Arial" w:cs="Arial"/>
          <w:noProof/>
          <w:sz w:val="22"/>
        </w:rPr>
        <w:t>2</w:t>
      </w:r>
      <w:r w:rsidR="003343DE" w:rsidRPr="00C534A9">
        <w:rPr>
          <w:rFonts w:ascii="Arial" w:hAnsi="Arial" w:cs="Arial"/>
          <w:noProof/>
          <w:sz w:val="22"/>
        </w:rPr>
        <w:fldChar w:fldCharType="end"/>
      </w:r>
      <w:r w:rsidRPr="00C534A9">
        <w:rPr>
          <w:rFonts w:ascii="Arial" w:hAnsi="Arial" w:cs="Arial"/>
          <w:sz w:val="22"/>
        </w:rPr>
        <w:t xml:space="preserve">: Financial summary of the </w:t>
      </w:r>
      <w:r w:rsidR="004F47E6" w:rsidRPr="00C534A9">
        <w:rPr>
          <w:rFonts w:ascii="Arial" w:hAnsi="Arial" w:cs="Arial"/>
          <w:sz w:val="22"/>
        </w:rPr>
        <w:t>compressor replacement</w:t>
      </w:r>
      <w:r w:rsidRPr="00C534A9">
        <w:rPr>
          <w:rFonts w:ascii="Arial" w:hAnsi="Arial" w:cs="Arial"/>
          <w:sz w:val="22"/>
        </w:rPr>
        <w:t xml:space="preserve"> sub-project (US$ ‘000)</w:t>
      </w:r>
      <w:bookmarkEnd w:id="170"/>
      <w:bookmarkEnd w:id="171"/>
    </w:p>
    <w:tbl>
      <w:tblPr>
        <w:tblW w:w="3860" w:type="dxa"/>
        <w:jc w:val="center"/>
        <w:tblInd w:w="93" w:type="dxa"/>
        <w:tblLook w:val="04A0" w:firstRow="1" w:lastRow="0" w:firstColumn="1" w:lastColumn="0" w:noHBand="0" w:noVBand="1"/>
      </w:tblPr>
      <w:tblGrid>
        <w:gridCol w:w="2540"/>
        <w:gridCol w:w="1320"/>
      </w:tblGrid>
      <w:tr w:rsidR="006F27B5" w:rsidRPr="00C534A9" w:rsidTr="006F27B5">
        <w:trPr>
          <w:trHeight w:val="450"/>
          <w:jc w:val="center"/>
        </w:trPr>
        <w:tc>
          <w:tcPr>
            <w:tcW w:w="2540" w:type="dxa"/>
            <w:tcBorders>
              <w:top w:val="nil"/>
              <w:left w:val="nil"/>
              <w:bottom w:val="nil"/>
              <w:right w:val="nil"/>
            </w:tcBorders>
            <w:shd w:val="clear" w:color="auto" w:fill="auto"/>
            <w:noWrap/>
            <w:vAlign w:val="center"/>
          </w:tcPr>
          <w:p w:rsidR="006F27B5" w:rsidRPr="00C534A9" w:rsidRDefault="006F27B5"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Net Present Value</w:t>
            </w:r>
          </w:p>
        </w:tc>
        <w:tc>
          <w:tcPr>
            <w:tcW w:w="1320" w:type="dxa"/>
            <w:tcBorders>
              <w:top w:val="nil"/>
              <w:left w:val="nil"/>
              <w:bottom w:val="nil"/>
              <w:right w:val="nil"/>
            </w:tcBorders>
            <w:shd w:val="clear" w:color="auto" w:fill="auto"/>
            <w:noWrap/>
            <w:vAlign w:val="center"/>
          </w:tcPr>
          <w:p w:rsidR="006F27B5" w:rsidRPr="00C534A9" w:rsidRDefault="006F27B5"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w:t>
            </w:r>
            <w:r w:rsidR="00B04513" w:rsidRPr="00C534A9">
              <w:rPr>
                <w:rFonts w:ascii="Arial" w:eastAsia="Times New Roman" w:hAnsi="Arial" w:cs="Arial"/>
                <w:color w:val="000000"/>
                <w:sz w:val="22"/>
                <w:szCs w:val="24"/>
              </w:rPr>
              <w:t xml:space="preserve">513 </w:t>
            </w:r>
          </w:p>
        </w:tc>
      </w:tr>
      <w:tr w:rsidR="006F27B5" w:rsidRPr="00C534A9" w:rsidTr="006F27B5">
        <w:trPr>
          <w:trHeight w:val="450"/>
          <w:jc w:val="center"/>
        </w:trPr>
        <w:tc>
          <w:tcPr>
            <w:tcW w:w="2540" w:type="dxa"/>
            <w:tcBorders>
              <w:top w:val="nil"/>
              <w:left w:val="nil"/>
              <w:bottom w:val="nil"/>
              <w:right w:val="nil"/>
            </w:tcBorders>
            <w:shd w:val="clear" w:color="auto" w:fill="auto"/>
            <w:noWrap/>
            <w:vAlign w:val="center"/>
          </w:tcPr>
          <w:p w:rsidR="006F27B5" w:rsidRPr="00C534A9" w:rsidRDefault="006F27B5"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IRR</w:t>
            </w:r>
          </w:p>
        </w:tc>
        <w:tc>
          <w:tcPr>
            <w:tcW w:w="1320" w:type="dxa"/>
            <w:tcBorders>
              <w:top w:val="nil"/>
              <w:left w:val="nil"/>
              <w:bottom w:val="nil"/>
              <w:right w:val="nil"/>
            </w:tcBorders>
            <w:shd w:val="clear" w:color="auto" w:fill="auto"/>
            <w:noWrap/>
            <w:vAlign w:val="center"/>
          </w:tcPr>
          <w:p w:rsidR="006F27B5" w:rsidRPr="00C534A9" w:rsidRDefault="00B04513"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20</w:t>
            </w:r>
            <w:r w:rsidR="006F27B5" w:rsidRPr="00C534A9">
              <w:rPr>
                <w:rFonts w:ascii="Arial" w:eastAsia="Times New Roman" w:hAnsi="Arial" w:cs="Arial"/>
                <w:color w:val="000000"/>
                <w:sz w:val="22"/>
                <w:szCs w:val="24"/>
              </w:rPr>
              <w:t>%</w:t>
            </w:r>
          </w:p>
        </w:tc>
      </w:tr>
    </w:tbl>
    <w:p w:rsidR="00C26910" w:rsidRPr="00C534A9" w:rsidRDefault="00C26910" w:rsidP="00C534A9">
      <w:pPr>
        <w:pStyle w:val="Source"/>
        <w:jc w:val="both"/>
        <w:rPr>
          <w:rFonts w:ascii="Arial" w:hAnsi="Arial" w:cs="Arial"/>
          <w:sz w:val="18"/>
        </w:rPr>
      </w:pPr>
    </w:p>
    <w:p w:rsidR="00C26910" w:rsidRPr="00C534A9" w:rsidRDefault="00C26910" w:rsidP="00C534A9">
      <w:pPr>
        <w:jc w:val="both"/>
        <w:rPr>
          <w:rFonts w:ascii="Arial" w:hAnsi="Arial" w:cs="Arial"/>
          <w:sz w:val="22"/>
        </w:rPr>
      </w:pPr>
      <w:r w:rsidRPr="00C534A9">
        <w:rPr>
          <w:rFonts w:ascii="Arial" w:hAnsi="Arial" w:cs="Arial"/>
          <w:sz w:val="22"/>
        </w:rPr>
        <w:t xml:space="preserve">A detailed schedule of the annual cash flow calculations for the </w:t>
      </w:r>
      <w:r w:rsidR="00264D55" w:rsidRPr="00C534A9">
        <w:rPr>
          <w:rFonts w:ascii="Arial" w:hAnsi="Arial" w:cs="Arial"/>
          <w:sz w:val="22"/>
        </w:rPr>
        <w:t>compressor replacement</w:t>
      </w:r>
      <w:r w:rsidRPr="00C534A9">
        <w:rPr>
          <w:rFonts w:ascii="Arial" w:hAnsi="Arial" w:cs="Arial"/>
          <w:sz w:val="22"/>
        </w:rPr>
        <w:t xml:space="preserve"> sub-project is included in Appendix </w:t>
      </w:r>
      <w:r w:rsidR="00F122AA" w:rsidRPr="00C534A9">
        <w:rPr>
          <w:rFonts w:ascii="Arial" w:hAnsi="Arial" w:cs="Arial"/>
          <w:sz w:val="22"/>
        </w:rPr>
        <w:t>B</w:t>
      </w:r>
      <w:r w:rsidRPr="00C534A9">
        <w:rPr>
          <w:rFonts w:ascii="Arial" w:hAnsi="Arial" w:cs="Arial"/>
          <w:sz w:val="22"/>
        </w:rPr>
        <w:t>.</w:t>
      </w:r>
    </w:p>
    <w:p w:rsidR="00C26910" w:rsidRPr="00C534A9" w:rsidRDefault="00C26910" w:rsidP="00C534A9">
      <w:pPr>
        <w:jc w:val="both"/>
        <w:rPr>
          <w:rFonts w:ascii="Arial" w:hAnsi="Arial" w:cs="Arial"/>
          <w:sz w:val="22"/>
        </w:rPr>
      </w:pPr>
      <w:r w:rsidRPr="00C534A9">
        <w:rPr>
          <w:rFonts w:ascii="Arial" w:hAnsi="Arial" w:cs="Arial"/>
          <w:sz w:val="22"/>
        </w:rPr>
        <w:br w:type="page"/>
      </w:r>
    </w:p>
    <w:p w:rsidR="00C26910" w:rsidRPr="00C534A9" w:rsidRDefault="00C26910" w:rsidP="00C534A9">
      <w:pPr>
        <w:pStyle w:val="Heading1"/>
        <w:jc w:val="both"/>
        <w:rPr>
          <w:rFonts w:ascii="Arial" w:hAnsi="Arial" w:cs="Arial"/>
          <w:sz w:val="24"/>
        </w:rPr>
      </w:pPr>
      <w:bookmarkStart w:id="172" w:name="_Toc464551543"/>
      <w:r w:rsidRPr="00C534A9">
        <w:rPr>
          <w:rFonts w:ascii="Arial" w:hAnsi="Arial" w:cs="Arial"/>
          <w:sz w:val="24"/>
        </w:rPr>
        <w:t xml:space="preserve">Financial Analysis of the </w:t>
      </w:r>
      <w:r w:rsidR="00A74A3E" w:rsidRPr="00C534A9">
        <w:rPr>
          <w:rFonts w:ascii="Arial" w:hAnsi="Arial" w:cs="Arial"/>
          <w:sz w:val="24"/>
        </w:rPr>
        <w:t>Wind Turbine</w:t>
      </w:r>
      <w:r w:rsidRPr="00C534A9">
        <w:rPr>
          <w:rFonts w:ascii="Arial" w:hAnsi="Arial" w:cs="Arial"/>
          <w:sz w:val="24"/>
        </w:rPr>
        <w:t xml:space="preserve"> Sub-Project</w:t>
      </w:r>
      <w:bookmarkEnd w:id="172"/>
    </w:p>
    <w:p w:rsidR="00C26910" w:rsidRPr="00C534A9" w:rsidRDefault="00C26910" w:rsidP="00C534A9">
      <w:pPr>
        <w:jc w:val="both"/>
        <w:rPr>
          <w:rFonts w:ascii="Arial" w:hAnsi="Arial" w:cs="Arial"/>
          <w:sz w:val="22"/>
        </w:rPr>
      </w:pPr>
      <w:r w:rsidRPr="00C534A9">
        <w:rPr>
          <w:rFonts w:ascii="Arial" w:hAnsi="Arial" w:cs="Arial"/>
          <w:sz w:val="22"/>
        </w:rPr>
        <w:t xml:space="preserve">The purpose of this section is to determine whether the </w:t>
      </w:r>
      <w:r w:rsidR="00A74A3E" w:rsidRPr="00C534A9">
        <w:rPr>
          <w:rFonts w:ascii="Arial" w:hAnsi="Arial" w:cs="Arial"/>
          <w:sz w:val="22"/>
        </w:rPr>
        <w:t>wind turbine</w:t>
      </w:r>
      <w:r w:rsidRPr="00C534A9">
        <w:rPr>
          <w:rFonts w:ascii="Arial" w:hAnsi="Arial" w:cs="Arial"/>
          <w:sz w:val="22"/>
        </w:rPr>
        <w:t xml:space="preserve"> </w:t>
      </w:r>
      <w:r w:rsidR="00B76EFA" w:rsidRPr="00C534A9">
        <w:rPr>
          <w:rFonts w:ascii="Arial" w:hAnsi="Arial" w:cs="Arial"/>
          <w:sz w:val="22"/>
        </w:rPr>
        <w:t xml:space="preserve">sub-project </w:t>
      </w:r>
      <w:r w:rsidRPr="00C534A9">
        <w:rPr>
          <w:rFonts w:ascii="Arial" w:hAnsi="Arial" w:cs="Arial"/>
          <w:sz w:val="22"/>
        </w:rPr>
        <w:t>that will be funded under the proposed loan operation (the Project) is financially viable for NPC. The financial analysis described below finds that the sub-project has a net present value (NPV) to NPC of approximately US$</w:t>
      </w:r>
      <w:r w:rsidR="009B3769" w:rsidRPr="00C534A9">
        <w:rPr>
          <w:rFonts w:ascii="Arial" w:hAnsi="Arial" w:cs="Arial"/>
          <w:sz w:val="22"/>
        </w:rPr>
        <w:t>1.0</w:t>
      </w:r>
      <w:r w:rsidRPr="00C534A9">
        <w:rPr>
          <w:rFonts w:ascii="Arial" w:hAnsi="Arial" w:cs="Arial"/>
          <w:sz w:val="22"/>
        </w:rPr>
        <w:t xml:space="preserve"> million and internal rate of return of </w:t>
      </w:r>
      <w:r w:rsidR="009B3769" w:rsidRPr="00C534A9">
        <w:rPr>
          <w:rFonts w:ascii="Arial" w:hAnsi="Arial" w:cs="Arial"/>
          <w:sz w:val="22"/>
        </w:rPr>
        <w:t>20</w:t>
      </w:r>
      <w:r w:rsidRPr="00C534A9">
        <w:rPr>
          <w:rFonts w:ascii="Arial" w:hAnsi="Arial" w:cs="Arial"/>
          <w:sz w:val="22"/>
        </w:rPr>
        <w:t xml:space="preserve">% percent. That is, the sub-project would be profitable for NPC. Finally, the financial analysis showed that the debt coverage ratio (defined as the annual cash flow generated by the sub-projects divided by the annual payments required for the loan interest and principle repayments) is never lower than </w:t>
      </w:r>
      <w:r w:rsidR="002C0110" w:rsidRPr="00C534A9">
        <w:rPr>
          <w:rFonts w:ascii="Arial" w:hAnsi="Arial" w:cs="Arial"/>
          <w:sz w:val="22"/>
        </w:rPr>
        <w:t>3.</w:t>
      </w:r>
      <w:r w:rsidR="009B3769" w:rsidRPr="00C534A9">
        <w:rPr>
          <w:rFonts w:ascii="Arial" w:hAnsi="Arial" w:cs="Arial"/>
          <w:sz w:val="22"/>
        </w:rPr>
        <w:t>60</w:t>
      </w:r>
      <w:r w:rsidRPr="00C534A9">
        <w:rPr>
          <w:rFonts w:ascii="Arial" w:hAnsi="Arial" w:cs="Arial"/>
          <w:sz w:val="22"/>
        </w:rPr>
        <w:t>. This means the project will generate sufficient cash flow to cover operating expenses and debt repayment obligations in any given year.</w:t>
      </w:r>
    </w:p>
    <w:p w:rsidR="00C26910" w:rsidRPr="00C534A9" w:rsidRDefault="00C26910" w:rsidP="00C534A9">
      <w:pPr>
        <w:jc w:val="both"/>
        <w:rPr>
          <w:rFonts w:ascii="Arial" w:hAnsi="Arial" w:cs="Arial"/>
          <w:sz w:val="22"/>
        </w:rPr>
      </w:pPr>
      <w:r w:rsidRPr="00C534A9">
        <w:rPr>
          <w:rFonts w:ascii="Arial" w:hAnsi="Arial" w:cs="Arial"/>
          <w:sz w:val="22"/>
        </w:rPr>
        <w:t xml:space="preserve">The analysis to calculate the net present value of the sub-projects is presented as follows: </w:t>
      </w:r>
    </w:p>
    <w:p w:rsidR="00C26910" w:rsidRPr="00C534A9" w:rsidRDefault="00C26910" w:rsidP="00C534A9">
      <w:pPr>
        <w:pStyle w:val="ListParagraph"/>
        <w:numPr>
          <w:ilvl w:val="0"/>
          <w:numId w:val="16"/>
        </w:numPr>
        <w:jc w:val="both"/>
        <w:rPr>
          <w:rFonts w:ascii="Arial" w:hAnsi="Arial" w:cs="Arial"/>
          <w:sz w:val="22"/>
        </w:rPr>
      </w:pPr>
      <w:r w:rsidRPr="00C534A9">
        <w:rPr>
          <w:rFonts w:ascii="Arial" w:hAnsi="Arial" w:cs="Arial"/>
          <w:sz w:val="22"/>
        </w:rPr>
        <w:t xml:space="preserve">Financial Analysis (Section </w:t>
      </w:r>
      <w:r w:rsidRPr="00C534A9">
        <w:rPr>
          <w:rFonts w:ascii="Arial" w:hAnsi="Arial" w:cs="Arial"/>
          <w:sz w:val="22"/>
        </w:rPr>
        <w:fldChar w:fldCharType="begin"/>
      </w:r>
      <w:r w:rsidRPr="00C534A9">
        <w:rPr>
          <w:rFonts w:ascii="Arial" w:hAnsi="Arial" w:cs="Arial"/>
          <w:sz w:val="22"/>
        </w:rPr>
        <w:instrText xml:space="preserve"> REF _Ref423357305 \r \h  \* MERGEFORMAT </w:instrText>
      </w:r>
      <w:r w:rsidRPr="00C534A9">
        <w:rPr>
          <w:rFonts w:ascii="Arial" w:hAnsi="Arial" w:cs="Arial"/>
          <w:sz w:val="22"/>
        </w:rPr>
      </w:r>
      <w:r w:rsidRPr="00C534A9">
        <w:rPr>
          <w:rFonts w:ascii="Arial" w:hAnsi="Arial" w:cs="Arial"/>
          <w:sz w:val="22"/>
        </w:rPr>
        <w:fldChar w:fldCharType="separate"/>
      </w:r>
      <w:r w:rsidR="00A752FD" w:rsidRPr="00C534A9">
        <w:rPr>
          <w:rFonts w:ascii="Arial" w:hAnsi="Arial" w:cs="Arial"/>
          <w:sz w:val="22"/>
        </w:rPr>
        <w:t>11</w:t>
      </w:r>
      <w:r w:rsidRPr="00C534A9">
        <w:rPr>
          <w:rFonts w:ascii="Arial" w:hAnsi="Arial" w:cs="Arial"/>
          <w:sz w:val="22"/>
        </w:rPr>
        <w:t>.1</w:t>
      </w:r>
      <w:r w:rsidRPr="00C534A9">
        <w:rPr>
          <w:rFonts w:ascii="Arial" w:hAnsi="Arial" w:cs="Arial"/>
          <w:sz w:val="22"/>
        </w:rPr>
        <w:fldChar w:fldCharType="end"/>
      </w:r>
      <w:r w:rsidRPr="00C534A9">
        <w:rPr>
          <w:rFonts w:ascii="Arial" w:hAnsi="Arial" w:cs="Arial"/>
          <w:sz w:val="22"/>
        </w:rPr>
        <w:t>)</w:t>
      </w:r>
    </w:p>
    <w:p w:rsidR="00C26910" w:rsidRPr="00C534A9" w:rsidRDefault="00C26910" w:rsidP="00C534A9">
      <w:pPr>
        <w:pStyle w:val="ListParagraph"/>
        <w:numPr>
          <w:ilvl w:val="0"/>
          <w:numId w:val="16"/>
        </w:numPr>
        <w:jc w:val="both"/>
        <w:rPr>
          <w:rFonts w:ascii="Arial" w:hAnsi="Arial" w:cs="Arial"/>
          <w:sz w:val="22"/>
        </w:rPr>
      </w:pPr>
      <w:r w:rsidRPr="00C534A9">
        <w:rPr>
          <w:rFonts w:ascii="Arial" w:hAnsi="Arial" w:cs="Arial"/>
          <w:sz w:val="22"/>
        </w:rPr>
        <w:t xml:space="preserve">Profitability (Section </w:t>
      </w:r>
      <w:r w:rsidR="00A752FD" w:rsidRPr="00C534A9">
        <w:rPr>
          <w:rFonts w:ascii="Arial" w:hAnsi="Arial" w:cs="Arial"/>
          <w:sz w:val="22"/>
        </w:rPr>
        <w:t>11</w:t>
      </w:r>
      <w:r w:rsidRPr="00C534A9">
        <w:rPr>
          <w:rFonts w:ascii="Arial" w:hAnsi="Arial" w:cs="Arial"/>
          <w:sz w:val="22"/>
        </w:rPr>
        <w:t>.2)</w:t>
      </w:r>
    </w:p>
    <w:p w:rsidR="00C26910" w:rsidRPr="00C534A9" w:rsidRDefault="00C26910" w:rsidP="00C534A9">
      <w:pPr>
        <w:pStyle w:val="Heading2"/>
        <w:jc w:val="both"/>
        <w:rPr>
          <w:rFonts w:ascii="Arial" w:hAnsi="Arial" w:cs="Arial"/>
          <w:sz w:val="24"/>
        </w:rPr>
      </w:pPr>
      <w:bookmarkStart w:id="173" w:name="_Toc464551544"/>
      <w:r w:rsidRPr="00C534A9">
        <w:rPr>
          <w:rFonts w:ascii="Arial" w:hAnsi="Arial" w:cs="Arial"/>
          <w:sz w:val="24"/>
        </w:rPr>
        <w:t>Financial Analysis</w:t>
      </w:r>
      <w:bookmarkEnd w:id="173"/>
    </w:p>
    <w:p w:rsidR="00C26910" w:rsidRPr="00C534A9" w:rsidRDefault="00C26910" w:rsidP="00C534A9">
      <w:pPr>
        <w:jc w:val="both"/>
        <w:rPr>
          <w:rFonts w:ascii="Arial" w:hAnsi="Arial" w:cs="Arial"/>
          <w:sz w:val="22"/>
        </w:rPr>
      </w:pPr>
      <w:r w:rsidRPr="00C534A9">
        <w:rPr>
          <w:rFonts w:ascii="Arial" w:hAnsi="Arial" w:cs="Arial"/>
          <w:sz w:val="22"/>
        </w:rPr>
        <w:t xml:space="preserve">The objective of the financial analysis is to determine whether or not the </w:t>
      </w:r>
      <w:r w:rsidR="00A74A3E" w:rsidRPr="00C534A9">
        <w:rPr>
          <w:rFonts w:ascii="Arial" w:hAnsi="Arial" w:cs="Arial"/>
          <w:sz w:val="22"/>
        </w:rPr>
        <w:t>wind turbine</w:t>
      </w:r>
      <w:r w:rsidRPr="00C534A9">
        <w:rPr>
          <w:rFonts w:ascii="Arial" w:hAnsi="Arial" w:cs="Arial"/>
          <w:sz w:val="22"/>
        </w:rPr>
        <w:t xml:space="preserve"> </w:t>
      </w:r>
      <w:r w:rsidR="00A752FD" w:rsidRPr="00C534A9">
        <w:rPr>
          <w:rFonts w:ascii="Arial" w:hAnsi="Arial" w:cs="Arial"/>
          <w:sz w:val="22"/>
        </w:rPr>
        <w:t>sub-project</w:t>
      </w:r>
      <w:r w:rsidRPr="00C534A9">
        <w:rPr>
          <w:rFonts w:ascii="Arial" w:hAnsi="Arial" w:cs="Arial"/>
          <w:sz w:val="22"/>
        </w:rPr>
        <w:t xml:space="preserve"> is profitable. This is accomplished by estimating the net financial flows that the sub-project will generate. </w:t>
      </w:r>
    </w:p>
    <w:p w:rsidR="00C26910" w:rsidRPr="00C534A9" w:rsidRDefault="00957ACC" w:rsidP="00C534A9">
      <w:pPr>
        <w:jc w:val="both"/>
        <w:rPr>
          <w:rFonts w:ascii="Arial" w:hAnsi="Arial" w:cs="Arial"/>
          <w:sz w:val="22"/>
        </w:rPr>
      </w:pPr>
      <w:r w:rsidRPr="00C534A9">
        <w:rPr>
          <w:rFonts w:ascii="Arial" w:hAnsi="Arial" w:cs="Arial"/>
          <w:sz w:val="22"/>
        </w:rPr>
        <w:t>The</w:t>
      </w:r>
      <w:r w:rsidR="00C26910" w:rsidRPr="00C534A9">
        <w:rPr>
          <w:rFonts w:ascii="Arial" w:hAnsi="Arial" w:cs="Arial"/>
          <w:sz w:val="22"/>
        </w:rPr>
        <w:t xml:space="preserve"> sub-project’s net financial flows </w:t>
      </w:r>
      <w:r w:rsidRPr="00C534A9">
        <w:rPr>
          <w:rFonts w:ascii="Arial" w:hAnsi="Arial" w:cs="Arial"/>
          <w:sz w:val="22"/>
        </w:rPr>
        <w:t xml:space="preserve">were determined </w:t>
      </w:r>
      <w:r w:rsidR="00C26910" w:rsidRPr="00C534A9">
        <w:rPr>
          <w:rFonts w:ascii="Arial" w:hAnsi="Arial" w:cs="Arial"/>
          <w:sz w:val="22"/>
        </w:rPr>
        <w:t xml:space="preserve">by calculating the projects income and expenses, applying factors such as the loan interest rate, loan period, depreciation rate, and the Barbados corporate tax rate as described in Section 8.1. This analysis results in the expected cash flows attributable to the project for each year of the loan’s 25 year period. These cash flows are then converted to the sub-project NPV and IRR using a 12 percent </w:t>
      </w:r>
      <w:r w:rsidR="00A74A3E" w:rsidRPr="00C534A9">
        <w:rPr>
          <w:rFonts w:ascii="Arial" w:hAnsi="Arial" w:cs="Arial"/>
          <w:sz w:val="22"/>
        </w:rPr>
        <w:t>real</w:t>
      </w:r>
      <w:r w:rsidR="00C26910" w:rsidRPr="00C534A9">
        <w:rPr>
          <w:rFonts w:ascii="Arial" w:hAnsi="Arial" w:cs="Arial"/>
          <w:sz w:val="22"/>
        </w:rPr>
        <w:t xml:space="preserve"> discount rate.</w:t>
      </w:r>
    </w:p>
    <w:p w:rsidR="00C26910" w:rsidRPr="00C534A9" w:rsidRDefault="00C26910" w:rsidP="00C534A9">
      <w:pPr>
        <w:jc w:val="both"/>
        <w:rPr>
          <w:rFonts w:ascii="Arial" w:hAnsi="Arial" w:cs="Arial"/>
          <w:sz w:val="22"/>
        </w:rPr>
      </w:pPr>
      <w:r w:rsidRPr="00C534A9">
        <w:rPr>
          <w:rFonts w:ascii="Arial" w:hAnsi="Arial" w:cs="Arial"/>
          <w:sz w:val="22"/>
        </w:rPr>
        <w:t>The steps to calculate the sub-project profitability are:</w:t>
      </w:r>
    </w:p>
    <w:p w:rsidR="00C26910" w:rsidRPr="00C534A9" w:rsidRDefault="00C26910" w:rsidP="00C534A9">
      <w:pPr>
        <w:pStyle w:val="ListParagraph"/>
        <w:numPr>
          <w:ilvl w:val="0"/>
          <w:numId w:val="36"/>
        </w:numPr>
        <w:jc w:val="both"/>
        <w:rPr>
          <w:rFonts w:ascii="Arial" w:hAnsi="Arial" w:cs="Arial"/>
          <w:sz w:val="22"/>
        </w:rPr>
      </w:pPr>
      <w:r w:rsidRPr="00C534A9">
        <w:rPr>
          <w:rFonts w:ascii="Arial" w:hAnsi="Arial" w:cs="Arial"/>
          <w:sz w:val="22"/>
        </w:rPr>
        <w:t xml:space="preserve">Estimate the annual income associated with the </w:t>
      </w:r>
      <w:r w:rsidR="00A74A3E" w:rsidRPr="00C534A9">
        <w:rPr>
          <w:rFonts w:ascii="Arial" w:hAnsi="Arial" w:cs="Arial"/>
          <w:sz w:val="22"/>
        </w:rPr>
        <w:t>wind turbine</w:t>
      </w:r>
      <w:r w:rsidRPr="00C534A9">
        <w:rPr>
          <w:rFonts w:ascii="Arial" w:hAnsi="Arial" w:cs="Arial"/>
          <w:sz w:val="22"/>
        </w:rPr>
        <w:t xml:space="preserve"> (Section </w:t>
      </w:r>
      <w:r w:rsidR="00A752FD" w:rsidRPr="00C534A9">
        <w:rPr>
          <w:rFonts w:ascii="Arial" w:hAnsi="Arial" w:cs="Arial"/>
          <w:sz w:val="22"/>
        </w:rPr>
        <w:t>11</w:t>
      </w:r>
      <w:r w:rsidRPr="00C534A9">
        <w:rPr>
          <w:rFonts w:ascii="Arial" w:hAnsi="Arial" w:cs="Arial"/>
          <w:sz w:val="22"/>
        </w:rPr>
        <w:t>.1.1)</w:t>
      </w:r>
    </w:p>
    <w:p w:rsidR="00C26910" w:rsidRPr="00C534A9" w:rsidRDefault="00C26910" w:rsidP="00C534A9">
      <w:pPr>
        <w:pStyle w:val="ListParagraph"/>
        <w:numPr>
          <w:ilvl w:val="0"/>
          <w:numId w:val="36"/>
        </w:numPr>
        <w:jc w:val="both"/>
        <w:rPr>
          <w:rFonts w:ascii="Arial" w:hAnsi="Arial" w:cs="Arial"/>
          <w:sz w:val="22"/>
        </w:rPr>
      </w:pPr>
      <w:r w:rsidRPr="00C534A9">
        <w:rPr>
          <w:rFonts w:ascii="Arial" w:hAnsi="Arial" w:cs="Arial"/>
          <w:sz w:val="22"/>
        </w:rPr>
        <w:t xml:space="preserve">Estimate the annual expenses associated with the </w:t>
      </w:r>
      <w:r w:rsidR="00A74A3E" w:rsidRPr="00C534A9">
        <w:rPr>
          <w:rFonts w:ascii="Arial" w:hAnsi="Arial" w:cs="Arial"/>
          <w:sz w:val="22"/>
        </w:rPr>
        <w:t>wind turbine</w:t>
      </w:r>
      <w:r w:rsidRPr="00C534A9">
        <w:rPr>
          <w:rFonts w:ascii="Arial" w:hAnsi="Arial" w:cs="Arial"/>
          <w:sz w:val="22"/>
        </w:rPr>
        <w:t xml:space="preserve"> (Section</w:t>
      </w:r>
      <w:r w:rsidR="00A752FD" w:rsidRPr="00C534A9">
        <w:rPr>
          <w:rFonts w:ascii="Arial" w:hAnsi="Arial" w:cs="Arial"/>
          <w:sz w:val="22"/>
        </w:rPr>
        <w:t xml:space="preserve"> 11</w:t>
      </w:r>
      <w:r w:rsidRPr="00C534A9">
        <w:rPr>
          <w:rFonts w:ascii="Arial" w:hAnsi="Arial" w:cs="Arial"/>
          <w:sz w:val="22"/>
        </w:rPr>
        <w:t>.1.2)</w:t>
      </w:r>
    </w:p>
    <w:p w:rsidR="00C26910" w:rsidRPr="00C534A9" w:rsidRDefault="00C26910" w:rsidP="00C534A9">
      <w:pPr>
        <w:pStyle w:val="ListParagraph"/>
        <w:numPr>
          <w:ilvl w:val="0"/>
          <w:numId w:val="36"/>
        </w:numPr>
        <w:jc w:val="both"/>
        <w:rPr>
          <w:rFonts w:ascii="Arial" w:hAnsi="Arial" w:cs="Arial"/>
          <w:sz w:val="22"/>
        </w:rPr>
      </w:pPr>
      <w:r w:rsidRPr="00C534A9">
        <w:rPr>
          <w:rFonts w:ascii="Arial" w:hAnsi="Arial" w:cs="Arial"/>
          <w:sz w:val="22"/>
        </w:rPr>
        <w:t xml:space="preserve">Calculate the annual cash flows resulting from the associated income and </w:t>
      </w:r>
      <w:r w:rsidR="00A752FD" w:rsidRPr="00C534A9">
        <w:rPr>
          <w:rFonts w:ascii="Arial" w:hAnsi="Arial" w:cs="Arial"/>
          <w:sz w:val="22"/>
        </w:rPr>
        <w:t>expense</w:t>
      </w:r>
      <w:r w:rsidRPr="00C534A9">
        <w:rPr>
          <w:rFonts w:ascii="Arial" w:hAnsi="Arial" w:cs="Arial"/>
          <w:sz w:val="22"/>
        </w:rPr>
        <w:t xml:space="preserve">s, based on the financial and tax variables noted in section </w:t>
      </w:r>
      <w:r w:rsidR="00464FDE" w:rsidRPr="00C534A9">
        <w:rPr>
          <w:rFonts w:ascii="Arial" w:hAnsi="Arial" w:cs="Arial"/>
          <w:sz w:val="22"/>
        </w:rPr>
        <w:t>8.1</w:t>
      </w:r>
      <w:r w:rsidRPr="00C534A9">
        <w:rPr>
          <w:rFonts w:ascii="Arial" w:hAnsi="Arial" w:cs="Arial"/>
          <w:sz w:val="22"/>
        </w:rPr>
        <w:t xml:space="preserve"> above (Section </w:t>
      </w:r>
      <w:r w:rsidRPr="00C534A9">
        <w:rPr>
          <w:rFonts w:ascii="Arial" w:hAnsi="Arial" w:cs="Arial"/>
          <w:sz w:val="22"/>
        </w:rPr>
        <w:fldChar w:fldCharType="begin"/>
      </w:r>
      <w:r w:rsidRPr="00C534A9">
        <w:rPr>
          <w:rFonts w:ascii="Arial" w:hAnsi="Arial" w:cs="Arial"/>
          <w:sz w:val="22"/>
        </w:rPr>
        <w:instrText xml:space="preserve"> REF _Ref423355941 \r \h  \* MERGEFORMAT </w:instrText>
      </w:r>
      <w:r w:rsidRPr="00C534A9">
        <w:rPr>
          <w:rFonts w:ascii="Arial" w:hAnsi="Arial" w:cs="Arial"/>
          <w:sz w:val="22"/>
        </w:rPr>
      </w:r>
      <w:r w:rsidRPr="00C534A9">
        <w:rPr>
          <w:rFonts w:ascii="Arial" w:hAnsi="Arial" w:cs="Arial"/>
          <w:sz w:val="22"/>
        </w:rPr>
        <w:fldChar w:fldCharType="separate"/>
      </w:r>
      <w:r w:rsidR="00A752FD" w:rsidRPr="00C534A9">
        <w:rPr>
          <w:rFonts w:ascii="Arial" w:hAnsi="Arial" w:cs="Arial"/>
          <w:sz w:val="22"/>
        </w:rPr>
        <w:t>11</w:t>
      </w:r>
      <w:r w:rsidRPr="00C534A9">
        <w:rPr>
          <w:rFonts w:ascii="Arial" w:hAnsi="Arial" w:cs="Arial"/>
          <w:sz w:val="22"/>
        </w:rPr>
        <w:t>.1.3</w:t>
      </w:r>
      <w:r w:rsidRPr="00C534A9">
        <w:rPr>
          <w:rFonts w:ascii="Arial" w:hAnsi="Arial" w:cs="Arial"/>
          <w:sz w:val="22"/>
        </w:rPr>
        <w:fldChar w:fldCharType="end"/>
      </w:r>
      <w:r w:rsidRPr="00C534A9">
        <w:rPr>
          <w:rFonts w:ascii="Arial" w:hAnsi="Arial" w:cs="Arial"/>
          <w:sz w:val="22"/>
        </w:rPr>
        <w:t>).</w:t>
      </w:r>
    </w:p>
    <w:p w:rsidR="00C26910" w:rsidRPr="00C534A9" w:rsidRDefault="00C26910" w:rsidP="00C534A9">
      <w:pPr>
        <w:jc w:val="both"/>
        <w:rPr>
          <w:rFonts w:ascii="Arial" w:hAnsi="Arial" w:cs="Arial"/>
          <w:sz w:val="22"/>
        </w:rPr>
      </w:pPr>
      <w:r w:rsidRPr="00C534A9">
        <w:rPr>
          <w:rFonts w:ascii="Arial" w:hAnsi="Arial" w:cs="Arial"/>
          <w:sz w:val="22"/>
        </w:rPr>
        <w:t>Each of these steps and the assumptions used in their calculation are described in more detail below.</w:t>
      </w:r>
    </w:p>
    <w:p w:rsidR="00C26910" w:rsidRPr="00C534A9" w:rsidRDefault="00C26910" w:rsidP="00C534A9">
      <w:pPr>
        <w:pStyle w:val="Heading3"/>
        <w:jc w:val="both"/>
        <w:rPr>
          <w:rFonts w:ascii="Arial" w:hAnsi="Arial" w:cs="Arial"/>
          <w:sz w:val="22"/>
        </w:rPr>
      </w:pPr>
      <w:bookmarkStart w:id="174" w:name="_Toc464551545"/>
      <w:r w:rsidRPr="00C534A9">
        <w:rPr>
          <w:rFonts w:ascii="Arial" w:hAnsi="Arial" w:cs="Arial"/>
          <w:sz w:val="22"/>
        </w:rPr>
        <w:t xml:space="preserve">Income of the </w:t>
      </w:r>
      <w:r w:rsidR="002E198C" w:rsidRPr="00C534A9">
        <w:rPr>
          <w:rFonts w:ascii="Arial" w:hAnsi="Arial" w:cs="Arial"/>
          <w:sz w:val="22"/>
        </w:rPr>
        <w:t>wind turbine</w:t>
      </w:r>
      <w:r w:rsidRPr="00C534A9">
        <w:rPr>
          <w:rFonts w:ascii="Arial" w:hAnsi="Arial" w:cs="Arial"/>
          <w:sz w:val="22"/>
        </w:rPr>
        <w:t xml:space="preserve"> sub-project</w:t>
      </w:r>
      <w:bookmarkEnd w:id="174"/>
    </w:p>
    <w:p w:rsidR="00C26910" w:rsidRPr="00C534A9" w:rsidRDefault="00C26910" w:rsidP="00C534A9">
      <w:pPr>
        <w:jc w:val="both"/>
        <w:rPr>
          <w:rFonts w:ascii="Arial" w:hAnsi="Arial" w:cs="Arial"/>
          <w:sz w:val="22"/>
        </w:rPr>
      </w:pPr>
      <w:r w:rsidRPr="00C534A9">
        <w:rPr>
          <w:rFonts w:ascii="Arial" w:hAnsi="Arial" w:cs="Arial"/>
          <w:sz w:val="22"/>
        </w:rPr>
        <w:t>The sources of income associated with the sub-project include:</w:t>
      </w:r>
    </w:p>
    <w:p w:rsidR="00C26910" w:rsidRPr="00C534A9" w:rsidRDefault="002E198C" w:rsidP="00C534A9">
      <w:pPr>
        <w:pStyle w:val="ListParagraph"/>
        <w:numPr>
          <w:ilvl w:val="0"/>
          <w:numId w:val="34"/>
        </w:numPr>
        <w:spacing w:after="120"/>
        <w:jc w:val="both"/>
        <w:rPr>
          <w:rFonts w:ascii="Arial" w:hAnsi="Arial" w:cs="Arial"/>
          <w:sz w:val="22"/>
        </w:rPr>
      </w:pPr>
      <w:r w:rsidRPr="00C534A9">
        <w:rPr>
          <w:rFonts w:ascii="Arial" w:hAnsi="Arial" w:cs="Arial"/>
          <w:b/>
          <w:sz w:val="22"/>
        </w:rPr>
        <w:t>Avoided electricity purchases and excess electricity sales</w:t>
      </w:r>
      <w:r w:rsidR="00C26910" w:rsidRPr="00C534A9">
        <w:rPr>
          <w:rFonts w:ascii="Arial" w:hAnsi="Arial" w:cs="Arial"/>
          <w:sz w:val="22"/>
        </w:rPr>
        <w:t xml:space="preserve">—NPC will </w:t>
      </w:r>
      <w:r w:rsidRPr="00C534A9">
        <w:rPr>
          <w:rFonts w:ascii="Arial" w:hAnsi="Arial" w:cs="Arial"/>
          <w:sz w:val="22"/>
        </w:rPr>
        <w:t xml:space="preserve">use the electricity generated by the wind turbines to offset its purchases of electricity from </w:t>
      </w:r>
      <w:r w:rsidR="00222066" w:rsidRPr="00C534A9">
        <w:rPr>
          <w:rFonts w:ascii="Arial" w:hAnsi="Arial" w:cs="Arial"/>
          <w:sz w:val="22"/>
        </w:rPr>
        <w:t>BL&amp;P</w:t>
      </w:r>
      <w:r w:rsidR="00C26910" w:rsidRPr="00C534A9">
        <w:rPr>
          <w:rFonts w:ascii="Arial" w:hAnsi="Arial" w:cs="Arial"/>
          <w:sz w:val="22"/>
        </w:rPr>
        <w:t xml:space="preserve">. </w:t>
      </w:r>
      <w:r w:rsidRPr="00C534A9">
        <w:rPr>
          <w:rFonts w:ascii="Arial" w:hAnsi="Arial" w:cs="Arial"/>
          <w:sz w:val="22"/>
        </w:rPr>
        <w:t xml:space="preserve">If the wind turbine generates more electricity than NPC requires, it intends to sell the excess to </w:t>
      </w:r>
      <w:r w:rsidR="00222066" w:rsidRPr="00C534A9">
        <w:rPr>
          <w:rFonts w:ascii="Arial" w:hAnsi="Arial" w:cs="Arial"/>
          <w:sz w:val="22"/>
        </w:rPr>
        <w:t>BL&amp;P</w:t>
      </w:r>
      <w:r w:rsidRPr="00C534A9">
        <w:rPr>
          <w:rFonts w:ascii="Arial" w:hAnsi="Arial" w:cs="Arial"/>
          <w:sz w:val="22"/>
        </w:rPr>
        <w:t xml:space="preserve">. This analysis assumes that the </w:t>
      </w:r>
      <w:r w:rsidR="00BE387D" w:rsidRPr="00C534A9">
        <w:rPr>
          <w:rFonts w:ascii="Arial" w:hAnsi="Arial" w:cs="Arial"/>
          <w:sz w:val="22"/>
        </w:rPr>
        <w:t xml:space="preserve">price for both avoided electricity purchases and electricity sales is the same and is equal to the current electricity rate for large industrial consumers. </w:t>
      </w:r>
      <w:r w:rsidR="00C26910" w:rsidRPr="00C534A9">
        <w:rPr>
          <w:rFonts w:ascii="Arial" w:hAnsi="Arial" w:cs="Arial"/>
          <w:sz w:val="22"/>
        </w:rPr>
        <w:t xml:space="preserve">The total income from </w:t>
      </w:r>
      <w:r w:rsidR="00BE387D" w:rsidRPr="00C534A9">
        <w:rPr>
          <w:rFonts w:ascii="Arial" w:hAnsi="Arial" w:cs="Arial"/>
          <w:sz w:val="22"/>
        </w:rPr>
        <w:t>avoided electricity purchases or excess electricity</w:t>
      </w:r>
      <w:r w:rsidR="00C26910" w:rsidRPr="00C534A9">
        <w:rPr>
          <w:rFonts w:ascii="Arial" w:hAnsi="Arial" w:cs="Arial"/>
          <w:sz w:val="22"/>
        </w:rPr>
        <w:t xml:space="preserve"> sales is the product of the </w:t>
      </w:r>
      <w:r w:rsidR="00BE387D" w:rsidRPr="00C534A9">
        <w:rPr>
          <w:rFonts w:ascii="Arial" w:hAnsi="Arial" w:cs="Arial"/>
          <w:sz w:val="22"/>
        </w:rPr>
        <w:t>amount of electricity produced by the wind turbine</w:t>
      </w:r>
      <w:r w:rsidR="00C26910" w:rsidRPr="00C534A9">
        <w:rPr>
          <w:rFonts w:ascii="Arial" w:hAnsi="Arial" w:cs="Arial"/>
          <w:sz w:val="22"/>
        </w:rPr>
        <w:t xml:space="preserve"> and the </w:t>
      </w:r>
      <w:r w:rsidR="00BE387D" w:rsidRPr="00C534A9">
        <w:rPr>
          <w:rFonts w:ascii="Arial" w:hAnsi="Arial" w:cs="Arial"/>
          <w:sz w:val="22"/>
        </w:rPr>
        <w:t xml:space="preserve">retail </w:t>
      </w:r>
      <w:r w:rsidR="00C26910" w:rsidRPr="00C534A9">
        <w:rPr>
          <w:rFonts w:ascii="Arial" w:hAnsi="Arial" w:cs="Arial"/>
          <w:sz w:val="22"/>
        </w:rPr>
        <w:t>price per unit</w:t>
      </w:r>
      <w:r w:rsidR="00BE387D" w:rsidRPr="00C534A9">
        <w:rPr>
          <w:rFonts w:ascii="Arial" w:hAnsi="Arial" w:cs="Arial"/>
          <w:sz w:val="22"/>
        </w:rPr>
        <w:t xml:space="preserve"> of electricity</w:t>
      </w:r>
      <w:r w:rsidR="00C26910" w:rsidRPr="00C534A9">
        <w:rPr>
          <w:rFonts w:ascii="Arial" w:hAnsi="Arial" w:cs="Arial"/>
          <w:sz w:val="22"/>
        </w:rPr>
        <w:t>.</w:t>
      </w:r>
    </w:p>
    <w:p w:rsidR="00C26910" w:rsidRPr="00C534A9" w:rsidRDefault="00C26910" w:rsidP="00C534A9">
      <w:pPr>
        <w:pStyle w:val="Heading3"/>
        <w:jc w:val="both"/>
        <w:rPr>
          <w:rFonts w:ascii="Arial" w:hAnsi="Arial" w:cs="Arial"/>
          <w:sz w:val="22"/>
        </w:rPr>
      </w:pPr>
      <w:bookmarkStart w:id="175" w:name="_Toc464551546"/>
      <w:r w:rsidRPr="00C534A9">
        <w:rPr>
          <w:rFonts w:ascii="Arial" w:hAnsi="Arial" w:cs="Arial"/>
          <w:sz w:val="22"/>
        </w:rPr>
        <w:t xml:space="preserve">Expenses of the </w:t>
      </w:r>
      <w:r w:rsidR="00BE387D" w:rsidRPr="00C534A9">
        <w:rPr>
          <w:rFonts w:ascii="Arial" w:hAnsi="Arial" w:cs="Arial"/>
          <w:sz w:val="22"/>
        </w:rPr>
        <w:t>wind turbine</w:t>
      </w:r>
      <w:r w:rsidRPr="00C534A9">
        <w:rPr>
          <w:rFonts w:ascii="Arial" w:hAnsi="Arial" w:cs="Arial"/>
          <w:sz w:val="22"/>
        </w:rPr>
        <w:t xml:space="preserve"> sub-project</w:t>
      </w:r>
      <w:bookmarkEnd w:id="175"/>
    </w:p>
    <w:p w:rsidR="00C26910" w:rsidRPr="00C534A9" w:rsidRDefault="00C26910" w:rsidP="00C534A9">
      <w:pPr>
        <w:jc w:val="both"/>
        <w:rPr>
          <w:rFonts w:ascii="Arial" w:hAnsi="Arial" w:cs="Arial"/>
          <w:sz w:val="22"/>
        </w:rPr>
      </w:pPr>
      <w:r w:rsidRPr="00C534A9">
        <w:rPr>
          <w:rFonts w:ascii="Arial" w:hAnsi="Arial" w:cs="Arial"/>
          <w:sz w:val="22"/>
        </w:rPr>
        <w:t>The costs associated with the sub-project include:</w:t>
      </w:r>
    </w:p>
    <w:p w:rsidR="00C26910" w:rsidRPr="00C534A9" w:rsidRDefault="00C26910" w:rsidP="00C534A9">
      <w:pPr>
        <w:pStyle w:val="ListParagraph"/>
        <w:numPr>
          <w:ilvl w:val="0"/>
          <w:numId w:val="35"/>
        </w:numPr>
        <w:jc w:val="both"/>
        <w:rPr>
          <w:rFonts w:ascii="Arial" w:hAnsi="Arial" w:cs="Arial"/>
          <w:sz w:val="22"/>
        </w:rPr>
      </w:pPr>
      <w:r w:rsidRPr="00C534A9">
        <w:rPr>
          <w:rFonts w:ascii="Arial" w:hAnsi="Arial" w:cs="Arial"/>
          <w:b/>
          <w:sz w:val="22"/>
        </w:rPr>
        <w:t>Capital Expenditures (Capex)</w:t>
      </w:r>
      <w:r w:rsidRPr="00C534A9">
        <w:rPr>
          <w:rFonts w:ascii="Arial" w:hAnsi="Arial" w:cs="Arial"/>
          <w:sz w:val="22"/>
        </w:rPr>
        <w:t xml:space="preserve">—these are the capital investments needed to complete the sub-project. </w:t>
      </w:r>
      <w:r w:rsidR="00957ACC" w:rsidRPr="00C534A9">
        <w:rPr>
          <w:rFonts w:ascii="Arial" w:hAnsi="Arial" w:cs="Arial"/>
          <w:sz w:val="22"/>
        </w:rPr>
        <w:t>The capital investments</w:t>
      </w:r>
      <w:r w:rsidRPr="00C534A9">
        <w:rPr>
          <w:rFonts w:ascii="Arial" w:hAnsi="Arial" w:cs="Arial"/>
          <w:sz w:val="22"/>
        </w:rPr>
        <w:t xml:space="preserve"> include the costs for the </w:t>
      </w:r>
      <w:r w:rsidR="00BE387D" w:rsidRPr="00C534A9">
        <w:rPr>
          <w:rFonts w:ascii="Arial" w:hAnsi="Arial" w:cs="Arial"/>
          <w:sz w:val="22"/>
        </w:rPr>
        <w:t>wind turbine</w:t>
      </w:r>
      <w:r w:rsidRPr="00C534A9">
        <w:rPr>
          <w:rFonts w:ascii="Arial" w:hAnsi="Arial" w:cs="Arial"/>
          <w:sz w:val="22"/>
        </w:rPr>
        <w:t xml:space="preserve"> and related consulting costs for the </w:t>
      </w:r>
      <w:r w:rsidR="00BE387D" w:rsidRPr="00C534A9">
        <w:rPr>
          <w:rFonts w:ascii="Arial" w:hAnsi="Arial" w:cs="Arial"/>
          <w:sz w:val="22"/>
        </w:rPr>
        <w:t xml:space="preserve">wind turbine </w:t>
      </w:r>
      <w:r w:rsidRPr="00C534A9">
        <w:rPr>
          <w:rFonts w:ascii="Arial" w:hAnsi="Arial" w:cs="Arial"/>
          <w:sz w:val="22"/>
        </w:rPr>
        <w:t>engineering</w:t>
      </w:r>
      <w:r w:rsidR="00BE387D" w:rsidRPr="00C534A9">
        <w:rPr>
          <w:rFonts w:ascii="Arial" w:hAnsi="Arial" w:cs="Arial"/>
          <w:sz w:val="22"/>
        </w:rPr>
        <w:t>,</w:t>
      </w:r>
      <w:r w:rsidRPr="00C534A9">
        <w:rPr>
          <w:rFonts w:ascii="Arial" w:hAnsi="Arial" w:cs="Arial"/>
          <w:sz w:val="22"/>
        </w:rPr>
        <w:t xml:space="preserve"> procurement</w:t>
      </w:r>
      <w:r w:rsidR="00BE387D" w:rsidRPr="00C534A9">
        <w:rPr>
          <w:rFonts w:ascii="Arial" w:hAnsi="Arial" w:cs="Arial"/>
          <w:sz w:val="22"/>
        </w:rPr>
        <w:t xml:space="preserve"> and installation</w:t>
      </w:r>
      <w:r w:rsidRPr="00C534A9">
        <w:rPr>
          <w:rFonts w:ascii="Arial" w:hAnsi="Arial" w:cs="Arial"/>
          <w:sz w:val="22"/>
        </w:rPr>
        <w:t xml:space="preserve">. NPC provided detailed estimates of the Capex required for the sub-projects as part of the loan procurement plan.  </w:t>
      </w:r>
      <w:r w:rsidR="00BE387D" w:rsidRPr="00C534A9">
        <w:rPr>
          <w:rFonts w:ascii="Arial" w:hAnsi="Arial" w:cs="Arial"/>
          <w:sz w:val="22"/>
        </w:rPr>
        <w:t>The estimated Capex for the wind turbine is US$1.9 million.</w:t>
      </w:r>
    </w:p>
    <w:p w:rsidR="00C26910" w:rsidRPr="00C534A9" w:rsidRDefault="00C26910" w:rsidP="00C534A9">
      <w:pPr>
        <w:pStyle w:val="ListParagraph"/>
        <w:numPr>
          <w:ilvl w:val="0"/>
          <w:numId w:val="35"/>
        </w:numPr>
        <w:jc w:val="both"/>
        <w:rPr>
          <w:rFonts w:ascii="Arial" w:hAnsi="Arial" w:cs="Arial"/>
          <w:sz w:val="22"/>
        </w:rPr>
      </w:pPr>
      <w:r w:rsidRPr="00C534A9">
        <w:rPr>
          <w:rFonts w:ascii="Arial" w:hAnsi="Arial" w:cs="Arial"/>
          <w:b/>
          <w:sz w:val="22"/>
        </w:rPr>
        <w:t>Operational Expenditures (</w:t>
      </w:r>
      <w:proofErr w:type="spellStart"/>
      <w:r w:rsidRPr="00C534A9">
        <w:rPr>
          <w:rFonts w:ascii="Arial" w:hAnsi="Arial" w:cs="Arial"/>
          <w:b/>
          <w:sz w:val="22"/>
        </w:rPr>
        <w:t>Opex</w:t>
      </w:r>
      <w:proofErr w:type="spellEnd"/>
      <w:r w:rsidRPr="00C534A9">
        <w:rPr>
          <w:rFonts w:ascii="Arial" w:hAnsi="Arial" w:cs="Arial"/>
          <w:b/>
          <w:sz w:val="22"/>
        </w:rPr>
        <w:t>)</w:t>
      </w:r>
      <w:r w:rsidRPr="00C534A9">
        <w:rPr>
          <w:rFonts w:ascii="Arial" w:hAnsi="Arial" w:cs="Arial"/>
          <w:sz w:val="22"/>
        </w:rPr>
        <w:t xml:space="preserve">—these are the annual expenses incurred to operate and maintain the </w:t>
      </w:r>
      <w:r w:rsidR="00A74A3E" w:rsidRPr="00C534A9">
        <w:rPr>
          <w:rFonts w:ascii="Arial" w:hAnsi="Arial" w:cs="Arial"/>
          <w:sz w:val="22"/>
        </w:rPr>
        <w:t>wind turbine</w:t>
      </w:r>
      <w:r w:rsidRPr="00C534A9">
        <w:rPr>
          <w:rFonts w:ascii="Arial" w:hAnsi="Arial" w:cs="Arial"/>
          <w:sz w:val="22"/>
        </w:rPr>
        <w:t xml:space="preserve"> and related infrastructure. Operating expenses </w:t>
      </w:r>
      <w:r w:rsidR="00BE387D" w:rsidRPr="00C534A9">
        <w:rPr>
          <w:rFonts w:ascii="Arial" w:hAnsi="Arial" w:cs="Arial"/>
          <w:sz w:val="22"/>
        </w:rPr>
        <w:t>are largely</w:t>
      </w:r>
      <w:r w:rsidRPr="00C534A9">
        <w:rPr>
          <w:rFonts w:ascii="Arial" w:hAnsi="Arial" w:cs="Arial"/>
          <w:sz w:val="22"/>
        </w:rPr>
        <w:t xml:space="preserve"> fixed costs that are not directly dependent on the volume of </w:t>
      </w:r>
      <w:r w:rsidR="00BE387D" w:rsidRPr="00C534A9">
        <w:rPr>
          <w:rFonts w:ascii="Arial" w:hAnsi="Arial" w:cs="Arial"/>
          <w:sz w:val="22"/>
        </w:rPr>
        <w:t>electricity produced</w:t>
      </w:r>
      <w:r w:rsidRPr="00C534A9">
        <w:rPr>
          <w:rFonts w:ascii="Arial" w:hAnsi="Arial" w:cs="Arial"/>
          <w:sz w:val="22"/>
        </w:rPr>
        <w:t>.</w:t>
      </w:r>
      <w:r w:rsidR="00BE387D" w:rsidRPr="00C534A9">
        <w:rPr>
          <w:rFonts w:ascii="Arial" w:hAnsi="Arial" w:cs="Arial"/>
          <w:sz w:val="22"/>
        </w:rPr>
        <w:t xml:space="preserve"> Wind turbine </w:t>
      </w:r>
      <w:proofErr w:type="spellStart"/>
      <w:r w:rsidR="00BE387D" w:rsidRPr="00C534A9">
        <w:rPr>
          <w:rFonts w:ascii="Arial" w:hAnsi="Arial" w:cs="Arial"/>
          <w:sz w:val="22"/>
        </w:rPr>
        <w:t>Opex</w:t>
      </w:r>
      <w:proofErr w:type="spellEnd"/>
      <w:r w:rsidR="00BE387D" w:rsidRPr="00C534A9">
        <w:rPr>
          <w:rFonts w:ascii="Arial" w:hAnsi="Arial" w:cs="Arial"/>
          <w:sz w:val="22"/>
        </w:rPr>
        <w:t xml:space="preserve"> costs are estimated to be US$46 per kW of installed capacity per year.</w:t>
      </w:r>
    </w:p>
    <w:p w:rsidR="00C26910" w:rsidRPr="00C534A9" w:rsidRDefault="00C26910" w:rsidP="00C534A9">
      <w:pPr>
        <w:pStyle w:val="ListParagraph"/>
        <w:numPr>
          <w:ilvl w:val="0"/>
          <w:numId w:val="35"/>
        </w:numPr>
        <w:jc w:val="both"/>
        <w:rPr>
          <w:rFonts w:ascii="Arial" w:hAnsi="Arial" w:cs="Arial"/>
          <w:sz w:val="22"/>
        </w:rPr>
      </w:pPr>
      <w:r w:rsidRPr="00C534A9">
        <w:rPr>
          <w:rFonts w:ascii="Arial" w:hAnsi="Arial" w:cs="Arial"/>
          <w:b/>
          <w:sz w:val="22"/>
        </w:rPr>
        <w:t>Loan interest payments</w:t>
      </w:r>
      <w:r w:rsidRPr="00C534A9">
        <w:rPr>
          <w:rFonts w:ascii="Arial" w:hAnsi="Arial" w:cs="Arial"/>
          <w:sz w:val="22"/>
        </w:rPr>
        <w:t>—</w:t>
      </w:r>
      <w:r w:rsidRPr="00C534A9">
        <w:rPr>
          <w:rFonts w:ascii="Arial" w:hAnsi="Arial" w:cs="Arial"/>
          <w:sz w:val="22"/>
          <w:szCs w:val="24"/>
        </w:rPr>
        <w:t xml:space="preserve">these are the financing charges for the IDB loan for the capital investment in the sub-project. According to the IDB, the loan terms include an interest rate of LIBOR + 1.15 percent (currently roughly 1.65%) and a 25 year repayment period, </w:t>
      </w:r>
    </w:p>
    <w:p w:rsidR="00C26910" w:rsidRPr="00C534A9" w:rsidRDefault="00C26910" w:rsidP="00C534A9">
      <w:pPr>
        <w:pStyle w:val="ListParagraph"/>
        <w:numPr>
          <w:ilvl w:val="0"/>
          <w:numId w:val="35"/>
        </w:numPr>
        <w:jc w:val="both"/>
        <w:rPr>
          <w:rFonts w:ascii="Arial" w:hAnsi="Arial" w:cs="Arial"/>
          <w:sz w:val="22"/>
        </w:rPr>
      </w:pPr>
      <w:r w:rsidRPr="00C534A9">
        <w:rPr>
          <w:rFonts w:ascii="Arial" w:hAnsi="Arial" w:cs="Arial"/>
          <w:b/>
          <w:sz w:val="22"/>
        </w:rPr>
        <w:t>Corporate taxes</w:t>
      </w:r>
      <w:r w:rsidRPr="00C534A9">
        <w:rPr>
          <w:rFonts w:ascii="Arial" w:hAnsi="Arial" w:cs="Arial"/>
          <w:sz w:val="22"/>
        </w:rPr>
        <w:t xml:space="preserve">—these are the taxes that NPC must pay on the profits that are generated by the sub-project. Barbados’ corporate tax rate is currently 25%. This rate was applied to the sub-project earnings after deducting interest and amortization expenses. </w:t>
      </w:r>
      <w:r w:rsidR="00957ACC" w:rsidRPr="00C534A9">
        <w:rPr>
          <w:rFonts w:ascii="Arial" w:hAnsi="Arial" w:cs="Arial"/>
          <w:sz w:val="22"/>
        </w:rPr>
        <w:t>T</w:t>
      </w:r>
      <w:r w:rsidRPr="00C534A9">
        <w:rPr>
          <w:rFonts w:ascii="Arial" w:hAnsi="Arial" w:cs="Arial"/>
          <w:sz w:val="22"/>
        </w:rPr>
        <w:t xml:space="preserve">he sub-project assets </w:t>
      </w:r>
      <w:r w:rsidR="00957ACC" w:rsidRPr="00C534A9">
        <w:rPr>
          <w:rFonts w:ascii="Arial" w:hAnsi="Arial" w:cs="Arial"/>
          <w:sz w:val="22"/>
        </w:rPr>
        <w:t xml:space="preserve">were assumed to </w:t>
      </w:r>
      <w:r w:rsidRPr="00C534A9">
        <w:rPr>
          <w:rFonts w:ascii="Arial" w:hAnsi="Arial" w:cs="Arial"/>
          <w:sz w:val="22"/>
        </w:rPr>
        <w:t xml:space="preserve">be amortized with </w:t>
      </w:r>
      <w:proofErr w:type="gramStart"/>
      <w:r w:rsidRPr="00C534A9">
        <w:rPr>
          <w:rFonts w:ascii="Arial" w:hAnsi="Arial" w:cs="Arial"/>
          <w:sz w:val="22"/>
        </w:rPr>
        <w:t>a 15</w:t>
      </w:r>
      <w:proofErr w:type="gramEnd"/>
      <w:r w:rsidRPr="00C534A9">
        <w:rPr>
          <w:rFonts w:ascii="Arial" w:hAnsi="Arial" w:cs="Arial"/>
          <w:sz w:val="22"/>
        </w:rPr>
        <w:t xml:space="preserve">-year straight line depreciation. </w:t>
      </w:r>
      <w:r w:rsidR="00957ACC" w:rsidRPr="00C534A9">
        <w:rPr>
          <w:rFonts w:ascii="Arial" w:hAnsi="Arial" w:cs="Arial"/>
          <w:sz w:val="22"/>
        </w:rPr>
        <w:t>The</w:t>
      </w:r>
      <w:r w:rsidRPr="00C534A9">
        <w:rPr>
          <w:rFonts w:ascii="Arial" w:hAnsi="Arial" w:cs="Arial"/>
          <w:sz w:val="22"/>
        </w:rPr>
        <w:t xml:space="preserve"> full corporate tax rate </w:t>
      </w:r>
      <w:r w:rsidR="00957ACC" w:rsidRPr="00C534A9">
        <w:rPr>
          <w:rFonts w:ascii="Arial" w:hAnsi="Arial" w:cs="Arial"/>
          <w:sz w:val="22"/>
        </w:rPr>
        <w:t xml:space="preserve">was assumed to </w:t>
      </w:r>
      <w:r w:rsidRPr="00C534A9">
        <w:rPr>
          <w:rFonts w:ascii="Arial" w:hAnsi="Arial" w:cs="Arial"/>
          <w:sz w:val="22"/>
        </w:rPr>
        <w:t>be applied to the sub-project.</w:t>
      </w:r>
    </w:p>
    <w:p w:rsidR="00C26910" w:rsidRPr="00C534A9" w:rsidRDefault="00C26910" w:rsidP="00C534A9">
      <w:pPr>
        <w:pStyle w:val="Heading3"/>
        <w:jc w:val="both"/>
        <w:rPr>
          <w:rFonts w:ascii="Arial" w:hAnsi="Arial" w:cs="Arial"/>
          <w:sz w:val="22"/>
        </w:rPr>
      </w:pPr>
      <w:bookmarkStart w:id="176" w:name="_Toc464551547"/>
      <w:r w:rsidRPr="00C534A9">
        <w:rPr>
          <w:rFonts w:ascii="Arial" w:hAnsi="Arial" w:cs="Arial"/>
          <w:sz w:val="22"/>
        </w:rPr>
        <w:t xml:space="preserve">Cash flows of the </w:t>
      </w:r>
      <w:r w:rsidR="00E2763A" w:rsidRPr="00C534A9">
        <w:rPr>
          <w:rFonts w:ascii="Arial" w:hAnsi="Arial" w:cs="Arial"/>
          <w:sz w:val="22"/>
        </w:rPr>
        <w:t xml:space="preserve">wind turbine </w:t>
      </w:r>
      <w:r w:rsidRPr="00C534A9">
        <w:rPr>
          <w:rFonts w:ascii="Arial" w:hAnsi="Arial" w:cs="Arial"/>
          <w:sz w:val="22"/>
        </w:rPr>
        <w:t>sub-project</w:t>
      </w:r>
      <w:bookmarkEnd w:id="176"/>
    </w:p>
    <w:p w:rsidR="00C26910" w:rsidRPr="00C534A9" w:rsidRDefault="00C26910" w:rsidP="00C534A9">
      <w:pPr>
        <w:jc w:val="both"/>
        <w:rPr>
          <w:rFonts w:ascii="Arial" w:hAnsi="Arial" w:cs="Arial"/>
          <w:sz w:val="22"/>
        </w:rPr>
      </w:pPr>
      <w:r w:rsidRPr="00C534A9">
        <w:rPr>
          <w:rFonts w:ascii="Arial" w:hAnsi="Arial" w:cs="Arial"/>
          <w:sz w:val="22"/>
        </w:rPr>
        <w:t>After estimat</w:t>
      </w:r>
      <w:r w:rsidR="00712B41" w:rsidRPr="00C534A9">
        <w:rPr>
          <w:rFonts w:ascii="Arial" w:hAnsi="Arial" w:cs="Arial"/>
          <w:sz w:val="22"/>
        </w:rPr>
        <w:t>ing</w:t>
      </w:r>
      <w:r w:rsidRPr="00C534A9">
        <w:rPr>
          <w:rFonts w:ascii="Arial" w:hAnsi="Arial" w:cs="Arial"/>
          <w:sz w:val="22"/>
        </w:rPr>
        <w:t xml:space="preserve"> the sub-project’s associated income and expenses, the next step is to calculate the sub-project’s annual cash flow. This is accomplished by subtracting the present value of the sub-project’s costs from the present value of the sub-project’s benefits. The present value of the sub-project’s costs and </w:t>
      </w:r>
      <w:proofErr w:type="gramStart"/>
      <w:r w:rsidRPr="00C534A9">
        <w:rPr>
          <w:rFonts w:ascii="Arial" w:hAnsi="Arial" w:cs="Arial"/>
          <w:sz w:val="22"/>
        </w:rPr>
        <w:t>benefits,</w:t>
      </w:r>
      <w:proofErr w:type="gramEnd"/>
      <w:r w:rsidRPr="00C534A9">
        <w:rPr>
          <w:rFonts w:ascii="Arial" w:hAnsi="Arial" w:cs="Arial"/>
          <w:sz w:val="22"/>
        </w:rPr>
        <w:t xml:space="preserve"> </w:t>
      </w:r>
      <w:r w:rsidR="00AD51DD" w:rsidRPr="00C534A9">
        <w:rPr>
          <w:rFonts w:ascii="Arial" w:hAnsi="Arial" w:cs="Arial"/>
          <w:sz w:val="22"/>
        </w:rPr>
        <w:t>was determined using</w:t>
      </w:r>
      <w:r w:rsidRPr="00C534A9">
        <w:rPr>
          <w:rFonts w:ascii="Arial" w:hAnsi="Arial" w:cs="Arial"/>
          <w:sz w:val="22"/>
        </w:rPr>
        <w:t xml:space="preserve"> a social discount rate of 12 percent (in real terms). If the present value of the sub-project’s net benefits is greater than zero, the </w:t>
      </w:r>
      <w:r w:rsidR="00AA31CB" w:rsidRPr="00C534A9">
        <w:rPr>
          <w:rFonts w:ascii="Arial" w:hAnsi="Arial" w:cs="Arial"/>
          <w:sz w:val="22"/>
        </w:rPr>
        <w:t>sub-project</w:t>
      </w:r>
      <w:r w:rsidRPr="00C534A9">
        <w:rPr>
          <w:rFonts w:ascii="Arial" w:hAnsi="Arial" w:cs="Arial"/>
          <w:sz w:val="22"/>
        </w:rPr>
        <w:t xml:space="preserve"> is economically viable.  </w:t>
      </w:r>
    </w:p>
    <w:p w:rsidR="00C26910" w:rsidRPr="00C534A9" w:rsidRDefault="00C26910" w:rsidP="00C534A9">
      <w:pPr>
        <w:pStyle w:val="Heading2"/>
        <w:jc w:val="both"/>
        <w:rPr>
          <w:rFonts w:ascii="Arial" w:hAnsi="Arial" w:cs="Arial"/>
          <w:sz w:val="24"/>
        </w:rPr>
      </w:pPr>
      <w:bookmarkStart w:id="177" w:name="_Toc464551548"/>
      <w:r w:rsidRPr="00C534A9">
        <w:rPr>
          <w:rFonts w:ascii="Arial" w:hAnsi="Arial" w:cs="Arial"/>
          <w:sz w:val="24"/>
        </w:rPr>
        <w:t xml:space="preserve">Profitability of the </w:t>
      </w:r>
      <w:r w:rsidR="00E2763A" w:rsidRPr="00C534A9">
        <w:rPr>
          <w:rFonts w:ascii="Arial" w:hAnsi="Arial" w:cs="Arial"/>
          <w:sz w:val="24"/>
        </w:rPr>
        <w:t>wind turbine</w:t>
      </w:r>
      <w:r w:rsidRPr="00C534A9">
        <w:rPr>
          <w:rFonts w:ascii="Arial" w:hAnsi="Arial" w:cs="Arial"/>
          <w:sz w:val="24"/>
        </w:rPr>
        <w:t xml:space="preserve"> sub-project</w:t>
      </w:r>
      <w:bookmarkEnd w:id="177"/>
    </w:p>
    <w:p w:rsidR="00C26910" w:rsidRPr="00C534A9" w:rsidRDefault="00C26910" w:rsidP="00C534A9">
      <w:pPr>
        <w:jc w:val="both"/>
        <w:rPr>
          <w:rFonts w:ascii="Arial" w:hAnsi="Arial" w:cs="Arial"/>
          <w:sz w:val="22"/>
        </w:rPr>
      </w:pPr>
      <w:r w:rsidRPr="00C534A9">
        <w:rPr>
          <w:rFonts w:ascii="Arial" w:hAnsi="Arial" w:cs="Arial"/>
          <w:sz w:val="22"/>
        </w:rPr>
        <w:t xml:space="preserve">This section presents the results of the financial analysis for the </w:t>
      </w:r>
      <w:r w:rsidR="00E2763A" w:rsidRPr="00C534A9">
        <w:rPr>
          <w:rFonts w:ascii="Arial" w:hAnsi="Arial" w:cs="Arial"/>
          <w:sz w:val="22"/>
        </w:rPr>
        <w:t>wind turbine</w:t>
      </w:r>
      <w:r w:rsidRPr="00C534A9">
        <w:rPr>
          <w:rFonts w:ascii="Arial" w:hAnsi="Arial" w:cs="Arial"/>
          <w:sz w:val="22"/>
        </w:rPr>
        <w:t xml:space="preserve">. The sub-project’s net present value is </w:t>
      </w:r>
      <w:r w:rsidR="00FD51CB" w:rsidRPr="00C534A9">
        <w:rPr>
          <w:rFonts w:ascii="Arial" w:hAnsi="Arial" w:cs="Arial"/>
          <w:sz w:val="22"/>
        </w:rPr>
        <w:t>US$</w:t>
      </w:r>
      <w:r w:rsidR="009B3769" w:rsidRPr="00C534A9">
        <w:rPr>
          <w:rFonts w:ascii="Arial" w:hAnsi="Arial" w:cs="Arial"/>
          <w:sz w:val="22"/>
        </w:rPr>
        <w:t>1,004</w:t>
      </w:r>
      <w:r w:rsidR="006F3089" w:rsidRPr="00C534A9">
        <w:rPr>
          <w:rFonts w:ascii="Arial" w:hAnsi="Arial" w:cs="Arial"/>
          <w:sz w:val="22"/>
        </w:rPr>
        <w:t>,000</w:t>
      </w:r>
      <w:r w:rsidRPr="00C534A9">
        <w:rPr>
          <w:rFonts w:ascii="Arial" w:hAnsi="Arial" w:cs="Arial"/>
          <w:sz w:val="22"/>
        </w:rPr>
        <w:t xml:space="preserve"> and the IRR is </w:t>
      </w:r>
      <w:r w:rsidR="009B3769" w:rsidRPr="00C534A9">
        <w:rPr>
          <w:rFonts w:ascii="Arial" w:hAnsi="Arial" w:cs="Arial"/>
          <w:sz w:val="22"/>
        </w:rPr>
        <w:t>20</w:t>
      </w:r>
      <w:r w:rsidRPr="00C534A9">
        <w:rPr>
          <w:rFonts w:ascii="Arial" w:hAnsi="Arial" w:cs="Arial"/>
          <w:sz w:val="22"/>
        </w:rPr>
        <w:t xml:space="preserve">%. The positive NPV and IRR above the 12% hurdle rate means that expanding the </w:t>
      </w:r>
      <w:r w:rsidR="00A74A3E" w:rsidRPr="00C534A9">
        <w:rPr>
          <w:rFonts w:ascii="Arial" w:hAnsi="Arial" w:cs="Arial"/>
          <w:sz w:val="22"/>
        </w:rPr>
        <w:t>wind turbine</w:t>
      </w:r>
      <w:r w:rsidRPr="00C534A9">
        <w:rPr>
          <w:rFonts w:ascii="Arial" w:hAnsi="Arial" w:cs="Arial"/>
          <w:sz w:val="22"/>
        </w:rPr>
        <w:t xml:space="preserve"> will generate a net profit for NPC. In addition, the minimum debt coverage ratio in any given year is </w:t>
      </w:r>
      <w:r w:rsidR="002C0110" w:rsidRPr="00C534A9">
        <w:rPr>
          <w:rFonts w:ascii="Arial" w:hAnsi="Arial" w:cs="Arial"/>
          <w:sz w:val="22"/>
        </w:rPr>
        <w:t>3.</w:t>
      </w:r>
      <w:r w:rsidR="009B3769" w:rsidRPr="00C534A9">
        <w:rPr>
          <w:rFonts w:ascii="Arial" w:hAnsi="Arial" w:cs="Arial"/>
          <w:sz w:val="22"/>
        </w:rPr>
        <w:t>60</w:t>
      </w:r>
      <w:r w:rsidRPr="00C534A9">
        <w:rPr>
          <w:rFonts w:ascii="Arial" w:hAnsi="Arial" w:cs="Arial"/>
          <w:sz w:val="22"/>
        </w:rPr>
        <w:t>. This indicates that the sub-project will generate sufficient cash flows to cover operating expenses and debt repayment obligations in any given year.</w:t>
      </w:r>
    </w:p>
    <w:p w:rsidR="00C26910" w:rsidRPr="00C534A9" w:rsidRDefault="00C26910" w:rsidP="00C534A9">
      <w:pPr>
        <w:jc w:val="both"/>
        <w:rPr>
          <w:rFonts w:ascii="Arial" w:hAnsi="Arial" w:cs="Arial"/>
          <w:sz w:val="22"/>
        </w:rPr>
      </w:pPr>
      <w:r w:rsidRPr="00C534A9">
        <w:rPr>
          <w:rFonts w:ascii="Arial" w:hAnsi="Arial" w:cs="Arial"/>
          <w:sz w:val="22"/>
        </w:rPr>
        <w:fldChar w:fldCharType="begin"/>
      </w:r>
      <w:r w:rsidRPr="00C534A9">
        <w:rPr>
          <w:rFonts w:ascii="Arial" w:hAnsi="Arial" w:cs="Arial"/>
          <w:sz w:val="22"/>
        </w:rPr>
        <w:instrText xml:space="preserve"> REF _Ref406058165 \h  \* MERGEFORMAT </w:instrText>
      </w:r>
      <w:r w:rsidRPr="00C534A9">
        <w:rPr>
          <w:rFonts w:ascii="Arial" w:hAnsi="Arial" w:cs="Arial"/>
          <w:sz w:val="22"/>
        </w:rPr>
      </w:r>
      <w:r w:rsidRPr="00C534A9">
        <w:rPr>
          <w:rFonts w:ascii="Arial" w:hAnsi="Arial" w:cs="Arial"/>
          <w:sz w:val="22"/>
        </w:rPr>
        <w:fldChar w:fldCharType="separate"/>
      </w:r>
      <w:r w:rsidRPr="00C534A9">
        <w:rPr>
          <w:rFonts w:ascii="Arial" w:hAnsi="Arial" w:cs="Arial"/>
          <w:sz w:val="22"/>
        </w:rPr>
        <w:t xml:space="preserve">Table </w:t>
      </w:r>
      <w:r w:rsidR="004F47E6" w:rsidRPr="00C534A9">
        <w:rPr>
          <w:rFonts w:ascii="Arial" w:hAnsi="Arial" w:cs="Arial"/>
          <w:noProof/>
          <w:sz w:val="22"/>
        </w:rPr>
        <w:t>11</w:t>
      </w:r>
      <w:r w:rsidRPr="00C534A9">
        <w:rPr>
          <w:rFonts w:ascii="Arial" w:hAnsi="Arial" w:cs="Arial"/>
          <w:noProof/>
          <w:sz w:val="22"/>
        </w:rPr>
        <w:t>.2</w:t>
      </w:r>
      <w:r w:rsidRPr="00C534A9">
        <w:rPr>
          <w:rFonts w:ascii="Arial" w:hAnsi="Arial" w:cs="Arial"/>
          <w:sz w:val="22"/>
        </w:rPr>
        <w:fldChar w:fldCharType="end"/>
      </w:r>
      <w:r w:rsidRPr="00C534A9">
        <w:rPr>
          <w:rFonts w:ascii="Arial" w:hAnsi="Arial" w:cs="Arial"/>
          <w:sz w:val="22"/>
        </w:rPr>
        <w:t xml:space="preserve"> presents </w:t>
      </w:r>
      <w:r w:rsidR="00FD51CB" w:rsidRPr="00C534A9">
        <w:rPr>
          <w:rFonts w:ascii="Arial" w:hAnsi="Arial" w:cs="Arial"/>
          <w:sz w:val="22"/>
        </w:rPr>
        <w:t>the</w:t>
      </w:r>
      <w:r w:rsidRPr="00C534A9">
        <w:rPr>
          <w:rFonts w:ascii="Arial" w:hAnsi="Arial" w:cs="Arial"/>
          <w:sz w:val="22"/>
        </w:rPr>
        <w:t xml:space="preserve"> financial summary of the </w:t>
      </w:r>
      <w:r w:rsidR="00E2763A" w:rsidRPr="00C534A9">
        <w:rPr>
          <w:rFonts w:ascii="Arial" w:hAnsi="Arial" w:cs="Arial"/>
          <w:sz w:val="22"/>
        </w:rPr>
        <w:t>wind turbine</w:t>
      </w:r>
      <w:r w:rsidRPr="00C534A9">
        <w:rPr>
          <w:rFonts w:ascii="Arial" w:hAnsi="Arial" w:cs="Arial"/>
          <w:sz w:val="22"/>
        </w:rPr>
        <w:t xml:space="preserve"> sub-project. </w:t>
      </w:r>
    </w:p>
    <w:p w:rsidR="00C26910" w:rsidRPr="00C534A9" w:rsidRDefault="00C26910" w:rsidP="00C534A9">
      <w:pPr>
        <w:pStyle w:val="Caption"/>
        <w:jc w:val="both"/>
        <w:rPr>
          <w:rFonts w:ascii="Arial" w:hAnsi="Arial" w:cs="Arial"/>
          <w:sz w:val="22"/>
        </w:rPr>
      </w:pPr>
      <w:bookmarkStart w:id="178" w:name="_Toc463508495"/>
      <w:bookmarkStart w:id="179" w:name="_Toc463509002"/>
      <w:proofErr w:type="gramStart"/>
      <w:r w:rsidRPr="00C534A9">
        <w:rPr>
          <w:rFonts w:ascii="Arial" w:hAnsi="Arial" w:cs="Arial"/>
          <w:sz w:val="22"/>
        </w:rPr>
        <w:t xml:space="preserve">Table </w:t>
      </w:r>
      <w:r w:rsidR="004F47E6" w:rsidRPr="00C534A9">
        <w:rPr>
          <w:rFonts w:ascii="Arial" w:hAnsi="Arial" w:cs="Arial"/>
          <w:sz w:val="22"/>
        </w:rPr>
        <w:t>11</w:t>
      </w:r>
      <w:r w:rsidRPr="00C534A9">
        <w:rPr>
          <w:rFonts w:ascii="Arial" w:hAnsi="Arial" w:cs="Arial"/>
          <w:sz w:val="22"/>
        </w:rPr>
        <w:t>.</w:t>
      </w:r>
      <w:proofErr w:type="gramEnd"/>
      <w:r w:rsidR="003343DE" w:rsidRPr="00C534A9">
        <w:rPr>
          <w:rFonts w:ascii="Arial" w:hAnsi="Arial" w:cs="Arial"/>
          <w:sz w:val="22"/>
        </w:rPr>
        <w:fldChar w:fldCharType="begin"/>
      </w:r>
      <w:r w:rsidR="003343DE" w:rsidRPr="00C534A9">
        <w:rPr>
          <w:rFonts w:ascii="Arial" w:hAnsi="Arial" w:cs="Arial"/>
          <w:sz w:val="22"/>
        </w:rPr>
        <w:instrText xml:space="preserve"> SEQ Table \* ARABIC \s 1 </w:instrText>
      </w:r>
      <w:r w:rsidR="003343DE" w:rsidRPr="00C534A9">
        <w:rPr>
          <w:rFonts w:ascii="Arial" w:hAnsi="Arial" w:cs="Arial"/>
          <w:sz w:val="22"/>
        </w:rPr>
        <w:fldChar w:fldCharType="separate"/>
      </w:r>
      <w:r w:rsidRPr="00C534A9">
        <w:rPr>
          <w:rFonts w:ascii="Arial" w:hAnsi="Arial" w:cs="Arial"/>
          <w:noProof/>
          <w:sz w:val="22"/>
        </w:rPr>
        <w:t>2</w:t>
      </w:r>
      <w:r w:rsidR="003343DE" w:rsidRPr="00C534A9">
        <w:rPr>
          <w:rFonts w:ascii="Arial" w:hAnsi="Arial" w:cs="Arial"/>
          <w:noProof/>
          <w:sz w:val="22"/>
        </w:rPr>
        <w:fldChar w:fldCharType="end"/>
      </w:r>
      <w:r w:rsidRPr="00C534A9">
        <w:rPr>
          <w:rFonts w:ascii="Arial" w:hAnsi="Arial" w:cs="Arial"/>
          <w:sz w:val="22"/>
        </w:rPr>
        <w:t xml:space="preserve">: Financial summary of the </w:t>
      </w:r>
      <w:r w:rsidR="00E2763A" w:rsidRPr="00C534A9">
        <w:rPr>
          <w:rFonts w:ascii="Arial" w:hAnsi="Arial" w:cs="Arial"/>
          <w:sz w:val="22"/>
        </w:rPr>
        <w:t>wind turbine</w:t>
      </w:r>
      <w:r w:rsidRPr="00C534A9">
        <w:rPr>
          <w:rFonts w:ascii="Arial" w:hAnsi="Arial" w:cs="Arial"/>
          <w:sz w:val="22"/>
        </w:rPr>
        <w:t xml:space="preserve"> sub-project (US$ ‘000)</w:t>
      </w:r>
      <w:bookmarkEnd w:id="178"/>
      <w:bookmarkEnd w:id="179"/>
    </w:p>
    <w:tbl>
      <w:tblPr>
        <w:tblW w:w="3860" w:type="dxa"/>
        <w:jc w:val="center"/>
        <w:tblInd w:w="93" w:type="dxa"/>
        <w:tblLook w:val="04A0" w:firstRow="1" w:lastRow="0" w:firstColumn="1" w:lastColumn="0" w:noHBand="0" w:noVBand="1"/>
      </w:tblPr>
      <w:tblGrid>
        <w:gridCol w:w="2540"/>
        <w:gridCol w:w="1320"/>
      </w:tblGrid>
      <w:tr w:rsidR="006F27B5" w:rsidRPr="00C534A9" w:rsidTr="006F27B5">
        <w:trPr>
          <w:trHeight w:val="450"/>
          <w:jc w:val="center"/>
        </w:trPr>
        <w:tc>
          <w:tcPr>
            <w:tcW w:w="2540" w:type="dxa"/>
            <w:tcBorders>
              <w:top w:val="nil"/>
              <w:left w:val="nil"/>
              <w:bottom w:val="nil"/>
              <w:right w:val="nil"/>
            </w:tcBorders>
            <w:shd w:val="clear" w:color="auto" w:fill="auto"/>
            <w:noWrap/>
            <w:vAlign w:val="center"/>
          </w:tcPr>
          <w:p w:rsidR="006F27B5" w:rsidRPr="00C534A9" w:rsidRDefault="006F27B5"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Net Present Value</w:t>
            </w:r>
          </w:p>
        </w:tc>
        <w:tc>
          <w:tcPr>
            <w:tcW w:w="1320" w:type="dxa"/>
            <w:tcBorders>
              <w:top w:val="nil"/>
              <w:left w:val="nil"/>
              <w:bottom w:val="nil"/>
              <w:right w:val="nil"/>
            </w:tcBorders>
            <w:shd w:val="clear" w:color="auto" w:fill="auto"/>
            <w:noWrap/>
            <w:vAlign w:val="center"/>
          </w:tcPr>
          <w:p w:rsidR="006F27B5" w:rsidRPr="00C534A9" w:rsidRDefault="006F27B5"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w:t>
            </w:r>
            <w:r w:rsidR="009B3769" w:rsidRPr="00C534A9">
              <w:rPr>
                <w:rFonts w:ascii="Arial" w:eastAsia="Times New Roman" w:hAnsi="Arial" w:cs="Arial"/>
                <w:color w:val="000000"/>
                <w:sz w:val="22"/>
                <w:szCs w:val="24"/>
              </w:rPr>
              <w:t>1,004</w:t>
            </w:r>
          </w:p>
        </w:tc>
      </w:tr>
      <w:tr w:rsidR="006F27B5" w:rsidRPr="00C534A9" w:rsidTr="006F27B5">
        <w:trPr>
          <w:trHeight w:val="450"/>
          <w:jc w:val="center"/>
        </w:trPr>
        <w:tc>
          <w:tcPr>
            <w:tcW w:w="2540" w:type="dxa"/>
            <w:tcBorders>
              <w:top w:val="nil"/>
              <w:left w:val="nil"/>
              <w:bottom w:val="nil"/>
              <w:right w:val="nil"/>
            </w:tcBorders>
            <w:shd w:val="clear" w:color="auto" w:fill="auto"/>
            <w:noWrap/>
            <w:vAlign w:val="center"/>
          </w:tcPr>
          <w:p w:rsidR="006F27B5" w:rsidRPr="00C534A9" w:rsidRDefault="006F27B5"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IRR</w:t>
            </w:r>
          </w:p>
        </w:tc>
        <w:tc>
          <w:tcPr>
            <w:tcW w:w="1320" w:type="dxa"/>
            <w:tcBorders>
              <w:top w:val="nil"/>
              <w:left w:val="nil"/>
              <w:bottom w:val="nil"/>
              <w:right w:val="nil"/>
            </w:tcBorders>
            <w:shd w:val="clear" w:color="auto" w:fill="auto"/>
            <w:noWrap/>
            <w:vAlign w:val="center"/>
          </w:tcPr>
          <w:p w:rsidR="006F27B5" w:rsidRPr="00C534A9" w:rsidRDefault="009B3769"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20</w:t>
            </w:r>
            <w:r w:rsidR="006F27B5" w:rsidRPr="00C534A9">
              <w:rPr>
                <w:rFonts w:ascii="Arial" w:eastAsia="Times New Roman" w:hAnsi="Arial" w:cs="Arial"/>
                <w:color w:val="000000"/>
                <w:sz w:val="22"/>
                <w:szCs w:val="24"/>
              </w:rPr>
              <w:t>%</w:t>
            </w:r>
          </w:p>
        </w:tc>
      </w:tr>
    </w:tbl>
    <w:p w:rsidR="00C26910" w:rsidRPr="00C534A9" w:rsidRDefault="00C26910" w:rsidP="00C534A9">
      <w:pPr>
        <w:pStyle w:val="Source"/>
        <w:jc w:val="both"/>
        <w:rPr>
          <w:rFonts w:ascii="Arial" w:hAnsi="Arial" w:cs="Arial"/>
          <w:sz w:val="18"/>
        </w:rPr>
      </w:pPr>
    </w:p>
    <w:p w:rsidR="00C26910" w:rsidRPr="00C534A9" w:rsidRDefault="00C26910" w:rsidP="00C534A9">
      <w:pPr>
        <w:jc w:val="both"/>
        <w:rPr>
          <w:rFonts w:ascii="Arial" w:hAnsi="Arial" w:cs="Arial"/>
          <w:sz w:val="22"/>
        </w:rPr>
      </w:pPr>
      <w:r w:rsidRPr="00C534A9">
        <w:rPr>
          <w:rFonts w:ascii="Arial" w:hAnsi="Arial" w:cs="Arial"/>
          <w:sz w:val="22"/>
        </w:rPr>
        <w:t xml:space="preserve">A detailed schedule of the annual cash flow calculations for the </w:t>
      </w:r>
      <w:r w:rsidR="00E2763A" w:rsidRPr="00C534A9">
        <w:rPr>
          <w:rFonts w:ascii="Arial" w:hAnsi="Arial" w:cs="Arial"/>
          <w:sz w:val="22"/>
        </w:rPr>
        <w:t>wind turbine</w:t>
      </w:r>
      <w:r w:rsidRPr="00C534A9">
        <w:rPr>
          <w:rFonts w:ascii="Arial" w:hAnsi="Arial" w:cs="Arial"/>
          <w:sz w:val="22"/>
        </w:rPr>
        <w:t xml:space="preserve"> sub-project is included in Appendix </w:t>
      </w:r>
      <w:r w:rsidR="00F122AA" w:rsidRPr="00C534A9">
        <w:rPr>
          <w:rFonts w:ascii="Arial" w:hAnsi="Arial" w:cs="Arial"/>
          <w:sz w:val="22"/>
        </w:rPr>
        <w:t>B</w:t>
      </w:r>
      <w:r w:rsidRPr="00C534A9">
        <w:rPr>
          <w:rFonts w:ascii="Arial" w:hAnsi="Arial" w:cs="Arial"/>
          <w:sz w:val="22"/>
        </w:rPr>
        <w:t>.</w:t>
      </w:r>
    </w:p>
    <w:p w:rsidR="00C26910" w:rsidRPr="00C534A9" w:rsidRDefault="00C26910" w:rsidP="00C534A9">
      <w:pPr>
        <w:jc w:val="both"/>
        <w:rPr>
          <w:rFonts w:ascii="Arial" w:hAnsi="Arial" w:cs="Arial"/>
          <w:sz w:val="22"/>
        </w:rPr>
      </w:pPr>
      <w:r w:rsidRPr="00C534A9">
        <w:rPr>
          <w:rFonts w:ascii="Arial" w:hAnsi="Arial" w:cs="Arial"/>
          <w:sz w:val="22"/>
        </w:rPr>
        <w:br w:type="page"/>
      </w:r>
    </w:p>
    <w:p w:rsidR="004F47E6" w:rsidRPr="00C534A9" w:rsidRDefault="004F47E6" w:rsidP="00C534A9">
      <w:pPr>
        <w:pStyle w:val="Heading1"/>
        <w:jc w:val="both"/>
        <w:rPr>
          <w:rFonts w:ascii="Arial" w:hAnsi="Arial" w:cs="Arial"/>
          <w:sz w:val="24"/>
        </w:rPr>
      </w:pPr>
      <w:bookmarkStart w:id="180" w:name="_Toc464551549"/>
      <w:r w:rsidRPr="00C534A9">
        <w:rPr>
          <w:rFonts w:ascii="Arial" w:hAnsi="Arial" w:cs="Arial"/>
          <w:sz w:val="24"/>
        </w:rPr>
        <w:t xml:space="preserve">Financial Analysis of the </w:t>
      </w:r>
      <w:r w:rsidR="00C755DB" w:rsidRPr="00C534A9">
        <w:rPr>
          <w:rFonts w:ascii="Arial" w:hAnsi="Arial" w:cs="Arial"/>
          <w:sz w:val="24"/>
        </w:rPr>
        <w:t>PV System</w:t>
      </w:r>
      <w:r w:rsidRPr="00C534A9">
        <w:rPr>
          <w:rFonts w:ascii="Arial" w:hAnsi="Arial" w:cs="Arial"/>
          <w:sz w:val="24"/>
        </w:rPr>
        <w:t xml:space="preserve"> Sub-Project</w:t>
      </w:r>
      <w:bookmarkEnd w:id="180"/>
    </w:p>
    <w:p w:rsidR="004F47E6" w:rsidRPr="00C534A9" w:rsidRDefault="004F47E6" w:rsidP="00C534A9">
      <w:pPr>
        <w:jc w:val="both"/>
        <w:rPr>
          <w:rFonts w:ascii="Arial" w:hAnsi="Arial" w:cs="Arial"/>
          <w:sz w:val="22"/>
        </w:rPr>
      </w:pPr>
      <w:r w:rsidRPr="00C534A9">
        <w:rPr>
          <w:rFonts w:ascii="Arial" w:hAnsi="Arial" w:cs="Arial"/>
          <w:sz w:val="22"/>
        </w:rPr>
        <w:t>The purpose of this section is to determine whether the PV system sub-project that will be funded under the proposed loan operation (the Project) is financially viable for NPC. The financial analysis described below finds that the sub-project has a net present value (NPV) to NPC of approximately US$</w:t>
      </w:r>
      <w:r w:rsidR="00D106A1" w:rsidRPr="00C534A9">
        <w:rPr>
          <w:rFonts w:ascii="Arial" w:hAnsi="Arial" w:cs="Arial"/>
          <w:sz w:val="22"/>
        </w:rPr>
        <w:t>101</w:t>
      </w:r>
      <w:r w:rsidR="00FD51CB" w:rsidRPr="00C534A9">
        <w:rPr>
          <w:rFonts w:ascii="Arial" w:hAnsi="Arial" w:cs="Arial"/>
          <w:sz w:val="22"/>
        </w:rPr>
        <w:t>,000</w:t>
      </w:r>
      <w:r w:rsidRPr="00C534A9">
        <w:rPr>
          <w:rFonts w:ascii="Arial" w:hAnsi="Arial" w:cs="Arial"/>
          <w:sz w:val="22"/>
        </w:rPr>
        <w:t xml:space="preserve"> and internal rate of return of </w:t>
      </w:r>
      <w:r w:rsidR="00D106A1" w:rsidRPr="00C534A9">
        <w:rPr>
          <w:rFonts w:ascii="Arial" w:hAnsi="Arial" w:cs="Arial"/>
          <w:sz w:val="22"/>
        </w:rPr>
        <w:t>15</w:t>
      </w:r>
      <w:r w:rsidRPr="00C534A9">
        <w:rPr>
          <w:rFonts w:ascii="Arial" w:hAnsi="Arial" w:cs="Arial"/>
          <w:sz w:val="22"/>
        </w:rPr>
        <w:t xml:space="preserve">% percent. That is, the sub-project would be profitable for NPC. Finally, the financial analysis showed that the debt coverage ratio (defined as the annual cash flow generated by the sub-projects divided by the annual payments required for the loan interest and principle repayments) is never lower than </w:t>
      </w:r>
      <w:r w:rsidR="002C0110" w:rsidRPr="00C534A9">
        <w:rPr>
          <w:rFonts w:ascii="Arial" w:hAnsi="Arial" w:cs="Arial"/>
          <w:sz w:val="22"/>
        </w:rPr>
        <w:t>2.</w:t>
      </w:r>
      <w:r w:rsidR="00D106A1" w:rsidRPr="00C534A9">
        <w:rPr>
          <w:rFonts w:ascii="Arial" w:hAnsi="Arial" w:cs="Arial"/>
          <w:sz w:val="22"/>
        </w:rPr>
        <w:t>69</w:t>
      </w:r>
      <w:r w:rsidRPr="00C534A9">
        <w:rPr>
          <w:rFonts w:ascii="Arial" w:hAnsi="Arial" w:cs="Arial"/>
          <w:sz w:val="22"/>
        </w:rPr>
        <w:t>. This means the project will generate sufficient cash flow to cover operating expenses and debt repayment obligations in any given year.</w:t>
      </w:r>
    </w:p>
    <w:p w:rsidR="004F47E6" w:rsidRPr="00C534A9" w:rsidRDefault="004F47E6" w:rsidP="00C534A9">
      <w:pPr>
        <w:jc w:val="both"/>
        <w:rPr>
          <w:rFonts w:ascii="Arial" w:hAnsi="Arial" w:cs="Arial"/>
          <w:sz w:val="22"/>
        </w:rPr>
      </w:pPr>
      <w:r w:rsidRPr="00C534A9">
        <w:rPr>
          <w:rFonts w:ascii="Arial" w:hAnsi="Arial" w:cs="Arial"/>
          <w:sz w:val="22"/>
        </w:rPr>
        <w:t xml:space="preserve">The analysis to calculate the net present value of the sub-projects is presented as follows: </w:t>
      </w:r>
    </w:p>
    <w:p w:rsidR="004F47E6" w:rsidRPr="00C534A9" w:rsidRDefault="004F47E6" w:rsidP="00C534A9">
      <w:pPr>
        <w:pStyle w:val="ListParagraph"/>
        <w:numPr>
          <w:ilvl w:val="0"/>
          <w:numId w:val="16"/>
        </w:numPr>
        <w:jc w:val="both"/>
        <w:rPr>
          <w:rFonts w:ascii="Arial" w:hAnsi="Arial" w:cs="Arial"/>
          <w:sz w:val="22"/>
        </w:rPr>
      </w:pPr>
      <w:r w:rsidRPr="00C534A9">
        <w:rPr>
          <w:rFonts w:ascii="Arial" w:hAnsi="Arial" w:cs="Arial"/>
          <w:sz w:val="22"/>
        </w:rPr>
        <w:t xml:space="preserve">Financial Analysis (Section </w:t>
      </w:r>
      <w:r w:rsidRPr="00C534A9">
        <w:rPr>
          <w:rFonts w:ascii="Arial" w:hAnsi="Arial" w:cs="Arial"/>
          <w:sz w:val="22"/>
        </w:rPr>
        <w:fldChar w:fldCharType="begin"/>
      </w:r>
      <w:r w:rsidRPr="00C534A9">
        <w:rPr>
          <w:rFonts w:ascii="Arial" w:hAnsi="Arial" w:cs="Arial"/>
          <w:sz w:val="22"/>
        </w:rPr>
        <w:instrText xml:space="preserve"> REF _Ref423357305 \r \h  \* MERGEFORMAT </w:instrText>
      </w:r>
      <w:r w:rsidRPr="00C534A9">
        <w:rPr>
          <w:rFonts w:ascii="Arial" w:hAnsi="Arial" w:cs="Arial"/>
          <w:sz w:val="22"/>
        </w:rPr>
      </w:r>
      <w:r w:rsidRPr="00C534A9">
        <w:rPr>
          <w:rFonts w:ascii="Arial" w:hAnsi="Arial" w:cs="Arial"/>
          <w:sz w:val="22"/>
        </w:rPr>
        <w:fldChar w:fldCharType="separate"/>
      </w:r>
      <w:r w:rsidRPr="00C534A9">
        <w:rPr>
          <w:rFonts w:ascii="Arial" w:hAnsi="Arial" w:cs="Arial"/>
          <w:sz w:val="22"/>
        </w:rPr>
        <w:t>12.1</w:t>
      </w:r>
      <w:r w:rsidRPr="00C534A9">
        <w:rPr>
          <w:rFonts w:ascii="Arial" w:hAnsi="Arial" w:cs="Arial"/>
          <w:sz w:val="22"/>
        </w:rPr>
        <w:fldChar w:fldCharType="end"/>
      </w:r>
      <w:r w:rsidRPr="00C534A9">
        <w:rPr>
          <w:rFonts w:ascii="Arial" w:hAnsi="Arial" w:cs="Arial"/>
          <w:sz w:val="22"/>
        </w:rPr>
        <w:t>)</w:t>
      </w:r>
    </w:p>
    <w:p w:rsidR="004F47E6" w:rsidRPr="00C534A9" w:rsidRDefault="004F47E6" w:rsidP="00C534A9">
      <w:pPr>
        <w:pStyle w:val="ListParagraph"/>
        <w:numPr>
          <w:ilvl w:val="0"/>
          <w:numId w:val="16"/>
        </w:numPr>
        <w:jc w:val="both"/>
        <w:rPr>
          <w:rFonts w:ascii="Arial" w:hAnsi="Arial" w:cs="Arial"/>
          <w:sz w:val="22"/>
        </w:rPr>
      </w:pPr>
      <w:r w:rsidRPr="00C534A9">
        <w:rPr>
          <w:rFonts w:ascii="Arial" w:hAnsi="Arial" w:cs="Arial"/>
          <w:sz w:val="22"/>
        </w:rPr>
        <w:t>Profitability (Section 12.2)</w:t>
      </w:r>
    </w:p>
    <w:p w:rsidR="004F47E6" w:rsidRPr="00C534A9" w:rsidRDefault="004F47E6" w:rsidP="00C534A9">
      <w:pPr>
        <w:pStyle w:val="Heading2"/>
        <w:jc w:val="both"/>
        <w:rPr>
          <w:rFonts w:ascii="Arial" w:hAnsi="Arial" w:cs="Arial"/>
          <w:sz w:val="24"/>
        </w:rPr>
      </w:pPr>
      <w:bookmarkStart w:id="181" w:name="_Toc464551550"/>
      <w:r w:rsidRPr="00C534A9">
        <w:rPr>
          <w:rFonts w:ascii="Arial" w:hAnsi="Arial" w:cs="Arial"/>
          <w:sz w:val="24"/>
        </w:rPr>
        <w:t>Financial Analysis</w:t>
      </w:r>
      <w:bookmarkEnd w:id="181"/>
    </w:p>
    <w:p w:rsidR="004F47E6" w:rsidRPr="00C534A9" w:rsidRDefault="004F47E6" w:rsidP="00C534A9">
      <w:pPr>
        <w:jc w:val="both"/>
        <w:rPr>
          <w:rFonts w:ascii="Arial" w:hAnsi="Arial" w:cs="Arial"/>
          <w:sz w:val="22"/>
        </w:rPr>
      </w:pPr>
      <w:r w:rsidRPr="00C534A9">
        <w:rPr>
          <w:rFonts w:ascii="Arial" w:hAnsi="Arial" w:cs="Arial"/>
          <w:sz w:val="22"/>
        </w:rPr>
        <w:t xml:space="preserve">The objective of the financial analysis is to determine whether or not the PV system sub-project is profitable. This is accomplished by estimating the net financial flows that the sub-project will generate. </w:t>
      </w:r>
    </w:p>
    <w:p w:rsidR="004F47E6" w:rsidRPr="00C534A9" w:rsidRDefault="00957ACC" w:rsidP="00C534A9">
      <w:pPr>
        <w:jc w:val="both"/>
        <w:rPr>
          <w:rFonts w:ascii="Arial" w:hAnsi="Arial" w:cs="Arial"/>
          <w:sz w:val="22"/>
        </w:rPr>
      </w:pPr>
      <w:r w:rsidRPr="00C534A9">
        <w:rPr>
          <w:rFonts w:ascii="Arial" w:hAnsi="Arial" w:cs="Arial"/>
          <w:sz w:val="22"/>
        </w:rPr>
        <w:t>The</w:t>
      </w:r>
      <w:r w:rsidR="004F47E6" w:rsidRPr="00C534A9">
        <w:rPr>
          <w:rFonts w:ascii="Arial" w:hAnsi="Arial" w:cs="Arial"/>
          <w:sz w:val="22"/>
        </w:rPr>
        <w:t xml:space="preserve"> sub-project’s net financial flows </w:t>
      </w:r>
      <w:r w:rsidRPr="00C534A9">
        <w:rPr>
          <w:rFonts w:ascii="Arial" w:hAnsi="Arial" w:cs="Arial"/>
          <w:sz w:val="22"/>
        </w:rPr>
        <w:t xml:space="preserve">were determined </w:t>
      </w:r>
      <w:r w:rsidR="004F47E6" w:rsidRPr="00C534A9">
        <w:rPr>
          <w:rFonts w:ascii="Arial" w:hAnsi="Arial" w:cs="Arial"/>
          <w:sz w:val="22"/>
        </w:rPr>
        <w:t>by calculating the projects income and expenses, applying factors such as the loan interest rate, loan period, depreciation rate, and the Barbados corporate tax rate as described in Section 8.1. This analysis results in the expected cash flows attributable to the project for each year of the loan’s 25 year period. These cash flows are then converted to the sub-project NPV and IRR using a 12 percent real discount rate.</w:t>
      </w:r>
    </w:p>
    <w:p w:rsidR="004F47E6" w:rsidRPr="00C534A9" w:rsidRDefault="004F47E6" w:rsidP="00C534A9">
      <w:pPr>
        <w:jc w:val="both"/>
        <w:rPr>
          <w:rFonts w:ascii="Arial" w:hAnsi="Arial" w:cs="Arial"/>
          <w:sz w:val="22"/>
        </w:rPr>
      </w:pPr>
      <w:r w:rsidRPr="00C534A9">
        <w:rPr>
          <w:rFonts w:ascii="Arial" w:hAnsi="Arial" w:cs="Arial"/>
          <w:sz w:val="22"/>
        </w:rPr>
        <w:t>The steps to calculate the sub-project profitability are:</w:t>
      </w:r>
    </w:p>
    <w:p w:rsidR="004F47E6" w:rsidRPr="00C534A9" w:rsidRDefault="004F47E6" w:rsidP="00C534A9">
      <w:pPr>
        <w:pStyle w:val="ListParagraph"/>
        <w:numPr>
          <w:ilvl w:val="0"/>
          <w:numId w:val="36"/>
        </w:numPr>
        <w:jc w:val="both"/>
        <w:rPr>
          <w:rFonts w:ascii="Arial" w:hAnsi="Arial" w:cs="Arial"/>
          <w:sz w:val="22"/>
        </w:rPr>
      </w:pPr>
      <w:r w:rsidRPr="00C534A9">
        <w:rPr>
          <w:rFonts w:ascii="Arial" w:hAnsi="Arial" w:cs="Arial"/>
          <w:sz w:val="22"/>
        </w:rPr>
        <w:t xml:space="preserve">Estimate the annual income associated with the PV system (Section </w:t>
      </w:r>
      <w:r w:rsidR="00C755DB" w:rsidRPr="00C534A9">
        <w:rPr>
          <w:rFonts w:ascii="Arial" w:hAnsi="Arial" w:cs="Arial"/>
          <w:sz w:val="22"/>
        </w:rPr>
        <w:t>12</w:t>
      </w:r>
      <w:r w:rsidRPr="00C534A9">
        <w:rPr>
          <w:rFonts w:ascii="Arial" w:hAnsi="Arial" w:cs="Arial"/>
          <w:sz w:val="22"/>
        </w:rPr>
        <w:t>.1.1)</w:t>
      </w:r>
    </w:p>
    <w:p w:rsidR="004F47E6" w:rsidRPr="00C534A9" w:rsidRDefault="004F47E6" w:rsidP="00C534A9">
      <w:pPr>
        <w:pStyle w:val="ListParagraph"/>
        <w:numPr>
          <w:ilvl w:val="0"/>
          <w:numId w:val="36"/>
        </w:numPr>
        <w:jc w:val="both"/>
        <w:rPr>
          <w:rFonts w:ascii="Arial" w:hAnsi="Arial" w:cs="Arial"/>
          <w:sz w:val="22"/>
        </w:rPr>
      </w:pPr>
      <w:r w:rsidRPr="00C534A9">
        <w:rPr>
          <w:rFonts w:ascii="Arial" w:hAnsi="Arial" w:cs="Arial"/>
          <w:sz w:val="22"/>
        </w:rPr>
        <w:t xml:space="preserve">Estimate the annual expenses associated with the PV system (Section </w:t>
      </w:r>
      <w:r w:rsidR="00C755DB" w:rsidRPr="00C534A9">
        <w:rPr>
          <w:rFonts w:ascii="Arial" w:hAnsi="Arial" w:cs="Arial"/>
          <w:sz w:val="22"/>
        </w:rPr>
        <w:t>12</w:t>
      </w:r>
      <w:r w:rsidRPr="00C534A9">
        <w:rPr>
          <w:rFonts w:ascii="Arial" w:hAnsi="Arial" w:cs="Arial"/>
          <w:sz w:val="22"/>
        </w:rPr>
        <w:t>.1.2)</w:t>
      </w:r>
    </w:p>
    <w:p w:rsidR="004F47E6" w:rsidRPr="00C534A9" w:rsidRDefault="004F47E6" w:rsidP="00C534A9">
      <w:pPr>
        <w:pStyle w:val="ListParagraph"/>
        <w:numPr>
          <w:ilvl w:val="0"/>
          <w:numId w:val="36"/>
        </w:numPr>
        <w:jc w:val="both"/>
        <w:rPr>
          <w:rFonts w:ascii="Arial" w:hAnsi="Arial" w:cs="Arial"/>
          <w:sz w:val="22"/>
        </w:rPr>
      </w:pPr>
      <w:r w:rsidRPr="00C534A9">
        <w:rPr>
          <w:rFonts w:ascii="Arial" w:hAnsi="Arial" w:cs="Arial"/>
          <w:sz w:val="22"/>
        </w:rPr>
        <w:t xml:space="preserve">Calculate the annual cash flows resulting from the associated income and expenses, based on the financial and tax variables noted in section 8.1 above (Section </w:t>
      </w:r>
      <w:r w:rsidRPr="00C534A9">
        <w:rPr>
          <w:rFonts w:ascii="Arial" w:hAnsi="Arial" w:cs="Arial"/>
          <w:sz w:val="22"/>
        </w:rPr>
        <w:fldChar w:fldCharType="begin"/>
      </w:r>
      <w:r w:rsidRPr="00C534A9">
        <w:rPr>
          <w:rFonts w:ascii="Arial" w:hAnsi="Arial" w:cs="Arial"/>
          <w:sz w:val="22"/>
        </w:rPr>
        <w:instrText xml:space="preserve"> REF _Ref423355941 \r \h  \* MERGEFORMAT </w:instrText>
      </w:r>
      <w:r w:rsidRPr="00C534A9">
        <w:rPr>
          <w:rFonts w:ascii="Arial" w:hAnsi="Arial" w:cs="Arial"/>
          <w:sz w:val="22"/>
        </w:rPr>
      </w:r>
      <w:r w:rsidRPr="00C534A9">
        <w:rPr>
          <w:rFonts w:ascii="Arial" w:hAnsi="Arial" w:cs="Arial"/>
          <w:sz w:val="22"/>
        </w:rPr>
        <w:fldChar w:fldCharType="separate"/>
      </w:r>
      <w:r w:rsidR="00C755DB" w:rsidRPr="00C534A9">
        <w:rPr>
          <w:rFonts w:ascii="Arial" w:hAnsi="Arial" w:cs="Arial"/>
          <w:sz w:val="22"/>
        </w:rPr>
        <w:t>12</w:t>
      </w:r>
      <w:r w:rsidRPr="00C534A9">
        <w:rPr>
          <w:rFonts w:ascii="Arial" w:hAnsi="Arial" w:cs="Arial"/>
          <w:sz w:val="22"/>
        </w:rPr>
        <w:t>.1.3</w:t>
      </w:r>
      <w:r w:rsidRPr="00C534A9">
        <w:rPr>
          <w:rFonts w:ascii="Arial" w:hAnsi="Arial" w:cs="Arial"/>
          <w:sz w:val="22"/>
        </w:rPr>
        <w:fldChar w:fldCharType="end"/>
      </w:r>
      <w:r w:rsidRPr="00C534A9">
        <w:rPr>
          <w:rFonts w:ascii="Arial" w:hAnsi="Arial" w:cs="Arial"/>
          <w:sz w:val="22"/>
        </w:rPr>
        <w:t>).</w:t>
      </w:r>
    </w:p>
    <w:p w:rsidR="004F47E6" w:rsidRPr="00C534A9" w:rsidRDefault="004F47E6" w:rsidP="00C534A9">
      <w:pPr>
        <w:jc w:val="both"/>
        <w:rPr>
          <w:rFonts w:ascii="Arial" w:hAnsi="Arial" w:cs="Arial"/>
          <w:sz w:val="22"/>
        </w:rPr>
      </w:pPr>
      <w:r w:rsidRPr="00C534A9">
        <w:rPr>
          <w:rFonts w:ascii="Arial" w:hAnsi="Arial" w:cs="Arial"/>
          <w:sz w:val="22"/>
        </w:rPr>
        <w:t>Each of these steps and the assumptions used in their calculation are described in more detail below.</w:t>
      </w:r>
    </w:p>
    <w:p w:rsidR="004F47E6" w:rsidRPr="00C534A9" w:rsidRDefault="004F47E6" w:rsidP="00C534A9">
      <w:pPr>
        <w:pStyle w:val="Heading3"/>
        <w:jc w:val="both"/>
        <w:rPr>
          <w:rFonts w:ascii="Arial" w:hAnsi="Arial" w:cs="Arial"/>
          <w:sz w:val="22"/>
        </w:rPr>
      </w:pPr>
      <w:bookmarkStart w:id="182" w:name="_Toc464551551"/>
      <w:r w:rsidRPr="00C534A9">
        <w:rPr>
          <w:rFonts w:ascii="Arial" w:hAnsi="Arial" w:cs="Arial"/>
          <w:sz w:val="22"/>
        </w:rPr>
        <w:t>Income of the PV system sub-project</w:t>
      </w:r>
      <w:bookmarkEnd w:id="182"/>
    </w:p>
    <w:p w:rsidR="004F47E6" w:rsidRPr="00C534A9" w:rsidRDefault="004F47E6" w:rsidP="00C534A9">
      <w:pPr>
        <w:jc w:val="both"/>
        <w:rPr>
          <w:rFonts w:ascii="Arial" w:hAnsi="Arial" w:cs="Arial"/>
          <w:sz w:val="22"/>
        </w:rPr>
      </w:pPr>
      <w:r w:rsidRPr="00C534A9">
        <w:rPr>
          <w:rFonts w:ascii="Arial" w:hAnsi="Arial" w:cs="Arial"/>
          <w:sz w:val="22"/>
        </w:rPr>
        <w:t>The sources of income associated with the sub-project include:</w:t>
      </w:r>
    </w:p>
    <w:p w:rsidR="004F47E6" w:rsidRPr="00C534A9" w:rsidRDefault="004F47E6" w:rsidP="00C534A9">
      <w:pPr>
        <w:pStyle w:val="ListParagraph"/>
        <w:numPr>
          <w:ilvl w:val="0"/>
          <w:numId w:val="34"/>
        </w:numPr>
        <w:spacing w:after="120"/>
        <w:jc w:val="both"/>
        <w:rPr>
          <w:rFonts w:ascii="Arial" w:hAnsi="Arial" w:cs="Arial"/>
          <w:sz w:val="22"/>
        </w:rPr>
      </w:pPr>
      <w:r w:rsidRPr="00C534A9">
        <w:rPr>
          <w:rFonts w:ascii="Arial" w:hAnsi="Arial" w:cs="Arial"/>
          <w:b/>
          <w:sz w:val="22"/>
        </w:rPr>
        <w:t>Avoided electricity purchases and excess electricity sales</w:t>
      </w:r>
      <w:r w:rsidRPr="00C534A9">
        <w:rPr>
          <w:rFonts w:ascii="Arial" w:hAnsi="Arial" w:cs="Arial"/>
          <w:sz w:val="22"/>
        </w:rPr>
        <w:t xml:space="preserve">—NPC will use the electricity generated by the PV systems to offset its purchases of electricity from </w:t>
      </w:r>
      <w:r w:rsidR="00222066" w:rsidRPr="00C534A9">
        <w:rPr>
          <w:rFonts w:ascii="Arial" w:hAnsi="Arial" w:cs="Arial"/>
          <w:sz w:val="22"/>
        </w:rPr>
        <w:t>BL&amp;P</w:t>
      </w:r>
      <w:r w:rsidRPr="00C534A9">
        <w:rPr>
          <w:rFonts w:ascii="Arial" w:hAnsi="Arial" w:cs="Arial"/>
          <w:sz w:val="22"/>
        </w:rPr>
        <w:t xml:space="preserve">. If the PV system generates more electricity than NPC requires, it intends to sell the excess to </w:t>
      </w:r>
      <w:r w:rsidR="00222066" w:rsidRPr="00C534A9">
        <w:rPr>
          <w:rFonts w:ascii="Arial" w:hAnsi="Arial" w:cs="Arial"/>
          <w:sz w:val="22"/>
        </w:rPr>
        <w:t>BL&amp;P</w:t>
      </w:r>
      <w:r w:rsidRPr="00C534A9">
        <w:rPr>
          <w:rFonts w:ascii="Arial" w:hAnsi="Arial" w:cs="Arial"/>
          <w:sz w:val="22"/>
        </w:rPr>
        <w:t>. This analysis assumes that the price for both avoided electricity purchases and electricity sales is the same and is equal to the current electricity rate for large industrial consumers. The total income from avoided electricity purchases or excess electricity sales is the product of the amount of electricity produced by the PV system and the retail price per unit of electricity.</w:t>
      </w:r>
    </w:p>
    <w:p w:rsidR="004F47E6" w:rsidRPr="00C534A9" w:rsidRDefault="004F47E6" w:rsidP="00C534A9">
      <w:pPr>
        <w:pStyle w:val="Heading3"/>
        <w:jc w:val="both"/>
        <w:rPr>
          <w:rFonts w:ascii="Arial" w:hAnsi="Arial" w:cs="Arial"/>
          <w:sz w:val="22"/>
        </w:rPr>
      </w:pPr>
      <w:bookmarkStart w:id="183" w:name="_Toc464551552"/>
      <w:r w:rsidRPr="00C534A9">
        <w:rPr>
          <w:rFonts w:ascii="Arial" w:hAnsi="Arial" w:cs="Arial"/>
          <w:sz w:val="22"/>
        </w:rPr>
        <w:t>Expenses of the PV system sub-project</w:t>
      </w:r>
      <w:bookmarkEnd w:id="183"/>
    </w:p>
    <w:p w:rsidR="004F47E6" w:rsidRPr="00C534A9" w:rsidRDefault="004F47E6" w:rsidP="00C534A9">
      <w:pPr>
        <w:jc w:val="both"/>
        <w:rPr>
          <w:rFonts w:ascii="Arial" w:hAnsi="Arial" w:cs="Arial"/>
          <w:sz w:val="22"/>
        </w:rPr>
      </w:pPr>
      <w:r w:rsidRPr="00C534A9">
        <w:rPr>
          <w:rFonts w:ascii="Arial" w:hAnsi="Arial" w:cs="Arial"/>
          <w:sz w:val="22"/>
        </w:rPr>
        <w:t>The costs associated with the sub-project include:</w:t>
      </w:r>
    </w:p>
    <w:p w:rsidR="004F47E6" w:rsidRPr="00C534A9" w:rsidRDefault="004F47E6" w:rsidP="00C534A9">
      <w:pPr>
        <w:pStyle w:val="ListParagraph"/>
        <w:numPr>
          <w:ilvl w:val="0"/>
          <w:numId w:val="35"/>
        </w:numPr>
        <w:jc w:val="both"/>
        <w:rPr>
          <w:rFonts w:ascii="Arial" w:hAnsi="Arial" w:cs="Arial"/>
          <w:sz w:val="22"/>
        </w:rPr>
      </w:pPr>
      <w:r w:rsidRPr="00C534A9">
        <w:rPr>
          <w:rFonts w:ascii="Arial" w:hAnsi="Arial" w:cs="Arial"/>
          <w:b/>
          <w:sz w:val="22"/>
        </w:rPr>
        <w:t>Capital Expenditures (Capex)</w:t>
      </w:r>
      <w:r w:rsidRPr="00C534A9">
        <w:rPr>
          <w:rFonts w:ascii="Arial" w:hAnsi="Arial" w:cs="Arial"/>
          <w:sz w:val="22"/>
        </w:rPr>
        <w:t xml:space="preserve">—these are the capital investments needed to complete the sub-project. </w:t>
      </w:r>
      <w:r w:rsidR="00957ACC" w:rsidRPr="00C534A9">
        <w:rPr>
          <w:rFonts w:ascii="Arial" w:hAnsi="Arial" w:cs="Arial"/>
          <w:sz w:val="22"/>
        </w:rPr>
        <w:t>The capital investments</w:t>
      </w:r>
      <w:r w:rsidRPr="00C534A9">
        <w:rPr>
          <w:rFonts w:ascii="Arial" w:hAnsi="Arial" w:cs="Arial"/>
          <w:sz w:val="22"/>
        </w:rPr>
        <w:t xml:space="preserve"> include the costs for the PV system and related consulting costs for the PV system engineering, procurement and installation.  The estimated Capex for the PV system is US$</w:t>
      </w:r>
      <w:r w:rsidR="00C755DB" w:rsidRPr="00C534A9">
        <w:rPr>
          <w:rFonts w:ascii="Arial" w:hAnsi="Arial" w:cs="Arial"/>
          <w:sz w:val="22"/>
        </w:rPr>
        <w:t>540,000</w:t>
      </w:r>
      <w:r w:rsidRPr="00C534A9">
        <w:rPr>
          <w:rFonts w:ascii="Arial" w:hAnsi="Arial" w:cs="Arial"/>
          <w:sz w:val="22"/>
        </w:rPr>
        <w:t>.</w:t>
      </w:r>
    </w:p>
    <w:p w:rsidR="004F47E6" w:rsidRPr="00C534A9" w:rsidRDefault="004F47E6" w:rsidP="00C534A9">
      <w:pPr>
        <w:pStyle w:val="ListParagraph"/>
        <w:numPr>
          <w:ilvl w:val="0"/>
          <w:numId w:val="35"/>
        </w:numPr>
        <w:jc w:val="both"/>
        <w:rPr>
          <w:rFonts w:ascii="Arial" w:hAnsi="Arial" w:cs="Arial"/>
          <w:sz w:val="22"/>
        </w:rPr>
      </w:pPr>
      <w:r w:rsidRPr="00C534A9">
        <w:rPr>
          <w:rFonts w:ascii="Arial" w:hAnsi="Arial" w:cs="Arial"/>
          <w:b/>
          <w:sz w:val="22"/>
        </w:rPr>
        <w:t>Operational Expenditures (</w:t>
      </w:r>
      <w:proofErr w:type="spellStart"/>
      <w:r w:rsidRPr="00C534A9">
        <w:rPr>
          <w:rFonts w:ascii="Arial" w:hAnsi="Arial" w:cs="Arial"/>
          <w:b/>
          <w:sz w:val="22"/>
        </w:rPr>
        <w:t>Opex</w:t>
      </w:r>
      <w:proofErr w:type="spellEnd"/>
      <w:r w:rsidRPr="00C534A9">
        <w:rPr>
          <w:rFonts w:ascii="Arial" w:hAnsi="Arial" w:cs="Arial"/>
          <w:b/>
          <w:sz w:val="22"/>
        </w:rPr>
        <w:t>)</w:t>
      </w:r>
      <w:r w:rsidRPr="00C534A9">
        <w:rPr>
          <w:rFonts w:ascii="Arial" w:hAnsi="Arial" w:cs="Arial"/>
          <w:sz w:val="22"/>
        </w:rPr>
        <w:t xml:space="preserve">—these are the annual expenses incurred to operate and maintain the PV system and related infrastructure. Operating expenses are largely fixed costs that are not directly dependent on the volume of electricity produced. </w:t>
      </w:r>
      <w:r w:rsidR="00C755DB" w:rsidRPr="00C534A9">
        <w:rPr>
          <w:rFonts w:ascii="Arial" w:hAnsi="Arial" w:cs="Arial"/>
          <w:sz w:val="22"/>
        </w:rPr>
        <w:t>PV system</w:t>
      </w:r>
      <w:r w:rsidRPr="00C534A9">
        <w:rPr>
          <w:rFonts w:ascii="Arial" w:hAnsi="Arial" w:cs="Arial"/>
          <w:sz w:val="22"/>
        </w:rPr>
        <w:t xml:space="preserve"> </w:t>
      </w:r>
      <w:proofErr w:type="spellStart"/>
      <w:r w:rsidRPr="00C534A9">
        <w:rPr>
          <w:rFonts w:ascii="Arial" w:hAnsi="Arial" w:cs="Arial"/>
          <w:sz w:val="22"/>
        </w:rPr>
        <w:t>Opex</w:t>
      </w:r>
      <w:proofErr w:type="spellEnd"/>
      <w:r w:rsidRPr="00C534A9">
        <w:rPr>
          <w:rFonts w:ascii="Arial" w:hAnsi="Arial" w:cs="Arial"/>
          <w:sz w:val="22"/>
        </w:rPr>
        <w:t xml:space="preserve"> costs are estimated to be US$</w:t>
      </w:r>
      <w:r w:rsidR="00C755DB" w:rsidRPr="00C534A9">
        <w:rPr>
          <w:rFonts w:ascii="Arial" w:hAnsi="Arial" w:cs="Arial"/>
          <w:sz w:val="22"/>
        </w:rPr>
        <w:t>30</w:t>
      </w:r>
      <w:r w:rsidRPr="00C534A9">
        <w:rPr>
          <w:rFonts w:ascii="Arial" w:hAnsi="Arial" w:cs="Arial"/>
          <w:sz w:val="22"/>
        </w:rPr>
        <w:t xml:space="preserve"> per kW of installed capacity per year.</w:t>
      </w:r>
    </w:p>
    <w:p w:rsidR="004F47E6" w:rsidRPr="00C534A9" w:rsidRDefault="004F47E6" w:rsidP="00C534A9">
      <w:pPr>
        <w:pStyle w:val="ListParagraph"/>
        <w:numPr>
          <w:ilvl w:val="0"/>
          <w:numId w:val="35"/>
        </w:numPr>
        <w:jc w:val="both"/>
        <w:rPr>
          <w:rFonts w:ascii="Arial" w:hAnsi="Arial" w:cs="Arial"/>
          <w:sz w:val="22"/>
        </w:rPr>
      </w:pPr>
      <w:r w:rsidRPr="00C534A9">
        <w:rPr>
          <w:rFonts w:ascii="Arial" w:hAnsi="Arial" w:cs="Arial"/>
          <w:b/>
          <w:sz w:val="22"/>
        </w:rPr>
        <w:t>Loan interest payments</w:t>
      </w:r>
      <w:r w:rsidRPr="00C534A9">
        <w:rPr>
          <w:rFonts w:ascii="Arial" w:hAnsi="Arial" w:cs="Arial"/>
          <w:sz w:val="22"/>
        </w:rPr>
        <w:t>—</w:t>
      </w:r>
      <w:r w:rsidRPr="00C534A9">
        <w:rPr>
          <w:rFonts w:ascii="Arial" w:hAnsi="Arial" w:cs="Arial"/>
          <w:sz w:val="22"/>
          <w:szCs w:val="24"/>
        </w:rPr>
        <w:t xml:space="preserve">these are the financing charges for the IDB loan for the capital investment in the sub-project. According to the IDB, the loan terms include an interest rate of LIBOR + 1.15 percent (currently roughly 1.65%) and a 25 year repayment period, </w:t>
      </w:r>
    </w:p>
    <w:p w:rsidR="004F47E6" w:rsidRPr="00C534A9" w:rsidRDefault="004F47E6" w:rsidP="00C534A9">
      <w:pPr>
        <w:pStyle w:val="ListParagraph"/>
        <w:numPr>
          <w:ilvl w:val="0"/>
          <w:numId w:val="35"/>
        </w:numPr>
        <w:jc w:val="both"/>
        <w:rPr>
          <w:rFonts w:ascii="Arial" w:hAnsi="Arial" w:cs="Arial"/>
          <w:sz w:val="22"/>
        </w:rPr>
      </w:pPr>
      <w:r w:rsidRPr="00C534A9">
        <w:rPr>
          <w:rFonts w:ascii="Arial" w:hAnsi="Arial" w:cs="Arial"/>
          <w:b/>
          <w:sz w:val="22"/>
        </w:rPr>
        <w:t>Corporate taxes</w:t>
      </w:r>
      <w:r w:rsidRPr="00C534A9">
        <w:rPr>
          <w:rFonts w:ascii="Arial" w:hAnsi="Arial" w:cs="Arial"/>
          <w:sz w:val="22"/>
        </w:rPr>
        <w:t xml:space="preserve">—these are the taxes that NPC must pay on the profits that are generated by the sub-project. Barbados’ corporate tax rate is currently 25%. This rate was applied to the sub-project earnings after deducting interest and amortization expenses. </w:t>
      </w:r>
      <w:r w:rsidR="00957ACC" w:rsidRPr="00C534A9">
        <w:rPr>
          <w:rFonts w:ascii="Arial" w:hAnsi="Arial" w:cs="Arial"/>
          <w:sz w:val="22"/>
        </w:rPr>
        <w:t>T</w:t>
      </w:r>
      <w:r w:rsidRPr="00C534A9">
        <w:rPr>
          <w:rFonts w:ascii="Arial" w:hAnsi="Arial" w:cs="Arial"/>
          <w:sz w:val="22"/>
        </w:rPr>
        <w:t xml:space="preserve">he sub-project assets </w:t>
      </w:r>
      <w:r w:rsidR="00957ACC" w:rsidRPr="00C534A9">
        <w:rPr>
          <w:rFonts w:ascii="Arial" w:hAnsi="Arial" w:cs="Arial"/>
          <w:sz w:val="22"/>
        </w:rPr>
        <w:t xml:space="preserve">were assumed to </w:t>
      </w:r>
      <w:r w:rsidRPr="00C534A9">
        <w:rPr>
          <w:rFonts w:ascii="Arial" w:hAnsi="Arial" w:cs="Arial"/>
          <w:sz w:val="22"/>
        </w:rPr>
        <w:t xml:space="preserve">be amortized with </w:t>
      </w:r>
      <w:proofErr w:type="gramStart"/>
      <w:r w:rsidRPr="00C534A9">
        <w:rPr>
          <w:rFonts w:ascii="Arial" w:hAnsi="Arial" w:cs="Arial"/>
          <w:sz w:val="22"/>
        </w:rPr>
        <w:t>a 15</w:t>
      </w:r>
      <w:proofErr w:type="gramEnd"/>
      <w:r w:rsidRPr="00C534A9">
        <w:rPr>
          <w:rFonts w:ascii="Arial" w:hAnsi="Arial" w:cs="Arial"/>
          <w:sz w:val="22"/>
        </w:rPr>
        <w:t xml:space="preserve">-year straight line depreciation. </w:t>
      </w:r>
      <w:r w:rsidR="00957ACC" w:rsidRPr="00C534A9">
        <w:rPr>
          <w:rFonts w:ascii="Arial" w:hAnsi="Arial" w:cs="Arial"/>
          <w:sz w:val="22"/>
        </w:rPr>
        <w:t>Th</w:t>
      </w:r>
      <w:r w:rsidRPr="00C534A9">
        <w:rPr>
          <w:rFonts w:ascii="Arial" w:hAnsi="Arial" w:cs="Arial"/>
          <w:sz w:val="22"/>
        </w:rPr>
        <w:t xml:space="preserve">e full corporate tax rate </w:t>
      </w:r>
      <w:r w:rsidR="00957ACC" w:rsidRPr="00C534A9">
        <w:rPr>
          <w:rFonts w:ascii="Arial" w:hAnsi="Arial" w:cs="Arial"/>
          <w:sz w:val="22"/>
        </w:rPr>
        <w:t xml:space="preserve">was assumed to </w:t>
      </w:r>
      <w:r w:rsidRPr="00C534A9">
        <w:rPr>
          <w:rFonts w:ascii="Arial" w:hAnsi="Arial" w:cs="Arial"/>
          <w:sz w:val="22"/>
        </w:rPr>
        <w:t>be applied to the sub-project.</w:t>
      </w:r>
    </w:p>
    <w:p w:rsidR="004F47E6" w:rsidRPr="00C534A9" w:rsidRDefault="004F47E6" w:rsidP="00C534A9">
      <w:pPr>
        <w:pStyle w:val="Heading3"/>
        <w:jc w:val="both"/>
        <w:rPr>
          <w:rFonts w:ascii="Arial" w:hAnsi="Arial" w:cs="Arial"/>
          <w:sz w:val="22"/>
        </w:rPr>
      </w:pPr>
      <w:bookmarkStart w:id="184" w:name="_Toc464551553"/>
      <w:r w:rsidRPr="00C534A9">
        <w:rPr>
          <w:rFonts w:ascii="Arial" w:hAnsi="Arial" w:cs="Arial"/>
          <w:sz w:val="22"/>
        </w:rPr>
        <w:t>Cash flows of the PV system sub-project</w:t>
      </w:r>
      <w:bookmarkEnd w:id="184"/>
    </w:p>
    <w:p w:rsidR="004F47E6" w:rsidRPr="00C534A9" w:rsidRDefault="004F47E6" w:rsidP="00C534A9">
      <w:pPr>
        <w:jc w:val="both"/>
        <w:rPr>
          <w:rFonts w:ascii="Arial" w:hAnsi="Arial" w:cs="Arial"/>
          <w:sz w:val="22"/>
        </w:rPr>
      </w:pPr>
      <w:r w:rsidRPr="00C534A9">
        <w:rPr>
          <w:rFonts w:ascii="Arial" w:hAnsi="Arial" w:cs="Arial"/>
          <w:sz w:val="22"/>
        </w:rPr>
        <w:t>After estimat</w:t>
      </w:r>
      <w:r w:rsidR="00712B41" w:rsidRPr="00C534A9">
        <w:rPr>
          <w:rFonts w:ascii="Arial" w:hAnsi="Arial" w:cs="Arial"/>
          <w:sz w:val="22"/>
        </w:rPr>
        <w:t>ing</w:t>
      </w:r>
      <w:r w:rsidRPr="00C534A9">
        <w:rPr>
          <w:rFonts w:ascii="Arial" w:hAnsi="Arial" w:cs="Arial"/>
          <w:sz w:val="22"/>
        </w:rPr>
        <w:t xml:space="preserve"> the sub-project’s associated income and expenses, the next step is to calculate the sub-project’s annual cash flow. This is accomplished by subtracting the present value of the sub-project’s costs from the present value of the sub-project’s benefits. </w:t>
      </w:r>
      <w:proofErr w:type="gramStart"/>
      <w:r w:rsidRPr="00C534A9">
        <w:rPr>
          <w:rFonts w:ascii="Arial" w:hAnsi="Arial" w:cs="Arial"/>
          <w:sz w:val="22"/>
        </w:rPr>
        <w:t>The present value of the sub-project’s costs and benefits, a social discount rate of 12 percent (in real terms).</w:t>
      </w:r>
      <w:proofErr w:type="gramEnd"/>
      <w:r w:rsidRPr="00C534A9">
        <w:rPr>
          <w:rFonts w:ascii="Arial" w:hAnsi="Arial" w:cs="Arial"/>
          <w:sz w:val="22"/>
        </w:rPr>
        <w:t xml:space="preserve"> If the present value of the sub-project’s net benefits is greater than zero, the sub-project is economically viable.  </w:t>
      </w:r>
    </w:p>
    <w:p w:rsidR="004F47E6" w:rsidRPr="00C534A9" w:rsidRDefault="004F47E6" w:rsidP="00C534A9">
      <w:pPr>
        <w:pStyle w:val="Heading2"/>
        <w:jc w:val="both"/>
        <w:rPr>
          <w:rFonts w:ascii="Arial" w:hAnsi="Arial" w:cs="Arial"/>
          <w:sz w:val="24"/>
        </w:rPr>
      </w:pPr>
      <w:bookmarkStart w:id="185" w:name="_Toc464551554"/>
      <w:r w:rsidRPr="00C534A9">
        <w:rPr>
          <w:rFonts w:ascii="Arial" w:hAnsi="Arial" w:cs="Arial"/>
          <w:sz w:val="24"/>
        </w:rPr>
        <w:t>Profitability of the PV system sub-project</w:t>
      </w:r>
      <w:bookmarkEnd w:id="185"/>
    </w:p>
    <w:p w:rsidR="004F47E6" w:rsidRPr="00C534A9" w:rsidRDefault="004F47E6" w:rsidP="00C534A9">
      <w:pPr>
        <w:jc w:val="both"/>
        <w:rPr>
          <w:rFonts w:ascii="Arial" w:hAnsi="Arial" w:cs="Arial"/>
          <w:sz w:val="22"/>
        </w:rPr>
      </w:pPr>
      <w:r w:rsidRPr="00C534A9">
        <w:rPr>
          <w:rFonts w:ascii="Arial" w:hAnsi="Arial" w:cs="Arial"/>
          <w:sz w:val="22"/>
        </w:rPr>
        <w:t xml:space="preserve">This section presents the results of the financial analysis for the PV system. The sub-project’s net present value is </w:t>
      </w:r>
      <w:r w:rsidR="00FD51CB" w:rsidRPr="00C534A9">
        <w:rPr>
          <w:rFonts w:ascii="Arial" w:hAnsi="Arial" w:cs="Arial"/>
          <w:sz w:val="22"/>
        </w:rPr>
        <w:t>US$</w:t>
      </w:r>
      <w:r w:rsidR="00D106A1" w:rsidRPr="00C534A9">
        <w:rPr>
          <w:rFonts w:ascii="Arial" w:hAnsi="Arial" w:cs="Arial"/>
          <w:sz w:val="22"/>
        </w:rPr>
        <w:t>101</w:t>
      </w:r>
      <w:r w:rsidR="00FD51CB" w:rsidRPr="00C534A9">
        <w:rPr>
          <w:rFonts w:ascii="Arial" w:hAnsi="Arial" w:cs="Arial"/>
          <w:sz w:val="22"/>
        </w:rPr>
        <w:t>,000</w:t>
      </w:r>
      <w:r w:rsidRPr="00C534A9">
        <w:rPr>
          <w:rFonts w:ascii="Arial" w:hAnsi="Arial" w:cs="Arial"/>
          <w:sz w:val="22"/>
        </w:rPr>
        <w:t xml:space="preserve"> and the IRR is </w:t>
      </w:r>
      <w:r w:rsidR="00D106A1" w:rsidRPr="00C534A9">
        <w:rPr>
          <w:rFonts w:ascii="Arial" w:hAnsi="Arial" w:cs="Arial"/>
          <w:sz w:val="22"/>
        </w:rPr>
        <w:t>15</w:t>
      </w:r>
      <w:r w:rsidRPr="00C534A9">
        <w:rPr>
          <w:rFonts w:ascii="Arial" w:hAnsi="Arial" w:cs="Arial"/>
          <w:sz w:val="22"/>
        </w:rPr>
        <w:t xml:space="preserve">%. The positive NPV and IRR above the 12% hurdle rate means that expanding the PV system will generate a net profit for NPC. In addition, the minimum debt coverage ratio in any given year is </w:t>
      </w:r>
      <w:r w:rsidR="002C0110" w:rsidRPr="00C534A9">
        <w:rPr>
          <w:rFonts w:ascii="Arial" w:hAnsi="Arial" w:cs="Arial"/>
          <w:sz w:val="22"/>
        </w:rPr>
        <w:t>2.</w:t>
      </w:r>
      <w:r w:rsidR="00D106A1" w:rsidRPr="00C534A9">
        <w:rPr>
          <w:rFonts w:ascii="Arial" w:hAnsi="Arial" w:cs="Arial"/>
          <w:sz w:val="22"/>
        </w:rPr>
        <w:t>69</w:t>
      </w:r>
      <w:r w:rsidRPr="00C534A9">
        <w:rPr>
          <w:rFonts w:ascii="Arial" w:hAnsi="Arial" w:cs="Arial"/>
          <w:sz w:val="22"/>
        </w:rPr>
        <w:t>. This indicates that the sub-project will generate sufficient cash flows to cover operating expenses and debt repayment obligations in any given year.</w:t>
      </w:r>
    </w:p>
    <w:p w:rsidR="004F47E6" w:rsidRPr="00C534A9" w:rsidRDefault="004F47E6" w:rsidP="00C534A9">
      <w:pPr>
        <w:jc w:val="both"/>
        <w:rPr>
          <w:rFonts w:ascii="Arial" w:hAnsi="Arial" w:cs="Arial"/>
          <w:sz w:val="22"/>
        </w:rPr>
      </w:pPr>
      <w:r w:rsidRPr="00C534A9">
        <w:rPr>
          <w:rFonts w:ascii="Arial" w:hAnsi="Arial" w:cs="Arial"/>
          <w:sz w:val="22"/>
        </w:rPr>
        <w:fldChar w:fldCharType="begin"/>
      </w:r>
      <w:r w:rsidRPr="00C534A9">
        <w:rPr>
          <w:rFonts w:ascii="Arial" w:hAnsi="Arial" w:cs="Arial"/>
          <w:sz w:val="22"/>
        </w:rPr>
        <w:instrText xml:space="preserve"> REF _Ref406058165 \h  \* MERGEFORMAT </w:instrText>
      </w:r>
      <w:r w:rsidRPr="00C534A9">
        <w:rPr>
          <w:rFonts w:ascii="Arial" w:hAnsi="Arial" w:cs="Arial"/>
          <w:sz w:val="22"/>
        </w:rPr>
      </w:r>
      <w:r w:rsidRPr="00C534A9">
        <w:rPr>
          <w:rFonts w:ascii="Arial" w:hAnsi="Arial" w:cs="Arial"/>
          <w:sz w:val="22"/>
        </w:rPr>
        <w:fldChar w:fldCharType="separate"/>
      </w:r>
      <w:r w:rsidRPr="00C534A9">
        <w:rPr>
          <w:rFonts w:ascii="Arial" w:hAnsi="Arial" w:cs="Arial"/>
          <w:sz w:val="22"/>
        </w:rPr>
        <w:t xml:space="preserve">Table </w:t>
      </w:r>
      <w:r w:rsidR="00C755DB" w:rsidRPr="00C534A9">
        <w:rPr>
          <w:rFonts w:ascii="Arial" w:hAnsi="Arial" w:cs="Arial"/>
          <w:noProof/>
          <w:sz w:val="22"/>
        </w:rPr>
        <w:t>12</w:t>
      </w:r>
      <w:r w:rsidRPr="00C534A9">
        <w:rPr>
          <w:rFonts w:ascii="Arial" w:hAnsi="Arial" w:cs="Arial"/>
          <w:noProof/>
          <w:sz w:val="22"/>
        </w:rPr>
        <w:t>.2</w:t>
      </w:r>
      <w:r w:rsidRPr="00C534A9">
        <w:rPr>
          <w:rFonts w:ascii="Arial" w:hAnsi="Arial" w:cs="Arial"/>
          <w:sz w:val="22"/>
        </w:rPr>
        <w:fldChar w:fldCharType="end"/>
      </w:r>
      <w:r w:rsidRPr="00C534A9">
        <w:rPr>
          <w:rFonts w:ascii="Arial" w:hAnsi="Arial" w:cs="Arial"/>
          <w:sz w:val="22"/>
        </w:rPr>
        <w:t xml:space="preserve"> presents </w:t>
      </w:r>
      <w:r w:rsidR="00FD51CB" w:rsidRPr="00C534A9">
        <w:rPr>
          <w:rFonts w:ascii="Arial" w:hAnsi="Arial" w:cs="Arial"/>
          <w:sz w:val="22"/>
        </w:rPr>
        <w:t>the</w:t>
      </w:r>
      <w:r w:rsidRPr="00C534A9">
        <w:rPr>
          <w:rFonts w:ascii="Arial" w:hAnsi="Arial" w:cs="Arial"/>
          <w:sz w:val="22"/>
        </w:rPr>
        <w:t xml:space="preserve"> financial summary of the PV system sub-project. </w:t>
      </w:r>
    </w:p>
    <w:p w:rsidR="00C26910" w:rsidRPr="00C534A9" w:rsidRDefault="00C26910" w:rsidP="00C534A9">
      <w:pPr>
        <w:pStyle w:val="Caption"/>
        <w:jc w:val="both"/>
        <w:rPr>
          <w:rFonts w:ascii="Arial" w:hAnsi="Arial" w:cs="Arial"/>
          <w:sz w:val="22"/>
        </w:rPr>
      </w:pPr>
      <w:bookmarkStart w:id="186" w:name="_Toc463508496"/>
      <w:bookmarkStart w:id="187" w:name="_Toc463509003"/>
      <w:proofErr w:type="gramStart"/>
      <w:r w:rsidRPr="00C534A9">
        <w:rPr>
          <w:rFonts w:ascii="Arial" w:hAnsi="Arial" w:cs="Arial"/>
          <w:sz w:val="22"/>
        </w:rPr>
        <w:t xml:space="preserve">Table </w:t>
      </w:r>
      <w:r w:rsidR="00C755DB" w:rsidRPr="00C534A9">
        <w:rPr>
          <w:rFonts w:ascii="Arial" w:hAnsi="Arial" w:cs="Arial"/>
          <w:sz w:val="22"/>
        </w:rPr>
        <w:t>12</w:t>
      </w:r>
      <w:r w:rsidRPr="00C534A9">
        <w:rPr>
          <w:rFonts w:ascii="Arial" w:hAnsi="Arial" w:cs="Arial"/>
          <w:sz w:val="22"/>
        </w:rPr>
        <w:t>.</w:t>
      </w:r>
      <w:proofErr w:type="gramEnd"/>
      <w:r w:rsidR="003343DE" w:rsidRPr="00C534A9">
        <w:rPr>
          <w:rFonts w:ascii="Arial" w:hAnsi="Arial" w:cs="Arial"/>
          <w:sz w:val="22"/>
        </w:rPr>
        <w:fldChar w:fldCharType="begin"/>
      </w:r>
      <w:r w:rsidR="003343DE" w:rsidRPr="00C534A9">
        <w:rPr>
          <w:rFonts w:ascii="Arial" w:hAnsi="Arial" w:cs="Arial"/>
          <w:sz w:val="22"/>
        </w:rPr>
        <w:instrText xml:space="preserve"> SEQ Table \* ARABIC \s 1 </w:instrText>
      </w:r>
      <w:r w:rsidR="003343DE" w:rsidRPr="00C534A9">
        <w:rPr>
          <w:rFonts w:ascii="Arial" w:hAnsi="Arial" w:cs="Arial"/>
          <w:sz w:val="22"/>
        </w:rPr>
        <w:fldChar w:fldCharType="separate"/>
      </w:r>
      <w:r w:rsidRPr="00C534A9">
        <w:rPr>
          <w:rFonts w:ascii="Arial" w:hAnsi="Arial" w:cs="Arial"/>
          <w:noProof/>
          <w:sz w:val="22"/>
        </w:rPr>
        <w:t>2</w:t>
      </w:r>
      <w:r w:rsidR="003343DE" w:rsidRPr="00C534A9">
        <w:rPr>
          <w:rFonts w:ascii="Arial" w:hAnsi="Arial" w:cs="Arial"/>
          <w:noProof/>
          <w:sz w:val="22"/>
        </w:rPr>
        <w:fldChar w:fldCharType="end"/>
      </w:r>
      <w:r w:rsidRPr="00C534A9">
        <w:rPr>
          <w:rFonts w:ascii="Arial" w:hAnsi="Arial" w:cs="Arial"/>
          <w:sz w:val="22"/>
        </w:rPr>
        <w:t xml:space="preserve">: Financial summary of the </w:t>
      </w:r>
      <w:r w:rsidR="00C755DB" w:rsidRPr="00C534A9">
        <w:rPr>
          <w:rFonts w:ascii="Arial" w:hAnsi="Arial" w:cs="Arial"/>
          <w:sz w:val="22"/>
        </w:rPr>
        <w:t>PV system</w:t>
      </w:r>
      <w:r w:rsidRPr="00C534A9">
        <w:rPr>
          <w:rFonts w:ascii="Arial" w:hAnsi="Arial" w:cs="Arial"/>
          <w:sz w:val="22"/>
        </w:rPr>
        <w:t xml:space="preserve"> sub-project (US$ ‘000)</w:t>
      </w:r>
      <w:bookmarkEnd w:id="186"/>
      <w:bookmarkEnd w:id="187"/>
    </w:p>
    <w:tbl>
      <w:tblPr>
        <w:tblW w:w="3860" w:type="dxa"/>
        <w:jc w:val="center"/>
        <w:tblInd w:w="93" w:type="dxa"/>
        <w:tblLook w:val="04A0" w:firstRow="1" w:lastRow="0" w:firstColumn="1" w:lastColumn="0" w:noHBand="0" w:noVBand="1"/>
      </w:tblPr>
      <w:tblGrid>
        <w:gridCol w:w="2540"/>
        <w:gridCol w:w="1320"/>
      </w:tblGrid>
      <w:tr w:rsidR="00057DB4" w:rsidRPr="00C534A9" w:rsidTr="00057DB4">
        <w:trPr>
          <w:trHeight w:val="450"/>
          <w:jc w:val="center"/>
        </w:trPr>
        <w:tc>
          <w:tcPr>
            <w:tcW w:w="2540" w:type="dxa"/>
            <w:tcBorders>
              <w:top w:val="nil"/>
              <w:left w:val="nil"/>
              <w:bottom w:val="nil"/>
              <w:right w:val="nil"/>
            </w:tcBorders>
            <w:shd w:val="clear" w:color="auto" w:fill="auto"/>
            <w:noWrap/>
            <w:vAlign w:val="center"/>
          </w:tcPr>
          <w:p w:rsidR="00057DB4" w:rsidRPr="00C534A9" w:rsidRDefault="00057DB4"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Net Present Value</w:t>
            </w:r>
          </w:p>
        </w:tc>
        <w:tc>
          <w:tcPr>
            <w:tcW w:w="1320" w:type="dxa"/>
            <w:tcBorders>
              <w:top w:val="nil"/>
              <w:left w:val="nil"/>
              <w:bottom w:val="nil"/>
              <w:right w:val="nil"/>
            </w:tcBorders>
            <w:shd w:val="clear" w:color="auto" w:fill="auto"/>
            <w:noWrap/>
            <w:vAlign w:val="center"/>
          </w:tcPr>
          <w:p w:rsidR="00057DB4" w:rsidRPr="00C534A9" w:rsidRDefault="0051652C"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w:t>
            </w:r>
            <w:r w:rsidR="00D106A1" w:rsidRPr="00C534A9">
              <w:rPr>
                <w:rFonts w:ascii="Arial" w:eastAsia="Times New Roman" w:hAnsi="Arial" w:cs="Arial"/>
                <w:color w:val="000000"/>
                <w:sz w:val="22"/>
                <w:szCs w:val="24"/>
              </w:rPr>
              <w:t>101</w:t>
            </w:r>
          </w:p>
        </w:tc>
      </w:tr>
      <w:tr w:rsidR="00057DB4" w:rsidRPr="00C534A9" w:rsidTr="00057DB4">
        <w:trPr>
          <w:trHeight w:val="450"/>
          <w:jc w:val="center"/>
        </w:trPr>
        <w:tc>
          <w:tcPr>
            <w:tcW w:w="2540" w:type="dxa"/>
            <w:tcBorders>
              <w:top w:val="nil"/>
              <w:left w:val="nil"/>
              <w:bottom w:val="nil"/>
              <w:right w:val="nil"/>
            </w:tcBorders>
            <w:shd w:val="clear" w:color="auto" w:fill="auto"/>
            <w:noWrap/>
            <w:vAlign w:val="center"/>
          </w:tcPr>
          <w:p w:rsidR="00057DB4" w:rsidRPr="00C534A9" w:rsidRDefault="00057DB4"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IRR</w:t>
            </w:r>
          </w:p>
        </w:tc>
        <w:tc>
          <w:tcPr>
            <w:tcW w:w="1320" w:type="dxa"/>
            <w:tcBorders>
              <w:top w:val="nil"/>
              <w:left w:val="nil"/>
              <w:bottom w:val="nil"/>
              <w:right w:val="nil"/>
            </w:tcBorders>
            <w:shd w:val="clear" w:color="auto" w:fill="auto"/>
            <w:noWrap/>
            <w:vAlign w:val="center"/>
          </w:tcPr>
          <w:p w:rsidR="00057DB4" w:rsidRPr="00C534A9" w:rsidRDefault="00D106A1"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15</w:t>
            </w:r>
            <w:r w:rsidR="00057DB4" w:rsidRPr="00C534A9">
              <w:rPr>
                <w:rFonts w:ascii="Arial" w:eastAsia="Times New Roman" w:hAnsi="Arial" w:cs="Arial"/>
                <w:color w:val="000000"/>
                <w:sz w:val="22"/>
                <w:szCs w:val="24"/>
              </w:rPr>
              <w:t>%</w:t>
            </w:r>
          </w:p>
        </w:tc>
      </w:tr>
    </w:tbl>
    <w:p w:rsidR="00C26910" w:rsidRPr="00C534A9" w:rsidRDefault="00C26910" w:rsidP="00C534A9">
      <w:pPr>
        <w:pStyle w:val="Source"/>
        <w:jc w:val="both"/>
        <w:rPr>
          <w:rFonts w:ascii="Arial" w:hAnsi="Arial" w:cs="Arial"/>
          <w:sz w:val="18"/>
        </w:rPr>
      </w:pPr>
    </w:p>
    <w:p w:rsidR="00C26910" w:rsidRPr="00C534A9" w:rsidRDefault="00C26910" w:rsidP="00C534A9">
      <w:pPr>
        <w:jc w:val="both"/>
        <w:rPr>
          <w:rFonts w:ascii="Arial" w:hAnsi="Arial" w:cs="Arial"/>
          <w:sz w:val="22"/>
        </w:rPr>
      </w:pPr>
      <w:r w:rsidRPr="00C534A9">
        <w:rPr>
          <w:rFonts w:ascii="Arial" w:hAnsi="Arial" w:cs="Arial"/>
          <w:sz w:val="22"/>
        </w:rPr>
        <w:t xml:space="preserve">A detailed schedule of the annual cash flow calculations for the </w:t>
      </w:r>
      <w:r w:rsidR="00C755DB" w:rsidRPr="00C534A9">
        <w:rPr>
          <w:rFonts w:ascii="Arial" w:hAnsi="Arial" w:cs="Arial"/>
          <w:sz w:val="22"/>
        </w:rPr>
        <w:t>PV system</w:t>
      </w:r>
      <w:r w:rsidRPr="00C534A9">
        <w:rPr>
          <w:rFonts w:ascii="Arial" w:hAnsi="Arial" w:cs="Arial"/>
          <w:sz w:val="22"/>
        </w:rPr>
        <w:t xml:space="preserve"> sub-project is included in Appendix </w:t>
      </w:r>
      <w:r w:rsidR="00F122AA" w:rsidRPr="00C534A9">
        <w:rPr>
          <w:rFonts w:ascii="Arial" w:hAnsi="Arial" w:cs="Arial"/>
          <w:sz w:val="22"/>
        </w:rPr>
        <w:t>B</w:t>
      </w:r>
      <w:r w:rsidRPr="00C534A9">
        <w:rPr>
          <w:rFonts w:ascii="Arial" w:hAnsi="Arial" w:cs="Arial"/>
          <w:sz w:val="22"/>
        </w:rPr>
        <w:t>.</w:t>
      </w:r>
    </w:p>
    <w:p w:rsidR="00C26910" w:rsidRPr="00C534A9" w:rsidRDefault="00C26910" w:rsidP="00C534A9">
      <w:pPr>
        <w:jc w:val="both"/>
        <w:rPr>
          <w:rFonts w:ascii="Arial" w:hAnsi="Arial" w:cs="Arial"/>
          <w:sz w:val="22"/>
        </w:rPr>
      </w:pPr>
      <w:r w:rsidRPr="00C534A9">
        <w:rPr>
          <w:rFonts w:ascii="Arial" w:hAnsi="Arial" w:cs="Arial"/>
          <w:sz w:val="22"/>
        </w:rPr>
        <w:br w:type="page"/>
      </w:r>
    </w:p>
    <w:p w:rsidR="00C26910" w:rsidRPr="00C534A9" w:rsidRDefault="00C26910" w:rsidP="00C534A9">
      <w:pPr>
        <w:pStyle w:val="Heading1"/>
        <w:jc w:val="both"/>
        <w:rPr>
          <w:rFonts w:ascii="Arial" w:hAnsi="Arial" w:cs="Arial"/>
          <w:sz w:val="24"/>
        </w:rPr>
      </w:pPr>
      <w:bookmarkStart w:id="188" w:name="_Toc464551555"/>
      <w:r w:rsidRPr="00C534A9">
        <w:rPr>
          <w:rFonts w:ascii="Arial" w:hAnsi="Arial" w:cs="Arial"/>
          <w:sz w:val="24"/>
        </w:rPr>
        <w:t xml:space="preserve">Financial Analysis of the </w:t>
      </w:r>
      <w:r w:rsidR="00C755DB" w:rsidRPr="00C534A9">
        <w:rPr>
          <w:rFonts w:ascii="Arial" w:hAnsi="Arial" w:cs="Arial"/>
          <w:sz w:val="24"/>
        </w:rPr>
        <w:t>VS LNG terminal</w:t>
      </w:r>
      <w:r w:rsidRPr="00C534A9">
        <w:rPr>
          <w:rFonts w:ascii="Arial" w:hAnsi="Arial" w:cs="Arial"/>
          <w:sz w:val="24"/>
        </w:rPr>
        <w:t xml:space="preserve"> Sub-Project</w:t>
      </w:r>
      <w:bookmarkEnd w:id="188"/>
    </w:p>
    <w:p w:rsidR="00C26910" w:rsidRPr="00C534A9" w:rsidRDefault="00C26910" w:rsidP="00C534A9">
      <w:pPr>
        <w:jc w:val="both"/>
        <w:rPr>
          <w:rFonts w:ascii="Arial" w:hAnsi="Arial" w:cs="Arial"/>
          <w:sz w:val="22"/>
        </w:rPr>
      </w:pPr>
      <w:r w:rsidRPr="00C534A9">
        <w:rPr>
          <w:rFonts w:ascii="Arial" w:hAnsi="Arial" w:cs="Arial"/>
          <w:sz w:val="22"/>
        </w:rPr>
        <w:t xml:space="preserve">The purpose of this section is to determine whether the </w:t>
      </w:r>
      <w:r w:rsidR="00C755DB" w:rsidRPr="00C534A9">
        <w:rPr>
          <w:rFonts w:ascii="Arial" w:hAnsi="Arial" w:cs="Arial"/>
          <w:sz w:val="22"/>
        </w:rPr>
        <w:t>proposed</w:t>
      </w:r>
      <w:r w:rsidRPr="00C534A9">
        <w:rPr>
          <w:rFonts w:ascii="Arial" w:hAnsi="Arial" w:cs="Arial"/>
          <w:sz w:val="22"/>
        </w:rPr>
        <w:t xml:space="preserve"> </w:t>
      </w:r>
      <w:r w:rsidR="00A74A3E" w:rsidRPr="00C534A9">
        <w:rPr>
          <w:rFonts w:ascii="Arial" w:hAnsi="Arial" w:cs="Arial"/>
          <w:sz w:val="22"/>
        </w:rPr>
        <w:t>VS LNG terminal</w:t>
      </w:r>
      <w:r w:rsidRPr="00C534A9">
        <w:rPr>
          <w:rFonts w:ascii="Arial" w:hAnsi="Arial" w:cs="Arial"/>
          <w:sz w:val="22"/>
        </w:rPr>
        <w:t xml:space="preserve"> is financially viable for NPC. The financial analysis described below finds that the sub-project has a net present value (NPV) to NPC of approximately US$</w:t>
      </w:r>
      <w:r w:rsidR="0006359E" w:rsidRPr="00C534A9">
        <w:rPr>
          <w:rFonts w:ascii="Arial" w:hAnsi="Arial" w:cs="Arial"/>
          <w:sz w:val="22"/>
        </w:rPr>
        <w:t>20</w:t>
      </w:r>
      <w:r w:rsidR="002C0110" w:rsidRPr="00C534A9">
        <w:rPr>
          <w:rFonts w:ascii="Arial" w:hAnsi="Arial" w:cs="Arial"/>
          <w:sz w:val="22"/>
        </w:rPr>
        <w:t>.2</w:t>
      </w:r>
      <w:r w:rsidRPr="00C534A9">
        <w:rPr>
          <w:rFonts w:ascii="Arial" w:hAnsi="Arial" w:cs="Arial"/>
          <w:sz w:val="22"/>
        </w:rPr>
        <w:t xml:space="preserve"> million and internal rate of return of </w:t>
      </w:r>
      <w:r w:rsidR="0006359E" w:rsidRPr="00C534A9">
        <w:rPr>
          <w:rFonts w:ascii="Arial" w:hAnsi="Arial" w:cs="Arial"/>
          <w:sz w:val="22"/>
        </w:rPr>
        <w:t>17</w:t>
      </w:r>
      <w:r w:rsidRPr="00C534A9">
        <w:rPr>
          <w:rFonts w:ascii="Arial" w:hAnsi="Arial" w:cs="Arial"/>
          <w:sz w:val="22"/>
        </w:rPr>
        <w:t xml:space="preserve">% percent. That is, the sub-project would be profitable for NPC. Finally, the financial analysis showed that the debt coverage ratio (defined as the annual cash flow generated by the sub-projects divided by the annual payments required for the loan interest and principle repayments) is never lower than </w:t>
      </w:r>
      <w:r w:rsidR="0006359E" w:rsidRPr="00C534A9">
        <w:rPr>
          <w:rFonts w:ascii="Arial" w:hAnsi="Arial" w:cs="Arial"/>
          <w:sz w:val="22"/>
        </w:rPr>
        <w:t>3.23</w:t>
      </w:r>
      <w:r w:rsidRPr="00C534A9">
        <w:rPr>
          <w:rFonts w:ascii="Arial" w:hAnsi="Arial" w:cs="Arial"/>
          <w:sz w:val="22"/>
        </w:rPr>
        <w:t>. This means the project will generate sufficient cash flow to cover operating expenses and debt repayment obligations in any given year.</w:t>
      </w:r>
    </w:p>
    <w:p w:rsidR="00C26910" w:rsidRPr="00C534A9" w:rsidRDefault="00C26910" w:rsidP="00C534A9">
      <w:pPr>
        <w:jc w:val="both"/>
        <w:rPr>
          <w:rFonts w:ascii="Arial" w:hAnsi="Arial" w:cs="Arial"/>
          <w:sz w:val="22"/>
        </w:rPr>
      </w:pPr>
      <w:r w:rsidRPr="00C534A9">
        <w:rPr>
          <w:rFonts w:ascii="Arial" w:hAnsi="Arial" w:cs="Arial"/>
          <w:sz w:val="22"/>
        </w:rPr>
        <w:t xml:space="preserve">The analysis to calculate the net present value of the sub-projects is presented as follows: </w:t>
      </w:r>
    </w:p>
    <w:p w:rsidR="00C26910" w:rsidRPr="00C534A9" w:rsidRDefault="00C26910" w:rsidP="00C534A9">
      <w:pPr>
        <w:pStyle w:val="ListParagraph"/>
        <w:numPr>
          <w:ilvl w:val="0"/>
          <w:numId w:val="16"/>
        </w:numPr>
        <w:jc w:val="both"/>
        <w:rPr>
          <w:rFonts w:ascii="Arial" w:hAnsi="Arial" w:cs="Arial"/>
          <w:sz w:val="22"/>
        </w:rPr>
      </w:pPr>
      <w:r w:rsidRPr="00C534A9">
        <w:rPr>
          <w:rFonts w:ascii="Arial" w:hAnsi="Arial" w:cs="Arial"/>
          <w:sz w:val="22"/>
        </w:rPr>
        <w:t xml:space="preserve">Financial Analysis (Section </w:t>
      </w:r>
      <w:r w:rsidRPr="00C534A9">
        <w:rPr>
          <w:rFonts w:ascii="Arial" w:hAnsi="Arial" w:cs="Arial"/>
          <w:sz w:val="22"/>
        </w:rPr>
        <w:fldChar w:fldCharType="begin"/>
      </w:r>
      <w:r w:rsidRPr="00C534A9">
        <w:rPr>
          <w:rFonts w:ascii="Arial" w:hAnsi="Arial" w:cs="Arial"/>
          <w:sz w:val="22"/>
        </w:rPr>
        <w:instrText xml:space="preserve"> REF _Ref423357305 \r \h  \* MERGEFORMAT </w:instrText>
      </w:r>
      <w:r w:rsidRPr="00C534A9">
        <w:rPr>
          <w:rFonts w:ascii="Arial" w:hAnsi="Arial" w:cs="Arial"/>
          <w:sz w:val="22"/>
        </w:rPr>
      </w:r>
      <w:r w:rsidRPr="00C534A9">
        <w:rPr>
          <w:rFonts w:ascii="Arial" w:hAnsi="Arial" w:cs="Arial"/>
          <w:sz w:val="22"/>
        </w:rPr>
        <w:fldChar w:fldCharType="separate"/>
      </w:r>
      <w:r w:rsidR="00C755DB" w:rsidRPr="00C534A9">
        <w:rPr>
          <w:rFonts w:ascii="Arial" w:hAnsi="Arial" w:cs="Arial"/>
          <w:sz w:val="22"/>
        </w:rPr>
        <w:t>13</w:t>
      </w:r>
      <w:r w:rsidRPr="00C534A9">
        <w:rPr>
          <w:rFonts w:ascii="Arial" w:hAnsi="Arial" w:cs="Arial"/>
          <w:sz w:val="22"/>
        </w:rPr>
        <w:t>.1</w:t>
      </w:r>
      <w:r w:rsidRPr="00C534A9">
        <w:rPr>
          <w:rFonts w:ascii="Arial" w:hAnsi="Arial" w:cs="Arial"/>
          <w:sz w:val="22"/>
        </w:rPr>
        <w:fldChar w:fldCharType="end"/>
      </w:r>
      <w:r w:rsidRPr="00C534A9">
        <w:rPr>
          <w:rFonts w:ascii="Arial" w:hAnsi="Arial" w:cs="Arial"/>
          <w:sz w:val="22"/>
        </w:rPr>
        <w:t>)</w:t>
      </w:r>
    </w:p>
    <w:p w:rsidR="00C26910" w:rsidRPr="00C534A9" w:rsidRDefault="00C26910" w:rsidP="00C534A9">
      <w:pPr>
        <w:pStyle w:val="ListParagraph"/>
        <w:numPr>
          <w:ilvl w:val="0"/>
          <w:numId w:val="16"/>
        </w:numPr>
        <w:jc w:val="both"/>
        <w:rPr>
          <w:rFonts w:ascii="Arial" w:hAnsi="Arial" w:cs="Arial"/>
          <w:sz w:val="22"/>
        </w:rPr>
      </w:pPr>
      <w:r w:rsidRPr="00C534A9">
        <w:rPr>
          <w:rFonts w:ascii="Arial" w:hAnsi="Arial" w:cs="Arial"/>
          <w:sz w:val="22"/>
        </w:rPr>
        <w:t xml:space="preserve">Profitability (Section </w:t>
      </w:r>
      <w:r w:rsidR="00C755DB" w:rsidRPr="00C534A9">
        <w:rPr>
          <w:rFonts w:ascii="Arial" w:hAnsi="Arial" w:cs="Arial"/>
          <w:sz w:val="22"/>
        </w:rPr>
        <w:t>13</w:t>
      </w:r>
      <w:r w:rsidRPr="00C534A9">
        <w:rPr>
          <w:rFonts w:ascii="Arial" w:hAnsi="Arial" w:cs="Arial"/>
          <w:sz w:val="22"/>
        </w:rPr>
        <w:t>.2)</w:t>
      </w:r>
    </w:p>
    <w:p w:rsidR="00C26910" w:rsidRPr="00C534A9" w:rsidRDefault="00C26910" w:rsidP="00C534A9">
      <w:pPr>
        <w:pStyle w:val="Heading2"/>
        <w:jc w:val="both"/>
        <w:rPr>
          <w:rFonts w:ascii="Arial" w:hAnsi="Arial" w:cs="Arial"/>
          <w:sz w:val="24"/>
        </w:rPr>
      </w:pPr>
      <w:bookmarkStart w:id="189" w:name="_Toc464551556"/>
      <w:r w:rsidRPr="00C534A9">
        <w:rPr>
          <w:rFonts w:ascii="Arial" w:hAnsi="Arial" w:cs="Arial"/>
          <w:sz w:val="24"/>
        </w:rPr>
        <w:t>Financial Analysis</w:t>
      </w:r>
      <w:bookmarkEnd w:id="189"/>
    </w:p>
    <w:p w:rsidR="00C26910" w:rsidRPr="00C534A9" w:rsidRDefault="00C26910" w:rsidP="00C534A9">
      <w:pPr>
        <w:jc w:val="both"/>
        <w:rPr>
          <w:rFonts w:ascii="Arial" w:hAnsi="Arial" w:cs="Arial"/>
          <w:sz w:val="22"/>
        </w:rPr>
      </w:pPr>
      <w:r w:rsidRPr="00C534A9">
        <w:rPr>
          <w:rFonts w:ascii="Arial" w:hAnsi="Arial" w:cs="Arial"/>
          <w:sz w:val="22"/>
        </w:rPr>
        <w:t xml:space="preserve">The objective of the financial analysis is to determine whether or not the </w:t>
      </w:r>
      <w:r w:rsidR="00A74A3E" w:rsidRPr="00C534A9">
        <w:rPr>
          <w:rFonts w:ascii="Arial" w:hAnsi="Arial" w:cs="Arial"/>
          <w:sz w:val="22"/>
        </w:rPr>
        <w:t>VS LNG terminal</w:t>
      </w:r>
      <w:r w:rsidR="00C755DB" w:rsidRPr="00C534A9">
        <w:rPr>
          <w:rFonts w:ascii="Arial" w:hAnsi="Arial" w:cs="Arial"/>
          <w:sz w:val="22"/>
        </w:rPr>
        <w:t xml:space="preserve"> </w:t>
      </w:r>
      <w:r w:rsidRPr="00C534A9">
        <w:rPr>
          <w:rFonts w:ascii="Arial" w:hAnsi="Arial" w:cs="Arial"/>
          <w:sz w:val="22"/>
        </w:rPr>
        <w:t xml:space="preserve">is profitable. This is accomplished by estimating the net financial flows that the sub-project will generate. </w:t>
      </w:r>
    </w:p>
    <w:p w:rsidR="00C26910" w:rsidRPr="00C534A9" w:rsidRDefault="00957ACC" w:rsidP="00C534A9">
      <w:pPr>
        <w:jc w:val="both"/>
        <w:rPr>
          <w:rFonts w:ascii="Arial" w:hAnsi="Arial" w:cs="Arial"/>
          <w:sz w:val="22"/>
        </w:rPr>
      </w:pPr>
      <w:r w:rsidRPr="00C534A9">
        <w:rPr>
          <w:rFonts w:ascii="Arial" w:hAnsi="Arial" w:cs="Arial"/>
          <w:sz w:val="22"/>
        </w:rPr>
        <w:t>The</w:t>
      </w:r>
      <w:r w:rsidR="00C26910" w:rsidRPr="00C534A9">
        <w:rPr>
          <w:rFonts w:ascii="Arial" w:hAnsi="Arial" w:cs="Arial"/>
          <w:sz w:val="22"/>
        </w:rPr>
        <w:t xml:space="preserve"> sub-project’s net financial flows</w:t>
      </w:r>
      <w:r w:rsidRPr="00C534A9">
        <w:rPr>
          <w:rFonts w:ascii="Arial" w:hAnsi="Arial" w:cs="Arial"/>
          <w:sz w:val="22"/>
        </w:rPr>
        <w:t xml:space="preserve"> were determined</w:t>
      </w:r>
      <w:r w:rsidR="00C26910" w:rsidRPr="00C534A9">
        <w:rPr>
          <w:rFonts w:ascii="Arial" w:hAnsi="Arial" w:cs="Arial"/>
          <w:sz w:val="22"/>
        </w:rPr>
        <w:t xml:space="preserve"> by calculating the projects income and expenses, applying factors such as the loan interest rate, loan period, depreciation rate, and the Barbados corporate tax rate as described in Section 8.1. This analysis results in the expected cash flows attributable to the project for each year of the loan’s 25 year period. These cash flows are then converted to the sub-project NPV and IRR using a 12 percent </w:t>
      </w:r>
      <w:r w:rsidR="00A74A3E" w:rsidRPr="00C534A9">
        <w:rPr>
          <w:rFonts w:ascii="Arial" w:hAnsi="Arial" w:cs="Arial"/>
          <w:sz w:val="22"/>
        </w:rPr>
        <w:t>real</w:t>
      </w:r>
      <w:r w:rsidR="00C26910" w:rsidRPr="00C534A9">
        <w:rPr>
          <w:rFonts w:ascii="Arial" w:hAnsi="Arial" w:cs="Arial"/>
          <w:sz w:val="22"/>
        </w:rPr>
        <w:t xml:space="preserve"> discount rate.</w:t>
      </w:r>
    </w:p>
    <w:p w:rsidR="00C26910" w:rsidRPr="00C534A9" w:rsidRDefault="00C26910" w:rsidP="00C534A9">
      <w:pPr>
        <w:jc w:val="both"/>
        <w:rPr>
          <w:rFonts w:ascii="Arial" w:hAnsi="Arial" w:cs="Arial"/>
          <w:sz w:val="22"/>
        </w:rPr>
      </w:pPr>
      <w:r w:rsidRPr="00C534A9">
        <w:rPr>
          <w:rFonts w:ascii="Arial" w:hAnsi="Arial" w:cs="Arial"/>
          <w:sz w:val="22"/>
        </w:rPr>
        <w:t>The steps to calculate the sub-project profitability are:</w:t>
      </w:r>
    </w:p>
    <w:p w:rsidR="00C26910" w:rsidRPr="00C534A9" w:rsidRDefault="00C26910" w:rsidP="00C534A9">
      <w:pPr>
        <w:pStyle w:val="ListParagraph"/>
        <w:numPr>
          <w:ilvl w:val="0"/>
          <w:numId w:val="36"/>
        </w:numPr>
        <w:jc w:val="both"/>
        <w:rPr>
          <w:rFonts w:ascii="Arial" w:hAnsi="Arial" w:cs="Arial"/>
          <w:sz w:val="22"/>
        </w:rPr>
      </w:pPr>
      <w:r w:rsidRPr="00C534A9">
        <w:rPr>
          <w:rFonts w:ascii="Arial" w:hAnsi="Arial" w:cs="Arial"/>
          <w:sz w:val="22"/>
        </w:rPr>
        <w:t xml:space="preserve">Estimate the annual income associated with the </w:t>
      </w:r>
      <w:r w:rsidR="00A74A3E" w:rsidRPr="00C534A9">
        <w:rPr>
          <w:rFonts w:ascii="Arial" w:hAnsi="Arial" w:cs="Arial"/>
          <w:sz w:val="22"/>
        </w:rPr>
        <w:t>VS LNG terminal</w:t>
      </w:r>
      <w:r w:rsidRPr="00C534A9">
        <w:rPr>
          <w:rFonts w:ascii="Arial" w:hAnsi="Arial" w:cs="Arial"/>
          <w:sz w:val="22"/>
        </w:rPr>
        <w:t xml:space="preserve"> (Section </w:t>
      </w:r>
      <w:r w:rsidR="00C755DB" w:rsidRPr="00C534A9">
        <w:rPr>
          <w:rFonts w:ascii="Arial" w:hAnsi="Arial" w:cs="Arial"/>
          <w:sz w:val="22"/>
        </w:rPr>
        <w:t>13</w:t>
      </w:r>
      <w:r w:rsidRPr="00C534A9">
        <w:rPr>
          <w:rFonts w:ascii="Arial" w:hAnsi="Arial" w:cs="Arial"/>
          <w:sz w:val="22"/>
        </w:rPr>
        <w:t>.1.1)</w:t>
      </w:r>
    </w:p>
    <w:p w:rsidR="00C26910" w:rsidRPr="00C534A9" w:rsidRDefault="00C26910" w:rsidP="00C534A9">
      <w:pPr>
        <w:pStyle w:val="ListParagraph"/>
        <w:numPr>
          <w:ilvl w:val="0"/>
          <w:numId w:val="36"/>
        </w:numPr>
        <w:jc w:val="both"/>
        <w:rPr>
          <w:rFonts w:ascii="Arial" w:hAnsi="Arial" w:cs="Arial"/>
          <w:sz w:val="22"/>
        </w:rPr>
      </w:pPr>
      <w:r w:rsidRPr="00C534A9">
        <w:rPr>
          <w:rFonts w:ascii="Arial" w:hAnsi="Arial" w:cs="Arial"/>
          <w:sz w:val="22"/>
        </w:rPr>
        <w:t xml:space="preserve">Estimate the annual expenses associated with the </w:t>
      </w:r>
      <w:r w:rsidR="00A74A3E" w:rsidRPr="00C534A9">
        <w:rPr>
          <w:rFonts w:ascii="Arial" w:hAnsi="Arial" w:cs="Arial"/>
          <w:sz w:val="22"/>
        </w:rPr>
        <w:t>VS LNG terminal</w:t>
      </w:r>
      <w:r w:rsidRPr="00C534A9">
        <w:rPr>
          <w:rFonts w:ascii="Arial" w:hAnsi="Arial" w:cs="Arial"/>
          <w:sz w:val="22"/>
        </w:rPr>
        <w:t xml:space="preserve"> (Section </w:t>
      </w:r>
      <w:r w:rsidR="00C755DB" w:rsidRPr="00C534A9">
        <w:rPr>
          <w:rFonts w:ascii="Arial" w:hAnsi="Arial" w:cs="Arial"/>
          <w:sz w:val="22"/>
        </w:rPr>
        <w:t>13</w:t>
      </w:r>
      <w:r w:rsidRPr="00C534A9">
        <w:rPr>
          <w:rFonts w:ascii="Arial" w:hAnsi="Arial" w:cs="Arial"/>
          <w:sz w:val="22"/>
        </w:rPr>
        <w:t>.1.2)</w:t>
      </w:r>
    </w:p>
    <w:p w:rsidR="00C26910" w:rsidRPr="00C534A9" w:rsidRDefault="00C26910" w:rsidP="00C534A9">
      <w:pPr>
        <w:pStyle w:val="ListParagraph"/>
        <w:numPr>
          <w:ilvl w:val="0"/>
          <w:numId w:val="36"/>
        </w:numPr>
        <w:jc w:val="both"/>
        <w:rPr>
          <w:rFonts w:ascii="Arial" w:hAnsi="Arial" w:cs="Arial"/>
          <w:sz w:val="22"/>
        </w:rPr>
      </w:pPr>
      <w:r w:rsidRPr="00C534A9">
        <w:rPr>
          <w:rFonts w:ascii="Arial" w:hAnsi="Arial" w:cs="Arial"/>
          <w:sz w:val="22"/>
        </w:rPr>
        <w:t>Calculate the annual cash flows resulting fro</w:t>
      </w:r>
      <w:r w:rsidR="00A752FD" w:rsidRPr="00C534A9">
        <w:rPr>
          <w:rFonts w:ascii="Arial" w:hAnsi="Arial" w:cs="Arial"/>
          <w:sz w:val="22"/>
        </w:rPr>
        <w:t>m the associated income and expense</w:t>
      </w:r>
      <w:r w:rsidRPr="00C534A9">
        <w:rPr>
          <w:rFonts w:ascii="Arial" w:hAnsi="Arial" w:cs="Arial"/>
          <w:sz w:val="22"/>
        </w:rPr>
        <w:t xml:space="preserve">s, based on the financial and tax variables noted in section </w:t>
      </w:r>
      <w:r w:rsidR="00464FDE" w:rsidRPr="00C534A9">
        <w:rPr>
          <w:rFonts w:ascii="Arial" w:hAnsi="Arial" w:cs="Arial"/>
          <w:sz w:val="22"/>
        </w:rPr>
        <w:t>8.1</w:t>
      </w:r>
      <w:r w:rsidRPr="00C534A9">
        <w:rPr>
          <w:rFonts w:ascii="Arial" w:hAnsi="Arial" w:cs="Arial"/>
          <w:sz w:val="22"/>
        </w:rPr>
        <w:t xml:space="preserve"> above (Section </w:t>
      </w:r>
      <w:r w:rsidRPr="00C534A9">
        <w:rPr>
          <w:rFonts w:ascii="Arial" w:hAnsi="Arial" w:cs="Arial"/>
          <w:sz w:val="22"/>
        </w:rPr>
        <w:fldChar w:fldCharType="begin"/>
      </w:r>
      <w:r w:rsidRPr="00C534A9">
        <w:rPr>
          <w:rFonts w:ascii="Arial" w:hAnsi="Arial" w:cs="Arial"/>
          <w:sz w:val="22"/>
        </w:rPr>
        <w:instrText xml:space="preserve"> REF _Ref423355941 \r \h  \* MERGEFORMAT </w:instrText>
      </w:r>
      <w:r w:rsidRPr="00C534A9">
        <w:rPr>
          <w:rFonts w:ascii="Arial" w:hAnsi="Arial" w:cs="Arial"/>
          <w:sz w:val="22"/>
        </w:rPr>
      </w:r>
      <w:r w:rsidRPr="00C534A9">
        <w:rPr>
          <w:rFonts w:ascii="Arial" w:hAnsi="Arial" w:cs="Arial"/>
          <w:sz w:val="22"/>
        </w:rPr>
        <w:fldChar w:fldCharType="separate"/>
      </w:r>
      <w:r w:rsidR="00C755DB" w:rsidRPr="00C534A9">
        <w:rPr>
          <w:rFonts w:ascii="Arial" w:hAnsi="Arial" w:cs="Arial"/>
          <w:sz w:val="22"/>
        </w:rPr>
        <w:t>13</w:t>
      </w:r>
      <w:r w:rsidRPr="00C534A9">
        <w:rPr>
          <w:rFonts w:ascii="Arial" w:hAnsi="Arial" w:cs="Arial"/>
          <w:sz w:val="22"/>
        </w:rPr>
        <w:t>.1.3</w:t>
      </w:r>
      <w:r w:rsidRPr="00C534A9">
        <w:rPr>
          <w:rFonts w:ascii="Arial" w:hAnsi="Arial" w:cs="Arial"/>
          <w:sz w:val="22"/>
        </w:rPr>
        <w:fldChar w:fldCharType="end"/>
      </w:r>
      <w:r w:rsidRPr="00C534A9">
        <w:rPr>
          <w:rFonts w:ascii="Arial" w:hAnsi="Arial" w:cs="Arial"/>
          <w:sz w:val="22"/>
        </w:rPr>
        <w:t>).</w:t>
      </w:r>
    </w:p>
    <w:p w:rsidR="00C26910" w:rsidRPr="00C534A9" w:rsidRDefault="00C26910" w:rsidP="00C534A9">
      <w:pPr>
        <w:jc w:val="both"/>
        <w:rPr>
          <w:rFonts w:ascii="Arial" w:hAnsi="Arial" w:cs="Arial"/>
          <w:sz w:val="22"/>
        </w:rPr>
      </w:pPr>
      <w:r w:rsidRPr="00C534A9">
        <w:rPr>
          <w:rFonts w:ascii="Arial" w:hAnsi="Arial" w:cs="Arial"/>
          <w:sz w:val="22"/>
        </w:rPr>
        <w:t>Each of these steps and the assumptions used in their calculation are described in more detail below.</w:t>
      </w:r>
    </w:p>
    <w:p w:rsidR="00C26910" w:rsidRPr="00C534A9" w:rsidRDefault="00C26910" w:rsidP="00C534A9">
      <w:pPr>
        <w:pStyle w:val="Heading3"/>
        <w:jc w:val="both"/>
        <w:rPr>
          <w:rFonts w:ascii="Arial" w:hAnsi="Arial" w:cs="Arial"/>
          <w:sz w:val="22"/>
        </w:rPr>
      </w:pPr>
      <w:bookmarkStart w:id="190" w:name="_Toc464551557"/>
      <w:r w:rsidRPr="00C534A9">
        <w:rPr>
          <w:rFonts w:ascii="Arial" w:hAnsi="Arial" w:cs="Arial"/>
          <w:sz w:val="22"/>
        </w:rPr>
        <w:t xml:space="preserve">Income of the </w:t>
      </w:r>
      <w:r w:rsidR="00C755DB" w:rsidRPr="00C534A9">
        <w:rPr>
          <w:rFonts w:ascii="Arial" w:hAnsi="Arial" w:cs="Arial"/>
          <w:sz w:val="22"/>
        </w:rPr>
        <w:t>VS LNG terminal</w:t>
      </w:r>
      <w:r w:rsidRPr="00C534A9">
        <w:rPr>
          <w:rFonts w:ascii="Arial" w:hAnsi="Arial" w:cs="Arial"/>
          <w:sz w:val="22"/>
        </w:rPr>
        <w:t xml:space="preserve"> sub-project</w:t>
      </w:r>
      <w:bookmarkEnd w:id="190"/>
    </w:p>
    <w:p w:rsidR="00C26910" w:rsidRPr="00C534A9" w:rsidRDefault="00C26910" w:rsidP="00C534A9">
      <w:pPr>
        <w:jc w:val="both"/>
        <w:rPr>
          <w:rFonts w:ascii="Arial" w:hAnsi="Arial" w:cs="Arial"/>
          <w:sz w:val="22"/>
        </w:rPr>
      </w:pPr>
      <w:r w:rsidRPr="00C534A9">
        <w:rPr>
          <w:rFonts w:ascii="Arial" w:hAnsi="Arial" w:cs="Arial"/>
          <w:sz w:val="22"/>
        </w:rPr>
        <w:t>The sources of income associated with the sub-project include:</w:t>
      </w:r>
    </w:p>
    <w:p w:rsidR="00C26910" w:rsidRPr="00C534A9" w:rsidRDefault="00C26910" w:rsidP="00C534A9">
      <w:pPr>
        <w:pStyle w:val="ListParagraph"/>
        <w:numPr>
          <w:ilvl w:val="0"/>
          <w:numId w:val="34"/>
        </w:numPr>
        <w:spacing w:after="120"/>
        <w:jc w:val="both"/>
        <w:rPr>
          <w:rFonts w:ascii="Arial" w:hAnsi="Arial" w:cs="Arial"/>
          <w:sz w:val="22"/>
        </w:rPr>
      </w:pPr>
      <w:r w:rsidRPr="00C534A9">
        <w:rPr>
          <w:rFonts w:ascii="Arial" w:hAnsi="Arial" w:cs="Arial"/>
          <w:b/>
          <w:sz w:val="22"/>
        </w:rPr>
        <w:t>Natural gas sales</w:t>
      </w:r>
      <w:r w:rsidRPr="00C534A9">
        <w:rPr>
          <w:rFonts w:ascii="Arial" w:hAnsi="Arial" w:cs="Arial"/>
          <w:sz w:val="22"/>
        </w:rPr>
        <w:t xml:space="preserve">—NPC will sell the natural gas that it imports to </w:t>
      </w:r>
      <w:r w:rsidR="00222066" w:rsidRPr="00C534A9">
        <w:rPr>
          <w:rFonts w:ascii="Arial" w:hAnsi="Arial" w:cs="Arial"/>
          <w:sz w:val="22"/>
        </w:rPr>
        <w:t>BL&amp;P</w:t>
      </w:r>
      <w:r w:rsidRPr="00C534A9">
        <w:rPr>
          <w:rFonts w:ascii="Arial" w:hAnsi="Arial" w:cs="Arial"/>
          <w:sz w:val="22"/>
        </w:rPr>
        <w:t>. The total income from natural gas sales is the product of the number of natural gas units sold and the price per unit.</w:t>
      </w:r>
    </w:p>
    <w:p w:rsidR="00C26910" w:rsidRPr="00C534A9" w:rsidRDefault="00C26910" w:rsidP="00C534A9">
      <w:pPr>
        <w:pStyle w:val="Heading3"/>
        <w:jc w:val="both"/>
        <w:rPr>
          <w:rFonts w:ascii="Arial" w:hAnsi="Arial" w:cs="Arial"/>
          <w:sz w:val="22"/>
        </w:rPr>
      </w:pPr>
      <w:bookmarkStart w:id="191" w:name="_Toc464551558"/>
      <w:r w:rsidRPr="00C534A9">
        <w:rPr>
          <w:rFonts w:ascii="Arial" w:hAnsi="Arial" w:cs="Arial"/>
          <w:sz w:val="22"/>
        </w:rPr>
        <w:t xml:space="preserve">Expenses of the </w:t>
      </w:r>
      <w:r w:rsidR="00C755DB" w:rsidRPr="00C534A9">
        <w:rPr>
          <w:rFonts w:ascii="Arial" w:hAnsi="Arial" w:cs="Arial"/>
          <w:sz w:val="22"/>
        </w:rPr>
        <w:t>VS LNG</w:t>
      </w:r>
      <w:r w:rsidR="0078304E" w:rsidRPr="00C534A9">
        <w:rPr>
          <w:rFonts w:ascii="Arial" w:hAnsi="Arial" w:cs="Arial"/>
          <w:sz w:val="22"/>
        </w:rPr>
        <w:t xml:space="preserve"> </w:t>
      </w:r>
      <w:r w:rsidR="00C755DB" w:rsidRPr="00C534A9">
        <w:rPr>
          <w:rFonts w:ascii="Arial" w:hAnsi="Arial" w:cs="Arial"/>
          <w:sz w:val="22"/>
        </w:rPr>
        <w:t>terminal</w:t>
      </w:r>
      <w:r w:rsidRPr="00C534A9">
        <w:rPr>
          <w:rFonts w:ascii="Arial" w:hAnsi="Arial" w:cs="Arial"/>
          <w:sz w:val="22"/>
        </w:rPr>
        <w:t xml:space="preserve"> sub-project</w:t>
      </w:r>
      <w:bookmarkEnd w:id="191"/>
    </w:p>
    <w:p w:rsidR="00C26910" w:rsidRPr="00C534A9" w:rsidRDefault="00C26910" w:rsidP="00C534A9">
      <w:pPr>
        <w:jc w:val="both"/>
        <w:rPr>
          <w:rFonts w:ascii="Arial" w:hAnsi="Arial" w:cs="Arial"/>
          <w:sz w:val="22"/>
        </w:rPr>
      </w:pPr>
      <w:r w:rsidRPr="00C534A9">
        <w:rPr>
          <w:rFonts w:ascii="Arial" w:hAnsi="Arial" w:cs="Arial"/>
          <w:sz w:val="22"/>
        </w:rPr>
        <w:t>The costs associated with the sub-project include:</w:t>
      </w:r>
    </w:p>
    <w:p w:rsidR="00C26910" w:rsidRPr="00C534A9" w:rsidRDefault="00C26910" w:rsidP="00C534A9">
      <w:pPr>
        <w:pStyle w:val="ListParagraph"/>
        <w:numPr>
          <w:ilvl w:val="0"/>
          <w:numId w:val="35"/>
        </w:numPr>
        <w:jc w:val="both"/>
        <w:rPr>
          <w:rFonts w:ascii="Arial" w:hAnsi="Arial" w:cs="Arial"/>
          <w:sz w:val="22"/>
        </w:rPr>
      </w:pPr>
      <w:r w:rsidRPr="00C534A9">
        <w:rPr>
          <w:rFonts w:ascii="Arial" w:hAnsi="Arial" w:cs="Arial"/>
          <w:b/>
          <w:sz w:val="22"/>
        </w:rPr>
        <w:t>Capital Expenditures</w:t>
      </w:r>
      <w:r w:rsidR="00C755DB" w:rsidRPr="00C534A9">
        <w:rPr>
          <w:rFonts w:ascii="Arial" w:hAnsi="Arial" w:cs="Arial"/>
          <w:b/>
          <w:sz w:val="22"/>
        </w:rPr>
        <w:t xml:space="preserve"> for the VS LNG terminal</w:t>
      </w:r>
      <w:r w:rsidRPr="00C534A9">
        <w:rPr>
          <w:rFonts w:ascii="Arial" w:hAnsi="Arial" w:cs="Arial"/>
          <w:b/>
          <w:sz w:val="22"/>
        </w:rPr>
        <w:t xml:space="preserve"> (</w:t>
      </w:r>
      <w:r w:rsidR="00C755DB" w:rsidRPr="00C534A9">
        <w:rPr>
          <w:rFonts w:ascii="Arial" w:hAnsi="Arial" w:cs="Arial"/>
          <w:b/>
          <w:sz w:val="22"/>
        </w:rPr>
        <w:t xml:space="preserve">Terminal </w:t>
      </w:r>
      <w:r w:rsidRPr="00C534A9">
        <w:rPr>
          <w:rFonts w:ascii="Arial" w:hAnsi="Arial" w:cs="Arial"/>
          <w:b/>
          <w:sz w:val="22"/>
        </w:rPr>
        <w:t>Capex)</w:t>
      </w:r>
      <w:r w:rsidRPr="00C534A9">
        <w:rPr>
          <w:rFonts w:ascii="Arial" w:hAnsi="Arial" w:cs="Arial"/>
          <w:sz w:val="22"/>
        </w:rPr>
        <w:t xml:space="preserve">—these are the capital investments needed to complete the sub-project. </w:t>
      </w:r>
      <w:r w:rsidR="00957ACC" w:rsidRPr="00C534A9">
        <w:rPr>
          <w:rFonts w:ascii="Arial" w:hAnsi="Arial" w:cs="Arial"/>
          <w:sz w:val="22"/>
        </w:rPr>
        <w:t>The capital investments</w:t>
      </w:r>
      <w:r w:rsidRPr="00C534A9">
        <w:rPr>
          <w:rFonts w:ascii="Arial" w:hAnsi="Arial" w:cs="Arial"/>
          <w:sz w:val="22"/>
        </w:rPr>
        <w:t xml:space="preserve"> include the costs for the physical upgrades to the </w:t>
      </w:r>
      <w:r w:rsidR="00C755DB" w:rsidRPr="00C534A9">
        <w:rPr>
          <w:rFonts w:ascii="Arial" w:hAnsi="Arial" w:cs="Arial"/>
          <w:sz w:val="22"/>
        </w:rPr>
        <w:t>LN</w:t>
      </w:r>
      <w:r w:rsidRPr="00C534A9">
        <w:rPr>
          <w:rFonts w:ascii="Arial" w:hAnsi="Arial" w:cs="Arial"/>
          <w:sz w:val="22"/>
        </w:rPr>
        <w:t xml:space="preserve">G </w:t>
      </w:r>
      <w:r w:rsidR="00C755DB" w:rsidRPr="00C534A9">
        <w:rPr>
          <w:rFonts w:ascii="Arial" w:hAnsi="Arial" w:cs="Arial"/>
          <w:sz w:val="22"/>
        </w:rPr>
        <w:t xml:space="preserve">terminal </w:t>
      </w:r>
      <w:r w:rsidRPr="00C534A9">
        <w:rPr>
          <w:rFonts w:ascii="Arial" w:hAnsi="Arial" w:cs="Arial"/>
          <w:sz w:val="22"/>
        </w:rPr>
        <w:t>site, LNG receiving</w:t>
      </w:r>
      <w:r w:rsidR="00C755DB" w:rsidRPr="00C534A9">
        <w:rPr>
          <w:rFonts w:ascii="Arial" w:hAnsi="Arial" w:cs="Arial"/>
          <w:sz w:val="22"/>
        </w:rPr>
        <w:t xml:space="preserve"> and</w:t>
      </w:r>
      <w:r w:rsidRPr="00C534A9">
        <w:rPr>
          <w:rFonts w:ascii="Arial" w:hAnsi="Arial" w:cs="Arial"/>
          <w:sz w:val="22"/>
        </w:rPr>
        <w:t xml:space="preserve"> handling systems, on-site LNG storage, and related consulting costs for the </w:t>
      </w:r>
      <w:r w:rsidR="00C755DB" w:rsidRPr="00C534A9">
        <w:rPr>
          <w:rFonts w:ascii="Arial" w:hAnsi="Arial" w:cs="Arial"/>
          <w:sz w:val="22"/>
        </w:rPr>
        <w:t xml:space="preserve">terminal’s </w:t>
      </w:r>
      <w:r w:rsidRPr="00C534A9">
        <w:rPr>
          <w:rFonts w:ascii="Arial" w:hAnsi="Arial" w:cs="Arial"/>
          <w:sz w:val="22"/>
        </w:rPr>
        <w:t>design, engineering</w:t>
      </w:r>
      <w:r w:rsidR="00C755DB" w:rsidRPr="00C534A9">
        <w:rPr>
          <w:rFonts w:ascii="Arial" w:hAnsi="Arial" w:cs="Arial"/>
          <w:sz w:val="22"/>
        </w:rPr>
        <w:t>,</w:t>
      </w:r>
      <w:r w:rsidRPr="00C534A9">
        <w:rPr>
          <w:rFonts w:ascii="Arial" w:hAnsi="Arial" w:cs="Arial"/>
          <w:sz w:val="22"/>
        </w:rPr>
        <w:t xml:space="preserve"> procurement</w:t>
      </w:r>
      <w:r w:rsidR="00C755DB" w:rsidRPr="00C534A9">
        <w:rPr>
          <w:rFonts w:ascii="Arial" w:hAnsi="Arial" w:cs="Arial"/>
          <w:sz w:val="22"/>
        </w:rPr>
        <w:t>, and construction</w:t>
      </w:r>
      <w:r w:rsidRPr="00C534A9">
        <w:rPr>
          <w:rFonts w:ascii="Arial" w:hAnsi="Arial" w:cs="Arial"/>
          <w:sz w:val="22"/>
        </w:rPr>
        <w:t xml:space="preserve">. NPC provided detailed estimates of the Capex required for the sub-projects as part of the loan procurement plan.  </w:t>
      </w:r>
      <w:r w:rsidR="00C755DB" w:rsidRPr="00C534A9">
        <w:rPr>
          <w:rFonts w:ascii="Arial" w:hAnsi="Arial" w:cs="Arial"/>
          <w:sz w:val="22"/>
        </w:rPr>
        <w:t>NPC estimates that the VS LNG  terminal Capex will be US$83 million</w:t>
      </w:r>
    </w:p>
    <w:p w:rsidR="00C26910" w:rsidRPr="00C534A9" w:rsidRDefault="00C26910" w:rsidP="00C534A9">
      <w:pPr>
        <w:pStyle w:val="ListParagraph"/>
        <w:numPr>
          <w:ilvl w:val="0"/>
          <w:numId w:val="35"/>
        </w:numPr>
        <w:jc w:val="both"/>
        <w:rPr>
          <w:rFonts w:ascii="Arial" w:hAnsi="Arial" w:cs="Arial"/>
          <w:sz w:val="22"/>
        </w:rPr>
      </w:pPr>
      <w:r w:rsidRPr="00C534A9">
        <w:rPr>
          <w:rFonts w:ascii="Arial" w:hAnsi="Arial" w:cs="Arial"/>
          <w:b/>
          <w:sz w:val="22"/>
        </w:rPr>
        <w:t>Operational Expenditures (</w:t>
      </w:r>
      <w:proofErr w:type="spellStart"/>
      <w:r w:rsidRPr="00C534A9">
        <w:rPr>
          <w:rFonts w:ascii="Arial" w:hAnsi="Arial" w:cs="Arial"/>
          <w:b/>
          <w:sz w:val="22"/>
        </w:rPr>
        <w:t>Opex</w:t>
      </w:r>
      <w:proofErr w:type="spellEnd"/>
      <w:r w:rsidRPr="00C534A9">
        <w:rPr>
          <w:rFonts w:ascii="Arial" w:hAnsi="Arial" w:cs="Arial"/>
          <w:b/>
          <w:sz w:val="22"/>
        </w:rPr>
        <w:t>)</w:t>
      </w:r>
      <w:r w:rsidRPr="00C534A9">
        <w:rPr>
          <w:rFonts w:ascii="Arial" w:hAnsi="Arial" w:cs="Arial"/>
          <w:sz w:val="22"/>
        </w:rPr>
        <w:t xml:space="preserve">—these are the annual expenses incurred to operate and maintain the </w:t>
      </w:r>
      <w:r w:rsidR="00A74A3E" w:rsidRPr="00C534A9">
        <w:rPr>
          <w:rFonts w:ascii="Arial" w:hAnsi="Arial" w:cs="Arial"/>
          <w:sz w:val="22"/>
        </w:rPr>
        <w:t>VS LNG terminal</w:t>
      </w:r>
      <w:r w:rsidRPr="00C534A9">
        <w:rPr>
          <w:rFonts w:ascii="Arial" w:hAnsi="Arial" w:cs="Arial"/>
          <w:sz w:val="22"/>
        </w:rPr>
        <w:t xml:space="preserve"> and related infrastructure. Operating expenses include fixed costs that are not directly dependent on the volume of natural gas processes, such as personnel and land costs, and variable costs that are a function of the volume of natural gas, such as NG losses in the regasification process.</w:t>
      </w:r>
      <w:r w:rsidR="00257632" w:rsidRPr="00C534A9">
        <w:rPr>
          <w:rFonts w:ascii="Arial" w:hAnsi="Arial" w:cs="Arial"/>
          <w:sz w:val="22"/>
        </w:rPr>
        <w:t xml:space="preserve"> </w:t>
      </w:r>
      <w:proofErr w:type="spellStart"/>
      <w:r w:rsidR="00257632" w:rsidRPr="00C534A9">
        <w:rPr>
          <w:rFonts w:ascii="Arial" w:hAnsi="Arial" w:cs="Arial"/>
          <w:sz w:val="22"/>
        </w:rPr>
        <w:t>Opex</w:t>
      </w:r>
      <w:proofErr w:type="spellEnd"/>
      <w:r w:rsidR="00257632" w:rsidRPr="00C534A9">
        <w:rPr>
          <w:rFonts w:ascii="Arial" w:hAnsi="Arial" w:cs="Arial"/>
          <w:sz w:val="22"/>
        </w:rPr>
        <w:t xml:space="preserve"> is</w:t>
      </w:r>
      <w:r w:rsidR="00704CBF" w:rsidRPr="00C534A9">
        <w:rPr>
          <w:rFonts w:ascii="Arial" w:hAnsi="Arial" w:cs="Arial"/>
          <w:sz w:val="22"/>
        </w:rPr>
        <w:t xml:space="preserve"> estimated to be </w:t>
      </w:r>
      <w:r w:rsidR="00257632" w:rsidRPr="00C534A9">
        <w:rPr>
          <w:rFonts w:ascii="Arial" w:hAnsi="Arial" w:cs="Arial"/>
          <w:sz w:val="22"/>
        </w:rPr>
        <w:t xml:space="preserve">US$0.20 per </w:t>
      </w:r>
      <w:proofErr w:type="spellStart"/>
      <w:r w:rsidR="00257632" w:rsidRPr="00C534A9">
        <w:rPr>
          <w:rFonts w:ascii="Arial" w:hAnsi="Arial" w:cs="Arial"/>
          <w:sz w:val="22"/>
        </w:rPr>
        <w:t>MMBtu</w:t>
      </w:r>
      <w:proofErr w:type="spellEnd"/>
      <w:r w:rsidR="00257632" w:rsidRPr="00C534A9">
        <w:rPr>
          <w:rFonts w:ascii="Arial" w:hAnsi="Arial" w:cs="Arial"/>
          <w:sz w:val="22"/>
        </w:rPr>
        <w:t xml:space="preserve"> of imported LNG plus </w:t>
      </w:r>
      <w:r w:rsidR="00704CBF" w:rsidRPr="00C534A9">
        <w:rPr>
          <w:rFonts w:ascii="Arial" w:hAnsi="Arial" w:cs="Arial"/>
          <w:sz w:val="22"/>
        </w:rPr>
        <w:t xml:space="preserve">1.5% of the </w:t>
      </w:r>
      <w:r w:rsidR="00257632" w:rsidRPr="00C534A9">
        <w:rPr>
          <w:rFonts w:ascii="Arial" w:hAnsi="Arial" w:cs="Arial"/>
          <w:sz w:val="22"/>
        </w:rPr>
        <w:t xml:space="preserve">imported LNG volume lost in the regasification process, plus 5% of the project Capex for transporting the natural gas to </w:t>
      </w:r>
      <w:r w:rsidR="00222066" w:rsidRPr="00C534A9">
        <w:rPr>
          <w:rFonts w:ascii="Arial" w:hAnsi="Arial" w:cs="Arial"/>
          <w:sz w:val="22"/>
        </w:rPr>
        <w:t>BL&amp;P</w:t>
      </w:r>
      <w:r w:rsidR="00257632" w:rsidRPr="00C534A9">
        <w:rPr>
          <w:rFonts w:ascii="Arial" w:hAnsi="Arial" w:cs="Arial"/>
          <w:sz w:val="22"/>
        </w:rPr>
        <w:t>’s power stations.</w:t>
      </w:r>
    </w:p>
    <w:p w:rsidR="00C26910" w:rsidRPr="00C534A9" w:rsidRDefault="00C26910" w:rsidP="00C534A9">
      <w:pPr>
        <w:pStyle w:val="ListParagraph"/>
        <w:numPr>
          <w:ilvl w:val="0"/>
          <w:numId w:val="35"/>
        </w:numPr>
        <w:jc w:val="both"/>
        <w:rPr>
          <w:rFonts w:ascii="Arial" w:hAnsi="Arial" w:cs="Arial"/>
          <w:sz w:val="22"/>
        </w:rPr>
      </w:pPr>
      <w:r w:rsidRPr="00C534A9">
        <w:rPr>
          <w:rFonts w:ascii="Arial" w:hAnsi="Arial" w:cs="Arial"/>
          <w:b/>
          <w:sz w:val="22"/>
        </w:rPr>
        <w:t>Natural gas purchases</w:t>
      </w:r>
      <w:r w:rsidRPr="00C534A9">
        <w:rPr>
          <w:rFonts w:ascii="Arial" w:hAnsi="Arial" w:cs="Arial"/>
          <w:sz w:val="22"/>
        </w:rPr>
        <w:t xml:space="preserve">—these are the annual expenses incurred by purchasing natural gas on the international markets to import through the </w:t>
      </w:r>
      <w:r w:rsidR="00AE46F2" w:rsidRPr="00C534A9">
        <w:rPr>
          <w:rFonts w:ascii="Arial" w:hAnsi="Arial" w:cs="Arial"/>
          <w:sz w:val="22"/>
        </w:rPr>
        <w:t>VS LNG terminal</w:t>
      </w:r>
      <w:r w:rsidRPr="00C534A9">
        <w:rPr>
          <w:rFonts w:ascii="Arial" w:hAnsi="Arial" w:cs="Arial"/>
          <w:sz w:val="22"/>
        </w:rPr>
        <w:t xml:space="preserve">.  </w:t>
      </w:r>
      <w:r w:rsidR="00957ACC" w:rsidRPr="00C534A9">
        <w:rPr>
          <w:rFonts w:ascii="Arial" w:hAnsi="Arial" w:cs="Arial"/>
          <w:sz w:val="22"/>
        </w:rPr>
        <w:t xml:space="preserve"> T</w:t>
      </w:r>
      <w:r w:rsidRPr="00C534A9">
        <w:rPr>
          <w:rFonts w:ascii="Arial" w:hAnsi="Arial" w:cs="Arial"/>
          <w:sz w:val="22"/>
        </w:rPr>
        <w:t xml:space="preserve">he cost of natural gas imports </w:t>
      </w:r>
      <w:r w:rsidR="00957ACC" w:rsidRPr="00C534A9">
        <w:rPr>
          <w:rFonts w:ascii="Arial" w:hAnsi="Arial" w:cs="Arial"/>
          <w:sz w:val="22"/>
        </w:rPr>
        <w:t xml:space="preserve">was calculated </w:t>
      </w:r>
      <w:r w:rsidRPr="00C534A9">
        <w:rPr>
          <w:rFonts w:ascii="Arial" w:hAnsi="Arial" w:cs="Arial"/>
          <w:sz w:val="22"/>
        </w:rPr>
        <w:t xml:space="preserve">as the product of the cost to import a unit of natural gas and the </w:t>
      </w:r>
      <w:r w:rsidR="00AE46F2" w:rsidRPr="00C534A9">
        <w:rPr>
          <w:rFonts w:ascii="Arial" w:hAnsi="Arial" w:cs="Arial"/>
          <w:sz w:val="22"/>
        </w:rPr>
        <w:t>expected</w:t>
      </w:r>
      <w:r w:rsidRPr="00C534A9">
        <w:rPr>
          <w:rFonts w:ascii="Arial" w:hAnsi="Arial" w:cs="Arial"/>
          <w:sz w:val="22"/>
        </w:rPr>
        <w:t xml:space="preserve"> volume of imported natura</w:t>
      </w:r>
      <w:r w:rsidR="00AE46F2" w:rsidRPr="00C534A9">
        <w:rPr>
          <w:rFonts w:ascii="Arial" w:hAnsi="Arial" w:cs="Arial"/>
          <w:sz w:val="22"/>
        </w:rPr>
        <w:t>l gas. The volume of</w:t>
      </w:r>
      <w:r w:rsidRPr="00C534A9">
        <w:rPr>
          <w:rFonts w:ascii="Arial" w:hAnsi="Arial" w:cs="Arial"/>
          <w:sz w:val="22"/>
        </w:rPr>
        <w:t xml:space="preserve"> natural gas imports was calculated as the </w:t>
      </w:r>
      <w:r w:rsidR="00AE46F2" w:rsidRPr="00C534A9">
        <w:rPr>
          <w:rFonts w:ascii="Arial" w:hAnsi="Arial" w:cs="Arial"/>
          <w:sz w:val="22"/>
        </w:rPr>
        <w:t xml:space="preserve">product of electricity generation capacity to be converted to use natural gas (80 MW according to </w:t>
      </w:r>
      <w:r w:rsidR="00222066" w:rsidRPr="00C534A9">
        <w:rPr>
          <w:rFonts w:ascii="Arial" w:hAnsi="Arial" w:cs="Arial"/>
          <w:sz w:val="22"/>
        </w:rPr>
        <w:t>BL&amp;P</w:t>
      </w:r>
      <w:r w:rsidR="00AE46F2" w:rsidRPr="00C534A9">
        <w:rPr>
          <w:rFonts w:ascii="Arial" w:hAnsi="Arial" w:cs="Arial"/>
          <w:sz w:val="22"/>
        </w:rPr>
        <w:t>), the capacity factor (estimated to be 70%, and the electricity generation technology heat rate (estimated to be 7,344 Btu/kWh)</w:t>
      </w:r>
      <w:r w:rsidRPr="00C534A9">
        <w:rPr>
          <w:rFonts w:ascii="Arial" w:hAnsi="Arial" w:cs="Arial"/>
          <w:sz w:val="22"/>
        </w:rPr>
        <w:t>.</w:t>
      </w:r>
      <w:r w:rsidR="00AE46F2" w:rsidRPr="00C534A9">
        <w:rPr>
          <w:rFonts w:ascii="Arial" w:hAnsi="Arial" w:cs="Arial"/>
          <w:sz w:val="22"/>
        </w:rPr>
        <w:t xml:space="preserve"> The cost of imported natural gas is calculated as the product of the price of natural gas at the source (Henry Hub), the cost of liquefaction, and the cost of shipping (see Section 6.1.1 for further details on these calculations)</w:t>
      </w:r>
      <w:r w:rsidRPr="00C534A9">
        <w:rPr>
          <w:rFonts w:ascii="Arial" w:hAnsi="Arial" w:cs="Arial"/>
          <w:sz w:val="22"/>
        </w:rPr>
        <w:t>.</w:t>
      </w:r>
    </w:p>
    <w:p w:rsidR="00C26910" w:rsidRPr="00C534A9" w:rsidRDefault="00C26910" w:rsidP="00C534A9">
      <w:pPr>
        <w:pStyle w:val="ListParagraph"/>
        <w:numPr>
          <w:ilvl w:val="0"/>
          <w:numId w:val="35"/>
        </w:numPr>
        <w:jc w:val="both"/>
        <w:rPr>
          <w:rFonts w:ascii="Arial" w:hAnsi="Arial" w:cs="Arial"/>
          <w:sz w:val="22"/>
        </w:rPr>
      </w:pPr>
      <w:r w:rsidRPr="00C534A9">
        <w:rPr>
          <w:rFonts w:ascii="Arial" w:hAnsi="Arial" w:cs="Arial"/>
          <w:b/>
          <w:sz w:val="22"/>
        </w:rPr>
        <w:t>Loan interest payments</w:t>
      </w:r>
      <w:r w:rsidRPr="00C534A9">
        <w:rPr>
          <w:rFonts w:ascii="Arial" w:hAnsi="Arial" w:cs="Arial"/>
          <w:sz w:val="22"/>
        </w:rPr>
        <w:t>—</w:t>
      </w:r>
      <w:r w:rsidRPr="00C534A9">
        <w:rPr>
          <w:rFonts w:ascii="Arial" w:hAnsi="Arial" w:cs="Arial"/>
          <w:sz w:val="22"/>
          <w:szCs w:val="24"/>
        </w:rPr>
        <w:t>these are the financing charges for the IDB loan for the capital investment in the sub-project. According to the IDB, the loan terms include an interest rate of LIBOR + 1.15 percent (currently roughly 1.65%)</w:t>
      </w:r>
      <w:r w:rsidR="00584277" w:rsidRPr="00C534A9">
        <w:rPr>
          <w:rFonts w:ascii="Arial" w:hAnsi="Arial" w:cs="Arial"/>
          <w:sz w:val="22"/>
          <w:szCs w:val="24"/>
        </w:rPr>
        <w:t xml:space="preserve"> and a 25 year repayment period.</w:t>
      </w:r>
      <w:r w:rsidRPr="00C534A9">
        <w:rPr>
          <w:rFonts w:ascii="Arial" w:hAnsi="Arial" w:cs="Arial"/>
          <w:sz w:val="22"/>
          <w:szCs w:val="24"/>
        </w:rPr>
        <w:t xml:space="preserve"> </w:t>
      </w:r>
    </w:p>
    <w:p w:rsidR="00C26910" w:rsidRPr="00C534A9" w:rsidRDefault="00C26910" w:rsidP="00C534A9">
      <w:pPr>
        <w:pStyle w:val="ListParagraph"/>
        <w:numPr>
          <w:ilvl w:val="0"/>
          <w:numId w:val="35"/>
        </w:numPr>
        <w:jc w:val="both"/>
        <w:rPr>
          <w:rFonts w:ascii="Arial" w:hAnsi="Arial" w:cs="Arial"/>
          <w:sz w:val="22"/>
        </w:rPr>
      </w:pPr>
      <w:r w:rsidRPr="00C534A9">
        <w:rPr>
          <w:rFonts w:ascii="Arial" w:hAnsi="Arial" w:cs="Arial"/>
          <w:b/>
          <w:sz w:val="22"/>
        </w:rPr>
        <w:t>Corporate taxes</w:t>
      </w:r>
      <w:r w:rsidRPr="00C534A9">
        <w:rPr>
          <w:rFonts w:ascii="Arial" w:hAnsi="Arial" w:cs="Arial"/>
          <w:sz w:val="22"/>
        </w:rPr>
        <w:t xml:space="preserve">—these are the taxes that NPC must pay on the profits that are generated by the sub-project. Barbados’ corporate tax rate is currently 25%. This rate was applied to the sub-project earnings after deducting interest and amortization expenses. </w:t>
      </w:r>
      <w:r w:rsidR="00957ACC" w:rsidRPr="00C534A9">
        <w:rPr>
          <w:rFonts w:ascii="Arial" w:hAnsi="Arial" w:cs="Arial"/>
          <w:sz w:val="22"/>
        </w:rPr>
        <w:t>T</w:t>
      </w:r>
      <w:r w:rsidRPr="00C534A9">
        <w:rPr>
          <w:rFonts w:ascii="Arial" w:hAnsi="Arial" w:cs="Arial"/>
          <w:sz w:val="22"/>
        </w:rPr>
        <w:t xml:space="preserve">he sub-project assets </w:t>
      </w:r>
      <w:r w:rsidR="00957ACC" w:rsidRPr="00C534A9">
        <w:rPr>
          <w:rFonts w:ascii="Arial" w:hAnsi="Arial" w:cs="Arial"/>
          <w:sz w:val="22"/>
        </w:rPr>
        <w:t xml:space="preserve">were assumed to </w:t>
      </w:r>
      <w:r w:rsidRPr="00C534A9">
        <w:rPr>
          <w:rFonts w:ascii="Arial" w:hAnsi="Arial" w:cs="Arial"/>
          <w:sz w:val="22"/>
        </w:rPr>
        <w:t xml:space="preserve">be amortized with </w:t>
      </w:r>
      <w:proofErr w:type="gramStart"/>
      <w:r w:rsidRPr="00C534A9">
        <w:rPr>
          <w:rFonts w:ascii="Arial" w:hAnsi="Arial" w:cs="Arial"/>
          <w:sz w:val="22"/>
        </w:rPr>
        <w:t>a 15</w:t>
      </w:r>
      <w:proofErr w:type="gramEnd"/>
      <w:r w:rsidRPr="00C534A9">
        <w:rPr>
          <w:rFonts w:ascii="Arial" w:hAnsi="Arial" w:cs="Arial"/>
          <w:sz w:val="22"/>
        </w:rPr>
        <w:t xml:space="preserve">-year straight line depreciation. </w:t>
      </w:r>
      <w:r w:rsidR="00957ACC" w:rsidRPr="00C534A9">
        <w:rPr>
          <w:rFonts w:ascii="Arial" w:hAnsi="Arial" w:cs="Arial"/>
          <w:sz w:val="22"/>
        </w:rPr>
        <w:t>The</w:t>
      </w:r>
      <w:r w:rsidRPr="00C534A9">
        <w:rPr>
          <w:rFonts w:ascii="Arial" w:hAnsi="Arial" w:cs="Arial"/>
          <w:sz w:val="22"/>
        </w:rPr>
        <w:t xml:space="preserve"> full corporate tax rate </w:t>
      </w:r>
      <w:r w:rsidR="00957ACC" w:rsidRPr="00C534A9">
        <w:rPr>
          <w:rFonts w:ascii="Arial" w:hAnsi="Arial" w:cs="Arial"/>
          <w:sz w:val="22"/>
        </w:rPr>
        <w:t xml:space="preserve">was assumed to </w:t>
      </w:r>
      <w:r w:rsidRPr="00C534A9">
        <w:rPr>
          <w:rFonts w:ascii="Arial" w:hAnsi="Arial" w:cs="Arial"/>
          <w:sz w:val="22"/>
        </w:rPr>
        <w:t>be applied to the sub-project.</w:t>
      </w:r>
    </w:p>
    <w:p w:rsidR="00C26910" w:rsidRPr="00C534A9" w:rsidRDefault="00C26910" w:rsidP="00C534A9">
      <w:pPr>
        <w:pStyle w:val="Heading3"/>
        <w:jc w:val="both"/>
        <w:rPr>
          <w:rFonts w:ascii="Arial" w:hAnsi="Arial" w:cs="Arial"/>
          <w:sz w:val="22"/>
        </w:rPr>
      </w:pPr>
      <w:bookmarkStart w:id="192" w:name="_Toc464551559"/>
      <w:r w:rsidRPr="00C534A9">
        <w:rPr>
          <w:rFonts w:ascii="Arial" w:hAnsi="Arial" w:cs="Arial"/>
          <w:sz w:val="22"/>
        </w:rPr>
        <w:t xml:space="preserve">Cash flows of the </w:t>
      </w:r>
      <w:r w:rsidR="00584277" w:rsidRPr="00C534A9">
        <w:rPr>
          <w:rFonts w:ascii="Arial" w:hAnsi="Arial" w:cs="Arial"/>
          <w:sz w:val="22"/>
        </w:rPr>
        <w:t>VS LNG terminal</w:t>
      </w:r>
      <w:r w:rsidRPr="00C534A9">
        <w:rPr>
          <w:rFonts w:ascii="Arial" w:hAnsi="Arial" w:cs="Arial"/>
          <w:sz w:val="22"/>
        </w:rPr>
        <w:t xml:space="preserve"> sub-project</w:t>
      </w:r>
      <w:bookmarkEnd w:id="192"/>
    </w:p>
    <w:p w:rsidR="00C26910" w:rsidRPr="00C534A9" w:rsidRDefault="00C26910" w:rsidP="00C534A9">
      <w:pPr>
        <w:jc w:val="both"/>
        <w:rPr>
          <w:rFonts w:ascii="Arial" w:hAnsi="Arial" w:cs="Arial"/>
          <w:sz w:val="22"/>
        </w:rPr>
      </w:pPr>
      <w:r w:rsidRPr="00C534A9">
        <w:rPr>
          <w:rFonts w:ascii="Arial" w:hAnsi="Arial" w:cs="Arial"/>
          <w:sz w:val="22"/>
        </w:rPr>
        <w:t>After estimat</w:t>
      </w:r>
      <w:r w:rsidR="00712B41" w:rsidRPr="00C534A9">
        <w:rPr>
          <w:rFonts w:ascii="Arial" w:hAnsi="Arial" w:cs="Arial"/>
          <w:sz w:val="22"/>
        </w:rPr>
        <w:t>ing</w:t>
      </w:r>
      <w:r w:rsidRPr="00C534A9">
        <w:rPr>
          <w:rFonts w:ascii="Arial" w:hAnsi="Arial" w:cs="Arial"/>
          <w:sz w:val="22"/>
        </w:rPr>
        <w:t xml:space="preserve"> the sub-project’s associated income and expenses, the next step is to calculate the sub-project’s annual cash flow. This is accomplished by subtracting the present value of the sub-project’s costs from the present value of the sub-project’s benefits. </w:t>
      </w:r>
      <w:r w:rsidR="00712B41" w:rsidRPr="00C534A9">
        <w:rPr>
          <w:rFonts w:ascii="Arial" w:hAnsi="Arial" w:cs="Arial"/>
          <w:sz w:val="22"/>
        </w:rPr>
        <w:t>T</w:t>
      </w:r>
      <w:r w:rsidRPr="00C534A9">
        <w:rPr>
          <w:rFonts w:ascii="Arial" w:hAnsi="Arial" w:cs="Arial"/>
          <w:sz w:val="22"/>
        </w:rPr>
        <w:t xml:space="preserve">he present value of the sub-project’s costs and </w:t>
      </w:r>
      <w:proofErr w:type="gramStart"/>
      <w:r w:rsidRPr="00C534A9">
        <w:rPr>
          <w:rFonts w:ascii="Arial" w:hAnsi="Arial" w:cs="Arial"/>
          <w:sz w:val="22"/>
        </w:rPr>
        <w:t>benefits,</w:t>
      </w:r>
      <w:proofErr w:type="gramEnd"/>
      <w:r w:rsidRPr="00C534A9">
        <w:rPr>
          <w:rFonts w:ascii="Arial" w:hAnsi="Arial" w:cs="Arial"/>
          <w:sz w:val="22"/>
        </w:rPr>
        <w:t xml:space="preserve"> </w:t>
      </w:r>
      <w:r w:rsidR="00AD51DD" w:rsidRPr="00C534A9">
        <w:rPr>
          <w:rFonts w:ascii="Arial" w:hAnsi="Arial" w:cs="Arial"/>
          <w:sz w:val="22"/>
        </w:rPr>
        <w:t xml:space="preserve">was determined using </w:t>
      </w:r>
      <w:r w:rsidRPr="00C534A9">
        <w:rPr>
          <w:rFonts w:ascii="Arial" w:hAnsi="Arial" w:cs="Arial"/>
          <w:sz w:val="22"/>
        </w:rPr>
        <w:t xml:space="preserve">a social discount rate of 12 percent (in real terms). If the present value of the sub-project’s net benefits is greater than zero, the </w:t>
      </w:r>
      <w:r w:rsidR="00AA31CB" w:rsidRPr="00C534A9">
        <w:rPr>
          <w:rFonts w:ascii="Arial" w:hAnsi="Arial" w:cs="Arial"/>
          <w:sz w:val="22"/>
        </w:rPr>
        <w:t>sub-project</w:t>
      </w:r>
      <w:r w:rsidRPr="00C534A9">
        <w:rPr>
          <w:rFonts w:ascii="Arial" w:hAnsi="Arial" w:cs="Arial"/>
          <w:sz w:val="22"/>
        </w:rPr>
        <w:t xml:space="preserve"> is economically viable.  </w:t>
      </w:r>
    </w:p>
    <w:p w:rsidR="00C26910" w:rsidRPr="00C534A9" w:rsidRDefault="00C26910" w:rsidP="00C534A9">
      <w:pPr>
        <w:pStyle w:val="Heading2"/>
        <w:jc w:val="both"/>
        <w:rPr>
          <w:rFonts w:ascii="Arial" w:hAnsi="Arial" w:cs="Arial"/>
          <w:sz w:val="24"/>
        </w:rPr>
      </w:pPr>
      <w:bookmarkStart w:id="193" w:name="_Toc464551560"/>
      <w:r w:rsidRPr="00C534A9">
        <w:rPr>
          <w:rFonts w:ascii="Arial" w:hAnsi="Arial" w:cs="Arial"/>
          <w:sz w:val="24"/>
        </w:rPr>
        <w:t xml:space="preserve">Profitability of the </w:t>
      </w:r>
      <w:r w:rsidR="0066026D" w:rsidRPr="00C534A9">
        <w:rPr>
          <w:rFonts w:ascii="Arial" w:hAnsi="Arial" w:cs="Arial"/>
          <w:sz w:val="24"/>
        </w:rPr>
        <w:t>VS LNG terminal</w:t>
      </w:r>
      <w:r w:rsidRPr="00C534A9">
        <w:rPr>
          <w:rFonts w:ascii="Arial" w:hAnsi="Arial" w:cs="Arial"/>
          <w:sz w:val="24"/>
        </w:rPr>
        <w:t xml:space="preserve"> sub-project</w:t>
      </w:r>
      <w:bookmarkEnd w:id="193"/>
    </w:p>
    <w:p w:rsidR="00C26910" w:rsidRPr="00C534A9" w:rsidRDefault="00C26910" w:rsidP="00C534A9">
      <w:pPr>
        <w:jc w:val="both"/>
        <w:rPr>
          <w:rFonts w:ascii="Arial" w:hAnsi="Arial" w:cs="Arial"/>
          <w:sz w:val="22"/>
        </w:rPr>
      </w:pPr>
      <w:r w:rsidRPr="00C534A9">
        <w:rPr>
          <w:rFonts w:ascii="Arial" w:hAnsi="Arial" w:cs="Arial"/>
          <w:sz w:val="22"/>
        </w:rPr>
        <w:t xml:space="preserve">This section presents the results of the financial analysis for the </w:t>
      </w:r>
      <w:r w:rsidR="0066026D" w:rsidRPr="00C534A9">
        <w:rPr>
          <w:rFonts w:ascii="Arial" w:hAnsi="Arial" w:cs="Arial"/>
          <w:sz w:val="22"/>
        </w:rPr>
        <w:t>VS LNG terminal</w:t>
      </w:r>
      <w:r w:rsidRPr="00C534A9">
        <w:rPr>
          <w:rFonts w:ascii="Arial" w:hAnsi="Arial" w:cs="Arial"/>
          <w:sz w:val="22"/>
        </w:rPr>
        <w:t xml:space="preserve">. The sub-project’s net present value is </w:t>
      </w:r>
      <w:r w:rsidR="0078304E" w:rsidRPr="00C534A9">
        <w:rPr>
          <w:rFonts w:ascii="Arial" w:hAnsi="Arial" w:cs="Arial"/>
          <w:sz w:val="22"/>
        </w:rPr>
        <w:t>US$</w:t>
      </w:r>
      <w:r w:rsidR="0006359E" w:rsidRPr="00C534A9">
        <w:rPr>
          <w:rFonts w:ascii="Arial" w:hAnsi="Arial" w:cs="Arial"/>
          <w:sz w:val="22"/>
        </w:rPr>
        <w:t>20</w:t>
      </w:r>
      <w:r w:rsidR="002C0110" w:rsidRPr="00C534A9">
        <w:rPr>
          <w:rFonts w:ascii="Arial" w:hAnsi="Arial" w:cs="Arial"/>
          <w:sz w:val="22"/>
        </w:rPr>
        <w:t>,</w:t>
      </w:r>
      <w:r w:rsidR="0006359E" w:rsidRPr="00C534A9">
        <w:rPr>
          <w:rFonts w:ascii="Arial" w:hAnsi="Arial" w:cs="Arial"/>
          <w:sz w:val="22"/>
        </w:rPr>
        <w:t>161</w:t>
      </w:r>
      <w:r w:rsidR="00361675" w:rsidRPr="00C534A9">
        <w:rPr>
          <w:rFonts w:ascii="Arial" w:hAnsi="Arial" w:cs="Arial"/>
          <w:sz w:val="22"/>
        </w:rPr>
        <w:t xml:space="preserve"> million</w:t>
      </w:r>
      <w:r w:rsidRPr="00C534A9">
        <w:rPr>
          <w:rFonts w:ascii="Arial" w:hAnsi="Arial" w:cs="Arial"/>
          <w:sz w:val="22"/>
        </w:rPr>
        <w:t xml:space="preserve"> and the IRR is </w:t>
      </w:r>
      <w:r w:rsidR="0006359E" w:rsidRPr="00C534A9">
        <w:rPr>
          <w:rFonts w:ascii="Arial" w:hAnsi="Arial" w:cs="Arial"/>
          <w:sz w:val="22"/>
        </w:rPr>
        <w:t>17</w:t>
      </w:r>
      <w:r w:rsidRPr="00C534A9">
        <w:rPr>
          <w:rFonts w:ascii="Arial" w:hAnsi="Arial" w:cs="Arial"/>
          <w:sz w:val="22"/>
        </w:rPr>
        <w:t xml:space="preserve">%. The positive NPV and IRR above the 12% hurdle rate means that expanding the </w:t>
      </w:r>
      <w:r w:rsidR="00A74A3E" w:rsidRPr="00C534A9">
        <w:rPr>
          <w:rFonts w:ascii="Arial" w:hAnsi="Arial" w:cs="Arial"/>
          <w:sz w:val="22"/>
        </w:rPr>
        <w:t>VS LNG terminal</w:t>
      </w:r>
      <w:r w:rsidRPr="00C534A9">
        <w:rPr>
          <w:rFonts w:ascii="Arial" w:hAnsi="Arial" w:cs="Arial"/>
          <w:sz w:val="22"/>
        </w:rPr>
        <w:t xml:space="preserve"> will generate a net profit for NPC. In addition, the minimum debt coverage ratio in any given year is </w:t>
      </w:r>
      <w:r w:rsidR="0006359E" w:rsidRPr="00C534A9">
        <w:rPr>
          <w:rFonts w:ascii="Arial" w:hAnsi="Arial" w:cs="Arial"/>
          <w:sz w:val="22"/>
        </w:rPr>
        <w:t>3.23</w:t>
      </w:r>
      <w:r w:rsidRPr="00C534A9">
        <w:rPr>
          <w:rFonts w:ascii="Arial" w:hAnsi="Arial" w:cs="Arial"/>
          <w:sz w:val="22"/>
        </w:rPr>
        <w:t>. This indicates that the sub-project will generate sufficient cash flows to cover operating expenses and debt repayment obligations in any given year.</w:t>
      </w:r>
    </w:p>
    <w:p w:rsidR="00C26910" w:rsidRPr="00C534A9" w:rsidRDefault="00C26910" w:rsidP="00C534A9">
      <w:pPr>
        <w:jc w:val="both"/>
        <w:rPr>
          <w:rFonts w:ascii="Arial" w:hAnsi="Arial" w:cs="Arial"/>
          <w:sz w:val="22"/>
        </w:rPr>
      </w:pPr>
      <w:r w:rsidRPr="00C534A9">
        <w:rPr>
          <w:rFonts w:ascii="Arial" w:hAnsi="Arial" w:cs="Arial"/>
          <w:sz w:val="22"/>
        </w:rPr>
        <w:fldChar w:fldCharType="begin"/>
      </w:r>
      <w:r w:rsidRPr="00C534A9">
        <w:rPr>
          <w:rFonts w:ascii="Arial" w:hAnsi="Arial" w:cs="Arial"/>
          <w:sz w:val="22"/>
        </w:rPr>
        <w:instrText xml:space="preserve"> REF _Ref406058165 \h  \* MERGEFORMAT </w:instrText>
      </w:r>
      <w:r w:rsidRPr="00C534A9">
        <w:rPr>
          <w:rFonts w:ascii="Arial" w:hAnsi="Arial" w:cs="Arial"/>
          <w:sz w:val="22"/>
        </w:rPr>
      </w:r>
      <w:r w:rsidRPr="00C534A9">
        <w:rPr>
          <w:rFonts w:ascii="Arial" w:hAnsi="Arial" w:cs="Arial"/>
          <w:sz w:val="22"/>
        </w:rPr>
        <w:fldChar w:fldCharType="separate"/>
      </w:r>
      <w:r w:rsidRPr="00C534A9">
        <w:rPr>
          <w:rFonts w:ascii="Arial" w:hAnsi="Arial" w:cs="Arial"/>
          <w:sz w:val="22"/>
        </w:rPr>
        <w:t xml:space="preserve">Table </w:t>
      </w:r>
      <w:r w:rsidR="0066026D" w:rsidRPr="00C534A9">
        <w:rPr>
          <w:rFonts w:ascii="Arial" w:hAnsi="Arial" w:cs="Arial"/>
          <w:noProof/>
          <w:sz w:val="22"/>
        </w:rPr>
        <w:t>13</w:t>
      </w:r>
      <w:r w:rsidRPr="00C534A9">
        <w:rPr>
          <w:rFonts w:ascii="Arial" w:hAnsi="Arial" w:cs="Arial"/>
          <w:noProof/>
          <w:sz w:val="22"/>
        </w:rPr>
        <w:t>.2</w:t>
      </w:r>
      <w:r w:rsidRPr="00C534A9">
        <w:rPr>
          <w:rFonts w:ascii="Arial" w:hAnsi="Arial" w:cs="Arial"/>
          <w:sz w:val="22"/>
        </w:rPr>
        <w:fldChar w:fldCharType="end"/>
      </w:r>
      <w:r w:rsidRPr="00C534A9">
        <w:rPr>
          <w:rFonts w:ascii="Arial" w:hAnsi="Arial" w:cs="Arial"/>
          <w:sz w:val="22"/>
        </w:rPr>
        <w:t xml:space="preserve"> presents </w:t>
      </w:r>
      <w:r w:rsidR="00361675" w:rsidRPr="00C534A9">
        <w:rPr>
          <w:rFonts w:ascii="Arial" w:hAnsi="Arial" w:cs="Arial"/>
          <w:sz w:val="22"/>
        </w:rPr>
        <w:t>the</w:t>
      </w:r>
      <w:r w:rsidRPr="00C534A9">
        <w:rPr>
          <w:rFonts w:ascii="Arial" w:hAnsi="Arial" w:cs="Arial"/>
          <w:sz w:val="22"/>
        </w:rPr>
        <w:t xml:space="preserve"> financial summary of the </w:t>
      </w:r>
      <w:r w:rsidR="00361675" w:rsidRPr="00C534A9">
        <w:rPr>
          <w:rFonts w:ascii="Arial" w:hAnsi="Arial" w:cs="Arial"/>
          <w:sz w:val="22"/>
        </w:rPr>
        <w:t xml:space="preserve">VS LNG </w:t>
      </w:r>
      <w:proofErr w:type="spellStart"/>
      <w:r w:rsidR="00361675" w:rsidRPr="00C534A9">
        <w:rPr>
          <w:rFonts w:ascii="Arial" w:hAnsi="Arial" w:cs="Arial"/>
          <w:sz w:val="22"/>
        </w:rPr>
        <w:t>termianl</w:t>
      </w:r>
      <w:proofErr w:type="spellEnd"/>
      <w:r w:rsidRPr="00C534A9">
        <w:rPr>
          <w:rFonts w:ascii="Arial" w:hAnsi="Arial" w:cs="Arial"/>
          <w:sz w:val="22"/>
        </w:rPr>
        <w:t xml:space="preserve"> sub-project. </w:t>
      </w:r>
    </w:p>
    <w:p w:rsidR="00C26910" w:rsidRPr="00C534A9" w:rsidRDefault="00C26910" w:rsidP="00C534A9">
      <w:pPr>
        <w:pStyle w:val="Caption"/>
        <w:jc w:val="both"/>
        <w:rPr>
          <w:rFonts w:ascii="Arial" w:hAnsi="Arial" w:cs="Arial"/>
          <w:sz w:val="22"/>
        </w:rPr>
      </w:pPr>
      <w:bookmarkStart w:id="194" w:name="_Toc463508497"/>
      <w:bookmarkStart w:id="195" w:name="_Toc463509004"/>
      <w:proofErr w:type="gramStart"/>
      <w:r w:rsidRPr="00C534A9">
        <w:rPr>
          <w:rFonts w:ascii="Arial" w:hAnsi="Arial" w:cs="Arial"/>
          <w:sz w:val="22"/>
        </w:rPr>
        <w:t xml:space="preserve">Table </w:t>
      </w:r>
      <w:r w:rsidR="0066026D" w:rsidRPr="00C534A9">
        <w:rPr>
          <w:rFonts w:ascii="Arial" w:hAnsi="Arial" w:cs="Arial"/>
          <w:sz w:val="22"/>
        </w:rPr>
        <w:t>13</w:t>
      </w:r>
      <w:r w:rsidRPr="00C534A9">
        <w:rPr>
          <w:rFonts w:ascii="Arial" w:hAnsi="Arial" w:cs="Arial"/>
          <w:sz w:val="22"/>
        </w:rPr>
        <w:t>.</w:t>
      </w:r>
      <w:proofErr w:type="gramEnd"/>
      <w:r w:rsidR="003343DE" w:rsidRPr="00C534A9">
        <w:rPr>
          <w:rFonts w:ascii="Arial" w:hAnsi="Arial" w:cs="Arial"/>
          <w:sz w:val="22"/>
        </w:rPr>
        <w:fldChar w:fldCharType="begin"/>
      </w:r>
      <w:r w:rsidR="003343DE" w:rsidRPr="00C534A9">
        <w:rPr>
          <w:rFonts w:ascii="Arial" w:hAnsi="Arial" w:cs="Arial"/>
          <w:sz w:val="22"/>
        </w:rPr>
        <w:instrText xml:space="preserve"> SEQ Table \* ARABIC \s 1 </w:instrText>
      </w:r>
      <w:r w:rsidR="003343DE" w:rsidRPr="00C534A9">
        <w:rPr>
          <w:rFonts w:ascii="Arial" w:hAnsi="Arial" w:cs="Arial"/>
          <w:sz w:val="22"/>
        </w:rPr>
        <w:fldChar w:fldCharType="separate"/>
      </w:r>
      <w:r w:rsidRPr="00C534A9">
        <w:rPr>
          <w:rFonts w:ascii="Arial" w:hAnsi="Arial" w:cs="Arial"/>
          <w:noProof/>
          <w:sz w:val="22"/>
        </w:rPr>
        <w:t>2</w:t>
      </w:r>
      <w:r w:rsidR="003343DE" w:rsidRPr="00C534A9">
        <w:rPr>
          <w:rFonts w:ascii="Arial" w:hAnsi="Arial" w:cs="Arial"/>
          <w:noProof/>
          <w:sz w:val="22"/>
        </w:rPr>
        <w:fldChar w:fldCharType="end"/>
      </w:r>
      <w:r w:rsidRPr="00C534A9">
        <w:rPr>
          <w:rFonts w:ascii="Arial" w:hAnsi="Arial" w:cs="Arial"/>
          <w:sz w:val="22"/>
        </w:rPr>
        <w:t xml:space="preserve">: Financial summary of the </w:t>
      </w:r>
      <w:r w:rsidR="00361675" w:rsidRPr="00C534A9">
        <w:rPr>
          <w:rFonts w:ascii="Arial" w:hAnsi="Arial" w:cs="Arial"/>
          <w:sz w:val="22"/>
        </w:rPr>
        <w:t>VS LNG terminal</w:t>
      </w:r>
      <w:r w:rsidRPr="00C534A9">
        <w:rPr>
          <w:rFonts w:ascii="Arial" w:hAnsi="Arial" w:cs="Arial"/>
          <w:sz w:val="22"/>
        </w:rPr>
        <w:t xml:space="preserve"> sub-project (US$ ‘000)</w:t>
      </w:r>
      <w:bookmarkEnd w:id="194"/>
      <w:bookmarkEnd w:id="195"/>
    </w:p>
    <w:tbl>
      <w:tblPr>
        <w:tblW w:w="3860" w:type="dxa"/>
        <w:jc w:val="center"/>
        <w:tblInd w:w="93" w:type="dxa"/>
        <w:tblLook w:val="04A0" w:firstRow="1" w:lastRow="0" w:firstColumn="1" w:lastColumn="0" w:noHBand="0" w:noVBand="1"/>
      </w:tblPr>
      <w:tblGrid>
        <w:gridCol w:w="2540"/>
        <w:gridCol w:w="1320"/>
      </w:tblGrid>
      <w:tr w:rsidR="00057DB4" w:rsidRPr="00C534A9" w:rsidTr="00057DB4">
        <w:trPr>
          <w:trHeight w:val="450"/>
          <w:jc w:val="center"/>
        </w:trPr>
        <w:tc>
          <w:tcPr>
            <w:tcW w:w="2540" w:type="dxa"/>
            <w:tcBorders>
              <w:top w:val="nil"/>
              <w:left w:val="nil"/>
              <w:bottom w:val="nil"/>
              <w:right w:val="nil"/>
            </w:tcBorders>
            <w:shd w:val="clear" w:color="auto" w:fill="auto"/>
            <w:noWrap/>
            <w:vAlign w:val="center"/>
          </w:tcPr>
          <w:p w:rsidR="00057DB4" w:rsidRPr="00C534A9" w:rsidRDefault="00057DB4"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Net Present Value</w:t>
            </w:r>
          </w:p>
        </w:tc>
        <w:tc>
          <w:tcPr>
            <w:tcW w:w="1320" w:type="dxa"/>
            <w:tcBorders>
              <w:top w:val="nil"/>
              <w:left w:val="nil"/>
              <w:bottom w:val="nil"/>
              <w:right w:val="nil"/>
            </w:tcBorders>
            <w:shd w:val="clear" w:color="auto" w:fill="auto"/>
            <w:noWrap/>
            <w:vAlign w:val="center"/>
          </w:tcPr>
          <w:p w:rsidR="00057DB4" w:rsidRPr="00C534A9" w:rsidRDefault="00057DB4"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w:t>
            </w:r>
            <w:r w:rsidR="0027022F" w:rsidRPr="00C534A9">
              <w:rPr>
                <w:rFonts w:ascii="Arial" w:eastAsia="Times New Roman" w:hAnsi="Arial" w:cs="Arial"/>
                <w:color w:val="000000"/>
                <w:sz w:val="22"/>
                <w:szCs w:val="24"/>
              </w:rPr>
              <w:t>20,161</w:t>
            </w:r>
            <w:r w:rsidRPr="00C534A9">
              <w:rPr>
                <w:rFonts w:ascii="Arial" w:eastAsia="Times New Roman" w:hAnsi="Arial" w:cs="Arial"/>
                <w:color w:val="000000"/>
                <w:sz w:val="22"/>
                <w:szCs w:val="24"/>
              </w:rPr>
              <w:t xml:space="preserve"> </w:t>
            </w:r>
          </w:p>
        </w:tc>
      </w:tr>
      <w:tr w:rsidR="00057DB4" w:rsidRPr="00C534A9" w:rsidTr="00057DB4">
        <w:trPr>
          <w:trHeight w:val="450"/>
          <w:jc w:val="center"/>
        </w:trPr>
        <w:tc>
          <w:tcPr>
            <w:tcW w:w="2540" w:type="dxa"/>
            <w:tcBorders>
              <w:top w:val="nil"/>
              <w:left w:val="nil"/>
              <w:bottom w:val="nil"/>
              <w:right w:val="nil"/>
            </w:tcBorders>
            <w:shd w:val="clear" w:color="auto" w:fill="auto"/>
            <w:noWrap/>
            <w:vAlign w:val="center"/>
          </w:tcPr>
          <w:p w:rsidR="00057DB4" w:rsidRPr="00C534A9" w:rsidRDefault="00057DB4"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IRR</w:t>
            </w:r>
          </w:p>
        </w:tc>
        <w:tc>
          <w:tcPr>
            <w:tcW w:w="1320" w:type="dxa"/>
            <w:tcBorders>
              <w:top w:val="nil"/>
              <w:left w:val="nil"/>
              <w:bottom w:val="nil"/>
              <w:right w:val="nil"/>
            </w:tcBorders>
            <w:shd w:val="clear" w:color="auto" w:fill="auto"/>
            <w:noWrap/>
            <w:vAlign w:val="center"/>
          </w:tcPr>
          <w:p w:rsidR="00057DB4" w:rsidRPr="00C534A9" w:rsidRDefault="0027022F"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17</w:t>
            </w:r>
            <w:r w:rsidR="00057DB4" w:rsidRPr="00C534A9">
              <w:rPr>
                <w:rFonts w:ascii="Arial" w:eastAsia="Times New Roman" w:hAnsi="Arial" w:cs="Arial"/>
                <w:color w:val="000000"/>
                <w:sz w:val="22"/>
                <w:szCs w:val="24"/>
              </w:rPr>
              <w:t>%</w:t>
            </w:r>
          </w:p>
        </w:tc>
      </w:tr>
    </w:tbl>
    <w:p w:rsidR="00C26910" w:rsidRPr="00C534A9" w:rsidRDefault="00C26910" w:rsidP="00C534A9">
      <w:pPr>
        <w:pStyle w:val="Source"/>
        <w:jc w:val="both"/>
        <w:rPr>
          <w:rFonts w:ascii="Arial" w:hAnsi="Arial" w:cs="Arial"/>
          <w:sz w:val="18"/>
        </w:rPr>
      </w:pPr>
    </w:p>
    <w:p w:rsidR="00C26910" w:rsidRPr="00C534A9" w:rsidRDefault="00C26910" w:rsidP="00C534A9">
      <w:pPr>
        <w:jc w:val="both"/>
        <w:rPr>
          <w:rFonts w:ascii="Arial" w:hAnsi="Arial" w:cs="Arial"/>
          <w:sz w:val="22"/>
        </w:rPr>
      </w:pPr>
      <w:r w:rsidRPr="00C534A9">
        <w:rPr>
          <w:rFonts w:ascii="Arial" w:hAnsi="Arial" w:cs="Arial"/>
          <w:sz w:val="22"/>
        </w:rPr>
        <w:t xml:space="preserve">A detailed schedule of the annual cash flow calculations for the </w:t>
      </w:r>
      <w:r w:rsidR="00257632" w:rsidRPr="00C534A9">
        <w:rPr>
          <w:rFonts w:ascii="Arial" w:hAnsi="Arial" w:cs="Arial"/>
          <w:sz w:val="22"/>
        </w:rPr>
        <w:t>VS LNG terminal</w:t>
      </w:r>
      <w:r w:rsidRPr="00C534A9">
        <w:rPr>
          <w:rFonts w:ascii="Arial" w:hAnsi="Arial" w:cs="Arial"/>
          <w:sz w:val="22"/>
        </w:rPr>
        <w:t xml:space="preserve"> sub-project is included in Appendix </w:t>
      </w:r>
      <w:r w:rsidR="00F122AA" w:rsidRPr="00C534A9">
        <w:rPr>
          <w:rFonts w:ascii="Arial" w:hAnsi="Arial" w:cs="Arial"/>
          <w:sz w:val="22"/>
        </w:rPr>
        <w:t>B</w:t>
      </w:r>
      <w:r w:rsidRPr="00C534A9">
        <w:rPr>
          <w:rFonts w:ascii="Arial" w:hAnsi="Arial" w:cs="Arial"/>
          <w:sz w:val="22"/>
        </w:rPr>
        <w:t>.</w:t>
      </w:r>
    </w:p>
    <w:p w:rsidR="00C26910" w:rsidRPr="00C534A9" w:rsidRDefault="00C26910" w:rsidP="00C534A9">
      <w:pPr>
        <w:jc w:val="both"/>
        <w:rPr>
          <w:rFonts w:ascii="Arial" w:hAnsi="Arial" w:cs="Arial"/>
          <w:sz w:val="22"/>
        </w:rPr>
      </w:pPr>
      <w:r w:rsidRPr="00C534A9">
        <w:rPr>
          <w:rFonts w:ascii="Arial" w:hAnsi="Arial" w:cs="Arial"/>
          <w:sz w:val="22"/>
        </w:rPr>
        <w:br w:type="page"/>
      </w:r>
    </w:p>
    <w:p w:rsidR="00047DC3" w:rsidRPr="00C534A9" w:rsidRDefault="00047DC3" w:rsidP="00C534A9">
      <w:pPr>
        <w:jc w:val="both"/>
        <w:rPr>
          <w:rFonts w:ascii="Arial" w:hAnsi="Arial" w:cs="Arial"/>
          <w:sz w:val="22"/>
        </w:rPr>
      </w:pPr>
    </w:p>
    <w:p w:rsidR="00C26910" w:rsidRPr="00C534A9" w:rsidRDefault="009F2591" w:rsidP="00C534A9">
      <w:pPr>
        <w:pStyle w:val="Heading1"/>
        <w:jc w:val="both"/>
        <w:rPr>
          <w:rFonts w:ascii="Arial" w:hAnsi="Arial" w:cs="Arial"/>
          <w:sz w:val="24"/>
        </w:rPr>
      </w:pPr>
      <w:bookmarkStart w:id="196" w:name="_Toc464551561"/>
      <w:r w:rsidRPr="00C534A9">
        <w:rPr>
          <w:rFonts w:ascii="Arial" w:hAnsi="Arial" w:cs="Arial"/>
          <w:sz w:val="24"/>
        </w:rPr>
        <w:t>Financial</w:t>
      </w:r>
      <w:r w:rsidR="00C26910" w:rsidRPr="00C534A9">
        <w:rPr>
          <w:rFonts w:ascii="Arial" w:hAnsi="Arial" w:cs="Arial"/>
          <w:sz w:val="24"/>
        </w:rPr>
        <w:t xml:space="preserve"> Analysis of All Sub-Projects</w:t>
      </w:r>
      <w:bookmarkEnd w:id="196"/>
      <w:r w:rsidR="00C26910" w:rsidRPr="00C534A9">
        <w:rPr>
          <w:rFonts w:ascii="Arial" w:hAnsi="Arial" w:cs="Arial"/>
          <w:sz w:val="24"/>
        </w:rPr>
        <w:t xml:space="preserve"> </w:t>
      </w:r>
    </w:p>
    <w:p w:rsidR="00C26910" w:rsidRPr="00C534A9" w:rsidRDefault="00C26910" w:rsidP="00C534A9">
      <w:pPr>
        <w:jc w:val="both"/>
        <w:rPr>
          <w:rFonts w:ascii="Arial" w:hAnsi="Arial" w:cs="Arial"/>
          <w:sz w:val="22"/>
        </w:rPr>
      </w:pPr>
      <w:r w:rsidRPr="00C534A9">
        <w:rPr>
          <w:rFonts w:ascii="Arial" w:hAnsi="Arial" w:cs="Arial"/>
          <w:sz w:val="22"/>
        </w:rPr>
        <w:t xml:space="preserve">This section shows the aggregate </w:t>
      </w:r>
      <w:r w:rsidR="004F0537" w:rsidRPr="00C534A9">
        <w:rPr>
          <w:rFonts w:ascii="Arial" w:hAnsi="Arial" w:cs="Arial"/>
          <w:sz w:val="22"/>
        </w:rPr>
        <w:t>profitability</w:t>
      </w:r>
      <w:r w:rsidRPr="00C534A9">
        <w:rPr>
          <w:rFonts w:ascii="Arial" w:hAnsi="Arial" w:cs="Arial"/>
          <w:sz w:val="22"/>
        </w:rPr>
        <w:t xml:space="preserve"> </w:t>
      </w:r>
      <w:r w:rsidR="004F0537" w:rsidRPr="00C534A9">
        <w:rPr>
          <w:rFonts w:ascii="Arial" w:hAnsi="Arial" w:cs="Arial"/>
          <w:sz w:val="22"/>
        </w:rPr>
        <w:t xml:space="preserve">to NPC </w:t>
      </w:r>
      <w:r w:rsidRPr="00C534A9">
        <w:rPr>
          <w:rFonts w:ascii="Arial" w:hAnsi="Arial" w:cs="Arial"/>
          <w:sz w:val="22"/>
        </w:rPr>
        <w:t xml:space="preserve">of the three main sub-projects of the loan operation. To determine the aggregate project’s economic viability, a Cost Benefit Analysis (CBA) </w:t>
      </w:r>
      <w:r w:rsidR="00D8320F" w:rsidRPr="00C534A9">
        <w:rPr>
          <w:rFonts w:ascii="Arial" w:hAnsi="Arial" w:cs="Arial"/>
          <w:sz w:val="22"/>
        </w:rPr>
        <w:t>was performed on</w:t>
      </w:r>
      <w:r w:rsidRPr="00C534A9">
        <w:rPr>
          <w:rFonts w:ascii="Arial" w:hAnsi="Arial" w:cs="Arial"/>
          <w:sz w:val="22"/>
        </w:rPr>
        <w:t xml:space="preserve"> the sub-projects that it will fund noted above. </w:t>
      </w:r>
      <w:r w:rsidR="00D8320F" w:rsidRPr="00C534A9">
        <w:rPr>
          <w:rFonts w:ascii="Arial" w:hAnsi="Arial" w:cs="Arial"/>
          <w:sz w:val="22"/>
        </w:rPr>
        <w:t>T</w:t>
      </w:r>
      <w:r w:rsidRPr="00C534A9">
        <w:rPr>
          <w:rFonts w:ascii="Arial" w:hAnsi="Arial" w:cs="Arial"/>
          <w:sz w:val="22"/>
        </w:rPr>
        <w:t xml:space="preserve">he </w:t>
      </w:r>
      <w:r w:rsidR="00A74C05" w:rsidRPr="00C534A9">
        <w:rPr>
          <w:rFonts w:ascii="Arial" w:hAnsi="Arial" w:cs="Arial"/>
          <w:sz w:val="22"/>
        </w:rPr>
        <w:t xml:space="preserve">main </w:t>
      </w:r>
      <w:r w:rsidRPr="00C534A9">
        <w:rPr>
          <w:rFonts w:ascii="Arial" w:hAnsi="Arial" w:cs="Arial"/>
          <w:sz w:val="22"/>
        </w:rPr>
        <w:t>sub-projects</w:t>
      </w:r>
      <w:r w:rsidR="00A74C05" w:rsidRPr="00C534A9">
        <w:rPr>
          <w:rFonts w:ascii="Arial" w:hAnsi="Arial" w:cs="Arial"/>
          <w:sz w:val="22"/>
        </w:rPr>
        <w:t xml:space="preserve"> (not including the VS LNG terminal</w:t>
      </w:r>
      <w:r w:rsidR="0051652C" w:rsidRPr="00C534A9">
        <w:rPr>
          <w:rFonts w:ascii="Arial" w:hAnsi="Arial" w:cs="Arial"/>
          <w:sz w:val="22"/>
        </w:rPr>
        <w:t>)</w:t>
      </w:r>
      <w:r w:rsidRPr="00C534A9">
        <w:rPr>
          <w:rFonts w:ascii="Arial" w:hAnsi="Arial" w:cs="Arial"/>
          <w:sz w:val="22"/>
        </w:rPr>
        <w:t xml:space="preserve"> have an aggregate net present value (NPV) of approximately US$</w:t>
      </w:r>
      <w:r w:rsidR="00D04E47" w:rsidRPr="00C534A9">
        <w:rPr>
          <w:rFonts w:ascii="Arial" w:hAnsi="Arial" w:cs="Arial"/>
          <w:sz w:val="22"/>
        </w:rPr>
        <w:t>9.7</w:t>
      </w:r>
      <w:r w:rsidRPr="00C534A9">
        <w:rPr>
          <w:rFonts w:ascii="Arial" w:hAnsi="Arial" w:cs="Arial"/>
          <w:sz w:val="22"/>
        </w:rPr>
        <w:t xml:space="preserve"> million.  </w:t>
      </w:r>
    </w:p>
    <w:p w:rsidR="00C26910" w:rsidRPr="00C534A9" w:rsidRDefault="00C26910" w:rsidP="00C534A9">
      <w:pPr>
        <w:jc w:val="both"/>
        <w:rPr>
          <w:rFonts w:ascii="Arial" w:hAnsi="Arial" w:cs="Arial"/>
          <w:sz w:val="22"/>
        </w:rPr>
      </w:pPr>
      <w:r w:rsidRPr="00C534A9">
        <w:rPr>
          <w:rFonts w:ascii="Arial" w:hAnsi="Arial" w:cs="Arial"/>
          <w:sz w:val="22"/>
        </w:rPr>
        <w:fldChar w:fldCharType="begin"/>
      </w:r>
      <w:r w:rsidRPr="00C534A9">
        <w:rPr>
          <w:rFonts w:ascii="Arial" w:hAnsi="Arial" w:cs="Arial"/>
          <w:sz w:val="22"/>
        </w:rPr>
        <w:instrText xml:space="preserve"> REF _Ref423440191 \h  \* MERGEFORMAT </w:instrText>
      </w:r>
      <w:r w:rsidRPr="00C534A9">
        <w:rPr>
          <w:rFonts w:ascii="Arial" w:hAnsi="Arial" w:cs="Arial"/>
          <w:sz w:val="22"/>
        </w:rPr>
      </w:r>
      <w:r w:rsidRPr="00C534A9">
        <w:rPr>
          <w:rFonts w:ascii="Arial" w:hAnsi="Arial" w:cs="Arial"/>
          <w:sz w:val="22"/>
        </w:rPr>
        <w:fldChar w:fldCharType="separate"/>
      </w:r>
      <w:r w:rsidRPr="00C534A9">
        <w:rPr>
          <w:rFonts w:ascii="Arial" w:hAnsi="Arial" w:cs="Arial"/>
          <w:sz w:val="22"/>
        </w:rPr>
        <w:t xml:space="preserve">Table </w:t>
      </w:r>
      <w:r w:rsidR="004F0537" w:rsidRPr="00C534A9">
        <w:rPr>
          <w:rFonts w:ascii="Arial" w:hAnsi="Arial" w:cs="Arial"/>
          <w:noProof/>
          <w:sz w:val="22"/>
        </w:rPr>
        <w:t>14</w:t>
      </w:r>
      <w:r w:rsidRPr="00C534A9">
        <w:rPr>
          <w:rFonts w:ascii="Arial" w:hAnsi="Arial" w:cs="Arial"/>
          <w:noProof/>
          <w:sz w:val="22"/>
        </w:rPr>
        <w:t>.1</w:t>
      </w:r>
      <w:r w:rsidRPr="00C534A9">
        <w:rPr>
          <w:rFonts w:ascii="Arial" w:hAnsi="Arial" w:cs="Arial"/>
          <w:sz w:val="22"/>
        </w:rPr>
        <w:fldChar w:fldCharType="end"/>
      </w:r>
      <w:r w:rsidRPr="00C534A9">
        <w:rPr>
          <w:rFonts w:ascii="Arial" w:hAnsi="Arial" w:cs="Arial"/>
          <w:sz w:val="22"/>
        </w:rPr>
        <w:t xml:space="preserve"> presents the </w:t>
      </w:r>
      <w:r w:rsidR="00A74C05" w:rsidRPr="00C534A9">
        <w:rPr>
          <w:rFonts w:ascii="Arial" w:hAnsi="Arial" w:cs="Arial"/>
          <w:sz w:val="22"/>
        </w:rPr>
        <w:t xml:space="preserve">aggregate </w:t>
      </w:r>
      <w:r w:rsidR="004F0537" w:rsidRPr="00C534A9">
        <w:rPr>
          <w:rFonts w:ascii="Arial" w:hAnsi="Arial" w:cs="Arial"/>
          <w:sz w:val="22"/>
        </w:rPr>
        <w:t>net present value and IRR</w:t>
      </w:r>
      <w:r w:rsidRPr="00C534A9">
        <w:rPr>
          <w:rFonts w:ascii="Arial" w:hAnsi="Arial" w:cs="Arial"/>
          <w:sz w:val="22"/>
        </w:rPr>
        <w:t xml:space="preserve"> of </w:t>
      </w:r>
      <w:r w:rsidR="00A74C05" w:rsidRPr="00C534A9">
        <w:rPr>
          <w:rFonts w:ascii="Arial" w:hAnsi="Arial" w:cs="Arial"/>
          <w:sz w:val="22"/>
        </w:rPr>
        <w:t>the</w:t>
      </w:r>
      <w:r w:rsidRPr="00C534A9">
        <w:rPr>
          <w:rFonts w:ascii="Arial" w:hAnsi="Arial" w:cs="Arial"/>
          <w:sz w:val="22"/>
        </w:rPr>
        <w:t xml:space="preserve"> sub-project</w:t>
      </w:r>
      <w:r w:rsidR="00A74C05" w:rsidRPr="00C534A9">
        <w:rPr>
          <w:rFonts w:ascii="Arial" w:hAnsi="Arial" w:cs="Arial"/>
          <w:sz w:val="22"/>
        </w:rPr>
        <w:t>s</w:t>
      </w:r>
      <w:r w:rsidRPr="00C534A9">
        <w:rPr>
          <w:rFonts w:ascii="Arial" w:hAnsi="Arial" w:cs="Arial"/>
          <w:sz w:val="22"/>
        </w:rPr>
        <w:t xml:space="preserve">. </w:t>
      </w:r>
      <w:r w:rsidR="00A74C05" w:rsidRPr="00C534A9">
        <w:rPr>
          <w:rFonts w:ascii="Arial" w:hAnsi="Arial" w:cs="Arial"/>
          <w:sz w:val="22"/>
        </w:rPr>
        <w:t>The combined total of the</w:t>
      </w:r>
      <w:r w:rsidRPr="00C534A9">
        <w:rPr>
          <w:rFonts w:ascii="Arial" w:hAnsi="Arial" w:cs="Arial"/>
          <w:sz w:val="22"/>
        </w:rPr>
        <w:t xml:space="preserve"> sub-project</w:t>
      </w:r>
      <w:r w:rsidR="00A74C05" w:rsidRPr="00C534A9">
        <w:rPr>
          <w:rFonts w:ascii="Arial" w:hAnsi="Arial" w:cs="Arial"/>
          <w:sz w:val="22"/>
        </w:rPr>
        <w:t xml:space="preserve">s shows </w:t>
      </w:r>
      <w:r w:rsidRPr="00C534A9">
        <w:rPr>
          <w:rFonts w:ascii="Arial" w:hAnsi="Arial" w:cs="Arial"/>
          <w:sz w:val="22"/>
        </w:rPr>
        <w:t xml:space="preserve">positive </w:t>
      </w:r>
      <w:r w:rsidR="004F0537" w:rsidRPr="00C534A9">
        <w:rPr>
          <w:rFonts w:ascii="Arial" w:hAnsi="Arial" w:cs="Arial"/>
          <w:sz w:val="22"/>
        </w:rPr>
        <w:t>NPV</w:t>
      </w:r>
      <w:r w:rsidRPr="00C534A9">
        <w:rPr>
          <w:rFonts w:ascii="Arial" w:hAnsi="Arial" w:cs="Arial"/>
          <w:sz w:val="22"/>
        </w:rPr>
        <w:t xml:space="preserve"> and an IRR that exceeds the 12 percent discount rate. Therefore </w:t>
      </w:r>
      <w:r w:rsidR="00A74C05" w:rsidRPr="00C534A9">
        <w:rPr>
          <w:rFonts w:ascii="Arial" w:hAnsi="Arial" w:cs="Arial"/>
          <w:sz w:val="22"/>
        </w:rPr>
        <w:t>the aggregate of the</w:t>
      </w:r>
      <w:r w:rsidRPr="00C534A9">
        <w:rPr>
          <w:rFonts w:ascii="Arial" w:hAnsi="Arial" w:cs="Arial"/>
          <w:sz w:val="22"/>
        </w:rPr>
        <w:t xml:space="preserve"> individual sub-projects </w:t>
      </w:r>
      <w:r w:rsidR="00A74C05" w:rsidRPr="00C534A9">
        <w:rPr>
          <w:rFonts w:ascii="Arial" w:hAnsi="Arial" w:cs="Arial"/>
          <w:sz w:val="22"/>
        </w:rPr>
        <w:t>is</w:t>
      </w:r>
      <w:r w:rsidRPr="00C534A9">
        <w:rPr>
          <w:rFonts w:ascii="Arial" w:hAnsi="Arial" w:cs="Arial"/>
          <w:sz w:val="22"/>
        </w:rPr>
        <w:t xml:space="preserve"> </w:t>
      </w:r>
      <w:r w:rsidR="004F0537" w:rsidRPr="00C534A9">
        <w:rPr>
          <w:rFonts w:ascii="Arial" w:hAnsi="Arial" w:cs="Arial"/>
          <w:sz w:val="22"/>
        </w:rPr>
        <w:t>profitable for NPC</w:t>
      </w:r>
      <w:r w:rsidRPr="00C534A9">
        <w:rPr>
          <w:rFonts w:ascii="Arial" w:hAnsi="Arial" w:cs="Arial"/>
          <w:sz w:val="22"/>
        </w:rPr>
        <w:t>.</w:t>
      </w:r>
    </w:p>
    <w:p w:rsidR="00C26910" w:rsidRPr="00C534A9" w:rsidRDefault="00C26910" w:rsidP="00C534A9">
      <w:pPr>
        <w:pStyle w:val="Caption"/>
        <w:jc w:val="both"/>
        <w:rPr>
          <w:rFonts w:ascii="Arial" w:hAnsi="Arial" w:cs="Arial"/>
          <w:sz w:val="22"/>
        </w:rPr>
      </w:pPr>
      <w:bookmarkStart w:id="197" w:name="_Toc463508498"/>
      <w:bookmarkStart w:id="198" w:name="_Toc463509005"/>
      <w:proofErr w:type="gramStart"/>
      <w:r w:rsidRPr="00C534A9">
        <w:rPr>
          <w:rFonts w:ascii="Arial" w:hAnsi="Arial" w:cs="Arial"/>
          <w:sz w:val="22"/>
        </w:rPr>
        <w:t xml:space="preserve">Table </w:t>
      </w:r>
      <w:r w:rsidR="007C0431" w:rsidRPr="00C534A9">
        <w:rPr>
          <w:rFonts w:ascii="Arial" w:hAnsi="Arial" w:cs="Arial"/>
          <w:sz w:val="22"/>
        </w:rPr>
        <w:t>14</w:t>
      </w:r>
      <w:r w:rsidRPr="00C534A9">
        <w:rPr>
          <w:rFonts w:ascii="Arial" w:hAnsi="Arial" w:cs="Arial"/>
          <w:sz w:val="22"/>
        </w:rPr>
        <w:t>.</w:t>
      </w:r>
      <w:proofErr w:type="gramEnd"/>
      <w:r w:rsidR="003343DE" w:rsidRPr="00C534A9">
        <w:rPr>
          <w:rFonts w:ascii="Arial" w:hAnsi="Arial" w:cs="Arial"/>
          <w:sz w:val="22"/>
        </w:rPr>
        <w:fldChar w:fldCharType="begin"/>
      </w:r>
      <w:r w:rsidR="003343DE" w:rsidRPr="00C534A9">
        <w:rPr>
          <w:rFonts w:ascii="Arial" w:hAnsi="Arial" w:cs="Arial"/>
          <w:sz w:val="22"/>
        </w:rPr>
        <w:instrText xml:space="preserve"> SEQ Table \* ARABIC \s 1 </w:instrText>
      </w:r>
      <w:r w:rsidR="003343DE" w:rsidRPr="00C534A9">
        <w:rPr>
          <w:rFonts w:ascii="Arial" w:hAnsi="Arial" w:cs="Arial"/>
          <w:sz w:val="22"/>
        </w:rPr>
        <w:fldChar w:fldCharType="separate"/>
      </w:r>
      <w:r w:rsidRPr="00C534A9">
        <w:rPr>
          <w:rFonts w:ascii="Arial" w:hAnsi="Arial" w:cs="Arial"/>
          <w:noProof/>
          <w:sz w:val="22"/>
        </w:rPr>
        <w:t>1</w:t>
      </w:r>
      <w:r w:rsidR="003343DE" w:rsidRPr="00C534A9">
        <w:rPr>
          <w:rFonts w:ascii="Arial" w:hAnsi="Arial" w:cs="Arial"/>
          <w:noProof/>
          <w:sz w:val="22"/>
        </w:rPr>
        <w:fldChar w:fldCharType="end"/>
      </w:r>
      <w:r w:rsidRPr="00C534A9">
        <w:rPr>
          <w:rFonts w:ascii="Arial" w:hAnsi="Arial" w:cs="Arial"/>
          <w:sz w:val="22"/>
        </w:rPr>
        <w:t xml:space="preserve">: </w:t>
      </w:r>
      <w:r w:rsidR="004F0537" w:rsidRPr="00C534A9">
        <w:rPr>
          <w:rFonts w:ascii="Arial" w:hAnsi="Arial" w:cs="Arial"/>
          <w:sz w:val="22"/>
        </w:rPr>
        <w:t>Financial Summary</w:t>
      </w:r>
      <w:r w:rsidRPr="00C534A9">
        <w:rPr>
          <w:rFonts w:ascii="Arial" w:hAnsi="Arial" w:cs="Arial"/>
          <w:sz w:val="22"/>
        </w:rPr>
        <w:t xml:space="preserve"> of all Sub-Project</w:t>
      </w:r>
      <w:r w:rsidR="004F0537" w:rsidRPr="00C534A9">
        <w:rPr>
          <w:rFonts w:ascii="Arial" w:hAnsi="Arial" w:cs="Arial"/>
          <w:sz w:val="22"/>
        </w:rPr>
        <w:t>s</w:t>
      </w:r>
      <w:r w:rsidRPr="00C534A9">
        <w:rPr>
          <w:rFonts w:ascii="Arial" w:hAnsi="Arial" w:cs="Arial"/>
          <w:sz w:val="22"/>
        </w:rPr>
        <w:t xml:space="preserve"> except the VS LNG terminal (US$ ‘000)</w:t>
      </w:r>
      <w:bookmarkEnd w:id="197"/>
      <w:bookmarkEnd w:id="198"/>
    </w:p>
    <w:tbl>
      <w:tblPr>
        <w:tblW w:w="3860" w:type="dxa"/>
        <w:jc w:val="center"/>
        <w:tblInd w:w="93" w:type="dxa"/>
        <w:tblLook w:val="04A0" w:firstRow="1" w:lastRow="0" w:firstColumn="1" w:lastColumn="0" w:noHBand="0" w:noVBand="1"/>
      </w:tblPr>
      <w:tblGrid>
        <w:gridCol w:w="2540"/>
        <w:gridCol w:w="1320"/>
      </w:tblGrid>
      <w:tr w:rsidR="004F0537" w:rsidRPr="00C534A9" w:rsidTr="009A352A">
        <w:trPr>
          <w:trHeight w:val="450"/>
          <w:jc w:val="center"/>
        </w:trPr>
        <w:tc>
          <w:tcPr>
            <w:tcW w:w="2540" w:type="dxa"/>
            <w:tcBorders>
              <w:top w:val="nil"/>
              <w:left w:val="nil"/>
              <w:bottom w:val="nil"/>
              <w:right w:val="nil"/>
            </w:tcBorders>
            <w:shd w:val="clear" w:color="auto" w:fill="auto"/>
            <w:noWrap/>
            <w:vAlign w:val="center"/>
          </w:tcPr>
          <w:p w:rsidR="004F0537" w:rsidRPr="00C534A9" w:rsidRDefault="004F0537"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Net Present Value</w:t>
            </w:r>
          </w:p>
        </w:tc>
        <w:tc>
          <w:tcPr>
            <w:tcW w:w="1320" w:type="dxa"/>
            <w:tcBorders>
              <w:top w:val="nil"/>
              <w:left w:val="nil"/>
              <w:bottom w:val="nil"/>
              <w:right w:val="nil"/>
            </w:tcBorders>
            <w:shd w:val="clear" w:color="auto" w:fill="auto"/>
            <w:noWrap/>
            <w:vAlign w:val="center"/>
          </w:tcPr>
          <w:p w:rsidR="004F0537" w:rsidRPr="00C534A9" w:rsidRDefault="004F0537"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w:t>
            </w:r>
            <w:r w:rsidR="00D04E47" w:rsidRPr="00C534A9">
              <w:rPr>
                <w:rFonts w:ascii="Arial" w:eastAsia="Times New Roman" w:hAnsi="Arial" w:cs="Arial"/>
                <w:color w:val="000000"/>
                <w:sz w:val="22"/>
                <w:szCs w:val="24"/>
              </w:rPr>
              <w:t>9,661</w:t>
            </w:r>
            <w:r w:rsidRPr="00C534A9">
              <w:rPr>
                <w:rFonts w:ascii="Arial" w:eastAsia="Times New Roman" w:hAnsi="Arial" w:cs="Arial"/>
                <w:color w:val="000000"/>
                <w:sz w:val="22"/>
                <w:szCs w:val="24"/>
              </w:rPr>
              <w:t xml:space="preserve"> </w:t>
            </w:r>
          </w:p>
        </w:tc>
      </w:tr>
      <w:tr w:rsidR="004F0537" w:rsidRPr="00C534A9" w:rsidTr="009A352A">
        <w:trPr>
          <w:trHeight w:val="450"/>
          <w:jc w:val="center"/>
        </w:trPr>
        <w:tc>
          <w:tcPr>
            <w:tcW w:w="2540" w:type="dxa"/>
            <w:tcBorders>
              <w:top w:val="nil"/>
              <w:left w:val="nil"/>
              <w:bottom w:val="nil"/>
              <w:right w:val="nil"/>
            </w:tcBorders>
            <w:shd w:val="clear" w:color="auto" w:fill="auto"/>
            <w:noWrap/>
            <w:vAlign w:val="center"/>
          </w:tcPr>
          <w:p w:rsidR="004F0537" w:rsidRPr="00C534A9" w:rsidRDefault="004F0537"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IRR</w:t>
            </w:r>
          </w:p>
        </w:tc>
        <w:tc>
          <w:tcPr>
            <w:tcW w:w="1320" w:type="dxa"/>
            <w:tcBorders>
              <w:top w:val="nil"/>
              <w:left w:val="nil"/>
              <w:bottom w:val="nil"/>
              <w:right w:val="nil"/>
            </w:tcBorders>
            <w:shd w:val="clear" w:color="auto" w:fill="auto"/>
            <w:noWrap/>
            <w:vAlign w:val="center"/>
          </w:tcPr>
          <w:p w:rsidR="004F0537" w:rsidRPr="00C534A9" w:rsidRDefault="00D04E47"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15</w:t>
            </w:r>
            <w:r w:rsidR="004F0537" w:rsidRPr="00C534A9">
              <w:rPr>
                <w:rFonts w:ascii="Arial" w:eastAsia="Times New Roman" w:hAnsi="Arial" w:cs="Arial"/>
                <w:color w:val="000000"/>
                <w:sz w:val="22"/>
                <w:szCs w:val="24"/>
              </w:rPr>
              <w:t>%</w:t>
            </w:r>
          </w:p>
        </w:tc>
      </w:tr>
    </w:tbl>
    <w:p w:rsidR="004F0537" w:rsidRPr="00C534A9" w:rsidRDefault="004F0537" w:rsidP="00C534A9">
      <w:pPr>
        <w:jc w:val="both"/>
        <w:rPr>
          <w:rFonts w:ascii="Arial" w:hAnsi="Arial" w:cs="Arial"/>
          <w:sz w:val="22"/>
        </w:rPr>
      </w:pPr>
    </w:p>
    <w:p w:rsidR="00C26910" w:rsidRPr="00C534A9" w:rsidRDefault="00C26910" w:rsidP="00C534A9">
      <w:pPr>
        <w:pStyle w:val="Source"/>
        <w:jc w:val="both"/>
        <w:rPr>
          <w:rFonts w:ascii="Arial" w:hAnsi="Arial" w:cs="Arial"/>
          <w:sz w:val="18"/>
        </w:rPr>
      </w:pPr>
    </w:p>
    <w:p w:rsidR="004F0537" w:rsidRPr="00C534A9" w:rsidRDefault="004F0537" w:rsidP="00C534A9">
      <w:pPr>
        <w:jc w:val="both"/>
        <w:rPr>
          <w:rFonts w:ascii="Arial" w:hAnsi="Arial" w:cs="Arial"/>
          <w:sz w:val="22"/>
        </w:rPr>
      </w:pPr>
      <w:r w:rsidRPr="00C534A9">
        <w:rPr>
          <w:rFonts w:ascii="Arial" w:hAnsi="Arial" w:cs="Arial"/>
          <w:sz w:val="22"/>
        </w:rPr>
        <w:t>If the VS LNG terminal is included in the analysis, the aggregate net present value is increased to US$</w:t>
      </w:r>
      <w:r w:rsidR="00D04E47" w:rsidRPr="00C534A9">
        <w:rPr>
          <w:rFonts w:ascii="Arial" w:hAnsi="Arial" w:cs="Arial"/>
          <w:sz w:val="22"/>
        </w:rPr>
        <w:t xml:space="preserve">81.2 </w:t>
      </w:r>
      <w:r w:rsidRPr="00C534A9">
        <w:rPr>
          <w:rFonts w:ascii="Arial" w:hAnsi="Arial" w:cs="Arial"/>
          <w:sz w:val="22"/>
        </w:rPr>
        <w:t xml:space="preserve">million owing to the large size of the investment and cash flows associated with the VS LNG terminal. The internal rate of return increases to </w:t>
      </w:r>
      <w:r w:rsidR="00D04E47" w:rsidRPr="00C534A9">
        <w:rPr>
          <w:rFonts w:ascii="Arial" w:hAnsi="Arial" w:cs="Arial"/>
          <w:sz w:val="22"/>
        </w:rPr>
        <w:t>16</w:t>
      </w:r>
      <w:r w:rsidRPr="00C534A9">
        <w:rPr>
          <w:rFonts w:ascii="Arial" w:hAnsi="Arial" w:cs="Arial"/>
          <w:sz w:val="22"/>
        </w:rPr>
        <w:t xml:space="preserve">%. Table 14.2 shows the net present value and IRR for the aggregate sub-projects including the VS LNG terminal. </w:t>
      </w:r>
    </w:p>
    <w:p w:rsidR="00C26910" w:rsidRPr="00C534A9" w:rsidRDefault="00C26910" w:rsidP="00C534A9">
      <w:pPr>
        <w:pStyle w:val="Caption"/>
        <w:jc w:val="both"/>
        <w:rPr>
          <w:rFonts w:ascii="Arial" w:hAnsi="Arial" w:cs="Arial"/>
          <w:sz w:val="22"/>
        </w:rPr>
      </w:pPr>
      <w:bookmarkStart w:id="199" w:name="_Toc463509006"/>
      <w:r w:rsidRPr="00C534A9">
        <w:rPr>
          <w:rFonts w:ascii="Arial" w:hAnsi="Arial" w:cs="Arial"/>
          <w:sz w:val="22"/>
        </w:rPr>
        <w:t xml:space="preserve">Table </w:t>
      </w:r>
      <w:r w:rsidR="007C0431" w:rsidRPr="00C534A9">
        <w:rPr>
          <w:rFonts w:ascii="Arial" w:hAnsi="Arial" w:cs="Arial"/>
          <w:sz w:val="22"/>
        </w:rPr>
        <w:t>14</w:t>
      </w:r>
      <w:r w:rsidRPr="00C534A9">
        <w:rPr>
          <w:rFonts w:ascii="Arial" w:hAnsi="Arial" w:cs="Arial"/>
          <w:sz w:val="22"/>
        </w:rPr>
        <w:t>.</w:t>
      </w:r>
      <w:r w:rsidR="00A74C05" w:rsidRPr="00C534A9">
        <w:rPr>
          <w:rFonts w:ascii="Arial" w:hAnsi="Arial" w:cs="Arial"/>
          <w:sz w:val="22"/>
        </w:rPr>
        <w:t>2</w:t>
      </w:r>
      <w:r w:rsidRPr="00C534A9">
        <w:rPr>
          <w:rFonts w:ascii="Arial" w:hAnsi="Arial" w:cs="Arial"/>
          <w:sz w:val="22"/>
        </w:rPr>
        <w:t xml:space="preserve">: </w:t>
      </w:r>
      <w:r w:rsidR="004F0537" w:rsidRPr="00C534A9">
        <w:rPr>
          <w:rFonts w:ascii="Arial" w:hAnsi="Arial" w:cs="Arial"/>
          <w:sz w:val="22"/>
        </w:rPr>
        <w:t>Financial Summary</w:t>
      </w:r>
      <w:r w:rsidRPr="00C534A9">
        <w:rPr>
          <w:rFonts w:ascii="Arial" w:hAnsi="Arial" w:cs="Arial"/>
          <w:sz w:val="22"/>
        </w:rPr>
        <w:t xml:space="preserve"> of all </w:t>
      </w:r>
      <w:proofErr w:type="gramStart"/>
      <w:r w:rsidRPr="00C534A9">
        <w:rPr>
          <w:rFonts w:ascii="Arial" w:hAnsi="Arial" w:cs="Arial"/>
          <w:sz w:val="22"/>
        </w:rPr>
        <w:t>sub-project</w:t>
      </w:r>
      <w:proofErr w:type="gramEnd"/>
      <w:r w:rsidRPr="00C534A9">
        <w:rPr>
          <w:rFonts w:ascii="Arial" w:hAnsi="Arial" w:cs="Arial"/>
          <w:sz w:val="22"/>
        </w:rPr>
        <w:t xml:space="preserve"> including the VS LNG terminal (US$ ‘000)</w:t>
      </w:r>
      <w:bookmarkEnd w:id="199"/>
    </w:p>
    <w:tbl>
      <w:tblPr>
        <w:tblW w:w="3860" w:type="dxa"/>
        <w:jc w:val="center"/>
        <w:tblInd w:w="93" w:type="dxa"/>
        <w:tblLook w:val="04A0" w:firstRow="1" w:lastRow="0" w:firstColumn="1" w:lastColumn="0" w:noHBand="0" w:noVBand="1"/>
      </w:tblPr>
      <w:tblGrid>
        <w:gridCol w:w="2540"/>
        <w:gridCol w:w="1320"/>
      </w:tblGrid>
      <w:tr w:rsidR="004F0537" w:rsidRPr="00C534A9" w:rsidTr="009A352A">
        <w:trPr>
          <w:trHeight w:val="450"/>
          <w:jc w:val="center"/>
        </w:trPr>
        <w:tc>
          <w:tcPr>
            <w:tcW w:w="2540" w:type="dxa"/>
            <w:tcBorders>
              <w:top w:val="nil"/>
              <w:left w:val="nil"/>
              <w:bottom w:val="nil"/>
              <w:right w:val="nil"/>
            </w:tcBorders>
            <w:shd w:val="clear" w:color="auto" w:fill="auto"/>
            <w:noWrap/>
            <w:vAlign w:val="center"/>
          </w:tcPr>
          <w:p w:rsidR="004F0537" w:rsidRPr="00C534A9" w:rsidRDefault="004F0537"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Net Present Value</w:t>
            </w:r>
          </w:p>
        </w:tc>
        <w:tc>
          <w:tcPr>
            <w:tcW w:w="1320" w:type="dxa"/>
            <w:tcBorders>
              <w:top w:val="nil"/>
              <w:left w:val="nil"/>
              <w:bottom w:val="nil"/>
              <w:right w:val="nil"/>
            </w:tcBorders>
            <w:shd w:val="clear" w:color="auto" w:fill="auto"/>
            <w:noWrap/>
            <w:vAlign w:val="center"/>
          </w:tcPr>
          <w:p w:rsidR="004F0537" w:rsidRPr="00C534A9" w:rsidRDefault="004F0537"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w:t>
            </w:r>
            <w:r w:rsidR="00D04E47" w:rsidRPr="00C534A9">
              <w:rPr>
                <w:rFonts w:ascii="Arial" w:eastAsia="Times New Roman" w:hAnsi="Arial" w:cs="Arial"/>
                <w:color w:val="000000"/>
                <w:sz w:val="22"/>
                <w:szCs w:val="24"/>
              </w:rPr>
              <w:t>81,191</w:t>
            </w:r>
            <w:r w:rsidRPr="00C534A9">
              <w:rPr>
                <w:rFonts w:ascii="Arial" w:eastAsia="Times New Roman" w:hAnsi="Arial" w:cs="Arial"/>
                <w:color w:val="000000"/>
                <w:sz w:val="22"/>
                <w:szCs w:val="24"/>
              </w:rPr>
              <w:t xml:space="preserve"> </w:t>
            </w:r>
          </w:p>
        </w:tc>
      </w:tr>
      <w:tr w:rsidR="004F0537" w:rsidRPr="00C534A9" w:rsidTr="009A352A">
        <w:trPr>
          <w:trHeight w:val="450"/>
          <w:jc w:val="center"/>
        </w:trPr>
        <w:tc>
          <w:tcPr>
            <w:tcW w:w="2540" w:type="dxa"/>
            <w:tcBorders>
              <w:top w:val="nil"/>
              <w:left w:val="nil"/>
              <w:bottom w:val="nil"/>
              <w:right w:val="nil"/>
            </w:tcBorders>
            <w:shd w:val="clear" w:color="auto" w:fill="auto"/>
            <w:noWrap/>
            <w:vAlign w:val="center"/>
          </w:tcPr>
          <w:p w:rsidR="004F0537" w:rsidRPr="00C534A9" w:rsidRDefault="004F0537"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IRR</w:t>
            </w:r>
          </w:p>
        </w:tc>
        <w:tc>
          <w:tcPr>
            <w:tcW w:w="1320" w:type="dxa"/>
            <w:tcBorders>
              <w:top w:val="nil"/>
              <w:left w:val="nil"/>
              <w:bottom w:val="nil"/>
              <w:right w:val="nil"/>
            </w:tcBorders>
            <w:shd w:val="clear" w:color="auto" w:fill="auto"/>
            <w:noWrap/>
            <w:vAlign w:val="center"/>
          </w:tcPr>
          <w:p w:rsidR="004F0537" w:rsidRPr="00C534A9" w:rsidRDefault="00D04E47" w:rsidP="00C534A9">
            <w:pPr>
              <w:spacing w:after="0" w:line="240" w:lineRule="auto"/>
              <w:jc w:val="both"/>
              <w:rPr>
                <w:rFonts w:ascii="Arial" w:eastAsia="Times New Roman" w:hAnsi="Arial" w:cs="Arial"/>
                <w:color w:val="000000"/>
                <w:sz w:val="22"/>
                <w:szCs w:val="24"/>
              </w:rPr>
            </w:pPr>
            <w:r w:rsidRPr="00C534A9">
              <w:rPr>
                <w:rFonts w:ascii="Arial" w:eastAsia="Times New Roman" w:hAnsi="Arial" w:cs="Arial"/>
                <w:color w:val="000000"/>
                <w:sz w:val="22"/>
                <w:szCs w:val="24"/>
              </w:rPr>
              <w:t>16</w:t>
            </w:r>
            <w:r w:rsidR="004F0537" w:rsidRPr="00C534A9">
              <w:rPr>
                <w:rFonts w:ascii="Arial" w:eastAsia="Times New Roman" w:hAnsi="Arial" w:cs="Arial"/>
                <w:color w:val="000000"/>
                <w:sz w:val="22"/>
                <w:szCs w:val="24"/>
              </w:rPr>
              <w:t>%</w:t>
            </w:r>
          </w:p>
        </w:tc>
      </w:tr>
    </w:tbl>
    <w:p w:rsidR="00DD4CD6" w:rsidRPr="00C534A9" w:rsidRDefault="00DD4CD6" w:rsidP="00C534A9">
      <w:pPr>
        <w:jc w:val="both"/>
        <w:rPr>
          <w:rFonts w:ascii="Arial" w:eastAsiaTheme="majorEastAsia" w:hAnsi="Arial" w:cs="Arial"/>
          <w:b/>
          <w:bCs/>
          <w:color w:val="auto"/>
          <w:szCs w:val="28"/>
        </w:rPr>
      </w:pPr>
      <w:r w:rsidRPr="00C534A9">
        <w:rPr>
          <w:rFonts w:ascii="Arial" w:hAnsi="Arial" w:cs="Arial"/>
          <w:sz w:val="22"/>
        </w:rPr>
        <w:br w:type="page"/>
      </w:r>
    </w:p>
    <w:p w:rsidR="00DD4CD6" w:rsidRPr="00C534A9" w:rsidRDefault="00DD4CD6" w:rsidP="00C534A9">
      <w:pPr>
        <w:pStyle w:val="Heading4"/>
        <w:jc w:val="both"/>
        <w:rPr>
          <w:rFonts w:ascii="Arial" w:hAnsi="Arial" w:cs="Arial"/>
          <w:sz w:val="24"/>
        </w:rPr>
        <w:sectPr w:rsidR="00DD4CD6" w:rsidRPr="00C534A9" w:rsidSect="00D132E2">
          <w:footerReference w:type="default" r:id="rId28"/>
          <w:footerReference w:type="first" r:id="rId29"/>
          <w:pgSz w:w="12240" w:h="15840"/>
          <w:pgMar w:top="1440" w:right="1440" w:bottom="1350" w:left="1440" w:header="720" w:footer="720" w:gutter="0"/>
          <w:cols w:space="720"/>
          <w:titlePg/>
          <w:docGrid w:linePitch="360"/>
        </w:sectPr>
      </w:pPr>
    </w:p>
    <w:p w:rsidR="005115AA" w:rsidRPr="00C534A9" w:rsidRDefault="005115AA" w:rsidP="00C534A9">
      <w:pPr>
        <w:pStyle w:val="Heading4"/>
        <w:jc w:val="both"/>
        <w:rPr>
          <w:rFonts w:ascii="Arial" w:hAnsi="Arial" w:cs="Arial"/>
          <w:sz w:val="24"/>
        </w:rPr>
      </w:pPr>
      <w:r w:rsidRPr="00C534A9">
        <w:rPr>
          <w:rFonts w:ascii="Arial" w:hAnsi="Arial" w:cs="Arial"/>
          <w:sz w:val="24"/>
        </w:rPr>
        <w:t>Appendix A</w:t>
      </w:r>
      <w:bookmarkStart w:id="200" w:name="_Ref423419090"/>
      <w:bookmarkStart w:id="201" w:name="_Toc423457920"/>
      <w:bookmarkStart w:id="202" w:name="_Toc428351525"/>
      <w:r w:rsidRPr="00C534A9">
        <w:rPr>
          <w:rFonts w:ascii="Arial" w:hAnsi="Arial" w:cs="Arial"/>
          <w:sz w:val="24"/>
        </w:rPr>
        <w:t>: Annual Economic Costs and Benefits of the Loan Sub-Projects</w:t>
      </w:r>
      <w:bookmarkEnd w:id="200"/>
      <w:bookmarkEnd w:id="201"/>
      <w:bookmarkEnd w:id="202"/>
    </w:p>
    <w:p w:rsidR="00FB39C7" w:rsidRPr="00C534A9" w:rsidRDefault="005115AA" w:rsidP="00C534A9">
      <w:pPr>
        <w:jc w:val="both"/>
        <w:rPr>
          <w:rFonts w:ascii="Arial" w:hAnsi="Arial" w:cs="Arial"/>
          <w:sz w:val="22"/>
        </w:rPr>
      </w:pPr>
      <w:r w:rsidRPr="00C534A9">
        <w:rPr>
          <w:rFonts w:ascii="Arial" w:hAnsi="Arial" w:cs="Arial"/>
          <w:sz w:val="22"/>
        </w:rPr>
        <w:t xml:space="preserve">This Appendix presents the schedule of the annual economic costs and benefits of the sub-projects that were analyzed in the CBA. The schedules show the annual net </w:t>
      </w:r>
      <w:r w:rsidR="00FB39C7" w:rsidRPr="00C534A9">
        <w:rPr>
          <w:rFonts w:ascii="Arial" w:hAnsi="Arial" w:cs="Arial"/>
          <w:sz w:val="22"/>
        </w:rPr>
        <w:t>cost-benefit</w:t>
      </w:r>
      <w:r w:rsidRPr="00C534A9">
        <w:rPr>
          <w:rFonts w:ascii="Arial" w:hAnsi="Arial" w:cs="Arial"/>
          <w:sz w:val="22"/>
        </w:rPr>
        <w:t xml:space="preserve"> from each sub-project and the net present value and </w:t>
      </w:r>
      <w:r w:rsidR="00FB39C7" w:rsidRPr="00C534A9">
        <w:rPr>
          <w:rFonts w:ascii="Arial" w:hAnsi="Arial" w:cs="Arial"/>
          <w:sz w:val="22"/>
        </w:rPr>
        <w:t>economic</w:t>
      </w:r>
      <w:r w:rsidRPr="00C534A9">
        <w:rPr>
          <w:rFonts w:ascii="Arial" w:hAnsi="Arial" w:cs="Arial"/>
          <w:sz w:val="22"/>
        </w:rPr>
        <w:t xml:space="preserve"> rates of return.  </w:t>
      </w:r>
    </w:p>
    <w:p w:rsidR="00DD4CD6" w:rsidRPr="00C534A9" w:rsidRDefault="00DD4CD6" w:rsidP="00C534A9">
      <w:pPr>
        <w:pStyle w:val="Caption"/>
        <w:jc w:val="both"/>
        <w:rPr>
          <w:rFonts w:ascii="Arial" w:hAnsi="Arial" w:cs="Arial"/>
          <w:sz w:val="22"/>
        </w:rPr>
        <w:sectPr w:rsidR="00DD4CD6" w:rsidRPr="00C534A9" w:rsidSect="00DD4CD6">
          <w:pgSz w:w="12240" w:h="15840"/>
          <w:pgMar w:top="1440" w:right="1440" w:bottom="1440" w:left="1440" w:header="720" w:footer="720" w:gutter="0"/>
          <w:cols w:space="720"/>
          <w:titlePg/>
          <w:docGrid w:linePitch="360"/>
        </w:sectPr>
      </w:pPr>
    </w:p>
    <w:p w:rsidR="00FB39C7" w:rsidRPr="00C534A9" w:rsidRDefault="00FB39C7" w:rsidP="00C534A9">
      <w:pPr>
        <w:pStyle w:val="Caption"/>
        <w:jc w:val="both"/>
        <w:rPr>
          <w:rFonts w:ascii="Arial" w:hAnsi="Arial" w:cs="Arial"/>
          <w:sz w:val="20"/>
          <w:szCs w:val="22"/>
        </w:rPr>
      </w:pPr>
      <w:bookmarkStart w:id="203" w:name="_Toc463509007"/>
      <w:r w:rsidRPr="00C534A9">
        <w:rPr>
          <w:rFonts w:ascii="Arial" w:hAnsi="Arial" w:cs="Arial"/>
          <w:sz w:val="22"/>
        </w:rPr>
        <w:t xml:space="preserve">Table A.1: </w:t>
      </w:r>
      <w:r w:rsidRPr="00C534A9">
        <w:rPr>
          <w:rFonts w:ascii="Arial" w:hAnsi="Arial" w:cs="Arial"/>
          <w:sz w:val="20"/>
          <w:szCs w:val="22"/>
        </w:rPr>
        <w:t>Schedule of Annual Economic Costs and Benefits of the micro-LNG facility expansion and compressor replacement sub-project</w:t>
      </w:r>
      <w:bookmarkEnd w:id="203"/>
    </w:p>
    <w:p w:rsidR="00FB39C7" w:rsidRPr="00C534A9" w:rsidRDefault="00C3101D" w:rsidP="00C534A9">
      <w:pPr>
        <w:jc w:val="both"/>
        <w:rPr>
          <w:rFonts w:ascii="Arial" w:hAnsi="Arial" w:cs="Arial"/>
          <w:sz w:val="22"/>
        </w:rPr>
      </w:pPr>
      <w:r w:rsidRPr="00C534A9">
        <w:rPr>
          <w:rFonts w:ascii="Arial" w:hAnsi="Arial" w:cs="Arial"/>
          <w:noProof/>
          <w:sz w:val="22"/>
        </w:rPr>
        <w:drawing>
          <wp:inline distT="0" distB="0" distL="0" distR="0" wp14:anchorId="59F7B853" wp14:editId="0F673D58">
            <wp:extent cx="8229600" cy="3315713"/>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229600" cy="3315713"/>
                    </a:xfrm>
                    <a:prstGeom prst="rect">
                      <a:avLst/>
                    </a:prstGeom>
                    <a:noFill/>
                    <a:ln>
                      <a:noFill/>
                    </a:ln>
                  </pic:spPr>
                </pic:pic>
              </a:graphicData>
            </a:graphic>
          </wp:inline>
        </w:drawing>
      </w:r>
    </w:p>
    <w:p w:rsidR="00FB39C7" w:rsidRPr="00C534A9" w:rsidRDefault="00FB39C7" w:rsidP="00C534A9">
      <w:pPr>
        <w:pStyle w:val="Source"/>
        <w:jc w:val="both"/>
        <w:rPr>
          <w:rFonts w:ascii="Arial" w:hAnsi="Arial" w:cs="Arial"/>
          <w:sz w:val="18"/>
        </w:rPr>
      </w:pPr>
    </w:p>
    <w:p w:rsidR="001C390D" w:rsidRPr="00C534A9" w:rsidRDefault="001C390D" w:rsidP="00C534A9">
      <w:pPr>
        <w:jc w:val="both"/>
        <w:rPr>
          <w:rFonts w:ascii="Arial" w:hAnsi="Arial" w:cs="Arial"/>
          <w:b/>
          <w:bCs/>
          <w:sz w:val="22"/>
          <w:szCs w:val="18"/>
        </w:rPr>
      </w:pPr>
      <w:r w:rsidRPr="00C534A9">
        <w:rPr>
          <w:rFonts w:ascii="Arial" w:hAnsi="Arial" w:cs="Arial"/>
          <w:sz w:val="22"/>
        </w:rPr>
        <w:br w:type="page"/>
      </w:r>
    </w:p>
    <w:p w:rsidR="00FB39C7" w:rsidRPr="00C534A9" w:rsidRDefault="00FB39C7" w:rsidP="00C534A9">
      <w:pPr>
        <w:pStyle w:val="Caption"/>
        <w:jc w:val="both"/>
        <w:rPr>
          <w:rFonts w:ascii="Arial" w:hAnsi="Arial" w:cs="Arial"/>
          <w:sz w:val="20"/>
          <w:szCs w:val="22"/>
        </w:rPr>
      </w:pPr>
      <w:bookmarkStart w:id="204" w:name="_Toc463509008"/>
      <w:r w:rsidRPr="00C534A9">
        <w:rPr>
          <w:rFonts w:ascii="Arial" w:hAnsi="Arial" w:cs="Arial"/>
          <w:sz w:val="22"/>
        </w:rPr>
        <w:t xml:space="preserve">Table A.2: </w:t>
      </w:r>
      <w:r w:rsidRPr="00C534A9">
        <w:rPr>
          <w:rFonts w:ascii="Arial" w:hAnsi="Arial" w:cs="Arial"/>
          <w:sz w:val="20"/>
          <w:szCs w:val="22"/>
        </w:rPr>
        <w:t>Schedule of Annual Economic Costs and Benefits of the wind turbine sub-project</w:t>
      </w:r>
      <w:bookmarkEnd w:id="204"/>
    </w:p>
    <w:p w:rsidR="00FB39C7" w:rsidRPr="00C534A9" w:rsidRDefault="00C3101D" w:rsidP="00C534A9">
      <w:pPr>
        <w:jc w:val="both"/>
        <w:rPr>
          <w:rFonts w:ascii="Arial" w:hAnsi="Arial" w:cs="Arial"/>
          <w:sz w:val="22"/>
        </w:rPr>
      </w:pPr>
      <w:r w:rsidRPr="00C534A9">
        <w:rPr>
          <w:rFonts w:ascii="Arial" w:hAnsi="Arial" w:cs="Arial"/>
          <w:noProof/>
          <w:sz w:val="22"/>
        </w:rPr>
        <w:drawing>
          <wp:inline distT="0" distB="0" distL="0" distR="0" wp14:anchorId="06A90FBF" wp14:editId="1ECDBD66">
            <wp:extent cx="8229600" cy="2966162"/>
            <wp:effectExtent l="0" t="0" r="0" b="571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29600" cy="2966162"/>
                    </a:xfrm>
                    <a:prstGeom prst="rect">
                      <a:avLst/>
                    </a:prstGeom>
                    <a:noFill/>
                    <a:ln>
                      <a:noFill/>
                    </a:ln>
                  </pic:spPr>
                </pic:pic>
              </a:graphicData>
            </a:graphic>
          </wp:inline>
        </w:drawing>
      </w:r>
    </w:p>
    <w:p w:rsidR="00FB39C7" w:rsidRPr="00C534A9" w:rsidRDefault="00FB39C7" w:rsidP="00C534A9">
      <w:pPr>
        <w:pStyle w:val="Source"/>
        <w:jc w:val="both"/>
        <w:rPr>
          <w:rFonts w:ascii="Arial" w:hAnsi="Arial" w:cs="Arial"/>
          <w:sz w:val="18"/>
        </w:rPr>
      </w:pPr>
    </w:p>
    <w:p w:rsidR="001C390D" w:rsidRPr="00C534A9" w:rsidRDefault="001C390D" w:rsidP="00C534A9">
      <w:pPr>
        <w:jc w:val="both"/>
        <w:rPr>
          <w:rFonts w:ascii="Arial" w:hAnsi="Arial" w:cs="Arial"/>
          <w:b/>
          <w:bCs/>
          <w:sz w:val="22"/>
          <w:szCs w:val="18"/>
        </w:rPr>
      </w:pPr>
      <w:r w:rsidRPr="00C534A9">
        <w:rPr>
          <w:rFonts w:ascii="Arial" w:hAnsi="Arial" w:cs="Arial"/>
          <w:sz w:val="22"/>
        </w:rPr>
        <w:br w:type="page"/>
      </w:r>
    </w:p>
    <w:p w:rsidR="00FB39C7" w:rsidRPr="00C534A9" w:rsidRDefault="00FB39C7" w:rsidP="00C534A9">
      <w:pPr>
        <w:pStyle w:val="Caption"/>
        <w:jc w:val="both"/>
        <w:rPr>
          <w:rFonts w:ascii="Arial" w:hAnsi="Arial" w:cs="Arial"/>
          <w:sz w:val="20"/>
          <w:szCs w:val="22"/>
        </w:rPr>
      </w:pPr>
      <w:bookmarkStart w:id="205" w:name="_Toc463509009"/>
      <w:r w:rsidRPr="00C534A9">
        <w:rPr>
          <w:rFonts w:ascii="Arial" w:hAnsi="Arial" w:cs="Arial"/>
          <w:sz w:val="22"/>
        </w:rPr>
        <w:t xml:space="preserve">Table A.3: </w:t>
      </w:r>
      <w:r w:rsidRPr="00C534A9">
        <w:rPr>
          <w:rFonts w:ascii="Arial" w:hAnsi="Arial" w:cs="Arial"/>
          <w:sz w:val="20"/>
          <w:szCs w:val="22"/>
        </w:rPr>
        <w:t>Schedule of Annual Economic Costs and Benefits of the PV system sub-project</w:t>
      </w:r>
      <w:bookmarkEnd w:id="205"/>
    </w:p>
    <w:p w:rsidR="00FB39C7" w:rsidRPr="00C534A9" w:rsidRDefault="00C3101D" w:rsidP="00C534A9">
      <w:pPr>
        <w:jc w:val="both"/>
        <w:rPr>
          <w:rFonts w:ascii="Arial" w:hAnsi="Arial" w:cs="Arial"/>
          <w:sz w:val="22"/>
        </w:rPr>
      </w:pPr>
      <w:r w:rsidRPr="00C534A9">
        <w:rPr>
          <w:rFonts w:ascii="Arial" w:hAnsi="Arial" w:cs="Arial"/>
          <w:noProof/>
          <w:sz w:val="22"/>
        </w:rPr>
        <w:drawing>
          <wp:inline distT="0" distB="0" distL="0" distR="0" wp14:anchorId="55E7AF92" wp14:editId="344752C0">
            <wp:extent cx="8229600" cy="2664660"/>
            <wp:effectExtent l="0" t="0" r="0" b="254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29600" cy="2664660"/>
                    </a:xfrm>
                    <a:prstGeom prst="rect">
                      <a:avLst/>
                    </a:prstGeom>
                    <a:noFill/>
                    <a:ln>
                      <a:noFill/>
                    </a:ln>
                  </pic:spPr>
                </pic:pic>
              </a:graphicData>
            </a:graphic>
          </wp:inline>
        </w:drawing>
      </w:r>
    </w:p>
    <w:p w:rsidR="00FB39C7" w:rsidRPr="00C534A9" w:rsidRDefault="00FB39C7" w:rsidP="00C534A9">
      <w:pPr>
        <w:pStyle w:val="Source"/>
        <w:jc w:val="both"/>
        <w:rPr>
          <w:rFonts w:ascii="Arial" w:hAnsi="Arial" w:cs="Arial"/>
          <w:sz w:val="18"/>
        </w:rPr>
      </w:pPr>
    </w:p>
    <w:p w:rsidR="001C390D" w:rsidRPr="00C534A9" w:rsidRDefault="001C390D" w:rsidP="00C534A9">
      <w:pPr>
        <w:jc w:val="both"/>
        <w:rPr>
          <w:rFonts w:ascii="Arial" w:hAnsi="Arial" w:cs="Arial"/>
          <w:b/>
          <w:bCs/>
          <w:sz w:val="22"/>
          <w:szCs w:val="18"/>
        </w:rPr>
      </w:pPr>
      <w:r w:rsidRPr="00C534A9">
        <w:rPr>
          <w:rFonts w:ascii="Arial" w:hAnsi="Arial" w:cs="Arial"/>
          <w:sz w:val="22"/>
        </w:rPr>
        <w:br w:type="page"/>
      </w:r>
    </w:p>
    <w:p w:rsidR="00FB39C7" w:rsidRPr="00C534A9" w:rsidRDefault="00FB39C7" w:rsidP="00C534A9">
      <w:pPr>
        <w:pStyle w:val="Caption"/>
        <w:jc w:val="both"/>
        <w:rPr>
          <w:rFonts w:ascii="Arial" w:hAnsi="Arial" w:cs="Arial"/>
          <w:sz w:val="20"/>
          <w:szCs w:val="22"/>
        </w:rPr>
      </w:pPr>
      <w:bookmarkStart w:id="206" w:name="_Toc463509010"/>
      <w:r w:rsidRPr="00C534A9">
        <w:rPr>
          <w:rFonts w:ascii="Arial" w:hAnsi="Arial" w:cs="Arial"/>
          <w:sz w:val="22"/>
        </w:rPr>
        <w:t xml:space="preserve">Table A.4: </w:t>
      </w:r>
      <w:r w:rsidRPr="00C534A9">
        <w:rPr>
          <w:rFonts w:ascii="Arial" w:hAnsi="Arial" w:cs="Arial"/>
          <w:sz w:val="20"/>
          <w:szCs w:val="22"/>
        </w:rPr>
        <w:t>Schedule of Annual Economic Costs and Benefits of the VS LNG terminal sub-project</w:t>
      </w:r>
      <w:bookmarkEnd w:id="206"/>
    </w:p>
    <w:p w:rsidR="00FB39C7" w:rsidRPr="00C534A9" w:rsidRDefault="00C3101D" w:rsidP="00C534A9">
      <w:pPr>
        <w:jc w:val="both"/>
        <w:rPr>
          <w:rFonts w:ascii="Arial" w:hAnsi="Arial" w:cs="Arial"/>
          <w:sz w:val="22"/>
        </w:rPr>
      </w:pPr>
      <w:r w:rsidRPr="00C534A9">
        <w:rPr>
          <w:rFonts w:ascii="Arial" w:hAnsi="Arial" w:cs="Arial"/>
          <w:noProof/>
          <w:sz w:val="22"/>
        </w:rPr>
        <w:drawing>
          <wp:inline distT="0" distB="0" distL="0" distR="0" wp14:anchorId="2F3E5A01" wp14:editId="060FB26E">
            <wp:extent cx="8229600" cy="2664893"/>
            <wp:effectExtent l="0" t="0" r="0" b="254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229600" cy="2664893"/>
                    </a:xfrm>
                    <a:prstGeom prst="rect">
                      <a:avLst/>
                    </a:prstGeom>
                    <a:noFill/>
                    <a:ln>
                      <a:noFill/>
                    </a:ln>
                  </pic:spPr>
                </pic:pic>
              </a:graphicData>
            </a:graphic>
          </wp:inline>
        </w:drawing>
      </w:r>
    </w:p>
    <w:p w:rsidR="00FB39C7" w:rsidRPr="00C534A9" w:rsidRDefault="00FB39C7" w:rsidP="00C534A9">
      <w:pPr>
        <w:pStyle w:val="Source"/>
        <w:jc w:val="both"/>
        <w:rPr>
          <w:rFonts w:ascii="Arial" w:hAnsi="Arial" w:cs="Arial"/>
          <w:sz w:val="18"/>
        </w:rPr>
      </w:pPr>
    </w:p>
    <w:p w:rsidR="00FB39C7" w:rsidRPr="00C534A9" w:rsidRDefault="00FB39C7" w:rsidP="00C534A9">
      <w:pPr>
        <w:jc w:val="both"/>
        <w:rPr>
          <w:rFonts w:ascii="Arial" w:hAnsi="Arial" w:cs="Arial"/>
          <w:sz w:val="22"/>
        </w:rPr>
      </w:pPr>
      <w:r w:rsidRPr="00C534A9">
        <w:rPr>
          <w:rFonts w:ascii="Arial" w:hAnsi="Arial" w:cs="Arial"/>
          <w:sz w:val="22"/>
        </w:rPr>
        <w:br w:type="page"/>
      </w:r>
    </w:p>
    <w:p w:rsidR="001C390D" w:rsidRPr="00C534A9" w:rsidRDefault="001C390D" w:rsidP="00C534A9">
      <w:pPr>
        <w:pStyle w:val="Heading4"/>
        <w:jc w:val="both"/>
        <w:rPr>
          <w:rFonts w:ascii="Arial" w:hAnsi="Arial" w:cs="Arial"/>
          <w:sz w:val="24"/>
        </w:rPr>
        <w:sectPr w:rsidR="001C390D" w:rsidRPr="00C534A9" w:rsidSect="00DD4CD6">
          <w:pgSz w:w="15840" w:h="12240" w:orient="landscape"/>
          <w:pgMar w:top="1440" w:right="1440" w:bottom="1440" w:left="1440" w:header="720" w:footer="720" w:gutter="0"/>
          <w:cols w:space="720"/>
          <w:titlePg/>
          <w:docGrid w:linePitch="360"/>
        </w:sectPr>
      </w:pPr>
    </w:p>
    <w:p w:rsidR="00FB39C7" w:rsidRPr="00C534A9" w:rsidRDefault="00FB39C7" w:rsidP="00C534A9">
      <w:pPr>
        <w:pStyle w:val="Heading4"/>
        <w:jc w:val="both"/>
        <w:rPr>
          <w:rFonts w:ascii="Arial" w:hAnsi="Arial" w:cs="Arial"/>
          <w:sz w:val="24"/>
        </w:rPr>
      </w:pPr>
      <w:r w:rsidRPr="00C534A9">
        <w:rPr>
          <w:rFonts w:ascii="Arial" w:hAnsi="Arial" w:cs="Arial"/>
          <w:sz w:val="24"/>
        </w:rPr>
        <w:t>Appendix B: Annual Cash Flows of the Loan Sub-Projects</w:t>
      </w:r>
    </w:p>
    <w:p w:rsidR="00FB39C7" w:rsidRPr="00C534A9" w:rsidRDefault="00FB39C7" w:rsidP="00C534A9">
      <w:pPr>
        <w:jc w:val="both"/>
        <w:rPr>
          <w:rFonts w:ascii="Arial" w:hAnsi="Arial" w:cs="Arial"/>
          <w:sz w:val="22"/>
        </w:rPr>
      </w:pPr>
      <w:r w:rsidRPr="00C534A9">
        <w:rPr>
          <w:rFonts w:ascii="Arial" w:hAnsi="Arial" w:cs="Arial"/>
          <w:sz w:val="22"/>
        </w:rPr>
        <w:t xml:space="preserve">This Appendix presents the schedule of the annual income and expenses of the sub-projects that were analyzed in the financial analysis. The schedules show the annual net cash flows from each sub-project and the net present value and internal rates of return.  </w:t>
      </w:r>
    </w:p>
    <w:p w:rsidR="001C390D" w:rsidRPr="00C534A9" w:rsidRDefault="001C390D" w:rsidP="00C534A9">
      <w:pPr>
        <w:pStyle w:val="Caption"/>
        <w:jc w:val="both"/>
        <w:rPr>
          <w:rFonts w:ascii="Arial" w:hAnsi="Arial" w:cs="Arial"/>
          <w:sz w:val="22"/>
        </w:rPr>
        <w:sectPr w:rsidR="001C390D" w:rsidRPr="00C534A9" w:rsidSect="001C390D">
          <w:pgSz w:w="12240" w:h="15840"/>
          <w:pgMar w:top="1440" w:right="1440" w:bottom="1440" w:left="1440" w:header="720" w:footer="720" w:gutter="0"/>
          <w:cols w:space="720"/>
          <w:titlePg/>
          <w:docGrid w:linePitch="360"/>
        </w:sectPr>
      </w:pPr>
    </w:p>
    <w:p w:rsidR="00FB39C7" w:rsidRPr="00C534A9" w:rsidRDefault="00FB39C7" w:rsidP="00C534A9">
      <w:pPr>
        <w:pStyle w:val="Caption"/>
        <w:jc w:val="both"/>
        <w:rPr>
          <w:rFonts w:ascii="Arial" w:hAnsi="Arial" w:cs="Arial"/>
          <w:sz w:val="20"/>
          <w:szCs w:val="22"/>
        </w:rPr>
      </w:pPr>
      <w:bookmarkStart w:id="207" w:name="_Toc463509011"/>
      <w:r w:rsidRPr="00C534A9">
        <w:rPr>
          <w:rFonts w:ascii="Arial" w:hAnsi="Arial" w:cs="Arial"/>
          <w:sz w:val="22"/>
        </w:rPr>
        <w:t xml:space="preserve">Table B.1: </w:t>
      </w:r>
      <w:r w:rsidRPr="00C534A9">
        <w:rPr>
          <w:rFonts w:ascii="Arial" w:hAnsi="Arial" w:cs="Arial"/>
          <w:sz w:val="20"/>
          <w:szCs w:val="22"/>
        </w:rPr>
        <w:t>Schedule of Annual Financial Cash Flows of the micro-LNG facility expansion sub-project</w:t>
      </w:r>
      <w:bookmarkEnd w:id="207"/>
    </w:p>
    <w:p w:rsidR="00FB39C7" w:rsidRPr="00C534A9" w:rsidRDefault="00C3101D" w:rsidP="00C534A9">
      <w:pPr>
        <w:jc w:val="both"/>
        <w:rPr>
          <w:rFonts w:ascii="Arial" w:hAnsi="Arial" w:cs="Arial"/>
          <w:sz w:val="22"/>
        </w:rPr>
      </w:pPr>
      <w:r w:rsidRPr="00C534A9">
        <w:rPr>
          <w:rFonts w:ascii="Arial" w:hAnsi="Arial" w:cs="Arial"/>
          <w:noProof/>
          <w:sz w:val="22"/>
        </w:rPr>
        <w:drawing>
          <wp:inline distT="0" distB="0" distL="0" distR="0" wp14:anchorId="233CE62D" wp14:editId="7257195F">
            <wp:extent cx="8229600" cy="2526450"/>
            <wp:effectExtent l="0" t="0" r="0" b="762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229600" cy="2526450"/>
                    </a:xfrm>
                    <a:prstGeom prst="rect">
                      <a:avLst/>
                    </a:prstGeom>
                    <a:noFill/>
                    <a:ln>
                      <a:noFill/>
                    </a:ln>
                  </pic:spPr>
                </pic:pic>
              </a:graphicData>
            </a:graphic>
          </wp:inline>
        </w:drawing>
      </w:r>
    </w:p>
    <w:p w:rsidR="00FB39C7" w:rsidRPr="00C534A9" w:rsidRDefault="00FB39C7" w:rsidP="00C534A9">
      <w:pPr>
        <w:pStyle w:val="Source"/>
        <w:jc w:val="both"/>
        <w:rPr>
          <w:rFonts w:ascii="Arial" w:hAnsi="Arial" w:cs="Arial"/>
          <w:sz w:val="18"/>
        </w:rPr>
      </w:pPr>
    </w:p>
    <w:p w:rsidR="004D7A66" w:rsidRPr="00C534A9" w:rsidRDefault="004D7A66" w:rsidP="00C534A9">
      <w:pPr>
        <w:jc w:val="both"/>
        <w:rPr>
          <w:rFonts w:ascii="Arial" w:hAnsi="Arial" w:cs="Arial"/>
          <w:b/>
          <w:bCs/>
          <w:sz w:val="22"/>
          <w:szCs w:val="18"/>
        </w:rPr>
      </w:pPr>
      <w:r w:rsidRPr="00C534A9">
        <w:rPr>
          <w:rFonts w:ascii="Arial" w:hAnsi="Arial" w:cs="Arial"/>
          <w:sz w:val="22"/>
        </w:rPr>
        <w:br w:type="page"/>
      </w:r>
    </w:p>
    <w:p w:rsidR="0088166F" w:rsidRPr="00C534A9" w:rsidRDefault="0088166F" w:rsidP="00C534A9">
      <w:pPr>
        <w:pStyle w:val="Caption"/>
        <w:jc w:val="both"/>
        <w:rPr>
          <w:rFonts w:ascii="Arial" w:hAnsi="Arial" w:cs="Arial"/>
          <w:sz w:val="20"/>
          <w:szCs w:val="22"/>
        </w:rPr>
      </w:pPr>
      <w:bookmarkStart w:id="208" w:name="_Toc463509012"/>
      <w:r w:rsidRPr="00C534A9">
        <w:rPr>
          <w:rFonts w:ascii="Arial" w:hAnsi="Arial" w:cs="Arial"/>
          <w:sz w:val="22"/>
        </w:rPr>
        <w:t xml:space="preserve">Table B.2: </w:t>
      </w:r>
      <w:r w:rsidRPr="00C534A9">
        <w:rPr>
          <w:rFonts w:ascii="Arial" w:hAnsi="Arial" w:cs="Arial"/>
          <w:sz w:val="20"/>
          <w:szCs w:val="22"/>
        </w:rPr>
        <w:t>Schedule of Annual Financial Cash Flows of the compressor replacement sub-project</w:t>
      </w:r>
      <w:bookmarkEnd w:id="208"/>
    </w:p>
    <w:p w:rsidR="0088166F" w:rsidRPr="00C534A9" w:rsidRDefault="00C3101D" w:rsidP="00C534A9">
      <w:pPr>
        <w:jc w:val="both"/>
        <w:rPr>
          <w:rFonts w:ascii="Arial" w:hAnsi="Arial" w:cs="Arial"/>
          <w:sz w:val="22"/>
        </w:rPr>
      </w:pPr>
      <w:r w:rsidRPr="00C534A9">
        <w:rPr>
          <w:rFonts w:ascii="Arial" w:hAnsi="Arial" w:cs="Arial"/>
          <w:noProof/>
          <w:sz w:val="22"/>
        </w:rPr>
        <w:drawing>
          <wp:inline distT="0" distB="0" distL="0" distR="0" wp14:anchorId="1275473A" wp14:editId="383A3D55">
            <wp:extent cx="8229600" cy="3412683"/>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229600" cy="3412683"/>
                    </a:xfrm>
                    <a:prstGeom prst="rect">
                      <a:avLst/>
                    </a:prstGeom>
                    <a:noFill/>
                    <a:ln>
                      <a:noFill/>
                    </a:ln>
                  </pic:spPr>
                </pic:pic>
              </a:graphicData>
            </a:graphic>
          </wp:inline>
        </w:drawing>
      </w:r>
    </w:p>
    <w:p w:rsidR="0088166F" w:rsidRPr="00C534A9" w:rsidRDefault="0088166F" w:rsidP="00C534A9">
      <w:pPr>
        <w:pStyle w:val="Source"/>
        <w:jc w:val="both"/>
        <w:rPr>
          <w:rFonts w:ascii="Arial" w:hAnsi="Arial" w:cs="Arial"/>
          <w:sz w:val="18"/>
        </w:rPr>
      </w:pPr>
    </w:p>
    <w:p w:rsidR="004D7A66" w:rsidRPr="00C534A9" w:rsidRDefault="004D7A66" w:rsidP="00C534A9">
      <w:pPr>
        <w:jc w:val="both"/>
        <w:rPr>
          <w:rFonts w:ascii="Arial" w:hAnsi="Arial" w:cs="Arial"/>
          <w:b/>
          <w:bCs/>
          <w:sz w:val="22"/>
          <w:szCs w:val="18"/>
        </w:rPr>
      </w:pPr>
      <w:r w:rsidRPr="00C534A9">
        <w:rPr>
          <w:rFonts w:ascii="Arial" w:hAnsi="Arial" w:cs="Arial"/>
          <w:sz w:val="22"/>
        </w:rPr>
        <w:br w:type="page"/>
      </w:r>
    </w:p>
    <w:p w:rsidR="00FB39C7" w:rsidRPr="00C534A9" w:rsidRDefault="00FB39C7" w:rsidP="00C534A9">
      <w:pPr>
        <w:pStyle w:val="Caption"/>
        <w:jc w:val="both"/>
        <w:rPr>
          <w:rFonts w:ascii="Arial" w:hAnsi="Arial" w:cs="Arial"/>
          <w:sz w:val="20"/>
          <w:szCs w:val="22"/>
        </w:rPr>
      </w:pPr>
      <w:bookmarkStart w:id="209" w:name="_Toc463509013"/>
      <w:r w:rsidRPr="00C534A9">
        <w:rPr>
          <w:rFonts w:ascii="Arial" w:hAnsi="Arial" w:cs="Arial"/>
          <w:sz w:val="22"/>
        </w:rPr>
        <w:t>Table B.</w:t>
      </w:r>
      <w:r w:rsidR="0088166F" w:rsidRPr="00C534A9">
        <w:rPr>
          <w:rFonts w:ascii="Arial" w:hAnsi="Arial" w:cs="Arial"/>
          <w:sz w:val="22"/>
        </w:rPr>
        <w:t>3</w:t>
      </w:r>
      <w:r w:rsidRPr="00C534A9">
        <w:rPr>
          <w:rFonts w:ascii="Arial" w:hAnsi="Arial" w:cs="Arial"/>
          <w:sz w:val="22"/>
        </w:rPr>
        <w:t xml:space="preserve">: </w:t>
      </w:r>
      <w:r w:rsidRPr="00C534A9">
        <w:rPr>
          <w:rFonts w:ascii="Arial" w:hAnsi="Arial" w:cs="Arial"/>
          <w:sz w:val="20"/>
          <w:szCs w:val="22"/>
        </w:rPr>
        <w:t>Schedule of Annual Financial Cash Flows of the wind turbine sub-project</w:t>
      </w:r>
      <w:bookmarkEnd w:id="209"/>
    </w:p>
    <w:p w:rsidR="00FB39C7" w:rsidRPr="00C534A9" w:rsidRDefault="00C3101D" w:rsidP="00C534A9">
      <w:pPr>
        <w:jc w:val="both"/>
        <w:rPr>
          <w:rFonts w:ascii="Arial" w:hAnsi="Arial" w:cs="Arial"/>
          <w:sz w:val="22"/>
        </w:rPr>
      </w:pPr>
      <w:r w:rsidRPr="00C534A9">
        <w:rPr>
          <w:rFonts w:ascii="Arial" w:hAnsi="Arial" w:cs="Arial"/>
          <w:noProof/>
          <w:sz w:val="22"/>
        </w:rPr>
        <w:drawing>
          <wp:inline distT="0" distB="0" distL="0" distR="0" wp14:anchorId="2D4FC7BD" wp14:editId="68AE59AD">
            <wp:extent cx="8229600" cy="2918637"/>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229600" cy="2918637"/>
                    </a:xfrm>
                    <a:prstGeom prst="rect">
                      <a:avLst/>
                    </a:prstGeom>
                    <a:noFill/>
                    <a:ln>
                      <a:noFill/>
                    </a:ln>
                  </pic:spPr>
                </pic:pic>
              </a:graphicData>
            </a:graphic>
          </wp:inline>
        </w:drawing>
      </w:r>
    </w:p>
    <w:p w:rsidR="00FB39C7" w:rsidRPr="00C534A9" w:rsidRDefault="00FB39C7" w:rsidP="00C534A9">
      <w:pPr>
        <w:pStyle w:val="Source"/>
        <w:jc w:val="both"/>
        <w:rPr>
          <w:rFonts w:ascii="Arial" w:hAnsi="Arial" w:cs="Arial"/>
          <w:sz w:val="18"/>
        </w:rPr>
      </w:pPr>
    </w:p>
    <w:p w:rsidR="004D7A66" w:rsidRPr="00C534A9" w:rsidRDefault="004D7A66" w:rsidP="00C534A9">
      <w:pPr>
        <w:jc w:val="both"/>
        <w:rPr>
          <w:rFonts w:ascii="Arial" w:hAnsi="Arial" w:cs="Arial"/>
          <w:b/>
          <w:bCs/>
          <w:sz w:val="22"/>
          <w:szCs w:val="18"/>
        </w:rPr>
      </w:pPr>
      <w:r w:rsidRPr="00C534A9">
        <w:rPr>
          <w:rFonts w:ascii="Arial" w:hAnsi="Arial" w:cs="Arial"/>
          <w:sz w:val="22"/>
        </w:rPr>
        <w:br w:type="page"/>
      </w:r>
    </w:p>
    <w:p w:rsidR="00FB39C7" w:rsidRPr="00C534A9" w:rsidRDefault="00FB39C7" w:rsidP="00C534A9">
      <w:pPr>
        <w:pStyle w:val="Caption"/>
        <w:jc w:val="both"/>
        <w:rPr>
          <w:rFonts w:ascii="Arial" w:hAnsi="Arial" w:cs="Arial"/>
          <w:sz w:val="20"/>
          <w:szCs w:val="22"/>
        </w:rPr>
      </w:pPr>
      <w:bookmarkStart w:id="210" w:name="_Toc463509014"/>
      <w:r w:rsidRPr="00C534A9">
        <w:rPr>
          <w:rFonts w:ascii="Arial" w:hAnsi="Arial" w:cs="Arial"/>
          <w:sz w:val="22"/>
        </w:rPr>
        <w:t>Table B.</w:t>
      </w:r>
      <w:r w:rsidR="0088166F" w:rsidRPr="00C534A9">
        <w:rPr>
          <w:rFonts w:ascii="Arial" w:hAnsi="Arial" w:cs="Arial"/>
          <w:sz w:val="22"/>
        </w:rPr>
        <w:t>4</w:t>
      </w:r>
      <w:r w:rsidRPr="00C534A9">
        <w:rPr>
          <w:rFonts w:ascii="Arial" w:hAnsi="Arial" w:cs="Arial"/>
          <w:sz w:val="22"/>
        </w:rPr>
        <w:t xml:space="preserve">: </w:t>
      </w:r>
      <w:r w:rsidRPr="00C534A9">
        <w:rPr>
          <w:rFonts w:ascii="Arial" w:hAnsi="Arial" w:cs="Arial"/>
          <w:sz w:val="20"/>
          <w:szCs w:val="22"/>
        </w:rPr>
        <w:t>Schedule of Annual Financial Cash Flows of the PV system sub-project</w:t>
      </w:r>
      <w:bookmarkEnd w:id="210"/>
    </w:p>
    <w:p w:rsidR="00FB39C7" w:rsidRPr="00C534A9" w:rsidRDefault="00C3101D" w:rsidP="00C534A9">
      <w:pPr>
        <w:jc w:val="both"/>
        <w:rPr>
          <w:rFonts w:ascii="Arial" w:hAnsi="Arial" w:cs="Arial"/>
          <w:sz w:val="22"/>
        </w:rPr>
      </w:pPr>
      <w:r w:rsidRPr="00C534A9">
        <w:rPr>
          <w:rFonts w:ascii="Arial" w:hAnsi="Arial" w:cs="Arial"/>
          <w:noProof/>
          <w:sz w:val="22"/>
        </w:rPr>
        <w:drawing>
          <wp:inline distT="0" distB="0" distL="0" distR="0" wp14:anchorId="03B32EA6" wp14:editId="0C113FE5">
            <wp:extent cx="8229600" cy="3006022"/>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229600" cy="3006022"/>
                    </a:xfrm>
                    <a:prstGeom prst="rect">
                      <a:avLst/>
                    </a:prstGeom>
                    <a:noFill/>
                    <a:ln>
                      <a:noFill/>
                    </a:ln>
                  </pic:spPr>
                </pic:pic>
              </a:graphicData>
            </a:graphic>
          </wp:inline>
        </w:drawing>
      </w:r>
    </w:p>
    <w:p w:rsidR="00FB39C7" w:rsidRPr="00C534A9" w:rsidRDefault="00FB39C7" w:rsidP="00C534A9">
      <w:pPr>
        <w:pStyle w:val="Source"/>
        <w:jc w:val="both"/>
        <w:rPr>
          <w:rFonts w:ascii="Arial" w:hAnsi="Arial" w:cs="Arial"/>
          <w:sz w:val="18"/>
        </w:rPr>
      </w:pPr>
    </w:p>
    <w:p w:rsidR="004D7A66" w:rsidRPr="00C534A9" w:rsidRDefault="004D7A66" w:rsidP="00C534A9">
      <w:pPr>
        <w:jc w:val="both"/>
        <w:rPr>
          <w:rFonts w:ascii="Arial" w:hAnsi="Arial" w:cs="Arial"/>
          <w:b/>
          <w:bCs/>
          <w:sz w:val="22"/>
          <w:szCs w:val="18"/>
        </w:rPr>
      </w:pPr>
      <w:r w:rsidRPr="00C534A9">
        <w:rPr>
          <w:rFonts w:ascii="Arial" w:hAnsi="Arial" w:cs="Arial"/>
          <w:sz w:val="22"/>
        </w:rPr>
        <w:br w:type="page"/>
      </w:r>
    </w:p>
    <w:p w:rsidR="00FB39C7" w:rsidRPr="00C534A9" w:rsidRDefault="00FB39C7" w:rsidP="00C534A9">
      <w:pPr>
        <w:pStyle w:val="Caption"/>
        <w:jc w:val="both"/>
        <w:rPr>
          <w:rFonts w:ascii="Arial" w:hAnsi="Arial" w:cs="Arial"/>
          <w:sz w:val="20"/>
          <w:szCs w:val="22"/>
        </w:rPr>
      </w:pPr>
      <w:bookmarkStart w:id="211" w:name="_Toc463509015"/>
      <w:r w:rsidRPr="00C534A9">
        <w:rPr>
          <w:rFonts w:ascii="Arial" w:hAnsi="Arial" w:cs="Arial"/>
          <w:sz w:val="22"/>
        </w:rPr>
        <w:t>Table B</w:t>
      </w:r>
      <w:r w:rsidR="0088166F" w:rsidRPr="00C534A9">
        <w:rPr>
          <w:rFonts w:ascii="Arial" w:hAnsi="Arial" w:cs="Arial"/>
          <w:sz w:val="22"/>
        </w:rPr>
        <w:t>.5</w:t>
      </w:r>
      <w:r w:rsidRPr="00C534A9">
        <w:rPr>
          <w:rFonts w:ascii="Arial" w:hAnsi="Arial" w:cs="Arial"/>
          <w:sz w:val="22"/>
        </w:rPr>
        <w:t xml:space="preserve">: </w:t>
      </w:r>
      <w:r w:rsidRPr="00C534A9">
        <w:rPr>
          <w:rFonts w:ascii="Arial" w:hAnsi="Arial" w:cs="Arial"/>
          <w:sz w:val="20"/>
          <w:szCs w:val="22"/>
        </w:rPr>
        <w:t>Schedule of Annual Financial Cash Flows of the VS LNG terminal sub-project</w:t>
      </w:r>
      <w:bookmarkEnd w:id="211"/>
    </w:p>
    <w:p w:rsidR="00FB39C7" w:rsidRPr="00C534A9" w:rsidRDefault="00C3101D" w:rsidP="00C534A9">
      <w:pPr>
        <w:jc w:val="both"/>
        <w:rPr>
          <w:rFonts w:ascii="Arial" w:hAnsi="Arial" w:cs="Arial"/>
          <w:sz w:val="22"/>
        </w:rPr>
      </w:pPr>
      <w:r w:rsidRPr="00C534A9">
        <w:rPr>
          <w:rFonts w:ascii="Arial" w:hAnsi="Arial" w:cs="Arial"/>
          <w:noProof/>
          <w:sz w:val="22"/>
        </w:rPr>
        <w:drawing>
          <wp:inline distT="0" distB="0" distL="0" distR="0" wp14:anchorId="0CCCE067" wp14:editId="2AC98957">
            <wp:extent cx="8229600" cy="251631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229600" cy="2516319"/>
                    </a:xfrm>
                    <a:prstGeom prst="rect">
                      <a:avLst/>
                    </a:prstGeom>
                    <a:noFill/>
                    <a:ln>
                      <a:noFill/>
                    </a:ln>
                  </pic:spPr>
                </pic:pic>
              </a:graphicData>
            </a:graphic>
          </wp:inline>
        </w:drawing>
      </w:r>
    </w:p>
    <w:p w:rsidR="00467009" w:rsidRPr="00C534A9" w:rsidRDefault="00467009" w:rsidP="00C534A9">
      <w:pPr>
        <w:pStyle w:val="Caption"/>
        <w:jc w:val="both"/>
        <w:rPr>
          <w:rFonts w:ascii="Arial" w:hAnsi="Arial" w:cs="Arial"/>
          <w:sz w:val="22"/>
        </w:rPr>
      </w:pPr>
      <w:bookmarkStart w:id="212" w:name="_GoBack"/>
      <w:bookmarkEnd w:id="212"/>
    </w:p>
    <w:sectPr w:rsidR="00467009" w:rsidRPr="00C534A9" w:rsidSect="001C390D">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F81" w:rsidRDefault="00E27F81" w:rsidP="00DE6A03">
      <w:pPr>
        <w:spacing w:after="0" w:line="240" w:lineRule="auto"/>
      </w:pPr>
      <w:r>
        <w:separator/>
      </w:r>
    </w:p>
  </w:endnote>
  <w:endnote w:type="continuationSeparator" w:id="0">
    <w:p w:rsidR="00E27F81" w:rsidRDefault="00E27F81" w:rsidP="00DE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221333"/>
      <w:docPartObj>
        <w:docPartGallery w:val="Page Numbers (Bottom of Page)"/>
        <w:docPartUnique/>
      </w:docPartObj>
    </w:sdtPr>
    <w:sdtEndPr>
      <w:rPr>
        <w:noProof/>
      </w:rPr>
    </w:sdtEndPr>
    <w:sdtContent>
      <w:p w:rsidR="00E27F81" w:rsidRDefault="00E27F81">
        <w:pPr>
          <w:pStyle w:val="Footer"/>
          <w:jc w:val="center"/>
        </w:pPr>
        <w:r>
          <w:fldChar w:fldCharType="begin"/>
        </w:r>
        <w:r>
          <w:instrText xml:space="preserve"> PAGE   \* MERGEFORMAT </w:instrText>
        </w:r>
        <w:r>
          <w:fldChar w:fldCharType="separate"/>
        </w:r>
        <w:r w:rsidR="00D132E2">
          <w:rPr>
            <w:noProof/>
          </w:rPr>
          <w:t>76</w:t>
        </w:r>
        <w:r>
          <w:rPr>
            <w:noProof/>
          </w:rPr>
          <w:fldChar w:fldCharType="end"/>
        </w:r>
      </w:p>
    </w:sdtContent>
  </w:sdt>
  <w:p w:rsidR="00E27F81" w:rsidRDefault="00E27F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854078"/>
      <w:docPartObj>
        <w:docPartGallery w:val="Page Numbers (Bottom of Page)"/>
        <w:docPartUnique/>
      </w:docPartObj>
    </w:sdtPr>
    <w:sdtEndPr>
      <w:rPr>
        <w:noProof/>
      </w:rPr>
    </w:sdtEndPr>
    <w:sdtContent>
      <w:p w:rsidR="00E27F81" w:rsidRDefault="00E27F81">
        <w:pPr>
          <w:pStyle w:val="Footer"/>
          <w:jc w:val="center"/>
        </w:pPr>
        <w:r>
          <w:fldChar w:fldCharType="begin"/>
        </w:r>
        <w:r>
          <w:instrText xml:space="preserve"> PAGE   \* MERGEFORMAT </w:instrText>
        </w:r>
        <w:r>
          <w:fldChar w:fldCharType="separate"/>
        </w:r>
        <w:r w:rsidR="00D132E2">
          <w:rPr>
            <w:noProof/>
          </w:rPr>
          <w:t>72</w:t>
        </w:r>
        <w:r>
          <w:rPr>
            <w:noProof/>
          </w:rPr>
          <w:fldChar w:fldCharType="end"/>
        </w:r>
      </w:p>
    </w:sdtContent>
  </w:sdt>
  <w:p w:rsidR="00E27F81" w:rsidRDefault="00E27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F81" w:rsidRDefault="00E27F81" w:rsidP="00DE6A03">
      <w:pPr>
        <w:spacing w:after="0" w:line="240" w:lineRule="auto"/>
      </w:pPr>
      <w:r>
        <w:separator/>
      </w:r>
    </w:p>
  </w:footnote>
  <w:footnote w:type="continuationSeparator" w:id="0">
    <w:p w:rsidR="00E27F81" w:rsidRDefault="00E27F81" w:rsidP="00DE6A03">
      <w:pPr>
        <w:spacing w:after="0" w:line="240" w:lineRule="auto"/>
      </w:pPr>
      <w:r>
        <w:continuationSeparator/>
      </w:r>
    </w:p>
  </w:footnote>
  <w:footnote w:id="1">
    <w:p w:rsidR="00E27F81" w:rsidRPr="00BE2CA4" w:rsidRDefault="00E27F81" w:rsidP="00DE6A03">
      <w:pPr>
        <w:pStyle w:val="FootnoteText"/>
        <w:rPr>
          <w:rFonts w:ascii="Arial" w:hAnsi="Arial" w:cs="Arial"/>
          <w:szCs w:val="18"/>
          <w:lang w:val="en-NZ"/>
        </w:rPr>
      </w:pPr>
      <w:r w:rsidRPr="00BE2CA4">
        <w:rPr>
          <w:rStyle w:val="FootnoteReference"/>
          <w:rFonts w:ascii="Arial" w:eastAsiaTheme="majorEastAsia" w:hAnsi="Arial" w:cs="Arial"/>
        </w:rPr>
        <w:footnoteRef/>
      </w:r>
      <w:r w:rsidRPr="00BE2CA4">
        <w:rPr>
          <w:rFonts w:ascii="Arial" w:hAnsi="Arial" w:cs="Arial"/>
          <w:szCs w:val="18"/>
        </w:rPr>
        <w:t xml:space="preserve"> </w:t>
      </w:r>
      <w:proofErr w:type="gramStart"/>
      <w:r w:rsidRPr="00BE2CA4">
        <w:rPr>
          <w:rFonts w:ascii="Arial" w:hAnsi="Arial" w:cs="Arial"/>
          <w:szCs w:val="18"/>
          <w:lang w:val="en-NZ"/>
        </w:rPr>
        <w:t xml:space="preserve">Assuming a </w:t>
      </w:r>
      <w:r>
        <w:rPr>
          <w:rFonts w:ascii="Arial" w:hAnsi="Arial" w:cs="Arial"/>
          <w:szCs w:val="18"/>
          <w:lang w:val="en-NZ"/>
        </w:rPr>
        <w:t xml:space="preserve">real </w:t>
      </w:r>
      <w:r w:rsidRPr="00BE2CA4">
        <w:rPr>
          <w:rFonts w:ascii="Arial" w:hAnsi="Arial" w:cs="Arial"/>
          <w:szCs w:val="18"/>
          <w:lang w:val="en-NZ"/>
        </w:rPr>
        <w:t>discount rate of 1</w:t>
      </w:r>
      <w:r>
        <w:rPr>
          <w:rFonts w:ascii="Arial" w:hAnsi="Arial" w:cs="Arial"/>
          <w:szCs w:val="18"/>
          <w:lang w:val="en-NZ"/>
        </w:rPr>
        <w:t>2</w:t>
      </w:r>
      <w:r w:rsidRPr="00BE2CA4">
        <w:rPr>
          <w:rFonts w:ascii="Arial" w:hAnsi="Arial" w:cs="Arial"/>
          <w:szCs w:val="18"/>
          <w:lang w:val="en-NZ"/>
        </w:rPr>
        <w:t xml:space="preserve"> percent.</w:t>
      </w:r>
      <w:proofErr w:type="gramEnd"/>
    </w:p>
  </w:footnote>
  <w:footnote w:id="2">
    <w:p w:rsidR="00E27F81" w:rsidRDefault="00E27F81">
      <w:pPr>
        <w:pStyle w:val="FootnoteText"/>
      </w:pPr>
      <w:r>
        <w:rPr>
          <w:rStyle w:val="FootnoteReference"/>
        </w:rPr>
        <w:footnoteRef/>
      </w:r>
      <w:r>
        <w:t xml:space="preserve"> Fuel characteristics are based on data from the EIA: </w:t>
      </w:r>
      <w:r w:rsidRPr="002D4BEC">
        <w:t>https://www.eia.gov/tools/faqs/faq.cfm?id=73&amp;t=11</w:t>
      </w:r>
    </w:p>
  </w:footnote>
  <w:footnote w:id="3">
    <w:p w:rsidR="00E27F81" w:rsidRDefault="00E27F81">
      <w:pPr>
        <w:pStyle w:val="FootnoteText"/>
      </w:pPr>
      <w:r>
        <w:rPr>
          <w:rStyle w:val="FootnoteReference"/>
        </w:rPr>
        <w:footnoteRef/>
      </w:r>
      <w:r>
        <w:t xml:space="preserve"> “Barbados Wind and Solar Integration Study” February 12, 2105. </w:t>
      </w:r>
      <w:proofErr w:type="gramStart"/>
      <w:r>
        <w:t>Prepared by GE Energy Consulting at the request of BL&amp;P.</w:t>
      </w:r>
      <w:proofErr w:type="gramEnd"/>
    </w:p>
  </w:footnote>
  <w:footnote w:id="4">
    <w:p w:rsidR="00E27F81" w:rsidRDefault="00E27F81">
      <w:pPr>
        <w:pStyle w:val="FootnoteText"/>
      </w:pPr>
      <w:r>
        <w:rPr>
          <w:rStyle w:val="FootnoteReference"/>
        </w:rPr>
        <w:footnoteRef/>
      </w:r>
      <w:r>
        <w:t xml:space="preserve"> “2012 Integrated Resource Plan”, completed February 28,2014 by BL&amp;P</w:t>
      </w:r>
    </w:p>
  </w:footnote>
  <w:footnote w:id="5">
    <w:p w:rsidR="00E27F81" w:rsidRDefault="00E27F81" w:rsidP="00095DE4">
      <w:pPr>
        <w:pStyle w:val="FootnoteText"/>
      </w:pPr>
      <w:r>
        <w:rPr>
          <w:rStyle w:val="FootnoteReference"/>
        </w:rPr>
        <w:footnoteRef/>
      </w:r>
      <w:r>
        <w:t xml:space="preserve"> “Barbados Wind and Solar Integration Study” February 12, 2105. </w:t>
      </w:r>
      <w:proofErr w:type="gramStart"/>
      <w:r>
        <w:t>Prepared by GE Energy Consulting at the request of BL&amp;P.</w:t>
      </w:r>
      <w:proofErr w:type="gramEnd"/>
    </w:p>
  </w:footnote>
  <w:footnote w:id="6">
    <w:p w:rsidR="00E27F81" w:rsidRDefault="00E27F81" w:rsidP="00095DE4">
      <w:pPr>
        <w:pStyle w:val="FootnoteText"/>
      </w:pPr>
      <w:r>
        <w:rPr>
          <w:rStyle w:val="FootnoteReference"/>
        </w:rPr>
        <w:footnoteRef/>
      </w:r>
      <w:r>
        <w:t xml:space="preserve"> “2012 Integrated Resource Plan”, completed February 28,2014 by BL&amp;P</w:t>
      </w:r>
    </w:p>
  </w:footnote>
  <w:footnote w:id="7">
    <w:p w:rsidR="00E27F81" w:rsidRPr="00552328" w:rsidRDefault="00E27F81">
      <w:pPr>
        <w:pStyle w:val="FootnoteText"/>
        <w:rPr>
          <w:rFonts w:ascii="Arial" w:hAnsi="Arial" w:cs="Arial"/>
        </w:rPr>
      </w:pPr>
      <w:r w:rsidRPr="00552328">
        <w:rPr>
          <w:rStyle w:val="FootnoteReference"/>
          <w:rFonts w:ascii="Arial" w:hAnsi="Arial" w:cs="Arial"/>
        </w:rPr>
        <w:footnoteRef/>
      </w:r>
      <w:r w:rsidRPr="00552328">
        <w:rPr>
          <w:rFonts w:ascii="Arial" w:hAnsi="Arial" w:cs="Arial"/>
        </w:rPr>
        <w:t xml:space="preserve"> As explained above (</w:t>
      </w:r>
      <w:r>
        <w:rPr>
          <w:rFonts w:ascii="Arial" w:hAnsi="Arial" w:cs="Arial"/>
        </w:rPr>
        <w:t>¶</w:t>
      </w:r>
      <w:r w:rsidRPr="00552328">
        <w:rPr>
          <w:rFonts w:ascii="Arial" w:hAnsi="Arial" w:cs="Arial"/>
        </w:rPr>
        <w:fldChar w:fldCharType="begin"/>
      </w:r>
      <w:r w:rsidRPr="00552328">
        <w:rPr>
          <w:rFonts w:ascii="Arial" w:hAnsi="Arial" w:cs="Arial"/>
        </w:rPr>
        <w:instrText xml:space="preserve"> REF _Ref464208096 \r \h </w:instrText>
      </w:r>
      <w:r>
        <w:rPr>
          <w:rFonts w:ascii="Arial" w:hAnsi="Arial" w:cs="Arial"/>
        </w:rPr>
        <w:instrText xml:space="preserve"> \* MERGEFORMAT </w:instrText>
      </w:r>
      <w:r w:rsidRPr="00552328">
        <w:rPr>
          <w:rFonts w:ascii="Arial" w:hAnsi="Arial" w:cs="Arial"/>
        </w:rPr>
      </w:r>
      <w:r w:rsidRPr="00552328">
        <w:rPr>
          <w:rFonts w:ascii="Arial" w:hAnsi="Arial" w:cs="Arial"/>
        </w:rPr>
        <w:fldChar w:fldCharType="separate"/>
      </w:r>
      <w:r w:rsidRPr="00552328">
        <w:rPr>
          <w:rFonts w:ascii="Arial" w:hAnsi="Arial" w:cs="Arial"/>
        </w:rPr>
        <w:t>3.3</w:t>
      </w:r>
      <w:r w:rsidRPr="00552328">
        <w:rPr>
          <w:rFonts w:ascii="Arial" w:hAnsi="Arial" w:cs="Arial"/>
        </w:rPr>
        <w:fldChar w:fldCharType="end"/>
      </w:r>
      <w:r w:rsidRPr="00552328">
        <w:rPr>
          <w:rFonts w:ascii="Arial" w:hAnsi="Arial" w:cs="Arial"/>
        </w:rPr>
        <w:t xml:space="preserve">) the EIA's crude oil and natural gas price projections are linked to demonstrate the impact of the common assumptions that are inherent in each price scenario.  </w:t>
      </w:r>
    </w:p>
  </w:footnote>
  <w:footnote w:id="8">
    <w:p w:rsidR="00E27F81" w:rsidRPr="00BE2CA4" w:rsidRDefault="00E27F81" w:rsidP="00BE1449">
      <w:pPr>
        <w:pStyle w:val="FootnoteText"/>
        <w:rPr>
          <w:rFonts w:ascii="Arial" w:hAnsi="Arial" w:cs="Arial"/>
          <w:szCs w:val="18"/>
          <w:lang w:val="en-NZ"/>
        </w:rPr>
      </w:pPr>
      <w:r w:rsidRPr="00BE2CA4">
        <w:rPr>
          <w:rStyle w:val="FootnoteReference"/>
          <w:rFonts w:ascii="Arial" w:eastAsiaTheme="majorEastAsia" w:hAnsi="Arial" w:cs="Arial"/>
        </w:rPr>
        <w:footnoteRef/>
      </w:r>
      <w:r w:rsidRPr="00BE2CA4">
        <w:rPr>
          <w:rFonts w:ascii="Arial" w:hAnsi="Arial" w:cs="Arial"/>
          <w:szCs w:val="18"/>
        </w:rPr>
        <w:t xml:space="preserve"> </w:t>
      </w:r>
      <w:proofErr w:type="gramStart"/>
      <w:r w:rsidRPr="00BE2CA4">
        <w:rPr>
          <w:rFonts w:ascii="Arial" w:hAnsi="Arial" w:cs="Arial"/>
          <w:szCs w:val="18"/>
          <w:lang w:val="en-NZ"/>
        </w:rPr>
        <w:t xml:space="preserve">Assuming a </w:t>
      </w:r>
      <w:r>
        <w:rPr>
          <w:rFonts w:ascii="Arial" w:hAnsi="Arial" w:cs="Arial"/>
          <w:szCs w:val="18"/>
          <w:lang w:val="en-NZ"/>
        </w:rPr>
        <w:t xml:space="preserve">real </w:t>
      </w:r>
      <w:r w:rsidRPr="00BE2CA4">
        <w:rPr>
          <w:rFonts w:ascii="Arial" w:hAnsi="Arial" w:cs="Arial"/>
          <w:szCs w:val="18"/>
          <w:lang w:val="en-NZ"/>
        </w:rPr>
        <w:t>discount rate of 1</w:t>
      </w:r>
      <w:r>
        <w:rPr>
          <w:rFonts w:ascii="Arial" w:hAnsi="Arial" w:cs="Arial"/>
          <w:szCs w:val="18"/>
          <w:lang w:val="en-NZ"/>
        </w:rPr>
        <w:t>2</w:t>
      </w:r>
      <w:r w:rsidRPr="00BE2CA4">
        <w:rPr>
          <w:rFonts w:ascii="Arial" w:hAnsi="Arial" w:cs="Arial"/>
          <w:szCs w:val="18"/>
          <w:lang w:val="en-NZ"/>
        </w:rPr>
        <w:t xml:space="preserve"> percent.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9C487C"/>
    <w:lvl w:ilvl="0">
      <w:start w:val="1"/>
      <w:numFmt w:val="decimal"/>
      <w:lvlText w:val="%1."/>
      <w:lvlJc w:val="left"/>
      <w:pPr>
        <w:tabs>
          <w:tab w:val="num" w:pos="1492"/>
        </w:tabs>
        <w:ind w:left="1492" w:hanging="360"/>
      </w:pPr>
    </w:lvl>
  </w:abstractNum>
  <w:abstractNum w:abstractNumId="1">
    <w:nsid w:val="FFFFFF7D"/>
    <w:multiLevelType w:val="singleLevel"/>
    <w:tmpl w:val="1A5C7FAA"/>
    <w:lvl w:ilvl="0">
      <w:start w:val="1"/>
      <w:numFmt w:val="decimal"/>
      <w:lvlText w:val="%1."/>
      <w:lvlJc w:val="left"/>
      <w:pPr>
        <w:tabs>
          <w:tab w:val="num" w:pos="1209"/>
        </w:tabs>
        <w:ind w:left="1209" w:hanging="360"/>
      </w:pPr>
    </w:lvl>
  </w:abstractNum>
  <w:abstractNum w:abstractNumId="2">
    <w:nsid w:val="FFFFFF7E"/>
    <w:multiLevelType w:val="singleLevel"/>
    <w:tmpl w:val="7F48608E"/>
    <w:lvl w:ilvl="0">
      <w:start w:val="1"/>
      <w:numFmt w:val="decimal"/>
      <w:lvlText w:val="%1."/>
      <w:lvlJc w:val="left"/>
      <w:pPr>
        <w:tabs>
          <w:tab w:val="num" w:pos="926"/>
        </w:tabs>
        <w:ind w:left="926" w:hanging="360"/>
      </w:pPr>
    </w:lvl>
  </w:abstractNum>
  <w:abstractNum w:abstractNumId="3">
    <w:nsid w:val="FFFFFF7F"/>
    <w:multiLevelType w:val="singleLevel"/>
    <w:tmpl w:val="9B022400"/>
    <w:lvl w:ilvl="0">
      <w:start w:val="1"/>
      <w:numFmt w:val="decimal"/>
      <w:lvlText w:val="%1."/>
      <w:lvlJc w:val="left"/>
      <w:pPr>
        <w:tabs>
          <w:tab w:val="num" w:pos="643"/>
        </w:tabs>
        <w:ind w:left="643" w:hanging="360"/>
      </w:pPr>
    </w:lvl>
  </w:abstractNum>
  <w:abstractNum w:abstractNumId="4">
    <w:nsid w:val="FFFFFF80"/>
    <w:multiLevelType w:val="singleLevel"/>
    <w:tmpl w:val="627E0F22"/>
    <w:lvl w:ilvl="0">
      <w:start w:val="1"/>
      <w:numFmt w:val="bullet"/>
      <w:lvlText w:val=""/>
      <w:lvlJc w:val="left"/>
      <w:pPr>
        <w:tabs>
          <w:tab w:val="num" w:pos="1492"/>
        </w:tabs>
        <w:ind w:left="1492" w:hanging="360"/>
      </w:pPr>
      <w:rPr>
        <w:rFonts w:ascii="Symbol" w:hAnsi="Symbol" w:hint="default"/>
      </w:rPr>
    </w:lvl>
  </w:abstractNum>
  <w:abstractNum w:abstractNumId="5">
    <w:nsid w:val="FFFFFF88"/>
    <w:multiLevelType w:val="singleLevel"/>
    <w:tmpl w:val="531A5D08"/>
    <w:lvl w:ilvl="0">
      <w:start w:val="1"/>
      <w:numFmt w:val="decimal"/>
      <w:lvlText w:val="%1."/>
      <w:lvlJc w:val="left"/>
      <w:pPr>
        <w:tabs>
          <w:tab w:val="num" w:pos="360"/>
        </w:tabs>
        <w:ind w:left="360" w:hanging="360"/>
      </w:pPr>
    </w:lvl>
  </w:abstractNum>
  <w:abstractNum w:abstractNumId="6">
    <w:nsid w:val="FFFFFF89"/>
    <w:multiLevelType w:val="singleLevel"/>
    <w:tmpl w:val="3B48BF9E"/>
    <w:lvl w:ilvl="0">
      <w:start w:val="1"/>
      <w:numFmt w:val="bullet"/>
      <w:lvlText w:val=""/>
      <w:lvlJc w:val="left"/>
      <w:pPr>
        <w:tabs>
          <w:tab w:val="num" w:pos="360"/>
        </w:tabs>
        <w:ind w:left="360" w:hanging="360"/>
      </w:pPr>
      <w:rPr>
        <w:rFonts w:ascii="Symbol" w:hAnsi="Symbol" w:hint="default"/>
      </w:rPr>
    </w:lvl>
  </w:abstractNum>
  <w:abstractNum w:abstractNumId="7">
    <w:nsid w:val="093E311C"/>
    <w:multiLevelType w:val="multilevel"/>
    <w:tmpl w:val="3926D21C"/>
    <w:lvl w:ilvl="0">
      <w:start w:val="1"/>
      <w:numFmt w:val="bullet"/>
      <w:pStyle w:val="ListBullet"/>
      <w:lvlText w:val=""/>
      <w:lvlJc w:val="left"/>
      <w:pPr>
        <w:tabs>
          <w:tab w:val="num" w:pos="1004"/>
        </w:tabs>
        <w:ind w:left="1004" w:hanging="284"/>
      </w:pPr>
      <w:rPr>
        <w:rFonts w:ascii="Wingdings" w:hAnsi="Wingdings" w:hint="default"/>
      </w:rPr>
    </w:lvl>
    <w:lvl w:ilvl="1">
      <w:start w:val="1"/>
      <w:numFmt w:val="bullet"/>
      <w:pStyle w:val="ListBullet2"/>
      <w:lvlText w:val="–"/>
      <w:lvlJc w:val="left"/>
      <w:pPr>
        <w:tabs>
          <w:tab w:val="num" w:pos="1287"/>
        </w:tabs>
        <w:ind w:left="1287" w:hanging="283"/>
      </w:pPr>
      <w:rPr>
        <w:rFonts w:ascii="Times New Roman" w:hAnsi="Times New Roman" w:cs="Times New Roman" w:hint="default"/>
      </w:rPr>
    </w:lvl>
    <w:lvl w:ilvl="2">
      <w:start w:val="1"/>
      <w:numFmt w:val="bullet"/>
      <w:pStyle w:val="ListBullet3"/>
      <w:lvlText w:val=""/>
      <w:lvlJc w:val="left"/>
      <w:pPr>
        <w:tabs>
          <w:tab w:val="num" w:pos="1571"/>
        </w:tabs>
        <w:ind w:left="1571" w:hanging="284"/>
      </w:pPr>
      <w:rPr>
        <w:rFonts w:ascii="Wingdings 2" w:hAnsi="Wingdings 2" w:hint="default"/>
      </w:rPr>
    </w:lvl>
    <w:lvl w:ilvl="3">
      <w:start w:val="1"/>
      <w:numFmt w:val="none"/>
      <w:pStyle w:val="ListBullet4"/>
      <w:suff w:val="nothing"/>
      <w:lvlText w:val=""/>
      <w:lvlJc w:val="left"/>
      <w:pPr>
        <w:ind w:left="1571" w:firstLine="0"/>
      </w:pPr>
      <w:rPr>
        <w:rFonts w:hint="default"/>
      </w:rPr>
    </w:lvl>
    <w:lvl w:ilvl="4">
      <w:start w:val="1"/>
      <w:numFmt w:val="none"/>
      <w:suff w:val="nothing"/>
      <w:lvlText w:val=""/>
      <w:lvlJc w:val="left"/>
      <w:pPr>
        <w:ind w:left="1571" w:firstLine="0"/>
      </w:pPr>
      <w:rPr>
        <w:rFonts w:hint="default"/>
      </w:rPr>
    </w:lvl>
    <w:lvl w:ilvl="5">
      <w:start w:val="1"/>
      <w:numFmt w:val="none"/>
      <w:suff w:val="nothing"/>
      <w:lvlText w:val=""/>
      <w:lvlJc w:val="left"/>
      <w:pPr>
        <w:ind w:left="1571" w:firstLine="0"/>
      </w:pPr>
      <w:rPr>
        <w:rFonts w:hint="default"/>
      </w:rPr>
    </w:lvl>
    <w:lvl w:ilvl="6">
      <w:start w:val="1"/>
      <w:numFmt w:val="none"/>
      <w:suff w:val="nothing"/>
      <w:lvlText w:val=""/>
      <w:lvlJc w:val="left"/>
      <w:pPr>
        <w:ind w:left="1571" w:firstLine="0"/>
      </w:pPr>
      <w:rPr>
        <w:rFonts w:hint="default"/>
      </w:rPr>
    </w:lvl>
    <w:lvl w:ilvl="7">
      <w:start w:val="1"/>
      <w:numFmt w:val="none"/>
      <w:suff w:val="nothing"/>
      <w:lvlText w:val=""/>
      <w:lvlJc w:val="left"/>
      <w:pPr>
        <w:ind w:left="1571" w:firstLine="0"/>
      </w:pPr>
      <w:rPr>
        <w:rFonts w:hint="default"/>
      </w:rPr>
    </w:lvl>
    <w:lvl w:ilvl="8">
      <w:start w:val="1"/>
      <w:numFmt w:val="none"/>
      <w:suff w:val="nothing"/>
      <w:lvlText w:val=""/>
      <w:lvlJc w:val="left"/>
      <w:pPr>
        <w:ind w:left="1571" w:firstLine="0"/>
      </w:pPr>
      <w:rPr>
        <w:rFonts w:hint="default"/>
      </w:rPr>
    </w:lvl>
  </w:abstractNum>
  <w:abstractNum w:abstractNumId="8">
    <w:nsid w:val="0C7175AE"/>
    <w:multiLevelType w:val="hybridMultilevel"/>
    <w:tmpl w:val="B69A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A934DC"/>
    <w:multiLevelType w:val="multilevel"/>
    <w:tmpl w:val="6B6A1E22"/>
    <w:lvl w:ilvl="0">
      <w:start w:val="1"/>
      <w:numFmt w:val="decimal"/>
      <w:pStyle w:val="BoxNumberedText"/>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0">
    <w:nsid w:val="164B0338"/>
    <w:multiLevelType w:val="multilevel"/>
    <w:tmpl w:val="F8DA5E0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upperLetter"/>
      <w:suff w:val="nothing"/>
      <w:lvlText w:val="Appendix %4"/>
      <w:lvlJc w:val="left"/>
      <w:pPr>
        <w:ind w:left="720" w:hanging="720"/>
      </w:pPr>
      <w:rPr>
        <w:rFonts w:hint="default"/>
      </w:rPr>
    </w:lvl>
    <w:lvl w:ilvl="4">
      <w:start w:val="1"/>
      <w:numFmt w:val="decimal"/>
      <w:lvlText w:val="%4.%5"/>
      <w:lvlJc w:val="left"/>
      <w:pPr>
        <w:tabs>
          <w:tab w:val="num" w:pos="720"/>
        </w:tabs>
        <w:ind w:left="720" w:hanging="720"/>
      </w:pPr>
      <w:rPr>
        <w:rFonts w:hint="default"/>
      </w:rPr>
    </w:lvl>
    <w:lvl w:ilvl="5">
      <w:start w:val="1"/>
      <w:numFmt w:val="decimal"/>
      <w:lvlText w:val="%4.%5.%6"/>
      <w:lvlJc w:val="left"/>
      <w:pPr>
        <w:tabs>
          <w:tab w:val="num" w:pos="720"/>
        </w:tabs>
        <w:ind w:left="720" w:hanging="720"/>
      </w:pPr>
      <w:rPr>
        <w:rFonts w:hint="default"/>
      </w:rPr>
    </w:lvl>
    <w:lvl w:ilvl="6">
      <w:start w:val="1"/>
      <w:numFmt w:val="none"/>
      <w:suff w:val="nothing"/>
      <w:lvlText w:val=""/>
      <w:lvlJc w:val="left"/>
      <w:pPr>
        <w:ind w:left="0" w:firstLine="0"/>
      </w:pPr>
      <w:rPr>
        <w:rFonts w:ascii="Garamond" w:hAnsi="Garamond" w:hint="default"/>
        <w:b/>
        <w:i w:val="0"/>
        <w:sz w:val="24"/>
        <w:szCs w:val="24"/>
      </w:rPr>
    </w:lvl>
    <w:lvl w:ilvl="7">
      <w:start w:val="1"/>
      <w:numFmt w:val="none"/>
      <w:suff w:val="nothing"/>
      <w:lvlText w:val=""/>
      <w:lvlJc w:val="left"/>
      <w:pPr>
        <w:ind w:left="0" w:firstLine="0"/>
      </w:pPr>
      <w:rPr>
        <w:rFonts w:ascii="Garamond" w:hAnsi="Garamond" w:hint="default"/>
        <w:b/>
        <w:i w:val="0"/>
        <w:sz w:val="24"/>
        <w:szCs w:val="24"/>
      </w:rPr>
    </w:lvl>
    <w:lvl w:ilvl="8">
      <w:start w:val="1"/>
      <w:numFmt w:val="none"/>
      <w:suff w:val="nothing"/>
      <w:lvlText w:val=""/>
      <w:lvlJc w:val="left"/>
      <w:pPr>
        <w:ind w:left="0" w:firstLine="0"/>
      </w:pPr>
      <w:rPr>
        <w:rFonts w:ascii="Garamond" w:hAnsi="Garamond" w:hint="default"/>
        <w:b/>
        <w:i w:val="0"/>
        <w:sz w:val="24"/>
        <w:szCs w:val="24"/>
      </w:rPr>
    </w:lvl>
  </w:abstractNum>
  <w:abstractNum w:abstractNumId="11">
    <w:nsid w:val="28003735"/>
    <w:multiLevelType w:val="hybridMultilevel"/>
    <w:tmpl w:val="3A8C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875D74"/>
    <w:multiLevelType w:val="hybridMultilevel"/>
    <w:tmpl w:val="2D846E6A"/>
    <w:lvl w:ilvl="0" w:tplc="45C4E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EE68C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348753F5"/>
    <w:multiLevelType w:val="hybridMultilevel"/>
    <w:tmpl w:val="3442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DC27CA"/>
    <w:multiLevelType w:val="multilevel"/>
    <w:tmpl w:val="07A473D0"/>
    <w:lvl w:ilvl="0">
      <w:start w:val="1"/>
      <w:numFmt w:val="bullet"/>
      <w:pStyle w:val="TableBullet1"/>
      <w:lvlText w:val=""/>
      <w:lvlJc w:val="left"/>
      <w:pPr>
        <w:tabs>
          <w:tab w:val="num" w:pos="284"/>
        </w:tabs>
        <w:ind w:left="284" w:hanging="284"/>
      </w:pPr>
      <w:rPr>
        <w:rFonts w:ascii="Wingdings" w:hAnsi="Wingdings" w:hint="default"/>
      </w:rPr>
    </w:lvl>
    <w:lvl w:ilvl="1">
      <w:start w:val="1"/>
      <w:numFmt w:val="bullet"/>
      <w:pStyle w:val="TableBullet2"/>
      <w:lvlText w:val="–"/>
      <w:lvlJc w:val="left"/>
      <w:pPr>
        <w:tabs>
          <w:tab w:val="num" w:pos="567"/>
        </w:tabs>
        <w:ind w:left="567" w:hanging="283"/>
      </w:pPr>
      <w:rPr>
        <w:rFonts w:ascii="Times New Roman" w:hAnsi="Times New Roman" w:cs="Times New Roman"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6">
    <w:nsid w:val="3FDF1C74"/>
    <w:multiLevelType w:val="hybridMultilevel"/>
    <w:tmpl w:val="6BD4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0E1091"/>
    <w:multiLevelType w:val="hybridMultilevel"/>
    <w:tmpl w:val="97D4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223234"/>
    <w:multiLevelType w:val="hybridMultilevel"/>
    <w:tmpl w:val="E988B16A"/>
    <w:lvl w:ilvl="0" w:tplc="04090001">
      <w:start w:val="1"/>
      <w:numFmt w:val="bullet"/>
      <w:lvlText w:val=""/>
      <w:lvlJc w:val="left"/>
      <w:pPr>
        <w:ind w:left="720" w:hanging="360"/>
      </w:pPr>
      <w:rPr>
        <w:rFonts w:ascii="Symbol" w:hAnsi="Symbol" w:hint="default"/>
      </w:rPr>
    </w:lvl>
    <w:lvl w:ilvl="1" w:tplc="000B04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A66286"/>
    <w:multiLevelType w:val="hybridMultilevel"/>
    <w:tmpl w:val="042209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48121FD7"/>
    <w:multiLevelType w:val="hybridMultilevel"/>
    <w:tmpl w:val="6BD2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2752F2"/>
    <w:multiLevelType w:val="hybridMultilevel"/>
    <w:tmpl w:val="BB9A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5915DF"/>
    <w:multiLevelType w:val="multilevel"/>
    <w:tmpl w:val="BD28436A"/>
    <w:lvl w:ilvl="0">
      <w:start w:val="1"/>
      <w:numFmt w:val="upperRoman"/>
      <w:lvlText w:val="%1."/>
      <w:lvlJc w:val="left"/>
      <w:pPr>
        <w:ind w:left="360" w:hanging="360"/>
      </w:pPr>
      <w:rPr>
        <w:rFonts w:hint="default"/>
      </w:rPr>
    </w:lvl>
    <w:lvl w:ilvl="1">
      <w:start w:val="1"/>
      <w:numFmt w:val="decimal"/>
      <w:pStyle w:val="Bullet2"/>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3">
    <w:nsid w:val="53331407"/>
    <w:multiLevelType w:val="multilevel"/>
    <w:tmpl w:val="DCC890E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upperLetter"/>
      <w:suff w:val="nothing"/>
      <w:lvlText w:val="Appendix %4"/>
      <w:lvlJc w:val="left"/>
      <w:pPr>
        <w:ind w:left="2430" w:hanging="720"/>
      </w:pPr>
      <w:rPr>
        <w:rFonts w:hint="default"/>
      </w:rPr>
    </w:lvl>
    <w:lvl w:ilvl="4">
      <w:start w:val="1"/>
      <w:numFmt w:val="decimal"/>
      <w:lvlText w:val="%4.%5"/>
      <w:lvlJc w:val="left"/>
      <w:pPr>
        <w:tabs>
          <w:tab w:val="num" w:pos="720"/>
        </w:tabs>
        <w:ind w:left="720" w:hanging="720"/>
      </w:pPr>
      <w:rPr>
        <w:rFonts w:hint="default"/>
      </w:rPr>
    </w:lvl>
    <w:lvl w:ilvl="5">
      <w:start w:val="1"/>
      <w:numFmt w:val="decimal"/>
      <w:lvlText w:val="%4.%5.%6"/>
      <w:lvlJc w:val="left"/>
      <w:pPr>
        <w:tabs>
          <w:tab w:val="num" w:pos="720"/>
        </w:tabs>
        <w:ind w:left="720" w:hanging="720"/>
      </w:pPr>
      <w:rPr>
        <w:rFonts w:hint="default"/>
      </w:rPr>
    </w:lvl>
    <w:lvl w:ilvl="6">
      <w:start w:val="1"/>
      <w:numFmt w:val="none"/>
      <w:suff w:val="nothing"/>
      <w:lvlText w:val=""/>
      <w:lvlJc w:val="left"/>
      <w:pPr>
        <w:ind w:left="0" w:firstLine="0"/>
      </w:pPr>
      <w:rPr>
        <w:rFonts w:ascii="Garamond" w:hAnsi="Garamond" w:hint="default"/>
        <w:b/>
        <w:i w:val="0"/>
        <w:sz w:val="24"/>
        <w:szCs w:val="24"/>
      </w:rPr>
    </w:lvl>
    <w:lvl w:ilvl="7">
      <w:start w:val="1"/>
      <w:numFmt w:val="none"/>
      <w:suff w:val="nothing"/>
      <w:lvlText w:val=""/>
      <w:lvlJc w:val="left"/>
      <w:pPr>
        <w:ind w:left="0" w:firstLine="0"/>
      </w:pPr>
      <w:rPr>
        <w:rFonts w:ascii="Garamond" w:hAnsi="Garamond" w:hint="default"/>
        <w:b/>
        <w:i w:val="0"/>
        <w:sz w:val="24"/>
        <w:szCs w:val="24"/>
      </w:rPr>
    </w:lvl>
    <w:lvl w:ilvl="8">
      <w:start w:val="1"/>
      <w:numFmt w:val="none"/>
      <w:suff w:val="nothing"/>
      <w:lvlText w:val=""/>
      <w:lvlJc w:val="left"/>
      <w:pPr>
        <w:ind w:left="0" w:firstLine="0"/>
      </w:pPr>
      <w:rPr>
        <w:rFonts w:ascii="Garamond" w:hAnsi="Garamond" w:hint="default"/>
        <w:b/>
        <w:i w:val="0"/>
        <w:sz w:val="24"/>
        <w:szCs w:val="24"/>
      </w:rPr>
    </w:lvl>
  </w:abstractNum>
  <w:abstractNum w:abstractNumId="24">
    <w:nsid w:val="55EA3203"/>
    <w:multiLevelType w:val="hybridMultilevel"/>
    <w:tmpl w:val="C3E4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8E556A"/>
    <w:multiLevelType w:val="multilevel"/>
    <w:tmpl w:val="2C7ABA90"/>
    <w:lvl w:ilvl="0">
      <w:start w:val="1"/>
      <w:numFmt w:val="bullet"/>
      <w:pStyle w:val="BoxBullet1"/>
      <w:lvlText w:val=""/>
      <w:lvlJc w:val="left"/>
      <w:pPr>
        <w:tabs>
          <w:tab w:val="num" w:pos="284"/>
        </w:tabs>
        <w:ind w:left="284" w:hanging="284"/>
      </w:pPr>
      <w:rPr>
        <w:rFonts w:ascii="Wingdings" w:hAnsi="Wingdings" w:hint="default"/>
      </w:rPr>
    </w:lvl>
    <w:lvl w:ilvl="1">
      <w:start w:val="1"/>
      <w:numFmt w:val="bullet"/>
      <w:pStyle w:val="BoxBullet2"/>
      <w:lvlText w:val="–"/>
      <w:lvlJc w:val="left"/>
      <w:pPr>
        <w:tabs>
          <w:tab w:val="num" w:pos="567"/>
        </w:tabs>
        <w:ind w:left="567" w:hanging="283"/>
      </w:pPr>
      <w:rPr>
        <w:rFonts w:ascii="Times New Roman" w:hAnsi="Times New Roman" w:cs="Times New Roman"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lvlRestart w:val="2"/>
      <w:suff w:val="nothing"/>
      <w:lvlText w:val=""/>
      <w:lvlJc w:val="left"/>
      <w:pPr>
        <w:ind w:left="567" w:firstLine="0"/>
      </w:pPr>
      <w:rPr>
        <w:rFonts w:hint="default"/>
      </w:rPr>
    </w:lvl>
  </w:abstractNum>
  <w:abstractNum w:abstractNumId="26">
    <w:nsid w:val="5A176FAB"/>
    <w:multiLevelType w:val="hybridMultilevel"/>
    <w:tmpl w:val="795675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5B4A6EA8"/>
    <w:multiLevelType w:val="multilevel"/>
    <w:tmpl w:val="4BB02B4E"/>
    <w:lvl w:ilvl="0">
      <w:start w:val="1"/>
      <w:numFmt w:val="decimal"/>
      <w:pStyle w:val="Numberedtext"/>
      <w:lvlText w:val="%1."/>
      <w:lvlJc w:val="left"/>
      <w:pPr>
        <w:tabs>
          <w:tab w:val="num" w:pos="1004"/>
        </w:tabs>
        <w:ind w:left="1004" w:hanging="284"/>
      </w:pPr>
      <w:rPr>
        <w:rFonts w:hint="default"/>
      </w:rPr>
    </w:lvl>
    <w:lvl w:ilvl="1">
      <w:start w:val="1"/>
      <w:numFmt w:val="lowerLetter"/>
      <w:lvlText w:val="%2."/>
      <w:lvlJc w:val="left"/>
      <w:pPr>
        <w:tabs>
          <w:tab w:val="num" w:pos="1287"/>
        </w:tabs>
        <w:ind w:left="1287" w:hanging="283"/>
      </w:pPr>
      <w:rPr>
        <w:rFonts w:hint="default"/>
      </w:rPr>
    </w:lvl>
    <w:lvl w:ilvl="2">
      <w:start w:val="1"/>
      <w:numFmt w:val="lowerRoman"/>
      <w:lvlText w:val="%3."/>
      <w:lvlJc w:val="left"/>
      <w:pPr>
        <w:tabs>
          <w:tab w:val="num" w:pos="1571"/>
        </w:tabs>
        <w:ind w:left="1571" w:hanging="284"/>
      </w:pPr>
      <w:rPr>
        <w:rFonts w:hint="default"/>
      </w:rPr>
    </w:lvl>
    <w:lvl w:ilvl="3">
      <w:start w:val="1"/>
      <w:numFmt w:val="none"/>
      <w:lvlText w:val=""/>
      <w:lvlJc w:val="left"/>
      <w:pPr>
        <w:tabs>
          <w:tab w:val="num" w:pos="1571"/>
        </w:tabs>
        <w:ind w:left="1571" w:firstLine="0"/>
      </w:pPr>
      <w:rPr>
        <w:rFonts w:hint="default"/>
      </w:rPr>
    </w:lvl>
    <w:lvl w:ilvl="4">
      <w:start w:val="1"/>
      <w:numFmt w:val="none"/>
      <w:lvlText w:val=""/>
      <w:lvlJc w:val="left"/>
      <w:pPr>
        <w:tabs>
          <w:tab w:val="num" w:pos="1571"/>
        </w:tabs>
        <w:ind w:left="1571" w:firstLine="0"/>
      </w:pPr>
      <w:rPr>
        <w:rFonts w:hint="default"/>
      </w:rPr>
    </w:lvl>
    <w:lvl w:ilvl="5">
      <w:start w:val="1"/>
      <w:numFmt w:val="none"/>
      <w:lvlText w:val=""/>
      <w:lvlJc w:val="left"/>
      <w:pPr>
        <w:tabs>
          <w:tab w:val="num" w:pos="1571"/>
        </w:tabs>
        <w:ind w:left="1571" w:firstLine="0"/>
      </w:pPr>
      <w:rPr>
        <w:rFonts w:hint="default"/>
      </w:rPr>
    </w:lvl>
    <w:lvl w:ilvl="6">
      <w:start w:val="1"/>
      <w:numFmt w:val="none"/>
      <w:lvlText w:val=""/>
      <w:lvlJc w:val="left"/>
      <w:pPr>
        <w:tabs>
          <w:tab w:val="num" w:pos="1571"/>
        </w:tabs>
        <w:ind w:left="1571" w:firstLine="0"/>
      </w:pPr>
      <w:rPr>
        <w:rFonts w:hint="default"/>
      </w:rPr>
    </w:lvl>
    <w:lvl w:ilvl="7">
      <w:start w:val="1"/>
      <w:numFmt w:val="none"/>
      <w:lvlText w:val=""/>
      <w:lvlJc w:val="left"/>
      <w:pPr>
        <w:tabs>
          <w:tab w:val="num" w:pos="1571"/>
        </w:tabs>
        <w:ind w:left="1571" w:firstLine="0"/>
      </w:pPr>
      <w:rPr>
        <w:rFonts w:hint="default"/>
      </w:rPr>
    </w:lvl>
    <w:lvl w:ilvl="8">
      <w:start w:val="1"/>
      <w:numFmt w:val="none"/>
      <w:lvlRestart w:val="3"/>
      <w:lvlText w:val=""/>
      <w:lvlJc w:val="left"/>
      <w:pPr>
        <w:tabs>
          <w:tab w:val="num" w:pos="1571"/>
        </w:tabs>
        <w:ind w:left="1571" w:firstLine="0"/>
      </w:pPr>
      <w:rPr>
        <w:rFonts w:hint="default"/>
      </w:rPr>
    </w:lvl>
  </w:abstractNum>
  <w:abstractNum w:abstractNumId="28">
    <w:nsid w:val="5CBC57DB"/>
    <w:multiLevelType w:val="hybridMultilevel"/>
    <w:tmpl w:val="745A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49733E"/>
    <w:multiLevelType w:val="multilevel"/>
    <w:tmpl w:val="8DF204F0"/>
    <w:lvl w:ilvl="0">
      <w:start w:val="1"/>
      <w:numFmt w:val="decimal"/>
      <w:pStyle w:val="TableNumberedText"/>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0">
    <w:nsid w:val="5E53538A"/>
    <w:multiLevelType w:val="hybridMultilevel"/>
    <w:tmpl w:val="2FDA207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80413B"/>
    <w:multiLevelType w:val="multilevel"/>
    <w:tmpl w:val="147662F4"/>
    <w:lvl w:ilvl="0">
      <w:start w:val="7"/>
      <w:numFmt w:val="upperRoman"/>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2">
    <w:nsid w:val="689E4F6C"/>
    <w:multiLevelType w:val="multilevel"/>
    <w:tmpl w:val="5A7484E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upperLetter"/>
      <w:suff w:val="nothing"/>
      <w:lvlText w:val="Appendix %4: "/>
      <w:lvlJc w:val="left"/>
      <w:pPr>
        <w:ind w:left="720" w:hanging="720"/>
      </w:pPr>
      <w:rPr>
        <w:rFonts w:hint="default"/>
      </w:rPr>
    </w:lvl>
    <w:lvl w:ilvl="4">
      <w:start w:val="1"/>
      <w:numFmt w:val="decimal"/>
      <w:lvlText w:val="%4.%5"/>
      <w:lvlJc w:val="left"/>
      <w:pPr>
        <w:tabs>
          <w:tab w:val="num" w:pos="720"/>
        </w:tabs>
        <w:ind w:left="720" w:hanging="720"/>
      </w:pPr>
      <w:rPr>
        <w:rFonts w:hint="default"/>
      </w:rPr>
    </w:lvl>
    <w:lvl w:ilvl="5">
      <w:start w:val="1"/>
      <w:numFmt w:val="decimal"/>
      <w:lvlText w:val="%4.%5.%6"/>
      <w:lvlJc w:val="left"/>
      <w:pPr>
        <w:tabs>
          <w:tab w:val="num" w:pos="720"/>
        </w:tabs>
        <w:ind w:left="720" w:hanging="720"/>
      </w:pPr>
      <w:rPr>
        <w:rFonts w:hint="default"/>
      </w:rPr>
    </w:lvl>
    <w:lvl w:ilvl="6">
      <w:start w:val="1"/>
      <w:numFmt w:val="none"/>
      <w:suff w:val="nothing"/>
      <w:lvlText w:val=""/>
      <w:lvlJc w:val="left"/>
      <w:pPr>
        <w:ind w:left="0" w:firstLine="0"/>
      </w:pPr>
      <w:rPr>
        <w:rFonts w:ascii="Garamond" w:hAnsi="Garamond" w:hint="default"/>
        <w:b/>
        <w:i w:val="0"/>
        <w:sz w:val="24"/>
        <w:szCs w:val="24"/>
      </w:rPr>
    </w:lvl>
    <w:lvl w:ilvl="7">
      <w:start w:val="1"/>
      <w:numFmt w:val="none"/>
      <w:suff w:val="nothing"/>
      <w:lvlText w:val=""/>
      <w:lvlJc w:val="left"/>
      <w:pPr>
        <w:ind w:left="0" w:firstLine="0"/>
      </w:pPr>
      <w:rPr>
        <w:rFonts w:ascii="Garamond" w:hAnsi="Garamond" w:hint="default"/>
        <w:b/>
        <w:i w:val="0"/>
        <w:sz w:val="24"/>
        <w:szCs w:val="24"/>
      </w:rPr>
    </w:lvl>
    <w:lvl w:ilvl="8">
      <w:start w:val="1"/>
      <w:numFmt w:val="none"/>
      <w:suff w:val="nothing"/>
      <w:lvlText w:val=""/>
      <w:lvlJc w:val="left"/>
      <w:pPr>
        <w:ind w:left="0" w:firstLine="0"/>
      </w:pPr>
      <w:rPr>
        <w:rFonts w:ascii="Garamond" w:hAnsi="Garamond" w:hint="default"/>
        <w:b/>
        <w:i w:val="0"/>
        <w:sz w:val="24"/>
        <w:szCs w:val="24"/>
      </w:rPr>
    </w:lvl>
  </w:abstractNum>
  <w:abstractNum w:abstractNumId="33">
    <w:nsid w:val="6DDB48C0"/>
    <w:multiLevelType w:val="hybridMultilevel"/>
    <w:tmpl w:val="5386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EC34E3"/>
    <w:multiLevelType w:val="hybridMultilevel"/>
    <w:tmpl w:val="51B862A8"/>
    <w:lvl w:ilvl="0" w:tplc="AD447F38">
      <w:start w:val="1"/>
      <w:numFmt w:val="bullet"/>
      <w:pStyle w:val="Bullet1"/>
      <w:lvlText w:val=""/>
      <w:lvlJc w:val="left"/>
      <w:pPr>
        <w:ind w:left="720" w:hanging="360"/>
      </w:pPr>
      <w:rPr>
        <w:rFonts w:ascii="Wingdings 3" w:hAnsi="Wingdings 3" w:hint="default"/>
        <w:sz w:val="20"/>
      </w:rPr>
    </w:lvl>
    <w:lvl w:ilvl="1" w:tplc="B93485CA">
      <w:start w:val="1"/>
      <w:numFmt w:val="bullet"/>
      <w:lvlText w:val=""/>
      <w:lvlJc w:val="left"/>
      <w:pPr>
        <w:ind w:left="1440" w:hanging="360"/>
      </w:pPr>
      <w:rPr>
        <w:rFonts w:ascii="Wingdings 3" w:hAnsi="Wingdings 3"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CE2DA3"/>
    <w:multiLevelType w:val="hybridMultilevel"/>
    <w:tmpl w:val="00C62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E303E1"/>
    <w:multiLevelType w:val="hybridMultilevel"/>
    <w:tmpl w:val="ED1CDE9C"/>
    <w:lvl w:ilvl="0" w:tplc="04090013">
      <w:start w:val="1"/>
      <w:numFmt w:val="upperRoman"/>
      <w:lvlText w:val="%1."/>
      <w:lvlJc w:val="right"/>
      <w:pPr>
        <w:ind w:left="720" w:hanging="360"/>
      </w:pPr>
      <w:rPr>
        <w:rFonts w:hint="default"/>
      </w:rPr>
    </w:lvl>
    <w:lvl w:ilvl="1" w:tplc="04090013">
      <w:start w:val="1"/>
      <w:numFmt w:val="upperRoman"/>
      <w:lvlText w:val="%2."/>
      <w:lvlJc w:val="right"/>
      <w:pPr>
        <w:ind w:left="1350" w:hanging="360"/>
      </w:pPr>
    </w:lvl>
    <w:lvl w:ilvl="2" w:tplc="00010409">
      <w:start w:val="1"/>
      <w:numFmt w:val="bullet"/>
      <w:lvlText w:val=""/>
      <w:lvlJc w:val="left"/>
      <w:pPr>
        <w:tabs>
          <w:tab w:val="num" w:pos="80"/>
        </w:tabs>
        <w:ind w:left="8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33"/>
  </w:num>
  <w:num w:numId="4">
    <w:abstractNumId w:val="35"/>
  </w:num>
  <w:num w:numId="5">
    <w:abstractNumId w:val="31"/>
  </w:num>
  <w:num w:numId="6">
    <w:abstractNumId w:val="30"/>
  </w:num>
  <w:num w:numId="7">
    <w:abstractNumId w:val="36"/>
  </w:num>
  <w:num w:numId="8">
    <w:abstractNumId w:val="34"/>
  </w:num>
  <w:num w:numId="9">
    <w:abstractNumId w:val="34"/>
  </w:num>
  <w:num w:numId="10">
    <w:abstractNumId w:val="34"/>
  </w:num>
  <w:num w:numId="11">
    <w:abstractNumId w:val="34"/>
  </w:num>
  <w:num w:numId="12">
    <w:abstractNumId w:val="13"/>
  </w:num>
  <w:num w:numId="13">
    <w:abstractNumId w:val="7"/>
  </w:num>
  <w:num w:numId="14">
    <w:abstractNumId w:val="17"/>
  </w:num>
  <w:num w:numId="15">
    <w:abstractNumId w:val="3"/>
  </w:num>
  <w:num w:numId="16">
    <w:abstractNumId w:val="28"/>
  </w:num>
  <w:num w:numId="17">
    <w:abstractNumId w:val="25"/>
  </w:num>
  <w:num w:numId="18">
    <w:abstractNumId w:val="9"/>
  </w:num>
  <w:num w:numId="19">
    <w:abstractNumId w:val="23"/>
  </w:num>
  <w:num w:numId="20">
    <w:abstractNumId w:val="27"/>
  </w:num>
  <w:num w:numId="21">
    <w:abstractNumId w:val="15"/>
  </w:num>
  <w:num w:numId="22">
    <w:abstractNumId w:val="29"/>
  </w:num>
  <w:num w:numId="23">
    <w:abstractNumId w:val="10"/>
  </w:num>
  <w:num w:numId="24">
    <w:abstractNumId w:val="32"/>
  </w:num>
  <w:num w:numId="25">
    <w:abstractNumId w:val="4"/>
  </w:num>
  <w:num w:numId="26">
    <w:abstractNumId w:val="5"/>
  </w:num>
  <w:num w:numId="27">
    <w:abstractNumId w:val="2"/>
  </w:num>
  <w:num w:numId="28">
    <w:abstractNumId w:val="1"/>
  </w:num>
  <w:num w:numId="29">
    <w:abstractNumId w:val="0"/>
  </w:num>
  <w:num w:numId="30">
    <w:abstractNumId w:val="6"/>
  </w:num>
  <w:num w:numId="31">
    <w:abstractNumId w:val="12"/>
  </w:num>
  <w:num w:numId="32">
    <w:abstractNumId w:val="24"/>
  </w:num>
  <w:num w:numId="33">
    <w:abstractNumId w:val="21"/>
  </w:num>
  <w:num w:numId="34">
    <w:abstractNumId w:val="8"/>
  </w:num>
  <w:num w:numId="35">
    <w:abstractNumId w:val="20"/>
  </w:num>
  <w:num w:numId="36">
    <w:abstractNumId w:val="14"/>
  </w:num>
  <w:num w:numId="37">
    <w:abstractNumId w:val="26"/>
  </w:num>
  <w:num w:numId="38">
    <w:abstractNumId w:val="11"/>
  </w:num>
  <w:num w:numId="39">
    <w:abstractNumId w:val="19"/>
  </w:num>
  <w:num w:numId="40">
    <w:abstractNumId w:val="16"/>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F61"/>
    <w:rsid w:val="00003504"/>
    <w:rsid w:val="00003572"/>
    <w:rsid w:val="00006A8B"/>
    <w:rsid w:val="00011C5A"/>
    <w:rsid w:val="00025AEC"/>
    <w:rsid w:val="000471D0"/>
    <w:rsid w:val="00047DC3"/>
    <w:rsid w:val="00057DB4"/>
    <w:rsid w:val="0006359E"/>
    <w:rsid w:val="00073610"/>
    <w:rsid w:val="000753B0"/>
    <w:rsid w:val="000753FF"/>
    <w:rsid w:val="00095D9E"/>
    <w:rsid w:val="00095DE4"/>
    <w:rsid w:val="000A0924"/>
    <w:rsid w:val="000A2435"/>
    <w:rsid w:val="000B10D3"/>
    <w:rsid w:val="000E6D6C"/>
    <w:rsid w:val="000F591A"/>
    <w:rsid w:val="000F75BB"/>
    <w:rsid w:val="001023AF"/>
    <w:rsid w:val="00147568"/>
    <w:rsid w:val="0015036F"/>
    <w:rsid w:val="00162889"/>
    <w:rsid w:val="00173F96"/>
    <w:rsid w:val="00196B2F"/>
    <w:rsid w:val="001C390D"/>
    <w:rsid w:val="001C39E0"/>
    <w:rsid w:val="001C567A"/>
    <w:rsid w:val="001E033E"/>
    <w:rsid w:val="001F5F2D"/>
    <w:rsid w:val="00205557"/>
    <w:rsid w:val="00215E66"/>
    <w:rsid w:val="00220712"/>
    <w:rsid w:val="00222066"/>
    <w:rsid w:val="002278EF"/>
    <w:rsid w:val="002324F3"/>
    <w:rsid w:val="002377C5"/>
    <w:rsid w:val="00244133"/>
    <w:rsid w:val="00253FFE"/>
    <w:rsid w:val="00256EAF"/>
    <w:rsid w:val="00257632"/>
    <w:rsid w:val="00264D55"/>
    <w:rsid w:val="0027022F"/>
    <w:rsid w:val="00284DFD"/>
    <w:rsid w:val="00287C31"/>
    <w:rsid w:val="0029421B"/>
    <w:rsid w:val="002A7DDE"/>
    <w:rsid w:val="002B03F8"/>
    <w:rsid w:val="002C0110"/>
    <w:rsid w:val="002C715A"/>
    <w:rsid w:val="002D4BEC"/>
    <w:rsid w:val="002E198C"/>
    <w:rsid w:val="002E36FF"/>
    <w:rsid w:val="002E48CB"/>
    <w:rsid w:val="003154C3"/>
    <w:rsid w:val="00333C71"/>
    <w:rsid w:val="003343DE"/>
    <w:rsid w:val="00337FAF"/>
    <w:rsid w:val="00361675"/>
    <w:rsid w:val="003644E7"/>
    <w:rsid w:val="00376541"/>
    <w:rsid w:val="003820D6"/>
    <w:rsid w:val="00382866"/>
    <w:rsid w:val="003872E9"/>
    <w:rsid w:val="00387B1A"/>
    <w:rsid w:val="003A1657"/>
    <w:rsid w:val="003A65F8"/>
    <w:rsid w:val="003A6A5C"/>
    <w:rsid w:val="003A7332"/>
    <w:rsid w:val="003C64E1"/>
    <w:rsid w:val="003D447B"/>
    <w:rsid w:val="003F234E"/>
    <w:rsid w:val="003F3D75"/>
    <w:rsid w:val="003F491C"/>
    <w:rsid w:val="003F7F8B"/>
    <w:rsid w:val="00416EE9"/>
    <w:rsid w:val="0044086E"/>
    <w:rsid w:val="00443AB3"/>
    <w:rsid w:val="00463F1B"/>
    <w:rsid w:val="00464FDE"/>
    <w:rsid w:val="004651B5"/>
    <w:rsid w:val="00467009"/>
    <w:rsid w:val="00470692"/>
    <w:rsid w:val="00477C13"/>
    <w:rsid w:val="00482D2D"/>
    <w:rsid w:val="004946D8"/>
    <w:rsid w:val="004C17EE"/>
    <w:rsid w:val="004C6927"/>
    <w:rsid w:val="004D7A66"/>
    <w:rsid w:val="004E14A2"/>
    <w:rsid w:val="004E1D2E"/>
    <w:rsid w:val="004F0537"/>
    <w:rsid w:val="004F47E6"/>
    <w:rsid w:val="005047D2"/>
    <w:rsid w:val="00504FB7"/>
    <w:rsid w:val="00510274"/>
    <w:rsid w:val="0051137C"/>
    <w:rsid w:val="005115AA"/>
    <w:rsid w:val="00512FA4"/>
    <w:rsid w:val="0051652C"/>
    <w:rsid w:val="005171A9"/>
    <w:rsid w:val="0053113D"/>
    <w:rsid w:val="00540E00"/>
    <w:rsid w:val="00552328"/>
    <w:rsid w:val="00561671"/>
    <w:rsid w:val="00567452"/>
    <w:rsid w:val="00567EFF"/>
    <w:rsid w:val="0057095A"/>
    <w:rsid w:val="00584277"/>
    <w:rsid w:val="00593C2C"/>
    <w:rsid w:val="005967D0"/>
    <w:rsid w:val="005A21A4"/>
    <w:rsid w:val="005A259E"/>
    <w:rsid w:val="005A265C"/>
    <w:rsid w:val="005A59D4"/>
    <w:rsid w:val="005B7675"/>
    <w:rsid w:val="005B76B2"/>
    <w:rsid w:val="005E2AC8"/>
    <w:rsid w:val="005E4C36"/>
    <w:rsid w:val="00605602"/>
    <w:rsid w:val="006155CD"/>
    <w:rsid w:val="00621B06"/>
    <w:rsid w:val="00622F2E"/>
    <w:rsid w:val="00631E64"/>
    <w:rsid w:val="00636BBF"/>
    <w:rsid w:val="0065244D"/>
    <w:rsid w:val="0066026D"/>
    <w:rsid w:val="006606F6"/>
    <w:rsid w:val="00672A29"/>
    <w:rsid w:val="00674061"/>
    <w:rsid w:val="00690440"/>
    <w:rsid w:val="006940A1"/>
    <w:rsid w:val="006952F8"/>
    <w:rsid w:val="006A5BAD"/>
    <w:rsid w:val="006B2CFD"/>
    <w:rsid w:val="006B6437"/>
    <w:rsid w:val="006C2DE5"/>
    <w:rsid w:val="006C53DB"/>
    <w:rsid w:val="006C7CED"/>
    <w:rsid w:val="006D749C"/>
    <w:rsid w:val="006F27B5"/>
    <w:rsid w:val="006F3089"/>
    <w:rsid w:val="006F42C9"/>
    <w:rsid w:val="00704CBF"/>
    <w:rsid w:val="007065A3"/>
    <w:rsid w:val="007078B5"/>
    <w:rsid w:val="00712B41"/>
    <w:rsid w:val="00712C73"/>
    <w:rsid w:val="00723BA8"/>
    <w:rsid w:val="00727C3A"/>
    <w:rsid w:val="00734D40"/>
    <w:rsid w:val="007437DA"/>
    <w:rsid w:val="007504ED"/>
    <w:rsid w:val="007531CB"/>
    <w:rsid w:val="007545BC"/>
    <w:rsid w:val="00763386"/>
    <w:rsid w:val="00770412"/>
    <w:rsid w:val="0077226D"/>
    <w:rsid w:val="0078304E"/>
    <w:rsid w:val="00785224"/>
    <w:rsid w:val="00791234"/>
    <w:rsid w:val="00793336"/>
    <w:rsid w:val="007A76B8"/>
    <w:rsid w:val="007C0431"/>
    <w:rsid w:val="007C2AB0"/>
    <w:rsid w:val="007C761F"/>
    <w:rsid w:val="007D6B36"/>
    <w:rsid w:val="007E540F"/>
    <w:rsid w:val="00801A6E"/>
    <w:rsid w:val="00804D43"/>
    <w:rsid w:val="00810F5A"/>
    <w:rsid w:val="00815A47"/>
    <w:rsid w:val="00815EEE"/>
    <w:rsid w:val="008670B6"/>
    <w:rsid w:val="008731D7"/>
    <w:rsid w:val="0088166F"/>
    <w:rsid w:val="00882797"/>
    <w:rsid w:val="00882A6B"/>
    <w:rsid w:val="00895CF7"/>
    <w:rsid w:val="008A1DD9"/>
    <w:rsid w:val="008A6E58"/>
    <w:rsid w:val="008A7AED"/>
    <w:rsid w:val="008F48F3"/>
    <w:rsid w:val="00915447"/>
    <w:rsid w:val="00922B86"/>
    <w:rsid w:val="00927E96"/>
    <w:rsid w:val="00936A79"/>
    <w:rsid w:val="00941F61"/>
    <w:rsid w:val="00945706"/>
    <w:rsid w:val="00957ACC"/>
    <w:rsid w:val="00962801"/>
    <w:rsid w:val="0096360D"/>
    <w:rsid w:val="00990A65"/>
    <w:rsid w:val="00997A64"/>
    <w:rsid w:val="009A03F4"/>
    <w:rsid w:val="009A352A"/>
    <w:rsid w:val="009B1117"/>
    <w:rsid w:val="009B3769"/>
    <w:rsid w:val="009B7295"/>
    <w:rsid w:val="009C6319"/>
    <w:rsid w:val="009D18E2"/>
    <w:rsid w:val="009F2591"/>
    <w:rsid w:val="009F2643"/>
    <w:rsid w:val="00A1702D"/>
    <w:rsid w:val="00A26952"/>
    <w:rsid w:val="00A271DA"/>
    <w:rsid w:val="00A27FC1"/>
    <w:rsid w:val="00A4557A"/>
    <w:rsid w:val="00A53246"/>
    <w:rsid w:val="00A564C9"/>
    <w:rsid w:val="00A74A3E"/>
    <w:rsid w:val="00A74C05"/>
    <w:rsid w:val="00A752FD"/>
    <w:rsid w:val="00A7601B"/>
    <w:rsid w:val="00A761A9"/>
    <w:rsid w:val="00A82022"/>
    <w:rsid w:val="00A84E91"/>
    <w:rsid w:val="00AA31CB"/>
    <w:rsid w:val="00AA4E6F"/>
    <w:rsid w:val="00AB466D"/>
    <w:rsid w:val="00AC68E8"/>
    <w:rsid w:val="00AD1CFB"/>
    <w:rsid w:val="00AD51DD"/>
    <w:rsid w:val="00AE46F2"/>
    <w:rsid w:val="00B04513"/>
    <w:rsid w:val="00B23651"/>
    <w:rsid w:val="00B25A8B"/>
    <w:rsid w:val="00B32A94"/>
    <w:rsid w:val="00B46A32"/>
    <w:rsid w:val="00B6614D"/>
    <w:rsid w:val="00B76EFA"/>
    <w:rsid w:val="00B82B8A"/>
    <w:rsid w:val="00BA7018"/>
    <w:rsid w:val="00BD0C1B"/>
    <w:rsid w:val="00BE1449"/>
    <w:rsid w:val="00BE387D"/>
    <w:rsid w:val="00C16F12"/>
    <w:rsid w:val="00C17DB7"/>
    <w:rsid w:val="00C26910"/>
    <w:rsid w:val="00C30CE3"/>
    <w:rsid w:val="00C3101D"/>
    <w:rsid w:val="00C32664"/>
    <w:rsid w:val="00C41D28"/>
    <w:rsid w:val="00C42C7B"/>
    <w:rsid w:val="00C534A9"/>
    <w:rsid w:val="00C6431E"/>
    <w:rsid w:val="00C755DB"/>
    <w:rsid w:val="00C82F33"/>
    <w:rsid w:val="00C86A61"/>
    <w:rsid w:val="00C93CAB"/>
    <w:rsid w:val="00C97671"/>
    <w:rsid w:val="00CB0656"/>
    <w:rsid w:val="00CB1280"/>
    <w:rsid w:val="00CC1CAC"/>
    <w:rsid w:val="00CC670E"/>
    <w:rsid w:val="00CC6BE1"/>
    <w:rsid w:val="00CE4A0B"/>
    <w:rsid w:val="00CF5FE8"/>
    <w:rsid w:val="00D04E47"/>
    <w:rsid w:val="00D0568D"/>
    <w:rsid w:val="00D0636E"/>
    <w:rsid w:val="00D106A1"/>
    <w:rsid w:val="00D132E2"/>
    <w:rsid w:val="00D23EF8"/>
    <w:rsid w:val="00D5364D"/>
    <w:rsid w:val="00D67CE0"/>
    <w:rsid w:val="00D7638F"/>
    <w:rsid w:val="00D76A1D"/>
    <w:rsid w:val="00D8320F"/>
    <w:rsid w:val="00D844B0"/>
    <w:rsid w:val="00DD4B6F"/>
    <w:rsid w:val="00DD4CD6"/>
    <w:rsid w:val="00DE424E"/>
    <w:rsid w:val="00DE4838"/>
    <w:rsid w:val="00DE6A03"/>
    <w:rsid w:val="00DF0606"/>
    <w:rsid w:val="00E10C7D"/>
    <w:rsid w:val="00E14C8B"/>
    <w:rsid w:val="00E23A03"/>
    <w:rsid w:val="00E2763A"/>
    <w:rsid w:val="00E27F81"/>
    <w:rsid w:val="00E37786"/>
    <w:rsid w:val="00E439E9"/>
    <w:rsid w:val="00E56B36"/>
    <w:rsid w:val="00E75296"/>
    <w:rsid w:val="00E80139"/>
    <w:rsid w:val="00E962FA"/>
    <w:rsid w:val="00EB0B68"/>
    <w:rsid w:val="00EC0296"/>
    <w:rsid w:val="00EF0DCD"/>
    <w:rsid w:val="00EF1EC7"/>
    <w:rsid w:val="00EF2DA5"/>
    <w:rsid w:val="00EF3899"/>
    <w:rsid w:val="00F02666"/>
    <w:rsid w:val="00F0308B"/>
    <w:rsid w:val="00F03DE8"/>
    <w:rsid w:val="00F04290"/>
    <w:rsid w:val="00F122AA"/>
    <w:rsid w:val="00F469E3"/>
    <w:rsid w:val="00F94887"/>
    <w:rsid w:val="00FB39C7"/>
    <w:rsid w:val="00FD1DBD"/>
    <w:rsid w:val="00FD51CB"/>
    <w:rsid w:val="00FD6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B68"/>
    <w:rPr>
      <w:rFonts w:ascii="Garamond" w:hAnsi="Garamond"/>
      <w:color w:val="262626" w:themeColor="text1" w:themeTint="D9"/>
      <w:sz w:val="24"/>
    </w:rPr>
  </w:style>
  <w:style w:type="paragraph" w:styleId="Heading1">
    <w:name w:val="heading 1"/>
    <w:basedOn w:val="Normal"/>
    <w:next w:val="Normal"/>
    <w:link w:val="Heading1Char"/>
    <w:qFormat/>
    <w:rsid w:val="00F94887"/>
    <w:pPr>
      <w:keepNext/>
      <w:keepLines/>
      <w:numPr>
        <w:numId w:val="12"/>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F94887"/>
    <w:pPr>
      <w:keepNext/>
      <w:keepLines/>
      <w:numPr>
        <w:ilvl w:val="1"/>
        <w:numId w:val="12"/>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autoRedefine/>
    <w:unhideWhenUsed/>
    <w:qFormat/>
    <w:rsid w:val="00621B06"/>
    <w:pPr>
      <w:keepNext/>
      <w:numPr>
        <w:ilvl w:val="2"/>
        <w:numId w:val="12"/>
      </w:numPr>
      <w:spacing w:after="80" w:line="240" w:lineRule="auto"/>
      <w:outlineLvl w:val="2"/>
    </w:pPr>
    <w:rPr>
      <w:rFonts w:eastAsiaTheme="majorEastAsia" w:cstheme="majorBidi"/>
      <w:b/>
      <w:bCs/>
      <w:szCs w:val="24"/>
    </w:rPr>
  </w:style>
  <w:style w:type="paragraph" w:styleId="Heading4">
    <w:name w:val="heading 4"/>
    <w:basedOn w:val="Heading1"/>
    <w:next w:val="Normal"/>
    <w:link w:val="Heading4Char"/>
    <w:unhideWhenUsed/>
    <w:qFormat/>
    <w:rsid w:val="005115AA"/>
    <w:pPr>
      <w:numPr>
        <w:numId w:val="0"/>
      </w:numPr>
      <w:ind w:left="432" w:hanging="432"/>
      <w:outlineLvl w:val="3"/>
    </w:pPr>
    <w:rPr>
      <w:color w:val="auto"/>
    </w:rPr>
  </w:style>
  <w:style w:type="paragraph" w:styleId="Heading5">
    <w:name w:val="heading 5"/>
    <w:basedOn w:val="Normal"/>
    <w:next w:val="Normal"/>
    <w:link w:val="Heading5Char"/>
    <w:unhideWhenUsed/>
    <w:qFormat/>
    <w:rsid w:val="00DE6A03"/>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DE6A03"/>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6A03"/>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6A03"/>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6A03"/>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4887"/>
    <w:pPr>
      <w:ind w:left="720"/>
      <w:contextualSpacing/>
    </w:pPr>
  </w:style>
  <w:style w:type="paragraph" w:styleId="BodyText">
    <w:name w:val="Body Text"/>
    <w:aliases w:val="Body Text Char Char Char,Body Text Char Char,1body,BodText,bt,body text,Body Txt,heading3,3 indent,heading31,body text1,3 indent1,heading32,body text2,3 indent2,heading33,body text3,3 indent3,heading34,body text4 Char,b,Body Tex,body ...,sub,B"/>
    <w:basedOn w:val="Normal"/>
    <w:link w:val="BodyTextChar"/>
    <w:unhideWhenUsed/>
    <w:rsid w:val="00941F61"/>
    <w:pPr>
      <w:spacing w:after="120" w:line="240" w:lineRule="auto"/>
    </w:pPr>
    <w:rPr>
      <w:rFonts w:ascii="Cambria" w:eastAsia="MS Mincho" w:hAnsi="Cambria" w:cs="Times New Roman"/>
      <w:szCs w:val="24"/>
      <w:lang w:eastAsia="ja-JP"/>
    </w:rPr>
  </w:style>
  <w:style w:type="character" w:customStyle="1" w:styleId="BodyTextChar">
    <w:name w:val="Body Text Char"/>
    <w:aliases w:val="Body Text Char Char Char Char,Body Text Char Char Char1,1body Char,BodText Char,bt Char,body text Char,Body Txt Char,heading3 Char,3 indent Char,heading31 Char,body text1 Char,3 indent1 Char,heading32 Char,body text2 Char,3 indent2 Char"/>
    <w:basedOn w:val="DefaultParagraphFont"/>
    <w:link w:val="BodyText"/>
    <w:rsid w:val="00941F61"/>
    <w:rPr>
      <w:rFonts w:ascii="Cambria" w:eastAsia="MS Mincho" w:hAnsi="Cambria" w:cs="Times New Roman"/>
      <w:sz w:val="24"/>
      <w:szCs w:val="24"/>
      <w:lang w:eastAsia="ja-JP"/>
    </w:rPr>
  </w:style>
  <w:style w:type="paragraph" w:styleId="Title">
    <w:name w:val="Title"/>
    <w:basedOn w:val="Normal"/>
    <w:next w:val="Normal"/>
    <w:link w:val="TitleChar"/>
    <w:autoRedefine/>
    <w:qFormat/>
    <w:rsid w:val="00552328"/>
    <w:pPr>
      <w:spacing w:after="300" w:line="240" w:lineRule="auto"/>
      <w:contextualSpacing/>
      <w:jc w:val="both"/>
    </w:pPr>
    <w:rPr>
      <w:rFonts w:ascii="Arial" w:eastAsiaTheme="majorEastAsia" w:hAnsi="Arial" w:cs="Arial"/>
      <w:b/>
      <w:spacing w:val="5"/>
      <w:kern w:val="28"/>
      <w:szCs w:val="52"/>
    </w:rPr>
  </w:style>
  <w:style w:type="character" w:customStyle="1" w:styleId="TitleChar">
    <w:name w:val="Title Char"/>
    <w:basedOn w:val="DefaultParagraphFont"/>
    <w:link w:val="Title"/>
    <w:rsid w:val="00552328"/>
    <w:rPr>
      <w:rFonts w:ascii="Arial" w:eastAsiaTheme="majorEastAsia" w:hAnsi="Arial" w:cs="Arial"/>
      <w:b/>
      <w:color w:val="262626" w:themeColor="text1" w:themeTint="D9"/>
      <w:spacing w:val="5"/>
      <w:kern w:val="28"/>
      <w:sz w:val="24"/>
      <w:szCs w:val="52"/>
    </w:rPr>
  </w:style>
  <w:style w:type="paragraph" w:customStyle="1" w:styleId="Newpage">
    <w:name w:val="Newpage"/>
    <w:basedOn w:val="Normal"/>
    <w:rsid w:val="00941F61"/>
    <w:pPr>
      <w:tabs>
        <w:tab w:val="left" w:pos="1440"/>
        <w:tab w:val="left" w:pos="3060"/>
      </w:tabs>
      <w:spacing w:after="0" w:line="240" w:lineRule="auto"/>
      <w:jc w:val="center"/>
    </w:pPr>
    <w:rPr>
      <w:rFonts w:ascii="Times New Roman" w:eastAsia="Times New Roman" w:hAnsi="Times New Roman" w:cs="Arial"/>
      <w:b/>
      <w:smallCaps/>
      <w:szCs w:val="20"/>
    </w:rPr>
  </w:style>
  <w:style w:type="paragraph" w:customStyle="1" w:styleId="Bullet1">
    <w:name w:val="Bullet 1"/>
    <w:basedOn w:val="ListParagraph"/>
    <w:link w:val="Bullet1Char"/>
    <w:qFormat/>
    <w:rsid w:val="00F94887"/>
    <w:pPr>
      <w:numPr>
        <w:numId w:val="11"/>
      </w:numPr>
      <w:tabs>
        <w:tab w:val="num" w:pos="360"/>
      </w:tabs>
      <w:ind w:firstLine="0"/>
      <w:contextualSpacing w:val="0"/>
    </w:pPr>
    <w:rPr>
      <w:color w:val="FFC000"/>
    </w:rPr>
  </w:style>
  <w:style w:type="character" w:customStyle="1" w:styleId="Bullet1Char">
    <w:name w:val="Bullet 1 Char"/>
    <w:basedOn w:val="ListParagraphChar"/>
    <w:link w:val="Bullet1"/>
    <w:rsid w:val="00F94887"/>
    <w:rPr>
      <w:rFonts w:ascii="Garamond" w:hAnsi="Garamond"/>
      <w:color w:val="FFC000"/>
      <w:sz w:val="24"/>
    </w:rPr>
  </w:style>
  <w:style w:type="paragraph" w:customStyle="1" w:styleId="Bullet2">
    <w:name w:val="Bullet 2"/>
    <w:basedOn w:val="Bullet1"/>
    <w:link w:val="Bullet2Char"/>
    <w:qFormat/>
    <w:rsid w:val="00F94887"/>
    <w:pPr>
      <w:numPr>
        <w:ilvl w:val="1"/>
        <w:numId w:val="2"/>
      </w:numPr>
      <w:tabs>
        <w:tab w:val="num" w:pos="360"/>
      </w:tabs>
      <w:ind w:left="1440" w:firstLine="0"/>
    </w:pPr>
    <w:rPr>
      <w:color w:val="262626" w:themeColor="text1" w:themeTint="D9"/>
    </w:rPr>
  </w:style>
  <w:style w:type="character" w:customStyle="1" w:styleId="Bullet2Char">
    <w:name w:val="Bullet 2 Char"/>
    <w:basedOn w:val="Bullet1Char"/>
    <w:link w:val="Bullet2"/>
    <w:rsid w:val="00F94887"/>
    <w:rPr>
      <w:rFonts w:ascii="Garamond" w:hAnsi="Garamond"/>
      <w:color w:val="262626" w:themeColor="text1" w:themeTint="D9"/>
      <w:sz w:val="24"/>
    </w:rPr>
  </w:style>
  <w:style w:type="paragraph" w:customStyle="1" w:styleId="Source">
    <w:name w:val="Source"/>
    <w:basedOn w:val="Normal"/>
    <w:link w:val="SourceChar"/>
    <w:qFormat/>
    <w:rsid w:val="00F94887"/>
    <w:pPr>
      <w:pBdr>
        <w:top w:val="single" w:sz="8" w:space="1" w:color="FFC000"/>
      </w:pBdr>
    </w:pPr>
    <w:rPr>
      <w:sz w:val="20"/>
      <w:szCs w:val="20"/>
    </w:rPr>
  </w:style>
  <w:style w:type="character" w:customStyle="1" w:styleId="SourceChar">
    <w:name w:val="Source Char"/>
    <w:basedOn w:val="DefaultParagraphFont"/>
    <w:link w:val="Source"/>
    <w:rsid w:val="00F94887"/>
    <w:rPr>
      <w:rFonts w:ascii="Garamond" w:hAnsi="Garamond"/>
      <w:color w:val="262626" w:themeColor="text1" w:themeTint="D9"/>
      <w:sz w:val="20"/>
      <w:szCs w:val="20"/>
    </w:rPr>
  </w:style>
  <w:style w:type="character" w:customStyle="1" w:styleId="Heading1Char">
    <w:name w:val="Heading 1 Char"/>
    <w:basedOn w:val="DefaultParagraphFont"/>
    <w:link w:val="Heading1"/>
    <w:rsid w:val="00F94887"/>
    <w:rPr>
      <w:rFonts w:ascii="Garamond" w:eastAsiaTheme="majorEastAsia" w:hAnsi="Garamond" w:cstheme="majorBidi"/>
      <w:b/>
      <w:bCs/>
      <w:color w:val="262626" w:themeColor="text1" w:themeTint="D9"/>
      <w:sz w:val="28"/>
      <w:szCs w:val="28"/>
    </w:rPr>
  </w:style>
  <w:style w:type="character" w:customStyle="1" w:styleId="Heading2Char">
    <w:name w:val="Heading 2 Char"/>
    <w:basedOn w:val="DefaultParagraphFont"/>
    <w:link w:val="Heading2"/>
    <w:rsid w:val="00F94887"/>
    <w:rPr>
      <w:rFonts w:ascii="Garamond" w:eastAsiaTheme="majorEastAsia" w:hAnsi="Garamond" w:cstheme="majorBidi"/>
      <w:b/>
      <w:bCs/>
      <w:color w:val="262626" w:themeColor="text1" w:themeTint="D9"/>
      <w:sz w:val="26"/>
      <w:szCs w:val="26"/>
    </w:rPr>
  </w:style>
  <w:style w:type="character" w:customStyle="1" w:styleId="Heading3Char">
    <w:name w:val="Heading 3 Char"/>
    <w:basedOn w:val="DefaultParagraphFont"/>
    <w:link w:val="Heading3"/>
    <w:rsid w:val="00621B06"/>
    <w:rPr>
      <w:rFonts w:ascii="Garamond" w:eastAsiaTheme="majorEastAsia" w:hAnsi="Garamond" w:cstheme="majorBidi"/>
      <w:b/>
      <w:bCs/>
      <w:color w:val="262626" w:themeColor="text1" w:themeTint="D9"/>
      <w:sz w:val="24"/>
      <w:szCs w:val="24"/>
    </w:rPr>
  </w:style>
  <w:style w:type="paragraph" w:styleId="Caption">
    <w:name w:val="caption"/>
    <w:basedOn w:val="Normal"/>
    <w:next w:val="Normal"/>
    <w:link w:val="CaptionChar"/>
    <w:unhideWhenUsed/>
    <w:qFormat/>
    <w:rsid w:val="00F94887"/>
    <w:pPr>
      <w:pBdr>
        <w:bottom w:val="single" w:sz="8" w:space="1" w:color="FFC000"/>
      </w:pBdr>
      <w:spacing w:line="240" w:lineRule="auto"/>
    </w:pPr>
    <w:rPr>
      <w:b/>
      <w:bCs/>
      <w:szCs w:val="18"/>
    </w:rPr>
  </w:style>
  <w:style w:type="character" w:customStyle="1" w:styleId="ListParagraphChar">
    <w:name w:val="List Paragraph Char"/>
    <w:basedOn w:val="DefaultParagraphFont"/>
    <w:link w:val="ListParagraph"/>
    <w:uiPriority w:val="34"/>
    <w:rsid w:val="00F94887"/>
    <w:rPr>
      <w:rFonts w:ascii="Garamond" w:hAnsi="Garamond"/>
      <w:color w:val="262626" w:themeColor="text1" w:themeTint="D9"/>
      <w:sz w:val="24"/>
    </w:rPr>
  </w:style>
  <w:style w:type="character" w:customStyle="1" w:styleId="Heading4Char">
    <w:name w:val="Heading 4 Char"/>
    <w:basedOn w:val="DefaultParagraphFont"/>
    <w:link w:val="Heading4"/>
    <w:rsid w:val="005115AA"/>
    <w:rPr>
      <w:rFonts w:ascii="Garamond" w:eastAsiaTheme="majorEastAsia" w:hAnsi="Garamond" w:cstheme="majorBidi"/>
      <w:b/>
      <w:bCs/>
      <w:sz w:val="28"/>
      <w:szCs w:val="28"/>
    </w:rPr>
  </w:style>
  <w:style w:type="character" w:customStyle="1" w:styleId="Heading5Char">
    <w:name w:val="Heading 5 Char"/>
    <w:basedOn w:val="DefaultParagraphFont"/>
    <w:link w:val="Heading5"/>
    <w:rsid w:val="00DE6A03"/>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DE6A03"/>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6A0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6A0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6A03"/>
    <w:rPr>
      <w:rFonts w:asciiTheme="majorHAnsi" w:eastAsiaTheme="majorEastAsia" w:hAnsiTheme="majorHAnsi" w:cstheme="majorBidi"/>
      <w:i/>
      <w:iCs/>
      <w:color w:val="404040" w:themeColor="text1" w:themeTint="BF"/>
      <w:sz w:val="20"/>
      <w:szCs w:val="20"/>
    </w:rPr>
  </w:style>
  <w:style w:type="paragraph" w:styleId="ListBullet">
    <w:name w:val="List Bullet"/>
    <w:aliases w:val="List Bullet Title,List Bullet Title Char Char Char,List Bullet Title Char Char Char Char,List Bullet1 Char,List Bullet Char Char Char Char Char Char Char,List Bullet Char Char Char Char,List Bullet Char Char Char Char Char,List Bullet2,Char"/>
    <w:basedOn w:val="BodyText"/>
    <w:link w:val="ListBulletChar"/>
    <w:rsid w:val="00DE6A03"/>
    <w:pPr>
      <w:numPr>
        <w:numId w:val="13"/>
      </w:numPr>
      <w:jc w:val="both"/>
    </w:pPr>
    <w:rPr>
      <w:rFonts w:ascii="Garamond" w:eastAsia="Times New Roman" w:hAnsi="Garamond"/>
      <w:color w:val="auto"/>
      <w:lang w:eastAsia="en-NZ"/>
    </w:rPr>
  </w:style>
  <w:style w:type="paragraph" w:styleId="ListBullet2">
    <w:name w:val="List Bullet 2"/>
    <w:aliases w:val="List Bullet 2 Char Char Char"/>
    <w:basedOn w:val="BodyText"/>
    <w:rsid w:val="00DE6A03"/>
    <w:pPr>
      <w:numPr>
        <w:ilvl w:val="1"/>
        <w:numId w:val="13"/>
      </w:numPr>
      <w:jc w:val="both"/>
    </w:pPr>
    <w:rPr>
      <w:rFonts w:ascii="Garamond" w:eastAsia="Times New Roman" w:hAnsi="Garamond"/>
      <w:color w:val="auto"/>
      <w:lang w:eastAsia="en-NZ"/>
    </w:rPr>
  </w:style>
  <w:style w:type="paragraph" w:styleId="ListBullet3">
    <w:name w:val="List Bullet 3"/>
    <w:basedOn w:val="BodyText"/>
    <w:rsid w:val="00DE6A03"/>
    <w:pPr>
      <w:numPr>
        <w:ilvl w:val="2"/>
        <w:numId w:val="13"/>
      </w:numPr>
      <w:jc w:val="both"/>
    </w:pPr>
    <w:rPr>
      <w:rFonts w:ascii="Garamond" w:eastAsia="Times New Roman" w:hAnsi="Garamond"/>
      <w:color w:val="auto"/>
      <w:lang w:eastAsia="en-NZ"/>
    </w:rPr>
  </w:style>
  <w:style w:type="paragraph" w:styleId="ListBullet4">
    <w:name w:val="List Bullet 4"/>
    <w:basedOn w:val="BodyText"/>
    <w:rsid w:val="00DE6A03"/>
    <w:pPr>
      <w:numPr>
        <w:ilvl w:val="3"/>
        <w:numId w:val="13"/>
      </w:numPr>
      <w:jc w:val="both"/>
    </w:pPr>
    <w:rPr>
      <w:rFonts w:ascii="Garamond" w:eastAsia="Times New Roman" w:hAnsi="Garamond"/>
      <w:color w:val="auto"/>
      <w:lang w:eastAsia="en-NZ"/>
    </w:rPr>
  </w:style>
  <w:style w:type="paragraph" w:styleId="FootnoteText">
    <w:name w:val="footnote text"/>
    <w:aliases w:val="FOOTNOTES,fn,single space,Char2 Char Char,Char2 Char,Char2 Char Char Char  Char Char,footnote text,ALTS FOOTNOTE,ft,ADB,Footnote Text Char Char Char,Footnote Text Char Char,ft Char Char Char,(NECG) Footnote Text,Char Char Char"/>
    <w:basedOn w:val="Normal"/>
    <w:link w:val="FootnoteTextChar"/>
    <w:rsid w:val="00DE6A03"/>
    <w:pPr>
      <w:tabs>
        <w:tab w:val="left" w:pos="187"/>
      </w:tabs>
      <w:spacing w:after="120" w:line="240" w:lineRule="auto"/>
      <w:ind w:left="187" w:hanging="187"/>
      <w:jc w:val="both"/>
    </w:pPr>
    <w:rPr>
      <w:rFonts w:eastAsia="Times New Roman" w:cs="Times New Roman"/>
      <w:color w:val="auto"/>
      <w:sz w:val="18"/>
      <w:szCs w:val="20"/>
      <w:lang w:eastAsia="en-NZ"/>
    </w:rPr>
  </w:style>
  <w:style w:type="character" w:customStyle="1" w:styleId="FootnoteTextChar">
    <w:name w:val="Footnote Text Char"/>
    <w:aliases w:val="FOOTNOTES Char,fn Char,single space Char,Char2 Char Char Char,Char2 Char Char1,Char2 Char Char Char  Char Char Char,footnote text Char,ALTS FOOTNOTE Char,ft Char,ADB Char,Footnote Text Char Char Char Char,Footnote Text Char Char Char1"/>
    <w:basedOn w:val="DefaultParagraphFont"/>
    <w:link w:val="FootnoteText"/>
    <w:rsid w:val="00DE6A03"/>
    <w:rPr>
      <w:rFonts w:ascii="Garamond" w:eastAsia="Times New Roman" w:hAnsi="Garamond" w:cs="Times New Roman"/>
      <w:sz w:val="18"/>
      <w:szCs w:val="20"/>
      <w:lang w:eastAsia="en-NZ"/>
    </w:rPr>
  </w:style>
  <w:style w:type="character" w:styleId="FootnoteReference">
    <w:name w:val="footnote reference"/>
    <w:aliases w:val="ftref,(NECG) Footnote Reference,Ref,de nota al pie"/>
    <w:basedOn w:val="DefaultParagraphFont"/>
    <w:rsid w:val="00DE6A03"/>
    <w:rPr>
      <w:rFonts w:ascii="Garamond" w:hAnsi="Garamond"/>
      <w:sz w:val="18"/>
      <w:szCs w:val="18"/>
      <w:vertAlign w:val="superscript"/>
      <w:lang w:val="en-US"/>
    </w:rPr>
  </w:style>
  <w:style w:type="character" w:styleId="Hyperlink">
    <w:name w:val="Hyperlink"/>
    <w:basedOn w:val="DefaultParagraphFont"/>
    <w:uiPriority w:val="99"/>
    <w:rsid w:val="00DE6A03"/>
    <w:rPr>
      <w:color w:val="0000FF"/>
      <w:u w:val="single"/>
      <w:lang w:val="en-US"/>
    </w:rPr>
  </w:style>
  <w:style w:type="character" w:customStyle="1" w:styleId="ListBulletChar">
    <w:name w:val="List Bullet Char"/>
    <w:aliases w:val="List Bullet Title Char,List Bullet Title Char Char Char Char1,List Bullet Title Char Char Char Char Char,List Bullet1 Char Char,List Bullet Char Char Char Char Char Char Char Char,List Bullet Char Char Char Char Char1,List Bullet2 Char"/>
    <w:basedOn w:val="DefaultParagraphFont"/>
    <w:link w:val="ListBullet"/>
    <w:rsid w:val="00DE6A03"/>
    <w:rPr>
      <w:rFonts w:ascii="Garamond" w:eastAsia="Times New Roman" w:hAnsi="Garamond" w:cs="Times New Roman"/>
      <w:sz w:val="24"/>
      <w:szCs w:val="24"/>
      <w:lang w:eastAsia="en-NZ"/>
    </w:rPr>
  </w:style>
  <w:style w:type="character" w:customStyle="1" w:styleId="CaptionChar">
    <w:name w:val="Caption Char"/>
    <w:link w:val="Caption"/>
    <w:locked/>
    <w:rsid w:val="00D5364D"/>
    <w:rPr>
      <w:rFonts w:ascii="Garamond" w:hAnsi="Garamond"/>
      <w:b/>
      <w:bCs/>
      <w:color w:val="262626" w:themeColor="text1" w:themeTint="D9"/>
      <w:sz w:val="24"/>
      <w:szCs w:val="18"/>
    </w:rPr>
  </w:style>
  <w:style w:type="paragraph" w:customStyle="1" w:styleId="BlockQuotation">
    <w:name w:val="Block Quotation"/>
    <w:basedOn w:val="BodyText"/>
    <w:next w:val="BodyText"/>
    <w:rsid w:val="00E14C8B"/>
    <w:pPr>
      <w:keepLines/>
      <w:spacing w:line="280" w:lineRule="atLeast"/>
      <w:ind w:left="720" w:right="720"/>
      <w:jc w:val="both"/>
    </w:pPr>
    <w:rPr>
      <w:rFonts w:ascii="Garamond" w:eastAsia="Times New Roman" w:hAnsi="Garamond"/>
      <w:i/>
      <w:color w:val="auto"/>
      <w:lang w:eastAsia="en-NZ"/>
    </w:rPr>
  </w:style>
  <w:style w:type="paragraph" w:customStyle="1" w:styleId="Subheading">
    <w:name w:val="Subheading"/>
    <w:basedOn w:val="BodyText"/>
    <w:next w:val="BodyText"/>
    <w:rsid w:val="00E14C8B"/>
    <w:pPr>
      <w:keepNext/>
      <w:spacing w:after="80"/>
    </w:pPr>
    <w:rPr>
      <w:rFonts w:ascii="Garamond" w:eastAsia="Times New Roman" w:hAnsi="Garamond"/>
      <w:b/>
      <w:color w:val="auto"/>
      <w:kern w:val="28"/>
      <w:lang w:eastAsia="en-NZ"/>
    </w:rPr>
  </w:style>
  <w:style w:type="paragraph" w:styleId="ListContinue">
    <w:name w:val="List Continue"/>
    <w:basedOn w:val="BodyText"/>
    <w:rsid w:val="00E14C8B"/>
    <w:pPr>
      <w:ind w:left="1004"/>
      <w:jc w:val="both"/>
    </w:pPr>
    <w:rPr>
      <w:rFonts w:ascii="Garamond" w:eastAsia="Times New Roman" w:hAnsi="Garamond"/>
      <w:color w:val="auto"/>
      <w:lang w:eastAsia="en-NZ"/>
    </w:rPr>
  </w:style>
  <w:style w:type="paragraph" w:styleId="ListContinue2">
    <w:name w:val="List Continue 2"/>
    <w:basedOn w:val="BodyText"/>
    <w:rsid w:val="00E14C8B"/>
    <w:pPr>
      <w:ind w:left="1287"/>
      <w:jc w:val="both"/>
    </w:pPr>
    <w:rPr>
      <w:rFonts w:ascii="Garamond" w:eastAsia="Times New Roman" w:hAnsi="Garamond"/>
      <w:color w:val="auto"/>
      <w:lang w:eastAsia="en-NZ"/>
    </w:rPr>
  </w:style>
  <w:style w:type="paragraph" w:customStyle="1" w:styleId="Numberedtext">
    <w:name w:val="Numbered text"/>
    <w:basedOn w:val="BodyText"/>
    <w:rsid w:val="00E14C8B"/>
    <w:pPr>
      <w:numPr>
        <w:numId w:val="20"/>
      </w:numPr>
      <w:jc w:val="both"/>
    </w:pPr>
    <w:rPr>
      <w:rFonts w:ascii="Garamond" w:eastAsia="Times New Roman" w:hAnsi="Garamond"/>
      <w:color w:val="auto"/>
      <w:lang w:eastAsia="en-NZ"/>
    </w:rPr>
  </w:style>
  <w:style w:type="paragraph" w:customStyle="1" w:styleId="BoxText">
    <w:name w:val="Box Text"/>
    <w:basedOn w:val="Normal"/>
    <w:rsid w:val="00E14C8B"/>
    <w:pPr>
      <w:spacing w:before="30" w:after="30" w:line="240" w:lineRule="auto"/>
      <w:jc w:val="both"/>
    </w:pPr>
    <w:rPr>
      <w:rFonts w:eastAsia="Times New Roman" w:cs="Times New Roman"/>
      <w:color w:val="auto"/>
      <w:sz w:val="22"/>
      <w:szCs w:val="24"/>
      <w:lang w:eastAsia="en-NZ"/>
    </w:rPr>
  </w:style>
  <w:style w:type="paragraph" w:customStyle="1" w:styleId="BoxBullet1">
    <w:name w:val="Box Bullet 1"/>
    <w:basedOn w:val="BoxText"/>
    <w:rsid w:val="00E14C8B"/>
    <w:pPr>
      <w:numPr>
        <w:numId w:val="17"/>
      </w:numPr>
    </w:pPr>
  </w:style>
  <w:style w:type="paragraph" w:customStyle="1" w:styleId="BoxBullet2">
    <w:name w:val="Box Bullet 2"/>
    <w:basedOn w:val="BoxText"/>
    <w:rsid w:val="00E14C8B"/>
    <w:pPr>
      <w:numPr>
        <w:ilvl w:val="1"/>
        <w:numId w:val="17"/>
      </w:numPr>
    </w:pPr>
  </w:style>
  <w:style w:type="paragraph" w:customStyle="1" w:styleId="TableText">
    <w:name w:val="Table Text"/>
    <w:basedOn w:val="Normal"/>
    <w:link w:val="TableTextChar"/>
    <w:rsid w:val="00E14C8B"/>
    <w:pPr>
      <w:spacing w:before="30" w:after="30" w:line="240" w:lineRule="auto"/>
    </w:pPr>
    <w:rPr>
      <w:rFonts w:eastAsia="Times New Roman" w:cs="Times New Roman"/>
      <w:color w:val="auto"/>
      <w:sz w:val="22"/>
      <w:szCs w:val="24"/>
      <w:lang w:eastAsia="en-NZ"/>
    </w:rPr>
  </w:style>
  <w:style w:type="paragraph" w:customStyle="1" w:styleId="TableBullet1">
    <w:name w:val="Table Bullet 1"/>
    <w:basedOn w:val="TableText"/>
    <w:rsid w:val="00E14C8B"/>
    <w:pPr>
      <w:numPr>
        <w:numId w:val="21"/>
      </w:numPr>
      <w:tabs>
        <w:tab w:val="clear" w:pos="284"/>
      </w:tabs>
      <w:ind w:left="1080" w:hanging="360"/>
    </w:pPr>
  </w:style>
  <w:style w:type="paragraph" w:customStyle="1" w:styleId="TableBullet2">
    <w:name w:val="Table Bullet 2"/>
    <w:basedOn w:val="TableText"/>
    <w:rsid w:val="00E14C8B"/>
    <w:pPr>
      <w:numPr>
        <w:ilvl w:val="1"/>
        <w:numId w:val="21"/>
      </w:numPr>
      <w:tabs>
        <w:tab w:val="clear" w:pos="567"/>
      </w:tabs>
      <w:ind w:left="1800" w:hanging="360"/>
    </w:pPr>
  </w:style>
  <w:style w:type="paragraph" w:customStyle="1" w:styleId="BoldHeading">
    <w:name w:val="Bold Heading"/>
    <w:basedOn w:val="Heading1"/>
    <w:next w:val="BodyText"/>
    <w:rsid w:val="00E14C8B"/>
    <w:pPr>
      <w:keepLines w:val="0"/>
      <w:numPr>
        <w:numId w:val="0"/>
      </w:numPr>
      <w:spacing w:before="240" w:after="120" w:line="240" w:lineRule="auto"/>
      <w:outlineLvl w:val="9"/>
    </w:pPr>
    <w:rPr>
      <w:rFonts w:eastAsia="Times New Roman" w:cs="Arial"/>
      <w:color w:val="auto"/>
      <w:kern w:val="28"/>
      <w:sz w:val="36"/>
      <w:szCs w:val="36"/>
      <w:lang w:eastAsia="en-NZ"/>
    </w:rPr>
  </w:style>
  <w:style w:type="paragraph" w:customStyle="1" w:styleId="BoxNumberedText">
    <w:name w:val="Box Numbered Text"/>
    <w:basedOn w:val="BoxText"/>
    <w:rsid w:val="00E14C8B"/>
    <w:pPr>
      <w:numPr>
        <w:numId w:val="18"/>
      </w:numPr>
    </w:pPr>
  </w:style>
  <w:style w:type="paragraph" w:styleId="Footer">
    <w:name w:val="footer"/>
    <w:basedOn w:val="Normal"/>
    <w:link w:val="FooterChar"/>
    <w:uiPriority w:val="99"/>
    <w:rsid w:val="00E14C8B"/>
    <w:pPr>
      <w:tabs>
        <w:tab w:val="right" w:pos="8505"/>
      </w:tabs>
      <w:spacing w:after="0" w:line="240" w:lineRule="auto"/>
      <w:jc w:val="both"/>
    </w:pPr>
    <w:rPr>
      <w:rFonts w:eastAsia="Times New Roman" w:cs="Times New Roman"/>
      <w:color w:val="auto"/>
      <w:sz w:val="20"/>
      <w:szCs w:val="24"/>
      <w:lang w:eastAsia="en-NZ"/>
    </w:rPr>
  </w:style>
  <w:style w:type="character" w:customStyle="1" w:styleId="FooterChar">
    <w:name w:val="Footer Char"/>
    <w:basedOn w:val="DefaultParagraphFont"/>
    <w:link w:val="Footer"/>
    <w:uiPriority w:val="99"/>
    <w:rsid w:val="00E14C8B"/>
    <w:rPr>
      <w:rFonts w:ascii="Garamond" w:eastAsia="Times New Roman" w:hAnsi="Garamond" w:cs="Times New Roman"/>
      <w:sz w:val="20"/>
      <w:szCs w:val="24"/>
      <w:lang w:eastAsia="en-NZ"/>
    </w:rPr>
  </w:style>
  <w:style w:type="character" w:styleId="CommentReference">
    <w:name w:val="annotation reference"/>
    <w:basedOn w:val="DefaultParagraphFont"/>
    <w:semiHidden/>
    <w:rsid w:val="00E14C8B"/>
    <w:rPr>
      <w:sz w:val="16"/>
      <w:szCs w:val="16"/>
    </w:rPr>
  </w:style>
  <w:style w:type="paragraph" w:styleId="CommentText">
    <w:name w:val="annotation text"/>
    <w:basedOn w:val="Normal"/>
    <w:link w:val="CommentTextChar"/>
    <w:semiHidden/>
    <w:rsid w:val="00E14C8B"/>
    <w:pPr>
      <w:spacing w:after="0" w:line="240" w:lineRule="auto"/>
      <w:jc w:val="both"/>
    </w:pPr>
    <w:rPr>
      <w:rFonts w:eastAsia="Times New Roman" w:cs="Times New Roman"/>
      <w:color w:val="auto"/>
      <w:sz w:val="20"/>
      <w:szCs w:val="20"/>
      <w:lang w:eastAsia="en-NZ"/>
    </w:rPr>
  </w:style>
  <w:style w:type="character" w:customStyle="1" w:styleId="CommentTextChar">
    <w:name w:val="Comment Text Char"/>
    <w:basedOn w:val="DefaultParagraphFont"/>
    <w:link w:val="CommentText"/>
    <w:semiHidden/>
    <w:rsid w:val="00E14C8B"/>
    <w:rPr>
      <w:rFonts w:ascii="Garamond" w:eastAsia="Times New Roman" w:hAnsi="Garamond" w:cs="Times New Roman"/>
      <w:sz w:val="20"/>
      <w:szCs w:val="20"/>
      <w:lang w:eastAsia="en-NZ"/>
    </w:rPr>
  </w:style>
  <w:style w:type="paragraph" w:styleId="CommentSubject">
    <w:name w:val="annotation subject"/>
    <w:basedOn w:val="CommentText"/>
    <w:next w:val="CommentText"/>
    <w:link w:val="CommentSubjectChar"/>
    <w:semiHidden/>
    <w:rsid w:val="00E14C8B"/>
    <w:rPr>
      <w:b/>
      <w:bCs/>
    </w:rPr>
  </w:style>
  <w:style w:type="character" w:customStyle="1" w:styleId="CommentSubjectChar">
    <w:name w:val="Comment Subject Char"/>
    <w:basedOn w:val="CommentTextChar"/>
    <w:link w:val="CommentSubject"/>
    <w:semiHidden/>
    <w:rsid w:val="00E14C8B"/>
    <w:rPr>
      <w:rFonts w:ascii="Garamond" w:eastAsia="Times New Roman" w:hAnsi="Garamond" w:cs="Times New Roman"/>
      <w:b/>
      <w:bCs/>
      <w:sz w:val="20"/>
      <w:szCs w:val="20"/>
      <w:lang w:eastAsia="en-NZ"/>
    </w:rPr>
  </w:style>
  <w:style w:type="paragraph" w:styleId="BalloonText">
    <w:name w:val="Balloon Text"/>
    <w:basedOn w:val="Normal"/>
    <w:link w:val="BalloonTextChar"/>
    <w:rsid w:val="00E14C8B"/>
    <w:pPr>
      <w:spacing w:after="0" w:line="240" w:lineRule="auto"/>
      <w:jc w:val="both"/>
    </w:pPr>
    <w:rPr>
      <w:rFonts w:eastAsia="Times New Roman" w:cs="Tahoma"/>
      <w:color w:val="auto"/>
      <w:sz w:val="16"/>
      <w:szCs w:val="16"/>
      <w:lang w:eastAsia="en-NZ"/>
    </w:rPr>
  </w:style>
  <w:style w:type="character" w:customStyle="1" w:styleId="BalloonTextChar">
    <w:name w:val="Balloon Text Char"/>
    <w:basedOn w:val="DefaultParagraphFont"/>
    <w:link w:val="BalloonText"/>
    <w:rsid w:val="00E14C8B"/>
    <w:rPr>
      <w:rFonts w:ascii="Garamond" w:eastAsia="Times New Roman" w:hAnsi="Garamond" w:cs="Tahoma"/>
      <w:sz w:val="16"/>
      <w:szCs w:val="16"/>
      <w:lang w:eastAsia="en-NZ"/>
    </w:rPr>
  </w:style>
  <w:style w:type="paragraph" w:styleId="Header">
    <w:name w:val="header"/>
    <w:basedOn w:val="Normal"/>
    <w:link w:val="HeaderChar"/>
    <w:rsid w:val="00E14C8B"/>
    <w:pPr>
      <w:keepLines/>
      <w:tabs>
        <w:tab w:val="center" w:pos="4153"/>
        <w:tab w:val="right" w:pos="8306"/>
      </w:tabs>
      <w:spacing w:after="0" w:line="240" w:lineRule="auto"/>
      <w:jc w:val="center"/>
    </w:pPr>
    <w:rPr>
      <w:rFonts w:eastAsia="Times New Roman" w:cs="Times New Roman"/>
      <w:color w:val="auto"/>
      <w:sz w:val="20"/>
      <w:szCs w:val="24"/>
      <w:lang w:eastAsia="en-NZ"/>
    </w:rPr>
  </w:style>
  <w:style w:type="character" w:customStyle="1" w:styleId="HeaderChar">
    <w:name w:val="Header Char"/>
    <w:basedOn w:val="DefaultParagraphFont"/>
    <w:link w:val="Header"/>
    <w:rsid w:val="00E14C8B"/>
    <w:rPr>
      <w:rFonts w:ascii="Garamond" w:eastAsia="Times New Roman" w:hAnsi="Garamond" w:cs="Times New Roman"/>
      <w:sz w:val="20"/>
      <w:szCs w:val="24"/>
      <w:lang w:eastAsia="en-NZ"/>
    </w:rPr>
  </w:style>
  <w:style w:type="character" w:styleId="PageNumber">
    <w:name w:val="page number"/>
    <w:basedOn w:val="DefaultParagraphFont"/>
    <w:rsid w:val="00E14C8B"/>
    <w:rPr>
      <w:rFonts w:ascii="Garamond" w:hAnsi="Garamond"/>
      <w:sz w:val="18"/>
      <w:lang w:val="en-US"/>
    </w:rPr>
  </w:style>
  <w:style w:type="paragraph" w:customStyle="1" w:styleId="SourceNoteText">
    <w:name w:val="Source/Note Text"/>
    <w:basedOn w:val="Normal"/>
    <w:link w:val="SourceNoteTextChar"/>
    <w:rsid w:val="00E14C8B"/>
    <w:pPr>
      <w:tabs>
        <w:tab w:val="left" w:pos="743"/>
        <w:tab w:val="left" w:pos="1168"/>
      </w:tabs>
      <w:spacing w:before="120" w:after="30" w:line="240" w:lineRule="auto"/>
      <w:ind w:left="743" w:hanging="743"/>
    </w:pPr>
    <w:rPr>
      <w:rFonts w:eastAsia="Times New Roman" w:cs="Times New Roman"/>
      <w:color w:val="auto"/>
      <w:sz w:val="20"/>
      <w:szCs w:val="24"/>
      <w:lang w:eastAsia="en-NZ"/>
    </w:rPr>
  </w:style>
  <w:style w:type="table" w:styleId="TableGrid">
    <w:name w:val="Table Grid"/>
    <w:basedOn w:val="TableNormal"/>
    <w:rsid w:val="00E14C8B"/>
    <w:pPr>
      <w:tabs>
        <w:tab w:val="left" w:pos="284"/>
        <w:tab w:val="left" w:pos="567"/>
      </w:tabs>
      <w:spacing w:before="30" w:after="30" w:line="240" w:lineRule="auto"/>
    </w:pPr>
    <w:rPr>
      <w:rFonts w:ascii="Garamond" w:eastAsia="Times New Roman" w:hAnsi="Garamond" w:cs="Times New Roman"/>
    </w:rPr>
    <w:tblPr>
      <w:jc w:val="center"/>
      <w:tblBorders>
        <w:insideH w:val="single" w:sz="4" w:space="0" w:color="auto"/>
        <w:insideV w:val="single" w:sz="4" w:space="0" w:color="auto"/>
      </w:tblBorders>
      <w:tblCellMar>
        <w:top w:w="28" w:type="dxa"/>
        <w:left w:w="85" w:type="dxa"/>
        <w:bottom w:w="28" w:type="dxa"/>
        <w:right w:w="85" w:type="dxa"/>
      </w:tblCellMar>
    </w:tblPr>
    <w:trPr>
      <w:jc w:val="center"/>
    </w:trPr>
    <w:tcPr>
      <w:noWrap/>
    </w:tcPr>
  </w:style>
  <w:style w:type="paragraph" w:customStyle="1" w:styleId="TableNumberedText">
    <w:name w:val="Table Numbered Text"/>
    <w:basedOn w:val="TableText"/>
    <w:rsid w:val="00E14C8B"/>
    <w:pPr>
      <w:numPr>
        <w:numId w:val="22"/>
      </w:numPr>
      <w:tabs>
        <w:tab w:val="clear" w:pos="284"/>
      </w:tabs>
      <w:ind w:left="720" w:hanging="360"/>
    </w:pPr>
  </w:style>
  <w:style w:type="paragraph" w:styleId="TOC1">
    <w:name w:val="toc 1"/>
    <w:basedOn w:val="Normal"/>
    <w:next w:val="Normal"/>
    <w:uiPriority w:val="39"/>
    <w:rsid w:val="00E14C8B"/>
    <w:pPr>
      <w:tabs>
        <w:tab w:val="right" w:pos="7655"/>
      </w:tabs>
      <w:spacing w:before="60" w:after="120" w:line="240" w:lineRule="auto"/>
      <w:ind w:left="720" w:right="1588" w:hanging="720"/>
    </w:pPr>
    <w:rPr>
      <w:rFonts w:eastAsia="Times New Roman" w:cs="Times New Roman"/>
      <w:b/>
      <w:color w:val="auto"/>
      <w:szCs w:val="24"/>
      <w:lang w:eastAsia="en-NZ"/>
    </w:rPr>
  </w:style>
  <w:style w:type="paragraph" w:styleId="TOC2">
    <w:name w:val="toc 2"/>
    <w:basedOn w:val="Normal"/>
    <w:next w:val="Normal"/>
    <w:uiPriority w:val="39"/>
    <w:rsid w:val="00E14C8B"/>
    <w:pPr>
      <w:tabs>
        <w:tab w:val="right" w:pos="7655"/>
      </w:tabs>
      <w:spacing w:after="120" w:line="240" w:lineRule="auto"/>
      <w:ind w:left="1440" w:right="1588" w:hanging="720"/>
    </w:pPr>
    <w:rPr>
      <w:rFonts w:eastAsia="Times New Roman" w:cs="Times New Roman"/>
      <w:color w:val="auto"/>
      <w:szCs w:val="24"/>
      <w:lang w:eastAsia="en-NZ"/>
    </w:rPr>
  </w:style>
  <w:style w:type="paragraph" w:styleId="TOC3">
    <w:name w:val="toc 3"/>
    <w:basedOn w:val="Normal"/>
    <w:next w:val="Normal"/>
    <w:uiPriority w:val="39"/>
    <w:rsid w:val="00E14C8B"/>
    <w:pPr>
      <w:tabs>
        <w:tab w:val="left" w:pos="1440"/>
        <w:tab w:val="left" w:pos="2160"/>
        <w:tab w:val="right" w:pos="7655"/>
      </w:tabs>
      <w:spacing w:after="120" w:line="240" w:lineRule="auto"/>
      <w:ind w:left="2160" w:right="1588" w:hanging="720"/>
    </w:pPr>
    <w:rPr>
      <w:rFonts w:eastAsia="Times New Roman" w:cs="Times New Roman"/>
      <w:color w:val="auto"/>
      <w:szCs w:val="24"/>
      <w:lang w:eastAsia="en-NZ"/>
    </w:rPr>
  </w:style>
  <w:style w:type="paragraph" w:styleId="TableofFigures">
    <w:name w:val="table of figures"/>
    <w:basedOn w:val="TOC1"/>
    <w:next w:val="Normal"/>
    <w:uiPriority w:val="99"/>
    <w:rsid w:val="00E14C8B"/>
    <w:pPr>
      <w:ind w:left="0" w:firstLine="0"/>
    </w:pPr>
  </w:style>
  <w:style w:type="paragraph" w:customStyle="1" w:styleId="TableorFigureEnd">
    <w:name w:val="Table or Figure End"/>
    <w:basedOn w:val="Normal"/>
    <w:next w:val="BodyText"/>
    <w:rsid w:val="00E14C8B"/>
    <w:pPr>
      <w:pBdr>
        <w:top w:val="single" w:sz="4" w:space="1" w:color="auto"/>
      </w:pBdr>
      <w:tabs>
        <w:tab w:val="right" w:leader="dot" w:pos="8296"/>
      </w:tabs>
      <w:spacing w:before="90" w:after="0" w:line="240" w:lineRule="auto"/>
      <w:ind w:left="-57" w:right="-57"/>
      <w:jc w:val="both"/>
    </w:pPr>
    <w:rPr>
      <w:rFonts w:eastAsia="Times New Roman" w:cs="Times New Roman"/>
      <w:color w:val="auto"/>
      <w:szCs w:val="24"/>
      <w:lang w:eastAsia="en-NZ"/>
    </w:rPr>
  </w:style>
  <w:style w:type="paragraph" w:styleId="TOC4">
    <w:name w:val="toc 4"/>
    <w:basedOn w:val="Normal"/>
    <w:next w:val="Normal"/>
    <w:rsid w:val="00E14C8B"/>
    <w:pPr>
      <w:spacing w:before="60" w:after="120" w:line="240" w:lineRule="auto"/>
      <w:ind w:right="1588"/>
    </w:pPr>
    <w:rPr>
      <w:rFonts w:eastAsia="Times New Roman" w:cs="Times New Roman"/>
      <w:b/>
      <w:color w:val="auto"/>
      <w:szCs w:val="24"/>
      <w:lang w:eastAsia="en-NZ"/>
    </w:rPr>
  </w:style>
  <w:style w:type="character" w:customStyle="1" w:styleId="TableTextChar">
    <w:name w:val="Table Text Char"/>
    <w:basedOn w:val="DefaultParagraphFont"/>
    <w:link w:val="TableText"/>
    <w:locked/>
    <w:rsid w:val="00E14C8B"/>
    <w:rPr>
      <w:rFonts w:ascii="Garamond" w:eastAsia="Times New Roman" w:hAnsi="Garamond" w:cs="Times New Roman"/>
      <w:szCs w:val="24"/>
      <w:lang w:eastAsia="en-NZ"/>
    </w:rPr>
  </w:style>
  <w:style w:type="character" w:customStyle="1" w:styleId="SourceNoteTextChar">
    <w:name w:val="Source/Note Text Char"/>
    <w:basedOn w:val="DefaultParagraphFont"/>
    <w:link w:val="SourceNoteText"/>
    <w:locked/>
    <w:rsid w:val="00E14C8B"/>
    <w:rPr>
      <w:rFonts w:ascii="Garamond" w:eastAsia="Times New Roman" w:hAnsi="Garamond" w:cs="Times New Roman"/>
      <w:sz w:val="20"/>
      <w:szCs w:val="24"/>
      <w:lang w:eastAsia="en-NZ"/>
    </w:rPr>
  </w:style>
  <w:style w:type="character" w:styleId="FollowedHyperlink">
    <w:name w:val="FollowedHyperlink"/>
    <w:basedOn w:val="DefaultParagraphFont"/>
    <w:rsid w:val="00E14C8B"/>
    <w:rPr>
      <w:color w:val="800080" w:themeColor="followedHyperlink"/>
      <w:u w:val="single"/>
    </w:rPr>
  </w:style>
  <w:style w:type="paragraph" w:styleId="Revision">
    <w:name w:val="Revision"/>
    <w:hidden/>
    <w:uiPriority w:val="99"/>
    <w:semiHidden/>
    <w:rsid w:val="00E14C8B"/>
    <w:pPr>
      <w:spacing w:after="0" w:line="240" w:lineRule="auto"/>
    </w:pPr>
    <w:rPr>
      <w:rFonts w:ascii="Garamond" w:eastAsia="Times New Roman" w:hAnsi="Garamond" w:cs="Times New Roman"/>
      <w:sz w:val="24"/>
      <w:szCs w:val="24"/>
      <w:lang w:eastAsia="en-NZ"/>
    </w:rPr>
  </w:style>
  <w:style w:type="table" w:customStyle="1" w:styleId="TableGrid1">
    <w:name w:val="Table Grid1"/>
    <w:basedOn w:val="TableNormal"/>
    <w:next w:val="TableGrid"/>
    <w:rsid w:val="000E6D6C"/>
    <w:pPr>
      <w:tabs>
        <w:tab w:val="left" w:pos="284"/>
        <w:tab w:val="left" w:pos="567"/>
      </w:tabs>
      <w:spacing w:before="30" w:after="30" w:line="240" w:lineRule="auto"/>
    </w:pPr>
    <w:rPr>
      <w:rFonts w:ascii="Garamond" w:eastAsia="Times New Roman" w:hAnsi="Garamond" w:cs="Times New Roman"/>
    </w:rPr>
    <w:tblPr>
      <w:jc w:val="center"/>
      <w:tblBorders>
        <w:insideH w:val="single" w:sz="4" w:space="0" w:color="auto"/>
        <w:insideV w:val="single" w:sz="4" w:space="0" w:color="auto"/>
      </w:tblBorders>
      <w:tblCellMar>
        <w:top w:w="28" w:type="dxa"/>
        <w:left w:w="85" w:type="dxa"/>
        <w:bottom w:w="28" w:type="dxa"/>
        <w:right w:w="85" w:type="dxa"/>
      </w:tblCellMar>
    </w:tblPr>
    <w:trPr>
      <w:jc w:val="center"/>
    </w:trPr>
    <w:tcPr>
      <w:noWrap/>
    </w:tcPr>
  </w:style>
  <w:style w:type="paragraph" w:styleId="TOCHeading">
    <w:name w:val="TOC Heading"/>
    <w:basedOn w:val="Heading1"/>
    <w:next w:val="Normal"/>
    <w:uiPriority w:val="39"/>
    <w:semiHidden/>
    <w:unhideWhenUsed/>
    <w:qFormat/>
    <w:rsid w:val="00622F2E"/>
    <w:pPr>
      <w:numPr>
        <w:numId w:val="0"/>
      </w:numPr>
      <w:outlineLvl w:val="9"/>
    </w:pPr>
    <w:rPr>
      <w:rFonts w:asciiTheme="majorHAnsi" w:hAnsiTheme="majorHAnsi"/>
      <w:color w:val="365F91" w:themeColor="accent1" w:themeShade="BF"/>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B68"/>
    <w:rPr>
      <w:rFonts w:ascii="Garamond" w:hAnsi="Garamond"/>
      <w:color w:val="262626" w:themeColor="text1" w:themeTint="D9"/>
      <w:sz w:val="24"/>
    </w:rPr>
  </w:style>
  <w:style w:type="paragraph" w:styleId="Heading1">
    <w:name w:val="heading 1"/>
    <w:basedOn w:val="Normal"/>
    <w:next w:val="Normal"/>
    <w:link w:val="Heading1Char"/>
    <w:qFormat/>
    <w:rsid w:val="00F94887"/>
    <w:pPr>
      <w:keepNext/>
      <w:keepLines/>
      <w:numPr>
        <w:numId w:val="12"/>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F94887"/>
    <w:pPr>
      <w:keepNext/>
      <w:keepLines/>
      <w:numPr>
        <w:ilvl w:val="1"/>
        <w:numId w:val="12"/>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autoRedefine/>
    <w:unhideWhenUsed/>
    <w:qFormat/>
    <w:rsid w:val="00621B06"/>
    <w:pPr>
      <w:keepNext/>
      <w:numPr>
        <w:ilvl w:val="2"/>
        <w:numId w:val="12"/>
      </w:numPr>
      <w:spacing w:after="80" w:line="240" w:lineRule="auto"/>
      <w:outlineLvl w:val="2"/>
    </w:pPr>
    <w:rPr>
      <w:rFonts w:eastAsiaTheme="majorEastAsia" w:cstheme="majorBidi"/>
      <w:b/>
      <w:bCs/>
      <w:szCs w:val="24"/>
    </w:rPr>
  </w:style>
  <w:style w:type="paragraph" w:styleId="Heading4">
    <w:name w:val="heading 4"/>
    <w:basedOn w:val="Heading1"/>
    <w:next w:val="Normal"/>
    <w:link w:val="Heading4Char"/>
    <w:unhideWhenUsed/>
    <w:qFormat/>
    <w:rsid w:val="005115AA"/>
    <w:pPr>
      <w:numPr>
        <w:numId w:val="0"/>
      </w:numPr>
      <w:ind w:left="432" w:hanging="432"/>
      <w:outlineLvl w:val="3"/>
    </w:pPr>
    <w:rPr>
      <w:color w:val="auto"/>
    </w:rPr>
  </w:style>
  <w:style w:type="paragraph" w:styleId="Heading5">
    <w:name w:val="heading 5"/>
    <w:basedOn w:val="Normal"/>
    <w:next w:val="Normal"/>
    <w:link w:val="Heading5Char"/>
    <w:unhideWhenUsed/>
    <w:qFormat/>
    <w:rsid w:val="00DE6A03"/>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DE6A03"/>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6A03"/>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6A03"/>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6A03"/>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4887"/>
    <w:pPr>
      <w:ind w:left="720"/>
      <w:contextualSpacing/>
    </w:pPr>
  </w:style>
  <w:style w:type="paragraph" w:styleId="BodyText">
    <w:name w:val="Body Text"/>
    <w:aliases w:val="Body Text Char Char Char,Body Text Char Char,1body,BodText,bt,body text,Body Txt,heading3,3 indent,heading31,body text1,3 indent1,heading32,body text2,3 indent2,heading33,body text3,3 indent3,heading34,body text4 Char,b,Body Tex,body ...,sub,B"/>
    <w:basedOn w:val="Normal"/>
    <w:link w:val="BodyTextChar"/>
    <w:unhideWhenUsed/>
    <w:rsid w:val="00941F61"/>
    <w:pPr>
      <w:spacing w:after="120" w:line="240" w:lineRule="auto"/>
    </w:pPr>
    <w:rPr>
      <w:rFonts w:ascii="Cambria" w:eastAsia="MS Mincho" w:hAnsi="Cambria" w:cs="Times New Roman"/>
      <w:szCs w:val="24"/>
      <w:lang w:eastAsia="ja-JP"/>
    </w:rPr>
  </w:style>
  <w:style w:type="character" w:customStyle="1" w:styleId="BodyTextChar">
    <w:name w:val="Body Text Char"/>
    <w:aliases w:val="Body Text Char Char Char Char,Body Text Char Char Char1,1body Char,BodText Char,bt Char,body text Char,Body Txt Char,heading3 Char,3 indent Char,heading31 Char,body text1 Char,3 indent1 Char,heading32 Char,body text2 Char,3 indent2 Char"/>
    <w:basedOn w:val="DefaultParagraphFont"/>
    <w:link w:val="BodyText"/>
    <w:rsid w:val="00941F61"/>
    <w:rPr>
      <w:rFonts w:ascii="Cambria" w:eastAsia="MS Mincho" w:hAnsi="Cambria" w:cs="Times New Roman"/>
      <w:sz w:val="24"/>
      <w:szCs w:val="24"/>
      <w:lang w:eastAsia="ja-JP"/>
    </w:rPr>
  </w:style>
  <w:style w:type="paragraph" w:styleId="Title">
    <w:name w:val="Title"/>
    <w:basedOn w:val="Normal"/>
    <w:next w:val="Normal"/>
    <w:link w:val="TitleChar"/>
    <w:autoRedefine/>
    <w:qFormat/>
    <w:rsid w:val="00552328"/>
    <w:pPr>
      <w:spacing w:after="300" w:line="240" w:lineRule="auto"/>
      <w:contextualSpacing/>
      <w:jc w:val="both"/>
    </w:pPr>
    <w:rPr>
      <w:rFonts w:ascii="Arial" w:eastAsiaTheme="majorEastAsia" w:hAnsi="Arial" w:cs="Arial"/>
      <w:b/>
      <w:spacing w:val="5"/>
      <w:kern w:val="28"/>
      <w:szCs w:val="52"/>
    </w:rPr>
  </w:style>
  <w:style w:type="character" w:customStyle="1" w:styleId="TitleChar">
    <w:name w:val="Title Char"/>
    <w:basedOn w:val="DefaultParagraphFont"/>
    <w:link w:val="Title"/>
    <w:rsid w:val="00552328"/>
    <w:rPr>
      <w:rFonts w:ascii="Arial" w:eastAsiaTheme="majorEastAsia" w:hAnsi="Arial" w:cs="Arial"/>
      <w:b/>
      <w:color w:val="262626" w:themeColor="text1" w:themeTint="D9"/>
      <w:spacing w:val="5"/>
      <w:kern w:val="28"/>
      <w:sz w:val="24"/>
      <w:szCs w:val="52"/>
    </w:rPr>
  </w:style>
  <w:style w:type="paragraph" w:customStyle="1" w:styleId="Newpage">
    <w:name w:val="Newpage"/>
    <w:basedOn w:val="Normal"/>
    <w:rsid w:val="00941F61"/>
    <w:pPr>
      <w:tabs>
        <w:tab w:val="left" w:pos="1440"/>
        <w:tab w:val="left" w:pos="3060"/>
      </w:tabs>
      <w:spacing w:after="0" w:line="240" w:lineRule="auto"/>
      <w:jc w:val="center"/>
    </w:pPr>
    <w:rPr>
      <w:rFonts w:ascii="Times New Roman" w:eastAsia="Times New Roman" w:hAnsi="Times New Roman" w:cs="Arial"/>
      <w:b/>
      <w:smallCaps/>
      <w:szCs w:val="20"/>
    </w:rPr>
  </w:style>
  <w:style w:type="paragraph" w:customStyle="1" w:styleId="Bullet1">
    <w:name w:val="Bullet 1"/>
    <w:basedOn w:val="ListParagraph"/>
    <w:link w:val="Bullet1Char"/>
    <w:qFormat/>
    <w:rsid w:val="00F94887"/>
    <w:pPr>
      <w:numPr>
        <w:numId w:val="11"/>
      </w:numPr>
      <w:tabs>
        <w:tab w:val="num" w:pos="360"/>
      </w:tabs>
      <w:ind w:firstLine="0"/>
      <w:contextualSpacing w:val="0"/>
    </w:pPr>
    <w:rPr>
      <w:color w:val="FFC000"/>
    </w:rPr>
  </w:style>
  <w:style w:type="character" w:customStyle="1" w:styleId="Bullet1Char">
    <w:name w:val="Bullet 1 Char"/>
    <w:basedOn w:val="ListParagraphChar"/>
    <w:link w:val="Bullet1"/>
    <w:rsid w:val="00F94887"/>
    <w:rPr>
      <w:rFonts w:ascii="Garamond" w:hAnsi="Garamond"/>
      <w:color w:val="FFC000"/>
      <w:sz w:val="24"/>
    </w:rPr>
  </w:style>
  <w:style w:type="paragraph" w:customStyle="1" w:styleId="Bullet2">
    <w:name w:val="Bullet 2"/>
    <w:basedOn w:val="Bullet1"/>
    <w:link w:val="Bullet2Char"/>
    <w:qFormat/>
    <w:rsid w:val="00F94887"/>
    <w:pPr>
      <w:numPr>
        <w:ilvl w:val="1"/>
        <w:numId w:val="2"/>
      </w:numPr>
      <w:tabs>
        <w:tab w:val="num" w:pos="360"/>
      </w:tabs>
      <w:ind w:left="1440" w:firstLine="0"/>
    </w:pPr>
    <w:rPr>
      <w:color w:val="262626" w:themeColor="text1" w:themeTint="D9"/>
    </w:rPr>
  </w:style>
  <w:style w:type="character" w:customStyle="1" w:styleId="Bullet2Char">
    <w:name w:val="Bullet 2 Char"/>
    <w:basedOn w:val="Bullet1Char"/>
    <w:link w:val="Bullet2"/>
    <w:rsid w:val="00F94887"/>
    <w:rPr>
      <w:rFonts w:ascii="Garamond" w:hAnsi="Garamond"/>
      <w:color w:val="262626" w:themeColor="text1" w:themeTint="D9"/>
      <w:sz w:val="24"/>
    </w:rPr>
  </w:style>
  <w:style w:type="paragraph" w:customStyle="1" w:styleId="Source">
    <w:name w:val="Source"/>
    <w:basedOn w:val="Normal"/>
    <w:link w:val="SourceChar"/>
    <w:qFormat/>
    <w:rsid w:val="00F94887"/>
    <w:pPr>
      <w:pBdr>
        <w:top w:val="single" w:sz="8" w:space="1" w:color="FFC000"/>
      </w:pBdr>
    </w:pPr>
    <w:rPr>
      <w:sz w:val="20"/>
      <w:szCs w:val="20"/>
    </w:rPr>
  </w:style>
  <w:style w:type="character" w:customStyle="1" w:styleId="SourceChar">
    <w:name w:val="Source Char"/>
    <w:basedOn w:val="DefaultParagraphFont"/>
    <w:link w:val="Source"/>
    <w:rsid w:val="00F94887"/>
    <w:rPr>
      <w:rFonts w:ascii="Garamond" w:hAnsi="Garamond"/>
      <w:color w:val="262626" w:themeColor="text1" w:themeTint="D9"/>
      <w:sz w:val="20"/>
      <w:szCs w:val="20"/>
    </w:rPr>
  </w:style>
  <w:style w:type="character" w:customStyle="1" w:styleId="Heading1Char">
    <w:name w:val="Heading 1 Char"/>
    <w:basedOn w:val="DefaultParagraphFont"/>
    <w:link w:val="Heading1"/>
    <w:rsid w:val="00F94887"/>
    <w:rPr>
      <w:rFonts w:ascii="Garamond" w:eastAsiaTheme="majorEastAsia" w:hAnsi="Garamond" w:cstheme="majorBidi"/>
      <w:b/>
      <w:bCs/>
      <w:color w:val="262626" w:themeColor="text1" w:themeTint="D9"/>
      <w:sz w:val="28"/>
      <w:szCs w:val="28"/>
    </w:rPr>
  </w:style>
  <w:style w:type="character" w:customStyle="1" w:styleId="Heading2Char">
    <w:name w:val="Heading 2 Char"/>
    <w:basedOn w:val="DefaultParagraphFont"/>
    <w:link w:val="Heading2"/>
    <w:rsid w:val="00F94887"/>
    <w:rPr>
      <w:rFonts w:ascii="Garamond" w:eastAsiaTheme="majorEastAsia" w:hAnsi="Garamond" w:cstheme="majorBidi"/>
      <w:b/>
      <w:bCs/>
      <w:color w:val="262626" w:themeColor="text1" w:themeTint="D9"/>
      <w:sz w:val="26"/>
      <w:szCs w:val="26"/>
    </w:rPr>
  </w:style>
  <w:style w:type="character" w:customStyle="1" w:styleId="Heading3Char">
    <w:name w:val="Heading 3 Char"/>
    <w:basedOn w:val="DefaultParagraphFont"/>
    <w:link w:val="Heading3"/>
    <w:rsid w:val="00621B06"/>
    <w:rPr>
      <w:rFonts w:ascii="Garamond" w:eastAsiaTheme="majorEastAsia" w:hAnsi="Garamond" w:cstheme="majorBidi"/>
      <w:b/>
      <w:bCs/>
      <w:color w:val="262626" w:themeColor="text1" w:themeTint="D9"/>
      <w:sz w:val="24"/>
      <w:szCs w:val="24"/>
    </w:rPr>
  </w:style>
  <w:style w:type="paragraph" w:styleId="Caption">
    <w:name w:val="caption"/>
    <w:basedOn w:val="Normal"/>
    <w:next w:val="Normal"/>
    <w:link w:val="CaptionChar"/>
    <w:unhideWhenUsed/>
    <w:qFormat/>
    <w:rsid w:val="00F94887"/>
    <w:pPr>
      <w:pBdr>
        <w:bottom w:val="single" w:sz="8" w:space="1" w:color="FFC000"/>
      </w:pBdr>
      <w:spacing w:line="240" w:lineRule="auto"/>
    </w:pPr>
    <w:rPr>
      <w:b/>
      <w:bCs/>
      <w:szCs w:val="18"/>
    </w:rPr>
  </w:style>
  <w:style w:type="character" w:customStyle="1" w:styleId="ListParagraphChar">
    <w:name w:val="List Paragraph Char"/>
    <w:basedOn w:val="DefaultParagraphFont"/>
    <w:link w:val="ListParagraph"/>
    <w:uiPriority w:val="34"/>
    <w:rsid w:val="00F94887"/>
    <w:rPr>
      <w:rFonts w:ascii="Garamond" w:hAnsi="Garamond"/>
      <w:color w:val="262626" w:themeColor="text1" w:themeTint="D9"/>
      <w:sz w:val="24"/>
    </w:rPr>
  </w:style>
  <w:style w:type="character" w:customStyle="1" w:styleId="Heading4Char">
    <w:name w:val="Heading 4 Char"/>
    <w:basedOn w:val="DefaultParagraphFont"/>
    <w:link w:val="Heading4"/>
    <w:rsid w:val="005115AA"/>
    <w:rPr>
      <w:rFonts w:ascii="Garamond" w:eastAsiaTheme="majorEastAsia" w:hAnsi="Garamond" w:cstheme="majorBidi"/>
      <w:b/>
      <w:bCs/>
      <w:sz w:val="28"/>
      <w:szCs w:val="28"/>
    </w:rPr>
  </w:style>
  <w:style w:type="character" w:customStyle="1" w:styleId="Heading5Char">
    <w:name w:val="Heading 5 Char"/>
    <w:basedOn w:val="DefaultParagraphFont"/>
    <w:link w:val="Heading5"/>
    <w:rsid w:val="00DE6A03"/>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DE6A03"/>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6A0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6A0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6A03"/>
    <w:rPr>
      <w:rFonts w:asciiTheme="majorHAnsi" w:eastAsiaTheme="majorEastAsia" w:hAnsiTheme="majorHAnsi" w:cstheme="majorBidi"/>
      <w:i/>
      <w:iCs/>
      <w:color w:val="404040" w:themeColor="text1" w:themeTint="BF"/>
      <w:sz w:val="20"/>
      <w:szCs w:val="20"/>
    </w:rPr>
  </w:style>
  <w:style w:type="paragraph" w:styleId="ListBullet">
    <w:name w:val="List Bullet"/>
    <w:aliases w:val="List Bullet Title,List Bullet Title Char Char Char,List Bullet Title Char Char Char Char,List Bullet1 Char,List Bullet Char Char Char Char Char Char Char,List Bullet Char Char Char Char,List Bullet Char Char Char Char Char,List Bullet2,Char"/>
    <w:basedOn w:val="BodyText"/>
    <w:link w:val="ListBulletChar"/>
    <w:rsid w:val="00DE6A03"/>
    <w:pPr>
      <w:numPr>
        <w:numId w:val="13"/>
      </w:numPr>
      <w:jc w:val="both"/>
    </w:pPr>
    <w:rPr>
      <w:rFonts w:ascii="Garamond" w:eastAsia="Times New Roman" w:hAnsi="Garamond"/>
      <w:color w:val="auto"/>
      <w:lang w:eastAsia="en-NZ"/>
    </w:rPr>
  </w:style>
  <w:style w:type="paragraph" w:styleId="ListBullet2">
    <w:name w:val="List Bullet 2"/>
    <w:aliases w:val="List Bullet 2 Char Char Char"/>
    <w:basedOn w:val="BodyText"/>
    <w:rsid w:val="00DE6A03"/>
    <w:pPr>
      <w:numPr>
        <w:ilvl w:val="1"/>
        <w:numId w:val="13"/>
      </w:numPr>
      <w:jc w:val="both"/>
    </w:pPr>
    <w:rPr>
      <w:rFonts w:ascii="Garamond" w:eastAsia="Times New Roman" w:hAnsi="Garamond"/>
      <w:color w:val="auto"/>
      <w:lang w:eastAsia="en-NZ"/>
    </w:rPr>
  </w:style>
  <w:style w:type="paragraph" w:styleId="ListBullet3">
    <w:name w:val="List Bullet 3"/>
    <w:basedOn w:val="BodyText"/>
    <w:rsid w:val="00DE6A03"/>
    <w:pPr>
      <w:numPr>
        <w:ilvl w:val="2"/>
        <w:numId w:val="13"/>
      </w:numPr>
      <w:jc w:val="both"/>
    </w:pPr>
    <w:rPr>
      <w:rFonts w:ascii="Garamond" w:eastAsia="Times New Roman" w:hAnsi="Garamond"/>
      <w:color w:val="auto"/>
      <w:lang w:eastAsia="en-NZ"/>
    </w:rPr>
  </w:style>
  <w:style w:type="paragraph" w:styleId="ListBullet4">
    <w:name w:val="List Bullet 4"/>
    <w:basedOn w:val="BodyText"/>
    <w:rsid w:val="00DE6A03"/>
    <w:pPr>
      <w:numPr>
        <w:ilvl w:val="3"/>
        <w:numId w:val="13"/>
      </w:numPr>
      <w:jc w:val="both"/>
    </w:pPr>
    <w:rPr>
      <w:rFonts w:ascii="Garamond" w:eastAsia="Times New Roman" w:hAnsi="Garamond"/>
      <w:color w:val="auto"/>
      <w:lang w:eastAsia="en-NZ"/>
    </w:rPr>
  </w:style>
  <w:style w:type="paragraph" w:styleId="FootnoteText">
    <w:name w:val="footnote text"/>
    <w:aliases w:val="FOOTNOTES,fn,single space,Char2 Char Char,Char2 Char,Char2 Char Char Char  Char Char,footnote text,ALTS FOOTNOTE,ft,ADB,Footnote Text Char Char Char,Footnote Text Char Char,ft Char Char Char,(NECG) Footnote Text,Char Char Char"/>
    <w:basedOn w:val="Normal"/>
    <w:link w:val="FootnoteTextChar"/>
    <w:rsid w:val="00DE6A03"/>
    <w:pPr>
      <w:tabs>
        <w:tab w:val="left" w:pos="187"/>
      </w:tabs>
      <w:spacing w:after="120" w:line="240" w:lineRule="auto"/>
      <w:ind w:left="187" w:hanging="187"/>
      <w:jc w:val="both"/>
    </w:pPr>
    <w:rPr>
      <w:rFonts w:eastAsia="Times New Roman" w:cs="Times New Roman"/>
      <w:color w:val="auto"/>
      <w:sz w:val="18"/>
      <w:szCs w:val="20"/>
      <w:lang w:eastAsia="en-NZ"/>
    </w:rPr>
  </w:style>
  <w:style w:type="character" w:customStyle="1" w:styleId="FootnoteTextChar">
    <w:name w:val="Footnote Text Char"/>
    <w:aliases w:val="FOOTNOTES Char,fn Char,single space Char,Char2 Char Char Char,Char2 Char Char1,Char2 Char Char Char  Char Char Char,footnote text Char,ALTS FOOTNOTE Char,ft Char,ADB Char,Footnote Text Char Char Char Char,Footnote Text Char Char Char1"/>
    <w:basedOn w:val="DefaultParagraphFont"/>
    <w:link w:val="FootnoteText"/>
    <w:rsid w:val="00DE6A03"/>
    <w:rPr>
      <w:rFonts w:ascii="Garamond" w:eastAsia="Times New Roman" w:hAnsi="Garamond" w:cs="Times New Roman"/>
      <w:sz w:val="18"/>
      <w:szCs w:val="20"/>
      <w:lang w:eastAsia="en-NZ"/>
    </w:rPr>
  </w:style>
  <w:style w:type="character" w:styleId="FootnoteReference">
    <w:name w:val="footnote reference"/>
    <w:aliases w:val="ftref,(NECG) Footnote Reference,Ref,de nota al pie"/>
    <w:basedOn w:val="DefaultParagraphFont"/>
    <w:rsid w:val="00DE6A03"/>
    <w:rPr>
      <w:rFonts w:ascii="Garamond" w:hAnsi="Garamond"/>
      <w:sz w:val="18"/>
      <w:szCs w:val="18"/>
      <w:vertAlign w:val="superscript"/>
      <w:lang w:val="en-US"/>
    </w:rPr>
  </w:style>
  <w:style w:type="character" w:styleId="Hyperlink">
    <w:name w:val="Hyperlink"/>
    <w:basedOn w:val="DefaultParagraphFont"/>
    <w:uiPriority w:val="99"/>
    <w:rsid w:val="00DE6A03"/>
    <w:rPr>
      <w:color w:val="0000FF"/>
      <w:u w:val="single"/>
      <w:lang w:val="en-US"/>
    </w:rPr>
  </w:style>
  <w:style w:type="character" w:customStyle="1" w:styleId="ListBulletChar">
    <w:name w:val="List Bullet Char"/>
    <w:aliases w:val="List Bullet Title Char,List Bullet Title Char Char Char Char1,List Bullet Title Char Char Char Char Char,List Bullet1 Char Char,List Bullet Char Char Char Char Char Char Char Char,List Bullet Char Char Char Char Char1,List Bullet2 Char"/>
    <w:basedOn w:val="DefaultParagraphFont"/>
    <w:link w:val="ListBullet"/>
    <w:rsid w:val="00DE6A03"/>
    <w:rPr>
      <w:rFonts w:ascii="Garamond" w:eastAsia="Times New Roman" w:hAnsi="Garamond" w:cs="Times New Roman"/>
      <w:sz w:val="24"/>
      <w:szCs w:val="24"/>
      <w:lang w:eastAsia="en-NZ"/>
    </w:rPr>
  </w:style>
  <w:style w:type="character" w:customStyle="1" w:styleId="CaptionChar">
    <w:name w:val="Caption Char"/>
    <w:link w:val="Caption"/>
    <w:locked/>
    <w:rsid w:val="00D5364D"/>
    <w:rPr>
      <w:rFonts w:ascii="Garamond" w:hAnsi="Garamond"/>
      <w:b/>
      <w:bCs/>
      <w:color w:val="262626" w:themeColor="text1" w:themeTint="D9"/>
      <w:sz w:val="24"/>
      <w:szCs w:val="18"/>
    </w:rPr>
  </w:style>
  <w:style w:type="paragraph" w:customStyle="1" w:styleId="BlockQuotation">
    <w:name w:val="Block Quotation"/>
    <w:basedOn w:val="BodyText"/>
    <w:next w:val="BodyText"/>
    <w:rsid w:val="00E14C8B"/>
    <w:pPr>
      <w:keepLines/>
      <w:spacing w:line="280" w:lineRule="atLeast"/>
      <w:ind w:left="720" w:right="720"/>
      <w:jc w:val="both"/>
    </w:pPr>
    <w:rPr>
      <w:rFonts w:ascii="Garamond" w:eastAsia="Times New Roman" w:hAnsi="Garamond"/>
      <w:i/>
      <w:color w:val="auto"/>
      <w:lang w:eastAsia="en-NZ"/>
    </w:rPr>
  </w:style>
  <w:style w:type="paragraph" w:customStyle="1" w:styleId="Subheading">
    <w:name w:val="Subheading"/>
    <w:basedOn w:val="BodyText"/>
    <w:next w:val="BodyText"/>
    <w:rsid w:val="00E14C8B"/>
    <w:pPr>
      <w:keepNext/>
      <w:spacing w:after="80"/>
    </w:pPr>
    <w:rPr>
      <w:rFonts w:ascii="Garamond" w:eastAsia="Times New Roman" w:hAnsi="Garamond"/>
      <w:b/>
      <w:color w:val="auto"/>
      <w:kern w:val="28"/>
      <w:lang w:eastAsia="en-NZ"/>
    </w:rPr>
  </w:style>
  <w:style w:type="paragraph" w:styleId="ListContinue">
    <w:name w:val="List Continue"/>
    <w:basedOn w:val="BodyText"/>
    <w:rsid w:val="00E14C8B"/>
    <w:pPr>
      <w:ind w:left="1004"/>
      <w:jc w:val="both"/>
    </w:pPr>
    <w:rPr>
      <w:rFonts w:ascii="Garamond" w:eastAsia="Times New Roman" w:hAnsi="Garamond"/>
      <w:color w:val="auto"/>
      <w:lang w:eastAsia="en-NZ"/>
    </w:rPr>
  </w:style>
  <w:style w:type="paragraph" w:styleId="ListContinue2">
    <w:name w:val="List Continue 2"/>
    <w:basedOn w:val="BodyText"/>
    <w:rsid w:val="00E14C8B"/>
    <w:pPr>
      <w:ind w:left="1287"/>
      <w:jc w:val="both"/>
    </w:pPr>
    <w:rPr>
      <w:rFonts w:ascii="Garamond" w:eastAsia="Times New Roman" w:hAnsi="Garamond"/>
      <w:color w:val="auto"/>
      <w:lang w:eastAsia="en-NZ"/>
    </w:rPr>
  </w:style>
  <w:style w:type="paragraph" w:customStyle="1" w:styleId="Numberedtext">
    <w:name w:val="Numbered text"/>
    <w:basedOn w:val="BodyText"/>
    <w:rsid w:val="00E14C8B"/>
    <w:pPr>
      <w:numPr>
        <w:numId w:val="20"/>
      </w:numPr>
      <w:jc w:val="both"/>
    </w:pPr>
    <w:rPr>
      <w:rFonts w:ascii="Garamond" w:eastAsia="Times New Roman" w:hAnsi="Garamond"/>
      <w:color w:val="auto"/>
      <w:lang w:eastAsia="en-NZ"/>
    </w:rPr>
  </w:style>
  <w:style w:type="paragraph" w:customStyle="1" w:styleId="BoxText">
    <w:name w:val="Box Text"/>
    <w:basedOn w:val="Normal"/>
    <w:rsid w:val="00E14C8B"/>
    <w:pPr>
      <w:spacing w:before="30" w:after="30" w:line="240" w:lineRule="auto"/>
      <w:jc w:val="both"/>
    </w:pPr>
    <w:rPr>
      <w:rFonts w:eastAsia="Times New Roman" w:cs="Times New Roman"/>
      <w:color w:val="auto"/>
      <w:sz w:val="22"/>
      <w:szCs w:val="24"/>
      <w:lang w:eastAsia="en-NZ"/>
    </w:rPr>
  </w:style>
  <w:style w:type="paragraph" w:customStyle="1" w:styleId="BoxBullet1">
    <w:name w:val="Box Bullet 1"/>
    <w:basedOn w:val="BoxText"/>
    <w:rsid w:val="00E14C8B"/>
    <w:pPr>
      <w:numPr>
        <w:numId w:val="17"/>
      </w:numPr>
    </w:pPr>
  </w:style>
  <w:style w:type="paragraph" w:customStyle="1" w:styleId="BoxBullet2">
    <w:name w:val="Box Bullet 2"/>
    <w:basedOn w:val="BoxText"/>
    <w:rsid w:val="00E14C8B"/>
    <w:pPr>
      <w:numPr>
        <w:ilvl w:val="1"/>
        <w:numId w:val="17"/>
      </w:numPr>
    </w:pPr>
  </w:style>
  <w:style w:type="paragraph" w:customStyle="1" w:styleId="TableText">
    <w:name w:val="Table Text"/>
    <w:basedOn w:val="Normal"/>
    <w:link w:val="TableTextChar"/>
    <w:rsid w:val="00E14C8B"/>
    <w:pPr>
      <w:spacing w:before="30" w:after="30" w:line="240" w:lineRule="auto"/>
    </w:pPr>
    <w:rPr>
      <w:rFonts w:eastAsia="Times New Roman" w:cs="Times New Roman"/>
      <w:color w:val="auto"/>
      <w:sz w:val="22"/>
      <w:szCs w:val="24"/>
      <w:lang w:eastAsia="en-NZ"/>
    </w:rPr>
  </w:style>
  <w:style w:type="paragraph" w:customStyle="1" w:styleId="TableBullet1">
    <w:name w:val="Table Bullet 1"/>
    <w:basedOn w:val="TableText"/>
    <w:rsid w:val="00E14C8B"/>
    <w:pPr>
      <w:numPr>
        <w:numId w:val="21"/>
      </w:numPr>
      <w:tabs>
        <w:tab w:val="clear" w:pos="284"/>
      </w:tabs>
      <w:ind w:left="1080" w:hanging="360"/>
    </w:pPr>
  </w:style>
  <w:style w:type="paragraph" w:customStyle="1" w:styleId="TableBullet2">
    <w:name w:val="Table Bullet 2"/>
    <w:basedOn w:val="TableText"/>
    <w:rsid w:val="00E14C8B"/>
    <w:pPr>
      <w:numPr>
        <w:ilvl w:val="1"/>
        <w:numId w:val="21"/>
      </w:numPr>
      <w:tabs>
        <w:tab w:val="clear" w:pos="567"/>
      </w:tabs>
      <w:ind w:left="1800" w:hanging="360"/>
    </w:pPr>
  </w:style>
  <w:style w:type="paragraph" w:customStyle="1" w:styleId="BoldHeading">
    <w:name w:val="Bold Heading"/>
    <w:basedOn w:val="Heading1"/>
    <w:next w:val="BodyText"/>
    <w:rsid w:val="00E14C8B"/>
    <w:pPr>
      <w:keepLines w:val="0"/>
      <w:numPr>
        <w:numId w:val="0"/>
      </w:numPr>
      <w:spacing w:before="240" w:after="120" w:line="240" w:lineRule="auto"/>
      <w:outlineLvl w:val="9"/>
    </w:pPr>
    <w:rPr>
      <w:rFonts w:eastAsia="Times New Roman" w:cs="Arial"/>
      <w:color w:val="auto"/>
      <w:kern w:val="28"/>
      <w:sz w:val="36"/>
      <w:szCs w:val="36"/>
      <w:lang w:eastAsia="en-NZ"/>
    </w:rPr>
  </w:style>
  <w:style w:type="paragraph" w:customStyle="1" w:styleId="BoxNumberedText">
    <w:name w:val="Box Numbered Text"/>
    <w:basedOn w:val="BoxText"/>
    <w:rsid w:val="00E14C8B"/>
    <w:pPr>
      <w:numPr>
        <w:numId w:val="18"/>
      </w:numPr>
    </w:pPr>
  </w:style>
  <w:style w:type="paragraph" w:styleId="Footer">
    <w:name w:val="footer"/>
    <w:basedOn w:val="Normal"/>
    <w:link w:val="FooterChar"/>
    <w:uiPriority w:val="99"/>
    <w:rsid w:val="00E14C8B"/>
    <w:pPr>
      <w:tabs>
        <w:tab w:val="right" w:pos="8505"/>
      </w:tabs>
      <w:spacing w:after="0" w:line="240" w:lineRule="auto"/>
      <w:jc w:val="both"/>
    </w:pPr>
    <w:rPr>
      <w:rFonts w:eastAsia="Times New Roman" w:cs="Times New Roman"/>
      <w:color w:val="auto"/>
      <w:sz w:val="20"/>
      <w:szCs w:val="24"/>
      <w:lang w:eastAsia="en-NZ"/>
    </w:rPr>
  </w:style>
  <w:style w:type="character" w:customStyle="1" w:styleId="FooterChar">
    <w:name w:val="Footer Char"/>
    <w:basedOn w:val="DefaultParagraphFont"/>
    <w:link w:val="Footer"/>
    <w:uiPriority w:val="99"/>
    <w:rsid w:val="00E14C8B"/>
    <w:rPr>
      <w:rFonts w:ascii="Garamond" w:eastAsia="Times New Roman" w:hAnsi="Garamond" w:cs="Times New Roman"/>
      <w:sz w:val="20"/>
      <w:szCs w:val="24"/>
      <w:lang w:eastAsia="en-NZ"/>
    </w:rPr>
  </w:style>
  <w:style w:type="character" w:styleId="CommentReference">
    <w:name w:val="annotation reference"/>
    <w:basedOn w:val="DefaultParagraphFont"/>
    <w:semiHidden/>
    <w:rsid w:val="00E14C8B"/>
    <w:rPr>
      <w:sz w:val="16"/>
      <w:szCs w:val="16"/>
    </w:rPr>
  </w:style>
  <w:style w:type="paragraph" w:styleId="CommentText">
    <w:name w:val="annotation text"/>
    <w:basedOn w:val="Normal"/>
    <w:link w:val="CommentTextChar"/>
    <w:semiHidden/>
    <w:rsid w:val="00E14C8B"/>
    <w:pPr>
      <w:spacing w:after="0" w:line="240" w:lineRule="auto"/>
      <w:jc w:val="both"/>
    </w:pPr>
    <w:rPr>
      <w:rFonts w:eastAsia="Times New Roman" w:cs="Times New Roman"/>
      <w:color w:val="auto"/>
      <w:sz w:val="20"/>
      <w:szCs w:val="20"/>
      <w:lang w:eastAsia="en-NZ"/>
    </w:rPr>
  </w:style>
  <w:style w:type="character" w:customStyle="1" w:styleId="CommentTextChar">
    <w:name w:val="Comment Text Char"/>
    <w:basedOn w:val="DefaultParagraphFont"/>
    <w:link w:val="CommentText"/>
    <w:semiHidden/>
    <w:rsid w:val="00E14C8B"/>
    <w:rPr>
      <w:rFonts w:ascii="Garamond" w:eastAsia="Times New Roman" w:hAnsi="Garamond" w:cs="Times New Roman"/>
      <w:sz w:val="20"/>
      <w:szCs w:val="20"/>
      <w:lang w:eastAsia="en-NZ"/>
    </w:rPr>
  </w:style>
  <w:style w:type="paragraph" w:styleId="CommentSubject">
    <w:name w:val="annotation subject"/>
    <w:basedOn w:val="CommentText"/>
    <w:next w:val="CommentText"/>
    <w:link w:val="CommentSubjectChar"/>
    <w:semiHidden/>
    <w:rsid w:val="00E14C8B"/>
    <w:rPr>
      <w:b/>
      <w:bCs/>
    </w:rPr>
  </w:style>
  <w:style w:type="character" w:customStyle="1" w:styleId="CommentSubjectChar">
    <w:name w:val="Comment Subject Char"/>
    <w:basedOn w:val="CommentTextChar"/>
    <w:link w:val="CommentSubject"/>
    <w:semiHidden/>
    <w:rsid w:val="00E14C8B"/>
    <w:rPr>
      <w:rFonts w:ascii="Garamond" w:eastAsia="Times New Roman" w:hAnsi="Garamond" w:cs="Times New Roman"/>
      <w:b/>
      <w:bCs/>
      <w:sz w:val="20"/>
      <w:szCs w:val="20"/>
      <w:lang w:eastAsia="en-NZ"/>
    </w:rPr>
  </w:style>
  <w:style w:type="paragraph" w:styleId="BalloonText">
    <w:name w:val="Balloon Text"/>
    <w:basedOn w:val="Normal"/>
    <w:link w:val="BalloonTextChar"/>
    <w:rsid w:val="00E14C8B"/>
    <w:pPr>
      <w:spacing w:after="0" w:line="240" w:lineRule="auto"/>
      <w:jc w:val="both"/>
    </w:pPr>
    <w:rPr>
      <w:rFonts w:eastAsia="Times New Roman" w:cs="Tahoma"/>
      <w:color w:val="auto"/>
      <w:sz w:val="16"/>
      <w:szCs w:val="16"/>
      <w:lang w:eastAsia="en-NZ"/>
    </w:rPr>
  </w:style>
  <w:style w:type="character" w:customStyle="1" w:styleId="BalloonTextChar">
    <w:name w:val="Balloon Text Char"/>
    <w:basedOn w:val="DefaultParagraphFont"/>
    <w:link w:val="BalloonText"/>
    <w:rsid w:val="00E14C8B"/>
    <w:rPr>
      <w:rFonts w:ascii="Garamond" w:eastAsia="Times New Roman" w:hAnsi="Garamond" w:cs="Tahoma"/>
      <w:sz w:val="16"/>
      <w:szCs w:val="16"/>
      <w:lang w:eastAsia="en-NZ"/>
    </w:rPr>
  </w:style>
  <w:style w:type="paragraph" w:styleId="Header">
    <w:name w:val="header"/>
    <w:basedOn w:val="Normal"/>
    <w:link w:val="HeaderChar"/>
    <w:rsid w:val="00E14C8B"/>
    <w:pPr>
      <w:keepLines/>
      <w:tabs>
        <w:tab w:val="center" w:pos="4153"/>
        <w:tab w:val="right" w:pos="8306"/>
      </w:tabs>
      <w:spacing w:after="0" w:line="240" w:lineRule="auto"/>
      <w:jc w:val="center"/>
    </w:pPr>
    <w:rPr>
      <w:rFonts w:eastAsia="Times New Roman" w:cs="Times New Roman"/>
      <w:color w:val="auto"/>
      <w:sz w:val="20"/>
      <w:szCs w:val="24"/>
      <w:lang w:eastAsia="en-NZ"/>
    </w:rPr>
  </w:style>
  <w:style w:type="character" w:customStyle="1" w:styleId="HeaderChar">
    <w:name w:val="Header Char"/>
    <w:basedOn w:val="DefaultParagraphFont"/>
    <w:link w:val="Header"/>
    <w:rsid w:val="00E14C8B"/>
    <w:rPr>
      <w:rFonts w:ascii="Garamond" w:eastAsia="Times New Roman" w:hAnsi="Garamond" w:cs="Times New Roman"/>
      <w:sz w:val="20"/>
      <w:szCs w:val="24"/>
      <w:lang w:eastAsia="en-NZ"/>
    </w:rPr>
  </w:style>
  <w:style w:type="character" w:styleId="PageNumber">
    <w:name w:val="page number"/>
    <w:basedOn w:val="DefaultParagraphFont"/>
    <w:rsid w:val="00E14C8B"/>
    <w:rPr>
      <w:rFonts w:ascii="Garamond" w:hAnsi="Garamond"/>
      <w:sz w:val="18"/>
      <w:lang w:val="en-US"/>
    </w:rPr>
  </w:style>
  <w:style w:type="paragraph" w:customStyle="1" w:styleId="SourceNoteText">
    <w:name w:val="Source/Note Text"/>
    <w:basedOn w:val="Normal"/>
    <w:link w:val="SourceNoteTextChar"/>
    <w:rsid w:val="00E14C8B"/>
    <w:pPr>
      <w:tabs>
        <w:tab w:val="left" w:pos="743"/>
        <w:tab w:val="left" w:pos="1168"/>
      </w:tabs>
      <w:spacing w:before="120" w:after="30" w:line="240" w:lineRule="auto"/>
      <w:ind w:left="743" w:hanging="743"/>
    </w:pPr>
    <w:rPr>
      <w:rFonts w:eastAsia="Times New Roman" w:cs="Times New Roman"/>
      <w:color w:val="auto"/>
      <w:sz w:val="20"/>
      <w:szCs w:val="24"/>
      <w:lang w:eastAsia="en-NZ"/>
    </w:rPr>
  </w:style>
  <w:style w:type="table" w:styleId="TableGrid">
    <w:name w:val="Table Grid"/>
    <w:basedOn w:val="TableNormal"/>
    <w:rsid w:val="00E14C8B"/>
    <w:pPr>
      <w:tabs>
        <w:tab w:val="left" w:pos="284"/>
        <w:tab w:val="left" w:pos="567"/>
      </w:tabs>
      <w:spacing w:before="30" w:after="30" w:line="240" w:lineRule="auto"/>
    </w:pPr>
    <w:rPr>
      <w:rFonts w:ascii="Garamond" w:eastAsia="Times New Roman" w:hAnsi="Garamond" w:cs="Times New Roman"/>
    </w:rPr>
    <w:tblPr>
      <w:jc w:val="center"/>
      <w:tblBorders>
        <w:insideH w:val="single" w:sz="4" w:space="0" w:color="auto"/>
        <w:insideV w:val="single" w:sz="4" w:space="0" w:color="auto"/>
      </w:tblBorders>
      <w:tblCellMar>
        <w:top w:w="28" w:type="dxa"/>
        <w:left w:w="85" w:type="dxa"/>
        <w:bottom w:w="28" w:type="dxa"/>
        <w:right w:w="85" w:type="dxa"/>
      </w:tblCellMar>
    </w:tblPr>
    <w:trPr>
      <w:jc w:val="center"/>
    </w:trPr>
    <w:tcPr>
      <w:noWrap/>
    </w:tcPr>
  </w:style>
  <w:style w:type="paragraph" w:customStyle="1" w:styleId="TableNumberedText">
    <w:name w:val="Table Numbered Text"/>
    <w:basedOn w:val="TableText"/>
    <w:rsid w:val="00E14C8B"/>
    <w:pPr>
      <w:numPr>
        <w:numId w:val="22"/>
      </w:numPr>
      <w:tabs>
        <w:tab w:val="clear" w:pos="284"/>
      </w:tabs>
      <w:ind w:left="720" w:hanging="360"/>
    </w:pPr>
  </w:style>
  <w:style w:type="paragraph" w:styleId="TOC1">
    <w:name w:val="toc 1"/>
    <w:basedOn w:val="Normal"/>
    <w:next w:val="Normal"/>
    <w:uiPriority w:val="39"/>
    <w:rsid w:val="00E14C8B"/>
    <w:pPr>
      <w:tabs>
        <w:tab w:val="right" w:pos="7655"/>
      </w:tabs>
      <w:spacing w:before="60" w:after="120" w:line="240" w:lineRule="auto"/>
      <w:ind w:left="720" w:right="1588" w:hanging="720"/>
    </w:pPr>
    <w:rPr>
      <w:rFonts w:eastAsia="Times New Roman" w:cs="Times New Roman"/>
      <w:b/>
      <w:color w:val="auto"/>
      <w:szCs w:val="24"/>
      <w:lang w:eastAsia="en-NZ"/>
    </w:rPr>
  </w:style>
  <w:style w:type="paragraph" w:styleId="TOC2">
    <w:name w:val="toc 2"/>
    <w:basedOn w:val="Normal"/>
    <w:next w:val="Normal"/>
    <w:uiPriority w:val="39"/>
    <w:rsid w:val="00E14C8B"/>
    <w:pPr>
      <w:tabs>
        <w:tab w:val="right" w:pos="7655"/>
      </w:tabs>
      <w:spacing w:after="120" w:line="240" w:lineRule="auto"/>
      <w:ind w:left="1440" w:right="1588" w:hanging="720"/>
    </w:pPr>
    <w:rPr>
      <w:rFonts w:eastAsia="Times New Roman" w:cs="Times New Roman"/>
      <w:color w:val="auto"/>
      <w:szCs w:val="24"/>
      <w:lang w:eastAsia="en-NZ"/>
    </w:rPr>
  </w:style>
  <w:style w:type="paragraph" w:styleId="TOC3">
    <w:name w:val="toc 3"/>
    <w:basedOn w:val="Normal"/>
    <w:next w:val="Normal"/>
    <w:uiPriority w:val="39"/>
    <w:rsid w:val="00E14C8B"/>
    <w:pPr>
      <w:tabs>
        <w:tab w:val="left" w:pos="1440"/>
        <w:tab w:val="left" w:pos="2160"/>
        <w:tab w:val="right" w:pos="7655"/>
      </w:tabs>
      <w:spacing w:after="120" w:line="240" w:lineRule="auto"/>
      <w:ind w:left="2160" w:right="1588" w:hanging="720"/>
    </w:pPr>
    <w:rPr>
      <w:rFonts w:eastAsia="Times New Roman" w:cs="Times New Roman"/>
      <w:color w:val="auto"/>
      <w:szCs w:val="24"/>
      <w:lang w:eastAsia="en-NZ"/>
    </w:rPr>
  </w:style>
  <w:style w:type="paragraph" w:styleId="TableofFigures">
    <w:name w:val="table of figures"/>
    <w:basedOn w:val="TOC1"/>
    <w:next w:val="Normal"/>
    <w:uiPriority w:val="99"/>
    <w:rsid w:val="00E14C8B"/>
    <w:pPr>
      <w:ind w:left="0" w:firstLine="0"/>
    </w:pPr>
  </w:style>
  <w:style w:type="paragraph" w:customStyle="1" w:styleId="TableorFigureEnd">
    <w:name w:val="Table or Figure End"/>
    <w:basedOn w:val="Normal"/>
    <w:next w:val="BodyText"/>
    <w:rsid w:val="00E14C8B"/>
    <w:pPr>
      <w:pBdr>
        <w:top w:val="single" w:sz="4" w:space="1" w:color="auto"/>
      </w:pBdr>
      <w:tabs>
        <w:tab w:val="right" w:leader="dot" w:pos="8296"/>
      </w:tabs>
      <w:spacing w:before="90" w:after="0" w:line="240" w:lineRule="auto"/>
      <w:ind w:left="-57" w:right="-57"/>
      <w:jc w:val="both"/>
    </w:pPr>
    <w:rPr>
      <w:rFonts w:eastAsia="Times New Roman" w:cs="Times New Roman"/>
      <w:color w:val="auto"/>
      <w:szCs w:val="24"/>
      <w:lang w:eastAsia="en-NZ"/>
    </w:rPr>
  </w:style>
  <w:style w:type="paragraph" w:styleId="TOC4">
    <w:name w:val="toc 4"/>
    <w:basedOn w:val="Normal"/>
    <w:next w:val="Normal"/>
    <w:rsid w:val="00E14C8B"/>
    <w:pPr>
      <w:spacing w:before="60" w:after="120" w:line="240" w:lineRule="auto"/>
      <w:ind w:right="1588"/>
    </w:pPr>
    <w:rPr>
      <w:rFonts w:eastAsia="Times New Roman" w:cs="Times New Roman"/>
      <w:b/>
      <w:color w:val="auto"/>
      <w:szCs w:val="24"/>
      <w:lang w:eastAsia="en-NZ"/>
    </w:rPr>
  </w:style>
  <w:style w:type="character" w:customStyle="1" w:styleId="TableTextChar">
    <w:name w:val="Table Text Char"/>
    <w:basedOn w:val="DefaultParagraphFont"/>
    <w:link w:val="TableText"/>
    <w:locked/>
    <w:rsid w:val="00E14C8B"/>
    <w:rPr>
      <w:rFonts w:ascii="Garamond" w:eastAsia="Times New Roman" w:hAnsi="Garamond" w:cs="Times New Roman"/>
      <w:szCs w:val="24"/>
      <w:lang w:eastAsia="en-NZ"/>
    </w:rPr>
  </w:style>
  <w:style w:type="character" w:customStyle="1" w:styleId="SourceNoteTextChar">
    <w:name w:val="Source/Note Text Char"/>
    <w:basedOn w:val="DefaultParagraphFont"/>
    <w:link w:val="SourceNoteText"/>
    <w:locked/>
    <w:rsid w:val="00E14C8B"/>
    <w:rPr>
      <w:rFonts w:ascii="Garamond" w:eastAsia="Times New Roman" w:hAnsi="Garamond" w:cs="Times New Roman"/>
      <w:sz w:val="20"/>
      <w:szCs w:val="24"/>
      <w:lang w:eastAsia="en-NZ"/>
    </w:rPr>
  </w:style>
  <w:style w:type="character" w:styleId="FollowedHyperlink">
    <w:name w:val="FollowedHyperlink"/>
    <w:basedOn w:val="DefaultParagraphFont"/>
    <w:rsid w:val="00E14C8B"/>
    <w:rPr>
      <w:color w:val="800080" w:themeColor="followedHyperlink"/>
      <w:u w:val="single"/>
    </w:rPr>
  </w:style>
  <w:style w:type="paragraph" w:styleId="Revision">
    <w:name w:val="Revision"/>
    <w:hidden/>
    <w:uiPriority w:val="99"/>
    <w:semiHidden/>
    <w:rsid w:val="00E14C8B"/>
    <w:pPr>
      <w:spacing w:after="0" w:line="240" w:lineRule="auto"/>
    </w:pPr>
    <w:rPr>
      <w:rFonts w:ascii="Garamond" w:eastAsia="Times New Roman" w:hAnsi="Garamond" w:cs="Times New Roman"/>
      <w:sz w:val="24"/>
      <w:szCs w:val="24"/>
      <w:lang w:eastAsia="en-NZ"/>
    </w:rPr>
  </w:style>
  <w:style w:type="table" w:customStyle="1" w:styleId="TableGrid1">
    <w:name w:val="Table Grid1"/>
    <w:basedOn w:val="TableNormal"/>
    <w:next w:val="TableGrid"/>
    <w:rsid w:val="000E6D6C"/>
    <w:pPr>
      <w:tabs>
        <w:tab w:val="left" w:pos="284"/>
        <w:tab w:val="left" w:pos="567"/>
      </w:tabs>
      <w:spacing w:before="30" w:after="30" w:line="240" w:lineRule="auto"/>
    </w:pPr>
    <w:rPr>
      <w:rFonts w:ascii="Garamond" w:eastAsia="Times New Roman" w:hAnsi="Garamond" w:cs="Times New Roman"/>
    </w:rPr>
    <w:tblPr>
      <w:jc w:val="center"/>
      <w:tblBorders>
        <w:insideH w:val="single" w:sz="4" w:space="0" w:color="auto"/>
        <w:insideV w:val="single" w:sz="4" w:space="0" w:color="auto"/>
      </w:tblBorders>
      <w:tblCellMar>
        <w:top w:w="28" w:type="dxa"/>
        <w:left w:w="85" w:type="dxa"/>
        <w:bottom w:w="28" w:type="dxa"/>
        <w:right w:w="85" w:type="dxa"/>
      </w:tblCellMar>
    </w:tblPr>
    <w:trPr>
      <w:jc w:val="center"/>
    </w:trPr>
    <w:tcPr>
      <w:noWrap/>
    </w:tcPr>
  </w:style>
  <w:style w:type="paragraph" w:styleId="TOCHeading">
    <w:name w:val="TOC Heading"/>
    <w:basedOn w:val="Heading1"/>
    <w:next w:val="Normal"/>
    <w:uiPriority w:val="39"/>
    <w:semiHidden/>
    <w:unhideWhenUsed/>
    <w:qFormat/>
    <w:rsid w:val="00622F2E"/>
    <w:pPr>
      <w:numPr>
        <w:numId w:val="0"/>
      </w:numPr>
      <w:outlineLvl w:val="9"/>
    </w:pPr>
    <w:rPr>
      <w:rFonts w:asciiTheme="majorHAnsi" w:hAnsiTheme="majorHAnsi"/>
      <w:color w:val="365F91"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2089">
      <w:bodyDiv w:val="1"/>
      <w:marLeft w:val="0"/>
      <w:marRight w:val="0"/>
      <w:marTop w:val="0"/>
      <w:marBottom w:val="0"/>
      <w:divBdr>
        <w:top w:val="none" w:sz="0" w:space="0" w:color="auto"/>
        <w:left w:val="none" w:sz="0" w:space="0" w:color="auto"/>
        <w:bottom w:val="none" w:sz="0" w:space="0" w:color="auto"/>
        <w:right w:val="none" w:sz="0" w:space="0" w:color="auto"/>
      </w:divBdr>
    </w:div>
    <w:div w:id="36666685">
      <w:bodyDiv w:val="1"/>
      <w:marLeft w:val="0"/>
      <w:marRight w:val="0"/>
      <w:marTop w:val="0"/>
      <w:marBottom w:val="0"/>
      <w:divBdr>
        <w:top w:val="none" w:sz="0" w:space="0" w:color="auto"/>
        <w:left w:val="none" w:sz="0" w:space="0" w:color="auto"/>
        <w:bottom w:val="none" w:sz="0" w:space="0" w:color="auto"/>
        <w:right w:val="none" w:sz="0" w:space="0" w:color="auto"/>
      </w:divBdr>
    </w:div>
    <w:div w:id="46147156">
      <w:bodyDiv w:val="1"/>
      <w:marLeft w:val="0"/>
      <w:marRight w:val="0"/>
      <w:marTop w:val="0"/>
      <w:marBottom w:val="0"/>
      <w:divBdr>
        <w:top w:val="none" w:sz="0" w:space="0" w:color="auto"/>
        <w:left w:val="none" w:sz="0" w:space="0" w:color="auto"/>
        <w:bottom w:val="none" w:sz="0" w:space="0" w:color="auto"/>
        <w:right w:val="none" w:sz="0" w:space="0" w:color="auto"/>
      </w:divBdr>
    </w:div>
    <w:div w:id="47608460">
      <w:bodyDiv w:val="1"/>
      <w:marLeft w:val="0"/>
      <w:marRight w:val="0"/>
      <w:marTop w:val="0"/>
      <w:marBottom w:val="0"/>
      <w:divBdr>
        <w:top w:val="none" w:sz="0" w:space="0" w:color="auto"/>
        <w:left w:val="none" w:sz="0" w:space="0" w:color="auto"/>
        <w:bottom w:val="none" w:sz="0" w:space="0" w:color="auto"/>
        <w:right w:val="none" w:sz="0" w:space="0" w:color="auto"/>
      </w:divBdr>
    </w:div>
    <w:div w:id="92405991">
      <w:bodyDiv w:val="1"/>
      <w:marLeft w:val="0"/>
      <w:marRight w:val="0"/>
      <w:marTop w:val="0"/>
      <w:marBottom w:val="0"/>
      <w:divBdr>
        <w:top w:val="none" w:sz="0" w:space="0" w:color="auto"/>
        <w:left w:val="none" w:sz="0" w:space="0" w:color="auto"/>
        <w:bottom w:val="none" w:sz="0" w:space="0" w:color="auto"/>
        <w:right w:val="none" w:sz="0" w:space="0" w:color="auto"/>
      </w:divBdr>
    </w:div>
    <w:div w:id="229048707">
      <w:bodyDiv w:val="1"/>
      <w:marLeft w:val="0"/>
      <w:marRight w:val="0"/>
      <w:marTop w:val="0"/>
      <w:marBottom w:val="0"/>
      <w:divBdr>
        <w:top w:val="none" w:sz="0" w:space="0" w:color="auto"/>
        <w:left w:val="none" w:sz="0" w:space="0" w:color="auto"/>
        <w:bottom w:val="none" w:sz="0" w:space="0" w:color="auto"/>
        <w:right w:val="none" w:sz="0" w:space="0" w:color="auto"/>
      </w:divBdr>
    </w:div>
    <w:div w:id="234633732">
      <w:bodyDiv w:val="1"/>
      <w:marLeft w:val="0"/>
      <w:marRight w:val="0"/>
      <w:marTop w:val="0"/>
      <w:marBottom w:val="0"/>
      <w:divBdr>
        <w:top w:val="none" w:sz="0" w:space="0" w:color="auto"/>
        <w:left w:val="none" w:sz="0" w:space="0" w:color="auto"/>
        <w:bottom w:val="none" w:sz="0" w:space="0" w:color="auto"/>
        <w:right w:val="none" w:sz="0" w:space="0" w:color="auto"/>
      </w:divBdr>
    </w:div>
    <w:div w:id="246161870">
      <w:bodyDiv w:val="1"/>
      <w:marLeft w:val="0"/>
      <w:marRight w:val="0"/>
      <w:marTop w:val="0"/>
      <w:marBottom w:val="0"/>
      <w:divBdr>
        <w:top w:val="none" w:sz="0" w:space="0" w:color="auto"/>
        <w:left w:val="none" w:sz="0" w:space="0" w:color="auto"/>
        <w:bottom w:val="none" w:sz="0" w:space="0" w:color="auto"/>
        <w:right w:val="none" w:sz="0" w:space="0" w:color="auto"/>
      </w:divBdr>
    </w:div>
    <w:div w:id="278338221">
      <w:bodyDiv w:val="1"/>
      <w:marLeft w:val="0"/>
      <w:marRight w:val="0"/>
      <w:marTop w:val="0"/>
      <w:marBottom w:val="0"/>
      <w:divBdr>
        <w:top w:val="none" w:sz="0" w:space="0" w:color="auto"/>
        <w:left w:val="none" w:sz="0" w:space="0" w:color="auto"/>
        <w:bottom w:val="none" w:sz="0" w:space="0" w:color="auto"/>
        <w:right w:val="none" w:sz="0" w:space="0" w:color="auto"/>
      </w:divBdr>
    </w:div>
    <w:div w:id="360252732">
      <w:bodyDiv w:val="1"/>
      <w:marLeft w:val="0"/>
      <w:marRight w:val="0"/>
      <w:marTop w:val="0"/>
      <w:marBottom w:val="0"/>
      <w:divBdr>
        <w:top w:val="none" w:sz="0" w:space="0" w:color="auto"/>
        <w:left w:val="none" w:sz="0" w:space="0" w:color="auto"/>
        <w:bottom w:val="none" w:sz="0" w:space="0" w:color="auto"/>
        <w:right w:val="none" w:sz="0" w:space="0" w:color="auto"/>
      </w:divBdr>
    </w:div>
    <w:div w:id="378093127">
      <w:bodyDiv w:val="1"/>
      <w:marLeft w:val="0"/>
      <w:marRight w:val="0"/>
      <w:marTop w:val="0"/>
      <w:marBottom w:val="0"/>
      <w:divBdr>
        <w:top w:val="none" w:sz="0" w:space="0" w:color="auto"/>
        <w:left w:val="none" w:sz="0" w:space="0" w:color="auto"/>
        <w:bottom w:val="none" w:sz="0" w:space="0" w:color="auto"/>
        <w:right w:val="none" w:sz="0" w:space="0" w:color="auto"/>
      </w:divBdr>
    </w:div>
    <w:div w:id="430324955">
      <w:bodyDiv w:val="1"/>
      <w:marLeft w:val="0"/>
      <w:marRight w:val="0"/>
      <w:marTop w:val="0"/>
      <w:marBottom w:val="0"/>
      <w:divBdr>
        <w:top w:val="none" w:sz="0" w:space="0" w:color="auto"/>
        <w:left w:val="none" w:sz="0" w:space="0" w:color="auto"/>
        <w:bottom w:val="none" w:sz="0" w:space="0" w:color="auto"/>
        <w:right w:val="none" w:sz="0" w:space="0" w:color="auto"/>
      </w:divBdr>
    </w:div>
    <w:div w:id="441851379">
      <w:bodyDiv w:val="1"/>
      <w:marLeft w:val="0"/>
      <w:marRight w:val="0"/>
      <w:marTop w:val="0"/>
      <w:marBottom w:val="0"/>
      <w:divBdr>
        <w:top w:val="none" w:sz="0" w:space="0" w:color="auto"/>
        <w:left w:val="none" w:sz="0" w:space="0" w:color="auto"/>
        <w:bottom w:val="none" w:sz="0" w:space="0" w:color="auto"/>
        <w:right w:val="none" w:sz="0" w:space="0" w:color="auto"/>
      </w:divBdr>
    </w:div>
    <w:div w:id="510098839">
      <w:bodyDiv w:val="1"/>
      <w:marLeft w:val="0"/>
      <w:marRight w:val="0"/>
      <w:marTop w:val="0"/>
      <w:marBottom w:val="0"/>
      <w:divBdr>
        <w:top w:val="none" w:sz="0" w:space="0" w:color="auto"/>
        <w:left w:val="none" w:sz="0" w:space="0" w:color="auto"/>
        <w:bottom w:val="none" w:sz="0" w:space="0" w:color="auto"/>
        <w:right w:val="none" w:sz="0" w:space="0" w:color="auto"/>
      </w:divBdr>
    </w:div>
    <w:div w:id="516114754">
      <w:bodyDiv w:val="1"/>
      <w:marLeft w:val="0"/>
      <w:marRight w:val="0"/>
      <w:marTop w:val="0"/>
      <w:marBottom w:val="0"/>
      <w:divBdr>
        <w:top w:val="none" w:sz="0" w:space="0" w:color="auto"/>
        <w:left w:val="none" w:sz="0" w:space="0" w:color="auto"/>
        <w:bottom w:val="none" w:sz="0" w:space="0" w:color="auto"/>
        <w:right w:val="none" w:sz="0" w:space="0" w:color="auto"/>
      </w:divBdr>
    </w:div>
    <w:div w:id="554511343">
      <w:bodyDiv w:val="1"/>
      <w:marLeft w:val="0"/>
      <w:marRight w:val="0"/>
      <w:marTop w:val="0"/>
      <w:marBottom w:val="0"/>
      <w:divBdr>
        <w:top w:val="none" w:sz="0" w:space="0" w:color="auto"/>
        <w:left w:val="none" w:sz="0" w:space="0" w:color="auto"/>
        <w:bottom w:val="none" w:sz="0" w:space="0" w:color="auto"/>
        <w:right w:val="none" w:sz="0" w:space="0" w:color="auto"/>
      </w:divBdr>
    </w:div>
    <w:div w:id="608246693">
      <w:bodyDiv w:val="1"/>
      <w:marLeft w:val="0"/>
      <w:marRight w:val="0"/>
      <w:marTop w:val="0"/>
      <w:marBottom w:val="0"/>
      <w:divBdr>
        <w:top w:val="none" w:sz="0" w:space="0" w:color="auto"/>
        <w:left w:val="none" w:sz="0" w:space="0" w:color="auto"/>
        <w:bottom w:val="none" w:sz="0" w:space="0" w:color="auto"/>
        <w:right w:val="none" w:sz="0" w:space="0" w:color="auto"/>
      </w:divBdr>
    </w:div>
    <w:div w:id="652877926">
      <w:bodyDiv w:val="1"/>
      <w:marLeft w:val="0"/>
      <w:marRight w:val="0"/>
      <w:marTop w:val="0"/>
      <w:marBottom w:val="0"/>
      <w:divBdr>
        <w:top w:val="none" w:sz="0" w:space="0" w:color="auto"/>
        <w:left w:val="none" w:sz="0" w:space="0" w:color="auto"/>
        <w:bottom w:val="none" w:sz="0" w:space="0" w:color="auto"/>
        <w:right w:val="none" w:sz="0" w:space="0" w:color="auto"/>
      </w:divBdr>
    </w:div>
    <w:div w:id="715859627">
      <w:bodyDiv w:val="1"/>
      <w:marLeft w:val="0"/>
      <w:marRight w:val="0"/>
      <w:marTop w:val="0"/>
      <w:marBottom w:val="0"/>
      <w:divBdr>
        <w:top w:val="none" w:sz="0" w:space="0" w:color="auto"/>
        <w:left w:val="none" w:sz="0" w:space="0" w:color="auto"/>
        <w:bottom w:val="none" w:sz="0" w:space="0" w:color="auto"/>
        <w:right w:val="none" w:sz="0" w:space="0" w:color="auto"/>
      </w:divBdr>
    </w:div>
    <w:div w:id="733627852">
      <w:bodyDiv w:val="1"/>
      <w:marLeft w:val="0"/>
      <w:marRight w:val="0"/>
      <w:marTop w:val="0"/>
      <w:marBottom w:val="0"/>
      <w:divBdr>
        <w:top w:val="none" w:sz="0" w:space="0" w:color="auto"/>
        <w:left w:val="none" w:sz="0" w:space="0" w:color="auto"/>
        <w:bottom w:val="none" w:sz="0" w:space="0" w:color="auto"/>
        <w:right w:val="none" w:sz="0" w:space="0" w:color="auto"/>
      </w:divBdr>
    </w:div>
    <w:div w:id="737705226">
      <w:bodyDiv w:val="1"/>
      <w:marLeft w:val="0"/>
      <w:marRight w:val="0"/>
      <w:marTop w:val="0"/>
      <w:marBottom w:val="0"/>
      <w:divBdr>
        <w:top w:val="none" w:sz="0" w:space="0" w:color="auto"/>
        <w:left w:val="none" w:sz="0" w:space="0" w:color="auto"/>
        <w:bottom w:val="none" w:sz="0" w:space="0" w:color="auto"/>
        <w:right w:val="none" w:sz="0" w:space="0" w:color="auto"/>
      </w:divBdr>
    </w:div>
    <w:div w:id="768623354">
      <w:bodyDiv w:val="1"/>
      <w:marLeft w:val="0"/>
      <w:marRight w:val="0"/>
      <w:marTop w:val="0"/>
      <w:marBottom w:val="0"/>
      <w:divBdr>
        <w:top w:val="none" w:sz="0" w:space="0" w:color="auto"/>
        <w:left w:val="none" w:sz="0" w:space="0" w:color="auto"/>
        <w:bottom w:val="none" w:sz="0" w:space="0" w:color="auto"/>
        <w:right w:val="none" w:sz="0" w:space="0" w:color="auto"/>
      </w:divBdr>
    </w:div>
    <w:div w:id="848955987">
      <w:bodyDiv w:val="1"/>
      <w:marLeft w:val="0"/>
      <w:marRight w:val="0"/>
      <w:marTop w:val="0"/>
      <w:marBottom w:val="0"/>
      <w:divBdr>
        <w:top w:val="none" w:sz="0" w:space="0" w:color="auto"/>
        <w:left w:val="none" w:sz="0" w:space="0" w:color="auto"/>
        <w:bottom w:val="none" w:sz="0" w:space="0" w:color="auto"/>
        <w:right w:val="none" w:sz="0" w:space="0" w:color="auto"/>
      </w:divBdr>
    </w:div>
    <w:div w:id="857701032">
      <w:bodyDiv w:val="1"/>
      <w:marLeft w:val="0"/>
      <w:marRight w:val="0"/>
      <w:marTop w:val="0"/>
      <w:marBottom w:val="0"/>
      <w:divBdr>
        <w:top w:val="none" w:sz="0" w:space="0" w:color="auto"/>
        <w:left w:val="none" w:sz="0" w:space="0" w:color="auto"/>
        <w:bottom w:val="none" w:sz="0" w:space="0" w:color="auto"/>
        <w:right w:val="none" w:sz="0" w:space="0" w:color="auto"/>
      </w:divBdr>
      <w:divsChild>
        <w:div w:id="263610101">
          <w:marLeft w:val="0"/>
          <w:marRight w:val="0"/>
          <w:marTop w:val="0"/>
          <w:marBottom w:val="0"/>
          <w:divBdr>
            <w:top w:val="none" w:sz="0" w:space="0" w:color="auto"/>
            <w:left w:val="none" w:sz="0" w:space="0" w:color="auto"/>
            <w:bottom w:val="none" w:sz="0" w:space="0" w:color="auto"/>
            <w:right w:val="none" w:sz="0" w:space="0" w:color="auto"/>
          </w:divBdr>
        </w:div>
        <w:div w:id="23872451">
          <w:marLeft w:val="0"/>
          <w:marRight w:val="0"/>
          <w:marTop w:val="0"/>
          <w:marBottom w:val="0"/>
          <w:divBdr>
            <w:top w:val="none" w:sz="0" w:space="0" w:color="auto"/>
            <w:left w:val="none" w:sz="0" w:space="0" w:color="auto"/>
            <w:bottom w:val="none" w:sz="0" w:space="0" w:color="auto"/>
            <w:right w:val="none" w:sz="0" w:space="0" w:color="auto"/>
          </w:divBdr>
        </w:div>
        <w:div w:id="571474274">
          <w:marLeft w:val="0"/>
          <w:marRight w:val="0"/>
          <w:marTop w:val="0"/>
          <w:marBottom w:val="0"/>
          <w:divBdr>
            <w:top w:val="none" w:sz="0" w:space="0" w:color="auto"/>
            <w:left w:val="none" w:sz="0" w:space="0" w:color="auto"/>
            <w:bottom w:val="none" w:sz="0" w:space="0" w:color="auto"/>
            <w:right w:val="none" w:sz="0" w:space="0" w:color="auto"/>
          </w:divBdr>
        </w:div>
        <w:div w:id="535897007">
          <w:marLeft w:val="0"/>
          <w:marRight w:val="0"/>
          <w:marTop w:val="0"/>
          <w:marBottom w:val="0"/>
          <w:divBdr>
            <w:top w:val="none" w:sz="0" w:space="0" w:color="auto"/>
            <w:left w:val="none" w:sz="0" w:space="0" w:color="auto"/>
            <w:bottom w:val="none" w:sz="0" w:space="0" w:color="auto"/>
            <w:right w:val="none" w:sz="0" w:space="0" w:color="auto"/>
          </w:divBdr>
        </w:div>
        <w:div w:id="307173943">
          <w:marLeft w:val="0"/>
          <w:marRight w:val="0"/>
          <w:marTop w:val="0"/>
          <w:marBottom w:val="0"/>
          <w:divBdr>
            <w:top w:val="none" w:sz="0" w:space="0" w:color="auto"/>
            <w:left w:val="none" w:sz="0" w:space="0" w:color="auto"/>
            <w:bottom w:val="none" w:sz="0" w:space="0" w:color="auto"/>
            <w:right w:val="none" w:sz="0" w:space="0" w:color="auto"/>
          </w:divBdr>
        </w:div>
      </w:divsChild>
    </w:div>
    <w:div w:id="864758419">
      <w:bodyDiv w:val="1"/>
      <w:marLeft w:val="0"/>
      <w:marRight w:val="0"/>
      <w:marTop w:val="0"/>
      <w:marBottom w:val="0"/>
      <w:divBdr>
        <w:top w:val="none" w:sz="0" w:space="0" w:color="auto"/>
        <w:left w:val="none" w:sz="0" w:space="0" w:color="auto"/>
        <w:bottom w:val="none" w:sz="0" w:space="0" w:color="auto"/>
        <w:right w:val="none" w:sz="0" w:space="0" w:color="auto"/>
      </w:divBdr>
    </w:div>
    <w:div w:id="872839866">
      <w:bodyDiv w:val="1"/>
      <w:marLeft w:val="0"/>
      <w:marRight w:val="0"/>
      <w:marTop w:val="0"/>
      <w:marBottom w:val="0"/>
      <w:divBdr>
        <w:top w:val="none" w:sz="0" w:space="0" w:color="auto"/>
        <w:left w:val="none" w:sz="0" w:space="0" w:color="auto"/>
        <w:bottom w:val="none" w:sz="0" w:space="0" w:color="auto"/>
        <w:right w:val="none" w:sz="0" w:space="0" w:color="auto"/>
      </w:divBdr>
    </w:div>
    <w:div w:id="891387786">
      <w:bodyDiv w:val="1"/>
      <w:marLeft w:val="0"/>
      <w:marRight w:val="0"/>
      <w:marTop w:val="0"/>
      <w:marBottom w:val="0"/>
      <w:divBdr>
        <w:top w:val="none" w:sz="0" w:space="0" w:color="auto"/>
        <w:left w:val="none" w:sz="0" w:space="0" w:color="auto"/>
        <w:bottom w:val="none" w:sz="0" w:space="0" w:color="auto"/>
        <w:right w:val="none" w:sz="0" w:space="0" w:color="auto"/>
      </w:divBdr>
    </w:div>
    <w:div w:id="912399822">
      <w:bodyDiv w:val="1"/>
      <w:marLeft w:val="0"/>
      <w:marRight w:val="0"/>
      <w:marTop w:val="0"/>
      <w:marBottom w:val="0"/>
      <w:divBdr>
        <w:top w:val="none" w:sz="0" w:space="0" w:color="auto"/>
        <w:left w:val="none" w:sz="0" w:space="0" w:color="auto"/>
        <w:bottom w:val="none" w:sz="0" w:space="0" w:color="auto"/>
        <w:right w:val="none" w:sz="0" w:space="0" w:color="auto"/>
      </w:divBdr>
    </w:div>
    <w:div w:id="978387708">
      <w:bodyDiv w:val="1"/>
      <w:marLeft w:val="0"/>
      <w:marRight w:val="0"/>
      <w:marTop w:val="0"/>
      <w:marBottom w:val="0"/>
      <w:divBdr>
        <w:top w:val="none" w:sz="0" w:space="0" w:color="auto"/>
        <w:left w:val="none" w:sz="0" w:space="0" w:color="auto"/>
        <w:bottom w:val="none" w:sz="0" w:space="0" w:color="auto"/>
        <w:right w:val="none" w:sz="0" w:space="0" w:color="auto"/>
      </w:divBdr>
    </w:div>
    <w:div w:id="1016149589">
      <w:bodyDiv w:val="1"/>
      <w:marLeft w:val="0"/>
      <w:marRight w:val="0"/>
      <w:marTop w:val="0"/>
      <w:marBottom w:val="0"/>
      <w:divBdr>
        <w:top w:val="none" w:sz="0" w:space="0" w:color="auto"/>
        <w:left w:val="none" w:sz="0" w:space="0" w:color="auto"/>
        <w:bottom w:val="none" w:sz="0" w:space="0" w:color="auto"/>
        <w:right w:val="none" w:sz="0" w:space="0" w:color="auto"/>
      </w:divBdr>
      <w:divsChild>
        <w:div w:id="250823526">
          <w:marLeft w:val="0"/>
          <w:marRight w:val="0"/>
          <w:marTop w:val="0"/>
          <w:marBottom w:val="0"/>
          <w:divBdr>
            <w:top w:val="none" w:sz="0" w:space="0" w:color="auto"/>
            <w:left w:val="none" w:sz="0" w:space="0" w:color="auto"/>
            <w:bottom w:val="none" w:sz="0" w:space="0" w:color="auto"/>
            <w:right w:val="none" w:sz="0" w:space="0" w:color="auto"/>
          </w:divBdr>
        </w:div>
      </w:divsChild>
    </w:div>
    <w:div w:id="1080521804">
      <w:bodyDiv w:val="1"/>
      <w:marLeft w:val="0"/>
      <w:marRight w:val="0"/>
      <w:marTop w:val="0"/>
      <w:marBottom w:val="0"/>
      <w:divBdr>
        <w:top w:val="none" w:sz="0" w:space="0" w:color="auto"/>
        <w:left w:val="none" w:sz="0" w:space="0" w:color="auto"/>
        <w:bottom w:val="none" w:sz="0" w:space="0" w:color="auto"/>
        <w:right w:val="none" w:sz="0" w:space="0" w:color="auto"/>
      </w:divBdr>
      <w:divsChild>
        <w:div w:id="1305232559">
          <w:marLeft w:val="0"/>
          <w:marRight w:val="0"/>
          <w:marTop w:val="0"/>
          <w:marBottom w:val="0"/>
          <w:divBdr>
            <w:top w:val="none" w:sz="0" w:space="0" w:color="auto"/>
            <w:left w:val="none" w:sz="0" w:space="0" w:color="auto"/>
            <w:bottom w:val="none" w:sz="0" w:space="0" w:color="auto"/>
            <w:right w:val="none" w:sz="0" w:space="0" w:color="auto"/>
          </w:divBdr>
        </w:div>
        <w:div w:id="2076316114">
          <w:marLeft w:val="0"/>
          <w:marRight w:val="0"/>
          <w:marTop w:val="0"/>
          <w:marBottom w:val="0"/>
          <w:divBdr>
            <w:top w:val="none" w:sz="0" w:space="0" w:color="auto"/>
            <w:left w:val="none" w:sz="0" w:space="0" w:color="auto"/>
            <w:bottom w:val="none" w:sz="0" w:space="0" w:color="auto"/>
            <w:right w:val="none" w:sz="0" w:space="0" w:color="auto"/>
          </w:divBdr>
        </w:div>
        <w:div w:id="1011029139">
          <w:marLeft w:val="0"/>
          <w:marRight w:val="0"/>
          <w:marTop w:val="0"/>
          <w:marBottom w:val="0"/>
          <w:divBdr>
            <w:top w:val="none" w:sz="0" w:space="0" w:color="auto"/>
            <w:left w:val="none" w:sz="0" w:space="0" w:color="auto"/>
            <w:bottom w:val="none" w:sz="0" w:space="0" w:color="auto"/>
            <w:right w:val="none" w:sz="0" w:space="0" w:color="auto"/>
          </w:divBdr>
        </w:div>
        <w:div w:id="1698891367">
          <w:marLeft w:val="0"/>
          <w:marRight w:val="0"/>
          <w:marTop w:val="0"/>
          <w:marBottom w:val="0"/>
          <w:divBdr>
            <w:top w:val="none" w:sz="0" w:space="0" w:color="auto"/>
            <w:left w:val="none" w:sz="0" w:space="0" w:color="auto"/>
            <w:bottom w:val="none" w:sz="0" w:space="0" w:color="auto"/>
            <w:right w:val="none" w:sz="0" w:space="0" w:color="auto"/>
          </w:divBdr>
        </w:div>
        <w:div w:id="710148995">
          <w:marLeft w:val="0"/>
          <w:marRight w:val="0"/>
          <w:marTop w:val="0"/>
          <w:marBottom w:val="0"/>
          <w:divBdr>
            <w:top w:val="none" w:sz="0" w:space="0" w:color="auto"/>
            <w:left w:val="none" w:sz="0" w:space="0" w:color="auto"/>
            <w:bottom w:val="none" w:sz="0" w:space="0" w:color="auto"/>
            <w:right w:val="none" w:sz="0" w:space="0" w:color="auto"/>
          </w:divBdr>
        </w:div>
      </w:divsChild>
    </w:div>
    <w:div w:id="1080636284">
      <w:bodyDiv w:val="1"/>
      <w:marLeft w:val="0"/>
      <w:marRight w:val="0"/>
      <w:marTop w:val="0"/>
      <w:marBottom w:val="0"/>
      <w:divBdr>
        <w:top w:val="none" w:sz="0" w:space="0" w:color="auto"/>
        <w:left w:val="none" w:sz="0" w:space="0" w:color="auto"/>
        <w:bottom w:val="none" w:sz="0" w:space="0" w:color="auto"/>
        <w:right w:val="none" w:sz="0" w:space="0" w:color="auto"/>
      </w:divBdr>
    </w:div>
    <w:div w:id="1114905989">
      <w:bodyDiv w:val="1"/>
      <w:marLeft w:val="0"/>
      <w:marRight w:val="0"/>
      <w:marTop w:val="0"/>
      <w:marBottom w:val="0"/>
      <w:divBdr>
        <w:top w:val="none" w:sz="0" w:space="0" w:color="auto"/>
        <w:left w:val="none" w:sz="0" w:space="0" w:color="auto"/>
        <w:bottom w:val="none" w:sz="0" w:space="0" w:color="auto"/>
        <w:right w:val="none" w:sz="0" w:space="0" w:color="auto"/>
      </w:divBdr>
    </w:div>
    <w:div w:id="1117872478">
      <w:bodyDiv w:val="1"/>
      <w:marLeft w:val="0"/>
      <w:marRight w:val="0"/>
      <w:marTop w:val="0"/>
      <w:marBottom w:val="0"/>
      <w:divBdr>
        <w:top w:val="none" w:sz="0" w:space="0" w:color="auto"/>
        <w:left w:val="none" w:sz="0" w:space="0" w:color="auto"/>
        <w:bottom w:val="none" w:sz="0" w:space="0" w:color="auto"/>
        <w:right w:val="none" w:sz="0" w:space="0" w:color="auto"/>
      </w:divBdr>
      <w:divsChild>
        <w:div w:id="2125224497">
          <w:marLeft w:val="0"/>
          <w:marRight w:val="0"/>
          <w:marTop w:val="0"/>
          <w:marBottom w:val="0"/>
          <w:divBdr>
            <w:top w:val="none" w:sz="0" w:space="0" w:color="auto"/>
            <w:left w:val="none" w:sz="0" w:space="0" w:color="auto"/>
            <w:bottom w:val="none" w:sz="0" w:space="0" w:color="auto"/>
            <w:right w:val="none" w:sz="0" w:space="0" w:color="auto"/>
          </w:divBdr>
        </w:div>
        <w:div w:id="447434321">
          <w:marLeft w:val="0"/>
          <w:marRight w:val="0"/>
          <w:marTop w:val="0"/>
          <w:marBottom w:val="0"/>
          <w:divBdr>
            <w:top w:val="none" w:sz="0" w:space="0" w:color="auto"/>
            <w:left w:val="none" w:sz="0" w:space="0" w:color="auto"/>
            <w:bottom w:val="none" w:sz="0" w:space="0" w:color="auto"/>
            <w:right w:val="none" w:sz="0" w:space="0" w:color="auto"/>
          </w:divBdr>
        </w:div>
        <w:div w:id="209343387">
          <w:marLeft w:val="0"/>
          <w:marRight w:val="0"/>
          <w:marTop w:val="0"/>
          <w:marBottom w:val="0"/>
          <w:divBdr>
            <w:top w:val="none" w:sz="0" w:space="0" w:color="auto"/>
            <w:left w:val="none" w:sz="0" w:space="0" w:color="auto"/>
            <w:bottom w:val="none" w:sz="0" w:space="0" w:color="auto"/>
            <w:right w:val="none" w:sz="0" w:space="0" w:color="auto"/>
          </w:divBdr>
        </w:div>
        <w:div w:id="126094810">
          <w:marLeft w:val="0"/>
          <w:marRight w:val="0"/>
          <w:marTop w:val="0"/>
          <w:marBottom w:val="0"/>
          <w:divBdr>
            <w:top w:val="none" w:sz="0" w:space="0" w:color="auto"/>
            <w:left w:val="none" w:sz="0" w:space="0" w:color="auto"/>
            <w:bottom w:val="none" w:sz="0" w:space="0" w:color="auto"/>
            <w:right w:val="none" w:sz="0" w:space="0" w:color="auto"/>
          </w:divBdr>
        </w:div>
        <w:div w:id="1644039994">
          <w:marLeft w:val="0"/>
          <w:marRight w:val="0"/>
          <w:marTop w:val="0"/>
          <w:marBottom w:val="0"/>
          <w:divBdr>
            <w:top w:val="none" w:sz="0" w:space="0" w:color="auto"/>
            <w:left w:val="none" w:sz="0" w:space="0" w:color="auto"/>
            <w:bottom w:val="none" w:sz="0" w:space="0" w:color="auto"/>
            <w:right w:val="none" w:sz="0" w:space="0" w:color="auto"/>
          </w:divBdr>
        </w:div>
      </w:divsChild>
    </w:div>
    <w:div w:id="1189642227">
      <w:bodyDiv w:val="1"/>
      <w:marLeft w:val="0"/>
      <w:marRight w:val="0"/>
      <w:marTop w:val="0"/>
      <w:marBottom w:val="0"/>
      <w:divBdr>
        <w:top w:val="none" w:sz="0" w:space="0" w:color="auto"/>
        <w:left w:val="none" w:sz="0" w:space="0" w:color="auto"/>
        <w:bottom w:val="none" w:sz="0" w:space="0" w:color="auto"/>
        <w:right w:val="none" w:sz="0" w:space="0" w:color="auto"/>
      </w:divBdr>
    </w:div>
    <w:div w:id="1192575111">
      <w:bodyDiv w:val="1"/>
      <w:marLeft w:val="0"/>
      <w:marRight w:val="0"/>
      <w:marTop w:val="0"/>
      <w:marBottom w:val="0"/>
      <w:divBdr>
        <w:top w:val="none" w:sz="0" w:space="0" w:color="auto"/>
        <w:left w:val="none" w:sz="0" w:space="0" w:color="auto"/>
        <w:bottom w:val="none" w:sz="0" w:space="0" w:color="auto"/>
        <w:right w:val="none" w:sz="0" w:space="0" w:color="auto"/>
      </w:divBdr>
    </w:div>
    <w:div w:id="1211498753">
      <w:bodyDiv w:val="1"/>
      <w:marLeft w:val="0"/>
      <w:marRight w:val="0"/>
      <w:marTop w:val="0"/>
      <w:marBottom w:val="0"/>
      <w:divBdr>
        <w:top w:val="none" w:sz="0" w:space="0" w:color="auto"/>
        <w:left w:val="none" w:sz="0" w:space="0" w:color="auto"/>
        <w:bottom w:val="none" w:sz="0" w:space="0" w:color="auto"/>
        <w:right w:val="none" w:sz="0" w:space="0" w:color="auto"/>
      </w:divBdr>
    </w:div>
    <w:div w:id="1247880059">
      <w:bodyDiv w:val="1"/>
      <w:marLeft w:val="0"/>
      <w:marRight w:val="0"/>
      <w:marTop w:val="0"/>
      <w:marBottom w:val="0"/>
      <w:divBdr>
        <w:top w:val="none" w:sz="0" w:space="0" w:color="auto"/>
        <w:left w:val="none" w:sz="0" w:space="0" w:color="auto"/>
        <w:bottom w:val="none" w:sz="0" w:space="0" w:color="auto"/>
        <w:right w:val="none" w:sz="0" w:space="0" w:color="auto"/>
      </w:divBdr>
    </w:div>
    <w:div w:id="1292786229">
      <w:bodyDiv w:val="1"/>
      <w:marLeft w:val="0"/>
      <w:marRight w:val="0"/>
      <w:marTop w:val="0"/>
      <w:marBottom w:val="0"/>
      <w:divBdr>
        <w:top w:val="none" w:sz="0" w:space="0" w:color="auto"/>
        <w:left w:val="none" w:sz="0" w:space="0" w:color="auto"/>
        <w:bottom w:val="none" w:sz="0" w:space="0" w:color="auto"/>
        <w:right w:val="none" w:sz="0" w:space="0" w:color="auto"/>
      </w:divBdr>
    </w:div>
    <w:div w:id="1352682099">
      <w:bodyDiv w:val="1"/>
      <w:marLeft w:val="0"/>
      <w:marRight w:val="0"/>
      <w:marTop w:val="0"/>
      <w:marBottom w:val="0"/>
      <w:divBdr>
        <w:top w:val="none" w:sz="0" w:space="0" w:color="auto"/>
        <w:left w:val="none" w:sz="0" w:space="0" w:color="auto"/>
        <w:bottom w:val="none" w:sz="0" w:space="0" w:color="auto"/>
        <w:right w:val="none" w:sz="0" w:space="0" w:color="auto"/>
      </w:divBdr>
    </w:div>
    <w:div w:id="1382484733">
      <w:bodyDiv w:val="1"/>
      <w:marLeft w:val="0"/>
      <w:marRight w:val="0"/>
      <w:marTop w:val="0"/>
      <w:marBottom w:val="0"/>
      <w:divBdr>
        <w:top w:val="none" w:sz="0" w:space="0" w:color="auto"/>
        <w:left w:val="none" w:sz="0" w:space="0" w:color="auto"/>
        <w:bottom w:val="none" w:sz="0" w:space="0" w:color="auto"/>
        <w:right w:val="none" w:sz="0" w:space="0" w:color="auto"/>
      </w:divBdr>
    </w:div>
    <w:div w:id="1450926733">
      <w:bodyDiv w:val="1"/>
      <w:marLeft w:val="0"/>
      <w:marRight w:val="0"/>
      <w:marTop w:val="0"/>
      <w:marBottom w:val="0"/>
      <w:divBdr>
        <w:top w:val="none" w:sz="0" w:space="0" w:color="auto"/>
        <w:left w:val="none" w:sz="0" w:space="0" w:color="auto"/>
        <w:bottom w:val="none" w:sz="0" w:space="0" w:color="auto"/>
        <w:right w:val="none" w:sz="0" w:space="0" w:color="auto"/>
      </w:divBdr>
    </w:div>
    <w:div w:id="1468545154">
      <w:bodyDiv w:val="1"/>
      <w:marLeft w:val="0"/>
      <w:marRight w:val="0"/>
      <w:marTop w:val="0"/>
      <w:marBottom w:val="0"/>
      <w:divBdr>
        <w:top w:val="none" w:sz="0" w:space="0" w:color="auto"/>
        <w:left w:val="none" w:sz="0" w:space="0" w:color="auto"/>
        <w:bottom w:val="none" w:sz="0" w:space="0" w:color="auto"/>
        <w:right w:val="none" w:sz="0" w:space="0" w:color="auto"/>
      </w:divBdr>
    </w:div>
    <w:div w:id="1502040544">
      <w:bodyDiv w:val="1"/>
      <w:marLeft w:val="0"/>
      <w:marRight w:val="0"/>
      <w:marTop w:val="0"/>
      <w:marBottom w:val="0"/>
      <w:divBdr>
        <w:top w:val="none" w:sz="0" w:space="0" w:color="auto"/>
        <w:left w:val="none" w:sz="0" w:space="0" w:color="auto"/>
        <w:bottom w:val="none" w:sz="0" w:space="0" w:color="auto"/>
        <w:right w:val="none" w:sz="0" w:space="0" w:color="auto"/>
      </w:divBdr>
    </w:div>
    <w:div w:id="1511144930">
      <w:bodyDiv w:val="1"/>
      <w:marLeft w:val="0"/>
      <w:marRight w:val="0"/>
      <w:marTop w:val="0"/>
      <w:marBottom w:val="0"/>
      <w:divBdr>
        <w:top w:val="none" w:sz="0" w:space="0" w:color="auto"/>
        <w:left w:val="none" w:sz="0" w:space="0" w:color="auto"/>
        <w:bottom w:val="none" w:sz="0" w:space="0" w:color="auto"/>
        <w:right w:val="none" w:sz="0" w:space="0" w:color="auto"/>
      </w:divBdr>
    </w:div>
    <w:div w:id="1518350933">
      <w:bodyDiv w:val="1"/>
      <w:marLeft w:val="0"/>
      <w:marRight w:val="0"/>
      <w:marTop w:val="0"/>
      <w:marBottom w:val="0"/>
      <w:divBdr>
        <w:top w:val="none" w:sz="0" w:space="0" w:color="auto"/>
        <w:left w:val="none" w:sz="0" w:space="0" w:color="auto"/>
        <w:bottom w:val="none" w:sz="0" w:space="0" w:color="auto"/>
        <w:right w:val="none" w:sz="0" w:space="0" w:color="auto"/>
      </w:divBdr>
      <w:divsChild>
        <w:div w:id="843279630">
          <w:marLeft w:val="0"/>
          <w:marRight w:val="0"/>
          <w:marTop w:val="0"/>
          <w:marBottom w:val="0"/>
          <w:divBdr>
            <w:top w:val="none" w:sz="0" w:space="0" w:color="auto"/>
            <w:left w:val="none" w:sz="0" w:space="0" w:color="auto"/>
            <w:bottom w:val="none" w:sz="0" w:space="0" w:color="auto"/>
            <w:right w:val="none" w:sz="0" w:space="0" w:color="auto"/>
          </w:divBdr>
        </w:div>
      </w:divsChild>
    </w:div>
    <w:div w:id="1549607024">
      <w:bodyDiv w:val="1"/>
      <w:marLeft w:val="0"/>
      <w:marRight w:val="0"/>
      <w:marTop w:val="0"/>
      <w:marBottom w:val="0"/>
      <w:divBdr>
        <w:top w:val="none" w:sz="0" w:space="0" w:color="auto"/>
        <w:left w:val="none" w:sz="0" w:space="0" w:color="auto"/>
        <w:bottom w:val="none" w:sz="0" w:space="0" w:color="auto"/>
        <w:right w:val="none" w:sz="0" w:space="0" w:color="auto"/>
      </w:divBdr>
    </w:div>
    <w:div w:id="1580214912">
      <w:bodyDiv w:val="1"/>
      <w:marLeft w:val="0"/>
      <w:marRight w:val="0"/>
      <w:marTop w:val="0"/>
      <w:marBottom w:val="0"/>
      <w:divBdr>
        <w:top w:val="none" w:sz="0" w:space="0" w:color="auto"/>
        <w:left w:val="none" w:sz="0" w:space="0" w:color="auto"/>
        <w:bottom w:val="none" w:sz="0" w:space="0" w:color="auto"/>
        <w:right w:val="none" w:sz="0" w:space="0" w:color="auto"/>
      </w:divBdr>
    </w:div>
    <w:div w:id="1608926073">
      <w:bodyDiv w:val="1"/>
      <w:marLeft w:val="0"/>
      <w:marRight w:val="0"/>
      <w:marTop w:val="0"/>
      <w:marBottom w:val="0"/>
      <w:divBdr>
        <w:top w:val="none" w:sz="0" w:space="0" w:color="auto"/>
        <w:left w:val="none" w:sz="0" w:space="0" w:color="auto"/>
        <w:bottom w:val="none" w:sz="0" w:space="0" w:color="auto"/>
        <w:right w:val="none" w:sz="0" w:space="0" w:color="auto"/>
      </w:divBdr>
    </w:div>
    <w:div w:id="1629048035">
      <w:bodyDiv w:val="1"/>
      <w:marLeft w:val="0"/>
      <w:marRight w:val="0"/>
      <w:marTop w:val="0"/>
      <w:marBottom w:val="0"/>
      <w:divBdr>
        <w:top w:val="none" w:sz="0" w:space="0" w:color="auto"/>
        <w:left w:val="none" w:sz="0" w:space="0" w:color="auto"/>
        <w:bottom w:val="none" w:sz="0" w:space="0" w:color="auto"/>
        <w:right w:val="none" w:sz="0" w:space="0" w:color="auto"/>
      </w:divBdr>
    </w:div>
    <w:div w:id="1711690346">
      <w:bodyDiv w:val="1"/>
      <w:marLeft w:val="0"/>
      <w:marRight w:val="0"/>
      <w:marTop w:val="0"/>
      <w:marBottom w:val="0"/>
      <w:divBdr>
        <w:top w:val="none" w:sz="0" w:space="0" w:color="auto"/>
        <w:left w:val="none" w:sz="0" w:space="0" w:color="auto"/>
        <w:bottom w:val="none" w:sz="0" w:space="0" w:color="auto"/>
        <w:right w:val="none" w:sz="0" w:space="0" w:color="auto"/>
      </w:divBdr>
    </w:div>
    <w:div w:id="1711953499">
      <w:bodyDiv w:val="1"/>
      <w:marLeft w:val="0"/>
      <w:marRight w:val="0"/>
      <w:marTop w:val="0"/>
      <w:marBottom w:val="0"/>
      <w:divBdr>
        <w:top w:val="none" w:sz="0" w:space="0" w:color="auto"/>
        <w:left w:val="none" w:sz="0" w:space="0" w:color="auto"/>
        <w:bottom w:val="none" w:sz="0" w:space="0" w:color="auto"/>
        <w:right w:val="none" w:sz="0" w:space="0" w:color="auto"/>
      </w:divBdr>
    </w:div>
    <w:div w:id="1724214185">
      <w:bodyDiv w:val="1"/>
      <w:marLeft w:val="0"/>
      <w:marRight w:val="0"/>
      <w:marTop w:val="0"/>
      <w:marBottom w:val="0"/>
      <w:divBdr>
        <w:top w:val="none" w:sz="0" w:space="0" w:color="auto"/>
        <w:left w:val="none" w:sz="0" w:space="0" w:color="auto"/>
        <w:bottom w:val="none" w:sz="0" w:space="0" w:color="auto"/>
        <w:right w:val="none" w:sz="0" w:space="0" w:color="auto"/>
      </w:divBdr>
    </w:div>
    <w:div w:id="1742484283">
      <w:bodyDiv w:val="1"/>
      <w:marLeft w:val="0"/>
      <w:marRight w:val="0"/>
      <w:marTop w:val="0"/>
      <w:marBottom w:val="0"/>
      <w:divBdr>
        <w:top w:val="none" w:sz="0" w:space="0" w:color="auto"/>
        <w:left w:val="none" w:sz="0" w:space="0" w:color="auto"/>
        <w:bottom w:val="none" w:sz="0" w:space="0" w:color="auto"/>
        <w:right w:val="none" w:sz="0" w:space="0" w:color="auto"/>
      </w:divBdr>
    </w:div>
    <w:div w:id="1771316694">
      <w:bodyDiv w:val="1"/>
      <w:marLeft w:val="0"/>
      <w:marRight w:val="0"/>
      <w:marTop w:val="0"/>
      <w:marBottom w:val="0"/>
      <w:divBdr>
        <w:top w:val="none" w:sz="0" w:space="0" w:color="auto"/>
        <w:left w:val="none" w:sz="0" w:space="0" w:color="auto"/>
        <w:bottom w:val="none" w:sz="0" w:space="0" w:color="auto"/>
        <w:right w:val="none" w:sz="0" w:space="0" w:color="auto"/>
      </w:divBdr>
    </w:div>
    <w:div w:id="1817837967">
      <w:bodyDiv w:val="1"/>
      <w:marLeft w:val="0"/>
      <w:marRight w:val="0"/>
      <w:marTop w:val="0"/>
      <w:marBottom w:val="0"/>
      <w:divBdr>
        <w:top w:val="none" w:sz="0" w:space="0" w:color="auto"/>
        <w:left w:val="none" w:sz="0" w:space="0" w:color="auto"/>
        <w:bottom w:val="none" w:sz="0" w:space="0" w:color="auto"/>
        <w:right w:val="none" w:sz="0" w:space="0" w:color="auto"/>
      </w:divBdr>
    </w:div>
    <w:div w:id="1832139056">
      <w:bodyDiv w:val="1"/>
      <w:marLeft w:val="0"/>
      <w:marRight w:val="0"/>
      <w:marTop w:val="0"/>
      <w:marBottom w:val="0"/>
      <w:divBdr>
        <w:top w:val="none" w:sz="0" w:space="0" w:color="auto"/>
        <w:left w:val="none" w:sz="0" w:space="0" w:color="auto"/>
        <w:bottom w:val="none" w:sz="0" w:space="0" w:color="auto"/>
        <w:right w:val="none" w:sz="0" w:space="0" w:color="auto"/>
      </w:divBdr>
    </w:div>
    <w:div w:id="1918130178">
      <w:bodyDiv w:val="1"/>
      <w:marLeft w:val="0"/>
      <w:marRight w:val="0"/>
      <w:marTop w:val="0"/>
      <w:marBottom w:val="0"/>
      <w:divBdr>
        <w:top w:val="none" w:sz="0" w:space="0" w:color="auto"/>
        <w:left w:val="none" w:sz="0" w:space="0" w:color="auto"/>
        <w:bottom w:val="none" w:sz="0" w:space="0" w:color="auto"/>
        <w:right w:val="none" w:sz="0" w:space="0" w:color="auto"/>
      </w:divBdr>
    </w:div>
    <w:div w:id="2017615014">
      <w:bodyDiv w:val="1"/>
      <w:marLeft w:val="0"/>
      <w:marRight w:val="0"/>
      <w:marTop w:val="0"/>
      <w:marBottom w:val="0"/>
      <w:divBdr>
        <w:top w:val="none" w:sz="0" w:space="0" w:color="auto"/>
        <w:left w:val="none" w:sz="0" w:space="0" w:color="auto"/>
        <w:bottom w:val="none" w:sz="0" w:space="0" w:color="auto"/>
        <w:right w:val="none" w:sz="0" w:space="0" w:color="auto"/>
      </w:divBdr>
    </w:div>
    <w:div w:id="2026787979">
      <w:bodyDiv w:val="1"/>
      <w:marLeft w:val="0"/>
      <w:marRight w:val="0"/>
      <w:marTop w:val="0"/>
      <w:marBottom w:val="0"/>
      <w:divBdr>
        <w:top w:val="none" w:sz="0" w:space="0" w:color="auto"/>
        <w:left w:val="none" w:sz="0" w:space="0" w:color="auto"/>
        <w:bottom w:val="none" w:sz="0" w:space="0" w:color="auto"/>
        <w:right w:val="none" w:sz="0" w:space="0" w:color="auto"/>
      </w:divBdr>
      <w:divsChild>
        <w:div w:id="1636790997">
          <w:marLeft w:val="0"/>
          <w:marRight w:val="0"/>
          <w:marTop w:val="0"/>
          <w:marBottom w:val="0"/>
          <w:divBdr>
            <w:top w:val="none" w:sz="0" w:space="0" w:color="auto"/>
            <w:left w:val="none" w:sz="0" w:space="0" w:color="auto"/>
            <w:bottom w:val="none" w:sz="0" w:space="0" w:color="auto"/>
            <w:right w:val="none" w:sz="0" w:space="0" w:color="auto"/>
          </w:divBdr>
        </w:div>
      </w:divsChild>
    </w:div>
    <w:div w:id="2051034292">
      <w:bodyDiv w:val="1"/>
      <w:marLeft w:val="0"/>
      <w:marRight w:val="0"/>
      <w:marTop w:val="0"/>
      <w:marBottom w:val="0"/>
      <w:divBdr>
        <w:top w:val="none" w:sz="0" w:space="0" w:color="auto"/>
        <w:left w:val="none" w:sz="0" w:space="0" w:color="auto"/>
        <w:bottom w:val="none" w:sz="0" w:space="0" w:color="auto"/>
        <w:right w:val="none" w:sz="0" w:space="0" w:color="auto"/>
      </w:divBdr>
    </w:div>
    <w:div w:id="2052654159">
      <w:bodyDiv w:val="1"/>
      <w:marLeft w:val="0"/>
      <w:marRight w:val="0"/>
      <w:marTop w:val="0"/>
      <w:marBottom w:val="0"/>
      <w:divBdr>
        <w:top w:val="none" w:sz="0" w:space="0" w:color="auto"/>
        <w:left w:val="none" w:sz="0" w:space="0" w:color="auto"/>
        <w:bottom w:val="none" w:sz="0" w:space="0" w:color="auto"/>
        <w:right w:val="none" w:sz="0" w:space="0" w:color="auto"/>
      </w:divBdr>
    </w:div>
    <w:div w:id="2085712857">
      <w:bodyDiv w:val="1"/>
      <w:marLeft w:val="0"/>
      <w:marRight w:val="0"/>
      <w:marTop w:val="0"/>
      <w:marBottom w:val="0"/>
      <w:divBdr>
        <w:top w:val="none" w:sz="0" w:space="0" w:color="auto"/>
        <w:left w:val="none" w:sz="0" w:space="0" w:color="auto"/>
        <w:bottom w:val="none" w:sz="0" w:space="0" w:color="auto"/>
        <w:right w:val="none" w:sz="0" w:space="0" w:color="auto"/>
      </w:divBdr>
      <w:divsChild>
        <w:div w:id="1799374366">
          <w:marLeft w:val="0"/>
          <w:marRight w:val="0"/>
          <w:marTop w:val="0"/>
          <w:marBottom w:val="0"/>
          <w:divBdr>
            <w:top w:val="none" w:sz="0" w:space="0" w:color="auto"/>
            <w:left w:val="none" w:sz="0" w:space="0" w:color="auto"/>
            <w:bottom w:val="none" w:sz="0" w:space="0" w:color="auto"/>
            <w:right w:val="none" w:sz="0" w:space="0" w:color="auto"/>
          </w:divBdr>
        </w:div>
      </w:divsChild>
    </w:div>
    <w:div w:id="214014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fontTable" Target="fontTable.xml"/><Relationship Id="rId21" Type="http://schemas.openxmlformats.org/officeDocument/2006/relationships/image" Target="media/image11.png"/><Relationship Id="rId34" Type="http://schemas.openxmlformats.org/officeDocument/2006/relationships/image" Target="media/image22.emf"/><Relationship Id="rId42"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anda.com/currency/average" TargetMode="External"/><Relationship Id="rId24" Type="http://schemas.openxmlformats.org/officeDocument/2006/relationships/image" Target="media/image14.png"/><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theme" Target="theme/theme1.xml"/><Relationship Id="rId45" Type="http://schemas.openxmlformats.org/officeDocument/2006/relationships/customXml" Target="../customXml/item6.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1.xml"/><Relationship Id="rId36" Type="http://schemas.openxmlformats.org/officeDocument/2006/relationships/image" Target="media/image24.emf"/><Relationship Id="rId10" Type="http://schemas.openxmlformats.org/officeDocument/2006/relationships/hyperlink" Target="http://www.investing.com/commodities/carbon-emissions-historical-data" TargetMode="External"/><Relationship Id="rId19" Type="http://schemas.openxmlformats.org/officeDocument/2006/relationships/image" Target="media/image9.png"/><Relationship Id="rId31" Type="http://schemas.openxmlformats.org/officeDocument/2006/relationships/image" Target="media/image19.emf"/><Relationship Id="rId44"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customXml" Target="../customXml/item4.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1.emf"/><Relationship Id="rId38" Type="http://schemas.openxmlformats.org/officeDocument/2006/relationships/image" Target="media/image26.emf"/><Relationship Id="rId20" Type="http://schemas.openxmlformats.org/officeDocument/2006/relationships/image" Target="media/image10.png"/><Relationship Id="rId41"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9F2B426C0FE0044990EFC0F50AD13FDD" ma:contentTypeVersion="0" ma:contentTypeDescription="A content type to manage public (operations) IDB documents" ma:contentTypeScope="" ma:versionID="83758f88369d30cdce5a046c2e2b95d1">
  <xsd:schema xmlns:xsd="http://www.w3.org/2001/XMLSchema" xmlns:xs="http://www.w3.org/2001/XMLSchema" xmlns:p="http://schemas.microsoft.com/office/2006/metadata/properties" xmlns:ns2="9c571b2f-e523-4ab2-ba2e-09e151a03ef4" targetNamespace="http://schemas.microsoft.com/office/2006/metadata/properties" ma:root="true" ma:fieldsID="eac78227aa40ebe0634e64f1b07ec9c4"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f10f793-ca0a-45d3-aa23-15b9e4b1309c}" ma:internalName="TaxCatchAll" ma:showField="CatchAllData" ma:web="bf1238c8-2e25-458e-83d0-1fd26af66a5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f10f793-ca0a-45d3-aa23-15b9e4b1309c}" ma:internalName="TaxCatchAllLabel" ma:readOnly="true" ma:showField="CatchAllDataLabel" ma:web="bf1238c8-2e25-458e-83d0-1fd26af66a5d">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INE/ENE</Division_x0020_or_x0020_Unit>
    <Other_x0020_Author xmlns="9c571b2f-e523-4ab2-ba2e-09e151a03ef4" xsi:nil="true"/>
    <Region xmlns="9c571b2f-e523-4ab2-ba2e-09e151a03ef4" xsi:nil="true"/>
    <IDBDocs_x0020_Number xmlns="9c571b2f-e523-4ab2-ba2e-09e151a03ef4">40383148</IDBDocs_x0020_Number>
    <Document_x0020_Author xmlns="9c571b2f-e523-4ab2-ba2e-09e151a03ef4">Gischler Blanco, Christiaan</Document_x0020_Author>
    <Publication_x0020_Type xmlns="9c571b2f-e523-4ab2-ba2e-09e151a03ef4" xsi:nil="true"/>
    <Operation_x0020_Type xmlns="9c571b2f-e523-4ab2-ba2e-09e151a03ef4" xsi:nil="true"/>
    <TaxCatchAll xmlns="9c571b2f-e523-4ab2-ba2e-09e151a03ef4">
      <Value>4</Value>
      <Value>3</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BA-L1012</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Proposal&lt;/USER_STAGE&gt;&lt;APPROVAL_CODE&gt;DE&lt;/APPROVAL_CODE&gt;&lt;APPROVAL_DESC&gt;Board of Executive Directors&lt;/APPROVAL_DESC&gt;&lt;PD_OBJ_TYPE&gt;0&lt;/PD_OBJ_TYPE&gt;&lt;MAKERECORD&gt;N&lt;/MAKERECORD&gt;&lt;/Data&gt;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EN-ALT</Webtopic>
    <Identifier xmlns="9c571b2f-e523-4ab2-ba2e-09e151a03ef4"> TECFILE</Identifier>
    <Publishing_x0020_House xmlns="9c571b2f-e523-4ab2-ba2e-09e151a03ef4" xsi:nil="true"/>
    <Document_x0020_Language_x0020_IDB xmlns="9c571b2f-e523-4ab2-ba2e-09e151a03ef4">English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4CF8F18A-6127-44CB-995C-05AC1AD0B928}"/>
</file>

<file path=customXml/itemProps2.xml><?xml version="1.0" encoding="utf-8"?>
<ds:datastoreItem xmlns:ds="http://schemas.openxmlformats.org/officeDocument/2006/customXml" ds:itemID="{9C478BBA-957D-4BA3-B474-B8E455C9F25E}"/>
</file>

<file path=customXml/itemProps3.xml><?xml version="1.0" encoding="utf-8"?>
<ds:datastoreItem xmlns:ds="http://schemas.openxmlformats.org/officeDocument/2006/customXml" ds:itemID="{84A172DE-DCD9-421E-ACD6-E859C7646DCC}"/>
</file>

<file path=customXml/itemProps4.xml><?xml version="1.0" encoding="utf-8"?>
<ds:datastoreItem xmlns:ds="http://schemas.openxmlformats.org/officeDocument/2006/customXml" ds:itemID="{A6B3869E-CC58-4110-900C-E1ADAAF04766}"/>
</file>

<file path=customXml/itemProps5.xml><?xml version="1.0" encoding="utf-8"?>
<ds:datastoreItem xmlns:ds="http://schemas.openxmlformats.org/officeDocument/2006/customXml" ds:itemID="{BB213A85-57AF-4E67-903E-234B11F1840A}"/>
</file>

<file path=customXml/itemProps6.xml><?xml version="1.0" encoding="utf-8"?>
<ds:datastoreItem xmlns:ds="http://schemas.openxmlformats.org/officeDocument/2006/customXml" ds:itemID="{39D7D538-80AC-4632-B8AE-83EFDC2E1099}"/>
</file>

<file path=docProps/app.xml><?xml version="1.0" encoding="utf-8"?>
<Properties xmlns="http://schemas.openxmlformats.org/officeDocument/2006/extended-properties" xmlns:vt="http://schemas.openxmlformats.org/officeDocument/2006/docPropsVTypes">
  <Template>Normal.dotm</Template>
  <TotalTime>1</TotalTime>
  <Pages>76</Pages>
  <Words>20705</Words>
  <Characters>118023</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138452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BA-L1012_POD_OEL_Cost Benefit Analysis</dc:title>
  <dc:creator>Test</dc:creator>
  <cp:lastModifiedBy>IADB</cp:lastModifiedBy>
  <cp:revision>3</cp:revision>
  <cp:lastPrinted>2016-08-19T18:58:00Z</cp:lastPrinted>
  <dcterms:created xsi:type="dcterms:W3CDTF">2016-10-18T14:54:00Z</dcterms:created>
  <dcterms:modified xsi:type="dcterms:W3CDTF">2016-10-18T14:55:00Z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0x01010046CF21643EE8D14686A648AA6DAD0892009F2B426C0FE0044990EFC0F50AD13FDD</vt:lpwstr>
  </property>
  <property fmtid="{D5CDD505-2E9C-101B-9397-08002B2CF9AE}" pid="5" name="TaxKeywordTaxHTField">
    <vt:lpwstr/>
  </property>
  <property fmtid="{D5CDD505-2E9C-101B-9397-08002B2CF9AE}" pid="6" name="Series Operations IDB">
    <vt:lpwstr>3;#Unclassified|a6dff32e-d477-44cd-a56b-85efe9e0a56c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3;#Unclassified|a6dff32e-d477-44cd-a56b-85efe9e0a56c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4;#IDBDocs|cca77002-e150-4b2d-ab1f-1d7a7cdcae16</vt:lpwstr>
  </property>
</Properties>
</file>