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8C8F" w14:textId="77777777" w:rsidR="00DA2965" w:rsidRPr="00DA2965" w:rsidRDefault="00DA2965" w:rsidP="00DA2965">
      <w:pPr>
        <w:autoSpaceDE w:val="0"/>
        <w:autoSpaceDN w:val="0"/>
        <w:adjustRightInd w:val="0"/>
        <w:rPr>
          <w:rFonts w:ascii="Arial" w:eastAsia="Times New Roman" w:hAnsi="Arial" w:cs="Arial"/>
          <w:b/>
          <w:color w:val="000000"/>
          <w:sz w:val="22"/>
          <w:szCs w:val="22"/>
        </w:rPr>
      </w:pPr>
    </w:p>
    <w:p w14:paraId="58B0FCAD" w14:textId="2FF997B4" w:rsidR="00DA2965" w:rsidRPr="00B9551A" w:rsidRDefault="00A45B0A" w:rsidP="00DA2965">
      <w:pPr>
        <w:jc w:val="both"/>
        <w:rPr>
          <w:rFonts w:ascii="Arial" w:eastAsia="Times New Roman" w:hAnsi="Arial" w:cs="Arial"/>
          <w:bCs/>
          <w:sz w:val="22"/>
          <w:szCs w:val="22"/>
          <w:lang w:val="es-ES_tradnl"/>
        </w:rPr>
      </w:pPr>
      <w:r w:rsidRPr="008748EA">
        <w:rPr>
          <w:rFonts w:ascii="Arial" w:eastAsia="Times New Roman" w:hAnsi="Arial" w:cs="Arial"/>
          <w:sz w:val="22"/>
          <w:szCs w:val="22"/>
          <w:lang w:val="es-ES_tradnl"/>
        </w:rPr>
        <w:t>Este document</w:t>
      </w:r>
      <w:r w:rsidR="008575E5" w:rsidRPr="008748EA">
        <w:rPr>
          <w:rFonts w:ascii="Arial" w:eastAsia="Times New Roman" w:hAnsi="Arial" w:cs="Arial"/>
          <w:sz w:val="22"/>
          <w:szCs w:val="22"/>
          <w:lang w:val="es-ES_tradnl"/>
        </w:rPr>
        <w:t>o</w:t>
      </w:r>
      <w:r w:rsidRPr="008748EA">
        <w:rPr>
          <w:rFonts w:ascii="Arial" w:eastAsia="Times New Roman" w:hAnsi="Arial" w:cs="Arial"/>
          <w:sz w:val="22"/>
          <w:szCs w:val="22"/>
          <w:lang w:val="es-ES_tradnl"/>
        </w:rPr>
        <w:t xml:space="preserve"> presenta </w:t>
      </w:r>
      <w:r w:rsidR="008575E5" w:rsidRPr="008748EA">
        <w:rPr>
          <w:rFonts w:ascii="Arial" w:eastAsia="Times New Roman" w:hAnsi="Arial" w:cs="Arial"/>
          <w:sz w:val="22"/>
          <w:szCs w:val="22"/>
          <w:lang w:val="es-ES_tradnl"/>
        </w:rPr>
        <w:t xml:space="preserve">el análisis </w:t>
      </w:r>
      <w:r w:rsidR="009C783B" w:rsidRPr="008748EA">
        <w:rPr>
          <w:rFonts w:ascii="Arial" w:eastAsia="Times New Roman" w:hAnsi="Arial" w:cs="Arial"/>
          <w:sz w:val="22"/>
          <w:szCs w:val="22"/>
          <w:lang w:val="es-ES_tradnl"/>
        </w:rPr>
        <w:t xml:space="preserve">del cumplimiento de la </w:t>
      </w:r>
      <w:r w:rsidR="00713829" w:rsidRPr="008748EA">
        <w:rPr>
          <w:rFonts w:ascii="Arial" w:eastAsia="Times New Roman" w:hAnsi="Arial" w:cs="Arial"/>
          <w:sz w:val="22"/>
          <w:szCs w:val="22"/>
          <w:lang w:val="es-ES_tradnl"/>
        </w:rPr>
        <w:t>Política</w:t>
      </w:r>
      <w:r w:rsidR="009C783B" w:rsidRPr="008748EA">
        <w:rPr>
          <w:rFonts w:ascii="Arial" w:eastAsia="Times New Roman" w:hAnsi="Arial" w:cs="Arial"/>
          <w:sz w:val="22"/>
          <w:szCs w:val="22"/>
          <w:lang w:val="es-ES_tradnl"/>
        </w:rPr>
        <w:t xml:space="preserve"> de </w:t>
      </w:r>
      <w:r w:rsidR="00713829" w:rsidRPr="008748EA">
        <w:rPr>
          <w:rFonts w:ascii="Arial" w:eastAsia="Times New Roman" w:hAnsi="Arial" w:cs="Arial"/>
          <w:sz w:val="22"/>
          <w:szCs w:val="22"/>
          <w:lang w:val="es-ES_tradnl"/>
        </w:rPr>
        <w:t>Servicios</w:t>
      </w:r>
      <w:r w:rsidR="009C783B" w:rsidRPr="008748EA">
        <w:rPr>
          <w:rFonts w:ascii="Arial" w:eastAsia="Times New Roman" w:hAnsi="Arial" w:cs="Arial"/>
          <w:sz w:val="22"/>
          <w:szCs w:val="22"/>
          <w:lang w:val="es-ES_tradnl"/>
        </w:rPr>
        <w:t xml:space="preserve"> Públicos (GN</w:t>
      </w:r>
      <w:r w:rsidR="001B28BD" w:rsidRPr="008748EA">
        <w:rPr>
          <w:rFonts w:ascii="Arial" w:eastAsia="Times New Roman" w:hAnsi="Arial" w:cs="Arial"/>
          <w:sz w:val="22"/>
          <w:szCs w:val="22"/>
          <w:lang w:val="es-ES_tradnl"/>
        </w:rPr>
        <w:t xml:space="preserve">-2716-6) </w:t>
      </w:r>
      <w:r w:rsidR="009C783B" w:rsidRPr="008748EA">
        <w:rPr>
          <w:rFonts w:ascii="Arial" w:eastAsia="Times New Roman" w:hAnsi="Arial" w:cs="Arial"/>
          <w:sz w:val="22"/>
          <w:szCs w:val="22"/>
          <w:lang w:val="es-ES_tradnl"/>
        </w:rPr>
        <w:t>de</w:t>
      </w:r>
      <w:r w:rsidR="00355C8F">
        <w:rPr>
          <w:rFonts w:ascii="Arial" w:eastAsia="Times New Roman" w:hAnsi="Arial" w:cs="Arial"/>
          <w:sz w:val="22"/>
          <w:szCs w:val="22"/>
          <w:lang w:val="es-ES_tradnl"/>
        </w:rPr>
        <w:t>l Pro</w:t>
      </w:r>
      <w:r w:rsidR="008D366E">
        <w:rPr>
          <w:rFonts w:ascii="Arial" w:eastAsia="Times New Roman" w:hAnsi="Arial" w:cs="Arial"/>
          <w:sz w:val="22"/>
          <w:szCs w:val="22"/>
          <w:lang w:val="es-ES_tradnl"/>
        </w:rPr>
        <w:t xml:space="preserve">grama de Descontaminación </w:t>
      </w:r>
      <w:r w:rsidR="008D366E" w:rsidRPr="00B9551A">
        <w:rPr>
          <w:rFonts w:ascii="Arial" w:eastAsia="Times New Roman" w:hAnsi="Arial" w:cs="Arial"/>
          <w:sz w:val="22"/>
          <w:szCs w:val="22"/>
          <w:lang w:val="es-ES_tradnl"/>
        </w:rPr>
        <w:t xml:space="preserve">del Río </w:t>
      </w:r>
      <w:proofErr w:type="spellStart"/>
      <w:r w:rsidR="00B9551A" w:rsidRPr="00B9551A">
        <w:rPr>
          <w:rFonts w:ascii="Arial" w:hAnsi="Arial" w:cs="Arial"/>
          <w:bCs/>
          <w:sz w:val="22"/>
          <w:szCs w:val="22"/>
          <w:lang w:val="es-ES_tradnl"/>
        </w:rPr>
        <w:t>Tietê</w:t>
      </w:r>
      <w:proofErr w:type="spellEnd"/>
      <w:r w:rsidR="00B9551A" w:rsidRPr="00B9551A">
        <w:rPr>
          <w:rFonts w:ascii="Arial" w:eastAsia="Times New Roman" w:hAnsi="Arial" w:cs="Arial"/>
          <w:sz w:val="22"/>
          <w:szCs w:val="22"/>
          <w:lang w:val="es-ES_tradnl"/>
        </w:rPr>
        <w:t xml:space="preserve"> </w:t>
      </w:r>
      <w:r w:rsidR="00B9551A">
        <w:rPr>
          <w:rFonts w:ascii="Arial" w:eastAsia="Times New Roman" w:hAnsi="Arial" w:cs="Arial"/>
          <w:sz w:val="22"/>
          <w:szCs w:val="22"/>
          <w:lang w:val="es-ES_tradnl"/>
        </w:rPr>
        <w:t xml:space="preserve">– Etapa IV </w:t>
      </w:r>
      <w:r w:rsidR="008748EA" w:rsidRPr="00B9551A">
        <w:rPr>
          <w:rFonts w:ascii="Arial" w:eastAsia="Times New Roman" w:hAnsi="Arial" w:cs="Arial"/>
          <w:sz w:val="22"/>
          <w:szCs w:val="22"/>
          <w:lang w:val="es-ES_tradnl"/>
        </w:rPr>
        <w:t>(BR-L1</w:t>
      </w:r>
      <w:r w:rsidR="00F62D5C">
        <w:rPr>
          <w:rFonts w:ascii="Arial" w:eastAsia="Times New Roman" w:hAnsi="Arial" w:cs="Arial"/>
          <w:sz w:val="22"/>
          <w:szCs w:val="22"/>
          <w:lang w:val="es-ES_tradnl"/>
        </w:rPr>
        <w:t>492</w:t>
      </w:r>
      <w:bookmarkStart w:id="0" w:name="_GoBack"/>
      <w:bookmarkEnd w:id="0"/>
      <w:r w:rsidR="008748EA" w:rsidRPr="00B9551A">
        <w:rPr>
          <w:rFonts w:ascii="Arial" w:eastAsia="Times New Roman" w:hAnsi="Arial" w:cs="Arial"/>
          <w:sz w:val="22"/>
          <w:szCs w:val="22"/>
          <w:lang w:val="es-ES_tradnl"/>
        </w:rPr>
        <w:t>)</w:t>
      </w:r>
      <w:r w:rsidR="00DA2965" w:rsidRPr="00B9551A">
        <w:rPr>
          <w:rFonts w:ascii="Arial" w:eastAsia="Times New Roman" w:hAnsi="Arial" w:cs="Arial"/>
          <w:bCs/>
          <w:sz w:val="22"/>
          <w:szCs w:val="22"/>
          <w:lang w:val="es-ES_tradnl"/>
        </w:rPr>
        <w:t xml:space="preserve">. </w:t>
      </w:r>
    </w:p>
    <w:p w14:paraId="18DA5191" w14:textId="77777777" w:rsidR="00DA2965" w:rsidRPr="00DA2965" w:rsidRDefault="00DA2965" w:rsidP="00DA2965">
      <w:pPr>
        <w:tabs>
          <w:tab w:val="left" w:pos="2850"/>
        </w:tabs>
        <w:jc w:val="both"/>
        <w:rPr>
          <w:rFonts w:ascii="Arial" w:eastAsia="Times New Roman" w:hAnsi="Arial" w:cs="Arial"/>
          <w:sz w:val="22"/>
          <w:szCs w:val="22"/>
          <w:lang w:val="es-ES_tradnl"/>
        </w:rPr>
      </w:pPr>
      <w:r w:rsidRPr="00DA2965">
        <w:rPr>
          <w:rFonts w:ascii="Arial" w:eastAsia="Times New Roman" w:hAnsi="Arial" w:cs="Arial"/>
          <w:sz w:val="22"/>
          <w:szCs w:val="22"/>
          <w:lang w:val="es-ES_tradnl"/>
        </w:rPr>
        <w:tab/>
      </w:r>
    </w:p>
    <w:p w14:paraId="27FFEA2A" w14:textId="30B244B3" w:rsidR="00386040" w:rsidRDefault="00F063BE" w:rsidP="00DC7467">
      <w:pPr>
        <w:jc w:val="both"/>
        <w:rPr>
          <w:b/>
          <w:bCs/>
          <w:lang w:val="es-ES"/>
        </w:rPr>
      </w:pPr>
      <w:r w:rsidRPr="00DC7467">
        <w:rPr>
          <w:rFonts w:ascii="Arial" w:eastAsia="Times New Roman" w:hAnsi="Arial" w:cs="Arial"/>
          <w:sz w:val="22"/>
          <w:szCs w:val="22"/>
          <w:lang w:val="es-ES_tradnl"/>
        </w:rPr>
        <w:t>La siguiente tabl</w:t>
      </w:r>
      <w:r w:rsidR="00D70676">
        <w:rPr>
          <w:rFonts w:ascii="Arial" w:eastAsia="Times New Roman" w:hAnsi="Arial" w:cs="Arial"/>
          <w:sz w:val="22"/>
          <w:szCs w:val="22"/>
          <w:lang w:val="es-ES_tradnl"/>
        </w:rPr>
        <w:t>a</w:t>
      </w:r>
      <w:r w:rsidRPr="00DC7467">
        <w:rPr>
          <w:rFonts w:ascii="Arial" w:eastAsia="Times New Roman" w:hAnsi="Arial" w:cs="Arial"/>
          <w:sz w:val="22"/>
          <w:szCs w:val="22"/>
          <w:lang w:val="es-ES_tradnl"/>
        </w:rPr>
        <w:t xml:space="preserve"> incluye los objetivos de la Política de </w:t>
      </w:r>
      <w:r w:rsidR="00D70676" w:rsidRPr="00DC7467">
        <w:rPr>
          <w:rFonts w:ascii="Arial" w:eastAsia="Times New Roman" w:hAnsi="Arial" w:cs="Arial"/>
          <w:sz w:val="22"/>
          <w:szCs w:val="22"/>
          <w:lang w:val="es-ES_tradnl"/>
        </w:rPr>
        <w:t>Servicios</w:t>
      </w:r>
      <w:r w:rsidRPr="00DC7467">
        <w:rPr>
          <w:rFonts w:ascii="Arial" w:eastAsia="Times New Roman" w:hAnsi="Arial" w:cs="Arial"/>
          <w:sz w:val="22"/>
          <w:szCs w:val="22"/>
          <w:lang w:val="es-ES_tradnl"/>
        </w:rPr>
        <w:t xml:space="preserve"> Públicos</w:t>
      </w:r>
      <w:r w:rsidR="003B6274" w:rsidRPr="00DC7467">
        <w:rPr>
          <w:rFonts w:ascii="Arial" w:eastAsia="Times New Roman" w:hAnsi="Arial" w:cs="Arial"/>
          <w:sz w:val="22"/>
          <w:szCs w:val="22"/>
          <w:lang w:val="es-ES_tradnl"/>
        </w:rPr>
        <w:t xml:space="preserve"> (GN-2716-6)</w:t>
      </w:r>
      <w:r w:rsidR="00DC7467" w:rsidRPr="00DC7467">
        <w:rPr>
          <w:rFonts w:ascii="Arial" w:eastAsia="Times New Roman" w:hAnsi="Arial" w:cs="Arial"/>
          <w:sz w:val="22"/>
          <w:szCs w:val="22"/>
          <w:lang w:val="es-ES_tradnl"/>
        </w:rPr>
        <w:t xml:space="preserve">, descripción y comentarios resumidos </w:t>
      </w:r>
      <w:r w:rsidR="00DC7467">
        <w:rPr>
          <w:rFonts w:ascii="Arial" w:eastAsia="Times New Roman" w:hAnsi="Arial" w:cs="Arial"/>
          <w:sz w:val="22"/>
          <w:szCs w:val="22"/>
          <w:lang w:val="es-ES_tradnl"/>
        </w:rPr>
        <w:t>resaltando los aspectos relacionados con el Programa</w:t>
      </w:r>
      <w:r w:rsidR="00D70676">
        <w:rPr>
          <w:rFonts w:ascii="Arial" w:eastAsia="Times New Roman" w:hAnsi="Arial" w:cs="Arial"/>
          <w:sz w:val="22"/>
          <w:szCs w:val="22"/>
          <w:lang w:val="es-ES_tradnl"/>
        </w:rPr>
        <w:t>.</w:t>
      </w:r>
    </w:p>
    <w:p w14:paraId="672A6659" w14:textId="77777777" w:rsidR="00386040" w:rsidRDefault="00386040" w:rsidP="00BD68A5">
      <w:pPr>
        <w:jc w:val="center"/>
        <w:rPr>
          <w:b/>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07"/>
        <w:gridCol w:w="5449"/>
      </w:tblGrid>
      <w:tr w:rsidR="00386040" w:rsidRPr="006717E0" w14:paraId="7725B1C1" w14:textId="77777777" w:rsidTr="64E561C9">
        <w:trPr>
          <w:jc w:val="center"/>
        </w:trPr>
        <w:tc>
          <w:tcPr>
            <w:tcW w:w="1040" w:type="pct"/>
            <w:shd w:val="clear" w:color="auto" w:fill="C0C0C0"/>
            <w:vAlign w:val="center"/>
          </w:tcPr>
          <w:p w14:paraId="75019AA5" w14:textId="77777777" w:rsidR="00386040" w:rsidRPr="006717E0" w:rsidRDefault="64E561C9" w:rsidP="64E561C9">
            <w:pPr>
              <w:spacing w:before="120" w:after="120"/>
              <w:jc w:val="center"/>
              <w:rPr>
                <w:rFonts w:ascii="Arial" w:hAnsi="Arial" w:cs="Arial"/>
                <w:b/>
                <w:bCs/>
                <w:sz w:val="20"/>
                <w:szCs w:val="20"/>
                <w:lang w:val="es-ES"/>
              </w:rPr>
            </w:pPr>
            <w:r w:rsidRPr="64E561C9">
              <w:rPr>
                <w:rFonts w:ascii="Arial" w:hAnsi="Arial" w:cs="Arial"/>
                <w:b/>
                <w:bCs/>
                <w:sz w:val="20"/>
                <w:szCs w:val="20"/>
                <w:lang w:val="es-ES"/>
              </w:rPr>
              <w:t>Condiciones de la Política</w:t>
            </w:r>
          </w:p>
        </w:tc>
        <w:tc>
          <w:tcPr>
            <w:tcW w:w="1856" w:type="pct"/>
            <w:shd w:val="clear" w:color="auto" w:fill="C0C0C0"/>
            <w:vAlign w:val="center"/>
          </w:tcPr>
          <w:p w14:paraId="7CF7CAE3" w14:textId="77777777" w:rsidR="00386040" w:rsidRPr="006717E0" w:rsidRDefault="64E561C9" w:rsidP="64E561C9">
            <w:pPr>
              <w:spacing w:before="120" w:after="120"/>
              <w:jc w:val="center"/>
              <w:rPr>
                <w:rFonts w:ascii="Arial" w:hAnsi="Arial" w:cs="Arial"/>
                <w:b/>
                <w:bCs/>
                <w:sz w:val="20"/>
                <w:szCs w:val="20"/>
                <w:lang w:val="es-ES"/>
              </w:rPr>
            </w:pPr>
            <w:r w:rsidRPr="64E561C9">
              <w:rPr>
                <w:rFonts w:ascii="Arial" w:hAnsi="Arial" w:cs="Arial"/>
                <w:b/>
                <w:bCs/>
                <w:sz w:val="20"/>
                <w:szCs w:val="20"/>
                <w:lang w:val="es-ES"/>
              </w:rPr>
              <w:t>Descripción</w:t>
            </w:r>
          </w:p>
        </w:tc>
        <w:tc>
          <w:tcPr>
            <w:tcW w:w="2104" w:type="pct"/>
            <w:shd w:val="clear" w:color="auto" w:fill="C0C0C0"/>
            <w:vAlign w:val="center"/>
          </w:tcPr>
          <w:p w14:paraId="18963129" w14:textId="77777777" w:rsidR="00386040" w:rsidRPr="006717E0" w:rsidRDefault="64E561C9" w:rsidP="64E561C9">
            <w:pPr>
              <w:spacing w:before="120" w:after="120"/>
              <w:jc w:val="center"/>
              <w:rPr>
                <w:rFonts w:ascii="Arial" w:hAnsi="Arial" w:cs="Arial"/>
                <w:b/>
                <w:bCs/>
                <w:sz w:val="20"/>
                <w:szCs w:val="20"/>
                <w:lang w:val="es-ES"/>
              </w:rPr>
            </w:pPr>
            <w:r w:rsidRPr="64E561C9">
              <w:rPr>
                <w:rFonts w:ascii="Arial" w:hAnsi="Arial" w:cs="Arial"/>
                <w:b/>
                <w:bCs/>
                <w:sz w:val="20"/>
                <w:szCs w:val="20"/>
                <w:lang w:val="es-ES"/>
              </w:rPr>
              <w:t>Comentarios</w:t>
            </w:r>
          </w:p>
        </w:tc>
      </w:tr>
      <w:tr w:rsidR="00386040" w:rsidRPr="00355C8F" w14:paraId="7412E4B4" w14:textId="77777777" w:rsidTr="64E561C9">
        <w:trPr>
          <w:jc w:val="center"/>
        </w:trPr>
        <w:tc>
          <w:tcPr>
            <w:tcW w:w="1040" w:type="pct"/>
          </w:tcPr>
          <w:p w14:paraId="0CE9E36D" w14:textId="77777777" w:rsidR="00386040" w:rsidRPr="006717E0" w:rsidRDefault="64E561C9" w:rsidP="64E561C9">
            <w:pPr>
              <w:rPr>
                <w:rFonts w:ascii="Arial" w:hAnsi="Arial" w:cs="Arial"/>
                <w:sz w:val="20"/>
                <w:szCs w:val="20"/>
                <w:lang w:val="es-ES"/>
              </w:rPr>
            </w:pPr>
            <w:r w:rsidRPr="64E561C9">
              <w:rPr>
                <w:rFonts w:ascii="Arial" w:hAnsi="Arial" w:cs="Arial"/>
                <w:sz w:val="20"/>
                <w:szCs w:val="20"/>
                <w:lang w:val="es-ES"/>
              </w:rPr>
              <w:t>1. Sostenibilidad Financiera</w:t>
            </w:r>
          </w:p>
        </w:tc>
        <w:tc>
          <w:tcPr>
            <w:tcW w:w="1856" w:type="pct"/>
          </w:tcPr>
          <w:p w14:paraId="537122FE" w14:textId="77777777" w:rsidR="00386040" w:rsidRPr="006717E0" w:rsidRDefault="64E561C9" w:rsidP="64E561C9">
            <w:pPr>
              <w:autoSpaceDE w:val="0"/>
              <w:autoSpaceDN w:val="0"/>
              <w:adjustRightInd w:val="0"/>
              <w:jc w:val="both"/>
              <w:rPr>
                <w:rFonts w:ascii="Arial" w:hAnsi="Arial" w:cs="Arial"/>
                <w:sz w:val="20"/>
                <w:szCs w:val="20"/>
                <w:lang w:val="es-ES"/>
              </w:rPr>
            </w:pPr>
            <w:r w:rsidRPr="64E561C9">
              <w:rPr>
                <w:rFonts w:ascii="Arial" w:eastAsia="Times New Roman" w:hAnsi="Arial" w:cs="Arial"/>
                <w:sz w:val="20"/>
                <w:szCs w:val="20"/>
                <w:lang w:val="es-ES"/>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2104" w:type="pct"/>
          </w:tcPr>
          <w:p w14:paraId="77EC7E45" w14:textId="77777777" w:rsidR="00386040" w:rsidRPr="006717E0" w:rsidRDefault="64E561C9" w:rsidP="64E561C9">
            <w:pPr>
              <w:pStyle w:val="Paragraph"/>
              <w:numPr>
                <w:ilvl w:val="1"/>
                <w:numId w:val="0"/>
              </w:numPr>
              <w:rPr>
                <w:rFonts w:ascii="Arial" w:hAnsi="Arial" w:cs="Arial"/>
                <w:sz w:val="20"/>
                <w:lang w:eastAsia="en-US"/>
              </w:rPr>
            </w:pPr>
            <w:r w:rsidRPr="64E561C9">
              <w:rPr>
                <w:rFonts w:ascii="Arial" w:hAnsi="Arial" w:cs="Arial"/>
                <w:sz w:val="20"/>
                <w:lang w:eastAsia="en-US"/>
              </w:rPr>
              <w:t xml:space="preserve">El análisis financiero de SABESP ha permitido demostrar la solvente capacidad financiera de la entidad de financiar la contribución del aporte local durante el período de ejecución del proyecto, así como de cubrir el servicio de deuda de sus pasivos. El análisis financiero incluyó tanto el análisis histórico, con base en los estados financieros auditados e información operativa de la entidad, como la realización de un modelo financiero que proyecta la situación financiera estimada para los próximos ejercicios. En este sentido, la información financiera histórica indica que la compañía, con recursos tarifarios provenientes de la prestación de los servicios de agua y saneamiento, ha sido capaz de cubrir sus costos operativos y obligaciones financieras de forma adecuada, lo que se refleja en un EBITDA margen sobre ingresos operativos del 34.1% y un resultado final margen del 14.2% sobre ingresos operativos en promedio anual para los tres últimos ejercicios cerrados. La entidad viene cumpliendo sus compromisos financieros y niveles de endeudamiento con sus financiadores. Igualmente, con generación interna de caja, ha sido capaz de financiar una parte importante de su plan de inversiones. La entidad cumple con altos estándares de transparencia, rendición de cuentas y buenas prácticas de gobierno corporativo consolidadas. Las revisiones tarifarias se vienen realizando anualmente y por encima de la inflación, sujetas a la reglamentación del ente regulador, la ARSESP. </w:t>
            </w:r>
            <w:r w:rsidRPr="64E561C9">
              <w:rPr>
                <w:rFonts w:ascii="Arial" w:hAnsi="Arial" w:cs="Arial"/>
                <w:sz w:val="20"/>
                <w:lang w:eastAsia="en-US"/>
              </w:rPr>
              <w:lastRenderedPageBreak/>
              <w:t>El caso base de las proyecciones financieras indican que SABESP podrá mantener una situación financiera adecuada por el período de la proyección con capacidad financiera suficiente para asumir los compromisos financieros derivados del programa.</w:t>
            </w:r>
          </w:p>
        </w:tc>
      </w:tr>
      <w:tr w:rsidR="00386040" w:rsidRPr="00355C8F" w14:paraId="285BF800" w14:textId="77777777" w:rsidTr="64E561C9">
        <w:trPr>
          <w:trHeight w:val="3500"/>
          <w:jc w:val="center"/>
        </w:trPr>
        <w:tc>
          <w:tcPr>
            <w:tcW w:w="1040" w:type="pct"/>
          </w:tcPr>
          <w:p w14:paraId="2B403958" w14:textId="77777777" w:rsidR="00386040" w:rsidRPr="006717E0" w:rsidRDefault="64E561C9" w:rsidP="64E561C9">
            <w:pPr>
              <w:rPr>
                <w:rFonts w:ascii="Arial" w:hAnsi="Arial" w:cs="Arial"/>
                <w:sz w:val="20"/>
                <w:szCs w:val="20"/>
                <w:lang w:val="es-ES"/>
              </w:rPr>
            </w:pPr>
            <w:r w:rsidRPr="64E561C9">
              <w:rPr>
                <w:rFonts w:ascii="Arial" w:hAnsi="Arial" w:cs="Arial"/>
                <w:sz w:val="20"/>
                <w:szCs w:val="20"/>
                <w:lang w:val="es-ES"/>
              </w:rPr>
              <w:lastRenderedPageBreak/>
              <w:t>2. Evaluación Económica</w:t>
            </w:r>
          </w:p>
        </w:tc>
        <w:tc>
          <w:tcPr>
            <w:tcW w:w="1856" w:type="pct"/>
          </w:tcPr>
          <w:p w14:paraId="4DDDD002" w14:textId="77777777" w:rsidR="00386040"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Los proyectos de servicios públicos domiciliarios deberán ser económicamente rentables, </w:t>
            </w:r>
            <w:proofErr w:type="gramStart"/>
            <w:r w:rsidRPr="64E561C9">
              <w:rPr>
                <w:rFonts w:ascii="Arial" w:hAnsi="Arial" w:cs="Arial"/>
                <w:sz w:val="20"/>
                <w:szCs w:val="20"/>
                <w:lang w:val="es-ES"/>
              </w:rPr>
              <w:t>de acuerdo a</w:t>
            </w:r>
            <w:proofErr w:type="gramEnd"/>
            <w:r w:rsidRPr="64E561C9">
              <w:rPr>
                <w:rFonts w:ascii="Arial" w:hAnsi="Arial" w:cs="Arial"/>
                <w:sz w:val="20"/>
                <w:szCs w:val="20"/>
                <w:lang w:val="es-ES"/>
              </w:rPr>
              <w:t xml:space="preserve"> las metodologías de evaluación costo beneficio y costo efectividad utilizadas y aceptadas por el Banco.</w:t>
            </w:r>
          </w:p>
        </w:tc>
        <w:tc>
          <w:tcPr>
            <w:tcW w:w="2104" w:type="pct"/>
          </w:tcPr>
          <w:p w14:paraId="179A7F96" w14:textId="77777777" w:rsidR="00386040" w:rsidRPr="006717E0" w:rsidRDefault="64E561C9" w:rsidP="64E561C9">
            <w:pPr>
              <w:spacing w:before="120" w:after="120"/>
              <w:jc w:val="both"/>
              <w:rPr>
                <w:rFonts w:ascii="Arial" w:hAnsi="Arial" w:cs="Arial"/>
                <w:sz w:val="20"/>
                <w:szCs w:val="20"/>
                <w:lang w:val="es-ES"/>
              </w:rPr>
            </w:pPr>
            <w:r w:rsidRPr="64E561C9">
              <w:rPr>
                <w:rFonts w:ascii="Arial" w:hAnsi="Arial" w:cs="Arial"/>
                <w:sz w:val="20"/>
                <w:szCs w:val="20"/>
                <w:lang w:val="es-ES"/>
              </w:rPr>
              <w:t>Se realizó una evaluación económica ex – ante, que incluyó el análisis costo beneficio de una muestra de los proyectos a ser financiados por el programa. Dicha evaluación se realizó entre junio 2017 y marzo 2018 a los proyectos: A, B y C de redes, colectores y conexiones domiciliarias y Ampliación de la Planta de Tratamiento de Aguas Residuales Parque Novo Mundo. La evaluación se basó en una comparación de los beneficios y los costos, en situaciones con y sin intervención. Los beneficios económicos de los proyectos de red de recolección, transporte y tratamiento de aguas residuales de origen doméstico se cuantificaron utilizando valores de disposición al pago DAP (R$42,27/hogar/mes a precios de marzo 2018 como DAP para recolección y transporte y RS$14,85/hogar/mes para tratamiento de aguas residuales de origen doméstico) que se calcularon utilizando la metodología de valuación contingente a través de la aplicación de encuestas socioeconómicas entre julio y agosto de 2017. Los costos considerados para la evaluación fueron costos incrementales de inversión y operación y mantenimiento, valorados sin impuestos y tasas (precios sociales). El análisis de los resultados de la evaluación costo beneficio de los proyectos de la muestra indican que los mismos son socioeconómicamente viables con tasas internas de retorno superiores al 12% y coeficientes de beneficio costo mayores a 1.</w:t>
            </w:r>
          </w:p>
        </w:tc>
      </w:tr>
      <w:tr w:rsidR="00386040" w:rsidRPr="006717E0" w14:paraId="3E950E2B" w14:textId="77777777" w:rsidTr="64E561C9">
        <w:trPr>
          <w:jc w:val="center"/>
        </w:trPr>
        <w:tc>
          <w:tcPr>
            <w:tcW w:w="1040" w:type="pct"/>
            <w:shd w:val="clear" w:color="auto" w:fill="C0C0C0"/>
          </w:tcPr>
          <w:p w14:paraId="3C506127" w14:textId="77777777" w:rsidR="00386040" w:rsidRPr="006717E0" w:rsidRDefault="64E561C9" w:rsidP="64E561C9">
            <w:pPr>
              <w:rPr>
                <w:rFonts w:ascii="Arial" w:hAnsi="Arial" w:cs="Arial"/>
                <w:sz w:val="20"/>
                <w:szCs w:val="20"/>
                <w:lang w:val="es-ES"/>
              </w:rPr>
            </w:pPr>
            <w:bookmarkStart w:id="1" w:name="_Hlk496800744"/>
            <w:r w:rsidRPr="64E561C9">
              <w:rPr>
                <w:rFonts w:ascii="Arial" w:hAnsi="Arial" w:cs="Arial"/>
                <w:sz w:val="20"/>
                <w:szCs w:val="20"/>
                <w:lang w:val="es-ES"/>
              </w:rPr>
              <w:t>Objetivos de la Política</w:t>
            </w:r>
          </w:p>
          <w:p w14:paraId="0A37501D" w14:textId="77777777" w:rsidR="00386040" w:rsidRPr="006717E0" w:rsidRDefault="00386040" w:rsidP="000F1306">
            <w:pPr>
              <w:rPr>
                <w:rFonts w:ascii="Arial" w:hAnsi="Arial" w:cs="Arial"/>
                <w:sz w:val="20"/>
                <w:szCs w:val="20"/>
                <w:lang w:val="es-ES_tradnl"/>
              </w:rPr>
            </w:pPr>
          </w:p>
        </w:tc>
        <w:tc>
          <w:tcPr>
            <w:tcW w:w="1856" w:type="pct"/>
            <w:shd w:val="clear" w:color="auto" w:fill="C0C0C0"/>
          </w:tcPr>
          <w:p w14:paraId="0FA29CB0" w14:textId="77777777" w:rsidR="00386040" w:rsidRPr="006717E0" w:rsidRDefault="64E561C9" w:rsidP="64E561C9">
            <w:pPr>
              <w:rPr>
                <w:rFonts w:ascii="Arial" w:hAnsi="Arial" w:cs="Arial"/>
                <w:b/>
                <w:bCs/>
                <w:sz w:val="20"/>
                <w:szCs w:val="20"/>
                <w:lang w:val="es-ES"/>
              </w:rPr>
            </w:pPr>
            <w:r w:rsidRPr="64E561C9">
              <w:rPr>
                <w:rFonts w:ascii="Arial" w:hAnsi="Arial" w:cs="Arial"/>
                <w:b/>
                <w:bCs/>
                <w:sz w:val="20"/>
                <w:szCs w:val="20"/>
                <w:lang w:val="es-ES"/>
              </w:rPr>
              <w:t xml:space="preserve">Descripción </w:t>
            </w:r>
          </w:p>
        </w:tc>
        <w:tc>
          <w:tcPr>
            <w:tcW w:w="2104" w:type="pct"/>
            <w:shd w:val="clear" w:color="auto" w:fill="C0C0C0"/>
          </w:tcPr>
          <w:p w14:paraId="40A75AF6" w14:textId="77777777" w:rsidR="00386040" w:rsidRPr="006717E0" w:rsidRDefault="64E561C9" w:rsidP="64E561C9">
            <w:pPr>
              <w:rPr>
                <w:rFonts w:ascii="Arial" w:hAnsi="Arial" w:cs="Arial"/>
                <w:b/>
                <w:bCs/>
                <w:sz w:val="20"/>
                <w:szCs w:val="20"/>
                <w:lang w:val="es-ES"/>
              </w:rPr>
            </w:pPr>
            <w:r w:rsidRPr="64E561C9">
              <w:rPr>
                <w:rFonts w:ascii="Arial" w:hAnsi="Arial" w:cs="Arial"/>
                <w:b/>
                <w:bCs/>
                <w:sz w:val="20"/>
                <w:szCs w:val="20"/>
                <w:lang w:val="es-ES"/>
              </w:rPr>
              <w:t>Comentarios</w:t>
            </w:r>
          </w:p>
        </w:tc>
      </w:tr>
      <w:bookmarkEnd w:id="1"/>
      <w:tr w:rsidR="00386040" w:rsidRPr="00355C8F" w14:paraId="3D3FA968" w14:textId="77777777" w:rsidTr="64E561C9">
        <w:trPr>
          <w:jc w:val="center"/>
        </w:trPr>
        <w:tc>
          <w:tcPr>
            <w:tcW w:w="1040" w:type="pct"/>
          </w:tcPr>
          <w:p w14:paraId="502A4781" w14:textId="77777777" w:rsidR="00386040" w:rsidRPr="006717E0" w:rsidRDefault="64E561C9" w:rsidP="64E561C9">
            <w:pPr>
              <w:rPr>
                <w:rFonts w:ascii="Arial" w:hAnsi="Arial" w:cs="Arial"/>
                <w:sz w:val="20"/>
                <w:szCs w:val="20"/>
                <w:lang w:val="es-ES"/>
              </w:rPr>
            </w:pPr>
            <w:r w:rsidRPr="64E561C9">
              <w:rPr>
                <w:rFonts w:ascii="Arial" w:hAnsi="Arial" w:cs="Arial"/>
                <w:sz w:val="20"/>
                <w:szCs w:val="20"/>
                <w:lang w:val="es-ES"/>
              </w:rPr>
              <w:t>1. Fomentar el Acceso</w:t>
            </w:r>
          </w:p>
        </w:tc>
        <w:tc>
          <w:tcPr>
            <w:tcW w:w="1856" w:type="pct"/>
          </w:tcPr>
          <w:p w14:paraId="004A0885" w14:textId="77777777" w:rsidR="00386040"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Las políticas deben promover el acceso a todos los usuarios, especialmente a las comunidades y grupos más desfavorecidos. </w:t>
            </w:r>
          </w:p>
        </w:tc>
        <w:tc>
          <w:tcPr>
            <w:tcW w:w="2104" w:type="pct"/>
          </w:tcPr>
          <w:p w14:paraId="2D95D0D6" w14:textId="77777777" w:rsidR="00D517AB" w:rsidRPr="006717E0"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t xml:space="preserve">SABESP atiende a más de 8,9 millones de usuarios de agua, que implica una cobertura del 98%, y a unos 7,3 millones de usuarios con servicio de saneamiento, que </w:t>
            </w:r>
            <w:r w:rsidRPr="64E561C9">
              <w:rPr>
                <w:rFonts w:ascii="Arial" w:hAnsi="Arial" w:cs="Arial"/>
                <w:sz w:val="20"/>
                <w:szCs w:val="20"/>
                <w:lang w:val="es-ES"/>
              </w:rPr>
              <w:lastRenderedPageBreak/>
              <w:t>implica una cobertura del 90%. Según el plan de negocios de SABESP, las principales directrices estratégicas relacionadas con el programa incluyen la ampliación del tratamiento de las aguas servidas de la población, por medio de la implantación de estructuras de recolección, tratamiento y disposición final de aguas residuales, con viabilidad técnica y económica y buscando la universalización del servicio. En el Plan Director de Alcantarillado de la Región Metropolitana de São Paulo (RMSP) realizado por SABESP, se establecen directrices, estrategias, proyectos y acciones a ser implantados para lograr la universalización de los servicios de alcantarillado, con un horizonte a 2030, cuando la población de la RSMP alcance los 23 millones de habitantes. Universalizar los servicios de alcantarillado sanitario y recolectar, como mínimo, el 90% de los efluentes domiciliares de cada uno de los 39 municipios de la RMSP y tratar 100% de las aguas servidas recolectadas implica necesidades de financiamiento en torno a US$2,55 billones. En este sentido, el programa actual se enmarca y contribuye a los objetivos de expansión de los servicios de saneamiento del Plan de Negocios y Plan Director de la SABESP.</w:t>
            </w:r>
          </w:p>
          <w:p w14:paraId="736BF74A" w14:textId="77777777" w:rsidR="00D517AB" w:rsidRPr="006717E0"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t xml:space="preserve">Con relación a las comunidades y grupos más desfavorecidos, la SABESP trabaja con la comunidad en actividades de educación y concientización para incentivar la conectividad a la red de alcantarillado. Adicionalmente, no cobra por el derecho de conexión a la red de alcantarillado en áreas de expansión. Para consumidores de bajos ingresos, la SABESP tiene un programa “Se liga </w:t>
            </w:r>
            <w:proofErr w:type="spellStart"/>
            <w:r w:rsidRPr="64E561C9">
              <w:rPr>
                <w:rFonts w:ascii="Arial" w:hAnsi="Arial" w:cs="Arial"/>
                <w:sz w:val="20"/>
                <w:szCs w:val="20"/>
                <w:lang w:val="es-ES"/>
              </w:rPr>
              <w:t>na</w:t>
            </w:r>
            <w:proofErr w:type="spellEnd"/>
            <w:r w:rsidRPr="64E561C9">
              <w:rPr>
                <w:rFonts w:ascii="Arial" w:hAnsi="Arial" w:cs="Arial"/>
                <w:sz w:val="20"/>
                <w:szCs w:val="20"/>
                <w:lang w:val="es-ES"/>
              </w:rPr>
              <w:t xml:space="preserve"> Rede” (ley 14.687/2 de enero 2012) que subsidia el 100% de la conexión intradomiciliaria. Adicionalmente, la existencia de una tarifa social y una especial para favela son un incentivo para la conexión a la red de alcantarillado sanitario de los hogares a ser beneficiadas por el programa.</w:t>
            </w:r>
          </w:p>
        </w:tc>
      </w:tr>
      <w:tr w:rsidR="00A479F1" w:rsidRPr="00EF0E11" w14:paraId="18AD4031" w14:textId="77777777" w:rsidTr="64E561C9">
        <w:trPr>
          <w:jc w:val="center"/>
        </w:trPr>
        <w:tc>
          <w:tcPr>
            <w:tcW w:w="1040" w:type="pct"/>
            <w:shd w:val="clear" w:color="auto" w:fill="C0C0C0"/>
          </w:tcPr>
          <w:p w14:paraId="7522FBA0" w14:textId="77777777" w:rsidR="00A479F1" w:rsidRPr="00EF0E11" w:rsidRDefault="64E561C9" w:rsidP="64E561C9">
            <w:pPr>
              <w:rPr>
                <w:rFonts w:ascii="Arial" w:hAnsi="Arial" w:cs="Arial"/>
                <w:sz w:val="20"/>
                <w:szCs w:val="20"/>
                <w:lang w:val="es-ES"/>
              </w:rPr>
            </w:pPr>
            <w:r w:rsidRPr="64E561C9">
              <w:rPr>
                <w:rFonts w:ascii="Arial" w:hAnsi="Arial" w:cs="Arial"/>
                <w:sz w:val="20"/>
                <w:szCs w:val="20"/>
                <w:lang w:val="es-ES"/>
              </w:rPr>
              <w:lastRenderedPageBreak/>
              <w:t>Objetivos de la Política</w:t>
            </w:r>
          </w:p>
          <w:p w14:paraId="5DAB6C7B" w14:textId="77777777" w:rsidR="00A479F1" w:rsidRPr="00EF0E11" w:rsidRDefault="00A479F1" w:rsidP="00A479F1">
            <w:pPr>
              <w:rPr>
                <w:rFonts w:ascii="Arial" w:hAnsi="Arial" w:cs="Arial"/>
                <w:sz w:val="20"/>
                <w:szCs w:val="20"/>
                <w:lang w:val="es-ES_tradnl"/>
              </w:rPr>
            </w:pPr>
          </w:p>
        </w:tc>
        <w:tc>
          <w:tcPr>
            <w:tcW w:w="1856" w:type="pct"/>
            <w:shd w:val="clear" w:color="auto" w:fill="C0C0C0"/>
          </w:tcPr>
          <w:p w14:paraId="1B016ABC" w14:textId="77777777" w:rsidR="00A479F1" w:rsidRPr="00EF0E11" w:rsidRDefault="64E561C9" w:rsidP="64E561C9">
            <w:pPr>
              <w:rPr>
                <w:rFonts w:ascii="Arial" w:hAnsi="Arial" w:cs="Arial"/>
                <w:b/>
                <w:bCs/>
                <w:sz w:val="20"/>
                <w:szCs w:val="20"/>
                <w:lang w:val="es-ES"/>
              </w:rPr>
            </w:pPr>
            <w:r w:rsidRPr="64E561C9">
              <w:rPr>
                <w:rFonts w:ascii="Arial" w:hAnsi="Arial" w:cs="Arial"/>
                <w:b/>
                <w:bCs/>
                <w:sz w:val="20"/>
                <w:szCs w:val="20"/>
                <w:lang w:val="es-ES"/>
              </w:rPr>
              <w:t xml:space="preserve">Descripción </w:t>
            </w:r>
          </w:p>
        </w:tc>
        <w:tc>
          <w:tcPr>
            <w:tcW w:w="2104" w:type="pct"/>
            <w:shd w:val="clear" w:color="auto" w:fill="C0C0C0"/>
          </w:tcPr>
          <w:p w14:paraId="0DF0135D" w14:textId="77777777" w:rsidR="00A479F1" w:rsidRPr="00EF0E11" w:rsidRDefault="64E561C9" w:rsidP="64E561C9">
            <w:pPr>
              <w:rPr>
                <w:rFonts w:ascii="Arial" w:hAnsi="Arial" w:cs="Arial"/>
                <w:b/>
                <w:bCs/>
                <w:sz w:val="20"/>
                <w:szCs w:val="20"/>
                <w:lang w:val="es-ES"/>
              </w:rPr>
            </w:pPr>
            <w:r w:rsidRPr="64E561C9">
              <w:rPr>
                <w:rFonts w:ascii="Arial" w:hAnsi="Arial" w:cs="Arial"/>
                <w:b/>
                <w:bCs/>
                <w:sz w:val="20"/>
                <w:szCs w:val="20"/>
                <w:lang w:val="es-ES"/>
              </w:rPr>
              <w:t>Comentarios</w:t>
            </w:r>
          </w:p>
        </w:tc>
      </w:tr>
      <w:tr w:rsidR="00A479F1" w:rsidRPr="00355C8F" w14:paraId="31E86893" w14:textId="77777777" w:rsidTr="64E561C9">
        <w:trPr>
          <w:jc w:val="center"/>
        </w:trPr>
        <w:tc>
          <w:tcPr>
            <w:tcW w:w="1040" w:type="pct"/>
          </w:tcPr>
          <w:p w14:paraId="70E09DA8"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2. Suministrar el acceso al servicio en condiciones de </w:t>
            </w:r>
            <w:r w:rsidRPr="64E561C9">
              <w:rPr>
                <w:rFonts w:ascii="Arial" w:hAnsi="Arial" w:cs="Arial"/>
                <w:sz w:val="20"/>
                <w:szCs w:val="20"/>
                <w:lang w:val="es-ES"/>
              </w:rPr>
              <w:lastRenderedPageBreak/>
              <w:t>confiabilidad y calidad adecuadas</w:t>
            </w:r>
          </w:p>
        </w:tc>
        <w:tc>
          <w:tcPr>
            <w:tcW w:w="1856" w:type="pct"/>
          </w:tcPr>
          <w:p w14:paraId="29279C3F"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lastRenderedPageBreak/>
              <w:t xml:space="preserve">Es importante asegurar que las variaciones de costo guarden un equilibrio apropiado con los cambios en </w:t>
            </w:r>
            <w:r w:rsidRPr="64E561C9">
              <w:rPr>
                <w:rFonts w:ascii="Arial" w:hAnsi="Arial" w:cs="Arial"/>
                <w:sz w:val="20"/>
                <w:szCs w:val="20"/>
                <w:lang w:val="es-ES"/>
              </w:rPr>
              <w:lastRenderedPageBreak/>
              <w:t>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2104" w:type="pct"/>
          </w:tcPr>
          <w:p w14:paraId="53D7DEE6" w14:textId="77777777" w:rsidR="00A479F1" w:rsidRPr="00EF0E11"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lastRenderedPageBreak/>
              <w:t xml:space="preserve">En lo que se refiere al ámbito de regulación en que opera SABESP, el Marco Regulatorio (Ley Federal 11.445 del 5 </w:t>
            </w:r>
            <w:r w:rsidRPr="64E561C9">
              <w:rPr>
                <w:rFonts w:ascii="Arial" w:hAnsi="Arial" w:cs="Arial"/>
                <w:sz w:val="20"/>
                <w:szCs w:val="20"/>
                <w:lang w:val="es-ES"/>
              </w:rPr>
              <w:lastRenderedPageBreak/>
              <w:t>de enero del 2007 y Ley Estatal 1.025/07, CONAMA Resoluciones 357 de 17/03/05 y 397 de 03/04/08, Decreto No. 4868 de 08/09/76; Ministerio de Salud Portaría No. 518 de 25/03/04, entre otras) establece claramente las normas de calidad tanto de agua potable como de alcantarillado y la forma de regulación. Dado que la competencia de la prestación de los servicios de saneamiento es municipal, de acuerdo con la Constitución brasileña, SABESP ejerce sus funciones y obligaciones de prestación de servicios de saneamiento básico mediante contratos de concesión y contratos de programa firmados con los municipios, donde se establecen las responsabilidades correspondientes para la prestación de los servicios de calidad. A partir de la constitución de la Agencia Reguladora de Saneamiento y Energía del Estado de São Paulo (ARSESP), el 07/12/2007, por la Ley Complementaria 1025, atendiendo a lo que establece la Ley Federal 11.445/2007, la empresa pasó a ser regulada y fiscalizada por el organismo regulador, que incluye los siguientes aspectos: (i) la regulación de las funciones y responsabilidades de las entidades del sector; (ii) establecimiento del régimen tarifario y del esquema de subvenciones; (iii) definición de los mecanismos de resolución de conflictos sobre el reajuste tarifario; (iv) creación del régimen de activos y valorización; (v) creación de un sistema de incentivos a la eficiencia y la competencia basado en indicadores de rendimiento; (vi) establecimiento de procedimientos de control de la prestación de los servicios y de las tarifas; (vii) regulación de los contratos de concesión y de la relación de la Agencia con el poder concedido; (viii) definición de reglas de arbitraje sobre decisiones relacionadas con los contratos de concesión; e (ix) implantación de la contabilidad regulatoria.</w:t>
            </w:r>
          </w:p>
        </w:tc>
      </w:tr>
      <w:tr w:rsidR="00A479F1" w:rsidRPr="00355C8F" w14:paraId="07682084" w14:textId="77777777" w:rsidTr="64E561C9">
        <w:trPr>
          <w:jc w:val="center"/>
        </w:trPr>
        <w:tc>
          <w:tcPr>
            <w:tcW w:w="1040" w:type="pct"/>
          </w:tcPr>
          <w:p w14:paraId="6074B007" w14:textId="77777777" w:rsidR="00A479F1" w:rsidRPr="00EF0E11" w:rsidRDefault="64E561C9" w:rsidP="64E561C9">
            <w:pPr>
              <w:rPr>
                <w:rFonts w:ascii="Arial" w:hAnsi="Arial" w:cs="Arial"/>
                <w:sz w:val="20"/>
                <w:szCs w:val="20"/>
                <w:lang w:val="es-ES"/>
              </w:rPr>
            </w:pPr>
            <w:r w:rsidRPr="64E561C9">
              <w:rPr>
                <w:rFonts w:ascii="Arial" w:hAnsi="Arial" w:cs="Arial"/>
                <w:sz w:val="20"/>
                <w:szCs w:val="20"/>
                <w:lang w:val="es-ES"/>
              </w:rPr>
              <w:lastRenderedPageBreak/>
              <w:t>3. Suministrar un servicio en condiciones de eficiencia</w:t>
            </w:r>
          </w:p>
        </w:tc>
        <w:tc>
          <w:tcPr>
            <w:tcW w:w="1856" w:type="pct"/>
          </w:tcPr>
          <w:p w14:paraId="4B4E31FB"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Debe asegurarse que, desde el punto de vista de la oferta, los servicios se proveen con los menores costos posibles.</w:t>
            </w:r>
          </w:p>
        </w:tc>
        <w:tc>
          <w:tcPr>
            <w:tcW w:w="2104" w:type="pct"/>
          </w:tcPr>
          <w:p w14:paraId="697EA891" w14:textId="77777777" w:rsidR="00052470" w:rsidRPr="00EF0E11" w:rsidRDefault="64E561C9" w:rsidP="64E561C9">
            <w:pPr>
              <w:pStyle w:val="ListBullet"/>
              <w:numPr>
                <w:ilvl w:val="0"/>
                <w:numId w:val="0"/>
              </w:numPr>
              <w:rPr>
                <w:rFonts w:ascii="Arial" w:hAnsi="Arial" w:cs="Arial"/>
                <w:sz w:val="20"/>
                <w:szCs w:val="20"/>
                <w:lang w:val="es-ES" w:eastAsia="en-US"/>
              </w:rPr>
            </w:pPr>
            <w:r w:rsidRPr="64E561C9">
              <w:rPr>
                <w:rFonts w:ascii="Arial" w:hAnsi="Arial" w:cs="Arial"/>
                <w:sz w:val="20"/>
                <w:szCs w:val="20"/>
                <w:lang w:val="es-ES" w:eastAsia="en-US"/>
              </w:rPr>
              <w:t xml:space="preserve">Durante el diseño de los proyectos de la muestra, se ha verificado que se ha realizado un análisis de alternativas que ha permitido identificar la de mínimo costo, lo que asegura la provisión de servicios costo eficientes mediante la nueva infraestructura. Los proyectos han sido desarrollados de acuerdo con las normas y principios de la </w:t>
            </w:r>
            <w:r w:rsidRPr="64E561C9">
              <w:rPr>
                <w:rFonts w:ascii="Arial" w:hAnsi="Arial" w:cs="Arial"/>
                <w:sz w:val="20"/>
                <w:szCs w:val="20"/>
                <w:lang w:val="es-ES" w:eastAsia="en-US"/>
              </w:rPr>
              <w:lastRenderedPageBreak/>
              <w:t xml:space="preserve">ingeniería generalmente aceptados y aprovechando las experiencias adquiridas durante la ejecución de proyectos similares en fases anteriores del programa. Los estudios realizados han permitido estimar los costos de inversión de cada proyecto y establecer los cronogramas de ejecución de las obras. </w:t>
            </w:r>
          </w:p>
          <w:p w14:paraId="114BC708" w14:textId="77777777" w:rsidR="004739E3" w:rsidRPr="00EF0E11" w:rsidRDefault="64E561C9" w:rsidP="64E561C9">
            <w:pPr>
              <w:pStyle w:val="ListBullet"/>
              <w:numPr>
                <w:ilvl w:val="0"/>
                <w:numId w:val="0"/>
              </w:numPr>
              <w:rPr>
                <w:rFonts w:ascii="Arial" w:hAnsi="Arial" w:cs="Arial"/>
                <w:b/>
                <w:bCs/>
                <w:color w:val="FF0000"/>
                <w:sz w:val="20"/>
                <w:szCs w:val="20"/>
                <w:lang w:val="es-ES" w:eastAsia="en-US"/>
              </w:rPr>
            </w:pPr>
            <w:r w:rsidRPr="64E561C9">
              <w:rPr>
                <w:rFonts w:ascii="Arial" w:hAnsi="Arial" w:cs="Arial"/>
                <w:sz w:val="20"/>
                <w:szCs w:val="20"/>
                <w:lang w:val="es-ES"/>
              </w:rPr>
              <w:t>Con respecto a la eficiencia operacional de la prestación de los servicios, a partir de la constitución de la Agencia Reguladora de Saneamiento y Energía del Estado de São Paulo (ARSESP), el 07/12/2007, por la Ley Complementaria 1025, atendiendo a lo que establece la Ley Federal 11.445/2007, la empresa pasó a ser regulada y fiscalizada por el organismo regulador, lo que incluye, entre otros, la creación de un sistema de incentivos a la eficiencia y la competencia basado en indicadores de rendimiento, garantizando con ellos la prestación de los servicios en condiciones de eficiencia.</w:t>
            </w:r>
          </w:p>
        </w:tc>
      </w:tr>
      <w:tr w:rsidR="0071016A" w:rsidRPr="00355C8F" w14:paraId="4661A517" w14:textId="77777777" w:rsidTr="64E561C9">
        <w:trPr>
          <w:jc w:val="center"/>
        </w:trPr>
        <w:tc>
          <w:tcPr>
            <w:tcW w:w="1040" w:type="pct"/>
          </w:tcPr>
          <w:p w14:paraId="4C2A6AA4" w14:textId="77777777" w:rsidR="0071016A" w:rsidRPr="00EF0E11" w:rsidRDefault="64E561C9" w:rsidP="64E561C9">
            <w:pPr>
              <w:rPr>
                <w:rFonts w:ascii="Arial" w:hAnsi="Arial" w:cs="Arial"/>
                <w:sz w:val="20"/>
                <w:szCs w:val="20"/>
                <w:lang w:val="es-ES"/>
              </w:rPr>
            </w:pPr>
            <w:r w:rsidRPr="64E561C9">
              <w:rPr>
                <w:rFonts w:ascii="Arial" w:hAnsi="Arial" w:cs="Arial"/>
                <w:sz w:val="20"/>
                <w:szCs w:val="20"/>
                <w:lang w:val="es-ES"/>
              </w:rPr>
              <w:lastRenderedPageBreak/>
              <w:t>4. Generar incentivos adecuados a la demanda de servicios.</w:t>
            </w:r>
          </w:p>
        </w:tc>
        <w:tc>
          <w:tcPr>
            <w:tcW w:w="1856" w:type="pct"/>
          </w:tcPr>
          <w:p w14:paraId="0E767D44" w14:textId="77777777" w:rsidR="0071016A"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Debe velarse porque existan los incentivos adecuados para que los usuarios hagan un uso de estos servicios compatible con su sostenibilidad económica, financiera y ambiental</w:t>
            </w:r>
          </w:p>
        </w:tc>
        <w:tc>
          <w:tcPr>
            <w:tcW w:w="2104" w:type="pct"/>
          </w:tcPr>
          <w:p w14:paraId="6CD48B3B" w14:textId="77777777" w:rsidR="0071016A" w:rsidRPr="006717E0" w:rsidRDefault="64E561C9" w:rsidP="64E561C9">
            <w:pPr>
              <w:spacing w:before="120" w:after="120"/>
              <w:jc w:val="both"/>
              <w:rPr>
                <w:rFonts w:ascii="Arial" w:hAnsi="Arial" w:cs="Arial"/>
                <w:sz w:val="20"/>
                <w:szCs w:val="20"/>
                <w:lang w:val="es-ES"/>
              </w:rPr>
            </w:pPr>
            <w:r w:rsidRPr="64E561C9">
              <w:rPr>
                <w:rFonts w:ascii="Arial" w:hAnsi="Arial" w:cs="Arial"/>
                <w:sz w:val="20"/>
                <w:szCs w:val="20"/>
                <w:lang w:val="es-ES"/>
              </w:rPr>
              <w:t xml:space="preserve">La tasa de conectividad a la red de alcantarillado en la RMSP, observada en los programas anteriores, es alta, con tasas de adhesión a la red estimadas por la SABESP de 81%. Para ello, la SABESP trabaja con la comunidad en actividades de educación y concientización para incentivar la conectividad a la red de alcantarillado. Adicionalmente, no cobra por el derecho de conexión a la red de alcantarillado en áreas de expansión. Para consumidores de bajos ingresos, la SABESP tiene un programa “Se liga </w:t>
            </w:r>
            <w:proofErr w:type="spellStart"/>
            <w:r w:rsidRPr="64E561C9">
              <w:rPr>
                <w:rFonts w:ascii="Arial" w:hAnsi="Arial" w:cs="Arial"/>
                <w:sz w:val="20"/>
                <w:szCs w:val="20"/>
                <w:lang w:val="es-ES"/>
              </w:rPr>
              <w:t>na</w:t>
            </w:r>
            <w:proofErr w:type="spellEnd"/>
            <w:r w:rsidRPr="64E561C9">
              <w:rPr>
                <w:rFonts w:ascii="Arial" w:hAnsi="Arial" w:cs="Arial"/>
                <w:sz w:val="20"/>
                <w:szCs w:val="20"/>
                <w:lang w:val="es-ES"/>
              </w:rPr>
              <w:t xml:space="preserve"> Rede” (ley 14.687/2 de enero 2012) que subsidia el 100% de la conexión intradomiciliaria. Adicionalmente, la existencia de una tarifa social y una especial para favela son un incentivo para la conexión a la red de alcantarillado sanitario de los hogares a ser beneficiadas por el programa.</w:t>
            </w:r>
          </w:p>
        </w:tc>
      </w:tr>
      <w:tr w:rsidR="008504B7" w:rsidRPr="00355C8F" w14:paraId="461BCE36" w14:textId="77777777" w:rsidTr="64E561C9">
        <w:trPr>
          <w:jc w:val="center"/>
        </w:trPr>
        <w:tc>
          <w:tcPr>
            <w:tcW w:w="1040" w:type="pct"/>
          </w:tcPr>
          <w:p w14:paraId="29FB36AD" w14:textId="77777777" w:rsidR="008504B7" w:rsidRPr="006717E0" w:rsidRDefault="64E561C9" w:rsidP="64E561C9">
            <w:pPr>
              <w:rPr>
                <w:rFonts w:ascii="Arial" w:hAnsi="Arial" w:cs="Arial"/>
                <w:sz w:val="20"/>
                <w:szCs w:val="20"/>
                <w:lang w:val="es-ES"/>
              </w:rPr>
            </w:pPr>
            <w:r w:rsidRPr="64E561C9">
              <w:rPr>
                <w:rFonts w:ascii="Arial" w:hAnsi="Arial" w:cs="Arial"/>
                <w:sz w:val="20"/>
                <w:szCs w:val="20"/>
                <w:lang w:val="es-ES"/>
              </w:rPr>
              <w:t>5. Promover la sostenibilidad de los servicios públicos domiciliarios</w:t>
            </w:r>
          </w:p>
        </w:tc>
        <w:tc>
          <w:tcPr>
            <w:tcW w:w="1856" w:type="pct"/>
          </w:tcPr>
          <w:p w14:paraId="3FDFDF0A" w14:textId="77777777" w:rsidR="008504B7"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El alcance de la sostenibilidad de los servicios públicos domiciliarios se promoverá en función de tres pilares:</w:t>
            </w:r>
          </w:p>
          <w:p w14:paraId="02EB378F" w14:textId="77777777" w:rsidR="008504B7" w:rsidRPr="006717E0" w:rsidRDefault="008504B7" w:rsidP="00A42F33">
            <w:pPr>
              <w:jc w:val="both"/>
              <w:rPr>
                <w:rFonts w:ascii="Arial" w:hAnsi="Arial" w:cs="Arial"/>
                <w:sz w:val="20"/>
                <w:szCs w:val="20"/>
                <w:lang w:val="es-ES_tradnl"/>
              </w:rPr>
            </w:pPr>
          </w:p>
          <w:p w14:paraId="60C66928" w14:textId="77777777" w:rsidR="008504B7" w:rsidRPr="006717E0" w:rsidRDefault="64E561C9" w:rsidP="64E561C9">
            <w:pPr>
              <w:jc w:val="both"/>
              <w:rPr>
                <w:rFonts w:ascii="Arial" w:hAnsi="Arial" w:cs="Arial"/>
                <w:sz w:val="20"/>
                <w:szCs w:val="20"/>
                <w:lang w:val="es-ES"/>
              </w:rPr>
            </w:pPr>
            <w:r w:rsidRPr="64E561C9">
              <w:rPr>
                <w:rFonts w:ascii="Arial" w:hAnsi="Arial" w:cs="Arial"/>
                <w:sz w:val="20"/>
                <w:szCs w:val="20"/>
                <w:lang w:val="es-ES"/>
              </w:rPr>
              <w:lastRenderedPageBreak/>
              <w:t xml:space="preserve">a. </w:t>
            </w:r>
            <w:r w:rsidRPr="64E561C9">
              <w:rPr>
                <w:rFonts w:ascii="Arial" w:hAnsi="Arial" w:cs="Arial"/>
                <w:i/>
                <w:iCs/>
                <w:sz w:val="20"/>
                <w:szCs w:val="20"/>
                <w:lang w:val="es-ES"/>
              </w:rPr>
              <w:t>Sostenibilidad financiera:</w:t>
            </w:r>
            <w:r w:rsidRPr="64E561C9">
              <w:rPr>
                <w:rFonts w:ascii="Arial" w:hAnsi="Arial" w:cs="Arial"/>
                <w:sz w:val="20"/>
                <w:szCs w:val="20"/>
                <w:lang w:val="es-ES"/>
              </w:rPr>
              <w:t xml:space="preserve"> procurando contar con suficientes ingresos por la prestación del servicio al usuario, con los aportes de la comunidad y con los aportes directos del gobierno que permitan cubrir los costos eficientes de prestación del servicio.</w:t>
            </w:r>
          </w:p>
          <w:p w14:paraId="6A05A809" w14:textId="77777777" w:rsidR="008504B7" w:rsidRPr="006717E0" w:rsidRDefault="008504B7" w:rsidP="00A42F33">
            <w:pPr>
              <w:jc w:val="both"/>
              <w:rPr>
                <w:rFonts w:ascii="Arial" w:hAnsi="Arial" w:cs="Arial"/>
                <w:sz w:val="20"/>
                <w:szCs w:val="20"/>
                <w:lang w:val="es-ES_tradnl"/>
              </w:rPr>
            </w:pPr>
          </w:p>
          <w:p w14:paraId="2A5711C3" w14:textId="77777777" w:rsidR="008504B7"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b. </w:t>
            </w:r>
            <w:r w:rsidRPr="64E561C9">
              <w:rPr>
                <w:rFonts w:ascii="Arial" w:hAnsi="Arial" w:cs="Arial"/>
                <w:i/>
                <w:iCs/>
                <w:sz w:val="20"/>
                <w:szCs w:val="20"/>
                <w:lang w:val="es-ES"/>
              </w:rPr>
              <w:t>Sostenibilidad ambiental:</w:t>
            </w:r>
            <w:r w:rsidRPr="64E561C9">
              <w:rPr>
                <w:rFonts w:ascii="Arial" w:hAnsi="Arial" w:cs="Arial"/>
                <w:sz w:val="20"/>
                <w:szCs w:val="20"/>
                <w:lang w:val="es-ES"/>
              </w:rPr>
              <w:t xml:space="preserve">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5A39BBE3" w14:textId="77777777" w:rsidR="008504B7" w:rsidRPr="006717E0" w:rsidRDefault="008504B7" w:rsidP="00A42F33">
            <w:pPr>
              <w:jc w:val="both"/>
              <w:rPr>
                <w:rFonts w:ascii="Arial" w:hAnsi="Arial" w:cs="Arial"/>
                <w:sz w:val="20"/>
                <w:szCs w:val="20"/>
                <w:lang w:val="es-ES_tradnl"/>
              </w:rPr>
            </w:pPr>
          </w:p>
          <w:p w14:paraId="450471C7" w14:textId="77777777" w:rsidR="008504B7"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c. </w:t>
            </w:r>
            <w:r w:rsidRPr="64E561C9">
              <w:rPr>
                <w:rFonts w:ascii="Arial" w:hAnsi="Arial" w:cs="Arial"/>
                <w:i/>
                <w:iCs/>
                <w:sz w:val="20"/>
                <w:szCs w:val="20"/>
                <w:lang w:val="es-ES"/>
              </w:rPr>
              <w:t>Sostenibilidad social:</w:t>
            </w:r>
            <w:r w:rsidRPr="64E561C9">
              <w:rPr>
                <w:rFonts w:ascii="Arial" w:hAnsi="Arial" w:cs="Arial"/>
                <w:sz w:val="20"/>
                <w:szCs w:val="20"/>
                <w:lang w:val="es-ES"/>
              </w:rPr>
              <w:t xml:space="preserve"> contribuyendo a incrementar el acceso al servicio y previendo mecanismos de consulta con la comunidad sobre los aspectos relevantes de la provisión del servicio.</w:t>
            </w:r>
          </w:p>
        </w:tc>
        <w:tc>
          <w:tcPr>
            <w:tcW w:w="2104" w:type="pct"/>
          </w:tcPr>
          <w:p w14:paraId="2F787939" w14:textId="77777777" w:rsidR="006910D1" w:rsidRPr="006717E0" w:rsidRDefault="64E561C9" w:rsidP="64E561C9">
            <w:pPr>
              <w:jc w:val="both"/>
              <w:rPr>
                <w:rFonts w:ascii="Arial" w:hAnsi="Arial" w:cs="Arial"/>
                <w:i/>
                <w:iCs/>
                <w:sz w:val="20"/>
                <w:szCs w:val="20"/>
                <w:lang w:val="es-ES"/>
              </w:rPr>
            </w:pPr>
            <w:r w:rsidRPr="64E561C9">
              <w:rPr>
                <w:rFonts w:ascii="Arial" w:hAnsi="Arial" w:cs="Arial"/>
                <w:i/>
                <w:iCs/>
                <w:sz w:val="20"/>
                <w:szCs w:val="20"/>
                <w:lang w:val="es-ES"/>
              </w:rPr>
              <w:lastRenderedPageBreak/>
              <w:t>Sostenibilidad financiera:</w:t>
            </w:r>
            <w:r w:rsidRPr="64E561C9">
              <w:rPr>
                <w:rFonts w:ascii="Arial" w:hAnsi="Arial" w:cs="Arial"/>
                <w:sz w:val="20"/>
                <w:szCs w:val="20"/>
                <w:lang w:val="es-ES"/>
              </w:rPr>
              <w:t xml:space="preserve"> El análisis financiero de SABESP ha permitido demostrar la solvente capacidad financiera de la entidad de financiar la contribución del aporte local durante el período de ejecución del proyecto, así como de cubrir el servicio de deuda de sus pasivos. El análisis </w:t>
            </w:r>
            <w:r w:rsidRPr="64E561C9">
              <w:rPr>
                <w:rFonts w:ascii="Arial" w:hAnsi="Arial" w:cs="Arial"/>
                <w:sz w:val="20"/>
                <w:szCs w:val="20"/>
                <w:lang w:val="es-ES"/>
              </w:rPr>
              <w:lastRenderedPageBreak/>
              <w:t>financiero incluyó tanto el análisis histórico, con base en los estados financieros auditados e información operativa de la entidad, como la realización de un modelo financiero que proyecta la situación financiera estimada para los próximos ejercicios. En este sentido, la información financiera histórica indica que la compañía, con recursos tarifarios provenientes de la prestación de los servicios de agua y saneamiento, ha sido capaz de cubrir sus costos operativos y obligaciones financieras de forma adecuada, lo que se refleja en un EBITDA margen sobre ingresos operativos del 34.1% y un resultado final margen del 14.2% sobre ingresos operativos en promedio anual para los tres últimos ejercicios cerrados; la entidad viene cumpliendo sus compromisos financieros y niveles de endeudamiento con sus financiadores. Igualmente, con generación interna de caja, ha sido capaz de financiar una parte importante de su plan de inversiones. La entidad cumple con altos estándares de transparencia, rendición de cuentas y buenas prácticas de gobierno corporativo consolidadas. Las revisiones tarifarias se vienen realizando anualmente y por encima de la inflación, sujetas a la reglamentación del ente regulador, la ARSESP. El caso base de las proyecciones financieras indican que SABESP podrá mantener una situación financiera adecuada por el período de la proyección con capacidad financiera suficiente para asumir los compromisos financieros derivados del programa.</w:t>
            </w:r>
          </w:p>
          <w:p w14:paraId="41C8F396" w14:textId="77777777" w:rsidR="006910D1" w:rsidRPr="006717E0" w:rsidRDefault="006910D1" w:rsidP="000E044A">
            <w:pPr>
              <w:jc w:val="both"/>
              <w:rPr>
                <w:rFonts w:ascii="Arial" w:hAnsi="Arial" w:cs="Arial"/>
                <w:i/>
                <w:sz w:val="20"/>
                <w:szCs w:val="20"/>
                <w:lang w:val="es-ES_tradnl"/>
              </w:rPr>
            </w:pPr>
          </w:p>
          <w:p w14:paraId="1B38E114" w14:textId="77777777" w:rsidR="008504B7" w:rsidRPr="006717E0" w:rsidRDefault="64E561C9" w:rsidP="64E561C9">
            <w:pPr>
              <w:jc w:val="both"/>
              <w:rPr>
                <w:rFonts w:ascii="Arial" w:hAnsi="Arial" w:cs="Arial"/>
                <w:sz w:val="20"/>
                <w:szCs w:val="20"/>
                <w:lang w:val="es-ES"/>
              </w:rPr>
            </w:pPr>
            <w:r w:rsidRPr="64E561C9">
              <w:rPr>
                <w:rFonts w:ascii="Arial" w:hAnsi="Arial" w:cs="Arial"/>
                <w:i/>
                <w:iCs/>
                <w:sz w:val="20"/>
                <w:szCs w:val="20"/>
                <w:lang w:val="es-ES"/>
              </w:rPr>
              <w:t>Sostenibilidad ambiental y social.</w:t>
            </w:r>
            <w:r w:rsidRPr="64E561C9">
              <w:rPr>
                <w:rFonts w:ascii="Arial" w:hAnsi="Arial" w:cs="Arial"/>
                <w:sz w:val="20"/>
                <w:szCs w:val="20"/>
                <w:lang w:val="es-ES"/>
              </w:rPr>
              <w:t xml:space="preserve">  En línea con los tres programas anteriores de descontaminación del rio  </w:t>
            </w:r>
            <w:proofErr w:type="spellStart"/>
            <w:r w:rsidRPr="64E561C9">
              <w:rPr>
                <w:rFonts w:ascii="Arial" w:hAnsi="Arial" w:cs="Arial"/>
                <w:sz w:val="20"/>
                <w:szCs w:val="20"/>
                <w:lang w:val="es-ES"/>
              </w:rPr>
              <w:t>Tieté</w:t>
            </w:r>
            <w:proofErr w:type="spellEnd"/>
            <w:r w:rsidRPr="64E561C9">
              <w:rPr>
                <w:rFonts w:ascii="Arial" w:hAnsi="Arial" w:cs="Arial"/>
                <w:sz w:val="20"/>
                <w:szCs w:val="20"/>
                <w:lang w:val="es-ES"/>
              </w:rPr>
              <w:t xml:space="preserve">, y considerando que el </w:t>
            </w:r>
            <w:proofErr w:type="spellStart"/>
            <w:r w:rsidRPr="64E561C9">
              <w:rPr>
                <w:rFonts w:ascii="Arial" w:hAnsi="Arial" w:cs="Arial"/>
                <w:sz w:val="20"/>
                <w:szCs w:val="20"/>
                <w:lang w:val="es-ES"/>
              </w:rPr>
              <w:t>Tiete</w:t>
            </w:r>
            <w:proofErr w:type="spellEnd"/>
            <w:r w:rsidRPr="64E561C9">
              <w:rPr>
                <w:rFonts w:ascii="Arial" w:hAnsi="Arial" w:cs="Arial"/>
                <w:sz w:val="20"/>
                <w:szCs w:val="20"/>
                <w:lang w:val="es-ES"/>
              </w:rPr>
              <w:t xml:space="preserve"> IV se implementará en gran medida con MND (métodos no destructivos) y que existen formas conocidas de evitar los impactos ambientales y sociales durante la construcción (como la planificación de las entradas y salidas de la tuneladora, y mantenimiento de accesos peatonales y viales adecuados, por ejemplo), la nueva operación fue clasificada como categoría B en relación a los impactos y riesgos ambientales y sociales y </w:t>
            </w:r>
            <w:r w:rsidRPr="64E561C9">
              <w:rPr>
                <w:rFonts w:ascii="Arial" w:hAnsi="Arial" w:cs="Arial"/>
                <w:sz w:val="20"/>
                <w:szCs w:val="20"/>
                <w:lang w:val="es-ES"/>
              </w:rPr>
              <w:lastRenderedPageBreak/>
              <w:t xml:space="preserve">de conformidad a la Política OP-703. Los principales impactos están relacionados a la fase de construcción de obras, en un entorno con barrios densamente poblados y algunos con dificultades de acceso, tales como riesgos de accidentes de tránsito durante el transporte de materiales, escombros y material de excavación; interrupción temporal del acceso a comercio, talleres, servicios públicos, viviendas y otros edificios; riesgos de salud y seguridad laboral, y comunitaria debido a excavaciones y otras obras, etc. En un proyecto de la muestra Proyecto C </w:t>
            </w:r>
            <w:proofErr w:type="spellStart"/>
            <w:r w:rsidRPr="64E561C9">
              <w:rPr>
                <w:rFonts w:ascii="Arial" w:hAnsi="Arial" w:cs="Arial"/>
                <w:sz w:val="20"/>
                <w:szCs w:val="20"/>
                <w:lang w:val="es-ES"/>
              </w:rPr>
              <w:t>Barueri</w:t>
            </w:r>
            <w:proofErr w:type="spellEnd"/>
            <w:r w:rsidRPr="64E561C9">
              <w:rPr>
                <w:rFonts w:ascii="Arial" w:hAnsi="Arial" w:cs="Arial"/>
                <w:sz w:val="20"/>
                <w:szCs w:val="20"/>
                <w:lang w:val="es-ES"/>
              </w:rPr>
              <w:t xml:space="preserve"> se identificó que las obras podrían tener afectaciones socioeconómicas a una comunidad </w:t>
            </w:r>
            <w:proofErr w:type="gramStart"/>
            <w:r w:rsidRPr="64E561C9">
              <w:rPr>
                <w:rFonts w:ascii="Arial" w:hAnsi="Arial" w:cs="Arial"/>
                <w:sz w:val="20"/>
                <w:szCs w:val="20"/>
                <w:lang w:val="es-ES"/>
              </w:rPr>
              <w:t>Guaraní</w:t>
            </w:r>
            <w:proofErr w:type="gramEnd"/>
            <w:r w:rsidRPr="64E561C9">
              <w:rPr>
                <w:rFonts w:ascii="Arial" w:hAnsi="Arial" w:cs="Arial"/>
                <w:sz w:val="20"/>
                <w:szCs w:val="20"/>
                <w:lang w:val="es-ES"/>
              </w:rPr>
              <w:t xml:space="preserve">. Por lo anterior, el MGAS, y los PGAS respectivo contienen el diseño de un Programa para evitar, minimizar y compensar a los afectados por impactos socioeconómicos temporales, tanto en las áreas urbanizadas como a la comunidad indígena.  Con recursos del programa se establecerán varias estaciones de bombero con un área de afectación directa de 25 m2 cada una en un área de Preservación Permanente (APP) de las microcuencas del rio; y que solo para los cuatro proyectos de la muestra totaliza un área de 3 has. Para mitigar los impactos se implantará un plan de compensación en las misma APP. En el aspecto institucional SAPESP ha establecido programas corporativos con una estrategia actual progresiva de certificación de la ISO 14001: 2015 en plantas de tratamiento de aguas residuales (PTAR) y las Plantas de Tratamiento de Agua Potable (PTAP); mientras que, para las demás plantas, se aplicará, a lo largo del tiempo, el modelo propio de SABESP (SGA-SABESP), sin objetivo de certificación. Teniendo en cuenta los antecedentes en la ejecución de </w:t>
            </w:r>
            <w:proofErr w:type="spellStart"/>
            <w:r w:rsidRPr="64E561C9">
              <w:rPr>
                <w:rFonts w:ascii="Arial" w:hAnsi="Arial" w:cs="Arial"/>
                <w:sz w:val="20"/>
                <w:szCs w:val="20"/>
                <w:lang w:val="es-ES"/>
              </w:rPr>
              <w:t>Tieté</w:t>
            </w:r>
            <w:proofErr w:type="spellEnd"/>
            <w:r w:rsidRPr="64E561C9">
              <w:rPr>
                <w:rFonts w:ascii="Arial" w:hAnsi="Arial" w:cs="Arial"/>
                <w:sz w:val="20"/>
                <w:szCs w:val="20"/>
                <w:lang w:val="es-ES"/>
              </w:rPr>
              <w:t xml:space="preserve"> I, II y III, se considera que la agencia ejecutora posee la capacidad para la gestión socioambiental que incluye identificar y evaluar sistemáticamente, así como mitigar los impactos y riesgos ambientales, sociales, salud y seguridad (ASSS) de los proyectos del programa. Debido a la naturaleza del programa que contempla diversos tipos de intervenciones </w:t>
            </w:r>
            <w:r w:rsidRPr="64E561C9">
              <w:rPr>
                <w:rFonts w:ascii="Arial" w:hAnsi="Arial" w:cs="Arial"/>
                <w:sz w:val="20"/>
                <w:szCs w:val="20"/>
                <w:lang w:val="es-ES"/>
              </w:rPr>
              <w:lastRenderedPageBreak/>
              <w:t xml:space="preserve">de saneamiento en la cuenca del Alto </w:t>
            </w:r>
            <w:proofErr w:type="spellStart"/>
            <w:r w:rsidRPr="64E561C9">
              <w:rPr>
                <w:rFonts w:ascii="Arial" w:hAnsi="Arial" w:cs="Arial"/>
                <w:sz w:val="20"/>
                <w:szCs w:val="20"/>
                <w:lang w:val="es-ES"/>
              </w:rPr>
              <w:t>Tieté</w:t>
            </w:r>
            <w:proofErr w:type="spellEnd"/>
            <w:r w:rsidRPr="64E561C9">
              <w:rPr>
                <w:rFonts w:ascii="Arial" w:hAnsi="Arial" w:cs="Arial"/>
                <w:sz w:val="20"/>
                <w:szCs w:val="20"/>
                <w:lang w:val="es-ES"/>
              </w:rPr>
              <w:t>, durante la etapa de preparación se realizaron, publicaron y consultaron, de acuerdo con lo requerido por la política de salvaguardas del Banco, cinco estudios ambientales y sociales: (i) Evaluación Ambiental y Social del conjunto de obras planificadas y respectivo Marco de Gestión Ambiental y Social (MGAS);  (ii) Evaluación Ambiental y Social (EAS) y respectivos Planes de Gestión Socioambiental (PGAS) de cuatro proyectos de la muestra; y (iii) un análisis sociocultural de la Comunidad Indígena Guaraní. Las medidas que buscan el control, prevención, mitigación y compensación de los impactos negativos potenciales se diseñaron en los Planes de Gestión Ambiental y Social, y se resumen en el Informe de Gestión Ambiental y Social. En el marco de la preparación del proyecto se llevaron a cabo varios eventos de consultas públicas con la participación de líderes comunitarios, con el objetivo de presentar el programa y sus componentes y presentar y discutir el EAS, MGAS y PGAS.</w:t>
            </w:r>
          </w:p>
        </w:tc>
      </w:tr>
    </w:tbl>
    <w:p w14:paraId="72A3D3EC" w14:textId="77777777" w:rsidR="00A479F1" w:rsidRPr="007A2C29" w:rsidRDefault="00A479F1">
      <w:pPr>
        <w:rPr>
          <w:lang w:val="es-ES_tradnl"/>
        </w:rPr>
      </w:pPr>
      <w:r w:rsidRPr="007A2C29">
        <w:rPr>
          <w:lang w:val="es-ES_tradnl"/>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07"/>
        <w:gridCol w:w="5449"/>
      </w:tblGrid>
      <w:tr w:rsidR="00A479F1" w:rsidRPr="006717E0" w14:paraId="1E5C0D04" w14:textId="77777777" w:rsidTr="64E561C9">
        <w:trPr>
          <w:trHeight w:val="701"/>
          <w:jc w:val="center"/>
        </w:trPr>
        <w:tc>
          <w:tcPr>
            <w:tcW w:w="1040" w:type="pct"/>
            <w:shd w:val="clear" w:color="auto" w:fill="C0C0C0"/>
          </w:tcPr>
          <w:p w14:paraId="75CE39BD" w14:textId="77777777" w:rsidR="00A479F1" w:rsidRPr="006717E0" w:rsidRDefault="64E561C9" w:rsidP="64E561C9">
            <w:pPr>
              <w:rPr>
                <w:rFonts w:ascii="Arial" w:hAnsi="Arial" w:cs="Arial"/>
                <w:b/>
                <w:bCs/>
                <w:sz w:val="20"/>
                <w:szCs w:val="20"/>
                <w:lang w:val="es-ES"/>
              </w:rPr>
            </w:pPr>
            <w:r w:rsidRPr="64E561C9">
              <w:rPr>
                <w:rFonts w:ascii="Arial" w:hAnsi="Arial" w:cs="Arial"/>
                <w:b/>
                <w:bCs/>
                <w:sz w:val="20"/>
                <w:szCs w:val="20"/>
                <w:lang w:val="es-ES"/>
              </w:rPr>
              <w:lastRenderedPageBreak/>
              <w:t>Principios de la Política que orientan el diseño de las operaciones del Banco</w:t>
            </w:r>
          </w:p>
        </w:tc>
        <w:tc>
          <w:tcPr>
            <w:tcW w:w="1856" w:type="pct"/>
            <w:shd w:val="clear" w:color="auto" w:fill="C0C0C0"/>
            <w:vAlign w:val="center"/>
          </w:tcPr>
          <w:p w14:paraId="6BBD90DA" w14:textId="77777777" w:rsidR="00A479F1" w:rsidRPr="006717E0" w:rsidRDefault="64E561C9" w:rsidP="64E561C9">
            <w:pPr>
              <w:jc w:val="center"/>
              <w:rPr>
                <w:rFonts w:ascii="Arial" w:hAnsi="Arial" w:cs="Arial"/>
                <w:b/>
                <w:bCs/>
                <w:sz w:val="20"/>
                <w:szCs w:val="20"/>
                <w:lang w:val="es-ES"/>
              </w:rPr>
            </w:pPr>
            <w:r w:rsidRPr="64E561C9">
              <w:rPr>
                <w:rFonts w:ascii="Arial" w:hAnsi="Arial" w:cs="Arial"/>
                <w:b/>
                <w:bCs/>
                <w:sz w:val="20"/>
                <w:szCs w:val="20"/>
                <w:lang w:val="es-ES"/>
              </w:rPr>
              <w:t>Descripción</w:t>
            </w:r>
          </w:p>
        </w:tc>
        <w:tc>
          <w:tcPr>
            <w:tcW w:w="2104" w:type="pct"/>
            <w:shd w:val="clear" w:color="auto" w:fill="C0C0C0"/>
            <w:vAlign w:val="center"/>
          </w:tcPr>
          <w:p w14:paraId="366D5F2C" w14:textId="77777777" w:rsidR="00A479F1" w:rsidRPr="006717E0" w:rsidRDefault="64E561C9" w:rsidP="64E561C9">
            <w:pPr>
              <w:jc w:val="center"/>
              <w:rPr>
                <w:rFonts w:ascii="Arial" w:hAnsi="Arial" w:cs="Arial"/>
                <w:b/>
                <w:bCs/>
                <w:sz w:val="20"/>
                <w:szCs w:val="20"/>
                <w:lang w:val="es-ES"/>
              </w:rPr>
            </w:pPr>
            <w:r w:rsidRPr="64E561C9">
              <w:rPr>
                <w:rFonts w:ascii="Arial" w:hAnsi="Arial" w:cs="Arial"/>
                <w:b/>
                <w:bCs/>
                <w:sz w:val="20"/>
                <w:szCs w:val="20"/>
                <w:lang w:val="es-ES"/>
              </w:rPr>
              <w:t>Comentarios</w:t>
            </w:r>
          </w:p>
        </w:tc>
      </w:tr>
      <w:tr w:rsidR="00A479F1" w:rsidRPr="00355C8F" w14:paraId="2EFFDA0F" w14:textId="77777777" w:rsidTr="64E561C9">
        <w:trPr>
          <w:jc w:val="center"/>
        </w:trPr>
        <w:tc>
          <w:tcPr>
            <w:tcW w:w="1040" w:type="pct"/>
          </w:tcPr>
          <w:p w14:paraId="237B2776" w14:textId="77777777" w:rsidR="00A479F1" w:rsidRPr="006717E0" w:rsidRDefault="64E561C9" w:rsidP="64E561C9">
            <w:pPr>
              <w:rPr>
                <w:rFonts w:ascii="Arial" w:hAnsi="Arial" w:cs="Arial"/>
                <w:b/>
                <w:bCs/>
                <w:sz w:val="20"/>
                <w:szCs w:val="20"/>
                <w:lang w:val="es-ES"/>
              </w:rPr>
            </w:pPr>
            <w:r w:rsidRPr="64E561C9">
              <w:rPr>
                <w:rFonts w:ascii="Arial" w:hAnsi="Arial" w:cs="Arial"/>
                <w:b/>
                <w:bCs/>
                <w:sz w:val="20"/>
                <w:szCs w:val="20"/>
                <w:lang w:val="es-ES"/>
              </w:rPr>
              <w:t xml:space="preserve">1. Apoyar a los países para atender las necesidades básicas </w:t>
            </w:r>
          </w:p>
        </w:tc>
        <w:tc>
          <w:tcPr>
            <w:tcW w:w="1856" w:type="pct"/>
          </w:tcPr>
          <w:p w14:paraId="70769DD3" w14:textId="77777777" w:rsidR="00A479F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2104" w:type="pct"/>
          </w:tcPr>
          <w:p w14:paraId="03096141" w14:textId="77777777" w:rsidR="00A479F1" w:rsidRPr="006717E0" w:rsidRDefault="64E561C9" w:rsidP="64E561C9">
            <w:pPr>
              <w:pStyle w:val="Paragraph"/>
              <w:numPr>
                <w:ilvl w:val="1"/>
                <w:numId w:val="0"/>
              </w:numPr>
              <w:rPr>
                <w:rFonts w:ascii="Arial" w:eastAsia="Times New Roman" w:hAnsi="Arial" w:cs="Arial"/>
                <w:b/>
                <w:bCs/>
                <w:color w:val="FF0000"/>
                <w:sz w:val="20"/>
                <w:lang w:eastAsia="en-US"/>
              </w:rPr>
            </w:pPr>
            <w:r w:rsidRPr="64E561C9">
              <w:rPr>
                <w:rFonts w:ascii="Arial" w:eastAsia="Times New Roman" w:hAnsi="Arial" w:cs="Arial"/>
                <w:sz w:val="20"/>
                <w:lang w:eastAsia="en-US"/>
              </w:rPr>
              <w:t xml:space="preserve">El Programa propuesto contribuye al logro de estos objetivos al procurar incrementar y mejorar el acceso a servicios de alcantarillado, en función del crecimiento esperado de la demanda. Adicionalmente, la planificación de las intervenciones de tratamiento de aguas residuales de corto, mediano y largo plazo se basa, entre otros, en la simulación de la calidad del agua del rio </w:t>
            </w:r>
            <w:proofErr w:type="spellStart"/>
            <w:r w:rsidRPr="64E561C9">
              <w:rPr>
                <w:rFonts w:ascii="Arial" w:eastAsia="Times New Roman" w:hAnsi="Arial" w:cs="Arial"/>
                <w:sz w:val="20"/>
                <w:lang w:eastAsia="en-US"/>
              </w:rPr>
              <w:t>Tietê</w:t>
            </w:r>
            <w:proofErr w:type="spellEnd"/>
            <w:r w:rsidRPr="64E561C9">
              <w:rPr>
                <w:rFonts w:ascii="Arial" w:eastAsia="Times New Roman" w:hAnsi="Arial" w:cs="Arial"/>
                <w:sz w:val="20"/>
                <w:lang w:eastAsia="en-US"/>
              </w:rPr>
              <w:t>, garantizando de esta manera la relación costo eficiencia en el dimensionamiento de las Plantas de Tratamiento de Aguas Residuales. En este contexto, a través del análisis de alternativas realizado en el marco del Plan Director de Alcantarillado, se han podido identificar las soluciones tecnológicas de mínimo costo para los colectores e interceptores de la RMSP, lo que asegura la adecuada combinación de costo – eficiencia para la población.</w:t>
            </w:r>
          </w:p>
        </w:tc>
      </w:tr>
      <w:tr w:rsidR="00A479F1" w:rsidRPr="006717E0" w14:paraId="3DD16A16" w14:textId="77777777" w:rsidTr="64E561C9">
        <w:trPr>
          <w:jc w:val="center"/>
        </w:trPr>
        <w:tc>
          <w:tcPr>
            <w:tcW w:w="1040" w:type="pct"/>
          </w:tcPr>
          <w:p w14:paraId="476C3AEE" w14:textId="77777777" w:rsidR="00A479F1" w:rsidRPr="006717E0" w:rsidRDefault="64E561C9" w:rsidP="64E561C9">
            <w:pPr>
              <w:tabs>
                <w:tab w:val="left" w:pos="600"/>
              </w:tabs>
              <w:rPr>
                <w:rFonts w:ascii="Arial" w:hAnsi="Arial" w:cs="Arial"/>
                <w:b/>
                <w:bCs/>
                <w:sz w:val="20"/>
                <w:szCs w:val="20"/>
                <w:lang w:val="es-ES"/>
              </w:rPr>
            </w:pPr>
            <w:r w:rsidRPr="64E561C9">
              <w:rPr>
                <w:rFonts w:ascii="Arial" w:hAnsi="Arial" w:cs="Arial"/>
                <w:b/>
                <w:bCs/>
                <w:sz w:val="20"/>
                <w:szCs w:val="20"/>
                <w:lang w:val="es-ES"/>
              </w:rPr>
              <w:t>2. Las mejoras continuas en la gobernanza de los servicios públicos domiciliarios serán clave para incrementar la eficiencia en su provisión y proteger satisfactoriamente los intereses de los usuarios</w:t>
            </w:r>
          </w:p>
        </w:tc>
        <w:tc>
          <w:tcPr>
            <w:tcW w:w="1856" w:type="pct"/>
          </w:tcPr>
          <w:p w14:paraId="4D5B4964" w14:textId="77777777" w:rsidR="00A479F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2104" w:type="pct"/>
          </w:tcPr>
          <w:p w14:paraId="063E8BAB" w14:textId="77777777" w:rsidR="00A479F1" w:rsidRPr="006717E0" w:rsidRDefault="64E561C9" w:rsidP="64E561C9">
            <w:pPr>
              <w:spacing w:before="120" w:after="120"/>
              <w:jc w:val="both"/>
              <w:rPr>
                <w:rFonts w:ascii="Arial" w:hAnsi="Arial" w:cs="Arial"/>
                <w:sz w:val="20"/>
                <w:szCs w:val="20"/>
                <w:highlight w:val="cyan"/>
                <w:lang w:val="es-ES"/>
              </w:rPr>
            </w:pPr>
            <w:r w:rsidRPr="64E561C9">
              <w:rPr>
                <w:rFonts w:ascii="Arial" w:hAnsi="Arial" w:cs="Arial"/>
                <w:sz w:val="20"/>
                <w:szCs w:val="20"/>
                <w:lang w:val="es-ES"/>
              </w:rPr>
              <w:t>Ver puntos abajo</w:t>
            </w:r>
          </w:p>
        </w:tc>
      </w:tr>
      <w:tr w:rsidR="00A479F1" w:rsidRPr="00355C8F" w14:paraId="6895D934" w14:textId="77777777" w:rsidTr="64E561C9">
        <w:trPr>
          <w:jc w:val="center"/>
        </w:trPr>
        <w:tc>
          <w:tcPr>
            <w:tcW w:w="1040" w:type="pct"/>
          </w:tcPr>
          <w:p w14:paraId="4297D366" w14:textId="77777777" w:rsidR="00A479F1" w:rsidRPr="006717E0" w:rsidRDefault="64E561C9" w:rsidP="64E561C9">
            <w:pPr>
              <w:ind w:left="330" w:hanging="150"/>
              <w:rPr>
                <w:rFonts w:ascii="Arial" w:hAnsi="Arial" w:cs="Arial"/>
                <w:b/>
                <w:bCs/>
                <w:i/>
                <w:iCs/>
                <w:sz w:val="20"/>
                <w:szCs w:val="20"/>
                <w:lang w:val="es-ES"/>
              </w:rPr>
            </w:pPr>
            <w:r w:rsidRPr="64E561C9">
              <w:rPr>
                <w:rFonts w:ascii="Arial" w:hAnsi="Arial" w:cs="Arial"/>
                <w:b/>
                <w:bCs/>
                <w:i/>
                <w:iCs/>
                <w:sz w:val="20"/>
                <w:szCs w:val="20"/>
                <w:lang w:val="es-ES"/>
              </w:rPr>
              <w:t>A. Promover la integridad, la transparencia y la rendición de cuentas</w:t>
            </w:r>
          </w:p>
        </w:tc>
        <w:tc>
          <w:tcPr>
            <w:tcW w:w="1856" w:type="pct"/>
          </w:tcPr>
          <w:p w14:paraId="5ED3053E" w14:textId="77777777" w:rsidR="00BB3564" w:rsidRPr="00BB3564" w:rsidRDefault="64E561C9" w:rsidP="64E561C9">
            <w:pPr>
              <w:jc w:val="both"/>
              <w:rPr>
                <w:rFonts w:ascii="Arial" w:hAnsi="Arial" w:cs="Arial"/>
                <w:sz w:val="20"/>
                <w:szCs w:val="20"/>
                <w:lang w:val="es-ES"/>
              </w:rPr>
            </w:pPr>
            <w:r w:rsidRPr="64E561C9">
              <w:rPr>
                <w:rFonts w:ascii="Arial" w:hAnsi="Arial" w:cs="Arial"/>
                <w:sz w:val="20"/>
                <w:szCs w:val="20"/>
                <w:lang w:val="es-ES"/>
              </w:rPr>
              <w:t>Las operaciones financiadas por el Banco impulsarán los arreglos institucionales básicos para que los países de la región adopten medidas que promuevan la integridad y aumenten la transparencia en la provisión de servicios públicos</w:t>
            </w:r>
          </w:p>
          <w:p w14:paraId="6A79F46D" w14:textId="77777777" w:rsidR="00A479F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domiciliarios, con el objetivo de mejorar la rendición de cuentas y fortalecer el cumplimiento de los derechos de los usuarios. En virtud de ello, el Banco hará los mayores esfuerzos para que sus </w:t>
            </w:r>
            <w:r w:rsidRPr="64E561C9">
              <w:rPr>
                <w:rFonts w:ascii="Arial" w:hAnsi="Arial" w:cs="Arial"/>
                <w:sz w:val="20"/>
                <w:szCs w:val="20"/>
                <w:lang w:val="es-ES"/>
              </w:rPr>
              <w:lastRenderedPageBreak/>
              <w:t>operaciones contribuyan al desarrollo de sistemas de buena gobernanza en los actores públicos y privados. Adicionalmente, esta Política reconoce que la debilidad en la información estadística pública y la escasez de la información estadística privada son factores que, frecuentemente, privan de respuestas adecuadas a preguntas básicas sobre las necesidades de inversión en infraestructura, el desempeño de las empresas proveedoras de servicios, o la estructura y evolución de las tarifas. Por lo tanto, el Banco impulsará la transparencia focalizada teniendo en cuenta las necesidades de los usuarios de la información, la manera más efectiva en que debe hacerse disponible y los canales idóneos para distribuirla.</w:t>
            </w:r>
          </w:p>
        </w:tc>
        <w:tc>
          <w:tcPr>
            <w:tcW w:w="2104" w:type="pct"/>
          </w:tcPr>
          <w:p w14:paraId="555E6320" w14:textId="77777777" w:rsidR="00A479F1" w:rsidRPr="006717E0" w:rsidRDefault="64E561C9" w:rsidP="64E561C9">
            <w:pPr>
              <w:autoSpaceDE w:val="0"/>
              <w:autoSpaceDN w:val="0"/>
              <w:adjustRightInd w:val="0"/>
              <w:jc w:val="both"/>
              <w:rPr>
                <w:rFonts w:ascii="Arial" w:hAnsi="Arial" w:cs="Arial"/>
                <w:sz w:val="20"/>
                <w:szCs w:val="20"/>
                <w:highlight w:val="red"/>
                <w:lang w:val="es-ES"/>
              </w:rPr>
            </w:pPr>
            <w:r w:rsidRPr="64E561C9">
              <w:rPr>
                <w:rFonts w:ascii="Arial" w:hAnsi="Arial" w:cs="Arial"/>
                <w:sz w:val="20"/>
                <w:szCs w:val="20"/>
                <w:lang w:val="es-ES"/>
              </w:rPr>
              <w:lastRenderedPageBreak/>
              <w:t xml:space="preserve">SABESP al cotizar sus acciones BOVESPA y en la Bolsa de Valores de Nueva York (NYSE), está sujeta a requisitos muy estrictos de transparencia y rendición de cuentas. La Ley de acceso a la información, instituida por la Ley Federal </w:t>
            </w:r>
            <w:proofErr w:type="spellStart"/>
            <w:r w:rsidRPr="64E561C9">
              <w:rPr>
                <w:rFonts w:ascii="Arial" w:hAnsi="Arial" w:cs="Arial"/>
                <w:sz w:val="20"/>
                <w:szCs w:val="20"/>
                <w:lang w:val="es-ES"/>
              </w:rPr>
              <w:t>Nº</w:t>
            </w:r>
            <w:proofErr w:type="spellEnd"/>
            <w:r w:rsidRPr="64E561C9">
              <w:rPr>
                <w:rFonts w:ascii="Arial" w:hAnsi="Arial" w:cs="Arial"/>
                <w:sz w:val="20"/>
                <w:szCs w:val="20"/>
                <w:lang w:val="es-ES"/>
              </w:rPr>
              <w:t xml:space="preserve"> 12.527, de 18 de noviembre de 2011, y el decreto estadual que la reglamenta, </w:t>
            </w:r>
            <w:proofErr w:type="spellStart"/>
            <w:r w:rsidRPr="64E561C9">
              <w:rPr>
                <w:rFonts w:ascii="Arial" w:hAnsi="Arial" w:cs="Arial"/>
                <w:sz w:val="20"/>
                <w:szCs w:val="20"/>
                <w:lang w:val="es-ES"/>
              </w:rPr>
              <w:t>Nº</w:t>
            </w:r>
            <w:proofErr w:type="spellEnd"/>
            <w:r w:rsidRPr="64E561C9">
              <w:rPr>
                <w:rFonts w:ascii="Arial" w:hAnsi="Arial" w:cs="Arial"/>
                <w:sz w:val="20"/>
                <w:szCs w:val="20"/>
                <w:lang w:val="es-ES"/>
              </w:rPr>
              <w:t xml:space="preserve"> 58.052, del 16 de mayo de 2012, creó el SIC (Servicio de Información al Ciudadano), en el cual es posible solicitar documentos y datos relativos a los órganos y entidades de la Administración Pública del </w:t>
            </w:r>
            <w:r w:rsidRPr="64E561C9">
              <w:rPr>
                <w:rFonts w:ascii="Arial" w:hAnsi="Arial" w:cs="Arial"/>
                <w:sz w:val="20"/>
                <w:szCs w:val="20"/>
                <w:lang w:val="es-ES"/>
              </w:rPr>
              <w:lastRenderedPageBreak/>
              <w:t xml:space="preserve">Estado de Sao Paulo. SABESP, como empresa vinculada al Gobierno del Estado de São Paulo, integra la base de datos del SIC. Como empresa pública de saneamiento, tiene el compromiso de divulgar sistemáticamente información actualizada, y de hacer sus procesos públicos a los ojos de la sociedad. En ese sentido, la Compañía ofrece información amplia financiera, operativa y de gestión, además de otras informaciones útiles a los ciudadanos, en el Portal de Transparencia de SABESP: </w:t>
            </w:r>
            <w:hyperlink r:id="rId15">
              <w:r w:rsidRPr="64E561C9">
                <w:rPr>
                  <w:rStyle w:val="Hyperlink"/>
                  <w:rFonts w:ascii="Arial" w:hAnsi="Arial" w:cs="Arial"/>
                  <w:sz w:val="20"/>
                  <w:szCs w:val="20"/>
                  <w:lang w:val="es-ES"/>
                </w:rPr>
                <w:t>Link</w:t>
              </w:r>
            </w:hyperlink>
            <w:r w:rsidRPr="64E561C9">
              <w:rPr>
                <w:rFonts w:ascii="Arial" w:hAnsi="Arial" w:cs="Arial"/>
                <w:sz w:val="20"/>
                <w:szCs w:val="20"/>
                <w:lang w:val="es-ES"/>
              </w:rPr>
              <w:t>. A nivel nacional, el Sistema Nacional de Información sobre Saneamiento - SNIS, vinculado a la Secretaría Nacional de Saneamiento Ambiental del Ministerio de Ciudades, es el mayor portal de informaciones del sector de saneamiento brasileño, con una base de datos e indicadores sobre la prestación de servicios de agua, alcantarillado y residuos sólidos. SABESP proporciona anualmente al SNIS datos de carácter operativo, de gestión, financiera y de calidad de los servicios prestados.</w:t>
            </w:r>
          </w:p>
        </w:tc>
      </w:tr>
      <w:tr w:rsidR="00A479F1" w:rsidRPr="00355C8F" w14:paraId="1263AA39" w14:textId="77777777" w:rsidTr="64E561C9">
        <w:trPr>
          <w:jc w:val="center"/>
        </w:trPr>
        <w:tc>
          <w:tcPr>
            <w:tcW w:w="1040" w:type="pct"/>
          </w:tcPr>
          <w:p w14:paraId="4819F134" w14:textId="77777777" w:rsidR="00A479F1" w:rsidRPr="00EF0E11" w:rsidRDefault="64E561C9" w:rsidP="64E561C9">
            <w:pPr>
              <w:ind w:left="330" w:hanging="150"/>
              <w:rPr>
                <w:rFonts w:ascii="Arial" w:hAnsi="Arial" w:cs="Arial"/>
                <w:b/>
                <w:bCs/>
                <w:i/>
                <w:iCs/>
                <w:sz w:val="20"/>
                <w:szCs w:val="20"/>
                <w:lang w:val="es-ES"/>
              </w:rPr>
            </w:pPr>
            <w:r w:rsidRPr="64E561C9">
              <w:rPr>
                <w:rFonts w:ascii="Arial" w:hAnsi="Arial" w:cs="Arial"/>
                <w:b/>
                <w:bCs/>
                <w:i/>
                <w:iCs/>
                <w:sz w:val="20"/>
                <w:szCs w:val="20"/>
                <w:lang w:val="es-ES"/>
              </w:rPr>
              <w:lastRenderedPageBreak/>
              <w:t>B. Analizar las características e impactos de los subsidios</w:t>
            </w:r>
          </w:p>
        </w:tc>
        <w:tc>
          <w:tcPr>
            <w:tcW w:w="1856" w:type="pct"/>
          </w:tcPr>
          <w:p w14:paraId="59F10F85"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La operación y financiamiento de los servicios debería lograr la recuperación de costos de prestación en condiciones de eficiencia mediante tarifas cobradas a los usuarios. Sin embargo, se reconoce que, ocasionalmente, la sostenibilidad financiera puede alcanzarse complementando los ingresos provenientes de las tarifas,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w:t>
            </w:r>
            <w:r w:rsidRPr="64E561C9">
              <w:rPr>
                <w:rFonts w:ascii="Arial" w:hAnsi="Arial" w:cs="Arial"/>
                <w:sz w:val="20"/>
                <w:szCs w:val="20"/>
                <w:lang w:val="es-ES"/>
              </w:rPr>
              <w:lastRenderedPageBreak/>
              <w:t>focalizados en los segmentos de la población con menores ingresos.</w:t>
            </w:r>
          </w:p>
        </w:tc>
        <w:tc>
          <w:tcPr>
            <w:tcW w:w="2104" w:type="pct"/>
          </w:tcPr>
          <w:p w14:paraId="60062879" w14:textId="77777777" w:rsidR="006B035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lastRenderedPageBreak/>
              <w:t>Las tarifas cobradas por la prestación de los servicios están sujetas a la reglamentación de la Agencia Reguladora de Saneamiento y Energía del Estado de São Paulo (ARSESP) y se incluyen tarifas sociales para los usuarios de menor renta y una tarifa especial diferenciada para áreas de favela. La política de tarifas se rige por el Decreto 41.446/96 sobre el que se basa el reglamento del sistema tarifario de los servicios prestados por SABESP. Para el cálculo de las tarifas, se toman en consideración diversos factores como costos de los servicios, previsión para deudores, amortización de los gastos, condiciones ambientales y climáticas, cantidad consumida, categorías y condición económica del usuario. Las tarifas son progresivas en función del volumen consumido. Existe un consumo mínimo estándar de 10 m</w:t>
            </w:r>
            <w:r w:rsidRPr="64E561C9">
              <w:rPr>
                <w:rFonts w:ascii="Arial" w:hAnsi="Arial" w:cs="Arial"/>
                <w:sz w:val="20"/>
                <w:szCs w:val="20"/>
                <w:vertAlign w:val="superscript"/>
                <w:lang w:val="es-ES"/>
              </w:rPr>
              <w:t>3</w:t>
            </w:r>
            <w:r w:rsidRPr="64E561C9">
              <w:rPr>
                <w:rFonts w:ascii="Arial" w:hAnsi="Arial" w:cs="Arial"/>
                <w:sz w:val="20"/>
                <w:szCs w:val="20"/>
                <w:lang w:val="es-ES"/>
              </w:rPr>
              <w:t xml:space="preserve">/mes de agua con un valor fijo; a partir de ahí, hay bandas de consumo variables. La empresa aplica una estructura tarifaria distinta en cada una de las regiones que presta los servicios de abastecimiento de agua y de alcantarillado (región metropolitana de São Paulo Norte y resto de RSMP, Interior </w:t>
            </w:r>
            <w:r w:rsidRPr="64E561C9">
              <w:rPr>
                <w:rFonts w:ascii="Arial" w:hAnsi="Arial" w:cs="Arial"/>
                <w:sz w:val="20"/>
                <w:szCs w:val="20"/>
                <w:lang w:val="es-ES"/>
              </w:rPr>
              <w:lastRenderedPageBreak/>
              <w:t>y el Litoral del Estado de São Paulo). Cada estructura tarifaria incorpora subsidios cruzados regionales, teniendo en cuenta el tipo de consumidor: residencial, comercial, industrial, público, y el volumen consumido. Las tarifas de alcantarillado en cada región se cobran en función de la tarifa mensual de agua. En la región metropolitana de São Paulo y en la región del litoral, las tarifas de alcantarillado son igual a las tarifas de agua. En la mayoría de los municipios del interior del Estado de São Paulo, las tarifas de alcantarillado son aproximadamente el 20% más bajas que las tarifas de agua. Los subsidios practicados por la empresa en la prestación de los servicios de agua y de alcantarillado, para beneficiar a la población de bajos ingresos, se establecen a través de estructuras de tarifas específicas, cuyos valores hasta 30m</w:t>
            </w:r>
            <w:r w:rsidRPr="64E561C9">
              <w:rPr>
                <w:rFonts w:ascii="Arial" w:hAnsi="Arial" w:cs="Arial"/>
                <w:sz w:val="20"/>
                <w:szCs w:val="20"/>
                <w:vertAlign w:val="superscript"/>
                <w:lang w:val="es-ES"/>
              </w:rPr>
              <w:t>3</w:t>
            </w:r>
            <w:r w:rsidRPr="64E561C9">
              <w:rPr>
                <w:rFonts w:ascii="Arial" w:hAnsi="Arial" w:cs="Arial"/>
                <w:sz w:val="20"/>
                <w:szCs w:val="20"/>
                <w:lang w:val="es-ES"/>
              </w:rPr>
              <w:t>/mes, son menores que el costo de los servicios prestados.</w:t>
            </w:r>
          </w:p>
        </w:tc>
      </w:tr>
      <w:tr w:rsidR="00A479F1" w:rsidRPr="00355C8F" w14:paraId="4AE70B3D" w14:textId="77777777" w:rsidTr="64E561C9">
        <w:trPr>
          <w:jc w:val="center"/>
        </w:trPr>
        <w:tc>
          <w:tcPr>
            <w:tcW w:w="1040" w:type="pct"/>
          </w:tcPr>
          <w:p w14:paraId="4B81FB6B" w14:textId="77777777" w:rsidR="00A479F1" w:rsidRPr="006717E0" w:rsidRDefault="64E561C9" w:rsidP="64E561C9">
            <w:pPr>
              <w:ind w:left="330" w:hanging="150"/>
              <w:rPr>
                <w:rFonts w:ascii="Arial" w:hAnsi="Arial" w:cs="Arial"/>
                <w:i/>
                <w:iCs/>
                <w:sz w:val="20"/>
                <w:szCs w:val="20"/>
                <w:lang w:val="es-ES"/>
              </w:rPr>
            </w:pPr>
            <w:r w:rsidRPr="64E561C9">
              <w:rPr>
                <w:rFonts w:ascii="Arial" w:hAnsi="Arial" w:cs="Arial"/>
                <w:b/>
                <w:bCs/>
                <w:i/>
                <w:iCs/>
                <w:sz w:val="20"/>
                <w:szCs w:val="20"/>
                <w:lang w:val="es-ES"/>
              </w:rPr>
              <w:lastRenderedPageBreak/>
              <w:t>C. Separación de Funciones para mejorar la gobernanza sectorial</w:t>
            </w:r>
          </w:p>
        </w:tc>
        <w:tc>
          <w:tcPr>
            <w:tcW w:w="1856" w:type="pct"/>
          </w:tcPr>
          <w:p w14:paraId="0EFEDE3A" w14:textId="77777777" w:rsidR="00A479F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Deben separarse las funciones de </w:t>
            </w:r>
            <w:r w:rsidRPr="64E561C9">
              <w:rPr>
                <w:rFonts w:ascii="Arial" w:hAnsi="Arial" w:cs="Arial"/>
                <w:b/>
                <w:bCs/>
                <w:sz w:val="20"/>
                <w:szCs w:val="20"/>
                <w:lang w:val="es-ES"/>
              </w:rPr>
              <w:t>formulador de políticas, regulador</w:t>
            </w:r>
            <w:r w:rsidRPr="64E561C9">
              <w:rPr>
                <w:rFonts w:ascii="Arial" w:hAnsi="Arial" w:cs="Arial"/>
                <w:sz w:val="20"/>
                <w:szCs w:val="20"/>
                <w:lang w:val="es-ES"/>
              </w:rPr>
              <w:t xml:space="preserve"> y </w:t>
            </w:r>
            <w:r w:rsidRPr="64E561C9">
              <w:rPr>
                <w:rFonts w:ascii="Arial" w:hAnsi="Arial" w:cs="Arial"/>
                <w:b/>
                <w:bCs/>
                <w:sz w:val="20"/>
                <w:szCs w:val="20"/>
                <w:lang w:val="es-ES"/>
              </w:rPr>
              <w:t>empresario</w:t>
            </w:r>
            <w:r w:rsidRPr="64E561C9">
              <w:rPr>
                <w:rFonts w:ascii="Arial" w:hAnsi="Arial" w:cs="Arial"/>
                <w:sz w:val="20"/>
                <w:szCs w:val="20"/>
                <w:lang w:val="es-ES"/>
              </w:rPr>
              <w:t xml:space="preserve"> y asignarse a instituciones distintas y apropiadas. De esta manera, las autoridades conservarán la responsabilidad de </w:t>
            </w:r>
            <w:r w:rsidRPr="64E561C9">
              <w:rPr>
                <w:rFonts w:ascii="Arial" w:hAnsi="Arial" w:cs="Arial"/>
                <w:b/>
                <w:bCs/>
                <w:sz w:val="20"/>
                <w:szCs w:val="20"/>
                <w:lang w:val="es-ES"/>
              </w:rPr>
              <w:t>formular la política</w:t>
            </w:r>
            <w:r w:rsidRPr="64E561C9">
              <w:rPr>
                <w:rFonts w:ascii="Arial" w:hAnsi="Arial" w:cs="Arial"/>
                <w:sz w:val="20"/>
                <w:szCs w:val="20"/>
                <w:lang w:val="es-ES"/>
              </w:rPr>
              <w:t xml:space="preserve">, un ente público separado dictará el </w:t>
            </w:r>
            <w:r w:rsidRPr="64E561C9">
              <w:rPr>
                <w:rFonts w:ascii="Arial" w:hAnsi="Arial" w:cs="Arial"/>
                <w:b/>
                <w:bCs/>
                <w:sz w:val="20"/>
                <w:szCs w:val="20"/>
                <w:lang w:val="es-ES"/>
              </w:rPr>
              <w:t>régimen reglamentario</w:t>
            </w:r>
            <w:r w:rsidRPr="64E561C9">
              <w:rPr>
                <w:rFonts w:ascii="Arial" w:hAnsi="Arial" w:cs="Arial"/>
                <w:sz w:val="20"/>
                <w:szCs w:val="20"/>
                <w:lang w:val="es-ES"/>
              </w:rPr>
              <w:t xml:space="preserve"> y se asignará al proveedor del servicio una función exclusivamente </w:t>
            </w:r>
            <w:r w:rsidRPr="64E561C9">
              <w:rPr>
                <w:rFonts w:ascii="Arial" w:hAnsi="Arial" w:cs="Arial"/>
                <w:b/>
                <w:bCs/>
                <w:sz w:val="20"/>
                <w:szCs w:val="20"/>
                <w:lang w:val="es-ES"/>
              </w:rPr>
              <w:t>empresarial</w:t>
            </w:r>
            <w:r w:rsidRPr="64E561C9">
              <w:rPr>
                <w:rFonts w:ascii="Arial" w:hAnsi="Arial" w:cs="Arial"/>
                <w:sz w:val="20"/>
                <w:szCs w:val="20"/>
                <w:lang w:val="es-ES"/>
              </w:rPr>
              <w:t xml:space="preserve">,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 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w:t>
            </w:r>
            <w:r w:rsidRPr="64E561C9">
              <w:rPr>
                <w:rFonts w:ascii="Arial" w:hAnsi="Arial" w:cs="Arial"/>
                <w:sz w:val="20"/>
                <w:szCs w:val="20"/>
                <w:lang w:val="es-ES"/>
              </w:rPr>
              <w:lastRenderedPageBreak/>
              <w:t xml:space="preserve">contribuirá a desarrollar mecanismos institucionales que fortalezcan la debida gestión en el marco de la legislación local. </w:t>
            </w:r>
          </w:p>
        </w:tc>
        <w:tc>
          <w:tcPr>
            <w:tcW w:w="2104" w:type="pct"/>
          </w:tcPr>
          <w:p w14:paraId="76E9377E" w14:textId="77777777" w:rsidR="00A479F1" w:rsidRPr="006717E0"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lastRenderedPageBreak/>
              <w:t>Existe una separación clara entre el formulador de políticas, el regulador y el prestador de los servicios. En este sentido, en Brasil, el Gobierno Federal actúa como rector de la Política Nacional de Saneamiento Básico (Secretaría de Saneamiento Ambiental del Ministerio de las Ciudades) y la definición de políticas de abastecimiento de Agua y Saneamiento (</w:t>
            </w:r>
            <w:proofErr w:type="spellStart"/>
            <w:r w:rsidRPr="64E561C9">
              <w:rPr>
                <w:rFonts w:ascii="Arial" w:hAnsi="Arial" w:cs="Arial"/>
                <w:sz w:val="20"/>
                <w:szCs w:val="20"/>
                <w:lang w:val="es-ES"/>
              </w:rPr>
              <w:t>AyS</w:t>
            </w:r>
            <w:proofErr w:type="spellEnd"/>
            <w:r w:rsidRPr="64E561C9">
              <w:rPr>
                <w:rFonts w:ascii="Arial" w:hAnsi="Arial" w:cs="Arial"/>
                <w:sz w:val="20"/>
                <w:szCs w:val="20"/>
                <w:lang w:val="es-ES"/>
              </w:rPr>
              <w:t>) es realizada por la Secretaría de Saneamiento y Recursos Hídricos del Estado de Sao Paulo. A nivel regulación, se creó el 7 de diciembre de 2007 la Agencia Reguladora de los Servicios Saneamiento y Energía del Estado de São Paulo (ARSESP) estableciendo las condiciones necesarias para que SABESP busque la excelencia en la prestación de servicios de saneamiento teniendo como foco el cliente. La ARSESP tiene autoridad para regular y fiscalizar la prestación de los servicios de saneamiento de forma independiente, incluye asuntos tarifarios y contratos de prestación de servicios. Por otro lado, SABESP es la entidad prestadora de los servicios de agua y saneamiento que presta los servicios actualmente a 367 de los 645 municipios del Estado de Sao Paulo.</w:t>
            </w:r>
          </w:p>
        </w:tc>
      </w:tr>
      <w:tr w:rsidR="00A479F1" w:rsidRPr="00355C8F" w14:paraId="44D9A52F" w14:textId="77777777" w:rsidTr="64E561C9">
        <w:trPr>
          <w:trHeight w:val="620"/>
          <w:jc w:val="center"/>
        </w:trPr>
        <w:tc>
          <w:tcPr>
            <w:tcW w:w="1040" w:type="pct"/>
          </w:tcPr>
          <w:p w14:paraId="34769CF4" w14:textId="77777777" w:rsidR="00A479F1" w:rsidRPr="006717E0" w:rsidRDefault="64E561C9" w:rsidP="64E561C9">
            <w:pPr>
              <w:ind w:left="330" w:hanging="150"/>
              <w:rPr>
                <w:rFonts w:ascii="Arial" w:hAnsi="Arial" w:cs="Arial"/>
                <w:i/>
                <w:iCs/>
                <w:sz w:val="20"/>
                <w:szCs w:val="20"/>
                <w:lang w:val="es-ES"/>
              </w:rPr>
            </w:pPr>
            <w:r w:rsidRPr="64E561C9">
              <w:rPr>
                <w:rFonts w:ascii="Arial" w:hAnsi="Arial" w:cs="Arial"/>
                <w:b/>
                <w:bCs/>
                <w:i/>
                <w:iCs/>
                <w:sz w:val="20"/>
                <w:szCs w:val="20"/>
                <w:lang w:val="es-ES"/>
              </w:rPr>
              <w:t>D. Establecer la estructura sectorial más apropiada en el contexto de las características del servicio y los objetivos de la política</w:t>
            </w:r>
          </w:p>
        </w:tc>
        <w:tc>
          <w:tcPr>
            <w:tcW w:w="1856" w:type="pct"/>
          </w:tcPr>
          <w:p w14:paraId="587506A9" w14:textId="77777777" w:rsidR="00A479F1" w:rsidRPr="006717E0" w:rsidRDefault="64E561C9" w:rsidP="64E561C9">
            <w:pPr>
              <w:jc w:val="both"/>
              <w:rPr>
                <w:rFonts w:ascii="Arial" w:hAnsi="Arial" w:cs="Arial"/>
                <w:sz w:val="20"/>
                <w:szCs w:val="20"/>
                <w:lang w:val="es-ES"/>
              </w:rPr>
            </w:pPr>
            <w:r w:rsidRPr="64E561C9">
              <w:rPr>
                <w:rFonts w:ascii="Arial" w:hAnsi="Arial" w:cs="Arial"/>
                <w:sz w:val="20"/>
                <w:szCs w:val="20"/>
                <w:lang w:val="es-ES"/>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2104" w:type="pct"/>
          </w:tcPr>
          <w:p w14:paraId="0D70F228" w14:textId="77777777" w:rsidR="00EB3B5C" w:rsidRPr="006717E0"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t xml:space="preserve">SABESP fue creada a través de la Ley Estatal No. 119/1973, posteriormente modificada por la Ley Estatal 8.523 del 29 de diciembre de 1993. SABESP es una sociedad de economía mixta donde el accionista mayoritario es el Estado de Sao Paulo (ESP) con un 50,3% del capital social. En abril del 2002, SABESP ingresó en el Nuevo Mercado de la BOVESPA y en el mismo año pasó a tener acciones negociadas bajo la forma de American </w:t>
            </w:r>
            <w:proofErr w:type="spellStart"/>
            <w:r w:rsidRPr="64E561C9">
              <w:rPr>
                <w:rFonts w:ascii="Arial" w:hAnsi="Arial" w:cs="Arial"/>
                <w:sz w:val="20"/>
                <w:szCs w:val="20"/>
                <w:lang w:val="es-ES"/>
              </w:rPr>
              <w:t>Depositary</w:t>
            </w:r>
            <w:proofErr w:type="spellEnd"/>
            <w:r w:rsidRPr="64E561C9">
              <w:rPr>
                <w:rFonts w:ascii="Arial" w:hAnsi="Arial" w:cs="Arial"/>
                <w:sz w:val="20"/>
                <w:szCs w:val="20"/>
                <w:lang w:val="es-ES"/>
              </w:rPr>
              <w:t xml:space="preserve"> Shares (ADS) en la Bolsa de Valores de Nueva York (NYSE), requiriendo que SABESP cumpla con requisitos muy estrictos de transparencia y gobernanza.</w:t>
            </w:r>
            <w:r w:rsidRPr="64E561C9">
              <w:rPr>
                <w:rFonts w:ascii="Arial" w:hAnsi="Arial" w:cs="Arial"/>
                <w:lang w:val="es-ES"/>
              </w:rPr>
              <w:t xml:space="preserve"> </w:t>
            </w:r>
            <w:r w:rsidRPr="64E561C9">
              <w:rPr>
                <w:rFonts w:ascii="Arial" w:hAnsi="Arial" w:cs="Arial"/>
                <w:sz w:val="20"/>
                <w:szCs w:val="20"/>
                <w:lang w:val="es-ES"/>
              </w:rPr>
              <w:t>Además</w:t>
            </w:r>
            <w:r w:rsidRPr="64E561C9">
              <w:rPr>
                <w:rFonts w:ascii="Arial" w:hAnsi="Arial" w:cs="Arial"/>
                <w:lang w:val="es-ES"/>
              </w:rPr>
              <w:t xml:space="preserve">, </w:t>
            </w:r>
            <w:r w:rsidRPr="64E561C9">
              <w:rPr>
                <w:rFonts w:ascii="Arial" w:hAnsi="Arial" w:cs="Arial"/>
                <w:sz w:val="20"/>
                <w:szCs w:val="20"/>
                <w:lang w:val="es-ES"/>
              </w:rPr>
              <w:t>SABESP, siendo una empresa estatal se rige por la Ley 13.303/2016 de las empresas estatales, la cual requiere que esas empresas cumplan con requisitos de gobierno corporativo muy estrictos que incluyen la adopción de un código de ética y conducta, la gestión de los riesgos, un comité de auditoría, un consejo fiscal y consejo de administración, entre otras cosas. El código de ética y conducta de SABESP, editado en 2003 y actualizado en 2014, es la base principal para la gestión sostenible, socioambiental, legal, transparente, ética y orientada hacia la lucha contra el fraude y la corrupción.</w:t>
            </w:r>
            <w:r w:rsidRPr="64E561C9">
              <w:rPr>
                <w:rFonts w:ascii="Arial" w:hAnsi="Arial" w:cs="Arial"/>
                <w:lang w:val="es-ES"/>
              </w:rPr>
              <w:t xml:space="preserve"> </w:t>
            </w:r>
            <w:r w:rsidRPr="64E561C9">
              <w:rPr>
                <w:rFonts w:ascii="Arial" w:hAnsi="Arial" w:cs="Arial"/>
                <w:sz w:val="20"/>
                <w:szCs w:val="20"/>
                <w:lang w:val="es-ES"/>
              </w:rPr>
              <w:t xml:space="preserve">SABESP entiende que la Gobernanza Corporativa es fundamental para la sostenibilidad de la Compañía y expresa en su estrategia la preocupación por este principio. La compañía está listada en el Nuevo Mercado de la Bolsa de Valores, Mercancías y Futuros - BM &amp; </w:t>
            </w:r>
            <w:proofErr w:type="spellStart"/>
            <w:r w:rsidRPr="64E561C9">
              <w:rPr>
                <w:rFonts w:ascii="Arial" w:hAnsi="Arial" w:cs="Arial"/>
                <w:sz w:val="20"/>
                <w:szCs w:val="20"/>
                <w:lang w:val="es-ES"/>
              </w:rPr>
              <w:t>FBovespa</w:t>
            </w:r>
            <w:proofErr w:type="spellEnd"/>
            <w:r w:rsidRPr="64E561C9">
              <w:rPr>
                <w:rFonts w:ascii="Arial" w:hAnsi="Arial" w:cs="Arial"/>
                <w:sz w:val="20"/>
                <w:szCs w:val="20"/>
                <w:lang w:val="es-ES"/>
              </w:rPr>
              <w:t xml:space="preserve">, el segmento de más alto nivel de gobierno corporativo de Brasil, y en el New York Stock Exchange - NYSE (ADR nivel III), desde 2002, y por lo tanto está sujeta a las reglas de la Comisión de Valores Mobiliarios - CVM y BM &amp; </w:t>
            </w:r>
            <w:proofErr w:type="spellStart"/>
            <w:r w:rsidRPr="64E561C9">
              <w:rPr>
                <w:rFonts w:ascii="Arial" w:hAnsi="Arial" w:cs="Arial"/>
                <w:sz w:val="20"/>
                <w:szCs w:val="20"/>
                <w:lang w:val="es-ES"/>
              </w:rPr>
              <w:t>FBovespa</w:t>
            </w:r>
            <w:proofErr w:type="spellEnd"/>
            <w:r w:rsidRPr="64E561C9">
              <w:rPr>
                <w:rFonts w:ascii="Arial" w:hAnsi="Arial" w:cs="Arial"/>
                <w:sz w:val="20"/>
                <w:szCs w:val="20"/>
                <w:lang w:val="es-ES"/>
              </w:rPr>
              <w:t xml:space="preserve">, en Brasil, y a las normas de la </w:t>
            </w:r>
            <w:proofErr w:type="spellStart"/>
            <w:r w:rsidRPr="64E561C9">
              <w:rPr>
                <w:rFonts w:ascii="Arial" w:hAnsi="Arial" w:cs="Arial"/>
                <w:sz w:val="20"/>
                <w:szCs w:val="20"/>
                <w:lang w:val="es-ES"/>
              </w:rPr>
              <w:t>Securities</w:t>
            </w:r>
            <w:proofErr w:type="spellEnd"/>
            <w:r w:rsidRPr="64E561C9">
              <w:rPr>
                <w:rFonts w:ascii="Arial" w:hAnsi="Arial" w:cs="Arial"/>
                <w:sz w:val="20"/>
                <w:szCs w:val="20"/>
                <w:lang w:val="es-ES"/>
              </w:rPr>
              <w:t xml:space="preserve"> and Exchange </w:t>
            </w:r>
            <w:proofErr w:type="spellStart"/>
            <w:r w:rsidRPr="64E561C9">
              <w:rPr>
                <w:rFonts w:ascii="Arial" w:hAnsi="Arial" w:cs="Arial"/>
                <w:sz w:val="20"/>
                <w:szCs w:val="20"/>
                <w:lang w:val="es-ES"/>
              </w:rPr>
              <w:t>Commission</w:t>
            </w:r>
            <w:proofErr w:type="spellEnd"/>
            <w:r w:rsidRPr="64E561C9">
              <w:rPr>
                <w:rFonts w:ascii="Arial" w:hAnsi="Arial" w:cs="Arial"/>
                <w:sz w:val="20"/>
                <w:szCs w:val="20"/>
                <w:lang w:val="es-ES"/>
              </w:rPr>
              <w:t xml:space="preserve"> - SEC y de la NYSE, en los Estados Unidos. SABESP participa en el Índice de Gobierno Corporativo - IGC y el Índice de </w:t>
            </w:r>
            <w:r w:rsidRPr="64E561C9">
              <w:rPr>
                <w:rFonts w:ascii="Arial" w:hAnsi="Arial" w:cs="Arial"/>
                <w:sz w:val="20"/>
                <w:szCs w:val="20"/>
                <w:lang w:val="es-ES"/>
              </w:rPr>
              <w:lastRenderedPageBreak/>
              <w:t xml:space="preserve">Acciones con Tag </w:t>
            </w:r>
            <w:proofErr w:type="spellStart"/>
            <w:r w:rsidRPr="64E561C9">
              <w:rPr>
                <w:rFonts w:ascii="Arial" w:hAnsi="Arial" w:cs="Arial"/>
                <w:sz w:val="20"/>
                <w:szCs w:val="20"/>
                <w:lang w:val="es-ES"/>
              </w:rPr>
              <w:t>Along</w:t>
            </w:r>
            <w:proofErr w:type="spellEnd"/>
            <w:r w:rsidRPr="64E561C9">
              <w:rPr>
                <w:rFonts w:ascii="Arial" w:hAnsi="Arial" w:cs="Arial"/>
                <w:sz w:val="20"/>
                <w:szCs w:val="20"/>
                <w:lang w:val="es-ES"/>
              </w:rPr>
              <w:t xml:space="preserve"> Diferenciado - ITAG. La estructura de Gobierno Corporativo de SABESP se compone de:</w:t>
            </w:r>
          </w:p>
          <w:p w14:paraId="7480268C"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Asamblea General de Accionistas:</w:t>
            </w:r>
            <w:r w:rsidRPr="64E561C9">
              <w:rPr>
                <w:rFonts w:ascii="Arial" w:hAnsi="Arial" w:cs="Arial"/>
                <w:sz w:val="20"/>
                <w:szCs w:val="20"/>
                <w:lang w:val="es-ES"/>
              </w:rPr>
              <w:t xml:space="preserve"> Instancia máxima de decisión, con poderes para decidir todos los negocios relativos al objeto de la Compañía y tomar las resoluciones que juzgue convenientes a su defensa y desarrollo. Corresponde a la junta general, entre otros, elegir o destituir a los consejeros de administración y fiscales. </w:t>
            </w:r>
            <w:proofErr w:type="gramStart"/>
            <w:r w:rsidRPr="64E561C9">
              <w:rPr>
                <w:rFonts w:ascii="Arial" w:hAnsi="Arial" w:cs="Arial"/>
                <w:sz w:val="20"/>
                <w:szCs w:val="20"/>
                <w:lang w:val="es-ES"/>
              </w:rPr>
              <w:t>Todos los documentos a ser analizados o discutidos</w:t>
            </w:r>
            <w:proofErr w:type="gramEnd"/>
            <w:r w:rsidRPr="64E561C9">
              <w:rPr>
                <w:rFonts w:ascii="Arial" w:hAnsi="Arial" w:cs="Arial"/>
                <w:sz w:val="20"/>
                <w:szCs w:val="20"/>
                <w:lang w:val="es-ES"/>
              </w:rPr>
              <w:t xml:space="preserve"> en asamblea están disponibles en la sede social, en el sitio web de la Compañía y en la BM &amp; </w:t>
            </w:r>
            <w:proofErr w:type="spellStart"/>
            <w:r w:rsidRPr="64E561C9">
              <w:rPr>
                <w:rFonts w:ascii="Arial" w:hAnsi="Arial" w:cs="Arial"/>
                <w:sz w:val="20"/>
                <w:szCs w:val="20"/>
                <w:lang w:val="es-ES"/>
              </w:rPr>
              <w:t>FBovespa</w:t>
            </w:r>
            <w:proofErr w:type="spellEnd"/>
            <w:r w:rsidRPr="64E561C9">
              <w:rPr>
                <w:rFonts w:ascii="Arial" w:hAnsi="Arial" w:cs="Arial"/>
                <w:sz w:val="20"/>
                <w:szCs w:val="20"/>
                <w:lang w:val="es-ES"/>
              </w:rPr>
              <w:t>, a partir de la publicación del edicto de convocatoria.</w:t>
            </w:r>
          </w:p>
          <w:p w14:paraId="1788C255"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Consejo de Administración:</w:t>
            </w:r>
            <w:r w:rsidRPr="64E561C9">
              <w:rPr>
                <w:rFonts w:ascii="Arial" w:hAnsi="Arial" w:cs="Arial"/>
                <w:sz w:val="20"/>
                <w:szCs w:val="20"/>
                <w:lang w:val="es-ES"/>
              </w:rPr>
              <w:t xml:space="preserve"> Está compuesto actualmente por 8 miembros con mandato unificado de dos años, permitida la reelección. La posición de presidente del consejo y presidente de la Compañía está ocupada por personas distintas y no podrá recaer en la persona del Director Presidente de la Compañía que sea elegido consejero. Entre los consejeros, cuatro son independientes de acuerdo con las reglas del Reglamento del Nuevo Mercado, siendo uno de ellos elegido por los accionistas minoritarios. Se garantiza la participación de un representante de los empleados en el Consejo de Administración, con mandato coincidente con el de los demás consejeros.</w:t>
            </w:r>
          </w:p>
          <w:p w14:paraId="058E2459"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Comité de Auditoría:</w:t>
            </w:r>
            <w:r w:rsidRPr="64E561C9">
              <w:rPr>
                <w:rFonts w:ascii="Arial" w:hAnsi="Arial" w:cs="Arial"/>
                <w:sz w:val="20"/>
                <w:szCs w:val="20"/>
                <w:lang w:val="es-ES"/>
              </w:rPr>
              <w:t xml:space="preserve"> El Consejo de Administración es asesorado por un Comité de Auditoría, compuesto por tres consejeros de administración independientes, de los cuales uno es especialista en finanzas y Coordinador del Comité. Las responsabilidades y la forma de funcionamiento de este Comité se definen en su reglamento interno.</w:t>
            </w:r>
          </w:p>
          <w:p w14:paraId="2AE71314"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lastRenderedPageBreak/>
              <w:t>Consejo Fiscal:</w:t>
            </w:r>
            <w:r w:rsidRPr="64E561C9">
              <w:rPr>
                <w:rFonts w:ascii="Arial" w:hAnsi="Arial" w:cs="Arial"/>
                <w:sz w:val="20"/>
                <w:szCs w:val="20"/>
                <w:lang w:val="es-ES"/>
              </w:rPr>
              <w:t xml:space="preserve"> Instalado de forma permanente, desde la creación de la Compañía, se compone de cinco miembros titulares y respectivos suplentes, siendo un representante de los accionistas minoritarios.</w:t>
            </w:r>
          </w:p>
          <w:p w14:paraId="71A40ADB"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Dirección Ejecutiva:</w:t>
            </w:r>
            <w:r w:rsidRPr="64E561C9">
              <w:rPr>
                <w:rFonts w:ascii="Arial" w:hAnsi="Arial" w:cs="Arial"/>
                <w:sz w:val="20"/>
                <w:szCs w:val="20"/>
                <w:lang w:val="es-ES"/>
              </w:rPr>
              <w:t xml:space="preserve"> El Directorio está compuesto por seis miembros con mandato unificado de dos años, permitida la reelección. Los directores son elegidos por el Consejo de Administración, siendo uno de ellos designado Director Presidente. El Director Presidente integra el Consejo de Administración.</w:t>
            </w:r>
          </w:p>
          <w:p w14:paraId="1E02C5E4"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Secretarias Ejecutivas de Gobernanza:</w:t>
            </w:r>
            <w:r w:rsidRPr="64E561C9">
              <w:rPr>
                <w:rFonts w:ascii="Arial" w:hAnsi="Arial" w:cs="Arial"/>
                <w:sz w:val="20"/>
                <w:szCs w:val="20"/>
                <w:lang w:val="es-ES"/>
              </w:rPr>
              <w:t xml:space="preserve"> asesoran los procesos de gobernanza, ayudando al Presidente del Consejo de Administración, al Coordinador del Comité de Auditoría, al Consejo Fiscal y al Director Presidente de la Compañía en la definición de la agenda de las reuniones; en la convocatoria y conducción de las asambleas generales; en el encaminamiento de la agenda y del material de apoyo a las reuniones; en la elaboración de las actas y en la interacción con los miembros del Directorio Ejecutivo, entre otros, colaborando para el perfeccionamiento de la gobernanza.</w:t>
            </w:r>
          </w:p>
          <w:p w14:paraId="5CF8B9F3" w14:textId="77777777" w:rsidR="00EB3B5C"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t>Auditoría Interna:</w:t>
            </w:r>
            <w:r w:rsidRPr="64E561C9">
              <w:rPr>
                <w:rFonts w:ascii="Arial" w:hAnsi="Arial" w:cs="Arial"/>
                <w:sz w:val="20"/>
                <w:szCs w:val="20"/>
                <w:lang w:val="es-ES"/>
              </w:rPr>
              <w:t xml:space="preserve"> Tiene actuación independiente, con el objetivo de evaluar la integridad, adecuación, eficacia y eficiencia de los procesos y de los sistemas de información y de controles internos. Para el adecuado cumplimiento de sus responsabilidades, la Auditoría Interna tiene acceso a todos los documentos, registros físicos y lógicos, sistemas, locales y personas involucradas con las actividades bajo examen. Está subordinada a la Presidencia y sus actividades son supervisadas por el Comité de Auditoría.</w:t>
            </w:r>
          </w:p>
          <w:p w14:paraId="4912BD10" w14:textId="77777777" w:rsidR="00CD5025" w:rsidRPr="006717E0" w:rsidRDefault="64E561C9" w:rsidP="64E561C9">
            <w:pPr>
              <w:numPr>
                <w:ilvl w:val="0"/>
                <w:numId w:val="25"/>
              </w:numPr>
              <w:autoSpaceDE w:val="0"/>
              <w:autoSpaceDN w:val="0"/>
              <w:adjustRightInd w:val="0"/>
              <w:spacing w:after="120"/>
              <w:jc w:val="both"/>
              <w:rPr>
                <w:rFonts w:ascii="Arial" w:hAnsi="Arial" w:cs="Arial"/>
                <w:sz w:val="20"/>
                <w:szCs w:val="20"/>
                <w:lang w:val="es-ES"/>
              </w:rPr>
            </w:pPr>
            <w:r w:rsidRPr="64E561C9">
              <w:rPr>
                <w:rFonts w:ascii="Arial" w:hAnsi="Arial" w:cs="Arial"/>
                <w:i/>
                <w:iCs/>
                <w:sz w:val="20"/>
                <w:szCs w:val="20"/>
                <w:lang w:val="es-ES"/>
              </w:rPr>
              <w:lastRenderedPageBreak/>
              <w:t>Auditoría Externa:</w:t>
            </w:r>
            <w:r w:rsidRPr="64E561C9">
              <w:rPr>
                <w:rFonts w:ascii="Arial" w:hAnsi="Arial" w:cs="Arial"/>
                <w:sz w:val="20"/>
                <w:szCs w:val="20"/>
                <w:lang w:val="es-ES"/>
              </w:rPr>
              <w:t xml:space="preserve"> SABESP obedece a los principios que preservan la independencia del auditor externo en cuanto a no auditar su propio trabajo, no ejercer funciones gerenciales y no abogar por su cliente. KPMG Auditores Independientes ha actuado como auditor independiente de la Compañía desde junio de 2016.</w:t>
            </w:r>
          </w:p>
          <w:p w14:paraId="0D0B940D" w14:textId="77777777" w:rsidR="00A479F1" w:rsidRPr="006717E0" w:rsidRDefault="00A479F1" w:rsidP="00CD5025">
            <w:pPr>
              <w:autoSpaceDE w:val="0"/>
              <w:autoSpaceDN w:val="0"/>
              <w:adjustRightInd w:val="0"/>
              <w:ind w:left="720"/>
              <w:jc w:val="both"/>
              <w:rPr>
                <w:rFonts w:ascii="Arial" w:hAnsi="Arial" w:cs="Arial"/>
                <w:sz w:val="20"/>
                <w:szCs w:val="20"/>
                <w:highlight w:val="red"/>
                <w:lang w:val="es-ES_tradnl"/>
              </w:rPr>
            </w:pPr>
          </w:p>
        </w:tc>
      </w:tr>
      <w:tr w:rsidR="00A479F1" w:rsidRPr="00355C8F" w14:paraId="082B1752" w14:textId="77777777" w:rsidTr="64E561C9">
        <w:trPr>
          <w:jc w:val="center"/>
        </w:trPr>
        <w:tc>
          <w:tcPr>
            <w:tcW w:w="1040" w:type="pct"/>
          </w:tcPr>
          <w:p w14:paraId="2DDE5DDD" w14:textId="77777777" w:rsidR="00A479F1" w:rsidRPr="00EF0E11" w:rsidRDefault="64E561C9" w:rsidP="64E561C9">
            <w:pPr>
              <w:ind w:left="330" w:hanging="150"/>
              <w:rPr>
                <w:rFonts w:ascii="Arial" w:hAnsi="Arial" w:cs="Arial"/>
                <w:i/>
                <w:iCs/>
                <w:sz w:val="20"/>
                <w:szCs w:val="20"/>
                <w:lang w:val="es-ES"/>
              </w:rPr>
            </w:pPr>
            <w:r w:rsidRPr="64E561C9">
              <w:rPr>
                <w:rFonts w:ascii="Arial" w:hAnsi="Arial" w:cs="Arial"/>
                <w:b/>
                <w:bCs/>
                <w:i/>
                <w:iCs/>
                <w:sz w:val="20"/>
                <w:szCs w:val="20"/>
                <w:lang w:val="es-ES"/>
              </w:rPr>
              <w:lastRenderedPageBreak/>
              <w:t>E.</w:t>
            </w:r>
            <w:r w:rsidRPr="64E561C9">
              <w:rPr>
                <w:rFonts w:ascii="Arial" w:hAnsi="Arial" w:cs="Arial"/>
                <w:i/>
                <w:iCs/>
                <w:sz w:val="20"/>
                <w:szCs w:val="20"/>
                <w:lang w:val="es-ES"/>
              </w:rPr>
              <w:t xml:space="preserve"> </w:t>
            </w:r>
            <w:r w:rsidRPr="64E561C9">
              <w:rPr>
                <w:rFonts w:ascii="Arial" w:hAnsi="Arial" w:cs="Arial"/>
                <w:b/>
                <w:bCs/>
                <w:i/>
                <w:iCs/>
                <w:sz w:val="20"/>
                <w:szCs w:val="20"/>
                <w:lang w:val="es-ES"/>
              </w:rPr>
              <w:t>El rol de la regulación económica para incentivar la eficiencia, la inversión y proteger los derechos de los usuarios</w:t>
            </w:r>
          </w:p>
        </w:tc>
        <w:tc>
          <w:tcPr>
            <w:tcW w:w="1856" w:type="pct"/>
          </w:tcPr>
          <w:p w14:paraId="6E5D1F2F"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2104" w:type="pct"/>
          </w:tcPr>
          <w:p w14:paraId="04514FE5"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La Agencia Reguladora de los Servicios Saneamiento y Energía del Estado de São Paulo (ARSESP) establece las condiciones necesarias para que SABESP busque la excelencia en la prestación de servicios de saneamiento teniendo como foco el cliente. La ARSESP tiene autoridad para regular y fiscalizar la prestación de los servicios de saneamiento de forma independiente, incluye asuntos tarifarios y contratos de prestación de servicios. En Brasil, según se establece en la Ley del Saneamiento, artículo 29, los servicios públicos de saneamiento básico tendrán la sostenibilidad económico-financiera asegurada, siempre que sea posible, mediante remuneración por la cobranza de los servicios de abastecimiento de agua y alcantarillado sanitario: preferentemente en forma de tarifas y otros precios públicos, que podrán ser establecidos para cada uno de los servicios o para ambos conjuntamente. De acuerdo con la Ley de Saneamiento, los usuarios tienen el derecho de pagar una tarifa justa y de recibir el servicio en los niveles de calidad establecidos en la legislación aplicable y en el contrato de concesión o de programa firmado entre la SABESP y cada uno de los municipios. Por otro lado, el prestador del servicio que actuará con eficiencia y prudencia tiene el derecho de obtener un ingreso que cubra los costos operativos eficientes, que propicie una remuneración adecuada sobre el capital prudentemente invertido y que pueda hacer frente a las características del negocio regulado y a los riesgos asumidos en la conducción de ese negocio. Con base en </w:t>
            </w:r>
            <w:r w:rsidRPr="64E561C9">
              <w:rPr>
                <w:rFonts w:ascii="Arial" w:hAnsi="Arial" w:cs="Arial"/>
                <w:sz w:val="20"/>
                <w:szCs w:val="20"/>
                <w:lang w:val="es-ES"/>
              </w:rPr>
              <w:lastRenderedPageBreak/>
              <w:t>estas premisas, SABESP elabora estudios para la definición de los reajustes y revisión tarifaria, necesarios para garantizar la sostenibilidad económico-financiera de la prestación de los servicios y la realización de inversiones.</w:t>
            </w:r>
          </w:p>
        </w:tc>
      </w:tr>
      <w:tr w:rsidR="00A479F1" w:rsidRPr="00355C8F" w14:paraId="6F050E63" w14:textId="77777777" w:rsidTr="64E561C9">
        <w:trPr>
          <w:trHeight w:val="1430"/>
          <w:jc w:val="center"/>
        </w:trPr>
        <w:tc>
          <w:tcPr>
            <w:tcW w:w="1040" w:type="pct"/>
          </w:tcPr>
          <w:p w14:paraId="18AD36E3" w14:textId="77777777" w:rsidR="00A479F1" w:rsidRPr="00EF0E11" w:rsidRDefault="64E561C9" w:rsidP="64E561C9">
            <w:pPr>
              <w:ind w:left="330" w:hanging="150"/>
              <w:rPr>
                <w:rFonts w:ascii="Arial" w:hAnsi="Arial" w:cs="Arial"/>
                <w:b/>
                <w:bCs/>
                <w:i/>
                <w:iCs/>
                <w:sz w:val="20"/>
                <w:szCs w:val="20"/>
                <w:lang w:val="es-ES"/>
              </w:rPr>
            </w:pPr>
            <w:r w:rsidRPr="64E561C9">
              <w:rPr>
                <w:rFonts w:ascii="Arial" w:hAnsi="Arial" w:cs="Arial"/>
                <w:b/>
                <w:bCs/>
                <w:i/>
                <w:iCs/>
                <w:sz w:val="20"/>
                <w:szCs w:val="20"/>
                <w:lang w:val="es-ES"/>
              </w:rPr>
              <w:lastRenderedPageBreak/>
              <w:t>F. Generar condiciones adecuadas para que la participación privada sea una opción viable para la provisión de servicios públicos domiciliarios</w:t>
            </w:r>
          </w:p>
        </w:tc>
        <w:tc>
          <w:tcPr>
            <w:tcW w:w="1856" w:type="pct"/>
          </w:tcPr>
          <w:p w14:paraId="5CF3AB57" w14:textId="77777777" w:rsidR="00A479F1"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2104" w:type="pct"/>
          </w:tcPr>
          <w:p w14:paraId="4F63D054" w14:textId="4503FC6A" w:rsidR="00A479F1" w:rsidRPr="00EF0E11" w:rsidRDefault="64E561C9" w:rsidP="64E561C9">
            <w:pPr>
              <w:autoSpaceDE w:val="0"/>
              <w:autoSpaceDN w:val="0"/>
              <w:adjustRightInd w:val="0"/>
              <w:jc w:val="both"/>
              <w:rPr>
                <w:rFonts w:ascii="Arial" w:hAnsi="Arial" w:cs="Arial"/>
                <w:sz w:val="20"/>
                <w:szCs w:val="20"/>
                <w:lang w:val="es-ES"/>
              </w:rPr>
            </w:pPr>
            <w:r w:rsidRPr="64E561C9">
              <w:rPr>
                <w:rFonts w:ascii="Arial" w:hAnsi="Arial" w:cs="Arial"/>
                <w:sz w:val="20"/>
                <w:szCs w:val="20"/>
                <w:lang w:val="es-ES"/>
              </w:rPr>
              <w:t>SABESP es una sociedad de economía mixta donde el accionista mayoritario (50,3%) es el Estado de Sao Paulo (ESP); el resto de sus acciones cotizan en la bolsa de valores de Sao Paulo (BOVESPA) y en la Bolsa de Nueva York (NYSE). Por otra parte, SABESP también dispone de varias Asociaciones Publico Privadas (APP) para construir, operar y mantener infraestructura de agua y saneamiento bajo su responsabilidad,</w:t>
            </w:r>
            <w:r w:rsidR="003C72AA">
              <w:rPr>
                <w:rFonts w:ascii="Arial" w:hAnsi="Arial" w:cs="Arial"/>
                <w:sz w:val="20"/>
                <w:szCs w:val="20"/>
                <w:lang w:val="es-ES"/>
              </w:rPr>
              <w:t xml:space="preserve"> </w:t>
            </w:r>
            <w:proofErr w:type="gramStart"/>
            <w:r w:rsidRPr="64E561C9">
              <w:rPr>
                <w:rFonts w:ascii="Arial" w:hAnsi="Arial" w:cs="Arial"/>
                <w:sz w:val="20"/>
                <w:szCs w:val="20"/>
                <w:lang w:val="es-ES"/>
              </w:rPr>
              <w:t>como</w:t>
            </w:r>
            <w:proofErr w:type="gramEnd"/>
            <w:r w:rsidRPr="64E561C9">
              <w:rPr>
                <w:rFonts w:ascii="Arial" w:hAnsi="Arial" w:cs="Arial"/>
                <w:sz w:val="20"/>
                <w:szCs w:val="20"/>
                <w:lang w:val="es-ES"/>
              </w:rPr>
              <w:t xml:space="preserve"> por ejemplo: Sistema Productor Alto </w:t>
            </w:r>
            <w:proofErr w:type="spellStart"/>
            <w:r w:rsidRPr="64E561C9">
              <w:rPr>
                <w:rFonts w:ascii="Arial" w:hAnsi="Arial" w:cs="Arial"/>
                <w:sz w:val="20"/>
                <w:szCs w:val="20"/>
                <w:lang w:val="es-ES"/>
              </w:rPr>
              <w:t>Tiete</w:t>
            </w:r>
            <w:proofErr w:type="spellEnd"/>
            <w:r w:rsidRPr="64E561C9">
              <w:rPr>
                <w:rFonts w:ascii="Arial" w:hAnsi="Arial" w:cs="Arial"/>
                <w:sz w:val="20"/>
                <w:szCs w:val="20"/>
                <w:lang w:val="es-ES"/>
              </w:rPr>
              <w:t xml:space="preserve"> y Sistema Productor San Lorenzo, </w:t>
            </w:r>
          </w:p>
        </w:tc>
      </w:tr>
      <w:tr w:rsidR="00E34634" w:rsidRPr="00355C8F" w14:paraId="65F120D6" w14:textId="77777777" w:rsidTr="64E561C9">
        <w:trPr>
          <w:jc w:val="center"/>
        </w:trPr>
        <w:tc>
          <w:tcPr>
            <w:tcW w:w="1040" w:type="pct"/>
          </w:tcPr>
          <w:p w14:paraId="67FE262C" w14:textId="77777777" w:rsidR="00E34634" w:rsidRPr="00EF0E11" w:rsidRDefault="64E561C9" w:rsidP="64E561C9">
            <w:pPr>
              <w:ind w:left="330" w:hanging="150"/>
              <w:rPr>
                <w:rFonts w:ascii="Arial" w:hAnsi="Arial" w:cs="Arial"/>
                <w:b/>
                <w:bCs/>
                <w:i/>
                <w:iCs/>
                <w:sz w:val="20"/>
                <w:szCs w:val="20"/>
                <w:lang w:val="es-ES"/>
              </w:rPr>
            </w:pPr>
            <w:r w:rsidRPr="64E561C9">
              <w:rPr>
                <w:rFonts w:ascii="Arial" w:hAnsi="Arial" w:cs="Arial"/>
                <w:b/>
                <w:bCs/>
                <w:i/>
                <w:iCs/>
                <w:sz w:val="20"/>
                <w:szCs w:val="20"/>
                <w:lang w:val="es-ES"/>
              </w:rPr>
              <w:t>G. Fortalecer la gestión de la infraestructura utilizada para la prestación de los servicios públicos domiciliarios.</w:t>
            </w:r>
          </w:p>
        </w:tc>
        <w:tc>
          <w:tcPr>
            <w:tcW w:w="1856" w:type="pct"/>
          </w:tcPr>
          <w:p w14:paraId="341EC60C" w14:textId="77777777" w:rsidR="00E34634"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p w14:paraId="0E27B00A" w14:textId="77777777" w:rsidR="00E34634" w:rsidRPr="00EF0E11" w:rsidRDefault="00E34634" w:rsidP="00BB3564">
            <w:pPr>
              <w:jc w:val="both"/>
              <w:rPr>
                <w:rFonts w:ascii="Arial" w:hAnsi="Arial" w:cs="Arial"/>
                <w:sz w:val="20"/>
                <w:szCs w:val="20"/>
                <w:lang w:val="es-ES"/>
              </w:rPr>
            </w:pPr>
          </w:p>
          <w:p w14:paraId="60061E4C" w14:textId="77777777" w:rsidR="00E34634" w:rsidRPr="00EF0E11" w:rsidRDefault="00E34634" w:rsidP="00BB3564">
            <w:pPr>
              <w:jc w:val="both"/>
              <w:rPr>
                <w:rFonts w:ascii="Arial" w:hAnsi="Arial" w:cs="Arial"/>
                <w:sz w:val="20"/>
                <w:szCs w:val="20"/>
                <w:lang w:val="es-ES"/>
              </w:rPr>
            </w:pPr>
          </w:p>
          <w:p w14:paraId="44EAFD9C" w14:textId="77777777" w:rsidR="00E34634" w:rsidRPr="00EF0E11" w:rsidRDefault="00E34634" w:rsidP="00BB3564">
            <w:pPr>
              <w:jc w:val="both"/>
              <w:rPr>
                <w:rFonts w:ascii="Arial" w:hAnsi="Arial" w:cs="Arial"/>
                <w:sz w:val="20"/>
                <w:szCs w:val="20"/>
                <w:lang w:val="es-ES"/>
              </w:rPr>
            </w:pPr>
          </w:p>
        </w:tc>
        <w:tc>
          <w:tcPr>
            <w:tcW w:w="2104" w:type="pct"/>
          </w:tcPr>
          <w:p w14:paraId="757855D2" w14:textId="77777777" w:rsidR="00E34634"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 xml:space="preserve">Con el objetivo de mejorar la eficiencia en su gestión de manera continua y optimizar el uso de la infraestructura, SABESP viene desarrollando desde hace varios años programas en eficiencia energética, programas de reducción de pérdidas de agua en la red, programa de renovación de activos. La empresa está en búsqueda continua de adquirir conocimiento sobre nuevas tecnologías y a través de intercambios de conocimiento y capacitación con otras empresas de agua del país y de la región, y universidades. SABESP promueve e incentiva internamente el desarrollo profesional y personal proporcionando acceso continuo a conocimiento, tecnologías aplicables a su negocio y a la mejora de su gestión.  Hace algunos meses, SABESP inicio la implantación del Modelo de Excelencia de Gestión (MEG) </w:t>
            </w:r>
            <w:r w:rsidRPr="64E561C9">
              <w:rPr>
                <w:rFonts w:ascii="Arial" w:hAnsi="Arial" w:cs="Arial"/>
                <w:sz w:val="20"/>
                <w:szCs w:val="20"/>
                <w:lang w:val="es-ES"/>
              </w:rPr>
              <w:lastRenderedPageBreak/>
              <w:t xml:space="preserve">por medio de etapas integradas de capacitación, sensibilización y evaluación para adquirir una visión sistémica, alinear acciones, compartir buenas prácticas y crear una cultura de busca continua de excelencia por medio de la gestión. SABESP está también colaborando con la Fundación Nacional de la Calidad, con el objetivo de mejorar su gestión de manera continua. SABESP implantó sistemas de gestión de la información, así como tecnologías para la automatización de la gestión. </w:t>
            </w:r>
          </w:p>
          <w:p w14:paraId="1A2BF6FB" w14:textId="77777777" w:rsidR="00E34634" w:rsidRPr="00EF0E11" w:rsidRDefault="64E561C9" w:rsidP="64E561C9">
            <w:pPr>
              <w:pStyle w:val="CFIJAENB"/>
              <w:spacing w:before="120" w:after="120"/>
              <w:ind w:left="0"/>
              <w:rPr>
                <w:rFonts w:cs="Arial"/>
                <w:lang w:val="es-ES" w:eastAsia="en-US"/>
              </w:rPr>
            </w:pPr>
            <w:r w:rsidRPr="64E561C9">
              <w:rPr>
                <w:rFonts w:cs="Arial"/>
                <w:lang w:val="es-ES" w:eastAsia="en-US"/>
              </w:rPr>
              <w:t>SABESP recibió entre muchos premios otorgados cada año, el premio nacional de la calidad otorgado por la Fundación Nacional de la Calidad, el premio nacional de calidad en saneamiento y varias certificaciones ISO.</w:t>
            </w:r>
          </w:p>
        </w:tc>
      </w:tr>
      <w:tr w:rsidR="00F530AA" w:rsidRPr="00EF0E11" w14:paraId="52595B7E" w14:textId="77777777" w:rsidTr="64E561C9">
        <w:trPr>
          <w:jc w:val="center"/>
        </w:trPr>
        <w:tc>
          <w:tcPr>
            <w:tcW w:w="1040" w:type="pct"/>
          </w:tcPr>
          <w:p w14:paraId="2F51843E" w14:textId="77777777" w:rsidR="00F530AA" w:rsidRPr="00EF0E11" w:rsidRDefault="64E561C9" w:rsidP="64E561C9">
            <w:pPr>
              <w:rPr>
                <w:rFonts w:ascii="Arial" w:hAnsi="Arial" w:cs="Arial"/>
                <w:sz w:val="20"/>
                <w:szCs w:val="20"/>
                <w:lang w:val="es-ES"/>
              </w:rPr>
            </w:pPr>
            <w:r w:rsidRPr="64E561C9">
              <w:rPr>
                <w:rFonts w:ascii="Arial" w:hAnsi="Arial" w:cs="Arial"/>
                <w:b/>
                <w:bCs/>
                <w:sz w:val="20"/>
                <w:szCs w:val="20"/>
                <w:lang w:val="es-ES"/>
              </w:rPr>
              <w:lastRenderedPageBreak/>
              <w:t>3. Promover la innovación para fomentar la eficiencia, el acceso y la sostenibilidad ambiental</w:t>
            </w:r>
          </w:p>
        </w:tc>
        <w:tc>
          <w:tcPr>
            <w:tcW w:w="1856" w:type="pct"/>
          </w:tcPr>
          <w:p w14:paraId="1BE0D531" w14:textId="77777777" w:rsidR="00F530AA" w:rsidRPr="00EF0E11" w:rsidRDefault="64E561C9" w:rsidP="64E561C9">
            <w:pPr>
              <w:jc w:val="both"/>
              <w:rPr>
                <w:rFonts w:ascii="Arial" w:hAnsi="Arial" w:cs="Arial"/>
                <w:sz w:val="20"/>
                <w:szCs w:val="20"/>
                <w:lang w:val="es-ES"/>
              </w:rPr>
            </w:pPr>
            <w:r w:rsidRPr="64E561C9">
              <w:rPr>
                <w:rFonts w:ascii="Arial" w:hAnsi="Arial" w:cs="Arial"/>
                <w:sz w:val="20"/>
                <w:szCs w:val="20"/>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2104" w:type="pct"/>
            <w:shd w:val="clear" w:color="auto" w:fill="auto"/>
          </w:tcPr>
          <w:p w14:paraId="3D287ABF" w14:textId="40F125B5" w:rsidR="00F530AA" w:rsidRPr="00EF0E11" w:rsidRDefault="64E561C9" w:rsidP="64E561C9">
            <w:pPr>
              <w:pStyle w:val="CFIJAENB"/>
              <w:spacing w:before="120" w:after="120" w:line="259" w:lineRule="auto"/>
              <w:ind w:left="0"/>
              <w:rPr>
                <w:rFonts w:cs="Arial"/>
                <w:lang w:val="pt-BR" w:eastAsia="en-US"/>
              </w:rPr>
            </w:pPr>
            <w:r w:rsidRPr="64E561C9">
              <w:rPr>
                <w:rFonts w:cs="Arial"/>
                <w:lang w:eastAsia="en-US"/>
              </w:rPr>
              <w:t xml:space="preserve">Dentro del marco del programa, SABESP realizará investigaciones para identificar e implantar tecnologías innovadoras en el ámbito de los servicios de agua y saneamiento. El Componente 2 de la operación tiene, entre otras actividades, un enfoque en innovación tecnológica para que SABESP pueda optimizar la infraestructura existente y aumentar la capacidad de tratamiento de las aguas residuales. Por ejemplo, el Componente 2 financiará un estudio y la implantación de una planta de tratamiento de aguas residuales demostrativa para la realización de pruebas y el desarrollo de nuevas tecnologías, así como la capacitación tecnológica de equipos de SABESP. Por otra parte, a través del componente 1 se financiará la ampliación de la planta de tratamiento (ETE) Parque Novo Mundo, en la cual </w:t>
            </w:r>
            <w:r w:rsidR="00780312">
              <w:rPr>
                <w:rFonts w:cs="Arial"/>
                <w:lang w:eastAsia="en-US"/>
              </w:rPr>
              <w:t>se implantarán</w:t>
            </w:r>
            <w:r w:rsidRPr="64E561C9">
              <w:rPr>
                <w:rFonts w:cs="Arial"/>
                <w:lang w:eastAsia="en-US"/>
              </w:rPr>
              <w:t xml:space="preserve"> sistemas de tratamiento avanzado para potencial </w:t>
            </w:r>
            <w:proofErr w:type="spellStart"/>
            <w:r w:rsidRPr="64E561C9">
              <w:rPr>
                <w:rFonts w:cs="Arial"/>
                <w:lang w:eastAsia="en-US"/>
              </w:rPr>
              <w:t>reuso</w:t>
            </w:r>
            <w:proofErr w:type="spellEnd"/>
            <w:r w:rsidRPr="64E561C9">
              <w:rPr>
                <w:rFonts w:cs="Arial"/>
                <w:lang w:eastAsia="en-US"/>
              </w:rPr>
              <w:t xml:space="preserve"> industrial, </w:t>
            </w:r>
            <w:r w:rsidR="00780312">
              <w:rPr>
                <w:rFonts w:cs="Arial"/>
                <w:lang w:eastAsia="en-US"/>
              </w:rPr>
              <w:t xml:space="preserve">evaluando la </w:t>
            </w:r>
            <w:r w:rsidRPr="64E561C9">
              <w:rPr>
                <w:rFonts w:cs="Arial"/>
                <w:lang w:eastAsia="en-US"/>
              </w:rPr>
              <w:t>utiliza</w:t>
            </w:r>
            <w:r w:rsidR="00780312">
              <w:rPr>
                <w:rFonts w:cs="Arial"/>
                <w:lang w:eastAsia="en-US"/>
              </w:rPr>
              <w:t>ción</w:t>
            </w:r>
            <w:r w:rsidR="00421EA6">
              <w:rPr>
                <w:rFonts w:cs="Arial"/>
                <w:lang w:eastAsia="en-US"/>
              </w:rPr>
              <w:t xml:space="preserve"> de sistemas</w:t>
            </w:r>
            <w:r w:rsidRPr="64E561C9">
              <w:rPr>
                <w:rFonts w:cs="Arial"/>
                <w:lang w:eastAsia="en-US"/>
              </w:rPr>
              <w:t xml:space="preserve"> MBR (</w:t>
            </w:r>
            <w:proofErr w:type="spellStart"/>
            <w:r w:rsidRPr="64E561C9">
              <w:rPr>
                <w:rFonts w:cs="Arial"/>
                <w:lang w:eastAsia="en-US"/>
              </w:rPr>
              <w:t>Membrane</w:t>
            </w:r>
            <w:proofErr w:type="spellEnd"/>
            <w:r w:rsidRPr="64E561C9">
              <w:rPr>
                <w:rFonts w:cs="Arial"/>
                <w:lang w:eastAsia="en-US"/>
              </w:rPr>
              <w:t xml:space="preserve"> </w:t>
            </w:r>
            <w:proofErr w:type="spellStart"/>
            <w:r w:rsidRPr="64E561C9">
              <w:rPr>
                <w:rFonts w:cs="Arial"/>
                <w:lang w:eastAsia="en-US"/>
              </w:rPr>
              <w:t>bioreactors</w:t>
            </w:r>
            <w:proofErr w:type="spellEnd"/>
            <w:r w:rsidRPr="64E561C9">
              <w:rPr>
                <w:rFonts w:cs="Arial"/>
                <w:lang w:eastAsia="en-US"/>
              </w:rPr>
              <w:t>), técnica de la cual SABESP es pionera en su utilización en Latinoamérica</w:t>
            </w:r>
            <w:r w:rsidR="00421EA6">
              <w:rPr>
                <w:rFonts w:cs="Arial"/>
                <w:lang w:eastAsia="en-US"/>
              </w:rPr>
              <w:t xml:space="preserve"> para plantas </w:t>
            </w:r>
            <w:r w:rsidR="00A36AE5">
              <w:rPr>
                <w:rFonts w:cs="Arial"/>
                <w:lang w:eastAsia="en-US"/>
              </w:rPr>
              <w:t>de mediano porte</w:t>
            </w:r>
            <w:r w:rsidRPr="64E561C9">
              <w:rPr>
                <w:rFonts w:cs="Arial"/>
                <w:lang w:eastAsia="en-US"/>
              </w:rPr>
              <w:t>. Como resultado de u</w:t>
            </w:r>
            <w:r w:rsidR="00A36AE5">
              <w:rPr>
                <w:rFonts w:cs="Arial"/>
                <w:lang w:eastAsia="en-US"/>
              </w:rPr>
              <w:t>n</w:t>
            </w:r>
            <w:r w:rsidRPr="64E561C9">
              <w:rPr>
                <w:rFonts w:cs="Arial"/>
                <w:lang w:eastAsia="en-US"/>
              </w:rPr>
              <w:t xml:space="preserve">a sociedad con el sector privado, se encuentra em funcionamiento el emprendimiento </w:t>
            </w:r>
            <w:proofErr w:type="spellStart"/>
            <w:r w:rsidRPr="64E561C9">
              <w:rPr>
                <w:rFonts w:cs="Arial"/>
                <w:lang w:eastAsia="en-US"/>
              </w:rPr>
              <w:t>Aquapolo</w:t>
            </w:r>
            <w:proofErr w:type="spellEnd"/>
            <w:r w:rsidRPr="64E561C9">
              <w:rPr>
                <w:rFonts w:cs="Arial"/>
                <w:lang w:eastAsia="en-US"/>
              </w:rPr>
              <w:t xml:space="preserve"> Ambiental, que utiliza MBR </w:t>
            </w:r>
            <w:r w:rsidRPr="64E561C9">
              <w:rPr>
                <w:rFonts w:cs="Arial"/>
                <w:lang w:eastAsia="en-US"/>
              </w:rPr>
              <w:lastRenderedPageBreak/>
              <w:t xml:space="preserve">como parte del tratamiento de los efluentes de la ETE ABC y produce aproximadamente 385 l/s destinados al Polo Petroquímico de </w:t>
            </w:r>
            <w:proofErr w:type="spellStart"/>
            <w:r w:rsidRPr="64E561C9">
              <w:rPr>
                <w:rFonts w:cs="Arial"/>
                <w:lang w:eastAsia="en-US"/>
              </w:rPr>
              <w:t>Capuava</w:t>
            </w:r>
            <w:proofErr w:type="spellEnd"/>
            <w:r w:rsidRPr="64E561C9">
              <w:rPr>
                <w:rFonts w:cs="Arial"/>
                <w:lang w:eastAsia="en-US"/>
              </w:rPr>
              <w:t xml:space="preserve">, en la región del ABC Paulista. Se trata del mayor emprendimiento para la producción de agua de </w:t>
            </w:r>
            <w:proofErr w:type="spellStart"/>
            <w:r w:rsidRPr="64E561C9">
              <w:rPr>
                <w:rFonts w:cs="Arial"/>
                <w:lang w:eastAsia="en-US"/>
              </w:rPr>
              <w:t>reuso</w:t>
            </w:r>
            <w:proofErr w:type="spellEnd"/>
            <w:r w:rsidRPr="64E561C9">
              <w:rPr>
                <w:rFonts w:cs="Arial"/>
                <w:lang w:eastAsia="en-US"/>
              </w:rPr>
              <w:t xml:space="preserve"> industrial en Sudamérica (Fuente: pg. WEB SABESP). </w:t>
            </w:r>
          </w:p>
        </w:tc>
      </w:tr>
    </w:tbl>
    <w:p w14:paraId="4B94D5A5" w14:textId="77777777" w:rsidR="00386040" w:rsidRPr="00D740A0" w:rsidRDefault="00386040" w:rsidP="000F222E">
      <w:pPr>
        <w:rPr>
          <w:sz w:val="20"/>
          <w:szCs w:val="20"/>
          <w:lang w:val="es-ES"/>
        </w:rPr>
      </w:pPr>
    </w:p>
    <w:sectPr w:rsidR="00386040" w:rsidRPr="00D740A0" w:rsidSect="000F222E">
      <w:headerReference w:type="default" r:id="rId16"/>
      <w:pgSz w:w="15840" w:h="12240" w:orient="landscape"/>
      <w:pgMar w:top="162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C107" w14:textId="77777777" w:rsidR="00021D54" w:rsidRDefault="00021D54" w:rsidP="00B72604">
      <w:r>
        <w:separator/>
      </w:r>
    </w:p>
  </w:endnote>
  <w:endnote w:type="continuationSeparator" w:id="0">
    <w:p w14:paraId="2850C942" w14:textId="77777777" w:rsidR="00021D54" w:rsidRDefault="00021D54" w:rsidP="00B7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F59D" w14:textId="77777777" w:rsidR="00021D54" w:rsidRDefault="00021D54" w:rsidP="00B72604">
      <w:r>
        <w:separator/>
      </w:r>
    </w:p>
  </w:footnote>
  <w:footnote w:type="continuationSeparator" w:id="0">
    <w:p w14:paraId="2BBCB6CF" w14:textId="77777777" w:rsidR="00021D54" w:rsidRDefault="00021D54" w:rsidP="00B7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E5EE" w14:textId="77777777" w:rsidR="00650F9B" w:rsidRPr="00BD335E" w:rsidRDefault="64E561C9" w:rsidP="64E561C9">
    <w:pPr>
      <w:pStyle w:val="Header"/>
      <w:tabs>
        <w:tab w:val="clear" w:pos="4680"/>
        <w:tab w:val="clear" w:pos="9360"/>
        <w:tab w:val="right" w:pos="9270"/>
      </w:tabs>
      <w:ind w:right="-90"/>
      <w:jc w:val="right"/>
      <w:rPr>
        <w:rFonts w:ascii="Arial" w:hAnsi="Arial" w:cs="Arial"/>
        <w:sz w:val="20"/>
        <w:szCs w:val="20"/>
      </w:rPr>
    </w:pPr>
    <w:r w:rsidRPr="64E561C9">
      <w:rPr>
        <w:rFonts w:ascii="Arial" w:hAnsi="Arial" w:cs="Arial"/>
        <w:sz w:val="20"/>
        <w:szCs w:val="20"/>
      </w:rPr>
      <w:t>BR-L1492</w:t>
    </w:r>
  </w:p>
  <w:p w14:paraId="2EF1CCA5" w14:textId="77777777" w:rsidR="00650F9B" w:rsidRPr="00BD335E" w:rsidRDefault="00650F9B" w:rsidP="000F222E">
    <w:pPr>
      <w:pStyle w:val="Header"/>
      <w:tabs>
        <w:tab w:val="clear" w:pos="4680"/>
        <w:tab w:val="clear" w:pos="9360"/>
        <w:tab w:val="right" w:pos="9270"/>
      </w:tabs>
      <w:ind w:left="7200" w:right="-90"/>
      <w:jc w:val="right"/>
      <w:rPr>
        <w:rFonts w:ascii="Arial" w:hAnsi="Arial" w:cs="Arial"/>
        <w:sz w:val="20"/>
        <w:szCs w:val="20"/>
      </w:rPr>
    </w:pPr>
    <w:r w:rsidRPr="00BD335E">
      <w:rPr>
        <w:rFonts w:ascii="Arial" w:hAnsi="Arial" w:cs="Arial"/>
        <w:sz w:val="20"/>
        <w:szCs w:val="20"/>
        <w:lang w:val="es-ES"/>
      </w:rPr>
      <w:t>Página</w:t>
    </w:r>
    <w:r w:rsidRPr="00BD335E">
      <w:rPr>
        <w:rFonts w:ascii="Arial" w:hAnsi="Arial" w:cs="Arial"/>
        <w:sz w:val="20"/>
        <w:szCs w:val="20"/>
      </w:rPr>
      <w:t xml:space="preserve"> </w:t>
    </w:r>
    <w:r w:rsidRPr="00BD335E">
      <w:rPr>
        <w:rFonts w:ascii="Arial" w:hAnsi="Arial" w:cs="Arial"/>
        <w:bCs/>
        <w:sz w:val="20"/>
        <w:szCs w:val="20"/>
      </w:rPr>
      <w:fldChar w:fldCharType="begin"/>
    </w:r>
    <w:r w:rsidRPr="00BD335E">
      <w:rPr>
        <w:rFonts w:ascii="Arial" w:hAnsi="Arial" w:cs="Arial"/>
        <w:bCs/>
        <w:sz w:val="20"/>
        <w:szCs w:val="20"/>
      </w:rPr>
      <w:instrText xml:space="preserve"> PAGE </w:instrText>
    </w:r>
    <w:r w:rsidRPr="00BD335E">
      <w:rPr>
        <w:rFonts w:ascii="Arial" w:hAnsi="Arial" w:cs="Arial"/>
        <w:bCs/>
        <w:sz w:val="20"/>
        <w:szCs w:val="20"/>
      </w:rPr>
      <w:fldChar w:fldCharType="separate"/>
    </w:r>
    <w:r w:rsidR="003C5B6B" w:rsidRPr="00BD335E">
      <w:rPr>
        <w:rFonts w:ascii="Arial" w:hAnsi="Arial" w:cs="Arial"/>
        <w:bCs/>
        <w:noProof/>
        <w:sz w:val="20"/>
        <w:szCs w:val="20"/>
      </w:rPr>
      <w:t>1</w:t>
    </w:r>
    <w:r w:rsidRPr="00BD335E">
      <w:rPr>
        <w:rFonts w:ascii="Arial" w:hAnsi="Arial" w:cs="Arial"/>
        <w:bCs/>
        <w:sz w:val="20"/>
        <w:szCs w:val="20"/>
      </w:rPr>
      <w:fldChar w:fldCharType="end"/>
    </w:r>
    <w:r w:rsidRPr="00BD335E">
      <w:rPr>
        <w:rFonts w:ascii="Arial" w:hAnsi="Arial" w:cs="Arial"/>
        <w:bCs/>
        <w:sz w:val="20"/>
        <w:szCs w:val="20"/>
      </w:rPr>
      <w:t xml:space="preserve"> </w:t>
    </w:r>
    <w:r w:rsidRPr="00BD335E">
      <w:rPr>
        <w:rFonts w:ascii="Arial" w:hAnsi="Arial" w:cs="Arial"/>
        <w:sz w:val="20"/>
        <w:szCs w:val="20"/>
      </w:rPr>
      <w:t xml:space="preserve">de </w:t>
    </w:r>
    <w:r w:rsidRPr="00BD335E">
      <w:rPr>
        <w:rFonts w:ascii="Arial" w:hAnsi="Arial" w:cs="Arial"/>
        <w:bCs/>
        <w:sz w:val="20"/>
        <w:szCs w:val="20"/>
      </w:rPr>
      <w:fldChar w:fldCharType="begin"/>
    </w:r>
    <w:r w:rsidRPr="00BD335E">
      <w:rPr>
        <w:rFonts w:ascii="Arial" w:hAnsi="Arial" w:cs="Arial"/>
        <w:bCs/>
        <w:sz w:val="20"/>
        <w:szCs w:val="20"/>
      </w:rPr>
      <w:instrText xml:space="preserve"> NUMPAGES  </w:instrText>
    </w:r>
    <w:r w:rsidRPr="00BD335E">
      <w:rPr>
        <w:rFonts w:ascii="Arial" w:hAnsi="Arial" w:cs="Arial"/>
        <w:bCs/>
        <w:sz w:val="20"/>
        <w:szCs w:val="20"/>
      </w:rPr>
      <w:fldChar w:fldCharType="separate"/>
    </w:r>
    <w:r w:rsidR="003C5B6B" w:rsidRPr="00BD335E">
      <w:rPr>
        <w:rFonts w:ascii="Arial" w:hAnsi="Arial" w:cs="Arial"/>
        <w:bCs/>
        <w:noProof/>
        <w:sz w:val="20"/>
        <w:szCs w:val="20"/>
      </w:rPr>
      <w:t>1</w:t>
    </w:r>
    <w:r w:rsidRPr="00BD335E">
      <w:rPr>
        <w:rFonts w:ascii="Arial" w:hAnsi="Arial" w:cs="Arial"/>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9106C8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ACE230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86C9ED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1CCB6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AC1306"/>
    <w:multiLevelType w:val="hybridMultilevel"/>
    <w:tmpl w:val="0434AFC2"/>
    <w:lvl w:ilvl="0" w:tplc="A4888E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73"/>
        </w:tabs>
        <w:ind w:left="1273" w:hanging="283"/>
      </w:pPr>
      <w:rPr>
        <w:rFonts w:ascii="Times New Roman" w:hAnsi="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pPr>
      <w:rPr>
        <w:rFonts w:cs="Times New Roman" w:hint="default"/>
      </w:rPr>
    </w:lvl>
    <w:lvl w:ilvl="4">
      <w:start w:val="1"/>
      <w:numFmt w:val="none"/>
      <w:suff w:val="nothing"/>
      <w:lvlText w:val=""/>
      <w:lvlJc w:val="left"/>
      <w:pPr>
        <w:ind w:left="1571"/>
      </w:pPr>
      <w:rPr>
        <w:rFonts w:cs="Times New Roman" w:hint="default"/>
      </w:rPr>
    </w:lvl>
    <w:lvl w:ilvl="5">
      <w:start w:val="1"/>
      <w:numFmt w:val="none"/>
      <w:suff w:val="nothing"/>
      <w:lvlText w:val=""/>
      <w:lvlJc w:val="left"/>
      <w:pPr>
        <w:ind w:left="1571"/>
      </w:pPr>
      <w:rPr>
        <w:rFonts w:cs="Times New Roman" w:hint="default"/>
      </w:rPr>
    </w:lvl>
    <w:lvl w:ilvl="6">
      <w:start w:val="1"/>
      <w:numFmt w:val="none"/>
      <w:suff w:val="nothing"/>
      <w:lvlText w:val=""/>
      <w:lvlJc w:val="left"/>
      <w:pPr>
        <w:ind w:left="1571"/>
      </w:pPr>
      <w:rPr>
        <w:rFonts w:cs="Times New Roman" w:hint="default"/>
      </w:rPr>
    </w:lvl>
    <w:lvl w:ilvl="7">
      <w:start w:val="1"/>
      <w:numFmt w:val="none"/>
      <w:suff w:val="nothing"/>
      <w:lvlText w:val=""/>
      <w:lvlJc w:val="left"/>
      <w:pPr>
        <w:ind w:left="1571"/>
      </w:pPr>
      <w:rPr>
        <w:rFonts w:cs="Times New Roman" w:hint="default"/>
      </w:rPr>
    </w:lvl>
    <w:lvl w:ilvl="8">
      <w:start w:val="1"/>
      <w:numFmt w:val="none"/>
      <w:suff w:val="nothing"/>
      <w:lvlText w:val=""/>
      <w:lvlJc w:val="left"/>
      <w:pPr>
        <w:ind w:left="1571"/>
      </w:pPr>
      <w:rPr>
        <w:rFonts w:cs="Times New Roman" w:hint="default"/>
      </w:rPr>
    </w:lvl>
  </w:abstractNum>
  <w:abstractNum w:abstractNumId="6" w15:restartNumberingAfterBreak="0">
    <w:nsid w:val="09AF2B98"/>
    <w:multiLevelType w:val="multilevel"/>
    <w:tmpl w:val="4C2CC41C"/>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1296"/>
        </w:tabs>
        <w:ind w:left="1296" w:hanging="1296"/>
      </w:pPr>
      <w:rPr>
        <w:rFonts w:cs="Times New Roman"/>
      </w:rPr>
    </w:lvl>
    <w:lvl w:ilvl="2">
      <w:start w:val="1"/>
      <w:numFmt w:val="lowerLetter"/>
      <w:lvlText w:val="%3."/>
      <w:lvlJc w:val="left"/>
      <w:pPr>
        <w:tabs>
          <w:tab w:val="num" w:pos="2592"/>
        </w:tabs>
        <w:ind w:left="2592" w:hanging="432"/>
      </w:pPr>
      <w:rPr>
        <w:rFonts w:cs="Times New Roman"/>
      </w:rPr>
    </w:lvl>
    <w:lvl w:ilvl="3">
      <w:start w:val="1"/>
      <w:numFmt w:val="lowerRoman"/>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7" w15:restartNumberingAfterBreak="0">
    <w:nsid w:val="0DAB7FC9"/>
    <w:multiLevelType w:val="multilevel"/>
    <w:tmpl w:val="7AFC8574"/>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8" w15:restartNumberingAfterBreak="0">
    <w:nsid w:val="10D159F9"/>
    <w:multiLevelType w:val="hybridMultilevel"/>
    <w:tmpl w:val="591CF180"/>
    <w:lvl w:ilvl="0" w:tplc="D0ECA3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cs="Times New Roman" w:hint="default"/>
      </w:rPr>
    </w:lvl>
    <w:lvl w:ilvl="1">
      <w:start w:val="1"/>
      <w:numFmt w:val="lowerLetter"/>
      <w:lvlText w:val="%2."/>
      <w:lvlJc w:val="left"/>
      <w:pPr>
        <w:tabs>
          <w:tab w:val="num" w:pos="567"/>
        </w:tabs>
        <w:ind w:left="567" w:hanging="283"/>
      </w:pPr>
      <w:rPr>
        <w:rFonts w:cs="Times New Roman" w:hint="default"/>
      </w:rPr>
    </w:lvl>
    <w:lvl w:ilvl="2">
      <w:start w:val="1"/>
      <w:numFmt w:val="none"/>
      <w:suff w:val="nothing"/>
      <w:lvlText w:val=""/>
      <w:lvlJc w:val="left"/>
      <w:pPr>
        <w:ind w:left="567"/>
      </w:pPr>
      <w:rPr>
        <w:rFonts w:cs="Times New Roman" w:hint="default"/>
      </w:rPr>
    </w:lvl>
    <w:lvl w:ilvl="3">
      <w:start w:val="1"/>
      <w:numFmt w:val="none"/>
      <w:suff w:val="nothing"/>
      <w:lvlText w:val=""/>
      <w:lvlJc w:val="left"/>
      <w:pPr>
        <w:ind w:left="567"/>
      </w:pPr>
      <w:rPr>
        <w:rFonts w:cs="Times New Roman" w:hint="default"/>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suff w:val="nothing"/>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0" w15:restartNumberingAfterBreak="0">
    <w:nsid w:val="160320B5"/>
    <w:multiLevelType w:val="multilevel"/>
    <w:tmpl w:val="7C5448D2"/>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2736"/>
        </w:tabs>
        <w:ind w:left="2736" w:hanging="1296"/>
      </w:pPr>
      <w:rPr>
        <w:rFonts w:cs="Times New Roman"/>
      </w:rPr>
    </w:lvl>
    <w:lvl w:ilvl="2">
      <w:start w:val="1"/>
      <w:numFmt w:val="lowerLetter"/>
      <w:lvlText w:val="%3."/>
      <w:lvlJc w:val="left"/>
      <w:pPr>
        <w:tabs>
          <w:tab w:val="num" w:pos="2592"/>
        </w:tabs>
        <w:ind w:left="2592" w:hanging="432"/>
      </w:pPr>
      <w:rPr>
        <w:rFonts w:cs="Times New Roman"/>
      </w:rPr>
    </w:lvl>
    <w:lvl w:ilvl="3">
      <w:start w:val="1"/>
      <w:numFmt w:val="decimal"/>
      <w:lvlText w:val="%1.%2.%3.%4"/>
      <w:lvlJc w:val="left"/>
      <w:pPr>
        <w:ind w:left="2304" w:hanging="864"/>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11" w15:restartNumberingAfterBreak="0">
    <w:nsid w:val="172E7663"/>
    <w:multiLevelType w:val="hybridMultilevel"/>
    <w:tmpl w:val="A3D81D94"/>
    <w:lvl w:ilvl="0" w:tplc="3DCE8444">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810CB"/>
    <w:multiLevelType w:val="hybridMultilevel"/>
    <w:tmpl w:val="38E4DCCE"/>
    <w:lvl w:ilvl="0" w:tplc="CA86ED4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79533A"/>
    <w:multiLevelType w:val="multilevel"/>
    <w:tmpl w:val="BA3076C2"/>
    <w:lvl w:ilvl="0">
      <w:start w:val="1"/>
      <w:numFmt w:val="none"/>
      <w:lvlRestart w:val="0"/>
      <w:pStyle w:val="FirstHeading"/>
      <w:suff w:val="nothing"/>
      <w:lvlText w:val=""/>
      <w:lvlJc w:val="left"/>
      <w:pPr>
        <w:ind w:left="4824" w:hanging="720"/>
      </w:pPr>
      <w:rPr>
        <w:rFonts w:cs="Times New Roman"/>
      </w:rPr>
    </w:lvl>
    <w:lvl w:ilvl="1">
      <w:start w:val="1"/>
      <w:numFmt w:val="decimal"/>
      <w:pStyle w:val="SecHeading"/>
      <w:lvlText w:val="%2."/>
      <w:lvlJc w:val="left"/>
      <w:pPr>
        <w:tabs>
          <w:tab w:val="num" w:pos="5400"/>
        </w:tabs>
        <w:ind w:left="5400" w:hanging="576"/>
      </w:pPr>
      <w:rPr>
        <w:rFonts w:cs="Times New Roman"/>
      </w:rPr>
    </w:lvl>
    <w:lvl w:ilvl="2">
      <w:start w:val="1"/>
      <w:numFmt w:val="lowerLetter"/>
      <w:pStyle w:val="SubHeading1"/>
      <w:lvlText w:val="%3)"/>
      <w:lvlJc w:val="left"/>
      <w:pPr>
        <w:tabs>
          <w:tab w:val="num" w:pos="5976"/>
        </w:tabs>
        <w:ind w:left="5976" w:hanging="576"/>
      </w:pPr>
      <w:rPr>
        <w:rFonts w:cs="Times New Roman"/>
      </w:rPr>
    </w:lvl>
    <w:lvl w:ilvl="3">
      <w:start w:val="1"/>
      <w:numFmt w:val="lowerRoman"/>
      <w:pStyle w:val="Subheading2"/>
      <w:lvlText w:val="(%4)"/>
      <w:lvlJc w:val="right"/>
      <w:pPr>
        <w:tabs>
          <w:tab w:val="num" w:pos="6480"/>
        </w:tabs>
        <w:ind w:left="6480" w:hanging="288"/>
      </w:pPr>
      <w:rPr>
        <w:rFonts w:cs="Times New Roman"/>
      </w:rPr>
    </w:lvl>
    <w:lvl w:ilvl="4">
      <w:start w:val="1"/>
      <w:numFmt w:val="none"/>
      <w:lvlText w:val=""/>
      <w:lvlJc w:val="left"/>
      <w:pPr>
        <w:tabs>
          <w:tab w:val="num" w:pos="5112"/>
        </w:tabs>
        <w:ind w:left="5112" w:hanging="1008"/>
      </w:pPr>
      <w:rPr>
        <w:rFonts w:cs="Times New Roman"/>
      </w:rPr>
    </w:lvl>
    <w:lvl w:ilvl="5">
      <w:start w:val="1"/>
      <w:numFmt w:val="none"/>
      <w:lvlText w:val=""/>
      <w:lvlJc w:val="left"/>
      <w:pPr>
        <w:tabs>
          <w:tab w:val="num" w:pos="5256"/>
        </w:tabs>
        <w:ind w:left="5256" w:hanging="1152"/>
      </w:pPr>
      <w:rPr>
        <w:rFonts w:cs="Times New Roman"/>
      </w:rPr>
    </w:lvl>
    <w:lvl w:ilvl="6">
      <w:start w:val="1"/>
      <w:numFmt w:val="none"/>
      <w:lvlText w:val=""/>
      <w:lvlJc w:val="left"/>
      <w:pPr>
        <w:tabs>
          <w:tab w:val="num" w:pos="5400"/>
        </w:tabs>
        <w:ind w:left="5400" w:hanging="1296"/>
      </w:pPr>
      <w:rPr>
        <w:rFonts w:cs="Times New Roman"/>
      </w:rPr>
    </w:lvl>
    <w:lvl w:ilvl="7">
      <w:start w:val="1"/>
      <w:numFmt w:val="none"/>
      <w:lvlText w:val=""/>
      <w:lvlJc w:val="left"/>
      <w:pPr>
        <w:tabs>
          <w:tab w:val="num" w:pos="5544"/>
        </w:tabs>
        <w:ind w:left="5544" w:hanging="1440"/>
      </w:pPr>
      <w:rPr>
        <w:rFonts w:cs="Times New Roman"/>
      </w:rPr>
    </w:lvl>
    <w:lvl w:ilvl="8">
      <w:start w:val="1"/>
      <w:numFmt w:val="none"/>
      <w:lvlText w:val=""/>
      <w:lvlJc w:val="left"/>
      <w:pPr>
        <w:tabs>
          <w:tab w:val="num" w:pos="5688"/>
        </w:tabs>
        <w:ind w:left="5688" w:hanging="1584"/>
      </w:pPr>
      <w:rPr>
        <w:rFonts w:cs="Times New Roman"/>
      </w:rPr>
    </w:lvl>
  </w:abstractNum>
  <w:abstractNum w:abstractNumId="14" w15:restartNumberingAfterBreak="0">
    <w:nsid w:val="27EF2D92"/>
    <w:multiLevelType w:val="hybridMultilevel"/>
    <w:tmpl w:val="10AE4726"/>
    <w:lvl w:ilvl="0" w:tplc="91E473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05FC8"/>
    <w:multiLevelType w:val="hybridMultilevel"/>
    <w:tmpl w:val="93C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F7B21"/>
    <w:multiLevelType w:val="hybridMultilevel"/>
    <w:tmpl w:val="F36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C125A"/>
    <w:multiLevelType w:val="hybridMultilevel"/>
    <w:tmpl w:val="641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hint="default"/>
      </w:rPr>
    </w:lvl>
    <w:lvl w:ilvl="2">
      <w:start w:val="1"/>
      <w:numFmt w:val="none"/>
      <w:suff w:val="nothing"/>
      <w:lvlText w:val=""/>
      <w:lvlJc w:val="left"/>
      <w:pPr>
        <w:ind w:left="567"/>
      </w:pPr>
      <w:rPr>
        <w:rFonts w:cs="Times New Roman" w:hint="default"/>
      </w:rPr>
    </w:lvl>
    <w:lvl w:ilvl="3">
      <w:start w:val="1"/>
      <w:numFmt w:val="none"/>
      <w:suff w:val="nothing"/>
      <w:lvlText w:val=""/>
      <w:lvlJc w:val="left"/>
      <w:pPr>
        <w:ind w:left="567"/>
      </w:pPr>
      <w:rPr>
        <w:rFonts w:cs="Times New Roman" w:hint="default"/>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suff w:val="nothing"/>
      <w:lvlText w:val=""/>
      <w:lvlJc w:val="left"/>
      <w:pPr>
        <w:ind w:left="567"/>
      </w:pPr>
      <w:rPr>
        <w:rFonts w:cs="Times New Roman" w:hint="default"/>
      </w:rPr>
    </w:lvl>
    <w:lvl w:ilvl="8">
      <w:start w:val="1"/>
      <w:numFmt w:val="none"/>
      <w:lvlRestart w:val="0"/>
      <w:suff w:val="nothing"/>
      <w:lvlText w:val=""/>
      <w:lvlJc w:val="left"/>
      <w:pPr>
        <w:ind w:left="567"/>
      </w:pPr>
      <w:rPr>
        <w:rFonts w:cs="Times New Roman" w:hint="default"/>
      </w:rPr>
    </w:lvl>
  </w:abstractNum>
  <w:abstractNum w:abstractNumId="19" w15:restartNumberingAfterBreak="0">
    <w:nsid w:val="569905A8"/>
    <w:multiLevelType w:val="multilevel"/>
    <w:tmpl w:val="0C4C110A"/>
    <w:lvl w:ilvl="0">
      <w:start w:val="1"/>
      <w:numFmt w:val="upperRoman"/>
      <w:lvlRestart w:val="0"/>
      <w:lvlText w:val="%1."/>
      <w:lvlJc w:val="center"/>
      <w:pPr>
        <w:tabs>
          <w:tab w:val="num" w:pos="1800"/>
        </w:tabs>
        <w:ind w:left="1152" w:firstLine="288"/>
      </w:pPr>
      <w:rPr>
        <w:rFonts w:cs="Times New Roman"/>
        <w:b/>
        <w:i w:val="0"/>
      </w:rPr>
    </w:lvl>
    <w:lvl w:ilvl="1">
      <w:start w:val="1"/>
      <w:numFmt w:val="decimal"/>
      <w:isLgl/>
      <w:lvlText w:val="%1.%2"/>
      <w:lvlJc w:val="left"/>
      <w:pPr>
        <w:tabs>
          <w:tab w:val="num" w:pos="2448"/>
        </w:tabs>
        <w:ind w:left="2448" w:hanging="1296"/>
      </w:pPr>
      <w:rPr>
        <w:rFonts w:cs="Times New Roman"/>
        <w:i w:val="0"/>
      </w:rPr>
    </w:lvl>
    <w:lvl w:ilvl="2">
      <w:start w:val="1"/>
      <w:numFmt w:val="lowerLetter"/>
      <w:lvlText w:val="%3."/>
      <w:lvlJc w:val="left"/>
      <w:pPr>
        <w:tabs>
          <w:tab w:val="num" w:pos="2304"/>
        </w:tabs>
        <w:ind w:left="2304" w:hanging="432"/>
      </w:pPr>
      <w:rPr>
        <w:rFonts w:cs="Times New Roman"/>
      </w:rPr>
    </w:lvl>
    <w:lvl w:ilvl="3">
      <w:start w:val="1"/>
      <w:numFmt w:val="lowerRoman"/>
      <w:lvlText w:val="%4."/>
      <w:lvlJc w:val="right"/>
      <w:pPr>
        <w:tabs>
          <w:tab w:val="num" w:pos="2736"/>
        </w:tabs>
        <w:ind w:left="2736" w:hanging="288"/>
      </w:pPr>
      <w:rPr>
        <w:rFonts w:cs="Times New Roman"/>
      </w:rPr>
    </w:lvl>
    <w:lvl w:ilvl="4">
      <w:start w:val="1"/>
      <w:numFmt w:val="none"/>
      <w:lvlText w:val=""/>
      <w:lvlJc w:val="left"/>
      <w:pPr>
        <w:tabs>
          <w:tab w:val="num" w:pos="4392"/>
        </w:tabs>
        <w:ind w:left="4032"/>
      </w:pPr>
      <w:rPr>
        <w:rFonts w:cs="Times New Roman"/>
      </w:rPr>
    </w:lvl>
    <w:lvl w:ilvl="5">
      <w:start w:val="1"/>
      <w:numFmt w:val="none"/>
      <w:lvlText w:val=""/>
      <w:lvlJc w:val="left"/>
      <w:pPr>
        <w:tabs>
          <w:tab w:val="num" w:pos="5112"/>
        </w:tabs>
        <w:ind w:left="4752"/>
      </w:pPr>
      <w:rPr>
        <w:rFonts w:cs="Times New Roman"/>
      </w:rPr>
    </w:lvl>
    <w:lvl w:ilvl="6">
      <w:start w:val="1"/>
      <w:numFmt w:val="none"/>
      <w:lvlText w:val=""/>
      <w:lvlJc w:val="left"/>
      <w:pPr>
        <w:tabs>
          <w:tab w:val="num" w:pos="5832"/>
        </w:tabs>
        <w:ind w:left="5472"/>
      </w:pPr>
      <w:rPr>
        <w:rFonts w:cs="Times New Roman"/>
      </w:rPr>
    </w:lvl>
    <w:lvl w:ilvl="7">
      <w:start w:val="1"/>
      <w:numFmt w:val="none"/>
      <w:lvlText w:val=""/>
      <w:lvlJc w:val="left"/>
      <w:pPr>
        <w:tabs>
          <w:tab w:val="num" w:pos="6552"/>
        </w:tabs>
        <w:ind w:left="6192"/>
      </w:pPr>
      <w:rPr>
        <w:rFonts w:cs="Times New Roman"/>
      </w:rPr>
    </w:lvl>
    <w:lvl w:ilvl="8">
      <w:start w:val="1"/>
      <w:numFmt w:val="none"/>
      <w:lvlText w:val=""/>
      <w:lvlJc w:val="left"/>
      <w:pPr>
        <w:tabs>
          <w:tab w:val="num" w:pos="7272"/>
        </w:tabs>
        <w:ind w:left="6912"/>
      </w:pPr>
      <w:rPr>
        <w:rFonts w:cs="Times New Roman"/>
      </w:rPr>
    </w:lvl>
  </w:abstractNum>
  <w:abstractNum w:abstractNumId="20" w15:restartNumberingAfterBreak="0">
    <w:nsid w:val="766E313F"/>
    <w:multiLevelType w:val="hybridMultilevel"/>
    <w:tmpl w:val="5D781C96"/>
    <w:lvl w:ilvl="0" w:tplc="05C83E8E">
      <w:numFmt w:val="bullet"/>
      <w:lvlText w:val="-"/>
      <w:lvlJc w:val="left"/>
      <w:pPr>
        <w:ind w:left="720" w:hanging="360"/>
      </w:pPr>
      <w:rPr>
        <w:rFonts w:ascii="Times New Roman" w:eastAsia="Calibri"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7"/>
  </w:num>
  <w:num w:numId="8">
    <w:abstractNumId w:val="10"/>
  </w:num>
  <w:num w:numId="9">
    <w:abstractNumId w:val="6"/>
  </w:num>
  <w:num w:numId="10">
    <w:abstractNumId w:val="13"/>
  </w:num>
  <w:num w:numId="11">
    <w:abstractNumId w:val="7"/>
    <w:lvlOverride w:ilvl="0">
      <w:startOverride w:val="544"/>
    </w:lvlOverride>
    <w:lvlOverride w:ilvl="1">
      <w:startOverride w:val="89"/>
    </w:lvlOverride>
  </w:num>
  <w:num w:numId="12">
    <w:abstractNumId w:val="18"/>
  </w:num>
  <w:num w:numId="13">
    <w:abstractNumId w:val="5"/>
  </w:num>
  <w:num w:numId="14">
    <w:abstractNumId w:val="15"/>
  </w:num>
  <w:num w:numId="15">
    <w:abstractNumId w:val="16"/>
  </w:num>
  <w:num w:numId="16">
    <w:abstractNumId w:val="9"/>
  </w:num>
  <w:num w:numId="17">
    <w:abstractNumId w:val="11"/>
  </w:num>
  <w:num w:numId="18">
    <w:abstractNumId w:val="17"/>
  </w:num>
  <w:num w:numId="19">
    <w:abstractNumId w:val="12"/>
  </w:num>
  <w:num w:numId="20">
    <w:abstractNumId w:val="7"/>
  </w:num>
  <w:num w:numId="21">
    <w:abstractNumId w:val="5"/>
  </w:num>
  <w:num w:numId="22">
    <w:abstractNumId w:val="5"/>
  </w:num>
  <w:num w:numId="23">
    <w:abstractNumId w:val="1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F1"/>
    <w:rsid w:val="00000AFB"/>
    <w:rsid w:val="00004F4E"/>
    <w:rsid w:val="000105E2"/>
    <w:rsid w:val="00010A1E"/>
    <w:rsid w:val="0001248A"/>
    <w:rsid w:val="000128D9"/>
    <w:rsid w:val="00015D4F"/>
    <w:rsid w:val="000166EC"/>
    <w:rsid w:val="000202BE"/>
    <w:rsid w:val="0002102E"/>
    <w:rsid w:val="00021D54"/>
    <w:rsid w:val="000243BA"/>
    <w:rsid w:val="00033F9D"/>
    <w:rsid w:val="0005004D"/>
    <w:rsid w:val="00050AD0"/>
    <w:rsid w:val="00052470"/>
    <w:rsid w:val="00055C64"/>
    <w:rsid w:val="00060E7F"/>
    <w:rsid w:val="00064F88"/>
    <w:rsid w:val="0006685E"/>
    <w:rsid w:val="00066B5B"/>
    <w:rsid w:val="00070933"/>
    <w:rsid w:val="00071606"/>
    <w:rsid w:val="00071A12"/>
    <w:rsid w:val="000726F7"/>
    <w:rsid w:val="0007598B"/>
    <w:rsid w:val="0008127B"/>
    <w:rsid w:val="0008572D"/>
    <w:rsid w:val="000941DD"/>
    <w:rsid w:val="000A013E"/>
    <w:rsid w:val="000B03EF"/>
    <w:rsid w:val="000B1F3B"/>
    <w:rsid w:val="000B26F9"/>
    <w:rsid w:val="000B3484"/>
    <w:rsid w:val="000C0CC0"/>
    <w:rsid w:val="000C41E3"/>
    <w:rsid w:val="000C6EE2"/>
    <w:rsid w:val="000C7E8C"/>
    <w:rsid w:val="000D2867"/>
    <w:rsid w:val="000E044A"/>
    <w:rsid w:val="000E0C3F"/>
    <w:rsid w:val="000E1BA6"/>
    <w:rsid w:val="000E52E1"/>
    <w:rsid w:val="000E5F5C"/>
    <w:rsid w:val="000E6B81"/>
    <w:rsid w:val="000E7351"/>
    <w:rsid w:val="000F1306"/>
    <w:rsid w:val="000F168F"/>
    <w:rsid w:val="000F222E"/>
    <w:rsid w:val="000F7A08"/>
    <w:rsid w:val="001010E0"/>
    <w:rsid w:val="00101141"/>
    <w:rsid w:val="00101FCA"/>
    <w:rsid w:val="00107E9F"/>
    <w:rsid w:val="00114058"/>
    <w:rsid w:val="00120449"/>
    <w:rsid w:val="00122913"/>
    <w:rsid w:val="00133A7D"/>
    <w:rsid w:val="001377F3"/>
    <w:rsid w:val="00140ECE"/>
    <w:rsid w:val="00145D86"/>
    <w:rsid w:val="00152BBC"/>
    <w:rsid w:val="00154702"/>
    <w:rsid w:val="00154CC9"/>
    <w:rsid w:val="00161398"/>
    <w:rsid w:val="001634DC"/>
    <w:rsid w:val="001651D9"/>
    <w:rsid w:val="001666EA"/>
    <w:rsid w:val="001769C9"/>
    <w:rsid w:val="00176DA4"/>
    <w:rsid w:val="00186926"/>
    <w:rsid w:val="00191CD4"/>
    <w:rsid w:val="00197176"/>
    <w:rsid w:val="001A70B0"/>
    <w:rsid w:val="001B27D9"/>
    <w:rsid w:val="001B28BD"/>
    <w:rsid w:val="001B4A50"/>
    <w:rsid w:val="001B5423"/>
    <w:rsid w:val="001B6B38"/>
    <w:rsid w:val="001B7AD3"/>
    <w:rsid w:val="001D09DB"/>
    <w:rsid w:val="001E0192"/>
    <w:rsid w:val="001E05C9"/>
    <w:rsid w:val="001E26C3"/>
    <w:rsid w:val="001F1259"/>
    <w:rsid w:val="001F14E7"/>
    <w:rsid w:val="001F2138"/>
    <w:rsid w:val="002004C3"/>
    <w:rsid w:val="00200C9F"/>
    <w:rsid w:val="002040A4"/>
    <w:rsid w:val="00206462"/>
    <w:rsid w:val="00210034"/>
    <w:rsid w:val="002134FB"/>
    <w:rsid w:val="00220396"/>
    <w:rsid w:val="0022142A"/>
    <w:rsid w:val="00224D73"/>
    <w:rsid w:val="00244AEF"/>
    <w:rsid w:val="002600EB"/>
    <w:rsid w:val="00262F31"/>
    <w:rsid w:val="00266AAC"/>
    <w:rsid w:val="00270A79"/>
    <w:rsid w:val="00270BED"/>
    <w:rsid w:val="00277088"/>
    <w:rsid w:val="00294D87"/>
    <w:rsid w:val="00294E1E"/>
    <w:rsid w:val="002A059E"/>
    <w:rsid w:val="002B229F"/>
    <w:rsid w:val="002B29C2"/>
    <w:rsid w:val="002B47B9"/>
    <w:rsid w:val="002B5737"/>
    <w:rsid w:val="002B6E68"/>
    <w:rsid w:val="002C2B82"/>
    <w:rsid w:val="002C62D7"/>
    <w:rsid w:val="002C6A4B"/>
    <w:rsid w:val="002D24E8"/>
    <w:rsid w:val="002D2B54"/>
    <w:rsid w:val="002D2D35"/>
    <w:rsid w:val="002D4037"/>
    <w:rsid w:val="002D5CE0"/>
    <w:rsid w:val="002D7AB7"/>
    <w:rsid w:val="002E236F"/>
    <w:rsid w:val="002E306A"/>
    <w:rsid w:val="002E3C4E"/>
    <w:rsid w:val="002E53CF"/>
    <w:rsid w:val="002E6D11"/>
    <w:rsid w:val="002F2641"/>
    <w:rsid w:val="002F28E5"/>
    <w:rsid w:val="00304094"/>
    <w:rsid w:val="00304F3B"/>
    <w:rsid w:val="003131A7"/>
    <w:rsid w:val="003144CA"/>
    <w:rsid w:val="003207F3"/>
    <w:rsid w:val="00323893"/>
    <w:rsid w:val="0032417D"/>
    <w:rsid w:val="00326D12"/>
    <w:rsid w:val="00327F29"/>
    <w:rsid w:val="0033068E"/>
    <w:rsid w:val="00332836"/>
    <w:rsid w:val="00340E08"/>
    <w:rsid w:val="00355C8F"/>
    <w:rsid w:val="00357537"/>
    <w:rsid w:val="00367261"/>
    <w:rsid w:val="00376192"/>
    <w:rsid w:val="00377F8B"/>
    <w:rsid w:val="00386040"/>
    <w:rsid w:val="0039287D"/>
    <w:rsid w:val="003942FB"/>
    <w:rsid w:val="003A14B3"/>
    <w:rsid w:val="003A537A"/>
    <w:rsid w:val="003A5965"/>
    <w:rsid w:val="003A77D2"/>
    <w:rsid w:val="003B02C4"/>
    <w:rsid w:val="003B4DB4"/>
    <w:rsid w:val="003B5AB2"/>
    <w:rsid w:val="003B6274"/>
    <w:rsid w:val="003C0A72"/>
    <w:rsid w:val="003C5B6B"/>
    <w:rsid w:val="003C72AA"/>
    <w:rsid w:val="003D1AE1"/>
    <w:rsid w:val="003D5B41"/>
    <w:rsid w:val="003D6315"/>
    <w:rsid w:val="003E0618"/>
    <w:rsid w:val="003E0681"/>
    <w:rsid w:val="003E0737"/>
    <w:rsid w:val="003E0B21"/>
    <w:rsid w:val="003E2EF1"/>
    <w:rsid w:val="003E4097"/>
    <w:rsid w:val="003F0EAA"/>
    <w:rsid w:val="003F1663"/>
    <w:rsid w:val="003F4487"/>
    <w:rsid w:val="003F48CF"/>
    <w:rsid w:val="003F78EE"/>
    <w:rsid w:val="00401809"/>
    <w:rsid w:val="0040181F"/>
    <w:rsid w:val="004019E2"/>
    <w:rsid w:val="004138F9"/>
    <w:rsid w:val="00420DA6"/>
    <w:rsid w:val="004216BE"/>
    <w:rsid w:val="00421EA6"/>
    <w:rsid w:val="00424D8F"/>
    <w:rsid w:val="0043471B"/>
    <w:rsid w:val="004359CD"/>
    <w:rsid w:val="004377EF"/>
    <w:rsid w:val="00444A98"/>
    <w:rsid w:val="004471EF"/>
    <w:rsid w:val="004479AD"/>
    <w:rsid w:val="00452FDA"/>
    <w:rsid w:val="00456597"/>
    <w:rsid w:val="00456D0A"/>
    <w:rsid w:val="00464CAC"/>
    <w:rsid w:val="0046650A"/>
    <w:rsid w:val="0047039C"/>
    <w:rsid w:val="00471CFE"/>
    <w:rsid w:val="00473544"/>
    <w:rsid w:val="004739E3"/>
    <w:rsid w:val="0048033F"/>
    <w:rsid w:val="00481EF5"/>
    <w:rsid w:val="00481FC1"/>
    <w:rsid w:val="00484721"/>
    <w:rsid w:val="00485445"/>
    <w:rsid w:val="00487EB3"/>
    <w:rsid w:val="004A2AB8"/>
    <w:rsid w:val="004A6094"/>
    <w:rsid w:val="004B1E67"/>
    <w:rsid w:val="004B3077"/>
    <w:rsid w:val="004B3A75"/>
    <w:rsid w:val="004B55A8"/>
    <w:rsid w:val="004C1E1E"/>
    <w:rsid w:val="004C2D78"/>
    <w:rsid w:val="004D0895"/>
    <w:rsid w:val="004D1663"/>
    <w:rsid w:val="004D24FE"/>
    <w:rsid w:val="004D7636"/>
    <w:rsid w:val="004D78F0"/>
    <w:rsid w:val="004E2BFE"/>
    <w:rsid w:val="004E6FE2"/>
    <w:rsid w:val="004E74A3"/>
    <w:rsid w:val="005032B6"/>
    <w:rsid w:val="005057ED"/>
    <w:rsid w:val="00505EBC"/>
    <w:rsid w:val="005135D7"/>
    <w:rsid w:val="005148B6"/>
    <w:rsid w:val="00515D45"/>
    <w:rsid w:val="00522701"/>
    <w:rsid w:val="00533433"/>
    <w:rsid w:val="005335F3"/>
    <w:rsid w:val="00534BE3"/>
    <w:rsid w:val="00537F87"/>
    <w:rsid w:val="0054063E"/>
    <w:rsid w:val="00540EFA"/>
    <w:rsid w:val="005418DF"/>
    <w:rsid w:val="00542B73"/>
    <w:rsid w:val="00546E52"/>
    <w:rsid w:val="005474A9"/>
    <w:rsid w:val="0055292C"/>
    <w:rsid w:val="005530F0"/>
    <w:rsid w:val="00553263"/>
    <w:rsid w:val="00560F84"/>
    <w:rsid w:val="005633F6"/>
    <w:rsid w:val="0056359E"/>
    <w:rsid w:val="00563D9C"/>
    <w:rsid w:val="00564FAE"/>
    <w:rsid w:val="00566CDA"/>
    <w:rsid w:val="00567085"/>
    <w:rsid w:val="005676D8"/>
    <w:rsid w:val="00570A9C"/>
    <w:rsid w:val="00572135"/>
    <w:rsid w:val="00575317"/>
    <w:rsid w:val="00575D50"/>
    <w:rsid w:val="0057785A"/>
    <w:rsid w:val="0057792F"/>
    <w:rsid w:val="005821B3"/>
    <w:rsid w:val="00583435"/>
    <w:rsid w:val="00590F44"/>
    <w:rsid w:val="005A019F"/>
    <w:rsid w:val="005A24A4"/>
    <w:rsid w:val="005B49D2"/>
    <w:rsid w:val="005B7F4E"/>
    <w:rsid w:val="005C097D"/>
    <w:rsid w:val="005C1957"/>
    <w:rsid w:val="005C2DF9"/>
    <w:rsid w:val="005C345D"/>
    <w:rsid w:val="005D2F29"/>
    <w:rsid w:val="005E2932"/>
    <w:rsid w:val="005E5885"/>
    <w:rsid w:val="005E5AED"/>
    <w:rsid w:val="005E6397"/>
    <w:rsid w:val="005F04E3"/>
    <w:rsid w:val="005F1496"/>
    <w:rsid w:val="005F3307"/>
    <w:rsid w:val="00605D11"/>
    <w:rsid w:val="006134FA"/>
    <w:rsid w:val="00614E30"/>
    <w:rsid w:val="00615653"/>
    <w:rsid w:val="006256DC"/>
    <w:rsid w:val="00640137"/>
    <w:rsid w:val="006403EE"/>
    <w:rsid w:val="0064332A"/>
    <w:rsid w:val="00643686"/>
    <w:rsid w:val="00644314"/>
    <w:rsid w:val="0064432E"/>
    <w:rsid w:val="00646727"/>
    <w:rsid w:val="00650F9B"/>
    <w:rsid w:val="0065346B"/>
    <w:rsid w:val="00653E14"/>
    <w:rsid w:val="00655786"/>
    <w:rsid w:val="0066108F"/>
    <w:rsid w:val="006717E0"/>
    <w:rsid w:val="0067714B"/>
    <w:rsid w:val="0068015B"/>
    <w:rsid w:val="00682DA3"/>
    <w:rsid w:val="00690194"/>
    <w:rsid w:val="00690D98"/>
    <w:rsid w:val="006910D1"/>
    <w:rsid w:val="00691441"/>
    <w:rsid w:val="0069471F"/>
    <w:rsid w:val="006A0E91"/>
    <w:rsid w:val="006A14A6"/>
    <w:rsid w:val="006A622F"/>
    <w:rsid w:val="006A6422"/>
    <w:rsid w:val="006B0351"/>
    <w:rsid w:val="006B1368"/>
    <w:rsid w:val="006B297D"/>
    <w:rsid w:val="006B34FE"/>
    <w:rsid w:val="006B5B7B"/>
    <w:rsid w:val="006C23EB"/>
    <w:rsid w:val="006C2B99"/>
    <w:rsid w:val="006C4863"/>
    <w:rsid w:val="006C4BCA"/>
    <w:rsid w:val="006C69F4"/>
    <w:rsid w:val="006C7162"/>
    <w:rsid w:val="006C7578"/>
    <w:rsid w:val="006D22E2"/>
    <w:rsid w:val="006D4A79"/>
    <w:rsid w:val="006E1CE9"/>
    <w:rsid w:val="006E3B5A"/>
    <w:rsid w:val="006E42A2"/>
    <w:rsid w:val="006E5F14"/>
    <w:rsid w:val="006F0862"/>
    <w:rsid w:val="006F26B6"/>
    <w:rsid w:val="006F525E"/>
    <w:rsid w:val="006F5B0C"/>
    <w:rsid w:val="00703D79"/>
    <w:rsid w:val="00704F12"/>
    <w:rsid w:val="00707600"/>
    <w:rsid w:val="0071016A"/>
    <w:rsid w:val="00711151"/>
    <w:rsid w:val="00713829"/>
    <w:rsid w:val="007146AD"/>
    <w:rsid w:val="00715DD7"/>
    <w:rsid w:val="00720A31"/>
    <w:rsid w:val="007304D3"/>
    <w:rsid w:val="007324B2"/>
    <w:rsid w:val="00735EDF"/>
    <w:rsid w:val="00741A4E"/>
    <w:rsid w:val="00750783"/>
    <w:rsid w:val="0075121F"/>
    <w:rsid w:val="00761879"/>
    <w:rsid w:val="00763E4F"/>
    <w:rsid w:val="00766F51"/>
    <w:rsid w:val="00776571"/>
    <w:rsid w:val="00780312"/>
    <w:rsid w:val="007866E3"/>
    <w:rsid w:val="00790DD9"/>
    <w:rsid w:val="007970C9"/>
    <w:rsid w:val="007A0399"/>
    <w:rsid w:val="007A25B9"/>
    <w:rsid w:val="007A2C29"/>
    <w:rsid w:val="007A2DCC"/>
    <w:rsid w:val="007A4F44"/>
    <w:rsid w:val="007A5503"/>
    <w:rsid w:val="007B3B50"/>
    <w:rsid w:val="007B3C72"/>
    <w:rsid w:val="007B5963"/>
    <w:rsid w:val="007B6A67"/>
    <w:rsid w:val="007B75F4"/>
    <w:rsid w:val="007C01B6"/>
    <w:rsid w:val="007C31ED"/>
    <w:rsid w:val="007C3444"/>
    <w:rsid w:val="007C72C6"/>
    <w:rsid w:val="007D0E58"/>
    <w:rsid w:val="007D653B"/>
    <w:rsid w:val="007D7650"/>
    <w:rsid w:val="007E2508"/>
    <w:rsid w:val="007E3287"/>
    <w:rsid w:val="007E3DF6"/>
    <w:rsid w:val="007F1CC4"/>
    <w:rsid w:val="007F57A7"/>
    <w:rsid w:val="0080000E"/>
    <w:rsid w:val="0080082A"/>
    <w:rsid w:val="00812BF8"/>
    <w:rsid w:val="00813650"/>
    <w:rsid w:val="00817345"/>
    <w:rsid w:val="008246B2"/>
    <w:rsid w:val="008254B1"/>
    <w:rsid w:val="00830696"/>
    <w:rsid w:val="00830D4A"/>
    <w:rsid w:val="00840F6A"/>
    <w:rsid w:val="00842E99"/>
    <w:rsid w:val="00847A10"/>
    <w:rsid w:val="008504B7"/>
    <w:rsid w:val="00854DE3"/>
    <w:rsid w:val="008575E5"/>
    <w:rsid w:val="00862B67"/>
    <w:rsid w:val="008635F0"/>
    <w:rsid w:val="00866226"/>
    <w:rsid w:val="00870CAF"/>
    <w:rsid w:val="00870DB0"/>
    <w:rsid w:val="008723DD"/>
    <w:rsid w:val="008748EA"/>
    <w:rsid w:val="008751CA"/>
    <w:rsid w:val="00877A23"/>
    <w:rsid w:val="008807EE"/>
    <w:rsid w:val="008832CD"/>
    <w:rsid w:val="00887128"/>
    <w:rsid w:val="0088784D"/>
    <w:rsid w:val="00894CCD"/>
    <w:rsid w:val="008957EA"/>
    <w:rsid w:val="0089733E"/>
    <w:rsid w:val="008A0546"/>
    <w:rsid w:val="008A2682"/>
    <w:rsid w:val="008A335A"/>
    <w:rsid w:val="008A7D44"/>
    <w:rsid w:val="008B0C6D"/>
    <w:rsid w:val="008B385E"/>
    <w:rsid w:val="008B51ED"/>
    <w:rsid w:val="008C0E36"/>
    <w:rsid w:val="008C60C7"/>
    <w:rsid w:val="008C64B1"/>
    <w:rsid w:val="008D1431"/>
    <w:rsid w:val="008D366E"/>
    <w:rsid w:val="008E3A32"/>
    <w:rsid w:val="008F29BC"/>
    <w:rsid w:val="008F3683"/>
    <w:rsid w:val="008F4387"/>
    <w:rsid w:val="009003F0"/>
    <w:rsid w:val="00903A1C"/>
    <w:rsid w:val="0090473D"/>
    <w:rsid w:val="009076BD"/>
    <w:rsid w:val="0091202E"/>
    <w:rsid w:val="009120FE"/>
    <w:rsid w:val="00912AE0"/>
    <w:rsid w:val="009134B0"/>
    <w:rsid w:val="00923B34"/>
    <w:rsid w:val="009273FD"/>
    <w:rsid w:val="00933D0A"/>
    <w:rsid w:val="00945BAB"/>
    <w:rsid w:val="00957211"/>
    <w:rsid w:val="00960729"/>
    <w:rsid w:val="00964A9A"/>
    <w:rsid w:val="0097267B"/>
    <w:rsid w:val="00976B2A"/>
    <w:rsid w:val="009834A9"/>
    <w:rsid w:val="0098758F"/>
    <w:rsid w:val="009876DD"/>
    <w:rsid w:val="00991651"/>
    <w:rsid w:val="0099244E"/>
    <w:rsid w:val="0099274D"/>
    <w:rsid w:val="009934CD"/>
    <w:rsid w:val="0099463F"/>
    <w:rsid w:val="00995B54"/>
    <w:rsid w:val="009A016C"/>
    <w:rsid w:val="009A2C0D"/>
    <w:rsid w:val="009A463C"/>
    <w:rsid w:val="009A5C2E"/>
    <w:rsid w:val="009B38CC"/>
    <w:rsid w:val="009B6098"/>
    <w:rsid w:val="009B76C5"/>
    <w:rsid w:val="009B7809"/>
    <w:rsid w:val="009C026E"/>
    <w:rsid w:val="009C5C03"/>
    <w:rsid w:val="009C5D53"/>
    <w:rsid w:val="009C783B"/>
    <w:rsid w:val="009C7F27"/>
    <w:rsid w:val="009D0850"/>
    <w:rsid w:val="009D0CDE"/>
    <w:rsid w:val="009D1F89"/>
    <w:rsid w:val="009D380B"/>
    <w:rsid w:val="009D7E7D"/>
    <w:rsid w:val="009E274E"/>
    <w:rsid w:val="009E6A82"/>
    <w:rsid w:val="009E6E3E"/>
    <w:rsid w:val="009F6546"/>
    <w:rsid w:val="009F7BD4"/>
    <w:rsid w:val="009F7DA6"/>
    <w:rsid w:val="00A05AB1"/>
    <w:rsid w:val="00A06295"/>
    <w:rsid w:val="00A149BE"/>
    <w:rsid w:val="00A254A8"/>
    <w:rsid w:val="00A27D62"/>
    <w:rsid w:val="00A33B65"/>
    <w:rsid w:val="00A3529B"/>
    <w:rsid w:val="00A36AE5"/>
    <w:rsid w:val="00A408E2"/>
    <w:rsid w:val="00A42F33"/>
    <w:rsid w:val="00A44FC9"/>
    <w:rsid w:val="00A45B0A"/>
    <w:rsid w:val="00A479F1"/>
    <w:rsid w:val="00A522EF"/>
    <w:rsid w:val="00A541BB"/>
    <w:rsid w:val="00A56026"/>
    <w:rsid w:val="00A56DE5"/>
    <w:rsid w:val="00A67558"/>
    <w:rsid w:val="00A87653"/>
    <w:rsid w:val="00A90601"/>
    <w:rsid w:val="00AA0957"/>
    <w:rsid w:val="00AA0DF8"/>
    <w:rsid w:val="00AA1821"/>
    <w:rsid w:val="00AA1964"/>
    <w:rsid w:val="00AA6446"/>
    <w:rsid w:val="00AA6E81"/>
    <w:rsid w:val="00AB1B2E"/>
    <w:rsid w:val="00AB4A91"/>
    <w:rsid w:val="00AB5306"/>
    <w:rsid w:val="00AB5324"/>
    <w:rsid w:val="00AB7080"/>
    <w:rsid w:val="00AB79FF"/>
    <w:rsid w:val="00AD0F07"/>
    <w:rsid w:val="00AD3190"/>
    <w:rsid w:val="00AE022F"/>
    <w:rsid w:val="00AE60BE"/>
    <w:rsid w:val="00AF35B0"/>
    <w:rsid w:val="00AF45AF"/>
    <w:rsid w:val="00B01479"/>
    <w:rsid w:val="00B137B3"/>
    <w:rsid w:val="00B175AB"/>
    <w:rsid w:val="00B21A05"/>
    <w:rsid w:val="00B24B2E"/>
    <w:rsid w:val="00B26682"/>
    <w:rsid w:val="00B30E53"/>
    <w:rsid w:val="00B32B56"/>
    <w:rsid w:val="00B34929"/>
    <w:rsid w:val="00B4070F"/>
    <w:rsid w:val="00B45D92"/>
    <w:rsid w:val="00B47D24"/>
    <w:rsid w:val="00B53A4A"/>
    <w:rsid w:val="00B706F2"/>
    <w:rsid w:val="00B72604"/>
    <w:rsid w:val="00B737BE"/>
    <w:rsid w:val="00B7542F"/>
    <w:rsid w:val="00B76036"/>
    <w:rsid w:val="00B762C9"/>
    <w:rsid w:val="00B83DCE"/>
    <w:rsid w:val="00B84257"/>
    <w:rsid w:val="00B94AE3"/>
    <w:rsid w:val="00B94C4B"/>
    <w:rsid w:val="00B94CEF"/>
    <w:rsid w:val="00B9551A"/>
    <w:rsid w:val="00B97684"/>
    <w:rsid w:val="00BA0B6D"/>
    <w:rsid w:val="00BA2C4B"/>
    <w:rsid w:val="00BA7349"/>
    <w:rsid w:val="00BB2367"/>
    <w:rsid w:val="00BB29E6"/>
    <w:rsid w:val="00BB3564"/>
    <w:rsid w:val="00BB40FC"/>
    <w:rsid w:val="00BB7492"/>
    <w:rsid w:val="00BC245E"/>
    <w:rsid w:val="00BC5733"/>
    <w:rsid w:val="00BC5FEF"/>
    <w:rsid w:val="00BD335E"/>
    <w:rsid w:val="00BD4A40"/>
    <w:rsid w:val="00BD68A5"/>
    <w:rsid w:val="00BE1B62"/>
    <w:rsid w:val="00BE6737"/>
    <w:rsid w:val="00BF304F"/>
    <w:rsid w:val="00BF646D"/>
    <w:rsid w:val="00C032BA"/>
    <w:rsid w:val="00C04A54"/>
    <w:rsid w:val="00C10E48"/>
    <w:rsid w:val="00C11B5B"/>
    <w:rsid w:val="00C1232E"/>
    <w:rsid w:val="00C16908"/>
    <w:rsid w:val="00C303C1"/>
    <w:rsid w:val="00C342EE"/>
    <w:rsid w:val="00C40FFE"/>
    <w:rsid w:val="00C42E85"/>
    <w:rsid w:val="00C507CE"/>
    <w:rsid w:val="00C5421A"/>
    <w:rsid w:val="00C54D22"/>
    <w:rsid w:val="00C571F5"/>
    <w:rsid w:val="00C66FC4"/>
    <w:rsid w:val="00C707A6"/>
    <w:rsid w:val="00C73C12"/>
    <w:rsid w:val="00C73E2B"/>
    <w:rsid w:val="00C747D3"/>
    <w:rsid w:val="00C81C60"/>
    <w:rsid w:val="00C9261D"/>
    <w:rsid w:val="00C946D4"/>
    <w:rsid w:val="00CA60A9"/>
    <w:rsid w:val="00CB1A2F"/>
    <w:rsid w:val="00CB77BC"/>
    <w:rsid w:val="00CC73CE"/>
    <w:rsid w:val="00CD43A8"/>
    <w:rsid w:val="00CD5025"/>
    <w:rsid w:val="00CE0207"/>
    <w:rsid w:val="00CE33C6"/>
    <w:rsid w:val="00CE4C6C"/>
    <w:rsid w:val="00CE5546"/>
    <w:rsid w:val="00CE59D0"/>
    <w:rsid w:val="00CF3F96"/>
    <w:rsid w:val="00CF50A9"/>
    <w:rsid w:val="00D05BDE"/>
    <w:rsid w:val="00D06BAF"/>
    <w:rsid w:val="00D06EBC"/>
    <w:rsid w:val="00D07B5C"/>
    <w:rsid w:val="00D12643"/>
    <w:rsid w:val="00D17BC5"/>
    <w:rsid w:val="00D20C41"/>
    <w:rsid w:val="00D26D7D"/>
    <w:rsid w:val="00D33613"/>
    <w:rsid w:val="00D36A99"/>
    <w:rsid w:val="00D46E5B"/>
    <w:rsid w:val="00D4736E"/>
    <w:rsid w:val="00D513AF"/>
    <w:rsid w:val="00D517AB"/>
    <w:rsid w:val="00D51876"/>
    <w:rsid w:val="00D5534D"/>
    <w:rsid w:val="00D57001"/>
    <w:rsid w:val="00D630FF"/>
    <w:rsid w:val="00D669F5"/>
    <w:rsid w:val="00D66FE8"/>
    <w:rsid w:val="00D70676"/>
    <w:rsid w:val="00D740A0"/>
    <w:rsid w:val="00D756A5"/>
    <w:rsid w:val="00D77B05"/>
    <w:rsid w:val="00D802A5"/>
    <w:rsid w:val="00D8138A"/>
    <w:rsid w:val="00D9070D"/>
    <w:rsid w:val="00D974A1"/>
    <w:rsid w:val="00DA08C1"/>
    <w:rsid w:val="00DA100A"/>
    <w:rsid w:val="00DA234C"/>
    <w:rsid w:val="00DA2965"/>
    <w:rsid w:val="00DA77D5"/>
    <w:rsid w:val="00DA7C37"/>
    <w:rsid w:val="00DA7E1A"/>
    <w:rsid w:val="00DB17B7"/>
    <w:rsid w:val="00DB4545"/>
    <w:rsid w:val="00DB5CA2"/>
    <w:rsid w:val="00DC2FAD"/>
    <w:rsid w:val="00DC472F"/>
    <w:rsid w:val="00DC50E9"/>
    <w:rsid w:val="00DC62A6"/>
    <w:rsid w:val="00DC7467"/>
    <w:rsid w:val="00DD02AF"/>
    <w:rsid w:val="00DF4F09"/>
    <w:rsid w:val="00DF688D"/>
    <w:rsid w:val="00DF7ED9"/>
    <w:rsid w:val="00E078BC"/>
    <w:rsid w:val="00E130F6"/>
    <w:rsid w:val="00E17D0A"/>
    <w:rsid w:val="00E23959"/>
    <w:rsid w:val="00E27D8E"/>
    <w:rsid w:val="00E3453A"/>
    <w:rsid w:val="00E34634"/>
    <w:rsid w:val="00E36E78"/>
    <w:rsid w:val="00E52BCD"/>
    <w:rsid w:val="00E53E1B"/>
    <w:rsid w:val="00E6100E"/>
    <w:rsid w:val="00E6177B"/>
    <w:rsid w:val="00E75DED"/>
    <w:rsid w:val="00E844A3"/>
    <w:rsid w:val="00E84804"/>
    <w:rsid w:val="00E85229"/>
    <w:rsid w:val="00E877B8"/>
    <w:rsid w:val="00EA0C2E"/>
    <w:rsid w:val="00EA327B"/>
    <w:rsid w:val="00EA6C06"/>
    <w:rsid w:val="00EB3B5C"/>
    <w:rsid w:val="00EB4D24"/>
    <w:rsid w:val="00EB73C6"/>
    <w:rsid w:val="00EC725D"/>
    <w:rsid w:val="00ED0DF1"/>
    <w:rsid w:val="00ED5A3A"/>
    <w:rsid w:val="00ED66A3"/>
    <w:rsid w:val="00EE1820"/>
    <w:rsid w:val="00EE383C"/>
    <w:rsid w:val="00EE5305"/>
    <w:rsid w:val="00EF0E11"/>
    <w:rsid w:val="00EF4CB1"/>
    <w:rsid w:val="00EF62F4"/>
    <w:rsid w:val="00F013C9"/>
    <w:rsid w:val="00F013D5"/>
    <w:rsid w:val="00F063BE"/>
    <w:rsid w:val="00F06490"/>
    <w:rsid w:val="00F1124F"/>
    <w:rsid w:val="00F17736"/>
    <w:rsid w:val="00F21DB7"/>
    <w:rsid w:val="00F22BAB"/>
    <w:rsid w:val="00F246AF"/>
    <w:rsid w:val="00F25E9A"/>
    <w:rsid w:val="00F30E85"/>
    <w:rsid w:val="00F3137A"/>
    <w:rsid w:val="00F37277"/>
    <w:rsid w:val="00F427E4"/>
    <w:rsid w:val="00F46760"/>
    <w:rsid w:val="00F47BAC"/>
    <w:rsid w:val="00F51146"/>
    <w:rsid w:val="00F522BC"/>
    <w:rsid w:val="00F529C0"/>
    <w:rsid w:val="00F530AA"/>
    <w:rsid w:val="00F56364"/>
    <w:rsid w:val="00F609A6"/>
    <w:rsid w:val="00F62D5C"/>
    <w:rsid w:val="00F639BD"/>
    <w:rsid w:val="00F6532A"/>
    <w:rsid w:val="00F71086"/>
    <w:rsid w:val="00F752F9"/>
    <w:rsid w:val="00F75BC7"/>
    <w:rsid w:val="00F812AA"/>
    <w:rsid w:val="00F85D3D"/>
    <w:rsid w:val="00F8666A"/>
    <w:rsid w:val="00F918CE"/>
    <w:rsid w:val="00F9446E"/>
    <w:rsid w:val="00F95C7E"/>
    <w:rsid w:val="00F97646"/>
    <w:rsid w:val="00FA6DD3"/>
    <w:rsid w:val="00FA7917"/>
    <w:rsid w:val="00FC0D74"/>
    <w:rsid w:val="00FC19C9"/>
    <w:rsid w:val="00FE2B92"/>
    <w:rsid w:val="00FE452E"/>
    <w:rsid w:val="00FF16A0"/>
    <w:rsid w:val="00FF1A93"/>
    <w:rsid w:val="00FF3195"/>
    <w:rsid w:val="64E56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72872"/>
  <w15:chartTrackingRefBased/>
  <w15:docId w15:val="{136BDE74-37E3-42C0-A5E0-69DCDE6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locked="1"/>
    <w:lsdException w:name="List Bullet 2" w:locked="1"/>
    <w:lsdException w:name="List Bullet 3" w:locked="1"/>
    <w:lsdException w:name="List Bullet 4"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DF1"/>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DB0"/>
    <w:rPr>
      <w:rFonts w:cs="Times New Roman"/>
      <w:color w:val="0000FF"/>
      <w:u w:val="single"/>
    </w:rPr>
  </w:style>
  <w:style w:type="character" w:styleId="FollowedHyperlink">
    <w:name w:val="FollowedHyperlink"/>
    <w:semiHidden/>
    <w:rsid w:val="00870DB0"/>
    <w:rPr>
      <w:rFonts w:cs="Times New Roman"/>
      <w:color w:val="800080"/>
      <w:u w:val="single"/>
    </w:rPr>
  </w:style>
  <w:style w:type="paragraph" w:styleId="ListParagraph">
    <w:name w:val="List Paragraph"/>
    <w:basedOn w:val="Normal"/>
    <w:qFormat/>
    <w:rsid w:val="00F06490"/>
    <w:pPr>
      <w:ind w:left="720"/>
      <w:contextualSpacing/>
    </w:pPr>
  </w:style>
  <w:style w:type="paragraph" w:customStyle="1" w:styleId="Default">
    <w:name w:val="Default"/>
    <w:rsid w:val="0033068E"/>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semiHidden/>
    <w:rsid w:val="00D9070D"/>
    <w:rPr>
      <w:rFonts w:cs="Times New Roman"/>
      <w:sz w:val="16"/>
      <w:szCs w:val="16"/>
    </w:rPr>
  </w:style>
  <w:style w:type="paragraph" w:styleId="CommentText">
    <w:name w:val="annotation text"/>
    <w:basedOn w:val="Normal"/>
    <w:link w:val="CommentTextChar"/>
    <w:semiHidden/>
    <w:rsid w:val="00D9070D"/>
    <w:rPr>
      <w:sz w:val="20"/>
      <w:szCs w:val="20"/>
    </w:rPr>
  </w:style>
  <w:style w:type="character" w:customStyle="1" w:styleId="CommentTextChar">
    <w:name w:val="Comment Text Char"/>
    <w:link w:val="CommentText"/>
    <w:semiHidden/>
    <w:locked/>
    <w:rsid w:val="00D9070D"/>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D9070D"/>
    <w:rPr>
      <w:b/>
      <w:bCs/>
    </w:rPr>
  </w:style>
  <w:style w:type="character" w:customStyle="1" w:styleId="CommentSubjectChar">
    <w:name w:val="Comment Subject Char"/>
    <w:link w:val="CommentSubject"/>
    <w:semiHidden/>
    <w:locked/>
    <w:rsid w:val="00D9070D"/>
    <w:rPr>
      <w:rFonts w:ascii="Times New Roman" w:hAnsi="Times New Roman" w:cs="Times New Roman"/>
      <w:b/>
      <w:bCs/>
      <w:sz w:val="20"/>
      <w:szCs w:val="20"/>
    </w:rPr>
  </w:style>
  <w:style w:type="paragraph" w:styleId="BalloonText">
    <w:name w:val="Balloon Text"/>
    <w:basedOn w:val="Normal"/>
    <w:link w:val="BalloonTextChar"/>
    <w:semiHidden/>
    <w:rsid w:val="00D9070D"/>
    <w:rPr>
      <w:rFonts w:ascii="Tahoma" w:hAnsi="Tahoma" w:cs="Tahoma"/>
      <w:sz w:val="16"/>
      <w:szCs w:val="16"/>
    </w:rPr>
  </w:style>
  <w:style w:type="character" w:customStyle="1" w:styleId="BalloonTextChar">
    <w:name w:val="Balloon Text Char"/>
    <w:link w:val="BalloonText"/>
    <w:semiHidden/>
    <w:locked/>
    <w:rsid w:val="00D9070D"/>
    <w:rPr>
      <w:rFonts w:ascii="Tahoma" w:hAnsi="Tahoma" w:cs="Tahoma"/>
      <w:sz w:val="16"/>
      <w:szCs w:val="16"/>
    </w:rPr>
  </w:style>
  <w:style w:type="paragraph" w:customStyle="1" w:styleId="Chapter">
    <w:name w:val="Chapter"/>
    <w:basedOn w:val="Normal"/>
    <w:next w:val="Normal"/>
    <w:rsid w:val="00B72604"/>
    <w:pPr>
      <w:numPr>
        <w:numId w:val="11"/>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rsid w:val="00B72604"/>
    <w:pPr>
      <w:numPr>
        <w:ilvl w:val="1"/>
        <w:numId w:val="11"/>
      </w:numPr>
      <w:spacing w:before="120"/>
      <w:jc w:val="both"/>
      <w:outlineLvl w:val="1"/>
    </w:pPr>
    <w:rPr>
      <w:szCs w:val="20"/>
      <w:lang w:val="es-ES" w:eastAsia="pt-BR"/>
    </w:rPr>
  </w:style>
  <w:style w:type="paragraph" w:customStyle="1" w:styleId="subpar">
    <w:name w:val="subpar"/>
    <w:basedOn w:val="BodyTextIndent3"/>
    <w:rsid w:val="00B72604"/>
    <w:pPr>
      <w:numPr>
        <w:ilvl w:val="2"/>
        <w:numId w:val="11"/>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Texto de rodapé,nota_rodapé,nota de rodapé,Texto nota pie IIRSA,Texto nota pie Car Car,ft,Footnote Text Char Char,Char,Char Char Char Char"/>
    <w:basedOn w:val="Normal"/>
    <w:link w:val="FootnoteTextChar"/>
    <w:rsid w:val="00B72604"/>
    <w:rPr>
      <w:rFonts w:ascii="Calibri" w:eastAsia="SimSun" w:hAnsi="Calibri"/>
      <w:sz w:val="20"/>
      <w:szCs w:val="20"/>
    </w:rPr>
  </w:style>
  <w:style w:type="character" w:customStyle="1" w:styleId="FootnoteTextChar">
    <w:name w:val="Footnote Text Char"/>
    <w:aliases w:val="fn Char,texto de nota al pie Char,Nota a pie/Bibliog Char,footnote Char,foottextfra Char,F Char,single space Char,Texto de rodapé Char,nota_rodapé Char,nota de rodapé Char,Texto nota pie IIRSA Char,Texto nota pie Car Car Char,ft Char"/>
    <w:link w:val="FootnoteText"/>
    <w:locked/>
    <w:rsid w:val="00B72604"/>
    <w:rPr>
      <w:rFonts w:eastAsia="SimSun" w:cs="Times New Roman"/>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
    <w:link w:val="BVIfnrCharCharCharCharCharCharChar"/>
    <w:locked/>
    <w:rsid w:val="00B72604"/>
    <w:rPr>
      <w:rFonts w:cs="Times New Roman"/>
      <w:vertAlign w:val="superscript"/>
    </w:rPr>
  </w:style>
  <w:style w:type="paragraph" w:styleId="BodyTextIndent">
    <w:name w:val="Body Text Indent"/>
    <w:basedOn w:val="Normal"/>
    <w:link w:val="BodyTextIndentChar"/>
    <w:semiHidden/>
    <w:rsid w:val="00B72604"/>
    <w:pPr>
      <w:spacing w:after="120"/>
      <w:ind w:left="360"/>
    </w:pPr>
  </w:style>
  <w:style w:type="character" w:customStyle="1" w:styleId="BodyTextIndentChar">
    <w:name w:val="Body Text Indent Char"/>
    <w:link w:val="BodyTextIndent"/>
    <w:semiHidden/>
    <w:locked/>
    <w:rsid w:val="00B72604"/>
    <w:rPr>
      <w:rFonts w:ascii="Times New Roman" w:hAnsi="Times New Roman" w:cs="Times New Roman"/>
      <w:sz w:val="24"/>
      <w:szCs w:val="24"/>
    </w:rPr>
  </w:style>
  <w:style w:type="paragraph" w:styleId="BodyTextIndent3">
    <w:name w:val="Body Text Indent 3"/>
    <w:basedOn w:val="Normal"/>
    <w:link w:val="BodyTextIndent3Char"/>
    <w:semiHidden/>
    <w:rsid w:val="00B72604"/>
    <w:pPr>
      <w:spacing w:after="120"/>
      <w:ind w:left="360"/>
    </w:pPr>
    <w:rPr>
      <w:sz w:val="16"/>
      <w:szCs w:val="16"/>
    </w:rPr>
  </w:style>
  <w:style w:type="character" w:customStyle="1" w:styleId="BodyTextIndent3Char">
    <w:name w:val="Body Text Indent 3 Char"/>
    <w:link w:val="BodyTextIndent3"/>
    <w:semiHidden/>
    <w:locked/>
    <w:rsid w:val="00B72604"/>
    <w:rPr>
      <w:rFonts w:ascii="Times New Roman" w:hAnsi="Times New Roman" w:cs="Times New Roman"/>
      <w:sz w:val="16"/>
      <w:szCs w:val="16"/>
    </w:rPr>
  </w:style>
  <w:style w:type="character" w:customStyle="1" w:styleId="Heading7Char">
    <w:name w:val="Heading 7 Char"/>
    <w:rsid w:val="006D4A79"/>
    <w:rPr>
      <w:rFonts w:ascii="Arial" w:hAnsi="Arial"/>
      <w:sz w:val="20"/>
    </w:rPr>
  </w:style>
  <w:style w:type="paragraph" w:customStyle="1" w:styleId="FirstHeading">
    <w:name w:val="FirstHeading"/>
    <w:basedOn w:val="Normal"/>
    <w:rsid w:val="002B6E68"/>
    <w:pPr>
      <w:keepNext/>
      <w:numPr>
        <w:numId w:val="10"/>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10"/>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hanging="180"/>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Calibri" w:eastAsia="Times New Roman" w:hAnsi="Calibri"/>
      <w:sz w:val="22"/>
      <w:szCs w:val="22"/>
      <w:vertAlign w:val="superscript"/>
    </w:rPr>
  </w:style>
  <w:style w:type="character" w:customStyle="1" w:styleId="ParagraphChar">
    <w:name w:val="Paragraph Char"/>
    <w:link w:val="Paragraph"/>
    <w:locked/>
    <w:rsid w:val="00B47D24"/>
    <w:rPr>
      <w:rFonts w:eastAsia="Calibri"/>
      <w:sz w:val="24"/>
      <w:lang w:val="es-ES" w:eastAsia="pt-BR" w:bidi="ar-SA"/>
    </w:rPr>
  </w:style>
  <w:style w:type="paragraph" w:styleId="Header">
    <w:name w:val="header"/>
    <w:basedOn w:val="Normal"/>
    <w:link w:val="HeaderChar"/>
    <w:rsid w:val="00120449"/>
    <w:pPr>
      <w:tabs>
        <w:tab w:val="center" w:pos="4680"/>
        <w:tab w:val="right" w:pos="9360"/>
      </w:tabs>
    </w:pPr>
  </w:style>
  <w:style w:type="character" w:customStyle="1" w:styleId="HeaderChar">
    <w:name w:val="Header Char"/>
    <w:link w:val="Header"/>
    <w:locked/>
    <w:rsid w:val="00120449"/>
    <w:rPr>
      <w:rFonts w:ascii="Times New Roman" w:hAnsi="Times New Roman" w:cs="Times New Roman"/>
      <w:sz w:val="24"/>
      <w:szCs w:val="24"/>
    </w:rPr>
  </w:style>
  <w:style w:type="paragraph" w:styleId="Footer">
    <w:name w:val="footer"/>
    <w:basedOn w:val="Normal"/>
    <w:link w:val="FooterChar"/>
    <w:rsid w:val="00120449"/>
    <w:pPr>
      <w:tabs>
        <w:tab w:val="center" w:pos="4680"/>
        <w:tab w:val="right" w:pos="9360"/>
      </w:tabs>
    </w:pPr>
  </w:style>
  <w:style w:type="character" w:customStyle="1" w:styleId="FooterChar">
    <w:name w:val="Footer Char"/>
    <w:link w:val="Footer"/>
    <w:locked/>
    <w:rsid w:val="00120449"/>
    <w:rPr>
      <w:rFonts w:ascii="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semiHidden/>
    <w:rsid w:val="00534BE3"/>
    <w:rPr>
      <w:rFonts w:ascii="Times New Roman" w:hAnsi="Times New Roman" w:cs="Times New Roman"/>
      <w:sz w:val="24"/>
      <w:szCs w:val="24"/>
    </w:rPr>
  </w:style>
  <w:style w:type="paragraph" w:styleId="ListBullet">
    <w:name w:val="List Bullet"/>
    <w:basedOn w:val="BodyText"/>
    <w:rsid w:val="00534BE3"/>
    <w:pPr>
      <w:numPr>
        <w:numId w:val="13"/>
      </w:numPr>
    </w:pPr>
  </w:style>
  <w:style w:type="paragraph" w:styleId="ListBullet2">
    <w:name w:val="List Bullet 2"/>
    <w:basedOn w:val="BodyText"/>
    <w:rsid w:val="00534BE3"/>
    <w:pPr>
      <w:numPr>
        <w:ilvl w:val="1"/>
        <w:numId w:val="13"/>
      </w:numPr>
      <w:tabs>
        <w:tab w:val="clear" w:pos="1273"/>
        <w:tab w:val="num" w:pos="1287"/>
        <w:tab w:val="num" w:pos="2736"/>
      </w:tabs>
      <w:ind w:left="1287" w:hanging="1296"/>
    </w:pPr>
  </w:style>
  <w:style w:type="paragraph" w:styleId="ListBullet3">
    <w:name w:val="List Bullet 3"/>
    <w:basedOn w:val="BodyText"/>
    <w:rsid w:val="00534BE3"/>
    <w:pPr>
      <w:numPr>
        <w:ilvl w:val="2"/>
        <w:numId w:val="13"/>
      </w:numPr>
      <w:tabs>
        <w:tab w:val="clear" w:pos="1571"/>
        <w:tab w:val="num" w:pos="2592"/>
      </w:tabs>
      <w:ind w:left="2592" w:hanging="432"/>
    </w:pPr>
  </w:style>
  <w:style w:type="paragraph" w:styleId="ListBullet4">
    <w:name w:val="List Bullet 4"/>
    <w:basedOn w:val="BodyText"/>
    <w:rsid w:val="00534BE3"/>
    <w:pPr>
      <w:numPr>
        <w:ilvl w:val="3"/>
        <w:numId w:val="13"/>
      </w:numPr>
      <w:ind w:left="2304" w:hanging="864"/>
    </w:pPr>
  </w:style>
  <w:style w:type="paragraph" w:customStyle="1" w:styleId="BoxBullet1">
    <w:name w:val="Box Bullet 1"/>
    <w:basedOn w:val="Normal"/>
    <w:rsid w:val="00534BE3"/>
    <w:pPr>
      <w:numPr>
        <w:numId w:val="12"/>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12"/>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link w:val="BodyText"/>
    <w:locked/>
    <w:rsid w:val="00534BE3"/>
    <w:rPr>
      <w:rFonts w:ascii="Garamond" w:hAnsi="Garamond" w:cs="Times New Roman"/>
      <w:sz w:val="24"/>
      <w:szCs w:val="24"/>
      <w:lang w:val="x-none"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6"/>
      </w:numPr>
      <w:spacing w:before="30" w:after="30"/>
      <w:jc w:val="both"/>
    </w:pPr>
    <w:rPr>
      <w:rFonts w:ascii="Garamond" w:hAnsi="Garamond"/>
      <w:sz w:val="22"/>
      <w:lang w:eastAsia="en-NZ"/>
    </w:rPr>
  </w:style>
  <w:style w:type="paragraph" w:styleId="Title">
    <w:name w:val="Title"/>
    <w:basedOn w:val="Normal"/>
    <w:next w:val="Normal"/>
    <w:link w:val="TitleChar"/>
    <w:qFormat/>
    <w:rsid w:val="00304F3B"/>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link w:val="Title"/>
    <w:locked/>
    <w:rsid w:val="00304F3B"/>
    <w:rPr>
      <w:rFonts w:ascii="Cambria" w:eastAsia="SimSun" w:hAnsi="Cambria" w:cs="Times New Roman"/>
      <w:color w:val="17365D"/>
      <w:spacing w:val="5"/>
      <w:kern w:val="28"/>
      <w:sz w:val="52"/>
      <w:szCs w:val="52"/>
    </w:rPr>
  </w:style>
  <w:style w:type="character" w:styleId="UnresolvedMention">
    <w:name w:val="Unresolved Mention"/>
    <w:uiPriority w:val="99"/>
    <w:semiHidden/>
    <w:unhideWhenUsed/>
    <w:rsid w:val="006A1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7113102">
      <w:bodyDiv w:val="1"/>
      <w:marLeft w:val="0"/>
      <w:marRight w:val="0"/>
      <w:marTop w:val="0"/>
      <w:marBottom w:val="0"/>
      <w:divBdr>
        <w:top w:val="none" w:sz="0" w:space="0" w:color="auto"/>
        <w:left w:val="none" w:sz="0" w:space="0" w:color="auto"/>
        <w:bottom w:val="none" w:sz="0" w:space="0" w:color="auto"/>
        <w:right w:val="none" w:sz="0" w:space="0" w:color="auto"/>
      </w:divBdr>
    </w:div>
    <w:div w:id="14887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ite.sabesp.com.br/site/interna/subHome.aspx?secaoId=95" TargetMode="Externa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A07494CA981A847A9DFCFD1CB06F78E" ma:contentTypeVersion="1356" ma:contentTypeDescription="A content type to manage public (operations) IDB documents" ma:contentTypeScope="" ma:versionID="995b172f431ee4cec1d3c4bb0ec885a8">
  <xsd:schema xmlns:xsd="http://www.w3.org/2001/XMLSchema" xmlns:xs="http://www.w3.org/2001/XMLSchema" xmlns:p="http://schemas.microsoft.com/office/2006/metadata/properties" xmlns:ns2="cdc7663a-08f0-4737-9e8c-148ce897a09c" targetNamespace="http://schemas.microsoft.com/office/2006/metadata/properties" ma:root="true" ma:fieldsID="f04f7adca2c935f1bde370012f50665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L149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ase xmlns="cdc7663a-08f0-4737-9e8c-148ce897a09c" xsi:nil="true"/>
    <Project_x0020_Document_x0020_Type xmlns="cdc7663a-08f0-4737-9e8c-148ce897a09c" xsi:nil="true"/>
    <Record_x0020_Number xmlns="cdc7663a-08f0-4737-9e8c-148ce897a09c">R0001297713</Record_x0020_Number>
    <Division_x0020_or_x0020_Unit xmlns="cdc7663a-08f0-4737-9e8c-148ce897a09c">INE/WSA</Division_x0020_or_x0020_Unit>
    <Other_x0020_Author xmlns="cdc7663a-08f0-4737-9e8c-148ce897a09c" xsi:nil="true"/>
    <Key_x0020_Document xmlns="cdc7663a-08f0-4737-9e8c-148ce897a09c">false</Key_x0020_Document>
    <IDBDocs_x0020_Number xmlns="cdc7663a-08f0-4737-9e8c-148ce897a09c">39749441</IDBDocs_x0020_Number>
    <Document_x0020_Author xmlns="cdc7663a-08f0-4737-9e8c-148ce897a09c">Garcia Merino, Lucio Javier</Document_x0020_Author>
    <_dlc_DocId xmlns="cdc7663a-08f0-4737-9e8c-148ce897a09c">EZSHARE-1839563351-26</_dlc_DocId>
    <TaxCatchAll xmlns="cdc7663a-08f0-4737-9e8c-148ce897a09c">
      <Value>33</Value>
      <Value>30</Value>
      <Value>8</Value>
      <Value>105</Value>
      <Value>36</Value>
      <Value>409</Value>
    </TaxCatchAll>
    <Fiscal_x0020_Year_x0020_IDB xmlns="cdc7663a-08f0-4737-9e8c-148ce897a09c">2018</Fiscal_x0020_Year_x0020_IDB>
    <Operation_x0020_Type xmlns="cdc7663a-08f0-4737-9e8c-148ce897a09c">Loan Operation</Operation_x0020_Type>
    <Document_x0020_Language_x0020_IDB xmlns="cdc7663a-08f0-4737-9e8c-148ce897a09c">Spanish</Document_x0020_Language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_dlc_DocIdUrl xmlns="cdc7663a-08f0-4737-9e8c-148ce897a09c">
      <Url>https://idbg.sharepoint.com/teams/EZ-BR-LON/BR-L1492/_layouts/15/DocIdRedir.aspx?ID=EZSHARE-1839563351-26</Url>
      <Description>EZSHARE-1839563351-26</Description>
    </_dlc_DocIdUrl>
    <b26cdb1da78c4bb4b1c1bac2f6ac5911 xmlns="cdc7663a-08f0-4737-9e8c-148ce897a09c">
      <Terms xmlns="http://schemas.microsoft.com/office/infopath/2007/PartnerControls"/>
    </b26cdb1da78c4bb4b1c1bac2f6ac5911>
    <Project_x0020_Number xmlns="cdc7663a-08f0-4737-9e8c-148ce897a09c">BR-L1492</Project_x0020_Number>
    <Package_x0020_Code xmlns="cdc7663a-08f0-4737-9e8c-148ce897a09c" xsi:nil="true"/>
    <Migration_x0020_Info xmlns="cdc7663a-08f0-4737-9e8c-148ce897a09c">MS WORDLoan Proposal0N</Migration_x0020_Info>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Access_x0020_to_x0020_Information_x00a0_Policy xmlns="cdc7663a-08f0-4737-9e8c-148ce897a09c">Public</Access_x0020_to_x0020_Information_x00a0_Policy>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Identifier xmlns="cdc7663a-08f0-4737-9e8c-148ce897a09c"> ANNEX</Identifier>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OS-ASA</Webtopic>
    <Abstract xmlns="cdc7663a-08f0-4737-9e8c-148ce897a09c" xsi:nil="true"/>
    <Publishing_x0020_House xmlns="cdc7663a-08f0-4737-9e8c-148ce897a09c" xsi:nil="true"/>
  </documentManagement>
</p:properties>
</file>

<file path=customXml/item3.xml><?xml version="1.0" encoding="utf-8"?>
<LongProperties xmlns="http://schemas.microsoft.com/office/2006/metadata/longProperties">
  <LongProp xmlns="" name="TaxCatchAll"><![CDATA[33;#ORC|c028a4b2-ad8b-4cf4-9cac-a2ae6a778e23;#252;#WATER SUPPLY URBAN|28df1b5d-8f50-49f8-b50a-8bcbae67d2a4;#30;#Brazil|7deb27ec-6837-4974-9aa8-6cfbac841ef8;#9;#Unclassified|a6dff32e-d477-44cd-a56b-85efe9e0a56c;#8;#IDBDocs|cca77002-e150-4b2d-ab1f-1d7a7cdcae16;#36;#WATER AND SANITATION|ba6b63cd-e402-47cb-9357-08149f7ce046]]></LongProp>
</LongPropertie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DA20-A314-4FFF-9242-B28D39267653}"/>
</file>

<file path=customXml/itemProps2.xml><?xml version="1.0" encoding="utf-8"?>
<ds:datastoreItem xmlns:ds="http://schemas.openxmlformats.org/officeDocument/2006/customXml" ds:itemID="{90ED3F14-2570-4748-ADD8-12A4680325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c7663a-08f0-4737-9e8c-148ce897a09c"/>
    <ds:schemaRef ds:uri="http://www.w3.org/XML/1998/namespace"/>
    <ds:schemaRef ds:uri="http://purl.org/dc/dcmitype/"/>
  </ds:schemaRefs>
</ds:datastoreItem>
</file>

<file path=customXml/itemProps3.xml><?xml version="1.0" encoding="utf-8"?>
<ds:datastoreItem xmlns:ds="http://schemas.openxmlformats.org/officeDocument/2006/customXml" ds:itemID="{E12BE352-6507-481B-A8BC-7AF5511A7F8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4117574-037A-4F77-AD6F-183872BCE5A1}">
  <ds:schemaRefs>
    <ds:schemaRef ds:uri="Microsoft.SharePoint.Taxonomy.ContentTypeSync"/>
  </ds:schemaRefs>
</ds:datastoreItem>
</file>

<file path=customXml/itemProps5.xml><?xml version="1.0" encoding="utf-8"?>
<ds:datastoreItem xmlns:ds="http://schemas.openxmlformats.org/officeDocument/2006/customXml" ds:itemID="{7C691118-C888-4FB5-AC3B-03271D7A63AF}">
  <ds:schemaRefs>
    <ds:schemaRef ds:uri="http://schemas.microsoft.com/sharepoint/v3/contenttype/forms"/>
  </ds:schemaRefs>
</ds:datastoreItem>
</file>

<file path=customXml/itemProps6.xml><?xml version="1.0" encoding="utf-8"?>
<ds:datastoreItem xmlns:ds="http://schemas.openxmlformats.org/officeDocument/2006/customXml" ds:itemID="{43CCA057-84D9-4A9D-A0EC-B425069DB387}"/>
</file>

<file path=customXml/itemProps7.xml><?xml version="1.0" encoding="utf-8"?>
<ds:datastoreItem xmlns:ds="http://schemas.openxmlformats.org/officeDocument/2006/customXml" ds:itemID="{49AB0D1E-7431-40BB-8668-408827294DC9}">
  <ds:schemaRefs>
    <ds:schemaRef ds:uri="http://schemas.microsoft.com/sharepoint/events"/>
  </ds:schemaRefs>
</ds:datastoreItem>
</file>

<file path=customXml/itemProps8.xml><?xml version="1.0" encoding="utf-8"?>
<ds:datastoreItem xmlns:ds="http://schemas.openxmlformats.org/officeDocument/2006/customXml" ds:itemID="{B519285D-A46D-4B73-A6F8-E97AEDD1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6457</Words>
  <Characters>35708</Characters>
  <Application>Microsoft Office Word</Application>
  <DocSecurity>0</DocSecurity>
  <Lines>297</Lines>
  <Paragraphs>84</Paragraphs>
  <ScaleCrop>false</ScaleCrop>
  <Company>Inter-American Development Bank</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EEO_8 - Análisis Cumplimiento PSPD</dc:title>
  <dc:subject/>
  <dc:creator>Inter-American Development Bank</dc:creator>
  <cp:keywords>EEO-6</cp:keywords>
  <dc:description/>
  <cp:lastModifiedBy>Galaz, Yolanda</cp:lastModifiedBy>
  <cp:revision>299</cp:revision>
  <cp:lastPrinted>2015-05-19T12:05:00Z</cp:lastPrinted>
  <dcterms:created xsi:type="dcterms:W3CDTF">2018-04-04T15:49:00Z</dcterms:created>
  <dcterms:modified xsi:type="dcterms:W3CDTF">2018-09-26T21:13:00Z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409;#EEO-6|77e0aac6-68e4-428e-92fa-acb995b16920</vt:lpwstr>
  </property>
  <property fmtid="{D5CDD505-2E9C-101B-9397-08002B2CF9AE}" pid="3" name="Function Operations IDB">
    <vt:lpwstr>8;#IDBDocs|cca77002-e150-4b2d-ab1f-1d7a7cdcae16</vt:lpwstr>
  </property>
  <property fmtid="{D5CDD505-2E9C-101B-9397-08002B2CF9AE}" pid="4" name="Sub_x002d_Sector">
    <vt:lpwstr/>
  </property>
  <property fmtid="{D5CDD505-2E9C-101B-9397-08002B2CF9AE}" pid="5" name="TaxKeywordTaxHTField">
    <vt:lpwstr>EEO-6|77e0aac6-68e4-428e-92fa-acb995b16920</vt:lpwstr>
  </property>
  <property fmtid="{D5CDD505-2E9C-101B-9397-08002B2CF9AE}" pid="6" name="Series Operations IDB">
    <vt:lpwstr>3;#Unclassified|a6dff32e-d477-44cd-a56b-85efe9e0a56c</vt:lpwstr>
  </property>
  <property fmtid="{D5CDD505-2E9C-101B-9397-08002B2CF9AE}" pid="7" name="Country">
    <vt:lpwstr>30;#Brazil|7deb27ec-6837-4974-9aa8-6cfbac841ef8</vt:lpwstr>
  </property>
  <property fmtid="{D5CDD505-2E9C-101B-9397-08002B2CF9AE}" pid="8" name="Fund IDB">
    <vt:lpwstr>33;#ORC|c028a4b2-ad8b-4cf4-9cac-a2ae6a778e23</vt:lpwstr>
  </property>
  <property fmtid="{D5CDD505-2E9C-101B-9397-08002B2CF9AE}" pid="9" name="Series_x0020_Operations_x0020_IDB">
    <vt:lpwstr>3;#Unclassified|a6dff32e-d477-44cd-a56b-85efe9e0a56c</vt:lpwstr>
  </property>
  <property fmtid="{D5CDD505-2E9C-101B-9397-08002B2CF9AE}" pid="10" name="To:">
    <vt:lpwstr/>
  </property>
  <property fmtid="{D5CDD505-2E9C-101B-9397-08002B2CF9AE}" pid="11" name="From:">
    <vt:lpwstr/>
  </property>
  <property fmtid="{D5CDD505-2E9C-101B-9397-08002B2CF9AE}" pid="12" name="Sector IDB">
    <vt:lpwstr>36;#WATER AND SANITATION|ba6b63cd-e402-47cb-9357-08149f7ce046</vt:lpwstr>
  </property>
  <property fmtid="{D5CDD505-2E9C-101B-9397-08002B2CF9AE}" pid="13" name="Sub-Sector">
    <vt:lpwstr>105;#WATER AND SANITATION|58dede58-0f72-4d2f-8205-0b2af4d108e7</vt:lpwstr>
  </property>
  <property fmtid="{D5CDD505-2E9C-101B-9397-08002B2CF9AE}" pid="14" name="c456731dbc904a5fb605ec556c33e883">
    <vt:lpwstr/>
  </property>
  <property fmtid="{D5CDD505-2E9C-101B-9397-08002B2CF9AE}" pid="15" name="Project Document Type">
    <vt:lpwstr/>
  </property>
  <property fmtid="{D5CDD505-2E9C-101B-9397-08002B2CF9AE}" pid="16" name="Business Area">
    <vt:lpwstr/>
  </property>
  <property fmtid="{D5CDD505-2E9C-101B-9397-08002B2CF9AE}" pid="17" name="IDBDocs Number">
    <vt:lpwstr>39749441</vt:lpwstr>
  </property>
  <property fmtid="{D5CDD505-2E9C-101B-9397-08002B2CF9AE}" pid="18" name="TaxCatchAll">
    <vt:lpwstr>33;#ORC|c028a4b2-ad8b-4cf4-9cac-a2ae6a778e23;#252;#WATER SUPPLY URBAN|28df1b5d-8f50-49f8-b50a-8bcbae67d2a4;#30;#Brazil|7deb27ec-6837-4974-9aa8-6cfbac841ef8;#9;#Unclassified|a6dff32e-d477-44cd-a56b-85efe9e0a56c;#8;#IDBDocs|cca77002-e150-4b2d-ab1f-1d7a7cdca</vt:lpwstr>
  </property>
  <property fmtid="{D5CDD505-2E9C-101B-9397-08002B2CF9AE}" pid="19" name="Phase">
    <vt:lpwstr/>
  </property>
  <property fmtid="{D5CDD505-2E9C-101B-9397-08002B2CF9AE}" pid="20" name="SISCOR Number">
    <vt:lpwstr/>
  </property>
  <property fmtid="{D5CDD505-2E9C-101B-9397-08002B2CF9AE}" pid="21" name="Division or Unit">
    <vt:lpwstr>INE/WSA</vt:lpwstr>
  </property>
  <property fmtid="{D5CDD505-2E9C-101B-9397-08002B2CF9AE}" pid="22" name="o5138a91267540169645e33d09c9ddc6">
    <vt:lpwstr>Unclassifieda6dff32e-d477-44cd-a56b-85efe9e0a56c</vt:lpwstr>
  </property>
  <property fmtid="{D5CDD505-2E9C-101B-9397-08002B2CF9AE}" pid="23" name="Approval Number">
    <vt:lpwstr/>
  </property>
  <property fmtid="{D5CDD505-2E9C-101B-9397-08002B2CF9AE}" pid="24" name="Document Author">
    <vt:lpwstr>Garcia Merino, Lucio Javier</vt:lpwstr>
  </property>
  <property fmtid="{D5CDD505-2E9C-101B-9397-08002B2CF9AE}" pid="25" name="e559ffcc31d34167856647188be35015">
    <vt:lpwstr/>
  </property>
  <property fmtid="{D5CDD505-2E9C-101B-9397-08002B2CF9AE}" pid="26" name="Fiscal Year IDB">
    <vt:lpwstr>2018</vt:lpwstr>
  </property>
  <property fmtid="{D5CDD505-2E9C-101B-9397-08002B2CF9AE}" pid="27" name="Other Author">
    <vt:lpwstr/>
  </property>
  <property fmtid="{D5CDD505-2E9C-101B-9397-08002B2CF9AE}" pid="28" name="fd0e48b6a66848a9885f717e5bbf40c4">
    <vt:lpwstr>IDBDocscca77002-e150-4b2d-ab1f-1d7a7cdcae16</vt:lpwstr>
  </property>
  <property fmtid="{D5CDD505-2E9C-101B-9397-08002B2CF9AE}" pid="29" name="Project Number">
    <vt:lpwstr>BR-L1492;</vt:lpwstr>
  </property>
  <property fmtid="{D5CDD505-2E9C-101B-9397-08002B2CF9AE}" pid="30" name="Access to Information Policy">
    <vt:lpwstr>Confidential</vt:lpwstr>
  </property>
  <property fmtid="{D5CDD505-2E9C-101B-9397-08002B2CF9AE}" pid="31" name="Package Code">
    <vt:lpwstr/>
  </property>
  <property fmtid="{D5CDD505-2E9C-101B-9397-08002B2CF9AE}" pid="32" name="m555d3814edf4817b4410a4e57f94ce9">
    <vt:lpwstr/>
  </property>
  <property fmtid="{D5CDD505-2E9C-101B-9397-08002B2CF9AE}" pid="33" name="Key Document">
    <vt:lpwstr>0</vt:lpwstr>
  </property>
  <property fmtid="{D5CDD505-2E9C-101B-9397-08002B2CF9AE}" pid="34" name="j8b96605ee2f4c4e988849e658583fee">
    <vt:lpwstr/>
  </property>
  <property fmtid="{D5CDD505-2E9C-101B-9397-08002B2CF9AE}" pid="35" name="Migration Info">
    <vt:lpwstr>MS WORDLoan Proposal0N</vt:lpwstr>
  </property>
  <property fmtid="{D5CDD505-2E9C-101B-9397-08002B2CF9AE}" pid="36" name="Operation Type">
    <vt:lpwstr>Loan Operation</vt:lpwstr>
  </property>
  <property fmtid="{D5CDD505-2E9C-101B-9397-08002B2CF9AE}" pid="37" name="Document Language IDB">
    <vt:lpwstr>Spanish</vt:lpwstr>
  </property>
  <property fmtid="{D5CDD505-2E9C-101B-9397-08002B2CF9AE}" pid="38" name="Identifier">
    <vt:lpwstr> ANNEX</vt:lpwstr>
  </property>
  <property fmtid="{D5CDD505-2E9C-101B-9397-08002B2CF9AE}" pid="39" name="Disclosure Activity">
    <vt:lpwstr>Loan Proposal</vt:lpwstr>
  </property>
  <property fmtid="{D5CDD505-2E9C-101B-9397-08002B2CF9AE}" pid="40" name="Webtopic">
    <vt:lpwstr>OS-ASA</vt:lpwstr>
  </property>
  <property fmtid="{D5CDD505-2E9C-101B-9397-08002B2CF9AE}" pid="41" name="Issue Date">
    <vt:lpwstr/>
  </property>
  <property fmtid="{D5CDD505-2E9C-101B-9397-08002B2CF9AE}" pid="42" name="Publication Type">
    <vt:lpwstr/>
  </property>
  <property fmtid="{D5CDD505-2E9C-101B-9397-08002B2CF9AE}" pid="43" name="Abstract">
    <vt:lpwstr/>
  </property>
  <property fmtid="{D5CDD505-2E9C-101B-9397-08002B2CF9AE}" pid="44" name="KP Topics">
    <vt:lpwstr/>
  </property>
  <property fmtid="{D5CDD505-2E9C-101B-9397-08002B2CF9AE}" pid="45" name="Editor1">
    <vt:lpwstr/>
  </property>
  <property fmtid="{D5CDD505-2E9C-101B-9397-08002B2CF9AE}" pid="46" name="Region">
    <vt:lpwstr/>
  </property>
  <property fmtid="{D5CDD505-2E9C-101B-9397-08002B2CF9AE}" pid="47" name="Publishing House">
    <vt:lpwstr/>
  </property>
  <property fmtid="{D5CDD505-2E9C-101B-9397-08002B2CF9AE}" pid="48" name="b26cdb1da78c4bb4b1c1bac2f6ac5911">
    <vt:lpwstr>Unclassified|a6dff32e-d477-44cd-a56b-85efe9e0a56c</vt:lpwstr>
  </property>
  <property fmtid="{D5CDD505-2E9C-101B-9397-08002B2CF9AE}" pid="49" name="e46fe2894295491da65140ffd2369f49">
    <vt:lpwstr>IDBDocs|cca77002-e150-4b2d-ab1f-1d7a7cdcae16</vt:lpwstr>
  </property>
  <property fmtid="{D5CDD505-2E9C-101B-9397-08002B2CF9AE}" pid="50" name="ic46d7e087fd4a108fb86518ca413cc6">
    <vt:lpwstr>Brazil|7deb27ec-6837-4974-9aa8-6cfbac841ef8</vt:lpwstr>
  </property>
  <property fmtid="{D5CDD505-2E9C-101B-9397-08002B2CF9AE}" pid="51" name="nddeef1749674d76abdbe4b239a70bc6">
    <vt:lpwstr>WATER AND SANITATION|ba6b63cd-e402-47cb-9357-08149f7ce046</vt:lpwstr>
  </property>
  <property fmtid="{D5CDD505-2E9C-101B-9397-08002B2CF9AE}" pid="52" name="b2ec7cfb18674cb8803df6b262e8b107">
    <vt:lpwstr>WATER SUPPLY URBAN|28df1b5d-8f50-49f8-b50a-8bcbae67d2a4</vt:lpwstr>
  </property>
  <property fmtid="{D5CDD505-2E9C-101B-9397-08002B2CF9AE}" pid="53" name="g511464f9e53401d84b16fa9b379a574">
    <vt:lpwstr>ORC|c028a4b2-ad8b-4cf4-9cac-a2ae6a778e23</vt:lpwstr>
  </property>
  <property fmtid="{D5CDD505-2E9C-101B-9397-08002B2CF9AE}" pid="54" name="_dlc_DocId">
    <vt:lpwstr>EZSHARE-1839563351-14</vt:lpwstr>
  </property>
  <property fmtid="{D5CDD505-2E9C-101B-9397-08002B2CF9AE}" pid="55" name="_dlc_DocIdItemGuid">
    <vt:lpwstr>9b0dfcfb-fdbe-46f2-b808-15a2d36f46e8</vt:lpwstr>
  </property>
  <property fmtid="{D5CDD505-2E9C-101B-9397-08002B2CF9AE}" pid="56" name="_dlc_DocIdUrl">
    <vt:lpwstr>https://idbg.sharepoint.com/teams/EZ-BR-LON/BR-L1492/_layouts/15/DocIdRedir.aspx?ID=EZSHARE-1839563351-14, EZSHARE-1839563351-14</vt:lpwstr>
  </property>
  <property fmtid="{D5CDD505-2E9C-101B-9397-08002B2CF9AE}" pid="57" name="display_urn:schemas-microsoft-com:office:office#Editor">
    <vt:lpwstr>Garcia Merino, Lucio Javier</vt:lpwstr>
  </property>
  <property fmtid="{D5CDD505-2E9C-101B-9397-08002B2CF9AE}" pid="58" name="Record Number">
    <vt:lpwstr>R0001297713</vt:lpwstr>
  </property>
  <property fmtid="{D5CDD505-2E9C-101B-9397-08002B2CF9AE}" pid="59" name="Related SisCor Number">
    <vt:lpwstr/>
  </property>
  <property fmtid="{D5CDD505-2E9C-101B-9397-08002B2CF9AE}" pid="61" name="Disclosed">
    <vt:bool>false</vt:bool>
  </property>
  <property fmtid="{D5CDD505-2E9C-101B-9397-08002B2CF9AE}" pid="62" name="ContentTypeId">
    <vt:lpwstr>0x0101001A458A224826124E8B45B1D613300CFC000A07494CA981A847A9DFCFD1CB06F78E</vt:lpwstr>
  </property>
</Properties>
</file>