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8A" w:rsidRDefault="00B37D8A" w:rsidP="00D552A6">
      <w:pPr>
        <w:ind w:left="708" w:hanging="708"/>
        <w:rPr>
          <w:rFonts w:ascii="Times New Roman" w:hAnsi="Times New Roman"/>
          <w:b/>
          <w:sz w:val="24"/>
          <w:szCs w:val="24"/>
        </w:rPr>
      </w:pPr>
    </w:p>
    <w:p w:rsidR="00404C4B" w:rsidRPr="009D25F1" w:rsidRDefault="00404C4B" w:rsidP="00D552A6">
      <w:pPr>
        <w:ind w:left="708" w:hanging="708"/>
        <w:rPr>
          <w:rFonts w:ascii="Times New Roman" w:hAnsi="Times New Roman"/>
          <w:b/>
          <w:sz w:val="24"/>
          <w:szCs w:val="24"/>
        </w:rPr>
      </w:pPr>
    </w:p>
    <w:p w:rsidR="00B37D8A" w:rsidRPr="009D25F1" w:rsidRDefault="00B37D8A" w:rsidP="00D552A6">
      <w:pPr>
        <w:tabs>
          <w:tab w:val="left" w:pos="3924"/>
        </w:tabs>
        <w:rPr>
          <w:rFonts w:ascii="Times New Roman" w:hAnsi="Times New Roman"/>
          <w:b/>
          <w:sz w:val="24"/>
          <w:szCs w:val="24"/>
        </w:rPr>
      </w:pPr>
    </w:p>
    <w:p w:rsidR="00B37D8A" w:rsidRPr="009D25F1" w:rsidRDefault="00B37D8A" w:rsidP="00D552A6">
      <w:pPr>
        <w:rPr>
          <w:rFonts w:ascii="Times New Roman" w:hAnsi="Times New Roman"/>
          <w:b/>
          <w:sz w:val="24"/>
          <w:szCs w:val="24"/>
        </w:rPr>
      </w:pPr>
    </w:p>
    <w:p w:rsidR="00B37D8A" w:rsidRPr="009D25F1" w:rsidRDefault="00B37D8A" w:rsidP="00D552A6">
      <w:pPr>
        <w:rPr>
          <w:rFonts w:ascii="Times New Roman" w:hAnsi="Times New Roman"/>
          <w:b/>
          <w:sz w:val="24"/>
          <w:szCs w:val="24"/>
        </w:rPr>
      </w:pPr>
    </w:p>
    <w:p w:rsidR="00B37D8A" w:rsidRPr="00B67ECC" w:rsidRDefault="00B37D8A" w:rsidP="00D552A6">
      <w:pPr>
        <w:jc w:val="center"/>
        <w:rPr>
          <w:rFonts w:ascii="Times New Roman" w:hAnsi="Times New Roman"/>
          <w:b/>
          <w:sz w:val="28"/>
          <w:szCs w:val="28"/>
        </w:rPr>
      </w:pPr>
      <w:r w:rsidRPr="00B67ECC">
        <w:rPr>
          <w:rFonts w:ascii="Times New Roman" w:hAnsi="Times New Roman"/>
          <w:b/>
          <w:sz w:val="28"/>
          <w:szCs w:val="28"/>
        </w:rPr>
        <w:t>Análisis de Costo Beneficio ex ante del Programa de Crédito para el Desarrollo de Mendoza Tecnológica</w:t>
      </w:r>
    </w:p>
    <w:p w:rsidR="00B37D8A" w:rsidRDefault="00B37D8A" w:rsidP="00D552A6">
      <w:pPr>
        <w:jc w:val="center"/>
        <w:rPr>
          <w:rFonts w:ascii="Times New Roman" w:hAnsi="Times New Roman"/>
          <w:b/>
          <w:sz w:val="24"/>
          <w:szCs w:val="24"/>
        </w:rPr>
      </w:pPr>
    </w:p>
    <w:p w:rsidR="00B37D8A" w:rsidRDefault="00B37D8A" w:rsidP="00D552A6">
      <w:pPr>
        <w:jc w:val="center"/>
        <w:rPr>
          <w:rFonts w:ascii="Times New Roman" w:hAnsi="Times New Roman"/>
          <w:b/>
          <w:sz w:val="24"/>
          <w:szCs w:val="24"/>
        </w:rPr>
      </w:pPr>
    </w:p>
    <w:p w:rsidR="00B37D8A" w:rsidRDefault="00B37D8A" w:rsidP="00D552A6">
      <w:pPr>
        <w:jc w:val="center"/>
        <w:rPr>
          <w:rFonts w:ascii="Times New Roman" w:hAnsi="Times New Roman"/>
          <w:b/>
          <w:sz w:val="24"/>
          <w:szCs w:val="24"/>
        </w:rPr>
      </w:pPr>
      <w:r>
        <w:rPr>
          <w:rFonts w:ascii="Times New Roman" w:hAnsi="Times New Roman"/>
          <w:b/>
          <w:sz w:val="24"/>
          <w:szCs w:val="24"/>
        </w:rPr>
        <w:t>ARGENTINA</w:t>
      </w:r>
    </w:p>
    <w:p w:rsidR="00B37D8A" w:rsidRDefault="00B37D8A" w:rsidP="00D552A6">
      <w:pPr>
        <w:jc w:val="center"/>
        <w:rPr>
          <w:rFonts w:ascii="Times New Roman" w:hAnsi="Times New Roman"/>
          <w:b/>
          <w:sz w:val="24"/>
          <w:szCs w:val="24"/>
        </w:rPr>
      </w:pPr>
    </w:p>
    <w:p w:rsidR="00B37D8A" w:rsidRPr="00812C06" w:rsidRDefault="00B37D8A" w:rsidP="00D552A6">
      <w:pPr>
        <w:jc w:val="center"/>
        <w:rPr>
          <w:rFonts w:ascii="Times New Roman" w:hAnsi="Times New Roman"/>
          <w:b/>
          <w:sz w:val="24"/>
          <w:szCs w:val="24"/>
        </w:rPr>
      </w:pPr>
      <w:r w:rsidRPr="00812C06">
        <w:rPr>
          <w:rFonts w:ascii="Times New Roman" w:hAnsi="Times New Roman"/>
          <w:b/>
          <w:sz w:val="24"/>
          <w:szCs w:val="24"/>
        </w:rPr>
        <w:t>PROGRAMA DE APOYO AL DESARROLLO TECNOLÓGICO DE MENDOZA</w:t>
      </w:r>
    </w:p>
    <w:p w:rsidR="00B37D8A" w:rsidRPr="009D25F1" w:rsidRDefault="00B37D8A" w:rsidP="00D552A6">
      <w:pPr>
        <w:jc w:val="center"/>
        <w:rPr>
          <w:rFonts w:ascii="Times New Roman" w:hAnsi="Times New Roman"/>
          <w:b/>
          <w:sz w:val="24"/>
          <w:szCs w:val="24"/>
        </w:rPr>
      </w:pPr>
    </w:p>
    <w:p w:rsidR="00B37D8A" w:rsidRPr="009D25F1" w:rsidRDefault="00B37D8A" w:rsidP="00D552A6">
      <w:pPr>
        <w:jc w:val="center"/>
        <w:rPr>
          <w:rFonts w:ascii="Times New Roman" w:hAnsi="Times New Roman"/>
          <w:b/>
          <w:sz w:val="24"/>
          <w:szCs w:val="24"/>
        </w:rPr>
      </w:pPr>
      <w:r w:rsidRPr="009D25F1">
        <w:rPr>
          <w:rFonts w:ascii="Times New Roman" w:hAnsi="Times New Roman"/>
          <w:b/>
          <w:sz w:val="24"/>
          <w:szCs w:val="24"/>
        </w:rPr>
        <w:t xml:space="preserve">Préstamo </w:t>
      </w:r>
      <w:r>
        <w:rPr>
          <w:rFonts w:ascii="Times New Roman" w:hAnsi="Times New Roman"/>
          <w:b/>
          <w:sz w:val="24"/>
          <w:szCs w:val="24"/>
        </w:rPr>
        <w:t>AR–L1157</w:t>
      </w:r>
    </w:p>
    <w:p w:rsidR="00B37D8A" w:rsidRDefault="00B37D8A" w:rsidP="00D552A6">
      <w:pPr>
        <w:rPr>
          <w:rFonts w:ascii="Times New Roman" w:hAnsi="Times New Roman"/>
          <w:b/>
          <w:sz w:val="24"/>
          <w:szCs w:val="24"/>
        </w:rPr>
      </w:pPr>
    </w:p>
    <w:p w:rsidR="00B37D8A" w:rsidRPr="009D25F1" w:rsidRDefault="00B37D8A" w:rsidP="00D552A6">
      <w:pPr>
        <w:rPr>
          <w:rFonts w:ascii="Times New Roman" w:hAnsi="Times New Roman"/>
          <w:b/>
          <w:sz w:val="24"/>
          <w:szCs w:val="24"/>
        </w:rPr>
      </w:pPr>
    </w:p>
    <w:p w:rsidR="00B37D8A" w:rsidRPr="009D25F1" w:rsidRDefault="00B37D8A" w:rsidP="00D552A6">
      <w:pPr>
        <w:jc w:val="center"/>
        <w:rPr>
          <w:rFonts w:ascii="Times New Roman" w:hAnsi="Times New Roman"/>
          <w:b/>
          <w:i/>
          <w:sz w:val="24"/>
          <w:szCs w:val="24"/>
        </w:rPr>
      </w:pPr>
      <w:r>
        <w:rPr>
          <w:rFonts w:ascii="Times New Roman" w:hAnsi="Times New Roman"/>
          <w:b/>
          <w:i/>
          <w:sz w:val="24"/>
          <w:szCs w:val="24"/>
        </w:rPr>
        <w:t>Informe final</w:t>
      </w:r>
    </w:p>
    <w:p w:rsidR="00B37D8A" w:rsidRPr="009D25F1" w:rsidRDefault="00B37D8A" w:rsidP="00D552A6">
      <w:pPr>
        <w:jc w:val="center"/>
        <w:rPr>
          <w:rFonts w:ascii="Times New Roman" w:hAnsi="Times New Roman"/>
          <w:b/>
          <w:sz w:val="24"/>
          <w:szCs w:val="24"/>
        </w:rPr>
      </w:pPr>
    </w:p>
    <w:p w:rsidR="00B37D8A" w:rsidRPr="009D25F1" w:rsidRDefault="00B37D8A" w:rsidP="00D552A6">
      <w:pPr>
        <w:jc w:val="center"/>
        <w:rPr>
          <w:rFonts w:ascii="Times New Roman" w:hAnsi="Times New Roman"/>
          <w:b/>
          <w:sz w:val="24"/>
          <w:szCs w:val="24"/>
        </w:rPr>
      </w:pPr>
    </w:p>
    <w:p w:rsidR="00B37D8A" w:rsidRPr="009D25F1" w:rsidRDefault="00B37D8A" w:rsidP="00D552A6">
      <w:pPr>
        <w:jc w:val="center"/>
        <w:rPr>
          <w:rFonts w:ascii="Times New Roman" w:hAnsi="Times New Roman"/>
          <w:b/>
          <w:sz w:val="24"/>
          <w:szCs w:val="24"/>
        </w:rPr>
      </w:pPr>
      <w:r w:rsidRPr="00701492">
        <w:rPr>
          <w:rFonts w:ascii="Times New Roman" w:hAnsi="Times New Roman"/>
          <w:b/>
          <w:sz w:val="24"/>
          <w:szCs w:val="24"/>
        </w:rPr>
        <w:t>Anabel Marín</w:t>
      </w:r>
      <w:r w:rsidR="00B32720">
        <w:rPr>
          <w:rFonts w:ascii="Times New Roman" w:hAnsi="Times New Roman"/>
          <w:b/>
          <w:sz w:val="24"/>
          <w:szCs w:val="24"/>
        </w:rPr>
        <w:t>, Jose Castro, Fernando Graña y Lucía Mauro</w:t>
      </w:r>
    </w:p>
    <w:p w:rsidR="00B37D8A" w:rsidRDefault="00B37D8A" w:rsidP="00D552A6">
      <w:pPr>
        <w:jc w:val="center"/>
        <w:rPr>
          <w:rFonts w:ascii="Times New Roman" w:hAnsi="Times New Roman"/>
          <w:b/>
          <w:sz w:val="24"/>
          <w:szCs w:val="24"/>
        </w:rPr>
      </w:pPr>
    </w:p>
    <w:p w:rsidR="00B37D8A" w:rsidRDefault="00B37D8A" w:rsidP="00D552A6">
      <w:pPr>
        <w:jc w:val="center"/>
        <w:rPr>
          <w:rFonts w:ascii="Times New Roman" w:hAnsi="Times New Roman"/>
          <w:b/>
          <w:sz w:val="24"/>
          <w:szCs w:val="24"/>
        </w:rPr>
      </w:pPr>
    </w:p>
    <w:p w:rsidR="00B37D8A" w:rsidRPr="009D25F1" w:rsidRDefault="00B37D8A" w:rsidP="00D552A6">
      <w:pPr>
        <w:jc w:val="center"/>
        <w:rPr>
          <w:rFonts w:ascii="Times New Roman" w:hAnsi="Times New Roman"/>
          <w:b/>
          <w:sz w:val="24"/>
          <w:szCs w:val="24"/>
        </w:rPr>
      </w:pPr>
    </w:p>
    <w:p w:rsidR="00B37D8A" w:rsidRPr="009D25F1" w:rsidRDefault="00B37D8A" w:rsidP="00D552A6">
      <w:pPr>
        <w:jc w:val="center"/>
        <w:rPr>
          <w:rFonts w:ascii="Times New Roman" w:hAnsi="Times New Roman"/>
          <w:b/>
          <w:sz w:val="24"/>
          <w:szCs w:val="24"/>
        </w:rPr>
      </w:pPr>
      <w:r>
        <w:rPr>
          <w:rFonts w:ascii="Times New Roman" w:hAnsi="Times New Roman"/>
          <w:b/>
          <w:sz w:val="24"/>
          <w:szCs w:val="24"/>
        </w:rPr>
        <w:t xml:space="preserve">Julio </w:t>
      </w:r>
      <w:r w:rsidRPr="009D25F1">
        <w:rPr>
          <w:rFonts w:ascii="Times New Roman" w:hAnsi="Times New Roman"/>
          <w:b/>
          <w:sz w:val="24"/>
          <w:szCs w:val="24"/>
        </w:rPr>
        <w:t>de 2013</w:t>
      </w:r>
    </w:p>
    <w:p w:rsidR="00B37D8A" w:rsidRDefault="00B37D8A" w:rsidP="0032796E">
      <w:pPr>
        <w:pStyle w:val="Heading1"/>
        <w:rPr>
          <w:rFonts w:ascii="Times New Roman" w:hAnsi="Times New Roman"/>
          <w:lang w:val="es-ES"/>
        </w:rPr>
      </w:pPr>
      <w:r w:rsidRPr="009D25F1">
        <w:rPr>
          <w:rFonts w:ascii="Times New Roman" w:hAnsi="Times New Roman"/>
          <w:sz w:val="24"/>
          <w:szCs w:val="24"/>
        </w:rPr>
        <w:br w:type="page"/>
      </w:r>
      <w:bookmarkStart w:id="0" w:name="_Toc362804594"/>
      <w:bookmarkStart w:id="1" w:name="_Toc312978044"/>
      <w:bookmarkStart w:id="2" w:name="Def"/>
      <w:r w:rsidRPr="0032796E">
        <w:rPr>
          <w:rFonts w:ascii="Times New Roman" w:hAnsi="Times New Roman"/>
          <w:lang w:val="es-ES"/>
        </w:rPr>
        <w:lastRenderedPageBreak/>
        <w:t>Índice</w:t>
      </w:r>
      <w:bookmarkEnd w:id="0"/>
    </w:p>
    <w:p w:rsidR="00B37D8A" w:rsidRPr="0032796E" w:rsidRDefault="00B37D8A" w:rsidP="0032796E">
      <w:pPr>
        <w:rPr>
          <w:lang w:val="es-ES" w:eastAsia="es-ES"/>
        </w:rPr>
      </w:pPr>
    </w:p>
    <w:p w:rsidR="00B37D8A" w:rsidRPr="00986D76" w:rsidRDefault="00455BE0" w:rsidP="00986D76">
      <w:pPr>
        <w:pStyle w:val="TOC1"/>
        <w:tabs>
          <w:tab w:val="right" w:leader="dot" w:pos="10070"/>
        </w:tabs>
        <w:rPr>
          <w:rFonts w:ascii="Times New Roman" w:hAnsi="Times New Roman"/>
          <w:noProof/>
          <w:sz w:val="28"/>
          <w:szCs w:val="24"/>
          <w:lang w:val="es-ES" w:eastAsia="es-ES"/>
        </w:rPr>
      </w:pPr>
      <w:r w:rsidRPr="00455BE0">
        <w:rPr>
          <w:rFonts w:ascii="Times New Roman" w:hAnsi="Times New Roman"/>
          <w:sz w:val="24"/>
          <w:szCs w:val="24"/>
        </w:rPr>
        <w:fldChar w:fldCharType="begin"/>
      </w:r>
      <w:r w:rsidR="00B37D8A" w:rsidRPr="00900C2D">
        <w:rPr>
          <w:rFonts w:ascii="Times New Roman" w:hAnsi="Times New Roman"/>
          <w:sz w:val="24"/>
          <w:szCs w:val="24"/>
        </w:rPr>
        <w:instrText xml:space="preserve"> TOC \o "1-3" \h \z \u </w:instrText>
      </w:r>
      <w:r w:rsidRPr="00455BE0">
        <w:rPr>
          <w:rFonts w:ascii="Times New Roman" w:hAnsi="Times New Roman"/>
          <w:sz w:val="24"/>
          <w:szCs w:val="24"/>
        </w:rPr>
        <w:fldChar w:fldCharType="separate"/>
      </w:r>
      <w:hyperlink w:anchor="_Toc362804594" w:history="1">
        <w:r w:rsidR="00B37D8A" w:rsidRPr="00986D76">
          <w:rPr>
            <w:rStyle w:val="Hyperlink"/>
            <w:rFonts w:ascii="Times New Roman" w:hAnsi="Times New Roman"/>
            <w:noProof/>
            <w:sz w:val="24"/>
            <w:lang w:val="es-ES"/>
          </w:rPr>
          <w:t>Índice</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_Toc362804594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2</w:t>
        </w:r>
        <w:r w:rsidRPr="00986D76">
          <w:rPr>
            <w:rFonts w:ascii="Times New Roman" w:hAnsi="Times New Roman"/>
            <w:noProof/>
            <w:webHidden/>
            <w:sz w:val="24"/>
          </w:rPr>
          <w:fldChar w:fldCharType="end"/>
        </w:r>
      </w:hyperlink>
    </w:p>
    <w:p w:rsidR="00B37D8A" w:rsidRPr="00986D76" w:rsidRDefault="00455BE0" w:rsidP="00986D76">
      <w:pPr>
        <w:pStyle w:val="TOC1"/>
        <w:tabs>
          <w:tab w:val="right" w:leader="dot" w:pos="10070"/>
        </w:tabs>
        <w:rPr>
          <w:rFonts w:ascii="Times New Roman" w:hAnsi="Times New Roman"/>
          <w:noProof/>
          <w:sz w:val="28"/>
          <w:szCs w:val="24"/>
          <w:lang w:val="es-ES" w:eastAsia="es-ES"/>
        </w:rPr>
      </w:pPr>
      <w:hyperlink w:anchor="_Toc362804595" w:history="1">
        <w:r w:rsidR="00B37D8A" w:rsidRPr="00986D76">
          <w:rPr>
            <w:rStyle w:val="Hyperlink"/>
            <w:rFonts w:ascii="Times New Roman" w:hAnsi="Times New Roman"/>
            <w:noProof/>
            <w:sz w:val="24"/>
            <w:lang w:val="es-ES"/>
          </w:rPr>
          <w:t>Siglas y abreviaturas</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_Toc362804595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4</w:t>
        </w:r>
        <w:r w:rsidRPr="00986D76">
          <w:rPr>
            <w:rFonts w:ascii="Times New Roman" w:hAnsi="Times New Roman"/>
            <w:noProof/>
            <w:webHidden/>
            <w:sz w:val="24"/>
          </w:rPr>
          <w:fldChar w:fldCharType="end"/>
        </w:r>
      </w:hyperlink>
    </w:p>
    <w:p w:rsidR="00B37D8A" w:rsidRPr="00986D76" w:rsidRDefault="00455BE0" w:rsidP="00986D76">
      <w:pPr>
        <w:pStyle w:val="TOC1"/>
        <w:tabs>
          <w:tab w:val="right" w:leader="dot" w:pos="10070"/>
        </w:tabs>
        <w:rPr>
          <w:rFonts w:ascii="Times New Roman" w:hAnsi="Times New Roman"/>
          <w:noProof/>
          <w:sz w:val="28"/>
          <w:szCs w:val="24"/>
          <w:lang w:val="es-ES" w:eastAsia="es-ES"/>
        </w:rPr>
      </w:pPr>
      <w:hyperlink w:anchor="_Toc362804596" w:history="1">
        <w:r w:rsidR="00B37D8A" w:rsidRPr="00986D76">
          <w:rPr>
            <w:rStyle w:val="Hyperlink"/>
            <w:rFonts w:ascii="Times New Roman" w:hAnsi="Times New Roman"/>
            <w:noProof/>
            <w:sz w:val="24"/>
            <w:lang w:val="es-ES"/>
          </w:rPr>
          <w:t>Capítulo 1: Introducción</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_Toc362804596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5</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597" w:history="1">
        <w:r w:rsidR="00B37D8A" w:rsidRPr="00986D76">
          <w:rPr>
            <w:rStyle w:val="Hyperlink"/>
            <w:rFonts w:ascii="Times New Roman" w:hAnsi="Times New Roman"/>
            <w:noProof/>
            <w:sz w:val="24"/>
            <w:lang w:val="es-ES_tradnl"/>
          </w:rPr>
          <w:t>Objetivos de la consultoría</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_Toc362804597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6</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598" w:history="1">
        <w:r w:rsidR="00B37D8A" w:rsidRPr="00986D76">
          <w:rPr>
            <w:rStyle w:val="Hyperlink"/>
            <w:rFonts w:ascii="Times New Roman" w:hAnsi="Times New Roman"/>
            <w:noProof/>
            <w:sz w:val="24"/>
            <w:lang w:val="es-ES_tradnl"/>
          </w:rPr>
          <w:t>Fuentes de información</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_Toc362804598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6</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599" w:history="1">
        <w:r w:rsidR="00B37D8A" w:rsidRPr="00986D76">
          <w:rPr>
            <w:rStyle w:val="Hyperlink"/>
            <w:rFonts w:ascii="Times New Roman" w:hAnsi="Times New Roman"/>
            <w:noProof/>
            <w:sz w:val="24"/>
            <w:lang w:val="es-ES_tradnl"/>
          </w:rPr>
          <w:t>Alcance del trabajo</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_Toc362804599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7</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600" w:history="1">
        <w:r w:rsidR="00B37D8A" w:rsidRPr="00986D76">
          <w:rPr>
            <w:rStyle w:val="Hyperlink"/>
            <w:rFonts w:ascii="Times New Roman" w:hAnsi="Times New Roman"/>
            <w:noProof/>
            <w:sz w:val="24"/>
            <w:lang w:val="es-ES_tradnl"/>
          </w:rPr>
          <w:t>Metodología utilizada</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_Toc362804600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7</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601" w:history="1">
        <w:r w:rsidR="00B37D8A" w:rsidRPr="00986D76">
          <w:rPr>
            <w:rStyle w:val="Hyperlink"/>
            <w:rFonts w:ascii="Times New Roman" w:hAnsi="Times New Roman"/>
            <w:noProof/>
            <w:sz w:val="24"/>
            <w:lang w:val="es-ES_tradnl"/>
          </w:rPr>
          <w:t>Contenidos del trabajo</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_Toc362804601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8</w:t>
        </w:r>
        <w:r w:rsidRPr="00986D76">
          <w:rPr>
            <w:rFonts w:ascii="Times New Roman" w:hAnsi="Times New Roman"/>
            <w:noProof/>
            <w:webHidden/>
            <w:sz w:val="24"/>
          </w:rPr>
          <w:fldChar w:fldCharType="end"/>
        </w:r>
      </w:hyperlink>
    </w:p>
    <w:p w:rsidR="00B37D8A" w:rsidRPr="00986D76" w:rsidRDefault="00455BE0" w:rsidP="00986D76">
      <w:pPr>
        <w:pStyle w:val="TOC1"/>
        <w:tabs>
          <w:tab w:val="right" w:leader="dot" w:pos="10070"/>
        </w:tabs>
        <w:rPr>
          <w:rFonts w:ascii="Times New Roman" w:hAnsi="Times New Roman"/>
          <w:noProof/>
          <w:sz w:val="28"/>
          <w:szCs w:val="24"/>
          <w:lang w:val="es-ES" w:eastAsia="es-ES"/>
        </w:rPr>
      </w:pPr>
      <w:hyperlink w:anchor="_Toc362804602" w:history="1">
        <w:r w:rsidR="00B37D8A" w:rsidRPr="00986D76">
          <w:rPr>
            <w:rStyle w:val="Hyperlink"/>
            <w:rFonts w:ascii="Times New Roman" w:hAnsi="Times New Roman"/>
            <w:noProof/>
            <w:sz w:val="24"/>
            <w:lang w:val="es-ES"/>
          </w:rPr>
          <w:t xml:space="preserve">Capítulo 2. </w:t>
        </w:r>
        <w:r w:rsidR="00B37D8A" w:rsidRPr="00986D76">
          <w:rPr>
            <w:rStyle w:val="Hyperlink"/>
            <w:rFonts w:ascii="Times New Roman" w:hAnsi="Times New Roman"/>
            <w:noProof/>
            <w:sz w:val="24"/>
            <w:lang w:val="es-ES_tradnl"/>
          </w:rPr>
          <w:t>Análisis costo-beneficio del Subcomponente I.i: Finalización de la RPN82</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_Toc362804602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9</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603" w:history="1">
        <w:r w:rsidR="00B37D8A" w:rsidRPr="00986D76">
          <w:rPr>
            <w:rStyle w:val="Hyperlink"/>
            <w:rFonts w:ascii="Times New Roman" w:hAnsi="Times New Roman"/>
            <w:noProof/>
            <w:sz w:val="24"/>
            <w:lang w:val="es-ES_tradnl"/>
          </w:rPr>
          <w:t>Breve descripción del proyecto</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_Toc362804603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9</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604" w:history="1">
        <w:r w:rsidR="00B37D8A" w:rsidRPr="00986D76">
          <w:rPr>
            <w:rStyle w:val="Hyperlink"/>
            <w:rFonts w:ascii="Times New Roman" w:hAnsi="Times New Roman"/>
            <w:noProof/>
            <w:sz w:val="24"/>
            <w:lang w:val="es-ES_tradnl"/>
          </w:rPr>
          <w:t>Estimación de beneficios y costos</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_Toc362804604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10</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605" w:history="1">
        <w:r w:rsidR="00B37D8A" w:rsidRPr="00986D76">
          <w:rPr>
            <w:rStyle w:val="Hyperlink"/>
            <w:rFonts w:ascii="Times New Roman" w:hAnsi="Times New Roman"/>
            <w:noProof/>
            <w:sz w:val="24"/>
            <w:lang w:val="es-ES_tradnl"/>
          </w:rPr>
          <w:t>Supuestos del análisis</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_Toc362804605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12</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606" w:history="1">
        <w:r w:rsidR="00B37D8A" w:rsidRPr="00986D76">
          <w:rPr>
            <w:rStyle w:val="Hyperlink"/>
            <w:rFonts w:ascii="Times New Roman" w:hAnsi="Times New Roman"/>
            <w:noProof/>
            <w:sz w:val="24"/>
            <w:lang w:val="es-ES_tradnl"/>
          </w:rPr>
          <w:t>Análisis económico y resultados</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_Toc362804606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13</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607" w:history="1">
        <w:r w:rsidR="00B37D8A" w:rsidRPr="00986D76">
          <w:rPr>
            <w:rStyle w:val="Hyperlink"/>
            <w:rFonts w:ascii="Times New Roman" w:hAnsi="Times New Roman"/>
            <w:noProof/>
            <w:sz w:val="24"/>
            <w:lang w:val="es-ES_tradnl"/>
          </w:rPr>
          <w:t>Análisis de sensibilidad</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_Toc362804607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14</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608" w:history="1">
        <w:r w:rsidR="00B37D8A" w:rsidRPr="00986D76">
          <w:rPr>
            <w:rStyle w:val="Hyperlink"/>
            <w:rFonts w:ascii="Times New Roman" w:hAnsi="Times New Roman"/>
            <w:noProof/>
            <w:sz w:val="24"/>
            <w:lang w:val="es-ES"/>
          </w:rPr>
          <w:t>Conclusiones</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_Toc362804608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15</w:t>
        </w:r>
        <w:r w:rsidRPr="00986D76">
          <w:rPr>
            <w:rFonts w:ascii="Times New Roman" w:hAnsi="Times New Roman"/>
            <w:noProof/>
            <w:webHidden/>
            <w:sz w:val="24"/>
          </w:rPr>
          <w:fldChar w:fldCharType="end"/>
        </w:r>
      </w:hyperlink>
    </w:p>
    <w:p w:rsidR="00B37D8A" w:rsidRPr="00986D76" w:rsidRDefault="00455BE0" w:rsidP="00986D76">
      <w:pPr>
        <w:pStyle w:val="TOC1"/>
        <w:tabs>
          <w:tab w:val="right" w:leader="dot" w:pos="10070"/>
        </w:tabs>
        <w:rPr>
          <w:rFonts w:ascii="Times New Roman" w:hAnsi="Times New Roman"/>
          <w:noProof/>
          <w:sz w:val="28"/>
          <w:szCs w:val="24"/>
          <w:lang w:val="es-ES" w:eastAsia="es-ES"/>
        </w:rPr>
      </w:pPr>
      <w:hyperlink w:anchor="_Toc362804609" w:history="1">
        <w:r w:rsidR="00B37D8A" w:rsidRPr="00986D76">
          <w:rPr>
            <w:rStyle w:val="Hyperlink"/>
            <w:rFonts w:ascii="Times New Roman" w:hAnsi="Times New Roman"/>
            <w:noProof/>
            <w:sz w:val="24"/>
            <w:lang w:val="es-ES"/>
          </w:rPr>
          <w:t>Capítulo 3. Análisis costo beneficio del Subcomponente I.ii: Nueva Zona Primaria Aduanera (ZPA)</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_Toc362804609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16</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610" w:history="1">
        <w:r w:rsidR="00B37D8A" w:rsidRPr="00986D76">
          <w:rPr>
            <w:rStyle w:val="Hyperlink"/>
            <w:rFonts w:ascii="Times New Roman" w:hAnsi="Times New Roman"/>
            <w:noProof/>
            <w:sz w:val="24"/>
            <w:lang w:val="es-ES_tradnl"/>
          </w:rPr>
          <w:t>Breve descripción del proyecto</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_Toc362804610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16</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611" w:history="1">
        <w:r w:rsidR="00B37D8A" w:rsidRPr="00986D76">
          <w:rPr>
            <w:rStyle w:val="Hyperlink"/>
            <w:rFonts w:ascii="Times New Roman" w:hAnsi="Times New Roman"/>
            <w:noProof/>
            <w:sz w:val="24"/>
            <w:lang w:val="es-ES_tradnl"/>
          </w:rPr>
          <w:t>Estimación de beneficios y costos</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_Toc362804611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17</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612" w:history="1">
        <w:r w:rsidR="00B37D8A" w:rsidRPr="00986D76">
          <w:rPr>
            <w:rStyle w:val="Hyperlink"/>
            <w:rFonts w:ascii="Times New Roman" w:hAnsi="Times New Roman"/>
            <w:noProof/>
            <w:sz w:val="24"/>
            <w:lang w:val="es-ES_tradnl"/>
          </w:rPr>
          <w:t>Supuestos del análisis</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_Toc362804612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23</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613" w:history="1">
        <w:r w:rsidR="00B37D8A" w:rsidRPr="00986D76">
          <w:rPr>
            <w:rStyle w:val="Hyperlink"/>
            <w:rFonts w:ascii="Times New Roman" w:hAnsi="Times New Roman"/>
            <w:noProof/>
            <w:sz w:val="24"/>
            <w:lang w:val="es-ES_tradnl"/>
          </w:rPr>
          <w:t>Análisis económico y resultados</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_Toc362804613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24</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614" w:history="1">
        <w:r w:rsidR="00B37D8A" w:rsidRPr="00986D76">
          <w:rPr>
            <w:rStyle w:val="Hyperlink"/>
            <w:rFonts w:ascii="Times New Roman" w:hAnsi="Times New Roman"/>
            <w:noProof/>
            <w:sz w:val="24"/>
            <w:lang w:val="es-ES_tradnl"/>
          </w:rPr>
          <w:t>Análisis de sensibilidad</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_Toc362804614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24</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615" w:history="1">
        <w:r w:rsidR="00B37D8A" w:rsidRPr="00986D76">
          <w:rPr>
            <w:rStyle w:val="Hyperlink"/>
            <w:rFonts w:ascii="Times New Roman" w:hAnsi="Times New Roman"/>
            <w:noProof/>
            <w:sz w:val="24"/>
            <w:lang w:val="es-ES_tradnl"/>
          </w:rPr>
          <w:t>Conclusiones</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_Toc362804615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26</w:t>
        </w:r>
        <w:r w:rsidRPr="00986D76">
          <w:rPr>
            <w:rFonts w:ascii="Times New Roman" w:hAnsi="Times New Roman"/>
            <w:noProof/>
            <w:webHidden/>
            <w:sz w:val="24"/>
          </w:rPr>
          <w:fldChar w:fldCharType="end"/>
        </w:r>
      </w:hyperlink>
    </w:p>
    <w:p w:rsidR="00B37D8A" w:rsidRPr="00986D76" w:rsidRDefault="00455BE0" w:rsidP="00986D76">
      <w:pPr>
        <w:pStyle w:val="TOC1"/>
        <w:tabs>
          <w:tab w:val="right" w:leader="dot" w:pos="10070"/>
        </w:tabs>
        <w:rPr>
          <w:rFonts w:ascii="Times New Roman" w:hAnsi="Times New Roman"/>
          <w:noProof/>
          <w:sz w:val="28"/>
          <w:szCs w:val="24"/>
          <w:lang w:val="es-ES" w:eastAsia="es-ES"/>
        </w:rPr>
      </w:pPr>
      <w:hyperlink w:anchor="_Toc362804616" w:history="1">
        <w:r w:rsidR="00B37D8A" w:rsidRPr="00986D76">
          <w:rPr>
            <w:rStyle w:val="Hyperlink"/>
            <w:rFonts w:ascii="Times New Roman" w:hAnsi="Times New Roman"/>
            <w:noProof/>
            <w:sz w:val="24"/>
            <w:lang w:val="es-ES"/>
          </w:rPr>
          <w:t>Capítulo 4. Análisis costo beneficio del Subcomponente II.i: Creación del Parque Biotecnológico y de Energías Renovables</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_Toc362804616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27</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617" w:history="1">
        <w:r w:rsidR="00B37D8A" w:rsidRPr="00986D76">
          <w:rPr>
            <w:rStyle w:val="Hyperlink"/>
            <w:rFonts w:ascii="Times New Roman" w:hAnsi="Times New Roman"/>
            <w:noProof/>
            <w:sz w:val="24"/>
            <w:lang w:val="es-ES_tradnl"/>
          </w:rPr>
          <w:t>Breve descripción del proyecto</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_Toc362804617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27</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618" w:history="1">
        <w:r w:rsidR="00B37D8A" w:rsidRPr="00986D76">
          <w:rPr>
            <w:rStyle w:val="Hyperlink"/>
            <w:rFonts w:ascii="Times New Roman" w:hAnsi="Times New Roman"/>
            <w:noProof/>
            <w:sz w:val="24"/>
            <w:lang w:val="es-ES_tradnl"/>
          </w:rPr>
          <w:t>Estimación de beneficios y costos</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_Toc362804618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28</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619" w:history="1">
        <w:r w:rsidR="00B37D8A" w:rsidRPr="00986D76">
          <w:rPr>
            <w:rStyle w:val="Hyperlink"/>
            <w:rFonts w:ascii="Times New Roman" w:hAnsi="Times New Roman"/>
            <w:noProof/>
            <w:sz w:val="24"/>
          </w:rPr>
          <w:t>Supuestos del análisis</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_Toc362804619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33</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620" w:history="1">
        <w:r w:rsidR="00B37D8A" w:rsidRPr="00986D76">
          <w:rPr>
            <w:rStyle w:val="Hyperlink"/>
            <w:rFonts w:ascii="Times New Roman" w:hAnsi="Times New Roman"/>
            <w:noProof/>
            <w:sz w:val="24"/>
            <w:lang w:val="es-ES_tradnl"/>
          </w:rPr>
          <w:t>Análisis económico y resultados</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_Toc362804620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34</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621" w:history="1">
        <w:r w:rsidR="00B37D8A" w:rsidRPr="00986D76">
          <w:rPr>
            <w:rStyle w:val="Hyperlink"/>
            <w:rFonts w:ascii="Times New Roman" w:hAnsi="Times New Roman"/>
            <w:noProof/>
            <w:sz w:val="24"/>
            <w:lang w:val="es-ES_tradnl"/>
          </w:rPr>
          <w:t>Análisis de sensibilidad</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_Toc362804621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34</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622" w:history="1">
        <w:r w:rsidR="00B37D8A" w:rsidRPr="00986D76">
          <w:rPr>
            <w:rStyle w:val="Hyperlink"/>
            <w:rFonts w:ascii="Times New Roman" w:hAnsi="Times New Roman"/>
            <w:noProof/>
            <w:sz w:val="24"/>
            <w:lang w:val="es-ES"/>
          </w:rPr>
          <w:t>Conclusiones</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_Toc362804622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37</w:t>
        </w:r>
        <w:r w:rsidRPr="00986D76">
          <w:rPr>
            <w:rFonts w:ascii="Times New Roman" w:hAnsi="Times New Roman"/>
            <w:noProof/>
            <w:webHidden/>
            <w:sz w:val="24"/>
          </w:rPr>
          <w:fldChar w:fldCharType="end"/>
        </w:r>
      </w:hyperlink>
    </w:p>
    <w:p w:rsidR="00B37D8A" w:rsidRPr="00986D76" w:rsidRDefault="00455BE0" w:rsidP="00986D76">
      <w:pPr>
        <w:pStyle w:val="TOC1"/>
        <w:tabs>
          <w:tab w:val="right" w:leader="dot" w:pos="10070"/>
        </w:tabs>
        <w:rPr>
          <w:rFonts w:ascii="Times New Roman" w:hAnsi="Times New Roman"/>
          <w:noProof/>
          <w:sz w:val="28"/>
          <w:szCs w:val="24"/>
          <w:lang w:val="es-ES" w:eastAsia="es-ES"/>
        </w:rPr>
      </w:pPr>
      <w:hyperlink w:anchor="_Toc362804623" w:history="1">
        <w:r w:rsidR="00B37D8A" w:rsidRPr="00986D76">
          <w:rPr>
            <w:rStyle w:val="Hyperlink"/>
            <w:rFonts w:ascii="Times New Roman" w:hAnsi="Times New Roman"/>
            <w:noProof/>
            <w:sz w:val="24"/>
            <w:lang w:val="es-ES"/>
          </w:rPr>
          <w:t>Capítulo 5. Análisis costo-beneficio del Subcomponente II.ii: Construcción de un Polo de Conocimiento</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_Toc362804623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38</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624" w:history="1">
        <w:r w:rsidR="00B37D8A" w:rsidRPr="00986D76">
          <w:rPr>
            <w:rStyle w:val="Hyperlink"/>
            <w:rFonts w:ascii="Times New Roman" w:hAnsi="Times New Roman"/>
            <w:noProof/>
            <w:sz w:val="24"/>
            <w:lang w:val="es-ES_tradnl"/>
          </w:rPr>
          <w:t>Breve descripción del proyecto</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_Toc362804624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38</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625" w:history="1">
        <w:r w:rsidR="00B37D8A" w:rsidRPr="00986D76">
          <w:rPr>
            <w:rStyle w:val="Hyperlink"/>
            <w:rFonts w:ascii="Times New Roman" w:hAnsi="Times New Roman"/>
            <w:noProof/>
            <w:sz w:val="24"/>
            <w:lang w:val="es-ES_tradnl"/>
          </w:rPr>
          <w:t>Estimación de beneficios y costos</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_Toc362804625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39</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626" w:history="1">
        <w:r w:rsidR="00B37D8A" w:rsidRPr="00986D76">
          <w:rPr>
            <w:rStyle w:val="Hyperlink"/>
            <w:rFonts w:ascii="Times New Roman" w:hAnsi="Times New Roman"/>
            <w:noProof/>
            <w:sz w:val="24"/>
          </w:rPr>
          <w:t>Supuestos del análisis</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_Toc362804626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41</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627" w:history="1">
        <w:r w:rsidR="00B37D8A" w:rsidRPr="00986D76">
          <w:rPr>
            <w:rStyle w:val="Hyperlink"/>
            <w:rFonts w:ascii="Times New Roman" w:hAnsi="Times New Roman"/>
            <w:noProof/>
            <w:sz w:val="24"/>
            <w:lang w:val="es-ES_tradnl"/>
          </w:rPr>
          <w:t>Análisis económico y resultados</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_Toc362804627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42</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628" w:history="1">
        <w:r w:rsidR="00B37D8A" w:rsidRPr="00986D76">
          <w:rPr>
            <w:rStyle w:val="Hyperlink"/>
            <w:rFonts w:ascii="Times New Roman" w:hAnsi="Times New Roman"/>
            <w:noProof/>
            <w:sz w:val="24"/>
            <w:lang w:val="es-ES_tradnl"/>
          </w:rPr>
          <w:t>Análisis de sensibilidad</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_Toc362804628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43</w:t>
        </w:r>
        <w:r w:rsidRPr="00986D76">
          <w:rPr>
            <w:rFonts w:ascii="Times New Roman" w:hAnsi="Times New Roman"/>
            <w:noProof/>
            <w:webHidden/>
            <w:sz w:val="24"/>
          </w:rPr>
          <w:fldChar w:fldCharType="end"/>
        </w:r>
      </w:hyperlink>
    </w:p>
    <w:p w:rsidR="00B37D8A" w:rsidRPr="00986D76" w:rsidRDefault="00455BE0" w:rsidP="00986D76">
      <w:pPr>
        <w:pStyle w:val="TOC2"/>
        <w:tabs>
          <w:tab w:val="right" w:leader="dot" w:pos="10070"/>
        </w:tabs>
        <w:rPr>
          <w:rFonts w:ascii="Times New Roman" w:hAnsi="Times New Roman"/>
          <w:noProof/>
          <w:sz w:val="28"/>
          <w:szCs w:val="24"/>
          <w:lang w:val="es-ES" w:eastAsia="es-ES"/>
        </w:rPr>
      </w:pPr>
      <w:hyperlink w:anchor="_Toc362804629" w:history="1">
        <w:r w:rsidR="00B37D8A" w:rsidRPr="00986D76">
          <w:rPr>
            <w:rStyle w:val="Hyperlink"/>
            <w:rFonts w:ascii="Times New Roman" w:hAnsi="Times New Roman"/>
            <w:noProof/>
            <w:sz w:val="24"/>
            <w:lang w:val="es-ES_tradnl"/>
          </w:rPr>
          <w:t>Conclusiones</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_Toc362804629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44</w:t>
        </w:r>
        <w:r w:rsidRPr="00986D76">
          <w:rPr>
            <w:rFonts w:ascii="Times New Roman" w:hAnsi="Times New Roman"/>
            <w:noProof/>
            <w:webHidden/>
            <w:sz w:val="24"/>
          </w:rPr>
          <w:fldChar w:fldCharType="end"/>
        </w:r>
      </w:hyperlink>
    </w:p>
    <w:p w:rsidR="00B37D8A" w:rsidRPr="00986D76" w:rsidRDefault="00455BE0" w:rsidP="00986D76">
      <w:pPr>
        <w:pStyle w:val="TOC1"/>
        <w:tabs>
          <w:tab w:val="right" w:leader="dot" w:pos="10070"/>
        </w:tabs>
        <w:rPr>
          <w:rFonts w:ascii="Times New Roman" w:hAnsi="Times New Roman"/>
          <w:noProof/>
          <w:sz w:val="28"/>
          <w:szCs w:val="24"/>
          <w:lang w:val="es-ES" w:eastAsia="es-ES"/>
        </w:rPr>
      </w:pPr>
      <w:hyperlink w:anchor="_Toc362804630" w:history="1">
        <w:r w:rsidR="00B37D8A" w:rsidRPr="00986D76">
          <w:rPr>
            <w:rStyle w:val="Hyperlink"/>
            <w:rFonts w:ascii="Times New Roman" w:hAnsi="Times New Roman"/>
            <w:noProof/>
            <w:sz w:val="24"/>
            <w:lang w:val="es-ES"/>
          </w:rPr>
          <w:t>Capítulo 6. Conclusiones y análisis conjunto de los subcomponentes</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_Toc362804630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45</w:t>
        </w:r>
        <w:r w:rsidRPr="00986D76">
          <w:rPr>
            <w:rFonts w:ascii="Times New Roman" w:hAnsi="Times New Roman"/>
            <w:noProof/>
            <w:webHidden/>
            <w:sz w:val="24"/>
          </w:rPr>
          <w:fldChar w:fldCharType="end"/>
        </w:r>
      </w:hyperlink>
    </w:p>
    <w:p w:rsidR="00B37D8A" w:rsidRPr="00986D76" w:rsidRDefault="00455BE0" w:rsidP="00986D76">
      <w:pPr>
        <w:pStyle w:val="TOC1"/>
        <w:tabs>
          <w:tab w:val="right" w:leader="dot" w:pos="10070"/>
        </w:tabs>
        <w:rPr>
          <w:rFonts w:ascii="Times New Roman" w:hAnsi="Times New Roman"/>
          <w:noProof/>
          <w:sz w:val="28"/>
          <w:szCs w:val="24"/>
          <w:lang w:val="es-ES" w:eastAsia="es-ES"/>
        </w:rPr>
      </w:pPr>
      <w:hyperlink w:anchor="_Toc362804631" w:history="1">
        <w:r w:rsidR="00B37D8A" w:rsidRPr="00986D76">
          <w:rPr>
            <w:rStyle w:val="Hyperlink"/>
            <w:rFonts w:ascii="Times New Roman" w:hAnsi="Times New Roman"/>
            <w:noProof/>
            <w:sz w:val="24"/>
            <w:lang w:val="es-ES"/>
          </w:rPr>
          <w:t>Anexo 1: Tablas</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_Toc362804631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46</w:t>
        </w:r>
        <w:r w:rsidRPr="00986D76">
          <w:rPr>
            <w:rFonts w:ascii="Times New Roman" w:hAnsi="Times New Roman"/>
            <w:noProof/>
            <w:webHidden/>
            <w:sz w:val="24"/>
          </w:rPr>
          <w:fldChar w:fldCharType="end"/>
        </w:r>
      </w:hyperlink>
    </w:p>
    <w:p w:rsidR="00B37D8A" w:rsidRPr="00986D76" w:rsidRDefault="00455BE0" w:rsidP="00986D76">
      <w:pPr>
        <w:pStyle w:val="TOC1"/>
        <w:tabs>
          <w:tab w:val="right" w:leader="dot" w:pos="10070"/>
        </w:tabs>
        <w:rPr>
          <w:rFonts w:ascii="Times New Roman" w:hAnsi="Times New Roman"/>
          <w:noProof/>
          <w:sz w:val="28"/>
          <w:szCs w:val="24"/>
          <w:lang w:val="es-ES" w:eastAsia="es-ES"/>
        </w:rPr>
      </w:pPr>
      <w:hyperlink w:anchor="_Toc362804632" w:history="1">
        <w:r w:rsidR="00B37D8A" w:rsidRPr="00986D76">
          <w:rPr>
            <w:rStyle w:val="Hyperlink"/>
            <w:rFonts w:ascii="Times New Roman" w:hAnsi="Times New Roman"/>
            <w:noProof/>
            <w:sz w:val="24"/>
            <w:lang w:val="es-ES"/>
          </w:rPr>
          <w:t>Bibliografía, documentación y fuentes de información</w:t>
        </w:r>
        <w:r w:rsidR="00B37D8A" w:rsidRPr="00986D76">
          <w:rPr>
            <w:rFonts w:ascii="Times New Roman" w:hAnsi="Times New Roman"/>
            <w:noProof/>
            <w:webHidden/>
            <w:sz w:val="24"/>
          </w:rPr>
          <w:tab/>
        </w:r>
        <w:r w:rsidRPr="00986D76">
          <w:rPr>
            <w:rFonts w:ascii="Times New Roman" w:hAnsi="Times New Roman"/>
            <w:noProof/>
            <w:webHidden/>
            <w:sz w:val="24"/>
          </w:rPr>
          <w:fldChar w:fldCharType="begin"/>
        </w:r>
        <w:r w:rsidR="00B37D8A" w:rsidRPr="00986D76">
          <w:rPr>
            <w:rFonts w:ascii="Times New Roman" w:hAnsi="Times New Roman"/>
            <w:noProof/>
            <w:webHidden/>
            <w:sz w:val="24"/>
          </w:rPr>
          <w:instrText xml:space="preserve"> PAGEREF _Toc362804632 \h </w:instrText>
        </w:r>
        <w:r w:rsidRPr="00986D76">
          <w:rPr>
            <w:rFonts w:ascii="Times New Roman" w:hAnsi="Times New Roman"/>
            <w:noProof/>
            <w:webHidden/>
            <w:sz w:val="24"/>
          </w:rPr>
        </w:r>
        <w:r w:rsidRPr="00986D76">
          <w:rPr>
            <w:rFonts w:ascii="Times New Roman" w:hAnsi="Times New Roman"/>
            <w:noProof/>
            <w:webHidden/>
            <w:sz w:val="24"/>
          </w:rPr>
          <w:fldChar w:fldCharType="separate"/>
        </w:r>
        <w:r w:rsidR="00802004">
          <w:rPr>
            <w:rFonts w:ascii="Times New Roman" w:hAnsi="Times New Roman"/>
            <w:noProof/>
            <w:webHidden/>
            <w:sz w:val="24"/>
          </w:rPr>
          <w:t>49</w:t>
        </w:r>
        <w:r w:rsidRPr="00986D76">
          <w:rPr>
            <w:rFonts w:ascii="Times New Roman" w:hAnsi="Times New Roman"/>
            <w:noProof/>
            <w:webHidden/>
            <w:sz w:val="24"/>
          </w:rPr>
          <w:fldChar w:fldCharType="end"/>
        </w:r>
      </w:hyperlink>
    </w:p>
    <w:p w:rsidR="00B37D8A" w:rsidRDefault="00455BE0" w:rsidP="001C6EC9">
      <w:pPr>
        <w:pStyle w:val="Heading1"/>
        <w:rPr>
          <w:rFonts w:ascii="Times New Roman" w:hAnsi="Times New Roman"/>
        </w:rPr>
      </w:pPr>
      <w:r w:rsidRPr="00900C2D">
        <w:rPr>
          <w:rFonts w:ascii="Times New Roman" w:hAnsi="Times New Roman"/>
          <w:sz w:val="24"/>
          <w:szCs w:val="24"/>
        </w:rPr>
        <w:fldChar w:fldCharType="end"/>
      </w:r>
    </w:p>
    <w:p w:rsidR="00B37D8A" w:rsidRPr="00EC20F9" w:rsidRDefault="00B37D8A" w:rsidP="0032796E">
      <w:pPr>
        <w:pStyle w:val="Heading1"/>
        <w:rPr>
          <w:rFonts w:ascii="Arial" w:hAnsi="Arial" w:cs="Arial"/>
          <w:b w:val="0"/>
          <w:sz w:val="24"/>
          <w:szCs w:val="24"/>
          <w:lang w:val="es-ES"/>
        </w:rPr>
      </w:pPr>
      <w:r w:rsidRPr="00DE3D73">
        <w:rPr>
          <w:rFonts w:ascii="Times New Roman" w:hAnsi="Times New Roman"/>
          <w:lang w:val="es-ES_tradnl"/>
        </w:rPr>
        <w:br w:type="page"/>
      </w:r>
      <w:bookmarkStart w:id="3" w:name="_Toc362804595"/>
      <w:bookmarkEnd w:id="1"/>
      <w:bookmarkEnd w:id="2"/>
      <w:r w:rsidRPr="0032796E">
        <w:rPr>
          <w:rFonts w:ascii="Times New Roman" w:hAnsi="Times New Roman"/>
          <w:lang w:val="es-ES"/>
        </w:rPr>
        <w:lastRenderedPageBreak/>
        <w:t>Siglas y abreviaturas</w:t>
      </w:r>
      <w:bookmarkEnd w:id="3"/>
    </w:p>
    <w:p w:rsidR="009B2DA8" w:rsidRDefault="009B2DA8" w:rsidP="00D552A6">
      <w:pPr>
        <w:rPr>
          <w:rFonts w:ascii="Times New Roman" w:hAnsi="Times New Roman"/>
          <w:sz w:val="24"/>
          <w:szCs w:val="24"/>
        </w:rPr>
      </w:pPr>
    </w:p>
    <w:p w:rsidR="00B37D8A" w:rsidRPr="009D25F1" w:rsidRDefault="00B37D8A" w:rsidP="00D552A6">
      <w:pPr>
        <w:rPr>
          <w:rFonts w:ascii="Times New Roman" w:hAnsi="Times New Roman"/>
          <w:sz w:val="24"/>
          <w:szCs w:val="24"/>
        </w:rPr>
      </w:pPr>
      <w:r w:rsidRPr="009D25F1">
        <w:rPr>
          <w:rFonts w:ascii="Times New Roman" w:hAnsi="Times New Roman"/>
          <w:sz w:val="24"/>
          <w:szCs w:val="24"/>
        </w:rPr>
        <w:t>ANR: Aportes No Reembolsables</w:t>
      </w:r>
    </w:p>
    <w:p w:rsidR="00B37D8A" w:rsidRPr="00326D93" w:rsidRDefault="00B37D8A" w:rsidP="00D552A6">
      <w:pPr>
        <w:jc w:val="both"/>
        <w:rPr>
          <w:rFonts w:ascii="Times New Roman" w:hAnsi="Times New Roman"/>
          <w:sz w:val="32"/>
          <w:szCs w:val="24"/>
        </w:rPr>
      </w:pPr>
      <w:r w:rsidRPr="00326D93">
        <w:rPr>
          <w:rFonts w:ascii="Times New Roman" w:hAnsi="Times New Roman"/>
          <w:color w:val="000000"/>
          <w:sz w:val="24"/>
          <w:szCs w:val="20"/>
        </w:rPr>
        <w:t>Beneficiarios directos: e</w:t>
      </w:r>
      <w:r w:rsidRPr="00326D93">
        <w:rPr>
          <w:rStyle w:val="Ttulodellibro1"/>
          <w:rFonts w:ascii="Times New Roman" w:hAnsi="Times New Roman"/>
          <w:sz w:val="24"/>
          <w:szCs w:val="20"/>
        </w:rPr>
        <w:t xml:space="preserve">mprendedores y empresarios; docentes e investigadores, profesionales, técnicos y alumnos, pertenecientes a empresas, organismos de ciencia y tecnología, y otras instituciones, vinculados al sector biotecnológico y de energías renovables; agrícola, ganadero, agroalimentario, salud y ambiental, de </w:t>
      </w:r>
      <w:smartTag w:uri="urn:schemas-microsoft-com:office:smarttags" w:element="PersonName">
        <w:smartTagPr>
          <w:attr w:name="ProductID" w:val="la Provincia"/>
        </w:smartTagPr>
        <w:r w:rsidRPr="00326D93">
          <w:rPr>
            <w:rStyle w:val="Ttulodellibro1"/>
            <w:rFonts w:ascii="Times New Roman" w:hAnsi="Times New Roman"/>
            <w:sz w:val="24"/>
            <w:szCs w:val="20"/>
          </w:rPr>
          <w:t>la Provincia</w:t>
        </w:r>
      </w:smartTag>
      <w:r w:rsidRPr="00326D93">
        <w:rPr>
          <w:rStyle w:val="Ttulodellibro1"/>
          <w:rFonts w:ascii="Times New Roman" w:hAnsi="Times New Roman"/>
          <w:sz w:val="24"/>
          <w:szCs w:val="20"/>
        </w:rPr>
        <w:t xml:space="preserve"> de Mendoza y de la región, así como la sociedad mendocina en general. </w:t>
      </w:r>
    </w:p>
    <w:p w:rsidR="00B37D8A" w:rsidRPr="009D25F1" w:rsidRDefault="00B37D8A" w:rsidP="00D552A6">
      <w:pPr>
        <w:rPr>
          <w:rFonts w:ascii="Times New Roman" w:hAnsi="Times New Roman"/>
          <w:sz w:val="24"/>
          <w:szCs w:val="24"/>
        </w:rPr>
      </w:pPr>
      <w:r w:rsidRPr="009D25F1">
        <w:rPr>
          <w:rFonts w:ascii="Times New Roman" w:hAnsi="Times New Roman"/>
          <w:sz w:val="24"/>
          <w:szCs w:val="24"/>
        </w:rPr>
        <w:t>BID: Banco Interamericano de Desarrollo (el “Banco”)</w:t>
      </w:r>
    </w:p>
    <w:p w:rsidR="00B37D8A" w:rsidRPr="0087271E" w:rsidRDefault="00B37D8A" w:rsidP="00D552A6">
      <w:pPr>
        <w:rPr>
          <w:rFonts w:ascii="Times New Roman" w:hAnsi="Times New Roman"/>
          <w:sz w:val="24"/>
          <w:szCs w:val="24"/>
          <w:lang w:val="es-ES"/>
        </w:rPr>
      </w:pPr>
      <w:r>
        <w:rPr>
          <w:rFonts w:ascii="Times New Roman" w:hAnsi="Times New Roman"/>
          <w:spacing w:val="-2"/>
          <w:sz w:val="24"/>
          <w:szCs w:val="24"/>
          <w:lang w:val="es-ES_tradnl"/>
        </w:rPr>
        <w:t>CCM: Círculo de Constructores de Mendoza</w:t>
      </w:r>
    </w:p>
    <w:p w:rsidR="00B37D8A" w:rsidRPr="0007595E" w:rsidRDefault="00B37D8A" w:rsidP="00D552A6">
      <w:pPr>
        <w:rPr>
          <w:rFonts w:ascii="Times New Roman" w:hAnsi="Times New Roman"/>
          <w:sz w:val="24"/>
          <w:szCs w:val="24"/>
          <w:lang w:val="en-US"/>
        </w:rPr>
      </w:pPr>
      <w:r w:rsidRPr="0007595E">
        <w:rPr>
          <w:rFonts w:ascii="Times New Roman" w:hAnsi="Times New Roman"/>
          <w:sz w:val="24"/>
          <w:szCs w:val="24"/>
          <w:lang w:val="en-US"/>
        </w:rPr>
        <w:t>CRM:</w:t>
      </w:r>
      <w:r w:rsidRPr="0007595E">
        <w:rPr>
          <w:rFonts w:ascii="Times New Roman" w:hAnsi="Times New Roman"/>
          <w:i/>
          <w:sz w:val="24"/>
          <w:szCs w:val="24"/>
          <w:lang w:val="en-US"/>
        </w:rPr>
        <w:t xml:space="preserve"> Customer Relationship Management System</w:t>
      </w:r>
    </w:p>
    <w:p w:rsidR="00B37D8A" w:rsidRPr="0007595E" w:rsidRDefault="00B37D8A" w:rsidP="00D552A6">
      <w:pPr>
        <w:rPr>
          <w:rFonts w:ascii="Times New Roman" w:hAnsi="Times New Roman"/>
          <w:sz w:val="24"/>
          <w:szCs w:val="24"/>
          <w:lang w:val="en-US"/>
        </w:rPr>
      </w:pPr>
      <w:r>
        <w:rPr>
          <w:rFonts w:ascii="Times New Roman" w:hAnsi="Times New Roman"/>
          <w:sz w:val="24"/>
          <w:szCs w:val="24"/>
          <w:lang w:val="en-US"/>
        </w:rPr>
        <w:t xml:space="preserve">CTI: </w:t>
      </w:r>
      <w:r w:rsidRPr="0007595E">
        <w:rPr>
          <w:rFonts w:ascii="Times New Roman" w:hAnsi="Times New Roman"/>
          <w:sz w:val="24"/>
          <w:szCs w:val="24"/>
          <w:lang w:val="en-US"/>
        </w:rPr>
        <w:t>Ciencia, Tecnología e Inno</w:t>
      </w:r>
      <w:r>
        <w:rPr>
          <w:rFonts w:ascii="Times New Roman" w:hAnsi="Times New Roman"/>
          <w:sz w:val="24"/>
          <w:szCs w:val="24"/>
          <w:lang w:val="en-US"/>
        </w:rPr>
        <w:t>vación</w:t>
      </w:r>
    </w:p>
    <w:p w:rsidR="00B37D8A" w:rsidRDefault="00B37D8A" w:rsidP="00D552A6">
      <w:pPr>
        <w:rPr>
          <w:rFonts w:ascii="Times New Roman" w:hAnsi="Times New Roman"/>
          <w:sz w:val="24"/>
          <w:szCs w:val="24"/>
          <w:lang w:val="es-ES_tradnl"/>
        </w:rPr>
      </w:pPr>
      <w:r>
        <w:rPr>
          <w:rFonts w:ascii="Times New Roman" w:hAnsi="Times New Roman"/>
          <w:sz w:val="24"/>
        </w:rPr>
        <w:t>DPVMza: D</w:t>
      </w:r>
      <w:r w:rsidRPr="00065B1F">
        <w:rPr>
          <w:rFonts w:ascii="Times New Roman" w:hAnsi="Times New Roman"/>
          <w:sz w:val="24"/>
        </w:rPr>
        <w:t xml:space="preserve">irección Provincial </w:t>
      </w:r>
      <w:r>
        <w:rPr>
          <w:rFonts w:ascii="Times New Roman" w:hAnsi="Times New Roman"/>
          <w:sz w:val="24"/>
        </w:rPr>
        <w:t>d</w:t>
      </w:r>
      <w:r w:rsidRPr="00065B1F">
        <w:rPr>
          <w:rFonts w:ascii="Times New Roman" w:hAnsi="Times New Roman"/>
          <w:sz w:val="24"/>
        </w:rPr>
        <w:t>e Vialidad</w:t>
      </w:r>
      <w:r>
        <w:rPr>
          <w:rFonts w:ascii="Times New Roman" w:hAnsi="Times New Roman"/>
          <w:sz w:val="24"/>
        </w:rPr>
        <w:t xml:space="preserve">, </w:t>
      </w:r>
      <w:r w:rsidRPr="00065B1F">
        <w:rPr>
          <w:rFonts w:ascii="Times New Roman" w:hAnsi="Times New Roman"/>
          <w:sz w:val="24"/>
        </w:rPr>
        <w:t>Departamento Planeamiento</w:t>
      </w:r>
      <w:r>
        <w:rPr>
          <w:rFonts w:ascii="Times New Roman" w:hAnsi="Times New Roman"/>
          <w:sz w:val="24"/>
        </w:rPr>
        <w:t>, Provincia de Mendoza</w:t>
      </w:r>
    </w:p>
    <w:p w:rsidR="00B37D8A" w:rsidRPr="00035EE1" w:rsidRDefault="00B37D8A" w:rsidP="00D552A6">
      <w:pPr>
        <w:rPr>
          <w:rFonts w:ascii="Times New Roman" w:hAnsi="Times New Roman"/>
          <w:sz w:val="24"/>
          <w:szCs w:val="24"/>
          <w:lang w:val="es-ES_tradnl"/>
        </w:rPr>
      </w:pPr>
      <w:r w:rsidRPr="00035EE1">
        <w:rPr>
          <w:rFonts w:ascii="Times New Roman" w:hAnsi="Times New Roman"/>
          <w:sz w:val="24"/>
          <w:szCs w:val="24"/>
          <w:lang w:val="es-ES_tradnl"/>
        </w:rPr>
        <w:t xml:space="preserve">IDITS: </w:t>
      </w:r>
      <w:r>
        <w:rPr>
          <w:rFonts w:ascii="Times New Roman" w:hAnsi="Times New Roman"/>
          <w:sz w:val="24"/>
          <w:szCs w:val="24"/>
          <w:lang w:val="es-ES_tradnl"/>
        </w:rPr>
        <w:t>Instituto de Desarrollo Industrial Tecnológico y de Servicios</w:t>
      </w:r>
    </w:p>
    <w:p w:rsidR="00B37D8A" w:rsidRPr="00776148" w:rsidRDefault="00B37D8A" w:rsidP="00D552A6">
      <w:pPr>
        <w:rPr>
          <w:rFonts w:ascii="Times New Roman" w:hAnsi="Times New Roman"/>
          <w:sz w:val="24"/>
          <w:szCs w:val="24"/>
        </w:rPr>
      </w:pPr>
      <w:r w:rsidRPr="00776148">
        <w:rPr>
          <w:rFonts w:ascii="Times New Roman" w:hAnsi="Times New Roman"/>
          <w:sz w:val="24"/>
          <w:szCs w:val="24"/>
        </w:rPr>
        <w:t>INTA: Instituto Nacional de Tecnología Agropecuaria</w:t>
      </w:r>
    </w:p>
    <w:p w:rsidR="00B37D8A" w:rsidRPr="00B05EFA" w:rsidRDefault="00B37D8A" w:rsidP="00D552A6">
      <w:pPr>
        <w:rPr>
          <w:rFonts w:ascii="Times New Roman" w:hAnsi="Times New Roman"/>
          <w:sz w:val="24"/>
          <w:szCs w:val="24"/>
        </w:rPr>
      </w:pPr>
      <w:r w:rsidRPr="00B05EFA">
        <w:rPr>
          <w:rFonts w:ascii="Times New Roman" w:hAnsi="Times New Roman"/>
          <w:sz w:val="24"/>
          <w:szCs w:val="24"/>
        </w:rPr>
        <w:t xml:space="preserve">Organismo Ejecutor: </w:t>
      </w:r>
      <w:r w:rsidRPr="00B05EFA">
        <w:rPr>
          <w:rFonts w:ascii="Times New Roman" w:hAnsi="Times New Roman"/>
          <w:sz w:val="24"/>
          <w:szCs w:val="24"/>
          <w:lang w:eastAsia="es-AR"/>
        </w:rPr>
        <w:t>Ministerio de Agroindustria y Tecnología</w:t>
      </w:r>
      <w:r>
        <w:rPr>
          <w:rFonts w:ascii="Times New Roman" w:hAnsi="Times New Roman"/>
          <w:sz w:val="24"/>
          <w:szCs w:val="24"/>
          <w:lang w:eastAsia="es-AR"/>
        </w:rPr>
        <w:t xml:space="preserve"> de </w:t>
      </w:r>
      <w:smartTag w:uri="urn:schemas-microsoft-com:office:smarttags" w:element="PersonName">
        <w:smartTagPr>
          <w:attr w:name="ProductID" w:val="la Provincia"/>
        </w:smartTagPr>
        <w:r>
          <w:rPr>
            <w:rFonts w:ascii="Times New Roman" w:hAnsi="Times New Roman"/>
            <w:sz w:val="24"/>
            <w:szCs w:val="24"/>
            <w:lang w:eastAsia="es-AR"/>
          </w:rPr>
          <w:t>la Provincia</w:t>
        </w:r>
      </w:smartTag>
      <w:r>
        <w:rPr>
          <w:rFonts w:ascii="Times New Roman" w:hAnsi="Times New Roman"/>
          <w:sz w:val="24"/>
          <w:szCs w:val="24"/>
          <w:lang w:eastAsia="es-AR"/>
        </w:rPr>
        <w:t xml:space="preserve"> de Mendoza</w:t>
      </w:r>
    </w:p>
    <w:p w:rsidR="00B37D8A" w:rsidRDefault="00B37D8A" w:rsidP="00D552A6">
      <w:pPr>
        <w:jc w:val="both"/>
        <w:rPr>
          <w:rFonts w:ascii="Times New Roman" w:hAnsi="Times New Roman"/>
          <w:sz w:val="24"/>
          <w:szCs w:val="24"/>
        </w:rPr>
      </w:pPr>
      <w:r w:rsidRPr="005F615C">
        <w:rPr>
          <w:rFonts w:ascii="Times New Roman" w:hAnsi="Times New Roman"/>
          <w:sz w:val="24"/>
          <w:szCs w:val="24"/>
          <w:lang w:val="es-ES_tradnl"/>
        </w:rPr>
        <w:t>P</w:t>
      </w:r>
      <w:r>
        <w:rPr>
          <w:rFonts w:ascii="Times New Roman" w:hAnsi="Times New Roman"/>
          <w:sz w:val="24"/>
          <w:szCs w:val="24"/>
          <w:lang w:val="es-ES_tradnl"/>
        </w:rPr>
        <w:t>ro</w:t>
      </w:r>
      <w:r w:rsidRPr="005F615C">
        <w:rPr>
          <w:rFonts w:ascii="Times New Roman" w:hAnsi="Times New Roman"/>
          <w:sz w:val="24"/>
          <w:szCs w:val="24"/>
          <w:lang w:val="es-ES_tradnl"/>
        </w:rPr>
        <w:t>M</w:t>
      </w:r>
      <w:r>
        <w:rPr>
          <w:rFonts w:ascii="Times New Roman" w:hAnsi="Times New Roman"/>
          <w:sz w:val="24"/>
          <w:szCs w:val="24"/>
          <w:lang w:val="es-ES_tradnl"/>
        </w:rPr>
        <w:t>endoza: A</w:t>
      </w:r>
      <w:r w:rsidRPr="005F615C">
        <w:rPr>
          <w:rFonts w:ascii="Times New Roman" w:hAnsi="Times New Roman"/>
          <w:sz w:val="24"/>
          <w:szCs w:val="24"/>
          <w:lang w:val="es-ES_tradnl"/>
        </w:rPr>
        <w:t xml:space="preserve">gencia público-privada </w:t>
      </w:r>
      <w:r>
        <w:rPr>
          <w:rFonts w:ascii="Times New Roman" w:hAnsi="Times New Roman"/>
          <w:sz w:val="24"/>
          <w:szCs w:val="24"/>
          <w:lang w:val="es-ES_tradnl"/>
        </w:rPr>
        <w:t xml:space="preserve">de </w:t>
      </w:r>
      <w:smartTag w:uri="urn:schemas-microsoft-com:office:smarttags" w:element="PersonName">
        <w:smartTagPr>
          <w:attr w:name="ProductID" w:val="la Provincia"/>
        </w:smartTagPr>
        <w:r>
          <w:rPr>
            <w:rFonts w:ascii="Times New Roman" w:hAnsi="Times New Roman"/>
            <w:sz w:val="24"/>
            <w:szCs w:val="24"/>
            <w:lang w:val="es-ES_tradnl"/>
          </w:rPr>
          <w:t>la Provincia</w:t>
        </w:r>
      </w:smartTag>
      <w:r>
        <w:rPr>
          <w:rFonts w:ascii="Times New Roman" w:hAnsi="Times New Roman"/>
          <w:sz w:val="24"/>
          <w:szCs w:val="24"/>
          <w:lang w:val="es-ES_tradnl"/>
        </w:rPr>
        <w:t xml:space="preserve"> de Mendoza </w:t>
      </w:r>
      <w:r w:rsidRPr="005F615C">
        <w:rPr>
          <w:rFonts w:ascii="Times New Roman" w:hAnsi="Times New Roman"/>
          <w:sz w:val="24"/>
          <w:szCs w:val="24"/>
          <w:lang w:val="es-ES_tradnl"/>
        </w:rPr>
        <w:t>encargada de la promoción de exportaciones provinciales</w:t>
      </w:r>
    </w:p>
    <w:p w:rsidR="00B37D8A" w:rsidRDefault="00B37D8A" w:rsidP="00D552A6">
      <w:pPr>
        <w:rPr>
          <w:rFonts w:ascii="Times New Roman" w:hAnsi="Times New Roman"/>
          <w:sz w:val="24"/>
          <w:szCs w:val="24"/>
        </w:rPr>
      </w:pPr>
      <w:r>
        <w:rPr>
          <w:rFonts w:ascii="Times New Roman" w:hAnsi="Times New Roman"/>
          <w:sz w:val="24"/>
          <w:szCs w:val="24"/>
        </w:rPr>
        <w:t>RN: Ruta Nacional</w:t>
      </w:r>
    </w:p>
    <w:p w:rsidR="00B37D8A" w:rsidRDefault="00B37D8A" w:rsidP="00D552A6">
      <w:pPr>
        <w:rPr>
          <w:rFonts w:ascii="Times New Roman" w:hAnsi="Times New Roman"/>
          <w:sz w:val="24"/>
          <w:szCs w:val="24"/>
        </w:rPr>
      </w:pPr>
      <w:r>
        <w:rPr>
          <w:rFonts w:ascii="Times New Roman" w:hAnsi="Times New Roman"/>
          <w:sz w:val="24"/>
          <w:szCs w:val="24"/>
        </w:rPr>
        <w:t xml:space="preserve">RP: </w:t>
      </w:r>
      <w:r>
        <w:rPr>
          <w:rFonts w:ascii="Times New Roman" w:hAnsi="Times New Roman"/>
          <w:sz w:val="24"/>
          <w:szCs w:val="24"/>
          <w:lang w:val="es-ES_tradnl"/>
        </w:rPr>
        <w:t>Ruta Provincial</w:t>
      </w:r>
    </w:p>
    <w:p w:rsidR="00B37D8A" w:rsidRDefault="00B37D8A" w:rsidP="00D552A6">
      <w:pPr>
        <w:rPr>
          <w:rFonts w:ascii="Times New Roman" w:hAnsi="Times New Roman"/>
          <w:sz w:val="24"/>
          <w:szCs w:val="24"/>
        </w:rPr>
      </w:pPr>
      <w:r w:rsidRPr="009D25F1">
        <w:rPr>
          <w:rFonts w:ascii="Times New Roman" w:hAnsi="Times New Roman"/>
          <w:sz w:val="24"/>
          <w:szCs w:val="24"/>
        </w:rPr>
        <w:t>TIR: Tasa Interna de Retorno</w:t>
      </w:r>
    </w:p>
    <w:p w:rsidR="00B37D8A" w:rsidRDefault="00B37D8A" w:rsidP="00D552A6">
      <w:pPr>
        <w:rPr>
          <w:rFonts w:ascii="Times New Roman" w:hAnsi="Times New Roman"/>
          <w:sz w:val="24"/>
          <w:szCs w:val="24"/>
        </w:rPr>
      </w:pPr>
      <w:r w:rsidRPr="00C723F4">
        <w:rPr>
          <w:rFonts w:ascii="Times New Roman" w:hAnsi="Times New Roman"/>
          <w:sz w:val="24"/>
          <w:szCs w:val="24"/>
        </w:rPr>
        <w:t>TMDA</w:t>
      </w:r>
      <w:r>
        <w:rPr>
          <w:rFonts w:ascii="Times New Roman" w:hAnsi="Times New Roman"/>
          <w:sz w:val="24"/>
          <w:szCs w:val="24"/>
        </w:rPr>
        <w:t xml:space="preserve">: </w:t>
      </w:r>
      <w:r w:rsidRPr="00F26B29">
        <w:rPr>
          <w:rFonts w:ascii="Times New Roman" w:hAnsi="Times New Roman"/>
          <w:sz w:val="24"/>
          <w:szCs w:val="24"/>
        </w:rPr>
        <w:t xml:space="preserve">Tránsito Medio Diario </w:t>
      </w:r>
      <w:r>
        <w:rPr>
          <w:rFonts w:ascii="Times New Roman" w:hAnsi="Times New Roman"/>
          <w:sz w:val="24"/>
          <w:szCs w:val="24"/>
        </w:rPr>
        <w:t>a lo Largo de un Año Calendario</w:t>
      </w:r>
    </w:p>
    <w:p w:rsidR="00B37D8A" w:rsidRPr="009D25F1" w:rsidRDefault="00B37D8A" w:rsidP="00D552A6">
      <w:pPr>
        <w:rPr>
          <w:rFonts w:ascii="Times New Roman" w:hAnsi="Times New Roman"/>
          <w:sz w:val="24"/>
          <w:szCs w:val="24"/>
        </w:rPr>
      </w:pPr>
      <w:r w:rsidRPr="009D25F1">
        <w:rPr>
          <w:rFonts w:ascii="Times New Roman" w:hAnsi="Times New Roman"/>
          <w:sz w:val="24"/>
          <w:szCs w:val="24"/>
        </w:rPr>
        <w:t>USD: Dólares Estadounidenses</w:t>
      </w:r>
    </w:p>
    <w:p w:rsidR="00B37D8A" w:rsidRPr="009D25F1" w:rsidRDefault="00B37D8A" w:rsidP="00D552A6">
      <w:pPr>
        <w:rPr>
          <w:rFonts w:ascii="Times New Roman" w:hAnsi="Times New Roman"/>
          <w:sz w:val="24"/>
          <w:szCs w:val="24"/>
        </w:rPr>
      </w:pPr>
      <w:r>
        <w:rPr>
          <w:rFonts w:ascii="Times New Roman" w:hAnsi="Times New Roman"/>
          <w:sz w:val="24"/>
          <w:szCs w:val="24"/>
        </w:rPr>
        <w:t>VAN: Valor Actual Neto</w:t>
      </w:r>
    </w:p>
    <w:p w:rsidR="00B37D8A" w:rsidRDefault="00B37D8A" w:rsidP="00D552A6">
      <w:pPr>
        <w:rPr>
          <w:rFonts w:ascii="Times New Roman" w:hAnsi="Times New Roman"/>
          <w:sz w:val="24"/>
          <w:szCs w:val="24"/>
        </w:rPr>
      </w:pPr>
      <w:r w:rsidRPr="009D25F1">
        <w:rPr>
          <w:rFonts w:ascii="Times New Roman" w:hAnsi="Times New Roman"/>
          <w:sz w:val="24"/>
          <w:szCs w:val="24"/>
        </w:rPr>
        <w:t>VPN: Valor Presente Neto</w:t>
      </w:r>
    </w:p>
    <w:p w:rsidR="00B37D8A" w:rsidRDefault="00B37D8A" w:rsidP="00D552A6">
      <w:pPr>
        <w:rPr>
          <w:rFonts w:ascii="Times New Roman" w:hAnsi="Times New Roman"/>
          <w:spacing w:val="-2"/>
          <w:sz w:val="24"/>
          <w:szCs w:val="24"/>
          <w:lang w:val="es-ES_tradnl"/>
        </w:rPr>
      </w:pPr>
      <w:r>
        <w:rPr>
          <w:rFonts w:ascii="Times New Roman" w:hAnsi="Times New Roman"/>
          <w:sz w:val="24"/>
          <w:szCs w:val="24"/>
        </w:rPr>
        <w:t xml:space="preserve">ZALO: </w:t>
      </w:r>
      <w:r w:rsidRPr="0076359A">
        <w:rPr>
          <w:rFonts w:ascii="Times New Roman" w:hAnsi="Times New Roman"/>
          <w:spacing w:val="-2"/>
          <w:sz w:val="24"/>
          <w:szCs w:val="24"/>
          <w:lang w:val="es-ES_tradnl"/>
        </w:rPr>
        <w:t>Zona de Actividades Logística Mendoza Oeste</w:t>
      </w:r>
    </w:p>
    <w:p w:rsidR="00B37D8A" w:rsidRPr="009D25F1" w:rsidRDefault="00B37D8A" w:rsidP="00D552A6">
      <w:pPr>
        <w:rPr>
          <w:rFonts w:ascii="Times New Roman" w:hAnsi="Times New Roman"/>
          <w:sz w:val="24"/>
          <w:szCs w:val="24"/>
        </w:rPr>
      </w:pPr>
      <w:r>
        <w:rPr>
          <w:rFonts w:ascii="Times New Roman" w:hAnsi="Times New Roman"/>
          <w:spacing w:val="-2"/>
          <w:sz w:val="24"/>
          <w:szCs w:val="24"/>
          <w:lang w:val="es-ES_tradnl"/>
        </w:rPr>
        <w:t>ZPA: Zona Primaria Aduanera</w:t>
      </w:r>
    </w:p>
    <w:p w:rsidR="00B37D8A" w:rsidRPr="0087271E" w:rsidRDefault="00B37D8A" w:rsidP="00A112D1">
      <w:pPr>
        <w:pStyle w:val="Heading1"/>
        <w:jc w:val="center"/>
        <w:rPr>
          <w:rFonts w:ascii="Times New Roman" w:hAnsi="Times New Roman"/>
          <w:lang w:val="es-ES"/>
        </w:rPr>
      </w:pPr>
      <w:r w:rsidRPr="0087271E">
        <w:rPr>
          <w:rFonts w:ascii="Times New Roman" w:hAnsi="Times New Roman"/>
          <w:sz w:val="24"/>
          <w:szCs w:val="24"/>
          <w:lang w:val="es-ES"/>
        </w:rPr>
        <w:br w:type="page"/>
      </w:r>
      <w:bookmarkStart w:id="4" w:name="_Toc312978045"/>
      <w:bookmarkStart w:id="5" w:name="_Toc362546760"/>
      <w:bookmarkStart w:id="6" w:name="_Toc362804596"/>
      <w:bookmarkStart w:id="7" w:name="Intro"/>
      <w:r>
        <w:rPr>
          <w:rFonts w:ascii="Times New Roman" w:hAnsi="Times New Roman"/>
          <w:lang w:val="es-ES"/>
        </w:rPr>
        <w:lastRenderedPageBreak/>
        <w:t>Capítulo 1: I</w:t>
      </w:r>
      <w:r w:rsidRPr="0087271E">
        <w:rPr>
          <w:rFonts w:ascii="Times New Roman" w:hAnsi="Times New Roman"/>
          <w:lang w:val="es-ES"/>
        </w:rPr>
        <w:t>ntroducción</w:t>
      </w:r>
      <w:bookmarkEnd w:id="4"/>
      <w:bookmarkEnd w:id="5"/>
      <w:bookmarkEnd w:id="6"/>
    </w:p>
    <w:p w:rsidR="00A112D1" w:rsidRDefault="00A112D1" w:rsidP="00B67ECC">
      <w:pPr>
        <w:numPr>
          <w:ilvl w:val="1"/>
          <w:numId w:val="0"/>
        </w:numPr>
        <w:spacing w:before="120" w:after="120" w:line="240" w:lineRule="auto"/>
        <w:jc w:val="both"/>
        <w:outlineLvl w:val="1"/>
        <w:rPr>
          <w:rFonts w:ascii="Times New Roman" w:hAnsi="Times New Roman"/>
          <w:sz w:val="24"/>
          <w:szCs w:val="24"/>
          <w:lang w:eastAsia="es-AR"/>
        </w:rPr>
      </w:pPr>
    </w:p>
    <w:p w:rsidR="00B67ECC" w:rsidRPr="00B67ECC" w:rsidRDefault="00B67ECC" w:rsidP="00B67ECC">
      <w:pPr>
        <w:numPr>
          <w:ilvl w:val="1"/>
          <w:numId w:val="0"/>
        </w:numPr>
        <w:spacing w:before="120" w:after="120" w:line="240" w:lineRule="auto"/>
        <w:jc w:val="both"/>
        <w:outlineLvl w:val="1"/>
        <w:rPr>
          <w:rFonts w:ascii="Times New Roman" w:hAnsi="Times New Roman"/>
          <w:sz w:val="24"/>
          <w:szCs w:val="24"/>
          <w:lang w:eastAsia="es-AR"/>
        </w:rPr>
      </w:pPr>
      <w:r w:rsidRPr="00B67ECC">
        <w:rPr>
          <w:rFonts w:ascii="Times New Roman" w:hAnsi="Times New Roman"/>
          <w:sz w:val="24"/>
          <w:szCs w:val="24"/>
          <w:lang w:eastAsia="es-AR"/>
        </w:rPr>
        <w:t>La provincia de Mendoza se ubica en el Centro-Oeste de la República Argentina y cuenta con una superficie de 148.827 km2 (5,4% del territorio nacional). En cuanto a su contribución al Producto Interno Bruto (PIB) (3,93% en 2005) y a la población nacional (5,4 % en 2010), ocupa el quinto lugar, luego de la Ciudad Autónoma de Buenos Aires (CABA) y las provincias de Buenos Aires, Córdoba y Santa Fe.  Mendoza, es reconocida a nivel internacional por el desarrollo de actividades tales como la vitivinicultura, el turismo y la explotación de petróleo y gas natural, que a su vez fueron el motor de crecimiento a nivel local del comercio, los servicios e industrias conexas.</w:t>
      </w:r>
    </w:p>
    <w:p w:rsidR="00B67ECC" w:rsidRDefault="00B67ECC" w:rsidP="00B67ECC">
      <w:pPr>
        <w:numPr>
          <w:ilvl w:val="1"/>
          <w:numId w:val="0"/>
        </w:numPr>
        <w:spacing w:before="120" w:after="120" w:line="240" w:lineRule="auto"/>
        <w:jc w:val="both"/>
        <w:outlineLvl w:val="1"/>
        <w:rPr>
          <w:rFonts w:ascii="Times New Roman" w:hAnsi="Times New Roman"/>
          <w:sz w:val="24"/>
          <w:szCs w:val="24"/>
          <w:lang w:eastAsia="es-AR"/>
        </w:rPr>
      </w:pPr>
      <w:r w:rsidRPr="00B67ECC">
        <w:rPr>
          <w:rFonts w:ascii="Times New Roman" w:hAnsi="Times New Roman"/>
          <w:sz w:val="24"/>
          <w:szCs w:val="24"/>
          <w:lang w:eastAsia="es-AR"/>
        </w:rPr>
        <w:t xml:space="preserve">Mendoza ha tenido un significativo desarrollo en las últimas décadas. En comparación con el conjunto de las provincias argentinas, Mendoza emerge entre las que ha logrado impulsar su progreso de manera relativamente sostenida. No obstante, con respecto a los distritos del centro del país (CABA y las Provincias de Buenos Aires, Córdoba y  Santa Fe), tiene rezagos en indicadores tales como ingreso per cápita, exportaciones, </w:t>
      </w:r>
      <w:r w:rsidR="0085160F">
        <w:rPr>
          <w:rFonts w:ascii="Times New Roman" w:hAnsi="Times New Roman"/>
          <w:sz w:val="24"/>
          <w:szCs w:val="24"/>
          <w:lang w:eastAsia="es-AR"/>
        </w:rPr>
        <w:t xml:space="preserve">diversificación de la estructura productiva, </w:t>
      </w:r>
      <w:r w:rsidRPr="00B67ECC">
        <w:rPr>
          <w:rFonts w:ascii="Times New Roman" w:hAnsi="Times New Roman"/>
          <w:sz w:val="24"/>
          <w:szCs w:val="24"/>
          <w:lang w:eastAsia="es-AR"/>
        </w:rPr>
        <w:t xml:space="preserve">competitividad y crecimiento. Con respecto a este último indicador, en los últimos años Mendoza ha exhibido un crecimiento inferior al nacional. Mientras que entre 2003 y 2007 creció a una tasa promedio de 12,2%, superando el 8,8% del conjunto del país, a partir de 2008 el promedio de la provincia cayó a 3,23%, por debajo del 5,1% a nivel nacional. </w:t>
      </w:r>
      <w:r>
        <w:rPr>
          <w:rFonts w:ascii="Times New Roman" w:hAnsi="Times New Roman"/>
          <w:sz w:val="24"/>
          <w:szCs w:val="24"/>
          <w:lang w:eastAsia="es-AR"/>
        </w:rPr>
        <w:t xml:space="preserve">Expertos en la provincia entienden que </w:t>
      </w:r>
      <w:r w:rsidRPr="00B67ECC">
        <w:rPr>
          <w:rFonts w:ascii="Times New Roman" w:hAnsi="Times New Roman"/>
          <w:sz w:val="24"/>
          <w:szCs w:val="24"/>
          <w:lang w:eastAsia="es-AR"/>
        </w:rPr>
        <w:t xml:space="preserve">estas brechas de desarrollo respecto a los distritos más avanzados </w:t>
      </w:r>
      <w:r>
        <w:rPr>
          <w:rFonts w:ascii="Times New Roman" w:hAnsi="Times New Roman"/>
          <w:sz w:val="24"/>
          <w:szCs w:val="24"/>
          <w:lang w:eastAsia="es-AR"/>
        </w:rPr>
        <w:t xml:space="preserve">del país </w:t>
      </w:r>
      <w:r w:rsidR="0085160F">
        <w:rPr>
          <w:rFonts w:ascii="Times New Roman" w:hAnsi="Times New Roman"/>
          <w:sz w:val="24"/>
          <w:szCs w:val="24"/>
          <w:lang w:eastAsia="es-AR"/>
        </w:rPr>
        <w:t xml:space="preserve">se deben a </w:t>
      </w:r>
      <w:r w:rsidRPr="00B67ECC">
        <w:rPr>
          <w:rFonts w:ascii="Times New Roman" w:hAnsi="Times New Roman"/>
          <w:sz w:val="24"/>
          <w:szCs w:val="24"/>
          <w:lang w:eastAsia="es-AR"/>
        </w:rPr>
        <w:t>limitaciones en logística, desarrollo tecnológico e internacionalización</w:t>
      </w:r>
      <w:r w:rsidR="0085160F">
        <w:rPr>
          <w:rFonts w:ascii="Times New Roman" w:hAnsi="Times New Roman"/>
          <w:sz w:val="24"/>
          <w:szCs w:val="24"/>
          <w:lang w:eastAsia="es-AR"/>
        </w:rPr>
        <w:t xml:space="preserve"> (ver cuadro de texto 1)</w:t>
      </w:r>
      <w:r w:rsidRPr="00B67ECC">
        <w:rPr>
          <w:rFonts w:ascii="Times New Roman" w:hAnsi="Times New Roman"/>
          <w:sz w:val="24"/>
          <w:szCs w:val="24"/>
          <w:lang w:eastAsia="es-AR"/>
        </w:rPr>
        <w:t xml:space="preserve">. </w:t>
      </w:r>
    </w:p>
    <w:p w:rsidR="009B2DA8" w:rsidRPr="009B2DA8" w:rsidRDefault="009B2DA8" w:rsidP="009B2DA8">
      <w:pPr>
        <w:numPr>
          <w:ilvl w:val="1"/>
          <w:numId w:val="0"/>
        </w:numPr>
        <w:pBdr>
          <w:top w:val="single" w:sz="4" w:space="1" w:color="auto"/>
          <w:left w:val="single" w:sz="4" w:space="4" w:color="auto"/>
          <w:bottom w:val="single" w:sz="4" w:space="1" w:color="auto"/>
          <w:right w:val="single" w:sz="4" w:space="4" w:color="auto"/>
        </w:pBdr>
        <w:spacing w:before="120" w:after="120" w:line="240" w:lineRule="auto"/>
        <w:jc w:val="both"/>
        <w:outlineLvl w:val="1"/>
        <w:rPr>
          <w:rFonts w:ascii="Times New Roman" w:hAnsi="Times New Roman"/>
          <w:b/>
          <w:sz w:val="18"/>
          <w:szCs w:val="18"/>
          <w:lang w:val="es-ES_tradnl" w:eastAsia="es-AR"/>
        </w:rPr>
      </w:pPr>
      <w:r w:rsidRPr="009B2DA8">
        <w:rPr>
          <w:rFonts w:ascii="Times New Roman" w:hAnsi="Times New Roman"/>
          <w:b/>
          <w:sz w:val="18"/>
          <w:szCs w:val="18"/>
          <w:lang w:val="es-ES_tradnl" w:eastAsia="es-AR"/>
        </w:rPr>
        <w:t>Cuadro de texto 1: Principales limitaciones al desarrollo de Mendoza</w:t>
      </w:r>
    </w:p>
    <w:p w:rsidR="009B2DA8" w:rsidRPr="009B2DA8" w:rsidRDefault="009B2DA8" w:rsidP="009B2DA8">
      <w:pPr>
        <w:numPr>
          <w:ilvl w:val="1"/>
          <w:numId w:val="0"/>
        </w:numPr>
        <w:pBdr>
          <w:top w:val="single" w:sz="4" w:space="1" w:color="auto"/>
          <w:left w:val="single" w:sz="4" w:space="4" w:color="auto"/>
          <w:bottom w:val="single" w:sz="4" w:space="1" w:color="auto"/>
          <w:right w:val="single" w:sz="4" w:space="4" w:color="auto"/>
        </w:pBdr>
        <w:spacing w:before="120" w:after="120" w:line="240" w:lineRule="auto"/>
        <w:jc w:val="both"/>
        <w:outlineLvl w:val="1"/>
        <w:rPr>
          <w:rFonts w:ascii="Times New Roman" w:hAnsi="Times New Roman"/>
          <w:sz w:val="18"/>
          <w:szCs w:val="18"/>
          <w:lang w:val="es-ES_tradnl" w:eastAsia="es-AR"/>
        </w:rPr>
      </w:pPr>
      <w:r w:rsidRPr="009B2DA8">
        <w:rPr>
          <w:rFonts w:ascii="Times New Roman" w:hAnsi="Times New Roman"/>
          <w:b/>
          <w:sz w:val="18"/>
          <w:szCs w:val="18"/>
          <w:lang w:val="es-ES_tradnl" w:eastAsia="es-AR"/>
        </w:rPr>
        <w:t>Limitaciones de logística.</w:t>
      </w:r>
      <w:r w:rsidRPr="009B2DA8">
        <w:rPr>
          <w:rFonts w:ascii="Times New Roman" w:hAnsi="Times New Roman"/>
          <w:sz w:val="18"/>
          <w:szCs w:val="18"/>
          <w:lang w:val="es-ES_tradnl" w:eastAsia="es-AR"/>
        </w:rPr>
        <w:t xml:space="preserve"> La provincia de Mendoza tiene una serie de insuficiencias en su infraestructura logística que restringen el desarrollo del turismo y del comercio internacional. Por un lado, una de las principales zonas recreativas de la provincia, el área del Dique Potrerillos, no puede realizar todo su potencial debido a que falta concluir la última fase de la Ruta Provincial Nº82 (RPN82), por lo cual están incomunicadas las localidades d</w:t>
      </w:r>
      <w:r w:rsidRPr="009B2DA8">
        <w:rPr>
          <w:rFonts w:ascii="Times New Roman" w:hAnsi="Times New Roman"/>
          <w:sz w:val="18"/>
          <w:szCs w:val="18"/>
          <w:lang w:val="es-ES" w:eastAsia="es-AR"/>
        </w:rPr>
        <w:t>e Cacheuta y Potrerillos, la cuales sirven de base a la actividad turística de la mencionada región</w:t>
      </w:r>
      <w:r w:rsidRPr="009B2DA8">
        <w:rPr>
          <w:rFonts w:ascii="Times New Roman" w:hAnsi="Times New Roman"/>
          <w:sz w:val="18"/>
          <w:szCs w:val="18"/>
          <w:vertAlign w:val="superscript"/>
          <w:lang w:val="es-ES" w:eastAsia="es-AR"/>
        </w:rPr>
        <w:footnoteRef/>
      </w:r>
      <w:r w:rsidRPr="009B2DA8">
        <w:rPr>
          <w:rFonts w:ascii="Times New Roman" w:hAnsi="Times New Roman"/>
          <w:sz w:val="18"/>
          <w:szCs w:val="18"/>
          <w:lang w:val="es-ES" w:eastAsia="es-AR"/>
        </w:rPr>
        <w:t>. Esta situación también genera una sobrecarga vehicular en la Ruta Nacional N</w:t>
      </w:r>
      <w:r w:rsidRPr="009B2DA8">
        <w:rPr>
          <w:rFonts w:ascii="Times New Roman" w:hAnsi="Times New Roman"/>
          <w:sz w:val="18"/>
          <w:szCs w:val="18"/>
          <w:lang w:val="es-ES_tradnl" w:eastAsia="es-AR"/>
        </w:rPr>
        <w:t>º</w:t>
      </w:r>
      <w:r w:rsidRPr="009B2DA8">
        <w:rPr>
          <w:rFonts w:ascii="Times New Roman" w:hAnsi="Times New Roman"/>
          <w:sz w:val="18"/>
          <w:szCs w:val="18"/>
          <w:lang w:val="es-ES" w:eastAsia="es-AR"/>
        </w:rPr>
        <w:t xml:space="preserve"> 7 (RNN7), principal vía para las cargas que cruzan a Chile</w:t>
      </w:r>
      <w:r w:rsidRPr="009B2DA8">
        <w:rPr>
          <w:rFonts w:ascii="Times New Roman" w:hAnsi="Times New Roman"/>
          <w:sz w:val="18"/>
          <w:szCs w:val="18"/>
          <w:vertAlign w:val="superscript"/>
          <w:lang w:val="es-ES" w:eastAsia="es-AR"/>
        </w:rPr>
        <w:footnoteRef/>
      </w:r>
      <w:r w:rsidRPr="009B2DA8">
        <w:rPr>
          <w:rFonts w:ascii="Times New Roman" w:hAnsi="Times New Roman"/>
          <w:sz w:val="18"/>
          <w:szCs w:val="18"/>
          <w:lang w:val="es-ES" w:eastAsia="es-AR"/>
        </w:rPr>
        <w:t xml:space="preserve">. Por otro lado, la provincia no puede aprovechar totalmente su localización privilegiada para acceder a los mercados del océano pacífico por la falta de capacidades para la prestación de servicios logísticos. En particular, la actual zona primaria aduanera o puerto seco, ubicada en el centro de la ciudad de Mendoza, tiene restricciones para crecer y ofrecer servicios logísticos con tiempos y costos apropiados y además genera externalidades negativas en su zona de influencia.  </w:t>
      </w:r>
    </w:p>
    <w:p w:rsidR="009B2DA8" w:rsidRPr="009B2DA8" w:rsidRDefault="009B2DA8" w:rsidP="009B2DA8">
      <w:pPr>
        <w:numPr>
          <w:ilvl w:val="1"/>
          <w:numId w:val="0"/>
        </w:numPr>
        <w:pBdr>
          <w:top w:val="single" w:sz="4" w:space="1" w:color="auto"/>
          <w:left w:val="single" w:sz="4" w:space="4" w:color="auto"/>
          <w:bottom w:val="single" w:sz="4" w:space="1" w:color="auto"/>
          <w:right w:val="single" w:sz="4" w:space="4" w:color="auto"/>
        </w:pBdr>
        <w:spacing w:before="120" w:after="120" w:line="240" w:lineRule="auto"/>
        <w:jc w:val="both"/>
        <w:outlineLvl w:val="1"/>
        <w:rPr>
          <w:rFonts w:ascii="Times New Roman" w:hAnsi="Times New Roman"/>
          <w:sz w:val="18"/>
          <w:szCs w:val="18"/>
          <w:lang w:val="es-ES_tradnl" w:eastAsia="es-AR"/>
        </w:rPr>
      </w:pPr>
      <w:r w:rsidRPr="009B2DA8">
        <w:rPr>
          <w:rFonts w:ascii="Times New Roman" w:hAnsi="Times New Roman"/>
          <w:b/>
          <w:sz w:val="18"/>
          <w:szCs w:val="18"/>
          <w:lang w:val="es-ES_tradnl" w:eastAsia="es-AR"/>
        </w:rPr>
        <w:t>Limitaciones de capacidades tecnológicas.</w:t>
      </w:r>
      <w:r w:rsidRPr="009B2DA8">
        <w:rPr>
          <w:rFonts w:ascii="Times New Roman" w:hAnsi="Times New Roman"/>
          <w:sz w:val="18"/>
          <w:szCs w:val="18"/>
          <w:lang w:val="es-ES_tradnl" w:eastAsia="es-AR"/>
        </w:rPr>
        <w:t xml:space="preserve"> La provincia de Mendoza cuenta con un importante entramado de instituciones dedicadas a formación superior, investigación, transferencia tecnológica y servicios técnicos al sector privado, las cuales podrían contribuir al desarrollo de tecnologías de propósito general, como las de información y comunicación (TICs) y la biotecnología, e impactar en la productividad de los rubros más tradicionales como al agroindustria y el turismo</w:t>
      </w:r>
      <w:r w:rsidRPr="009B2DA8">
        <w:rPr>
          <w:rFonts w:ascii="Times New Roman" w:hAnsi="Times New Roman"/>
          <w:sz w:val="18"/>
          <w:szCs w:val="18"/>
          <w:vertAlign w:val="superscript"/>
          <w:lang w:val="es-ES_tradnl" w:eastAsia="es-AR"/>
        </w:rPr>
        <w:footnoteRef/>
      </w:r>
      <w:r w:rsidRPr="009B2DA8">
        <w:rPr>
          <w:rFonts w:ascii="Times New Roman" w:hAnsi="Times New Roman"/>
          <w:sz w:val="18"/>
          <w:szCs w:val="18"/>
          <w:lang w:val="es-ES_tradnl" w:eastAsia="es-AR"/>
        </w:rPr>
        <w:t xml:space="preserve">. Sin embargo, en comparación con los distritos del centro del país, Mendoza invierte relativamente menos en actividades de ciencia, tecnología e innovación (CTI) y registra una escasa interrelación entre oferta y demanda de conocimiento e innovación. Esta situación se relaciona con una estructura productiva que aún está muy concentrada en actividades primarias y comerciales y que se caracteriza por una baja inversión en innovación, tal como lo muestran los bajos porcentajes de participación de la provincia en fondos nacionales que promueven la innovación a nivel de firmas y de sectores (Cuadro 1). También se relaciona con la ausencia de ambientes especializados para facilitar la transferencia tecnológica y el emprendimiento. La problemática descrita se agrava por dos factores adicionales: i) los sistemas de información de apoyo al diseño, la gestión y la evaluación de políticas de desarrollo tecnológico son deficientes; y ii) existen áreas geográficas de la provincia con nula o baja cobertura de banda ancha. </w:t>
      </w:r>
    </w:p>
    <w:p w:rsidR="009B2DA8" w:rsidRPr="009B2DA8" w:rsidRDefault="009B2DA8" w:rsidP="009B2DA8">
      <w:pPr>
        <w:numPr>
          <w:ilvl w:val="1"/>
          <w:numId w:val="0"/>
        </w:numPr>
        <w:pBdr>
          <w:top w:val="single" w:sz="4" w:space="1" w:color="auto"/>
          <w:left w:val="single" w:sz="4" w:space="4" w:color="auto"/>
          <w:bottom w:val="single" w:sz="4" w:space="1" w:color="auto"/>
          <w:right w:val="single" w:sz="4" w:space="4" w:color="auto"/>
        </w:pBdr>
        <w:spacing w:before="120" w:after="120" w:line="240" w:lineRule="auto"/>
        <w:jc w:val="both"/>
        <w:outlineLvl w:val="1"/>
        <w:rPr>
          <w:rFonts w:ascii="Times New Roman" w:hAnsi="Times New Roman"/>
          <w:sz w:val="18"/>
          <w:szCs w:val="18"/>
          <w:lang w:val="es-ES_tradnl" w:eastAsia="es-AR"/>
        </w:rPr>
      </w:pPr>
      <w:r w:rsidRPr="009B2DA8">
        <w:rPr>
          <w:rFonts w:ascii="Times New Roman" w:hAnsi="Times New Roman"/>
          <w:b/>
          <w:sz w:val="18"/>
          <w:szCs w:val="18"/>
          <w:lang w:val="es-ES_tradnl" w:eastAsia="es-AR"/>
        </w:rPr>
        <w:t>Limitaciones de internacionalización.</w:t>
      </w:r>
      <w:r w:rsidRPr="009B2DA8">
        <w:rPr>
          <w:rFonts w:ascii="Times New Roman" w:hAnsi="Times New Roman"/>
          <w:sz w:val="18"/>
          <w:szCs w:val="18"/>
          <w:lang w:val="es-ES_tradnl" w:eastAsia="es-AR"/>
        </w:rPr>
        <w:t xml:space="preserve"> La provincia de Mendoza aún no ha explorado toda su potencialidad en materia de inserción internacional. En efecto, las exportaciones -además de tener una menor participación relativa- están menos diversificadas en términos de productos y mercados. Por ejemplo, el complejo vitivinícola (mostos, jugos y vinos envasados) representan el 48,2% de las exportaciones provinciales. Por otra parte, los países del Mercosur y Chile absorben el 44% de las exportaciones de la provincia, mientras que los mercados asiáticos aún representan una fracción marginal con alta posibilidad de ser expandida. Por su parte, la Inversión Extranjera Directa (IED) también ha estado muy concentrada en los sectores más tradicionales de la economía provincial, sin explotarse competitivamente la variedad de opciones productivas disponibles. En este marco, la provincia cuenta con dos instituciones </w:t>
      </w:r>
      <w:r w:rsidRPr="009B2DA8">
        <w:rPr>
          <w:rFonts w:ascii="Times New Roman" w:hAnsi="Times New Roman"/>
          <w:sz w:val="18"/>
          <w:szCs w:val="18"/>
          <w:lang w:val="es-ES_tradnl" w:eastAsia="es-AR"/>
        </w:rPr>
        <w:lastRenderedPageBreak/>
        <w:t xml:space="preserve">complementarias y especializadas en materia de promoción de exportaciones e inversiones: ProMendoza y la recientemente creada Agencia de Promoción de Inversiones (API). Dichas entidades presentan una serie de desafíos institucionales que deben ser fortalecidos para que puedan contribuir de una manera más efectiva a diseñar y gestionar un modelo de inserción internacional más profundo y diversificado. </w:t>
      </w:r>
    </w:p>
    <w:p w:rsidR="00EB3832" w:rsidRPr="00EB3832" w:rsidRDefault="0085160F" w:rsidP="00EB3832">
      <w:pPr>
        <w:numPr>
          <w:ilvl w:val="1"/>
          <w:numId w:val="0"/>
        </w:numPr>
        <w:spacing w:before="120" w:after="120" w:line="240" w:lineRule="auto"/>
        <w:jc w:val="both"/>
        <w:outlineLvl w:val="1"/>
        <w:rPr>
          <w:rFonts w:ascii="Times New Roman" w:eastAsia="Times New Roman" w:hAnsi="Times New Roman"/>
          <w:sz w:val="24"/>
          <w:szCs w:val="20"/>
          <w:lang w:val="es-ES"/>
        </w:rPr>
      </w:pPr>
      <w:r>
        <w:rPr>
          <w:rFonts w:ascii="Times New Roman" w:hAnsi="Times New Roman"/>
          <w:sz w:val="24"/>
          <w:szCs w:val="24"/>
          <w:lang w:eastAsia="es-AR"/>
        </w:rPr>
        <w:t>Con el objetivo de abordar estas limitaciones,</w:t>
      </w:r>
      <w:r w:rsidR="00B37D8A">
        <w:rPr>
          <w:rFonts w:ascii="Times New Roman" w:hAnsi="Times New Roman"/>
          <w:sz w:val="24"/>
          <w:szCs w:val="24"/>
          <w:lang w:eastAsia="es-AR"/>
        </w:rPr>
        <w:t xml:space="preserve"> la provincia de </w:t>
      </w:r>
      <w:r w:rsidR="00B37D8A" w:rsidRPr="00E8034A">
        <w:rPr>
          <w:rFonts w:ascii="Times New Roman" w:hAnsi="Times New Roman"/>
          <w:sz w:val="24"/>
          <w:szCs w:val="24"/>
          <w:lang w:eastAsia="es-AR"/>
        </w:rPr>
        <w:t>Mendoza</w:t>
      </w:r>
      <w:r w:rsidR="00B37D8A">
        <w:rPr>
          <w:rFonts w:ascii="Times New Roman" w:hAnsi="Times New Roman"/>
          <w:sz w:val="24"/>
          <w:szCs w:val="24"/>
          <w:lang w:eastAsia="es-AR"/>
        </w:rPr>
        <w:t>, a través del Ministerio de Agroindustria y Tecnología,</w:t>
      </w:r>
      <w:r w:rsidR="00B37D8A" w:rsidRPr="00E8034A">
        <w:rPr>
          <w:rFonts w:ascii="Times New Roman" w:hAnsi="Times New Roman"/>
          <w:sz w:val="24"/>
          <w:szCs w:val="24"/>
          <w:lang w:eastAsia="es-AR"/>
        </w:rPr>
        <w:t xml:space="preserve"> </w:t>
      </w:r>
      <w:r w:rsidR="00EB3832">
        <w:rPr>
          <w:rFonts w:ascii="Times New Roman" w:hAnsi="Times New Roman"/>
          <w:sz w:val="24"/>
          <w:szCs w:val="24"/>
          <w:lang w:eastAsia="es-AR"/>
        </w:rPr>
        <w:t>se propone</w:t>
      </w:r>
      <w:r w:rsidR="00B37D8A">
        <w:rPr>
          <w:rFonts w:ascii="Times New Roman" w:hAnsi="Times New Roman"/>
          <w:sz w:val="24"/>
          <w:szCs w:val="24"/>
          <w:lang w:eastAsia="es-AR"/>
        </w:rPr>
        <w:t xml:space="preserve"> implementar </w:t>
      </w:r>
      <w:r>
        <w:rPr>
          <w:rFonts w:ascii="Times New Roman" w:hAnsi="Times New Roman"/>
          <w:sz w:val="24"/>
          <w:szCs w:val="24"/>
          <w:lang w:eastAsia="es-AR"/>
        </w:rPr>
        <w:t>e</w:t>
      </w:r>
      <w:r w:rsidR="00B37D8A">
        <w:rPr>
          <w:rFonts w:ascii="Times New Roman" w:hAnsi="Times New Roman"/>
          <w:sz w:val="24"/>
          <w:szCs w:val="24"/>
          <w:lang w:eastAsia="es-AR"/>
        </w:rPr>
        <w:t>l Programa de Apoyo al De</w:t>
      </w:r>
      <w:r w:rsidR="00EB3832">
        <w:rPr>
          <w:rFonts w:ascii="Times New Roman" w:hAnsi="Times New Roman"/>
          <w:sz w:val="24"/>
          <w:szCs w:val="24"/>
          <w:lang w:eastAsia="es-AR"/>
        </w:rPr>
        <w:t>sarrollo Tecnológico (AR-L1157). El objetivo general del</w:t>
      </w:r>
      <w:r w:rsidR="00EB3832" w:rsidRPr="00EB3832">
        <w:rPr>
          <w:rFonts w:ascii="Times New Roman" w:eastAsia="Times New Roman" w:hAnsi="Times New Roman"/>
          <w:sz w:val="24"/>
          <w:szCs w:val="20"/>
          <w:lang w:val="es-ES_tradnl"/>
        </w:rPr>
        <w:t xml:space="preserve"> programa </w:t>
      </w:r>
      <w:r w:rsidR="00EB3832">
        <w:rPr>
          <w:rFonts w:ascii="Times New Roman" w:eastAsia="Times New Roman" w:hAnsi="Times New Roman"/>
          <w:sz w:val="24"/>
          <w:szCs w:val="20"/>
          <w:lang w:val="es-ES_tradnl"/>
        </w:rPr>
        <w:t>es</w:t>
      </w:r>
      <w:r w:rsidR="00EB3832" w:rsidRPr="00EB3832">
        <w:rPr>
          <w:rFonts w:ascii="Times New Roman" w:eastAsia="Times New Roman" w:hAnsi="Times New Roman"/>
          <w:sz w:val="24"/>
          <w:szCs w:val="20"/>
          <w:lang w:val="es-ES_tradnl"/>
        </w:rPr>
        <w:t xml:space="preserve"> generar condiciones de competitividad que ayuden a diversificar la estructura productiva y exportadora de la provincia y de esa manera acortar sus brechas de desarrollo con las más avanzadas del país. </w:t>
      </w:r>
      <w:r w:rsidR="00B37D8A">
        <w:rPr>
          <w:rFonts w:ascii="Times New Roman" w:hAnsi="Times New Roman"/>
          <w:sz w:val="24"/>
          <w:szCs w:val="24"/>
          <w:lang w:eastAsia="es-AR"/>
        </w:rPr>
        <w:t xml:space="preserve">cuyo objetivo es </w:t>
      </w:r>
      <w:r w:rsidR="00B37D8A" w:rsidRPr="00C17CD1">
        <w:rPr>
          <w:rFonts w:ascii="Times New Roman" w:hAnsi="Times New Roman"/>
          <w:sz w:val="24"/>
          <w:szCs w:val="24"/>
          <w:lang w:val="es-ES_tradnl" w:eastAsia="es-AR"/>
        </w:rPr>
        <w:t xml:space="preserve">contribuir al aumento de la competitividad de la economía mendocina. </w:t>
      </w:r>
      <w:r w:rsidR="00EB3832" w:rsidRPr="00EB3832">
        <w:rPr>
          <w:rFonts w:ascii="Times New Roman" w:eastAsia="Times New Roman" w:hAnsi="Times New Roman"/>
          <w:sz w:val="24"/>
          <w:szCs w:val="20"/>
          <w:lang w:val="es-ES"/>
        </w:rPr>
        <w:t xml:space="preserve">. Los objetivos específicos son: i) mejorar la calidad y los costos de los servicios logísticos, ii) aumentar la incorporación de innovación y tecnología en el sector productivo y iii) aumentar el grado de internacionalización de la empresas mendocinas. </w:t>
      </w:r>
    </w:p>
    <w:p w:rsidR="00B37D8A" w:rsidRPr="00C17CD1" w:rsidRDefault="00B37D8A" w:rsidP="00D552A6">
      <w:pPr>
        <w:jc w:val="both"/>
        <w:rPr>
          <w:rFonts w:ascii="Times New Roman" w:hAnsi="Times New Roman"/>
          <w:sz w:val="24"/>
          <w:szCs w:val="24"/>
          <w:lang w:eastAsia="es-AR"/>
        </w:rPr>
      </w:pPr>
      <w:r w:rsidRPr="00C17CD1">
        <w:rPr>
          <w:rFonts w:ascii="Times New Roman" w:hAnsi="Times New Roman"/>
          <w:sz w:val="24"/>
          <w:szCs w:val="24"/>
          <w:lang w:val="es-ES_tradnl" w:eastAsia="es-AR"/>
        </w:rPr>
        <w:t xml:space="preserve">El </w:t>
      </w:r>
      <w:r w:rsidR="00EB3832">
        <w:rPr>
          <w:rFonts w:ascii="Times New Roman" w:hAnsi="Times New Roman"/>
          <w:sz w:val="24"/>
          <w:szCs w:val="24"/>
          <w:lang w:val="es-ES_tradnl" w:eastAsia="es-AR"/>
        </w:rPr>
        <w:t xml:space="preserve">costo total estimado del </w:t>
      </w:r>
      <w:r w:rsidRPr="00C17CD1">
        <w:rPr>
          <w:rFonts w:ascii="Times New Roman" w:hAnsi="Times New Roman"/>
          <w:sz w:val="24"/>
          <w:szCs w:val="24"/>
          <w:lang w:val="es-ES_tradnl" w:eastAsia="es-AR"/>
        </w:rPr>
        <w:t xml:space="preserve">Programa </w:t>
      </w:r>
      <w:r w:rsidR="00EB3832">
        <w:rPr>
          <w:rFonts w:ascii="Times New Roman" w:hAnsi="Times New Roman"/>
          <w:sz w:val="24"/>
          <w:szCs w:val="24"/>
          <w:lang w:val="es-ES_tradnl" w:eastAsia="es-AR"/>
        </w:rPr>
        <w:t>es</w:t>
      </w:r>
      <w:r>
        <w:rPr>
          <w:rFonts w:ascii="Times New Roman" w:hAnsi="Times New Roman"/>
          <w:sz w:val="24"/>
          <w:szCs w:val="24"/>
          <w:lang w:val="es-ES_tradnl" w:eastAsia="es-AR"/>
        </w:rPr>
        <w:t xml:space="preserve"> </w:t>
      </w:r>
      <w:r w:rsidRPr="00C17CD1">
        <w:rPr>
          <w:rFonts w:ascii="Times New Roman" w:hAnsi="Times New Roman"/>
          <w:sz w:val="24"/>
          <w:szCs w:val="24"/>
          <w:lang w:val="es-ES_tradnl" w:eastAsia="es-AR"/>
        </w:rPr>
        <w:t>de USD 79 millones (sin considerar los fondos a aportar por los Beneficiarios)</w:t>
      </w:r>
      <w:r>
        <w:rPr>
          <w:rFonts w:ascii="Times New Roman" w:hAnsi="Times New Roman"/>
          <w:sz w:val="24"/>
          <w:szCs w:val="24"/>
          <w:lang w:val="es-ES_tradnl" w:eastAsia="es-AR"/>
        </w:rPr>
        <w:t xml:space="preserve">, de los cuales el </w:t>
      </w:r>
      <w:r w:rsidRPr="00C17CD1">
        <w:rPr>
          <w:rFonts w:ascii="Times New Roman" w:hAnsi="Times New Roman"/>
          <w:sz w:val="24"/>
          <w:szCs w:val="24"/>
          <w:lang w:val="es-ES_tradnl" w:eastAsia="es-AR"/>
        </w:rPr>
        <w:t xml:space="preserve">Banco aporta USD 50 millones y </w:t>
      </w:r>
      <w:r>
        <w:rPr>
          <w:rFonts w:ascii="Times New Roman" w:hAnsi="Times New Roman"/>
          <w:sz w:val="24"/>
          <w:szCs w:val="24"/>
          <w:lang w:val="es-ES_tradnl" w:eastAsia="es-AR"/>
        </w:rPr>
        <w:t xml:space="preserve">la provincia de Mendoza los </w:t>
      </w:r>
      <w:r w:rsidRPr="00C17CD1">
        <w:rPr>
          <w:rFonts w:ascii="Times New Roman" w:hAnsi="Times New Roman"/>
          <w:sz w:val="24"/>
          <w:szCs w:val="24"/>
          <w:lang w:val="es-ES_tradnl" w:eastAsia="es-AR"/>
        </w:rPr>
        <w:t>USD 29 millones</w:t>
      </w:r>
      <w:r>
        <w:rPr>
          <w:rFonts w:ascii="Times New Roman" w:hAnsi="Times New Roman"/>
          <w:sz w:val="24"/>
          <w:szCs w:val="24"/>
          <w:lang w:val="es-ES_tradnl" w:eastAsia="es-AR"/>
        </w:rPr>
        <w:t xml:space="preserve"> restantes</w:t>
      </w:r>
      <w:r w:rsidRPr="00C17CD1">
        <w:rPr>
          <w:rFonts w:ascii="Times New Roman" w:hAnsi="Times New Roman"/>
          <w:sz w:val="24"/>
          <w:szCs w:val="24"/>
          <w:lang w:val="es-ES_tradnl" w:eastAsia="es-AR"/>
        </w:rPr>
        <w:t xml:space="preserve">, </w:t>
      </w:r>
      <w:r w:rsidRPr="00C17CD1">
        <w:rPr>
          <w:rFonts w:ascii="Times New Roman" w:hAnsi="Times New Roman"/>
          <w:sz w:val="24"/>
          <w:szCs w:val="24"/>
          <w:lang w:val="es-ES" w:eastAsia="es-AR"/>
        </w:rPr>
        <w:t>con la siguiente</w:t>
      </w:r>
      <w:r w:rsidRPr="00C17CD1">
        <w:rPr>
          <w:rFonts w:ascii="Times New Roman" w:hAnsi="Times New Roman"/>
          <w:sz w:val="24"/>
          <w:szCs w:val="24"/>
          <w:lang w:eastAsia="es-AR"/>
        </w:rPr>
        <w:t xml:space="preserve"> desagregación prevista:</w:t>
      </w:r>
    </w:p>
    <w:tbl>
      <w:tblPr>
        <w:tblW w:w="0" w:type="auto"/>
        <w:jc w:val="center"/>
        <w:tblCellMar>
          <w:left w:w="0" w:type="dxa"/>
          <w:right w:w="0" w:type="dxa"/>
        </w:tblCellMar>
        <w:tblLook w:val="00A0" w:firstRow="1" w:lastRow="0" w:firstColumn="1" w:lastColumn="0" w:noHBand="0" w:noVBand="0"/>
      </w:tblPr>
      <w:tblGrid>
        <w:gridCol w:w="423"/>
        <w:gridCol w:w="5397"/>
        <w:gridCol w:w="995"/>
        <w:gridCol w:w="993"/>
        <w:gridCol w:w="992"/>
        <w:gridCol w:w="992"/>
      </w:tblGrid>
      <w:tr w:rsidR="00B37D8A" w:rsidRPr="00267BA7" w:rsidTr="000508A9">
        <w:trPr>
          <w:trHeight w:val="255"/>
          <w:jc w:val="center"/>
        </w:trPr>
        <w:tc>
          <w:tcPr>
            <w:tcW w:w="5820" w:type="dxa"/>
            <w:gridSpan w:val="2"/>
            <w:tcBorders>
              <w:top w:val="single" w:sz="4" w:space="0" w:color="auto"/>
              <w:left w:val="single" w:sz="4" w:space="0" w:color="auto"/>
              <w:bottom w:val="single" w:sz="4" w:space="0" w:color="auto"/>
              <w:right w:val="single" w:sz="4" w:space="0" w:color="auto"/>
            </w:tcBorders>
            <w:shd w:val="clear" w:color="auto" w:fill="0D0D0D"/>
            <w:noWrap/>
            <w:tcMar>
              <w:top w:w="11" w:type="dxa"/>
              <w:left w:w="11" w:type="dxa"/>
              <w:bottom w:w="0" w:type="dxa"/>
              <w:right w:w="11" w:type="dxa"/>
            </w:tcMar>
            <w:vAlign w:val="center"/>
          </w:tcPr>
          <w:p w:rsidR="00B37D8A" w:rsidRPr="00267BA7" w:rsidRDefault="00B37D8A" w:rsidP="004D0062">
            <w:pPr>
              <w:spacing w:after="0"/>
              <w:jc w:val="center"/>
              <w:rPr>
                <w:rFonts w:ascii="Arial" w:hAnsi="Arial" w:cs="Arial"/>
                <w:b/>
                <w:sz w:val="20"/>
                <w:szCs w:val="20"/>
                <w:lang w:eastAsia="es-AR"/>
              </w:rPr>
            </w:pPr>
            <w:r w:rsidRPr="00267BA7">
              <w:rPr>
                <w:rFonts w:ascii="Arial" w:hAnsi="Arial" w:cs="Arial"/>
                <w:b/>
                <w:sz w:val="20"/>
                <w:szCs w:val="20"/>
                <w:lang w:eastAsia="es-AR"/>
              </w:rPr>
              <w:t>Categoría de Inversión</w:t>
            </w:r>
          </w:p>
        </w:tc>
        <w:tc>
          <w:tcPr>
            <w:tcW w:w="995" w:type="dxa"/>
            <w:tcBorders>
              <w:top w:val="single" w:sz="4" w:space="0" w:color="auto"/>
              <w:left w:val="nil"/>
              <w:bottom w:val="single" w:sz="4" w:space="0" w:color="auto"/>
              <w:right w:val="single" w:sz="4" w:space="0" w:color="auto"/>
            </w:tcBorders>
            <w:shd w:val="clear" w:color="auto" w:fill="0D0D0D"/>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
                <w:sz w:val="20"/>
                <w:szCs w:val="20"/>
                <w:lang w:eastAsia="es-AR"/>
              </w:rPr>
            </w:pPr>
            <w:r w:rsidRPr="00267BA7">
              <w:rPr>
                <w:rFonts w:ascii="Arial" w:hAnsi="Arial" w:cs="Arial"/>
                <w:b/>
                <w:sz w:val="20"/>
                <w:szCs w:val="20"/>
                <w:lang w:eastAsia="es-AR"/>
              </w:rPr>
              <w:t>Fondos B.I.D.</w:t>
            </w:r>
          </w:p>
        </w:tc>
        <w:tc>
          <w:tcPr>
            <w:tcW w:w="993" w:type="dxa"/>
            <w:tcBorders>
              <w:top w:val="single" w:sz="4" w:space="0" w:color="auto"/>
              <w:left w:val="nil"/>
              <w:bottom w:val="single" w:sz="4" w:space="0" w:color="auto"/>
              <w:right w:val="single" w:sz="4" w:space="0" w:color="auto"/>
            </w:tcBorders>
            <w:shd w:val="clear" w:color="auto" w:fill="0D0D0D"/>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
                <w:sz w:val="20"/>
                <w:szCs w:val="20"/>
                <w:lang w:eastAsia="es-AR"/>
              </w:rPr>
            </w:pPr>
            <w:r w:rsidRPr="00267BA7">
              <w:rPr>
                <w:rFonts w:ascii="Arial" w:hAnsi="Arial" w:cs="Arial"/>
                <w:b/>
                <w:sz w:val="20"/>
                <w:szCs w:val="20"/>
                <w:lang w:eastAsia="es-AR"/>
              </w:rPr>
              <w:t>Aporte Local</w:t>
            </w:r>
          </w:p>
        </w:tc>
        <w:tc>
          <w:tcPr>
            <w:tcW w:w="992" w:type="dxa"/>
            <w:tcBorders>
              <w:top w:val="single" w:sz="4" w:space="0" w:color="auto"/>
              <w:left w:val="nil"/>
              <w:bottom w:val="single" w:sz="4" w:space="0" w:color="auto"/>
              <w:right w:val="single" w:sz="4" w:space="0" w:color="auto"/>
            </w:tcBorders>
            <w:shd w:val="clear" w:color="auto" w:fill="0D0D0D"/>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
                <w:sz w:val="20"/>
                <w:szCs w:val="20"/>
                <w:lang w:eastAsia="es-AR"/>
              </w:rPr>
            </w:pPr>
            <w:r w:rsidRPr="00267BA7">
              <w:rPr>
                <w:rFonts w:ascii="Arial" w:hAnsi="Arial" w:cs="Arial"/>
                <w:b/>
                <w:sz w:val="20"/>
                <w:szCs w:val="20"/>
                <w:lang w:eastAsia="es-AR"/>
              </w:rPr>
              <w:t>Total</w:t>
            </w:r>
          </w:p>
        </w:tc>
        <w:tc>
          <w:tcPr>
            <w:tcW w:w="992" w:type="dxa"/>
            <w:tcBorders>
              <w:top w:val="single" w:sz="4" w:space="0" w:color="auto"/>
              <w:left w:val="nil"/>
              <w:bottom w:val="single" w:sz="4" w:space="0" w:color="auto"/>
              <w:right w:val="single" w:sz="4" w:space="0" w:color="auto"/>
            </w:tcBorders>
            <w:shd w:val="clear" w:color="auto" w:fill="0D0D0D"/>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
                <w:sz w:val="20"/>
                <w:szCs w:val="20"/>
                <w:lang w:eastAsia="es-AR"/>
              </w:rPr>
            </w:pPr>
            <w:r w:rsidRPr="00267BA7">
              <w:rPr>
                <w:rFonts w:ascii="Arial" w:hAnsi="Arial" w:cs="Arial"/>
                <w:b/>
                <w:sz w:val="20"/>
                <w:szCs w:val="20"/>
                <w:lang w:eastAsia="es-AR"/>
              </w:rPr>
              <w:t>%</w:t>
            </w:r>
          </w:p>
        </w:tc>
      </w:tr>
      <w:tr w:rsidR="00B37D8A" w:rsidRPr="00267BA7" w:rsidTr="000508A9">
        <w:trPr>
          <w:trHeight w:val="420"/>
          <w:jc w:val="center"/>
        </w:trPr>
        <w:tc>
          <w:tcPr>
            <w:tcW w:w="423" w:type="dxa"/>
            <w:tcBorders>
              <w:top w:val="nil"/>
              <w:left w:val="single" w:sz="4" w:space="0" w:color="auto"/>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4D0062">
            <w:pPr>
              <w:spacing w:after="0"/>
              <w:rPr>
                <w:rFonts w:ascii="Arial" w:hAnsi="Arial" w:cs="Arial"/>
                <w:bCs/>
                <w:sz w:val="20"/>
                <w:szCs w:val="20"/>
                <w:lang w:eastAsia="es-AR"/>
              </w:rPr>
            </w:pPr>
            <w:r w:rsidRPr="00267BA7">
              <w:rPr>
                <w:rFonts w:ascii="Arial" w:hAnsi="Arial" w:cs="Arial"/>
                <w:bCs/>
                <w:sz w:val="20"/>
                <w:szCs w:val="20"/>
                <w:lang w:eastAsia="es-AR"/>
              </w:rPr>
              <w:t>1</w:t>
            </w:r>
          </w:p>
        </w:tc>
        <w:tc>
          <w:tcPr>
            <w:tcW w:w="5397" w:type="dxa"/>
            <w:tcBorders>
              <w:top w:val="nil"/>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4D0062">
            <w:pPr>
              <w:spacing w:after="0"/>
              <w:rPr>
                <w:rFonts w:ascii="Arial" w:hAnsi="Arial" w:cs="Arial"/>
                <w:bCs/>
                <w:sz w:val="20"/>
                <w:szCs w:val="20"/>
                <w:lang w:eastAsia="es-AR"/>
              </w:rPr>
            </w:pPr>
            <w:r w:rsidRPr="00267BA7">
              <w:rPr>
                <w:rFonts w:ascii="Arial" w:hAnsi="Arial" w:cs="Arial"/>
                <w:bCs/>
                <w:sz w:val="20"/>
                <w:szCs w:val="20"/>
                <w:lang w:eastAsia="es-AR"/>
              </w:rPr>
              <w:t>Componente 1: Apoyo al desarrollo logístico</w:t>
            </w:r>
          </w:p>
        </w:tc>
        <w:tc>
          <w:tcPr>
            <w:tcW w:w="995" w:type="dxa"/>
            <w:tcBorders>
              <w:top w:val="nil"/>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Cs/>
                <w:sz w:val="20"/>
                <w:szCs w:val="20"/>
                <w:lang w:eastAsia="es-AR"/>
              </w:rPr>
            </w:pPr>
            <w:r w:rsidRPr="00267BA7">
              <w:rPr>
                <w:rFonts w:ascii="Arial" w:hAnsi="Arial" w:cs="Arial"/>
                <w:bCs/>
                <w:sz w:val="20"/>
                <w:szCs w:val="20"/>
                <w:lang w:eastAsia="es-AR"/>
              </w:rPr>
              <w:t>34,70</w:t>
            </w:r>
          </w:p>
        </w:tc>
        <w:tc>
          <w:tcPr>
            <w:tcW w:w="993" w:type="dxa"/>
            <w:tcBorders>
              <w:top w:val="nil"/>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Cs/>
                <w:sz w:val="20"/>
                <w:szCs w:val="20"/>
                <w:lang w:eastAsia="es-AR"/>
              </w:rPr>
            </w:pPr>
            <w:r w:rsidRPr="00267BA7">
              <w:rPr>
                <w:rFonts w:ascii="Arial" w:hAnsi="Arial" w:cs="Arial"/>
                <w:bCs/>
                <w:sz w:val="20"/>
                <w:szCs w:val="20"/>
                <w:lang w:eastAsia="es-AR"/>
              </w:rPr>
              <w:t>26,25</w:t>
            </w:r>
          </w:p>
        </w:tc>
        <w:tc>
          <w:tcPr>
            <w:tcW w:w="992" w:type="dxa"/>
            <w:tcBorders>
              <w:top w:val="nil"/>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Cs/>
                <w:sz w:val="20"/>
                <w:szCs w:val="20"/>
                <w:lang w:eastAsia="es-AR"/>
              </w:rPr>
            </w:pPr>
            <w:r w:rsidRPr="00267BA7">
              <w:rPr>
                <w:rFonts w:ascii="Arial" w:hAnsi="Arial" w:cs="Arial"/>
                <w:bCs/>
                <w:sz w:val="20"/>
                <w:szCs w:val="20"/>
                <w:lang w:eastAsia="es-AR"/>
              </w:rPr>
              <w:t>60,95</w:t>
            </w:r>
          </w:p>
        </w:tc>
        <w:tc>
          <w:tcPr>
            <w:tcW w:w="992" w:type="dxa"/>
            <w:tcBorders>
              <w:top w:val="nil"/>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Cs/>
                <w:sz w:val="20"/>
                <w:szCs w:val="20"/>
                <w:lang w:eastAsia="es-AR"/>
              </w:rPr>
            </w:pPr>
            <w:r w:rsidRPr="00267BA7">
              <w:rPr>
                <w:rFonts w:ascii="Arial" w:hAnsi="Arial" w:cs="Arial"/>
                <w:bCs/>
                <w:sz w:val="20"/>
                <w:szCs w:val="20"/>
                <w:lang w:eastAsia="es-AR"/>
              </w:rPr>
              <w:t>77,15</w:t>
            </w:r>
          </w:p>
        </w:tc>
      </w:tr>
      <w:tr w:rsidR="00B37D8A" w:rsidRPr="00267BA7" w:rsidTr="000508A9">
        <w:trPr>
          <w:trHeight w:val="300"/>
          <w:jc w:val="center"/>
        </w:trPr>
        <w:tc>
          <w:tcPr>
            <w:tcW w:w="423"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rsidR="00B37D8A" w:rsidRPr="00267BA7" w:rsidRDefault="00B37D8A" w:rsidP="004D0062">
            <w:pPr>
              <w:spacing w:after="0"/>
              <w:rPr>
                <w:rFonts w:ascii="Arial" w:hAnsi="Arial" w:cs="Arial"/>
                <w:sz w:val="20"/>
                <w:szCs w:val="20"/>
                <w:lang w:eastAsia="es-AR"/>
              </w:rPr>
            </w:pPr>
            <w:r w:rsidRPr="00267BA7">
              <w:rPr>
                <w:rFonts w:ascii="Arial" w:hAnsi="Arial" w:cs="Arial"/>
                <w:sz w:val="20"/>
                <w:szCs w:val="20"/>
                <w:lang w:eastAsia="es-AR"/>
              </w:rPr>
              <w:t>1.1</w:t>
            </w:r>
          </w:p>
        </w:tc>
        <w:tc>
          <w:tcPr>
            <w:tcW w:w="5397" w:type="dxa"/>
            <w:tcBorders>
              <w:top w:val="nil"/>
              <w:left w:val="nil"/>
              <w:bottom w:val="single" w:sz="4" w:space="0" w:color="auto"/>
              <w:right w:val="single" w:sz="4" w:space="0" w:color="auto"/>
            </w:tcBorders>
            <w:noWrap/>
            <w:tcMar>
              <w:top w:w="11" w:type="dxa"/>
              <w:left w:w="11" w:type="dxa"/>
              <w:bottom w:w="0" w:type="dxa"/>
              <w:right w:w="11" w:type="dxa"/>
            </w:tcMar>
            <w:vAlign w:val="bottom"/>
          </w:tcPr>
          <w:p w:rsidR="00B37D8A" w:rsidRPr="00267BA7" w:rsidRDefault="00B37D8A" w:rsidP="004D0062">
            <w:pPr>
              <w:spacing w:after="0"/>
              <w:rPr>
                <w:rFonts w:ascii="Arial" w:hAnsi="Arial" w:cs="Arial"/>
                <w:sz w:val="20"/>
                <w:szCs w:val="20"/>
                <w:lang w:eastAsia="es-AR"/>
              </w:rPr>
            </w:pPr>
            <w:r w:rsidRPr="00267BA7">
              <w:rPr>
                <w:rFonts w:ascii="Arial" w:hAnsi="Arial" w:cs="Arial"/>
                <w:sz w:val="20"/>
                <w:szCs w:val="20"/>
                <w:lang w:eastAsia="es-AR"/>
              </w:rPr>
              <w:t xml:space="preserve">Reconstrucción de </w:t>
            </w:r>
            <w:smartTag w:uri="urn:schemas-microsoft-com:office:smarttags" w:element="PersonName">
              <w:smartTagPr>
                <w:attr w:name="ProductID" w:val="la RP N"/>
              </w:smartTagPr>
              <w:r w:rsidRPr="00267BA7">
                <w:rPr>
                  <w:rFonts w:ascii="Arial" w:hAnsi="Arial" w:cs="Arial"/>
                  <w:sz w:val="20"/>
                  <w:szCs w:val="20"/>
                  <w:lang w:eastAsia="es-AR"/>
                </w:rPr>
                <w:t>la RP N</w:t>
              </w:r>
            </w:smartTag>
            <w:r w:rsidRPr="00267BA7">
              <w:rPr>
                <w:rFonts w:ascii="Arial" w:hAnsi="Arial" w:cs="Arial"/>
                <w:sz w:val="20"/>
                <w:szCs w:val="20"/>
                <w:lang w:eastAsia="es-AR"/>
              </w:rPr>
              <w:t xml:space="preserve"> 82 y construcción del Camino del Perilago del Embalse Potrerillos</w:t>
            </w:r>
          </w:p>
        </w:tc>
        <w:tc>
          <w:tcPr>
            <w:tcW w:w="995"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27,40</w:t>
            </w:r>
          </w:p>
        </w:tc>
        <w:tc>
          <w:tcPr>
            <w:tcW w:w="993"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24,00</w:t>
            </w:r>
          </w:p>
        </w:tc>
        <w:tc>
          <w:tcPr>
            <w:tcW w:w="992"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51,40</w:t>
            </w:r>
          </w:p>
        </w:tc>
        <w:tc>
          <w:tcPr>
            <w:tcW w:w="992"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B37D8A" w:rsidRPr="00267BA7" w:rsidRDefault="004C6E4A" w:rsidP="004C6E4A">
            <w:pPr>
              <w:spacing w:after="0"/>
              <w:jc w:val="center"/>
              <w:rPr>
                <w:rFonts w:ascii="Arial" w:hAnsi="Arial" w:cs="Arial"/>
                <w:sz w:val="20"/>
                <w:szCs w:val="20"/>
                <w:lang w:eastAsia="es-AR"/>
              </w:rPr>
            </w:pPr>
            <w:r>
              <w:rPr>
                <w:rFonts w:ascii="Arial" w:hAnsi="Arial" w:cs="Arial"/>
                <w:sz w:val="20"/>
                <w:szCs w:val="20"/>
                <w:lang w:eastAsia="es-AR"/>
              </w:rPr>
              <w:t>65,06</w:t>
            </w:r>
          </w:p>
        </w:tc>
      </w:tr>
      <w:tr w:rsidR="00B37D8A" w:rsidRPr="00267BA7" w:rsidTr="000508A9">
        <w:trPr>
          <w:trHeight w:val="300"/>
          <w:jc w:val="center"/>
        </w:trPr>
        <w:tc>
          <w:tcPr>
            <w:tcW w:w="423" w:type="dxa"/>
            <w:tcBorders>
              <w:top w:val="nil"/>
              <w:left w:val="single" w:sz="4" w:space="0" w:color="auto"/>
              <w:bottom w:val="single" w:sz="4" w:space="0" w:color="auto"/>
              <w:right w:val="single" w:sz="4" w:space="0" w:color="auto"/>
            </w:tcBorders>
            <w:noWrap/>
            <w:tcMar>
              <w:top w:w="11" w:type="dxa"/>
              <w:left w:w="11" w:type="dxa"/>
              <w:bottom w:w="0" w:type="dxa"/>
              <w:right w:w="11" w:type="dxa"/>
            </w:tcMar>
            <w:vAlign w:val="center"/>
          </w:tcPr>
          <w:p w:rsidR="00B37D8A" w:rsidRPr="00267BA7" w:rsidRDefault="00B37D8A" w:rsidP="004D0062">
            <w:pPr>
              <w:spacing w:after="0"/>
              <w:rPr>
                <w:rFonts w:ascii="Arial" w:hAnsi="Arial" w:cs="Arial"/>
                <w:sz w:val="20"/>
                <w:szCs w:val="20"/>
                <w:lang w:eastAsia="es-AR"/>
              </w:rPr>
            </w:pPr>
            <w:r w:rsidRPr="00267BA7">
              <w:rPr>
                <w:rFonts w:ascii="Arial" w:hAnsi="Arial" w:cs="Arial"/>
                <w:sz w:val="20"/>
                <w:szCs w:val="20"/>
                <w:lang w:eastAsia="es-AR"/>
              </w:rPr>
              <w:t>1.2</w:t>
            </w:r>
          </w:p>
        </w:tc>
        <w:tc>
          <w:tcPr>
            <w:tcW w:w="5397" w:type="dxa"/>
            <w:tcBorders>
              <w:top w:val="nil"/>
              <w:left w:val="nil"/>
              <w:bottom w:val="single" w:sz="4" w:space="0" w:color="auto"/>
              <w:right w:val="single" w:sz="4" w:space="0" w:color="auto"/>
            </w:tcBorders>
            <w:tcMar>
              <w:top w:w="11" w:type="dxa"/>
              <w:left w:w="11" w:type="dxa"/>
              <w:bottom w:w="0" w:type="dxa"/>
              <w:right w:w="11" w:type="dxa"/>
            </w:tcMar>
            <w:vAlign w:val="center"/>
          </w:tcPr>
          <w:p w:rsidR="00B37D8A" w:rsidRPr="00267BA7" w:rsidRDefault="00B37D8A" w:rsidP="004D0062">
            <w:pPr>
              <w:spacing w:after="0"/>
              <w:rPr>
                <w:rFonts w:ascii="Arial" w:hAnsi="Arial" w:cs="Arial"/>
                <w:sz w:val="20"/>
                <w:szCs w:val="20"/>
                <w:lang w:eastAsia="es-AR"/>
              </w:rPr>
            </w:pPr>
            <w:r w:rsidRPr="00267BA7">
              <w:rPr>
                <w:rFonts w:ascii="Arial" w:hAnsi="Arial" w:cs="Arial"/>
                <w:sz w:val="20"/>
                <w:szCs w:val="20"/>
                <w:lang w:eastAsia="es-AR"/>
              </w:rPr>
              <w:t>Centro internacional de logística / Traslado puerto seco</w:t>
            </w:r>
          </w:p>
        </w:tc>
        <w:tc>
          <w:tcPr>
            <w:tcW w:w="995"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7,30</w:t>
            </w:r>
          </w:p>
        </w:tc>
        <w:tc>
          <w:tcPr>
            <w:tcW w:w="993"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2,25</w:t>
            </w:r>
          </w:p>
        </w:tc>
        <w:tc>
          <w:tcPr>
            <w:tcW w:w="992"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9,55</w:t>
            </w:r>
          </w:p>
        </w:tc>
        <w:tc>
          <w:tcPr>
            <w:tcW w:w="992"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B37D8A" w:rsidRPr="00267BA7" w:rsidRDefault="004C6E4A" w:rsidP="000508A9">
            <w:pPr>
              <w:spacing w:after="0"/>
              <w:jc w:val="center"/>
              <w:rPr>
                <w:rFonts w:ascii="Arial" w:hAnsi="Arial" w:cs="Arial"/>
                <w:sz w:val="20"/>
                <w:szCs w:val="20"/>
                <w:lang w:eastAsia="es-AR"/>
              </w:rPr>
            </w:pPr>
            <w:r>
              <w:rPr>
                <w:rFonts w:ascii="Arial" w:hAnsi="Arial" w:cs="Arial"/>
                <w:sz w:val="20"/>
                <w:szCs w:val="20"/>
                <w:lang w:eastAsia="es-AR"/>
              </w:rPr>
              <w:t>12,09</w:t>
            </w:r>
          </w:p>
        </w:tc>
      </w:tr>
      <w:tr w:rsidR="00B37D8A" w:rsidRPr="00267BA7" w:rsidTr="000508A9">
        <w:trPr>
          <w:trHeight w:val="420"/>
          <w:jc w:val="center"/>
        </w:trPr>
        <w:tc>
          <w:tcPr>
            <w:tcW w:w="423" w:type="dxa"/>
            <w:tcBorders>
              <w:top w:val="nil"/>
              <w:left w:val="single" w:sz="4" w:space="0" w:color="auto"/>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4D0062">
            <w:pPr>
              <w:spacing w:after="0"/>
              <w:rPr>
                <w:rFonts w:ascii="Arial" w:hAnsi="Arial" w:cs="Arial"/>
                <w:bCs/>
                <w:sz w:val="20"/>
                <w:szCs w:val="20"/>
                <w:lang w:eastAsia="es-AR"/>
              </w:rPr>
            </w:pPr>
            <w:r w:rsidRPr="00267BA7">
              <w:rPr>
                <w:rFonts w:ascii="Arial" w:hAnsi="Arial" w:cs="Arial"/>
                <w:bCs/>
                <w:sz w:val="20"/>
                <w:szCs w:val="20"/>
                <w:lang w:eastAsia="es-AR"/>
              </w:rPr>
              <w:t>2</w:t>
            </w:r>
          </w:p>
        </w:tc>
        <w:tc>
          <w:tcPr>
            <w:tcW w:w="5397" w:type="dxa"/>
            <w:tcBorders>
              <w:top w:val="nil"/>
              <w:left w:val="nil"/>
              <w:bottom w:val="single" w:sz="4" w:space="0" w:color="auto"/>
              <w:right w:val="single" w:sz="4" w:space="0" w:color="auto"/>
            </w:tcBorders>
            <w:shd w:val="clear" w:color="auto" w:fill="BFBFBF"/>
            <w:tcMar>
              <w:top w:w="11" w:type="dxa"/>
              <w:left w:w="11" w:type="dxa"/>
              <w:bottom w:w="0" w:type="dxa"/>
              <w:right w:w="11" w:type="dxa"/>
            </w:tcMar>
            <w:vAlign w:val="center"/>
          </w:tcPr>
          <w:p w:rsidR="00B37D8A" w:rsidRPr="00267BA7" w:rsidRDefault="00B37D8A" w:rsidP="004D0062">
            <w:pPr>
              <w:spacing w:after="0"/>
              <w:rPr>
                <w:rFonts w:ascii="Arial" w:hAnsi="Arial" w:cs="Arial"/>
                <w:bCs/>
                <w:sz w:val="20"/>
                <w:szCs w:val="20"/>
                <w:lang w:eastAsia="es-AR"/>
              </w:rPr>
            </w:pPr>
            <w:r w:rsidRPr="00267BA7">
              <w:rPr>
                <w:rFonts w:ascii="Arial" w:hAnsi="Arial" w:cs="Arial"/>
                <w:bCs/>
                <w:sz w:val="20"/>
                <w:szCs w:val="20"/>
                <w:lang w:eastAsia="es-AR"/>
              </w:rPr>
              <w:t>Componente 2: Apoyo al desarrollo tecnológico</w:t>
            </w:r>
          </w:p>
        </w:tc>
        <w:tc>
          <w:tcPr>
            <w:tcW w:w="995" w:type="dxa"/>
            <w:tcBorders>
              <w:top w:val="nil"/>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Cs/>
                <w:sz w:val="20"/>
                <w:szCs w:val="20"/>
                <w:lang w:eastAsia="es-AR"/>
              </w:rPr>
            </w:pPr>
            <w:r w:rsidRPr="00267BA7">
              <w:rPr>
                <w:rFonts w:ascii="Arial" w:hAnsi="Arial" w:cs="Arial"/>
                <w:bCs/>
                <w:sz w:val="20"/>
                <w:szCs w:val="20"/>
                <w:lang w:eastAsia="es-AR"/>
              </w:rPr>
              <w:t>7,95</w:t>
            </w:r>
          </w:p>
        </w:tc>
        <w:tc>
          <w:tcPr>
            <w:tcW w:w="993" w:type="dxa"/>
            <w:tcBorders>
              <w:top w:val="nil"/>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Cs/>
                <w:sz w:val="20"/>
                <w:szCs w:val="20"/>
                <w:lang w:eastAsia="es-AR"/>
              </w:rPr>
            </w:pPr>
            <w:r w:rsidRPr="00267BA7">
              <w:rPr>
                <w:rFonts w:ascii="Arial" w:hAnsi="Arial" w:cs="Arial"/>
                <w:bCs/>
                <w:sz w:val="20"/>
                <w:szCs w:val="20"/>
                <w:lang w:eastAsia="es-AR"/>
              </w:rPr>
              <w:t>1,55</w:t>
            </w:r>
          </w:p>
        </w:tc>
        <w:tc>
          <w:tcPr>
            <w:tcW w:w="992" w:type="dxa"/>
            <w:tcBorders>
              <w:top w:val="nil"/>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Cs/>
                <w:sz w:val="20"/>
                <w:szCs w:val="20"/>
                <w:lang w:eastAsia="es-AR"/>
              </w:rPr>
            </w:pPr>
            <w:r w:rsidRPr="00267BA7">
              <w:rPr>
                <w:rFonts w:ascii="Arial" w:hAnsi="Arial" w:cs="Arial"/>
                <w:bCs/>
                <w:sz w:val="20"/>
                <w:szCs w:val="20"/>
                <w:lang w:eastAsia="es-AR"/>
              </w:rPr>
              <w:t>9,50</w:t>
            </w:r>
          </w:p>
        </w:tc>
        <w:tc>
          <w:tcPr>
            <w:tcW w:w="992" w:type="dxa"/>
            <w:tcBorders>
              <w:top w:val="nil"/>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Cs/>
                <w:sz w:val="20"/>
                <w:szCs w:val="20"/>
                <w:lang w:eastAsia="es-AR"/>
              </w:rPr>
            </w:pPr>
            <w:r w:rsidRPr="00267BA7">
              <w:rPr>
                <w:rFonts w:ascii="Arial" w:hAnsi="Arial" w:cs="Arial"/>
                <w:bCs/>
                <w:sz w:val="20"/>
                <w:szCs w:val="20"/>
                <w:lang w:eastAsia="es-AR"/>
              </w:rPr>
              <w:t>12,03</w:t>
            </w:r>
          </w:p>
        </w:tc>
      </w:tr>
      <w:tr w:rsidR="00B37D8A" w:rsidRPr="00267BA7" w:rsidTr="000508A9">
        <w:trPr>
          <w:trHeight w:val="300"/>
          <w:jc w:val="center"/>
        </w:trPr>
        <w:tc>
          <w:tcPr>
            <w:tcW w:w="423" w:type="dxa"/>
            <w:tcBorders>
              <w:top w:val="nil"/>
              <w:left w:val="single" w:sz="4" w:space="0" w:color="auto"/>
              <w:bottom w:val="single" w:sz="4" w:space="0" w:color="auto"/>
              <w:right w:val="single" w:sz="4" w:space="0" w:color="auto"/>
            </w:tcBorders>
            <w:shd w:val="clear" w:color="000000" w:fill="FFFFFF"/>
            <w:tcMar>
              <w:top w:w="11" w:type="dxa"/>
              <w:left w:w="11" w:type="dxa"/>
              <w:bottom w:w="0" w:type="dxa"/>
              <w:right w:w="11" w:type="dxa"/>
            </w:tcMar>
            <w:vAlign w:val="center"/>
          </w:tcPr>
          <w:p w:rsidR="00B37D8A" w:rsidRPr="00267BA7" w:rsidRDefault="00B37D8A" w:rsidP="004D0062">
            <w:pPr>
              <w:spacing w:after="0"/>
              <w:rPr>
                <w:rFonts w:ascii="Arial" w:hAnsi="Arial" w:cs="Arial"/>
                <w:sz w:val="20"/>
                <w:szCs w:val="20"/>
                <w:lang w:eastAsia="es-AR"/>
              </w:rPr>
            </w:pPr>
            <w:r w:rsidRPr="00267BA7">
              <w:rPr>
                <w:rFonts w:ascii="Arial" w:hAnsi="Arial" w:cs="Arial"/>
                <w:sz w:val="20"/>
                <w:szCs w:val="20"/>
                <w:lang w:eastAsia="es-AR"/>
              </w:rPr>
              <w:t>2.1</w:t>
            </w:r>
          </w:p>
        </w:tc>
        <w:tc>
          <w:tcPr>
            <w:tcW w:w="5397" w:type="dxa"/>
            <w:tcBorders>
              <w:top w:val="nil"/>
              <w:left w:val="nil"/>
              <w:bottom w:val="single" w:sz="4" w:space="0" w:color="auto"/>
              <w:right w:val="single" w:sz="4" w:space="0" w:color="auto"/>
            </w:tcBorders>
            <w:shd w:val="clear" w:color="000000" w:fill="FFFFFF"/>
            <w:tcMar>
              <w:top w:w="11" w:type="dxa"/>
              <w:left w:w="11" w:type="dxa"/>
              <w:bottom w:w="0" w:type="dxa"/>
              <w:right w:w="11" w:type="dxa"/>
            </w:tcMar>
            <w:vAlign w:val="center"/>
          </w:tcPr>
          <w:p w:rsidR="00B37D8A" w:rsidRPr="00267BA7" w:rsidRDefault="00B37D8A" w:rsidP="004D0062">
            <w:pPr>
              <w:spacing w:after="0"/>
              <w:rPr>
                <w:rFonts w:ascii="Arial" w:hAnsi="Arial" w:cs="Arial"/>
                <w:sz w:val="20"/>
                <w:szCs w:val="20"/>
                <w:lang w:eastAsia="es-AR"/>
              </w:rPr>
            </w:pPr>
            <w:r w:rsidRPr="00267BA7">
              <w:rPr>
                <w:rFonts w:ascii="Arial" w:hAnsi="Arial" w:cs="Arial"/>
                <w:sz w:val="20"/>
                <w:szCs w:val="20"/>
                <w:lang w:eastAsia="es-AR"/>
              </w:rPr>
              <w:t>Parque Biotecnológico y de Energías Renovables</w:t>
            </w:r>
          </w:p>
        </w:tc>
        <w:tc>
          <w:tcPr>
            <w:tcW w:w="995" w:type="dxa"/>
            <w:tcBorders>
              <w:top w:val="nil"/>
              <w:left w:val="nil"/>
              <w:bottom w:val="single" w:sz="4" w:space="0" w:color="auto"/>
              <w:right w:val="single" w:sz="4" w:space="0" w:color="auto"/>
            </w:tcBorders>
            <w:shd w:val="clear" w:color="000000" w:fill="FFFFF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1,20</w:t>
            </w:r>
          </w:p>
        </w:tc>
        <w:tc>
          <w:tcPr>
            <w:tcW w:w="993" w:type="dxa"/>
            <w:tcBorders>
              <w:top w:val="nil"/>
              <w:left w:val="nil"/>
              <w:bottom w:val="single" w:sz="4" w:space="0" w:color="auto"/>
              <w:right w:val="single" w:sz="4" w:space="0" w:color="auto"/>
            </w:tcBorders>
            <w:shd w:val="clear" w:color="000000" w:fill="FFFFF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0,55</w:t>
            </w:r>
          </w:p>
        </w:tc>
        <w:tc>
          <w:tcPr>
            <w:tcW w:w="992" w:type="dxa"/>
            <w:tcBorders>
              <w:top w:val="nil"/>
              <w:left w:val="nil"/>
              <w:bottom w:val="single" w:sz="4" w:space="0" w:color="auto"/>
              <w:right w:val="single" w:sz="4" w:space="0" w:color="auto"/>
            </w:tcBorders>
            <w:shd w:val="clear" w:color="000000" w:fill="FFFFF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1,75</w:t>
            </w:r>
          </w:p>
        </w:tc>
        <w:tc>
          <w:tcPr>
            <w:tcW w:w="992"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B37D8A" w:rsidRPr="00267BA7" w:rsidRDefault="004C6E4A" w:rsidP="000508A9">
            <w:pPr>
              <w:spacing w:after="0"/>
              <w:jc w:val="center"/>
              <w:rPr>
                <w:rFonts w:ascii="Arial" w:hAnsi="Arial" w:cs="Arial"/>
                <w:sz w:val="20"/>
                <w:szCs w:val="20"/>
                <w:lang w:eastAsia="es-AR"/>
              </w:rPr>
            </w:pPr>
            <w:r>
              <w:rPr>
                <w:rFonts w:ascii="Arial" w:hAnsi="Arial" w:cs="Arial"/>
                <w:sz w:val="20"/>
                <w:szCs w:val="20"/>
                <w:lang w:eastAsia="es-AR"/>
              </w:rPr>
              <w:t>2,22</w:t>
            </w:r>
          </w:p>
        </w:tc>
      </w:tr>
      <w:tr w:rsidR="00B37D8A" w:rsidRPr="00267BA7" w:rsidTr="000508A9">
        <w:trPr>
          <w:trHeight w:val="300"/>
          <w:jc w:val="center"/>
        </w:trPr>
        <w:tc>
          <w:tcPr>
            <w:tcW w:w="423" w:type="dxa"/>
            <w:tcBorders>
              <w:top w:val="nil"/>
              <w:left w:val="single" w:sz="4" w:space="0" w:color="auto"/>
              <w:bottom w:val="single" w:sz="4" w:space="0" w:color="auto"/>
              <w:right w:val="single" w:sz="4" w:space="0" w:color="auto"/>
            </w:tcBorders>
            <w:shd w:val="clear" w:color="000000" w:fill="FFFFFF"/>
            <w:tcMar>
              <w:top w:w="11" w:type="dxa"/>
              <w:left w:w="11" w:type="dxa"/>
              <w:bottom w:w="0" w:type="dxa"/>
              <w:right w:w="11" w:type="dxa"/>
            </w:tcMar>
            <w:vAlign w:val="center"/>
          </w:tcPr>
          <w:p w:rsidR="00B37D8A" w:rsidRPr="00267BA7" w:rsidRDefault="00B37D8A" w:rsidP="004D0062">
            <w:pPr>
              <w:spacing w:after="0"/>
              <w:rPr>
                <w:rFonts w:ascii="Arial" w:hAnsi="Arial" w:cs="Arial"/>
                <w:sz w:val="20"/>
                <w:szCs w:val="20"/>
                <w:lang w:eastAsia="es-AR"/>
              </w:rPr>
            </w:pPr>
            <w:r w:rsidRPr="00267BA7">
              <w:rPr>
                <w:rFonts w:ascii="Arial" w:hAnsi="Arial" w:cs="Arial"/>
                <w:sz w:val="20"/>
                <w:szCs w:val="20"/>
                <w:lang w:eastAsia="es-AR"/>
              </w:rPr>
              <w:t>2.2</w:t>
            </w:r>
          </w:p>
        </w:tc>
        <w:tc>
          <w:tcPr>
            <w:tcW w:w="5397" w:type="dxa"/>
            <w:tcBorders>
              <w:top w:val="nil"/>
              <w:left w:val="nil"/>
              <w:bottom w:val="single" w:sz="4" w:space="0" w:color="auto"/>
              <w:right w:val="single" w:sz="4" w:space="0" w:color="auto"/>
            </w:tcBorders>
            <w:shd w:val="clear" w:color="000000" w:fill="FFFFFF"/>
            <w:tcMar>
              <w:top w:w="11" w:type="dxa"/>
              <w:left w:w="11" w:type="dxa"/>
              <w:bottom w:w="0" w:type="dxa"/>
              <w:right w:w="11" w:type="dxa"/>
            </w:tcMar>
            <w:vAlign w:val="center"/>
          </w:tcPr>
          <w:p w:rsidR="00B37D8A" w:rsidRPr="00267BA7" w:rsidRDefault="00B37D8A" w:rsidP="004D0062">
            <w:pPr>
              <w:spacing w:after="0"/>
              <w:rPr>
                <w:rFonts w:ascii="Arial" w:hAnsi="Arial" w:cs="Arial"/>
                <w:sz w:val="20"/>
                <w:szCs w:val="20"/>
                <w:lang w:eastAsia="es-AR"/>
              </w:rPr>
            </w:pPr>
            <w:r w:rsidRPr="00267BA7">
              <w:rPr>
                <w:rFonts w:ascii="Arial" w:hAnsi="Arial" w:cs="Arial"/>
                <w:sz w:val="20"/>
                <w:szCs w:val="20"/>
                <w:lang w:eastAsia="es-AR"/>
              </w:rPr>
              <w:t>Polo del Conocimiento</w:t>
            </w:r>
          </w:p>
        </w:tc>
        <w:tc>
          <w:tcPr>
            <w:tcW w:w="995" w:type="dxa"/>
            <w:tcBorders>
              <w:top w:val="nil"/>
              <w:left w:val="nil"/>
              <w:bottom w:val="single" w:sz="4" w:space="0" w:color="auto"/>
              <w:right w:val="single" w:sz="4" w:space="0" w:color="auto"/>
            </w:tcBorders>
            <w:shd w:val="clear" w:color="000000" w:fill="FFFFF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3,00</w:t>
            </w:r>
          </w:p>
        </w:tc>
        <w:tc>
          <w:tcPr>
            <w:tcW w:w="993" w:type="dxa"/>
            <w:tcBorders>
              <w:top w:val="nil"/>
              <w:left w:val="nil"/>
              <w:bottom w:val="single" w:sz="4" w:space="0" w:color="auto"/>
              <w:right w:val="single" w:sz="4" w:space="0" w:color="auto"/>
            </w:tcBorders>
            <w:shd w:val="clear" w:color="000000" w:fill="FFFFF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0,75</w:t>
            </w:r>
          </w:p>
        </w:tc>
        <w:tc>
          <w:tcPr>
            <w:tcW w:w="992" w:type="dxa"/>
            <w:tcBorders>
              <w:top w:val="nil"/>
              <w:left w:val="nil"/>
              <w:bottom w:val="single" w:sz="4" w:space="0" w:color="auto"/>
              <w:right w:val="single" w:sz="4" w:space="0" w:color="auto"/>
            </w:tcBorders>
            <w:shd w:val="clear" w:color="000000" w:fill="FFFFF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3,75</w:t>
            </w:r>
          </w:p>
        </w:tc>
        <w:tc>
          <w:tcPr>
            <w:tcW w:w="992"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B37D8A" w:rsidRPr="00267BA7" w:rsidRDefault="004C6E4A" w:rsidP="000508A9">
            <w:pPr>
              <w:spacing w:after="0"/>
              <w:jc w:val="center"/>
              <w:rPr>
                <w:rFonts w:ascii="Arial" w:hAnsi="Arial" w:cs="Arial"/>
                <w:sz w:val="20"/>
                <w:szCs w:val="20"/>
                <w:lang w:eastAsia="es-AR"/>
              </w:rPr>
            </w:pPr>
            <w:r>
              <w:rPr>
                <w:rFonts w:ascii="Arial" w:hAnsi="Arial" w:cs="Arial"/>
                <w:sz w:val="20"/>
                <w:szCs w:val="20"/>
                <w:lang w:eastAsia="es-AR"/>
              </w:rPr>
              <w:t>4,75</w:t>
            </w:r>
          </w:p>
        </w:tc>
      </w:tr>
      <w:tr w:rsidR="00B37D8A" w:rsidRPr="00267BA7" w:rsidTr="000508A9">
        <w:trPr>
          <w:trHeight w:val="300"/>
          <w:jc w:val="center"/>
        </w:trPr>
        <w:tc>
          <w:tcPr>
            <w:tcW w:w="423" w:type="dxa"/>
            <w:tcBorders>
              <w:top w:val="nil"/>
              <w:left w:val="single" w:sz="4" w:space="0" w:color="auto"/>
              <w:bottom w:val="single" w:sz="4" w:space="0" w:color="auto"/>
              <w:right w:val="single" w:sz="4" w:space="0" w:color="auto"/>
            </w:tcBorders>
            <w:shd w:val="clear" w:color="000000" w:fill="FFFFFF"/>
            <w:tcMar>
              <w:top w:w="11" w:type="dxa"/>
              <w:left w:w="11" w:type="dxa"/>
              <w:bottom w:w="0" w:type="dxa"/>
              <w:right w:w="11" w:type="dxa"/>
            </w:tcMar>
            <w:vAlign w:val="center"/>
          </w:tcPr>
          <w:p w:rsidR="00B37D8A" w:rsidRPr="00267BA7" w:rsidRDefault="00B37D8A" w:rsidP="004D0062">
            <w:pPr>
              <w:spacing w:after="0"/>
              <w:rPr>
                <w:rFonts w:ascii="Arial" w:hAnsi="Arial" w:cs="Arial"/>
                <w:sz w:val="20"/>
                <w:szCs w:val="20"/>
                <w:lang w:eastAsia="es-AR"/>
              </w:rPr>
            </w:pPr>
            <w:r w:rsidRPr="00267BA7">
              <w:rPr>
                <w:rFonts w:ascii="Arial" w:hAnsi="Arial" w:cs="Arial"/>
                <w:sz w:val="20"/>
                <w:szCs w:val="20"/>
                <w:lang w:eastAsia="es-AR"/>
              </w:rPr>
              <w:t>2.3</w:t>
            </w:r>
          </w:p>
        </w:tc>
        <w:tc>
          <w:tcPr>
            <w:tcW w:w="5397" w:type="dxa"/>
            <w:tcBorders>
              <w:top w:val="nil"/>
              <w:left w:val="nil"/>
              <w:bottom w:val="single" w:sz="4" w:space="0" w:color="auto"/>
              <w:right w:val="single" w:sz="4" w:space="0" w:color="auto"/>
            </w:tcBorders>
            <w:shd w:val="clear" w:color="000000" w:fill="FFFFFF"/>
            <w:tcMar>
              <w:top w:w="11" w:type="dxa"/>
              <w:left w:w="11" w:type="dxa"/>
              <w:bottom w:w="0" w:type="dxa"/>
              <w:right w:w="11" w:type="dxa"/>
            </w:tcMar>
            <w:vAlign w:val="center"/>
          </w:tcPr>
          <w:p w:rsidR="00B37D8A" w:rsidRPr="00267BA7" w:rsidRDefault="00B37D8A" w:rsidP="004D0062">
            <w:pPr>
              <w:spacing w:after="0"/>
              <w:rPr>
                <w:rFonts w:ascii="Arial" w:hAnsi="Arial" w:cs="Arial"/>
                <w:sz w:val="20"/>
                <w:szCs w:val="20"/>
                <w:lang w:eastAsia="es-AR"/>
              </w:rPr>
            </w:pPr>
            <w:r w:rsidRPr="00267BA7">
              <w:rPr>
                <w:rFonts w:ascii="Arial" w:hAnsi="Arial" w:cs="Arial"/>
                <w:sz w:val="20"/>
                <w:szCs w:val="20"/>
                <w:lang w:eastAsia="es-AR"/>
              </w:rPr>
              <w:t>Sistema de Información para el Desarrollo Económico Provincial</w:t>
            </w:r>
          </w:p>
        </w:tc>
        <w:tc>
          <w:tcPr>
            <w:tcW w:w="995"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0,75</w:t>
            </w:r>
          </w:p>
        </w:tc>
        <w:tc>
          <w:tcPr>
            <w:tcW w:w="993"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0,00</w:t>
            </w:r>
          </w:p>
        </w:tc>
        <w:tc>
          <w:tcPr>
            <w:tcW w:w="992" w:type="dxa"/>
            <w:tcBorders>
              <w:top w:val="nil"/>
              <w:left w:val="nil"/>
              <w:bottom w:val="single" w:sz="4" w:space="0" w:color="auto"/>
              <w:right w:val="single" w:sz="4" w:space="0" w:color="auto"/>
            </w:tcBorders>
            <w:shd w:val="clear" w:color="000000" w:fill="FFFFF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0,75</w:t>
            </w:r>
          </w:p>
        </w:tc>
        <w:tc>
          <w:tcPr>
            <w:tcW w:w="992"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B37D8A" w:rsidRPr="00267BA7" w:rsidRDefault="004C6E4A" w:rsidP="000508A9">
            <w:pPr>
              <w:spacing w:after="0"/>
              <w:jc w:val="center"/>
              <w:rPr>
                <w:rFonts w:ascii="Arial" w:hAnsi="Arial" w:cs="Arial"/>
                <w:sz w:val="20"/>
                <w:szCs w:val="20"/>
                <w:lang w:eastAsia="es-AR"/>
              </w:rPr>
            </w:pPr>
            <w:r>
              <w:rPr>
                <w:rFonts w:ascii="Arial" w:hAnsi="Arial" w:cs="Arial"/>
                <w:sz w:val="20"/>
                <w:szCs w:val="20"/>
                <w:lang w:eastAsia="es-AR"/>
              </w:rPr>
              <w:t>0,95</w:t>
            </w:r>
          </w:p>
        </w:tc>
      </w:tr>
      <w:tr w:rsidR="00B37D8A" w:rsidRPr="00267BA7" w:rsidTr="000508A9">
        <w:trPr>
          <w:trHeight w:val="300"/>
          <w:jc w:val="center"/>
        </w:trPr>
        <w:tc>
          <w:tcPr>
            <w:tcW w:w="423" w:type="dxa"/>
            <w:tcBorders>
              <w:top w:val="nil"/>
              <w:left w:val="single" w:sz="4" w:space="0" w:color="auto"/>
              <w:bottom w:val="single" w:sz="4" w:space="0" w:color="auto"/>
              <w:right w:val="single" w:sz="4" w:space="0" w:color="auto"/>
            </w:tcBorders>
            <w:shd w:val="clear" w:color="000000" w:fill="FFFFFF"/>
            <w:tcMar>
              <w:top w:w="11" w:type="dxa"/>
              <w:left w:w="11" w:type="dxa"/>
              <w:bottom w:w="0" w:type="dxa"/>
              <w:right w:w="11" w:type="dxa"/>
            </w:tcMar>
            <w:vAlign w:val="center"/>
          </w:tcPr>
          <w:p w:rsidR="00B37D8A" w:rsidRPr="00267BA7" w:rsidRDefault="00B37D8A" w:rsidP="004D0062">
            <w:pPr>
              <w:spacing w:after="0"/>
              <w:rPr>
                <w:rFonts w:ascii="Arial" w:hAnsi="Arial" w:cs="Arial"/>
                <w:sz w:val="20"/>
                <w:szCs w:val="20"/>
                <w:lang w:eastAsia="es-AR"/>
              </w:rPr>
            </w:pPr>
            <w:r w:rsidRPr="00267BA7">
              <w:rPr>
                <w:rFonts w:ascii="Arial" w:hAnsi="Arial" w:cs="Arial"/>
                <w:sz w:val="20"/>
                <w:szCs w:val="20"/>
                <w:lang w:eastAsia="es-AR"/>
              </w:rPr>
              <w:t>2.4</w:t>
            </w:r>
          </w:p>
        </w:tc>
        <w:tc>
          <w:tcPr>
            <w:tcW w:w="5397" w:type="dxa"/>
            <w:tcBorders>
              <w:top w:val="nil"/>
              <w:left w:val="nil"/>
              <w:bottom w:val="single" w:sz="4" w:space="0" w:color="auto"/>
              <w:right w:val="single" w:sz="4" w:space="0" w:color="auto"/>
            </w:tcBorders>
            <w:shd w:val="clear" w:color="000000" w:fill="FFFFFF"/>
            <w:tcMar>
              <w:top w:w="11" w:type="dxa"/>
              <w:left w:w="11" w:type="dxa"/>
              <w:bottom w:w="0" w:type="dxa"/>
              <w:right w:w="11" w:type="dxa"/>
            </w:tcMar>
            <w:vAlign w:val="center"/>
          </w:tcPr>
          <w:p w:rsidR="00B37D8A" w:rsidRPr="00267BA7" w:rsidRDefault="00B37D8A" w:rsidP="004D0062">
            <w:pPr>
              <w:spacing w:after="0"/>
              <w:rPr>
                <w:rFonts w:ascii="Arial" w:hAnsi="Arial" w:cs="Arial"/>
                <w:sz w:val="20"/>
                <w:szCs w:val="20"/>
                <w:lang w:eastAsia="es-AR"/>
              </w:rPr>
            </w:pPr>
            <w:r w:rsidRPr="00267BA7">
              <w:rPr>
                <w:rFonts w:ascii="Arial" w:hAnsi="Arial" w:cs="Arial"/>
                <w:sz w:val="20"/>
                <w:szCs w:val="20"/>
                <w:lang w:eastAsia="es-AR"/>
              </w:rPr>
              <w:t>Centros de Apoyo al Desarrollo Productivo Local.</w:t>
            </w:r>
          </w:p>
        </w:tc>
        <w:tc>
          <w:tcPr>
            <w:tcW w:w="995"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3,00</w:t>
            </w:r>
          </w:p>
        </w:tc>
        <w:tc>
          <w:tcPr>
            <w:tcW w:w="993"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0,25</w:t>
            </w:r>
          </w:p>
        </w:tc>
        <w:tc>
          <w:tcPr>
            <w:tcW w:w="992" w:type="dxa"/>
            <w:tcBorders>
              <w:top w:val="nil"/>
              <w:left w:val="nil"/>
              <w:bottom w:val="single" w:sz="4" w:space="0" w:color="auto"/>
              <w:right w:val="single" w:sz="4" w:space="0" w:color="auto"/>
            </w:tcBorders>
            <w:shd w:val="clear" w:color="000000" w:fill="FFFFF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3,25</w:t>
            </w:r>
          </w:p>
        </w:tc>
        <w:tc>
          <w:tcPr>
            <w:tcW w:w="992"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B37D8A" w:rsidRPr="00267BA7" w:rsidRDefault="004C6E4A" w:rsidP="000508A9">
            <w:pPr>
              <w:spacing w:after="0"/>
              <w:jc w:val="center"/>
              <w:rPr>
                <w:rFonts w:ascii="Arial" w:hAnsi="Arial" w:cs="Arial"/>
                <w:sz w:val="20"/>
                <w:szCs w:val="20"/>
                <w:lang w:eastAsia="es-AR"/>
              </w:rPr>
            </w:pPr>
            <w:r>
              <w:rPr>
                <w:rFonts w:ascii="Arial" w:hAnsi="Arial" w:cs="Arial"/>
                <w:sz w:val="20"/>
                <w:szCs w:val="20"/>
                <w:lang w:eastAsia="es-AR"/>
              </w:rPr>
              <w:t>4,11</w:t>
            </w:r>
          </w:p>
        </w:tc>
      </w:tr>
      <w:tr w:rsidR="00B37D8A" w:rsidRPr="00267BA7" w:rsidTr="000508A9">
        <w:trPr>
          <w:trHeight w:val="420"/>
          <w:jc w:val="center"/>
        </w:trPr>
        <w:tc>
          <w:tcPr>
            <w:tcW w:w="423" w:type="dxa"/>
            <w:tcBorders>
              <w:top w:val="nil"/>
              <w:left w:val="single" w:sz="4" w:space="0" w:color="auto"/>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4D0062">
            <w:pPr>
              <w:spacing w:after="0"/>
              <w:rPr>
                <w:rFonts w:ascii="Arial" w:hAnsi="Arial" w:cs="Arial"/>
                <w:bCs/>
                <w:sz w:val="20"/>
                <w:szCs w:val="20"/>
                <w:lang w:eastAsia="es-AR"/>
              </w:rPr>
            </w:pPr>
            <w:r w:rsidRPr="00267BA7">
              <w:rPr>
                <w:rFonts w:ascii="Arial" w:hAnsi="Arial" w:cs="Arial"/>
                <w:bCs/>
                <w:sz w:val="20"/>
                <w:szCs w:val="20"/>
                <w:lang w:eastAsia="es-AR"/>
              </w:rPr>
              <w:t>3</w:t>
            </w:r>
          </w:p>
        </w:tc>
        <w:tc>
          <w:tcPr>
            <w:tcW w:w="5397" w:type="dxa"/>
            <w:tcBorders>
              <w:top w:val="nil"/>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4D0062">
            <w:pPr>
              <w:spacing w:after="0"/>
              <w:rPr>
                <w:rFonts w:ascii="Arial" w:hAnsi="Arial" w:cs="Arial"/>
                <w:bCs/>
                <w:sz w:val="20"/>
                <w:szCs w:val="20"/>
                <w:lang w:eastAsia="es-AR"/>
              </w:rPr>
            </w:pPr>
            <w:r w:rsidRPr="00267BA7">
              <w:rPr>
                <w:rFonts w:ascii="Arial" w:hAnsi="Arial" w:cs="Arial"/>
                <w:bCs/>
                <w:sz w:val="20"/>
                <w:szCs w:val="20"/>
                <w:lang w:eastAsia="es-AR"/>
              </w:rPr>
              <w:t>Componente 3:Apoyo a la internacionalización de la provincia de Mendoza</w:t>
            </w:r>
          </w:p>
        </w:tc>
        <w:tc>
          <w:tcPr>
            <w:tcW w:w="995" w:type="dxa"/>
            <w:tcBorders>
              <w:top w:val="nil"/>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Cs/>
                <w:sz w:val="20"/>
                <w:szCs w:val="20"/>
                <w:lang w:eastAsia="es-AR"/>
              </w:rPr>
            </w:pPr>
            <w:r w:rsidRPr="00267BA7">
              <w:rPr>
                <w:rFonts w:ascii="Arial" w:hAnsi="Arial" w:cs="Arial"/>
                <w:bCs/>
                <w:sz w:val="20"/>
                <w:szCs w:val="20"/>
                <w:lang w:eastAsia="es-AR"/>
              </w:rPr>
              <w:t>3,70</w:t>
            </w:r>
          </w:p>
        </w:tc>
        <w:tc>
          <w:tcPr>
            <w:tcW w:w="993" w:type="dxa"/>
            <w:tcBorders>
              <w:top w:val="nil"/>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Cs/>
                <w:sz w:val="20"/>
                <w:szCs w:val="20"/>
                <w:lang w:eastAsia="es-AR"/>
              </w:rPr>
            </w:pPr>
            <w:r w:rsidRPr="00267BA7">
              <w:rPr>
                <w:rFonts w:ascii="Arial" w:hAnsi="Arial" w:cs="Arial"/>
                <w:bCs/>
                <w:sz w:val="20"/>
                <w:szCs w:val="20"/>
                <w:lang w:eastAsia="es-AR"/>
              </w:rPr>
              <w:t>0,20</w:t>
            </w:r>
          </w:p>
        </w:tc>
        <w:tc>
          <w:tcPr>
            <w:tcW w:w="992" w:type="dxa"/>
            <w:tcBorders>
              <w:top w:val="nil"/>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Cs/>
                <w:sz w:val="20"/>
                <w:szCs w:val="20"/>
                <w:lang w:eastAsia="es-AR"/>
              </w:rPr>
            </w:pPr>
            <w:r w:rsidRPr="00267BA7">
              <w:rPr>
                <w:rFonts w:ascii="Arial" w:hAnsi="Arial" w:cs="Arial"/>
                <w:bCs/>
                <w:sz w:val="20"/>
                <w:szCs w:val="20"/>
                <w:lang w:eastAsia="es-AR"/>
              </w:rPr>
              <w:t>3,90</w:t>
            </w:r>
          </w:p>
        </w:tc>
        <w:tc>
          <w:tcPr>
            <w:tcW w:w="992" w:type="dxa"/>
            <w:tcBorders>
              <w:top w:val="nil"/>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Cs/>
                <w:sz w:val="20"/>
                <w:szCs w:val="20"/>
                <w:lang w:eastAsia="es-AR"/>
              </w:rPr>
            </w:pPr>
            <w:r w:rsidRPr="00267BA7">
              <w:rPr>
                <w:rFonts w:ascii="Arial" w:hAnsi="Arial" w:cs="Arial"/>
                <w:bCs/>
                <w:sz w:val="20"/>
                <w:szCs w:val="20"/>
                <w:lang w:eastAsia="es-AR"/>
              </w:rPr>
              <w:t>4,94</w:t>
            </w:r>
          </w:p>
        </w:tc>
      </w:tr>
      <w:tr w:rsidR="00B37D8A" w:rsidRPr="00267BA7" w:rsidTr="000508A9">
        <w:trPr>
          <w:trHeight w:val="300"/>
          <w:jc w:val="center"/>
        </w:trPr>
        <w:tc>
          <w:tcPr>
            <w:tcW w:w="423" w:type="dxa"/>
            <w:tcBorders>
              <w:top w:val="nil"/>
              <w:left w:val="single" w:sz="4" w:space="0" w:color="auto"/>
              <w:bottom w:val="single" w:sz="4" w:space="0" w:color="auto"/>
              <w:right w:val="single" w:sz="4" w:space="0" w:color="auto"/>
            </w:tcBorders>
            <w:shd w:val="clear" w:color="000000" w:fill="FFFFFF"/>
            <w:tcMar>
              <w:top w:w="11" w:type="dxa"/>
              <w:left w:w="11" w:type="dxa"/>
              <w:bottom w:w="0" w:type="dxa"/>
              <w:right w:w="11" w:type="dxa"/>
            </w:tcMar>
            <w:vAlign w:val="center"/>
          </w:tcPr>
          <w:p w:rsidR="00B37D8A" w:rsidRPr="00267BA7" w:rsidRDefault="00B37D8A" w:rsidP="004D0062">
            <w:pPr>
              <w:spacing w:after="0"/>
              <w:rPr>
                <w:rFonts w:ascii="Arial" w:hAnsi="Arial" w:cs="Arial"/>
                <w:sz w:val="20"/>
                <w:szCs w:val="20"/>
                <w:lang w:eastAsia="es-AR"/>
              </w:rPr>
            </w:pPr>
            <w:r w:rsidRPr="00267BA7">
              <w:rPr>
                <w:rFonts w:ascii="Arial" w:hAnsi="Arial" w:cs="Arial"/>
                <w:sz w:val="20"/>
                <w:szCs w:val="20"/>
                <w:lang w:eastAsia="es-AR"/>
              </w:rPr>
              <w:t>3.1</w:t>
            </w:r>
          </w:p>
        </w:tc>
        <w:tc>
          <w:tcPr>
            <w:tcW w:w="5397" w:type="dxa"/>
            <w:tcBorders>
              <w:top w:val="nil"/>
              <w:left w:val="nil"/>
              <w:bottom w:val="single" w:sz="4" w:space="0" w:color="auto"/>
              <w:right w:val="single" w:sz="4" w:space="0" w:color="auto"/>
            </w:tcBorders>
            <w:shd w:val="clear" w:color="000000" w:fill="FFFFFF"/>
            <w:tcMar>
              <w:top w:w="11" w:type="dxa"/>
              <w:left w:w="11" w:type="dxa"/>
              <w:bottom w:w="0" w:type="dxa"/>
              <w:right w:w="11" w:type="dxa"/>
            </w:tcMar>
            <w:vAlign w:val="center"/>
          </w:tcPr>
          <w:p w:rsidR="00B37D8A" w:rsidRPr="00267BA7" w:rsidRDefault="00B37D8A" w:rsidP="004D0062">
            <w:pPr>
              <w:spacing w:after="0"/>
              <w:rPr>
                <w:rFonts w:ascii="Arial" w:hAnsi="Arial" w:cs="Arial"/>
                <w:sz w:val="20"/>
                <w:szCs w:val="20"/>
                <w:lang w:eastAsia="es-AR"/>
              </w:rPr>
            </w:pPr>
            <w:r w:rsidRPr="00267BA7">
              <w:rPr>
                <w:rFonts w:ascii="Arial" w:hAnsi="Arial" w:cs="Arial"/>
                <w:sz w:val="20"/>
                <w:szCs w:val="20"/>
                <w:lang w:eastAsia="es-AR"/>
              </w:rPr>
              <w:t>Inversiones</w:t>
            </w:r>
          </w:p>
        </w:tc>
        <w:tc>
          <w:tcPr>
            <w:tcW w:w="995" w:type="dxa"/>
            <w:tcBorders>
              <w:top w:val="nil"/>
              <w:left w:val="nil"/>
              <w:bottom w:val="single" w:sz="4" w:space="0" w:color="auto"/>
              <w:right w:val="single" w:sz="4" w:space="0" w:color="auto"/>
            </w:tcBorders>
            <w:shd w:val="clear" w:color="000000" w:fill="FFFFF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1,85</w:t>
            </w:r>
          </w:p>
        </w:tc>
        <w:tc>
          <w:tcPr>
            <w:tcW w:w="993" w:type="dxa"/>
            <w:tcBorders>
              <w:top w:val="nil"/>
              <w:left w:val="nil"/>
              <w:bottom w:val="single" w:sz="4" w:space="0" w:color="auto"/>
              <w:right w:val="single" w:sz="4" w:space="0" w:color="auto"/>
            </w:tcBorders>
            <w:shd w:val="clear" w:color="000000" w:fill="FFFFF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0,00</w:t>
            </w:r>
          </w:p>
        </w:tc>
        <w:tc>
          <w:tcPr>
            <w:tcW w:w="992" w:type="dxa"/>
            <w:tcBorders>
              <w:top w:val="nil"/>
              <w:left w:val="nil"/>
              <w:bottom w:val="single" w:sz="4" w:space="0" w:color="auto"/>
              <w:right w:val="single" w:sz="4" w:space="0" w:color="auto"/>
            </w:tcBorders>
            <w:shd w:val="clear" w:color="000000" w:fill="FFFFF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1,85</w:t>
            </w:r>
          </w:p>
        </w:tc>
        <w:tc>
          <w:tcPr>
            <w:tcW w:w="992" w:type="dxa"/>
            <w:tcBorders>
              <w:top w:val="nil"/>
              <w:left w:val="nil"/>
              <w:bottom w:val="single" w:sz="4" w:space="0" w:color="auto"/>
              <w:right w:val="single" w:sz="4" w:space="0" w:color="auto"/>
            </w:tcBorders>
            <w:shd w:val="clear" w:color="000000" w:fill="FFFFFF"/>
            <w:noWrap/>
            <w:tcMar>
              <w:top w:w="11" w:type="dxa"/>
              <w:left w:w="11" w:type="dxa"/>
              <w:bottom w:w="0" w:type="dxa"/>
              <w:right w:w="11" w:type="dxa"/>
            </w:tcMar>
            <w:vAlign w:val="center"/>
          </w:tcPr>
          <w:p w:rsidR="00B37D8A" w:rsidRPr="00267BA7" w:rsidRDefault="004C6E4A" w:rsidP="004C6E4A">
            <w:pPr>
              <w:spacing w:after="0"/>
              <w:jc w:val="center"/>
              <w:rPr>
                <w:rFonts w:ascii="Arial" w:hAnsi="Arial" w:cs="Arial"/>
                <w:sz w:val="20"/>
                <w:szCs w:val="20"/>
                <w:lang w:eastAsia="es-AR"/>
              </w:rPr>
            </w:pPr>
            <w:r>
              <w:rPr>
                <w:rFonts w:ascii="Arial" w:hAnsi="Arial" w:cs="Arial"/>
                <w:sz w:val="20"/>
                <w:szCs w:val="20"/>
                <w:lang w:eastAsia="es-AR"/>
              </w:rPr>
              <w:t>2,34</w:t>
            </w:r>
          </w:p>
        </w:tc>
      </w:tr>
      <w:tr w:rsidR="00B37D8A" w:rsidRPr="00267BA7" w:rsidTr="000508A9">
        <w:trPr>
          <w:trHeight w:val="300"/>
          <w:jc w:val="center"/>
        </w:trPr>
        <w:tc>
          <w:tcPr>
            <w:tcW w:w="423" w:type="dxa"/>
            <w:tcBorders>
              <w:top w:val="nil"/>
              <w:left w:val="single" w:sz="4" w:space="0" w:color="auto"/>
              <w:bottom w:val="single" w:sz="4" w:space="0" w:color="auto"/>
              <w:right w:val="single" w:sz="4" w:space="0" w:color="auto"/>
            </w:tcBorders>
            <w:shd w:val="clear" w:color="000000" w:fill="FFFFFF"/>
            <w:tcMar>
              <w:top w:w="11" w:type="dxa"/>
              <w:left w:w="11" w:type="dxa"/>
              <w:bottom w:w="0" w:type="dxa"/>
              <w:right w:w="11" w:type="dxa"/>
            </w:tcMar>
            <w:vAlign w:val="center"/>
          </w:tcPr>
          <w:p w:rsidR="00B37D8A" w:rsidRPr="00267BA7" w:rsidRDefault="00B37D8A" w:rsidP="004D0062">
            <w:pPr>
              <w:spacing w:after="0"/>
              <w:rPr>
                <w:rFonts w:ascii="Arial" w:hAnsi="Arial" w:cs="Arial"/>
                <w:sz w:val="20"/>
                <w:szCs w:val="20"/>
                <w:lang w:eastAsia="es-AR"/>
              </w:rPr>
            </w:pPr>
            <w:r w:rsidRPr="00267BA7">
              <w:rPr>
                <w:rFonts w:ascii="Arial" w:hAnsi="Arial" w:cs="Arial"/>
                <w:sz w:val="20"/>
                <w:szCs w:val="20"/>
                <w:lang w:eastAsia="es-AR"/>
              </w:rPr>
              <w:t>3.2</w:t>
            </w:r>
          </w:p>
        </w:tc>
        <w:tc>
          <w:tcPr>
            <w:tcW w:w="5397" w:type="dxa"/>
            <w:tcBorders>
              <w:top w:val="nil"/>
              <w:left w:val="nil"/>
              <w:bottom w:val="single" w:sz="4" w:space="0" w:color="auto"/>
              <w:right w:val="single" w:sz="4" w:space="0" w:color="auto"/>
            </w:tcBorders>
            <w:shd w:val="clear" w:color="000000" w:fill="FFFFFF"/>
            <w:tcMar>
              <w:top w:w="11" w:type="dxa"/>
              <w:left w:w="11" w:type="dxa"/>
              <w:bottom w:w="0" w:type="dxa"/>
              <w:right w:w="11" w:type="dxa"/>
            </w:tcMar>
            <w:vAlign w:val="center"/>
          </w:tcPr>
          <w:p w:rsidR="00B37D8A" w:rsidRPr="00267BA7" w:rsidRDefault="00B37D8A" w:rsidP="004D0062">
            <w:pPr>
              <w:spacing w:after="0"/>
              <w:rPr>
                <w:rFonts w:ascii="Arial" w:hAnsi="Arial" w:cs="Arial"/>
                <w:sz w:val="20"/>
                <w:szCs w:val="20"/>
                <w:lang w:eastAsia="es-AR"/>
              </w:rPr>
            </w:pPr>
            <w:r w:rsidRPr="00267BA7">
              <w:rPr>
                <w:rFonts w:ascii="Arial" w:hAnsi="Arial" w:cs="Arial"/>
                <w:sz w:val="20"/>
                <w:szCs w:val="20"/>
                <w:lang w:eastAsia="es-AR"/>
              </w:rPr>
              <w:t>Exportaciones</w:t>
            </w:r>
          </w:p>
        </w:tc>
        <w:tc>
          <w:tcPr>
            <w:tcW w:w="995" w:type="dxa"/>
            <w:tcBorders>
              <w:top w:val="nil"/>
              <w:left w:val="nil"/>
              <w:bottom w:val="single" w:sz="4" w:space="0" w:color="auto"/>
              <w:right w:val="single" w:sz="4" w:space="0" w:color="auto"/>
            </w:tcBorders>
            <w:shd w:val="clear" w:color="000000" w:fill="FFFFF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1,85</w:t>
            </w:r>
          </w:p>
        </w:tc>
        <w:tc>
          <w:tcPr>
            <w:tcW w:w="993" w:type="dxa"/>
            <w:tcBorders>
              <w:top w:val="nil"/>
              <w:left w:val="nil"/>
              <w:bottom w:val="single" w:sz="4" w:space="0" w:color="auto"/>
              <w:right w:val="single" w:sz="4" w:space="0" w:color="auto"/>
            </w:tcBorders>
            <w:shd w:val="clear" w:color="000000" w:fill="FFFFF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0,20</w:t>
            </w:r>
          </w:p>
        </w:tc>
        <w:tc>
          <w:tcPr>
            <w:tcW w:w="992" w:type="dxa"/>
            <w:tcBorders>
              <w:top w:val="nil"/>
              <w:left w:val="nil"/>
              <w:bottom w:val="single" w:sz="4" w:space="0" w:color="auto"/>
              <w:right w:val="single" w:sz="4" w:space="0" w:color="auto"/>
            </w:tcBorders>
            <w:shd w:val="clear" w:color="000000" w:fill="FFFFF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2,05</w:t>
            </w:r>
          </w:p>
        </w:tc>
        <w:tc>
          <w:tcPr>
            <w:tcW w:w="992" w:type="dxa"/>
            <w:tcBorders>
              <w:top w:val="nil"/>
              <w:left w:val="nil"/>
              <w:bottom w:val="single" w:sz="4" w:space="0" w:color="auto"/>
              <w:right w:val="single" w:sz="4" w:space="0" w:color="auto"/>
            </w:tcBorders>
            <w:shd w:val="clear" w:color="000000" w:fill="FFFFFF"/>
            <w:noWrap/>
            <w:tcMar>
              <w:top w:w="11" w:type="dxa"/>
              <w:left w:w="11" w:type="dxa"/>
              <w:bottom w:w="0" w:type="dxa"/>
              <w:right w:w="11" w:type="dxa"/>
            </w:tcMar>
            <w:vAlign w:val="center"/>
          </w:tcPr>
          <w:p w:rsidR="00B37D8A" w:rsidRPr="00267BA7" w:rsidRDefault="004C6E4A" w:rsidP="000508A9">
            <w:pPr>
              <w:spacing w:after="0"/>
              <w:jc w:val="center"/>
              <w:rPr>
                <w:rFonts w:ascii="Arial" w:hAnsi="Arial" w:cs="Arial"/>
                <w:sz w:val="20"/>
                <w:szCs w:val="20"/>
                <w:lang w:eastAsia="es-AR"/>
              </w:rPr>
            </w:pPr>
            <w:r>
              <w:rPr>
                <w:rFonts w:ascii="Arial" w:hAnsi="Arial" w:cs="Arial"/>
                <w:sz w:val="20"/>
                <w:szCs w:val="20"/>
                <w:lang w:eastAsia="es-AR"/>
              </w:rPr>
              <w:t>2,59</w:t>
            </w:r>
          </w:p>
        </w:tc>
      </w:tr>
      <w:tr w:rsidR="00B37D8A" w:rsidRPr="00267BA7" w:rsidTr="000508A9">
        <w:trPr>
          <w:trHeight w:val="420"/>
          <w:jc w:val="center"/>
        </w:trPr>
        <w:tc>
          <w:tcPr>
            <w:tcW w:w="423" w:type="dxa"/>
            <w:tcBorders>
              <w:top w:val="nil"/>
              <w:left w:val="single" w:sz="4" w:space="0" w:color="auto"/>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4D0062">
            <w:pPr>
              <w:spacing w:after="0"/>
              <w:rPr>
                <w:rFonts w:ascii="Arial" w:hAnsi="Arial" w:cs="Arial"/>
                <w:bCs/>
                <w:sz w:val="20"/>
                <w:szCs w:val="20"/>
                <w:lang w:eastAsia="es-AR"/>
              </w:rPr>
            </w:pPr>
            <w:r w:rsidRPr="00267BA7">
              <w:rPr>
                <w:rFonts w:ascii="Arial" w:hAnsi="Arial" w:cs="Arial"/>
                <w:bCs/>
                <w:sz w:val="20"/>
                <w:szCs w:val="20"/>
                <w:lang w:eastAsia="es-AR"/>
              </w:rPr>
              <w:t>4</w:t>
            </w:r>
          </w:p>
        </w:tc>
        <w:tc>
          <w:tcPr>
            <w:tcW w:w="5397" w:type="dxa"/>
            <w:tcBorders>
              <w:top w:val="nil"/>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4D0062">
            <w:pPr>
              <w:spacing w:after="0"/>
              <w:rPr>
                <w:rFonts w:ascii="Arial" w:hAnsi="Arial" w:cs="Arial"/>
                <w:bCs/>
                <w:sz w:val="20"/>
                <w:szCs w:val="20"/>
                <w:lang w:eastAsia="es-AR"/>
              </w:rPr>
            </w:pPr>
            <w:r w:rsidRPr="00267BA7">
              <w:rPr>
                <w:rFonts w:ascii="Arial" w:hAnsi="Arial" w:cs="Arial"/>
                <w:bCs/>
                <w:sz w:val="20"/>
                <w:szCs w:val="20"/>
                <w:lang w:eastAsia="es-AR"/>
              </w:rPr>
              <w:t>Administración</w:t>
            </w:r>
          </w:p>
        </w:tc>
        <w:tc>
          <w:tcPr>
            <w:tcW w:w="995" w:type="dxa"/>
            <w:tcBorders>
              <w:top w:val="nil"/>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Cs/>
                <w:sz w:val="20"/>
                <w:szCs w:val="20"/>
                <w:lang w:eastAsia="es-AR"/>
              </w:rPr>
            </w:pPr>
            <w:r w:rsidRPr="00267BA7">
              <w:rPr>
                <w:rFonts w:ascii="Arial" w:hAnsi="Arial" w:cs="Arial"/>
                <w:bCs/>
                <w:sz w:val="20"/>
                <w:szCs w:val="20"/>
                <w:lang w:eastAsia="es-AR"/>
              </w:rPr>
              <w:t>2,65</w:t>
            </w:r>
          </w:p>
        </w:tc>
        <w:tc>
          <w:tcPr>
            <w:tcW w:w="993" w:type="dxa"/>
            <w:tcBorders>
              <w:top w:val="nil"/>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Cs/>
                <w:sz w:val="20"/>
                <w:szCs w:val="20"/>
                <w:lang w:eastAsia="es-AR"/>
              </w:rPr>
            </w:pPr>
            <w:r w:rsidRPr="00267BA7">
              <w:rPr>
                <w:rFonts w:ascii="Arial" w:hAnsi="Arial" w:cs="Arial"/>
                <w:bCs/>
                <w:sz w:val="20"/>
                <w:szCs w:val="20"/>
                <w:lang w:eastAsia="es-AR"/>
              </w:rPr>
              <w:t>1,00</w:t>
            </w:r>
          </w:p>
        </w:tc>
        <w:tc>
          <w:tcPr>
            <w:tcW w:w="992" w:type="dxa"/>
            <w:tcBorders>
              <w:top w:val="nil"/>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Cs/>
                <w:sz w:val="20"/>
                <w:szCs w:val="20"/>
                <w:lang w:eastAsia="es-AR"/>
              </w:rPr>
            </w:pPr>
            <w:r w:rsidRPr="00267BA7">
              <w:rPr>
                <w:rFonts w:ascii="Arial" w:hAnsi="Arial" w:cs="Arial"/>
                <w:bCs/>
                <w:sz w:val="20"/>
                <w:szCs w:val="20"/>
                <w:lang w:eastAsia="es-AR"/>
              </w:rPr>
              <w:t>3,65</w:t>
            </w:r>
          </w:p>
        </w:tc>
        <w:tc>
          <w:tcPr>
            <w:tcW w:w="992" w:type="dxa"/>
            <w:tcBorders>
              <w:top w:val="nil"/>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Cs/>
                <w:sz w:val="20"/>
                <w:szCs w:val="20"/>
                <w:lang w:eastAsia="es-AR"/>
              </w:rPr>
            </w:pPr>
            <w:r w:rsidRPr="00267BA7">
              <w:rPr>
                <w:rFonts w:ascii="Arial" w:hAnsi="Arial" w:cs="Arial"/>
                <w:bCs/>
                <w:sz w:val="20"/>
                <w:szCs w:val="20"/>
                <w:lang w:eastAsia="es-AR"/>
              </w:rPr>
              <w:t>4,62</w:t>
            </w:r>
          </w:p>
        </w:tc>
      </w:tr>
      <w:tr w:rsidR="00B37D8A" w:rsidRPr="00267BA7" w:rsidTr="000508A9">
        <w:trPr>
          <w:trHeight w:val="300"/>
          <w:jc w:val="center"/>
        </w:trPr>
        <w:tc>
          <w:tcPr>
            <w:tcW w:w="423"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rsidR="00B37D8A" w:rsidRPr="00267BA7" w:rsidRDefault="00B37D8A" w:rsidP="004D0062">
            <w:pPr>
              <w:spacing w:after="0"/>
              <w:rPr>
                <w:rFonts w:ascii="Arial" w:hAnsi="Arial" w:cs="Arial"/>
                <w:sz w:val="20"/>
                <w:szCs w:val="20"/>
                <w:lang w:eastAsia="es-AR"/>
              </w:rPr>
            </w:pPr>
            <w:r w:rsidRPr="00267BA7">
              <w:rPr>
                <w:rFonts w:ascii="Arial" w:hAnsi="Arial" w:cs="Arial"/>
                <w:sz w:val="20"/>
                <w:szCs w:val="20"/>
                <w:lang w:eastAsia="es-AR"/>
              </w:rPr>
              <w:t>4.1</w:t>
            </w:r>
          </w:p>
        </w:tc>
        <w:tc>
          <w:tcPr>
            <w:tcW w:w="5397" w:type="dxa"/>
            <w:tcBorders>
              <w:top w:val="nil"/>
              <w:left w:val="nil"/>
              <w:bottom w:val="single" w:sz="4" w:space="0" w:color="auto"/>
              <w:right w:val="single" w:sz="4" w:space="0" w:color="auto"/>
            </w:tcBorders>
            <w:tcMar>
              <w:top w:w="11" w:type="dxa"/>
              <w:left w:w="11" w:type="dxa"/>
              <w:bottom w:w="0" w:type="dxa"/>
              <w:right w:w="11" w:type="dxa"/>
            </w:tcMar>
            <w:vAlign w:val="center"/>
          </w:tcPr>
          <w:p w:rsidR="00B37D8A" w:rsidRPr="00267BA7" w:rsidRDefault="00B37D8A" w:rsidP="004D0062">
            <w:pPr>
              <w:spacing w:after="0"/>
              <w:rPr>
                <w:rFonts w:ascii="Arial" w:hAnsi="Arial" w:cs="Arial"/>
                <w:sz w:val="20"/>
                <w:szCs w:val="20"/>
                <w:lang w:eastAsia="es-AR"/>
              </w:rPr>
            </w:pPr>
            <w:r w:rsidRPr="00267BA7">
              <w:rPr>
                <w:rFonts w:ascii="Arial" w:hAnsi="Arial" w:cs="Arial"/>
                <w:sz w:val="20"/>
                <w:szCs w:val="20"/>
                <w:lang w:eastAsia="es-AR"/>
              </w:rPr>
              <w:t>Administración y fortalecimiento Subsecretaría de Industria y Tecnología</w:t>
            </w:r>
          </w:p>
        </w:tc>
        <w:tc>
          <w:tcPr>
            <w:tcW w:w="995"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2,25</w:t>
            </w:r>
          </w:p>
        </w:tc>
        <w:tc>
          <w:tcPr>
            <w:tcW w:w="993"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1,00</w:t>
            </w:r>
          </w:p>
        </w:tc>
        <w:tc>
          <w:tcPr>
            <w:tcW w:w="992"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3,25</w:t>
            </w:r>
          </w:p>
        </w:tc>
        <w:tc>
          <w:tcPr>
            <w:tcW w:w="992"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B37D8A" w:rsidRPr="00267BA7" w:rsidRDefault="004C6E4A" w:rsidP="000508A9">
            <w:pPr>
              <w:spacing w:after="0"/>
              <w:jc w:val="center"/>
              <w:rPr>
                <w:rFonts w:ascii="Arial" w:hAnsi="Arial" w:cs="Arial"/>
                <w:sz w:val="20"/>
                <w:szCs w:val="20"/>
                <w:lang w:eastAsia="es-AR"/>
              </w:rPr>
            </w:pPr>
            <w:r>
              <w:rPr>
                <w:rFonts w:ascii="Arial" w:hAnsi="Arial" w:cs="Arial"/>
                <w:sz w:val="20"/>
                <w:szCs w:val="20"/>
                <w:lang w:eastAsia="es-AR"/>
              </w:rPr>
              <w:t>4,11</w:t>
            </w:r>
          </w:p>
        </w:tc>
      </w:tr>
      <w:tr w:rsidR="00B37D8A" w:rsidRPr="00267BA7" w:rsidTr="000508A9">
        <w:trPr>
          <w:trHeight w:val="300"/>
          <w:jc w:val="center"/>
        </w:trPr>
        <w:tc>
          <w:tcPr>
            <w:tcW w:w="423"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rsidR="00B37D8A" w:rsidRPr="00267BA7" w:rsidRDefault="00B37D8A" w:rsidP="004D0062">
            <w:pPr>
              <w:spacing w:after="0"/>
              <w:rPr>
                <w:rFonts w:ascii="Arial" w:hAnsi="Arial" w:cs="Arial"/>
                <w:sz w:val="20"/>
                <w:szCs w:val="20"/>
                <w:lang w:eastAsia="es-AR"/>
              </w:rPr>
            </w:pPr>
            <w:r w:rsidRPr="00267BA7">
              <w:rPr>
                <w:rFonts w:ascii="Arial" w:hAnsi="Arial" w:cs="Arial"/>
                <w:sz w:val="20"/>
                <w:szCs w:val="20"/>
                <w:lang w:eastAsia="es-AR"/>
              </w:rPr>
              <w:t>4.2</w:t>
            </w:r>
          </w:p>
        </w:tc>
        <w:tc>
          <w:tcPr>
            <w:tcW w:w="5397" w:type="dxa"/>
            <w:tcBorders>
              <w:top w:val="nil"/>
              <w:left w:val="nil"/>
              <w:bottom w:val="single" w:sz="4" w:space="0" w:color="auto"/>
              <w:right w:val="single" w:sz="4" w:space="0" w:color="auto"/>
            </w:tcBorders>
            <w:tcMar>
              <w:top w:w="11" w:type="dxa"/>
              <w:left w:w="11" w:type="dxa"/>
              <w:bottom w:w="0" w:type="dxa"/>
              <w:right w:w="11" w:type="dxa"/>
            </w:tcMar>
            <w:vAlign w:val="center"/>
          </w:tcPr>
          <w:p w:rsidR="00B37D8A" w:rsidRPr="00267BA7" w:rsidRDefault="00B37D8A" w:rsidP="004D0062">
            <w:pPr>
              <w:spacing w:after="0"/>
              <w:rPr>
                <w:rFonts w:ascii="Arial" w:hAnsi="Arial" w:cs="Arial"/>
                <w:sz w:val="20"/>
                <w:szCs w:val="20"/>
                <w:lang w:eastAsia="es-AR"/>
              </w:rPr>
            </w:pPr>
            <w:r w:rsidRPr="00267BA7">
              <w:rPr>
                <w:rFonts w:ascii="Arial" w:hAnsi="Arial" w:cs="Arial"/>
                <w:sz w:val="20"/>
                <w:szCs w:val="20"/>
                <w:lang w:eastAsia="es-AR"/>
              </w:rPr>
              <w:t>Evaluación</w:t>
            </w:r>
          </w:p>
        </w:tc>
        <w:tc>
          <w:tcPr>
            <w:tcW w:w="995"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0,20</w:t>
            </w:r>
          </w:p>
        </w:tc>
        <w:tc>
          <w:tcPr>
            <w:tcW w:w="993"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0,00</w:t>
            </w:r>
          </w:p>
        </w:tc>
        <w:tc>
          <w:tcPr>
            <w:tcW w:w="992"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0,20</w:t>
            </w:r>
          </w:p>
        </w:tc>
        <w:tc>
          <w:tcPr>
            <w:tcW w:w="992"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B37D8A" w:rsidRPr="00267BA7" w:rsidRDefault="004C6E4A" w:rsidP="000508A9">
            <w:pPr>
              <w:spacing w:after="0"/>
              <w:jc w:val="center"/>
              <w:rPr>
                <w:rFonts w:ascii="Arial" w:hAnsi="Arial" w:cs="Arial"/>
                <w:sz w:val="20"/>
                <w:szCs w:val="20"/>
                <w:lang w:eastAsia="es-AR"/>
              </w:rPr>
            </w:pPr>
            <w:r>
              <w:rPr>
                <w:rFonts w:ascii="Arial" w:hAnsi="Arial" w:cs="Arial"/>
                <w:sz w:val="20"/>
                <w:szCs w:val="20"/>
                <w:lang w:eastAsia="es-AR"/>
              </w:rPr>
              <w:t>0,25</w:t>
            </w:r>
          </w:p>
        </w:tc>
      </w:tr>
      <w:tr w:rsidR="00B37D8A" w:rsidRPr="00267BA7" w:rsidTr="000508A9">
        <w:trPr>
          <w:trHeight w:val="300"/>
          <w:jc w:val="center"/>
        </w:trPr>
        <w:tc>
          <w:tcPr>
            <w:tcW w:w="423"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rsidR="00B37D8A" w:rsidRPr="00267BA7" w:rsidRDefault="00B37D8A" w:rsidP="004D0062">
            <w:pPr>
              <w:spacing w:after="0"/>
              <w:rPr>
                <w:rFonts w:ascii="Arial" w:hAnsi="Arial" w:cs="Arial"/>
                <w:sz w:val="20"/>
                <w:szCs w:val="20"/>
                <w:lang w:eastAsia="es-AR"/>
              </w:rPr>
            </w:pPr>
            <w:r w:rsidRPr="00267BA7">
              <w:rPr>
                <w:rFonts w:ascii="Arial" w:hAnsi="Arial" w:cs="Arial"/>
                <w:sz w:val="20"/>
                <w:szCs w:val="20"/>
                <w:lang w:eastAsia="es-AR"/>
              </w:rPr>
              <w:t>4.3</w:t>
            </w:r>
          </w:p>
        </w:tc>
        <w:tc>
          <w:tcPr>
            <w:tcW w:w="5397" w:type="dxa"/>
            <w:tcBorders>
              <w:top w:val="nil"/>
              <w:left w:val="nil"/>
              <w:bottom w:val="single" w:sz="4" w:space="0" w:color="auto"/>
              <w:right w:val="single" w:sz="4" w:space="0" w:color="auto"/>
            </w:tcBorders>
            <w:tcMar>
              <w:top w:w="11" w:type="dxa"/>
              <w:left w:w="11" w:type="dxa"/>
              <w:bottom w:w="0" w:type="dxa"/>
              <w:right w:w="11" w:type="dxa"/>
            </w:tcMar>
            <w:vAlign w:val="center"/>
          </w:tcPr>
          <w:p w:rsidR="00B37D8A" w:rsidRPr="00267BA7" w:rsidRDefault="00B37D8A" w:rsidP="004D0062">
            <w:pPr>
              <w:spacing w:after="0"/>
              <w:rPr>
                <w:rFonts w:ascii="Arial" w:hAnsi="Arial" w:cs="Arial"/>
                <w:sz w:val="20"/>
                <w:szCs w:val="20"/>
                <w:lang w:eastAsia="es-AR"/>
              </w:rPr>
            </w:pPr>
            <w:r w:rsidRPr="00267BA7">
              <w:rPr>
                <w:rFonts w:ascii="Arial" w:hAnsi="Arial" w:cs="Arial"/>
                <w:sz w:val="20"/>
                <w:szCs w:val="20"/>
                <w:lang w:eastAsia="es-AR"/>
              </w:rPr>
              <w:t>Auditoría</w:t>
            </w:r>
          </w:p>
        </w:tc>
        <w:tc>
          <w:tcPr>
            <w:tcW w:w="995"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0,20</w:t>
            </w:r>
          </w:p>
        </w:tc>
        <w:tc>
          <w:tcPr>
            <w:tcW w:w="993"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0,00</w:t>
            </w:r>
          </w:p>
        </w:tc>
        <w:tc>
          <w:tcPr>
            <w:tcW w:w="992"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sz w:val="20"/>
                <w:szCs w:val="20"/>
                <w:lang w:eastAsia="es-AR"/>
              </w:rPr>
            </w:pPr>
            <w:r w:rsidRPr="00267BA7">
              <w:rPr>
                <w:rFonts w:ascii="Arial" w:hAnsi="Arial" w:cs="Arial"/>
                <w:sz w:val="20"/>
                <w:szCs w:val="20"/>
                <w:lang w:eastAsia="es-AR"/>
              </w:rPr>
              <w:t>0,20</w:t>
            </w:r>
          </w:p>
        </w:tc>
        <w:tc>
          <w:tcPr>
            <w:tcW w:w="992"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B37D8A" w:rsidRPr="00267BA7" w:rsidRDefault="004C6E4A" w:rsidP="000508A9">
            <w:pPr>
              <w:spacing w:after="0"/>
              <w:jc w:val="center"/>
              <w:rPr>
                <w:rFonts w:ascii="Arial" w:hAnsi="Arial" w:cs="Arial"/>
                <w:sz w:val="20"/>
                <w:szCs w:val="20"/>
                <w:lang w:eastAsia="es-AR"/>
              </w:rPr>
            </w:pPr>
            <w:r>
              <w:rPr>
                <w:rFonts w:ascii="Arial" w:hAnsi="Arial" w:cs="Arial"/>
                <w:sz w:val="20"/>
                <w:szCs w:val="20"/>
                <w:lang w:eastAsia="es-AR"/>
              </w:rPr>
              <w:t>0,25</w:t>
            </w:r>
          </w:p>
        </w:tc>
      </w:tr>
      <w:tr w:rsidR="00B37D8A" w:rsidRPr="00267BA7" w:rsidTr="000508A9">
        <w:trPr>
          <w:trHeight w:val="420"/>
          <w:jc w:val="center"/>
        </w:trPr>
        <w:tc>
          <w:tcPr>
            <w:tcW w:w="423" w:type="dxa"/>
            <w:tcBorders>
              <w:top w:val="nil"/>
              <w:left w:val="single" w:sz="4" w:space="0" w:color="auto"/>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4D0062">
            <w:pPr>
              <w:spacing w:after="0"/>
              <w:rPr>
                <w:rFonts w:ascii="Arial" w:hAnsi="Arial" w:cs="Arial"/>
                <w:bCs/>
                <w:sz w:val="20"/>
                <w:szCs w:val="20"/>
                <w:lang w:eastAsia="es-AR"/>
              </w:rPr>
            </w:pPr>
            <w:r w:rsidRPr="00267BA7">
              <w:rPr>
                <w:rFonts w:ascii="Arial" w:hAnsi="Arial" w:cs="Arial"/>
                <w:bCs/>
                <w:sz w:val="20"/>
                <w:szCs w:val="20"/>
                <w:lang w:eastAsia="es-AR"/>
              </w:rPr>
              <w:t>5</w:t>
            </w:r>
          </w:p>
        </w:tc>
        <w:tc>
          <w:tcPr>
            <w:tcW w:w="5397" w:type="dxa"/>
            <w:tcBorders>
              <w:top w:val="nil"/>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4D0062">
            <w:pPr>
              <w:spacing w:after="0"/>
              <w:rPr>
                <w:rFonts w:ascii="Arial" w:hAnsi="Arial" w:cs="Arial"/>
                <w:bCs/>
                <w:sz w:val="20"/>
                <w:szCs w:val="20"/>
                <w:lang w:eastAsia="es-AR"/>
              </w:rPr>
            </w:pPr>
            <w:r w:rsidRPr="00267BA7">
              <w:rPr>
                <w:rFonts w:ascii="Arial" w:hAnsi="Arial" w:cs="Arial"/>
                <w:bCs/>
                <w:sz w:val="20"/>
                <w:szCs w:val="20"/>
                <w:lang w:eastAsia="es-AR"/>
              </w:rPr>
              <w:t>Imprevistos</w:t>
            </w:r>
          </w:p>
        </w:tc>
        <w:tc>
          <w:tcPr>
            <w:tcW w:w="995" w:type="dxa"/>
            <w:tcBorders>
              <w:top w:val="nil"/>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Cs/>
                <w:sz w:val="20"/>
                <w:szCs w:val="20"/>
                <w:lang w:eastAsia="es-AR"/>
              </w:rPr>
            </w:pPr>
            <w:r w:rsidRPr="00267BA7">
              <w:rPr>
                <w:rFonts w:ascii="Arial" w:hAnsi="Arial" w:cs="Arial"/>
                <w:bCs/>
                <w:sz w:val="20"/>
                <w:szCs w:val="20"/>
                <w:lang w:eastAsia="es-AR"/>
              </w:rPr>
              <w:t>1,00</w:t>
            </w:r>
          </w:p>
        </w:tc>
        <w:tc>
          <w:tcPr>
            <w:tcW w:w="993" w:type="dxa"/>
            <w:tcBorders>
              <w:top w:val="nil"/>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Cs/>
                <w:sz w:val="20"/>
                <w:szCs w:val="20"/>
                <w:lang w:eastAsia="es-AR"/>
              </w:rPr>
            </w:pPr>
            <w:r w:rsidRPr="00267BA7">
              <w:rPr>
                <w:rFonts w:ascii="Arial" w:hAnsi="Arial" w:cs="Arial"/>
                <w:bCs/>
                <w:sz w:val="20"/>
                <w:szCs w:val="20"/>
                <w:lang w:eastAsia="es-AR"/>
              </w:rPr>
              <w:t>0,00</w:t>
            </w:r>
          </w:p>
        </w:tc>
        <w:tc>
          <w:tcPr>
            <w:tcW w:w="992" w:type="dxa"/>
            <w:tcBorders>
              <w:top w:val="nil"/>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Cs/>
                <w:sz w:val="20"/>
                <w:szCs w:val="20"/>
                <w:lang w:eastAsia="es-AR"/>
              </w:rPr>
            </w:pPr>
            <w:r w:rsidRPr="00267BA7">
              <w:rPr>
                <w:rFonts w:ascii="Arial" w:hAnsi="Arial" w:cs="Arial"/>
                <w:bCs/>
                <w:sz w:val="20"/>
                <w:szCs w:val="20"/>
                <w:lang w:eastAsia="es-AR"/>
              </w:rPr>
              <w:t>1,00</w:t>
            </w:r>
          </w:p>
        </w:tc>
        <w:tc>
          <w:tcPr>
            <w:tcW w:w="992" w:type="dxa"/>
            <w:tcBorders>
              <w:top w:val="nil"/>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Cs/>
                <w:sz w:val="20"/>
                <w:szCs w:val="20"/>
                <w:lang w:eastAsia="es-AR"/>
              </w:rPr>
            </w:pPr>
            <w:r w:rsidRPr="00267BA7">
              <w:rPr>
                <w:rFonts w:ascii="Arial" w:hAnsi="Arial" w:cs="Arial"/>
                <w:bCs/>
                <w:sz w:val="20"/>
                <w:szCs w:val="20"/>
                <w:lang w:eastAsia="es-AR"/>
              </w:rPr>
              <w:t>1,27</w:t>
            </w:r>
          </w:p>
        </w:tc>
      </w:tr>
      <w:tr w:rsidR="00B37D8A" w:rsidRPr="00267BA7" w:rsidTr="000508A9">
        <w:trPr>
          <w:trHeight w:val="255"/>
          <w:jc w:val="center"/>
        </w:trPr>
        <w:tc>
          <w:tcPr>
            <w:tcW w:w="5820" w:type="dxa"/>
            <w:gridSpan w:val="2"/>
            <w:tcBorders>
              <w:top w:val="single" w:sz="4" w:space="0" w:color="auto"/>
              <w:left w:val="single" w:sz="4" w:space="0" w:color="auto"/>
              <w:bottom w:val="single" w:sz="4" w:space="0" w:color="auto"/>
              <w:right w:val="single" w:sz="4" w:space="0" w:color="auto"/>
            </w:tcBorders>
            <w:shd w:val="clear" w:color="auto" w:fill="BFBFBF"/>
            <w:noWrap/>
            <w:tcMar>
              <w:top w:w="11" w:type="dxa"/>
              <w:left w:w="11" w:type="dxa"/>
              <w:bottom w:w="0" w:type="dxa"/>
              <w:right w:w="11" w:type="dxa"/>
            </w:tcMar>
            <w:vAlign w:val="bottom"/>
          </w:tcPr>
          <w:p w:rsidR="00B37D8A" w:rsidRPr="00267BA7" w:rsidRDefault="00B37D8A" w:rsidP="004D0062">
            <w:pPr>
              <w:spacing w:after="0"/>
              <w:rPr>
                <w:rFonts w:ascii="Arial" w:hAnsi="Arial" w:cs="Arial"/>
                <w:bCs/>
                <w:sz w:val="20"/>
                <w:szCs w:val="20"/>
                <w:lang w:eastAsia="es-AR"/>
              </w:rPr>
            </w:pPr>
            <w:r w:rsidRPr="00267BA7">
              <w:rPr>
                <w:rFonts w:ascii="Arial" w:hAnsi="Arial" w:cs="Arial"/>
                <w:bCs/>
                <w:sz w:val="20"/>
                <w:szCs w:val="20"/>
                <w:lang w:eastAsia="es-AR"/>
              </w:rPr>
              <w:t>TOTAL</w:t>
            </w:r>
          </w:p>
        </w:tc>
        <w:tc>
          <w:tcPr>
            <w:tcW w:w="995" w:type="dxa"/>
            <w:tcBorders>
              <w:top w:val="single" w:sz="4" w:space="0" w:color="auto"/>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Cs/>
                <w:sz w:val="20"/>
                <w:szCs w:val="20"/>
                <w:lang w:eastAsia="es-AR"/>
              </w:rPr>
            </w:pPr>
            <w:r w:rsidRPr="00267BA7">
              <w:rPr>
                <w:rFonts w:ascii="Arial" w:hAnsi="Arial" w:cs="Arial"/>
                <w:bCs/>
                <w:sz w:val="20"/>
                <w:szCs w:val="20"/>
                <w:lang w:eastAsia="es-AR"/>
              </w:rPr>
              <w:t>50,00</w:t>
            </w:r>
          </w:p>
        </w:tc>
        <w:tc>
          <w:tcPr>
            <w:tcW w:w="993" w:type="dxa"/>
            <w:tcBorders>
              <w:top w:val="single" w:sz="4" w:space="0" w:color="auto"/>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Cs/>
                <w:sz w:val="20"/>
                <w:szCs w:val="20"/>
                <w:lang w:eastAsia="es-AR"/>
              </w:rPr>
            </w:pPr>
            <w:r w:rsidRPr="00267BA7">
              <w:rPr>
                <w:rFonts w:ascii="Arial" w:hAnsi="Arial" w:cs="Arial"/>
                <w:bCs/>
                <w:sz w:val="20"/>
                <w:szCs w:val="20"/>
                <w:lang w:eastAsia="es-AR"/>
              </w:rPr>
              <w:t>29,00</w:t>
            </w:r>
          </w:p>
        </w:tc>
        <w:tc>
          <w:tcPr>
            <w:tcW w:w="992" w:type="dxa"/>
            <w:tcBorders>
              <w:top w:val="single" w:sz="4" w:space="0" w:color="auto"/>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Cs/>
                <w:sz w:val="20"/>
                <w:szCs w:val="20"/>
                <w:lang w:eastAsia="es-AR"/>
              </w:rPr>
            </w:pPr>
            <w:r w:rsidRPr="00267BA7">
              <w:rPr>
                <w:rFonts w:ascii="Arial" w:hAnsi="Arial" w:cs="Arial"/>
                <w:bCs/>
                <w:sz w:val="20"/>
                <w:szCs w:val="20"/>
                <w:lang w:eastAsia="es-AR"/>
              </w:rPr>
              <w:t>79,00</w:t>
            </w:r>
          </w:p>
        </w:tc>
        <w:tc>
          <w:tcPr>
            <w:tcW w:w="992" w:type="dxa"/>
            <w:tcBorders>
              <w:top w:val="single" w:sz="4" w:space="0" w:color="auto"/>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Cs/>
                <w:sz w:val="20"/>
                <w:szCs w:val="20"/>
                <w:lang w:eastAsia="es-AR"/>
              </w:rPr>
            </w:pPr>
            <w:r w:rsidRPr="00267BA7">
              <w:rPr>
                <w:rFonts w:ascii="Arial" w:hAnsi="Arial" w:cs="Arial"/>
                <w:bCs/>
                <w:sz w:val="20"/>
                <w:szCs w:val="20"/>
                <w:lang w:eastAsia="es-AR"/>
              </w:rPr>
              <w:t>100,00</w:t>
            </w:r>
          </w:p>
        </w:tc>
      </w:tr>
      <w:tr w:rsidR="00B37D8A" w:rsidRPr="00267BA7" w:rsidTr="000508A9">
        <w:trPr>
          <w:trHeight w:val="255"/>
          <w:jc w:val="center"/>
        </w:trPr>
        <w:tc>
          <w:tcPr>
            <w:tcW w:w="5820" w:type="dxa"/>
            <w:gridSpan w:val="2"/>
            <w:tcBorders>
              <w:top w:val="single" w:sz="4" w:space="0" w:color="auto"/>
              <w:left w:val="single" w:sz="4" w:space="0" w:color="auto"/>
              <w:bottom w:val="single" w:sz="4" w:space="0" w:color="auto"/>
              <w:right w:val="single" w:sz="4" w:space="0" w:color="auto"/>
            </w:tcBorders>
            <w:shd w:val="clear" w:color="auto" w:fill="BFBFBF"/>
            <w:noWrap/>
            <w:tcMar>
              <w:top w:w="11" w:type="dxa"/>
              <w:left w:w="11" w:type="dxa"/>
              <w:bottom w:w="0" w:type="dxa"/>
              <w:right w:w="11" w:type="dxa"/>
            </w:tcMar>
            <w:vAlign w:val="bottom"/>
          </w:tcPr>
          <w:p w:rsidR="00B37D8A" w:rsidRPr="00267BA7" w:rsidRDefault="00B37D8A" w:rsidP="004D0062">
            <w:pPr>
              <w:spacing w:after="0"/>
              <w:rPr>
                <w:rFonts w:ascii="Arial" w:hAnsi="Arial" w:cs="Arial"/>
                <w:bCs/>
                <w:sz w:val="20"/>
                <w:szCs w:val="20"/>
                <w:lang w:eastAsia="es-AR"/>
              </w:rPr>
            </w:pPr>
            <w:r w:rsidRPr="00267BA7">
              <w:rPr>
                <w:rFonts w:ascii="Arial" w:hAnsi="Arial" w:cs="Arial"/>
                <w:bCs/>
                <w:sz w:val="20"/>
                <w:szCs w:val="20"/>
                <w:lang w:eastAsia="es-AR"/>
              </w:rPr>
              <w:t>Porcentaje</w:t>
            </w:r>
          </w:p>
        </w:tc>
        <w:tc>
          <w:tcPr>
            <w:tcW w:w="995" w:type="dxa"/>
            <w:tcBorders>
              <w:top w:val="nil"/>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Cs/>
                <w:sz w:val="20"/>
                <w:szCs w:val="20"/>
                <w:lang w:eastAsia="es-AR"/>
              </w:rPr>
            </w:pPr>
            <w:r w:rsidRPr="00267BA7">
              <w:rPr>
                <w:rFonts w:ascii="Arial" w:hAnsi="Arial" w:cs="Arial"/>
                <w:bCs/>
                <w:sz w:val="20"/>
                <w:szCs w:val="20"/>
                <w:lang w:eastAsia="es-AR"/>
              </w:rPr>
              <w:t>63,29%</w:t>
            </w:r>
          </w:p>
        </w:tc>
        <w:tc>
          <w:tcPr>
            <w:tcW w:w="993" w:type="dxa"/>
            <w:tcBorders>
              <w:top w:val="single" w:sz="4" w:space="0" w:color="auto"/>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Cs/>
                <w:sz w:val="20"/>
                <w:szCs w:val="20"/>
                <w:lang w:eastAsia="es-AR"/>
              </w:rPr>
            </w:pPr>
            <w:r w:rsidRPr="00267BA7">
              <w:rPr>
                <w:rFonts w:ascii="Arial" w:hAnsi="Arial" w:cs="Arial"/>
                <w:bCs/>
                <w:sz w:val="20"/>
                <w:szCs w:val="20"/>
                <w:lang w:eastAsia="es-AR"/>
              </w:rPr>
              <w:t>36,71%</w:t>
            </w:r>
          </w:p>
        </w:tc>
        <w:tc>
          <w:tcPr>
            <w:tcW w:w="992" w:type="dxa"/>
            <w:tcBorders>
              <w:top w:val="single" w:sz="4" w:space="0" w:color="auto"/>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Cs/>
                <w:sz w:val="20"/>
                <w:szCs w:val="20"/>
                <w:lang w:eastAsia="es-AR"/>
              </w:rPr>
            </w:pPr>
            <w:r w:rsidRPr="00267BA7">
              <w:rPr>
                <w:rFonts w:ascii="Arial" w:hAnsi="Arial" w:cs="Arial"/>
                <w:bCs/>
                <w:sz w:val="20"/>
                <w:szCs w:val="20"/>
                <w:lang w:eastAsia="es-AR"/>
              </w:rPr>
              <w:t>100,0%</w:t>
            </w:r>
          </w:p>
        </w:tc>
        <w:tc>
          <w:tcPr>
            <w:tcW w:w="992" w:type="dxa"/>
            <w:tcBorders>
              <w:top w:val="single" w:sz="4" w:space="0" w:color="auto"/>
              <w:left w:val="nil"/>
              <w:bottom w:val="single" w:sz="4" w:space="0" w:color="auto"/>
              <w:right w:val="single" w:sz="4" w:space="0" w:color="auto"/>
            </w:tcBorders>
            <w:shd w:val="clear" w:color="auto" w:fill="BFBFBF"/>
            <w:noWrap/>
            <w:tcMar>
              <w:top w:w="11" w:type="dxa"/>
              <w:left w:w="11" w:type="dxa"/>
              <w:bottom w:w="0" w:type="dxa"/>
              <w:right w:w="11" w:type="dxa"/>
            </w:tcMar>
            <w:vAlign w:val="center"/>
          </w:tcPr>
          <w:p w:rsidR="00B37D8A" w:rsidRPr="00267BA7" w:rsidRDefault="00B37D8A" w:rsidP="000508A9">
            <w:pPr>
              <w:spacing w:after="0"/>
              <w:jc w:val="center"/>
              <w:rPr>
                <w:rFonts w:ascii="Arial" w:hAnsi="Arial" w:cs="Arial"/>
                <w:bCs/>
                <w:sz w:val="20"/>
                <w:szCs w:val="20"/>
                <w:lang w:eastAsia="es-AR"/>
              </w:rPr>
            </w:pPr>
          </w:p>
        </w:tc>
      </w:tr>
    </w:tbl>
    <w:p w:rsidR="00B37D8A" w:rsidRDefault="00B37D8A" w:rsidP="00267BA7">
      <w:pPr>
        <w:spacing w:after="0"/>
        <w:jc w:val="both"/>
        <w:rPr>
          <w:rFonts w:ascii="Times New Roman" w:hAnsi="Times New Roman"/>
          <w:sz w:val="24"/>
          <w:szCs w:val="24"/>
          <w:lang w:eastAsia="es-AR"/>
        </w:rPr>
      </w:pPr>
      <w:r>
        <w:rPr>
          <w:rFonts w:ascii="Times New Roman" w:hAnsi="Times New Roman"/>
          <w:sz w:val="24"/>
          <w:szCs w:val="24"/>
          <w:lang w:eastAsia="es-AR"/>
        </w:rPr>
        <w:t xml:space="preserve">   Nota: datos expresados en millones de USD.</w:t>
      </w:r>
    </w:p>
    <w:p w:rsidR="00B37D8A" w:rsidRDefault="00B37D8A" w:rsidP="004D0062">
      <w:pPr>
        <w:jc w:val="both"/>
        <w:rPr>
          <w:rFonts w:ascii="Times New Roman" w:hAnsi="Times New Roman"/>
          <w:sz w:val="24"/>
          <w:szCs w:val="24"/>
          <w:lang w:eastAsia="es-AR"/>
        </w:rPr>
      </w:pPr>
    </w:p>
    <w:p w:rsidR="00B37D8A" w:rsidRPr="00A2503C" w:rsidRDefault="00B37D8A" w:rsidP="00900C2D">
      <w:pPr>
        <w:pStyle w:val="Heading2"/>
        <w:spacing w:after="240"/>
        <w:rPr>
          <w:rFonts w:ascii="Times New Roman" w:hAnsi="Times New Roman"/>
          <w:lang w:val="es-ES_tradnl"/>
        </w:rPr>
      </w:pPr>
      <w:bookmarkStart w:id="8" w:name="_Toc312978046"/>
      <w:bookmarkStart w:id="9" w:name="_Toc362546761"/>
      <w:bookmarkStart w:id="10" w:name="_Toc362804597"/>
      <w:r w:rsidRPr="00A2503C">
        <w:rPr>
          <w:rFonts w:ascii="Times New Roman" w:hAnsi="Times New Roman"/>
          <w:lang w:val="es-ES_tradnl"/>
        </w:rPr>
        <w:lastRenderedPageBreak/>
        <w:t>Objetivos de la consultoría</w:t>
      </w:r>
      <w:bookmarkEnd w:id="8"/>
      <w:bookmarkEnd w:id="9"/>
      <w:bookmarkEnd w:id="10"/>
    </w:p>
    <w:p w:rsidR="00B37D8A" w:rsidRPr="0068043E" w:rsidRDefault="00B37D8A" w:rsidP="00D552A6">
      <w:pPr>
        <w:jc w:val="both"/>
        <w:rPr>
          <w:rFonts w:ascii="Times New Roman" w:hAnsi="Times New Roman"/>
          <w:sz w:val="24"/>
          <w:lang w:val="es-ES"/>
        </w:rPr>
      </w:pPr>
      <w:r w:rsidRPr="004B1E60">
        <w:rPr>
          <w:rFonts w:ascii="Times New Roman" w:hAnsi="Times New Roman"/>
          <w:sz w:val="24"/>
          <w:lang w:val="es-ES"/>
        </w:rPr>
        <w:t xml:space="preserve">El objetivo </w:t>
      </w:r>
      <w:r w:rsidR="00EB3832">
        <w:rPr>
          <w:rFonts w:ascii="Times New Roman" w:hAnsi="Times New Roman"/>
          <w:sz w:val="24"/>
          <w:lang w:val="es-ES"/>
        </w:rPr>
        <w:t xml:space="preserve">general de esta </w:t>
      </w:r>
      <w:r w:rsidRPr="004B1E60">
        <w:rPr>
          <w:rFonts w:ascii="Times New Roman" w:hAnsi="Times New Roman"/>
          <w:sz w:val="24"/>
          <w:lang w:val="es-ES"/>
        </w:rPr>
        <w:t>consultoría es realizar un análisis de costo-beneficio ex ante de</w:t>
      </w:r>
      <w:r w:rsidR="00EB659E">
        <w:rPr>
          <w:rFonts w:ascii="Times New Roman" w:hAnsi="Times New Roman"/>
          <w:sz w:val="24"/>
          <w:lang w:val="es-ES"/>
        </w:rPr>
        <w:t xml:space="preserve"> los principales </w:t>
      </w:r>
      <w:r w:rsidRPr="004B1E60">
        <w:rPr>
          <w:rFonts w:ascii="Times New Roman" w:hAnsi="Times New Roman"/>
          <w:sz w:val="24"/>
          <w:lang w:val="es-ES"/>
        </w:rPr>
        <w:t>componentes</w:t>
      </w:r>
      <w:r>
        <w:rPr>
          <w:rFonts w:ascii="Times New Roman" w:hAnsi="Times New Roman"/>
          <w:sz w:val="24"/>
          <w:lang w:val="es-ES"/>
        </w:rPr>
        <w:t xml:space="preserve"> y subcomponentes</w:t>
      </w:r>
      <w:r w:rsidRPr="004B1E60">
        <w:rPr>
          <w:rFonts w:ascii="Times New Roman" w:hAnsi="Times New Roman"/>
          <w:sz w:val="24"/>
          <w:lang w:val="es-ES"/>
        </w:rPr>
        <w:t xml:space="preserve"> del </w:t>
      </w:r>
      <w:r w:rsidR="00EB659E">
        <w:rPr>
          <w:rFonts w:ascii="Times New Roman" w:hAnsi="Times New Roman"/>
          <w:sz w:val="24"/>
          <w:szCs w:val="24"/>
          <w:lang w:eastAsia="es-AR"/>
        </w:rPr>
        <w:t xml:space="preserve"> Programa de Apoyo al Desarrollo Tecnológico (AR-L1157). </w:t>
      </w:r>
      <w:r w:rsidRPr="000D4CC4">
        <w:rPr>
          <w:rFonts w:ascii="Times New Roman" w:hAnsi="Times New Roman"/>
          <w:b/>
          <w:sz w:val="24"/>
          <w:lang w:val="es-ES"/>
        </w:rPr>
        <w:t xml:space="preserve">Los subcomponentes </w:t>
      </w:r>
      <w:r w:rsidR="00313890">
        <w:rPr>
          <w:rFonts w:ascii="Times New Roman" w:hAnsi="Times New Roman"/>
          <w:b/>
          <w:sz w:val="24"/>
          <w:lang w:val="es-ES"/>
        </w:rPr>
        <w:t>contenidos</w:t>
      </w:r>
      <w:r w:rsidR="00EB659E">
        <w:rPr>
          <w:rFonts w:ascii="Times New Roman" w:hAnsi="Times New Roman"/>
          <w:b/>
          <w:sz w:val="24"/>
          <w:lang w:val="es-ES"/>
        </w:rPr>
        <w:t xml:space="preserve"> en el </w:t>
      </w:r>
      <w:r w:rsidRPr="000D4CC4">
        <w:rPr>
          <w:rFonts w:ascii="Times New Roman" w:hAnsi="Times New Roman"/>
          <w:b/>
          <w:sz w:val="24"/>
          <w:lang w:val="es-ES"/>
        </w:rPr>
        <w:t>an</w:t>
      </w:r>
      <w:r w:rsidR="00EB659E">
        <w:rPr>
          <w:rFonts w:ascii="Times New Roman" w:hAnsi="Times New Roman"/>
          <w:b/>
          <w:sz w:val="24"/>
          <w:lang w:val="es-ES"/>
        </w:rPr>
        <w:t>á</w:t>
      </w:r>
      <w:r w:rsidRPr="000D4CC4">
        <w:rPr>
          <w:rFonts w:ascii="Times New Roman" w:hAnsi="Times New Roman"/>
          <w:b/>
          <w:sz w:val="24"/>
          <w:lang w:val="es-ES"/>
        </w:rPr>
        <w:t>li</w:t>
      </w:r>
      <w:r w:rsidR="00EB659E">
        <w:rPr>
          <w:rFonts w:ascii="Times New Roman" w:hAnsi="Times New Roman"/>
          <w:b/>
          <w:sz w:val="24"/>
          <w:lang w:val="es-ES"/>
        </w:rPr>
        <w:t>sis report</w:t>
      </w:r>
      <w:r w:rsidR="00313890">
        <w:rPr>
          <w:rFonts w:ascii="Times New Roman" w:hAnsi="Times New Roman"/>
          <w:b/>
          <w:sz w:val="24"/>
          <w:lang w:val="es-ES"/>
        </w:rPr>
        <w:t>ado en este documento</w:t>
      </w:r>
      <w:r w:rsidR="00EB659E">
        <w:rPr>
          <w:rFonts w:ascii="Times New Roman" w:hAnsi="Times New Roman"/>
          <w:b/>
          <w:sz w:val="24"/>
          <w:lang w:val="es-ES"/>
        </w:rPr>
        <w:t xml:space="preserve"> incluyen</w:t>
      </w:r>
      <w:r w:rsidRPr="000D4CC4">
        <w:rPr>
          <w:rFonts w:ascii="Times New Roman" w:hAnsi="Times New Roman"/>
          <w:b/>
          <w:sz w:val="24"/>
          <w:lang w:val="es-ES"/>
        </w:rPr>
        <w:t>:</w:t>
      </w:r>
      <w:r>
        <w:rPr>
          <w:rFonts w:ascii="Times New Roman" w:hAnsi="Times New Roman"/>
          <w:sz w:val="24"/>
          <w:lang w:val="es-ES"/>
        </w:rPr>
        <w:t xml:space="preserve"> </w:t>
      </w:r>
      <w:r w:rsidR="00313890">
        <w:rPr>
          <w:rFonts w:ascii="Times New Roman" w:hAnsi="Times New Roman"/>
          <w:sz w:val="24"/>
          <w:lang w:val="es-ES"/>
        </w:rPr>
        <w:t>1) Dentro del C</w:t>
      </w:r>
      <w:r>
        <w:rPr>
          <w:rFonts w:ascii="Times New Roman" w:hAnsi="Times New Roman"/>
          <w:sz w:val="24"/>
          <w:lang w:val="es-ES"/>
        </w:rPr>
        <w:t>omponente 1</w:t>
      </w:r>
      <w:r w:rsidR="00313890">
        <w:rPr>
          <w:rFonts w:ascii="Times New Roman" w:hAnsi="Times New Roman"/>
          <w:sz w:val="24"/>
          <w:lang w:val="es-ES"/>
        </w:rPr>
        <w:t xml:space="preserve"> de Apoyo al Desarrollo Logístico, los sub-componentes 1.1)</w:t>
      </w:r>
      <w:r>
        <w:rPr>
          <w:rFonts w:ascii="Times New Roman" w:hAnsi="Times New Roman"/>
          <w:sz w:val="24"/>
          <w:lang w:val="es-ES"/>
        </w:rPr>
        <w:t xml:space="preserve"> </w:t>
      </w:r>
      <w:r w:rsidRPr="00EC20F9">
        <w:rPr>
          <w:rFonts w:ascii="Times New Roman" w:hAnsi="Times New Roman"/>
          <w:sz w:val="24"/>
          <w:lang w:val="es-ES"/>
        </w:rPr>
        <w:t>Finalización de la RPN82</w:t>
      </w:r>
      <w:r>
        <w:rPr>
          <w:rFonts w:ascii="Times New Roman" w:hAnsi="Times New Roman"/>
          <w:sz w:val="24"/>
          <w:lang w:val="es-ES"/>
        </w:rPr>
        <w:t xml:space="preserve"> y 1</w:t>
      </w:r>
      <w:r w:rsidRPr="00EC20F9">
        <w:rPr>
          <w:rFonts w:ascii="Times New Roman" w:hAnsi="Times New Roman"/>
          <w:sz w:val="24"/>
          <w:lang w:val="es-ES"/>
        </w:rPr>
        <w:t>.2</w:t>
      </w:r>
      <w:r w:rsidR="00313890">
        <w:rPr>
          <w:rFonts w:ascii="Times New Roman" w:hAnsi="Times New Roman"/>
          <w:sz w:val="24"/>
          <w:lang w:val="es-ES"/>
        </w:rPr>
        <w:t>)</w:t>
      </w:r>
      <w:r w:rsidRPr="00EC20F9">
        <w:rPr>
          <w:rFonts w:ascii="Times New Roman" w:hAnsi="Times New Roman"/>
          <w:sz w:val="24"/>
          <w:lang w:val="es-ES"/>
        </w:rPr>
        <w:t xml:space="preserve"> </w:t>
      </w:r>
      <w:r w:rsidR="00313890">
        <w:rPr>
          <w:rFonts w:ascii="Times New Roman" w:hAnsi="Times New Roman"/>
          <w:sz w:val="24"/>
          <w:lang w:val="es-ES"/>
        </w:rPr>
        <w:t>Desarrollo de la</w:t>
      </w:r>
      <w:r w:rsidRPr="00EC20F9">
        <w:rPr>
          <w:rFonts w:ascii="Times New Roman" w:hAnsi="Times New Roman"/>
          <w:sz w:val="24"/>
          <w:lang w:val="es-ES"/>
        </w:rPr>
        <w:t xml:space="preserve"> Nueva Zona Primaria Aduanera (ZPA)</w:t>
      </w:r>
      <w:r>
        <w:rPr>
          <w:rFonts w:ascii="Times New Roman" w:hAnsi="Times New Roman"/>
          <w:sz w:val="24"/>
          <w:lang w:val="es-ES"/>
        </w:rPr>
        <w:t xml:space="preserve">; </w:t>
      </w:r>
      <w:r w:rsidR="00313890">
        <w:rPr>
          <w:rFonts w:ascii="Times New Roman" w:hAnsi="Times New Roman"/>
          <w:sz w:val="24"/>
          <w:lang w:val="es-ES"/>
        </w:rPr>
        <w:t xml:space="preserve">2) Dentro del </w:t>
      </w:r>
      <w:r>
        <w:rPr>
          <w:rFonts w:ascii="Times New Roman" w:hAnsi="Times New Roman"/>
          <w:sz w:val="24"/>
          <w:lang w:val="es-ES"/>
        </w:rPr>
        <w:t>componente 2</w:t>
      </w:r>
      <w:r w:rsidR="00313890">
        <w:rPr>
          <w:rFonts w:ascii="Times New Roman" w:hAnsi="Times New Roman"/>
          <w:sz w:val="24"/>
          <w:lang w:val="es-ES"/>
        </w:rPr>
        <w:t xml:space="preserve">) de </w:t>
      </w:r>
      <w:r w:rsidR="00313890" w:rsidRPr="0068043E">
        <w:rPr>
          <w:rFonts w:ascii="Times New Roman" w:hAnsi="Times New Roman"/>
          <w:sz w:val="24"/>
          <w:lang w:val="es-ES"/>
        </w:rPr>
        <w:t>Apoyo al desarrollo tecnológico</w:t>
      </w:r>
      <w:r>
        <w:rPr>
          <w:rFonts w:ascii="Times New Roman" w:hAnsi="Times New Roman"/>
          <w:sz w:val="24"/>
          <w:lang w:val="es-ES"/>
        </w:rPr>
        <w:t xml:space="preserve">, </w:t>
      </w:r>
      <w:r w:rsidR="00313890">
        <w:rPr>
          <w:rFonts w:ascii="Times New Roman" w:hAnsi="Times New Roman"/>
          <w:sz w:val="24"/>
          <w:lang w:val="es-ES"/>
        </w:rPr>
        <w:t xml:space="preserve">los sub-componentes 2.1) </w:t>
      </w:r>
      <w:r w:rsidRPr="0068043E">
        <w:rPr>
          <w:rFonts w:ascii="Times New Roman" w:hAnsi="Times New Roman"/>
          <w:sz w:val="24"/>
          <w:lang w:val="es-ES"/>
        </w:rPr>
        <w:t>Parque de Biotecn</w:t>
      </w:r>
      <w:r>
        <w:rPr>
          <w:rFonts w:ascii="Times New Roman" w:hAnsi="Times New Roman"/>
          <w:sz w:val="24"/>
          <w:lang w:val="es-ES"/>
        </w:rPr>
        <w:t xml:space="preserve">ología y  Energías Renovables y </w:t>
      </w:r>
      <w:r w:rsidR="00313890">
        <w:rPr>
          <w:rFonts w:ascii="Times New Roman" w:hAnsi="Times New Roman"/>
          <w:sz w:val="24"/>
          <w:lang w:val="es-ES"/>
        </w:rPr>
        <w:t xml:space="preserve">2.2) </w:t>
      </w:r>
      <w:r w:rsidRPr="0068043E">
        <w:rPr>
          <w:rFonts w:ascii="Times New Roman" w:hAnsi="Times New Roman"/>
          <w:sz w:val="24"/>
          <w:lang w:val="es-ES"/>
        </w:rPr>
        <w:t>Polo del Conocimiento.</w:t>
      </w:r>
      <w:r>
        <w:rPr>
          <w:rFonts w:ascii="Times New Roman" w:hAnsi="Times New Roman"/>
          <w:sz w:val="24"/>
          <w:lang w:val="es-ES"/>
        </w:rPr>
        <w:t xml:space="preserve"> Estos subcomponentes  representan el 84,11% del monto total del Programa.</w:t>
      </w:r>
    </w:p>
    <w:p w:rsidR="00B37D8A" w:rsidRPr="006C7F98" w:rsidRDefault="00313890" w:rsidP="00D552A6">
      <w:pPr>
        <w:jc w:val="both"/>
        <w:rPr>
          <w:rFonts w:ascii="Times New Roman" w:hAnsi="Times New Roman"/>
          <w:sz w:val="24"/>
          <w:szCs w:val="24"/>
          <w:lang w:val="es-ES"/>
        </w:rPr>
      </w:pPr>
      <w:r>
        <w:rPr>
          <w:rFonts w:ascii="Times New Roman" w:hAnsi="Times New Roman"/>
          <w:sz w:val="24"/>
          <w:szCs w:val="24"/>
          <w:lang w:val="es-ES"/>
        </w:rPr>
        <w:t>Los objetivos específicos de la consultoría son los siguientes</w:t>
      </w:r>
      <w:r w:rsidR="00B37D8A" w:rsidRPr="006C7F98">
        <w:rPr>
          <w:rFonts w:ascii="Times New Roman" w:hAnsi="Times New Roman"/>
          <w:sz w:val="24"/>
          <w:szCs w:val="24"/>
          <w:lang w:val="es-ES"/>
        </w:rPr>
        <w:t>:</w:t>
      </w:r>
    </w:p>
    <w:p w:rsidR="00B37D8A" w:rsidRPr="006C7F98" w:rsidRDefault="00B37D8A" w:rsidP="00D552A6">
      <w:pPr>
        <w:pStyle w:val="ListParagraph"/>
        <w:numPr>
          <w:ilvl w:val="0"/>
          <w:numId w:val="5"/>
        </w:numPr>
        <w:jc w:val="both"/>
        <w:rPr>
          <w:rFonts w:ascii="Times New Roman" w:hAnsi="Times New Roman"/>
          <w:sz w:val="24"/>
          <w:szCs w:val="24"/>
          <w:lang w:val="es-ES"/>
        </w:rPr>
      </w:pPr>
      <w:r w:rsidRPr="006C7F98">
        <w:rPr>
          <w:rFonts w:ascii="Times New Roman" w:hAnsi="Times New Roman"/>
          <w:sz w:val="24"/>
          <w:szCs w:val="24"/>
          <w:lang w:val="es-ES"/>
        </w:rPr>
        <w:t>Proponer una metodología adecuada para el análisis costo beneficio de los componentes del Programa;</w:t>
      </w:r>
    </w:p>
    <w:p w:rsidR="00B37D8A" w:rsidRPr="006C7F98" w:rsidRDefault="00B37D8A" w:rsidP="00D552A6">
      <w:pPr>
        <w:pStyle w:val="ListParagraph"/>
        <w:numPr>
          <w:ilvl w:val="0"/>
          <w:numId w:val="5"/>
        </w:numPr>
        <w:jc w:val="both"/>
        <w:rPr>
          <w:rFonts w:ascii="Times New Roman" w:hAnsi="Times New Roman"/>
          <w:sz w:val="24"/>
          <w:szCs w:val="24"/>
          <w:lang w:val="es-ES"/>
        </w:rPr>
      </w:pPr>
      <w:r w:rsidRPr="006C7F98">
        <w:rPr>
          <w:rFonts w:ascii="Times New Roman" w:hAnsi="Times New Roman"/>
          <w:sz w:val="24"/>
          <w:szCs w:val="24"/>
          <w:lang w:val="es-ES"/>
        </w:rPr>
        <w:t xml:space="preserve">Identificar los beneficios </w:t>
      </w:r>
      <w:r w:rsidR="00313890">
        <w:rPr>
          <w:rFonts w:ascii="Times New Roman" w:hAnsi="Times New Roman"/>
          <w:sz w:val="24"/>
          <w:szCs w:val="24"/>
          <w:lang w:val="es-ES"/>
        </w:rPr>
        <w:t xml:space="preserve">potenciales más significativos </w:t>
      </w:r>
      <w:r w:rsidRPr="006C7F98">
        <w:rPr>
          <w:rFonts w:ascii="Times New Roman" w:hAnsi="Times New Roman"/>
          <w:sz w:val="24"/>
          <w:szCs w:val="24"/>
          <w:lang w:val="es-ES"/>
        </w:rPr>
        <w:t>resultantes de la implementación del Programa</w:t>
      </w:r>
      <w:r w:rsidR="00313890" w:rsidRPr="00313890">
        <w:rPr>
          <w:rFonts w:ascii="Times New Roman" w:hAnsi="Times New Roman"/>
          <w:sz w:val="24"/>
          <w:szCs w:val="24"/>
          <w:lang w:val="es-ES"/>
        </w:rPr>
        <w:t xml:space="preserve"> </w:t>
      </w:r>
      <w:r w:rsidR="00313890" w:rsidRPr="006C7F98">
        <w:rPr>
          <w:rFonts w:ascii="Times New Roman" w:hAnsi="Times New Roman"/>
          <w:sz w:val="24"/>
          <w:szCs w:val="24"/>
          <w:lang w:val="es-ES"/>
        </w:rPr>
        <w:t>y cuantificar</w:t>
      </w:r>
      <w:r w:rsidR="00313890">
        <w:rPr>
          <w:rFonts w:ascii="Times New Roman" w:hAnsi="Times New Roman"/>
          <w:sz w:val="24"/>
          <w:szCs w:val="24"/>
          <w:lang w:val="es-ES"/>
        </w:rPr>
        <w:t xml:space="preserve"> aquellos que sean posibles y para los que existan datos disponibles</w:t>
      </w:r>
      <w:r w:rsidRPr="006C7F98">
        <w:rPr>
          <w:rFonts w:ascii="Times New Roman" w:hAnsi="Times New Roman"/>
          <w:sz w:val="24"/>
          <w:szCs w:val="24"/>
          <w:lang w:val="es-ES"/>
        </w:rPr>
        <w:t>;</w:t>
      </w:r>
    </w:p>
    <w:p w:rsidR="00B37D8A" w:rsidRPr="006C7F98" w:rsidRDefault="00B37D8A" w:rsidP="00D552A6">
      <w:pPr>
        <w:pStyle w:val="ListParagraph"/>
        <w:numPr>
          <w:ilvl w:val="0"/>
          <w:numId w:val="5"/>
        </w:numPr>
        <w:jc w:val="both"/>
        <w:rPr>
          <w:rFonts w:ascii="Times New Roman" w:hAnsi="Times New Roman"/>
          <w:sz w:val="24"/>
          <w:szCs w:val="24"/>
          <w:lang w:val="es-ES"/>
        </w:rPr>
      </w:pPr>
      <w:r w:rsidRPr="006C7F98">
        <w:rPr>
          <w:rFonts w:ascii="Times New Roman" w:hAnsi="Times New Roman"/>
          <w:sz w:val="24"/>
          <w:szCs w:val="24"/>
          <w:lang w:val="es-ES"/>
        </w:rPr>
        <w:t>Estimar todos los costos asociados con el proyecto (costos de inversión, administrativos, operacionales, gerenciales, etc.);</w:t>
      </w:r>
    </w:p>
    <w:p w:rsidR="00B37D8A" w:rsidRPr="006C7F98" w:rsidRDefault="00B37D8A" w:rsidP="00D552A6">
      <w:pPr>
        <w:pStyle w:val="ListParagraph"/>
        <w:numPr>
          <w:ilvl w:val="0"/>
          <w:numId w:val="5"/>
        </w:numPr>
        <w:jc w:val="both"/>
        <w:rPr>
          <w:rFonts w:ascii="Times New Roman" w:hAnsi="Times New Roman"/>
          <w:sz w:val="24"/>
          <w:szCs w:val="24"/>
          <w:lang w:val="es-ES"/>
        </w:rPr>
      </w:pPr>
      <w:r w:rsidRPr="006C7F98">
        <w:rPr>
          <w:rFonts w:ascii="Times New Roman" w:hAnsi="Times New Roman"/>
          <w:sz w:val="24"/>
          <w:szCs w:val="24"/>
          <w:lang w:val="es-ES"/>
        </w:rPr>
        <w:t>Calcular el valor presente neto y la tasa interna de retorno para el Programa en su conjunto, así como para cada uno de sus componentes y subcomponentes;</w:t>
      </w:r>
    </w:p>
    <w:p w:rsidR="00B37D8A" w:rsidRDefault="00B37D8A" w:rsidP="00D552A6">
      <w:pPr>
        <w:pStyle w:val="ListParagraph"/>
        <w:numPr>
          <w:ilvl w:val="0"/>
          <w:numId w:val="5"/>
        </w:numPr>
        <w:jc w:val="both"/>
        <w:rPr>
          <w:rFonts w:ascii="Times New Roman" w:hAnsi="Times New Roman"/>
          <w:sz w:val="24"/>
          <w:szCs w:val="24"/>
          <w:lang w:val="es-ES"/>
        </w:rPr>
      </w:pPr>
      <w:r w:rsidRPr="006C7F98">
        <w:rPr>
          <w:rFonts w:ascii="Times New Roman" w:hAnsi="Times New Roman"/>
          <w:sz w:val="24"/>
          <w:szCs w:val="24"/>
          <w:lang w:val="es-ES"/>
        </w:rPr>
        <w:t>Realizar un análisis de sensibilidad para las variables clave que afectan los resultados;</w:t>
      </w:r>
    </w:p>
    <w:p w:rsidR="00B37D8A" w:rsidRPr="00A2503C" w:rsidRDefault="00B37D8A" w:rsidP="00900C2D">
      <w:pPr>
        <w:pStyle w:val="Heading2"/>
        <w:spacing w:after="240"/>
        <w:rPr>
          <w:rFonts w:ascii="Times New Roman" w:hAnsi="Times New Roman"/>
          <w:lang w:val="es-ES_tradnl"/>
        </w:rPr>
      </w:pPr>
      <w:bookmarkStart w:id="11" w:name="_Toc312978048"/>
      <w:bookmarkStart w:id="12" w:name="_Toc362546762"/>
      <w:bookmarkStart w:id="13" w:name="_Toc362804598"/>
      <w:r w:rsidRPr="00A2503C">
        <w:rPr>
          <w:rFonts w:ascii="Times New Roman" w:hAnsi="Times New Roman"/>
          <w:lang w:val="es-ES_tradnl"/>
        </w:rPr>
        <w:t>Fuentes de informac</w:t>
      </w:r>
      <w:bookmarkEnd w:id="11"/>
      <w:r w:rsidRPr="00A2503C">
        <w:rPr>
          <w:rFonts w:ascii="Times New Roman" w:hAnsi="Times New Roman"/>
          <w:lang w:val="es-ES_tradnl"/>
        </w:rPr>
        <w:t>ión</w:t>
      </w:r>
      <w:bookmarkEnd w:id="12"/>
      <w:bookmarkEnd w:id="13"/>
      <w:r w:rsidR="00313890">
        <w:rPr>
          <w:rFonts w:ascii="Times New Roman" w:hAnsi="Times New Roman"/>
          <w:lang w:val="es-ES_tradnl"/>
        </w:rPr>
        <w:t xml:space="preserve"> y </w:t>
      </w:r>
      <w:r w:rsidR="00102291">
        <w:rPr>
          <w:rFonts w:ascii="Times New Roman" w:hAnsi="Times New Roman"/>
          <w:lang w:val="es-ES_tradnl"/>
        </w:rPr>
        <w:t>m</w:t>
      </w:r>
      <w:r w:rsidR="00313890">
        <w:rPr>
          <w:rFonts w:ascii="Times New Roman" w:hAnsi="Times New Roman"/>
          <w:lang w:val="es-ES_tradnl"/>
        </w:rPr>
        <w:t>etodología</w:t>
      </w:r>
    </w:p>
    <w:p w:rsidR="0076635C" w:rsidRDefault="00E37457" w:rsidP="0076635C">
      <w:pPr>
        <w:jc w:val="both"/>
        <w:rPr>
          <w:rFonts w:ascii="Times New Roman" w:hAnsi="Times New Roman"/>
          <w:sz w:val="24"/>
        </w:rPr>
      </w:pPr>
      <w:r>
        <w:rPr>
          <w:rFonts w:ascii="Times New Roman" w:hAnsi="Times New Roman"/>
          <w:bCs/>
          <w:sz w:val="24"/>
          <w:szCs w:val="24"/>
        </w:rPr>
        <w:t xml:space="preserve">El análisis desarrollado en este reporte </w:t>
      </w:r>
      <w:r w:rsidR="00B37D8A" w:rsidRPr="001C6EC9">
        <w:rPr>
          <w:rFonts w:ascii="Times New Roman" w:hAnsi="Times New Roman"/>
          <w:bCs/>
          <w:sz w:val="24"/>
          <w:szCs w:val="24"/>
        </w:rPr>
        <w:t>fue confeccionad</w:t>
      </w:r>
      <w:r w:rsidR="009B2DA8">
        <w:rPr>
          <w:rFonts w:ascii="Times New Roman" w:hAnsi="Times New Roman"/>
          <w:bCs/>
          <w:sz w:val="24"/>
          <w:szCs w:val="24"/>
        </w:rPr>
        <w:t>o</w:t>
      </w:r>
      <w:r w:rsidR="00B37D8A" w:rsidRPr="001C6EC9">
        <w:rPr>
          <w:rFonts w:ascii="Times New Roman" w:hAnsi="Times New Roman"/>
          <w:bCs/>
          <w:sz w:val="24"/>
          <w:szCs w:val="24"/>
        </w:rPr>
        <w:t xml:space="preserve"> en base a </w:t>
      </w:r>
      <w:r w:rsidR="00313890">
        <w:rPr>
          <w:rFonts w:ascii="Times New Roman" w:hAnsi="Times New Roman"/>
          <w:bCs/>
          <w:sz w:val="24"/>
          <w:szCs w:val="24"/>
        </w:rPr>
        <w:t>información</w:t>
      </w:r>
      <w:r w:rsidR="00B37D8A" w:rsidRPr="001C6EC9">
        <w:rPr>
          <w:rFonts w:ascii="Times New Roman" w:hAnsi="Times New Roman"/>
          <w:bCs/>
          <w:sz w:val="24"/>
          <w:szCs w:val="24"/>
        </w:rPr>
        <w:t xml:space="preserve"> </w:t>
      </w:r>
      <w:r>
        <w:rPr>
          <w:rFonts w:ascii="Times New Roman" w:hAnsi="Times New Roman"/>
          <w:bCs/>
          <w:sz w:val="24"/>
          <w:szCs w:val="24"/>
        </w:rPr>
        <w:t xml:space="preserve">contenida en documentos y reportes </w:t>
      </w:r>
      <w:r w:rsidRPr="001C6EC9">
        <w:rPr>
          <w:rFonts w:ascii="Times New Roman" w:hAnsi="Times New Roman"/>
          <w:bCs/>
          <w:sz w:val="24"/>
          <w:szCs w:val="24"/>
        </w:rPr>
        <w:t>proporcionad</w:t>
      </w:r>
      <w:r>
        <w:rPr>
          <w:rFonts w:ascii="Times New Roman" w:hAnsi="Times New Roman"/>
          <w:bCs/>
          <w:sz w:val="24"/>
          <w:szCs w:val="24"/>
        </w:rPr>
        <w:t>os</w:t>
      </w:r>
      <w:r w:rsidR="00B37D8A" w:rsidRPr="001C6EC9">
        <w:rPr>
          <w:rFonts w:ascii="Times New Roman" w:hAnsi="Times New Roman"/>
          <w:bCs/>
          <w:sz w:val="24"/>
          <w:szCs w:val="24"/>
        </w:rPr>
        <w:t xml:space="preserve"> por el Banco, y el Ministerio de Agroindustria y Tecnología, este último en su rol de unidad ejecutora del Programa</w:t>
      </w:r>
      <w:r w:rsidR="0076635C">
        <w:rPr>
          <w:rFonts w:ascii="Times New Roman" w:hAnsi="Times New Roman"/>
          <w:bCs/>
          <w:sz w:val="24"/>
          <w:szCs w:val="24"/>
        </w:rPr>
        <w:t xml:space="preserve">. </w:t>
      </w:r>
      <w:r w:rsidR="00313890" w:rsidRPr="001C6EC9">
        <w:rPr>
          <w:rFonts w:ascii="Times New Roman" w:hAnsi="Times New Roman"/>
          <w:bCs/>
          <w:sz w:val="24"/>
          <w:szCs w:val="24"/>
        </w:rPr>
        <w:t xml:space="preserve">También se utilizó información provista por funcionarios del Ministerio de Agroindustria y Tecnología y del Banco </w:t>
      </w:r>
      <w:r w:rsidR="0076635C">
        <w:rPr>
          <w:rFonts w:ascii="Times New Roman" w:hAnsi="Times New Roman"/>
          <w:bCs/>
          <w:sz w:val="24"/>
          <w:szCs w:val="24"/>
        </w:rPr>
        <w:t xml:space="preserve">la que surgió de </w:t>
      </w:r>
      <w:r w:rsidR="00313890" w:rsidRPr="001C6EC9">
        <w:rPr>
          <w:rFonts w:ascii="Times New Roman" w:hAnsi="Times New Roman"/>
          <w:bCs/>
          <w:sz w:val="24"/>
          <w:szCs w:val="24"/>
        </w:rPr>
        <w:t>diversas reuniones mantenidas</w:t>
      </w:r>
      <w:r w:rsidR="0076635C">
        <w:rPr>
          <w:rFonts w:ascii="Times New Roman" w:hAnsi="Times New Roman"/>
          <w:bCs/>
          <w:sz w:val="24"/>
          <w:szCs w:val="24"/>
        </w:rPr>
        <w:t xml:space="preserve"> con funcionarios de estas instituciones</w:t>
      </w:r>
      <w:r w:rsidR="00313890" w:rsidRPr="001C6EC9">
        <w:rPr>
          <w:rFonts w:ascii="Times New Roman" w:hAnsi="Times New Roman"/>
          <w:bCs/>
          <w:sz w:val="24"/>
          <w:szCs w:val="24"/>
        </w:rPr>
        <w:t>, así como</w:t>
      </w:r>
      <w:r w:rsidR="0076635C">
        <w:rPr>
          <w:rFonts w:ascii="Times New Roman" w:hAnsi="Times New Roman"/>
          <w:bCs/>
          <w:sz w:val="24"/>
          <w:szCs w:val="24"/>
        </w:rPr>
        <w:t xml:space="preserve"> de</w:t>
      </w:r>
      <w:r w:rsidR="00313890" w:rsidRPr="001C6EC9">
        <w:rPr>
          <w:rFonts w:ascii="Times New Roman" w:hAnsi="Times New Roman"/>
          <w:bCs/>
          <w:sz w:val="24"/>
          <w:szCs w:val="24"/>
        </w:rPr>
        <w:t xml:space="preserve"> respuestas a consultas puntuales realizadas. </w:t>
      </w:r>
      <w:r w:rsidR="00B37D8A" w:rsidRPr="001C6EC9">
        <w:rPr>
          <w:rFonts w:ascii="Times New Roman" w:hAnsi="Times New Roman"/>
          <w:bCs/>
          <w:sz w:val="24"/>
          <w:szCs w:val="24"/>
        </w:rPr>
        <w:t xml:space="preserve">En ocasiones, se recurrió </w:t>
      </w:r>
      <w:r>
        <w:rPr>
          <w:rFonts w:ascii="Times New Roman" w:hAnsi="Times New Roman"/>
          <w:bCs/>
          <w:sz w:val="24"/>
          <w:szCs w:val="24"/>
        </w:rPr>
        <w:t xml:space="preserve">además </w:t>
      </w:r>
      <w:r w:rsidR="00B37D8A" w:rsidRPr="001C6EC9">
        <w:rPr>
          <w:rFonts w:ascii="Times New Roman" w:hAnsi="Times New Roman"/>
          <w:bCs/>
          <w:sz w:val="24"/>
          <w:szCs w:val="24"/>
        </w:rPr>
        <w:t xml:space="preserve">a información </w:t>
      </w:r>
      <w:r w:rsidR="0076635C">
        <w:rPr>
          <w:rFonts w:ascii="Times New Roman" w:hAnsi="Times New Roman"/>
          <w:bCs/>
          <w:sz w:val="24"/>
          <w:szCs w:val="24"/>
        </w:rPr>
        <w:t xml:space="preserve">hecha </w:t>
      </w:r>
      <w:r w:rsidR="00B37D8A" w:rsidRPr="001C6EC9">
        <w:rPr>
          <w:rFonts w:ascii="Times New Roman" w:hAnsi="Times New Roman"/>
          <w:bCs/>
          <w:sz w:val="24"/>
          <w:szCs w:val="24"/>
        </w:rPr>
        <w:t>pública</w:t>
      </w:r>
      <w:r w:rsidR="0076635C">
        <w:rPr>
          <w:rFonts w:ascii="Times New Roman" w:hAnsi="Times New Roman"/>
          <w:bCs/>
          <w:sz w:val="24"/>
          <w:szCs w:val="24"/>
        </w:rPr>
        <w:t xml:space="preserve"> en las</w:t>
      </w:r>
      <w:r w:rsidR="00B37D8A" w:rsidRPr="001C6EC9">
        <w:rPr>
          <w:rFonts w:ascii="Times New Roman" w:hAnsi="Times New Roman"/>
          <w:bCs/>
          <w:sz w:val="24"/>
          <w:szCs w:val="24"/>
        </w:rPr>
        <w:t xml:space="preserve"> páginas web del Ministerio de Agroindustria y Tecnología, </w:t>
      </w:r>
      <w:r w:rsidR="00313890">
        <w:rPr>
          <w:rFonts w:ascii="Times New Roman" w:hAnsi="Times New Roman"/>
          <w:bCs/>
          <w:sz w:val="24"/>
          <w:szCs w:val="24"/>
        </w:rPr>
        <w:t xml:space="preserve">del INDEC </w:t>
      </w:r>
      <w:r w:rsidR="00B37D8A" w:rsidRPr="001C6EC9">
        <w:rPr>
          <w:rFonts w:ascii="Times New Roman" w:hAnsi="Times New Roman"/>
          <w:bCs/>
          <w:sz w:val="24"/>
          <w:szCs w:val="24"/>
        </w:rPr>
        <w:t>y del Banco.</w:t>
      </w:r>
      <w:r w:rsidR="0076635C">
        <w:rPr>
          <w:rFonts w:ascii="Times New Roman" w:hAnsi="Times New Roman"/>
          <w:bCs/>
          <w:sz w:val="24"/>
          <w:szCs w:val="24"/>
        </w:rPr>
        <w:t xml:space="preserve"> C</w:t>
      </w:r>
      <w:r>
        <w:rPr>
          <w:rFonts w:ascii="Times New Roman" w:hAnsi="Times New Roman"/>
          <w:bCs/>
          <w:sz w:val="24"/>
          <w:szCs w:val="24"/>
        </w:rPr>
        <w:t>uando fue necesario s</w:t>
      </w:r>
      <w:r w:rsidRPr="001C6EC9">
        <w:rPr>
          <w:rFonts w:ascii="Times New Roman" w:hAnsi="Times New Roman"/>
          <w:bCs/>
          <w:sz w:val="24"/>
          <w:szCs w:val="24"/>
        </w:rPr>
        <w:t>e consult</w:t>
      </w:r>
      <w:r w:rsidR="0076635C">
        <w:rPr>
          <w:rFonts w:ascii="Times New Roman" w:hAnsi="Times New Roman"/>
          <w:bCs/>
          <w:sz w:val="24"/>
          <w:szCs w:val="24"/>
        </w:rPr>
        <w:t>ó</w:t>
      </w:r>
      <w:r w:rsidRPr="001C6EC9">
        <w:rPr>
          <w:rFonts w:ascii="Times New Roman" w:hAnsi="Times New Roman"/>
          <w:bCs/>
          <w:sz w:val="24"/>
          <w:szCs w:val="24"/>
        </w:rPr>
        <w:t xml:space="preserve"> material bibliográfico de autores varios referido a programas de apoyo empresarial en general, y a desarrollo tecnológico en particular. </w:t>
      </w:r>
      <w:r w:rsidR="0076635C">
        <w:rPr>
          <w:rFonts w:ascii="Times New Roman" w:hAnsi="Times New Roman"/>
          <w:sz w:val="24"/>
        </w:rPr>
        <w:t xml:space="preserve">En muchos casos ante la ausencia de información, hemos estimado </w:t>
      </w:r>
      <w:r w:rsidR="0076635C" w:rsidRPr="009D25F1">
        <w:rPr>
          <w:rFonts w:ascii="Times New Roman" w:hAnsi="Times New Roman"/>
          <w:sz w:val="24"/>
        </w:rPr>
        <w:t xml:space="preserve">beneficios </w:t>
      </w:r>
      <w:r w:rsidR="0076635C">
        <w:rPr>
          <w:rFonts w:ascii="Times New Roman" w:hAnsi="Times New Roman"/>
          <w:sz w:val="24"/>
        </w:rPr>
        <w:t>en base a</w:t>
      </w:r>
      <w:r w:rsidR="0076635C" w:rsidRPr="009D25F1">
        <w:rPr>
          <w:rFonts w:ascii="Times New Roman" w:hAnsi="Times New Roman"/>
          <w:sz w:val="24"/>
        </w:rPr>
        <w:t xml:space="preserve"> datos </w:t>
      </w:r>
      <w:r w:rsidR="0076635C">
        <w:rPr>
          <w:rFonts w:ascii="Times New Roman" w:hAnsi="Times New Roman"/>
          <w:sz w:val="24"/>
        </w:rPr>
        <w:t>y resultados de experiencias de programas similares y al análisis de diversos documentos que, con énfasis en América Latina, abordan cada una de las temáticas consideradas</w:t>
      </w:r>
      <w:r w:rsidR="0076635C" w:rsidRPr="009D25F1">
        <w:rPr>
          <w:rFonts w:ascii="Times New Roman" w:hAnsi="Times New Roman"/>
          <w:sz w:val="24"/>
        </w:rPr>
        <w:t>.</w:t>
      </w:r>
      <w:r w:rsidR="0076635C">
        <w:rPr>
          <w:rFonts w:ascii="Times New Roman" w:hAnsi="Times New Roman"/>
          <w:sz w:val="24"/>
        </w:rPr>
        <w:t xml:space="preserve"> </w:t>
      </w:r>
    </w:p>
    <w:p w:rsidR="0076635C" w:rsidRDefault="00E37457" w:rsidP="00D552A6">
      <w:pPr>
        <w:jc w:val="both"/>
        <w:rPr>
          <w:rFonts w:ascii="Times New Roman" w:hAnsi="Times New Roman"/>
          <w:bCs/>
          <w:sz w:val="24"/>
          <w:szCs w:val="24"/>
        </w:rPr>
      </w:pPr>
      <w:r w:rsidRPr="001C6EC9">
        <w:rPr>
          <w:rFonts w:ascii="Times New Roman" w:hAnsi="Times New Roman"/>
          <w:bCs/>
          <w:sz w:val="24"/>
          <w:szCs w:val="24"/>
        </w:rPr>
        <w:t>La información recibida no ha sido objeto de contrastación, considerándose fidedigna y exacta.</w:t>
      </w:r>
      <w:r w:rsidR="00BE5CEB">
        <w:rPr>
          <w:rFonts w:ascii="Times New Roman" w:hAnsi="Times New Roman"/>
          <w:bCs/>
          <w:sz w:val="24"/>
          <w:szCs w:val="24"/>
        </w:rPr>
        <w:t xml:space="preserve"> </w:t>
      </w:r>
    </w:p>
    <w:p w:rsidR="00B37D8A" w:rsidRDefault="00B37D8A" w:rsidP="00D552A6">
      <w:pPr>
        <w:jc w:val="both"/>
        <w:rPr>
          <w:rFonts w:ascii="Times New Roman" w:hAnsi="Times New Roman"/>
          <w:bCs/>
          <w:sz w:val="24"/>
          <w:szCs w:val="24"/>
        </w:rPr>
      </w:pPr>
      <w:r w:rsidRPr="001C6EC9">
        <w:rPr>
          <w:rFonts w:ascii="Times New Roman" w:hAnsi="Times New Roman"/>
          <w:bCs/>
          <w:sz w:val="24"/>
          <w:szCs w:val="24"/>
        </w:rPr>
        <w:t xml:space="preserve">La estructura del Programa en términos de Componentes, Subcomponentes, así como las características de cada uno, es la que surge de los documentos recibidos luego de la Misión de Análisis de </w:t>
      </w:r>
      <w:r w:rsidR="0076635C">
        <w:rPr>
          <w:rFonts w:ascii="Times New Roman" w:hAnsi="Times New Roman"/>
          <w:bCs/>
          <w:sz w:val="24"/>
          <w:szCs w:val="24"/>
        </w:rPr>
        <w:t>Junio</w:t>
      </w:r>
      <w:r w:rsidRPr="001C6EC9">
        <w:rPr>
          <w:rFonts w:ascii="Times New Roman" w:hAnsi="Times New Roman"/>
          <w:bCs/>
          <w:sz w:val="24"/>
          <w:szCs w:val="24"/>
        </w:rPr>
        <w:t xml:space="preserve"> de 2013. </w:t>
      </w:r>
    </w:p>
    <w:p w:rsidR="00CE52E7" w:rsidRPr="009D25F1" w:rsidRDefault="00CE52E7" w:rsidP="00CE52E7">
      <w:pPr>
        <w:jc w:val="both"/>
        <w:rPr>
          <w:rFonts w:ascii="Times New Roman" w:hAnsi="Times New Roman"/>
          <w:sz w:val="24"/>
        </w:rPr>
      </w:pPr>
      <w:r w:rsidRPr="00CB2EC0">
        <w:rPr>
          <w:rFonts w:ascii="Times New Roman" w:hAnsi="Times New Roman"/>
          <w:sz w:val="24"/>
        </w:rPr>
        <w:lastRenderedPageBreak/>
        <w:t xml:space="preserve">Si bien existe extensa bibliografía relacionada con evaluaciones de programas de este tipo, </w:t>
      </w:r>
      <w:r>
        <w:rPr>
          <w:rFonts w:ascii="Times New Roman" w:hAnsi="Times New Roman"/>
          <w:sz w:val="24"/>
        </w:rPr>
        <w:t xml:space="preserve">gran parte de esta bibliografía se refiera o a la evaluación de programas ex post para los cuales </w:t>
      </w:r>
      <w:r w:rsidRPr="00CB2EC0">
        <w:rPr>
          <w:rFonts w:ascii="Times New Roman" w:hAnsi="Times New Roman"/>
          <w:sz w:val="24"/>
        </w:rPr>
        <w:t xml:space="preserve">la cantidad, calidad, y actualización de la información </w:t>
      </w:r>
      <w:r>
        <w:rPr>
          <w:rFonts w:ascii="Times New Roman" w:hAnsi="Times New Roman"/>
          <w:sz w:val="24"/>
        </w:rPr>
        <w:t>ha permitido implementar diversas</w:t>
      </w:r>
      <w:r w:rsidRPr="00CB2EC0">
        <w:rPr>
          <w:rFonts w:ascii="Times New Roman" w:hAnsi="Times New Roman"/>
          <w:sz w:val="24"/>
        </w:rPr>
        <w:t xml:space="preserve"> metodologías de evaluación.</w:t>
      </w:r>
      <w:r>
        <w:rPr>
          <w:rFonts w:ascii="Times New Roman" w:hAnsi="Times New Roman"/>
          <w:sz w:val="24"/>
        </w:rPr>
        <w:t xml:space="preserve"> Para la presente evaluación este tipo de información no estaba disponible. Nos limitamos por esto a implementar un análisis de costo beneficios convencional, y a concentrar la mayor parte de los esfuerzos en la identificación de fuentes de información relevantes, de los potenciales beneficiarios y beneficios, en el desarrollo de supuestos razonables y justificables y en el desarrollo de diversos análisis de sensibilidad. </w:t>
      </w:r>
    </w:p>
    <w:p w:rsidR="00102291" w:rsidRDefault="00102291" w:rsidP="00D552A6">
      <w:pPr>
        <w:jc w:val="both"/>
        <w:rPr>
          <w:rFonts w:ascii="Times New Roman" w:hAnsi="Times New Roman"/>
          <w:bCs/>
          <w:sz w:val="24"/>
          <w:szCs w:val="24"/>
        </w:rPr>
      </w:pPr>
      <w:r>
        <w:rPr>
          <w:rFonts w:ascii="Times New Roman" w:hAnsi="Times New Roman"/>
          <w:bCs/>
          <w:sz w:val="24"/>
          <w:szCs w:val="24"/>
        </w:rPr>
        <w:t>El análisis incluyó los siguientes pasos:</w:t>
      </w:r>
    </w:p>
    <w:p w:rsidR="00102291" w:rsidRDefault="00102291" w:rsidP="00102291">
      <w:pPr>
        <w:pStyle w:val="ListParagraph"/>
        <w:numPr>
          <w:ilvl w:val="0"/>
          <w:numId w:val="29"/>
        </w:numPr>
        <w:jc w:val="both"/>
        <w:rPr>
          <w:rFonts w:ascii="Times New Roman" w:hAnsi="Times New Roman"/>
          <w:bCs/>
          <w:sz w:val="24"/>
          <w:szCs w:val="24"/>
        </w:rPr>
      </w:pPr>
      <w:r>
        <w:rPr>
          <w:rFonts w:ascii="Times New Roman" w:hAnsi="Times New Roman"/>
          <w:bCs/>
          <w:sz w:val="24"/>
          <w:szCs w:val="24"/>
        </w:rPr>
        <w:t>Identificación y armonización de diversas fuentes de información</w:t>
      </w:r>
    </w:p>
    <w:p w:rsidR="00102291" w:rsidRPr="00102291" w:rsidRDefault="00BE5CEB" w:rsidP="00D552A6">
      <w:pPr>
        <w:pStyle w:val="ListParagraph"/>
        <w:numPr>
          <w:ilvl w:val="0"/>
          <w:numId w:val="29"/>
        </w:numPr>
        <w:jc w:val="both"/>
        <w:rPr>
          <w:rFonts w:ascii="Times New Roman" w:hAnsi="Times New Roman"/>
          <w:bCs/>
          <w:sz w:val="24"/>
          <w:szCs w:val="24"/>
        </w:rPr>
      </w:pPr>
      <w:r>
        <w:rPr>
          <w:rFonts w:ascii="Times New Roman" w:hAnsi="Times New Roman"/>
          <w:bCs/>
          <w:sz w:val="24"/>
          <w:szCs w:val="24"/>
        </w:rPr>
        <w:t>D</w:t>
      </w:r>
      <w:r w:rsidR="00102291" w:rsidRPr="00102291">
        <w:rPr>
          <w:rFonts w:ascii="Times New Roman" w:hAnsi="Times New Roman"/>
          <w:bCs/>
          <w:sz w:val="24"/>
          <w:szCs w:val="24"/>
        </w:rPr>
        <w:t>efinición de</w:t>
      </w:r>
      <w:r w:rsidR="00B37D8A" w:rsidRPr="00102291">
        <w:rPr>
          <w:rFonts w:ascii="Times New Roman" w:hAnsi="Times New Roman"/>
          <w:bCs/>
          <w:sz w:val="24"/>
          <w:szCs w:val="24"/>
        </w:rPr>
        <w:t xml:space="preserve"> los principales beneficios directos</w:t>
      </w:r>
      <w:r w:rsidR="00102291" w:rsidRPr="00102291">
        <w:rPr>
          <w:rFonts w:ascii="Times New Roman" w:hAnsi="Times New Roman"/>
          <w:bCs/>
          <w:sz w:val="24"/>
          <w:szCs w:val="24"/>
        </w:rPr>
        <w:t xml:space="preserve"> y</w:t>
      </w:r>
      <w:r w:rsidR="00B37D8A" w:rsidRPr="00102291">
        <w:rPr>
          <w:rFonts w:ascii="Times New Roman" w:hAnsi="Times New Roman"/>
          <w:bCs/>
          <w:sz w:val="24"/>
          <w:szCs w:val="24"/>
        </w:rPr>
        <w:t xml:space="preserve"> costos directos; beneficios indirectos y costos indirectos</w:t>
      </w:r>
      <w:r>
        <w:rPr>
          <w:rFonts w:ascii="Times New Roman" w:hAnsi="Times New Roman"/>
          <w:bCs/>
          <w:sz w:val="24"/>
          <w:szCs w:val="24"/>
        </w:rPr>
        <w:t xml:space="preserve"> en base a la Matriz de Resultados proporcionada por el BID</w:t>
      </w:r>
      <w:r w:rsidR="00B37D8A" w:rsidRPr="00102291">
        <w:rPr>
          <w:rFonts w:ascii="Times New Roman" w:hAnsi="Times New Roman"/>
          <w:bCs/>
          <w:sz w:val="24"/>
          <w:szCs w:val="24"/>
        </w:rPr>
        <w:t xml:space="preserve">. </w:t>
      </w:r>
      <w:r w:rsidR="00102291" w:rsidRPr="00102291">
        <w:rPr>
          <w:rFonts w:ascii="Times New Roman" w:hAnsi="Times New Roman"/>
          <w:sz w:val="24"/>
        </w:rPr>
        <w:t xml:space="preserve">Entre los primeros se cuentan, por ejemplo, el ingreso por alquileres y cobro de expensas y por licitación de terrenos. Dentro de los beneficios indirectos se encuentra por ejemplo el aumento en la facturación de empresas tecnológicas, la creación de firmas del sector TIC, la reducción de costos de logística y la reducción de los accidentes de tránsito y la disminución de los costos de cuidado de la salud vinculados a la contaminación vehicular. </w:t>
      </w:r>
    </w:p>
    <w:p w:rsidR="00102291" w:rsidRDefault="00102291" w:rsidP="00D552A6">
      <w:pPr>
        <w:pStyle w:val="ListParagraph"/>
        <w:numPr>
          <w:ilvl w:val="0"/>
          <w:numId w:val="29"/>
        </w:numPr>
        <w:jc w:val="both"/>
        <w:rPr>
          <w:rFonts w:ascii="Times New Roman" w:hAnsi="Times New Roman"/>
          <w:bCs/>
          <w:sz w:val="24"/>
          <w:szCs w:val="24"/>
        </w:rPr>
      </w:pPr>
      <w:r>
        <w:rPr>
          <w:rFonts w:ascii="Times New Roman" w:hAnsi="Times New Roman"/>
          <w:bCs/>
          <w:sz w:val="24"/>
          <w:szCs w:val="24"/>
        </w:rPr>
        <w:t>C</w:t>
      </w:r>
      <w:r w:rsidR="00B37D8A" w:rsidRPr="00102291">
        <w:rPr>
          <w:rFonts w:ascii="Times New Roman" w:hAnsi="Times New Roman"/>
          <w:bCs/>
          <w:sz w:val="24"/>
          <w:szCs w:val="24"/>
        </w:rPr>
        <w:t>uantifica</w:t>
      </w:r>
      <w:r>
        <w:rPr>
          <w:rFonts w:ascii="Times New Roman" w:hAnsi="Times New Roman"/>
          <w:bCs/>
          <w:sz w:val="24"/>
          <w:szCs w:val="24"/>
        </w:rPr>
        <w:t>ción de</w:t>
      </w:r>
      <w:r w:rsidR="00B37D8A" w:rsidRPr="00102291">
        <w:rPr>
          <w:rFonts w:ascii="Times New Roman" w:hAnsi="Times New Roman"/>
          <w:bCs/>
          <w:sz w:val="24"/>
          <w:szCs w:val="24"/>
        </w:rPr>
        <w:t xml:space="preserve"> </w:t>
      </w:r>
      <w:r>
        <w:rPr>
          <w:rFonts w:ascii="Times New Roman" w:hAnsi="Times New Roman"/>
          <w:bCs/>
          <w:sz w:val="24"/>
          <w:szCs w:val="24"/>
        </w:rPr>
        <w:t>los beneficios y costos</w:t>
      </w:r>
      <w:r w:rsidR="00B37D8A" w:rsidRPr="00102291">
        <w:rPr>
          <w:rFonts w:ascii="Times New Roman" w:hAnsi="Times New Roman"/>
          <w:bCs/>
          <w:sz w:val="24"/>
          <w:szCs w:val="24"/>
        </w:rPr>
        <w:t xml:space="preserve"> para los que se co</w:t>
      </w:r>
      <w:r>
        <w:rPr>
          <w:rFonts w:ascii="Times New Roman" w:hAnsi="Times New Roman"/>
          <w:bCs/>
          <w:sz w:val="24"/>
          <w:szCs w:val="24"/>
        </w:rPr>
        <w:t>ntó con información fehaciente (p</w:t>
      </w:r>
      <w:r w:rsidR="00B37D8A" w:rsidRPr="00102291">
        <w:rPr>
          <w:rFonts w:ascii="Times New Roman" w:hAnsi="Times New Roman"/>
          <w:bCs/>
          <w:sz w:val="24"/>
          <w:szCs w:val="24"/>
        </w:rPr>
        <w:t>ara el caso de aquellos datos no disponibles, se contacto a la contraparte solicitando información específica</w:t>
      </w:r>
      <w:r>
        <w:rPr>
          <w:rFonts w:ascii="Times New Roman" w:hAnsi="Times New Roman"/>
          <w:bCs/>
          <w:sz w:val="24"/>
          <w:szCs w:val="24"/>
        </w:rPr>
        <w:t>)</w:t>
      </w:r>
      <w:r w:rsidR="00E0329C" w:rsidRPr="00102291">
        <w:rPr>
          <w:rFonts w:ascii="Times New Roman" w:hAnsi="Times New Roman"/>
          <w:bCs/>
          <w:sz w:val="24"/>
          <w:szCs w:val="24"/>
        </w:rPr>
        <w:t xml:space="preserve">. </w:t>
      </w:r>
    </w:p>
    <w:p w:rsidR="00102291" w:rsidRDefault="00102291" w:rsidP="00D552A6">
      <w:pPr>
        <w:pStyle w:val="ListParagraph"/>
        <w:numPr>
          <w:ilvl w:val="0"/>
          <w:numId w:val="29"/>
        </w:numPr>
        <w:jc w:val="both"/>
        <w:rPr>
          <w:rFonts w:ascii="Times New Roman" w:hAnsi="Times New Roman"/>
          <w:bCs/>
          <w:sz w:val="24"/>
          <w:szCs w:val="24"/>
        </w:rPr>
      </w:pPr>
      <w:r>
        <w:rPr>
          <w:rFonts w:ascii="Times New Roman" w:hAnsi="Times New Roman"/>
          <w:bCs/>
          <w:sz w:val="24"/>
          <w:szCs w:val="24"/>
        </w:rPr>
        <w:t>C</w:t>
      </w:r>
      <w:r w:rsidR="00B37D8A" w:rsidRPr="00102291">
        <w:rPr>
          <w:rFonts w:ascii="Times New Roman" w:hAnsi="Times New Roman"/>
          <w:bCs/>
          <w:sz w:val="24"/>
          <w:szCs w:val="24"/>
        </w:rPr>
        <w:t xml:space="preserve">álculo del VAN y la TIR para determinar la viabilidad del Programa de crédito para el desarrollo de Mendoza Tecnológica y de sus principales componentes y subcomponentes. </w:t>
      </w:r>
    </w:p>
    <w:p w:rsidR="00102291" w:rsidRDefault="00102291" w:rsidP="00D552A6">
      <w:pPr>
        <w:pStyle w:val="ListParagraph"/>
        <w:numPr>
          <w:ilvl w:val="0"/>
          <w:numId w:val="29"/>
        </w:numPr>
        <w:jc w:val="both"/>
        <w:rPr>
          <w:rFonts w:ascii="Times New Roman" w:hAnsi="Times New Roman"/>
          <w:bCs/>
          <w:sz w:val="24"/>
          <w:szCs w:val="24"/>
        </w:rPr>
      </w:pPr>
      <w:r>
        <w:rPr>
          <w:rFonts w:ascii="Times New Roman" w:hAnsi="Times New Roman"/>
          <w:bCs/>
          <w:sz w:val="24"/>
          <w:szCs w:val="24"/>
        </w:rPr>
        <w:t>Análisis de</w:t>
      </w:r>
      <w:r w:rsidRPr="00102291">
        <w:rPr>
          <w:rFonts w:ascii="Times New Roman" w:hAnsi="Times New Roman"/>
          <w:bCs/>
          <w:sz w:val="24"/>
          <w:szCs w:val="24"/>
        </w:rPr>
        <w:t xml:space="preserve"> sensibili</w:t>
      </w:r>
      <w:r>
        <w:rPr>
          <w:rFonts w:ascii="Times New Roman" w:hAnsi="Times New Roman"/>
          <w:bCs/>
          <w:sz w:val="24"/>
          <w:szCs w:val="24"/>
        </w:rPr>
        <w:t>dad</w:t>
      </w:r>
      <w:r w:rsidRPr="00102291">
        <w:rPr>
          <w:rFonts w:ascii="Times New Roman" w:hAnsi="Times New Roman"/>
          <w:bCs/>
          <w:sz w:val="24"/>
          <w:szCs w:val="24"/>
        </w:rPr>
        <w:t xml:space="preserve"> las variables consideradas más relevantes a los efectos de estresar el resultado del caso base.</w:t>
      </w:r>
    </w:p>
    <w:p w:rsidR="00B37D8A" w:rsidRPr="00102291" w:rsidRDefault="00CE52E7" w:rsidP="00102291">
      <w:pPr>
        <w:jc w:val="both"/>
        <w:rPr>
          <w:rFonts w:ascii="Times New Roman" w:hAnsi="Times New Roman"/>
          <w:bCs/>
          <w:sz w:val="24"/>
          <w:szCs w:val="24"/>
        </w:rPr>
      </w:pPr>
      <w:r>
        <w:rPr>
          <w:rFonts w:ascii="Times New Roman" w:hAnsi="Times New Roman"/>
          <w:bCs/>
          <w:sz w:val="24"/>
          <w:szCs w:val="24"/>
        </w:rPr>
        <w:t xml:space="preserve">El horizonte temporal del análisis es en casi todos los casos de 20 años. En caso contrario lo explicamos al principio del análisis. </w:t>
      </w:r>
      <w:r w:rsidR="00E0329C" w:rsidRPr="00102291">
        <w:rPr>
          <w:rFonts w:ascii="Times New Roman" w:hAnsi="Times New Roman"/>
          <w:bCs/>
          <w:sz w:val="24"/>
          <w:szCs w:val="24"/>
        </w:rPr>
        <w:t xml:space="preserve">Los supuestos </w:t>
      </w:r>
      <w:r w:rsidR="00FA6661">
        <w:rPr>
          <w:rFonts w:ascii="Times New Roman" w:hAnsi="Times New Roman"/>
          <w:bCs/>
          <w:sz w:val="24"/>
          <w:szCs w:val="24"/>
        </w:rPr>
        <w:t>del análisis de</w:t>
      </w:r>
      <w:r w:rsidR="00102291">
        <w:rPr>
          <w:rFonts w:ascii="Times New Roman" w:hAnsi="Times New Roman"/>
          <w:bCs/>
          <w:sz w:val="24"/>
          <w:szCs w:val="24"/>
        </w:rPr>
        <w:t xml:space="preserve"> cada</w:t>
      </w:r>
      <w:r w:rsidR="00E0329C" w:rsidRPr="00102291">
        <w:rPr>
          <w:rFonts w:ascii="Times New Roman" w:hAnsi="Times New Roman"/>
          <w:bCs/>
          <w:sz w:val="24"/>
          <w:szCs w:val="24"/>
        </w:rPr>
        <w:t xml:space="preserve"> </w:t>
      </w:r>
      <w:r w:rsidR="00FA6661">
        <w:rPr>
          <w:rFonts w:ascii="Times New Roman" w:hAnsi="Times New Roman"/>
          <w:bCs/>
          <w:sz w:val="24"/>
          <w:szCs w:val="24"/>
        </w:rPr>
        <w:t>componente</w:t>
      </w:r>
      <w:r w:rsidR="00E0329C" w:rsidRPr="00102291">
        <w:rPr>
          <w:rFonts w:ascii="Times New Roman" w:hAnsi="Times New Roman"/>
          <w:bCs/>
          <w:sz w:val="24"/>
          <w:szCs w:val="24"/>
        </w:rPr>
        <w:t xml:space="preserve"> se explican en detalle en el documento.  </w:t>
      </w:r>
    </w:p>
    <w:p w:rsidR="00B37D8A" w:rsidRDefault="00B37D8A" w:rsidP="00900C2D">
      <w:pPr>
        <w:pStyle w:val="Heading2"/>
        <w:spacing w:after="240"/>
        <w:rPr>
          <w:rFonts w:ascii="Times New Roman" w:hAnsi="Times New Roman"/>
          <w:lang w:val="es-ES"/>
        </w:rPr>
      </w:pPr>
      <w:bookmarkStart w:id="14" w:name="_Toc362546766"/>
      <w:bookmarkStart w:id="15" w:name="_Toc362804601"/>
      <w:r w:rsidRPr="00900C2D">
        <w:rPr>
          <w:rFonts w:ascii="Times New Roman" w:hAnsi="Times New Roman"/>
          <w:lang w:val="es-ES_tradnl"/>
        </w:rPr>
        <w:t>Contenidos del trabajo</w:t>
      </w:r>
      <w:bookmarkEnd w:id="14"/>
      <w:bookmarkEnd w:id="15"/>
    </w:p>
    <w:p w:rsidR="00B37D8A" w:rsidRPr="0068043E" w:rsidRDefault="00B37D8A" w:rsidP="00D552A6">
      <w:pPr>
        <w:jc w:val="both"/>
        <w:rPr>
          <w:rFonts w:ascii="Times New Roman" w:hAnsi="Times New Roman"/>
          <w:sz w:val="24"/>
          <w:lang w:val="es-ES"/>
        </w:rPr>
      </w:pPr>
      <w:r>
        <w:rPr>
          <w:rFonts w:ascii="Times New Roman" w:hAnsi="Times New Roman"/>
          <w:sz w:val="24"/>
        </w:rPr>
        <w:t>Luego del capítulo introductorio, a</w:t>
      </w:r>
      <w:r w:rsidRPr="00E755EC">
        <w:rPr>
          <w:rFonts w:ascii="Times New Roman" w:hAnsi="Times New Roman"/>
          <w:sz w:val="24"/>
        </w:rPr>
        <w:t xml:space="preserve"> continuación se presenta</w:t>
      </w:r>
      <w:r>
        <w:rPr>
          <w:rFonts w:ascii="Times New Roman" w:hAnsi="Times New Roman"/>
          <w:sz w:val="24"/>
        </w:rPr>
        <w:t xml:space="preserve"> en el capítulo 2</w:t>
      </w:r>
      <w:r w:rsidRPr="00E755EC">
        <w:rPr>
          <w:rFonts w:ascii="Times New Roman" w:hAnsi="Times New Roman"/>
          <w:sz w:val="24"/>
        </w:rPr>
        <w:t xml:space="preserve"> </w:t>
      </w:r>
      <w:r>
        <w:rPr>
          <w:rFonts w:ascii="Times New Roman" w:hAnsi="Times New Roman"/>
          <w:sz w:val="24"/>
        </w:rPr>
        <w:t xml:space="preserve">el análisis para el subcomponente </w:t>
      </w:r>
      <w:r>
        <w:rPr>
          <w:rFonts w:ascii="Times New Roman" w:hAnsi="Times New Roman"/>
          <w:sz w:val="24"/>
          <w:lang w:val="es-ES"/>
        </w:rPr>
        <w:t xml:space="preserve">1.1 </w:t>
      </w:r>
      <w:r w:rsidRPr="00EC20F9">
        <w:rPr>
          <w:rFonts w:ascii="Times New Roman" w:hAnsi="Times New Roman"/>
          <w:sz w:val="24"/>
          <w:lang w:val="es-ES"/>
        </w:rPr>
        <w:t>Finalización de la RPN82</w:t>
      </w:r>
      <w:r>
        <w:rPr>
          <w:rFonts w:ascii="Times New Roman" w:hAnsi="Times New Roman"/>
          <w:sz w:val="24"/>
          <w:lang w:val="es-ES"/>
        </w:rPr>
        <w:t xml:space="preserve">. En el capítulo 3 los resultados del estudio del </w:t>
      </w:r>
      <w:r w:rsidRPr="00EC20F9">
        <w:rPr>
          <w:rFonts w:ascii="Times New Roman" w:hAnsi="Times New Roman"/>
          <w:sz w:val="24"/>
          <w:lang w:val="es-ES"/>
        </w:rPr>
        <w:t xml:space="preserve">Subcomponente </w:t>
      </w:r>
      <w:r>
        <w:rPr>
          <w:rFonts w:ascii="Times New Roman" w:hAnsi="Times New Roman"/>
          <w:sz w:val="24"/>
          <w:lang w:val="es-ES"/>
        </w:rPr>
        <w:t>1</w:t>
      </w:r>
      <w:r w:rsidRPr="00EC20F9">
        <w:rPr>
          <w:rFonts w:ascii="Times New Roman" w:hAnsi="Times New Roman"/>
          <w:sz w:val="24"/>
          <w:lang w:val="es-ES"/>
        </w:rPr>
        <w:t>.2  Nueva ZPA</w:t>
      </w:r>
      <w:r>
        <w:rPr>
          <w:rFonts w:ascii="Times New Roman" w:hAnsi="Times New Roman"/>
          <w:sz w:val="24"/>
          <w:lang w:val="es-ES"/>
        </w:rPr>
        <w:t xml:space="preserve">. En el capítulo 4 se presenta la evaluación del Subcomponente </w:t>
      </w:r>
      <w:r w:rsidRPr="0068043E">
        <w:rPr>
          <w:rFonts w:ascii="Times New Roman" w:hAnsi="Times New Roman"/>
          <w:sz w:val="24"/>
          <w:lang w:val="es-ES"/>
        </w:rPr>
        <w:t>2.1. Parque de Biotecn</w:t>
      </w:r>
      <w:r>
        <w:rPr>
          <w:rFonts w:ascii="Times New Roman" w:hAnsi="Times New Roman"/>
          <w:sz w:val="24"/>
          <w:lang w:val="es-ES"/>
        </w:rPr>
        <w:t xml:space="preserve">ología y Energías Renovables. En el capítulo 5 se presenta el análisis para el </w:t>
      </w:r>
      <w:r w:rsidRPr="0068043E">
        <w:rPr>
          <w:rFonts w:ascii="Times New Roman" w:hAnsi="Times New Roman"/>
          <w:sz w:val="24"/>
          <w:lang w:val="es-ES"/>
        </w:rPr>
        <w:t>Subcomponente 2.2  Polo del Conocimiento.</w:t>
      </w:r>
      <w:r>
        <w:rPr>
          <w:rFonts w:ascii="Times New Roman" w:hAnsi="Times New Roman"/>
          <w:sz w:val="24"/>
          <w:lang w:val="es-ES"/>
        </w:rPr>
        <w:t xml:space="preserve"> En el capítulo 6 se presentan las conclusiones y se realiza de manera conjunta el análisis para el agregado de los subcomponentes.</w:t>
      </w:r>
    </w:p>
    <w:bookmarkEnd w:id="7"/>
    <w:p w:rsidR="00B37D8A" w:rsidRPr="009D25F1" w:rsidRDefault="00B37D8A" w:rsidP="007A481B">
      <w:pPr>
        <w:jc w:val="both"/>
        <w:rPr>
          <w:rFonts w:ascii="Times New Roman" w:hAnsi="Times New Roman"/>
          <w:b/>
          <w:sz w:val="24"/>
          <w:szCs w:val="24"/>
        </w:rPr>
      </w:pPr>
    </w:p>
    <w:p w:rsidR="00B37D8A" w:rsidRPr="004B1E60" w:rsidRDefault="00B37D8A">
      <w:pPr>
        <w:jc w:val="both"/>
        <w:rPr>
          <w:rFonts w:ascii="Times New Roman" w:hAnsi="Times New Roman"/>
          <w:sz w:val="24"/>
          <w:szCs w:val="24"/>
          <w:lang w:val="es-ES_tradnl"/>
        </w:rPr>
      </w:pPr>
    </w:p>
    <w:p w:rsidR="00B37D8A" w:rsidRPr="009B2DA8" w:rsidRDefault="00B37D8A" w:rsidP="009B2DA8">
      <w:pPr>
        <w:pStyle w:val="Heading1"/>
        <w:jc w:val="center"/>
        <w:rPr>
          <w:rFonts w:ascii="Times New Roman" w:hAnsi="Times New Roman"/>
          <w:lang w:val="es-ES_tradnl"/>
        </w:rPr>
      </w:pPr>
      <w:bookmarkStart w:id="16" w:name="_Toc113966926"/>
      <w:bookmarkStart w:id="17" w:name="_Toc114301185"/>
      <w:bookmarkStart w:id="18" w:name="_Toc114301502"/>
      <w:r w:rsidRPr="00455687">
        <w:rPr>
          <w:szCs w:val="24"/>
          <w:lang w:val="es-ES_tradnl"/>
        </w:rPr>
        <w:br w:type="page"/>
      </w:r>
      <w:bookmarkStart w:id="19" w:name="_Toc362804602"/>
      <w:r w:rsidRPr="00455687">
        <w:rPr>
          <w:rFonts w:ascii="Times New Roman" w:hAnsi="Times New Roman"/>
          <w:lang w:val="es-ES"/>
        </w:rPr>
        <w:lastRenderedPageBreak/>
        <w:t xml:space="preserve">Capítulo 2. </w:t>
      </w:r>
      <w:bookmarkEnd w:id="16"/>
      <w:bookmarkEnd w:id="17"/>
      <w:bookmarkEnd w:id="18"/>
      <w:r w:rsidRPr="00455687">
        <w:rPr>
          <w:rFonts w:ascii="Times New Roman" w:hAnsi="Times New Roman"/>
          <w:lang w:val="es-ES_tradnl"/>
        </w:rPr>
        <w:t xml:space="preserve">Análisis costo-beneficio del Subcomponente I.i: </w:t>
      </w:r>
      <w:r w:rsidR="009B2DA8">
        <w:rPr>
          <w:rFonts w:ascii="Times New Roman" w:hAnsi="Times New Roman"/>
          <w:lang w:val="es-ES_tradnl"/>
        </w:rPr>
        <w:t xml:space="preserve">                      </w:t>
      </w:r>
      <w:r w:rsidRPr="007E0F20">
        <w:rPr>
          <w:rFonts w:ascii="Times New Roman" w:hAnsi="Times New Roman"/>
          <w:lang w:val="es-ES_tradnl"/>
        </w:rPr>
        <w:t>Finalización de la RPN82</w:t>
      </w:r>
      <w:bookmarkEnd w:id="19"/>
    </w:p>
    <w:p w:rsidR="00B37D8A" w:rsidRDefault="00B37D8A" w:rsidP="00FB2355">
      <w:pPr>
        <w:spacing w:before="240"/>
        <w:jc w:val="both"/>
        <w:rPr>
          <w:rFonts w:ascii="Times New Roman" w:hAnsi="Times New Roman"/>
          <w:sz w:val="24"/>
          <w:szCs w:val="24"/>
        </w:rPr>
      </w:pPr>
    </w:p>
    <w:p w:rsidR="00B37D8A" w:rsidRPr="00511439" w:rsidRDefault="00B37D8A" w:rsidP="00680119">
      <w:pPr>
        <w:pStyle w:val="Heading2"/>
        <w:spacing w:after="240"/>
        <w:rPr>
          <w:rFonts w:ascii="Times New Roman" w:hAnsi="Times New Roman"/>
          <w:lang w:val="es-ES_tradnl"/>
        </w:rPr>
      </w:pPr>
      <w:bookmarkStart w:id="20" w:name="_Toc362804603"/>
      <w:r w:rsidRPr="00511439">
        <w:rPr>
          <w:rFonts w:ascii="Times New Roman" w:hAnsi="Times New Roman"/>
          <w:lang w:val="es-ES_tradnl"/>
        </w:rPr>
        <w:t>Breve descripción del proyecto</w:t>
      </w:r>
      <w:bookmarkEnd w:id="20"/>
    </w:p>
    <w:p w:rsidR="00B37D8A" w:rsidRPr="006A4EB6" w:rsidRDefault="00B37D8A" w:rsidP="00680119">
      <w:pPr>
        <w:spacing w:before="240" w:after="240"/>
        <w:jc w:val="both"/>
        <w:rPr>
          <w:rFonts w:ascii="Times New Roman" w:hAnsi="Times New Roman"/>
          <w:sz w:val="24"/>
          <w:szCs w:val="24"/>
        </w:rPr>
      </w:pPr>
      <w:r w:rsidRPr="006A4EB6">
        <w:rPr>
          <w:rFonts w:ascii="Times New Roman" w:hAnsi="Times New Roman"/>
          <w:sz w:val="24"/>
          <w:szCs w:val="24"/>
        </w:rPr>
        <w:t xml:space="preserve">Este subcomponente constituye la mejora más ambiciosa de infraestructura que se prevé implementar en el marco del Programa de Crédito para el Desarrollo de Mendoza Tecnológica. El proyecto tiene un costo de 51.4 millones de dólares, de los cuales </w:t>
      </w:r>
      <w:r>
        <w:rPr>
          <w:rFonts w:ascii="Times New Roman" w:hAnsi="Times New Roman"/>
          <w:sz w:val="24"/>
          <w:szCs w:val="24"/>
        </w:rPr>
        <w:t xml:space="preserve">USD </w:t>
      </w:r>
      <w:r w:rsidRPr="006A4EB6">
        <w:rPr>
          <w:rFonts w:ascii="Times New Roman" w:hAnsi="Times New Roman"/>
          <w:sz w:val="24"/>
          <w:szCs w:val="24"/>
        </w:rPr>
        <w:t xml:space="preserve">27.4 </w:t>
      </w:r>
      <w:r>
        <w:rPr>
          <w:rFonts w:ascii="Times New Roman" w:hAnsi="Times New Roman"/>
          <w:sz w:val="24"/>
          <w:szCs w:val="24"/>
        </w:rPr>
        <w:t xml:space="preserve">millones </w:t>
      </w:r>
      <w:r w:rsidRPr="006A4EB6">
        <w:rPr>
          <w:rFonts w:ascii="Times New Roman" w:hAnsi="Times New Roman"/>
          <w:sz w:val="24"/>
          <w:szCs w:val="24"/>
        </w:rPr>
        <w:t xml:space="preserve">los proporcionará el BID y </w:t>
      </w:r>
      <w:r>
        <w:rPr>
          <w:rFonts w:ascii="Times New Roman" w:hAnsi="Times New Roman"/>
          <w:sz w:val="24"/>
          <w:szCs w:val="24"/>
        </w:rPr>
        <w:t xml:space="preserve">USD </w:t>
      </w:r>
      <w:r w:rsidRPr="006A4EB6">
        <w:rPr>
          <w:rFonts w:ascii="Times New Roman" w:hAnsi="Times New Roman"/>
          <w:sz w:val="24"/>
          <w:szCs w:val="24"/>
        </w:rPr>
        <w:t xml:space="preserve">24 </w:t>
      </w:r>
      <w:r>
        <w:rPr>
          <w:rFonts w:ascii="Times New Roman" w:hAnsi="Times New Roman"/>
          <w:sz w:val="24"/>
          <w:szCs w:val="24"/>
        </w:rPr>
        <w:t xml:space="preserve">millones </w:t>
      </w:r>
      <w:r w:rsidRPr="006A4EB6">
        <w:rPr>
          <w:rFonts w:ascii="Times New Roman" w:hAnsi="Times New Roman"/>
          <w:sz w:val="24"/>
          <w:szCs w:val="24"/>
        </w:rPr>
        <w:t xml:space="preserve">el Gobierno de Mendoza. Se trata de la </w:t>
      </w:r>
      <w:r>
        <w:rPr>
          <w:rFonts w:ascii="Times New Roman" w:hAnsi="Times New Roman"/>
          <w:sz w:val="24"/>
          <w:szCs w:val="24"/>
        </w:rPr>
        <w:t xml:space="preserve">finalización de la </w:t>
      </w:r>
      <w:r w:rsidRPr="006A4EB6">
        <w:rPr>
          <w:rFonts w:ascii="Times New Roman" w:hAnsi="Times New Roman"/>
          <w:sz w:val="24"/>
          <w:szCs w:val="24"/>
        </w:rPr>
        <w:t xml:space="preserve">construcción </w:t>
      </w:r>
      <w:r>
        <w:rPr>
          <w:rFonts w:ascii="Times New Roman" w:hAnsi="Times New Roman"/>
          <w:sz w:val="24"/>
          <w:szCs w:val="24"/>
        </w:rPr>
        <w:t>de la RPN82 que conecta</w:t>
      </w:r>
      <w:r w:rsidRPr="006A4EB6">
        <w:rPr>
          <w:rFonts w:ascii="Times New Roman" w:hAnsi="Times New Roman"/>
          <w:sz w:val="24"/>
          <w:szCs w:val="24"/>
        </w:rPr>
        <w:t>, a través de un túnel, el camino del Perilago del Dique Potrerillos con la Sección I de la Ruta Provincial Nº82 (RP</w:t>
      </w:r>
      <w:r>
        <w:rPr>
          <w:rFonts w:ascii="Times New Roman" w:hAnsi="Times New Roman"/>
          <w:sz w:val="24"/>
          <w:szCs w:val="24"/>
        </w:rPr>
        <w:t>N</w:t>
      </w:r>
      <w:r w:rsidRPr="006A4EB6">
        <w:rPr>
          <w:rFonts w:ascii="Times New Roman" w:hAnsi="Times New Roman"/>
          <w:sz w:val="24"/>
          <w:szCs w:val="24"/>
        </w:rPr>
        <w:t xml:space="preserve">82). La misma apunta a la utilización completa de la mencionada Ruta. Esta obra, que conectará la </w:t>
      </w:r>
      <w:r>
        <w:rPr>
          <w:rFonts w:ascii="Times New Roman" w:hAnsi="Times New Roman"/>
          <w:sz w:val="24"/>
          <w:szCs w:val="24"/>
        </w:rPr>
        <w:t>RPN82</w:t>
      </w:r>
      <w:r w:rsidRPr="006A4EB6">
        <w:rPr>
          <w:rFonts w:ascii="Times New Roman" w:hAnsi="Times New Roman"/>
          <w:sz w:val="24"/>
          <w:szCs w:val="24"/>
        </w:rPr>
        <w:t xml:space="preserve"> con la Ruta </w:t>
      </w:r>
      <w:r>
        <w:rPr>
          <w:rFonts w:ascii="Times New Roman" w:hAnsi="Times New Roman"/>
          <w:sz w:val="24"/>
          <w:szCs w:val="24"/>
        </w:rPr>
        <w:t>Nacional/</w:t>
      </w:r>
      <w:r w:rsidRPr="006A4EB6">
        <w:rPr>
          <w:rFonts w:ascii="Times New Roman" w:hAnsi="Times New Roman"/>
          <w:sz w:val="24"/>
          <w:szCs w:val="24"/>
        </w:rPr>
        <w:t>Internacional Nº7 (R</w:t>
      </w:r>
      <w:r>
        <w:rPr>
          <w:rFonts w:ascii="Times New Roman" w:hAnsi="Times New Roman"/>
          <w:sz w:val="24"/>
          <w:szCs w:val="24"/>
        </w:rPr>
        <w:t>N</w:t>
      </w:r>
      <w:r w:rsidRPr="006A4EB6">
        <w:rPr>
          <w:rFonts w:ascii="Times New Roman" w:hAnsi="Times New Roman"/>
          <w:sz w:val="24"/>
          <w:szCs w:val="24"/>
        </w:rPr>
        <w:t xml:space="preserve">7) a través de un camino con un perfil eminentemente turístico, tiene una longitud aproximada de </w:t>
      </w:r>
      <w:r>
        <w:rPr>
          <w:rFonts w:ascii="Times New Roman" w:hAnsi="Times New Roman"/>
          <w:sz w:val="24"/>
          <w:szCs w:val="24"/>
        </w:rPr>
        <w:t>2300</w:t>
      </w:r>
      <w:r w:rsidRPr="006A4EB6">
        <w:rPr>
          <w:rFonts w:ascii="Times New Roman" w:hAnsi="Times New Roman"/>
          <w:sz w:val="24"/>
          <w:szCs w:val="24"/>
        </w:rPr>
        <w:t xml:space="preserve"> metros, </w:t>
      </w:r>
      <w:r>
        <w:rPr>
          <w:rFonts w:ascii="Times New Roman" w:hAnsi="Times New Roman"/>
          <w:sz w:val="24"/>
          <w:szCs w:val="24"/>
        </w:rPr>
        <w:t xml:space="preserve">incluido un </w:t>
      </w:r>
      <w:r w:rsidRPr="006A4EB6">
        <w:rPr>
          <w:rFonts w:ascii="Times New Roman" w:hAnsi="Times New Roman"/>
          <w:sz w:val="24"/>
          <w:szCs w:val="24"/>
        </w:rPr>
        <w:t xml:space="preserve">túnel y </w:t>
      </w:r>
      <w:r>
        <w:rPr>
          <w:rFonts w:ascii="Times New Roman" w:hAnsi="Times New Roman"/>
          <w:sz w:val="24"/>
          <w:szCs w:val="24"/>
        </w:rPr>
        <w:t>dos cobertizos</w:t>
      </w:r>
      <w:r w:rsidRPr="006A4EB6">
        <w:rPr>
          <w:rFonts w:ascii="Times New Roman" w:hAnsi="Times New Roman"/>
          <w:sz w:val="24"/>
          <w:szCs w:val="24"/>
        </w:rPr>
        <w:t xml:space="preserve">. En la actualidad, la única vía utilizada para acceder al Embalse Potrerillos y zonas aledañas desde el Gran Mendoza es la </w:t>
      </w:r>
      <w:r>
        <w:rPr>
          <w:rFonts w:ascii="Times New Roman" w:hAnsi="Times New Roman"/>
          <w:sz w:val="24"/>
          <w:szCs w:val="24"/>
        </w:rPr>
        <w:t>RN7</w:t>
      </w:r>
      <w:r w:rsidRPr="006A4EB6">
        <w:rPr>
          <w:rFonts w:ascii="Times New Roman" w:hAnsi="Times New Roman"/>
          <w:sz w:val="24"/>
          <w:szCs w:val="24"/>
        </w:rPr>
        <w:t xml:space="preserve">, que forma parte del corredor bioceánico hacia Chile y es el paso obligado de todo el tránsito pesado que se dirige al país vecino. Esto genera dificultades derivadas del uso conjunto de la ruta por parte de los vehículos livianos y el tránsito de carga. Asimismo, la construcción del Embalse Potrerillos ha generado una discontinuidad en la </w:t>
      </w:r>
      <w:r>
        <w:rPr>
          <w:rFonts w:ascii="Times New Roman" w:hAnsi="Times New Roman"/>
          <w:sz w:val="24"/>
          <w:szCs w:val="24"/>
        </w:rPr>
        <w:t>RPN82</w:t>
      </w:r>
      <w:r w:rsidRPr="006A4EB6">
        <w:rPr>
          <w:rFonts w:ascii="Times New Roman" w:hAnsi="Times New Roman"/>
          <w:sz w:val="24"/>
          <w:szCs w:val="24"/>
        </w:rPr>
        <w:t>, de tal forma que algunas localidades</w:t>
      </w:r>
      <w:r w:rsidRPr="00AC7CA0">
        <w:rPr>
          <w:rStyle w:val="FootnoteReference"/>
          <w:vertAlign w:val="superscript"/>
        </w:rPr>
        <w:footnoteReference w:id="1"/>
      </w:r>
      <w:r w:rsidRPr="006A4EB6">
        <w:rPr>
          <w:rFonts w:ascii="Times New Roman" w:hAnsi="Times New Roman"/>
          <w:sz w:val="24"/>
          <w:szCs w:val="24"/>
        </w:rPr>
        <w:t xml:space="preserve"> han quedado incomunicadas de la villa cabecera de Potrerillos, dificultando la vida diaria de sus habitantes. Con la realización del proyecto se logrará conectar nuevamente estos centros poblados a través de la nueva traza de la </w:t>
      </w:r>
      <w:r>
        <w:rPr>
          <w:rFonts w:ascii="Times New Roman" w:hAnsi="Times New Roman"/>
          <w:sz w:val="24"/>
          <w:szCs w:val="24"/>
        </w:rPr>
        <w:t>RPN82</w:t>
      </w:r>
      <w:r w:rsidRPr="006A4EB6">
        <w:rPr>
          <w:rFonts w:ascii="Times New Roman" w:hAnsi="Times New Roman"/>
          <w:sz w:val="24"/>
          <w:szCs w:val="24"/>
        </w:rPr>
        <w:t xml:space="preserve">, acortando significativamente las distancias que sus pobladores deberán recorrer para acceder a los diversos servicios básicos que se brindan en la Villa de Potrerillos, al tiempo que se ofrecerá una vía alternativa a la </w:t>
      </w:r>
      <w:r>
        <w:rPr>
          <w:rFonts w:ascii="Times New Roman" w:hAnsi="Times New Roman"/>
          <w:sz w:val="24"/>
          <w:szCs w:val="24"/>
        </w:rPr>
        <w:t>RN7</w:t>
      </w:r>
      <w:r w:rsidRPr="006A4EB6">
        <w:rPr>
          <w:rFonts w:ascii="Times New Roman" w:hAnsi="Times New Roman"/>
          <w:sz w:val="24"/>
          <w:szCs w:val="24"/>
        </w:rPr>
        <w:t xml:space="preserve"> para quienes circulan en vehículos livianos.</w:t>
      </w:r>
    </w:p>
    <w:p w:rsidR="00B37D8A" w:rsidRPr="006A4EB6" w:rsidRDefault="00B37D8A" w:rsidP="006A4EB6">
      <w:pPr>
        <w:jc w:val="both"/>
        <w:rPr>
          <w:rFonts w:ascii="Times New Roman" w:hAnsi="Times New Roman"/>
          <w:sz w:val="24"/>
          <w:szCs w:val="24"/>
        </w:rPr>
      </w:pPr>
      <w:r w:rsidRPr="006A4EB6">
        <w:rPr>
          <w:rFonts w:ascii="Times New Roman" w:hAnsi="Times New Roman"/>
          <w:sz w:val="24"/>
          <w:szCs w:val="24"/>
        </w:rPr>
        <w:t xml:space="preserve">Este proyecto está debidamente explicado y justificado en los documentos proporcionados por los oficiales a cargo. El diseño del proyecto de la ruta contempla aspectos técnicos y económicos. Dentro del primer grupo, se han analizado cuestiones de diseño, como la velocidad de los vehículos, la topografía, la geología de la zona que atraviesa, y la hidrología. Dentro del segundo grupo, se han tenido en cuenta el trazado que produce los mayores beneficios para el usuario al menor costo posible. Las condiciones que se impusieron a la nueva configuración de la traza fueron las de mantener inalteradas las características naturales emplazadas sobre la margen derecha del embalse Potrerillos en el marco de una región de paisajes naturales de excepción. </w:t>
      </w:r>
    </w:p>
    <w:p w:rsidR="00B37D8A" w:rsidRDefault="00FA6661" w:rsidP="002D5707">
      <w:pPr>
        <w:jc w:val="both"/>
        <w:rPr>
          <w:rFonts w:ascii="Times New Roman" w:hAnsi="Times New Roman"/>
          <w:sz w:val="24"/>
          <w:szCs w:val="24"/>
        </w:rPr>
      </w:pPr>
      <w:r>
        <w:rPr>
          <w:rFonts w:ascii="Times New Roman" w:hAnsi="Times New Roman"/>
          <w:sz w:val="24"/>
          <w:szCs w:val="24"/>
        </w:rPr>
        <w:t xml:space="preserve">En el corto plazo el trazado de este nuevo tramo de la RPN82 ayudará a: </w:t>
      </w:r>
      <w:r w:rsidR="00B37D8A">
        <w:rPr>
          <w:rFonts w:ascii="Times New Roman" w:hAnsi="Times New Roman"/>
          <w:sz w:val="24"/>
          <w:szCs w:val="24"/>
        </w:rPr>
        <w:t xml:space="preserve">i) </w:t>
      </w:r>
      <w:r w:rsidR="00B37D8A" w:rsidRPr="006A4EB6">
        <w:rPr>
          <w:rFonts w:ascii="Times New Roman" w:hAnsi="Times New Roman"/>
          <w:sz w:val="24"/>
          <w:szCs w:val="24"/>
        </w:rPr>
        <w:t xml:space="preserve">simplificar y reducir los </w:t>
      </w:r>
      <w:r>
        <w:rPr>
          <w:rFonts w:ascii="Times New Roman" w:hAnsi="Times New Roman"/>
          <w:sz w:val="24"/>
          <w:szCs w:val="24"/>
        </w:rPr>
        <w:t xml:space="preserve">significativamente </w:t>
      </w:r>
      <w:r w:rsidR="00B37D8A" w:rsidRPr="006A4EB6">
        <w:rPr>
          <w:rFonts w:ascii="Times New Roman" w:hAnsi="Times New Roman"/>
          <w:sz w:val="24"/>
          <w:szCs w:val="24"/>
        </w:rPr>
        <w:t>costos del gobierno a través de una reducción de las tareas de mantenimiento de la ruta</w:t>
      </w:r>
      <w:r w:rsidR="00B37D8A">
        <w:rPr>
          <w:rFonts w:ascii="Times New Roman" w:hAnsi="Times New Roman"/>
          <w:sz w:val="24"/>
          <w:szCs w:val="24"/>
        </w:rPr>
        <w:t xml:space="preserve">, y ii) </w:t>
      </w:r>
      <w:r w:rsidR="00B37D8A" w:rsidRPr="006A4EB6">
        <w:rPr>
          <w:rFonts w:ascii="Times New Roman" w:hAnsi="Times New Roman"/>
          <w:sz w:val="24"/>
          <w:szCs w:val="24"/>
        </w:rPr>
        <w:t xml:space="preserve">mejorar la calidad de vida de los de los pobladores de la Villa de Potrerillos, al reconectar </w:t>
      </w:r>
      <w:r w:rsidR="00B37D8A" w:rsidRPr="006A4EB6">
        <w:rPr>
          <w:rFonts w:ascii="Times New Roman" w:hAnsi="Times New Roman"/>
          <w:sz w:val="24"/>
          <w:szCs w:val="24"/>
        </w:rPr>
        <w:lastRenderedPageBreak/>
        <w:t xml:space="preserve">pueblos aislados y reducir el tiempo, costo y riesgos de traslado entre sus localidades de residencia y Gran Mendoza. </w:t>
      </w:r>
      <w:r>
        <w:rPr>
          <w:rFonts w:ascii="Times New Roman" w:hAnsi="Times New Roman"/>
          <w:sz w:val="24"/>
          <w:szCs w:val="24"/>
        </w:rPr>
        <w:t>A</w:t>
      </w:r>
      <w:r w:rsidR="00B37D8A">
        <w:rPr>
          <w:rFonts w:ascii="Times New Roman" w:hAnsi="Times New Roman"/>
          <w:sz w:val="24"/>
          <w:szCs w:val="24"/>
        </w:rPr>
        <w:t xml:space="preserve"> </w:t>
      </w:r>
      <w:r w:rsidR="00B37D8A" w:rsidRPr="006A4EB6">
        <w:rPr>
          <w:rFonts w:ascii="Times New Roman" w:hAnsi="Times New Roman"/>
          <w:sz w:val="24"/>
          <w:szCs w:val="24"/>
        </w:rPr>
        <w:t>mediano y largo plazo</w:t>
      </w:r>
      <w:r w:rsidR="00B37D8A">
        <w:rPr>
          <w:rFonts w:ascii="Times New Roman" w:hAnsi="Times New Roman"/>
          <w:sz w:val="24"/>
          <w:szCs w:val="24"/>
        </w:rPr>
        <w:t xml:space="preserve">, </w:t>
      </w:r>
      <w:r>
        <w:rPr>
          <w:rFonts w:ascii="Times New Roman" w:hAnsi="Times New Roman"/>
          <w:sz w:val="24"/>
          <w:szCs w:val="24"/>
        </w:rPr>
        <w:t>se espera que ésta obra ayude a</w:t>
      </w:r>
      <w:r w:rsidR="00B37D8A" w:rsidRPr="006A4EB6">
        <w:rPr>
          <w:rFonts w:ascii="Times New Roman" w:hAnsi="Times New Roman"/>
          <w:sz w:val="24"/>
          <w:szCs w:val="24"/>
        </w:rPr>
        <w:t xml:space="preserve"> incrementar la competitividad del tejido empresarial y </w:t>
      </w:r>
      <w:r>
        <w:rPr>
          <w:rFonts w:ascii="Times New Roman" w:hAnsi="Times New Roman"/>
          <w:sz w:val="24"/>
          <w:szCs w:val="24"/>
        </w:rPr>
        <w:t xml:space="preserve">a </w:t>
      </w:r>
      <w:r w:rsidR="00B37D8A" w:rsidRPr="006A4EB6">
        <w:rPr>
          <w:rFonts w:ascii="Times New Roman" w:hAnsi="Times New Roman"/>
          <w:sz w:val="24"/>
          <w:szCs w:val="24"/>
        </w:rPr>
        <w:t xml:space="preserve">aumentar la capacidad exportadora e importadora provincial, mediante la modernización y cohesión del sector transporte, el fomento a la inversión y la dinamización de la actividad turística. </w:t>
      </w:r>
    </w:p>
    <w:p w:rsidR="00B37D8A" w:rsidRPr="00511439" w:rsidRDefault="00B37D8A" w:rsidP="00795D5F">
      <w:pPr>
        <w:pStyle w:val="Heading2"/>
        <w:spacing w:after="240"/>
        <w:rPr>
          <w:rFonts w:ascii="Times New Roman" w:hAnsi="Times New Roman"/>
          <w:lang w:val="es-ES_tradnl"/>
        </w:rPr>
      </w:pPr>
      <w:bookmarkStart w:id="21" w:name="_Toc362804604"/>
      <w:r w:rsidRPr="00511439">
        <w:rPr>
          <w:rFonts w:ascii="Times New Roman" w:hAnsi="Times New Roman"/>
          <w:lang w:val="es-ES_tradnl"/>
        </w:rPr>
        <w:t>Estimación de beneficios y costos</w:t>
      </w:r>
      <w:bookmarkEnd w:id="21"/>
    </w:p>
    <w:p w:rsidR="00B37D8A" w:rsidRPr="00BA5392" w:rsidRDefault="00B37D8A" w:rsidP="00455687">
      <w:pPr>
        <w:spacing w:after="240"/>
        <w:jc w:val="both"/>
        <w:rPr>
          <w:rFonts w:ascii="Times New Roman" w:hAnsi="Times New Roman"/>
          <w:sz w:val="24"/>
        </w:rPr>
      </w:pPr>
      <w:r w:rsidRPr="00BA5392">
        <w:rPr>
          <w:rFonts w:ascii="Times New Roman" w:hAnsi="Times New Roman"/>
          <w:sz w:val="24"/>
        </w:rPr>
        <w:t>Para la estimación de costos y beneficios de este componente nos concentramos en los costos y beneficios de corto plazo ya que son los que pue</w:t>
      </w:r>
      <w:r w:rsidR="00F8684A">
        <w:rPr>
          <w:rFonts w:ascii="Times New Roman" w:hAnsi="Times New Roman"/>
          <w:sz w:val="24"/>
        </w:rPr>
        <w:t>den medirse con mayor precisión. Estos incluyen los siguientes dos beneficios:</w:t>
      </w:r>
    </w:p>
    <w:p w:rsidR="00B37D8A" w:rsidRPr="00BA5392" w:rsidRDefault="00B37D8A" w:rsidP="00455687">
      <w:pPr>
        <w:spacing w:after="240"/>
        <w:jc w:val="both"/>
        <w:rPr>
          <w:rFonts w:ascii="Times New Roman" w:hAnsi="Times New Roman"/>
          <w:sz w:val="24"/>
        </w:rPr>
      </w:pPr>
      <w:r w:rsidRPr="00BA5392">
        <w:rPr>
          <w:rFonts w:ascii="Times New Roman" w:hAnsi="Times New Roman"/>
          <w:sz w:val="24"/>
        </w:rPr>
        <w:t>1)</w:t>
      </w:r>
      <w:r w:rsidRPr="00BA5392">
        <w:rPr>
          <w:rFonts w:ascii="Times New Roman" w:hAnsi="Times New Roman"/>
          <w:sz w:val="24"/>
        </w:rPr>
        <w:tab/>
      </w:r>
      <w:r w:rsidR="00F8684A">
        <w:rPr>
          <w:rFonts w:ascii="Times New Roman" w:hAnsi="Times New Roman"/>
          <w:sz w:val="24"/>
        </w:rPr>
        <w:t>R</w:t>
      </w:r>
      <w:r w:rsidRPr="00BA5392">
        <w:rPr>
          <w:rFonts w:ascii="Times New Roman" w:hAnsi="Times New Roman"/>
          <w:sz w:val="24"/>
        </w:rPr>
        <w:t>educción de costos de mantenimiento de rutas</w:t>
      </w:r>
      <w:r w:rsidR="00F8684A">
        <w:rPr>
          <w:rFonts w:ascii="Times New Roman" w:hAnsi="Times New Roman"/>
          <w:sz w:val="24"/>
        </w:rPr>
        <w:t xml:space="preserve"> y,</w:t>
      </w:r>
    </w:p>
    <w:p w:rsidR="00B37D8A" w:rsidRPr="00BA5392" w:rsidRDefault="00B37D8A" w:rsidP="00455687">
      <w:pPr>
        <w:spacing w:after="240"/>
        <w:jc w:val="both"/>
        <w:rPr>
          <w:rFonts w:ascii="Times New Roman" w:hAnsi="Times New Roman"/>
          <w:sz w:val="24"/>
        </w:rPr>
      </w:pPr>
      <w:r w:rsidRPr="00BA5392">
        <w:rPr>
          <w:rFonts w:ascii="Times New Roman" w:hAnsi="Times New Roman"/>
          <w:sz w:val="24"/>
        </w:rPr>
        <w:t>2)</w:t>
      </w:r>
      <w:r w:rsidRPr="00BA5392">
        <w:rPr>
          <w:rFonts w:ascii="Times New Roman" w:hAnsi="Times New Roman"/>
          <w:sz w:val="24"/>
        </w:rPr>
        <w:tab/>
      </w:r>
      <w:r w:rsidR="00F8684A">
        <w:rPr>
          <w:rFonts w:ascii="Times New Roman" w:hAnsi="Times New Roman"/>
          <w:sz w:val="24"/>
        </w:rPr>
        <w:t>A</w:t>
      </w:r>
      <w:r w:rsidRPr="00BA5392">
        <w:rPr>
          <w:rFonts w:ascii="Times New Roman" w:hAnsi="Times New Roman"/>
          <w:sz w:val="24"/>
        </w:rPr>
        <w:t>horro en costos de operación vehicular y costos de tiempo de los usuarios del camino, en asociación a la reducción de la distancia entre el Gran Mendoza y la zona de Potrerillos de aproximadamente 18 km</w:t>
      </w:r>
      <w:r w:rsidRPr="00BA5392">
        <w:rPr>
          <w:rStyle w:val="FootnoteReference"/>
          <w:rFonts w:ascii="Times New Roman" w:hAnsi="Times New Roman"/>
          <w:spacing w:val="-2"/>
          <w:sz w:val="24"/>
          <w:szCs w:val="24"/>
          <w:vertAlign w:val="superscript"/>
          <w:lang w:val="es-ES_tradnl"/>
        </w:rPr>
        <w:footnoteReference w:id="2"/>
      </w:r>
      <w:r w:rsidRPr="00BA5392">
        <w:rPr>
          <w:rFonts w:ascii="Times New Roman" w:hAnsi="Times New Roman"/>
          <w:sz w:val="24"/>
        </w:rPr>
        <w:t>.</w:t>
      </w:r>
    </w:p>
    <w:p w:rsidR="00B37D8A" w:rsidRPr="00BA5392" w:rsidRDefault="00B37D8A" w:rsidP="00455687">
      <w:pPr>
        <w:spacing w:after="240"/>
        <w:jc w:val="both"/>
        <w:rPr>
          <w:rFonts w:ascii="Times New Roman" w:hAnsi="Times New Roman"/>
          <w:sz w:val="24"/>
        </w:rPr>
      </w:pPr>
      <w:r w:rsidRPr="00BA5392">
        <w:rPr>
          <w:rFonts w:ascii="Times New Roman" w:hAnsi="Times New Roman"/>
          <w:sz w:val="24"/>
        </w:rPr>
        <w:t>Los principales costos asociados a la obra incluyen los costos de realización de las obras de construcción de la ruta</w:t>
      </w:r>
      <w:r>
        <w:rPr>
          <w:rFonts w:ascii="Times New Roman" w:hAnsi="Times New Roman"/>
          <w:sz w:val="24"/>
        </w:rPr>
        <w:t xml:space="preserve"> y un </w:t>
      </w:r>
      <w:r w:rsidRPr="00BA5392">
        <w:rPr>
          <w:rFonts w:ascii="Times New Roman" w:hAnsi="Times New Roman"/>
          <w:sz w:val="24"/>
        </w:rPr>
        <w:t xml:space="preserve">túnel, así como de su mantenimiento. </w:t>
      </w:r>
    </w:p>
    <w:p w:rsidR="00B37D8A" w:rsidRPr="00BA5392" w:rsidRDefault="00B37D8A" w:rsidP="00455687">
      <w:pPr>
        <w:spacing w:after="240"/>
        <w:jc w:val="both"/>
        <w:rPr>
          <w:rFonts w:ascii="Times New Roman" w:hAnsi="Times New Roman"/>
          <w:sz w:val="24"/>
        </w:rPr>
      </w:pPr>
      <w:r w:rsidRPr="00BA5392">
        <w:rPr>
          <w:rFonts w:ascii="Times New Roman" w:hAnsi="Times New Roman"/>
          <w:sz w:val="24"/>
        </w:rPr>
        <w:t>La estimación de la reducción de los costos de mantenimiento la realizamos en base a información contenida en el documento de evaluación económica de la obra elaborado por la Dirección Provincial de Vialidad</w:t>
      </w:r>
      <w:r w:rsidR="009B2DA8">
        <w:rPr>
          <w:rFonts w:ascii="Times New Roman" w:hAnsi="Times New Roman"/>
          <w:sz w:val="24"/>
        </w:rPr>
        <w:t xml:space="preserve"> (Links opcionales 17 y 18</w:t>
      </w:r>
      <w:r>
        <w:rPr>
          <w:rFonts w:ascii="Times New Roman" w:hAnsi="Times New Roman"/>
          <w:sz w:val="24"/>
        </w:rPr>
        <w:t>)</w:t>
      </w:r>
      <w:r w:rsidRPr="00BA5392">
        <w:rPr>
          <w:rFonts w:ascii="Times New Roman" w:hAnsi="Times New Roman"/>
          <w:sz w:val="24"/>
        </w:rPr>
        <w:t>. Dicho documento reporta una evaluación económica y la determinación de la evolución del estado de la carretera, en base al modelo HDM-4 (</w:t>
      </w:r>
      <w:r w:rsidRPr="00BA5392">
        <w:rPr>
          <w:rFonts w:ascii="Times New Roman" w:hAnsi="Times New Roman"/>
          <w:i/>
          <w:sz w:val="24"/>
        </w:rPr>
        <w:t>Higway Development and Management</w:t>
      </w:r>
      <w:r w:rsidRPr="00B64FF6">
        <w:rPr>
          <w:rStyle w:val="FootnoteReference"/>
          <w:vertAlign w:val="superscript"/>
        </w:rPr>
        <w:footnoteReference w:id="3"/>
      </w:r>
      <w:r w:rsidRPr="00BA5392">
        <w:rPr>
          <w:rFonts w:ascii="Times New Roman" w:hAnsi="Times New Roman"/>
          <w:sz w:val="24"/>
        </w:rPr>
        <w:t>, versión 1.3). Esta evaluación se llev</w:t>
      </w:r>
      <w:r w:rsidR="00F8684A">
        <w:rPr>
          <w:rFonts w:ascii="Times New Roman" w:hAnsi="Times New Roman"/>
          <w:sz w:val="24"/>
        </w:rPr>
        <w:t>ó</w:t>
      </w:r>
      <w:r w:rsidRPr="00BA5392">
        <w:rPr>
          <w:rFonts w:ascii="Times New Roman" w:hAnsi="Times New Roman"/>
          <w:sz w:val="24"/>
        </w:rPr>
        <w:t xml:space="preserve"> a cabo en base a la comparación de costos entre dos alternativas:</w:t>
      </w:r>
    </w:p>
    <w:p w:rsidR="00B37D8A" w:rsidRPr="00BA5392" w:rsidRDefault="00B37D8A" w:rsidP="00455687">
      <w:pPr>
        <w:spacing w:after="240"/>
        <w:ind w:left="567"/>
        <w:jc w:val="both"/>
        <w:rPr>
          <w:rFonts w:ascii="Times New Roman" w:hAnsi="Times New Roman"/>
          <w:sz w:val="24"/>
        </w:rPr>
      </w:pPr>
      <w:r>
        <w:rPr>
          <w:rFonts w:ascii="Times New Roman" w:hAnsi="Times New Roman"/>
          <w:sz w:val="24"/>
        </w:rPr>
        <w:t xml:space="preserve">i) </w:t>
      </w:r>
      <w:r w:rsidRPr="00BA5392">
        <w:rPr>
          <w:rFonts w:ascii="Times New Roman" w:hAnsi="Times New Roman"/>
          <w:sz w:val="24"/>
          <w:u w:val="single"/>
        </w:rPr>
        <w:t>Alternativa base o sin proyecto.</w:t>
      </w:r>
      <w:r w:rsidRPr="00BA5392">
        <w:rPr>
          <w:rFonts w:ascii="Times New Roman" w:hAnsi="Times New Roman"/>
          <w:sz w:val="24"/>
        </w:rPr>
        <w:t xml:space="preserve"> Se trata del camino en las condiciones en que se encuentra actualmente. En este caso el principal costo es el de realizar una conservación optimizada en el tramo de 70 km., lo que implica desarrollar tareas de mantenimiento de rutina y conservación de la calzada y el camino. Se supone que todo el tránsito que se dirige a Potrerillos lo hace y seguirá haciéndolo a través de los accesos existentes.</w:t>
      </w:r>
    </w:p>
    <w:p w:rsidR="00B37D8A" w:rsidRPr="00BA5392" w:rsidRDefault="00B37D8A" w:rsidP="00455687">
      <w:pPr>
        <w:spacing w:after="240"/>
        <w:ind w:left="567"/>
        <w:jc w:val="both"/>
        <w:rPr>
          <w:rFonts w:ascii="Times New Roman" w:hAnsi="Times New Roman"/>
          <w:sz w:val="24"/>
        </w:rPr>
      </w:pPr>
      <w:r w:rsidRPr="00BA5392">
        <w:rPr>
          <w:rFonts w:ascii="Times New Roman" w:hAnsi="Times New Roman"/>
          <w:sz w:val="24"/>
        </w:rPr>
        <w:t>ii)</w:t>
      </w:r>
      <w:r>
        <w:rPr>
          <w:rFonts w:ascii="Times New Roman" w:hAnsi="Times New Roman"/>
          <w:sz w:val="24"/>
        </w:rPr>
        <w:t xml:space="preserve"> </w:t>
      </w:r>
      <w:r w:rsidRPr="00BA5392">
        <w:rPr>
          <w:rFonts w:ascii="Times New Roman" w:hAnsi="Times New Roman"/>
          <w:sz w:val="24"/>
          <w:u w:val="single"/>
        </w:rPr>
        <w:t>Alternativa con proyecto o finalización de la ruta y construcción del túnel.</w:t>
      </w:r>
      <w:r w:rsidRPr="00BA5392">
        <w:rPr>
          <w:rFonts w:ascii="Times New Roman" w:hAnsi="Times New Roman"/>
          <w:sz w:val="24"/>
        </w:rPr>
        <w:t xml:space="preserve"> En este caso los costos principales son los asociados a la construcción del túnel y el camino que unirá los tramos de </w:t>
      </w:r>
      <w:r w:rsidRPr="00BA5392">
        <w:rPr>
          <w:rFonts w:ascii="Times New Roman" w:hAnsi="Times New Roman"/>
          <w:sz w:val="24"/>
        </w:rPr>
        <w:lastRenderedPageBreak/>
        <w:t xml:space="preserve">la RP82, y se aplica una política de conservación al total de la extensión del nuevo acceso a Potrerillos. Se supone que el total del tránsito que se dirige a Potrerillos a partir de 2015 dejará de transitar por la traza actual y se trasladará por el nuevo camino de 52 km. </w:t>
      </w:r>
    </w:p>
    <w:p w:rsidR="00B37D8A" w:rsidRPr="00BA5392" w:rsidRDefault="00B37D8A" w:rsidP="00455687">
      <w:pPr>
        <w:spacing w:after="240"/>
        <w:jc w:val="both"/>
        <w:rPr>
          <w:rFonts w:ascii="Times New Roman" w:hAnsi="Times New Roman"/>
          <w:sz w:val="24"/>
        </w:rPr>
      </w:pPr>
      <w:r w:rsidRPr="00BA5392">
        <w:rPr>
          <w:rFonts w:ascii="Times New Roman" w:hAnsi="Times New Roman"/>
          <w:sz w:val="24"/>
        </w:rPr>
        <w:t>Detalle de los costos por alternativa</w:t>
      </w:r>
      <w:r>
        <w:rPr>
          <w:rFonts w:ascii="Times New Roman" w:hAnsi="Times New Roman"/>
          <w:sz w:val="24"/>
        </w:rPr>
        <w:t xml:space="preserve"> (</w:t>
      </w:r>
      <w:r w:rsidRPr="00091AFE">
        <w:rPr>
          <w:rFonts w:ascii="Times New Roman" w:hAnsi="Times New Roman"/>
          <w:sz w:val="24"/>
        </w:rPr>
        <w:t>en base a DPVMza 2013</w:t>
      </w:r>
      <w:r>
        <w:rPr>
          <w:rFonts w:ascii="Times New Roman" w:hAnsi="Times New Roman"/>
          <w:sz w:val="24"/>
        </w:rPr>
        <w:t>):</w:t>
      </w:r>
      <w:r w:rsidRPr="00BA5392">
        <w:rPr>
          <w:rFonts w:ascii="Times New Roman" w:hAnsi="Times New Roman"/>
          <w:sz w:val="24"/>
        </w:rPr>
        <w:tab/>
      </w:r>
    </w:p>
    <w:p w:rsidR="00B37D8A" w:rsidRPr="00BA5392" w:rsidRDefault="00B37D8A" w:rsidP="00455687">
      <w:pPr>
        <w:spacing w:after="240"/>
        <w:jc w:val="both"/>
        <w:rPr>
          <w:rFonts w:ascii="Times New Roman" w:hAnsi="Times New Roman"/>
          <w:sz w:val="24"/>
        </w:rPr>
      </w:pPr>
      <w:r>
        <w:rPr>
          <w:rFonts w:ascii="Times New Roman" w:hAnsi="Times New Roman"/>
          <w:sz w:val="24"/>
        </w:rPr>
        <w:t xml:space="preserve">i) </w:t>
      </w:r>
      <w:r w:rsidRPr="00BA5392">
        <w:rPr>
          <w:rFonts w:ascii="Times New Roman" w:hAnsi="Times New Roman"/>
          <w:sz w:val="24"/>
        </w:rPr>
        <w:t>Alternativa base o sin proyecto. El costo de mantenimiento para sostener un índice de serviciabilidad adecuado del camino actual y mejorar la carpeta de rodamiento a medida que el tránsito lo justifique, incluye cuatro tareas</w:t>
      </w:r>
      <w:r w:rsidRPr="00695A8D">
        <w:rPr>
          <w:rStyle w:val="FootnoteReference"/>
          <w:vertAlign w:val="superscript"/>
        </w:rPr>
        <w:footnoteReference w:id="4"/>
      </w:r>
      <w:r w:rsidRPr="00BA5392">
        <w:rPr>
          <w:rFonts w:ascii="Times New Roman" w:hAnsi="Times New Roman"/>
          <w:sz w:val="24"/>
        </w:rPr>
        <w:t>:</w:t>
      </w:r>
    </w:p>
    <w:p w:rsidR="00B37D8A" w:rsidRPr="00BA5392" w:rsidRDefault="00B37D8A" w:rsidP="00455687">
      <w:pPr>
        <w:numPr>
          <w:ilvl w:val="0"/>
          <w:numId w:val="7"/>
        </w:numPr>
        <w:spacing w:after="0"/>
        <w:jc w:val="both"/>
        <w:rPr>
          <w:rFonts w:ascii="Times New Roman" w:hAnsi="Times New Roman"/>
          <w:sz w:val="24"/>
        </w:rPr>
      </w:pPr>
      <w:r w:rsidRPr="00BA5392">
        <w:rPr>
          <w:rFonts w:ascii="Times New Roman" w:hAnsi="Times New Roman"/>
          <w:sz w:val="24"/>
        </w:rPr>
        <w:t>una intervención anual programada de mantenimiento de rutina, con un costo financiero de ARS 30.000 por km. y económico de ARS 21.210 por km.;</w:t>
      </w:r>
    </w:p>
    <w:p w:rsidR="00B37D8A" w:rsidRPr="00BA5392" w:rsidRDefault="00B37D8A" w:rsidP="00455687">
      <w:pPr>
        <w:numPr>
          <w:ilvl w:val="0"/>
          <w:numId w:val="7"/>
        </w:numPr>
        <w:spacing w:after="0"/>
        <w:jc w:val="both"/>
        <w:rPr>
          <w:rFonts w:ascii="Times New Roman" w:hAnsi="Times New Roman"/>
          <w:sz w:val="24"/>
        </w:rPr>
      </w:pPr>
      <w:r w:rsidRPr="00BA5392">
        <w:rPr>
          <w:rFonts w:ascii="Times New Roman" w:hAnsi="Times New Roman"/>
          <w:sz w:val="24"/>
        </w:rPr>
        <w:t xml:space="preserve">el sellado correctivo total de las fisuras estructurales anchas (mayores o iguales </w:t>
      </w:r>
      <w:r w:rsidRPr="00091AFE">
        <w:rPr>
          <w:rFonts w:ascii="Times New Roman" w:hAnsi="Times New Roman"/>
          <w:sz w:val="24"/>
        </w:rPr>
        <w:t>al 10%),</w:t>
      </w:r>
      <w:r w:rsidRPr="00BA5392">
        <w:rPr>
          <w:rFonts w:ascii="Times New Roman" w:hAnsi="Times New Roman"/>
          <w:sz w:val="24"/>
        </w:rPr>
        <w:t xml:space="preserve"> con un costo financiero de ARS 29,4 por m2 y económico de ARS 20,79 por m</w:t>
      </w:r>
      <w:r w:rsidRPr="009D45E3">
        <w:rPr>
          <w:rFonts w:ascii="Times New Roman" w:hAnsi="Times New Roman"/>
          <w:sz w:val="24"/>
          <w:vertAlign w:val="superscript"/>
        </w:rPr>
        <w:t>2</w:t>
      </w:r>
      <w:r w:rsidRPr="00BA5392">
        <w:rPr>
          <w:rFonts w:ascii="Times New Roman" w:hAnsi="Times New Roman"/>
          <w:sz w:val="24"/>
        </w:rPr>
        <w:t xml:space="preserve">; </w:t>
      </w:r>
    </w:p>
    <w:p w:rsidR="00B37D8A" w:rsidRPr="00BA5392" w:rsidRDefault="00B37D8A" w:rsidP="00455687">
      <w:pPr>
        <w:numPr>
          <w:ilvl w:val="0"/>
          <w:numId w:val="7"/>
        </w:numPr>
        <w:spacing w:after="0"/>
        <w:jc w:val="both"/>
        <w:rPr>
          <w:rFonts w:ascii="Times New Roman" w:hAnsi="Times New Roman"/>
          <w:sz w:val="24"/>
        </w:rPr>
      </w:pPr>
      <w:r w:rsidRPr="00BA5392">
        <w:rPr>
          <w:rFonts w:ascii="Times New Roman" w:hAnsi="Times New Roman"/>
          <w:sz w:val="24"/>
        </w:rPr>
        <w:t>el bacheo correctivo total de las áreas con tres o más baches por kilómetro, con un costo financiero de ARS 267,25 por m2 y económico de ARS 188,94 por m</w:t>
      </w:r>
      <w:r w:rsidRPr="009D45E3">
        <w:rPr>
          <w:rFonts w:ascii="Times New Roman" w:hAnsi="Times New Roman"/>
          <w:sz w:val="24"/>
          <w:vertAlign w:val="superscript"/>
        </w:rPr>
        <w:t>2</w:t>
      </w:r>
      <w:r w:rsidRPr="00BA5392">
        <w:rPr>
          <w:rFonts w:ascii="Times New Roman" w:hAnsi="Times New Roman"/>
          <w:sz w:val="24"/>
        </w:rPr>
        <w:t>; y</w:t>
      </w:r>
    </w:p>
    <w:p w:rsidR="00B37D8A" w:rsidRDefault="00B37D8A" w:rsidP="00455687">
      <w:pPr>
        <w:numPr>
          <w:ilvl w:val="0"/>
          <w:numId w:val="7"/>
        </w:numPr>
        <w:jc w:val="both"/>
        <w:rPr>
          <w:rFonts w:ascii="Times New Roman" w:hAnsi="Times New Roman"/>
          <w:sz w:val="24"/>
        </w:rPr>
      </w:pPr>
      <w:r w:rsidRPr="00BA5392">
        <w:rPr>
          <w:rFonts w:ascii="Times New Roman" w:hAnsi="Times New Roman"/>
          <w:sz w:val="24"/>
        </w:rPr>
        <w:t>el refuerzo correctivo periódico de la calzada con mezcla bituminosa densa, con un costo financiero de ARS 101,5 por m2 y económico de ARS 71,76 por m</w:t>
      </w:r>
      <w:r w:rsidRPr="009D45E3">
        <w:rPr>
          <w:rFonts w:ascii="Times New Roman" w:hAnsi="Times New Roman"/>
          <w:sz w:val="24"/>
          <w:vertAlign w:val="superscript"/>
        </w:rPr>
        <w:t>2</w:t>
      </w:r>
      <w:r w:rsidRPr="00BA5392">
        <w:rPr>
          <w:rFonts w:ascii="Times New Roman" w:hAnsi="Times New Roman"/>
          <w:sz w:val="24"/>
        </w:rPr>
        <w:t>.</w:t>
      </w:r>
    </w:p>
    <w:p w:rsidR="00B37D8A" w:rsidRPr="00BA5392" w:rsidRDefault="00B37D8A" w:rsidP="00455687">
      <w:pPr>
        <w:jc w:val="both"/>
        <w:rPr>
          <w:rFonts w:ascii="Times New Roman" w:hAnsi="Times New Roman"/>
          <w:sz w:val="24"/>
        </w:rPr>
      </w:pPr>
      <w:r>
        <w:rPr>
          <w:rFonts w:ascii="Times New Roman" w:hAnsi="Times New Roman"/>
          <w:sz w:val="24"/>
        </w:rPr>
        <w:t xml:space="preserve">ii) </w:t>
      </w:r>
      <w:r w:rsidRPr="00BA5392">
        <w:rPr>
          <w:rFonts w:ascii="Times New Roman" w:hAnsi="Times New Roman"/>
          <w:sz w:val="24"/>
        </w:rPr>
        <w:t>Alternativa con proyecto o construcción del túnel. Se consideran los costos de construcción y los de mantenimiento, no obstante, dado que se supone que el total del tránsito que se dirige a Potrerillos dejará de transitar por la traza actual a partir de 2015 y se trasladará por el nuevo camino de 52 km., se aplican dos estándares de conservación: uno para el tramo actual y otro para el nuevo. Así, en el costo que se calcula se incluyen:</w:t>
      </w:r>
    </w:p>
    <w:p w:rsidR="00B37D8A" w:rsidRPr="00BA5392" w:rsidRDefault="00B37D8A" w:rsidP="00455687">
      <w:pPr>
        <w:numPr>
          <w:ilvl w:val="0"/>
          <w:numId w:val="8"/>
        </w:numPr>
        <w:spacing w:after="0"/>
        <w:jc w:val="both"/>
        <w:rPr>
          <w:rFonts w:ascii="Times New Roman" w:hAnsi="Times New Roman"/>
          <w:sz w:val="24"/>
        </w:rPr>
      </w:pPr>
      <w:r w:rsidRPr="00BA5392">
        <w:rPr>
          <w:rFonts w:ascii="Times New Roman" w:hAnsi="Times New Roman"/>
          <w:sz w:val="24"/>
        </w:rPr>
        <w:t>tramo actual: los costos de mantenimiento del camino actual con los mismos estándares que para la situación sin proyecto; y</w:t>
      </w:r>
    </w:p>
    <w:p w:rsidR="00B37D8A" w:rsidRPr="00BA5392" w:rsidRDefault="00B37D8A" w:rsidP="00455687">
      <w:pPr>
        <w:numPr>
          <w:ilvl w:val="0"/>
          <w:numId w:val="8"/>
        </w:numPr>
        <w:spacing w:after="0"/>
        <w:jc w:val="both"/>
        <w:rPr>
          <w:rFonts w:ascii="Times New Roman" w:hAnsi="Times New Roman"/>
          <w:sz w:val="24"/>
        </w:rPr>
      </w:pPr>
      <w:r w:rsidRPr="00BA5392">
        <w:rPr>
          <w:rFonts w:ascii="Times New Roman" w:hAnsi="Times New Roman"/>
          <w:sz w:val="24"/>
        </w:rPr>
        <w:t>tramo nuevo: se tiene en consideración:</w:t>
      </w:r>
    </w:p>
    <w:p w:rsidR="00B37D8A" w:rsidRPr="00BA5392" w:rsidRDefault="00B37D8A" w:rsidP="00455687">
      <w:pPr>
        <w:numPr>
          <w:ilvl w:val="1"/>
          <w:numId w:val="8"/>
        </w:numPr>
        <w:spacing w:after="0"/>
        <w:ind w:left="1560" w:hanging="426"/>
        <w:jc w:val="both"/>
        <w:rPr>
          <w:rFonts w:ascii="Times New Roman" w:hAnsi="Times New Roman"/>
          <w:sz w:val="24"/>
        </w:rPr>
      </w:pPr>
      <w:r w:rsidRPr="00BA5392">
        <w:rPr>
          <w:rFonts w:ascii="Times New Roman" w:hAnsi="Times New Roman"/>
          <w:sz w:val="24"/>
        </w:rPr>
        <w:t>obra de construcción:</w:t>
      </w:r>
    </w:p>
    <w:p w:rsidR="00B37D8A" w:rsidRPr="00BA5392" w:rsidRDefault="00B37D8A" w:rsidP="00455687">
      <w:pPr>
        <w:numPr>
          <w:ilvl w:val="2"/>
          <w:numId w:val="8"/>
        </w:numPr>
        <w:spacing w:after="0"/>
        <w:ind w:left="2410" w:hanging="430"/>
        <w:jc w:val="both"/>
        <w:rPr>
          <w:rFonts w:ascii="Times New Roman" w:hAnsi="Times New Roman"/>
          <w:sz w:val="24"/>
        </w:rPr>
      </w:pPr>
      <w:r w:rsidRPr="00BA5392">
        <w:rPr>
          <w:rFonts w:ascii="Times New Roman" w:hAnsi="Times New Roman"/>
          <w:sz w:val="24"/>
        </w:rPr>
        <w:t xml:space="preserve">el costo financiero de la obra </w:t>
      </w:r>
      <w:r>
        <w:rPr>
          <w:rFonts w:ascii="Times New Roman" w:hAnsi="Times New Roman"/>
          <w:sz w:val="24"/>
        </w:rPr>
        <w:t xml:space="preserve">es </w:t>
      </w:r>
      <w:r w:rsidRPr="00BA5392">
        <w:rPr>
          <w:rFonts w:ascii="Times New Roman" w:hAnsi="Times New Roman"/>
          <w:sz w:val="24"/>
        </w:rPr>
        <w:t xml:space="preserve">de ARS  </w:t>
      </w:r>
      <w:r>
        <w:rPr>
          <w:rFonts w:ascii="Times New Roman" w:hAnsi="Times New Roman"/>
          <w:sz w:val="24"/>
        </w:rPr>
        <w:t>267,28 millones</w:t>
      </w:r>
      <w:r w:rsidRPr="00BA5392">
        <w:rPr>
          <w:rFonts w:ascii="Times New Roman" w:hAnsi="Times New Roman"/>
          <w:sz w:val="24"/>
        </w:rPr>
        <w:t xml:space="preserve">, </w:t>
      </w:r>
    </w:p>
    <w:p w:rsidR="00B37D8A" w:rsidRPr="00BA5392" w:rsidRDefault="00B37D8A" w:rsidP="00455687">
      <w:pPr>
        <w:numPr>
          <w:ilvl w:val="2"/>
          <w:numId w:val="8"/>
        </w:numPr>
        <w:spacing w:after="0"/>
        <w:ind w:left="2410" w:hanging="430"/>
        <w:jc w:val="both"/>
        <w:rPr>
          <w:rFonts w:ascii="Times New Roman" w:hAnsi="Times New Roman"/>
          <w:sz w:val="24"/>
        </w:rPr>
      </w:pPr>
      <w:r w:rsidRPr="00BA5392">
        <w:rPr>
          <w:rFonts w:ascii="Times New Roman" w:hAnsi="Times New Roman"/>
          <w:sz w:val="24"/>
        </w:rPr>
        <w:t xml:space="preserve">el plazo de ejecución de 2 años, repartido 50% en </w:t>
      </w:r>
      <w:r>
        <w:rPr>
          <w:rFonts w:ascii="Times New Roman" w:hAnsi="Times New Roman"/>
          <w:sz w:val="24"/>
        </w:rPr>
        <w:t xml:space="preserve">el primer período </w:t>
      </w:r>
      <w:r w:rsidRPr="00BA5392">
        <w:rPr>
          <w:rFonts w:ascii="Times New Roman" w:hAnsi="Times New Roman"/>
          <w:sz w:val="24"/>
        </w:rPr>
        <w:t xml:space="preserve">y 50% en </w:t>
      </w:r>
      <w:r>
        <w:rPr>
          <w:rFonts w:ascii="Times New Roman" w:hAnsi="Times New Roman"/>
          <w:sz w:val="24"/>
        </w:rPr>
        <w:t>segundo</w:t>
      </w:r>
      <w:r w:rsidRPr="00BA5392">
        <w:rPr>
          <w:rFonts w:ascii="Times New Roman" w:hAnsi="Times New Roman"/>
          <w:sz w:val="24"/>
        </w:rPr>
        <w:t>; y</w:t>
      </w:r>
    </w:p>
    <w:p w:rsidR="00B37D8A" w:rsidRPr="00BA5392" w:rsidRDefault="00B37D8A" w:rsidP="00455687">
      <w:pPr>
        <w:numPr>
          <w:ilvl w:val="2"/>
          <w:numId w:val="8"/>
        </w:numPr>
        <w:spacing w:after="0"/>
        <w:ind w:left="2410" w:hanging="430"/>
        <w:jc w:val="both"/>
        <w:rPr>
          <w:rFonts w:ascii="Times New Roman" w:hAnsi="Times New Roman"/>
          <w:sz w:val="24"/>
        </w:rPr>
      </w:pPr>
      <w:r w:rsidRPr="00BA5392">
        <w:rPr>
          <w:rFonts w:ascii="Times New Roman" w:hAnsi="Times New Roman"/>
          <w:sz w:val="24"/>
        </w:rPr>
        <w:t xml:space="preserve">el valor residual correspondiente </w:t>
      </w:r>
      <w:r>
        <w:rPr>
          <w:rFonts w:ascii="Times New Roman" w:hAnsi="Times New Roman"/>
          <w:sz w:val="24"/>
        </w:rPr>
        <w:t xml:space="preserve">es de </w:t>
      </w:r>
      <w:r w:rsidRPr="00BA5392">
        <w:rPr>
          <w:rFonts w:ascii="Times New Roman" w:hAnsi="Times New Roman"/>
          <w:sz w:val="24"/>
        </w:rPr>
        <w:t>un 50%.</w:t>
      </w:r>
    </w:p>
    <w:p w:rsidR="00B37D8A" w:rsidRPr="00BA5392" w:rsidRDefault="00B37D8A" w:rsidP="00455687">
      <w:pPr>
        <w:numPr>
          <w:ilvl w:val="1"/>
          <w:numId w:val="8"/>
        </w:numPr>
        <w:spacing w:after="0"/>
        <w:ind w:left="1418" w:hanging="284"/>
        <w:jc w:val="both"/>
        <w:rPr>
          <w:rFonts w:ascii="Times New Roman" w:hAnsi="Times New Roman"/>
          <w:sz w:val="24"/>
        </w:rPr>
      </w:pPr>
      <w:r>
        <w:rPr>
          <w:rFonts w:ascii="Times New Roman" w:hAnsi="Times New Roman"/>
          <w:sz w:val="24"/>
        </w:rPr>
        <w:t>l</w:t>
      </w:r>
      <w:r w:rsidRPr="00BA5392">
        <w:rPr>
          <w:rFonts w:ascii="Times New Roman" w:hAnsi="Times New Roman"/>
          <w:sz w:val="24"/>
        </w:rPr>
        <w:t>as tareas de mantenimiento para procurar mejoras en el camino y las inversiones necesarias para mantenerlo con un índice de serviciabilidad adecuado, cuyos costos coinciden a los mencionados previamente en la alternativa base, incluyen:</w:t>
      </w:r>
    </w:p>
    <w:p w:rsidR="00B37D8A" w:rsidRPr="00BA5392" w:rsidRDefault="00B37D8A" w:rsidP="00455687">
      <w:pPr>
        <w:numPr>
          <w:ilvl w:val="2"/>
          <w:numId w:val="8"/>
        </w:numPr>
        <w:spacing w:after="0"/>
        <w:ind w:left="2410" w:hanging="430"/>
        <w:jc w:val="both"/>
        <w:rPr>
          <w:rFonts w:ascii="Times New Roman" w:hAnsi="Times New Roman"/>
          <w:sz w:val="24"/>
        </w:rPr>
      </w:pPr>
      <w:r w:rsidRPr="00BA5392">
        <w:rPr>
          <w:rFonts w:ascii="Times New Roman" w:hAnsi="Times New Roman"/>
          <w:sz w:val="24"/>
        </w:rPr>
        <w:t>una intervención anual programada de mantenimiento de rutina;</w:t>
      </w:r>
    </w:p>
    <w:p w:rsidR="00B37D8A" w:rsidRPr="00BA5392" w:rsidRDefault="00B37D8A" w:rsidP="00455687">
      <w:pPr>
        <w:numPr>
          <w:ilvl w:val="2"/>
          <w:numId w:val="8"/>
        </w:numPr>
        <w:spacing w:after="0"/>
        <w:ind w:left="2410" w:hanging="430"/>
        <w:jc w:val="both"/>
        <w:rPr>
          <w:rFonts w:ascii="Times New Roman" w:hAnsi="Times New Roman"/>
          <w:sz w:val="24"/>
        </w:rPr>
      </w:pPr>
      <w:r w:rsidRPr="00BA5392">
        <w:rPr>
          <w:rFonts w:ascii="Times New Roman" w:hAnsi="Times New Roman"/>
          <w:sz w:val="24"/>
        </w:rPr>
        <w:t>el sellado correctivo total de las fisuras estructurales anchas (mayores o iguales al 5%);</w:t>
      </w:r>
    </w:p>
    <w:p w:rsidR="00B37D8A" w:rsidRPr="00BA5392" w:rsidRDefault="00B37D8A" w:rsidP="00455687">
      <w:pPr>
        <w:numPr>
          <w:ilvl w:val="2"/>
          <w:numId w:val="8"/>
        </w:numPr>
        <w:spacing w:after="0"/>
        <w:ind w:left="2410" w:hanging="430"/>
        <w:jc w:val="both"/>
        <w:rPr>
          <w:rFonts w:ascii="Times New Roman" w:hAnsi="Times New Roman"/>
          <w:sz w:val="24"/>
        </w:rPr>
      </w:pPr>
      <w:r w:rsidRPr="00BA5392">
        <w:rPr>
          <w:rFonts w:ascii="Times New Roman" w:hAnsi="Times New Roman"/>
          <w:sz w:val="24"/>
        </w:rPr>
        <w:t>el bacheo correctivo total de las áreas con uno o más baches por kilómetro;</w:t>
      </w:r>
    </w:p>
    <w:p w:rsidR="00B37D8A" w:rsidRPr="00BA5392" w:rsidRDefault="00B37D8A" w:rsidP="00455687">
      <w:pPr>
        <w:numPr>
          <w:ilvl w:val="2"/>
          <w:numId w:val="8"/>
        </w:numPr>
        <w:spacing w:after="0"/>
        <w:ind w:left="2410" w:hanging="430"/>
        <w:jc w:val="both"/>
        <w:rPr>
          <w:rFonts w:ascii="Times New Roman" w:hAnsi="Times New Roman"/>
          <w:sz w:val="24"/>
        </w:rPr>
      </w:pPr>
      <w:r w:rsidRPr="00BA5392">
        <w:rPr>
          <w:rFonts w:ascii="Times New Roman" w:hAnsi="Times New Roman"/>
          <w:sz w:val="24"/>
        </w:rPr>
        <w:lastRenderedPageBreak/>
        <w:t>el bacheo correctivo de áreas con baches; y</w:t>
      </w:r>
    </w:p>
    <w:p w:rsidR="00B37D8A" w:rsidRPr="00BA5392" w:rsidRDefault="00B37D8A" w:rsidP="00455687">
      <w:pPr>
        <w:numPr>
          <w:ilvl w:val="2"/>
          <w:numId w:val="8"/>
        </w:numPr>
        <w:ind w:left="2410" w:hanging="430"/>
        <w:jc w:val="both"/>
        <w:rPr>
          <w:rFonts w:ascii="Times New Roman" w:hAnsi="Times New Roman"/>
          <w:sz w:val="24"/>
        </w:rPr>
      </w:pPr>
      <w:r w:rsidRPr="00BA5392">
        <w:rPr>
          <w:rFonts w:ascii="Times New Roman" w:hAnsi="Times New Roman"/>
          <w:sz w:val="24"/>
        </w:rPr>
        <w:t>el refuerzo correctivo periódico de la calzada con mezcla bituminosa densa.</w:t>
      </w:r>
    </w:p>
    <w:p w:rsidR="00B37D8A" w:rsidRDefault="00B37D8A" w:rsidP="00455687">
      <w:pPr>
        <w:jc w:val="both"/>
        <w:rPr>
          <w:rFonts w:ascii="Times New Roman" w:hAnsi="Times New Roman"/>
          <w:sz w:val="24"/>
        </w:rPr>
      </w:pPr>
      <w:r w:rsidRPr="00BA5392">
        <w:rPr>
          <w:rFonts w:ascii="Times New Roman" w:hAnsi="Times New Roman"/>
          <w:sz w:val="24"/>
        </w:rPr>
        <w:t xml:space="preserve">Los parámetros de tránsito considerados y mencionados en los supuestos, se suma información sobre la desagregación vehicular del tramo para 2011. Dentro del conjunto de vehículos livianos, el 80% de la TMDA corresponde a automóviles, el 17% a camionetas, el </w:t>
      </w:r>
      <w:r w:rsidRPr="00091AFE">
        <w:rPr>
          <w:rFonts w:ascii="Times New Roman" w:hAnsi="Times New Roman"/>
          <w:sz w:val="24"/>
        </w:rPr>
        <w:t>2% a ómnibus medianos, y el 1% restante a camiones ligeros. Para el nuevo tramo que entrará en operación a partir de 2015, se asigna una TMDA de 2072 vehículos, que surge de aplicar una tasa anual de crecimiento de 3% al valor de 2011 (1841 vehículos)</w:t>
      </w:r>
      <w:r>
        <w:rPr>
          <w:rStyle w:val="FootnoteReference"/>
          <w:rFonts w:ascii="Times New Roman" w:hAnsi="Times New Roman"/>
          <w:sz w:val="24"/>
        </w:rPr>
        <w:footnoteReference w:id="5"/>
      </w:r>
      <w:r w:rsidRPr="00091AFE">
        <w:rPr>
          <w:rFonts w:ascii="Times New Roman" w:hAnsi="Times New Roman"/>
          <w:sz w:val="24"/>
        </w:rPr>
        <w:t>. Esta tasa de 3% anual se aplica para todo el período (DPVMza 2013).</w:t>
      </w:r>
      <w:r>
        <w:rPr>
          <w:rFonts w:ascii="Times New Roman" w:hAnsi="Times New Roman"/>
          <w:sz w:val="24"/>
        </w:rPr>
        <w:t xml:space="preserve"> </w:t>
      </w:r>
    </w:p>
    <w:p w:rsidR="00B37D8A" w:rsidRDefault="00B37D8A" w:rsidP="00455687">
      <w:pPr>
        <w:spacing w:after="240"/>
        <w:jc w:val="both"/>
        <w:rPr>
          <w:rFonts w:ascii="Times New Roman" w:hAnsi="Times New Roman"/>
          <w:sz w:val="24"/>
        </w:rPr>
      </w:pPr>
      <w:r w:rsidRPr="00BA5392">
        <w:rPr>
          <w:rFonts w:ascii="Times New Roman" w:hAnsi="Times New Roman"/>
          <w:sz w:val="24"/>
        </w:rPr>
        <w:t>Finalmente, en relación con el costo de operación de los vehículos, se entiende que las características de los caminos y su estado tienen una incidencia sobre el costo de operación de los vehículos, los cuales se encuentran tabulados según los tipos de calzadas existentes y de vehículo de uso corriente. A su vez, las mejoras que se puedan introducir en un camino y las estrategias de mantenimiento que se adopten, afectan a los costos de operación vehicular. Los costos considerados surgen de la Dirección Nacional de Vialidad</w:t>
      </w:r>
      <w:r w:rsidRPr="00CF2871">
        <w:rPr>
          <w:rStyle w:val="FootnoteReference"/>
          <w:vertAlign w:val="superscript"/>
        </w:rPr>
        <w:footnoteReference w:id="6"/>
      </w:r>
      <w:r>
        <w:rPr>
          <w:rFonts w:ascii="Times New Roman" w:hAnsi="Times New Roman"/>
          <w:sz w:val="24"/>
        </w:rPr>
        <w:t xml:space="preserve"> </w:t>
      </w:r>
      <w:r w:rsidRPr="00BA5392">
        <w:rPr>
          <w:rFonts w:ascii="Times New Roman" w:hAnsi="Times New Roman"/>
          <w:sz w:val="24"/>
        </w:rPr>
        <w:t>para agosto de 2011, realizando un ajuste por inflación (según INDEC a febrero de 2013) y al factor de ocupación por vehículo, por tratarse de un camino eminentemente turístico. Este último se toma con valor de 3 pasajeros para el caso de automóviles (factor promedio estimado para rutas turísticas), y para camionetas, combis, furgones o similares, de 10 pasajeros</w:t>
      </w:r>
      <w:r>
        <w:rPr>
          <w:rFonts w:ascii="Times New Roman" w:hAnsi="Times New Roman"/>
          <w:sz w:val="24"/>
        </w:rPr>
        <w:t xml:space="preserve"> (DPVMza 2013)</w:t>
      </w:r>
      <w:r w:rsidRPr="00BA5392">
        <w:rPr>
          <w:rFonts w:ascii="Times New Roman" w:hAnsi="Times New Roman"/>
          <w:sz w:val="24"/>
        </w:rPr>
        <w:t>.</w:t>
      </w:r>
    </w:p>
    <w:p w:rsidR="00B37D8A" w:rsidRPr="00511439" w:rsidRDefault="00E37457" w:rsidP="00795D5F">
      <w:pPr>
        <w:pStyle w:val="Heading2"/>
        <w:spacing w:after="240"/>
        <w:rPr>
          <w:rFonts w:ascii="Times New Roman" w:hAnsi="Times New Roman"/>
          <w:lang w:val="es-ES_tradnl"/>
        </w:rPr>
      </w:pPr>
      <w:bookmarkStart w:id="22" w:name="_Toc362804605"/>
      <w:r>
        <w:rPr>
          <w:rFonts w:ascii="Times New Roman" w:hAnsi="Times New Roman"/>
          <w:lang w:val="es-ES_tradnl"/>
        </w:rPr>
        <w:t>Parámetros y s</w:t>
      </w:r>
      <w:r w:rsidR="00B37D8A" w:rsidRPr="00511439">
        <w:rPr>
          <w:rFonts w:ascii="Times New Roman" w:hAnsi="Times New Roman"/>
          <w:lang w:val="es-ES_tradnl"/>
        </w:rPr>
        <w:t>upuestos del análisis</w:t>
      </w:r>
      <w:bookmarkEnd w:id="22"/>
    </w:p>
    <w:p w:rsidR="00B37D8A" w:rsidRPr="00D805EA" w:rsidRDefault="00B37D8A" w:rsidP="00455687">
      <w:pPr>
        <w:spacing w:after="240"/>
        <w:jc w:val="both"/>
        <w:rPr>
          <w:rFonts w:ascii="Times New Roman" w:hAnsi="Times New Roman"/>
          <w:sz w:val="24"/>
        </w:rPr>
      </w:pPr>
      <w:r w:rsidRPr="00D805EA">
        <w:rPr>
          <w:rFonts w:ascii="Times New Roman" w:hAnsi="Times New Roman"/>
          <w:sz w:val="24"/>
        </w:rPr>
        <w:t>Para el análisis económico del proyecto</w:t>
      </w:r>
      <w:r w:rsidR="00E37457">
        <w:rPr>
          <w:rFonts w:ascii="Times New Roman" w:hAnsi="Times New Roman"/>
          <w:sz w:val="24"/>
        </w:rPr>
        <w:t xml:space="preserve"> nos basamos en </w:t>
      </w:r>
      <w:r w:rsidRPr="00D805EA">
        <w:rPr>
          <w:rFonts w:ascii="Times New Roman" w:hAnsi="Times New Roman"/>
          <w:sz w:val="24"/>
        </w:rPr>
        <w:t>los</w:t>
      </w:r>
      <w:r w:rsidR="00E37457">
        <w:rPr>
          <w:rFonts w:ascii="Times New Roman" w:hAnsi="Times New Roman"/>
          <w:sz w:val="24"/>
        </w:rPr>
        <w:t xml:space="preserve"> parámetros y</w:t>
      </w:r>
      <w:r w:rsidRPr="00D805EA">
        <w:rPr>
          <w:rFonts w:ascii="Times New Roman" w:hAnsi="Times New Roman"/>
          <w:sz w:val="24"/>
        </w:rPr>
        <w:t xml:space="preserve"> supuestos establecidos </w:t>
      </w:r>
      <w:r>
        <w:rPr>
          <w:rFonts w:ascii="Times New Roman" w:hAnsi="Times New Roman"/>
          <w:sz w:val="24"/>
        </w:rPr>
        <w:t xml:space="preserve">en </w:t>
      </w:r>
      <w:r w:rsidR="00E37457">
        <w:rPr>
          <w:rFonts w:ascii="Times New Roman" w:hAnsi="Times New Roman"/>
          <w:sz w:val="24"/>
        </w:rPr>
        <w:t>el documento DPVMza (2013)</w:t>
      </w:r>
      <w:r w:rsidRPr="00D805EA">
        <w:rPr>
          <w:rFonts w:ascii="Times New Roman" w:hAnsi="Times New Roman"/>
          <w:sz w:val="24"/>
        </w:rPr>
        <w:t>:</w:t>
      </w:r>
    </w:p>
    <w:p w:rsidR="00B37D8A" w:rsidRPr="00D805EA" w:rsidRDefault="00B37D8A" w:rsidP="00455687">
      <w:pPr>
        <w:numPr>
          <w:ilvl w:val="0"/>
          <w:numId w:val="9"/>
        </w:numPr>
        <w:tabs>
          <w:tab w:val="right" w:pos="851"/>
        </w:tabs>
        <w:spacing w:after="0"/>
        <w:ind w:left="851" w:hanging="491"/>
        <w:jc w:val="both"/>
        <w:rPr>
          <w:rFonts w:ascii="Times New Roman" w:hAnsi="Times New Roman"/>
          <w:sz w:val="24"/>
        </w:rPr>
      </w:pPr>
      <w:r w:rsidRPr="00D805EA">
        <w:rPr>
          <w:rFonts w:ascii="Times New Roman" w:hAnsi="Times New Roman"/>
          <w:sz w:val="24"/>
        </w:rPr>
        <w:t>Para llegar a la localidad de Potrerillos desde Gran Mendoza, existe una distancia por ruta de 70 km., siendo las principales vías de acceso la RN40 y la RN7. En la modelización, el camino existente sin proyecto se toma como un tramo homogéneo de 70 km.</w:t>
      </w:r>
    </w:p>
    <w:p w:rsidR="00B37D8A" w:rsidRPr="00D805EA" w:rsidRDefault="00B37D8A" w:rsidP="00455687">
      <w:pPr>
        <w:numPr>
          <w:ilvl w:val="0"/>
          <w:numId w:val="9"/>
        </w:numPr>
        <w:tabs>
          <w:tab w:val="right" w:pos="851"/>
        </w:tabs>
        <w:spacing w:after="0"/>
        <w:ind w:left="851" w:hanging="491"/>
        <w:jc w:val="both"/>
        <w:rPr>
          <w:rFonts w:ascii="Times New Roman" w:hAnsi="Times New Roman"/>
          <w:sz w:val="24"/>
        </w:rPr>
      </w:pPr>
      <w:r w:rsidRPr="00D805EA">
        <w:rPr>
          <w:rFonts w:ascii="Times New Roman" w:hAnsi="Times New Roman"/>
          <w:sz w:val="24"/>
        </w:rPr>
        <w:t>Para la situación con proyecto se estima que todo el flujo de transito relacionado con el turismo que llega hasta Potrerillos se trasladará a través de la RP 82 recorriendo una distancia promedio de 52 km. (longitud del nuevo camino que surge a partir de la construcción del túnel).</w:t>
      </w:r>
    </w:p>
    <w:p w:rsidR="00B37D8A" w:rsidRDefault="00B37D8A" w:rsidP="00455687">
      <w:pPr>
        <w:numPr>
          <w:ilvl w:val="0"/>
          <w:numId w:val="9"/>
        </w:numPr>
        <w:tabs>
          <w:tab w:val="right" w:pos="851"/>
        </w:tabs>
        <w:spacing w:after="0"/>
        <w:ind w:left="851" w:hanging="491"/>
        <w:jc w:val="both"/>
        <w:rPr>
          <w:rFonts w:ascii="Times New Roman" w:hAnsi="Times New Roman"/>
          <w:sz w:val="24"/>
        </w:rPr>
      </w:pPr>
      <w:r w:rsidRPr="00D805EA">
        <w:rPr>
          <w:rFonts w:ascii="Times New Roman" w:hAnsi="Times New Roman"/>
          <w:sz w:val="24"/>
        </w:rPr>
        <w:t xml:space="preserve">El transito que se traslada desde Gran Mendoza hasta la zona de Potrerillos es de 1841 vehículos en 2011 según información oficial. Para dicho cálculo, se toman como datos relevantes aquellos sobre el tránsito que circula en los tramos que se encuentran antes y después de la localidad de Potrerillos. En particular, el tramo “Acceso a destilería YPF – Acceso a </w:t>
      </w:r>
      <w:r w:rsidRPr="00D805EA">
        <w:rPr>
          <w:rFonts w:ascii="Times New Roman" w:hAnsi="Times New Roman"/>
          <w:sz w:val="24"/>
        </w:rPr>
        <w:lastRenderedPageBreak/>
        <w:t>Potrerillos” tiene un TMDA</w:t>
      </w:r>
      <w:r w:rsidRPr="00E81A08">
        <w:rPr>
          <w:rStyle w:val="FootnoteReference"/>
          <w:vertAlign w:val="superscript"/>
        </w:rPr>
        <w:footnoteReference w:id="7"/>
      </w:r>
      <w:r w:rsidRPr="00D805EA">
        <w:rPr>
          <w:rFonts w:ascii="Times New Roman" w:hAnsi="Times New Roman"/>
          <w:sz w:val="24"/>
        </w:rPr>
        <w:t xml:space="preserve"> de 4841 vehículos, mientras que el tramo “Acceso a Potrerillos – Uspallata” un TMDA de 3000 vehículos.</w:t>
      </w:r>
    </w:p>
    <w:p w:rsidR="00B37D8A" w:rsidRPr="00D805EA" w:rsidRDefault="00B37D8A" w:rsidP="00455687">
      <w:pPr>
        <w:numPr>
          <w:ilvl w:val="0"/>
          <w:numId w:val="9"/>
        </w:numPr>
        <w:tabs>
          <w:tab w:val="right" w:pos="851"/>
        </w:tabs>
        <w:spacing w:after="0"/>
        <w:ind w:left="851" w:hanging="491"/>
        <w:jc w:val="both"/>
        <w:rPr>
          <w:rFonts w:ascii="Times New Roman" w:hAnsi="Times New Roman"/>
          <w:sz w:val="24"/>
        </w:rPr>
      </w:pPr>
      <w:r>
        <w:rPr>
          <w:rFonts w:ascii="Times New Roman" w:hAnsi="Times New Roman"/>
          <w:sz w:val="24"/>
        </w:rPr>
        <w:t>Se estima un costo de mantenimiento excepcional (r</w:t>
      </w:r>
      <w:r w:rsidRPr="00DE5DFF">
        <w:rPr>
          <w:rFonts w:ascii="Times New Roman" w:hAnsi="Times New Roman"/>
          <w:sz w:val="24"/>
        </w:rPr>
        <w:t>efuerzo con mezcla bituminosa densa de 5cm</w:t>
      </w:r>
      <w:r>
        <w:rPr>
          <w:rFonts w:ascii="Times New Roman" w:hAnsi="Times New Roman"/>
          <w:sz w:val="24"/>
        </w:rPr>
        <w:t>) de la nueva ruta para el 8vo período de ARS 35.363.000</w:t>
      </w:r>
      <w:r w:rsidRPr="00DE5DFF">
        <w:rPr>
          <w:rFonts w:ascii="Times New Roman" w:hAnsi="Times New Roman"/>
          <w:sz w:val="24"/>
        </w:rPr>
        <w:t>.</w:t>
      </w:r>
    </w:p>
    <w:p w:rsidR="00B37D8A" w:rsidRPr="00D805EA" w:rsidRDefault="00B37D8A" w:rsidP="00455687">
      <w:pPr>
        <w:numPr>
          <w:ilvl w:val="0"/>
          <w:numId w:val="9"/>
        </w:numPr>
        <w:tabs>
          <w:tab w:val="right" w:pos="851"/>
        </w:tabs>
        <w:spacing w:after="0"/>
        <w:ind w:left="851" w:hanging="491"/>
        <w:jc w:val="both"/>
        <w:rPr>
          <w:rFonts w:ascii="Times New Roman" w:hAnsi="Times New Roman"/>
          <w:sz w:val="24"/>
        </w:rPr>
      </w:pPr>
      <w:r w:rsidRPr="00D805EA">
        <w:rPr>
          <w:rFonts w:ascii="Times New Roman" w:hAnsi="Times New Roman"/>
          <w:sz w:val="24"/>
        </w:rPr>
        <w:t>Dado que se trata de un tramo con una finalidad principalmente turística, no se tiene en cuenta el efecto del tránsito internacional que continúa su recorrido por la RI7, y como además, el túnel no se encontrará habilitado para tránsito de carga pesada, sólo se toman en cuenta los vehículos livianos</w:t>
      </w:r>
      <w:r w:rsidRPr="004B30D4">
        <w:rPr>
          <w:rStyle w:val="FootnoteReference"/>
          <w:vertAlign w:val="superscript"/>
        </w:rPr>
        <w:footnoteReference w:id="8"/>
      </w:r>
      <w:r w:rsidRPr="00D805EA">
        <w:rPr>
          <w:rFonts w:ascii="Times New Roman" w:hAnsi="Times New Roman"/>
          <w:sz w:val="24"/>
        </w:rPr>
        <w:t xml:space="preserve">. </w:t>
      </w:r>
    </w:p>
    <w:p w:rsidR="00B37D8A" w:rsidRPr="00D805EA" w:rsidRDefault="00B37D8A" w:rsidP="00455687">
      <w:pPr>
        <w:numPr>
          <w:ilvl w:val="0"/>
          <w:numId w:val="9"/>
        </w:numPr>
        <w:tabs>
          <w:tab w:val="right" w:pos="851"/>
        </w:tabs>
        <w:spacing w:after="0"/>
        <w:ind w:left="851" w:hanging="491"/>
        <w:jc w:val="both"/>
        <w:rPr>
          <w:rFonts w:ascii="Times New Roman" w:hAnsi="Times New Roman"/>
          <w:sz w:val="24"/>
        </w:rPr>
      </w:pPr>
      <w:r w:rsidRPr="00D805EA">
        <w:rPr>
          <w:rFonts w:ascii="Times New Roman" w:hAnsi="Times New Roman"/>
          <w:sz w:val="24"/>
        </w:rPr>
        <w:t>La construcción de la obra demora dos años (2013-2014).</w:t>
      </w:r>
    </w:p>
    <w:p w:rsidR="00B37D8A" w:rsidRPr="00D805EA" w:rsidRDefault="00B37D8A" w:rsidP="00455687">
      <w:pPr>
        <w:numPr>
          <w:ilvl w:val="0"/>
          <w:numId w:val="9"/>
        </w:numPr>
        <w:tabs>
          <w:tab w:val="right" w:pos="851"/>
        </w:tabs>
        <w:spacing w:after="0"/>
        <w:ind w:left="851" w:hanging="491"/>
        <w:jc w:val="both"/>
        <w:rPr>
          <w:rFonts w:ascii="Times New Roman" w:hAnsi="Times New Roman"/>
          <w:sz w:val="24"/>
        </w:rPr>
      </w:pPr>
      <w:r w:rsidRPr="00D805EA">
        <w:rPr>
          <w:rFonts w:ascii="Times New Roman" w:hAnsi="Times New Roman"/>
          <w:sz w:val="24"/>
        </w:rPr>
        <w:t>El horizonte de la evaluación es a 20 años, comenzando en 2013.</w:t>
      </w:r>
    </w:p>
    <w:p w:rsidR="00B37D8A" w:rsidRPr="00D805EA" w:rsidRDefault="00B37D8A" w:rsidP="00455687">
      <w:pPr>
        <w:numPr>
          <w:ilvl w:val="0"/>
          <w:numId w:val="9"/>
        </w:numPr>
        <w:tabs>
          <w:tab w:val="right" w:pos="851"/>
        </w:tabs>
        <w:spacing w:after="0"/>
        <w:ind w:left="851" w:hanging="491"/>
        <w:jc w:val="both"/>
        <w:rPr>
          <w:rFonts w:ascii="Times New Roman" w:hAnsi="Times New Roman"/>
          <w:sz w:val="24"/>
        </w:rPr>
      </w:pPr>
      <w:r w:rsidRPr="00D805EA">
        <w:rPr>
          <w:rFonts w:ascii="Times New Roman" w:hAnsi="Times New Roman"/>
          <w:sz w:val="24"/>
        </w:rPr>
        <w:t>La tasa de descuento es del 12%.</w:t>
      </w:r>
    </w:p>
    <w:p w:rsidR="00B37D8A" w:rsidRDefault="00B37D8A" w:rsidP="00455687">
      <w:pPr>
        <w:numPr>
          <w:ilvl w:val="0"/>
          <w:numId w:val="9"/>
        </w:numPr>
        <w:tabs>
          <w:tab w:val="right" w:pos="851"/>
        </w:tabs>
        <w:ind w:left="851" w:hanging="491"/>
        <w:jc w:val="both"/>
        <w:rPr>
          <w:rFonts w:ascii="Times New Roman" w:hAnsi="Times New Roman"/>
          <w:sz w:val="24"/>
        </w:rPr>
      </w:pPr>
      <w:r w:rsidRPr="00D805EA">
        <w:rPr>
          <w:rFonts w:ascii="Times New Roman" w:hAnsi="Times New Roman"/>
          <w:sz w:val="24"/>
        </w:rPr>
        <w:t xml:space="preserve">La zona climática que se aplica al modelo para la predicción del deterioro de la calzada existente son los correspondientes a la denominada “Estación Mendoza”, obtenidos de </w:t>
      </w:r>
      <w:r w:rsidRPr="00455687">
        <w:rPr>
          <w:rFonts w:ascii="Times New Roman" w:hAnsi="Times New Roman"/>
          <w:sz w:val="24"/>
        </w:rPr>
        <w:t>www.tutiempo.net/clima/Argentina/AR.html</w:t>
      </w:r>
      <w:r w:rsidRPr="00D805EA">
        <w:rPr>
          <w:rFonts w:ascii="Times New Roman" w:hAnsi="Times New Roman"/>
          <w:sz w:val="24"/>
        </w:rPr>
        <w:t>.</w:t>
      </w:r>
    </w:p>
    <w:p w:rsidR="00B37D8A" w:rsidRPr="00966E3D" w:rsidRDefault="00CE0403" w:rsidP="00795D5F">
      <w:pPr>
        <w:pStyle w:val="Heading2"/>
        <w:spacing w:after="240"/>
        <w:rPr>
          <w:rFonts w:ascii="Times New Roman" w:hAnsi="Times New Roman"/>
          <w:lang w:val="es-ES_tradnl"/>
        </w:rPr>
      </w:pPr>
      <w:bookmarkStart w:id="23" w:name="_Toc362804606"/>
      <w:r>
        <w:rPr>
          <w:rFonts w:ascii="Times New Roman" w:hAnsi="Times New Roman"/>
          <w:lang w:val="es-ES_tradnl"/>
        </w:rPr>
        <w:t>R</w:t>
      </w:r>
      <w:r w:rsidR="00B37D8A" w:rsidRPr="00966E3D">
        <w:rPr>
          <w:rFonts w:ascii="Times New Roman" w:hAnsi="Times New Roman"/>
          <w:lang w:val="es-ES_tradnl"/>
        </w:rPr>
        <w:t>esultados</w:t>
      </w:r>
      <w:bookmarkEnd w:id="23"/>
    </w:p>
    <w:p w:rsidR="00B37D8A" w:rsidRDefault="00B37D8A" w:rsidP="00455687">
      <w:pPr>
        <w:jc w:val="both"/>
        <w:rPr>
          <w:rFonts w:ascii="Times New Roman" w:hAnsi="Times New Roman"/>
          <w:sz w:val="24"/>
        </w:rPr>
      </w:pPr>
      <w:r>
        <w:rPr>
          <w:rFonts w:ascii="Times New Roman" w:hAnsi="Times New Roman"/>
          <w:sz w:val="24"/>
        </w:rPr>
        <w:t xml:space="preserve">La tabla 1 </w:t>
      </w:r>
      <w:r w:rsidRPr="008356B8">
        <w:rPr>
          <w:rFonts w:ascii="Times New Roman" w:hAnsi="Times New Roman"/>
          <w:sz w:val="24"/>
        </w:rPr>
        <w:t>–ver Anexo 1–</w:t>
      </w:r>
      <w:r>
        <w:rPr>
          <w:rFonts w:ascii="Times New Roman" w:hAnsi="Times New Roman"/>
          <w:sz w:val="24"/>
        </w:rPr>
        <w:t xml:space="preserve"> resume los costos y beneficios de las distintas alternativas. </w:t>
      </w:r>
      <w:r w:rsidR="00E37457">
        <w:rPr>
          <w:rFonts w:ascii="Times New Roman" w:hAnsi="Times New Roman"/>
          <w:sz w:val="24"/>
        </w:rPr>
        <w:t>El horizonte temporal considerado para el análisis es de 20 años. La Tabla incluye en</w:t>
      </w:r>
      <w:r>
        <w:rPr>
          <w:rFonts w:ascii="Times New Roman" w:hAnsi="Times New Roman"/>
          <w:sz w:val="24"/>
        </w:rPr>
        <w:t xml:space="preserve"> el apartado A) los costos de administración de carreteras (RAC) expresados a valores del costo financiero, considerando el mantenimiento programado y el tránsito vehicular indicados en los supuestos discutidos en la sección anterior. También se incluyen los costos de usuarios (RUC) que se entienden como costos privados de transitar por la traza existente de 70 km bajo los supuestos considerados. </w:t>
      </w:r>
    </w:p>
    <w:p w:rsidR="00B37D8A" w:rsidRDefault="00B37D8A" w:rsidP="00455687">
      <w:pPr>
        <w:jc w:val="both"/>
        <w:rPr>
          <w:rFonts w:ascii="Times New Roman" w:hAnsi="Times New Roman"/>
          <w:sz w:val="24"/>
        </w:rPr>
      </w:pPr>
      <w:r>
        <w:rPr>
          <w:rFonts w:ascii="Times New Roman" w:hAnsi="Times New Roman"/>
          <w:sz w:val="24"/>
        </w:rPr>
        <w:t xml:space="preserve">Los apartados B) y C) tienen en cuenta los costos de administración de carreteras (RAC) y los costos de usuarios (RUC) del tramo actual de 70 km. si se realiza el proyecto y determinado tránsito se desvía por la nueva traza y de la nueva traza de 52 km. respectivamente. </w:t>
      </w:r>
    </w:p>
    <w:p w:rsidR="00B37D8A" w:rsidRDefault="00B37D8A" w:rsidP="00455687">
      <w:pPr>
        <w:spacing w:after="240" w:line="240" w:lineRule="auto"/>
        <w:jc w:val="both"/>
        <w:rPr>
          <w:rFonts w:ascii="Times New Roman" w:hAnsi="Times New Roman"/>
          <w:sz w:val="24"/>
        </w:rPr>
      </w:pPr>
      <w:r>
        <w:rPr>
          <w:rFonts w:ascii="Times New Roman" w:hAnsi="Times New Roman"/>
          <w:sz w:val="24"/>
        </w:rPr>
        <w:t>Finalmente, el apartado D) calcula los beneficios netos del proyecto. Por una parte se indica la variación de los costos de administración de la carretera (RAC) incluyendo el costo de construcción de la obra evaluada considerando el costo financiero. Los valores negativos implican incremento de costos, ya sea tareas de mantenimiento recurrentes u obras de capital. Por otra parte, se presenta como beneficio la reducción de costos de usuarios (RUC) como la diferencia entre los costos de usuarios indicados en los apartados B y C contra los costos indicados en el apartado A (si no se realiza el proyecto).</w:t>
      </w:r>
    </w:p>
    <w:p w:rsidR="00B37D8A" w:rsidRDefault="00B37D8A" w:rsidP="00455687">
      <w:pPr>
        <w:spacing w:after="0" w:line="480" w:lineRule="auto"/>
        <w:rPr>
          <w:rFonts w:ascii="Times New Roman" w:hAnsi="Times New Roman"/>
          <w:sz w:val="24"/>
        </w:rPr>
      </w:pPr>
      <w:r>
        <w:rPr>
          <w:rFonts w:ascii="Times New Roman" w:hAnsi="Times New Roman"/>
          <w:sz w:val="24"/>
        </w:rPr>
        <w:t>Luego, descontando los beneficios netos a una tasa de 12% anual se obtiene:</w:t>
      </w:r>
    </w:p>
    <w:tbl>
      <w:tblPr>
        <w:tblW w:w="5387" w:type="dxa"/>
        <w:jc w:val="center"/>
        <w:tblCellMar>
          <w:left w:w="70" w:type="dxa"/>
          <w:right w:w="70" w:type="dxa"/>
        </w:tblCellMar>
        <w:tblLook w:val="0000" w:firstRow="0" w:lastRow="0" w:firstColumn="0" w:lastColumn="0" w:noHBand="0" w:noVBand="0"/>
      </w:tblPr>
      <w:tblGrid>
        <w:gridCol w:w="3969"/>
        <w:gridCol w:w="1418"/>
      </w:tblGrid>
      <w:tr w:rsidR="00B37D8A" w:rsidRPr="002505C7" w:rsidTr="00871E67">
        <w:trPr>
          <w:trHeight w:val="225"/>
          <w:jc w:val="center"/>
        </w:trPr>
        <w:tc>
          <w:tcPr>
            <w:tcW w:w="3969" w:type="dxa"/>
            <w:tcBorders>
              <w:top w:val="single" w:sz="4" w:space="0" w:color="auto"/>
              <w:left w:val="single" w:sz="4" w:space="0" w:color="auto"/>
              <w:bottom w:val="nil"/>
              <w:right w:val="nil"/>
            </w:tcBorders>
            <w:vAlign w:val="bottom"/>
          </w:tcPr>
          <w:p w:rsidR="00B37D8A" w:rsidRPr="002505C7" w:rsidRDefault="00B37D8A" w:rsidP="0085600D">
            <w:pPr>
              <w:spacing w:after="0"/>
              <w:rPr>
                <w:rFonts w:ascii="Arial" w:hAnsi="Arial" w:cs="Arial"/>
                <w:sz w:val="18"/>
                <w:szCs w:val="16"/>
                <w:lang w:val="es-ES" w:eastAsia="es-ES"/>
              </w:rPr>
            </w:pPr>
            <w:r w:rsidRPr="002505C7">
              <w:rPr>
                <w:rFonts w:ascii="Arial" w:hAnsi="Arial" w:cs="Arial"/>
                <w:sz w:val="18"/>
                <w:szCs w:val="16"/>
                <w:lang w:val="es-ES" w:eastAsia="es-ES"/>
              </w:rPr>
              <w:t>Valor actual por reducción de RUC</w:t>
            </w:r>
          </w:p>
        </w:tc>
        <w:tc>
          <w:tcPr>
            <w:tcW w:w="1418" w:type="dxa"/>
            <w:tcBorders>
              <w:top w:val="single" w:sz="4" w:space="0" w:color="auto"/>
              <w:left w:val="nil"/>
              <w:bottom w:val="nil"/>
              <w:right w:val="single" w:sz="4" w:space="0" w:color="auto"/>
            </w:tcBorders>
            <w:noWrap/>
            <w:vAlign w:val="bottom"/>
          </w:tcPr>
          <w:p w:rsidR="00B37D8A" w:rsidRPr="002505C7" w:rsidRDefault="00B37D8A" w:rsidP="0085600D">
            <w:pPr>
              <w:spacing w:after="0"/>
              <w:jc w:val="right"/>
              <w:rPr>
                <w:rFonts w:ascii="Arial" w:hAnsi="Arial" w:cs="Arial"/>
                <w:sz w:val="18"/>
                <w:szCs w:val="16"/>
                <w:lang w:val="es-ES" w:eastAsia="es-ES"/>
              </w:rPr>
            </w:pPr>
            <w:r w:rsidRPr="002505C7">
              <w:rPr>
                <w:rFonts w:ascii="Arial" w:hAnsi="Arial" w:cs="Arial"/>
                <w:sz w:val="18"/>
                <w:szCs w:val="16"/>
                <w:lang w:val="es-ES" w:eastAsia="es-ES"/>
              </w:rPr>
              <w:t>$ 263.945</w:t>
            </w:r>
            <w:r>
              <w:rPr>
                <w:rFonts w:ascii="Arial" w:hAnsi="Arial" w:cs="Arial"/>
                <w:sz w:val="18"/>
                <w:szCs w:val="16"/>
                <w:lang w:val="es-ES" w:eastAsia="es-ES"/>
              </w:rPr>
              <w:t>.</w:t>
            </w:r>
            <w:r w:rsidRPr="002505C7">
              <w:rPr>
                <w:rFonts w:ascii="Arial" w:hAnsi="Arial" w:cs="Arial"/>
                <w:sz w:val="18"/>
                <w:szCs w:val="16"/>
                <w:lang w:val="es-ES" w:eastAsia="es-ES"/>
              </w:rPr>
              <w:t>67</w:t>
            </w:r>
            <w:r>
              <w:rPr>
                <w:rFonts w:ascii="Arial" w:hAnsi="Arial" w:cs="Arial"/>
                <w:sz w:val="18"/>
                <w:szCs w:val="16"/>
                <w:lang w:val="es-ES" w:eastAsia="es-ES"/>
              </w:rPr>
              <w:t>0</w:t>
            </w:r>
          </w:p>
        </w:tc>
      </w:tr>
      <w:tr w:rsidR="00B37D8A" w:rsidRPr="002505C7" w:rsidTr="00871E67">
        <w:trPr>
          <w:trHeight w:val="225"/>
          <w:jc w:val="center"/>
        </w:trPr>
        <w:tc>
          <w:tcPr>
            <w:tcW w:w="3969" w:type="dxa"/>
            <w:tcBorders>
              <w:top w:val="nil"/>
              <w:left w:val="single" w:sz="4" w:space="0" w:color="auto"/>
              <w:bottom w:val="nil"/>
              <w:right w:val="nil"/>
            </w:tcBorders>
            <w:vAlign w:val="bottom"/>
          </w:tcPr>
          <w:p w:rsidR="00B37D8A" w:rsidRPr="002505C7" w:rsidRDefault="00B37D8A" w:rsidP="0085600D">
            <w:pPr>
              <w:spacing w:after="0"/>
              <w:rPr>
                <w:rFonts w:ascii="Arial" w:hAnsi="Arial" w:cs="Arial"/>
                <w:sz w:val="18"/>
                <w:szCs w:val="16"/>
                <w:lang w:val="es-ES" w:eastAsia="es-ES"/>
              </w:rPr>
            </w:pPr>
            <w:r w:rsidRPr="002505C7">
              <w:rPr>
                <w:rFonts w:ascii="Arial" w:hAnsi="Arial" w:cs="Arial"/>
                <w:sz w:val="18"/>
                <w:szCs w:val="16"/>
                <w:lang w:val="es-ES" w:eastAsia="es-ES"/>
              </w:rPr>
              <w:t>Valor actual por reducción de RAC</w:t>
            </w:r>
          </w:p>
        </w:tc>
        <w:tc>
          <w:tcPr>
            <w:tcW w:w="1418" w:type="dxa"/>
            <w:tcBorders>
              <w:top w:val="nil"/>
              <w:left w:val="nil"/>
              <w:bottom w:val="nil"/>
              <w:right w:val="single" w:sz="4" w:space="0" w:color="auto"/>
            </w:tcBorders>
            <w:noWrap/>
            <w:vAlign w:val="bottom"/>
          </w:tcPr>
          <w:p w:rsidR="00B37D8A" w:rsidRPr="002505C7" w:rsidRDefault="00B37D8A" w:rsidP="0085600D">
            <w:pPr>
              <w:spacing w:after="0"/>
              <w:jc w:val="right"/>
              <w:rPr>
                <w:rFonts w:ascii="Arial" w:hAnsi="Arial" w:cs="Arial"/>
                <w:sz w:val="18"/>
                <w:szCs w:val="16"/>
                <w:lang w:val="es-ES" w:eastAsia="es-ES"/>
              </w:rPr>
            </w:pPr>
            <w:r w:rsidRPr="002505C7">
              <w:rPr>
                <w:rFonts w:ascii="Arial" w:hAnsi="Arial" w:cs="Arial"/>
                <w:sz w:val="18"/>
                <w:szCs w:val="16"/>
                <w:lang w:val="es-ES" w:eastAsia="es-ES"/>
              </w:rPr>
              <w:t>$ 5.372</w:t>
            </w:r>
            <w:r>
              <w:rPr>
                <w:rFonts w:ascii="Arial" w:hAnsi="Arial" w:cs="Arial"/>
                <w:sz w:val="18"/>
                <w:szCs w:val="16"/>
                <w:lang w:val="es-ES" w:eastAsia="es-ES"/>
              </w:rPr>
              <w:t>.</w:t>
            </w:r>
            <w:r w:rsidRPr="002505C7">
              <w:rPr>
                <w:rFonts w:ascii="Arial" w:hAnsi="Arial" w:cs="Arial"/>
                <w:sz w:val="18"/>
                <w:szCs w:val="16"/>
                <w:lang w:val="es-ES" w:eastAsia="es-ES"/>
              </w:rPr>
              <w:t>60</w:t>
            </w:r>
            <w:r>
              <w:rPr>
                <w:rFonts w:ascii="Arial" w:hAnsi="Arial" w:cs="Arial"/>
                <w:sz w:val="18"/>
                <w:szCs w:val="16"/>
                <w:lang w:val="es-ES" w:eastAsia="es-ES"/>
              </w:rPr>
              <w:t>4</w:t>
            </w:r>
          </w:p>
        </w:tc>
      </w:tr>
      <w:tr w:rsidR="00B37D8A" w:rsidRPr="002505C7" w:rsidTr="00871E67">
        <w:trPr>
          <w:trHeight w:val="225"/>
          <w:jc w:val="center"/>
        </w:trPr>
        <w:tc>
          <w:tcPr>
            <w:tcW w:w="3969" w:type="dxa"/>
            <w:tcBorders>
              <w:top w:val="nil"/>
              <w:left w:val="single" w:sz="4" w:space="0" w:color="auto"/>
              <w:bottom w:val="nil"/>
              <w:right w:val="nil"/>
            </w:tcBorders>
            <w:vAlign w:val="bottom"/>
          </w:tcPr>
          <w:p w:rsidR="00B37D8A" w:rsidRPr="002505C7" w:rsidRDefault="00B37D8A" w:rsidP="0085600D">
            <w:pPr>
              <w:spacing w:after="0"/>
              <w:rPr>
                <w:rFonts w:ascii="Arial" w:hAnsi="Arial" w:cs="Arial"/>
                <w:sz w:val="18"/>
                <w:szCs w:val="16"/>
                <w:lang w:val="es-ES" w:eastAsia="es-ES"/>
              </w:rPr>
            </w:pPr>
            <w:r>
              <w:rPr>
                <w:rFonts w:ascii="Arial" w:hAnsi="Arial" w:cs="Arial"/>
                <w:sz w:val="18"/>
                <w:szCs w:val="16"/>
                <w:lang w:val="es-ES" w:eastAsia="es-ES"/>
              </w:rPr>
              <w:t>Valor actual mantenimiento del capital</w:t>
            </w:r>
          </w:p>
        </w:tc>
        <w:tc>
          <w:tcPr>
            <w:tcW w:w="1418" w:type="dxa"/>
            <w:tcBorders>
              <w:top w:val="nil"/>
              <w:left w:val="nil"/>
              <w:bottom w:val="nil"/>
              <w:right w:val="single" w:sz="4" w:space="0" w:color="auto"/>
            </w:tcBorders>
            <w:noWrap/>
            <w:vAlign w:val="bottom"/>
          </w:tcPr>
          <w:p w:rsidR="00B37D8A" w:rsidRPr="00983279" w:rsidRDefault="00B37D8A" w:rsidP="0085600D">
            <w:pPr>
              <w:spacing w:after="0"/>
              <w:jc w:val="right"/>
              <w:rPr>
                <w:rFonts w:ascii="Arial" w:hAnsi="Arial" w:cs="Arial"/>
                <w:color w:val="FF0000"/>
                <w:sz w:val="18"/>
                <w:szCs w:val="16"/>
                <w:lang w:val="es-ES" w:eastAsia="es-ES"/>
              </w:rPr>
            </w:pPr>
            <w:r w:rsidRPr="00983279">
              <w:rPr>
                <w:rFonts w:ascii="Arial" w:hAnsi="Arial" w:cs="Arial"/>
                <w:color w:val="FF0000"/>
                <w:sz w:val="18"/>
                <w:szCs w:val="16"/>
                <w:lang w:val="es-ES" w:eastAsia="es-ES"/>
              </w:rPr>
              <w:t>-14.282</w:t>
            </w:r>
            <w:r>
              <w:rPr>
                <w:rFonts w:ascii="Arial" w:hAnsi="Arial" w:cs="Arial"/>
                <w:color w:val="FF0000"/>
                <w:sz w:val="18"/>
                <w:szCs w:val="16"/>
                <w:lang w:val="es-ES" w:eastAsia="es-ES"/>
              </w:rPr>
              <w:t>.</w:t>
            </w:r>
            <w:r w:rsidRPr="00983279">
              <w:rPr>
                <w:rFonts w:ascii="Arial" w:hAnsi="Arial" w:cs="Arial"/>
                <w:color w:val="FF0000"/>
                <w:sz w:val="18"/>
                <w:szCs w:val="16"/>
                <w:lang w:val="es-ES" w:eastAsia="es-ES"/>
              </w:rPr>
              <w:t>52</w:t>
            </w:r>
            <w:r>
              <w:rPr>
                <w:rFonts w:ascii="Arial" w:hAnsi="Arial" w:cs="Arial"/>
                <w:color w:val="FF0000"/>
                <w:sz w:val="18"/>
                <w:szCs w:val="16"/>
                <w:lang w:val="es-ES" w:eastAsia="es-ES"/>
              </w:rPr>
              <w:t>3</w:t>
            </w:r>
          </w:p>
        </w:tc>
      </w:tr>
      <w:tr w:rsidR="00B37D8A" w:rsidRPr="002505C7" w:rsidTr="00871E67">
        <w:trPr>
          <w:trHeight w:val="225"/>
          <w:jc w:val="center"/>
        </w:trPr>
        <w:tc>
          <w:tcPr>
            <w:tcW w:w="3969" w:type="dxa"/>
            <w:tcBorders>
              <w:top w:val="nil"/>
              <w:left w:val="single" w:sz="4" w:space="0" w:color="auto"/>
              <w:bottom w:val="nil"/>
              <w:right w:val="nil"/>
            </w:tcBorders>
            <w:noWrap/>
            <w:vAlign w:val="bottom"/>
          </w:tcPr>
          <w:p w:rsidR="00B37D8A" w:rsidRPr="002505C7" w:rsidRDefault="00B37D8A" w:rsidP="0085600D">
            <w:pPr>
              <w:spacing w:after="0"/>
              <w:rPr>
                <w:rFonts w:ascii="Arial" w:hAnsi="Arial" w:cs="Arial"/>
                <w:sz w:val="18"/>
                <w:szCs w:val="16"/>
                <w:lang w:val="es-ES" w:eastAsia="es-ES"/>
              </w:rPr>
            </w:pPr>
            <w:r w:rsidRPr="002505C7">
              <w:rPr>
                <w:rFonts w:ascii="Arial" w:hAnsi="Arial" w:cs="Arial"/>
                <w:sz w:val="18"/>
                <w:szCs w:val="16"/>
                <w:lang w:val="es-ES" w:eastAsia="es-ES"/>
              </w:rPr>
              <w:lastRenderedPageBreak/>
              <w:t>Valor actual Obra</w:t>
            </w:r>
          </w:p>
        </w:tc>
        <w:tc>
          <w:tcPr>
            <w:tcW w:w="1418" w:type="dxa"/>
            <w:tcBorders>
              <w:top w:val="nil"/>
              <w:left w:val="nil"/>
              <w:bottom w:val="single" w:sz="4" w:space="0" w:color="auto"/>
              <w:right w:val="single" w:sz="4" w:space="0" w:color="auto"/>
            </w:tcBorders>
            <w:noWrap/>
            <w:vAlign w:val="bottom"/>
          </w:tcPr>
          <w:p w:rsidR="00B37D8A" w:rsidRPr="002505C7" w:rsidRDefault="00B37D8A" w:rsidP="0085600D">
            <w:pPr>
              <w:spacing w:after="0"/>
              <w:jc w:val="right"/>
              <w:rPr>
                <w:rFonts w:ascii="Arial" w:hAnsi="Arial" w:cs="Arial"/>
                <w:sz w:val="18"/>
                <w:szCs w:val="16"/>
                <w:lang w:val="es-ES" w:eastAsia="es-ES"/>
              </w:rPr>
            </w:pPr>
            <w:r w:rsidRPr="002505C7">
              <w:rPr>
                <w:rFonts w:ascii="Arial" w:hAnsi="Arial" w:cs="Arial"/>
                <w:color w:val="FF0000"/>
                <w:sz w:val="18"/>
                <w:szCs w:val="16"/>
                <w:lang w:val="es-ES" w:eastAsia="es-ES"/>
              </w:rPr>
              <w:t>$ -</w:t>
            </w:r>
            <w:r>
              <w:rPr>
                <w:rFonts w:ascii="Arial" w:hAnsi="Arial" w:cs="Arial"/>
                <w:color w:val="FF0000"/>
                <w:sz w:val="18"/>
                <w:szCs w:val="16"/>
                <w:lang w:val="es-ES" w:eastAsia="es-ES"/>
              </w:rPr>
              <w:t>212</w:t>
            </w:r>
            <w:r w:rsidRPr="002505C7">
              <w:rPr>
                <w:rFonts w:ascii="Arial" w:hAnsi="Arial" w:cs="Arial"/>
                <w:color w:val="FF0000"/>
                <w:sz w:val="18"/>
                <w:szCs w:val="16"/>
                <w:lang w:val="es-ES" w:eastAsia="es-ES"/>
              </w:rPr>
              <w:t>.</w:t>
            </w:r>
            <w:r>
              <w:rPr>
                <w:rFonts w:ascii="Arial" w:hAnsi="Arial" w:cs="Arial"/>
                <w:color w:val="FF0000"/>
                <w:sz w:val="18"/>
                <w:szCs w:val="16"/>
                <w:lang w:val="es-ES" w:eastAsia="es-ES"/>
              </w:rPr>
              <w:t>004.392</w:t>
            </w:r>
          </w:p>
        </w:tc>
      </w:tr>
      <w:tr w:rsidR="00B37D8A" w:rsidRPr="002505C7" w:rsidTr="00871E67">
        <w:trPr>
          <w:trHeight w:val="225"/>
          <w:jc w:val="center"/>
        </w:trPr>
        <w:tc>
          <w:tcPr>
            <w:tcW w:w="3969" w:type="dxa"/>
            <w:tcBorders>
              <w:top w:val="nil"/>
              <w:left w:val="single" w:sz="4" w:space="0" w:color="auto"/>
              <w:bottom w:val="single" w:sz="4" w:space="0" w:color="auto"/>
              <w:right w:val="nil"/>
            </w:tcBorders>
            <w:noWrap/>
            <w:vAlign w:val="bottom"/>
          </w:tcPr>
          <w:p w:rsidR="00B37D8A" w:rsidRPr="002505C7" w:rsidRDefault="00B37D8A" w:rsidP="0085600D">
            <w:pPr>
              <w:spacing w:after="0"/>
              <w:rPr>
                <w:rFonts w:ascii="Arial" w:hAnsi="Arial" w:cs="Arial"/>
                <w:sz w:val="18"/>
                <w:szCs w:val="16"/>
                <w:lang w:val="es-ES" w:eastAsia="es-ES"/>
              </w:rPr>
            </w:pPr>
            <w:r w:rsidRPr="002505C7">
              <w:rPr>
                <w:rFonts w:ascii="Arial" w:hAnsi="Arial" w:cs="Arial"/>
                <w:sz w:val="18"/>
                <w:szCs w:val="16"/>
                <w:lang w:val="es-ES" w:eastAsia="es-ES"/>
              </w:rPr>
              <w:t>Valor actual neto</w:t>
            </w:r>
          </w:p>
        </w:tc>
        <w:tc>
          <w:tcPr>
            <w:tcW w:w="1418" w:type="dxa"/>
            <w:tcBorders>
              <w:top w:val="nil"/>
              <w:left w:val="nil"/>
              <w:bottom w:val="single" w:sz="4" w:space="0" w:color="auto"/>
              <w:right w:val="single" w:sz="4" w:space="0" w:color="auto"/>
            </w:tcBorders>
            <w:noWrap/>
            <w:vAlign w:val="bottom"/>
          </w:tcPr>
          <w:p w:rsidR="00B37D8A" w:rsidRPr="002505C7" w:rsidRDefault="00B37D8A" w:rsidP="0085600D">
            <w:pPr>
              <w:spacing w:after="0"/>
              <w:jc w:val="right"/>
              <w:rPr>
                <w:rFonts w:ascii="Arial" w:hAnsi="Arial" w:cs="Arial"/>
                <w:sz w:val="18"/>
                <w:szCs w:val="16"/>
                <w:lang w:val="es-ES" w:eastAsia="es-ES"/>
              </w:rPr>
            </w:pPr>
            <w:r w:rsidRPr="002505C7">
              <w:rPr>
                <w:rFonts w:ascii="Arial" w:hAnsi="Arial" w:cs="Arial"/>
                <w:sz w:val="18"/>
                <w:szCs w:val="16"/>
                <w:lang w:val="es-ES" w:eastAsia="es-ES"/>
              </w:rPr>
              <w:t xml:space="preserve">$ </w:t>
            </w:r>
            <w:r>
              <w:rPr>
                <w:rFonts w:ascii="Arial" w:hAnsi="Arial" w:cs="Arial"/>
                <w:sz w:val="18"/>
                <w:szCs w:val="16"/>
                <w:lang w:val="es-ES" w:eastAsia="es-ES"/>
              </w:rPr>
              <w:t>43</w:t>
            </w:r>
            <w:r w:rsidRPr="002505C7">
              <w:rPr>
                <w:rFonts w:ascii="Arial" w:hAnsi="Arial" w:cs="Arial"/>
                <w:sz w:val="18"/>
                <w:szCs w:val="16"/>
                <w:lang w:val="es-ES" w:eastAsia="es-ES"/>
              </w:rPr>
              <w:t>.</w:t>
            </w:r>
            <w:r>
              <w:rPr>
                <w:rFonts w:ascii="Arial" w:hAnsi="Arial" w:cs="Arial"/>
                <w:sz w:val="18"/>
                <w:szCs w:val="16"/>
                <w:lang w:val="es-ES" w:eastAsia="es-ES"/>
              </w:rPr>
              <w:t>031.359</w:t>
            </w:r>
          </w:p>
        </w:tc>
      </w:tr>
    </w:tbl>
    <w:p w:rsidR="00B37D8A" w:rsidRDefault="00B37D8A" w:rsidP="00455687">
      <w:pPr>
        <w:spacing w:before="240"/>
        <w:jc w:val="both"/>
        <w:rPr>
          <w:rFonts w:ascii="Times New Roman" w:hAnsi="Times New Roman"/>
          <w:sz w:val="24"/>
        </w:rPr>
      </w:pPr>
      <w:r>
        <w:rPr>
          <w:rFonts w:ascii="Times New Roman" w:hAnsi="Times New Roman"/>
          <w:sz w:val="24"/>
        </w:rPr>
        <w:t xml:space="preserve">El proyecto arroja, bajo los supuestos considerados una TIR de 14.37 %. Por lo tanto, la tasa de retorno y el V.A.N. positivo implican </w:t>
      </w:r>
      <w:r w:rsidRPr="0072431A">
        <w:rPr>
          <w:rFonts w:ascii="Times New Roman" w:hAnsi="Times New Roman"/>
          <w:sz w:val="24"/>
        </w:rPr>
        <w:t>que el proyecto es socialmente conveniente pues los costos en que incurre la comunidad para desarrollarlo son inferiores a los beneficios que le reporta</w:t>
      </w:r>
      <w:r>
        <w:rPr>
          <w:rFonts w:ascii="Times New Roman" w:hAnsi="Times New Roman"/>
          <w:sz w:val="24"/>
        </w:rPr>
        <w:t>.</w:t>
      </w:r>
    </w:p>
    <w:p w:rsidR="00B37D8A" w:rsidRPr="00C27268" w:rsidRDefault="00B37D8A" w:rsidP="00795D5F">
      <w:pPr>
        <w:pStyle w:val="Heading2"/>
        <w:spacing w:after="240"/>
        <w:rPr>
          <w:rFonts w:ascii="Times New Roman" w:hAnsi="Times New Roman"/>
          <w:lang w:val="es-ES_tradnl"/>
        </w:rPr>
      </w:pPr>
      <w:bookmarkStart w:id="24" w:name="_Toc362804607"/>
      <w:r w:rsidRPr="00C27268">
        <w:rPr>
          <w:rFonts w:ascii="Times New Roman" w:hAnsi="Times New Roman"/>
          <w:lang w:val="es-ES_tradnl"/>
        </w:rPr>
        <w:t>Análisis de sensibilidad</w:t>
      </w:r>
      <w:bookmarkEnd w:id="24"/>
    </w:p>
    <w:p w:rsidR="00B37D8A" w:rsidRDefault="00B37D8A" w:rsidP="00397A7B">
      <w:pPr>
        <w:jc w:val="both"/>
        <w:rPr>
          <w:rFonts w:ascii="Times New Roman" w:hAnsi="Times New Roman"/>
          <w:sz w:val="24"/>
        </w:rPr>
      </w:pPr>
      <w:r>
        <w:rPr>
          <w:rFonts w:ascii="Times New Roman" w:hAnsi="Times New Roman"/>
          <w:sz w:val="24"/>
        </w:rPr>
        <w:t>A los efectos de realizar un análisis de sensibilidad se plantean dos escenarios alternativos (de mínima o pesimista y de máxima u optimista). Las variables sensibilizadas son:</w:t>
      </w:r>
    </w:p>
    <w:p w:rsidR="00B37D8A" w:rsidRDefault="00B37D8A" w:rsidP="00397A7B">
      <w:pPr>
        <w:jc w:val="both"/>
        <w:rPr>
          <w:rFonts w:ascii="Times New Roman" w:hAnsi="Times New Roman"/>
          <w:sz w:val="24"/>
        </w:rPr>
      </w:pPr>
      <w:r>
        <w:rPr>
          <w:rFonts w:ascii="Times New Roman" w:hAnsi="Times New Roman"/>
          <w:sz w:val="24"/>
        </w:rPr>
        <w:t>1) Costos de construcción</w:t>
      </w:r>
    </w:p>
    <w:p w:rsidR="00B37D8A" w:rsidRDefault="00B37D8A" w:rsidP="00397A7B">
      <w:pPr>
        <w:jc w:val="both"/>
        <w:rPr>
          <w:rFonts w:ascii="Times New Roman" w:hAnsi="Times New Roman"/>
          <w:sz w:val="24"/>
        </w:rPr>
      </w:pPr>
      <w:r>
        <w:rPr>
          <w:rFonts w:ascii="Times New Roman" w:hAnsi="Times New Roman"/>
          <w:sz w:val="24"/>
        </w:rPr>
        <w:t>2) Costo de mantenimiento</w:t>
      </w:r>
    </w:p>
    <w:p w:rsidR="00B37D8A" w:rsidRDefault="00B37D8A" w:rsidP="00397A7B">
      <w:pPr>
        <w:jc w:val="both"/>
        <w:rPr>
          <w:rFonts w:ascii="Times New Roman" w:hAnsi="Times New Roman"/>
          <w:sz w:val="24"/>
        </w:rPr>
      </w:pPr>
      <w:r>
        <w:rPr>
          <w:rFonts w:ascii="Times New Roman" w:hAnsi="Times New Roman"/>
          <w:sz w:val="24"/>
        </w:rPr>
        <w:t>3) Beneficios</w:t>
      </w:r>
    </w:p>
    <w:p w:rsidR="00B37D8A" w:rsidRPr="00B81E5E" w:rsidRDefault="00B37D8A" w:rsidP="00397A7B">
      <w:pPr>
        <w:jc w:val="both"/>
        <w:rPr>
          <w:rFonts w:ascii="Times New Roman" w:hAnsi="Times New Roman"/>
          <w:sz w:val="24"/>
          <w:u w:val="single"/>
        </w:rPr>
      </w:pPr>
      <w:r w:rsidRPr="00B81E5E">
        <w:rPr>
          <w:rFonts w:ascii="Times New Roman" w:hAnsi="Times New Roman"/>
          <w:sz w:val="24"/>
          <w:u w:val="single"/>
        </w:rPr>
        <w:t>Escenario de mínima o pesimista</w:t>
      </w:r>
    </w:p>
    <w:p w:rsidR="00B37D8A" w:rsidRDefault="00B37D8A" w:rsidP="00397A7B">
      <w:pPr>
        <w:jc w:val="both"/>
        <w:rPr>
          <w:rFonts w:ascii="Times New Roman" w:hAnsi="Times New Roman"/>
          <w:sz w:val="24"/>
        </w:rPr>
      </w:pPr>
      <w:r>
        <w:rPr>
          <w:rFonts w:ascii="Times New Roman" w:hAnsi="Times New Roman"/>
          <w:sz w:val="24"/>
        </w:rPr>
        <w:t>Para el escenario pesimista se calculan los valores de modificación de costos y beneficios a partir de los cuales la TIR resulta menor al 12% y el VAN se hace negativo. El cálculo se realiza modificando el valor de una variable por vez, manteniendo constante el resto. Así los valores obtenidos son:</w:t>
      </w:r>
    </w:p>
    <w:p w:rsidR="00B37D8A" w:rsidRDefault="00B37D8A" w:rsidP="00C806C0">
      <w:pPr>
        <w:jc w:val="both"/>
        <w:rPr>
          <w:rFonts w:ascii="Times New Roman" w:hAnsi="Times New Roman"/>
          <w:sz w:val="24"/>
        </w:rPr>
      </w:pPr>
      <w:r>
        <w:rPr>
          <w:rFonts w:ascii="Times New Roman" w:hAnsi="Times New Roman"/>
          <w:sz w:val="24"/>
        </w:rPr>
        <w:t xml:space="preserve">1) A partir de un incremento del 20,29% en los costos de construcción la TIR resulta menor al 12% y el VAN negativo. </w:t>
      </w:r>
    </w:p>
    <w:p w:rsidR="00B37D8A" w:rsidRDefault="00B37D8A" w:rsidP="00C806C0">
      <w:pPr>
        <w:jc w:val="both"/>
        <w:rPr>
          <w:rFonts w:ascii="Times New Roman" w:hAnsi="Times New Roman"/>
          <w:sz w:val="24"/>
        </w:rPr>
      </w:pPr>
      <w:r>
        <w:rPr>
          <w:rFonts w:ascii="Times New Roman" w:hAnsi="Times New Roman"/>
          <w:sz w:val="24"/>
        </w:rPr>
        <w:t xml:space="preserve">2) A partir de un incremento del 301,28% en los costos de mantenimiento la TIR resulta menor al 12% y el VAN negativo. </w:t>
      </w:r>
    </w:p>
    <w:p w:rsidR="00B37D8A" w:rsidRDefault="00B37D8A" w:rsidP="00C806C0">
      <w:pPr>
        <w:jc w:val="both"/>
        <w:rPr>
          <w:rFonts w:ascii="Times New Roman" w:hAnsi="Times New Roman"/>
          <w:sz w:val="24"/>
        </w:rPr>
      </w:pPr>
      <w:r>
        <w:rPr>
          <w:rFonts w:ascii="Times New Roman" w:hAnsi="Times New Roman"/>
          <w:sz w:val="24"/>
        </w:rPr>
        <w:t>3) A partir de una reducción del 15,97% en los beneficios la TIR resulta menor al 12% y el VAN negativo.</w:t>
      </w:r>
    </w:p>
    <w:p w:rsidR="00B37D8A" w:rsidRPr="00B81E5E" w:rsidRDefault="00B37D8A" w:rsidP="00397A7B">
      <w:pPr>
        <w:jc w:val="both"/>
        <w:rPr>
          <w:rFonts w:ascii="Times New Roman" w:hAnsi="Times New Roman"/>
          <w:sz w:val="24"/>
          <w:u w:val="single"/>
        </w:rPr>
      </w:pPr>
      <w:r w:rsidRPr="00B81E5E">
        <w:rPr>
          <w:rFonts w:ascii="Times New Roman" w:hAnsi="Times New Roman"/>
          <w:sz w:val="24"/>
          <w:u w:val="single"/>
        </w:rPr>
        <w:t>Escenario de máxima u optimista</w:t>
      </w:r>
    </w:p>
    <w:p w:rsidR="00B37D8A" w:rsidRDefault="00B37D8A" w:rsidP="00F3794B">
      <w:pPr>
        <w:jc w:val="both"/>
        <w:rPr>
          <w:rFonts w:ascii="Times New Roman" w:hAnsi="Times New Roman"/>
          <w:sz w:val="24"/>
        </w:rPr>
      </w:pPr>
      <w:r>
        <w:rPr>
          <w:rFonts w:ascii="Times New Roman" w:hAnsi="Times New Roman"/>
          <w:sz w:val="24"/>
        </w:rPr>
        <w:t>Para el escenario optimista se suponen valores de modificación de costos y beneficios del caso inicial planteado en un 5% y se calculan la TIR y el VAN correspondiente. El cálculo se realiza modificando el valor de una variable por vez, manteniendo constante el resto. Así los valores obtenidos son:</w:t>
      </w:r>
    </w:p>
    <w:p w:rsidR="00B37D8A" w:rsidRDefault="00B37D8A" w:rsidP="00F3794B">
      <w:pPr>
        <w:jc w:val="both"/>
        <w:rPr>
          <w:rFonts w:ascii="Times New Roman" w:hAnsi="Times New Roman"/>
          <w:sz w:val="24"/>
        </w:rPr>
      </w:pPr>
      <w:r>
        <w:rPr>
          <w:rFonts w:ascii="Times New Roman" w:hAnsi="Times New Roman"/>
          <w:sz w:val="24"/>
        </w:rPr>
        <w:t xml:space="preserve">1) Con una reducción del 5% en  los costos de construcción se obtiene una TIR del 15,08% y un VAN de ARS 53.631.579. </w:t>
      </w:r>
    </w:p>
    <w:p w:rsidR="00B37D8A" w:rsidRDefault="00B37D8A" w:rsidP="00F3794B">
      <w:pPr>
        <w:jc w:val="both"/>
        <w:rPr>
          <w:rFonts w:ascii="Times New Roman" w:hAnsi="Times New Roman"/>
          <w:sz w:val="24"/>
        </w:rPr>
      </w:pPr>
      <w:r>
        <w:rPr>
          <w:rFonts w:ascii="Times New Roman" w:hAnsi="Times New Roman"/>
          <w:sz w:val="24"/>
        </w:rPr>
        <w:t xml:space="preserve">2) Con una reducción del 5% en los costos de mantenimiento se obtiene una TIR del 14,41% y un VAN de ARS 43.745.485. </w:t>
      </w:r>
    </w:p>
    <w:p w:rsidR="00B37D8A" w:rsidRDefault="00B37D8A" w:rsidP="00F3794B">
      <w:pPr>
        <w:jc w:val="both"/>
        <w:rPr>
          <w:rFonts w:ascii="Times New Roman" w:hAnsi="Times New Roman"/>
          <w:sz w:val="24"/>
        </w:rPr>
      </w:pPr>
      <w:r>
        <w:rPr>
          <w:rFonts w:ascii="Times New Roman" w:hAnsi="Times New Roman"/>
          <w:sz w:val="24"/>
        </w:rPr>
        <w:lastRenderedPageBreak/>
        <w:t>3) Con un incremento del 5% en los beneficios del 5% se obtiene una TIR del 15,09% y un VAN de ARS 56.497.273.</w:t>
      </w:r>
    </w:p>
    <w:p w:rsidR="00B37D8A" w:rsidRDefault="00B37D8A" w:rsidP="008356B8">
      <w:pPr>
        <w:jc w:val="both"/>
        <w:rPr>
          <w:rFonts w:ascii="Times New Roman" w:hAnsi="Times New Roman"/>
          <w:sz w:val="24"/>
        </w:rPr>
      </w:pPr>
      <w:r w:rsidRPr="008356B8">
        <w:rPr>
          <w:rFonts w:ascii="Times New Roman" w:hAnsi="Times New Roman"/>
          <w:sz w:val="24"/>
        </w:rPr>
        <w:t>El incremento en costos puede provenir al menos de dos fuentes. Una es a partir de no haber considerado ciertos costos que surjan durante el proceso de implementación del proyecto. La otra es a partir de cuestiones inflacionarias conjugadas, en particular con relación a los aportes del Banco, con diferencias negativas en la paridad cambiaria que no permitan recuperar la pérdida por inflación vía incremento de la cotización de la divisa en la cual se recibe el crédito. No obstante, con relación a la inflación, más allá de los efectos particulares que esto podría tener sobre la ejecución de la obra, estos mayores costos podrían tener como contrapartida un incremento de los beneficios provenientes de la misma vía inflacionaria (mayores ahorros en combustible, mayores montos nominales de la actividad económica, etc.).</w:t>
      </w:r>
    </w:p>
    <w:p w:rsidR="00B37D8A" w:rsidRPr="0081253A" w:rsidRDefault="00B37D8A" w:rsidP="00795D5F">
      <w:pPr>
        <w:pStyle w:val="Heading2"/>
        <w:spacing w:after="240"/>
        <w:rPr>
          <w:rFonts w:ascii="Times New Roman" w:hAnsi="Times New Roman"/>
          <w:lang w:val="es-ES"/>
        </w:rPr>
      </w:pPr>
      <w:bookmarkStart w:id="25" w:name="_Toc362804608"/>
      <w:r w:rsidRPr="0081253A">
        <w:rPr>
          <w:rFonts w:ascii="Times New Roman" w:hAnsi="Times New Roman"/>
          <w:lang w:val="es-ES"/>
        </w:rPr>
        <w:t>Conclusiones</w:t>
      </w:r>
      <w:bookmarkEnd w:id="25"/>
    </w:p>
    <w:p w:rsidR="00B37D8A" w:rsidRDefault="00B37D8A" w:rsidP="00397A7B">
      <w:pPr>
        <w:spacing w:before="240"/>
        <w:jc w:val="both"/>
        <w:rPr>
          <w:rFonts w:ascii="Times New Roman" w:hAnsi="Times New Roman"/>
          <w:sz w:val="24"/>
        </w:rPr>
      </w:pPr>
      <w:r w:rsidRPr="00D92A3E">
        <w:rPr>
          <w:rFonts w:ascii="Times New Roman" w:hAnsi="Times New Roman"/>
          <w:sz w:val="24"/>
        </w:rPr>
        <w:t xml:space="preserve">Los resultados del análisis arrojan una tasa de retorno del proyecto positiva. Esto indica que el proyecto traerá más beneficios que costos sociales y que por lo tanto es rentable invertir en el proyecto. Dado que los beneficios están dispersos entre un colectivo de gente, son de difícil apropiación privada, </w:t>
      </w:r>
      <w:r>
        <w:rPr>
          <w:rFonts w:ascii="Times New Roman" w:hAnsi="Times New Roman"/>
          <w:sz w:val="24"/>
        </w:rPr>
        <w:t xml:space="preserve">y </w:t>
      </w:r>
      <w:r w:rsidRPr="00D92A3E">
        <w:rPr>
          <w:rFonts w:ascii="Times New Roman" w:hAnsi="Times New Roman"/>
          <w:sz w:val="24"/>
        </w:rPr>
        <w:t xml:space="preserve">no hay incentivos para que haya inversión privada se justifica que la inversión la lleve adelante el gobierno con fondos públicos. Es necesario aclarar sin embargo que el análisis de costos y beneficios esperados de esta propuesta está basado en los costos y beneficios identificables y medibles asociados al proyecto, todos los cuales se refieren sólo al corto plazo. Esto significa que se están dejando afuera importantes beneficios y costos esperados que no pueden medirse o aproximarse, tales  como el principal beneficio esperado en asociación con este proyecto, que es la mejora en la calidad de vida de los pobladores afectados. También se deja de lado los potenciales beneficios de largo plazo asociados al incremento en el comercio y la competitividad de las empresas de la zona por las mejoras en la infraestructura de transporte. Esto quiere decir que entendemos que es muy probable que en este caso los beneficios estén subestimados. No </w:t>
      </w:r>
      <w:r>
        <w:rPr>
          <w:rFonts w:ascii="Times New Roman" w:hAnsi="Times New Roman"/>
          <w:sz w:val="24"/>
        </w:rPr>
        <w:t xml:space="preserve">se </w:t>
      </w:r>
      <w:r w:rsidRPr="00D92A3E">
        <w:rPr>
          <w:rFonts w:ascii="Times New Roman" w:hAnsi="Times New Roman"/>
          <w:sz w:val="24"/>
        </w:rPr>
        <w:t xml:space="preserve">incluye, tampoco, sin embargo las externalidades negativas asociadas al aumento del tráfico vehicular, del turismo, y la destrucción de zonas naturales. </w:t>
      </w:r>
    </w:p>
    <w:p w:rsidR="00B37D8A" w:rsidRPr="00397A7B" w:rsidRDefault="00B37D8A" w:rsidP="00397A7B">
      <w:pPr>
        <w:spacing w:before="240"/>
        <w:jc w:val="both"/>
        <w:rPr>
          <w:rStyle w:val="subparCarCarCar"/>
          <w:rFonts w:ascii="Times New Roman" w:hAnsi="Times New Roman"/>
          <w:lang w:val="es-AR"/>
        </w:rPr>
      </w:pPr>
    </w:p>
    <w:p w:rsidR="00B37D8A" w:rsidRPr="00AB240C" w:rsidRDefault="00B37D8A" w:rsidP="00A112D1">
      <w:pPr>
        <w:pStyle w:val="Heading1"/>
        <w:jc w:val="center"/>
        <w:rPr>
          <w:lang w:val="es-ES"/>
        </w:rPr>
      </w:pPr>
      <w:bookmarkStart w:id="26" w:name="_Toc362804609"/>
      <w:r>
        <w:rPr>
          <w:rFonts w:ascii="Times New Roman" w:hAnsi="Times New Roman"/>
          <w:lang w:val="es-ES"/>
        </w:rPr>
        <w:br w:type="page"/>
      </w:r>
      <w:r w:rsidRPr="00455687">
        <w:rPr>
          <w:rFonts w:ascii="Times New Roman" w:hAnsi="Times New Roman"/>
          <w:lang w:val="es-ES"/>
        </w:rPr>
        <w:lastRenderedPageBreak/>
        <w:t>Capítulo 3</w:t>
      </w:r>
      <w:r>
        <w:rPr>
          <w:rFonts w:ascii="Times New Roman" w:hAnsi="Times New Roman"/>
          <w:lang w:val="es-ES"/>
        </w:rPr>
        <w:t xml:space="preserve">. </w:t>
      </w:r>
      <w:r w:rsidRPr="00455687">
        <w:rPr>
          <w:lang w:val="es-ES"/>
        </w:rPr>
        <w:t>Análisis costo beneficio del Subcomponente I.</w:t>
      </w:r>
      <w:r w:rsidRPr="00AB240C">
        <w:rPr>
          <w:lang w:val="es-ES"/>
        </w:rPr>
        <w:t>ii</w:t>
      </w:r>
      <w:r w:rsidRPr="00455687">
        <w:rPr>
          <w:lang w:val="es-ES"/>
        </w:rPr>
        <w:t xml:space="preserve">: </w:t>
      </w:r>
      <w:r w:rsidRPr="00AB240C">
        <w:rPr>
          <w:lang w:val="es-ES"/>
        </w:rPr>
        <w:t xml:space="preserve">Nueva Zona Primaria Aduanera </w:t>
      </w:r>
      <w:r w:rsidRPr="00455687">
        <w:rPr>
          <w:lang w:val="es-ES"/>
        </w:rPr>
        <w:t>(ZPA)</w:t>
      </w:r>
      <w:bookmarkEnd w:id="26"/>
    </w:p>
    <w:p w:rsidR="00B37D8A" w:rsidRPr="00C27268" w:rsidRDefault="00B37D8A" w:rsidP="00795D5F">
      <w:pPr>
        <w:pStyle w:val="Heading2"/>
        <w:spacing w:after="240"/>
        <w:rPr>
          <w:rFonts w:ascii="Times New Roman" w:hAnsi="Times New Roman"/>
          <w:lang w:val="es-ES_tradnl"/>
        </w:rPr>
      </w:pPr>
      <w:bookmarkStart w:id="27" w:name="_Toc362804610"/>
      <w:r w:rsidRPr="00C27268">
        <w:rPr>
          <w:rFonts w:ascii="Times New Roman" w:hAnsi="Times New Roman"/>
          <w:lang w:val="es-ES_tradnl"/>
        </w:rPr>
        <w:t>Breve descripción del proyecto</w:t>
      </w:r>
      <w:bookmarkEnd w:id="27"/>
    </w:p>
    <w:p w:rsidR="00B37D8A" w:rsidRPr="00974F11" w:rsidRDefault="00B37D8A" w:rsidP="00FB2355">
      <w:pPr>
        <w:spacing w:before="240"/>
        <w:jc w:val="both"/>
        <w:rPr>
          <w:rFonts w:ascii="Times New Roman" w:hAnsi="Times New Roman"/>
          <w:spacing w:val="-2"/>
          <w:sz w:val="24"/>
          <w:szCs w:val="24"/>
          <w:lang w:val="es-ES_tradnl"/>
        </w:rPr>
      </w:pPr>
      <w:r w:rsidRPr="00974F11">
        <w:rPr>
          <w:rFonts w:ascii="Times New Roman" w:hAnsi="Times New Roman"/>
          <w:spacing w:val="-2"/>
          <w:sz w:val="24"/>
          <w:szCs w:val="24"/>
          <w:lang w:val="es-ES_tradnl"/>
        </w:rPr>
        <w:t xml:space="preserve">El proyecto </w:t>
      </w:r>
      <w:r w:rsidRPr="00EC20F9">
        <w:rPr>
          <w:rFonts w:ascii="Times New Roman" w:hAnsi="Times New Roman"/>
          <w:sz w:val="24"/>
          <w:lang w:val="es-ES"/>
        </w:rPr>
        <w:t xml:space="preserve">Nueva Zona Primaria Aduanera </w:t>
      </w:r>
      <w:r w:rsidRPr="00974F11">
        <w:rPr>
          <w:rFonts w:ascii="Times New Roman" w:hAnsi="Times New Roman"/>
          <w:spacing w:val="-2"/>
          <w:sz w:val="24"/>
          <w:szCs w:val="24"/>
          <w:lang w:val="es-ES_tradnl"/>
        </w:rPr>
        <w:t xml:space="preserve">de Mendoza  (ZPA) tiene como objetivo trasladar </w:t>
      </w:r>
      <w:r>
        <w:rPr>
          <w:rFonts w:ascii="Times New Roman" w:hAnsi="Times New Roman"/>
          <w:spacing w:val="-2"/>
          <w:sz w:val="24"/>
          <w:szCs w:val="24"/>
          <w:lang w:val="es-ES_tradnl"/>
        </w:rPr>
        <w:t xml:space="preserve">el puerto seco provincial </w:t>
      </w:r>
      <w:r w:rsidRPr="00974F11">
        <w:rPr>
          <w:rFonts w:ascii="Times New Roman" w:hAnsi="Times New Roman"/>
          <w:spacing w:val="-2"/>
          <w:sz w:val="24"/>
          <w:szCs w:val="24"/>
          <w:lang w:val="es-ES_tradnl"/>
        </w:rPr>
        <w:t>desde el departamento de Gody Cruz hacia el Departamento de Luján de Cuyo. La nueva ubicación tiene la ventaja de estar en la periferia de la ciudad de Mendoza; en un predio lindante con la Zona Franca y el Parque Industrial Provincial. Para posibilitar este ordenamiento territorial, la Ley Provincial Nº 8271, desafectó 100 hectáreas, de las 150 hectáreas iniciales de la Zona Franca, a fin de albergar la futura ZPA Puerto Seco y  plantear en los terrenos remanentes una Zona de Actividades Logísticas complementarias</w:t>
      </w:r>
      <w:r>
        <w:rPr>
          <w:rFonts w:ascii="Times New Roman" w:hAnsi="Times New Roman"/>
          <w:spacing w:val="-2"/>
          <w:sz w:val="24"/>
          <w:szCs w:val="24"/>
          <w:lang w:val="es-ES_tradnl"/>
        </w:rPr>
        <w:t xml:space="preserve"> (</w:t>
      </w:r>
      <w:r w:rsidRPr="00974F11">
        <w:rPr>
          <w:rFonts w:ascii="Times New Roman" w:hAnsi="Times New Roman"/>
          <w:spacing w:val="-2"/>
          <w:sz w:val="24"/>
          <w:szCs w:val="24"/>
          <w:lang w:val="es-ES_tradnl"/>
        </w:rPr>
        <w:t>ZALO</w:t>
      </w:r>
      <w:r>
        <w:rPr>
          <w:rFonts w:ascii="Times New Roman" w:hAnsi="Times New Roman"/>
          <w:spacing w:val="-2"/>
          <w:sz w:val="24"/>
          <w:szCs w:val="24"/>
          <w:lang w:val="es-ES_tradnl"/>
        </w:rPr>
        <w:t>)</w:t>
      </w:r>
      <w:r w:rsidRPr="00974F11">
        <w:rPr>
          <w:rFonts w:ascii="Times New Roman" w:hAnsi="Times New Roman"/>
          <w:spacing w:val="-2"/>
          <w:sz w:val="24"/>
          <w:szCs w:val="24"/>
          <w:lang w:val="es-ES_tradnl"/>
        </w:rPr>
        <w:t xml:space="preserve"> como forma de lograr una alta concentración de empresas y actividades específicas logísticas, evitando el acceso a la placa urbana de camiones de gran envergadura. Esta acción se plantea dentro del marco del Ordenamiento Territorial previsto por la Ley 8051, vinculado al sistema de transporte, principalmente para poder atender el importante crecimiento esperado y a la vez mejorando la eficiencia y la contribución del transporte de cargas al desarrollo económico.</w:t>
      </w:r>
    </w:p>
    <w:p w:rsidR="00B37D8A" w:rsidRPr="00974F11" w:rsidRDefault="00B37D8A" w:rsidP="00974F11">
      <w:pPr>
        <w:jc w:val="both"/>
        <w:rPr>
          <w:rFonts w:ascii="Times New Roman" w:hAnsi="Times New Roman"/>
          <w:spacing w:val="-2"/>
          <w:sz w:val="24"/>
          <w:szCs w:val="24"/>
          <w:lang w:val="es-ES_tradnl"/>
        </w:rPr>
      </w:pPr>
      <w:r w:rsidRPr="00974F11">
        <w:rPr>
          <w:rFonts w:ascii="Times New Roman" w:hAnsi="Times New Roman"/>
          <w:spacing w:val="-2"/>
          <w:sz w:val="24"/>
          <w:szCs w:val="24"/>
          <w:lang w:val="es-ES_tradnl"/>
        </w:rPr>
        <w:t>El 80% del tráfico entre Argentina y Chile fluye a través del Paso Cristo Redentor, en Mendoza, con un promedio de 600 camiones / diarios. Se estima además que este corredor bioceánico incrementará su importancia dado el creciente rol en el comercio mundial de las economías del sudeste asiático. Esto generará un crecimiento importante en el tráfico de cargas exigiendo una respuesta oportuna en términos tanto de la infraestructura como del ordenamiento territorial, para evitar desequilibrios territoriales y ambientales y sus respectivos costos económicos. Sin embargo, la cabecera del corredor, Luján de Cuyo no cuenta con una Plataforma Logística de Servicios Integrados. Dichos servicios, o están ausentes, o se prestan en forma dispersa y disgregada generando sobrecostos (tanto para el sector privado como para el estatal), congestión urbana, falta de sinergias y pérdida de competitividad y negocios.</w:t>
      </w:r>
    </w:p>
    <w:p w:rsidR="00B37D8A" w:rsidRPr="00974F11" w:rsidRDefault="00B37D8A" w:rsidP="00974F11">
      <w:pPr>
        <w:jc w:val="both"/>
        <w:rPr>
          <w:rFonts w:ascii="Times New Roman" w:hAnsi="Times New Roman"/>
          <w:spacing w:val="-2"/>
          <w:sz w:val="24"/>
          <w:szCs w:val="24"/>
          <w:lang w:val="es-ES_tradnl"/>
        </w:rPr>
      </w:pPr>
      <w:r w:rsidRPr="00974F11">
        <w:rPr>
          <w:rFonts w:ascii="Times New Roman" w:hAnsi="Times New Roman"/>
          <w:spacing w:val="-2"/>
          <w:sz w:val="24"/>
          <w:szCs w:val="24"/>
          <w:lang w:val="es-ES_tradnl"/>
        </w:rPr>
        <w:t>Entre los inconvenientes más importantes que presenta la actual ubicación de la ZPA - Puerto Seco, se incluyen:</w:t>
      </w:r>
      <w:r>
        <w:rPr>
          <w:rFonts w:ascii="Times New Roman" w:hAnsi="Times New Roman"/>
          <w:spacing w:val="-2"/>
          <w:sz w:val="24"/>
          <w:szCs w:val="24"/>
          <w:lang w:val="es-ES_tradnl"/>
        </w:rPr>
        <w:t xml:space="preserve"> i) l</w:t>
      </w:r>
      <w:r w:rsidRPr="00974F11">
        <w:rPr>
          <w:rFonts w:ascii="Times New Roman" w:hAnsi="Times New Roman"/>
          <w:spacing w:val="-2"/>
          <w:sz w:val="24"/>
          <w:szCs w:val="24"/>
          <w:lang w:val="es-ES_tradnl"/>
        </w:rPr>
        <w:t>os accesos viales  no tienen las dimensiones ni las condiciones adecuadas para el intenso tránsito de ingreso/egreso de la ZPA</w:t>
      </w:r>
      <w:r>
        <w:rPr>
          <w:rFonts w:ascii="Times New Roman" w:hAnsi="Times New Roman"/>
          <w:spacing w:val="-2"/>
          <w:sz w:val="24"/>
          <w:szCs w:val="24"/>
          <w:lang w:val="es-ES_tradnl"/>
        </w:rPr>
        <w:t>; ii) e</w:t>
      </w:r>
      <w:r w:rsidRPr="00974F11">
        <w:rPr>
          <w:rFonts w:ascii="Times New Roman" w:hAnsi="Times New Roman"/>
          <w:spacing w:val="-2"/>
          <w:sz w:val="24"/>
          <w:szCs w:val="24"/>
          <w:lang w:val="es-ES_tradnl"/>
        </w:rPr>
        <w:t>xiste una seria restricción de espacio físico para crecimiento, lo cual limita las inversiones necesarias para ac</w:t>
      </w:r>
      <w:r>
        <w:rPr>
          <w:rFonts w:ascii="Times New Roman" w:hAnsi="Times New Roman"/>
          <w:spacing w:val="-2"/>
          <w:sz w:val="24"/>
          <w:szCs w:val="24"/>
          <w:lang w:val="es-ES_tradnl"/>
        </w:rPr>
        <w:t>ompañar el crecimiento esperado; iii) p</w:t>
      </w:r>
      <w:r w:rsidRPr="00974F11">
        <w:rPr>
          <w:rFonts w:ascii="Times New Roman" w:hAnsi="Times New Roman"/>
          <w:spacing w:val="-2"/>
          <w:sz w:val="24"/>
          <w:szCs w:val="24"/>
          <w:lang w:val="es-ES_tradnl"/>
        </w:rPr>
        <w:t>osee instalaciones obsoletas (más de 30 años), con problemas de inseguridad y</w:t>
      </w:r>
      <w:r>
        <w:rPr>
          <w:rFonts w:ascii="Times New Roman" w:hAnsi="Times New Roman"/>
          <w:spacing w:val="-2"/>
          <w:sz w:val="24"/>
          <w:szCs w:val="24"/>
          <w:lang w:val="es-ES_tradnl"/>
        </w:rPr>
        <w:t xml:space="preserve"> calidad de servicio deficiente; iv) s</w:t>
      </w:r>
      <w:r w:rsidRPr="00974F11">
        <w:rPr>
          <w:rFonts w:ascii="Times New Roman" w:hAnsi="Times New Roman"/>
          <w:spacing w:val="-2"/>
          <w:sz w:val="24"/>
          <w:szCs w:val="24"/>
          <w:lang w:val="es-ES_tradnl"/>
        </w:rPr>
        <w:t>us playas de estacionamiento colapsan durante la temporada alta (de noviembre a marzo)</w:t>
      </w:r>
      <w:r>
        <w:rPr>
          <w:rFonts w:ascii="Times New Roman" w:hAnsi="Times New Roman"/>
          <w:spacing w:val="-2"/>
          <w:sz w:val="24"/>
          <w:szCs w:val="24"/>
          <w:lang w:val="es-ES_tradnl"/>
        </w:rPr>
        <w:t>; v) d</w:t>
      </w:r>
      <w:r w:rsidRPr="00974F11">
        <w:rPr>
          <w:rFonts w:ascii="Times New Roman" w:hAnsi="Times New Roman"/>
          <w:spacing w:val="-2"/>
          <w:sz w:val="24"/>
          <w:szCs w:val="24"/>
          <w:lang w:val="es-ES_tradnl"/>
        </w:rPr>
        <w:t>ificulta las tareas del control aduanero en cuanto al seguimiento de la carga</w:t>
      </w:r>
      <w:r>
        <w:rPr>
          <w:rFonts w:ascii="Times New Roman" w:hAnsi="Times New Roman"/>
          <w:spacing w:val="-2"/>
          <w:sz w:val="24"/>
          <w:szCs w:val="24"/>
          <w:lang w:val="es-ES_tradnl"/>
        </w:rPr>
        <w:t xml:space="preserve"> y posibles desvíos no deseados; vi) p</w:t>
      </w:r>
      <w:r w:rsidRPr="00974F11">
        <w:rPr>
          <w:rFonts w:ascii="Times New Roman" w:hAnsi="Times New Roman"/>
          <w:spacing w:val="-2"/>
          <w:sz w:val="24"/>
          <w:szCs w:val="24"/>
          <w:lang w:val="es-ES_tradnl"/>
        </w:rPr>
        <w:t xml:space="preserve">rovoca una importante congestión urbana dado que se encuentra </w:t>
      </w:r>
      <w:r>
        <w:rPr>
          <w:rFonts w:ascii="Times New Roman" w:hAnsi="Times New Roman"/>
          <w:spacing w:val="-2"/>
          <w:sz w:val="24"/>
          <w:szCs w:val="24"/>
          <w:lang w:val="es-ES_tradnl"/>
        </w:rPr>
        <w:t>inserta en una zona residencial; y vii) l</w:t>
      </w:r>
      <w:r w:rsidRPr="00974F11">
        <w:rPr>
          <w:rFonts w:ascii="Times New Roman" w:hAnsi="Times New Roman"/>
          <w:spacing w:val="-2"/>
          <w:sz w:val="24"/>
          <w:szCs w:val="24"/>
          <w:lang w:val="es-ES_tradnl"/>
        </w:rPr>
        <w:t xml:space="preserve">os camiones que entran y salen de esta zona saturan permanentemente las </w:t>
      </w:r>
      <w:r>
        <w:rPr>
          <w:rFonts w:ascii="Times New Roman" w:hAnsi="Times New Roman"/>
          <w:spacing w:val="-2"/>
          <w:sz w:val="24"/>
          <w:szCs w:val="24"/>
          <w:lang w:val="es-ES_tradnl"/>
        </w:rPr>
        <w:t>vías de circulación periféricas. Así, e</w:t>
      </w:r>
      <w:r w:rsidRPr="00974F11">
        <w:rPr>
          <w:rFonts w:ascii="Times New Roman" w:hAnsi="Times New Roman"/>
          <w:spacing w:val="-2"/>
          <w:sz w:val="24"/>
          <w:szCs w:val="24"/>
          <w:lang w:val="es-ES_tradnl"/>
        </w:rPr>
        <w:t xml:space="preserve">l presente proyecto intenta abordar estos problemas trasladando el puerto hacia un área estratégica de desarrollo económico. En esta nueva localización no existe restricción de espacio físico para crecimiento, y además de dicho emprendimiento se encuentra el Parque Industrial Provincial, la Destilería Repsol YPF de Luján y el Parque Industrial Municipal de Luján. Este Proyecto permitirá generar actividades </w:t>
      </w:r>
      <w:r w:rsidRPr="00974F11">
        <w:rPr>
          <w:rFonts w:ascii="Times New Roman" w:hAnsi="Times New Roman"/>
          <w:spacing w:val="-2"/>
          <w:sz w:val="24"/>
          <w:szCs w:val="24"/>
          <w:lang w:val="es-ES_tradnl"/>
        </w:rPr>
        <w:lastRenderedPageBreak/>
        <w:t xml:space="preserve">complementarias y de multifunción orientadas a que Mendoza ejerza un rol vital sobre el Corredor Bioceánico Central, facilitando y aumentando el acceso de sus exportaciones e importaciones y las de otras provincias, desde y hacia el sudeste asiático y terceros países por el Pacífico. </w:t>
      </w:r>
    </w:p>
    <w:p w:rsidR="00B37D8A" w:rsidRDefault="00B37D8A" w:rsidP="00974F11">
      <w:pPr>
        <w:jc w:val="both"/>
        <w:rPr>
          <w:rFonts w:ascii="Times New Roman" w:hAnsi="Times New Roman"/>
          <w:spacing w:val="-2"/>
          <w:sz w:val="24"/>
          <w:szCs w:val="24"/>
          <w:lang w:val="es-ES_tradnl"/>
        </w:rPr>
      </w:pPr>
      <w:r w:rsidRPr="00974F11">
        <w:rPr>
          <w:rFonts w:ascii="Times New Roman" w:hAnsi="Times New Roman"/>
          <w:spacing w:val="-2"/>
          <w:sz w:val="24"/>
          <w:szCs w:val="24"/>
          <w:lang w:val="es-ES_tradnl"/>
        </w:rPr>
        <w:t xml:space="preserve">El puerto seco será ubicado en el Departamento de Luján de Cuyo, en un área estratégica de desarrollo económico, por su cercanía a la Ruta </w:t>
      </w:r>
      <w:r>
        <w:rPr>
          <w:rFonts w:ascii="Times New Roman" w:hAnsi="Times New Roman"/>
          <w:spacing w:val="-2"/>
          <w:sz w:val="24"/>
          <w:szCs w:val="24"/>
          <w:lang w:val="es-ES_tradnl"/>
        </w:rPr>
        <w:t>Nacional/</w:t>
      </w:r>
      <w:r w:rsidRPr="00974F11">
        <w:rPr>
          <w:rFonts w:ascii="Times New Roman" w:hAnsi="Times New Roman"/>
          <w:spacing w:val="-2"/>
          <w:sz w:val="24"/>
          <w:szCs w:val="24"/>
          <w:lang w:val="es-ES_tradnl"/>
        </w:rPr>
        <w:t xml:space="preserve">Internacional Nº7, su infraestructura vial, y su proximidad con la Zona Franca y el Parque Industrial Provincial. Dicho predio se acondicionará para facilitar todas las operaciones logísticas relacionadas con la exportación e importación de mercaderías que circulan desde y hacia Mendoza. Además, se prevé la generación de un importante polo de comercialización y distribución de mercaderías para todo el resto del territorio nacional. </w:t>
      </w:r>
    </w:p>
    <w:p w:rsidR="00B37D8A" w:rsidRDefault="00E37457" w:rsidP="003062AE">
      <w:pPr>
        <w:jc w:val="both"/>
        <w:rPr>
          <w:rFonts w:ascii="Times New Roman" w:hAnsi="Times New Roman"/>
          <w:spacing w:val="-2"/>
          <w:sz w:val="24"/>
          <w:szCs w:val="24"/>
          <w:lang w:val="es-ES_tradnl"/>
        </w:rPr>
      </w:pPr>
      <w:r>
        <w:rPr>
          <w:rFonts w:ascii="Times New Roman" w:hAnsi="Times New Roman"/>
          <w:spacing w:val="-2"/>
          <w:sz w:val="24"/>
          <w:szCs w:val="24"/>
          <w:lang w:val="es-ES_tradnl"/>
        </w:rPr>
        <w:t>A través de esta obra</w:t>
      </w:r>
      <w:r w:rsidR="00D535FD">
        <w:rPr>
          <w:rFonts w:ascii="Times New Roman" w:hAnsi="Times New Roman"/>
          <w:spacing w:val="-2"/>
          <w:sz w:val="24"/>
          <w:szCs w:val="24"/>
          <w:lang w:val="es-ES_tradnl"/>
        </w:rPr>
        <w:t>,</w:t>
      </w:r>
      <w:r>
        <w:rPr>
          <w:rFonts w:ascii="Times New Roman" w:hAnsi="Times New Roman"/>
          <w:spacing w:val="-2"/>
          <w:sz w:val="24"/>
          <w:szCs w:val="24"/>
          <w:lang w:val="es-ES_tradnl"/>
        </w:rPr>
        <w:t xml:space="preserve"> en lo inmediato</w:t>
      </w:r>
      <w:r w:rsidR="00D535FD">
        <w:rPr>
          <w:rFonts w:ascii="Times New Roman" w:hAnsi="Times New Roman"/>
          <w:spacing w:val="-2"/>
          <w:sz w:val="24"/>
          <w:szCs w:val="24"/>
          <w:lang w:val="es-ES_tradnl"/>
        </w:rPr>
        <w:t>,</w:t>
      </w:r>
      <w:r>
        <w:rPr>
          <w:rFonts w:ascii="Times New Roman" w:hAnsi="Times New Roman"/>
          <w:spacing w:val="-2"/>
          <w:sz w:val="24"/>
          <w:szCs w:val="24"/>
          <w:lang w:val="es-ES_tradnl"/>
        </w:rPr>
        <w:t xml:space="preserve"> se espera</w:t>
      </w:r>
      <w:r w:rsidR="00B37D8A" w:rsidRPr="00974F11">
        <w:rPr>
          <w:rFonts w:ascii="Times New Roman" w:hAnsi="Times New Roman"/>
          <w:spacing w:val="-2"/>
          <w:sz w:val="24"/>
          <w:szCs w:val="24"/>
          <w:lang w:val="es-ES_tradnl"/>
        </w:rPr>
        <w:t xml:space="preserve">: </w:t>
      </w:r>
      <w:r w:rsidR="00B37D8A">
        <w:rPr>
          <w:rFonts w:ascii="Times New Roman" w:hAnsi="Times New Roman"/>
          <w:spacing w:val="-2"/>
          <w:sz w:val="24"/>
          <w:szCs w:val="24"/>
          <w:lang w:val="es-ES_tradnl"/>
        </w:rPr>
        <w:t>i) m</w:t>
      </w:r>
      <w:r w:rsidR="00B37D8A" w:rsidRPr="00974F11">
        <w:rPr>
          <w:rFonts w:ascii="Times New Roman" w:hAnsi="Times New Roman"/>
          <w:spacing w:val="-2"/>
          <w:sz w:val="24"/>
          <w:szCs w:val="24"/>
          <w:lang w:val="es-ES_tradnl"/>
        </w:rPr>
        <w:t xml:space="preserve">ejorar las condiciones urbanas de la zona donde hoy se emplaza el puerto seco; y </w:t>
      </w:r>
      <w:r w:rsidR="00B37D8A">
        <w:rPr>
          <w:rFonts w:ascii="Times New Roman" w:hAnsi="Times New Roman"/>
          <w:spacing w:val="-2"/>
          <w:sz w:val="24"/>
          <w:szCs w:val="24"/>
          <w:lang w:val="es-ES_tradnl"/>
        </w:rPr>
        <w:t>ii) d</w:t>
      </w:r>
      <w:r w:rsidR="00B37D8A" w:rsidRPr="00974F11">
        <w:rPr>
          <w:rFonts w:ascii="Times New Roman" w:hAnsi="Times New Roman"/>
          <w:spacing w:val="-2"/>
          <w:sz w:val="24"/>
          <w:szCs w:val="24"/>
          <w:lang w:val="es-ES_tradnl"/>
        </w:rPr>
        <w:t xml:space="preserve">otar a la provincia de una nueva infraestructura portuaria con mejores condiciones operativas. </w:t>
      </w:r>
      <w:r>
        <w:rPr>
          <w:rFonts w:ascii="Times New Roman" w:hAnsi="Times New Roman"/>
          <w:spacing w:val="-2"/>
          <w:sz w:val="24"/>
          <w:szCs w:val="24"/>
          <w:lang w:val="es-ES_tradnl"/>
        </w:rPr>
        <w:t>E</w:t>
      </w:r>
      <w:r w:rsidR="00B37D8A" w:rsidRPr="00974F11">
        <w:rPr>
          <w:rFonts w:ascii="Times New Roman" w:hAnsi="Times New Roman"/>
          <w:spacing w:val="-2"/>
          <w:sz w:val="24"/>
          <w:szCs w:val="24"/>
          <w:lang w:val="es-ES_tradnl"/>
        </w:rPr>
        <w:t xml:space="preserve">n el mediano plazo, esta mudanza </w:t>
      </w:r>
      <w:r w:rsidR="00B37D8A">
        <w:rPr>
          <w:rFonts w:ascii="Times New Roman" w:hAnsi="Times New Roman"/>
          <w:spacing w:val="-2"/>
          <w:sz w:val="24"/>
          <w:szCs w:val="24"/>
          <w:lang w:val="es-ES_tradnl"/>
        </w:rPr>
        <w:t>pretende</w:t>
      </w:r>
      <w:r w:rsidR="00B37D8A" w:rsidRPr="00974F11">
        <w:rPr>
          <w:rFonts w:ascii="Times New Roman" w:hAnsi="Times New Roman"/>
          <w:spacing w:val="-2"/>
          <w:sz w:val="24"/>
          <w:szCs w:val="24"/>
          <w:lang w:val="es-ES_tradnl"/>
        </w:rPr>
        <w:t xml:space="preserve"> contribuir a la construcción en Mendoza de un Centro Logístico del Mercosur. La idea de este proyecto, más amplio y ambicioso, es desarrollar en Mendoza una </w:t>
      </w:r>
      <w:r w:rsidR="00B37D8A">
        <w:rPr>
          <w:rFonts w:ascii="Times New Roman" w:hAnsi="Times New Roman"/>
          <w:spacing w:val="-2"/>
          <w:sz w:val="24"/>
          <w:szCs w:val="24"/>
          <w:lang w:val="es-ES_tradnl"/>
        </w:rPr>
        <w:t xml:space="preserve">Nueva </w:t>
      </w:r>
      <w:r w:rsidR="00B37D8A" w:rsidRPr="00974F11">
        <w:rPr>
          <w:rFonts w:ascii="Times New Roman" w:hAnsi="Times New Roman"/>
          <w:spacing w:val="-2"/>
          <w:sz w:val="24"/>
          <w:szCs w:val="24"/>
          <w:lang w:val="es-ES_tradnl"/>
        </w:rPr>
        <w:t>Zona de Actividades Logísticas que permita tomar ventajas del crecimiento del comercio internacional que se espera en la zona, aportando valor agregado a los servicios e incrementando la competitividad de las empresas de transporte y logística de Mendoza y atraer nuevas empresas para usar el puerto en Mendoza.</w:t>
      </w:r>
      <w:r w:rsidR="00B37D8A">
        <w:rPr>
          <w:rFonts w:ascii="Times New Roman" w:hAnsi="Times New Roman"/>
          <w:spacing w:val="-2"/>
          <w:sz w:val="24"/>
          <w:szCs w:val="24"/>
          <w:lang w:val="es-ES_tradnl"/>
        </w:rPr>
        <w:t xml:space="preserve"> La instalación de la </w:t>
      </w:r>
      <w:r w:rsidR="00B37D8A" w:rsidRPr="00EC20F9">
        <w:rPr>
          <w:rFonts w:ascii="Times New Roman" w:hAnsi="Times New Roman"/>
          <w:sz w:val="24"/>
          <w:lang w:val="es-ES"/>
        </w:rPr>
        <w:t xml:space="preserve">Nueva Zona Primaria Aduanera </w:t>
      </w:r>
      <w:r w:rsidR="00B37D8A">
        <w:rPr>
          <w:rFonts w:ascii="Times New Roman" w:hAnsi="Times New Roman"/>
          <w:sz w:val="24"/>
          <w:lang w:val="es-ES"/>
        </w:rPr>
        <w:t>en</w:t>
      </w:r>
      <w:r w:rsidR="00B37D8A" w:rsidRPr="00974F11">
        <w:rPr>
          <w:rFonts w:ascii="Times New Roman" w:hAnsi="Times New Roman"/>
          <w:spacing w:val="-2"/>
          <w:sz w:val="24"/>
          <w:szCs w:val="24"/>
          <w:lang w:val="es-ES_tradnl"/>
        </w:rPr>
        <w:t xml:space="preserve"> Luján de Cuyo es la condición necesaria para iniciar este desarrollo.</w:t>
      </w:r>
      <w:r w:rsidR="00B37D8A" w:rsidRPr="00AB240C">
        <w:rPr>
          <w:rFonts w:ascii="Times New Roman" w:hAnsi="Times New Roman"/>
          <w:sz w:val="24"/>
          <w:lang w:val="es-ES"/>
        </w:rPr>
        <w:t xml:space="preserve"> </w:t>
      </w:r>
    </w:p>
    <w:p w:rsidR="00B37D8A" w:rsidRPr="00C27268" w:rsidRDefault="00B37D8A" w:rsidP="00795D5F">
      <w:pPr>
        <w:pStyle w:val="Heading2"/>
        <w:spacing w:after="240"/>
        <w:rPr>
          <w:rFonts w:ascii="Times New Roman" w:hAnsi="Times New Roman"/>
          <w:lang w:val="es-ES_tradnl"/>
        </w:rPr>
      </w:pPr>
      <w:bookmarkStart w:id="28" w:name="_Toc362804611"/>
      <w:r w:rsidRPr="00C27268">
        <w:rPr>
          <w:rFonts w:ascii="Times New Roman" w:hAnsi="Times New Roman"/>
          <w:lang w:val="es-ES_tradnl"/>
        </w:rPr>
        <w:t>Estimación de beneficios y costos</w:t>
      </w:r>
      <w:bookmarkEnd w:id="28"/>
    </w:p>
    <w:p w:rsidR="00CE0403" w:rsidRDefault="006A11AB" w:rsidP="00E40ABE">
      <w:pPr>
        <w:spacing w:before="240"/>
        <w:jc w:val="both"/>
        <w:rPr>
          <w:rFonts w:ascii="Times New Roman" w:hAnsi="Times New Roman"/>
          <w:sz w:val="24"/>
        </w:rPr>
      </w:pPr>
      <w:r>
        <w:rPr>
          <w:rFonts w:ascii="Times New Roman" w:hAnsi="Times New Roman"/>
          <w:sz w:val="24"/>
        </w:rPr>
        <w:t>Para e</w:t>
      </w:r>
      <w:r w:rsidR="004E2132" w:rsidRPr="004E2132">
        <w:rPr>
          <w:rFonts w:ascii="Times New Roman" w:hAnsi="Times New Roman"/>
          <w:sz w:val="24"/>
        </w:rPr>
        <w:t xml:space="preserve">l análisis </w:t>
      </w:r>
      <w:r>
        <w:rPr>
          <w:rFonts w:ascii="Times New Roman" w:hAnsi="Times New Roman"/>
          <w:sz w:val="24"/>
        </w:rPr>
        <w:t xml:space="preserve">se consideraron </w:t>
      </w:r>
      <w:r w:rsidR="004E2132" w:rsidRPr="004E2132">
        <w:rPr>
          <w:rFonts w:ascii="Times New Roman" w:hAnsi="Times New Roman"/>
          <w:sz w:val="24"/>
        </w:rPr>
        <w:t>los siguientes beneficios potenciales.</w:t>
      </w:r>
    </w:p>
    <w:p w:rsidR="00B37D8A" w:rsidRDefault="00B37D8A" w:rsidP="00E40ABE">
      <w:pPr>
        <w:pStyle w:val="ListParagraph"/>
        <w:numPr>
          <w:ilvl w:val="0"/>
          <w:numId w:val="10"/>
        </w:numPr>
        <w:spacing w:after="0"/>
        <w:jc w:val="both"/>
        <w:rPr>
          <w:rFonts w:ascii="Times New Roman" w:hAnsi="Times New Roman"/>
          <w:sz w:val="24"/>
        </w:rPr>
      </w:pPr>
      <w:r>
        <w:rPr>
          <w:rFonts w:ascii="Times New Roman" w:hAnsi="Times New Roman"/>
          <w:sz w:val="24"/>
        </w:rPr>
        <w:t>L</w:t>
      </w:r>
      <w:r w:rsidRPr="00A00514">
        <w:rPr>
          <w:rFonts w:ascii="Times New Roman" w:hAnsi="Times New Roman"/>
          <w:sz w:val="24"/>
        </w:rPr>
        <w:t>a mejora en la calidad de vida de la población aledaña al actual emplazamiento de la ZPA, a partir de la eliminación de los efectos negativos del tránsito de camiones en el ambiente, la salud humana y la ocurrencia de accidentes.</w:t>
      </w:r>
    </w:p>
    <w:p w:rsidR="00B37D8A" w:rsidRDefault="00B37D8A" w:rsidP="00E40ABE">
      <w:pPr>
        <w:pStyle w:val="ListParagraph"/>
        <w:numPr>
          <w:ilvl w:val="0"/>
          <w:numId w:val="10"/>
        </w:numPr>
        <w:jc w:val="both"/>
        <w:rPr>
          <w:rFonts w:ascii="Times New Roman" w:hAnsi="Times New Roman"/>
          <w:sz w:val="24"/>
        </w:rPr>
      </w:pPr>
      <w:r w:rsidRPr="00AD56DD">
        <w:rPr>
          <w:rFonts w:ascii="Times New Roman" w:hAnsi="Times New Roman"/>
          <w:sz w:val="24"/>
        </w:rPr>
        <w:t xml:space="preserve">El incremento </w:t>
      </w:r>
      <w:r>
        <w:rPr>
          <w:rFonts w:ascii="Times New Roman" w:hAnsi="Times New Roman"/>
          <w:sz w:val="24"/>
        </w:rPr>
        <w:t xml:space="preserve">y la mejora </w:t>
      </w:r>
      <w:r w:rsidRPr="00AD56DD">
        <w:rPr>
          <w:rFonts w:ascii="Times New Roman" w:hAnsi="Times New Roman"/>
          <w:sz w:val="24"/>
        </w:rPr>
        <w:t>en la oferta de servicios logísticos</w:t>
      </w:r>
      <w:r>
        <w:rPr>
          <w:rFonts w:ascii="Times New Roman" w:hAnsi="Times New Roman"/>
          <w:sz w:val="24"/>
        </w:rPr>
        <w:t>.</w:t>
      </w:r>
    </w:p>
    <w:p w:rsidR="00B37D8A" w:rsidRDefault="00B37D8A" w:rsidP="00E40ABE">
      <w:pPr>
        <w:pStyle w:val="ListParagraph"/>
        <w:numPr>
          <w:ilvl w:val="0"/>
          <w:numId w:val="10"/>
        </w:numPr>
        <w:jc w:val="both"/>
        <w:rPr>
          <w:rFonts w:ascii="Times New Roman" w:hAnsi="Times New Roman"/>
          <w:sz w:val="24"/>
        </w:rPr>
      </w:pPr>
      <w:r>
        <w:rPr>
          <w:rFonts w:ascii="Times New Roman" w:hAnsi="Times New Roman"/>
          <w:sz w:val="24"/>
        </w:rPr>
        <w:t xml:space="preserve">La </w:t>
      </w:r>
      <w:r w:rsidR="002E2FB8">
        <w:rPr>
          <w:rFonts w:ascii="Times New Roman" w:hAnsi="Times New Roman"/>
          <w:sz w:val="24"/>
        </w:rPr>
        <w:t xml:space="preserve">mejora en la competitividad de las empresas que operan con la ZPA a partir de la </w:t>
      </w:r>
      <w:r>
        <w:rPr>
          <w:rFonts w:ascii="Times New Roman" w:hAnsi="Times New Roman"/>
          <w:sz w:val="24"/>
        </w:rPr>
        <w:t xml:space="preserve">reducción de tiempo de </w:t>
      </w:r>
      <w:r w:rsidR="002E2FB8">
        <w:rPr>
          <w:rFonts w:ascii="Times New Roman" w:hAnsi="Times New Roman"/>
          <w:sz w:val="24"/>
        </w:rPr>
        <w:t xml:space="preserve">procesamiento de cargas, específicamente, el tiempo de </w:t>
      </w:r>
      <w:r>
        <w:rPr>
          <w:rFonts w:ascii="Times New Roman" w:hAnsi="Times New Roman"/>
          <w:sz w:val="24"/>
        </w:rPr>
        <w:t>espera de camiones.</w:t>
      </w:r>
    </w:p>
    <w:p w:rsidR="004E2132" w:rsidRPr="004E2132" w:rsidRDefault="006A11AB" w:rsidP="004E2132">
      <w:pPr>
        <w:jc w:val="both"/>
        <w:rPr>
          <w:rFonts w:ascii="Times New Roman" w:hAnsi="Times New Roman"/>
          <w:b/>
          <w:color w:val="FF0000"/>
          <w:sz w:val="24"/>
        </w:rPr>
      </w:pPr>
      <w:r>
        <w:rPr>
          <w:rFonts w:ascii="Times New Roman" w:hAnsi="Times New Roman"/>
          <w:sz w:val="24"/>
        </w:rPr>
        <w:t>Estos están alineados con los beneficios propuestos en</w:t>
      </w:r>
      <w:r w:rsidR="004E2132" w:rsidRPr="004E2132">
        <w:rPr>
          <w:rFonts w:ascii="Times New Roman" w:hAnsi="Times New Roman"/>
          <w:sz w:val="24"/>
        </w:rPr>
        <w:t xml:space="preserve"> la matriz de resultados propuesta, en la cual se plantean como indicadores  de resultado del programa la reducción de ingreso de camiones a la zona residencial, y el aumento en la cobertura de cargas a partir de la oferta de nuevos servicios de la ZPA </w:t>
      </w:r>
    </w:p>
    <w:p w:rsidR="00B37D8A" w:rsidRDefault="00CA0BBF" w:rsidP="00E40ABE">
      <w:pPr>
        <w:jc w:val="both"/>
        <w:rPr>
          <w:rFonts w:ascii="Times New Roman" w:hAnsi="Times New Roman"/>
          <w:sz w:val="24"/>
        </w:rPr>
      </w:pPr>
      <w:r>
        <w:rPr>
          <w:rFonts w:ascii="Times New Roman" w:hAnsi="Times New Roman"/>
          <w:sz w:val="24"/>
        </w:rPr>
        <w:t>L</w:t>
      </w:r>
      <w:r w:rsidR="00B37D8A" w:rsidRPr="00AD56DD">
        <w:rPr>
          <w:rFonts w:ascii="Times New Roman" w:hAnsi="Times New Roman"/>
          <w:sz w:val="24"/>
        </w:rPr>
        <w:t xml:space="preserve">os costos principales considerados son los </w:t>
      </w:r>
      <w:r w:rsidR="00B37D8A">
        <w:rPr>
          <w:rFonts w:ascii="Times New Roman" w:hAnsi="Times New Roman"/>
          <w:sz w:val="24"/>
        </w:rPr>
        <w:t>vinculados a la</w:t>
      </w:r>
      <w:r w:rsidR="00B37D8A" w:rsidRPr="00AD56DD">
        <w:rPr>
          <w:rFonts w:ascii="Times New Roman" w:hAnsi="Times New Roman"/>
          <w:sz w:val="24"/>
        </w:rPr>
        <w:t xml:space="preserve"> implementación del proyecto</w:t>
      </w:r>
      <w:r w:rsidR="00B37D8A">
        <w:rPr>
          <w:rFonts w:ascii="Times New Roman" w:hAnsi="Times New Roman"/>
          <w:sz w:val="24"/>
        </w:rPr>
        <w:t>, es decir a las obras de traslado del puerto seco</w:t>
      </w:r>
      <w:r w:rsidR="00B37D8A" w:rsidRPr="00AD56DD">
        <w:rPr>
          <w:rFonts w:ascii="Times New Roman" w:hAnsi="Times New Roman"/>
          <w:sz w:val="24"/>
        </w:rPr>
        <w:t xml:space="preserve">. </w:t>
      </w:r>
    </w:p>
    <w:p w:rsidR="004E2132" w:rsidRDefault="00CA0BBF" w:rsidP="004E2132">
      <w:pPr>
        <w:spacing w:before="240"/>
        <w:jc w:val="both"/>
        <w:rPr>
          <w:rFonts w:ascii="Times New Roman" w:hAnsi="Times New Roman"/>
          <w:sz w:val="24"/>
        </w:rPr>
      </w:pPr>
      <w:r>
        <w:rPr>
          <w:rFonts w:ascii="Times New Roman" w:hAnsi="Times New Roman"/>
          <w:sz w:val="24"/>
        </w:rPr>
        <w:t xml:space="preserve">Para cuantificar estos beneficios y costos nos basamos en información </w:t>
      </w:r>
      <w:r w:rsidR="004E2132">
        <w:rPr>
          <w:rFonts w:ascii="Times New Roman" w:hAnsi="Times New Roman"/>
          <w:sz w:val="24"/>
        </w:rPr>
        <w:t>pr</w:t>
      </w:r>
      <w:r>
        <w:rPr>
          <w:rFonts w:ascii="Times New Roman" w:hAnsi="Times New Roman"/>
          <w:sz w:val="24"/>
        </w:rPr>
        <w:t>o</w:t>
      </w:r>
      <w:r w:rsidR="004E2132">
        <w:rPr>
          <w:rFonts w:ascii="Times New Roman" w:hAnsi="Times New Roman"/>
          <w:sz w:val="24"/>
        </w:rPr>
        <w:t xml:space="preserve">vista </w:t>
      </w:r>
      <w:r>
        <w:rPr>
          <w:rFonts w:ascii="Times New Roman" w:hAnsi="Times New Roman"/>
          <w:sz w:val="24"/>
        </w:rPr>
        <w:t xml:space="preserve"> por </w:t>
      </w:r>
      <w:r w:rsidR="004E2132">
        <w:rPr>
          <w:rFonts w:ascii="Times New Roman" w:hAnsi="Times New Roman"/>
          <w:sz w:val="24"/>
        </w:rPr>
        <w:t xml:space="preserve">el IDITS (2012) en conjunto con el Ministerio de Agroindustria y Tecnología de Mendoza, </w:t>
      </w:r>
      <w:r>
        <w:rPr>
          <w:rFonts w:ascii="Times New Roman" w:hAnsi="Times New Roman"/>
          <w:sz w:val="24"/>
        </w:rPr>
        <w:t>en</w:t>
      </w:r>
      <w:r w:rsidR="004E2132" w:rsidRPr="0086731F">
        <w:rPr>
          <w:rFonts w:ascii="Times New Roman" w:hAnsi="Times New Roman"/>
          <w:sz w:val="24"/>
        </w:rPr>
        <w:t xml:space="preserve"> un documento de CEPAL</w:t>
      </w:r>
      <w:r w:rsidR="004E2132">
        <w:rPr>
          <w:rFonts w:ascii="Times New Roman" w:hAnsi="Times New Roman"/>
          <w:sz w:val="24"/>
        </w:rPr>
        <w:t xml:space="preserve"> sobre congestión de tránsito y sus efectos </w:t>
      </w:r>
      <w:r w:rsidR="004E2132" w:rsidRPr="0032796E">
        <w:rPr>
          <w:rFonts w:ascii="Times New Roman" w:hAnsi="Times New Roman"/>
          <w:sz w:val="24"/>
        </w:rPr>
        <w:t>(C</w:t>
      </w:r>
      <w:r w:rsidR="004E2132">
        <w:rPr>
          <w:rFonts w:ascii="Times New Roman" w:hAnsi="Times New Roman"/>
          <w:sz w:val="24"/>
        </w:rPr>
        <w:t>EPAL</w:t>
      </w:r>
      <w:r w:rsidR="004E2132" w:rsidRPr="0032796E">
        <w:rPr>
          <w:rFonts w:ascii="Times New Roman" w:hAnsi="Times New Roman"/>
          <w:sz w:val="24"/>
        </w:rPr>
        <w:t xml:space="preserve"> 2003)</w:t>
      </w:r>
      <w:r w:rsidR="004E2132">
        <w:rPr>
          <w:rFonts w:ascii="Times New Roman" w:hAnsi="Times New Roman"/>
          <w:sz w:val="24"/>
        </w:rPr>
        <w:t xml:space="preserve">, </w:t>
      </w:r>
      <w:r>
        <w:rPr>
          <w:rFonts w:ascii="Times New Roman" w:hAnsi="Times New Roman"/>
          <w:sz w:val="24"/>
        </w:rPr>
        <w:t xml:space="preserve">y en </w:t>
      </w:r>
      <w:r w:rsidR="004E2132">
        <w:rPr>
          <w:rFonts w:ascii="Times New Roman" w:hAnsi="Times New Roman"/>
          <w:sz w:val="24"/>
        </w:rPr>
        <w:t>un informe elaborado por la consultora AIC (2013) para el gobierno de Mendoza</w:t>
      </w:r>
      <w:r>
        <w:rPr>
          <w:rFonts w:ascii="Times New Roman" w:hAnsi="Times New Roman"/>
          <w:sz w:val="24"/>
        </w:rPr>
        <w:t xml:space="preserve">. Se utilizó también </w:t>
      </w:r>
      <w:r w:rsidR="004E2132">
        <w:rPr>
          <w:rFonts w:ascii="Times New Roman" w:hAnsi="Times New Roman"/>
          <w:sz w:val="24"/>
        </w:rPr>
        <w:t xml:space="preserve">el </w:t>
      </w:r>
      <w:r w:rsidR="004E2132" w:rsidRPr="009E2239">
        <w:rPr>
          <w:rFonts w:ascii="Times New Roman" w:hAnsi="Times New Roman"/>
          <w:i/>
          <w:sz w:val="24"/>
        </w:rPr>
        <w:t>software</w:t>
      </w:r>
      <w:r w:rsidR="004E2132">
        <w:rPr>
          <w:rFonts w:ascii="Times New Roman" w:hAnsi="Times New Roman"/>
          <w:sz w:val="24"/>
        </w:rPr>
        <w:t xml:space="preserve"> HDM-4</w:t>
      </w:r>
      <w:r>
        <w:rPr>
          <w:rFonts w:ascii="Times New Roman" w:hAnsi="Times New Roman"/>
          <w:sz w:val="24"/>
        </w:rPr>
        <w:t>.</w:t>
      </w:r>
    </w:p>
    <w:p w:rsidR="00B37D8A" w:rsidRPr="00037876" w:rsidRDefault="00B37D8A" w:rsidP="00E40ABE">
      <w:pPr>
        <w:jc w:val="both"/>
        <w:rPr>
          <w:rFonts w:ascii="Times New Roman" w:hAnsi="Times New Roman"/>
          <w:b/>
          <w:color w:val="FF0000"/>
          <w:sz w:val="24"/>
        </w:rPr>
      </w:pPr>
      <w:r w:rsidRPr="00AD56DD">
        <w:rPr>
          <w:rFonts w:ascii="Times New Roman" w:hAnsi="Times New Roman"/>
          <w:sz w:val="24"/>
        </w:rPr>
        <w:lastRenderedPageBreak/>
        <w:t xml:space="preserve">En lo que sigue describimos en más detalles como </w:t>
      </w:r>
      <w:r>
        <w:rPr>
          <w:rFonts w:ascii="Times New Roman" w:hAnsi="Times New Roman"/>
          <w:sz w:val="24"/>
        </w:rPr>
        <w:t xml:space="preserve">se </w:t>
      </w:r>
      <w:r w:rsidRPr="00AD56DD">
        <w:rPr>
          <w:rFonts w:ascii="Times New Roman" w:hAnsi="Times New Roman"/>
          <w:sz w:val="24"/>
        </w:rPr>
        <w:t>estima</w:t>
      </w:r>
      <w:r w:rsidR="00CA0BBF">
        <w:rPr>
          <w:rFonts w:ascii="Times New Roman" w:hAnsi="Times New Roman"/>
          <w:sz w:val="24"/>
        </w:rPr>
        <w:t xml:space="preserve">ron los beneficios y costos. La Tabla 2 en el Anexo 1 sintetiza </w:t>
      </w:r>
      <w:r>
        <w:rPr>
          <w:rFonts w:ascii="Times New Roman" w:hAnsi="Times New Roman"/>
          <w:sz w:val="24"/>
        </w:rPr>
        <w:t xml:space="preserve"> </w:t>
      </w:r>
      <w:r w:rsidR="00CA0BBF">
        <w:rPr>
          <w:rFonts w:ascii="Times New Roman" w:hAnsi="Times New Roman"/>
          <w:sz w:val="24"/>
        </w:rPr>
        <w:t>toda la información</w:t>
      </w:r>
      <w:r w:rsidRPr="00CB7530">
        <w:rPr>
          <w:rFonts w:ascii="Times New Roman" w:hAnsi="Times New Roman"/>
          <w:sz w:val="24"/>
        </w:rPr>
        <w:t>.</w:t>
      </w:r>
    </w:p>
    <w:p w:rsidR="00B37D8A" w:rsidRPr="00CA0BBF" w:rsidRDefault="00B37D8A" w:rsidP="00E40ABE">
      <w:pPr>
        <w:spacing w:before="240"/>
        <w:jc w:val="both"/>
        <w:rPr>
          <w:rFonts w:ascii="Times New Roman" w:hAnsi="Times New Roman"/>
          <w:b/>
          <w:i/>
          <w:sz w:val="24"/>
        </w:rPr>
      </w:pPr>
      <w:r w:rsidRPr="00CA0BBF">
        <w:rPr>
          <w:rFonts w:ascii="Times New Roman" w:hAnsi="Times New Roman"/>
          <w:b/>
          <w:i/>
          <w:sz w:val="24"/>
        </w:rPr>
        <w:t>A. BENEFICIOS</w:t>
      </w:r>
    </w:p>
    <w:p w:rsidR="00B37D8A" w:rsidRPr="00CA0BBF" w:rsidRDefault="00B37D8A" w:rsidP="00E40ABE">
      <w:pPr>
        <w:spacing w:before="240"/>
        <w:jc w:val="both"/>
        <w:rPr>
          <w:rFonts w:ascii="Times New Roman" w:hAnsi="Times New Roman"/>
          <w:i/>
          <w:sz w:val="24"/>
        </w:rPr>
      </w:pPr>
      <w:r w:rsidRPr="00CA0BBF">
        <w:rPr>
          <w:rFonts w:ascii="Times New Roman" w:hAnsi="Times New Roman"/>
          <w:i/>
          <w:sz w:val="24"/>
        </w:rPr>
        <w:t xml:space="preserve">i) Mejora en la calidad de vida de la población aledaña al actual emplazamiento de la ZPA </w:t>
      </w:r>
    </w:p>
    <w:p w:rsidR="00B37D8A" w:rsidRDefault="00B37D8A" w:rsidP="00E40ABE">
      <w:pPr>
        <w:spacing w:before="240"/>
        <w:jc w:val="both"/>
        <w:rPr>
          <w:rFonts w:ascii="Times New Roman" w:hAnsi="Times New Roman"/>
          <w:sz w:val="24"/>
        </w:rPr>
      </w:pPr>
      <w:r>
        <w:rPr>
          <w:rFonts w:ascii="Times New Roman" w:hAnsi="Times New Roman"/>
          <w:sz w:val="24"/>
        </w:rPr>
        <w:t>Par</w:t>
      </w:r>
      <w:r w:rsidRPr="0086731F">
        <w:rPr>
          <w:rFonts w:ascii="Times New Roman" w:hAnsi="Times New Roman"/>
          <w:sz w:val="24"/>
        </w:rPr>
        <w:t xml:space="preserve">a este beneficio se consideran la eliminación de los efectos negativos que el tránsito constante de camiones tiene sobre el medio ambiente, sobre la salud humana y sobre la ocurrencia de accidentes automovilísticos. Para ello se utiliza el software HDM-4 y un informe realizado por la consultora AIC </w:t>
      </w:r>
      <w:r>
        <w:rPr>
          <w:rFonts w:ascii="Times New Roman" w:hAnsi="Times New Roman"/>
          <w:sz w:val="24"/>
        </w:rPr>
        <w:t>(2013) para el Ministerio de Hacienda de Mendoza. Según este informe, el tráfico de camiones hacia la ZPA es para 2013 de 48.808 vehículos. Dichos valores crecen a una tasa de 4,38% anual entre el año 2 y el año 11 y luego al 2,19% anual, lo que implica llegar a 91.062 camiones al año. Adicionalmente, se define como radio de incidencia para efectuar el análisis de mejora en la calidad de vida, a 35 km. a la redonda desde la ubicación actual del puerto seco.</w:t>
      </w:r>
    </w:p>
    <w:p w:rsidR="00B37D8A" w:rsidRPr="00BA0C26" w:rsidRDefault="00B37D8A" w:rsidP="00E40ABE">
      <w:pPr>
        <w:spacing w:before="240"/>
        <w:jc w:val="both"/>
        <w:rPr>
          <w:rFonts w:ascii="Times New Roman" w:hAnsi="Times New Roman"/>
          <w:sz w:val="24"/>
          <w:u w:val="single"/>
        </w:rPr>
      </w:pPr>
      <w:r w:rsidRPr="00BA0C26">
        <w:rPr>
          <w:rFonts w:ascii="Times New Roman" w:hAnsi="Times New Roman"/>
          <w:sz w:val="24"/>
          <w:u w:val="single"/>
        </w:rPr>
        <w:t>i.1) Efectos sobre el medio ambiente (efecto invernadero)</w:t>
      </w:r>
    </w:p>
    <w:p w:rsidR="00B37D8A" w:rsidRPr="0063010D" w:rsidRDefault="00B37D8A" w:rsidP="00E40ABE">
      <w:pPr>
        <w:spacing w:before="240"/>
        <w:jc w:val="both"/>
        <w:rPr>
          <w:rFonts w:ascii="Times New Roman" w:hAnsi="Times New Roman"/>
          <w:sz w:val="24"/>
        </w:rPr>
      </w:pPr>
      <w:r>
        <w:rPr>
          <w:rFonts w:ascii="Times New Roman" w:hAnsi="Times New Roman"/>
          <w:sz w:val="24"/>
        </w:rPr>
        <w:t xml:space="preserve">Utilizando el </w:t>
      </w:r>
      <w:r w:rsidRPr="001C779A">
        <w:rPr>
          <w:rFonts w:ascii="Times New Roman" w:hAnsi="Times New Roman"/>
          <w:i/>
          <w:sz w:val="24"/>
        </w:rPr>
        <w:t>software</w:t>
      </w:r>
      <w:r>
        <w:rPr>
          <w:rFonts w:ascii="Times New Roman" w:hAnsi="Times New Roman"/>
          <w:i/>
          <w:sz w:val="24"/>
        </w:rPr>
        <w:t xml:space="preserve"> </w:t>
      </w:r>
      <w:r>
        <w:rPr>
          <w:rFonts w:ascii="Times New Roman" w:hAnsi="Times New Roman"/>
          <w:sz w:val="24"/>
        </w:rPr>
        <w:t>HDM-4, se estiman las emisiones de gases de camiones medianos (los que más transitan hacia la ZPA). Dichas emisiones se detallan en la tabla a continuación, medidas en gramos por kilómetro para un vehículo en un año.</w:t>
      </w:r>
      <w:r w:rsidRPr="0063010D">
        <w:rPr>
          <w:rFonts w:ascii="Times New Roman" w:hAnsi="Times New Roman"/>
          <w:sz w:val="24"/>
        </w:rPr>
        <w:t xml:space="preserve"> </w:t>
      </w:r>
    </w:p>
    <w:tbl>
      <w:tblPr>
        <w:tblW w:w="5750"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4"/>
        <w:gridCol w:w="2456"/>
      </w:tblGrid>
      <w:tr w:rsidR="00B37D8A" w:rsidRPr="004A3EA4" w:rsidTr="0085600D">
        <w:trPr>
          <w:trHeight w:val="53"/>
          <w:jc w:val="center"/>
        </w:trPr>
        <w:tc>
          <w:tcPr>
            <w:tcW w:w="3294" w:type="dxa"/>
            <w:shd w:val="clear" w:color="auto" w:fill="D9D9D9"/>
            <w:noWrap/>
            <w:vAlign w:val="center"/>
          </w:tcPr>
          <w:p w:rsidR="00B37D8A" w:rsidRPr="004A3EA4" w:rsidRDefault="00B37D8A" w:rsidP="0085600D">
            <w:pPr>
              <w:spacing w:after="0" w:line="240" w:lineRule="auto"/>
              <w:jc w:val="center"/>
              <w:rPr>
                <w:rFonts w:ascii="Arial" w:hAnsi="Arial" w:cs="Arial"/>
                <w:sz w:val="18"/>
                <w:szCs w:val="20"/>
                <w:lang w:val="en-US"/>
              </w:rPr>
            </w:pPr>
            <w:r w:rsidRPr="004A3EA4">
              <w:rPr>
                <w:rFonts w:ascii="Arial" w:hAnsi="Arial" w:cs="Arial"/>
                <w:sz w:val="18"/>
                <w:szCs w:val="20"/>
                <w:lang w:val="en-US"/>
              </w:rPr>
              <w:t>Emisión</w:t>
            </w:r>
          </w:p>
        </w:tc>
        <w:tc>
          <w:tcPr>
            <w:tcW w:w="2456" w:type="dxa"/>
            <w:shd w:val="clear" w:color="auto" w:fill="D9D9D9"/>
            <w:vAlign w:val="center"/>
          </w:tcPr>
          <w:p w:rsidR="00B37D8A" w:rsidRPr="004A3EA4" w:rsidRDefault="00B37D8A" w:rsidP="0085600D">
            <w:pPr>
              <w:spacing w:after="0" w:line="240" w:lineRule="auto"/>
              <w:jc w:val="center"/>
              <w:rPr>
                <w:rFonts w:ascii="Arial" w:hAnsi="Arial" w:cs="Arial"/>
                <w:sz w:val="18"/>
                <w:szCs w:val="20"/>
              </w:rPr>
            </w:pPr>
            <w:r w:rsidRPr="004A3EA4">
              <w:rPr>
                <w:rFonts w:ascii="Arial" w:hAnsi="Arial" w:cs="Arial"/>
                <w:sz w:val="18"/>
                <w:szCs w:val="20"/>
              </w:rPr>
              <w:t>Gramos por kilómetro</w:t>
            </w:r>
          </w:p>
        </w:tc>
      </w:tr>
      <w:tr w:rsidR="00B37D8A" w:rsidRPr="004A3EA4" w:rsidTr="0085600D">
        <w:trPr>
          <w:trHeight w:val="53"/>
          <w:jc w:val="center"/>
        </w:trPr>
        <w:tc>
          <w:tcPr>
            <w:tcW w:w="3294" w:type="dxa"/>
            <w:noWrap/>
            <w:vAlign w:val="bottom"/>
          </w:tcPr>
          <w:p w:rsidR="00B37D8A" w:rsidRPr="004A3EA4" w:rsidRDefault="00B37D8A" w:rsidP="0085600D">
            <w:pPr>
              <w:spacing w:after="0" w:line="240" w:lineRule="auto"/>
              <w:rPr>
                <w:rFonts w:ascii="Arial" w:hAnsi="Arial" w:cs="Arial"/>
                <w:sz w:val="18"/>
                <w:szCs w:val="20"/>
                <w:lang w:val="es-ES_tradnl"/>
              </w:rPr>
            </w:pPr>
            <w:r w:rsidRPr="004A3EA4">
              <w:rPr>
                <w:rFonts w:ascii="Arial" w:hAnsi="Arial" w:cs="Arial"/>
                <w:sz w:val="18"/>
                <w:szCs w:val="20"/>
                <w:lang w:val="es-ES_tradnl"/>
              </w:rPr>
              <w:t>Dióxido de Carbono - CO</w:t>
            </w:r>
            <w:r w:rsidRPr="004A3EA4">
              <w:rPr>
                <w:rFonts w:ascii="Arial" w:hAnsi="Arial" w:cs="Arial"/>
                <w:sz w:val="18"/>
                <w:szCs w:val="20"/>
                <w:vertAlign w:val="subscript"/>
                <w:lang w:val="es-ES_tradnl"/>
              </w:rPr>
              <w:t>2</w:t>
            </w:r>
            <w:r w:rsidRPr="004A3EA4">
              <w:rPr>
                <w:rFonts w:ascii="Arial" w:hAnsi="Arial" w:cs="Arial"/>
                <w:sz w:val="18"/>
                <w:szCs w:val="20"/>
                <w:lang w:val="es-ES_tradnl"/>
              </w:rPr>
              <w:t xml:space="preserve"> (g/km)</w:t>
            </w:r>
          </w:p>
        </w:tc>
        <w:tc>
          <w:tcPr>
            <w:tcW w:w="2456" w:type="dxa"/>
            <w:vAlign w:val="bottom"/>
          </w:tcPr>
          <w:p w:rsidR="00B37D8A" w:rsidRPr="004A3EA4" w:rsidRDefault="00B37D8A" w:rsidP="0085600D">
            <w:pPr>
              <w:spacing w:after="0" w:line="240" w:lineRule="auto"/>
              <w:jc w:val="center"/>
              <w:rPr>
                <w:rFonts w:ascii="Arial" w:hAnsi="Arial" w:cs="Arial"/>
                <w:sz w:val="18"/>
                <w:szCs w:val="20"/>
              </w:rPr>
            </w:pPr>
            <w:r w:rsidRPr="004A3EA4">
              <w:rPr>
                <w:rFonts w:ascii="Arial" w:hAnsi="Arial" w:cs="Arial"/>
                <w:sz w:val="18"/>
                <w:szCs w:val="20"/>
              </w:rPr>
              <w:t>504,596</w:t>
            </w:r>
          </w:p>
        </w:tc>
      </w:tr>
      <w:tr w:rsidR="00B37D8A" w:rsidRPr="004A3EA4" w:rsidTr="0085600D">
        <w:trPr>
          <w:trHeight w:val="118"/>
          <w:jc w:val="center"/>
        </w:trPr>
        <w:tc>
          <w:tcPr>
            <w:tcW w:w="3294" w:type="dxa"/>
            <w:noWrap/>
            <w:vAlign w:val="bottom"/>
          </w:tcPr>
          <w:p w:rsidR="00B37D8A" w:rsidRPr="004A3EA4" w:rsidRDefault="00B37D8A" w:rsidP="0085600D">
            <w:pPr>
              <w:spacing w:after="0" w:line="240" w:lineRule="auto"/>
              <w:rPr>
                <w:rFonts w:ascii="Arial" w:hAnsi="Arial" w:cs="Arial"/>
                <w:sz w:val="18"/>
                <w:szCs w:val="20"/>
                <w:lang w:val="es-ES_tradnl"/>
              </w:rPr>
            </w:pPr>
            <w:r w:rsidRPr="004A3EA4">
              <w:rPr>
                <w:rFonts w:ascii="Arial" w:hAnsi="Arial" w:cs="Arial"/>
                <w:sz w:val="18"/>
                <w:szCs w:val="20"/>
                <w:lang w:val="es-ES_tradnl"/>
              </w:rPr>
              <w:t>Monóxido de Carbono - CO (g/km)</w:t>
            </w:r>
          </w:p>
        </w:tc>
        <w:tc>
          <w:tcPr>
            <w:tcW w:w="2456" w:type="dxa"/>
            <w:vAlign w:val="bottom"/>
          </w:tcPr>
          <w:p w:rsidR="00B37D8A" w:rsidRPr="004A3EA4" w:rsidRDefault="00B37D8A" w:rsidP="0085600D">
            <w:pPr>
              <w:spacing w:after="0" w:line="240" w:lineRule="auto"/>
              <w:jc w:val="center"/>
              <w:rPr>
                <w:rFonts w:ascii="Arial" w:hAnsi="Arial" w:cs="Arial"/>
                <w:sz w:val="18"/>
                <w:szCs w:val="20"/>
              </w:rPr>
            </w:pPr>
            <w:r w:rsidRPr="004A3EA4">
              <w:rPr>
                <w:rFonts w:ascii="Arial" w:hAnsi="Arial" w:cs="Arial"/>
                <w:sz w:val="18"/>
                <w:szCs w:val="20"/>
              </w:rPr>
              <w:t>2,077</w:t>
            </w:r>
          </w:p>
        </w:tc>
      </w:tr>
      <w:tr w:rsidR="00B37D8A" w:rsidRPr="004A3EA4" w:rsidTr="0085600D">
        <w:trPr>
          <w:trHeight w:val="53"/>
          <w:jc w:val="center"/>
        </w:trPr>
        <w:tc>
          <w:tcPr>
            <w:tcW w:w="3294" w:type="dxa"/>
            <w:noWrap/>
            <w:vAlign w:val="bottom"/>
          </w:tcPr>
          <w:p w:rsidR="00B37D8A" w:rsidRPr="004A3EA4" w:rsidRDefault="00B37D8A" w:rsidP="0085600D">
            <w:pPr>
              <w:spacing w:after="0" w:line="240" w:lineRule="auto"/>
              <w:rPr>
                <w:rFonts w:ascii="Arial" w:hAnsi="Arial" w:cs="Arial"/>
                <w:sz w:val="18"/>
                <w:szCs w:val="20"/>
              </w:rPr>
            </w:pPr>
            <w:r w:rsidRPr="004A3EA4">
              <w:rPr>
                <w:rFonts w:ascii="Arial" w:hAnsi="Arial" w:cs="Arial"/>
                <w:sz w:val="18"/>
                <w:szCs w:val="20"/>
              </w:rPr>
              <w:t>Hidrocarburos - HC (g/km)</w:t>
            </w:r>
          </w:p>
        </w:tc>
        <w:tc>
          <w:tcPr>
            <w:tcW w:w="2456" w:type="dxa"/>
            <w:vAlign w:val="bottom"/>
          </w:tcPr>
          <w:p w:rsidR="00B37D8A" w:rsidRPr="004A3EA4" w:rsidRDefault="00B37D8A" w:rsidP="0085600D">
            <w:pPr>
              <w:spacing w:after="0" w:line="240" w:lineRule="auto"/>
              <w:jc w:val="center"/>
              <w:rPr>
                <w:rFonts w:ascii="Arial" w:hAnsi="Arial" w:cs="Arial"/>
                <w:sz w:val="18"/>
                <w:szCs w:val="20"/>
              </w:rPr>
            </w:pPr>
            <w:r w:rsidRPr="004A3EA4">
              <w:rPr>
                <w:rFonts w:ascii="Arial" w:hAnsi="Arial" w:cs="Arial"/>
                <w:sz w:val="18"/>
                <w:szCs w:val="20"/>
              </w:rPr>
              <w:t>2,241</w:t>
            </w:r>
          </w:p>
        </w:tc>
      </w:tr>
      <w:tr w:rsidR="00B37D8A" w:rsidRPr="004A3EA4" w:rsidTr="0085600D">
        <w:trPr>
          <w:trHeight w:val="109"/>
          <w:jc w:val="center"/>
        </w:trPr>
        <w:tc>
          <w:tcPr>
            <w:tcW w:w="3294" w:type="dxa"/>
            <w:noWrap/>
            <w:vAlign w:val="bottom"/>
          </w:tcPr>
          <w:p w:rsidR="00B37D8A" w:rsidRPr="004A3EA4" w:rsidRDefault="00B37D8A" w:rsidP="0085600D">
            <w:pPr>
              <w:spacing w:after="0" w:line="240" w:lineRule="auto"/>
              <w:rPr>
                <w:rFonts w:ascii="Arial" w:hAnsi="Arial" w:cs="Arial"/>
                <w:sz w:val="18"/>
                <w:szCs w:val="20"/>
                <w:lang w:val="es-ES_tradnl"/>
              </w:rPr>
            </w:pPr>
            <w:r w:rsidRPr="004A3EA4">
              <w:rPr>
                <w:rFonts w:ascii="Arial" w:hAnsi="Arial" w:cs="Arial"/>
                <w:sz w:val="18"/>
                <w:szCs w:val="20"/>
                <w:lang w:val="es-ES_tradnl"/>
              </w:rPr>
              <w:t>Óxido de Nitrógeno - N</w:t>
            </w:r>
            <w:r w:rsidRPr="004A3EA4">
              <w:rPr>
                <w:rFonts w:ascii="Arial" w:hAnsi="Arial" w:cs="Arial"/>
                <w:sz w:val="18"/>
                <w:szCs w:val="20"/>
                <w:vertAlign w:val="subscript"/>
                <w:lang w:val="es-ES_tradnl"/>
              </w:rPr>
              <w:t>2</w:t>
            </w:r>
            <w:r w:rsidRPr="004A3EA4">
              <w:rPr>
                <w:rFonts w:ascii="Arial" w:hAnsi="Arial" w:cs="Arial"/>
                <w:sz w:val="18"/>
                <w:szCs w:val="20"/>
                <w:lang w:val="es-ES_tradnl"/>
              </w:rPr>
              <w:t>O (g/km)</w:t>
            </w:r>
          </w:p>
        </w:tc>
        <w:tc>
          <w:tcPr>
            <w:tcW w:w="2456" w:type="dxa"/>
            <w:vAlign w:val="bottom"/>
          </w:tcPr>
          <w:p w:rsidR="00B37D8A" w:rsidRPr="004A3EA4" w:rsidRDefault="00B37D8A" w:rsidP="0085600D">
            <w:pPr>
              <w:spacing w:after="0" w:line="240" w:lineRule="auto"/>
              <w:jc w:val="center"/>
              <w:rPr>
                <w:rFonts w:ascii="Arial" w:hAnsi="Arial" w:cs="Arial"/>
                <w:sz w:val="18"/>
                <w:szCs w:val="20"/>
              </w:rPr>
            </w:pPr>
            <w:r w:rsidRPr="004A3EA4">
              <w:rPr>
                <w:rFonts w:ascii="Arial" w:hAnsi="Arial" w:cs="Arial"/>
                <w:sz w:val="18"/>
                <w:szCs w:val="20"/>
              </w:rPr>
              <w:t>7,741</w:t>
            </w:r>
          </w:p>
        </w:tc>
      </w:tr>
      <w:tr w:rsidR="00B37D8A" w:rsidRPr="004A3EA4" w:rsidTr="0085600D">
        <w:trPr>
          <w:trHeight w:val="53"/>
          <w:jc w:val="center"/>
        </w:trPr>
        <w:tc>
          <w:tcPr>
            <w:tcW w:w="3294" w:type="dxa"/>
            <w:noWrap/>
            <w:vAlign w:val="bottom"/>
          </w:tcPr>
          <w:p w:rsidR="00B37D8A" w:rsidRPr="004A3EA4" w:rsidRDefault="00B37D8A" w:rsidP="0085600D">
            <w:pPr>
              <w:spacing w:after="0" w:line="240" w:lineRule="auto"/>
              <w:rPr>
                <w:rFonts w:ascii="Arial" w:hAnsi="Arial" w:cs="Arial"/>
                <w:sz w:val="18"/>
                <w:szCs w:val="20"/>
              </w:rPr>
            </w:pPr>
            <w:r w:rsidRPr="004A3EA4">
              <w:rPr>
                <w:rFonts w:ascii="Arial" w:hAnsi="Arial" w:cs="Arial"/>
                <w:sz w:val="18"/>
                <w:szCs w:val="20"/>
              </w:rPr>
              <w:t>Partículas</w:t>
            </w:r>
            <w:r w:rsidRPr="004A3EA4">
              <w:rPr>
                <w:rStyle w:val="FootnoteReference"/>
                <w:szCs w:val="20"/>
                <w:vertAlign w:val="superscript"/>
              </w:rPr>
              <w:footnoteReference w:id="9"/>
            </w:r>
            <w:r w:rsidRPr="004A3EA4">
              <w:rPr>
                <w:rFonts w:ascii="Arial" w:hAnsi="Arial" w:cs="Arial"/>
                <w:sz w:val="18"/>
                <w:szCs w:val="20"/>
              </w:rPr>
              <w:t xml:space="preserve"> - Par (g/km)</w:t>
            </w:r>
          </w:p>
        </w:tc>
        <w:tc>
          <w:tcPr>
            <w:tcW w:w="2456" w:type="dxa"/>
            <w:vAlign w:val="bottom"/>
          </w:tcPr>
          <w:p w:rsidR="00B37D8A" w:rsidRPr="004A3EA4" w:rsidRDefault="00B37D8A" w:rsidP="0085600D">
            <w:pPr>
              <w:spacing w:after="0" w:line="240" w:lineRule="auto"/>
              <w:jc w:val="center"/>
              <w:rPr>
                <w:rFonts w:ascii="Arial" w:hAnsi="Arial" w:cs="Arial"/>
                <w:sz w:val="18"/>
                <w:szCs w:val="20"/>
              </w:rPr>
            </w:pPr>
            <w:r w:rsidRPr="004A3EA4">
              <w:rPr>
                <w:rFonts w:ascii="Arial" w:hAnsi="Arial" w:cs="Arial"/>
                <w:sz w:val="18"/>
                <w:szCs w:val="20"/>
              </w:rPr>
              <w:t>0,415</w:t>
            </w:r>
          </w:p>
        </w:tc>
      </w:tr>
      <w:tr w:rsidR="00B37D8A" w:rsidRPr="004A3EA4" w:rsidTr="0085600D">
        <w:trPr>
          <w:trHeight w:val="102"/>
          <w:jc w:val="center"/>
        </w:trPr>
        <w:tc>
          <w:tcPr>
            <w:tcW w:w="3294" w:type="dxa"/>
            <w:noWrap/>
            <w:vAlign w:val="bottom"/>
          </w:tcPr>
          <w:p w:rsidR="00B37D8A" w:rsidRPr="004A3EA4" w:rsidRDefault="00B37D8A" w:rsidP="0085600D">
            <w:pPr>
              <w:spacing w:after="0" w:line="240" w:lineRule="auto"/>
              <w:rPr>
                <w:rFonts w:ascii="Arial" w:hAnsi="Arial" w:cs="Arial"/>
                <w:sz w:val="18"/>
                <w:szCs w:val="20"/>
                <w:lang w:val="es-ES_tradnl"/>
              </w:rPr>
            </w:pPr>
            <w:r w:rsidRPr="004A3EA4">
              <w:rPr>
                <w:rFonts w:ascii="Arial" w:hAnsi="Arial" w:cs="Arial"/>
                <w:sz w:val="18"/>
                <w:szCs w:val="20"/>
                <w:lang w:val="es-ES_tradnl"/>
              </w:rPr>
              <w:t>Dióxido de Sulfuro - SO</w:t>
            </w:r>
            <w:r w:rsidRPr="004A3EA4">
              <w:rPr>
                <w:rFonts w:ascii="Arial" w:hAnsi="Arial" w:cs="Arial"/>
                <w:sz w:val="18"/>
                <w:szCs w:val="20"/>
                <w:vertAlign w:val="subscript"/>
                <w:lang w:val="es-ES_tradnl"/>
              </w:rPr>
              <w:t>2</w:t>
            </w:r>
            <w:r w:rsidRPr="004A3EA4">
              <w:rPr>
                <w:rFonts w:ascii="Arial" w:hAnsi="Arial" w:cs="Arial"/>
                <w:sz w:val="18"/>
                <w:szCs w:val="20"/>
                <w:lang w:val="es-ES_tradnl"/>
              </w:rPr>
              <w:t xml:space="preserve"> (g/km)</w:t>
            </w:r>
          </w:p>
        </w:tc>
        <w:tc>
          <w:tcPr>
            <w:tcW w:w="2456" w:type="dxa"/>
            <w:vAlign w:val="bottom"/>
          </w:tcPr>
          <w:p w:rsidR="00B37D8A" w:rsidRPr="004A3EA4" w:rsidRDefault="00B37D8A" w:rsidP="0085600D">
            <w:pPr>
              <w:spacing w:after="0" w:line="240" w:lineRule="auto"/>
              <w:jc w:val="center"/>
              <w:rPr>
                <w:rFonts w:ascii="Arial" w:hAnsi="Arial" w:cs="Arial"/>
                <w:sz w:val="18"/>
                <w:szCs w:val="20"/>
              </w:rPr>
            </w:pPr>
            <w:r w:rsidRPr="004A3EA4">
              <w:rPr>
                <w:rFonts w:ascii="Arial" w:hAnsi="Arial" w:cs="Arial"/>
                <w:sz w:val="18"/>
                <w:szCs w:val="20"/>
              </w:rPr>
              <w:t>1,648</w:t>
            </w:r>
          </w:p>
        </w:tc>
      </w:tr>
    </w:tbl>
    <w:p w:rsidR="00B37D8A" w:rsidRDefault="00B37D8A" w:rsidP="00E40ABE">
      <w:pPr>
        <w:spacing w:before="240"/>
        <w:jc w:val="both"/>
        <w:rPr>
          <w:rFonts w:ascii="Times New Roman" w:hAnsi="Times New Roman"/>
          <w:sz w:val="24"/>
        </w:rPr>
      </w:pPr>
      <w:r w:rsidRPr="00927DA6">
        <w:rPr>
          <w:rFonts w:ascii="Times New Roman" w:hAnsi="Times New Roman"/>
          <w:sz w:val="24"/>
        </w:rPr>
        <w:t xml:space="preserve">A partir de dicha información, se pueden obtener las </w:t>
      </w:r>
      <w:r>
        <w:rPr>
          <w:rFonts w:ascii="Times New Roman" w:hAnsi="Times New Roman"/>
          <w:sz w:val="24"/>
        </w:rPr>
        <w:t xml:space="preserve">emisiones </w:t>
      </w:r>
      <w:r w:rsidRPr="00927DA6">
        <w:rPr>
          <w:rFonts w:ascii="Times New Roman" w:hAnsi="Times New Roman"/>
          <w:sz w:val="24"/>
        </w:rPr>
        <w:t xml:space="preserve">totales de </w:t>
      </w:r>
      <w:r>
        <w:rPr>
          <w:rFonts w:ascii="Times New Roman" w:hAnsi="Times New Roman"/>
          <w:sz w:val="24"/>
        </w:rPr>
        <w:t xml:space="preserve">cada </w:t>
      </w:r>
      <w:r w:rsidRPr="00927DA6">
        <w:rPr>
          <w:rFonts w:ascii="Times New Roman" w:hAnsi="Times New Roman"/>
          <w:sz w:val="24"/>
        </w:rPr>
        <w:t xml:space="preserve">contaminante </w:t>
      </w:r>
      <w:r>
        <w:rPr>
          <w:rFonts w:ascii="Times New Roman" w:hAnsi="Times New Roman"/>
          <w:sz w:val="24"/>
        </w:rPr>
        <w:t>para e</w:t>
      </w:r>
      <w:r w:rsidRPr="00927DA6">
        <w:rPr>
          <w:rFonts w:ascii="Times New Roman" w:hAnsi="Times New Roman"/>
          <w:sz w:val="24"/>
        </w:rPr>
        <w:t>l área de incidencia (</w:t>
      </w:r>
      <w:r>
        <w:rPr>
          <w:rFonts w:ascii="Times New Roman" w:hAnsi="Times New Roman"/>
          <w:sz w:val="24"/>
        </w:rPr>
        <w:t>3</w:t>
      </w:r>
      <w:r w:rsidRPr="00927DA6">
        <w:rPr>
          <w:rFonts w:ascii="Times New Roman" w:hAnsi="Times New Roman"/>
          <w:sz w:val="24"/>
        </w:rPr>
        <w:t>5 km.)</w:t>
      </w:r>
      <w:r>
        <w:rPr>
          <w:rFonts w:ascii="Times New Roman" w:hAnsi="Times New Roman"/>
          <w:sz w:val="24"/>
        </w:rPr>
        <w:t xml:space="preserve"> por la totalidad de los camiones medianos que circulan actualmente (48.808), las cuales se expresan en toneladas</w:t>
      </w:r>
      <w:r w:rsidRPr="00ED50C5">
        <w:rPr>
          <w:rStyle w:val="FootnoteReference"/>
          <w:rFonts w:ascii="Times New Roman" w:hAnsi="Times New Roman"/>
          <w:sz w:val="24"/>
          <w:vertAlign w:val="superscript"/>
        </w:rPr>
        <w:footnoteReference w:id="10"/>
      </w:r>
      <w:r w:rsidRPr="00927DA6">
        <w:rPr>
          <w:rFonts w:ascii="Times New Roman" w:hAnsi="Times New Roman"/>
          <w:sz w:val="24"/>
        </w:rPr>
        <w:t xml:space="preserve">. </w:t>
      </w:r>
      <w:r>
        <w:rPr>
          <w:rFonts w:ascii="Times New Roman" w:hAnsi="Times New Roman"/>
          <w:sz w:val="24"/>
        </w:rPr>
        <w:t>E</w:t>
      </w:r>
      <w:r w:rsidRPr="00927DA6">
        <w:rPr>
          <w:rFonts w:ascii="Times New Roman" w:hAnsi="Times New Roman"/>
          <w:sz w:val="24"/>
        </w:rPr>
        <w:t>specíficamente:</w:t>
      </w:r>
    </w:p>
    <w:tbl>
      <w:tblPr>
        <w:tblW w:w="577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4"/>
        <w:gridCol w:w="2484"/>
      </w:tblGrid>
      <w:tr w:rsidR="00B37D8A" w:rsidRPr="004A3EA4" w:rsidTr="0085600D">
        <w:trPr>
          <w:trHeight w:val="53"/>
          <w:jc w:val="center"/>
        </w:trPr>
        <w:tc>
          <w:tcPr>
            <w:tcW w:w="3294" w:type="dxa"/>
            <w:shd w:val="clear" w:color="auto" w:fill="D9D9D9"/>
            <w:noWrap/>
            <w:vAlign w:val="center"/>
          </w:tcPr>
          <w:p w:rsidR="00B37D8A" w:rsidRPr="004A3EA4" w:rsidRDefault="00B37D8A" w:rsidP="0085600D">
            <w:pPr>
              <w:spacing w:after="0" w:line="240" w:lineRule="auto"/>
              <w:jc w:val="center"/>
              <w:rPr>
                <w:rFonts w:ascii="Arial" w:hAnsi="Arial" w:cs="Arial"/>
                <w:sz w:val="18"/>
                <w:szCs w:val="20"/>
                <w:lang w:val="en-US"/>
              </w:rPr>
            </w:pPr>
            <w:r w:rsidRPr="004A3EA4">
              <w:rPr>
                <w:rFonts w:ascii="Arial" w:hAnsi="Arial" w:cs="Arial"/>
                <w:sz w:val="18"/>
                <w:szCs w:val="20"/>
                <w:lang w:val="en-US"/>
              </w:rPr>
              <w:t>Contaminante</w:t>
            </w:r>
          </w:p>
        </w:tc>
        <w:tc>
          <w:tcPr>
            <w:tcW w:w="2484" w:type="dxa"/>
            <w:shd w:val="clear" w:color="auto" w:fill="D9D9D9"/>
          </w:tcPr>
          <w:p w:rsidR="00B37D8A" w:rsidRPr="004A3EA4" w:rsidRDefault="00B37D8A" w:rsidP="0085600D">
            <w:pPr>
              <w:spacing w:after="0" w:line="240" w:lineRule="auto"/>
              <w:jc w:val="center"/>
              <w:rPr>
                <w:rFonts w:ascii="Arial" w:hAnsi="Arial" w:cs="Arial"/>
                <w:sz w:val="18"/>
                <w:szCs w:val="20"/>
              </w:rPr>
            </w:pPr>
            <w:r w:rsidRPr="004A3EA4">
              <w:rPr>
                <w:rFonts w:ascii="Arial" w:hAnsi="Arial" w:cs="Arial"/>
                <w:sz w:val="18"/>
                <w:szCs w:val="20"/>
              </w:rPr>
              <w:t>Toneladas emitidas totales</w:t>
            </w:r>
          </w:p>
        </w:tc>
      </w:tr>
      <w:tr w:rsidR="00B37D8A" w:rsidRPr="004A3EA4" w:rsidTr="0085600D">
        <w:trPr>
          <w:trHeight w:val="53"/>
          <w:jc w:val="center"/>
        </w:trPr>
        <w:tc>
          <w:tcPr>
            <w:tcW w:w="3294" w:type="dxa"/>
            <w:noWrap/>
            <w:vAlign w:val="bottom"/>
          </w:tcPr>
          <w:p w:rsidR="00B37D8A" w:rsidRPr="004A3EA4" w:rsidRDefault="00B37D8A" w:rsidP="0085600D">
            <w:pPr>
              <w:spacing w:after="0" w:line="240" w:lineRule="auto"/>
              <w:rPr>
                <w:rFonts w:ascii="Arial" w:hAnsi="Arial" w:cs="Arial"/>
                <w:sz w:val="18"/>
                <w:szCs w:val="20"/>
                <w:lang w:val="es-ES_tradnl"/>
              </w:rPr>
            </w:pPr>
            <w:r w:rsidRPr="004A3EA4">
              <w:rPr>
                <w:rFonts w:ascii="Arial" w:hAnsi="Arial" w:cs="Arial"/>
                <w:sz w:val="18"/>
                <w:szCs w:val="20"/>
                <w:lang w:val="es-ES_tradnl"/>
              </w:rPr>
              <w:t>Dióxido de Carbono - CO</w:t>
            </w:r>
            <w:r w:rsidRPr="004A3EA4">
              <w:rPr>
                <w:rFonts w:ascii="Arial" w:hAnsi="Arial" w:cs="Arial"/>
                <w:sz w:val="18"/>
                <w:szCs w:val="20"/>
                <w:vertAlign w:val="subscript"/>
                <w:lang w:val="es-ES_tradnl"/>
              </w:rPr>
              <w:t>2</w:t>
            </w:r>
            <w:r w:rsidRPr="004A3EA4">
              <w:rPr>
                <w:rFonts w:ascii="Arial" w:hAnsi="Arial" w:cs="Arial"/>
                <w:sz w:val="18"/>
                <w:szCs w:val="20"/>
                <w:lang w:val="es-ES_tradnl"/>
              </w:rPr>
              <w:t xml:space="preserve"> (g/km)</w:t>
            </w:r>
          </w:p>
        </w:tc>
        <w:tc>
          <w:tcPr>
            <w:tcW w:w="2484" w:type="dxa"/>
          </w:tcPr>
          <w:p w:rsidR="00B37D8A" w:rsidRPr="004A3EA4" w:rsidRDefault="00B37D8A" w:rsidP="00F82628">
            <w:pPr>
              <w:spacing w:after="0" w:line="240" w:lineRule="auto"/>
              <w:jc w:val="center"/>
              <w:rPr>
                <w:rFonts w:ascii="Arial" w:hAnsi="Arial" w:cs="Arial"/>
                <w:sz w:val="18"/>
                <w:szCs w:val="20"/>
              </w:rPr>
            </w:pPr>
            <w:r>
              <w:rPr>
                <w:rFonts w:ascii="Arial" w:hAnsi="Arial" w:cs="Arial"/>
                <w:sz w:val="18"/>
                <w:szCs w:val="20"/>
              </w:rPr>
              <w:t>862</w:t>
            </w:r>
            <w:r w:rsidRPr="004A3EA4">
              <w:rPr>
                <w:rFonts w:ascii="Arial" w:hAnsi="Arial" w:cs="Arial"/>
                <w:sz w:val="18"/>
                <w:szCs w:val="20"/>
              </w:rPr>
              <w:t>,</w:t>
            </w:r>
            <w:r>
              <w:rPr>
                <w:rFonts w:ascii="Arial" w:hAnsi="Arial" w:cs="Arial"/>
                <w:sz w:val="18"/>
                <w:szCs w:val="20"/>
              </w:rPr>
              <w:t>556</w:t>
            </w:r>
          </w:p>
        </w:tc>
      </w:tr>
      <w:tr w:rsidR="00B37D8A" w:rsidRPr="004A3EA4" w:rsidTr="0085600D">
        <w:trPr>
          <w:trHeight w:val="118"/>
          <w:jc w:val="center"/>
        </w:trPr>
        <w:tc>
          <w:tcPr>
            <w:tcW w:w="3294" w:type="dxa"/>
            <w:noWrap/>
            <w:vAlign w:val="bottom"/>
          </w:tcPr>
          <w:p w:rsidR="00B37D8A" w:rsidRPr="004A3EA4" w:rsidRDefault="00B37D8A" w:rsidP="0085600D">
            <w:pPr>
              <w:spacing w:after="0" w:line="240" w:lineRule="auto"/>
              <w:rPr>
                <w:rFonts w:ascii="Arial" w:hAnsi="Arial" w:cs="Arial"/>
                <w:sz w:val="18"/>
                <w:szCs w:val="20"/>
                <w:lang w:val="es-ES_tradnl"/>
              </w:rPr>
            </w:pPr>
            <w:r w:rsidRPr="004A3EA4">
              <w:rPr>
                <w:rFonts w:ascii="Arial" w:hAnsi="Arial" w:cs="Arial"/>
                <w:sz w:val="18"/>
                <w:szCs w:val="20"/>
                <w:lang w:val="es-ES_tradnl"/>
              </w:rPr>
              <w:t>Monóxido de Carbono - CO (g/km)</w:t>
            </w:r>
          </w:p>
        </w:tc>
        <w:tc>
          <w:tcPr>
            <w:tcW w:w="2484" w:type="dxa"/>
          </w:tcPr>
          <w:p w:rsidR="00B37D8A" w:rsidRPr="004A3EA4" w:rsidRDefault="00B37D8A" w:rsidP="00F82628">
            <w:pPr>
              <w:spacing w:after="0" w:line="240" w:lineRule="auto"/>
              <w:jc w:val="center"/>
              <w:rPr>
                <w:rFonts w:ascii="Arial" w:hAnsi="Arial" w:cs="Arial"/>
                <w:sz w:val="18"/>
                <w:szCs w:val="20"/>
              </w:rPr>
            </w:pPr>
            <w:r>
              <w:rPr>
                <w:rFonts w:ascii="Arial" w:hAnsi="Arial" w:cs="Arial"/>
                <w:sz w:val="18"/>
                <w:szCs w:val="20"/>
              </w:rPr>
              <w:t>3</w:t>
            </w:r>
            <w:r w:rsidRPr="004A3EA4">
              <w:rPr>
                <w:rFonts w:ascii="Arial" w:hAnsi="Arial" w:cs="Arial"/>
                <w:sz w:val="18"/>
                <w:szCs w:val="20"/>
              </w:rPr>
              <w:t>,5</w:t>
            </w:r>
            <w:r>
              <w:rPr>
                <w:rFonts w:ascii="Arial" w:hAnsi="Arial" w:cs="Arial"/>
                <w:sz w:val="18"/>
                <w:szCs w:val="20"/>
              </w:rPr>
              <w:t>51</w:t>
            </w:r>
          </w:p>
        </w:tc>
      </w:tr>
      <w:tr w:rsidR="00B37D8A" w:rsidRPr="004A3EA4" w:rsidTr="0085600D">
        <w:trPr>
          <w:trHeight w:val="53"/>
          <w:jc w:val="center"/>
        </w:trPr>
        <w:tc>
          <w:tcPr>
            <w:tcW w:w="3294" w:type="dxa"/>
            <w:noWrap/>
            <w:vAlign w:val="bottom"/>
          </w:tcPr>
          <w:p w:rsidR="00B37D8A" w:rsidRPr="004A3EA4" w:rsidRDefault="00B37D8A" w:rsidP="0085600D">
            <w:pPr>
              <w:spacing w:after="0" w:line="240" w:lineRule="auto"/>
              <w:rPr>
                <w:rFonts w:ascii="Arial" w:hAnsi="Arial" w:cs="Arial"/>
                <w:sz w:val="18"/>
                <w:szCs w:val="20"/>
              </w:rPr>
            </w:pPr>
            <w:r w:rsidRPr="004A3EA4">
              <w:rPr>
                <w:rFonts w:ascii="Arial" w:hAnsi="Arial" w:cs="Arial"/>
                <w:sz w:val="18"/>
                <w:szCs w:val="20"/>
              </w:rPr>
              <w:t>Hidrocarburos - HC (g/km)</w:t>
            </w:r>
          </w:p>
        </w:tc>
        <w:tc>
          <w:tcPr>
            <w:tcW w:w="2484" w:type="dxa"/>
          </w:tcPr>
          <w:p w:rsidR="00B37D8A" w:rsidRPr="004A3EA4" w:rsidRDefault="00B37D8A" w:rsidP="00F82628">
            <w:pPr>
              <w:spacing w:after="0" w:line="240" w:lineRule="auto"/>
              <w:jc w:val="center"/>
              <w:rPr>
                <w:rFonts w:ascii="Arial" w:hAnsi="Arial" w:cs="Arial"/>
                <w:sz w:val="18"/>
                <w:szCs w:val="20"/>
              </w:rPr>
            </w:pPr>
            <w:r>
              <w:rPr>
                <w:rFonts w:ascii="Arial" w:hAnsi="Arial" w:cs="Arial"/>
                <w:sz w:val="18"/>
                <w:szCs w:val="20"/>
              </w:rPr>
              <w:t>3</w:t>
            </w:r>
            <w:r w:rsidRPr="004A3EA4">
              <w:rPr>
                <w:rFonts w:ascii="Arial" w:hAnsi="Arial" w:cs="Arial"/>
                <w:sz w:val="18"/>
                <w:szCs w:val="20"/>
              </w:rPr>
              <w:t>,</w:t>
            </w:r>
            <w:r>
              <w:rPr>
                <w:rFonts w:ascii="Arial" w:hAnsi="Arial" w:cs="Arial"/>
                <w:sz w:val="18"/>
                <w:szCs w:val="20"/>
              </w:rPr>
              <w:t>830</w:t>
            </w:r>
          </w:p>
        </w:tc>
      </w:tr>
      <w:tr w:rsidR="00B37D8A" w:rsidRPr="004A3EA4" w:rsidTr="0085600D">
        <w:trPr>
          <w:trHeight w:val="109"/>
          <w:jc w:val="center"/>
        </w:trPr>
        <w:tc>
          <w:tcPr>
            <w:tcW w:w="3294" w:type="dxa"/>
            <w:noWrap/>
            <w:vAlign w:val="bottom"/>
          </w:tcPr>
          <w:p w:rsidR="00B37D8A" w:rsidRPr="004A3EA4" w:rsidRDefault="00B37D8A" w:rsidP="0085600D">
            <w:pPr>
              <w:spacing w:after="0" w:line="240" w:lineRule="auto"/>
              <w:rPr>
                <w:rFonts w:ascii="Arial" w:hAnsi="Arial" w:cs="Arial"/>
                <w:sz w:val="18"/>
                <w:szCs w:val="20"/>
                <w:lang w:val="es-ES_tradnl"/>
              </w:rPr>
            </w:pPr>
            <w:r w:rsidRPr="004A3EA4">
              <w:rPr>
                <w:rFonts w:ascii="Arial" w:hAnsi="Arial" w:cs="Arial"/>
                <w:sz w:val="18"/>
                <w:szCs w:val="20"/>
                <w:lang w:val="es-ES_tradnl"/>
              </w:rPr>
              <w:t>Óxido de Nitrógeno – N</w:t>
            </w:r>
            <w:r w:rsidRPr="004A3EA4">
              <w:rPr>
                <w:rFonts w:ascii="Arial" w:hAnsi="Arial" w:cs="Arial"/>
                <w:sz w:val="18"/>
                <w:szCs w:val="20"/>
                <w:vertAlign w:val="subscript"/>
                <w:lang w:val="es-ES_tradnl"/>
              </w:rPr>
              <w:t>2</w:t>
            </w:r>
            <w:r w:rsidRPr="004A3EA4">
              <w:rPr>
                <w:rFonts w:ascii="Arial" w:hAnsi="Arial" w:cs="Arial"/>
                <w:sz w:val="18"/>
                <w:szCs w:val="20"/>
                <w:lang w:val="es-ES_tradnl"/>
              </w:rPr>
              <w:t>O (g/km)</w:t>
            </w:r>
          </w:p>
        </w:tc>
        <w:tc>
          <w:tcPr>
            <w:tcW w:w="2484" w:type="dxa"/>
          </w:tcPr>
          <w:p w:rsidR="00B37D8A" w:rsidRPr="004A3EA4" w:rsidRDefault="00B37D8A" w:rsidP="00F82628">
            <w:pPr>
              <w:spacing w:after="0" w:line="240" w:lineRule="auto"/>
              <w:jc w:val="center"/>
              <w:rPr>
                <w:rFonts w:ascii="Arial" w:hAnsi="Arial" w:cs="Arial"/>
                <w:sz w:val="18"/>
                <w:szCs w:val="20"/>
              </w:rPr>
            </w:pPr>
            <w:r>
              <w:rPr>
                <w:rFonts w:ascii="Arial" w:hAnsi="Arial" w:cs="Arial"/>
                <w:sz w:val="18"/>
                <w:szCs w:val="20"/>
              </w:rPr>
              <w:t>13</w:t>
            </w:r>
            <w:r w:rsidRPr="004A3EA4">
              <w:rPr>
                <w:rFonts w:ascii="Arial" w:hAnsi="Arial" w:cs="Arial"/>
                <w:sz w:val="18"/>
                <w:szCs w:val="20"/>
              </w:rPr>
              <w:t>,</w:t>
            </w:r>
            <w:r>
              <w:rPr>
                <w:rFonts w:ascii="Arial" w:hAnsi="Arial" w:cs="Arial"/>
                <w:sz w:val="18"/>
                <w:szCs w:val="20"/>
              </w:rPr>
              <w:t>232</w:t>
            </w:r>
          </w:p>
        </w:tc>
      </w:tr>
      <w:tr w:rsidR="00B37D8A" w:rsidRPr="004A3EA4" w:rsidTr="0085600D">
        <w:trPr>
          <w:trHeight w:val="53"/>
          <w:jc w:val="center"/>
        </w:trPr>
        <w:tc>
          <w:tcPr>
            <w:tcW w:w="3294" w:type="dxa"/>
            <w:noWrap/>
            <w:vAlign w:val="bottom"/>
          </w:tcPr>
          <w:p w:rsidR="00B37D8A" w:rsidRPr="004A3EA4" w:rsidRDefault="00B37D8A" w:rsidP="0085600D">
            <w:pPr>
              <w:spacing w:after="0" w:line="240" w:lineRule="auto"/>
              <w:rPr>
                <w:rFonts w:ascii="Arial" w:hAnsi="Arial" w:cs="Arial"/>
                <w:sz w:val="18"/>
                <w:szCs w:val="20"/>
              </w:rPr>
            </w:pPr>
            <w:r w:rsidRPr="004A3EA4">
              <w:rPr>
                <w:rFonts w:ascii="Arial" w:hAnsi="Arial" w:cs="Arial"/>
                <w:sz w:val="18"/>
                <w:szCs w:val="20"/>
              </w:rPr>
              <w:t>Partículas - Par (g/km)</w:t>
            </w:r>
          </w:p>
        </w:tc>
        <w:tc>
          <w:tcPr>
            <w:tcW w:w="2484" w:type="dxa"/>
          </w:tcPr>
          <w:p w:rsidR="00B37D8A" w:rsidRPr="004A3EA4" w:rsidRDefault="00B37D8A" w:rsidP="00F82628">
            <w:pPr>
              <w:spacing w:after="0" w:line="240" w:lineRule="auto"/>
              <w:jc w:val="center"/>
              <w:rPr>
                <w:rFonts w:ascii="Arial" w:hAnsi="Arial" w:cs="Arial"/>
                <w:sz w:val="18"/>
                <w:szCs w:val="20"/>
              </w:rPr>
            </w:pPr>
            <w:r w:rsidRPr="004A3EA4">
              <w:rPr>
                <w:rFonts w:ascii="Arial" w:hAnsi="Arial" w:cs="Arial"/>
                <w:sz w:val="18"/>
                <w:szCs w:val="20"/>
              </w:rPr>
              <w:t>0,</w:t>
            </w:r>
            <w:r>
              <w:rPr>
                <w:rFonts w:ascii="Arial" w:hAnsi="Arial" w:cs="Arial"/>
                <w:sz w:val="18"/>
                <w:szCs w:val="20"/>
              </w:rPr>
              <w:t>710</w:t>
            </w:r>
          </w:p>
        </w:tc>
      </w:tr>
      <w:tr w:rsidR="00B37D8A" w:rsidRPr="004A3EA4" w:rsidTr="0085600D">
        <w:trPr>
          <w:trHeight w:val="102"/>
          <w:jc w:val="center"/>
        </w:trPr>
        <w:tc>
          <w:tcPr>
            <w:tcW w:w="3294" w:type="dxa"/>
            <w:noWrap/>
            <w:vAlign w:val="bottom"/>
          </w:tcPr>
          <w:p w:rsidR="00B37D8A" w:rsidRPr="004A3EA4" w:rsidRDefault="00B37D8A" w:rsidP="0085600D">
            <w:pPr>
              <w:spacing w:after="0" w:line="240" w:lineRule="auto"/>
              <w:rPr>
                <w:rFonts w:ascii="Arial" w:hAnsi="Arial" w:cs="Arial"/>
                <w:sz w:val="18"/>
                <w:szCs w:val="20"/>
                <w:lang w:val="es-ES_tradnl"/>
              </w:rPr>
            </w:pPr>
            <w:r w:rsidRPr="004A3EA4">
              <w:rPr>
                <w:rFonts w:ascii="Arial" w:hAnsi="Arial" w:cs="Arial"/>
                <w:sz w:val="18"/>
                <w:szCs w:val="20"/>
                <w:lang w:val="es-ES_tradnl"/>
              </w:rPr>
              <w:t>Dióxido de Sulfuro - SO</w:t>
            </w:r>
            <w:r w:rsidRPr="004A3EA4">
              <w:rPr>
                <w:rFonts w:ascii="Arial" w:hAnsi="Arial" w:cs="Arial"/>
                <w:sz w:val="18"/>
                <w:szCs w:val="20"/>
                <w:vertAlign w:val="subscript"/>
                <w:lang w:val="es-ES_tradnl"/>
              </w:rPr>
              <w:t>2</w:t>
            </w:r>
            <w:r w:rsidRPr="004A3EA4">
              <w:rPr>
                <w:rFonts w:ascii="Arial" w:hAnsi="Arial" w:cs="Arial"/>
                <w:sz w:val="18"/>
                <w:szCs w:val="20"/>
                <w:lang w:val="es-ES_tradnl"/>
              </w:rPr>
              <w:t xml:space="preserve"> (g/km)</w:t>
            </w:r>
          </w:p>
        </w:tc>
        <w:tc>
          <w:tcPr>
            <w:tcW w:w="2484" w:type="dxa"/>
          </w:tcPr>
          <w:p w:rsidR="00B37D8A" w:rsidRPr="004A3EA4" w:rsidRDefault="00B37D8A" w:rsidP="00F82628">
            <w:pPr>
              <w:spacing w:after="0" w:line="240" w:lineRule="auto"/>
              <w:jc w:val="center"/>
              <w:rPr>
                <w:rFonts w:ascii="Arial" w:hAnsi="Arial" w:cs="Arial"/>
                <w:sz w:val="18"/>
                <w:szCs w:val="20"/>
              </w:rPr>
            </w:pPr>
            <w:r w:rsidRPr="004A3EA4">
              <w:rPr>
                <w:rFonts w:ascii="Arial" w:hAnsi="Arial" w:cs="Arial"/>
                <w:sz w:val="18"/>
                <w:szCs w:val="20"/>
              </w:rPr>
              <w:t>2,</w:t>
            </w:r>
            <w:r>
              <w:rPr>
                <w:rFonts w:ascii="Arial" w:hAnsi="Arial" w:cs="Arial"/>
                <w:sz w:val="18"/>
                <w:szCs w:val="20"/>
              </w:rPr>
              <w:t>816</w:t>
            </w:r>
          </w:p>
        </w:tc>
      </w:tr>
    </w:tbl>
    <w:p w:rsidR="00B37D8A" w:rsidRDefault="00B37D8A" w:rsidP="00E40ABE">
      <w:pPr>
        <w:spacing w:before="240"/>
        <w:jc w:val="both"/>
        <w:rPr>
          <w:rFonts w:ascii="Times New Roman" w:hAnsi="Times New Roman"/>
          <w:sz w:val="24"/>
        </w:rPr>
      </w:pPr>
      <w:r>
        <w:rPr>
          <w:rFonts w:ascii="Times New Roman" w:hAnsi="Times New Roman"/>
          <w:sz w:val="24"/>
        </w:rPr>
        <w:t xml:space="preserve">Para obtener los beneficios por reducción de la contaminación ambiental, se analiza el efecto invernadero (calentamiento global) que actualmente generan los camiones que transitan en el área urbana donde se localiza la ZPA. Para ello se consideran las emisiones monóxido y dióxido de carbono, </w:t>
      </w:r>
      <w:r>
        <w:rPr>
          <w:rFonts w:ascii="Times New Roman" w:hAnsi="Times New Roman"/>
          <w:sz w:val="24"/>
        </w:rPr>
        <w:lastRenderedPageBreak/>
        <w:t>hidrocarburos y o</w:t>
      </w:r>
      <w:r w:rsidRPr="00506CA0">
        <w:rPr>
          <w:rFonts w:ascii="Times New Roman" w:hAnsi="Times New Roman"/>
          <w:sz w:val="24"/>
        </w:rPr>
        <w:t xml:space="preserve">xido </w:t>
      </w:r>
      <w:r>
        <w:rPr>
          <w:rFonts w:ascii="Times New Roman" w:hAnsi="Times New Roman"/>
          <w:sz w:val="24"/>
        </w:rPr>
        <w:t>de n</w:t>
      </w:r>
      <w:r w:rsidRPr="00506CA0">
        <w:rPr>
          <w:rFonts w:ascii="Times New Roman" w:hAnsi="Times New Roman"/>
          <w:sz w:val="24"/>
        </w:rPr>
        <w:t>itr</w:t>
      </w:r>
      <w:r>
        <w:rPr>
          <w:rFonts w:ascii="Times New Roman" w:hAnsi="Times New Roman"/>
          <w:sz w:val="24"/>
        </w:rPr>
        <w:t>ógeno,</w:t>
      </w:r>
      <w:r w:rsidRPr="00506CA0">
        <w:rPr>
          <w:rFonts w:ascii="Times New Roman" w:hAnsi="Times New Roman"/>
          <w:sz w:val="24"/>
        </w:rPr>
        <w:t xml:space="preserve"> expres</w:t>
      </w:r>
      <w:r>
        <w:rPr>
          <w:rFonts w:ascii="Times New Roman" w:hAnsi="Times New Roman"/>
          <w:sz w:val="24"/>
        </w:rPr>
        <w:t>á</w:t>
      </w:r>
      <w:r w:rsidRPr="00506CA0">
        <w:rPr>
          <w:rFonts w:ascii="Times New Roman" w:hAnsi="Times New Roman"/>
          <w:sz w:val="24"/>
        </w:rPr>
        <w:t>ndolas en CO</w:t>
      </w:r>
      <w:r w:rsidRPr="00506CA0">
        <w:rPr>
          <w:rFonts w:ascii="Times New Roman" w:hAnsi="Times New Roman"/>
          <w:sz w:val="24"/>
          <w:vertAlign w:val="subscript"/>
        </w:rPr>
        <w:t>2eq</w:t>
      </w:r>
      <w:r>
        <w:rPr>
          <w:rFonts w:ascii="Times New Roman" w:hAnsi="Times New Roman"/>
          <w:sz w:val="24"/>
        </w:rPr>
        <w:t xml:space="preserve"> (toneladas equivalentes de dióxido de </w:t>
      </w:r>
      <w:r w:rsidRPr="00B954AB">
        <w:rPr>
          <w:rFonts w:ascii="Times New Roman" w:hAnsi="Times New Roman"/>
          <w:sz w:val="24"/>
        </w:rPr>
        <w:t>carbono)</w:t>
      </w:r>
      <w:r w:rsidRPr="00B954AB">
        <w:rPr>
          <w:rStyle w:val="FootnoteReference"/>
          <w:rFonts w:ascii="Times New Roman" w:hAnsi="Times New Roman"/>
          <w:sz w:val="24"/>
          <w:vertAlign w:val="superscript"/>
        </w:rPr>
        <w:footnoteReference w:id="11"/>
      </w:r>
      <w:r>
        <w:rPr>
          <w:rFonts w:ascii="Times New Roman" w:hAnsi="Times New Roman"/>
          <w:sz w:val="24"/>
        </w:rPr>
        <w:t>, ponderadas por la cantidad de camiones que anualmente transitan hacia la ZPA</w:t>
      </w:r>
      <w:r w:rsidRPr="00B954AB">
        <w:rPr>
          <w:rFonts w:ascii="Times New Roman" w:hAnsi="Times New Roman"/>
          <w:sz w:val="24"/>
        </w:rPr>
        <w:t xml:space="preserve">. </w:t>
      </w:r>
    </w:p>
    <w:p w:rsidR="00B37D8A" w:rsidRDefault="00B37D8A" w:rsidP="00E40ABE">
      <w:pPr>
        <w:spacing w:before="240"/>
        <w:jc w:val="both"/>
        <w:rPr>
          <w:rFonts w:ascii="Times New Roman" w:hAnsi="Times New Roman"/>
          <w:sz w:val="24"/>
        </w:rPr>
      </w:pPr>
      <w:r w:rsidRPr="00B954AB">
        <w:rPr>
          <w:rFonts w:ascii="Times New Roman" w:hAnsi="Times New Roman"/>
          <w:sz w:val="24"/>
        </w:rPr>
        <w:t xml:space="preserve">El valor monetario utilizado </w:t>
      </w:r>
      <w:r>
        <w:rPr>
          <w:rFonts w:ascii="Times New Roman" w:hAnsi="Times New Roman"/>
          <w:sz w:val="24"/>
        </w:rPr>
        <w:t xml:space="preserve">para valorizarlas </w:t>
      </w:r>
      <w:r w:rsidRPr="00B954AB">
        <w:rPr>
          <w:rFonts w:ascii="Times New Roman" w:hAnsi="Times New Roman"/>
          <w:sz w:val="24"/>
        </w:rPr>
        <w:t xml:space="preserve">es el precio promedio </w:t>
      </w:r>
      <w:r w:rsidRPr="00B954AB">
        <w:rPr>
          <w:rFonts w:ascii="Times New Roman" w:hAnsi="Times New Roman"/>
          <w:i/>
          <w:sz w:val="24"/>
        </w:rPr>
        <w:t>spot</w:t>
      </w:r>
      <w:r w:rsidRPr="00B954AB">
        <w:rPr>
          <w:rFonts w:ascii="Times New Roman" w:hAnsi="Times New Roman"/>
          <w:sz w:val="24"/>
        </w:rPr>
        <w:t xml:space="preserve"> de bonos de carbono equivalente </w:t>
      </w:r>
      <w:r>
        <w:rPr>
          <w:rFonts w:ascii="Times New Roman" w:hAnsi="Times New Roman"/>
          <w:sz w:val="24"/>
        </w:rPr>
        <w:t>que</w:t>
      </w:r>
      <w:r w:rsidR="005228DF">
        <w:rPr>
          <w:rFonts w:ascii="Times New Roman" w:hAnsi="Times New Roman"/>
          <w:sz w:val="24"/>
        </w:rPr>
        <w:t>, según el Banco Mundial,</w:t>
      </w:r>
      <w:r>
        <w:rPr>
          <w:rFonts w:ascii="Times New Roman" w:hAnsi="Times New Roman"/>
          <w:sz w:val="24"/>
        </w:rPr>
        <w:t xml:space="preserve"> asciende</w:t>
      </w:r>
      <w:r w:rsidRPr="00B954AB">
        <w:rPr>
          <w:rFonts w:ascii="Times New Roman" w:hAnsi="Times New Roman"/>
          <w:sz w:val="24"/>
        </w:rPr>
        <w:t xml:space="preserve"> a ARS 23,4 por tonelada (USD 4,5)</w:t>
      </w:r>
      <w:r>
        <w:rPr>
          <w:rFonts w:ascii="Times New Roman" w:hAnsi="Times New Roman"/>
          <w:sz w:val="24"/>
        </w:rPr>
        <w:t>. Luego, a partir de los costos que el calentamiento global tiene para la sociedad, se obtiene el beneficio por reducción de contaminación, considerando una disminución de los cotos por traslado de la ZPA del 50%, que asciende a ARS 56.899 para el año 1 y crece hasta ARS 106.157 en el año 20. En la tabla a continuación se muestran los valores de costos (toneladas por precio promedio del bono de carbono) y el consiguiente beneficio creciente dada la reducción del 50%. La información se muestra tanto para el año 1 como para el año 20 (inicio y final del período), mientras que en el flujo de fondos (tabla 2 del anexo 1) aparecen los valores para todos los años analizados.</w:t>
      </w:r>
    </w:p>
    <w:tbl>
      <w:tblPr>
        <w:tblW w:w="9083"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7"/>
        <w:gridCol w:w="1418"/>
        <w:gridCol w:w="1559"/>
        <w:gridCol w:w="992"/>
        <w:gridCol w:w="992"/>
        <w:gridCol w:w="993"/>
        <w:gridCol w:w="992"/>
      </w:tblGrid>
      <w:tr w:rsidR="00B37D8A" w:rsidRPr="004A3EA4" w:rsidTr="00B36E5D">
        <w:trPr>
          <w:trHeight w:val="53"/>
          <w:jc w:val="center"/>
        </w:trPr>
        <w:tc>
          <w:tcPr>
            <w:tcW w:w="2137" w:type="dxa"/>
            <w:vMerge w:val="restart"/>
            <w:shd w:val="clear" w:color="auto" w:fill="D9D9D9"/>
            <w:noWrap/>
            <w:vAlign w:val="center"/>
          </w:tcPr>
          <w:p w:rsidR="00B37D8A" w:rsidRPr="004A3EA4" w:rsidRDefault="00B37D8A" w:rsidP="0085600D">
            <w:pPr>
              <w:spacing w:after="0" w:line="240" w:lineRule="auto"/>
              <w:jc w:val="center"/>
              <w:rPr>
                <w:rFonts w:ascii="Arial" w:hAnsi="Arial" w:cs="Arial"/>
                <w:sz w:val="18"/>
                <w:szCs w:val="20"/>
                <w:lang w:val="en-US"/>
              </w:rPr>
            </w:pPr>
            <w:r w:rsidRPr="004A3EA4">
              <w:rPr>
                <w:rFonts w:ascii="Arial" w:hAnsi="Arial" w:cs="Arial"/>
                <w:sz w:val="18"/>
                <w:szCs w:val="20"/>
                <w:lang w:val="en-US"/>
              </w:rPr>
              <w:t>Contaminante</w:t>
            </w:r>
          </w:p>
        </w:tc>
        <w:tc>
          <w:tcPr>
            <w:tcW w:w="2977" w:type="dxa"/>
            <w:gridSpan w:val="2"/>
            <w:shd w:val="clear" w:color="auto" w:fill="D9D9D9"/>
            <w:vAlign w:val="center"/>
          </w:tcPr>
          <w:p w:rsidR="00B37D8A" w:rsidRPr="004A3EA4" w:rsidRDefault="00B37D8A" w:rsidP="00B36E5D">
            <w:pPr>
              <w:spacing w:after="0" w:line="240" w:lineRule="auto"/>
              <w:jc w:val="center"/>
              <w:rPr>
                <w:rFonts w:ascii="Arial" w:hAnsi="Arial" w:cs="Arial"/>
                <w:sz w:val="18"/>
                <w:szCs w:val="20"/>
              </w:rPr>
            </w:pPr>
            <w:r w:rsidRPr="004A3EA4">
              <w:rPr>
                <w:rFonts w:ascii="Arial" w:hAnsi="Arial" w:cs="Arial"/>
                <w:sz w:val="18"/>
                <w:szCs w:val="20"/>
              </w:rPr>
              <w:t xml:space="preserve">Toneladas equivalentes de </w:t>
            </w:r>
            <w:r w:rsidRPr="004A3EA4">
              <w:rPr>
                <w:rFonts w:ascii="Arial" w:hAnsi="Arial" w:cs="Arial"/>
                <w:sz w:val="18"/>
                <w:szCs w:val="18"/>
              </w:rPr>
              <w:t>CO</w:t>
            </w:r>
            <w:r w:rsidRPr="004A3EA4">
              <w:rPr>
                <w:rFonts w:ascii="Arial" w:hAnsi="Arial" w:cs="Arial"/>
                <w:sz w:val="18"/>
                <w:szCs w:val="18"/>
                <w:vertAlign w:val="subscript"/>
              </w:rPr>
              <w:t>2eq</w:t>
            </w:r>
          </w:p>
        </w:tc>
        <w:tc>
          <w:tcPr>
            <w:tcW w:w="1984" w:type="dxa"/>
            <w:gridSpan w:val="2"/>
            <w:shd w:val="clear" w:color="auto" w:fill="D9D9D9"/>
            <w:vAlign w:val="center"/>
          </w:tcPr>
          <w:p w:rsidR="00B37D8A" w:rsidRPr="004A3EA4" w:rsidRDefault="00B37D8A" w:rsidP="00B36E5D">
            <w:pPr>
              <w:spacing w:after="0" w:line="240" w:lineRule="auto"/>
              <w:jc w:val="center"/>
              <w:rPr>
                <w:rFonts w:ascii="Arial" w:hAnsi="Arial" w:cs="Arial"/>
                <w:sz w:val="18"/>
                <w:szCs w:val="20"/>
              </w:rPr>
            </w:pPr>
            <w:r w:rsidRPr="004A3EA4">
              <w:rPr>
                <w:rFonts w:ascii="Arial" w:hAnsi="Arial" w:cs="Arial"/>
                <w:sz w:val="18"/>
                <w:szCs w:val="20"/>
              </w:rPr>
              <w:t>Costo total</w:t>
            </w:r>
          </w:p>
        </w:tc>
        <w:tc>
          <w:tcPr>
            <w:tcW w:w="1985" w:type="dxa"/>
            <w:gridSpan w:val="2"/>
            <w:shd w:val="clear" w:color="auto" w:fill="D9D9D9"/>
            <w:vAlign w:val="center"/>
          </w:tcPr>
          <w:p w:rsidR="00B37D8A" w:rsidRPr="004A3EA4" w:rsidRDefault="00B37D8A" w:rsidP="00B36E5D">
            <w:pPr>
              <w:spacing w:after="0" w:line="240" w:lineRule="auto"/>
              <w:jc w:val="center"/>
              <w:rPr>
                <w:rFonts w:ascii="Arial" w:hAnsi="Arial" w:cs="Arial"/>
                <w:sz w:val="18"/>
                <w:szCs w:val="20"/>
              </w:rPr>
            </w:pPr>
            <w:r w:rsidRPr="004A3EA4">
              <w:rPr>
                <w:rFonts w:ascii="Arial" w:hAnsi="Arial" w:cs="Arial"/>
                <w:sz w:val="18"/>
                <w:szCs w:val="20"/>
              </w:rPr>
              <w:t>Beneficio (50%)</w:t>
            </w:r>
          </w:p>
        </w:tc>
      </w:tr>
      <w:tr w:rsidR="00B37D8A" w:rsidRPr="004A3EA4" w:rsidTr="00B36E5D">
        <w:trPr>
          <w:trHeight w:val="53"/>
          <w:jc w:val="center"/>
        </w:trPr>
        <w:tc>
          <w:tcPr>
            <w:tcW w:w="2137" w:type="dxa"/>
            <w:vMerge/>
            <w:noWrap/>
            <w:vAlign w:val="bottom"/>
          </w:tcPr>
          <w:p w:rsidR="00B37D8A" w:rsidRPr="004A3EA4" w:rsidRDefault="00B37D8A" w:rsidP="0085600D">
            <w:pPr>
              <w:spacing w:after="0" w:line="240" w:lineRule="auto"/>
              <w:rPr>
                <w:rFonts w:ascii="Arial" w:hAnsi="Arial" w:cs="Arial"/>
                <w:sz w:val="18"/>
                <w:szCs w:val="20"/>
                <w:lang w:val="es-ES_tradnl"/>
              </w:rPr>
            </w:pPr>
          </w:p>
        </w:tc>
        <w:tc>
          <w:tcPr>
            <w:tcW w:w="1418" w:type="dxa"/>
            <w:shd w:val="clear" w:color="auto" w:fill="D9D9D9"/>
            <w:vAlign w:val="center"/>
          </w:tcPr>
          <w:p w:rsidR="00B37D8A" w:rsidRDefault="00B37D8A" w:rsidP="004E463B">
            <w:pPr>
              <w:spacing w:after="0" w:line="240" w:lineRule="auto"/>
              <w:jc w:val="center"/>
              <w:rPr>
                <w:rFonts w:ascii="Arial" w:hAnsi="Arial" w:cs="Arial"/>
                <w:sz w:val="18"/>
                <w:szCs w:val="20"/>
              </w:rPr>
            </w:pPr>
            <w:r>
              <w:rPr>
                <w:rFonts w:ascii="Arial" w:hAnsi="Arial" w:cs="Arial"/>
                <w:sz w:val="18"/>
                <w:szCs w:val="20"/>
              </w:rPr>
              <w:t>Año 1</w:t>
            </w:r>
          </w:p>
        </w:tc>
        <w:tc>
          <w:tcPr>
            <w:tcW w:w="1559" w:type="dxa"/>
            <w:shd w:val="clear" w:color="auto" w:fill="D9D9D9"/>
            <w:vAlign w:val="center"/>
          </w:tcPr>
          <w:p w:rsidR="00B37D8A" w:rsidRDefault="00B37D8A" w:rsidP="00B36E5D">
            <w:pPr>
              <w:spacing w:after="0" w:line="240" w:lineRule="auto"/>
              <w:jc w:val="center"/>
              <w:rPr>
                <w:rFonts w:ascii="Arial" w:hAnsi="Arial" w:cs="Arial"/>
                <w:sz w:val="18"/>
                <w:szCs w:val="20"/>
              </w:rPr>
            </w:pPr>
            <w:r>
              <w:rPr>
                <w:rFonts w:ascii="Arial" w:hAnsi="Arial" w:cs="Arial"/>
                <w:sz w:val="18"/>
                <w:szCs w:val="20"/>
              </w:rPr>
              <w:t>Año 20</w:t>
            </w:r>
          </w:p>
        </w:tc>
        <w:tc>
          <w:tcPr>
            <w:tcW w:w="992" w:type="dxa"/>
            <w:shd w:val="clear" w:color="auto" w:fill="D9D9D9"/>
            <w:vAlign w:val="center"/>
          </w:tcPr>
          <w:p w:rsidR="00B37D8A" w:rsidRDefault="00B37D8A" w:rsidP="00B36E5D">
            <w:pPr>
              <w:spacing w:after="0" w:line="240" w:lineRule="auto"/>
              <w:jc w:val="center"/>
              <w:rPr>
                <w:rFonts w:ascii="Arial" w:hAnsi="Arial" w:cs="Arial"/>
                <w:sz w:val="18"/>
                <w:szCs w:val="20"/>
              </w:rPr>
            </w:pPr>
            <w:r>
              <w:rPr>
                <w:rFonts w:ascii="Arial" w:hAnsi="Arial" w:cs="Arial"/>
                <w:sz w:val="18"/>
                <w:szCs w:val="20"/>
              </w:rPr>
              <w:t>Año 1</w:t>
            </w:r>
          </w:p>
        </w:tc>
        <w:tc>
          <w:tcPr>
            <w:tcW w:w="992" w:type="dxa"/>
            <w:shd w:val="clear" w:color="auto" w:fill="D9D9D9"/>
            <w:vAlign w:val="center"/>
          </w:tcPr>
          <w:p w:rsidR="00B37D8A" w:rsidRPr="004A3EA4" w:rsidRDefault="00B37D8A" w:rsidP="00B36E5D">
            <w:pPr>
              <w:spacing w:after="0" w:line="240" w:lineRule="auto"/>
              <w:jc w:val="center"/>
              <w:rPr>
                <w:rFonts w:ascii="Arial" w:hAnsi="Arial" w:cs="Arial"/>
                <w:sz w:val="18"/>
                <w:szCs w:val="20"/>
              </w:rPr>
            </w:pPr>
            <w:r>
              <w:rPr>
                <w:rFonts w:ascii="Arial" w:hAnsi="Arial" w:cs="Arial"/>
                <w:sz w:val="18"/>
                <w:szCs w:val="20"/>
              </w:rPr>
              <w:t>Año 20</w:t>
            </w:r>
          </w:p>
        </w:tc>
        <w:tc>
          <w:tcPr>
            <w:tcW w:w="993" w:type="dxa"/>
            <w:shd w:val="clear" w:color="auto" w:fill="D9D9D9"/>
            <w:vAlign w:val="center"/>
          </w:tcPr>
          <w:p w:rsidR="00B37D8A" w:rsidRPr="004A3EA4" w:rsidRDefault="00B37D8A" w:rsidP="00B36E5D">
            <w:pPr>
              <w:spacing w:after="0" w:line="240" w:lineRule="auto"/>
              <w:jc w:val="center"/>
              <w:rPr>
                <w:rFonts w:ascii="Arial" w:hAnsi="Arial" w:cs="Arial"/>
                <w:sz w:val="18"/>
                <w:szCs w:val="20"/>
              </w:rPr>
            </w:pPr>
            <w:r>
              <w:rPr>
                <w:rFonts w:ascii="Arial" w:hAnsi="Arial" w:cs="Arial"/>
                <w:sz w:val="18"/>
                <w:szCs w:val="20"/>
              </w:rPr>
              <w:t>Año 1</w:t>
            </w:r>
          </w:p>
        </w:tc>
        <w:tc>
          <w:tcPr>
            <w:tcW w:w="992" w:type="dxa"/>
            <w:shd w:val="clear" w:color="auto" w:fill="D9D9D9"/>
            <w:vAlign w:val="center"/>
          </w:tcPr>
          <w:p w:rsidR="00B37D8A" w:rsidRPr="004A3EA4" w:rsidRDefault="00B37D8A" w:rsidP="00B36E5D">
            <w:pPr>
              <w:spacing w:after="0" w:line="240" w:lineRule="auto"/>
              <w:jc w:val="center"/>
              <w:rPr>
                <w:rFonts w:ascii="Arial" w:hAnsi="Arial" w:cs="Arial"/>
                <w:sz w:val="18"/>
                <w:szCs w:val="20"/>
              </w:rPr>
            </w:pPr>
            <w:r>
              <w:rPr>
                <w:rFonts w:ascii="Arial" w:hAnsi="Arial" w:cs="Arial"/>
                <w:sz w:val="18"/>
                <w:szCs w:val="20"/>
              </w:rPr>
              <w:t>Año 20</w:t>
            </w:r>
          </w:p>
        </w:tc>
      </w:tr>
      <w:tr w:rsidR="00B37D8A" w:rsidRPr="004A3EA4" w:rsidTr="00B36E5D">
        <w:trPr>
          <w:trHeight w:val="53"/>
          <w:jc w:val="center"/>
        </w:trPr>
        <w:tc>
          <w:tcPr>
            <w:tcW w:w="2137" w:type="dxa"/>
            <w:noWrap/>
            <w:vAlign w:val="bottom"/>
          </w:tcPr>
          <w:p w:rsidR="00B37D8A" w:rsidRPr="004A3EA4" w:rsidRDefault="00B37D8A" w:rsidP="0085600D">
            <w:pPr>
              <w:spacing w:after="0" w:line="240" w:lineRule="auto"/>
              <w:rPr>
                <w:rFonts w:ascii="Arial" w:hAnsi="Arial" w:cs="Arial"/>
                <w:sz w:val="18"/>
                <w:szCs w:val="20"/>
                <w:lang w:val="es-ES_tradnl"/>
              </w:rPr>
            </w:pPr>
            <w:r w:rsidRPr="004A3EA4">
              <w:rPr>
                <w:rFonts w:ascii="Arial" w:hAnsi="Arial" w:cs="Arial"/>
                <w:sz w:val="18"/>
                <w:szCs w:val="20"/>
                <w:lang w:val="es-ES_tradnl"/>
              </w:rPr>
              <w:t>Dióxido de Carbono - CO</w:t>
            </w:r>
            <w:r w:rsidRPr="004A3EA4">
              <w:rPr>
                <w:rFonts w:ascii="Arial" w:hAnsi="Arial" w:cs="Arial"/>
                <w:sz w:val="18"/>
                <w:szCs w:val="20"/>
                <w:vertAlign w:val="subscript"/>
                <w:lang w:val="es-ES_tradnl"/>
              </w:rPr>
              <w:t>2</w:t>
            </w:r>
            <w:r w:rsidRPr="004A3EA4">
              <w:rPr>
                <w:rFonts w:ascii="Arial" w:hAnsi="Arial" w:cs="Arial"/>
                <w:sz w:val="18"/>
                <w:szCs w:val="20"/>
                <w:lang w:val="es-ES_tradnl"/>
              </w:rPr>
              <w:t xml:space="preserve"> (g/km)</w:t>
            </w:r>
          </w:p>
        </w:tc>
        <w:tc>
          <w:tcPr>
            <w:tcW w:w="1418" w:type="dxa"/>
            <w:vAlign w:val="center"/>
          </w:tcPr>
          <w:p w:rsidR="00B37D8A" w:rsidRPr="004A3EA4" w:rsidRDefault="00B37D8A" w:rsidP="004E463B">
            <w:pPr>
              <w:spacing w:after="0" w:line="240" w:lineRule="auto"/>
              <w:jc w:val="center"/>
              <w:rPr>
                <w:rFonts w:ascii="Arial" w:hAnsi="Arial" w:cs="Arial"/>
                <w:sz w:val="18"/>
                <w:szCs w:val="20"/>
              </w:rPr>
            </w:pPr>
            <w:r>
              <w:rPr>
                <w:rFonts w:ascii="Arial" w:hAnsi="Arial" w:cs="Arial"/>
                <w:sz w:val="18"/>
                <w:szCs w:val="20"/>
              </w:rPr>
              <w:t>862</w:t>
            </w:r>
            <w:r w:rsidRPr="004A3EA4">
              <w:rPr>
                <w:rFonts w:ascii="Arial" w:hAnsi="Arial" w:cs="Arial"/>
                <w:sz w:val="18"/>
                <w:szCs w:val="20"/>
              </w:rPr>
              <w:t>,</w:t>
            </w:r>
            <w:r>
              <w:rPr>
                <w:rFonts w:ascii="Arial" w:hAnsi="Arial" w:cs="Arial"/>
                <w:sz w:val="18"/>
                <w:szCs w:val="20"/>
              </w:rPr>
              <w:t>556</w:t>
            </w:r>
          </w:p>
        </w:tc>
        <w:tc>
          <w:tcPr>
            <w:tcW w:w="1559" w:type="dxa"/>
            <w:vAlign w:val="center"/>
          </w:tcPr>
          <w:p w:rsidR="00B37D8A" w:rsidRDefault="00B37D8A" w:rsidP="00B36E5D">
            <w:pPr>
              <w:spacing w:after="0" w:line="240" w:lineRule="auto"/>
              <w:jc w:val="center"/>
              <w:rPr>
                <w:rFonts w:ascii="Arial" w:hAnsi="Arial" w:cs="Arial"/>
                <w:sz w:val="18"/>
                <w:szCs w:val="20"/>
              </w:rPr>
            </w:pPr>
            <w:r w:rsidRPr="004E463B">
              <w:rPr>
                <w:rFonts w:ascii="Arial" w:hAnsi="Arial" w:cs="Arial"/>
                <w:sz w:val="18"/>
                <w:szCs w:val="20"/>
              </w:rPr>
              <w:t>1</w:t>
            </w:r>
            <w:r>
              <w:rPr>
                <w:rFonts w:ascii="Arial" w:hAnsi="Arial" w:cs="Arial"/>
                <w:sz w:val="18"/>
                <w:szCs w:val="20"/>
              </w:rPr>
              <w:t>.</w:t>
            </w:r>
            <w:r w:rsidRPr="004E463B">
              <w:rPr>
                <w:rFonts w:ascii="Arial" w:hAnsi="Arial" w:cs="Arial"/>
                <w:sz w:val="18"/>
                <w:szCs w:val="20"/>
              </w:rPr>
              <w:t>609,296</w:t>
            </w:r>
          </w:p>
        </w:tc>
        <w:tc>
          <w:tcPr>
            <w:tcW w:w="992" w:type="dxa"/>
            <w:vAlign w:val="center"/>
          </w:tcPr>
          <w:p w:rsidR="00B37D8A" w:rsidRPr="004A3EA4" w:rsidRDefault="00B37D8A" w:rsidP="00B36E5D">
            <w:pPr>
              <w:spacing w:after="0" w:line="240" w:lineRule="auto"/>
              <w:jc w:val="center"/>
              <w:rPr>
                <w:rFonts w:ascii="Arial" w:hAnsi="Arial" w:cs="Arial"/>
                <w:sz w:val="18"/>
                <w:szCs w:val="20"/>
              </w:rPr>
            </w:pPr>
            <w:r>
              <w:rPr>
                <w:rFonts w:ascii="Arial" w:hAnsi="Arial" w:cs="Arial"/>
                <w:sz w:val="18"/>
                <w:szCs w:val="20"/>
              </w:rPr>
              <w:t>20</w:t>
            </w:r>
            <w:r w:rsidRPr="004A3EA4">
              <w:rPr>
                <w:rFonts w:ascii="Arial" w:hAnsi="Arial" w:cs="Arial"/>
                <w:sz w:val="18"/>
                <w:szCs w:val="20"/>
              </w:rPr>
              <w:t>.</w:t>
            </w:r>
            <w:r>
              <w:rPr>
                <w:rFonts w:ascii="Arial" w:hAnsi="Arial" w:cs="Arial"/>
                <w:sz w:val="18"/>
                <w:szCs w:val="20"/>
              </w:rPr>
              <w:t>184</w:t>
            </w:r>
          </w:p>
        </w:tc>
        <w:tc>
          <w:tcPr>
            <w:tcW w:w="992" w:type="dxa"/>
            <w:vAlign w:val="center"/>
          </w:tcPr>
          <w:p w:rsidR="00B37D8A" w:rsidRPr="004A3EA4" w:rsidRDefault="00B37D8A" w:rsidP="00B36E5D">
            <w:pPr>
              <w:spacing w:after="0" w:line="240" w:lineRule="auto"/>
              <w:jc w:val="center"/>
              <w:rPr>
                <w:rFonts w:ascii="Arial" w:hAnsi="Arial" w:cs="Arial"/>
                <w:sz w:val="18"/>
                <w:szCs w:val="20"/>
              </w:rPr>
            </w:pPr>
            <w:r w:rsidRPr="00B36E5D">
              <w:rPr>
                <w:rFonts w:ascii="Arial" w:hAnsi="Arial" w:cs="Arial"/>
                <w:sz w:val="18"/>
                <w:szCs w:val="20"/>
              </w:rPr>
              <w:t>37</w:t>
            </w:r>
            <w:r>
              <w:rPr>
                <w:rFonts w:ascii="Arial" w:hAnsi="Arial" w:cs="Arial"/>
                <w:sz w:val="18"/>
                <w:szCs w:val="20"/>
              </w:rPr>
              <w:t>.</w:t>
            </w:r>
            <w:r w:rsidRPr="00B36E5D">
              <w:rPr>
                <w:rFonts w:ascii="Arial" w:hAnsi="Arial" w:cs="Arial"/>
                <w:sz w:val="18"/>
                <w:szCs w:val="20"/>
              </w:rPr>
              <w:t>65</w:t>
            </w:r>
            <w:r>
              <w:rPr>
                <w:rFonts w:ascii="Arial" w:hAnsi="Arial" w:cs="Arial"/>
                <w:sz w:val="18"/>
                <w:szCs w:val="20"/>
              </w:rPr>
              <w:t>8</w:t>
            </w:r>
          </w:p>
        </w:tc>
        <w:tc>
          <w:tcPr>
            <w:tcW w:w="993" w:type="dxa"/>
            <w:vAlign w:val="center"/>
          </w:tcPr>
          <w:p w:rsidR="00B37D8A" w:rsidRPr="004A3EA4" w:rsidRDefault="00B37D8A" w:rsidP="00B36E5D">
            <w:pPr>
              <w:spacing w:after="0" w:line="240" w:lineRule="auto"/>
              <w:jc w:val="center"/>
              <w:rPr>
                <w:rFonts w:ascii="Arial" w:hAnsi="Arial" w:cs="Arial"/>
                <w:sz w:val="18"/>
                <w:szCs w:val="20"/>
              </w:rPr>
            </w:pPr>
            <w:r>
              <w:rPr>
                <w:rFonts w:ascii="Arial" w:hAnsi="Arial" w:cs="Arial"/>
                <w:sz w:val="18"/>
                <w:szCs w:val="20"/>
              </w:rPr>
              <w:t>10</w:t>
            </w:r>
            <w:r w:rsidRPr="004A3EA4">
              <w:rPr>
                <w:rFonts w:ascii="Arial" w:hAnsi="Arial" w:cs="Arial"/>
                <w:sz w:val="18"/>
                <w:szCs w:val="20"/>
              </w:rPr>
              <w:t>.</w:t>
            </w:r>
            <w:r>
              <w:rPr>
                <w:rFonts w:ascii="Arial" w:hAnsi="Arial" w:cs="Arial"/>
                <w:sz w:val="18"/>
                <w:szCs w:val="20"/>
              </w:rPr>
              <w:t>092</w:t>
            </w:r>
          </w:p>
        </w:tc>
        <w:tc>
          <w:tcPr>
            <w:tcW w:w="992" w:type="dxa"/>
            <w:vAlign w:val="center"/>
          </w:tcPr>
          <w:p w:rsidR="00B37D8A" w:rsidRPr="004A3EA4" w:rsidRDefault="00B37D8A" w:rsidP="00B36E5D">
            <w:pPr>
              <w:spacing w:after="0" w:line="240" w:lineRule="auto"/>
              <w:jc w:val="center"/>
              <w:rPr>
                <w:rFonts w:ascii="Arial" w:hAnsi="Arial" w:cs="Arial"/>
                <w:sz w:val="18"/>
                <w:szCs w:val="20"/>
              </w:rPr>
            </w:pPr>
            <w:r w:rsidRPr="00B36E5D">
              <w:rPr>
                <w:rFonts w:ascii="Arial" w:hAnsi="Arial" w:cs="Arial"/>
                <w:sz w:val="18"/>
                <w:szCs w:val="20"/>
              </w:rPr>
              <w:t>18</w:t>
            </w:r>
            <w:r>
              <w:rPr>
                <w:rFonts w:ascii="Arial" w:hAnsi="Arial" w:cs="Arial"/>
                <w:sz w:val="18"/>
                <w:szCs w:val="20"/>
              </w:rPr>
              <w:t>.</w:t>
            </w:r>
            <w:r w:rsidRPr="00B36E5D">
              <w:rPr>
                <w:rFonts w:ascii="Arial" w:hAnsi="Arial" w:cs="Arial"/>
                <w:sz w:val="18"/>
                <w:szCs w:val="20"/>
              </w:rPr>
              <w:t>829</w:t>
            </w:r>
          </w:p>
        </w:tc>
      </w:tr>
      <w:tr w:rsidR="00B37D8A" w:rsidRPr="004A3EA4" w:rsidTr="00B36E5D">
        <w:trPr>
          <w:trHeight w:val="118"/>
          <w:jc w:val="center"/>
        </w:trPr>
        <w:tc>
          <w:tcPr>
            <w:tcW w:w="2137" w:type="dxa"/>
            <w:noWrap/>
            <w:vAlign w:val="bottom"/>
          </w:tcPr>
          <w:p w:rsidR="00B37D8A" w:rsidRPr="004A3EA4" w:rsidRDefault="00B37D8A" w:rsidP="0085600D">
            <w:pPr>
              <w:spacing w:after="0" w:line="240" w:lineRule="auto"/>
              <w:rPr>
                <w:rFonts w:ascii="Arial" w:hAnsi="Arial" w:cs="Arial"/>
                <w:sz w:val="18"/>
                <w:szCs w:val="20"/>
                <w:lang w:val="es-ES_tradnl"/>
              </w:rPr>
            </w:pPr>
            <w:r w:rsidRPr="004A3EA4">
              <w:rPr>
                <w:rFonts w:ascii="Arial" w:hAnsi="Arial" w:cs="Arial"/>
                <w:sz w:val="18"/>
                <w:szCs w:val="20"/>
                <w:lang w:val="es-ES_tradnl"/>
              </w:rPr>
              <w:t>Monóxido de Carbono - CO (g/km)</w:t>
            </w:r>
          </w:p>
        </w:tc>
        <w:tc>
          <w:tcPr>
            <w:tcW w:w="1418" w:type="dxa"/>
            <w:vAlign w:val="center"/>
          </w:tcPr>
          <w:p w:rsidR="00B37D8A" w:rsidRPr="004A3EA4" w:rsidRDefault="00B37D8A" w:rsidP="004E463B">
            <w:pPr>
              <w:spacing w:after="0" w:line="240" w:lineRule="auto"/>
              <w:jc w:val="center"/>
              <w:rPr>
                <w:rFonts w:ascii="Arial" w:hAnsi="Arial" w:cs="Arial"/>
                <w:sz w:val="18"/>
                <w:szCs w:val="20"/>
              </w:rPr>
            </w:pPr>
            <w:r>
              <w:rPr>
                <w:rFonts w:ascii="Arial" w:hAnsi="Arial" w:cs="Arial"/>
                <w:sz w:val="18"/>
                <w:szCs w:val="20"/>
              </w:rPr>
              <w:t>3</w:t>
            </w:r>
            <w:r w:rsidRPr="004A3EA4">
              <w:rPr>
                <w:rFonts w:ascii="Arial" w:hAnsi="Arial" w:cs="Arial"/>
                <w:sz w:val="18"/>
                <w:szCs w:val="20"/>
              </w:rPr>
              <w:t>,</w:t>
            </w:r>
            <w:r>
              <w:rPr>
                <w:rFonts w:ascii="Arial" w:hAnsi="Arial" w:cs="Arial"/>
                <w:sz w:val="18"/>
                <w:szCs w:val="20"/>
              </w:rPr>
              <w:t>551</w:t>
            </w:r>
          </w:p>
        </w:tc>
        <w:tc>
          <w:tcPr>
            <w:tcW w:w="1559" w:type="dxa"/>
            <w:vAlign w:val="center"/>
          </w:tcPr>
          <w:p w:rsidR="00B37D8A" w:rsidRDefault="00B37D8A" w:rsidP="00B36E5D">
            <w:pPr>
              <w:spacing w:after="0" w:line="240" w:lineRule="auto"/>
              <w:jc w:val="center"/>
              <w:rPr>
                <w:rFonts w:ascii="Arial" w:hAnsi="Arial" w:cs="Arial"/>
                <w:sz w:val="18"/>
                <w:szCs w:val="20"/>
              </w:rPr>
            </w:pPr>
            <w:r w:rsidRPr="004E463B">
              <w:rPr>
                <w:rFonts w:ascii="Arial" w:hAnsi="Arial" w:cs="Arial"/>
                <w:sz w:val="18"/>
                <w:szCs w:val="20"/>
              </w:rPr>
              <w:t>6,625</w:t>
            </w:r>
          </w:p>
        </w:tc>
        <w:tc>
          <w:tcPr>
            <w:tcW w:w="992" w:type="dxa"/>
            <w:vAlign w:val="center"/>
          </w:tcPr>
          <w:p w:rsidR="00B37D8A" w:rsidRPr="004A3EA4" w:rsidRDefault="00B37D8A" w:rsidP="00B36E5D">
            <w:pPr>
              <w:spacing w:after="0" w:line="240" w:lineRule="auto"/>
              <w:jc w:val="center"/>
              <w:rPr>
                <w:rFonts w:ascii="Arial" w:hAnsi="Arial" w:cs="Arial"/>
                <w:sz w:val="18"/>
                <w:szCs w:val="20"/>
              </w:rPr>
            </w:pPr>
            <w:r>
              <w:rPr>
                <w:rFonts w:ascii="Arial" w:hAnsi="Arial" w:cs="Arial"/>
                <w:sz w:val="18"/>
                <w:szCs w:val="20"/>
              </w:rPr>
              <w:t>83</w:t>
            </w:r>
          </w:p>
        </w:tc>
        <w:tc>
          <w:tcPr>
            <w:tcW w:w="992" w:type="dxa"/>
            <w:vAlign w:val="center"/>
          </w:tcPr>
          <w:p w:rsidR="00B37D8A" w:rsidRDefault="00B37D8A" w:rsidP="00B36E5D">
            <w:pPr>
              <w:spacing w:after="0" w:line="240" w:lineRule="auto"/>
              <w:jc w:val="center"/>
              <w:rPr>
                <w:rFonts w:ascii="Arial" w:hAnsi="Arial" w:cs="Arial"/>
                <w:sz w:val="18"/>
                <w:szCs w:val="20"/>
              </w:rPr>
            </w:pPr>
            <w:r w:rsidRPr="00B36E5D">
              <w:rPr>
                <w:rFonts w:ascii="Arial" w:hAnsi="Arial" w:cs="Arial"/>
                <w:sz w:val="18"/>
                <w:szCs w:val="20"/>
              </w:rPr>
              <w:t>155</w:t>
            </w:r>
          </w:p>
        </w:tc>
        <w:tc>
          <w:tcPr>
            <w:tcW w:w="993" w:type="dxa"/>
            <w:vAlign w:val="center"/>
          </w:tcPr>
          <w:p w:rsidR="00B37D8A" w:rsidRPr="004A3EA4" w:rsidRDefault="00B37D8A" w:rsidP="00B36E5D">
            <w:pPr>
              <w:spacing w:after="0" w:line="240" w:lineRule="auto"/>
              <w:jc w:val="center"/>
              <w:rPr>
                <w:rFonts w:ascii="Arial" w:hAnsi="Arial" w:cs="Arial"/>
                <w:sz w:val="18"/>
                <w:szCs w:val="20"/>
              </w:rPr>
            </w:pPr>
            <w:r>
              <w:rPr>
                <w:rFonts w:ascii="Arial" w:hAnsi="Arial" w:cs="Arial"/>
                <w:sz w:val="18"/>
                <w:szCs w:val="20"/>
              </w:rPr>
              <w:t>42</w:t>
            </w:r>
          </w:p>
        </w:tc>
        <w:tc>
          <w:tcPr>
            <w:tcW w:w="992" w:type="dxa"/>
            <w:vAlign w:val="center"/>
          </w:tcPr>
          <w:p w:rsidR="00B37D8A" w:rsidRDefault="00B37D8A" w:rsidP="00B36E5D">
            <w:pPr>
              <w:spacing w:after="0" w:line="240" w:lineRule="auto"/>
              <w:jc w:val="center"/>
              <w:rPr>
                <w:rFonts w:ascii="Arial" w:hAnsi="Arial" w:cs="Arial"/>
                <w:sz w:val="18"/>
                <w:szCs w:val="20"/>
              </w:rPr>
            </w:pPr>
            <w:r w:rsidRPr="00B36E5D">
              <w:rPr>
                <w:rFonts w:ascii="Arial" w:hAnsi="Arial" w:cs="Arial"/>
                <w:sz w:val="18"/>
                <w:szCs w:val="20"/>
              </w:rPr>
              <w:t>78</w:t>
            </w:r>
          </w:p>
        </w:tc>
      </w:tr>
      <w:tr w:rsidR="00B37D8A" w:rsidRPr="004A3EA4" w:rsidTr="00B36E5D">
        <w:trPr>
          <w:trHeight w:val="53"/>
          <w:jc w:val="center"/>
        </w:trPr>
        <w:tc>
          <w:tcPr>
            <w:tcW w:w="2137" w:type="dxa"/>
            <w:noWrap/>
            <w:vAlign w:val="bottom"/>
          </w:tcPr>
          <w:p w:rsidR="00B37D8A" w:rsidRPr="004A3EA4" w:rsidRDefault="00B37D8A" w:rsidP="0085600D">
            <w:pPr>
              <w:spacing w:after="0" w:line="240" w:lineRule="auto"/>
              <w:rPr>
                <w:rFonts w:ascii="Arial" w:hAnsi="Arial" w:cs="Arial"/>
                <w:sz w:val="18"/>
                <w:szCs w:val="20"/>
              </w:rPr>
            </w:pPr>
            <w:r w:rsidRPr="004A3EA4">
              <w:rPr>
                <w:rFonts w:ascii="Arial" w:hAnsi="Arial" w:cs="Arial"/>
                <w:sz w:val="18"/>
                <w:szCs w:val="20"/>
              </w:rPr>
              <w:t>Hidrocarburos - HC (g/km)</w:t>
            </w:r>
          </w:p>
        </w:tc>
        <w:tc>
          <w:tcPr>
            <w:tcW w:w="1418" w:type="dxa"/>
            <w:vAlign w:val="center"/>
          </w:tcPr>
          <w:p w:rsidR="00B37D8A" w:rsidRPr="004A3EA4" w:rsidRDefault="00B37D8A" w:rsidP="004E463B">
            <w:pPr>
              <w:spacing w:after="0" w:line="240" w:lineRule="auto"/>
              <w:jc w:val="center"/>
              <w:rPr>
                <w:rFonts w:ascii="Arial" w:hAnsi="Arial" w:cs="Arial"/>
                <w:sz w:val="18"/>
                <w:szCs w:val="20"/>
              </w:rPr>
            </w:pPr>
            <w:r>
              <w:rPr>
                <w:rFonts w:ascii="Arial" w:hAnsi="Arial" w:cs="Arial"/>
                <w:sz w:val="18"/>
                <w:szCs w:val="20"/>
              </w:rPr>
              <w:t>80</w:t>
            </w:r>
            <w:r w:rsidRPr="004A3EA4">
              <w:rPr>
                <w:rFonts w:ascii="Arial" w:hAnsi="Arial" w:cs="Arial"/>
                <w:sz w:val="18"/>
                <w:szCs w:val="20"/>
              </w:rPr>
              <w:t>,4</w:t>
            </w:r>
            <w:r>
              <w:rPr>
                <w:rFonts w:ascii="Arial" w:hAnsi="Arial" w:cs="Arial"/>
                <w:sz w:val="18"/>
                <w:szCs w:val="20"/>
              </w:rPr>
              <w:t>34</w:t>
            </w:r>
            <w:r w:rsidRPr="004A3EA4">
              <w:rPr>
                <w:rStyle w:val="FootnoteReference"/>
                <w:vertAlign w:val="superscript"/>
              </w:rPr>
              <w:footnoteReference w:id="12"/>
            </w:r>
          </w:p>
        </w:tc>
        <w:tc>
          <w:tcPr>
            <w:tcW w:w="1559" w:type="dxa"/>
            <w:vAlign w:val="center"/>
          </w:tcPr>
          <w:p w:rsidR="00B37D8A" w:rsidRPr="004A3EA4" w:rsidRDefault="00B37D8A" w:rsidP="00B36E5D">
            <w:pPr>
              <w:spacing w:after="0" w:line="240" w:lineRule="auto"/>
              <w:jc w:val="center"/>
              <w:rPr>
                <w:rFonts w:ascii="Arial" w:hAnsi="Arial" w:cs="Arial"/>
                <w:sz w:val="18"/>
                <w:szCs w:val="20"/>
              </w:rPr>
            </w:pPr>
            <w:r w:rsidRPr="004E463B">
              <w:rPr>
                <w:rFonts w:ascii="Arial" w:hAnsi="Arial" w:cs="Arial"/>
                <w:sz w:val="18"/>
                <w:szCs w:val="20"/>
              </w:rPr>
              <w:t>150,075</w:t>
            </w:r>
          </w:p>
        </w:tc>
        <w:tc>
          <w:tcPr>
            <w:tcW w:w="992" w:type="dxa"/>
            <w:vAlign w:val="center"/>
          </w:tcPr>
          <w:p w:rsidR="00B37D8A" w:rsidRPr="004A3EA4" w:rsidRDefault="00B37D8A" w:rsidP="00B36E5D">
            <w:pPr>
              <w:spacing w:after="0" w:line="240" w:lineRule="auto"/>
              <w:jc w:val="center"/>
              <w:rPr>
                <w:rFonts w:ascii="Arial" w:hAnsi="Arial" w:cs="Arial"/>
                <w:sz w:val="18"/>
                <w:szCs w:val="20"/>
              </w:rPr>
            </w:pPr>
            <w:r w:rsidRPr="004A3EA4">
              <w:rPr>
                <w:rFonts w:ascii="Arial" w:hAnsi="Arial" w:cs="Arial"/>
                <w:sz w:val="18"/>
                <w:szCs w:val="20"/>
              </w:rPr>
              <w:t>1.</w:t>
            </w:r>
            <w:r>
              <w:rPr>
                <w:rFonts w:ascii="Arial" w:hAnsi="Arial" w:cs="Arial"/>
                <w:sz w:val="18"/>
                <w:szCs w:val="20"/>
              </w:rPr>
              <w:t>882</w:t>
            </w:r>
          </w:p>
        </w:tc>
        <w:tc>
          <w:tcPr>
            <w:tcW w:w="992" w:type="dxa"/>
            <w:vAlign w:val="center"/>
          </w:tcPr>
          <w:p w:rsidR="00B37D8A" w:rsidRDefault="00B37D8A" w:rsidP="00B36E5D">
            <w:pPr>
              <w:spacing w:after="0" w:line="240" w:lineRule="auto"/>
              <w:jc w:val="center"/>
              <w:rPr>
                <w:rFonts w:ascii="Arial" w:hAnsi="Arial" w:cs="Arial"/>
                <w:sz w:val="18"/>
                <w:szCs w:val="20"/>
              </w:rPr>
            </w:pPr>
            <w:r w:rsidRPr="00B36E5D">
              <w:rPr>
                <w:rFonts w:ascii="Arial" w:hAnsi="Arial" w:cs="Arial"/>
                <w:sz w:val="18"/>
                <w:szCs w:val="20"/>
              </w:rPr>
              <w:t>3</w:t>
            </w:r>
            <w:r>
              <w:rPr>
                <w:rFonts w:ascii="Arial" w:hAnsi="Arial" w:cs="Arial"/>
                <w:sz w:val="18"/>
                <w:szCs w:val="20"/>
              </w:rPr>
              <w:t>.</w:t>
            </w:r>
            <w:r w:rsidRPr="00B36E5D">
              <w:rPr>
                <w:rFonts w:ascii="Arial" w:hAnsi="Arial" w:cs="Arial"/>
                <w:sz w:val="18"/>
                <w:szCs w:val="20"/>
              </w:rPr>
              <w:t>512</w:t>
            </w:r>
          </w:p>
        </w:tc>
        <w:tc>
          <w:tcPr>
            <w:tcW w:w="993" w:type="dxa"/>
            <w:vAlign w:val="center"/>
          </w:tcPr>
          <w:p w:rsidR="00B37D8A" w:rsidRPr="004A3EA4" w:rsidRDefault="00B37D8A" w:rsidP="00B36E5D">
            <w:pPr>
              <w:spacing w:after="0" w:line="240" w:lineRule="auto"/>
              <w:jc w:val="center"/>
              <w:rPr>
                <w:rFonts w:ascii="Arial" w:hAnsi="Arial" w:cs="Arial"/>
                <w:sz w:val="18"/>
                <w:szCs w:val="20"/>
              </w:rPr>
            </w:pPr>
            <w:r>
              <w:rPr>
                <w:rFonts w:ascii="Arial" w:hAnsi="Arial" w:cs="Arial"/>
                <w:sz w:val="18"/>
                <w:szCs w:val="20"/>
              </w:rPr>
              <w:t>941</w:t>
            </w:r>
          </w:p>
        </w:tc>
        <w:tc>
          <w:tcPr>
            <w:tcW w:w="992" w:type="dxa"/>
            <w:vAlign w:val="center"/>
          </w:tcPr>
          <w:p w:rsidR="00B37D8A" w:rsidRDefault="00B37D8A" w:rsidP="00B36E5D">
            <w:pPr>
              <w:spacing w:after="0" w:line="240" w:lineRule="auto"/>
              <w:jc w:val="center"/>
              <w:rPr>
                <w:rFonts w:ascii="Arial" w:hAnsi="Arial" w:cs="Arial"/>
                <w:sz w:val="18"/>
                <w:szCs w:val="20"/>
              </w:rPr>
            </w:pPr>
            <w:r w:rsidRPr="00B36E5D">
              <w:rPr>
                <w:rFonts w:ascii="Arial" w:hAnsi="Arial" w:cs="Arial"/>
                <w:sz w:val="18"/>
                <w:szCs w:val="20"/>
              </w:rPr>
              <w:t>1</w:t>
            </w:r>
            <w:r>
              <w:rPr>
                <w:rFonts w:ascii="Arial" w:hAnsi="Arial" w:cs="Arial"/>
                <w:sz w:val="18"/>
                <w:szCs w:val="20"/>
              </w:rPr>
              <w:t>.</w:t>
            </w:r>
            <w:r w:rsidRPr="00B36E5D">
              <w:rPr>
                <w:rFonts w:ascii="Arial" w:hAnsi="Arial" w:cs="Arial"/>
                <w:sz w:val="18"/>
                <w:szCs w:val="20"/>
              </w:rPr>
              <w:t>756</w:t>
            </w:r>
          </w:p>
        </w:tc>
      </w:tr>
      <w:tr w:rsidR="00B37D8A" w:rsidRPr="004A3EA4" w:rsidTr="00B36E5D">
        <w:trPr>
          <w:trHeight w:val="109"/>
          <w:jc w:val="center"/>
        </w:trPr>
        <w:tc>
          <w:tcPr>
            <w:tcW w:w="2137" w:type="dxa"/>
            <w:noWrap/>
            <w:vAlign w:val="bottom"/>
          </w:tcPr>
          <w:p w:rsidR="00B37D8A" w:rsidRPr="004A3EA4" w:rsidRDefault="00B37D8A" w:rsidP="0085600D">
            <w:pPr>
              <w:spacing w:after="0" w:line="240" w:lineRule="auto"/>
              <w:rPr>
                <w:rFonts w:ascii="Arial" w:hAnsi="Arial" w:cs="Arial"/>
                <w:sz w:val="18"/>
                <w:szCs w:val="20"/>
                <w:lang w:val="es-ES_tradnl"/>
              </w:rPr>
            </w:pPr>
            <w:r w:rsidRPr="004A3EA4">
              <w:rPr>
                <w:rFonts w:ascii="Arial" w:hAnsi="Arial" w:cs="Arial"/>
                <w:sz w:val="18"/>
                <w:szCs w:val="20"/>
                <w:lang w:val="es-ES_tradnl"/>
              </w:rPr>
              <w:t>Óxido de Nitrógeno – N</w:t>
            </w:r>
            <w:r w:rsidRPr="004A3EA4">
              <w:rPr>
                <w:rFonts w:ascii="Arial" w:hAnsi="Arial" w:cs="Arial"/>
                <w:sz w:val="18"/>
                <w:szCs w:val="20"/>
                <w:vertAlign w:val="subscript"/>
                <w:lang w:val="es-ES_tradnl"/>
              </w:rPr>
              <w:t>2</w:t>
            </w:r>
            <w:r w:rsidRPr="004A3EA4">
              <w:rPr>
                <w:rFonts w:ascii="Arial" w:hAnsi="Arial" w:cs="Arial"/>
                <w:sz w:val="18"/>
                <w:szCs w:val="20"/>
                <w:lang w:val="es-ES_tradnl"/>
              </w:rPr>
              <w:t>O (g/km)</w:t>
            </w:r>
          </w:p>
        </w:tc>
        <w:tc>
          <w:tcPr>
            <w:tcW w:w="1418" w:type="dxa"/>
            <w:vAlign w:val="center"/>
          </w:tcPr>
          <w:p w:rsidR="00B37D8A" w:rsidRPr="004A3EA4" w:rsidRDefault="00B37D8A" w:rsidP="004E463B">
            <w:pPr>
              <w:spacing w:after="0" w:line="240" w:lineRule="auto"/>
              <w:jc w:val="center"/>
              <w:rPr>
                <w:rFonts w:ascii="Arial" w:hAnsi="Arial" w:cs="Arial"/>
                <w:sz w:val="18"/>
                <w:szCs w:val="20"/>
              </w:rPr>
            </w:pPr>
            <w:r>
              <w:rPr>
                <w:rFonts w:ascii="Arial" w:hAnsi="Arial" w:cs="Arial"/>
                <w:sz w:val="18"/>
                <w:szCs w:val="20"/>
              </w:rPr>
              <w:t>3</w:t>
            </w:r>
            <w:r w:rsidRPr="004A3EA4">
              <w:rPr>
                <w:rFonts w:ascii="Arial" w:hAnsi="Arial" w:cs="Arial"/>
                <w:sz w:val="18"/>
                <w:szCs w:val="20"/>
              </w:rPr>
              <w:t>.</w:t>
            </w:r>
            <w:r>
              <w:rPr>
                <w:rFonts w:ascii="Arial" w:hAnsi="Arial" w:cs="Arial"/>
                <w:sz w:val="18"/>
                <w:szCs w:val="20"/>
              </w:rPr>
              <w:t>916</w:t>
            </w:r>
            <w:r w:rsidRPr="004A3EA4">
              <w:rPr>
                <w:rFonts w:ascii="Arial" w:hAnsi="Arial" w:cs="Arial"/>
                <w:sz w:val="18"/>
                <w:szCs w:val="20"/>
              </w:rPr>
              <w:t>,5</w:t>
            </w:r>
            <w:r>
              <w:rPr>
                <w:rFonts w:ascii="Arial" w:hAnsi="Arial" w:cs="Arial"/>
                <w:sz w:val="18"/>
                <w:szCs w:val="20"/>
              </w:rPr>
              <w:t>81</w:t>
            </w:r>
            <w:r w:rsidRPr="004A3EA4">
              <w:rPr>
                <w:rStyle w:val="FootnoteReference"/>
                <w:szCs w:val="20"/>
                <w:vertAlign w:val="superscript"/>
              </w:rPr>
              <w:footnoteReference w:id="13"/>
            </w:r>
          </w:p>
        </w:tc>
        <w:tc>
          <w:tcPr>
            <w:tcW w:w="1559" w:type="dxa"/>
            <w:vAlign w:val="center"/>
          </w:tcPr>
          <w:p w:rsidR="00B37D8A" w:rsidRDefault="00B37D8A" w:rsidP="00B36E5D">
            <w:pPr>
              <w:spacing w:after="0" w:line="240" w:lineRule="auto"/>
              <w:jc w:val="center"/>
              <w:rPr>
                <w:rFonts w:ascii="Arial" w:hAnsi="Arial" w:cs="Arial"/>
                <w:sz w:val="18"/>
                <w:szCs w:val="20"/>
              </w:rPr>
            </w:pPr>
            <w:r w:rsidRPr="004E463B">
              <w:rPr>
                <w:rFonts w:ascii="Arial" w:hAnsi="Arial" w:cs="Arial"/>
                <w:sz w:val="18"/>
                <w:szCs w:val="20"/>
              </w:rPr>
              <w:t>7</w:t>
            </w:r>
            <w:r>
              <w:rPr>
                <w:rFonts w:ascii="Arial" w:hAnsi="Arial" w:cs="Arial"/>
                <w:sz w:val="18"/>
                <w:szCs w:val="20"/>
              </w:rPr>
              <w:t>.</w:t>
            </w:r>
            <w:r w:rsidRPr="004E463B">
              <w:rPr>
                <w:rFonts w:ascii="Arial" w:hAnsi="Arial" w:cs="Arial"/>
                <w:sz w:val="18"/>
                <w:szCs w:val="20"/>
              </w:rPr>
              <w:t>307,278</w:t>
            </w:r>
          </w:p>
        </w:tc>
        <w:tc>
          <w:tcPr>
            <w:tcW w:w="992" w:type="dxa"/>
            <w:vAlign w:val="center"/>
          </w:tcPr>
          <w:p w:rsidR="00B37D8A" w:rsidRPr="004A3EA4" w:rsidRDefault="00B37D8A" w:rsidP="00B36E5D">
            <w:pPr>
              <w:spacing w:after="0" w:line="240" w:lineRule="auto"/>
              <w:jc w:val="center"/>
              <w:rPr>
                <w:rFonts w:ascii="Arial" w:hAnsi="Arial" w:cs="Arial"/>
                <w:sz w:val="18"/>
                <w:szCs w:val="20"/>
              </w:rPr>
            </w:pPr>
            <w:r>
              <w:rPr>
                <w:rFonts w:ascii="Arial" w:hAnsi="Arial" w:cs="Arial"/>
                <w:sz w:val="18"/>
                <w:szCs w:val="20"/>
              </w:rPr>
              <w:t>91</w:t>
            </w:r>
            <w:r w:rsidRPr="004A3EA4">
              <w:rPr>
                <w:rFonts w:ascii="Arial" w:hAnsi="Arial" w:cs="Arial"/>
                <w:sz w:val="18"/>
                <w:szCs w:val="20"/>
              </w:rPr>
              <w:t>.</w:t>
            </w:r>
            <w:r>
              <w:rPr>
                <w:rFonts w:ascii="Arial" w:hAnsi="Arial" w:cs="Arial"/>
                <w:sz w:val="18"/>
                <w:szCs w:val="20"/>
              </w:rPr>
              <w:t>648</w:t>
            </w:r>
          </w:p>
        </w:tc>
        <w:tc>
          <w:tcPr>
            <w:tcW w:w="992" w:type="dxa"/>
            <w:vAlign w:val="center"/>
          </w:tcPr>
          <w:p w:rsidR="00B37D8A" w:rsidRDefault="00B37D8A" w:rsidP="00B36E5D">
            <w:pPr>
              <w:spacing w:after="0" w:line="240" w:lineRule="auto"/>
              <w:jc w:val="center"/>
              <w:rPr>
                <w:rFonts w:ascii="Arial" w:hAnsi="Arial" w:cs="Arial"/>
                <w:sz w:val="18"/>
                <w:szCs w:val="20"/>
              </w:rPr>
            </w:pPr>
            <w:r w:rsidRPr="00B36E5D">
              <w:rPr>
                <w:rFonts w:ascii="Arial" w:hAnsi="Arial" w:cs="Arial"/>
                <w:sz w:val="18"/>
                <w:szCs w:val="20"/>
              </w:rPr>
              <w:t>170</w:t>
            </w:r>
            <w:r>
              <w:rPr>
                <w:rFonts w:ascii="Arial" w:hAnsi="Arial" w:cs="Arial"/>
                <w:sz w:val="18"/>
                <w:szCs w:val="20"/>
              </w:rPr>
              <w:t>.</w:t>
            </w:r>
            <w:r w:rsidRPr="00B36E5D">
              <w:rPr>
                <w:rFonts w:ascii="Arial" w:hAnsi="Arial" w:cs="Arial"/>
                <w:sz w:val="18"/>
                <w:szCs w:val="20"/>
              </w:rPr>
              <w:t>990</w:t>
            </w:r>
          </w:p>
        </w:tc>
        <w:tc>
          <w:tcPr>
            <w:tcW w:w="993" w:type="dxa"/>
            <w:vAlign w:val="center"/>
          </w:tcPr>
          <w:p w:rsidR="00B37D8A" w:rsidRPr="004A3EA4" w:rsidRDefault="00B37D8A" w:rsidP="00B36E5D">
            <w:pPr>
              <w:spacing w:after="0" w:line="240" w:lineRule="auto"/>
              <w:jc w:val="center"/>
              <w:rPr>
                <w:rFonts w:ascii="Arial" w:hAnsi="Arial" w:cs="Arial"/>
                <w:sz w:val="18"/>
                <w:szCs w:val="20"/>
              </w:rPr>
            </w:pPr>
            <w:r>
              <w:rPr>
                <w:rFonts w:ascii="Arial" w:hAnsi="Arial" w:cs="Arial"/>
                <w:sz w:val="18"/>
                <w:szCs w:val="20"/>
              </w:rPr>
              <w:t>45</w:t>
            </w:r>
            <w:r w:rsidRPr="004A3EA4">
              <w:rPr>
                <w:rFonts w:ascii="Arial" w:hAnsi="Arial" w:cs="Arial"/>
                <w:sz w:val="18"/>
                <w:szCs w:val="20"/>
              </w:rPr>
              <w:t>.</w:t>
            </w:r>
            <w:r>
              <w:rPr>
                <w:rFonts w:ascii="Arial" w:hAnsi="Arial" w:cs="Arial"/>
                <w:sz w:val="18"/>
                <w:szCs w:val="20"/>
              </w:rPr>
              <w:t>824</w:t>
            </w:r>
          </w:p>
        </w:tc>
        <w:tc>
          <w:tcPr>
            <w:tcW w:w="992" w:type="dxa"/>
            <w:vAlign w:val="center"/>
          </w:tcPr>
          <w:p w:rsidR="00B37D8A" w:rsidRDefault="00B37D8A" w:rsidP="00B36E5D">
            <w:pPr>
              <w:spacing w:after="0" w:line="240" w:lineRule="auto"/>
              <w:jc w:val="center"/>
              <w:rPr>
                <w:rFonts w:ascii="Arial" w:hAnsi="Arial" w:cs="Arial"/>
                <w:sz w:val="18"/>
                <w:szCs w:val="20"/>
              </w:rPr>
            </w:pPr>
            <w:r w:rsidRPr="00B36E5D">
              <w:rPr>
                <w:rFonts w:ascii="Arial" w:hAnsi="Arial" w:cs="Arial"/>
                <w:sz w:val="18"/>
                <w:szCs w:val="20"/>
              </w:rPr>
              <w:t>85</w:t>
            </w:r>
            <w:r>
              <w:rPr>
                <w:rFonts w:ascii="Arial" w:hAnsi="Arial" w:cs="Arial"/>
                <w:sz w:val="18"/>
                <w:szCs w:val="20"/>
              </w:rPr>
              <w:t>.</w:t>
            </w:r>
            <w:r w:rsidRPr="00B36E5D">
              <w:rPr>
                <w:rFonts w:ascii="Arial" w:hAnsi="Arial" w:cs="Arial"/>
                <w:sz w:val="18"/>
                <w:szCs w:val="20"/>
              </w:rPr>
              <w:t>495</w:t>
            </w:r>
          </w:p>
        </w:tc>
      </w:tr>
      <w:tr w:rsidR="00B37D8A" w:rsidRPr="004A3EA4" w:rsidTr="00B36E5D">
        <w:trPr>
          <w:trHeight w:val="53"/>
          <w:jc w:val="center"/>
        </w:trPr>
        <w:tc>
          <w:tcPr>
            <w:tcW w:w="2137" w:type="dxa"/>
            <w:noWrap/>
            <w:vAlign w:val="bottom"/>
          </w:tcPr>
          <w:p w:rsidR="00B37D8A" w:rsidRPr="004A3EA4" w:rsidRDefault="00B37D8A" w:rsidP="0085600D">
            <w:pPr>
              <w:spacing w:after="0" w:line="240" w:lineRule="auto"/>
              <w:rPr>
                <w:rFonts w:ascii="Arial" w:hAnsi="Arial" w:cs="Arial"/>
                <w:sz w:val="18"/>
                <w:szCs w:val="18"/>
              </w:rPr>
            </w:pPr>
            <w:r w:rsidRPr="004A3EA4">
              <w:rPr>
                <w:rFonts w:ascii="Arial" w:hAnsi="Arial" w:cs="Arial"/>
                <w:sz w:val="18"/>
                <w:szCs w:val="18"/>
              </w:rPr>
              <w:t>Dióxido de carbono equivalente - CO</w:t>
            </w:r>
            <w:r w:rsidRPr="004A3EA4">
              <w:rPr>
                <w:rFonts w:ascii="Arial" w:hAnsi="Arial" w:cs="Arial"/>
                <w:sz w:val="18"/>
                <w:szCs w:val="18"/>
                <w:vertAlign w:val="subscript"/>
              </w:rPr>
              <w:t>2eq</w:t>
            </w:r>
          </w:p>
        </w:tc>
        <w:tc>
          <w:tcPr>
            <w:tcW w:w="1418" w:type="dxa"/>
            <w:vAlign w:val="center"/>
          </w:tcPr>
          <w:p w:rsidR="00B37D8A" w:rsidRPr="004A3EA4" w:rsidRDefault="00B37D8A" w:rsidP="004E463B">
            <w:pPr>
              <w:spacing w:after="0" w:line="240" w:lineRule="auto"/>
              <w:jc w:val="center"/>
              <w:rPr>
                <w:rFonts w:ascii="Arial" w:hAnsi="Arial" w:cs="Arial"/>
                <w:sz w:val="18"/>
                <w:szCs w:val="20"/>
              </w:rPr>
            </w:pPr>
            <w:r>
              <w:rPr>
                <w:rFonts w:ascii="Arial" w:hAnsi="Arial" w:cs="Arial"/>
                <w:sz w:val="18"/>
                <w:szCs w:val="20"/>
              </w:rPr>
              <w:t>4.863</w:t>
            </w:r>
            <w:r w:rsidRPr="004A3EA4">
              <w:rPr>
                <w:rFonts w:ascii="Arial" w:hAnsi="Arial" w:cs="Arial"/>
                <w:sz w:val="18"/>
                <w:szCs w:val="20"/>
              </w:rPr>
              <w:t>,</w:t>
            </w:r>
            <w:r>
              <w:rPr>
                <w:rFonts w:ascii="Arial" w:hAnsi="Arial" w:cs="Arial"/>
                <w:sz w:val="18"/>
                <w:szCs w:val="20"/>
              </w:rPr>
              <w:t>126</w:t>
            </w:r>
            <w:r w:rsidRPr="004A3EA4">
              <w:rPr>
                <w:rStyle w:val="FootnoteReference"/>
                <w:szCs w:val="20"/>
                <w:vertAlign w:val="superscript"/>
              </w:rPr>
              <w:footnoteReference w:id="14"/>
            </w:r>
          </w:p>
        </w:tc>
        <w:tc>
          <w:tcPr>
            <w:tcW w:w="1559" w:type="dxa"/>
            <w:vAlign w:val="center"/>
          </w:tcPr>
          <w:p w:rsidR="00B37D8A" w:rsidRDefault="00B37D8A" w:rsidP="00B36E5D">
            <w:pPr>
              <w:spacing w:after="0" w:line="240" w:lineRule="auto"/>
              <w:jc w:val="center"/>
              <w:rPr>
                <w:rFonts w:ascii="Arial" w:hAnsi="Arial" w:cs="Arial"/>
                <w:sz w:val="18"/>
                <w:szCs w:val="20"/>
              </w:rPr>
            </w:pPr>
            <w:r w:rsidRPr="004E463B">
              <w:rPr>
                <w:rFonts w:ascii="Arial" w:hAnsi="Arial" w:cs="Arial"/>
                <w:sz w:val="18"/>
                <w:szCs w:val="20"/>
              </w:rPr>
              <w:t>9</w:t>
            </w:r>
            <w:r>
              <w:rPr>
                <w:rFonts w:ascii="Arial" w:hAnsi="Arial" w:cs="Arial"/>
                <w:sz w:val="18"/>
                <w:szCs w:val="20"/>
              </w:rPr>
              <w:t>.</w:t>
            </w:r>
            <w:r w:rsidRPr="004E463B">
              <w:rPr>
                <w:rFonts w:ascii="Arial" w:hAnsi="Arial" w:cs="Arial"/>
                <w:sz w:val="18"/>
                <w:szCs w:val="20"/>
              </w:rPr>
              <w:t>073,27</w:t>
            </w:r>
            <w:r>
              <w:rPr>
                <w:rFonts w:ascii="Arial" w:hAnsi="Arial" w:cs="Arial"/>
                <w:sz w:val="18"/>
                <w:szCs w:val="20"/>
              </w:rPr>
              <w:t>5</w:t>
            </w:r>
          </w:p>
        </w:tc>
        <w:tc>
          <w:tcPr>
            <w:tcW w:w="992" w:type="dxa"/>
            <w:vAlign w:val="center"/>
          </w:tcPr>
          <w:p w:rsidR="00B37D8A" w:rsidRPr="004A3EA4" w:rsidRDefault="00B37D8A" w:rsidP="00B36E5D">
            <w:pPr>
              <w:spacing w:after="0" w:line="240" w:lineRule="auto"/>
              <w:jc w:val="center"/>
              <w:rPr>
                <w:rFonts w:ascii="Arial" w:hAnsi="Arial" w:cs="Arial"/>
                <w:sz w:val="18"/>
                <w:szCs w:val="20"/>
              </w:rPr>
            </w:pPr>
            <w:r>
              <w:rPr>
                <w:rFonts w:ascii="Arial" w:hAnsi="Arial" w:cs="Arial"/>
                <w:sz w:val="18"/>
                <w:szCs w:val="20"/>
              </w:rPr>
              <w:t>113</w:t>
            </w:r>
            <w:r w:rsidRPr="004A3EA4">
              <w:rPr>
                <w:rFonts w:ascii="Arial" w:hAnsi="Arial" w:cs="Arial"/>
                <w:sz w:val="18"/>
                <w:szCs w:val="20"/>
              </w:rPr>
              <w:t>.</w:t>
            </w:r>
            <w:r>
              <w:rPr>
                <w:rFonts w:ascii="Arial" w:hAnsi="Arial" w:cs="Arial"/>
                <w:sz w:val="18"/>
                <w:szCs w:val="20"/>
              </w:rPr>
              <w:t>797</w:t>
            </w:r>
          </w:p>
        </w:tc>
        <w:tc>
          <w:tcPr>
            <w:tcW w:w="992" w:type="dxa"/>
            <w:vAlign w:val="center"/>
          </w:tcPr>
          <w:p w:rsidR="00B37D8A" w:rsidRDefault="00B37D8A" w:rsidP="00B36E5D">
            <w:pPr>
              <w:spacing w:after="0" w:line="240" w:lineRule="auto"/>
              <w:jc w:val="center"/>
              <w:rPr>
                <w:rFonts w:ascii="Arial" w:hAnsi="Arial" w:cs="Arial"/>
                <w:sz w:val="18"/>
                <w:szCs w:val="20"/>
              </w:rPr>
            </w:pPr>
            <w:r w:rsidRPr="00B36E5D">
              <w:rPr>
                <w:rFonts w:ascii="Arial" w:hAnsi="Arial" w:cs="Arial"/>
                <w:sz w:val="18"/>
                <w:szCs w:val="20"/>
              </w:rPr>
              <w:t>212</w:t>
            </w:r>
            <w:r>
              <w:rPr>
                <w:rFonts w:ascii="Arial" w:hAnsi="Arial" w:cs="Arial"/>
                <w:sz w:val="18"/>
                <w:szCs w:val="20"/>
              </w:rPr>
              <w:t>.</w:t>
            </w:r>
            <w:r w:rsidRPr="00B36E5D">
              <w:rPr>
                <w:rFonts w:ascii="Arial" w:hAnsi="Arial" w:cs="Arial"/>
                <w:sz w:val="18"/>
                <w:szCs w:val="20"/>
              </w:rPr>
              <w:t>315</w:t>
            </w:r>
          </w:p>
        </w:tc>
        <w:tc>
          <w:tcPr>
            <w:tcW w:w="993" w:type="dxa"/>
            <w:vAlign w:val="center"/>
          </w:tcPr>
          <w:p w:rsidR="00B37D8A" w:rsidRPr="004A3EA4" w:rsidRDefault="00B37D8A" w:rsidP="00B36E5D">
            <w:pPr>
              <w:spacing w:after="0" w:line="240" w:lineRule="auto"/>
              <w:jc w:val="center"/>
              <w:rPr>
                <w:rFonts w:ascii="Arial" w:hAnsi="Arial" w:cs="Arial"/>
                <w:sz w:val="18"/>
                <w:szCs w:val="20"/>
              </w:rPr>
            </w:pPr>
            <w:r>
              <w:rPr>
                <w:rFonts w:ascii="Arial" w:hAnsi="Arial" w:cs="Arial"/>
                <w:sz w:val="18"/>
                <w:szCs w:val="20"/>
              </w:rPr>
              <w:t>56</w:t>
            </w:r>
            <w:r w:rsidRPr="004A3EA4">
              <w:rPr>
                <w:rFonts w:ascii="Arial" w:hAnsi="Arial" w:cs="Arial"/>
                <w:sz w:val="18"/>
                <w:szCs w:val="20"/>
              </w:rPr>
              <w:t>.</w:t>
            </w:r>
            <w:r>
              <w:rPr>
                <w:rFonts w:ascii="Arial" w:hAnsi="Arial" w:cs="Arial"/>
                <w:sz w:val="18"/>
                <w:szCs w:val="20"/>
              </w:rPr>
              <w:t>899</w:t>
            </w:r>
          </w:p>
        </w:tc>
        <w:tc>
          <w:tcPr>
            <w:tcW w:w="992" w:type="dxa"/>
            <w:vAlign w:val="center"/>
          </w:tcPr>
          <w:p w:rsidR="00B37D8A" w:rsidRDefault="00B37D8A" w:rsidP="00B36E5D">
            <w:pPr>
              <w:spacing w:after="0" w:line="240" w:lineRule="auto"/>
              <w:jc w:val="center"/>
              <w:rPr>
                <w:rFonts w:ascii="Arial" w:hAnsi="Arial" w:cs="Arial"/>
                <w:sz w:val="18"/>
                <w:szCs w:val="20"/>
              </w:rPr>
            </w:pPr>
            <w:r w:rsidRPr="00B36E5D">
              <w:rPr>
                <w:rFonts w:ascii="Arial" w:hAnsi="Arial" w:cs="Arial"/>
                <w:sz w:val="18"/>
                <w:szCs w:val="20"/>
              </w:rPr>
              <w:t>106</w:t>
            </w:r>
            <w:r>
              <w:rPr>
                <w:rFonts w:ascii="Arial" w:hAnsi="Arial" w:cs="Arial"/>
                <w:sz w:val="18"/>
                <w:szCs w:val="20"/>
              </w:rPr>
              <w:t>.</w:t>
            </w:r>
            <w:r w:rsidRPr="00B36E5D">
              <w:rPr>
                <w:rFonts w:ascii="Arial" w:hAnsi="Arial" w:cs="Arial"/>
                <w:sz w:val="18"/>
                <w:szCs w:val="20"/>
              </w:rPr>
              <w:t>157</w:t>
            </w:r>
          </w:p>
        </w:tc>
      </w:tr>
    </w:tbl>
    <w:p w:rsidR="00B37D8A" w:rsidRPr="00BA0C26" w:rsidRDefault="00B37D8A" w:rsidP="00E40ABE">
      <w:pPr>
        <w:spacing w:before="240"/>
        <w:jc w:val="both"/>
        <w:rPr>
          <w:rFonts w:ascii="Times New Roman" w:hAnsi="Times New Roman"/>
          <w:sz w:val="24"/>
          <w:u w:val="single"/>
        </w:rPr>
      </w:pPr>
      <w:r w:rsidRPr="00BA0C26">
        <w:rPr>
          <w:rFonts w:ascii="Times New Roman" w:hAnsi="Times New Roman"/>
          <w:sz w:val="24"/>
          <w:u w:val="single"/>
        </w:rPr>
        <w:t>i.2) Efectos sobre la salud</w:t>
      </w:r>
    </w:p>
    <w:p w:rsidR="00B37D8A" w:rsidRDefault="00B37D8A" w:rsidP="00E40ABE">
      <w:pPr>
        <w:spacing w:before="240"/>
        <w:jc w:val="both"/>
        <w:rPr>
          <w:rFonts w:ascii="Times New Roman" w:hAnsi="Times New Roman"/>
          <w:sz w:val="24"/>
        </w:rPr>
      </w:pPr>
      <w:r>
        <w:rPr>
          <w:rFonts w:ascii="Times New Roman" w:hAnsi="Times New Roman"/>
          <w:sz w:val="24"/>
        </w:rPr>
        <w:t>En este caso, se parte de un</w:t>
      </w:r>
      <w:r w:rsidRPr="00E71ED8">
        <w:rPr>
          <w:rFonts w:ascii="Times New Roman" w:hAnsi="Times New Roman"/>
          <w:sz w:val="24"/>
        </w:rPr>
        <w:t xml:space="preserve"> estudio de CEPAL </w:t>
      </w:r>
      <w:r>
        <w:rPr>
          <w:rFonts w:ascii="Times New Roman" w:hAnsi="Times New Roman"/>
          <w:sz w:val="24"/>
        </w:rPr>
        <w:t>(</w:t>
      </w:r>
      <w:r w:rsidRPr="00E71ED8">
        <w:rPr>
          <w:rFonts w:ascii="Times New Roman" w:hAnsi="Times New Roman"/>
          <w:sz w:val="24"/>
        </w:rPr>
        <w:t>2003</w:t>
      </w:r>
      <w:r>
        <w:rPr>
          <w:rFonts w:ascii="Times New Roman" w:hAnsi="Times New Roman"/>
          <w:sz w:val="24"/>
        </w:rPr>
        <w:t>)</w:t>
      </w:r>
      <w:r w:rsidRPr="00E71ED8">
        <w:rPr>
          <w:rFonts w:ascii="Times New Roman" w:hAnsi="Times New Roman"/>
          <w:sz w:val="24"/>
        </w:rPr>
        <w:t xml:space="preserve"> </w:t>
      </w:r>
      <w:r>
        <w:rPr>
          <w:rFonts w:ascii="Times New Roman" w:hAnsi="Times New Roman"/>
          <w:sz w:val="24"/>
        </w:rPr>
        <w:t xml:space="preserve">que </w:t>
      </w:r>
      <w:r w:rsidRPr="00E71ED8">
        <w:rPr>
          <w:rFonts w:ascii="Times New Roman" w:hAnsi="Times New Roman"/>
          <w:sz w:val="24"/>
        </w:rPr>
        <w:t xml:space="preserve">establece el valor de los efectos en la salud por la emisión de una tonelada de contaminante. </w:t>
      </w:r>
      <w:r>
        <w:rPr>
          <w:rFonts w:ascii="Times New Roman" w:hAnsi="Times New Roman"/>
          <w:sz w:val="24"/>
        </w:rPr>
        <w:t xml:space="preserve">Los contaminantes considerados nocivos para la salud y sus costos (de tratamiento, por pérdidas de productividad y de bienestar) </w:t>
      </w:r>
      <w:r w:rsidRPr="00E71ED8">
        <w:rPr>
          <w:rFonts w:ascii="Times New Roman" w:hAnsi="Times New Roman"/>
          <w:sz w:val="24"/>
        </w:rPr>
        <w:t>se presentan a continuación</w:t>
      </w:r>
      <w:r w:rsidRPr="00A23C56">
        <w:rPr>
          <w:rStyle w:val="FootnoteReference"/>
          <w:rFonts w:ascii="Times New Roman" w:hAnsi="Times New Roman"/>
          <w:sz w:val="24"/>
          <w:vertAlign w:val="superscript"/>
        </w:rPr>
        <w:footnoteReference w:id="15"/>
      </w:r>
      <w:r>
        <w:rPr>
          <w:rFonts w:ascii="Times New Roman" w:hAnsi="Times New Roman"/>
          <w:sz w:val="24"/>
        </w:rPr>
        <w:t xml:space="preserve"> en ARS</w:t>
      </w:r>
      <w:r w:rsidRPr="00E71ED8">
        <w:rPr>
          <w:rFonts w:ascii="Times New Roman" w:hAnsi="Times New Roman"/>
          <w:sz w:val="24"/>
        </w:rPr>
        <w:t>.</w:t>
      </w:r>
    </w:p>
    <w:tbl>
      <w:tblPr>
        <w:tblW w:w="8453"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1464"/>
        <w:gridCol w:w="1379"/>
        <w:gridCol w:w="1209"/>
        <w:gridCol w:w="1106"/>
      </w:tblGrid>
      <w:tr w:rsidR="00B37D8A" w:rsidRPr="004A3EA4" w:rsidTr="009950CE">
        <w:trPr>
          <w:trHeight w:val="53"/>
          <w:jc w:val="center"/>
        </w:trPr>
        <w:tc>
          <w:tcPr>
            <w:tcW w:w="3295" w:type="dxa"/>
            <w:shd w:val="clear" w:color="auto" w:fill="D9D9D9"/>
            <w:noWrap/>
            <w:vAlign w:val="center"/>
          </w:tcPr>
          <w:p w:rsidR="00B37D8A" w:rsidRPr="004A3EA4" w:rsidRDefault="00B37D8A" w:rsidP="0085600D">
            <w:pPr>
              <w:spacing w:after="0" w:line="240" w:lineRule="auto"/>
              <w:jc w:val="center"/>
              <w:rPr>
                <w:rFonts w:ascii="Arial" w:hAnsi="Arial" w:cs="Arial"/>
                <w:sz w:val="18"/>
                <w:szCs w:val="18"/>
                <w:lang w:val="en-US"/>
              </w:rPr>
            </w:pPr>
            <w:r w:rsidRPr="004A3EA4">
              <w:rPr>
                <w:rFonts w:ascii="Arial" w:hAnsi="Arial" w:cs="Arial"/>
                <w:sz w:val="18"/>
                <w:szCs w:val="18"/>
                <w:lang w:val="en-US"/>
              </w:rPr>
              <w:t>Contaminante</w:t>
            </w:r>
          </w:p>
        </w:tc>
        <w:tc>
          <w:tcPr>
            <w:tcW w:w="1464" w:type="dxa"/>
            <w:shd w:val="clear" w:color="auto" w:fill="D9D9D9"/>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Costo de tratamiento</w:t>
            </w:r>
          </w:p>
        </w:tc>
        <w:tc>
          <w:tcPr>
            <w:tcW w:w="1379" w:type="dxa"/>
            <w:shd w:val="clear" w:color="auto" w:fill="D9D9D9"/>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Productividad perdida</w:t>
            </w:r>
          </w:p>
        </w:tc>
        <w:tc>
          <w:tcPr>
            <w:tcW w:w="1209" w:type="dxa"/>
            <w:shd w:val="clear" w:color="auto" w:fill="D9D9D9"/>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Pérdida de bienestar</w:t>
            </w:r>
          </w:p>
        </w:tc>
        <w:tc>
          <w:tcPr>
            <w:tcW w:w="1106" w:type="dxa"/>
            <w:shd w:val="clear" w:color="auto" w:fill="D9D9D9"/>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Total</w:t>
            </w:r>
          </w:p>
        </w:tc>
      </w:tr>
      <w:tr w:rsidR="00B37D8A" w:rsidRPr="004A3EA4" w:rsidTr="009950CE">
        <w:trPr>
          <w:trHeight w:val="53"/>
          <w:jc w:val="center"/>
        </w:trPr>
        <w:tc>
          <w:tcPr>
            <w:tcW w:w="3295" w:type="dxa"/>
            <w:noWrap/>
            <w:vAlign w:val="bottom"/>
          </w:tcPr>
          <w:p w:rsidR="00B37D8A" w:rsidRPr="004A3EA4" w:rsidRDefault="00B37D8A" w:rsidP="0085600D">
            <w:pPr>
              <w:spacing w:after="0" w:line="240" w:lineRule="auto"/>
              <w:rPr>
                <w:rFonts w:ascii="Arial" w:hAnsi="Arial" w:cs="Arial"/>
                <w:sz w:val="18"/>
                <w:szCs w:val="18"/>
                <w:lang w:val="es-ES_tradnl"/>
              </w:rPr>
            </w:pPr>
            <w:r w:rsidRPr="004A3EA4">
              <w:rPr>
                <w:rFonts w:ascii="Arial" w:hAnsi="Arial" w:cs="Arial"/>
                <w:sz w:val="18"/>
                <w:szCs w:val="18"/>
                <w:lang w:val="es-ES_tradnl"/>
              </w:rPr>
              <w:t>Polvo suspendido</w:t>
            </w:r>
          </w:p>
        </w:tc>
        <w:tc>
          <w:tcPr>
            <w:tcW w:w="1464" w:type="dxa"/>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68</w:t>
            </w:r>
          </w:p>
        </w:tc>
        <w:tc>
          <w:tcPr>
            <w:tcW w:w="1379" w:type="dxa"/>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728</w:t>
            </w:r>
          </w:p>
        </w:tc>
        <w:tc>
          <w:tcPr>
            <w:tcW w:w="1209" w:type="dxa"/>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2.808</w:t>
            </w:r>
          </w:p>
        </w:tc>
        <w:tc>
          <w:tcPr>
            <w:tcW w:w="1106" w:type="dxa"/>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3.588</w:t>
            </w:r>
          </w:p>
        </w:tc>
      </w:tr>
      <w:tr w:rsidR="00B37D8A" w:rsidRPr="004A3EA4" w:rsidTr="009950CE">
        <w:trPr>
          <w:trHeight w:val="118"/>
          <w:jc w:val="center"/>
        </w:trPr>
        <w:tc>
          <w:tcPr>
            <w:tcW w:w="3295" w:type="dxa"/>
            <w:noWrap/>
            <w:vAlign w:val="bottom"/>
          </w:tcPr>
          <w:p w:rsidR="00B37D8A" w:rsidRPr="004A3EA4" w:rsidRDefault="00B37D8A" w:rsidP="0085600D">
            <w:pPr>
              <w:spacing w:after="0" w:line="240" w:lineRule="auto"/>
              <w:rPr>
                <w:rFonts w:ascii="Arial" w:hAnsi="Arial" w:cs="Arial"/>
                <w:sz w:val="18"/>
                <w:szCs w:val="18"/>
                <w:lang w:val="es-ES_tradnl"/>
              </w:rPr>
            </w:pPr>
            <w:r w:rsidRPr="004A3EA4">
              <w:rPr>
                <w:rFonts w:ascii="Arial" w:hAnsi="Arial" w:cs="Arial"/>
                <w:sz w:val="18"/>
                <w:szCs w:val="18"/>
                <w:lang w:val="es-ES_tradnl"/>
              </w:rPr>
              <w:t>Partículas</w:t>
            </w:r>
          </w:p>
        </w:tc>
        <w:tc>
          <w:tcPr>
            <w:tcW w:w="1464" w:type="dxa"/>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5.528</w:t>
            </w:r>
          </w:p>
        </w:tc>
        <w:tc>
          <w:tcPr>
            <w:tcW w:w="1379" w:type="dxa"/>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60.528</w:t>
            </w:r>
          </w:p>
        </w:tc>
        <w:tc>
          <w:tcPr>
            <w:tcW w:w="1209" w:type="dxa"/>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22.4640</w:t>
            </w:r>
          </w:p>
        </w:tc>
        <w:tc>
          <w:tcPr>
            <w:tcW w:w="1106" w:type="dxa"/>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290.680</w:t>
            </w:r>
          </w:p>
        </w:tc>
      </w:tr>
      <w:tr w:rsidR="00B37D8A" w:rsidRPr="004A3EA4" w:rsidTr="009950CE">
        <w:trPr>
          <w:trHeight w:val="53"/>
          <w:jc w:val="center"/>
        </w:trPr>
        <w:tc>
          <w:tcPr>
            <w:tcW w:w="3295" w:type="dxa"/>
            <w:noWrap/>
            <w:vAlign w:val="bottom"/>
          </w:tcPr>
          <w:p w:rsidR="00B37D8A" w:rsidRPr="004A3EA4" w:rsidRDefault="00B37D8A" w:rsidP="0085600D">
            <w:pPr>
              <w:spacing w:after="0" w:line="240" w:lineRule="auto"/>
              <w:rPr>
                <w:rFonts w:ascii="Arial" w:hAnsi="Arial" w:cs="Arial"/>
                <w:sz w:val="18"/>
                <w:szCs w:val="18"/>
              </w:rPr>
            </w:pPr>
            <w:r w:rsidRPr="004A3EA4">
              <w:rPr>
                <w:rFonts w:ascii="Arial" w:hAnsi="Arial" w:cs="Arial"/>
                <w:sz w:val="18"/>
                <w:szCs w:val="18"/>
                <w:lang w:val="es-ES_tradnl"/>
              </w:rPr>
              <w:t xml:space="preserve">Óxido de Nitrógeno – </w:t>
            </w:r>
            <w:r w:rsidRPr="004A3EA4">
              <w:rPr>
                <w:rFonts w:ascii="Arial" w:hAnsi="Arial" w:cs="Arial"/>
                <w:sz w:val="18"/>
                <w:szCs w:val="20"/>
                <w:lang w:val="es-ES_tradnl"/>
              </w:rPr>
              <w:t>N</w:t>
            </w:r>
            <w:r w:rsidRPr="004A3EA4">
              <w:rPr>
                <w:rFonts w:ascii="Arial" w:hAnsi="Arial" w:cs="Arial"/>
                <w:sz w:val="18"/>
                <w:szCs w:val="20"/>
                <w:vertAlign w:val="subscript"/>
                <w:lang w:val="es-ES_tradnl"/>
              </w:rPr>
              <w:t>2</w:t>
            </w:r>
            <w:r w:rsidRPr="004A3EA4">
              <w:rPr>
                <w:rFonts w:ascii="Arial" w:hAnsi="Arial" w:cs="Arial"/>
                <w:sz w:val="18"/>
                <w:szCs w:val="20"/>
                <w:lang w:val="es-ES_tradnl"/>
              </w:rPr>
              <w:t>O</w:t>
            </w:r>
          </w:p>
        </w:tc>
        <w:tc>
          <w:tcPr>
            <w:tcW w:w="1464" w:type="dxa"/>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286</w:t>
            </w:r>
          </w:p>
        </w:tc>
        <w:tc>
          <w:tcPr>
            <w:tcW w:w="1379" w:type="dxa"/>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3.120</w:t>
            </w:r>
          </w:p>
        </w:tc>
        <w:tc>
          <w:tcPr>
            <w:tcW w:w="1209" w:type="dxa"/>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11.440</w:t>
            </w:r>
          </w:p>
        </w:tc>
        <w:tc>
          <w:tcPr>
            <w:tcW w:w="1106" w:type="dxa"/>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15.080</w:t>
            </w:r>
          </w:p>
        </w:tc>
      </w:tr>
      <w:tr w:rsidR="00B37D8A" w:rsidRPr="004A3EA4" w:rsidTr="009950CE">
        <w:trPr>
          <w:trHeight w:val="109"/>
          <w:jc w:val="center"/>
        </w:trPr>
        <w:tc>
          <w:tcPr>
            <w:tcW w:w="3295" w:type="dxa"/>
            <w:noWrap/>
            <w:vAlign w:val="bottom"/>
          </w:tcPr>
          <w:p w:rsidR="00B37D8A" w:rsidRPr="004A3EA4" w:rsidRDefault="00B37D8A" w:rsidP="0085600D">
            <w:pPr>
              <w:spacing w:after="0" w:line="240" w:lineRule="auto"/>
              <w:rPr>
                <w:rFonts w:ascii="Arial" w:hAnsi="Arial" w:cs="Arial"/>
                <w:sz w:val="18"/>
                <w:szCs w:val="18"/>
                <w:lang w:val="es-ES_tradnl"/>
              </w:rPr>
            </w:pPr>
            <w:r w:rsidRPr="004A3EA4">
              <w:rPr>
                <w:rFonts w:ascii="Arial" w:hAnsi="Arial" w:cs="Arial"/>
                <w:sz w:val="18"/>
                <w:szCs w:val="18"/>
                <w:lang w:val="es-ES_tradnl"/>
              </w:rPr>
              <w:t>Dióxido de Sulfuro - SO</w:t>
            </w:r>
            <w:r w:rsidRPr="004A3EA4">
              <w:rPr>
                <w:rFonts w:ascii="Arial" w:hAnsi="Arial" w:cs="Arial"/>
                <w:sz w:val="18"/>
                <w:szCs w:val="18"/>
                <w:vertAlign w:val="subscript"/>
                <w:lang w:val="es-ES_tradnl"/>
              </w:rPr>
              <w:t>2</w:t>
            </w:r>
          </w:p>
        </w:tc>
        <w:tc>
          <w:tcPr>
            <w:tcW w:w="1464" w:type="dxa"/>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1.451</w:t>
            </w:r>
          </w:p>
        </w:tc>
        <w:tc>
          <w:tcPr>
            <w:tcW w:w="1379" w:type="dxa"/>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15.860</w:t>
            </w:r>
          </w:p>
        </w:tc>
        <w:tc>
          <w:tcPr>
            <w:tcW w:w="1209" w:type="dxa"/>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58.760</w:t>
            </w:r>
          </w:p>
        </w:tc>
        <w:tc>
          <w:tcPr>
            <w:tcW w:w="1106" w:type="dxa"/>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76.440</w:t>
            </w:r>
          </w:p>
        </w:tc>
      </w:tr>
    </w:tbl>
    <w:p w:rsidR="00B37D8A" w:rsidRPr="00BB7C3D" w:rsidRDefault="00B37D8A" w:rsidP="00E40ABE">
      <w:pPr>
        <w:spacing w:before="240"/>
        <w:jc w:val="both"/>
        <w:rPr>
          <w:rFonts w:ascii="Times New Roman" w:hAnsi="Times New Roman"/>
          <w:sz w:val="24"/>
        </w:rPr>
      </w:pPr>
      <w:r w:rsidRPr="00BB7C3D">
        <w:rPr>
          <w:rFonts w:ascii="Times New Roman" w:hAnsi="Times New Roman"/>
          <w:sz w:val="24"/>
        </w:rPr>
        <w:lastRenderedPageBreak/>
        <w:t>A partir de la información proveniente de CEPAL</w:t>
      </w:r>
      <w:r>
        <w:rPr>
          <w:rFonts w:ascii="Times New Roman" w:hAnsi="Times New Roman"/>
          <w:sz w:val="24"/>
        </w:rPr>
        <w:t xml:space="preserve"> (2003)</w:t>
      </w:r>
      <w:r w:rsidRPr="00BB7C3D">
        <w:rPr>
          <w:rFonts w:ascii="Times New Roman" w:hAnsi="Times New Roman"/>
          <w:sz w:val="24"/>
        </w:rPr>
        <w:t xml:space="preserve"> y los resultados del HDM-4 en toneladas, se pueden estimar los costos en salud generados por la contaminación para el caso analizado. Luego, suponiendo que el traslado de la ZPA reducirá los mismos en un 7</w:t>
      </w:r>
      <w:r>
        <w:rPr>
          <w:rFonts w:ascii="Times New Roman" w:hAnsi="Times New Roman"/>
          <w:sz w:val="24"/>
        </w:rPr>
        <w:t>5</w:t>
      </w:r>
      <w:r w:rsidRPr="00BB7C3D">
        <w:rPr>
          <w:rFonts w:ascii="Times New Roman" w:hAnsi="Times New Roman"/>
          <w:sz w:val="24"/>
        </w:rPr>
        <w:t xml:space="preserve">%, se obtiene una estimación de los beneficios </w:t>
      </w:r>
      <w:r>
        <w:rPr>
          <w:rFonts w:ascii="Times New Roman" w:hAnsi="Times New Roman"/>
          <w:sz w:val="24"/>
        </w:rPr>
        <w:t xml:space="preserve">anuales </w:t>
      </w:r>
      <w:r w:rsidRPr="00BB7C3D">
        <w:rPr>
          <w:rFonts w:ascii="Times New Roman" w:hAnsi="Times New Roman"/>
          <w:sz w:val="24"/>
        </w:rPr>
        <w:t>por reducción de costos en salud</w:t>
      </w:r>
      <w:r>
        <w:rPr>
          <w:rFonts w:ascii="Times New Roman" w:hAnsi="Times New Roman"/>
          <w:sz w:val="24"/>
        </w:rPr>
        <w:t>, que ascienden a ARS 436.668 en el año 1 y crecen hasta ARS 814.704 en el año 20</w:t>
      </w:r>
      <w:r w:rsidRPr="00BB7C3D">
        <w:rPr>
          <w:rFonts w:ascii="Times New Roman" w:hAnsi="Times New Roman"/>
          <w:sz w:val="24"/>
        </w:rPr>
        <w:t>.</w:t>
      </w:r>
    </w:p>
    <w:tbl>
      <w:tblPr>
        <w:tblW w:w="7111" w:type="dxa"/>
        <w:jc w:val="center"/>
        <w:tblInd w:w="2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2"/>
        <w:gridCol w:w="1167"/>
        <w:gridCol w:w="1134"/>
        <w:gridCol w:w="1134"/>
        <w:gridCol w:w="1134"/>
      </w:tblGrid>
      <w:tr w:rsidR="00B37D8A" w:rsidRPr="004A3EA4" w:rsidTr="005F7789">
        <w:trPr>
          <w:trHeight w:val="53"/>
          <w:jc w:val="center"/>
        </w:trPr>
        <w:tc>
          <w:tcPr>
            <w:tcW w:w="2542" w:type="dxa"/>
            <w:vMerge w:val="restart"/>
            <w:shd w:val="clear" w:color="auto" w:fill="D9D9D9"/>
            <w:noWrap/>
            <w:vAlign w:val="center"/>
          </w:tcPr>
          <w:p w:rsidR="00B37D8A" w:rsidRPr="004A3EA4" w:rsidRDefault="00B37D8A" w:rsidP="0085600D">
            <w:pPr>
              <w:spacing w:after="0" w:line="240" w:lineRule="auto"/>
              <w:jc w:val="center"/>
              <w:rPr>
                <w:rFonts w:ascii="Arial" w:hAnsi="Arial" w:cs="Arial"/>
                <w:sz w:val="18"/>
                <w:szCs w:val="18"/>
                <w:lang w:val="en-US"/>
              </w:rPr>
            </w:pPr>
            <w:r w:rsidRPr="004A3EA4">
              <w:rPr>
                <w:rFonts w:ascii="Arial" w:hAnsi="Arial" w:cs="Arial"/>
                <w:sz w:val="18"/>
                <w:szCs w:val="18"/>
                <w:lang w:val="en-US"/>
              </w:rPr>
              <w:t>Contaminante</w:t>
            </w:r>
          </w:p>
        </w:tc>
        <w:tc>
          <w:tcPr>
            <w:tcW w:w="2301" w:type="dxa"/>
            <w:gridSpan w:val="2"/>
            <w:shd w:val="clear" w:color="auto" w:fill="D9D9D9"/>
          </w:tcPr>
          <w:p w:rsidR="00B37D8A" w:rsidRPr="004A3EA4" w:rsidRDefault="00B37D8A" w:rsidP="005177A1">
            <w:pPr>
              <w:spacing w:after="0" w:line="240" w:lineRule="auto"/>
              <w:jc w:val="center"/>
              <w:rPr>
                <w:rFonts w:ascii="Arial" w:hAnsi="Arial" w:cs="Arial"/>
                <w:sz w:val="18"/>
                <w:szCs w:val="18"/>
              </w:rPr>
            </w:pPr>
            <w:r w:rsidRPr="004A3EA4">
              <w:rPr>
                <w:rFonts w:ascii="Arial" w:hAnsi="Arial" w:cs="Arial"/>
                <w:sz w:val="18"/>
                <w:szCs w:val="18"/>
              </w:rPr>
              <w:t>Costo total</w:t>
            </w:r>
          </w:p>
        </w:tc>
        <w:tc>
          <w:tcPr>
            <w:tcW w:w="2268" w:type="dxa"/>
            <w:gridSpan w:val="2"/>
            <w:shd w:val="clear" w:color="auto" w:fill="D9D9D9"/>
          </w:tcPr>
          <w:p w:rsidR="00B37D8A" w:rsidRPr="004A3EA4" w:rsidRDefault="00B37D8A" w:rsidP="009C25DE">
            <w:pPr>
              <w:spacing w:after="0" w:line="240" w:lineRule="auto"/>
              <w:jc w:val="center"/>
              <w:rPr>
                <w:rFonts w:ascii="Arial" w:hAnsi="Arial" w:cs="Arial"/>
                <w:sz w:val="18"/>
                <w:szCs w:val="18"/>
              </w:rPr>
            </w:pPr>
            <w:r w:rsidRPr="004A3EA4">
              <w:rPr>
                <w:rFonts w:ascii="Arial" w:hAnsi="Arial" w:cs="Arial"/>
                <w:sz w:val="18"/>
                <w:szCs w:val="18"/>
              </w:rPr>
              <w:t>Beneficio (7</w:t>
            </w:r>
            <w:r>
              <w:rPr>
                <w:rFonts w:ascii="Arial" w:hAnsi="Arial" w:cs="Arial"/>
                <w:sz w:val="18"/>
                <w:szCs w:val="18"/>
              </w:rPr>
              <w:t>0</w:t>
            </w:r>
            <w:r w:rsidRPr="004A3EA4">
              <w:rPr>
                <w:rFonts w:ascii="Arial" w:hAnsi="Arial" w:cs="Arial"/>
                <w:sz w:val="18"/>
                <w:szCs w:val="18"/>
              </w:rPr>
              <w:t>%)</w:t>
            </w:r>
          </w:p>
        </w:tc>
      </w:tr>
      <w:tr w:rsidR="00B37D8A" w:rsidRPr="004A3EA4" w:rsidTr="005F7789">
        <w:trPr>
          <w:trHeight w:val="53"/>
          <w:jc w:val="center"/>
        </w:trPr>
        <w:tc>
          <w:tcPr>
            <w:tcW w:w="2542" w:type="dxa"/>
            <w:vMerge/>
            <w:noWrap/>
            <w:vAlign w:val="bottom"/>
          </w:tcPr>
          <w:p w:rsidR="00B37D8A" w:rsidRPr="004A3EA4" w:rsidRDefault="00B37D8A" w:rsidP="0085600D">
            <w:pPr>
              <w:spacing w:after="0" w:line="240" w:lineRule="auto"/>
              <w:rPr>
                <w:rFonts w:ascii="Arial" w:hAnsi="Arial" w:cs="Arial"/>
                <w:sz w:val="18"/>
                <w:szCs w:val="18"/>
                <w:lang w:val="es-ES_tradnl"/>
              </w:rPr>
            </w:pPr>
          </w:p>
        </w:tc>
        <w:tc>
          <w:tcPr>
            <w:tcW w:w="1167" w:type="dxa"/>
            <w:shd w:val="clear" w:color="auto" w:fill="D9D9D9"/>
            <w:vAlign w:val="bottom"/>
          </w:tcPr>
          <w:p w:rsidR="00B37D8A" w:rsidRDefault="00B37D8A" w:rsidP="005177A1">
            <w:pPr>
              <w:spacing w:after="0" w:line="240" w:lineRule="auto"/>
              <w:jc w:val="center"/>
              <w:rPr>
                <w:rFonts w:ascii="Arial" w:hAnsi="Arial" w:cs="Arial"/>
                <w:sz w:val="18"/>
                <w:szCs w:val="20"/>
              </w:rPr>
            </w:pPr>
            <w:r>
              <w:rPr>
                <w:rFonts w:ascii="Arial" w:hAnsi="Arial" w:cs="Arial"/>
                <w:sz w:val="18"/>
                <w:szCs w:val="20"/>
              </w:rPr>
              <w:t>Año 1</w:t>
            </w:r>
          </w:p>
        </w:tc>
        <w:tc>
          <w:tcPr>
            <w:tcW w:w="1134" w:type="dxa"/>
            <w:shd w:val="clear" w:color="auto" w:fill="D9D9D9"/>
          </w:tcPr>
          <w:p w:rsidR="00B37D8A" w:rsidRPr="004A3EA4" w:rsidRDefault="00B37D8A" w:rsidP="00215746">
            <w:pPr>
              <w:spacing w:after="0" w:line="240" w:lineRule="auto"/>
              <w:jc w:val="center"/>
              <w:rPr>
                <w:rFonts w:ascii="Arial" w:hAnsi="Arial" w:cs="Arial"/>
                <w:sz w:val="18"/>
                <w:szCs w:val="20"/>
              </w:rPr>
            </w:pPr>
            <w:r>
              <w:rPr>
                <w:rFonts w:ascii="Arial" w:hAnsi="Arial" w:cs="Arial"/>
                <w:sz w:val="18"/>
                <w:szCs w:val="20"/>
              </w:rPr>
              <w:t>Año 20</w:t>
            </w:r>
          </w:p>
        </w:tc>
        <w:tc>
          <w:tcPr>
            <w:tcW w:w="1134" w:type="dxa"/>
            <w:shd w:val="clear" w:color="auto" w:fill="D9D9D9"/>
            <w:vAlign w:val="bottom"/>
          </w:tcPr>
          <w:p w:rsidR="00B37D8A" w:rsidRPr="004A3EA4" w:rsidRDefault="00B37D8A" w:rsidP="00215746">
            <w:pPr>
              <w:spacing w:after="0" w:line="240" w:lineRule="auto"/>
              <w:jc w:val="center"/>
              <w:rPr>
                <w:rFonts w:ascii="Arial" w:hAnsi="Arial" w:cs="Arial"/>
                <w:sz w:val="18"/>
                <w:szCs w:val="20"/>
              </w:rPr>
            </w:pPr>
            <w:r>
              <w:rPr>
                <w:rFonts w:ascii="Arial" w:hAnsi="Arial" w:cs="Arial"/>
                <w:sz w:val="18"/>
                <w:szCs w:val="20"/>
              </w:rPr>
              <w:t>Año 1</w:t>
            </w:r>
          </w:p>
        </w:tc>
        <w:tc>
          <w:tcPr>
            <w:tcW w:w="1134" w:type="dxa"/>
            <w:shd w:val="clear" w:color="auto" w:fill="D9D9D9"/>
          </w:tcPr>
          <w:p w:rsidR="00B37D8A" w:rsidRPr="004A3EA4" w:rsidRDefault="00B37D8A" w:rsidP="00215746">
            <w:pPr>
              <w:spacing w:after="0" w:line="240" w:lineRule="auto"/>
              <w:jc w:val="center"/>
              <w:rPr>
                <w:rFonts w:ascii="Arial" w:hAnsi="Arial" w:cs="Arial"/>
                <w:sz w:val="18"/>
                <w:szCs w:val="20"/>
              </w:rPr>
            </w:pPr>
            <w:r>
              <w:rPr>
                <w:rFonts w:ascii="Arial" w:hAnsi="Arial" w:cs="Arial"/>
                <w:sz w:val="18"/>
                <w:szCs w:val="20"/>
              </w:rPr>
              <w:t>Año 20</w:t>
            </w:r>
          </w:p>
        </w:tc>
      </w:tr>
      <w:tr w:rsidR="00B37D8A" w:rsidRPr="004A3EA4" w:rsidTr="005F7789">
        <w:trPr>
          <w:trHeight w:val="53"/>
          <w:jc w:val="center"/>
        </w:trPr>
        <w:tc>
          <w:tcPr>
            <w:tcW w:w="2542" w:type="dxa"/>
            <w:noWrap/>
            <w:vAlign w:val="bottom"/>
          </w:tcPr>
          <w:p w:rsidR="00B37D8A" w:rsidRPr="004A3EA4" w:rsidRDefault="00B37D8A" w:rsidP="0085600D">
            <w:pPr>
              <w:spacing w:after="0" w:line="240" w:lineRule="auto"/>
              <w:rPr>
                <w:rFonts w:ascii="Arial" w:hAnsi="Arial" w:cs="Arial"/>
                <w:sz w:val="18"/>
                <w:szCs w:val="18"/>
                <w:lang w:val="es-ES_tradnl"/>
              </w:rPr>
            </w:pPr>
            <w:r w:rsidRPr="004A3EA4">
              <w:rPr>
                <w:rFonts w:ascii="Arial" w:hAnsi="Arial" w:cs="Arial"/>
                <w:sz w:val="18"/>
                <w:szCs w:val="18"/>
                <w:lang w:val="es-ES_tradnl"/>
              </w:rPr>
              <w:t>Polvo suspendido</w:t>
            </w:r>
          </w:p>
        </w:tc>
        <w:tc>
          <w:tcPr>
            <w:tcW w:w="1167" w:type="dxa"/>
            <w:vAlign w:val="bottom"/>
          </w:tcPr>
          <w:p w:rsidR="00B37D8A" w:rsidRPr="004A3EA4" w:rsidRDefault="00B37D8A" w:rsidP="005177A1">
            <w:pPr>
              <w:spacing w:after="0" w:line="240" w:lineRule="auto"/>
              <w:jc w:val="center"/>
              <w:rPr>
                <w:rFonts w:ascii="Arial" w:hAnsi="Arial" w:cs="Arial"/>
                <w:sz w:val="18"/>
                <w:szCs w:val="20"/>
              </w:rPr>
            </w:pPr>
            <w:r>
              <w:rPr>
                <w:rFonts w:ascii="Arial" w:hAnsi="Arial" w:cs="Arial"/>
                <w:sz w:val="18"/>
                <w:szCs w:val="20"/>
              </w:rPr>
              <w:t>2</w:t>
            </w:r>
            <w:r w:rsidRPr="004A3EA4">
              <w:rPr>
                <w:rFonts w:ascii="Arial" w:hAnsi="Arial" w:cs="Arial"/>
                <w:sz w:val="18"/>
                <w:szCs w:val="20"/>
              </w:rPr>
              <w:t>.</w:t>
            </w:r>
            <w:r>
              <w:rPr>
                <w:rFonts w:ascii="Arial" w:hAnsi="Arial" w:cs="Arial"/>
                <w:sz w:val="18"/>
                <w:szCs w:val="20"/>
              </w:rPr>
              <w:t>548</w:t>
            </w:r>
          </w:p>
        </w:tc>
        <w:tc>
          <w:tcPr>
            <w:tcW w:w="1134" w:type="dxa"/>
          </w:tcPr>
          <w:p w:rsidR="00B37D8A" w:rsidRPr="004A3EA4" w:rsidRDefault="00B37D8A" w:rsidP="00187534">
            <w:pPr>
              <w:spacing w:after="0" w:line="240" w:lineRule="auto"/>
              <w:jc w:val="center"/>
              <w:rPr>
                <w:rFonts w:ascii="Arial" w:hAnsi="Arial" w:cs="Arial"/>
                <w:sz w:val="18"/>
                <w:szCs w:val="20"/>
              </w:rPr>
            </w:pPr>
            <w:r w:rsidRPr="00187534">
              <w:rPr>
                <w:rFonts w:ascii="Arial" w:hAnsi="Arial" w:cs="Arial"/>
                <w:sz w:val="18"/>
                <w:szCs w:val="20"/>
              </w:rPr>
              <w:t>4</w:t>
            </w:r>
            <w:r>
              <w:rPr>
                <w:rFonts w:ascii="Arial" w:hAnsi="Arial" w:cs="Arial"/>
                <w:sz w:val="18"/>
                <w:szCs w:val="20"/>
              </w:rPr>
              <w:t>.</w:t>
            </w:r>
            <w:r w:rsidRPr="00187534">
              <w:rPr>
                <w:rFonts w:ascii="Arial" w:hAnsi="Arial" w:cs="Arial"/>
                <w:sz w:val="18"/>
                <w:szCs w:val="20"/>
              </w:rPr>
              <w:t>754</w:t>
            </w:r>
          </w:p>
        </w:tc>
        <w:tc>
          <w:tcPr>
            <w:tcW w:w="1134" w:type="dxa"/>
            <w:vAlign w:val="bottom"/>
          </w:tcPr>
          <w:p w:rsidR="00B37D8A" w:rsidRPr="004A3EA4" w:rsidRDefault="00B37D8A" w:rsidP="003A5FD0">
            <w:pPr>
              <w:spacing w:after="0" w:line="240" w:lineRule="auto"/>
              <w:jc w:val="center"/>
              <w:rPr>
                <w:rFonts w:ascii="Arial" w:hAnsi="Arial" w:cs="Arial"/>
                <w:sz w:val="18"/>
                <w:szCs w:val="20"/>
              </w:rPr>
            </w:pPr>
            <w:r w:rsidRPr="004A3EA4">
              <w:rPr>
                <w:rFonts w:ascii="Arial" w:hAnsi="Arial" w:cs="Arial"/>
                <w:sz w:val="18"/>
                <w:szCs w:val="20"/>
              </w:rPr>
              <w:t>1.</w:t>
            </w:r>
            <w:r>
              <w:rPr>
                <w:rFonts w:ascii="Arial" w:hAnsi="Arial" w:cs="Arial"/>
                <w:sz w:val="18"/>
                <w:szCs w:val="20"/>
              </w:rPr>
              <w:t>784</w:t>
            </w:r>
          </w:p>
        </w:tc>
        <w:tc>
          <w:tcPr>
            <w:tcW w:w="1134" w:type="dxa"/>
          </w:tcPr>
          <w:p w:rsidR="00B37D8A" w:rsidRPr="004A3EA4" w:rsidRDefault="00B37D8A" w:rsidP="003A5FD0">
            <w:pPr>
              <w:spacing w:after="0" w:line="240" w:lineRule="auto"/>
              <w:jc w:val="center"/>
              <w:rPr>
                <w:rFonts w:ascii="Arial" w:hAnsi="Arial" w:cs="Arial"/>
                <w:sz w:val="18"/>
                <w:szCs w:val="20"/>
              </w:rPr>
            </w:pPr>
            <w:r w:rsidRPr="00187534">
              <w:rPr>
                <w:rFonts w:ascii="Arial" w:hAnsi="Arial" w:cs="Arial"/>
                <w:sz w:val="18"/>
                <w:szCs w:val="20"/>
              </w:rPr>
              <w:t>3</w:t>
            </w:r>
            <w:r>
              <w:rPr>
                <w:rFonts w:ascii="Arial" w:hAnsi="Arial" w:cs="Arial"/>
                <w:sz w:val="18"/>
                <w:szCs w:val="20"/>
              </w:rPr>
              <w:t>.328</w:t>
            </w:r>
          </w:p>
        </w:tc>
      </w:tr>
      <w:tr w:rsidR="00B37D8A" w:rsidRPr="004A3EA4" w:rsidTr="005F7789">
        <w:trPr>
          <w:trHeight w:val="118"/>
          <w:jc w:val="center"/>
        </w:trPr>
        <w:tc>
          <w:tcPr>
            <w:tcW w:w="2542" w:type="dxa"/>
            <w:noWrap/>
            <w:vAlign w:val="bottom"/>
          </w:tcPr>
          <w:p w:rsidR="00B37D8A" w:rsidRPr="004A3EA4" w:rsidRDefault="00B37D8A" w:rsidP="0085600D">
            <w:pPr>
              <w:spacing w:after="0" w:line="240" w:lineRule="auto"/>
              <w:rPr>
                <w:rFonts w:ascii="Arial" w:hAnsi="Arial" w:cs="Arial"/>
                <w:sz w:val="18"/>
                <w:szCs w:val="18"/>
                <w:lang w:val="es-ES_tradnl"/>
              </w:rPr>
            </w:pPr>
            <w:r w:rsidRPr="004A3EA4">
              <w:rPr>
                <w:rFonts w:ascii="Arial" w:hAnsi="Arial" w:cs="Arial"/>
                <w:sz w:val="18"/>
                <w:szCs w:val="18"/>
                <w:lang w:val="es-ES_tradnl"/>
              </w:rPr>
              <w:t>Partículas</w:t>
            </w:r>
          </w:p>
        </w:tc>
        <w:tc>
          <w:tcPr>
            <w:tcW w:w="1167" w:type="dxa"/>
            <w:vAlign w:val="bottom"/>
          </w:tcPr>
          <w:p w:rsidR="00B37D8A" w:rsidRPr="004A3EA4" w:rsidRDefault="00B37D8A" w:rsidP="005177A1">
            <w:pPr>
              <w:spacing w:after="0" w:line="240" w:lineRule="auto"/>
              <w:jc w:val="center"/>
              <w:rPr>
                <w:rFonts w:ascii="Arial" w:hAnsi="Arial" w:cs="Arial"/>
                <w:sz w:val="18"/>
                <w:szCs w:val="20"/>
              </w:rPr>
            </w:pPr>
            <w:r>
              <w:rPr>
                <w:rFonts w:ascii="Arial" w:hAnsi="Arial" w:cs="Arial"/>
                <w:sz w:val="18"/>
                <w:szCs w:val="20"/>
              </w:rPr>
              <w:t>206</w:t>
            </w:r>
            <w:r w:rsidRPr="004A3EA4">
              <w:rPr>
                <w:rFonts w:ascii="Arial" w:hAnsi="Arial" w:cs="Arial"/>
                <w:sz w:val="18"/>
                <w:szCs w:val="20"/>
              </w:rPr>
              <w:t>.</w:t>
            </w:r>
            <w:r>
              <w:rPr>
                <w:rFonts w:ascii="Arial" w:hAnsi="Arial" w:cs="Arial"/>
                <w:sz w:val="18"/>
                <w:szCs w:val="20"/>
              </w:rPr>
              <w:t>440</w:t>
            </w:r>
          </w:p>
        </w:tc>
        <w:tc>
          <w:tcPr>
            <w:tcW w:w="1134" w:type="dxa"/>
          </w:tcPr>
          <w:p w:rsidR="00B37D8A" w:rsidRDefault="00B37D8A" w:rsidP="00B931B1">
            <w:pPr>
              <w:spacing w:after="0" w:line="240" w:lineRule="auto"/>
              <w:jc w:val="center"/>
              <w:rPr>
                <w:rFonts w:ascii="Arial" w:hAnsi="Arial" w:cs="Arial"/>
                <w:sz w:val="18"/>
                <w:szCs w:val="20"/>
              </w:rPr>
            </w:pPr>
            <w:r>
              <w:rPr>
                <w:rFonts w:ascii="Arial" w:hAnsi="Arial" w:cs="Arial"/>
                <w:sz w:val="18"/>
                <w:szCs w:val="20"/>
              </w:rPr>
              <w:t>385.161</w:t>
            </w:r>
          </w:p>
        </w:tc>
        <w:tc>
          <w:tcPr>
            <w:tcW w:w="1134" w:type="dxa"/>
            <w:vAlign w:val="bottom"/>
          </w:tcPr>
          <w:p w:rsidR="00B37D8A" w:rsidRPr="004A3EA4" w:rsidRDefault="00B37D8A" w:rsidP="003A5FD0">
            <w:pPr>
              <w:spacing w:after="0" w:line="240" w:lineRule="auto"/>
              <w:jc w:val="center"/>
              <w:rPr>
                <w:rFonts w:ascii="Arial" w:hAnsi="Arial" w:cs="Arial"/>
                <w:sz w:val="18"/>
                <w:szCs w:val="20"/>
              </w:rPr>
            </w:pPr>
            <w:r>
              <w:rPr>
                <w:rFonts w:ascii="Arial" w:hAnsi="Arial" w:cs="Arial"/>
                <w:sz w:val="18"/>
                <w:szCs w:val="20"/>
              </w:rPr>
              <w:t>144</w:t>
            </w:r>
            <w:r w:rsidRPr="004A3EA4">
              <w:rPr>
                <w:rFonts w:ascii="Arial" w:hAnsi="Arial" w:cs="Arial"/>
                <w:sz w:val="18"/>
                <w:szCs w:val="20"/>
              </w:rPr>
              <w:t>.</w:t>
            </w:r>
            <w:r>
              <w:rPr>
                <w:rFonts w:ascii="Arial" w:hAnsi="Arial" w:cs="Arial"/>
                <w:sz w:val="18"/>
                <w:szCs w:val="20"/>
              </w:rPr>
              <w:t>508</w:t>
            </w:r>
          </w:p>
        </w:tc>
        <w:tc>
          <w:tcPr>
            <w:tcW w:w="1134" w:type="dxa"/>
          </w:tcPr>
          <w:p w:rsidR="00B37D8A" w:rsidRDefault="00B37D8A" w:rsidP="00B931B1">
            <w:pPr>
              <w:spacing w:after="0" w:line="240" w:lineRule="auto"/>
              <w:jc w:val="center"/>
              <w:rPr>
                <w:rFonts w:ascii="Arial" w:hAnsi="Arial" w:cs="Arial"/>
                <w:sz w:val="18"/>
                <w:szCs w:val="20"/>
              </w:rPr>
            </w:pPr>
            <w:r>
              <w:rPr>
                <w:rFonts w:ascii="Arial" w:hAnsi="Arial" w:cs="Arial"/>
                <w:sz w:val="18"/>
                <w:szCs w:val="20"/>
              </w:rPr>
              <w:t>269.613</w:t>
            </w:r>
          </w:p>
        </w:tc>
      </w:tr>
      <w:tr w:rsidR="00B37D8A" w:rsidRPr="004A3EA4" w:rsidTr="005F7789">
        <w:trPr>
          <w:trHeight w:val="53"/>
          <w:jc w:val="center"/>
        </w:trPr>
        <w:tc>
          <w:tcPr>
            <w:tcW w:w="2542" w:type="dxa"/>
            <w:noWrap/>
            <w:vAlign w:val="bottom"/>
          </w:tcPr>
          <w:p w:rsidR="00B37D8A" w:rsidRPr="004A3EA4" w:rsidRDefault="00B37D8A" w:rsidP="0085600D">
            <w:pPr>
              <w:spacing w:after="0" w:line="240" w:lineRule="auto"/>
              <w:rPr>
                <w:rFonts w:ascii="Arial" w:hAnsi="Arial" w:cs="Arial"/>
                <w:sz w:val="18"/>
                <w:szCs w:val="18"/>
              </w:rPr>
            </w:pPr>
            <w:r w:rsidRPr="004A3EA4">
              <w:rPr>
                <w:rFonts w:ascii="Arial" w:hAnsi="Arial" w:cs="Arial"/>
                <w:sz w:val="18"/>
                <w:szCs w:val="18"/>
                <w:lang w:val="es-ES_tradnl"/>
              </w:rPr>
              <w:t xml:space="preserve">Óxido de Nitrógeno – </w:t>
            </w:r>
            <w:r w:rsidRPr="004A3EA4">
              <w:rPr>
                <w:rFonts w:ascii="Arial" w:hAnsi="Arial" w:cs="Arial"/>
                <w:sz w:val="18"/>
                <w:szCs w:val="20"/>
                <w:lang w:val="es-ES_tradnl"/>
              </w:rPr>
              <w:t>N</w:t>
            </w:r>
            <w:r w:rsidRPr="004A3EA4">
              <w:rPr>
                <w:rFonts w:ascii="Arial" w:hAnsi="Arial" w:cs="Arial"/>
                <w:sz w:val="18"/>
                <w:szCs w:val="20"/>
                <w:vertAlign w:val="subscript"/>
                <w:lang w:val="es-ES_tradnl"/>
              </w:rPr>
              <w:t>2</w:t>
            </w:r>
            <w:r w:rsidRPr="004A3EA4">
              <w:rPr>
                <w:rFonts w:ascii="Arial" w:hAnsi="Arial" w:cs="Arial"/>
                <w:sz w:val="18"/>
                <w:szCs w:val="20"/>
                <w:lang w:val="es-ES_tradnl"/>
              </w:rPr>
              <w:t>O</w:t>
            </w:r>
          </w:p>
        </w:tc>
        <w:tc>
          <w:tcPr>
            <w:tcW w:w="1167" w:type="dxa"/>
            <w:vAlign w:val="bottom"/>
          </w:tcPr>
          <w:p w:rsidR="00B37D8A" w:rsidRPr="004A3EA4" w:rsidRDefault="00B37D8A" w:rsidP="005177A1">
            <w:pPr>
              <w:spacing w:after="0" w:line="240" w:lineRule="auto"/>
              <w:jc w:val="center"/>
              <w:rPr>
                <w:rFonts w:ascii="Arial" w:hAnsi="Arial" w:cs="Arial"/>
                <w:sz w:val="18"/>
                <w:szCs w:val="20"/>
              </w:rPr>
            </w:pPr>
            <w:r>
              <w:rPr>
                <w:rFonts w:ascii="Arial" w:hAnsi="Arial" w:cs="Arial"/>
                <w:sz w:val="18"/>
                <w:szCs w:val="20"/>
              </w:rPr>
              <w:t>199</w:t>
            </w:r>
            <w:r w:rsidRPr="004A3EA4">
              <w:rPr>
                <w:rFonts w:ascii="Arial" w:hAnsi="Arial" w:cs="Arial"/>
                <w:sz w:val="18"/>
                <w:szCs w:val="20"/>
              </w:rPr>
              <w:t>.5</w:t>
            </w:r>
            <w:r>
              <w:rPr>
                <w:rFonts w:ascii="Arial" w:hAnsi="Arial" w:cs="Arial"/>
                <w:sz w:val="18"/>
                <w:szCs w:val="20"/>
              </w:rPr>
              <w:t>3</w:t>
            </w:r>
            <w:r w:rsidRPr="004A3EA4">
              <w:rPr>
                <w:rFonts w:ascii="Arial" w:hAnsi="Arial" w:cs="Arial"/>
                <w:sz w:val="18"/>
                <w:szCs w:val="20"/>
              </w:rPr>
              <w:t>4</w:t>
            </w:r>
          </w:p>
        </w:tc>
        <w:tc>
          <w:tcPr>
            <w:tcW w:w="1134" w:type="dxa"/>
          </w:tcPr>
          <w:p w:rsidR="00B37D8A" w:rsidRDefault="00B37D8A" w:rsidP="00215746">
            <w:pPr>
              <w:spacing w:after="0" w:line="240" w:lineRule="auto"/>
              <w:jc w:val="center"/>
              <w:rPr>
                <w:rFonts w:ascii="Arial" w:hAnsi="Arial" w:cs="Arial"/>
                <w:sz w:val="18"/>
                <w:szCs w:val="20"/>
              </w:rPr>
            </w:pPr>
            <w:r w:rsidRPr="00187534">
              <w:rPr>
                <w:rFonts w:ascii="Arial" w:hAnsi="Arial" w:cs="Arial"/>
                <w:sz w:val="18"/>
                <w:szCs w:val="20"/>
              </w:rPr>
              <w:t>372</w:t>
            </w:r>
            <w:r>
              <w:rPr>
                <w:rFonts w:ascii="Arial" w:hAnsi="Arial" w:cs="Arial"/>
                <w:sz w:val="18"/>
                <w:szCs w:val="20"/>
              </w:rPr>
              <w:t>.</w:t>
            </w:r>
            <w:r w:rsidRPr="00187534">
              <w:rPr>
                <w:rFonts w:ascii="Arial" w:hAnsi="Arial" w:cs="Arial"/>
                <w:sz w:val="18"/>
                <w:szCs w:val="20"/>
              </w:rPr>
              <w:t>276</w:t>
            </w:r>
          </w:p>
        </w:tc>
        <w:tc>
          <w:tcPr>
            <w:tcW w:w="1134" w:type="dxa"/>
            <w:vAlign w:val="bottom"/>
          </w:tcPr>
          <w:p w:rsidR="00B37D8A" w:rsidRPr="004A3EA4" w:rsidRDefault="00B37D8A" w:rsidP="003A5FD0">
            <w:pPr>
              <w:spacing w:after="0" w:line="240" w:lineRule="auto"/>
              <w:jc w:val="center"/>
              <w:rPr>
                <w:rFonts w:ascii="Arial" w:hAnsi="Arial" w:cs="Arial"/>
                <w:sz w:val="18"/>
                <w:szCs w:val="20"/>
              </w:rPr>
            </w:pPr>
            <w:r>
              <w:rPr>
                <w:rFonts w:ascii="Arial" w:hAnsi="Arial" w:cs="Arial"/>
                <w:sz w:val="18"/>
                <w:szCs w:val="20"/>
              </w:rPr>
              <w:t>13</w:t>
            </w:r>
            <w:r w:rsidRPr="004A3EA4">
              <w:rPr>
                <w:rFonts w:ascii="Arial" w:hAnsi="Arial" w:cs="Arial"/>
                <w:sz w:val="18"/>
                <w:szCs w:val="20"/>
              </w:rPr>
              <w:t>9.6</w:t>
            </w:r>
            <w:r>
              <w:rPr>
                <w:rFonts w:ascii="Arial" w:hAnsi="Arial" w:cs="Arial"/>
                <w:sz w:val="18"/>
                <w:szCs w:val="20"/>
              </w:rPr>
              <w:t>74</w:t>
            </w:r>
          </w:p>
        </w:tc>
        <w:tc>
          <w:tcPr>
            <w:tcW w:w="1134" w:type="dxa"/>
          </w:tcPr>
          <w:p w:rsidR="00B37D8A" w:rsidRDefault="00B37D8A" w:rsidP="003A5FD0">
            <w:pPr>
              <w:spacing w:after="0" w:line="240" w:lineRule="auto"/>
              <w:jc w:val="center"/>
              <w:rPr>
                <w:rFonts w:ascii="Arial" w:hAnsi="Arial" w:cs="Arial"/>
                <w:sz w:val="18"/>
                <w:szCs w:val="20"/>
              </w:rPr>
            </w:pPr>
            <w:r w:rsidRPr="00187534">
              <w:rPr>
                <w:rFonts w:ascii="Arial" w:hAnsi="Arial" w:cs="Arial"/>
                <w:sz w:val="18"/>
                <w:szCs w:val="20"/>
              </w:rPr>
              <w:t>2</w:t>
            </w:r>
            <w:r>
              <w:rPr>
                <w:rFonts w:ascii="Arial" w:hAnsi="Arial" w:cs="Arial"/>
                <w:sz w:val="18"/>
                <w:szCs w:val="20"/>
              </w:rPr>
              <w:t>60.593</w:t>
            </w:r>
          </w:p>
        </w:tc>
      </w:tr>
      <w:tr w:rsidR="00B37D8A" w:rsidRPr="004A3EA4" w:rsidTr="005F7789">
        <w:trPr>
          <w:trHeight w:val="109"/>
          <w:jc w:val="center"/>
        </w:trPr>
        <w:tc>
          <w:tcPr>
            <w:tcW w:w="2542" w:type="dxa"/>
            <w:noWrap/>
            <w:vAlign w:val="bottom"/>
          </w:tcPr>
          <w:p w:rsidR="00B37D8A" w:rsidRPr="004A3EA4" w:rsidRDefault="00B37D8A" w:rsidP="0085600D">
            <w:pPr>
              <w:spacing w:after="0" w:line="240" w:lineRule="auto"/>
              <w:rPr>
                <w:rFonts w:ascii="Arial" w:hAnsi="Arial" w:cs="Arial"/>
                <w:sz w:val="18"/>
                <w:szCs w:val="18"/>
                <w:lang w:val="es-ES_tradnl"/>
              </w:rPr>
            </w:pPr>
            <w:r w:rsidRPr="004A3EA4">
              <w:rPr>
                <w:rFonts w:ascii="Arial" w:hAnsi="Arial" w:cs="Arial"/>
                <w:sz w:val="18"/>
                <w:szCs w:val="18"/>
                <w:lang w:val="es-ES_tradnl"/>
              </w:rPr>
              <w:t>Dióxido de Sulfuro - SO</w:t>
            </w:r>
            <w:r w:rsidRPr="004A3EA4">
              <w:rPr>
                <w:rFonts w:ascii="Arial" w:hAnsi="Arial" w:cs="Arial"/>
                <w:sz w:val="18"/>
                <w:szCs w:val="18"/>
                <w:vertAlign w:val="subscript"/>
                <w:lang w:val="es-ES_tradnl"/>
              </w:rPr>
              <w:t>2</w:t>
            </w:r>
          </w:p>
        </w:tc>
        <w:tc>
          <w:tcPr>
            <w:tcW w:w="1167" w:type="dxa"/>
            <w:vAlign w:val="bottom"/>
          </w:tcPr>
          <w:p w:rsidR="00B37D8A" w:rsidRPr="004A3EA4" w:rsidRDefault="00B37D8A" w:rsidP="005177A1">
            <w:pPr>
              <w:spacing w:after="0" w:line="240" w:lineRule="auto"/>
              <w:jc w:val="center"/>
              <w:rPr>
                <w:rFonts w:ascii="Arial" w:hAnsi="Arial" w:cs="Arial"/>
                <w:sz w:val="18"/>
                <w:szCs w:val="20"/>
              </w:rPr>
            </w:pPr>
            <w:r>
              <w:rPr>
                <w:rFonts w:ascii="Arial" w:hAnsi="Arial" w:cs="Arial"/>
                <w:sz w:val="18"/>
                <w:szCs w:val="20"/>
              </w:rPr>
              <w:t>215</w:t>
            </w:r>
            <w:r w:rsidRPr="004A3EA4">
              <w:rPr>
                <w:rFonts w:ascii="Arial" w:hAnsi="Arial" w:cs="Arial"/>
                <w:sz w:val="18"/>
                <w:szCs w:val="20"/>
              </w:rPr>
              <w:t>.</w:t>
            </w:r>
            <w:r>
              <w:rPr>
                <w:rFonts w:ascii="Arial" w:hAnsi="Arial" w:cs="Arial"/>
                <w:sz w:val="18"/>
                <w:szCs w:val="20"/>
              </w:rPr>
              <w:t>290</w:t>
            </w:r>
          </w:p>
        </w:tc>
        <w:tc>
          <w:tcPr>
            <w:tcW w:w="1134" w:type="dxa"/>
          </w:tcPr>
          <w:p w:rsidR="00B37D8A" w:rsidRDefault="00B37D8A" w:rsidP="00215746">
            <w:pPr>
              <w:spacing w:after="0" w:line="240" w:lineRule="auto"/>
              <w:jc w:val="center"/>
              <w:rPr>
                <w:rFonts w:ascii="Arial" w:hAnsi="Arial" w:cs="Arial"/>
                <w:sz w:val="18"/>
                <w:szCs w:val="20"/>
              </w:rPr>
            </w:pPr>
            <w:r w:rsidRPr="00187534">
              <w:rPr>
                <w:rFonts w:ascii="Arial" w:hAnsi="Arial" w:cs="Arial"/>
                <w:sz w:val="18"/>
                <w:szCs w:val="20"/>
              </w:rPr>
              <w:t>401</w:t>
            </w:r>
            <w:r>
              <w:rPr>
                <w:rFonts w:ascii="Arial" w:hAnsi="Arial" w:cs="Arial"/>
                <w:sz w:val="18"/>
                <w:szCs w:val="20"/>
              </w:rPr>
              <w:t>.</w:t>
            </w:r>
            <w:r w:rsidRPr="00187534">
              <w:rPr>
                <w:rFonts w:ascii="Arial" w:hAnsi="Arial" w:cs="Arial"/>
                <w:sz w:val="18"/>
                <w:szCs w:val="20"/>
              </w:rPr>
              <w:t>672</w:t>
            </w:r>
          </w:p>
        </w:tc>
        <w:tc>
          <w:tcPr>
            <w:tcW w:w="1134" w:type="dxa"/>
            <w:vAlign w:val="bottom"/>
          </w:tcPr>
          <w:p w:rsidR="00B37D8A" w:rsidRPr="004A3EA4" w:rsidRDefault="00B37D8A" w:rsidP="003A5FD0">
            <w:pPr>
              <w:spacing w:after="0" w:line="240" w:lineRule="auto"/>
              <w:jc w:val="center"/>
              <w:rPr>
                <w:rFonts w:ascii="Arial" w:hAnsi="Arial" w:cs="Arial"/>
                <w:sz w:val="18"/>
                <w:szCs w:val="20"/>
              </w:rPr>
            </w:pPr>
            <w:r>
              <w:rPr>
                <w:rFonts w:ascii="Arial" w:hAnsi="Arial" w:cs="Arial"/>
                <w:sz w:val="18"/>
                <w:szCs w:val="20"/>
              </w:rPr>
              <w:t>150</w:t>
            </w:r>
            <w:r w:rsidRPr="004A3EA4">
              <w:rPr>
                <w:rFonts w:ascii="Arial" w:hAnsi="Arial" w:cs="Arial"/>
                <w:sz w:val="18"/>
                <w:szCs w:val="20"/>
              </w:rPr>
              <w:t>.</w:t>
            </w:r>
            <w:r>
              <w:rPr>
                <w:rFonts w:ascii="Arial" w:hAnsi="Arial" w:cs="Arial"/>
                <w:sz w:val="18"/>
                <w:szCs w:val="20"/>
              </w:rPr>
              <w:t>703</w:t>
            </w:r>
          </w:p>
        </w:tc>
        <w:tc>
          <w:tcPr>
            <w:tcW w:w="1134" w:type="dxa"/>
          </w:tcPr>
          <w:p w:rsidR="00B37D8A" w:rsidRDefault="00B37D8A" w:rsidP="003A5FD0">
            <w:pPr>
              <w:spacing w:after="0" w:line="240" w:lineRule="auto"/>
              <w:jc w:val="center"/>
              <w:rPr>
                <w:rFonts w:ascii="Arial" w:hAnsi="Arial" w:cs="Arial"/>
                <w:sz w:val="18"/>
                <w:szCs w:val="20"/>
              </w:rPr>
            </w:pPr>
            <w:r>
              <w:rPr>
                <w:rFonts w:ascii="Arial" w:hAnsi="Arial" w:cs="Arial"/>
                <w:sz w:val="18"/>
                <w:szCs w:val="20"/>
              </w:rPr>
              <w:t>281.170</w:t>
            </w:r>
          </w:p>
        </w:tc>
      </w:tr>
      <w:tr w:rsidR="00B37D8A" w:rsidRPr="004A3EA4" w:rsidTr="005F7789">
        <w:trPr>
          <w:trHeight w:val="109"/>
          <w:jc w:val="center"/>
        </w:trPr>
        <w:tc>
          <w:tcPr>
            <w:tcW w:w="2542" w:type="dxa"/>
            <w:noWrap/>
            <w:vAlign w:val="bottom"/>
          </w:tcPr>
          <w:p w:rsidR="00B37D8A" w:rsidRPr="004A3EA4" w:rsidRDefault="00B37D8A" w:rsidP="0085600D">
            <w:pPr>
              <w:spacing w:after="0" w:line="240" w:lineRule="auto"/>
              <w:rPr>
                <w:rFonts w:ascii="Arial" w:hAnsi="Arial" w:cs="Arial"/>
                <w:sz w:val="18"/>
                <w:szCs w:val="18"/>
                <w:lang w:val="es-ES_tradnl"/>
              </w:rPr>
            </w:pPr>
            <w:r w:rsidRPr="004A3EA4">
              <w:rPr>
                <w:rFonts w:ascii="Arial" w:hAnsi="Arial" w:cs="Arial"/>
                <w:sz w:val="18"/>
                <w:szCs w:val="18"/>
                <w:lang w:val="es-ES_tradnl"/>
              </w:rPr>
              <w:t>Total</w:t>
            </w:r>
          </w:p>
        </w:tc>
        <w:tc>
          <w:tcPr>
            <w:tcW w:w="1167" w:type="dxa"/>
            <w:vAlign w:val="bottom"/>
          </w:tcPr>
          <w:p w:rsidR="00B37D8A" w:rsidRPr="004A3EA4" w:rsidRDefault="00B37D8A" w:rsidP="005177A1">
            <w:pPr>
              <w:spacing w:after="0" w:line="240" w:lineRule="auto"/>
              <w:jc w:val="center"/>
              <w:rPr>
                <w:rFonts w:ascii="Arial" w:hAnsi="Arial" w:cs="Arial"/>
                <w:sz w:val="18"/>
                <w:szCs w:val="20"/>
              </w:rPr>
            </w:pPr>
            <w:r>
              <w:rPr>
                <w:rFonts w:ascii="Arial" w:hAnsi="Arial" w:cs="Arial"/>
                <w:sz w:val="18"/>
                <w:szCs w:val="20"/>
              </w:rPr>
              <w:t>623</w:t>
            </w:r>
            <w:r w:rsidRPr="004A3EA4">
              <w:rPr>
                <w:rFonts w:ascii="Arial" w:hAnsi="Arial" w:cs="Arial"/>
                <w:sz w:val="18"/>
                <w:szCs w:val="20"/>
              </w:rPr>
              <w:t>.</w:t>
            </w:r>
            <w:r>
              <w:rPr>
                <w:rFonts w:ascii="Arial" w:hAnsi="Arial" w:cs="Arial"/>
                <w:sz w:val="18"/>
                <w:szCs w:val="20"/>
              </w:rPr>
              <w:t>812</w:t>
            </w:r>
          </w:p>
        </w:tc>
        <w:tc>
          <w:tcPr>
            <w:tcW w:w="1134" w:type="dxa"/>
          </w:tcPr>
          <w:p w:rsidR="00B37D8A" w:rsidRDefault="00B37D8A" w:rsidP="00B931B1">
            <w:pPr>
              <w:spacing w:after="0" w:line="240" w:lineRule="auto"/>
              <w:jc w:val="center"/>
              <w:rPr>
                <w:rFonts w:ascii="Arial" w:hAnsi="Arial" w:cs="Arial"/>
                <w:sz w:val="18"/>
                <w:szCs w:val="20"/>
              </w:rPr>
            </w:pPr>
            <w:r>
              <w:rPr>
                <w:rFonts w:ascii="Arial" w:hAnsi="Arial" w:cs="Arial"/>
                <w:sz w:val="18"/>
                <w:szCs w:val="20"/>
              </w:rPr>
              <w:t>1.163.863</w:t>
            </w:r>
          </w:p>
        </w:tc>
        <w:tc>
          <w:tcPr>
            <w:tcW w:w="1134" w:type="dxa"/>
            <w:vAlign w:val="bottom"/>
          </w:tcPr>
          <w:p w:rsidR="00B37D8A" w:rsidRPr="004A3EA4" w:rsidRDefault="00B37D8A" w:rsidP="003A5FD0">
            <w:pPr>
              <w:spacing w:after="0" w:line="240" w:lineRule="auto"/>
              <w:jc w:val="center"/>
              <w:rPr>
                <w:rFonts w:ascii="Arial" w:hAnsi="Arial" w:cs="Arial"/>
                <w:sz w:val="18"/>
                <w:szCs w:val="20"/>
              </w:rPr>
            </w:pPr>
            <w:r>
              <w:rPr>
                <w:rFonts w:ascii="Arial" w:hAnsi="Arial" w:cs="Arial"/>
                <w:sz w:val="18"/>
                <w:szCs w:val="20"/>
              </w:rPr>
              <w:t>436</w:t>
            </w:r>
            <w:r w:rsidRPr="004A3EA4">
              <w:rPr>
                <w:rFonts w:ascii="Arial" w:hAnsi="Arial" w:cs="Arial"/>
                <w:sz w:val="18"/>
                <w:szCs w:val="20"/>
              </w:rPr>
              <w:t>.</w:t>
            </w:r>
            <w:r>
              <w:rPr>
                <w:rFonts w:ascii="Arial" w:hAnsi="Arial" w:cs="Arial"/>
                <w:sz w:val="18"/>
                <w:szCs w:val="20"/>
              </w:rPr>
              <w:t>668</w:t>
            </w:r>
          </w:p>
        </w:tc>
        <w:tc>
          <w:tcPr>
            <w:tcW w:w="1134" w:type="dxa"/>
          </w:tcPr>
          <w:p w:rsidR="00B37D8A" w:rsidRDefault="00B37D8A" w:rsidP="00B931B1">
            <w:pPr>
              <w:spacing w:after="0" w:line="240" w:lineRule="auto"/>
              <w:jc w:val="center"/>
              <w:rPr>
                <w:rFonts w:ascii="Arial" w:hAnsi="Arial" w:cs="Arial"/>
                <w:sz w:val="18"/>
                <w:szCs w:val="20"/>
              </w:rPr>
            </w:pPr>
            <w:r>
              <w:rPr>
                <w:rFonts w:ascii="Arial" w:hAnsi="Arial" w:cs="Arial"/>
                <w:sz w:val="18"/>
                <w:szCs w:val="20"/>
              </w:rPr>
              <w:t>814.704</w:t>
            </w:r>
          </w:p>
        </w:tc>
      </w:tr>
    </w:tbl>
    <w:p w:rsidR="00B37D8A" w:rsidRPr="00BA0C26" w:rsidRDefault="00B37D8A" w:rsidP="00E40ABE">
      <w:pPr>
        <w:spacing w:before="240"/>
        <w:jc w:val="both"/>
        <w:rPr>
          <w:rFonts w:ascii="Times New Roman" w:hAnsi="Times New Roman"/>
          <w:b/>
          <w:color w:val="FF0000"/>
          <w:sz w:val="24"/>
          <w:u w:val="single"/>
        </w:rPr>
      </w:pPr>
      <w:r w:rsidRPr="00BA0C26">
        <w:rPr>
          <w:rFonts w:ascii="Times New Roman" w:hAnsi="Times New Roman"/>
          <w:sz w:val="24"/>
          <w:u w:val="single"/>
        </w:rPr>
        <w:t>i.3) Efectos sobre  accidentes de tránsito</w:t>
      </w:r>
    </w:p>
    <w:p w:rsidR="00B37D8A" w:rsidRDefault="00B37D8A" w:rsidP="00E40ABE">
      <w:pPr>
        <w:spacing w:before="240"/>
        <w:jc w:val="both"/>
        <w:rPr>
          <w:rFonts w:ascii="Times New Roman" w:hAnsi="Times New Roman"/>
          <w:sz w:val="24"/>
        </w:rPr>
      </w:pPr>
      <w:r>
        <w:rPr>
          <w:rFonts w:ascii="Times New Roman" w:hAnsi="Times New Roman"/>
          <w:sz w:val="24"/>
        </w:rPr>
        <w:t xml:space="preserve">Para el cálculo de estos beneficios, se toma como base los resultados arrojados por el software HDM-4 en relación con los gastos de seguridad vehicular. En particular, dadas las características del país (ingreso per cápita y probabilidad de accidentes graves o fatales), el programa estima un  costo en seguridad por kilómetro por vehículo de ARS 0,13884. Por lo tanto, si se considera el radio de incidencia de 35 km. y la cantidad de camiones que transitan hacia la ZPA, se obtiene un costo total de seguridad que comienza en ARS 237.178 en el año 1 y crece hasta ARS 442.509 en el último período. Se supone que la </w:t>
      </w:r>
      <w:r w:rsidRPr="00EC20F9">
        <w:rPr>
          <w:rFonts w:ascii="Times New Roman" w:hAnsi="Times New Roman"/>
          <w:sz w:val="24"/>
          <w:lang w:val="es-ES"/>
        </w:rPr>
        <w:t xml:space="preserve">Nueva Zona Primaria Aduanera </w:t>
      </w:r>
      <w:r>
        <w:rPr>
          <w:rFonts w:ascii="Times New Roman" w:hAnsi="Times New Roman"/>
          <w:sz w:val="24"/>
        </w:rPr>
        <w:t>reducirá estos costos en un 50%, por lo que se obtiene un beneficio creciente desde ARS 118.758 hasta ARS 221.255.</w:t>
      </w:r>
    </w:p>
    <w:p w:rsidR="00B37D8A" w:rsidRPr="00BA0C26" w:rsidRDefault="00B37D8A" w:rsidP="00E40ABE">
      <w:pPr>
        <w:spacing w:before="240"/>
        <w:jc w:val="both"/>
        <w:rPr>
          <w:rFonts w:ascii="Times New Roman" w:hAnsi="Times New Roman"/>
          <w:i/>
          <w:sz w:val="24"/>
        </w:rPr>
      </w:pPr>
      <w:r w:rsidRPr="00BA0C26">
        <w:rPr>
          <w:rFonts w:ascii="Times New Roman" w:hAnsi="Times New Roman"/>
          <w:i/>
          <w:sz w:val="24"/>
        </w:rPr>
        <w:t xml:space="preserve">ii) Incremento y mejora en la oferta de servicios logísticos </w:t>
      </w:r>
    </w:p>
    <w:p w:rsidR="00B37D8A" w:rsidRDefault="00B37D8A" w:rsidP="00E40ABE">
      <w:pPr>
        <w:spacing w:before="240"/>
        <w:jc w:val="both"/>
        <w:rPr>
          <w:rFonts w:ascii="Times New Roman" w:hAnsi="Times New Roman"/>
          <w:sz w:val="24"/>
        </w:rPr>
      </w:pPr>
      <w:r>
        <w:rPr>
          <w:rFonts w:ascii="Times New Roman" w:hAnsi="Times New Roman"/>
          <w:sz w:val="24"/>
        </w:rPr>
        <w:t xml:space="preserve">Entendemos que el aumento y la mejora en la oferta de servicios logísticos como consecuencia de la </w:t>
      </w:r>
      <w:r w:rsidRPr="00EC20F9">
        <w:rPr>
          <w:rFonts w:ascii="Times New Roman" w:hAnsi="Times New Roman"/>
          <w:sz w:val="24"/>
          <w:lang w:val="es-ES"/>
        </w:rPr>
        <w:t xml:space="preserve">Nueva Zona Primaria Aduanera </w:t>
      </w:r>
      <w:r>
        <w:rPr>
          <w:rFonts w:ascii="Times New Roman" w:hAnsi="Times New Roman"/>
          <w:sz w:val="24"/>
        </w:rPr>
        <w:t>fomentarán un incremento de la actividad económica de la provincia (PBG) como consecuencia del incremento del sector de servicios logísticos. Para estimar dicho incremento, se toma como referencia la participación de los servicios de logística en el producto de la provincia, la cual según un informe elaborado por el Ministerio de Agroindustria y Tecnología de Mendoza y el IDITS (2012), asciende a 0,54%. Ello representa ARS 324.570.327 si se</w:t>
      </w:r>
      <w:r w:rsidRPr="00942B56">
        <w:t xml:space="preserve"> </w:t>
      </w:r>
      <w:r w:rsidRPr="00D8165A">
        <w:rPr>
          <w:rFonts w:ascii="Times New Roman" w:hAnsi="Times New Roman"/>
          <w:sz w:val="24"/>
        </w:rPr>
        <w:t>toma el valor de PBG en 2011: ARS 60.105.616.058</w:t>
      </w:r>
      <w:r>
        <w:rPr>
          <w:rFonts w:ascii="Times New Roman" w:hAnsi="Times New Roman"/>
          <w:sz w:val="24"/>
        </w:rPr>
        <w:t xml:space="preserve">. </w:t>
      </w:r>
    </w:p>
    <w:p w:rsidR="00B90D2C" w:rsidRDefault="00B37D8A" w:rsidP="00E40ABE">
      <w:pPr>
        <w:spacing w:before="240"/>
        <w:jc w:val="both"/>
        <w:rPr>
          <w:rFonts w:ascii="Times New Roman" w:hAnsi="Times New Roman"/>
          <w:sz w:val="24"/>
        </w:rPr>
      </w:pPr>
      <w:r>
        <w:rPr>
          <w:rFonts w:ascii="Times New Roman" w:hAnsi="Times New Roman"/>
          <w:sz w:val="24"/>
        </w:rPr>
        <w:t xml:space="preserve">Suponiendo que la mejor infraestructura generada por la </w:t>
      </w:r>
      <w:r w:rsidRPr="00EC20F9">
        <w:rPr>
          <w:rFonts w:ascii="Times New Roman" w:hAnsi="Times New Roman"/>
          <w:sz w:val="24"/>
          <w:lang w:val="es-ES"/>
        </w:rPr>
        <w:t>Nueva Zona Primaria Aduanera</w:t>
      </w:r>
      <w:r>
        <w:rPr>
          <w:rFonts w:ascii="Times New Roman" w:hAnsi="Times New Roman"/>
          <w:sz w:val="24"/>
        </w:rPr>
        <w:t xml:space="preserve"> permitirá incrementar el valor generado por la actividad de logística en un </w:t>
      </w:r>
      <w:r w:rsidR="006F76B3">
        <w:rPr>
          <w:rFonts w:ascii="Times New Roman" w:hAnsi="Times New Roman"/>
          <w:sz w:val="24"/>
        </w:rPr>
        <w:t>4</w:t>
      </w:r>
      <w:r w:rsidRPr="00724440">
        <w:rPr>
          <w:rFonts w:ascii="Times New Roman" w:hAnsi="Times New Roman"/>
          <w:sz w:val="24"/>
        </w:rPr>
        <w:t>%</w:t>
      </w:r>
      <w:r>
        <w:rPr>
          <w:rFonts w:ascii="Times New Roman" w:hAnsi="Times New Roman"/>
          <w:sz w:val="24"/>
        </w:rPr>
        <w:t xml:space="preserve"> durante 20 años (creciendo su participación al </w:t>
      </w:r>
      <w:r w:rsidR="001E118B">
        <w:rPr>
          <w:rFonts w:ascii="Times New Roman" w:hAnsi="Times New Roman"/>
          <w:sz w:val="24"/>
        </w:rPr>
        <w:t>0</w:t>
      </w:r>
      <w:r>
        <w:rPr>
          <w:rFonts w:ascii="Times New Roman" w:hAnsi="Times New Roman"/>
          <w:sz w:val="24"/>
        </w:rPr>
        <w:t>,</w:t>
      </w:r>
      <w:r w:rsidR="00241A8B">
        <w:rPr>
          <w:rFonts w:ascii="Times New Roman" w:hAnsi="Times New Roman"/>
          <w:sz w:val="24"/>
        </w:rPr>
        <w:t>2</w:t>
      </w:r>
      <w:r>
        <w:rPr>
          <w:rFonts w:ascii="Times New Roman" w:hAnsi="Times New Roman"/>
          <w:sz w:val="24"/>
        </w:rPr>
        <w:t>% anual</w:t>
      </w:r>
      <w:r w:rsidRPr="00627AA0">
        <w:rPr>
          <w:rStyle w:val="FootnoteReference"/>
          <w:rFonts w:ascii="Times New Roman" w:hAnsi="Times New Roman"/>
          <w:sz w:val="24"/>
          <w:vertAlign w:val="superscript"/>
        </w:rPr>
        <w:footnoteReference w:id="16"/>
      </w:r>
      <w:r>
        <w:rPr>
          <w:rFonts w:ascii="Times New Roman" w:hAnsi="Times New Roman"/>
          <w:sz w:val="24"/>
        </w:rPr>
        <w:t xml:space="preserve">), en valores monetarios, el traslado del puerto generaría un aporte incremental al producto que comienza en el cuarto año del proyecto (luego de que el traslado haya sido realizado en su totalidad) en ARS </w:t>
      </w:r>
      <w:r w:rsidR="006F76B3">
        <w:rPr>
          <w:rFonts w:ascii="Times New Roman" w:hAnsi="Times New Roman"/>
          <w:sz w:val="24"/>
        </w:rPr>
        <w:t>749</w:t>
      </w:r>
      <w:r w:rsidR="00241A8B">
        <w:rPr>
          <w:rFonts w:ascii="Times New Roman" w:hAnsi="Times New Roman"/>
          <w:sz w:val="24"/>
        </w:rPr>
        <w:t>.</w:t>
      </w:r>
      <w:r w:rsidR="006F76B3">
        <w:rPr>
          <w:rFonts w:ascii="Times New Roman" w:hAnsi="Times New Roman"/>
          <w:sz w:val="24"/>
        </w:rPr>
        <w:t>681</w:t>
      </w:r>
      <w:r>
        <w:rPr>
          <w:rFonts w:ascii="Times New Roman" w:hAnsi="Times New Roman"/>
          <w:sz w:val="24"/>
        </w:rPr>
        <w:t xml:space="preserve"> y culmina en el último año con ARS </w:t>
      </w:r>
      <w:r w:rsidR="006F76B3">
        <w:rPr>
          <w:rFonts w:ascii="Times New Roman" w:hAnsi="Times New Roman"/>
          <w:sz w:val="24"/>
        </w:rPr>
        <w:t>7</w:t>
      </w:r>
      <w:r w:rsidR="00241A8B">
        <w:rPr>
          <w:rFonts w:ascii="Times New Roman" w:hAnsi="Times New Roman"/>
          <w:sz w:val="24"/>
        </w:rPr>
        <w:t>82.4</w:t>
      </w:r>
      <w:r w:rsidR="006F76B3">
        <w:rPr>
          <w:rFonts w:ascii="Times New Roman" w:hAnsi="Times New Roman"/>
          <w:sz w:val="24"/>
        </w:rPr>
        <w:t>04</w:t>
      </w:r>
      <w:r>
        <w:rPr>
          <w:rFonts w:ascii="Times New Roman" w:hAnsi="Times New Roman"/>
          <w:sz w:val="24"/>
        </w:rPr>
        <w:t xml:space="preserve">. </w:t>
      </w:r>
    </w:p>
    <w:p w:rsidR="00B37D8A" w:rsidRDefault="00B37D8A" w:rsidP="00E40ABE">
      <w:pPr>
        <w:spacing w:before="240"/>
        <w:jc w:val="both"/>
        <w:rPr>
          <w:rFonts w:ascii="Times New Roman" w:hAnsi="Times New Roman"/>
          <w:sz w:val="24"/>
        </w:rPr>
      </w:pPr>
      <w:r>
        <w:rPr>
          <w:rFonts w:ascii="Times New Roman" w:hAnsi="Times New Roman"/>
          <w:sz w:val="24"/>
        </w:rPr>
        <w:lastRenderedPageBreak/>
        <w:t xml:space="preserve">Si el PBG creciera en igual proporción que lo que crece el sector logística para incrementar su participación en </w:t>
      </w:r>
      <w:r w:rsidR="006F76B3">
        <w:rPr>
          <w:rFonts w:ascii="Times New Roman" w:hAnsi="Times New Roman"/>
          <w:sz w:val="24"/>
        </w:rPr>
        <w:t>4</w:t>
      </w:r>
      <w:r>
        <w:rPr>
          <w:rFonts w:ascii="Times New Roman" w:hAnsi="Times New Roman"/>
          <w:sz w:val="24"/>
        </w:rPr>
        <w:t>%, lo que representa una tasa de crecimiento del producto del 0,00</w:t>
      </w:r>
      <w:r w:rsidR="006F76B3">
        <w:rPr>
          <w:rFonts w:ascii="Times New Roman" w:hAnsi="Times New Roman"/>
          <w:sz w:val="24"/>
        </w:rPr>
        <w:t>1</w:t>
      </w:r>
      <w:r>
        <w:rPr>
          <w:rFonts w:ascii="Times New Roman" w:hAnsi="Times New Roman"/>
          <w:sz w:val="24"/>
        </w:rPr>
        <w:t>% anual, esto implicaría que la participación de la actividad logística dentro del PBG pasaría del 0,54% a un 0,</w:t>
      </w:r>
      <w:r w:rsidR="00241A8B">
        <w:rPr>
          <w:rFonts w:ascii="Times New Roman" w:hAnsi="Times New Roman"/>
          <w:sz w:val="24"/>
        </w:rPr>
        <w:t>5</w:t>
      </w:r>
      <w:r w:rsidR="006F76B3">
        <w:rPr>
          <w:rFonts w:ascii="Times New Roman" w:hAnsi="Times New Roman"/>
          <w:sz w:val="24"/>
        </w:rPr>
        <w:t>6</w:t>
      </w:r>
      <w:r>
        <w:rPr>
          <w:rFonts w:ascii="Times New Roman" w:hAnsi="Times New Roman"/>
          <w:sz w:val="24"/>
        </w:rPr>
        <w:t xml:space="preserve">% en el lapso de 20 años. Sin embargo el escenario más probable es que este crecimiento aumente el producto en mayor proporción (efecto multiplicador), con lo cual la participación podría mantenerse constante o incluso puede reducirse.  </w:t>
      </w:r>
    </w:p>
    <w:p w:rsidR="00B37D8A" w:rsidRPr="00BA0C26" w:rsidRDefault="00B37D8A" w:rsidP="005903F2">
      <w:pPr>
        <w:spacing w:before="240"/>
        <w:jc w:val="both"/>
        <w:rPr>
          <w:rFonts w:ascii="Times New Roman" w:hAnsi="Times New Roman"/>
          <w:i/>
          <w:sz w:val="24"/>
        </w:rPr>
      </w:pPr>
      <w:r w:rsidRPr="00BA0C26">
        <w:rPr>
          <w:rFonts w:ascii="Times New Roman" w:hAnsi="Times New Roman"/>
          <w:i/>
          <w:sz w:val="24"/>
        </w:rPr>
        <w:t>iii) Reducción de costos por disminución en el tiempo de espera</w:t>
      </w:r>
    </w:p>
    <w:p w:rsidR="00B37D8A" w:rsidRDefault="00B37D8A" w:rsidP="00E40ABE">
      <w:pPr>
        <w:spacing w:before="240"/>
        <w:jc w:val="both"/>
        <w:rPr>
          <w:rFonts w:ascii="Times New Roman" w:hAnsi="Times New Roman"/>
          <w:sz w:val="24"/>
        </w:rPr>
      </w:pPr>
      <w:r>
        <w:rPr>
          <w:rFonts w:ascii="Times New Roman" w:hAnsi="Times New Roman"/>
          <w:sz w:val="24"/>
        </w:rPr>
        <w:t>El último de los beneficios analizados surge de los menores costos que tendrán que afrontar las empresas de transporte de cargas, como consecuencia del aumento de la capacidad de trabajo de la ZPA y la consecuente reducción de tiempos de espera en el puerto seco. Para estimar dicho beneficio, se toman los valores correspondientes al tiempo de espera actual y las mejoras esperadas. Según AIC (2013)</w:t>
      </w:r>
      <w:r w:rsidR="00241A8B">
        <w:rPr>
          <w:rFonts w:ascii="Times New Roman" w:hAnsi="Times New Roman"/>
          <w:sz w:val="24"/>
        </w:rPr>
        <w:t xml:space="preserve"> y los ejecutores del proyecto,</w:t>
      </w:r>
      <w:r>
        <w:rPr>
          <w:rFonts w:ascii="Times New Roman" w:hAnsi="Times New Roman"/>
          <w:sz w:val="24"/>
        </w:rPr>
        <w:t xml:space="preserve"> se trata de </w:t>
      </w:r>
      <w:r w:rsidR="00B90D2C">
        <w:rPr>
          <w:rFonts w:ascii="Times New Roman" w:hAnsi="Times New Roman"/>
          <w:sz w:val="24"/>
        </w:rPr>
        <w:t>48</w:t>
      </w:r>
      <w:r>
        <w:rPr>
          <w:rFonts w:ascii="Times New Roman" w:hAnsi="Times New Roman"/>
          <w:sz w:val="24"/>
        </w:rPr>
        <w:t xml:space="preserve"> horas por camión en 2013 y disminuyen a una tasa de </w:t>
      </w:r>
      <w:r w:rsidR="00B90D2C">
        <w:rPr>
          <w:rFonts w:ascii="Times New Roman" w:hAnsi="Times New Roman"/>
          <w:sz w:val="24"/>
        </w:rPr>
        <w:t>3,</w:t>
      </w:r>
      <w:r w:rsidR="00241A8B">
        <w:rPr>
          <w:rFonts w:ascii="Times New Roman" w:hAnsi="Times New Roman"/>
          <w:sz w:val="24"/>
        </w:rPr>
        <w:t>4</w:t>
      </w:r>
      <w:r>
        <w:rPr>
          <w:rFonts w:ascii="Times New Roman" w:hAnsi="Times New Roman"/>
          <w:sz w:val="24"/>
        </w:rPr>
        <w:t xml:space="preserve">% entre el año </w:t>
      </w:r>
      <w:r w:rsidR="00B90D2C">
        <w:rPr>
          <w:rFonts w:ascii="Times New Roman" w:hAnsi="Times New Roman"/>
          <w:sz w:val="24"/>
        </w:rPr>
        <w:t>2</w:t>
      </w:r>
      <w:r>
        <w:rPr>
          <w:rFonts w:ascii="Times New Roman" w:hAnsi="Times New Roman"/>
          <w:sz w:val="24"/>
        </w:rPr>
        <w:t xml:space="preserve"> y el </w:t>
      </w:r>
      <w:r w:rsidR="00B90D2C">
        <w:rPr>
          <w:rFonts w:ascii="Times New Roman" w:hAnsi="Times New Roman"/>
          <w:sz w:val="24"/>
        </w:rPr>
        <w:t>20</w:t>
      </w:r>
      <w:r>
        <w:rPr>
          <w:rFonts w:ascii="Times New Roman" w:hAnsi="Times New Roman"/>
          <w:sz w:val="24"/>
        </w:rPr>
        <w:t xml:space="preserve">. Ello implica pasar de </w:t>
      </w:r>
      <w:r w:rsidR="00B90D2C">
        <w:rPr>
          <w:rFonts w:ascii="Times New Roman" w:hAnsi="Times New Roman"/>
          <w:sz w:val="24"/>
        </w:rPr>
        <w:t>48</w:t>
      </w:r>
      <w:r>
        <w:rPr>
          <w:rFonts w:ascii="Times New Roman" w:hAnsi="Times New Roman"/>
          <w:sz w:val="24"/>
        </w:rPr>
        <w:t xml:space="preserve"> a </w:t>
      </w:r>
      <w:r w:rsidR="00B90D2C">
        <w:rPr>
          <w:rFonts w:ascii="Times New Roman" w:hAnsi="Times New Roman"/>
          <w:sz w:val="24"/>
        </w:rPr>
        <w:t>24</w:t>
      </w:r>
      <w:r>
        <w:rPr>
          <w:rFonts w:ascii="Times New Roman" w:hAnsi="Times New Roman"/>
          <w:sz w:val="24"/>
        </w:rPr>
        <w:t xml:space="preserve"> horas de espera en los 20 años considerados. </w:t>
      </w:r>
    </w:p>
    <w:p w:rsidR="00B37D8A" w:rsidRDefault="00B37D8A" w:rsidP="00E40ABE">
      <w:pPr>
        <w:spacing w:before="240"/>
        <w:jc w:val="both"/>
        <w:rPr>
          <w:rFonts w:ascii="Times New Roman" w:hAnsi="Times New Roman"/>
          <w:sz w:val="24"/>
        </w:rPr>
      </w:pPr>
      <w:r>
        <w:rPr>
          <w:rFonts w:ascii="Times New Roman" w:hAnsi="Times New Roman"/>
          <w:sz w:val="24"/>
        </w:rPr>
        <w:t xml:space="preserve">En términos monetarios, y considerando el costo de espera diario de un vehículo de carga en el puerto seco de Mendoza de ARS </w:t>
      </w:r>
      <w:r w:rsidR="00241A8B">
        <w:rPr>
          <w:rFonts w:ascii="Times New Roman" w:hAnsi="Times New Roman"/>
          <w:sz w:val="24"/>
        </w:rPr>
        <w:t>2</w:t>
      </w:r>
      <w:r>
        <w:rPr>
          <w:rFonts w:ascii="Times New Roman" w:hAnsi="Times New Roman"/>
          <w:sz w:val="24"/>
        </w:rPr>
        <w:t>.</w:t>
      </w:r>
      <w:r w:rsidR="00241A8B">
        <w:rPr>
          <w:rFonts w:ascii="Times New Roman" w:hAnsi="Times New Roman"/>
          <w:sz w:val="24"/>
        </w:rPr>
        <w:t>5</w:t>
      </w:r>
      <w:r>
        <w:rPr>
          <w:rFonts w:ascii="Times New Roman" w:hAnsi="Times New Roman"/>
          <w:sz w:val="24"/>
        </w:rPr>
        <w:t xml:space="preserve">00, se trata de un costo decreciente por camión que oscila en el período entre ARS </w:t>
      </w:r>
      <w:r w:rsidR="00241A8B">
        <w:rPr>
          <w:rFonts w:ascii="Times New Roman" w:hAnsi="Times New Roman"/>
          <w:sz w:val="24"/>
        </w:rPr>
        <w:t>6.000</w:t>
      </w:r>
      <w:r>
        <w:rPr>
          <w:rFonts w:ascii="Times New Roman" w:hAnsi="Times New Roman"/>
          <w:sz w:val="24"/>
        </w:rPr>
        <w:t xml:space="preserve"> y ARS </w:t>
      </w:r>
      <w:r w:rsidR="00241A8B">
        <w:rPr>
          <w:rFonts w:ascii="Times New Roman" w:hAnsi="Times New Roman"/>
          <w:sz w:val="24"/>
        </w:rPr>
        <w:t>3.106</w:t>
      </w:r>
      <w:r>
        <w:rPr>
          <w:rFonts w:ascii="Times New Roman" w:hAnsi="Times New Roman"/>
          <w:sz w:val="24"/>
        </w:rPr>
        <w:t xml:space="preserve">. El beneficio se estima entonces a partir de la cantidad de camiones (creciente entre 48.808 y 91.062) y el mencionado costo. En consecuencia, el traslado de la ZPA permitirá obtener un beneficio por reducción de tiempos de espera que comienza en ARS </w:t>
      </w:r>
      <w:r w:rsidR="00241A8B">
        <w:rPr>
          <w:rFonts w:ascii="Times New Roman" w:hAnsi="Times New Roman"/>
          <w:sz w:val="24"/>
        </w:rPr>
        <w:t>8</w:t>
      </w:r>
      <w:r>
        <w:rPr>
          <w:rFonts w:ascii="Times New Roman" w:hAnsi="Times New Roman"/>
          <w:sz w:val="24"/>
        </w:rPr>
        <w:t>.</w:t>
      </w:r>
      <w:r w:rsidR="00241A8B">
        <w:rPr>
          <w:rFonts w:ascii="Times New Roman" w:hAnsi="Times New Roman"/>
          <w:sz w:val="24"/>
        </w:rPr>
        <w:t>820</w:t>
      </w:r>
      <w:r>
        <w:rPr>
          <w:rFonts w:ascii="Times New Roman" w:hAnsi="Times New Roman"/>
          <w:sz w:val="24"/>
        </w:rPr>
        <w:t>.</w:t>
      </w:r>
      <w:r w:rsidR="00241A8B">
        <w:rPr>
          <w:rFonts w:ascii="Times New Roman" w:hAnsi="Times New Roman"/>
          <w:sz w:val="24"/>
        </w:rPr>
        <w:t>665</w:t>
      </w:r>
      <w:r>
        <w:rPr>
          <w:rFonts w:ascii="Times New Roman" w:hAnsi="Times New Roman"/>
          <w:sz w:val="24"/>
        </w:rPr>
        <w:t xml:space="preserve"> en el año 2 y culmina en ARS </w:t>
      </w:r>
      <w:r w:rsidR="00241A8B">
        <w:rPr>
          <w:rFonts w:ascii="Times New Roman" w:hAnsi="Times New Roman"/>
          <w:sz w:val="24"/>
        </w:rPr>
        <w:t>8</w:t>
      </w:r>
      <w:r>
        <w:rPr>
          <w:rFonts w:ascii="Times New Roman" w:hAnsi="Times New Roman"/>
          <w:sz w:val="24"/>
        </w:rPr>
        <w:t>.</w:t>
      </w:r>
      <w:r w:rsidR="00241A8B">
        <w:rPr>
          <w:rFonts w:ascii="Times New Roman" w:hAnsi="Times New Roman"/>
          <w:sz w:val="24"/>
        </w:rPr>
        <w:t>311</w:t>
      </w:r>
      <w:r>
        <w:rPr>
          <w:rFonts w:ascii="Times New Roman" w:hAnsi="Times New Roman"/>
          <w:sz w:val="24"/>
        </w:rPr>
        <w:t>.</w:t>
      </w:r>
      <w:r w:rsidR="00241A8B">
        <w:rPr>
          <w:rFonts w:ascii="Times New Roman" w:hAnsi="Times New Roman"/>
          <w:sz w:val="24"/>
        </w:rPr>
        <w:t>396</w:t>
      </w:r>
      <w:r>
        <w:rPr>
          <w:rFonts w:ascii="Times New Roman" w:hAnsi="Times New Roman"/>
          <w:sz w:val="24"/>
        </w:rPr>
        <w:t xml:space="preserve"> en el último.</w:t>
      </w:r>
    </w:p>
    <w:p w:rsidR="00B37D8A" w:rsidRPr="00BA0C26" w:rsidRDefault="00B37D8A" w:rsidP="00E40ABE">
      <w:pPr>
        <w:spacing w:before="240"/>
        <w:jc w:val="both"/>
        <w:rPr>
          <w:rFonts w:ascii="Times New Roman" w:hAnsi="Times New Roman"/>
          <w:b/>
          <w:i/>
          <w:sz w:val="24"/>
        </w:rPr>
      </w:pPr>
      <w:r w:rsidRPr="00BA0C26">
        <w:rPr>
          <w:rFonts w:ascii="Times New Roman" w:hAnsi="Times New Roman"/>
          <w:b/>
          <w:i/>
          <w:sz w:val="24"/>
        </w:rPr>
        <w:t>B. COSTOS</w:t>
      </w:r>
    </w:p>
    <w:p w:rsidR="00B37D8A" w:rsidRDefault="00B37D8A" w:rsidP="00E40ABE">
      <w:pPr>
        <w:spacing w:before="240"/>
        <w:jc w:val="both"/>
        <w:rPr>
          <w:rFonts w:ascii="Times New Roman" w:hAnsi="Times New Roman"/>
          <w:sz w:val="24"/>
        </w:rPr>
      </w:pPr>
      <w:r>
        <w:rPr>
          <w:rFonts w:ascii="Times New Roman" w:hAnsi="Times New Roman"/>
          <w:sz w:val="24"/>
        </w:rPr>
        <w:t>El</w:t>
      </w:r>
      <w:r w:rsidRPr="006042C8">
        <w:rPr>
          <w:rFonts w:ascii="Times New Roman" w:hAnsi="Times New Roman"/>
          <w:sz w:val="24"/>
        </w:rPr>
        <w:t xml:space="preserve"> costo general del proyecto es de ARS 48.879.995</w:t>
      </w:r>
      <w:r w:rsidR="00BA0C26">
        <w:rPr>
          <w:rFonts w:ascii="Times New Roman" w:hAnsi="Times New Roman"/>
          <w:sz w:val="24"/>
        </w:rPr>
        <w:t>. S</w:t>
      </w:r>
      <w:r>
        <w:rPr>
          <w:rFonts w:ascii="Times New Roman" w:hAnsi="Times New Roman"/>
          <w:sz w:val="24"/>
        </w:rPr>
        <w:t>egún la información suministrada por los ejecutores del mismo</w:t>
      </w:r>
      <w:r w:rsidR="00BA0C26">
        <w:rPr>
          <w:rFonts w:ascii="Times New Roman" w:hAnsi="Times New Roman"/>
          <w:sz w:val="24"/>
        </w:rPr>
        <w:t xml:space="preserve"> este costo puede</w:t>
      </w:r>
      <w:r>
        <w:rPr>
          <w:rFonts w:ascii="Times New Roman" w:hAnsi="Times New Roman"/>
          <w:sz w:val="24"/>
        </w:rPr>
        <w:t xml:space="preserve"> desagrega</w:t>
      </w:r>
      <w:r w:rsidR="00BA0C26">
        <w:rPr>
          <w:rFonts w:ascii="Times New Roman" w:hAnsi="Times New Roman"/>
          <w:sz w:val="24"/>
        </w:rPr>
        <w:t>rse</w:t>
      </w:r>
      <w:r w:rsidRPr="006042C8">
        <w:rPr>
          <w:rFonts w:ascii="Times New Roman" w:hAnsi="Times New Roman"/>
          <w:sz w:val="24"/>
        </w:rPr>
        <w:t xml:space="preserve"> en los siguientes ítems.</w:t>
      </w:r>
    </w:p>
    <w:tbl>
      <w:tblPr>
        <w:tblW w:w="0" w:type="auto"/>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394"/>
        <w:gridCol w:w="1211"/>
        <w:gridCol w:w="1410"/>
      </w:tblGrid>
      <w:tr w:rsidR="00B37D8A" w:rsidRPr="004A3EA4" w:rsidTr="006467AF">
        <w:trPr>
          <w:trHeight w:val="53"/>
          <w:jc w:val="center"/>
        </w:trPr>
        <w:tc>
          <w:tcPr>
            <w:tcW w:w="4394" w:type="dxa"/>
            <w:shd w:val="clear" w:color="auto" w:fill="D9D9D9"/>
            <w:vAlign w:val="bottom"/>
          </w:tcPr>
          <w:p w:rsidR="00B37D8A" w:rsidRPr="004A3EA4" w:rsidRDefault="00B37D8A" w:rsidP="0085600D">
            <w:pPr>
              <w:spacing w:after="0" w:line="240" w:lineRule="auto"/>
              <w:rPr>
                <w:rFonts w:ascii="Arial" w:hAnsi="Arial" w:cs="Arial"/>
                <w:color w:val="000000"/>
                <w:sz w:val="18"/>
                <w:szCs w:val="18"/>
              </w:rPr>
            </w:pPr>
            <w:r>
              <w:rPr>
                <w:rFonts w:ascii="Arial" w:hAnsi="Arial" w:cs="Arial"/>
                <w:color w:val="000000"/>
                <w:sz w:val="18"/>
                <w:szCs w:val="18"/>
              </w:rPr>
              <w:t xml:space="preserve">Concepto </w:t>
            </w:r>
          </w:p>
        </w:tc>
        <w:tc>
          <w:tcPr>
            <w:tcW w:w="1211" w:type="dxa"/>
            <w:shd w:val="clear" w:color="auto" w:fill="D9D9D9"/>
            <w:vAlign w:val="center"/>
          </w:tcPr>
          <w:p w:rsidR="00B37D8A" w:rsidRPr="004A3EA4" w:rsidRDefault="00B37D8A" w:rsidP="0085600D">
            <w:pPr>
              <w:spacing w:after="0" w:line="240" w:lineRule="auto"/>
              <w:jc w:val="center"/>
              <w:rPr>
                <w:rFonts w:ascii="Arial" w:hAnsi="Arial" w:cs="Arial"/>
                <w:color w:val="000000"/>
                <w:sz w:val="18"/>
                <w:szCs w:val="18"/>
              </w:rPr>
            </w:pPr>
            <w:r>
              <w:rPr>
                <w:rFonts w:ascii="Arial" w:hAnsi="Arial" w:cs="Arial"/>
                <w:color w:val="000000"/>
                <w:sz w:val="18"/>
                <w:szCs w:val="18"/>
              </w:rPr>
              <w:t>Monto</w:t>
            </w:r>
          </w:p>
        </w:tc>
        <w:tc>
          <w:tcPr>
            <w:tcW w:w="1410" w:type="dxa"/>
            <w:shd w:val="clear" w:color="auto" w:fill="D9D9D9"/>
          </w:tcPr>
          <w:p w:rsidR="00B37D8A" w:rsidRPr="004A3EA4" w:rsidRDefault="00B37D8A" w:rsidP="0085600D">
            <w:pPr>
              <w:spacing w:after="0" w:line="240" w:lineRule="auto"/>
              <w:jc w:val="center"/>
              <w:rPr>
                <w:rFonts w:ascii="Arial" w:hAnsi="Arial" w:cs="Arial"/>
                <w:color w:val="000000"/>
                <w:sz w:val="18"/>
                <w:szCs w:val="18"/>
              </w:rPr>
            </w:pPr>
            <w:r>
              <w:rPr>
                <w:rFonts w:ascii="Arial" w:hAnsi="Arial" w:cs="Arial"/>
                <w:color w:val="000000"/>
                <w:sz w:val="18"/>
                <w:szCs w:val="18"/>
              </w:rPr>
              <w:t>Participación</w:t>
            </w:r>
          </w:p>
        </w:tc>
      </w:tr>
      <w:tr w:rsidR="00B37D8A" w:rsidRPr="004A3EA4" w:rsidTr="006467AF">
        <w:trPr>
          <w:trHeight w:val="53"/>
          <w:jc w:val="center"/>
        </w:trPr>
        <w:tc>
          <w:tcPr>
            <w:tcW w:w="4394" w:type="dxa"/>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Formulación del Proyecto Ejecutivo</w:t>
            </w:r>
          </w:p>
        </w:tc>
        <w:tc>
          <w:tcPr>
            <w:tcW w:w="1211" w:type="dxa"/>
            <w:vAlign w:val="center"/>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1.040.000</w:t>
            </w:r>
          </w:p>
        </w:tc>
        <w:tc>
          <w:tcPr>
            <w:tcW w:w="1410" w:type="dxa"/>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2,1%</w:t>
            </w:r>
          </w:p>
        </w:tc>
      </w:tr>
      <w:tr w:rsidR="00B37D8A" w:rsidRPr="004A3EA4" w:rsidTr="006467AF">
        <w:trPr>
          <w:trHeight w:val="96"/>
          <w:jc w:val="center"/>
        </w:trPr>
        <w:tc>
          <w:tcPr>
            <w:tcW w:w="4394" w:type="dxa"/>
            <w:noWrap/>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Preparación del Terreno</w:t>
            </w:r>
          </w:p>
        </w:tc>
        <w:tc>
          <w:tcPr>
            <w:tcW w:w="1211" w:type="dxa"/>
            <w:vAlign w:val="center"/>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3.529.443</w:t>
            </w:r>
          </w:p>
        </w:tc>
        <w:tc>
          <w:tcPr>
            <w:tcW w:w="1410" w:type="dxa"/>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7,2%</w:t>
            </w:r>
          </w:p>
        </w:tc>
      </w:tr>
      <w:tr w:rsidR="00B37D8A" w:rsidRPr="004A3EA4" w:rsidTr="006467AF">
        <w:trPr>
          <w:trHeight w:val="53"/>
          <w:jc w:val="center"/>
        </w:trPr>
        <w:tc>
          <w:tcPr>
            <w:tcW w:w="4394" w:type="dxa"/>
            <w:noWrap/>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Playas y vías de circulación de Hormigón Armado</w:t>
            </w:r>
          </w:p>
        </w:tc>
        <w:tc>
          <w:tcPr>
            <w:tcW w:w="1211" w:type="dxa"/>
            <w:vAlign w:val="center"/>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12.502.022</w:t>
            </w:r>
          </w:p>
        </w:tc>
        <w:tc>
          <w:tcPr>
            <w:tcW w:w="1410" w:type="dxa"/>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26,6%</w:t>
            </w:r>
          </w:p>
        </w:tc>
      </w:tr>
      <w:tr w:rsidR="00B37D8A" w:rsidRPr="004A3EA4" w:rsidTr="006467AF">
        <w:trPr>
          <w:trHeight w:val="88"/>
          <w:jc w:val="center"/>
        </w:trPr>
        <w:tc>
          <w:tcPr>
            <w:tcW w:w="4394" w:type="dxa"/>
            <w:noWrap/>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Depósitos</w:t>
            </w:r>
          </w:p>
        </w:tc>
        <w:tc>
          <w:tcPr>
            <w:tcW w:w="1211" w:type="dxa"/>
            <w:vAlign w:val="center"/>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8.156.860</w:t>
            </w:r>
          </w:p>
        </w:tc>
        <w:tc>
          <w:tcPr>
            <w:tcW w:w="1410" w:type="dxa"/>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16,7%</w:t>
            </w:r>
          </w:p>
        </w:tc>
      </w:tr>
      <w:tr w:rsidR="00B37D8A" w:rsidRPr="004A3EA4" w:rsidTr="006467AF">
        <w:trPr>
          <w:trHeight w:val="148"/>
          <w:jc w:val="center"/>
        </w:trPr>
        <w:tc>
          <w:tcPr>
            <w:tcW w:w="4394" w:type="dxa"/>
            <w:noWrap/>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Edificios</w:t>
            </w:r>
          </w:p>
        </w:tc>
        <w:tc>
          <w:tcPr>
            <w:tcW w:w="1211" w:type="dxa"/>
            <w:vAlign w:val="center"/>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12.235.293</w:t>
            </w:r>
          </w:p>
        </w:tc>
        <w:tc>
          <w:tcPr>
            <w:tcW w:w="1410" w:type="dxa"/>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25%</w:t>
            </w:r>
          </w:p>
        </w:tc>
      </w:tr>
      <w:tr w:rsidR="00B37D8A" w:rsidRPr="004A3EA4" w:rsidTr="006467AF">
        <w:trPr>
          <w:trHeight w:val="79"/>
          <w:jc w:val="center"/>
        </w:trPr>
        <w:tc>
          <w:tcPr>
            <w:tcW w:w="4394" w:type="dxa"/>
            <w:noWrap/>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Instalaciones</w:t>
            </w:r>
          </w:p>
        </w:tc>
        <w:tc>
          <w:tcPr>
            <w:tcW w:w="1211" w:type="dxa"/>
            <w:vAlign w:val="center"/>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3.568.630</w:t>
            </w:r>
          </w:p>
        </w:tc>
        <w:tc>
          <w:tcPr>
            <w:tcW w:w="1410" w:type="dxa"/>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7,3%</w:t>
            </w:r>
          </w:p>
        </w:tc>
      </w:tr>
      <w:tr w:rsidR="00B37D8A" w:rsidRPr="004A3EA4" w:rsidTr="006467AF">
        <w:trPr>
          <w:trHeight w:val="154"/>
          <w:jc w:val="center"/>
        </w:trPr>
        <w:tc>
          <w:tcPr>
            <w:tcW w:w="4394" w:type="dxa"/>
            <w:noWrap/>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Obras complementarias</w:t>
            </w:r>
          </w:p>
        </w:tc>
        <w:tc>
          <w:tcPr>
            <w:tcW w:w="1211" w:type="dxa"/>
            <w:vAlign w:val="center"/>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2.878.351</w:t>
            </w:r>
          </w:p>
        </w:tc>
        <w:tc>
          <w:tcPr>
            <w:tcW w:w="1410" w:type="dxa"/>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5,9%</w:t>
            </w:r>
          </w:p>
        </w:tc>
      </w:tr>
      <w:tr w:rsidR="00B37D8A" w:rsidRPr="004A3EA4" w:rsidTr="006467AF">
        <w:trPr>
          <w:trHeight w:val="214"/>
          <w:jc w:val="center"/>
        </w:trPr>
        <w:tc>
          <w:tcPr>
            <w:tcW w:w="4394" w:type="dxa"/>
            <w:noWrap/>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Rampas de verificación</w:t>
            </w:r>
          </w:p>
        </w:tc>
        <w:tc>
          <w:tcPr>
            <w:tcW w:w="1211" w:type="dxa"/>
            <w:vAlign w:val="center"/>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1.864.689</w:t>
            </w:r>
          </w:p>
        </w:tc>
        <w:tc>
          <w:tcPr>
            <w:tcW w:w="1410" w:type="dxa"/>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3,8%</w:t>
            </w:r>
          </w:p>
        </w:tc>
      </w:tr>
      <w:tr w:rsidR="00B37D8A" w:rsidRPr="004A3EA4" w:rsidTr="006467AF">
        <w:trPr>
          <w:trHeight w:val="132"/>
          <w:jc w:val="center"/>
        </w:trPr>
        <w:tc>
          <w:tcPr>
            <w:tcW w:w="4394" w:type="dxa"/>
            <w:noWrap/>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Costos de traslado y puesta en marcha</w:t>
            </w:r>
          </w:p>
        </w:tc>
        <w:tc>
          <w:tcPr>
            <w:tcW w:w="1211" w:type="dxa"/>
            <w:vAlign w:val="center"/>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764.707</w:t>
            </w:r>
          </w:p>
        </w:tc>
        <w:tc>
          <w:tcPr>
            <w:tcW w:w="1410" w:type="dxa"/>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1,6%</w:t>
            </w:r>
          </w:p>
        </w:tc>
      </w:tr>
      <w:tr w:rsidR="00B37D8A" w:rsidRPr="004A3EA4" w:rsidTr="006467AF">
        <w:trPr>
          <w:trHeight w:val="64"/>
          <w:jc w:val="center"/>
        </w:trPr>
        <w:tc>
          <w:tcPr>
            <w:tcW w:w="4394" w:type="dxa"/>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Dirección Técnica y Control</w:t>
            </w:r>
          </w:p>
        </w:tc>
        <w:tc>
          <w:tcPr>
            <w:tcW w:w="1211" w:type="dxa"/>
            <w:vAlign w:val="center"/>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1.404.000</w:t>
            </w:r>
          </w:p>
        </w:tc>
        <w:tc>
          <w:tcPr>
            <w:tcW w:w="1410" w:type="dxa"/>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2,9%</w:t>
            </w:r>
          </w:p>
        </w:tc>
      </w:tr>
      <w:tr w:rsidR="00B37D8A" w:rsidRPr="004A3EA4" w:rsidTr="006467AF">
        <w:trPr>
          <w:trHeight w:val="123"/>
          <w:jc w:val="center"/>
        </w:trPr>
        <w:tc>
          <w:tcPr>
            <w:tcW w:w="4394" w:type="dxa"/>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Seminario de Sensibilización</w:t>
            </w:r>
          </w:p>
        </w:tc>
        <w:tc>
          <w:tcPr>
            <w:tcW w:w="1211" w:type="dxa"/>
            <w:vAlign w:val="center"/>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156.000</w:t>
            </w:r>
          </w:p>
        </w:tc>
        <w:tc>
          <w:tcPr>
            <w:tcW w:w="1410" w:type="dxa"/>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0,3%</w:t>
            </w:r>
          </w:p>
        </w:tc>
      </w:tr>
      <w:tr w:rsidR="00B37D8A" w:rsidRPr="004A3EA4" w:rsidTr="006467AF">
        <w:trPr>
          <w:trHeight w:val="53"/>
          <w:jc w:val="center"/>
        </w:trPr>
        <w:tc>
          <w:tcPr>
            <w:tcW w:w="4394" w:type="dxa"/>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Estudio Factiilidad ZALO</w:t>
            </w:r>
          </w:p>
        </w:tc>
        <w:tc>
          <w:tcPr>
            <w:tcW w:w="1211" w:type="dxa"/>
            <w:vAlign w:val="center"/>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780.000</w:t>
            </w:r>
          </w:p>
        </w:tc>
        <w:tc>
          <w:tcPr>
            <w:tcW w:w="1410" w:type="dxa"/>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1,6%</w:t>
            </w:r>
          </w:p>
        </w:tc>
      </w:tr>
      <w:tr w:rsidR="00B37D8A" w:rsidRPr="004A3EA4" w:rsidTr="006467AF">
        <w:trPr>
          <w:trHeight w:val="204"/>
          <w:jc w:val="center"/>
        </w:trPr>
        <w:tc>
          <w:tcPr>
            <w:tcW w:w="4394" w:type="dxa"/>
            <w:shd w:val="clear" w:color="auto" w:fill="D9D9D9"/>
            <w:noWrap/>
            <w:vAlign w:val="bottom"/>
          </w:tcPr>
          <w:p w:rsidR="00B37D8A" w:rsidRPr="004A3EA4" w:rsidRDefault="00B37D8A" w:rsidP="0085600D">
            <w:pPr>
              <w:spacing w:after="0" w:line="240" w:lineRule="auto"/>
              <w:rPr>
                <w:rFonts w:ascii="Arial" w:hAnsi="Arial" w:cs="Arial"/>
                <w:bCs/>
                <w:color w:val="000000"/>
                <w:sz w:val="18"/>
                <w:szCs w:val="18"/>
              </w:rPr>
            </w:pPr>
            <w:r w:rsidRPr="004A3EA4">
              <w:rPr>
                <w:rFonts w:ascii="Arial" w:hAnsi="Arial" w:cs="Arial"/>
                <w:bCs/>
                <w:color w:val="000000"/>
                <w:sz w:val="18"/>
                <w:szCs w:val="18"/>
              </w:rPr>
              <w:t>TOTAL</w:t>
            </w:r>
          </w:p>
        </w:tc>
        <w:tc>
          <w:tcPr>
            <w:tcW w:w="1211" w:type="dxa"/>
            <w:shd w:val="clear" w:color="auto" w:fill="D9D9D9"/>
            <w:vAlign w:val="center"/>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48.879.995</w:t>
            </w:r>
          </w:p>
        </w:tc>
        <w:tc>
          <w:tcPr>
            <w:tcW w:w="1410" w:type="dxa"/>
            <w:shd w:val="clear" w:color="auto" w:fill="D9D9D9"/>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100%</w:t>
            </w:r>
          </w:p>
        </w:tc>
      </w:tr>
    </w:tbl>
    <w:p w:rsidR="00B37D8A" w:rsidRDefault="00B37D8A" w:rsidP="00E40ABE">
      <w:pPr>
        <w:spacing w:before="240"/>
        <w:jc w:val="both"/>
        <w:rPr>
          <w:rFonts w:ascii="Times New Roman" w:hAnsi="Times New Roman"/>
          <w:sz w:val="24"/>
        </w:rPr>
      </w:pPr>
      <w:r>
        <w:rPr>
          <w:rFonts w:ascii="Times New Roman" w:hAnsi="Times New Roman"/>
          <w:sz w:val="24"/>
        </w:rPr>
        <w:t>El plan es que éstas</w:t>
      </w:r>
      <w:r w:rsidRPr="006042C8">
        <w:rPr>
          <w:rFonts w:ascii="Times New Roman" w:hAnsi="Times New Roman"/>
          <w:sz w:val="24"/>
        </w:rPr>
        <w:t xml:space="preserve"> tareas se reali</w:t>
      </w:r>
      <w:r>
        <w:rPr>
          <w:rFonts w:ascii="Times New Roman" w:hAnsi="Times New Roman"/>
          <w:sz w:val="24"/>
        </w:rPr>
        <w:t>ce</w:t>
      </w:r>
      <w:r w:rsidRPr="006042C8">
        <w:rPr>
          <w:rFonts w:ascii="Times New Roman" w:hAnsi="Times New Roman"/>
          <w:sz w:val="24"/>
        </w:rPr>
        <w:t xml:space="preserve">n en los tres primeros años de actividades, con una distribución temporal como la que se muestra en la tabla. </w:t>
      </w:r>
    </w:p>
    <w:p w:rsidR="00A112D1" w:rsidRDefault="00A112D1" w:rsidP="00E40ABE">
      <w:pPr>
        <w:spacing w:before="240"/>
        <w:jc w:val="both"/>
        <w:rPr>
          <w:rFonts w:ascii="Times New Roman" w:hAnsi="Times New Roman"/>
          <w:sz w:val="24"/>
        </w:rPr>
      </w:pPr>
    </w:p>
    <w:tbl>
      <w:tblPr>
        <w:tblW w:w="0" w:type="auto"/>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58"/>
        <w:gridCol w:w="752"/>
        <w:gridCol w:w="709"/>
        <w:gridCol w:w="801"/>
        <w:gridCol w:w="758"/>
      </w:tblGrid>
      <w:tr w:rsidR="00B37D8A" w:rsidRPr="004A3EA4" w:rsidTr="0085600D">
        <w:trPr>
          <w:trHeight w:val="239"/>
          <w:jc w:val="center"/>
        </w:trPr>
        <w:tc>
          <w:tcPr>
            <w:tcW w:w="4258" w:type="dxa"/>
            <w:tcBorders>
              <w:top w:val="nil"/>
              <w:left w:val="nil"/>
              <w:bottom w:val="nil"/>
            </w:tcBorders>
            <w:noWrap/>
            <w:vAlign w:val="bottom"/>
          </w:tcPr>
          <w:p w:rsidR="00B37D8A" w:rsidRPr="004A3EA4" w:rsidRDefault="00B37D8A" w:rsidP="0085600D">
            <w:pPr>
              <w:spacing w:after="0" w:line="240" w:lineRule="auto"/>
              <w:jc w:val="center"/>
              <w:rPr>
                <w:rFonts w:ascii="Arial" w:hAnsi="Arial" w:cs="Arial"/>
                <w:bCs/>
                <w:color w:val="000000"/>
                <w:sz w:val="18"/>
                <w:szCs w:val="18"/>
              </w:rPr>
            </w:pPr>
          </w:p>
        </w:tc>
        <w:tc>
          <w:tcPr>
            <w:tcW w:w="3020" w:type="dxa"/>
            <w:gridSpan w:val="4"/>
            <w:shd w:val="clear" w:color="auto" w:fill="D9D9D9"/>
            <w:vAlign w:val="bottom"/>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Meses de duración</w:t>
            </w:r>
          </w:p>
        </w:tc>
      </w:tr>
      <w:tr w:rsidR="00B37D8A" w:rsidRPr="004A3EA4" w:rsidTr="0085600D">
        <w:trPr>
          <w:trHeight w:val="130"/>
          <w:jc w:val="center"/>
        </w:trPr>
        <w:tc>
          <w:tcPr>
            <w:tcW w:w="4258" w:type="dxa"/>
            <w:tcBorders>
              <w:top w:val="nil"/>
              <w:left w:val="nil"/>
            </w:tcBorders>
            <w:noWrap/>
            <w:vAlign w:val="bottom"/>
          </w:tcPr>
          <w:p w:rsidR="00B37D8A" w:rsidRPr="004A3EA4" w:rsidRDefault="00B37D8A" w:rsidP="0085600D">
            <w:pPr>
              <w:spacing w:after="0" w:line="240" w:lineRule="auto"/>
              <w:rPr>
                <w:rFonts w:ascii="Arial" w:hAnsi="Arial" w:cs="Arial"/>
                <w:bCs/>
                <w:color w:val="000000"/>
                <w:sz w:val="18"/>
                <w:szCs w:val="18"/>
              </w:rPr>
            </w:pPr>
          </w:p>
        </w:tc>
        <w:tc>
          <w:tcPr>
            <w:tcW w:w="752" w:type="dxa"/>
            <w:shd w:val="clear" w:color="auto" w:fill="D9D9D9"/>
            <w:vAlign w:val="center"/>
          </w:tcPr>
          <w:p w:rsidR="00B37D8A" w:rsidRPr="004A3EA4" w:rsidRDefault="00B37D8A" w:rsidP="0085600D">
            <w:pPr>
              <w:spacing w:after="0" w:line="240" w:lineRule="auto"/>
              <w:jc w:val="center"/>
              <w:rPr>
                <w:rFonts w:ascii="Arial" w:hAnsi="Arial" w:cs="Arial"/>
                <w:bCs/>
                <w:color w:val="000000"/>
                <w:sz w:val="18"/>
                <w:szCs w:val="18"/>
              </w:rPr>
            </w:pPr>
            <w:r w:rsidRPr="004A3EA4">
              <w:rPr>
                <w:rFonts w:ascii="Arial" w:hAnsi="Arial" w:cs="Arial"/>
                <w:bCs/>
                <w:color w:val="000000"/>
                <w:sz w:val="18"/>
                <w:szCs w:val="18"/>
              </w:rPr>
              <w:t>Total</w:t>
            </w:r>
          </w:p>
        </w:tc>
        <w:tc>
          <w:tcPr>
            <w:tcW w:w="709" w:type="dxa"/>
            <w:shd w:val="clear" w:color="auto" w:fill="D9D9D9"/>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Año 1</w:t>
            </w:r>
          </w:p>
        </w:tc>
        <w:tc>
          <w:tcPr>
            <w:tcW w:w="801" w:type="dxa"/>
            <w:shd w:val="clear" w:color="auto" w:fill="D9D9D9"/>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Año 2</w:t>
            </w:r>
          </w:p>
        </w:tc>
        <w:tc>
          <w:tcPr>
            <w:tcW w:w="758" w:type="dxa"/>
            <w:shd w:val="clear" w:color="auto" w:fill="D9D9D9"/>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Año 3</w:t>
            </w:r>
          </w:p>
        </w:tc>
      </w:tr>
      <w:tr w:rsidR="00B37D8A" w:rsidRPr="004A3EA4" w:rsidTr="0085600D">
        <w:trPr>
          <w:trHeight w:val="53"/>
          <w:jc w:val="center"/>
        </w:trPr>
        <w:tc>
          <w:tcPr>
            <w:tcW w:w="4258" w:type="dxa"/>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Formulación del Proyecto Ejecutivo</w:t>
            </w:r>
          </w:p>
        </w:tc>
        <w:tc>
          <w:tcPr>
            <w:tcW w:w="752" w:type="dxa"/>
            <w:noWrap/>
            <w:vAlign w:val="center"/>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3</w:t>
            </w:r>
          </w:p>
        </w:tc>
        <w:tc>
          <w:tcPr>
            <w:tcW w:w="709"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3</w:t>
            </w:r>
          </w:p>
        </w:tc>
        <w:tc>
          <w:tcPr>
            <w:tcW w:w="801" w:type="dxa"/>
            <w:noWrap/>
            <w:vAlign w:val="center"/>
          </w:tcPr>
          <w:p w:rsidR="00B37D8A" w:rsidRPr="004A3EA4" w:rsidRDefault="00B37D8A" w:rsidP="0085600D">
            <w:pPr>
              <w:spacing w:after="0" w:line="240" w:lineRule="auto"/>
              <w:jc w:val="center"/>
              <w:rPr>
                <w:rFonts w:ascii="Arial" w:hAnsi="Arial" w:cs="Arial"/>
                <w:sz w:val="18"/>
                <w:szCs w:val="18"/>
              </w:rPr>
            </w:pPr>
          </w:p>
        </w:tc>
        <w:tc>
          <w:tcPr>
            <w:tcW w:w="758" w:type="dxa"/>
            <w:noWrap/>
            <w:vAlign w:val="center"/>
          </w:tcPr>
          <w:p w:rsidR="00B37D8A" w:rsidRPr="004A3EA4" w:rsidRDefault="00B37D8A" w:rsidP="0085600D">
            <w:pPr>
              <w:spacing w:after="0" w:line="240" w:lineRule="auto"/>
              <w:jc w:val="center"/>
              <w:rPr>
                <w:rFonts w:ascii="Arial" w:hAnsi="Arial" w:cs="Arial"/>
                <w:sz w:val="18"/>
                <w:szCs w:val="18"/>
              </w:rPr>
            </w:pPr>
          </w:p>
        </w:tc>
      </w:tr>
      <w:tr w:rsidR="00B37D8A" w:rsidRPr="004A3EA4" w:rsidTr="0085600D">
        <w:trPr>
          <w:trHeight w:val="53"/>
          <w:jc w:val="center"/>
        </w:trPr>
        <w:tc>
          <w:tcPr>
            <w:tcW w:w="4258" w:type="dxa"/>
            <w:noWrap/>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Preparación del Terreno</w:t>
            </w:r>
          </w:p>
        </w:tc>
        <w:tc>
          <w:tcPr>
            <w:tcW w:w="752" w:type="dxa"/>
            <w:noWrap/>
            <w:vAlign w:val="center"/>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1</w:t>
            </w:r>
          </w:p>
        </w:tc>
        <w:tc>
          <w:tcPr>
            <w:tcW w:w="709"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1</w:t>
            </w:r>
          </w:p>
        </w:tc>
        <w:tc>
          <w:tcPr>
            <w:tcW w:w="801" w:type="dxa"/>
            <w:noWrap/>
            <w:vAlign w:val="center"/>
          </w:tcPr>
          <w:p w:rsidR="00B37D8A" w:rsidRPr="004A3EA4" w:rsidRDefault="00B37D8A" w:rsidP="0085600D">
            <w:pPr>
              <w:spacing w:after="0" w:line="240" w:lineRule="auto"/>
              <w:jc w:val="center"/>
              <w:rPr>
                <w:rFonts w:ascii="Arial" w:hAnsi="Arial" w:cs="Arial"/>
                <w:sz w:val="18"/>
                <w:szCs w:val="18"/>
              </w:rPr>
            </w:pPr>
          </w:p>
        </w:tc>
        <w:tc>
          <w:tcPr>
            <w:tcW w:w="758" w:type="dxa"/>
            <w:noWrap/>
            <w:vAlign w:val="center"/>
          </w:tcPr>
          <w:p w:rsidR="00B37D8A" w:rsidRPr="004A3EA4" w:rsidRDefault="00B37D8A" w:rsidP="0085600D">
            <w:pPr>
              <w:spacing w:after="0" w:line="240" w:lineRule="auto"/>
              <w:jc w:val="center"/>
              <w:rPr>
                <w:rFonts w:ascii="Arial" w:hAnsi="Arial" w:cs="Arial"/>
                <w:sz w:val="18"/>
                <w:szCs w:val="18"/>
              </w:rPr>
            </w:pPr>
          </w:p>
        </w:tc>
      </w:tr>
      <w:tr w:rsidR="00B37D8A" w:rsidRPr="004A3EA4" w:rsidTr="0085600D">
        <w:trPr>
          <w:trHeight w:val="53"/>
          <w:jc w:val="center"/>
        </w:trPr>
        <w:tc>
          <w:tcPr>
            <w:tcW w:w="4258" w:type="dxa"/>
            <w:noWrap/>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Playas y vías de circulación de Hormigón Armado</w:t>
            </w:r>
          </w:p>
        </w:tc>
        <w:tc>
          <w:tcPr>
            <w:tcW w:w="752" w:type="dxa"/>
            <w:noWrap/>
            <w:vAlign w:val="center"/>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12</w:t>
            </w:r>
          </w:p>
        </w:tc>
        <w:tc>
          <w:tcPr>
            <w:tcW w:w="709"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2</w:t>
            </w:r>
          </w:p>
        </w:tc>
        <w:tc>
          <w:tcPr>
            <w:tcW w:w="801"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10</w:t>
            </w:r>
          </w:p>
        </w:tc>
        <w:tc>
          <w:tcPr>
            <w:tcW w:w="758" w:type="dxa"/>
            <w:noWrap/>
            <w:vAlign w:val="center"/>
          </w:tcPr>
          <w:p w:rsidR="00B37D8A" w:rsidRPr="004A3EA4" w:rsidRDefault="00B37D8A" w:rsidP="0085600D">
            <w:pPr>
              <w:spacing w:after="0" w:line="240" w:lineRule="auto"/>
              <w:jc w:val="center"/>
              <w:rPr>
                <w:rFonts w:ascii="Arial" w:hAnsi="Arial" w:cs="Arial"/>
                <w:sz w:val="18"/>
                <w:szCs w:val="18"/>
              </w:rPr>
            </w:pPr>
          </w:p>
        </w:tc>
      </w:tr>
      <w:tr w:rsidR="00B37D8A" w:rsidRPr="004A3EA4" w:rsidTr="0085600D">
        <w:trPr>
          <w:trHeight w:val="53"/>
          <w:jc w:val="center"/>
        </w:trPr>
        <w:tc>
          <w:tcPr>
            <w:tcW w:w="4258" w:type="dxa"/>
            <w:noWrap/>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Depósitos</w:t>
            </w:r>
          </w:p>
        </w:tc>
        <w:tc>
          <w:tcPr>
            <w:tcW w:w="752" w:type="dxa"/>
            <w:noWrap/>
            <w:vAlign w:val="center"/>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12</w:t>
            </w:r>
          </w:p>
        </w:tc>
        <w:tc>
          <w:tcPr>
            <w:tcW w:w="709" w:type="dxa"/>
            <w:noWrap/>
            <w:vAlign w:val="center"/>
          </w:tcPr>
          <w:p w:rsidR="00B37D8A" w:rsidRPr="004A3EA4" w:rsidRDefault="00B37D8A" w:rsidP="0085600D">
            <w:pPr>
              <w:spacing w:after="0" w:line="240" w:lineRule="auto"/>
              <w:jc w:val="center"/>
              <w:rPr>
                <w:rFonts w:ascii="Arial" w:hAnsi="Arial" w:cs="Arial"/>
                <w:sz w:val="18"/>
                <w:szCs w:val="18"/>
              </w:rPr>
            </w:pPr>
          </w:p>
        </w:tc>
        <w:tc>
          <w:tcPr>
            <w:tcW w:w="801"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12</w:t>
            </w:r>
          </w:p>
        </w:tc>
        <w:tc>
          <w:tcPr>
            <w:tcW w:w="758" w:type="dxa"/>
            <w:noWrap/>
            <w:vAlign w:val="center"/>
          </w:tcPr>
          <w:p w:rsidR="00B37D8A" w:rsidRPr="004A3EA4" w:rsidRDefault="00B37D8A" w:rsidP="0085600D">
            <w:pPr>
              <w:spacing w:after="0" w:line="240" w:lineRule="auto"/>
              <w:jc w:val="center"/>
              <w:rPr>
                <w:rFonts w:ascii="Arial" w:hAnsi="Arial" w:cs="Arial"/>
                <w:sz w:val="18"/>
                <w:szCs w:val="18"/>
              </w:rPr>
            </w:pPr>
          </w:p>
        </w:tc>
      </w:tr>
      <w:tr w:rsidR="00B37D8A" w:rsidRPr="004A3EA4" w:rsidTr="0085600D">
        <w:trPr>
          <w:trHeight w:val="53"/>
          <w:jc w:val="center"/>
        </w:trPr>
        <w:tc>
          <w:tcPr>
            <w:tcW w:w="4258" w:type="dxa"/>
            <w:noWrap/>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Edificios</w:t>
            </w:r>
          </w:p>
        </w:tc>
        <w:tc>
          <w:tcPr>
            <w:tcW w:w="752" w:type="dxa"/>
            <w:noWrap/>
            <w:vAlign w:val="center"/>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23</w:t>
            </w:r>
          </w:p>
        </w:tc>
        <w:tc>
          <w:tcPr>
            <w:tcW w:w="709"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2</w:t>
            </w:r>
          </w:p>
        </w:tc>
        <w:tc>
          <w:tcPr>
            <w:tcW w:w="801"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12</w:t>
            </w:r>
          </w:p>
        </w:tc>
        <w:tc>
          <w:tcPr>
            <w:tcW w:w="758"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9</w:t>
            </w:r>
          </w:p>
        </w:tc>
      </w:tr>
      <w:tr w:rsidR="00B37D8A" w:rsidRPr="004A3EA4" w:rsidTr="0085600D">
        <w:trPr>
          <w:trHeight w:val="53"/>
          <w:jc w:val="center"/>
        </w:trPr>
        <w:tc>
          <w:tcPr>
            <w:tcW w:w="4258" w:type="dxa"/>
            <w:noWrap/>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Instalaciones</w:t>
            </w:r>
          </w:p>
        </w:tc>
        <w:tc>
          <w:tcPr>
            <w:tcW w:w="752" w:type="dxa"/>
            <w:noWrap/>
            <w:vAlign w:val="center"/>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12</w:t>
            </w:r>
          </w:p>
        </w:tc>
        <w:tc>
          <w:tcPr>
            <w:tcW w:w="709" w:type="dxa"/>
            <w:noWrap/>
            <w:vAlign w:val="center"/>
          </w:tcPr>
          <w:p w:rsidR="00B37D8A" w:rsidRPr="004A3EA4" w:rsidRDefault="00B37D8A" w:rsidP="0085600D">
            <w:pPr>
              <w:spacing w:after="0" w:line="240" w:lineRule="auto"/>
              <w:jc w:val="center"/>
              <w:rPr>
                <w:rFonts w:ascii="Arial" w:hAnsi="Arial" w:cs="Arial"/>
                <w:sz w:val="18"/>
                <w:szCs w:val="18"/>
              </w:rPr>
            </w:pPr>
          </w:p>
        </w:tc>
        <w:tc>
          <w:tcPr>
            <w:tcW w:w="801"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3</w:t>
            </w:r>
          </w:p>
        </w:tc>
        <w:tc>
          <w:tcPr>
            <w:tcW w:w="758"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9</w:t>
            </w:r>
          </w:p>
        </w:tc>
      </w:tr>
      <w:tr w:rsidR="00B37D8A" w:rsidRPr="004A3EA4" w:rsidTr="0085600D">
        <w:trPr>
          <w:trHeight w:val="53"/>
          <w:jc w:val="center"/>
        </w:trPr>
        <w:tc>
          <w:tcPr>
            <w:tcW w:w="4258" w:type="dxa"/>
            <w:noWrap/>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Obras complementarias</w:t>
            </w:r>
          </w:p>
        </w:tc>
        <w:tc>
          <w:tcPr>
            <w:tcW w:w="752" w:type="dxa"/>
            <w:noWrap/>
            <w:vAlign w:val="center"/>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5</w:t>
            </w:r>
          </w:p>
        </w:tc>
        <w:tc>
          <w:tcPr>
            <w:tcW w:w="709" w:type="dxa"/>
            <w:noWrap/>
            <w:vAlign w:val="center"/>
          </w:tcPr>
          <w:p w:rsidR="00B37D8A" w:rsidRPr="004A3EA4" w:rsidRDefault="00B37D8A" w:rsidP="0085600D">
            <w:pPr>
              <w:spacing w:after="0" w:line="240" w:lineRule="auto"/>
              <w:jc w:val="center"/>
              <w:rPr>
                <w:rFonts w:ascii="Arial" w:hAnsi="Arial" w:cs="Arial"/>
                <w:sz w:val="18"/>
                <w:szCs w:val="18"/>
              </w:rPr>
            </w:pPr>
          </w:p>
        </w:tc>
        <w:tc>
          <w:tcPr>
            <w:tcW w:w="801" w:type="dxa"/>
            <w:noWrap/>
            <w:vAlign w:val="center"/>
          </w:tcPr>
          <w:p w:rsidR="00B37D8A" w:rsidRPr="004A3EA4" w:rsidRDefault="00B37D8A" w:rsidP="0085600D">
            <w:pPr>
              <w:spacing w:after="0" w:line="240" w:lineRule="auto"/>
              <w:jc w:val="center"/>
              <w:rPr>
                <w:rFonts w:ascii="Arial" w:hAnsi="Arial" w:cs="Arial"/>
                <w:sz w:val="18"/>
                <w:szCs w:val="18"/>
              </w:rPr>
            </w:pPr>
          </w:p>
        </w:tc>
        <w:tc>
          <w:tcPr>
            <w:tcW w:w="758"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5</w:t>
            </w:r>
          </w:p>
        </w:tc>
      </w:tr>
      <w:tr w:rsidR="00B37D8A" w:rsidRPr="004A3EA4" w:rsidTr="0085600D">
        <w:trPr>
          <w:trHeight w:val="53"/>
          <w:jc w:val="center"/>
        </w:trPr>
        <w:tc>
          <w:tcPr>
            <w:tcW w:w="4258" w:type="dxa"/>
            <w:noWrap/>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Rampas de verificación</w:t>
            </w:r>
          </w:p>
        </w:tc>
        <w:tc>
          <w:tcPr>
            <w:tcW w:w="752" w:type="dxa"/>
            <w:noWrap/>
            <w:vAlign w:val="center"/>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5</w:t>
            </w:r>
          </w:p>
        </w:tc>
        <w:tc>
          <w:tcPr>
            <w:tcW w:w="709" w:type="dxa"/>
            <w:noWrap/>
            <w:vAlign w:val="center"/>
          </w:tcPr>
          <w:p w:rsidR="00B37D8A" w:rsidRPr="004A3EA4" w:rsidRDefault="00B37D8A" w:rsidP="0085600D">
            <w:pPr>
              <w:spacing w:after="0" w:line="240" w:lineRule="auto"/>
              <w:jc w:val="center"/>
              <w:rPr>
                <w:rFonts w:ascii="Arial" w:hAnsi="Arial" w:cs="Arial"/>
                <w:sz w:val="18"/>
                <w:szCs w:val="18"/>
              </w:rPr>
            </w:pPr>
          </w:p>
        </w:tc>
        <w:tc>
          <w:tcPr>
            <w:tcW w:w="801" w:type="dxa"/>
            <w:noWrap/>
            <w:vAlign w:val="center"/>
          </w:tcPr>
          <w:p w:rsidR="00B37D8A" w:rsidRPr="004A3EA4" w:rsidRDefault="00B37D8A" w:rsidP="0085600D">
            <w:pPr>
              <w:spacing w:after="0" w:line="240" w:lineRule="auto"/>
              <w:jc w:val="center"/>
              <w:rPr>
                <w:rFonts w:ascii="Arial" w:hAnsi="Arial" w:cs="Arial"/>
                <w:sz w:val="18"/>
                <w:szCs w:val="18"/>
              </w:rPr>
            </w:pPr>
          </w:p>
        </w:tc>
        <w:tc>
          <w:tcPr>
            <w:tcW w:w="758"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5</w:t>
            </w:r>
          </w:p>
        </w:tc>
      </w:tr>
      <w:tr w:rsidR="00B37D8A" w:rsidRPr="004A3EA4" w:rsidTr="0085600D">
        <w:trPr>
          <w:trHeight w:val="53"/>
          <w:jc w:val="center"/>
        </w:trPr>
        <w:tc>
          <w:tcPr>
            <w:tcW w:w="4258" w:type="dxa"/>
            <w:noWrap/>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Costos de traslado y puesta en marcha</w:t>
            </w:r>
          </w:p>
        </w:tc>
        <w:tc>
          <w:tcPr>
            <w:tcW w:w="752" w:type="dxa"/>
            <w:noWrap/>
            <w:vAlign w:val="center"/>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3</w:t>
            </w:r>
          </w:p>
        </w:tc>
        <w:tc>
          <w:tcPr>
            <w:tcW w:w="709" w:type="dxa"/>
            <w:noWrap/>
            <w:vAlign w:val="center"/>
          </w:tcPr>
          <w:p w:rsidR="00B37D8A" w:rsidRPr="004A3EA4" w:rsidRDefault="00B37D8A" w:rsidP="0085600D">
            <w:pPr>
              <w:spacing w:after="0" w:line="240" w:lineRule="auto"/>
              <w:jc w:val="center"/>
              <w:rPr>
                <w:rFonts w:ascii="Arial" w:hAnsi="Arial" w:cs="Arial"/>
                <w:sz w:val="18"/>
                <w:szCs w:val="18"/>
              </w:rPr>
            </w:pPr>
          </w:p>
        </w:tc>
        <w:tc>
          <w:tcPr>
            <w:tcW w:w="801" w:type="dxa"/>
            <w:noWrap/>
            <w:vAlign w:val="center"/>
          </w:tcPr>
          <w:p w:rsidR="00B37D8A" w:rsidRPr="004A3EA4" w:rsidRDefault="00B37D8A" w:rsidP="0085600D">
            <w:pPr>
              <w:spacing w:after="0" w:line="240" w:lineRule="auto"/>
              <w:jc w:val="center"/>
              <w:rPr>
                <w:rFonts w:ascii="Arial" w:hAnsi="Arial" w:cs="Arial"/>
                <w:sz w:val="18"/>
                <w:szCs w:val="18"/>
              </w:rPr>
            </w:pPr>
          </w:p>
        </w:tc>
        <w:tc>
          <w:tcPr>
            <w:tcW w:w="758"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3</w:t>
            </w:r>
          </w:p>
        </w:tc>
      </w:tr>
      <w:tr w:rsidR="00B37D8A" w:rsidRPr="004A3EA4" w:rsidTr="0085600D">
        <w:trPr>
          <w:trHeight w:val="53"/>
          <w:jc w:val="center"/>
        </w:trPr>
        <w:tc>
          <w:tcPr>
            <w:tcW w:w="4258" w:type="dxa"/>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Dirección Técnica y Control</w:t>
            </w:r>
          </w:p>
        </w:tc>
        <w:tc>
          <w:tcPr>
            <w:tcW w:w="752" w:type="dxa"/>
            <w:noWrap/>
            <w:vAlign w:val="center"/>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26</w:t>
            </w:r>
          </w:p>
        </w:tc>
        <w:tc>
          <w:tcPr>
            <w:tcW w:w="709"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5</w:t>
            </w:r>
          </w:p>
        </w:tc>
        <w:tc>
          <w:tcPr>
            <w:tcW w:w="801"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12</w:t>
            </w:r>
          </w:p>
        </w:tc>
        <w:tc>
          <w:tcPr>
            <w:tcW w:w="758"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9</w:t>
            </w:r>
          </w:p>
        </w:tc>
      </w:tr>
      <w:tr w:rsidR="00B37D8A" w:rsidRPr="004A3EA4" w:rsidTr="0085600D">
        <w:trPr>
          <w:trHeight w:val="53"/>
          <w:jc w:val="center"/>
        </w:trPr>
        <w:tc>
          <w:tcPr>
            <w:tcW w:w="4258" w:type="dxa"/>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Seminario de Sensibilización</w:t>
            </w:r>
          </w:p>
        </w:tc>
        <w:tc>
          <w:tcPr>
            <w:tcW w:w="752" w:type="dxa"/>
            <w:noWrap/>
            <w:vAlign w:val="center"/>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1</w:t>
            </w:r>
          </w:p>
        </w:tc>
        <w:tc>
          <w:tcPr>
            <w:tcW w:w="709"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1</w:t>
            </w:r>
          </w:p>
        </w:tc>
        <w:tc>
          <w:tcPr>
            <w:tcW w:w="801" w:type="dxa"/>
            <w:noWrap/>
            <w:vAlign w:val="center"/>
          </w:tcPr>
          <w:p w:rsidR="00B37D8A" w:rsidRPr="004A3EA4" w:rsidRDefault="00B37D8A" w:rsidP="0085600D">
            <w:pPr>
              <w:spacing w:after="0" w:line="240" w:lineRule="auto"/>
              <w:jc w:val="center"/>
              <w:rPr>
                <w:rFonts w:ascii="Arial" w:hAnsi="Arial" w:cs="Arial"/>
                <w:sz w:val="18"/>
                <w:szCs w:val="18"/>
              </w:rPr>
            </w:pPr>
          </w:p>
        </w:tc>
        <w:tc>
          <w:tcPr>
            <w:tcW w:w="758" w:type="dxa"/>
            <w:noWrap/>
            <w:vAlign w:val="center"/>
          </w:tcPr>
          <w:p w:rsidR="00B37D8A" w:rsidRPr="004A3EA4" w:rsidRDefault="00B37D8A" w:rsidP="0085600D">
            <w:pPr>
              <w:spacing w:after="0" w:line="240" w:lineRule="auto"/>
              <w:jc w:val="center"/>
              <w:rPr>
                <w:rFonts w:ascii="Arial" w:hAnsi="Arial" w:cs="Arial"/>
                <w:sz w:val="18"/>
                <w:szCs w:val="18"/>
              </w:rPr>
            </w:pPr>
          </w:p>
        </w:tc>
      </w:tr>
      <w:tr w:rsidR="00B37D8A" w:rsidRPr="004A3EA4" w:rsidTr="0085600D">
        <w:trPr>
          <w:trHeight w:val="53"/>
          <w:jc w:val="center"/>
        </w:trPr>
        <w:tc>
          <w:tcPr>
            <w:tcW w:w="4258" w:type="dxa"/>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Estudio Factiilidad ZALO</w:t>
            </w:r>
          </w:p>
        </w:tc>
        <w:tc>
          <w:tcPr>
            <w:tcW w:w="752" w:type="dxa"/>
            <w:noWrap/>
            <w:vAlign w:val="center"/>
          </w:tcPr>
          <w:p w:rsidR="00B37D8A" w:rsidRPr="004A3EA4" w:rsidRDefault="00B37D8A" w:rsidP="0085600D">
            <w:pPr>
              <w:spacing w:after="0" w:line="240" w:lineRule="auto"/>
              <w:jc w:val="center"/>
              <w:rPr>
                <w:rFonts w:ascii="Arial" w:hAnsi="Arial" w:cs="Arial"/>
                <w:color w:val="000000"/>
                <w:sz w:val="18"/>
                <w:szCs w:val="18"/>
              </w:rPr>
            </w:pPr>
            <w:r w:rsidRPr="004A3EA4">
              <w:rPr>
                <w:rFonts w:ascii="Arial" w:hAnsi="Arial" w:cs="Arial"/>
                <w:color w:val="000000"/>
                <w:sz w:val="18"/>
                <w:szCs w:val="18"/>
              </w:rPr>
              <w:t>6</w:t>
            </w:r>
          </w:p>
        </w:tc>
        <w:tc>
          <w:tcPr>
            <w:tcW w:w="709" w:type="dxa"/>
            <w:noWrap/>
            <w:vAlign w:val="center"/>
          </w:tcPr>
          <w:p w:rsidR="00B37D8A" w:rsidRPr="004A3EA4" w:rsidRDefault="00B37D8A" w:rsidP="0085600D">
            <w:pPr>
              <w:spacing w:after="0" w:line="240" w:lineRule="auto"/>
              <w:jc w:val="center"/>
              <w:rPr>
                <w:rFonts w:ascii="Arial" w:hAnsi="Arial" w:cs="Arial"/>
                <w:sz w:val="18"/>
                <w:szCs w:val="18"/>
              </w:rPr>
            </w:pPr>
          </w:p>
        </w:tc>
        <w:tc>
          <w:tcPr>
            <w:tcW w:w="801"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6</w:t>
            </w:r>
          </w:p>
        </w:tc>
        <w:tc>
          <w:tcPr>
            <w:tcW w:w="758" w:type="dxa"/>
            <w:noWrap/>
            <w:vAlign w:val="center"/>
          </w:tcPr>
          <w:p w:rsidR="00B37D8A" w:rsidRPr="004A3EA4" w:rsidRDefault="00B37D8A" w:rsidP="0085600D">
            <w:pPr>
              <w:spacing w:after="0" w:line="240" w:lineRule="auto"/>
              <w:jc w:val="center"/>
              <w:rPr>
                <w:rFonts w:ascii="Arial" w:hAnsi="Arial" w:cs="Arial"/>
                <w:sz w:val="18"/>
                <w:szCs w:val="18"/>
              </w:rPr>
            </w:pPr>
          </w:p>
        </w:tc>
      </w:tr>
      <w:tr w:rsidR="00B37D8A" w:rsidRPr="004A3EA4" w:rsidTr="0085600D">
        <w:trPr>
          <w:trHeight w:val="53"/>
          <w:jc w:val="center"/>
        </w:trPr>
        <w:tc>
          <w:tcPr>
            <w:tcW w:w="7278" w:type="dxa"/>
            <w:gridSpan w:val="5"/>
            <w:shd w:val="clear" w:color="auto" w:fill="D9D9D9"/>
            <w:noWrap/>
            <w:vAlign w:val="bottom"/>
          </w:tcPr>
          <w:p w:rsidR="00B37D8A" w:rsidRPr="004A3EA4" w:rsidRDefault="00B37D8A" w:rsidP="0085600D">
            <w:pPr>
              <w:spacing w:after="0" w:line="240" w:lineRule="auto"/>
              <w:rPr>
                <w:rFonts w:ascii="Arial" w:hAnsi="Arial" w:cs="Arial"/>
                <w:sz w:val="18"/>
                <w:szCs w:val="18"/>
              </w:rPr>
            </w:pPr>
            <w:r w:rsidRPr="004A3EA4">
              <w:rPr>
                <w:rFonts w:ascii="Arial" w:hAnsi="Arial" w:cs="Arial"/>
                <w:bCs/>
                <w:color w:val="000000"/>
                <w:sz w:val="18"/>
                <w:szCs w:val="18"/>
              </w:rPr>
              <w:t>TOTAL</w:t>
            </w:r>
          </w:p>
        </w:tc>
      </w:tr>
    </w:tbl>
    <w:p w:rsidR="00B37D8A" w:rsidRDefault="00BA0C26" w:rsidP="00E40ABE">
      <w:pPr>
        <w:spacing w:before="240"/>
        <w:jc w:val="both"/>
        <w:rPr>
          <w:rFonts w:ascii="Times New Roman" w:hAnsi="Times New Roman"/>
          <w:sz w:val="24"/>
        </w:rPr>
      </w:pPr>
      <w:r>
        <w:rPr>
          <w:rFonts w:ascii="Times New Roman" w:hAnsi="Times New Roman"/>
          <w:sz w:val="24"/>
        </w:rPr>
        <w:t>De esta manera</w:t>
      </w:r>
      <w:r w:rsidR="00B37D8A">
        <w:rPr>
          <w:rFonts w:ascii="Times New Roman" w:hAnsi="Times New Roman"/>
          <w:sz w:val="24"/>
        </w:rPr>
        <w:t xml:space="preserve"> los gastos generados ascende</w:t>
      </w:r>
      <w:r>
        <w:rPr>
          <w:rFonts w:ascii="Times New Roman" w:hAnsi="Times New Roman"/>
          <w:sz w:val="24"/>
        </w:rPr>
        <w:t>rán</w:t>
      </w:r>
      <w:r w:rsidR="00B37D8A">
        <w:rPr>
          <w:rFonts w:ascii="Times New Roman" w:hAnsi="Times New Roman"/>
          <w:sz w:val="24"/>
        </w:rPr>
        <w:t xml:space="preserve"> a ARS 8.143.052 en el primer año, ARS 27.279.001 en el segundo, y ARS 13.457.942 en el tercero.</w:t>
      </w:r>
    </w:p>
    <w:tbl>
      <w:tblPr>
        <w:tblW w:w="0" w:type="auto"/>
        <w:jc w:val="center"/>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142"/>
        <w:gridCol w:w="1094"/>
        <w:gridCol w:w="1134"/>
        <w:gridCol w:w="1134"/>
      </w:tblGrid>
      <w:tr w:rsidR="00B37D8A" w:rsidRPr="004A3EA4" w:rsidTr="0085600D">
        <w:trPr>
          <w:trHeight w:val="239"/>
          <w:jc w:val="center"/>
        </w:trPr>
        <w:tc>
          <w:tcPr>
            <w:tcW w:w="4142" w:type="dxa"/>
            <w:tcBorders>
              <w:top w:val="nil"/>
              <w:left w:val="nil"/>
              <w:bottom w:val="nil"/>
            </w:tcBorders>
            <w:noWrap/>
            <w:vAlign w:val="bottom"/>
          </w:tcPr>
          <w:p w:rsidR="00B37D8A" w:rsidRPr="004A3EA4" w:rsidRDefault="00B37D8A" w:rsidP="0085600D">
            <w:pPr>
              <w:spacing w:after="0" w:line="240" w:lineRule="auto"/>
              <w:jc w:val="center"/>
              <w:rPr>
                <w:rFonts w:ascii="Arial" w:hAnsi="Arial" w:cs="Arial"/>
                <w:bCs/>
                <w:color w:val="000000"/>
                <w:sz w:val="18"/>
                <w:szCs w:val="18"/>
              </w:rPr>
            </w:pPr>
          </w:p>
        </w:tc>
        <w:tc>
          <w:tcPr>
            <w:tcW w:w="3362" w:type="dxa"/>
            <w:gridSpan w:val="3"/>
            <w:shd w:val="clear" w:color="auto" w:fill="D9D9D9"/>
            <w:noWrap/>
            <w:vAlign w:val="bottom"/>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Distribución de gastos</w:t>
            </w:r>
          </w:p>
        </w:tc>
      </w:tr>
      <w:tr w:rsidR="00B37D8A" w:rsidRPr="004A3EA4" w:rsidTr="0085600D">
        <w:trPr>
          <w:trHeight w:val="130"/>
          <w:jc w:val="center"/>
        </w:trPr>
        <w:tc>
          <w:tcPr>
            <w:tcW w:w="4142" w:type="dxa"/>
            <w:tcBorders>
              <w:top w:val="nil"/>
              <w:left w:val="nil"/>
            </w:tcBorders>
            <w:noWrap/>
            <w:vAlign w:val="bottom"/>
          </w:tcPr>
          <w:p w:rsidR="00B37D8A" w:rsidRPr="004A3EA4" w:rsidRDefault="00B37D8A" w:rsidP="0085600D">
            <w:pPr>
              <w:spacing w:after="0" w:line="240" w:lineRule="auto"/>
              <w:rPr>
                <w:rFonts w:ascii="Arial" w:hAnsi="Arial" w:cs="Arial"/>
                <w:bCs/>
                <w:color w:val="000000"/>
                <w:sz w:val="18"/>
                <w:szCs w:val="18"/>
              </w:rPr>
            </w:pPr>
          </w:p>
        </w:tc>
        <w:tc>
          <w:tcPr>
            <w:tcW w:w="1094" w:type="dxa"/>
            <w:shd w:val="clear" w:color="auto" w:fill="D9D9D9"/>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Año 1</w:t>
            </w:r>
          </w:p>
        </w:tc>
        <w:tc>
          <w:tcPr>
            <w:tcW w:w="1134" w:type="dxa"/>
            <w:shd w:val="clear" w:color="auto" w:fill="D9D9D9"/>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Año 2</w:t>
            </w:r>
          </w:p>
        </w:tc>
        <w:tc>
          <w:tcPr>
            <w:tcW w:w="1134" w:type="dxa"/>
            <w:shd w:val="clear" w:color="auto" w:fill="D9D9D9"/>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Año 3</w:t>
            </w:r>
          </w:p>
        </w:tc>
      </w:tr>
      <w:tr w:rsidR="00B37D8A" w:rsidRPr="004A3EA4" w:rsidTr="0085600D">
        <w:trPr>
          <w:trHeight w:val="53"/>
          <w:jc w:val="center"/>
        </w:trPr>
        <w:tc>
          <w:tcPr>
            <w:tcW w:w="4142" w:type="dxa"/>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Formulación del Proyecto Ejecutivo</w:t>
            </w:r>
          </w:p>
        </w:tc>
        <w:tc>
          <w:tcPr>
            <w:tcW w:w="109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1.040.000</w:t>
            </w:r>
          </w:p>
        </w:tc>
        <w:tc>
          <w:tcPr>
            <w:tcW w:w="113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0</w:t>
            </w:r>
          </w:p>
        </w:tc>
        <w:tc>
          <w:tcPr>
            <w:tcW w:w="113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0</w:t>
            </w:r>
          </w:p>
        </w:tc>
      </w:tr>
      <w:tr w:rsidR="00B37D8A" w:rsidRPr="004A3EA4" w:rsidTr="0085600D">
        <w:trPr>
          <w:trHeight w:val="53"/>
          <w:jc w:val="center"/>
        </w:trPr>
        <w:tc>
          <w:tcPr>
            <w:tcW w:w="4142" w:type="dxa"/>
            <w:noWrap/>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Preparación del Terreno</w:t>
            </w:r>
          </w:p>
        </w:tc>
        <w:tc>
          <w:tcPr>
            <w:tcW w:w="109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3.529.443</w:t>
            </w:r>
          </w:p>
        </w:tc>
        <w:tc>
          <w:tcPr>
            <w:tcW w:w="113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0</w:t>
            </w:r>
          </w:p>
        </w:tc>
        <w:tc>
          <w:tcPr>
            <w:tcW w:w="113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0</w:t>
            </w:r>
          </w:p>
        </w:tc>
      </w:tr>
      <w:tr w:rsidR="00B37D8A" w:rsidRPr="004A3EA4" w:rsidTr="0085600D">
        <w:trPr>
          <w:trHeight w:val="53"/>
          <w:jc w:val="center"/>
        </w:trPr>
        <w:tc>
          <w:tcPr>
            <w:tcW w:w="4142" w:type="dxa"/>
            <w:noWrap/>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Playas y vías de circulación de Hormigón Armado</w:t>
            </w:r>
          </w:p>
        </w:tc>
        <w:tc>
          <w:tcPr>
            <w:tcW w:w="109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2.083.670</w:t>
            </w:r>
          </w:p>
        </w:tc>
        <w:tc>
          <w:tcPr>
            <w:tcW w:w="113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10.418.352</w:t>
            </w:r>
          </w:p>
        </w:tc>
        <w:tc>
          <w:tcPr>
            <w:tcW w:w="113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0</w:t>
            </w:r>
          </w:p>
        </w:tc>
      </w:tr>
      <w:tr w:rsidR="00B37D8A" w:rsidRPr="004A3EA4" w:rsidTr="0085600D">
        <w:trPr>
          <w:trHeight w:val="53"/>
          <w:jc w:val="center"/>
        </w:trPr>
        <w:tc>
          <w:tcPr>
            <w:tcW w:w="4142" w:type="dxa"/>
            <w:noWrap/>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Depósitos</w:t>
            </w:r>
          </w:p>
        </w:tc>
        <w:tc>
          <w:tcPr>
            <w:tcW w:w="109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0</w:t>
            </w:r>
          </w:p>
        </w:tc>
        <w:tc>
          <w:tcPr>
            <w:tcW w:w="113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8.156.860</w:t>
            </w:r>
          </w:p>
        </w:tc>
        <w:tc>
          <w:tcPr>
            <w:tcW w:w="113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0</w:t>
            </w:r>
          </w:p>
        </w:tc>
      </w:tr>
      <w:tr w:rsidR="00B37D8A" w:rsidRPr="004A3EA4" w:rsidTr="0085600D">
        <w:trPr>
          <w:trHeight w:val="53"/>
          <w:jc w:val="center"/>
        </w:trPr>
        <w:tc>
          <w:tcPr>
            <w:tcW w:w="4142" w:type="dxa"/>
            <w:noWrap/>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Edificios</w:t>
            </w:r>
          </w:p>
        </w:tc>
        <w:tc>
          <w:tcPr>
            <w:tcW w:w="109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1.063.939</w:t>
            </w:r>
          </w:p>
        </w:tc>
        <w:tc>
          <w:tcPr>
            <w:tcW w:w="113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6.383.631</w:t>
            </w:r>
          </w:p>
        </w:tc>
        <w:tc>
          <w:tcPr>
            <w:tcW w:w="113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4.787.723</w:t>
            </w:r>
          </w:p>
        </w:tc>
      </w:tr>
      <w:tr w:rsidR="00B37D8A" w:rsidRPr="004A3EA4" w:rsidTr="0085600D">
        <w:trPr>
          <w:trHeight w:val="53"/>
          <w:jc w:val="center"/>
        </w:trPr>
        <w:tc>
          <w:tcPr>
            <w:tcW w:w="4142" w:type="dxa"/>
            <w:noWrap/>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Instalaciones</w:t>
            </w:r>
          </w:p>
        </w:tc>
        <w:tc>
          <w:tcPr>
            <w:tcW w:w="109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0</w:t>
            </w:r>
          </w:p>
        </w:tc>
        <w:tc>
          <w:tcPr>
            <w:tcW w:w="113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892.158</w:t>
            </w:r>
          </w:p>
        </w:tc>
        <w:tc>
          <w:tcPr>
            <w:tcW w:w="113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2.676.473</w:t>
            </w:r>
          </w:p>
        </w:tc>
      </w:tr>
      <w:tr w:rsidR="00B37D8A" w:rsidRPr="004A3EA4" w:rsidTr="0085600D">
        <w:trPr>
          <w:trHeight w:val="53"/>
          <w:jc w:val="center"/>
        </w:trPr>
        <w:tc>
          <w:tcPr>
            <w:tcW w:w="4142" w:type="dxa"/>
            <w:noWrap/>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Obras complementarias</w:t>
            </w:r>
          </w:p>
        </w:tc>
        <w:tc>
          <w:tcPr>
            <w:tcW w:w="109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0</w:t>
            </w:r>
          </w:p>
        </w:tc>
        <w:tc>
          <w:tcPr>
            <w:tcW w:w="113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0</w:t>
            </w:r>
          </w:p>
        </w:tc>
        <w:tc>
          <w:tcPr>
            <w:tcW w:w="113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2.878.351</w:t>
            </w:r>
          </w:p>
        </w:tc>
      </w:tr>
      <w:tr w:rsidR="00B37D8A" w:rsidRPr="004A3EA4" w:rsidTr="0085600D">
        <w:trPr>
          <w:trHeight w:val="53"/>
          <w:jc w:val="center"/>
        </w:trPr>
        <w:tc>
          <w:tcPr>
            <w:tcW w:w="4142" w:type="dxa"/>
            <w:noWrap/>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Rampas de verificación</w:t>
            </w:r>
          </w:p>
        </w:tc>
        <w:tc>
          <w:tcPr>
            <w:tcW w:w="109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0</w:t>
            </w:r>
          </w:p>
        </w:tc>
        <w:tc>
          <w:tcPr>
            <w:tcW w:w="113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0</w:t>
            </w:r>
          </w:p>
        </w:tc>
        <w:tc>
          <w:tcPr>
            <w:tcW w:w="113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1.864.689</w:t>
            </w:r>
          </w:p>
        </w:tc>
      </w:tr>
      <w:tr w:rsidR="00B37D8A" w:rsidRPr="004A3EA4" w:rsidTr="0085600D">
        <w:trPr>
          <w:trHeight w:val="53"/>
          <w:jc w:val="center"/>
        </w:trPr>
        <w:tc>
          <w:tcPr>
            <w:tcW w:w="4142" w:type="dxa"/>
            <w:noWrap/>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Costos de puesta en marcha</w:t>
            </w:r>
          </w:p>
        </w:tc>
        <w:tc>
          <w:tcPr>
            <w:tcW w:w="109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0</w:t>
            </w:r>
          </w:p>
        </w:tc>
        <w:tc>
          <w:tcPr>
            <w:tcW w:w="113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0</w:t>
            </w:r>
          </w:p>
        </w:tc>
        <w:tc>
          <w:tcPr>
            <w:tcW w:w="113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764.707</w:t>
            </w:r>
          </w:p>
        </w:tc>
      </w:tr>
      <w:tr w:rsidR="00B37D8A" w:rsidRPr="004A3EA4" w:rsidTr="0085600D">
        <w:trPr>
          <w:trHeight w:val="53"/>
          <w:jc w:val="center"/>
        </w:trPr>
        <w:tc>
          <w:tcPr>
            <w:tcW w:w="4142" w:type="dxa"/>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Dirección Técnica y Control</w:t>
            </w:r>
          </w:p>
        </w:tc>
        <w:tc>
          <w:tcPr>
            <w:tcW w:w="109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270.000</w:t>
            </w:r>
          </w:p>
        </w:tc>
        <w:tc>
          <w:tcPr>
            <w:tcW w:w="113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648.000</w:t>
            </w:r>
          </w:p>
        </w:tc>
        <w:tc>
          <w:tcPr>
            <w:tcW w:w="113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486.000</w:t>
            </w:r>
          </w:p>
        </w:tc>
      </w:tr>
      <w:tr w:rsidR="00B37D8A" w:rsidRPr="004A3EA4" w:rsidTr="0085600D">
        <w:trPr>
          <w:trHeight w:val="53"/>
          <w:jc w:val="center"/>
        </w:trPr>
        <w:tc>
          <w:tcPr>
            <w:tcW w:w="4142" w:type="dxa"/>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Seminario de Sensibilización</w:t>
            </w:r>
          </w:p>
        </w:tc>
        <w:tc>
          <w:tcPr>
            <w:tcW w:w="109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156.000</w:t>
            </w:r>
          </w:p>
        </w:tc>
        <w:tc>
          <w:tcPr>
            <w:tcW w:w="113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0</w:t>
            </w:r>
          </w:p>
        </w:tc>
        <w:tc>
          <w:tcPr>
            <w:tcW w:w="113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0</w:t>
            </w:r>
          </w:p>
        </w:tc>
      </w:tr>
      <w:tr w:rsidR="00B37D8A" w:rsidRPr="004A3EA4" w:rsidTr="0085600D">
        <w:trPr>
          <w:trHeight w:val="53"/>
          <w:jc w:val="center"/>
        </w:trPr>
        <w:tc>
          <w:tcPr>
            <w:tcW w:w="4142" w:type="dxa"/>
            <w:vAlign w:val="bottom"/>
          </w:tcPr>
          <w:p w:rsidR="00B37D8A" w:rsidRPr="004A3EA4" w:rsidRDefault="00B37D8A" w:rsidP="0085600D">
            <w:pPr>
              <w:spacing w:after="0" w:line="240" w:lineRule="auto"/>
              <w:rPr>
                <w:rFonts w:ascii="Arial" w:hAnsi="Arial" w:cs="Arial"/>
                <w:color w:val="000000"/>
                <w:sz w:val="18"/>
                <w:szCs w:val="18"/>
              </w:rPr>
            </w:pPr>
            <w:r w:rsidRPr="004A3EA4">
              <w:rPr>
                <w:rFonts w:ascii="Arial" w:hAnsi="Arial" w:cs="Arial"/>
                <w:color w:val="000000"/>
                <w:sz w:val="18"/>
                <w:szCs w:val="18"/>
              </w:rPr>
              <w:t>Estudio Factiilidad ZALO</w:t>
            </w:r>
          </w:p>
        </w:tc>
        <w:tc>
          <w:tcPr>
            <w:tcW w:w="109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0</w:t>
            </w:r>
          </w:p>
        </w:tc>
        <w:tc>
          <w:tcPr>
            <w:tcW w:w="113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780.000</w:t>
            </w:r>
          </w:p>
        </w:tc>
        <w:tc>
          <w:tcPr>
            <w:tcW w:w="1134" w:type="dxa"/>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0</w:t>
            </w:r>
          </w:p>
        </w:tc>
      </w:tr>
      <w:tr w:rsidR="00B37D8A" w:rsidRPr="004A3EA4" w:rsidTr="0085600D">
        <w:trPr>
          <w:trHeight w:val="53"/>
          <w:jc w:val="center"/>
        </w:trPr>
        <w:tc>
          <w:tcPr>
            <w:tcW w:w="4142" w:type="dxa"/>
            <w:shd w:val="clear" w:color="auto" w:fill="D9D9D9"/>
            <w:noWrap/>
            <w:vAlign w:val="bottom"/>
          </w:tcPr>
          <w:p w:rsidR="00B37D8A" w:rsidRPr="004A3EA4" w:rsidRDefault="00B37D8A" w:rsidP="0085600D">
            <w:pPr>
              <w:spacing w:after="0" w:line="240" w:lineRule="auto"/>
              <w:rPr>
                <w:rFonts w:ascii="Arial" w:hAnsi="Arial" w:cs="Arial"/>
                <w:sz w:val="18"/>
                <w:szCs w:val="18"/>
              </w:rPr>
            </w:pPr>
            <w:r w:rsidRPr="004A3EA4">
              <w:rPr>
                <w:rFonts w:ascii="Arial" w:hAnsi="Arial" w:cs="Arial"/>
                <w:bCs/>
                <w:color w:val="000000"/>
                <w:sz w:val="18"/>
                <w:szCs w:val="18"/>
              </w:rPr>
              <w:t>TOTAL</w:t>
            </w:r>
          </w:p>
        </w:tc>
        <w:tc>
          <w:tcPr>
            <w:tcW w:w="1094" w:type="dxa"/>
            <w:shd w:val="clear" w:color="auto" w:fill="D9D9D9"/>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8.143.052</w:t>
            </w:r>
          </w:p>
        </w:tc>
        <w:tc>
          <w:tcPr>
            <w:tcW w:w="1134" w:type="dxa"/>
            <w:shd w:val="clear" w:color="auto" w:fill="D9D9D9"/>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27.279.001</w:t>
            </w:r>
          </w:p>
        </w:tc>
        <w:tc>
          <w:tcPr>
            <w:tcW w:w="1134" w:type="dxa"/>
            <w:shd w:val="clear" w:color="auto" w:fill="D9D9D9"/>
            <w:noWrap/>
            <w:vAlign w:val="center"/>
          </w:tcPr>
          <w:p w:rsidR="00B37D8A" w:rsidRPr="004A3EA4" w:rsidRDefault="00B37D8A" w:rsidP="0085600D">
            <w:pPr>
              <w:spacing w:after="0" w:line="240" w:lineRule="auto"/>
              <w:jc w:val="center"/>
              <w:rPr>
                <w:rFonts w:ascii="Arial" w:hAnsi="Arial" w:cs="Arial"/>
                <w:sz w:val="18"/>
                <w:szCs w:val="18"/>
              </w:rPr>
            </w:pPr>
            <w:r w:rsidRPr="004A3EA4">
              <w:rPr>
                <w:rFonts w:ascii="Arial" w:hAnsi="Arial" w:cs="Arial"/>
                <w:sz w:val="18"/>
                <w:szCs w:val="18"/>
              </w:rPr>
              <w:t>13.457.942</w:t>
            </w:r>
          </w:p>
        </w:tc>
      </w:tr>
    </w:tbl>
    <w:p w:rsidR="00B37D8A" w:rsidRDefault="00B37D8A" w:rsidP="00E40ABE">
      <w:pPr>
        <w:spacing w:before="240"/>
        <w:jc w:val="both"/>
        <w:rPr>
          <w:rFonts w:ascii="Times New Roman" w:hAnsi="Times New Roman"/>
          <w:sz w:val="24"/>
        </w:rPr>
      </w:pPr>
      <w:r w:rsidRPr="0012069A">
        <w:rPr>
          <w:rFonts w:ascii="Times New Roman" w:hAnsi="Times New Roman"/>
          <w:sz w:val="24"/>
        </w:rPr>
        <w:t>Por último, se asigna un valor residual de obra del 50% (ARS 24.439.997) al cabo de los 20 años considerados del proyecto.</w:t>
      </w:r>
    </w:p>
    <w:p w:rsidR="00B37D8A" w:rsidRPr="00C27268" w:rsidRDefault="00BA0C26" w:rsidP="00795D5F">
      <w:pPr>
        <w:pStyle w:val="Heading2"/>
        <w:spacing w:after="240"/>
        <w:rPr>
          <w:rFonts w:ascii="Times New Roman" w:hAnsi="Times New Roman"/>
          <w:lang w:val="es-ES_tradnl"/>
        </w:rPr>
      </w:pPr>
      <w:bookmarkStart w:id="29" w:name="_Toc362804612"/>
      <w:r>
        <w:rPr>
          <w:rFonts w:ascii="Times New Roman" w:hAnsi="Times New Roman"/>
          <w:lang w:val="es-ES_tradnl"/>
        </w:rPr>
        <w:t>Parámetros y s</w:t>
      </w:r>
      <w:r w:rsidR="00B37D8A" w:rsidRPr="00C27268">
        <w:rPr>
          <w:rFonts w:ascii="Times New Roman" w:hAnsi="Times New Roman"/>
          <w:lang w:val="es-ES_tradnl"/>
        </w:rPr>
        <w:t>upuestos del análisis</w:t>
      </w:r>
      <w:bookmarkEnd w:id="29"/>
    </w:p>
    <w:p w:rsidR="00B37D8A" w:rsidRDefault="00B37D8A" w:rsidP="00E40ABE">
      <w:pPr>
        <w:numPr>
          <w:ilvl w:val="0"/>
          <w:numId w:val="11"/>
        </w:numPr>
        <w:tabs>
          <w:tab w:val="right" w:pos="851"/>
        </w:tabs>
        <w:spacing w:after="0"/>
        <w:ind w:left="851" w:hanging="491"/>
        <w:jc w:val="both"/>
        <w:rPr>
          <w:rFonts w:ascii="Times New Roman" w:hAnsi="Times New Roman"/>
          <w:sz w:val="24"/>
        </w:rPr>
      </w:pPr>
      <w:r>
        <w:rPr>
          <w:rFonts w:ascii="Times New Roman" w:hAnsi="Times New Roman"/>
          <w:sz w:val="24"/>
        </w:rPr>
        <w:t xml:space="preserve">La </w:t>
      </w:r>
      <w:r w:rsidRPr="00EC20F9">
        <w:rPr>
          <w:rFonts w:ascii="Times New Roman" w:hAnsi="Times New Roman"/>
          <w:sz w:val="24"/>
          <w:lang w:val="es-ES"/>
        </w:rPr>
        <w:t xml:space="preserve">Nueva Zona Primaria Aduanera </w:t>
      </w:r>
      <w:r w:rsidR="00BA0C26">
        <w:rPr>
          <w:rFonts w:ascii="Times New Roman" w:hAnsi="Times New Roman"/>
          <w:sz w:val="24"/>
        </w:rPr>
        <w:t xml:space="preserve">tardará </w:t>
      </w:r>
      <w:r>
        <w:rPr>
          <w:rFonts w:ascii="Times New Roman" w:hAnsi="Times New Roman"/>
          <w:sz w:val="24"/>
        </w:rPr>
        <w:t>tres años</w:t>
      </w:r>
      <w:r w:rsidR="00BA0C26">
        <w:rPr>
          <w:rFonts w:ascii="Times New Roman" w:hAnsi="Times New Roman"/>
          <w:sz w:val="24"/>
        </w:rPr>
        <w:t xml:space="preserve"> en concluirse</w:t>
      </w:r>
      <w:r>
        <w:rPr>
          <w:rFonts w:ascii="Times New Roman" w:hAnsi="Times New Roman"/>
          <w:sz w:val="24"/>
        </w:rPr>
        <w:t>, período en el cual se contabilizan costos</w:t>
      </w:r>
      <w:r w:rsidR="00BA0C26">
        <w:rPr>
          <w:rFonts w:ascii="Times New Roman" w:hAnsi="Times New Roman"/>
          <w:sz w:val="24"/>
        </w:rPr>
        <w:t>. L</w:t>
      </w:r>
      <w:r>
        <w:rPr>
          <w:rFonts w:ascii="Times New Roman" w:hAnsi="Times New Roman"/>
          <w:sz w:val="24"/>
        </w:rPr>
        <w:t>os beneficios se registran a partir del cuarto año</w:t>
      </w:r>
      <w:r w:rsidR="00BA0C26">
        <w:rPr>
          <w:rFonts w:ascii="Times New Roman" w:hAnsi="Times New Roman"/>
          <w:sz w:val="24"/>
        </w:rPr>
        <w:t>,</w:t>
      </w:r>
      <w:r>
        <w:rPr>
          <w:rFonts w:ascii="Times New Roman" w:hAnsi="Times New Roman"/>
          <w:sz w:val="24"/>
        </w:rPr>
        <w:t xml:space="preserve"> hasta el </w:t>
      </w:r>
      <w:r w:rsidR="00BA0C26">
        <w:rPr>
          <w:rFonts w:ascii="Times New Roman" w:hAnsi="Times New Roman"/>
          <w:sz w:val="24"/>
        </w:rPr>
        <w:t xml:space="preserve">año </w:t>
      </w:r>
      <w:r>
        <w:rPr>
          <w:rFonts w:ascii="Times New Roman" w:hAnsi="Times New Roman"/>
          <w:sz w:val="24"/>
        </w:rPr>
        <w:t>20.</w:t>
      </w:r>
    </w:p>
    <w:p w:rsidR="00B37D8A" w:rsidRPr="00EE7B0C" w:rsidRDefault="00B37D8A" w:rsidP="00E40ABE">
      <w:pPr>
        <w:numPr>
          <w:ilvl w:val="0"/>
          <w:numId w:val="11"/>
        </w:numPr>
        <w:tabs>
          <w:tab w:val="right" w:pos="851"/>
        </w:tabs>
        <w:spacing w:after="0"/>
        <w:ind w:left="851" w:hanging="491"/>
        <w:jc w:val="both"/>
        <w:rPr>
          <w:rFonts w:ascii="Times New Roman" w:hAnsi="Times New Roman"/>
          <w:sz w:val="24"/>
        </w:rPr>
      </w:pPr>
      <w:r w:rsidRPr="00EF6CDE">
        <w:rPr>
          <w:rFonts w:ascii="Times New Roman" w:hAnsi="Times New Roman"/>
          <w:sz w:val="24"/>
        </w:rPr>
        <w:t xml:space="preserve">Se toman valores de </w:t>
      </w:r>
      <w:r>
        <w:rPr>
          <w:rFonts w:ascii="Times New Roman" w:hAnsi="Times New Roman"/>
          <w:sz w:val="24"/>
        </w:rPr>
        <w:t xml:space="preserve">PBG del año </w:t>
      </w:r>
      <w:r w:rsidRPr="00EF6CDE">
        <w:rPr>
          <w:rFonts w:ascii="Times New Roman" w:hAnsi="Times New Roman"/>
          <w:sz w:val="24"/>
        </w:rPr>
        <w:t xml:space="preserve">2011 </w:t>
      </w:r>
      <w:r>
        <w:rPr>
          <w:rFonts w:ascii="Times New Roman" w:hAnsi="Times New Roman"/>
          <w:sz w:val="24"/>
        </w:rPr>
        <w:t xml:space="preserve">(último año calculado por la provincia de Mendoza) </w:t>
      </w:r>
      <w:r w:rsidRPr="00EF6CDE">
        <w:rPr>
          <w:rFonts w:ascii="Times New Roman" w:hAnsi="Times New Roman"/>
          <w:sz w:val="24"/>
        </w:rPr>
        <w:t>como</w:t>
      </w:r>
      <w:r>
        <w:rPr>
          <w:rFonts w:ascii="Times New Roman" w:hAnsi="Times New Roman"/>
          <w:sz w:val="24"/>
        </w:rPr>
        <w:t xml:space="preserve"> el punto</w:t>
      </w:r>
      <w:r w:rsidRPr="00EF6CDE">
        <w:rPr>
          <w:rFonts w:ascii="Times New Roman" w:hAnsi="Times New Roman"/>
          <w:sz w:val="24"/>
        </w:rPr>
        <w:t xml:space="preserve"> de partida </w:t>
      </w:r>
      <w:r>
        <w:rPr>
          <w:rFonts w:ascii="Times New Roman" w:hAnsi="Times New Roman"/>
          <w:sz w:val="24"/>
        </w:rPr>
        <w:t>para las estimaciones.</w:t>
      </w:r>
    </w:p>
    <w:p w:rsidR="00B37D8A" w:rsidRPr="007F1B27" w:rsidRDefault="00BA0C26" w:rsidP="002E41DE">
      <w:pPr>
        <w:numPr>
          <w:ilvl w:val="0"/>
          <w:numId w:val="11"/>
        </w:numPr>
        <w:tabs>
          <w:tab w:val="right" w:pos="851"/>
        </w:tabs>
        <w:spacing w:after="0"/>
        <w:ind w:left="851" w:hanging="491"/>
        <w:jc w:val="both"/>
        <w:rPr>
          <w:rFonts w:ascii="Times New Roman" w:hAnsi="Times New Roman"/>
          <w:sz w:val="24"/>
        </w:rPr>
      </w:pPr>
      <w:r>
        <w:rPr>
          <w:rFonts w:ascii="Times New Roman" w:hAnsi="Times New Roman"/>
          <w:sz w:val="24"/>
        </w:rPr>
        <w:t>E</w:t>
      </w:r>
      <w:r w:rsidRPr="007F1B27">
        <w:rPr>
          <w:rFonts w:ascii="Times New Roman" w:hAnsi="Times New Roman"/>
          <w:sz w:val="24"/>
        </w:rPr>
        <w:t>l tráfico de camiones hacia la ZPA pasa de 48.808 en 2013 a 91.062 en el último año del proyecto.</w:t>
      </w:r>
      <w:r>
        <w:rPr>
          <w:rFonts w:ascii="Times New Roman" w:hAnsi="Times New Roman"/>
          <w:sz w:val="24"/>
        </w:rPr>
        <w:t xml:space="preserve"> Este incremento se estimó en base a datos proporcionados por </w:t>
      </w:r>
      <w:r w:rsidR="00B37D8A" w:rsidRPr="007F1B27">
        <w:rPr>
          <w:rFonts w:ascii="Times New Roman" w:hAnsi="Times New Roman"/>
          <w:sz w:val="24"/>
        </w:rPr>
        <w:t xml:space="preserve">AIC (2013), </w:t>
      </w:r>
      <w:r>
        <w:rPr>
          <w:rFonts w:ascii="Times New Roman" w:hAnsi="Times New Roman"/>
          <w:sz w:val="24"/>
        </w:rPr>
        <w:t xml:space="preserve">según el cual </w:t>
      </w:r>
      <w:r w:rsidR="00B37D8A" w:rsidRPr="007F1B27">
        <w:rPr>
          <w:rFonts w:ascii="Times New Roman" w:hAnsi="Times New Roman"/>
          <w:sz w:val="24"/>
        </w:rPr>
        <w:t xml:space="preserve">el tráfico de camiones hacia la ZPA </w:t>
      </w:r>
      <w:r w:rsidRPr="007F1B27">
        <w:rPr>
          <w:rFonts w:ascii="Times New Roman" w:hAnsi="Times New Roman"/>
          <w:sz w:val="24"/>
        </w:rPr>
        <w:t>crece</w:t>
      </w:r>
      <w:r>
        <w:rPr>
          <w:rFonts w:ascii="Times New Roman" w:hAnsi="Times New Roman"/>
          <w:sz w:val="24"/>
        </w:rPr>
        <w:t>rá</w:t>
      </w:r>
      <w:r w:rsidRPr="007F1B27">
        <w:rPr>
          <w:rFonts w:ascii="Times New Roman" w:hAnsi="Times New Roman"/>
          <w:sz w:val="24"/>
        </w:rPr>
        <w:t xml:space="preserve"> a una tasa anual de 4,38% entre 2013 y 2023</w:t>
      </w:r>
      <w:r>
        <w:rPr>
          <w:rFonts w:ascii="Times New Roman" w:hAnsi="Times New Roman"/>
          <w:sz w:val="24"/>
        </w:rPr>
        <w:t xml:space="preserve"> partiendo de </w:t>
      </w:r>
      <w:r w:rsidR="00B37D8A" w:rsidRPr="007F1B27">
        <w:rPr>
          <w:rFonts w:ascii="Times New Roman" w:hAnsi="Times New Roman"/>
          <w:sz w:val="24"/>
        </w:rPr>
        <w:t xml:space="preserve">48.808 </w:t>
      </w:r>
      <w:r w:rsidRPr="007F1B27">
        <w:rPr>
          <w:rFonts w:ascii="Times New Roman" w:hAnsi="Times New Roman"/>
          <w:sz w:val="24"/>
        </w:rPr>
        <w:t>en 2013</w:t>
      </w:r>
      <w:r>
        <w:rPr>
          <w:rFonts w:ascii="Times New Roman" w:hAnsi="Times New Roman"/>
          <w:sz w:val="24"/>
        </w:rPr>
        <w:t>,</w:t>
      </w:r>
      <w:r w:rsidR="00B37D8A" w:rsidRPr="007F1B27">
        <w:rPr>
          <w:rFonts w:ascii="Times New Roman" w:hAnsi="Times New Roman"/>
          <w:sz w:val="24"/>
        </w:rPr>
        <w:t xml:space="preserve"> </w:t>
      </w:r>
      <w:r w:rsidR="00B37D8A">
        <w:rPr>
          <w:rFonts w:ascii="Times New Roman" w:hAnsi="Times New Roman"/>
          <w:sz w:val="24"/>
        </w:rPr>
        <w:t>mientras que</w:t>
      </w:r>
      <w:r w:rsidR="00B37D8A" w:rsidRPr="007F1B27">
        <w:rPr>
          <w:rFonts w:ascii="Times New Roman" w:hAnsi="Times New Roman"/>
          <w:sz w:val="24"/>
        </w:rPr>
        <w:t xml:space="preserve"> entre 2024 y 2032 </w:t>
      </w:r>
      <w:r>
        <w:rPr>
          <w:rFonts w:ascii="Times New Roman" w:hAnsi="Times New Roman"/>
          <w:sz w:val="24"/>
        </w:rPr>
        <w:t xml:space="preserve">aumentará </w:t>
      </w:r>
      <w:r w:rsidR="00B37D8A" w:rsidRPr="007F1B27">
        <w:rPr>
          <w:rFonts w:ascii="Times New Roman" w:hAnsi="Times New Roman"/>
          <w:sz w:val="24"/>
        </w:rPr>
        <w:t xml:space="preserve">a una tasa de 2,19% al año. </w:t>
      </w:r>
    </w:p>
    <w:p w:rsidR="00B37D8A" w:rsidRDefault="00B37D8A" w:rsidP="002E41DE">
      <w:pPr>
        <w:numPr>
          <w:ilvl w:val="0"/>
          <w:numId w:val="11"/>
        </w:numPr>
        <w:tabs>
          <w:tab w:val="right" w:pos="851"/>
        </w:tabs>
        <w:spacing w:after="0"/>
        <w:ind w:left="851" w:hanging="491"/>
        <w:jc w:val="both"/>
        <w:rPr>
          <w:rFonts w:ascii="Times New Roman" w:hAnsi="Times New Roman"/>
          <w:sz w:val="24"/>
        </w:rPr>
      </w:pPr>
      <w:r>
        <w:rPr>
          <w:rFonts w:ascii="Times New Roman" w:hAnsi="Times New Roman"/>
          <w:sz w:val="24"/>
        </w:rPr>
        <w:lastRenderedPageBreak/>
        <w:t>En el análisis de mejora en la calidad de vida, el radio de incidencia es de 35 kilómetros a la redonda desde la ubicación actual del puerto seco.</w:t>
      </w:r>
      <w:r w:rsidR="00BA0C26">
        <w:rPr>
          <w:rFonts w:ascii="Times New Roman" w:hAnsi="Times New Roman"/>
          <w:sz w:val="24"/>
        </w:rPr>
        <w:t xml:space="preserve"> No tenemos certeza con respecto a esta variable así es que la modificamos en  el análisis de sensibilidad.</w:t>
      </w:r>
    </w:p>
    <w:p w:rsidR="00B37D8A" w:rsidRDefault="00B37D8A" w:rsidP="002E41DE">
      <w:pPr>
        <w:numPr>
          <w:ilvl w:val="0"/>
          <w:numId w:val="11"/>
        </w:numPr>
        <w:tabs>
          <w:tab w:val="right" w:pos="851"/>
        </w:tabs>
        <w:spacing w:after="0"/>
        <w:ind w:left="851" w:hanging="491"/>
        <w:jc w:val="both"/>
        <w:rPr>
          <w:rFonts w:ascii="Times New Roman" w:hAnsi="Times New Roman"/>
          <w:sz w:val="24"/>
        </w:rPr>
      </w:pPr>
      <w:r>
        <w:rPr>
          <w:rFonts w:ascii="Times New Roman" w:hAnsi="Times New Roman"/>
          <w:sz w:val="24"/>
        </w:rPr>
        <w:t xml:space="preserve">Los costos vinculados al efecto nocivo del tránsito de camiones en la salud se reducirán con el traslado de la ZPA en un 70%, mientras que el efecto invernadero y la ocurrencia de accidentes, lo harán en un 50%. Dichos valores surgen de los resultados del </w:t>
      </w:r>
      <w:r w:rsidRPr="00087D5E">
        <w:rPr>
          <w:rFonts w:ascii="Times New Roman" w:hAnsi="Times New Roman"/>
          <w:i/>
          <w:sz w:val="24"/>
        </w:rPr>
        <w:t>software</w:t>
      </w:r>
      <w:r>
        <w:rPr>
          <w:rFonts w:ascii="Times New Roman" w:hAnsi="Times New Roman"/>
          <w:sz w:val="24"/>
        </w:rPr>
        <w:t xml:space="preserve"> HDM-4 utilizado en el cálculo de los costos de la congestión vehicular.</w:t>
      </w:r>
    </w:p>
    <w:p w:rsidR="000310E5" w:rsidRDefault="00BA0C26" w:rsidP="000310E5">
      <w:pPr>
        <w:numPr>
          <w:ilvl w:val="0"/>
          <w:numId w:val="11"/>
        </w:numPr>
        <w:tabs>
          <w:tab w:val="right" w:pos="851"/>
        </w:tabs>
        <w:spacing w:after="0"/>
        <w:ind w:left="851" w:hanging="491"/>
        <w:jc w:val="both"/>
        <w:rPr>
          <w:rFonts w:ascii="Times New Roman" w:hAnsi="Times New Roman"/>
          <w:sz w:val="24"/>
        </w:rPr>
      </w:pPr>
      <w:r>
        <w:rPr>
          <w:rFonts w:ascii="Times New Roman" w:hAnsi="Times New Roman"/>
          <w:sz w:val="24"/>
        </w:rPr>
        <w:t xml:space="preserve">La participación del sector logística en el PBG asciende a 0,54%, lo cual representa ARS 324.570.327, considerando </w:t>
      </w:r>
      <w:r w:rsidRPr="00D8165A">
        <w:rPr>
          <w:rFonts w:ascii="Times New Roman" w:hAnsi="Times New Roman"/>
          <w:sz w:val="24"/>
        </w:rPr>
        <w:t xml:space="preserve">el valor de PBG </w:t>
      </w:r>
      <w:r>
        <w:rPr>
          <w:rFonts w:ascii="Times New Roman" w:hAnsi="Times New Roman"/>
          <w:sz w:val="24"/>
        </w:rPr>
        <w:t>de</w:t>
      </w:r>
      <w:r w:rsidRPr="00D8165A">
        <w:rPr>
          <w:rFonts w:ascii="Times New Roman" w:hAnsi="Times New Roman"/>
          <w:sz w:val="24"/>
        </w:rPr>
        <w:t xml:space="preserve"> 2011</w:t>
      </w:r>
      <w:r>
        <w:rPr>
          <w:rFonts w:ascii="Times New Roman" w:hAnsi="Times New Roman"/>
          <w:sz w:val="24"/>
        </w:rPr>
        <w:t>.Esta estimación está basada en datos del  IDITS (2012).</w:t>
      </w:r>
    </w:p>
    <w:p w:rsidR="00B37D8A" w:rsidRPr="000310E5" w:rsidRDefault="00B94F4F" w:rsidP="000310E5">
      <w:pPr>
        <w:numPr>
          <w:ilvl w:val="0"/>
          <w:numId w:val="11"/>
        </w:numPr>
        <w:tabs>
          <w:tab w:val="right" w:pos="851"/>
        </w:tabs>
        <w:spacing w:after="0"/>
        <w:ind w:left="851" w:hanging="491"/>
        <w:jc w:val="both"/>
        <w:rPr>
          <w:rFonts w:ascii="Times New Roman" w:hAnsi="Times New Roman"/>
          <w:sz w:val="24"/>
        </w:rPr>
      </w:pPr>
      <w:r w:rsidRPr="000310E5">
        <w:rPr>
          <w:rFonts w:ascii="Times New Roman" w:hAnsi="Times New Roman"/>
          <w:sz w:val="24"/>
        </w:rPr>
        <w:t>El traslado del puerto seco fomentará un incremento en el sector logística y en la participación del sector logística en el PBG de 4% (pasando de ARS 32.457.032.671 a 33.755.313.978 durante el período analizado). Si el PBG se incrementa un 0,02% durante el período considerado, ello implicaría que el sector logística pase de explicar 0,54% del PBG en Mendoza (IDITS, 2012) a explicar 0,57%. Esta es una estimación conservadora si se tiene en cuenta que según la matriz de resultados la nueva infraestructura y servicios del puerto seco fomentarán una ampliación en la actividad atraída de tal magnitud que permitirá un incremento en los capítulos atraídos de 58 a 83.</w:t>
      </w:r>
      <w:r w:rsidR="0079480C" w:rsidRPr="000310E5">
        <w:rPr>
          <w:rFonts w:ascii="Times New Roman" w:hAnsi="Times New Roman"/>
          <w:sz w:val="24"/>
        </w:rPr>
        <w:t xml:space="preserve">El nuevo </w:t>
      </w:r>
      <w:r w:rsidR="0079480C" w:rsidRPr="000310E5">
        <w:rPr>
          <w:rFonts w:ascii="Times New Roman" w:hAnsi="Times New Roman"/>
          <w:i/>
          <w:sz w:val="24"/>
        </w:rPr>
        <w:t>lay out</w:t>
      </w:r>
      <w:r w:rsidR="0079480C" w:rsidRPr="000310E5">
        <w:rPr>
          <w:rFonts w:ascii="Times New Roman" w:hAnsi="Times New Roman"/>
          <w:sz w:val="24"/>
        </w:rPr>
        <w:t xml:space="preserve"> propuesto para la ZPA permitirá reducir los tiempos de verificación en un 50% (AIC, 2013). </w:t>
      </w:r>
      <w:r w:rsidR="00B37D8A" w:rsidRPr="000310E5">
        <w:rPr>
          <w:rFonts w:ascii="Times New Roman" w:hAnsi="Times New Roman"/>
          <w:sz w:val="24"/>
        </w:rPr>
        <w:t>Según AIC (2013)</w:t>
      </w:r>
      <w:r w:rsidR="00241A8B" w:rsidRPr="000310E5">
        <w:rPr>
          <w:rFonts w:ascii="Times New Roman" w:hAnsi="Times New Roman"/>
          <w:sz w:val="24"/>
        </w:rPr>
        <w:t xml:space="preserve"> y los ejecutores del proyecto</w:t>
      </w:r>
      <w:r w:rsidR="00B37D8A" w:rsidRPr="000310E5">
        <w:rPr>
          <w:rFonts w:ascii="Times New Roman" w:hAnsi="Times New Roman"/>
          <w:sz w:val="24"/>
        </w:rPr>
        <w:t xml:space="preserve">, actualmente los camiones esperan en promedio en el puerto seco </w:t>
      </w:r>
      <w:r w:rsidR="00241A8B" w:rsidRPr="000310E5">
        <w:rPr>
          <w:rFonts w:ascii="Times New Roman" w:hAnsi="Times New Roman"/>
          <w:sz w:val="24"/>
        </w:rPr>
        <w:t>48</w:t>
      </w:r>
      <w:r w:rsidR="00B37D8A" w:rsidRPr="000310E5">
        <w:rPr>
          <w:rFonts w:ascii="Times New Roman" w:hAnsi="Times New Roman"/>
          <w:sz w:val="24"/>
        </w:rPr>
        <w:t xml:space="preserve"> horas, </w:t>
      </w:r>
      <w:r w:rsidR="0079480C" w:rsidRPr="000310E5">
        <w:rPr>
          <w:rFonts w:ascii="Times New Roman" w:hAnsi="Times New Roman"/>
          <w:sz w:val="24"/>
        </w:rPr>
        <w:t>y</w:t>
      </w:r>
      <w:r w:rsidR="00B37D8A" w:rsidRPr="000310E5">
        <w:rPr>
          <w:rFonts w:ascii="Times New Roman" w:hAnsi="Times New Roman"/>
          <w:sz w:val="24"/>
        </w:rPr>
        <w:t xml:space="preserve"> se espera </w:t>
      </w:r>
      <w:r w:rsidR="0079480C" w:rsidRPr="000310E5">
        <w:rPr>
          <w:rFonts w:ascii="Times New Roman" w:hAnsi="Times New Roman"/>
          <w:sz w:val="24"/>
        </w:rPr>
        <w:t xml:space="preserve">que este tiempo de espera </w:t>
      </w:r>
      <w:r w:rsidR="00B37D8A" w:rsidRPr="000310E5">
        <w:rPr>
          <w:rFonts w:ascii="Times New Roman" w:hAnsi="Times New Roman"/>
          <w:sz w:val="24"/>
        </w:rPr>
        <w:t>se reduzca</w:t>
      </w:r>
      <w:r w:rsidR="0079480C" w:rsidRPr="000310E5">
        <w:rPr>
          <w:rFonts w:ascii="Times New Roman" w:hAnsi="Times New Roman"/>
          <w:sz w:val="24"/>
        </w:rPr>
        <w:t xml:space="preserve"> </w:t>
      </w:r>
      <w:r w:rsidR="00B37D8A" w:rsidRPr="000310E5">
        <w:rPr>
          <w:rFonts w:ascii="Times New Roman" w:hAnsi="Times New Roman"/>
          <w:sz w:val="24"/>
        </w:rPr>
        <w:t xml:space="preserve">en una tasa de </w:t>
      </w:r>
      <w:r w:rsidR="00241A8B" w:rsidRPr="000310E5">
        <w:rPr>
          <w:rFonts w:ascii="Times New Roman" w:hAnsi="Times New Roman"/>
          <w:sz w:val="24"/>
        </w:rPr>
        <w:t>3</w:t>
      </w:r>
      <w:r w:rsidR="00B37D8A" w:rsidRPr="000310E5">
        <w:rPr>
          <w:rFonts w:ascii="Times New Roman" w:hAnsi="Times New Roman"/>
          <w:sz w:val="24"/>
        </w:rPr>
        <w:t>,</w:t>
      </w:r>
      <w:r w:rsidR="00241A8B" w:rsidRPr="000310E5">
        <w:rPr>
          <w:rFonts w:ascii="Times New Roman" w:hAnsi="Times New Roman"/>
          <w:sz w:val="24"/>
        </w:rPr>
        <w:t>4</w:t>
      </w:r>
      <w:r w:rsidR="00B37D8A" w:rsidRPr="000310E5">
        <w:rPr>
          <w:rFonts w:ascii="Times New Roman" w:hAnsi="Times New Roman"/>
          <w:sz w:val="24"/>
        </w:rPr>
        <w:t xml:space="preserve">% </w:t>
      </w:r>
      <w:r w:rsidR="00241A8B" w:rsidRPr="000310E5">
        <w:rPr>
          <w:rFonts w:ascii="Times New Roman" w:hAnsi="Times New Roman"/>
          <w:sz w:val="24"/>
        </w:rPr>
        <w:t>desde</w:t>
      </w:r>
      <w:r w:rsidR="00B37D8A" w:rsidRPr="000310E5">
        <w:rPr>
          <w:rFonts w:ascii="Times New Roman" w:hAnsi="Times New Roman"/>
          <w:sz w:val="24"/>
        </w:rPr>
        <w:t xml:space="preserve"> el año 2 hasta </w:t>
      </w:r>
      <w:r w:rsidR="0079480C" w:rsidRPr="000310E5">
        <w:rPr>
          <w:rFonts w:ascii="Times New Roman" w:hAnsi="Times New Roman"/>
          <w:sz w:val="24"/>
        </w:rPr>
        <w:t>el año 20</w:t>
      </w:r>
      <w:r w:rsidR="00241A8B" w:rsidRPr="000310E5">
        <w:rPr>
          <w:rFonts w:ascii="Times New Roman" w:hAnsi="Times New Roman"/>
          <w:sz w:val="24"/>
        </w:rPr>
        <w:t xml:space="preserve">, </w:t>
      </w:r>
      <w:r w:rsidR="00B37D8A" w:rsidRPr="000310E5">
        <w:rPr>
          <w:rFonts w:ascii="Times New Roman" w:hAnsi="Times New Roman"/>
          <w:sz w:val="24"/>
        </w:rPr>
        <w:t xml:space="preserve">llegando a </w:t>
      </w:r>
      <w:r w:rsidR="00241A8B" w:rsidRPr="000310E5">
        <w:rPr>
          <w:rFonts w:ascii="Times New Roman" w:hAnsi="Times New Roman"/>
          <w:sz w:val="24"/>
        </w:rPr>
        <w:t>24 horas  en 2032</w:t>
      </w:r>
      <w:r w:rsidR="00B37D8A" w:rsidRPr="000310E5">
        <w:rPr>
          <w:rFonts w:ascii="Times New Roman" w:hAnsi="Times New Roman"/>
          <w:sz w:val="24"/>
        </w:rPr>
        <w:t>.</w:t>
      </w:r>
      <w:r w:rsidR="003A3B74" w:rsidRPr="000310E5">
        <w:rPr>
          <w:rFonts w:ascii="Times New Roman" w:hAnsi="Times New Roman"/>
          <w:sz w:val="24"/>
        </w:rPr>
        <w:t xml:space="preserve"> </w:t>
      </w:r>
    </w:p>
    <w:p w:rsidR="00B37D8A" w:rsidRDefault="0079480C" w:rsidP="00E40ABE">
      <w:pPr>
        <w:numPr>
          <w:ilvl w:val="0"/>
          <w:numId w:val="11"/>
        </w:numPr>
        <w:tabs>
          <w:tab w:val="right" w:pos="851"/>
        </w:tabs>
        <w:spacing w:after="0"/>
        <w:ind w:left="851" w:hanging="491"/>
        <w:jc w:val="both"/>
        <w:rPr>
          <w:rFonts w:ascii="Times New Roman" w:hAnsi="Times New Roman"/>
          <w:sz w:val="24"/>
        </w:rPr>
      </w:pPr>
      <w:r>
        <w:rPr>
          <w:rFonts w:ascii="Times New Roman" w:hAnsi="Times New Roman"/>
          <w:sz w:val="24"/>
        </w:rPr>
        <w:t>El costo diario de espera de un vehículo de carga es de ARS 2.500, sin importar el tipo de mercadería s</w:t>
      </w:r>
      <w:r w:rsidR="00B37D8A">
        <w:rPr>
          <w:rFonts w:ascii="Times New Roman" w:hAnsi="Times New Roman"/>
          <w:sz w:val="24"/>
        </w:rPr>
        <w:t>egún datos suministrados por una empresa de transporte</w:t>
      </w:r>
      <w:r w:rsidR="008915C0" w:rsidRPr="0079480C">
        <w:rPr>
          <w:rStyle w:val="FootnoteReference"/>
          <w:rFonts w:ascii="Times New Roman" w:hAnsi="Times New Roman"/>
          <w:sz w:val="24"/>
          <w:vertAlign w:val="superscript"/>
        </w:rPr>
        <w:footnoteReference w:id="17"/>
      </w:r>
      <w:r w:rsidR="00B37D8A">
        <w:rPr>
          <w:rFonts w:ascii="Times New Roman" w:hAnsi="Times New Roman"/>
          <w:sz w:val="24"/>
        </w:rPr>
        <w:t xml:space="preserve"> que ope</w:t>
      </w:r>
      <w:r>
        <w:rPr>
          <w:rFonts w:ascii="Times New Roman" w:hAnsi="Times New Roman"/>
          <w:sz w:val="24"/>
        </w:rPr>
        <w:t>ra en el puerto seco mendocino.</w:t>
      </w:r>
    </w:p>
    <w:p w:rsidR="00B37D8A" w:rsidRDefault="00B37D8A" w:rsidP="00E40ABE">
      <w:pPr>
        <w:numPr>
          <w:ilvl w:val="0"/>
          <w:numId w:val="11"/>
        </w:numPr>
        <w:tabs>
          <w:tab w:val="right" w:pos="851"/>
        </w:tabs>
        <w:spacing w:after="0"/>
        <w:ind w:left="851" w:hanging="491"/>
        <w:jc w:val="both"/>
        <w:rPr>
          <w:rFonts w:ascii="Times New Roman" w:hAnsi="Times New Roman"/>
          <w:sz w:val="24"/>
        </w:rPr>
      </w:pPr>
      <w:r w:rsidRPr="002159F4">
        <w:rPr>
          <w:rFonts w:ascii="Times New Roman" w:hAnsi="Times New Roman"/>
          <w:sz w:val="24"/>
        </w:rPr>
        <w:t>El horizonte temporal de evaluación es de 20 años.</w:t>
      </w:r>
    </w:p>
    <w:p w:rsidR="00B37D8A" w:rsidRDefault="00B37D8A" w:rsidP="00E40ABE">
      <w:pPr>
        <w:numPr>
          <w:ilvl w:val="0"/>
          <w:numId w:val="11"/>
        </w:numPr>
        <w:tabs>
          <w:tab w:val="right" w:pos="851"/>
        </w:tabs>
        <w:ind w:left="851" w:hanging="491"/>
        <w:jc w:val="both"/>
        <w:rPr>
          <w:rFonts w:ascii="Times New Roman" w:hAnsi="Times New Roman"/>
          <w:sz w:val="24"/>
        </w:rPr>
      </w:pPr>
      <w:r w:rsidRPr="00EF6CDE">
        <w:rPr>
          <w:rFonts w:ascii="Times New Roman" w:hAnsi="Times New Roman"/>
          <w:sz w:val="24"/>
        </w:rPr>
        <w:t>El tipo de cambio es 5,2.</w:t>
      </w:r>
    </w:p>
    <w:p w:rsidR="00B37D8A" w:rsidRPr="00C27268" w:rsidRDefault="00B37D8A" w:rsidP="00795D5F">
      <w:pPr>
        <w:pStyle w:val="Heading2"/>
        <w:spacing w:after="240"/>
        <w:rPr>
          <w:rFonts w:ascii="Times New Roman" w:hAnsi="Times New Roman"/>
          <w:lang w:val="es-ES_tradnl"/>
        </w:rPr>
      </w:pPr>
      <w:bookmarkStart w:id="30" w:name="_Toc362804613"/>
      <w:r w:rsidRPr="00C27268">
        <w:rPr>
          <w:rFonts w:ascii="Times New Roman" w:hAnsi="Times New Roman"/>
          <w:lang w:val="es-ES_tradnl"/>
        </w:rPr>
        <w:t>Análisis y resultados</w:t>
      </w:r>
      <w:bookmarkEnd w:id="30"/>
    </w:p>
    <w:p w:rsidR="00B37D8A" w:rsidRPr="00F7553C" w:rsidRDefault="00B37D8A" w:rsidP="00E40ABE">
      <w:pPr>
        <w:spacing w:before="240"/>
        <w:jc w:val="both"/>
        <w:rPr>
          <w:rFonts w:ascii="Times New Roman" w:hAnsi="Times New Roman"/>
          <w:sz w:val="24"/>
        </w:rPr>
      </w:pPr>
      <w:r w:rsidRPr="00F7553C">
        <w:rPr>
          <w:rFonts w:ascii="Times New Roman" w:hAnsi="Times New Roman"/>
          <w:sz w:val="24"/>
        </w:rPr>
        <w:t>Sobre la base de las proyecciones realizadas con anterioridad, se efectúa una evaluación de factibilidad para un horizonte temporal de 20 años</w:t>
      </w:r>
      <w:r>
        <w:rPr>
          <w:rFonts w:ascii="Times New Roman" w:hAnsi="Times New Roman"/>
          <w:sz w:val="24"/>
        </w:rPr>
        <w:t xml:space="preserve"> (tabla 2 </w:t>
      </w:r>
      <w:r w:rsidRPr="008356B8">
        <w:rPr>
          <w:rFonts w:ascii="Times New Roman" w:hAnsi="Times New Roman"/>
          <w:sz w:val="24"/>
        </w:rPr>
        <w:t>en anexo 1</w:t>
      </w:r>
      <w:r>
        <w:rPr>
          <w:rFonts w:ascii="Times New Roman" w:hAnsi="Times New Roman"/>
          <w:sz w:val="24"/>
        </w:rPr>
        <w:t>)</w:t>
      </w:r>
      <w:r w:rsidRPr="00F7553C">
        <w:rPr>
          <w:rFonts w:ascii="Times New Roman" w:hAnsi="Times New Roman"/>
          <w:sz w:val="24"/>
        </w:rPr>
        <w:t>. Se ha considerado en el análisis los costos asociados a las obras de</w:t>
      </w:r>
      <w:r>
        <w:rPr>
          <w:rFonts w:ascii="Times New Roman" w:hAnsi="Times New Roman"/>
          <w:sz w:val="24"/>
        </w:rPr>
        <w:t xml:space="preserve"> la</w:t>
      </w:r>
      <w:r w:rsidRPr="00F7553C">
        <w:rPr>
          <w:rFonts w:ascii="Times New Roman" w:hAnsi="Times New Roman"/>
          <w:sz w:val="24"/>
        </w:rPr>
        <w:t xml:space="preserve"> </w:t>
      </w:r>
      <w:r w:rsidRPr="00EC20F9">
        <w:rPr>
          <w:rFonts w:ascii="Times New Roman" w:hAnsi="Times New Roman"/>
          <w:sz w:val="24"/>
          <w:lang w:val="es-ES"/>
        </w:rPr>
        <w:t>Nueva Zona Primaria Aduanera</w:t>
      </w:r>
      <w:r w:rsidRPr="00F7553C">
        <w:rPr>
          <w:rFonts w:ascii="Times New Roman" w:hAnsi="Times New Roman"/>
          <w:sz w:val="24"/>
        </w:rPr>
        <w:t>, y los beneficios generados por la mejora en la calidad de vida de la población residente en las zonas aledañas al actual emplazamiento del puerto</w:t>
      </w:r>
      <w:r>
        <w:rPr>
          <w:rFonts w:ascii="Times New Roman" w:hAnsi="Times New Roman"/>
          <w:sz w:val="24"/>
        </w:rPr>
        <w:t xml:space="preserve"> seco</w:t>
      </w:r>
      <w:r w:rsidRPr="00F7553C">
        <w:rPr>
          <w:rFonts w:ascii="Times New Roman" w:hAnsi="Times New Roman"/>
          <w:sz w:val="24"/>
        </w:rPr>
        <w:t xml:space="preserve">, </w:t>
      </w:r>
      <w:r>
        <w:rPr>
          <w:rFonts w:ascii="Times New Roman" w:hAnsi="Times New Roman"/>
          <w:sz w:val="24"/>
        </w:rPr>
        <w:t xml:space="preserve">y </w:t>
      </w:r>
      <w:r w:rsidRPr="00F7553C">
        <w:rPr>
          <w:rFonts w:ascii="Times New Roman" w:hAnsi="Times New Roman"/>
          <w:sz w:val="24"/>
        </w:rPr>
        <w:t>el crecimiento esperado del sector logística mendocino</w:t>
      </w:r>
      <w:r>
        <w:rPr>
          <w:rFonts w:ascii="Times New Roman" w:hAnsi="Times New Roman"/>
          <w:sz w:val="24"/>
        </w:rPr>
        <w:t>.</w:t>
      </w:r>
    </w:p>
    <w:p w:rsidR="00B37D8A" w:rsidRDefault="00B37D8A" w:rsidP="00E40ABE">
      <w:pPr>
        <w:spacing w:before="240"/>
        <w:jc w:val="both"/>
        <w:rPr>
          <w:rFonts w:ascii="Times New Roman" w:hAnsi="Times New Roman"/>
          <w:sz w:val="24"/>
        </w:rPr>
      </w:pPr>
      <w:r w:rsidRPr="00F7553C">
        <w:rPr>
          <w:rFonts w:ascii="Times New Roman" w:hAnsi="Times New Roman"/>
          <w:sz w:val="24"/>
        </w:rPr>
        <w:t xml:space="preserve">Bajo los supuestos considerados, el análisis mencionado arroja un VAN de ARS </w:t>
      </w:r>
      <w:r w:rsidR="006F76B3">
        <w:rPr>
          <w:rFonts w:ascii="Times New Roman" w:hAnsi="Times New Roman"/>
          <w:sz w:val="24"/>
        </w:rPr>
        <w:t xml:space="preserve">12.615.558 </w:t>
      </w:r>
      <w:r w:rsidR="002228B8">
        <w:rPr>
          <w:rFonts w:ascii="Times New Roman" w:hAnsi="Times New Roman"/>
          <w:sz w:val="24"/>
        </w:rPr>
        <w:t>(USD</w:t>
      </w:r>
      <w:r w:rsidR="002228B8" w:rsidRPr="002228B8">
        <w:rPr>
          <w:rFonts w:ascii="Times New Roman" w:hAnsi="Times New Roman"/>
          <w:sz w:val="24"/>
        </w:rPr>
        <w:t xml:space="preserve"> </w:t>
      </w:r>
      <w:r w:rsidR="006F76B3" w:rsidRPr="006F76B3">
        <w:rPr>
          <w:rFonts w:ascii="Times New Roman" w:hAnsi="Times New Roman"/>
          <w:sz w:val="24"/>
        </w:rPr>
        <w:t>2.426.069</w:t>
      </w:r>
      <w:r>
        <w:rPr>
          <w:rFonts w:ascii="Times New Roman" w:hAnsi="Times New Roman"/>
          <w:sz w:val="24"/>
        </w:rPr>
        <w:t xml:space="preserve">) </w:t>
      </w:r>
      <w:r w:rsidRPr="00F7553C">
        <w:rPr>
          <w:rFonts w:ascii="Times New Roman" w:hAnsi="Times New Roman"/>
          <w:sz w:val="24"/>
        </w:rPr>
        <w:t xml:space="preserve">y una TIR de </w:t>
      </w:r>
      <w:r>
        <w:rPr>
          <w:rFonts w:ascii="Times New Roman" w:hAnsi="Times New Roman"/>
          <w:sz w:val="24"/>
        </w:rPr>
        <w:t>1</w:t>
      </w:r>
      <w:r w:rsidR="006F76B3">
        <w:rPr>
          <w:rFonts w:ascii="Times New Roman" w:hAnsi="Times New Roman"/>
          <w:sz w:val="24"/>
        </w:rPr>
        <w:t>6</w:t>
      </w:r>
      <w:r>
        <w:rPr>
          <w:rFonts w:ascii="Times New Roman" w:hAnsi="Times New Roman"/>
          <w:sz w:val="24"/>
        </w:rPr>
        <w:t>,</w:t>
      </w:r>
      <w:r w:rsidR="006F76B3">
        <w:rPr>
          <w:rFonts w:ascii="Times New Roman" w:hAnsi="Times New Roman"/>
          <w:sz w:val="24"/>
        </w:rPr>
        <w:t>9</w:t>
      </w:r>
      <w:r w:rsidRPr="00F7553C">
        <w:rPr>
          <w:rFonts w:ascii="Times New Roman" w:hAnsi="Times New Roman"/>
          <w:sz w:val="24"/>
        </w:rPr>
        <w:t xml:space="preserve">%. Así, considerando que las proyecciones fueron realizadas de manera conservadora, con el fin no sobrestimar las bondades del proyecto, que no se detectaron períodos con </w:t>
      </w:r>
      <w:r w:rsidRPr="00F7553C">
        <w:rPr>
          <w:rFonts w:ascii="Times New Roman" w:hAnsi="Times New Roman"/>
          <w:sz w:val="24"/>
        </w:rPr>
        <w:lastRenderedPageBreak/>
        <w:t>flujos de fondos negativos, y que los costos a ser financiados por el proyecto son bajos y variables, se concluye que es sostenible en el tiempo.</w:t>
      </w:r>
    </w:p>
    <w:p w:rsidR="00B37D8A" w:rsidRPr="00C27268" w:rsidRDefault="00B37D8A" w:rsidP="00795D5F">
      <w:pPr>
        <w:pStyle w:val="Heading2"/>
        <w:spacing w:after="240"/>
        <w:rPr>
          <w:rFonts w:ascii="Times New Roman" w:hAnsi="Times New Roman"/>
          <w:lang w:val="es-ES_tradnl"/>
        </w:rPr>
      </w:pPr>
      <w:bookmarkStart w:id="31" w:name="_Toc362804614"/>
      <w:r w:rsidRPr="00C27268">
        <w:rPr>
          <w:rFonts w:ascii="Times New Roman" w:hAnsi="Times New Roman"/>
          <w:lang w:val="es-ES_tradnl"/>
        </w:rPr>
        <w:t>Análisis de sensibilidad</w:t>
      </w:r>
      <w:bookmarkEnd w:id="31"/>
    </w:p>
    <w:p w:rsidR="00B37D8A" w:rsidRDefault="00B37D8A" w:rsidP="00397A7B">
      <w:pPr>
        <w:jc w:val="both"/>
        <w:rPr>
          <w:rFonts w:ascii="Times New Roman" w:hAnsi="Times New Roman"/>
          <w:sz w:val="24"/>
        </w:rPr>
      </w:pPr>
      <w:r>
        <w:rPr>
          <w:rFonts w:ascii="Times New Roman" w:hAnsi="Times New Roman"/>
          <w:sz w:val="24"/>
        </w:rPr>
        <w:t>A los efectos de realizar el análisis de sensibilidad se identifican las variables relevantes y sus valores supuestos inicialmente, y se plantean dos escenarios posibles: uno optimista y otro pesimista. Las variables críticas sensibilizadas son:</w:t>
      </w:r>
    </w:p>
    <w:p w:rsidR="00B37D8A" w:rsidRDefault="00B37D8A" w:rsidP="001523E0">
      <w:pPr>
        <w:numPr>
          <w:ilvl w:val="0"/>
          <w:numId w:val="26"/>
        </w:numPr>
        <w:spacing w:after="0"/>
        <w:jc w:val="both"/>
        <w:rPr>
          <w:rFonts w:ascii="Times New Roman" w:hAnsi="Times New Roman"/>
          <w:sz w:val="24"/>
        </w:rPr>
      </w:pPr>
      <w:r>
        <w:rPr>
          <w:rFonts w:ascii="Times New Roman" w:hAnsi="Times New Roman"/>
          <w:sz w:val="24"/>
        </w:rPr>
        <w:t>El crecimiento en la cantidad de vehículos que circulan hacia la ZPA (supuesto iii).</w:t>
      </w:r>
    </w:p>
    <w:p w:rsidR="00B37D8A" w:rsidRDefault="00B37D8A" w:rsidP="001523E0">
      <w:pPr>
        <w:numPr>
          <w:ilvl w:val="0"/>
          <w:numId w:val="26"/>
        </w:numPr>
        <w:spacing w:after="0"/>
        <w:jc w:val="both"/>
        <w:rPr>
          <w:rFonts w:ascii="Times New Roman" w:hAnsi="Times New Roman"/>
          <w:sz w:val="24"/>
        </w:rPr>
      </w:pPr>
      <w:r>
        <w:rPr>
          <w:rFonts w:ascii="Times New Roman" w:hAnsi="Times New Roman"/>
          <w:sz w:val="24"/>
        </w:rPr>
        <w:t>El radio de influencia del actual emplazamiento de la ZPA (supuesto iv).</w:t>
      </w:r>
    </w:p>
    <w:p w:rsidR="00B37D8A" w:rsidRDefault="00B37D8A" w:rsidP="001523E0">
      <w:pPr>
        <w:numPr>
          <w:ilvl w:val="0"/>
          <w:numId w:val="26"/>
        </w:numPr>
        <w:spacing w:after="0"/>
        <w:jc w:val="both"/>
        <w:rPr>
          <w:rFonts w:ascii="Times New Roman" w:hAnsi="Times New Roman"/>
          <w:sz w:val="24"/>
        </w:rPr>
      </w:pPr>
      <w:r>
        <w:rPr>
          <w:rFonts w:ascii="Times New Roman" w:hAnsi="Times New Roman"/>
          <w:sz w:val="24"/>
        </w:rPr>
        <w:t>La proporción de reducción de costos debidos a la congestión vehicular, los cuales refieren al efecto invernadero, el impacto en la salud y la ocurrencia de accidentes (supuesto v).</w:t>
      </w:r>
    </w:p>
    <w:p w:rsidR="00B37D8A" w:rsidRDefault="00B37D8A" w:rsidP="001523E0">
      <w:pPr>
        <w:numPr>
          <w:ilvl w:val="0"/>
          <w:numId w:val="26"/>
        </w:numPr>
        <w:spacing w:after="0"/>
        <w:jc w:val="both"/>
        <w:rPr>
          <w:rFonts w:ascii="Times New Roman" w:hAnsi="Times New Roman"/>
          <w:sz w:val="24"/>
        </w:rPr>
      </w:pPr>
      <w:r>
        <w:rPr>
          <w:rFonts w:ascii="Times New Roman" w:hAnsi="Times New Roman"/>
          <w:sz w:val="24"/>
        </w:rPr>
        <w:t>El crecimiento de la participación del sector logística en el PBG (supuesto vii).</w:t>
      </w:r>
    </w:p>
    <w:p w:rsidR="00B37D8A" w:rsidRDefault="00B37D8A" w:rsidP="00F65612">
      <w:pPr>
        <w:numPr>
          <w:ilvl w:val="0"/>
          <w:numId w:val="26"/>
        </w:numPr>
        <w:jc w:val="both"/>
        <w:rPr>
          <w:rFonts w:ascii="Times New Roman" w:hAnsi="Times New Roman"/>
          <w:sz w:val="24"/>
        </w:rPr>
      </w:pPr>
      <w:r>
        <w:rPr>
          <w:rFonts w:ascii="Times New Roman" w:hAnsi="Times New Roman"/>
          <w:sz w:val="24"/>
        </w:rPr>
        <w:t>La reducción en el tiempo de espera de los camiones en el puerto seco (supuesto viii).</w:t>
      </w:r>
    </w:p>
    <w:p w:rsidR="00B37D8A" w:rsidRDefault="00B37D8A" w:rsidP="00F65612">
      <w:pPr>
        <w:jc w:val="both"/>
        <w:rPr>
          <w:rFonts w:ascii="Times New Roman" w:hAnsi="Times New Roman"/>
          <w:sz w:val="24"/>
        </w:rPr>
      </w:pPr>
      <w:r>
        <w:rPr>
          <w:rFonts w:ascii="Times New Roman" w:hAnsi="Times New Roman"/>
          <w:sz w:val="24"/>
        </w:rPr>
        <w:t>En la tabla a continuación se presentan las variables sensibilizadas y los cambios propuestos para el análisis</w:t>
      </w:r>
      <w:r w:rsidR="00E71ED2">
        <w:rPr>
          <w:rFonts w:ascii="Times New Roman" w:hAnsi="Times New Roman"/>
          <w:sz w:val="24"/>
        </w:rPr>
        <w:t xml:space="preserve"> (variación </w:t>
      </w:r>
      <w:r w:rsidR="002D712C">
        <w:rPr>
          <w:rFonts w:ascii="Times New Roman" w:hAnsi="Times New Roman"/>
          <w:sz w:val="24"/>
        </w:rPr>
        <w:t xml:space="preserve">positiva/negativa </w:t>
      </w:r>
      <w:r w:rsidR="00E71ED2">
        <w:rPr>
          <w:rFonts w:ascii="Times New Roman" w:hAnsi="Times New Roman"/>
          <w:sz w:val="24"/>
        </w:rPr>
        <w:t>de 25%)</w:t>
      </w:r>
      <w:r>
        <w:rPr>
          <w:rFonts w:ascii="Times New Roman" w:hAnsi="Times New Roman"/>
          <w:sz w:val="24"/>
        </w:rPr>
        <w:t xml:space="preserve">, junto </w:t>
      </w:r>
      <w:r w:rsidR="00327834">
        <w:rPr>
          <w:rFonts w:ascii="Times New Roman" w:hAnsi="Times New Roman"/>
          <w:sz w:val="24"/>
        </w:rPr>
        <w:t>con</w:t>
      </w:r>
      <w:r>
        <w:rPr>
          <w:rFonts w:ascii="Times New Roman" w:hAnsi="Times New Roman"/>
          <w:sz w:val="24"/>
        </w:rPr>
        <w:t xml:space="preserve"> la TIR resultante. </w:t>
      </w:r>
      <w:r w:rsidR="00327834">
        <w:rPr>
          <w:rFonts w:ascii="Times New Roman" w:hAnsi="Times New Roman"/>
          <w:sz w:val="24"/>
        </w:rPr>
        <w:t xml:space="preserve">En cada caso se modifica solo una </w:t>
      </w:r>
      <w:r>
        <w:rPr>
          <w:rFonts w:ascii="Times New Roman" w:hAnsi="Times New Roman"/>
          <w:sz w:val="24"/>
        </w:rPr>
        <w:t xml:space="preserve">variable, </w:t>
      </w:r>
      <w:r w:rsidR="00327834">
        <w:rPr>
          <w:rFonts w:ascii="Times New Roman" w:hAnsi="Times New Roman"/>
          <w:sz w:val="24"/>
        </w:rPr>
        <w:t>mientras que</w:t>
      </w:r>
      <w:r>
        <w:rPr>
          <w:rFonts w:ascii="Times New Roman" w:hAnsi="Times New Roman"/>
          <w:sz w:val="24"/>
        </w:rPr>
        <w:t xml:space="preserve"> el resto mantiene su valor base. La última columna </w:t>
      </w:r>
      <w:r w:rsidR="00F4061B">
        <w:rPr>
          <w:rFonts w:ascii="Times New Roman" w:hAnsi="Times New Roman"/>
          <w:sz w:val="24"/>
        </w:rPr>
        <w:t>muestra</w:t>
      </w:r>
      <w:r>
        <w:rPr>
          <w:rFonts w:ascii="Times New Roman" w:hAnsi="Times New Roman"/>
          <w:sz w:val="24"/>
        </w:rPr>
        <w:t xml:space="preserve"> cuál es el valor mínimo de cada variable </w:t>
      </w:r>
      <w:r w:rsidR="00F4061B">
        <w:rPr>
          <w:rFonts w:ascii="Times New Roman" w:hAnsi="Times New Roman"/>
          <w:sz w:val="24"/>
        </w:rPr>
        <w:t>que hace el proyecto viable</w:t>
      </w:r>
      <w:r>
        <w:rPr>
          <w:rFonts w:ascii="Times New Roman" w:hAnsi="Times New Roman"/>
          <w:sz w:val="24"/>
        </w:rPr>
        <w:t>, es decir</w:t>
      </w:r>
      <w:r w:rsidR="00F4061B">
        <w:rPr>
          <w:rFonts w:ascii="Times New Roman" w:hAnsi="Times New Roman"/>
          <w:sz w:val="24"/>
        </w:rPr>
        <w:t xml:space="preserve"> con </w:t>
      </w:r>
      <w:r>
        <w:rPr>
          <w:rFonts w:ascii="Times New Roman" w:hAnsi="Times New Roman"/>
          <w:sz w:val="24"/>
        </w:rPr>
        <w:t>una TIR superior al 12%.</w:t>
      </w:r>
    </w:p>
    <w:tbl>
      <w:tblPr>
        <w:tblW w:w="9688" w:type="dxa"/>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3"/>
        <w:gridCol w:w="1910"/>
        <w:gridCol w:w="1315"/>
        <w:gridCol w:w="882"/>
        <w:gridCol w:w="799"/>
        <w:gridCol w:w="869"/>
        <w:gridCol w:w="799"/>
        <w:gridCol w:w="1081"/>
      </w:tblGrid>
      <w:tr w:rsidR="006F76B3" w:rsidRPr="006F76B3" w:rsidTr="00D57D4A">
        <w:trPr>
          <w:jc w:val="center"/>
        </w:trPr>
        <w:tc>
          <w:tcPr>
            <w:tcW w:w="3943" w:type="dxa"/>
            <w:gridSpan w:val="2"/>
            <w:tcBorders>
              <w:top w:val="nil"/>
              <w:left w:val="nil"/>
            </w:tcBorders>
          </w:tcPr>
          <w:p w:rsidR="006F76B3" w:rsidRPr="006F76B3" w:rsidRDefault="006F76B3" w:rsidP="006F76B3">
            <w:pPr>
              <w:spacing w:after="0" w:line="240" w:lineRule="auto"/>
              <w:rPr>
                <w:rFonts w:ascii="Arial" w:hAnsi="Arial" w:cs="Arial"/>
                <w:sz w:val="18"/>
                <w:szCs w:val="18"/>
              </w:rPr>
            </w:pPr>
          </w:p>
        </w:tc>
        <w:tc>
          <w:tcPr>
            <w:tcW w:w="1315" w:type="dxa"/>
            <w:shd w:val="clear" w:color="auto" w:fill="D9D9D9"/>
            <w:vAlign w:val="center"/>
          </w:tcPr>
          <w:p w:rsidR="006F76B3" w:rsidRPr="006F76B3" w:rsidRDefault="006F76B3" w:rsidP="006F76B3">
            <w:pPr>
              <w:spacing w:after="0" w:line="240" w:lineRule="auto"/>
              <w:jc w:val="center"/>
              <w:rPr>
                <w:rFonts w:ascii="Arial" w:hAnsi="Arial" w:cs="Arial"/>
                <w:sz w:val="18"/>
                <w:szCs w:val="18"/>
              </w:rPr>
            </w:pPr>
            <w:r w:rsidRPr="006F76B3">
              <w:rPr>
                <w:rFonts w:ascii="Arial" w:hAnsi="Arial" w:cs="Arial"/>
                <w:sz w:val="18"/>
                <w:szCs w:val="18"/>
              </w:rPr>
              <w:t xml:space="preserve">Caso base </w:t>
            </w:r>
          </w:p>
          <w:p w:rsidR="006F76B3" w:rsidRPr="006F76B3" w:rsidRDefault="006F76B3" w:rsidP="00C118D5">
            <w:pPr>
              <w:spacing w:after="0" w:line="240" w:lineRule="auto"/>
              <w:jc w:val="center"/>
              <w:rPr>
                <w:rFonts w:ascii="Arial" w:hAnsi="Arial" w:cs="Arial"/>
                <w:sz w:val="18"/>
                <w:szCs w:val="18"/>
              </w:rPr>
            </w:pPr>
            <w:r w:rsidRPr="006F76B3">
              <w:rPr>
                <w:rFonts w:ascii="Arial" w:hAnsi="Arial" w:cs="Arial"/>
                <w:sz w:val="18"/>
                <w:szCs w:val="18"/>
              </w:rPr>
              <w:t>(TIR 1</w:t>
            </w:r>
            <w:r w:rsidR="00C118D5">
              <w:rPr>
                <w:rFonts w:ascii="Arial" w:hAnsi="Arial" w:cs="Arial"/>
                <w:sz w:val="18"/>
                <w:szCs w:val="18"/>
              </w:rPr>
              <w:t>6</w:t>
            </w:r>
            <w:r w:rsidRPr="006F76B3">
              <w:rPr>
                <w:rFonts w:ascii="Arial" w:hAnsi="Arial" w:cs="Arial"/>
                <w:sz w:val="18"/>
                <w:szCs w:val="18"/>
              </w:rPr>
              <w:t>,</w:t>
            </w:r>
            <w:r w:rsidR="00C118D5">
              <w:rPr>
                <w:rFonts w:ascii="Arial" w:hAnsi="Arial" w:cs="Arial"/>
                <w:sz w:val="18"/>
                <w:szCs w:val="18"/>
              </w:rPr>
              <w:t>9</w:t>
            </w:r>
            <w:r w:rsidRPr="006F76B3">
              <w:rPr>
                <w:rFonts w:ascii="Arial" w:hAnsi="Arial" w:cs="Arial"/>
                <w:sz w:val="18"/>
                <w:szCs w:val="18"/>
              </w:rPr>
              <w:t>%)</w:t>
            </w:r>
          </w:p>
        </w:tc>
        <w:tc>
          <w:tcPr>
            <w:tcW w:w="1681" w:type="dxa"/>
            <w:gridSpan w:val="2"/>
            <w:shd w:val="clear" w:color="auto" w:fill="D9D9D9"/>
            <w:vAlign w:val="center"/>
          </w:tcPr>
          <w:p w:rsidR="006F76B3" w:rsidRPr="006F76B3" w:rsidRDefault="006F76B3" w:rsidP="006F76B3">
            <w:pPr>
              <w:spacing w:after="0" w:line="240" w:lineRule="auto"/>
              <w:jc w:val="center"/>
              <w:rPr>
                <w:rFonts w:ascii="Arial" w:hAnsi="Arial" w:cs="Arial"/>
                <w:sz w:val="18"/>
                <w:szCs w:val="18"/>
              </w:rPr>
            </w:pPr>
            <w:r w:rsidRPr="006F76B3">
              <w:rPr>
                <w:rFonts w:ascii="Arial" w:hAnsi="Arial" w:cs="Arial"/>
                <w:sz w:val="18"/>
                <w:szCs w:val="18"/>
              </w:rPr>
              <w:t>Escenario optimista</w:t>
            </w:r>
          </w:p>
        </w:tc>
        <w:tc>
          <w:tcPr>
            <w:tcW w:w="1668" w:type="dxa"/>
            <w:gridSpan w:val="2"/>
            <w:shd w:val="clear" w:color="auto" w:fill="D9D9D9"/>
            <w:vAlign w:val="center"/>
          </w:tcPr>
          <w:p w:rsidR="006F76B3" w:rsidRPr="006F76B3" w:rsidRDefault="006F76B3" w:rsidP="006F76B3">
            <w:pPr>
              <w:spacing w:after="0" w:line="240" w:lineRule="auto"/>
              <w:jc w:val="center"/>
              <w:rPr>
                <w:rFonts w:ascii="Arial" w:hAnsi="Arial" w:cs="Arial"/>
                <w:sz w:val="18"/>
                <w:szCs w:val="18"/>
              </w:rPr>
            </w:pPr>
            <w:r w:rsidRPr="006F76B3">
              <w:rPr>
                <w:rFonts w:ascii="Arial" w:hAnsi="Arial" w:cs="Arial"/>
                <w:sz w:val="18"/>
                <w:szCs w:val="18"/>
              </w:rPr>
              <w:t>Escenario pesimista</w:t>
            </w:r>
          </w:p>
        </w:tc>
        <w:tc>
          <w:tcPr>
            <w:tcW w:w="1081" w:type="dxa"/>
            <w:vMerge w:val="restart"/>
            <w:shd w:val="clear" w:color="auto" w:fill="D9D9D9"/>
            <w:vAlign w:val="center"/>
          </w:tcPr>
          <w:p w:rsidR="006F76B3" w:rsidRPr="006F76B3" w:rsidRDefault="006F76B3" w:rsidP="006F76B3">
            <w:pPr>
              <w:spacing w:after="0" w:line="240" w:lineRule="auto"/>
              <w:jc w:val="center"/>
              <w:rPr>
                <w:rFonts w:ascii="Arial" w:hAnsi="Arial" w:cs="Arial"/>
                <w:sz w:val="18"/>
                <w:szCs w:val="18"/>
              </w:rPr>
            </w:pPr>
            <w:r w:rsidRPr="006F76B3">
              <w:rPr>
                <w:rFonts w:ascii="Arial" w:hAnsi="Arial" w:cs="Arial"/>
                <w:sz w:val="18"/>
                <w:szCs w:val="18"/>
              </w:rPr>
              <w:t>Valor mínimo (TIR 12%)</w:t>
            </w:r>
          </w:p>
        </w:tc>
      </w:tr>
      <w:tr w:rsidR="006F76B3" w:rsidRPr="006F76B3" w:rsidTr="00D57D4A">
        <w:trPr>
          <w:jc w:val="center"/>
        </w:trPr>
        <w:tc>
          <w:tcPr>
            <w:tcW w:w="3943" w:type="dxa"/>
            <w:gridSpan w:val="2"/>
            <w:shd w:val="clear" w:color="auto" w:fill="D9D9D9"/>
            <w:vAlign w:val="center"/>
          </w:tcPr>
          <w:p w:rsidR="006F76B3" w:rsidRPr="006F76B3" w:rsidRDefault="006F76B3" w:rsidP="006F76B3">
            <w:pPr>
              <w:spacing w:after="0" w:line="240" w:lineRule="auto"/>
              <w:jc w:val="center"/>
              <w:rPr>
                <w:rFonts w:ascii="Arial" w:hAnsi="Arial" w:cs="Arial"/>
                <w:sz w:val="18"/>
                <w:szCs w:val="18"/>
              </w:rPr>
            </w:pPr>
            <w:r w:rsidRPr="006F76B3">
              <w:rPr>
                <w:rFonts w:ascii="Arial" w:hAnsi="Arial" w:cs="Arial"/>
                <w:sz w:val="18"/>
                <w:szCs w:val="18"/>
              </w:rPr>
              <w:t>Variable sensibilizada</w:t>
            </w:r>
          </w:p>
        </w:tc>
        <w:tc>
          <w:tcPr>
            <w:tcW w:w="1315" w:type="dxa"/>
            <w:shd w:val="clear" w:color="auto" w:fill="D9D9D9"/>
            <w:vAlign w:val="center"/>
          </w:tcPr>
          <w:p w:rsidR="006F76B3" w:rsidRPr="006F76B3" w:rsidRDefault="00D57D4A" w:rsidP="006F76B3">
            <w:pPr>
              <w:spacing w:after="0" w:line="240" w:lineRule="auto"/>
              <w:jc w:val="center"/>
              <w:rPr>
                <w:rFonts w:ascii="Arial" w:hAnsi="Arial" w:cs="Arial"/>
                <w:sz w:val="18"/>
                <w:szCs w:val="18"/>
              </w:rPr>
            </w:pPr>
            <w:r>
              <w:rPr>
                <w:rFonts w:ascii="Arial" w:hAnsi="Arial" w:cs="Arial"/>
                <w:sz w:val="18"/>
                <w:szCs w:val="18"/>
              </w:rPr>
              <w:t>Valor</w:t>
            </w:r>
          </w:p>
        </w:tc>
        <w:tc>
          <w:tcPr>
            <w:tcW w:w="882" w:type="dxa"/>
            <w:shd w:val="clear" w:color="auto" w:fill="D9D9D9"/>
            <w:vAlign w:val="center"/>
          </w:tcPr>
          <w:p w:rsidR="006F76B3" w:rsidRPr="006F76B3" w:rsidRDefault="006F76B3" w:rsidP="006F76B3">
            <w:pPr>
              <w:spacing w:after="0" w:line="240" w:lineRule="auto"/>
              <w:jc w:val="center"/>
              <w:rPr>
                <w:rFonts w:ascii="Arial" w:hAnsi="Arial" w:cs="Arial"/>
                <w:sz w:val="18"/>
                <w:szCs w:val="18"/>
              </w:rPr>
            </w:pPr>
            <w:r w:rsidRPr="006F76B3">
              <w:rPr>
                <w:rFonts w:ascii="Arial" w:hAnsi="Arial" w:cs="Arial"/>
                <w:sz w:val="18"/>
                <w:szCs w:val="18"/>
              </w:rPr>
              <w:t>Valor</w:t>
            </w:r>
          </w:p>
        </w:tc>
        <w:tc>
          <w:tcPr>
            <w:tcW w:w="799" w:type="dxa"/>
            <w:shd w:val="clear" w:color="auto" w:fill="D9D9D9"/>
            <w:vAlign w:val="center"/>
          </w:tcPr>
          <w:p w:rsidR="006F76B3" w:rsidRPr="006F76B3" w:rsidRDefault="006F76B3" w:rsidP="006F76B3">
            <w:pPr>
              <w:spacing w:after="0" w:line="240" w:lineRule="auto"/>
              <w:jc w:val="center"/>
              <w:rPr>
                <w:rFonts w:ascii="Arial" w:hAnsi="Arial" w:cs="Arial"/>
                <w:sz w:val="18"/>
                <w:szCs w:val="18"/>
              </w:rPr>
            </w:pPr>
            <w:r w:rsidRPr="006F76B3">
              <w:rPr>
                <w:rFonts w:ascii="Arial" w:hAnsi="Arial" w:cs="Arial"/>
                <w:sz w:val="18"/>
                <w:szCs w:val="18"/>
              </w:rPr>
              <w:t>TIR</w:t>
            </w:r>
          </w:p>
        </w:tc>
        <w:tc>
          <w:tcPr>
            <w:tcW w:w="869" w:type="dxa"/>
            <w:shd w:val="clear" w:color="auto" w:fill="D9D9D9"/>
            <w:vAlign w:val="center"/>
          </w:tcPr>
          <w:p w:rsidR="006F76B3" w:rsidRPr="006F76B3" w:rsidRDefault="006F76B3" w:rsidP="006F76B3">
            <w:pPr>
              <w:spacing w:after="0" w:line="240" w:lineRule="auto"/>
              <w:jc w:val="center"/>
              <w:rPr>
                <w:rFonts w:ascii="Arial" w:hAnsi="Arial" w:cs="Arial"/>
                <w:sz w:val="18"/>
                <w:szCs w:val="18"/>
              </w:rPr>
            </w:pPr>
            <w:r w:rsidRPr="006F76B3">
              <w:rPr>
                <w:rFonts w:ascii="Arial" w:hAnsi="Arial" w:cs="Arial"/>
                <w:sz w:val="18"/>
                <w:szCs w:val="18"/>
              </w:rPr>
              <w:t>Valor</w:t>
            </w:r>
          </w:p>
        </w:tc>
        <w:tc>
          <w:tcPr>
            <w:tcW w:w="799" w:type="dxa"/>
            <w:shd w:val="clear" w:color="auto" w:fill="D9D9D9"/>
            <w:vAlign w:val="center"/>
          </w:tcPr>
          <w:p w:rsidR="006F76B3" w:rsidRPr="006F76B3" w:rsidRDefault="006F76B3" w:rsidP="006F76B3">
            <w:pPr>
              <w:spacing w:after="0" w:line="240" w:lineRule="auto"/>
              <w:jc w:val="center"/>
              <w:rPr>
                <w:rFonts w:ascii="Arial" w:hAnsi="Arial" w:cs="Arial"/>
                <w:sz w:val="18"/>
                <w:szCs w:val="18"/>
              </w:rPr>
            </w:pPr>
            <w:r w:rsidRPr="006F76B3">
              <w:rPr>
                <w:rFonts w:ascii="Arial" w:hAnsi="Arial" w:cs="Arial"/>
                <w:sz w:val="18"/>
                <w:szCs w:val="18"/>
              </w:rPr>
              <w:t>TIR</w:t>
            </w:r>
          </w:p>
        </w:tc>
        <w:tc>
          <w:tcPr>
            <w:tcW w:w="1081" w:type="dxa"/>
            <w:vMerge/>
            <w:shd w:val="clear" w:color="auto" w:fill="D9D9D9"/>
            <w:vAlign w:val="center"/>
          </w:tcPr>
          <w:p w:rsidR="006F76B3" w:rsidRPr="006F76B3" w:rsidRDefault="006F76B3" w:rsidP="006F76B3">
            <w:pPr>
              <w:spacing w:after="0" w:line="240" w:lineRule="auto"/>
              <w:jc w:val="center"/>
              <w:rPr>
                <w:rFonts w:ascii="Arial" w:hAnsi="Arial" w:cs="Arial"/>
                <w:sz w:val="18"/>
                <w:szCs w:val="18"/>
              </w:rPr>
            </w:pPr>
          </w:p>
        </w:tc>
      </w:tr>
      <w:tr w:rsidR="006F76B3" w:rsidRPr="006F76B3" w:rsidTr="000C1E3E">
        <w:trPr>
          <w:trHeight w:val="111"/>
          <w:jc w:val="center"/>
        </w:trPr>
        <w:tc>
          <w:tcPr>
            <w:tcW w:w="2033" w:type="dxa"/>
            <w:vMerge w:val="restart"/>
            <w:vAlign w:val="center"/>
          </w:tcPr>
          <w:p w:rsidR="006F76B3" w:rsidRPr="006F76B3" w:rsidRDefault="006F76B3" w:rsidP="006F76B3">
            <w:pPr>
              <w:spacing w:after="0" w:line="240" w:lineRule="auto"/>
              <w:rPr>
                <w:rFonts w:ascii="Arial" w:hAnsi="Arial" w:cs="Arial"/>
                <w:sz w:val="18"/>
                <w:szCs w:val="18"/>
              </w:rPr>
            </w:pPr>
            <w:r w:rsidRPr="006F76B3">
              <w:rPr>
                <w:rFonts w:ascii="Arial" w:hAnsi="Arial" w:cs="Arial"/>
                <w:sz w:val="18"/>
                <w:szCs w:val="18"/>
              </w:rPr>
              <w:t>Crecimiento en la cantidad de vehículos</w:t>
            </w:r>
          </w:p>
        </w:tc>
        <w:tc>
          <w:tcPr>
            <w:tcW w:w="1910" w:type="dxa"/>
            <w:vAlign w:val="center"/>
          </w:tcPr>
          <w:p w:rsidR="006F76B3" w:rsidRPr="006F76B3" w:rsidRDefault="006F76B3" w:rsidP="006F76B3">
            <w:pPr>
              <w:spacing w:after="0" w:line="240" w:lineRule="auto"/>
              <w:rPr>
                <w:rFonts w:ascii="Arial" w:hAnsi="Arial" w:cs="Arial"/>
                <w:sz w:val="18"/>
                <w:szCs w:val="18"/>
              </w:rPr>
            </w:pPr>
            <w:r>
              <w:rPr>
                <w:rFonts w:ascii="Arial" w:hAnsi="Arial" w:cs="Arial"/>
                <w:sz w:val="18"/>
                <w:szCs w:val="18"/>
              </w:rPr>
              <w:t>Años 2 a 23</w:t>
            </w:r>
          </w:p>
        </w:tc>
        <w:tc>
          <w:tcPr>
            <w:tcW w:w="1315" w:type="dxa"/>
            <w:vAlign w:val="center"/>
          </w:tcPr>
          <w:p w:rsidR="006F76B3" w:rsidRPr="006F76B3" w:rsidRDefault="006F76B3" w:rsidP="006F76B3">
            <w:pPr>
              <w:spacing w:after="0" w:line="240" w:lineRule="auto"/>
              <w:jc w:val="center"/>
              <w:rPr>
                <w:rFonts w:ascii="Arial" w:hAnsi="Arial" w:cs="Arial"/>
                <w:sz w:val="18"/>
                <w:szCs w:val="18"/>
              </w:rPr>
            </w:pPr>
            <w:r w:rsidRPr="006F76B3">
              <w:rPr>
                <w:rFonts w:ascii="Arial" w:hAnsi="Arial" w:cs="Arial"/>
                <w:sz w:val="18"/>
                <w:szCs w:val="18"/>
              </w:rPr>
              <w:t>4,38%</w:t>
            </w:r>
          </w:p>
        </w:tc>
        <w:tc>
          <w:tcPr>
            <w:tcW w:w="882" w:type="dxa"/>
            <w:vAlign w:val="center"/>
          </w:tcPr>
          <w:p w:rsidR="006F76B3" w:rsidRPr="006F76B3" w:rsidRDefault="006F76B3" w:rsidP="006F76B3">
            <w:pPr>
              <w:spacing w:after="0" w:line="240" w:lineRule="auto"/>
              <w:jc w:val="center"/>
              <w:rPr>
                <w:rFonts w:ascii="Arial" w:hAnsi="Arial" w:cs="Arial"/>
                <w:sz w:val="18"/>
                <w:szCs w:val="18"/>
              </w:rPr>
            </w:pPr>
            <w:r w:rsidRPr="006F76B3">
              <w:rPr>
                <w:rFonts w:ascii="Arial" w:hAnsi="Arial" w:cs="Arial"/>
                <w:sz w:val="18"/>
                <w:szCs w:val="18"/>
              </w:rPr>
              <w:t>5,48%</w:t>
            </w:r>
          </w:p>
        </w:tc>
        <w:tc>
          <w:tcPr>
            <w:tcW w:w="799" w:type="dxa"/>
            <w:vMerge w:val="restart"/>
            <w:vAlign w:val="center"/>
          </w:tcPr>
          <w:p w:rsidR="006F76B3" w:rsidRPr="006F76B3" w:rsidRDefault="006F76B3" w:rsidP="00B57DEB">
            <w:pPr>
              <w:spacing w:after="0" w:line="240" w:lineRule="auto"/>
              <w:jc w:val="center"/>
              <w:rPr>
                <w:rFonts w:ascii="Arial" w:hAnsi="Arial" w:cs="Arial"/>
                <w:sz w:val="18"/>
                <w:szCs w:val="18"/>
              </w:rPr>
            </w:pPr>
            <w:r w:rsidRPr="006F76B3">
              <w:rPr>
                <w:rFonts w:ascii="Arial" w:hAnsi="Arial" w:cs="Arial"/>
                <w:sz w:val="18"/>
                <w:szCs w:val="18"/>
              </w:rPr>
              <w:t>1</w:t>
            </w:r>
            <w:r w:rsidR="00B57DEB">
              <w:rPr>
                <w:rFonts w:ascii="Arial" w:hAnsi="Arial" w:cs="Arial"/>
                <w:sz w:val="18"/>
                <w:szCs w:val="18"/>
              </w:rPr>
              <w:t>8</w:t>
            </w:r>
            <w:r w:rsidRPr="006F76B3">
              <w:rPr>
                <w:rFonts w:ascii="Arial" w:hAnsi="Arial" w:cs="Arial"/>
                <w:sz w:val="18"/>
                <w:szCs w:val="18"/>
              </w:rPr>
              <w:t>,</w:t>
            </w:r>
            <w:r w:rsidR="00B57DEB">
              <w:rPr>
                <w:rFonts w:ascii="Arial" w:hAnsi="Arial" w:cs="Arial"/>
                <w:sz w:val="18"/>
                <w:szCs w:val="18"/>
              </w:rPr>
              <w:t>3</w:t>
            </w:r>
            <w:r w:rsidRPr="006F76B3">
              <w:rPr>
                <w:rFonts w:ascii="Arial" w:hAnsi="Arial" w:cs="Arial"/>
                <w:sz w:val="18"/>
                <w:szCs w:val="18"/>
              </w:rPr>
              <w:t>%</w:t>
            </w:r>
          </w:p>
        </w:tc>
        <w:tc>
          <w:tcPr>
            <w:tcW w:w="869" w:type="dxa"/>
            <w:vAlign w:val="center"/>
          </w:tcPr>
          <w:p w:rsidR="006F76B3" w:rsidRPr="006F76B3" w:rsidRDefault="006F76B3" w:rsidP="006F76B3">
            <w:pPr>
              <w:spacing w:after="0" w:line="240" w:lineRule="auto"/>
              <w:jc w:val="center"/>
              <w:rPr>
                <w:rFonts w:ascii="Arial" w:hAnsi="Arial" w:cs="Arial"/>
                <w:sz w:val="18"/>
                <w:szCs w:val="18"/>
              </w:rPr>
            </w:pPr>
            <w:r w:rsidRPr="006F76B3">
              <w:rPr>
                <w:rFonts w:ascii="Arial" w:hAnsi="Arial" w:cs="Arial"/>
                <w:sz w:val="18"/>
                <w:szCs w:val="18"/>
              </w:rPr>
              <w:t>3,29%</w:t>
            </w:r>
          </w:p>
        </w:tc>
        <w:tc>
          <w:tcPr>
            <w:tcW w:w="799" w:type="dxa"/>
            <w:vMerge w:val="restart"/>
            <w:vAlign w:val="center"/>
          </w:tcPr>
          <w:p w:rsidR="006F76B3" w:rsidRPr="006F76B3" w:rsidRDefault="006F76B3" w:rsidP="00B57DEB">
            <w:pPr>
              <w:spacing w:after="0" w:line="240" w:lineRule="auto"/>
              <w:jc w:val="center"/>
              <w:rPr>
                <w:rFonts w:ascii="Arial" w:hAnsi="Arial" w:cs="Arial"/>
                <w:sz w:val="18"/>
                <w:szCs w:val="18"/>
              </w:rPr>
            </w:pPr>
            <w:r w:rsidRPr="006F76B3">
              <w:rPr>
                <w:rFonts w:ascii="Arial" w:hAnsi="Arial" w:cs="Arial"/>
                <w:sz w:val="18"/>
                <w:szCs w:val="18"/>
              </w:rPr>
              <w:t>1</w:t>
            </w:r>
            <w:r w:rsidR="00B57DEB">
              <w:rPr>
                <w:rFonts w:ascii="Arial" w:hAnsi="Arial" w:cs="Arial"/>
                <w:sz w:val="18"/>
                <w:szCs w:val="18"/>
              </w:rPr>
              <w:t>5</w:t>
            </w:r>
            <w:r w:rsidRPr="006F76B3">
              <w:rPr>
                <w:rFonts w:ascii="Arial" w:hAnsi="Arial" w:cs="Arial"/>
                <w:sz w:val="18"/>
                <w:szCs w:val="18"/>
              </w:rPr>
              <w:t>,</w:t>
            </w:r>
            <w:r w:rsidR="00B57DEB">
              <w:rPr>
                <w:rFonts w:ascii="Arial" w:hAnsi="Arial" w:cs="Arial"/>
                <w:sz w:val="18"/>
                <w:szCs w:val="18"/>
              </w:rPr>
              <w:t>6</w:t>
            </w:r>
            <w:r w:rsidRPr="006F76B3">
              <w:rPr>
                <w:rFonts w:ascii="Arial" w:hAnsi="Arial" w:cs="Arial"/>
                <w:sz w:val="18"/>
                <w:szCs w:val="18"/>
              </w:rPr>
              <w:t>%</w:t>
            </w:r>
          </w:p>
        </w:tc>
        <w:tc>
          <w:tcPr>
            <w:tcW w:w="1081" w:type="dxa"/>
            <w:vAlign w:val="center"/>
          </w:tcPr>
          <w:p w:rsidR="006F76B3" w:rsidRPr="006F76B3" w:rsidRDefault="006F76B3" w:rsidP="00D94FE3">
            <w:pPr>
              <w:spacing w:after="0" w:line="240" w:lineRule="auto"/>
              <w:jc w:val="center"/>
              <w:rPr>
                <w:rFonts w:ascii="Arial" w:hAnsi="Arial" w:cs="Arial"/>
                <w:sz w:val="18"/>
                <w:szCs w:val="18"/>
              </w:rPr>
            </w:pPr>
            <w:r w:rsidRPr="006F76B3">
              <w:rPr>
                <w:rFonts w:ascii="Arial" w:hAnsi="Arial" w:cs="Arial"/>
                <w:sz w:val="18"/>
                <w:szCs w:val="18"/>
              </w:rPr>
              <w:t>0,4</w:t>
            </w:r>
            <w:r w:rsidR="00D94FE3">
              <w:rPr>
                <w:rFonts w:ascii="Arial" w:hAnsi="Arial" w:cs="Arial"/>
                <w:sz w:val="18"/>
                <w:szCs w:val="18"/>
              </w:rPr>
              <w:t>8</w:t>
            </w:r>
            <w:r w:rsidRPr="006F76B3">
              <w:rPr>
                <w:rFonts w:ascii="Arial" w:hAnsi="Arial" w:cs="Arial"/>
                <w:sz w:val="18"/>
                <w:szCs w:val="18"/>
              </w:rPr>
              <w:t>%</w:t>
            </w:r>
          </w:p>
        </w:tc>
      </w:tr>
      <w:tr w:rsidR="006F76B3" w:rsidRPr="006F76B3" w:rsidTr="000C1E3E">
        <w:trPr>
          <w:trHeight w:val="143"/>
          <w:jc w:val="center"/>
        </w:trPr>
        <w:tc>
          <w:tcPr>
            <w:tcW w:w="2033" w:type="dxa"/>
            <w:vMerge/>
            <w:vAlign w:val="center"/>
          </w:tcPr>
          <w:p w:rsidR="006F76B3" w:rsidRPr="006F76B3" w:rsidRDefault="006F76B3" w:rsidP="006F76B3">
            <w:pPr>
              <w:spacing w:after="0" w:line="240" w:lineRule="auto"/>
              <w:rPr>
                <w:rFonts w:ascii="Arial" w:hAnsi="Arial" w:cs="Arial"/>
                <w:sz w:val="18"/>
                <w:szCs w:val="18"/>
              </w:rPr>
            </w:pPr>
          </w:p>
        </w:tc>
        <w:tc>
          <w:tcPr>
            <w:tcW w:w="1910" w:type="dxa"/>
            <w:vAlign w:val="center"/>
          </w:tcPr>
          <w:p w:rsidR="006F76B3" w:rsidRPr="006F76B3" w:rsidRDefault="006F76B3" w:rsidP="006F76B3">
            <w:pPr>
              <w:spacing w:after="0" w:line="240" w:lineRule="auto"/>
              <w:rPr>
                <w:rFonts w:ascii="Arial" w:hAnsi="Arial" w:cs="Arial"/>
                <w:sz w:val="18"/>
                <w:szCs w:val="18"/>
              </w:rPr>
            </w:pPr>
            <w:r>
              <w:rPr>
                <w:rFonts w:ascii="Arial" w:hAnsi="Arial" w:cs="Arial"/>
                <w:sz w:val="18"/>
                <w:szCs w:val="18"/>
              </w:rPr>
              <w:t>Año 24 en adelante</w:t>
            </w:r>
          </w:p>
        </w:tc>
        <w:tc>
          <w:tcPr>
            <w:tcW w:w="1315" w:type="dxa"/>
            <w:vAlign w:val="center"/>
          </w:tcPr>
          <w:p w:rsidR="006F76B3" w:rsidRPr="006F76B3" w:rsidRDefault="006F76B3" w:rsidP="006F76B3">
            <w:pPr>
              <w:spacing w:after="0" w:line="240" w:lineRule="auto"/>
              <w:jc w:val="center"/>
              <w:rPr>
                <w:rFonts w:ascii="Arial" w:hAnsi="Arial" w:cs="Arial"/>
                <w:sz w:val="18"/>
                <w:szCs w:val="18"/>
              </w:rPr>
            </w:pPr>
            <w:r w:rsidRPr="006F76B3">
              <w:rPr>
                <w:rFonts w:ascii="Arial" w:hAnsi="Arial" w:cs="Arial"/>
                <w:sz w:val="18"/>
                <w:szCs w:val="18"/>
              </w:rPr>
              <w:t>2,19%</w:t>
            </w:r>
          </w:p>
        </w:tc>
        <w:tc>
          <w:tcPr>
            <w:tcW w:w="882" w:type="dxa"/>
            <w:vAlign w:val="center"/>
          </w:tcPr>
          <w:p w:rsidR="006F76B3" w:rsidRPr="006F76B3" w:rsidRDefault="006F76B3" w:rsidP="006F76B3">
            <w:pPr>
              <w:spacing w:after="0" w:line="240" w:lineRule="auto"/>
              <w:jc w:val="center"/>
              <w:rPr>
                <w:rFonts w:ascii="Arial" w:hAnsi="Arial" w:cs="Arial"/>
                <w:sz w:val="18"/>
                <w:szCs w:val="18"/>
              </w:rPr>
            </w:pPr>
            <w:r w:rsidRPr="006F76B3">
              <w:rPr>
                <w:rFonts w:ascii="Arial" w:hAnsi="Arial" w:cs="Arial"/>
                <w:sz w:val="18"/>
                <w:szCs w:val="18"/>
              </w:rPr>
              <w:t>2,74%</w:t>
            </w:r>
          </w:p>
        </w:tc>
        <w:tc>
          <w:tcPr>
            <w:tcW w:w="799" w:type="dxa"/>
            <w:vMerge/>
            <w:vAlign w:val="center"/>
          </w:tcPr>
          <w:p w:rsidR="006F76B3" w:rsidRPr="006F76B3" w:rsidRDefault="006F76B3" w:rsidP="006F76B3">
            <w:pPr>
              <w:spacing w:after="0" w:line="240" w:lineRule="auto"/>
              <w:jc w:val="center"/>
              <w:rPr>
                <w:rFonts w:ascii="Arial" w:hAnsi="Arial" w:cs="Arial"/>
                <w:sz w:val="18"/>
                <w:szCs w:val="18"/>
              </w:rPr>
            </w:pPr>
          </w:p>
        </w:tc>
        <w:tc>
          <w:tcPr>
            <w:tcW w:w="869" w:type="dxa"/>
            <w:vAlign w:val="center"/>
          </w:tcPr>
          <w:p w:rsidR="006F76B3" w:rsidRPr="006F76B3" w:rsidRDefault="006F76B3" w:rsidP="006F76B3">
            <w:pPr>
              <w:spacing w:after="0" w:line="240" w:lineRule="auto"/>
              <w:jc w:val="center"/>
              <w:rPr>
                <w:rFonts w:ascii="Arial" w:hAnsi="Arial" w:cs="Arial"/>
                <w:sz w:val="18"/>
                <w:szCs w:val="18"/>
              </w:rPr>
            </w:pPr>
            <w:r w:rsidRPr="006F76B3">
              <w:rPr>
                <w:rFonts w:ascii="Arial" w:hAnsi="Arial" w:cs="Arial"/>
                <w:sz w:val="18"/>
                <w:szCs w:val="18"/>
              </w:rPr>
              <w:t>1,64%</w:t>
            </w:r>
          </w:p>
        </w:tc>
        <w:tc>
          <w:tcPr>
            <w:tcW w:w="799" w:type="dxa"/>
            <w:vMerge/>
            <w:vAlign w:val="center"/>
          </w:tcPr>
          <w:p w:rsidR="006F76B3" w:rsidRPr="006F76B3" w:rsidRDefault="006F76B3" w:rsidP="006F76B3">
            <w:pPr>
              <w:spacing w:after="0" w:line="240" w:lineRule="auto"/>
              <w:jc w:val="center"/>
              <w:rPr>
                <w:rFonts w:ascii="Arial" w:hAnsi="Arial" w:cs="Arial"/>
                <w:sz w:val="18"/>
                <w:szCs w:val="18"/>
              </w:rPr>
            </w:pPr>
          </w:p>
        </w:tc>
        <w:tc>
          <w:tcPr>
            <w:tcW w:w="1081" w:type="dxa"/>
            <w:vAlign w:val="center"/>
          </w:tcPr>
          <w:p w:rsidR="006F76B3" w:rsidRPr="006F76B3" w:rsidRDefault="006F76B3" w:rsidP="00D94FE3">
            <w:pPr>
              <w:spacing w:after="0" w:line="240" w:lineRule="auto"/>
              <w:jc w:val="center"/>
              <w:rPr>
                <w:rFonts w:ascii="Arial" w:hAnsi="Arial" w:cs="Arial"/>
                <w:sz w:val="18"/>
                <w:szCs w:val="18"/>
              </w:rPr>
            </w:pPr>
            <w:r w:rsidRPr="006F76B3">
              <w:rPr>
                <w:rFonts w:ascii="Arial" w:hAnsi="Arial" w:cs="Arial"/>
                <w:sz w:val="18"/>
                <w:szCs w:val="18"/>
              </w:rPr>
              <w:t>0,2</w:t>
            </w:r>
            <w:r w:rsidR="00D94FE3">
              <w:rPr>
                <w:rFonts w:ascii="Arial" w:hAnsi="Arial" w:cs="Arial"/>
                <w:sz w:val="18"/>
                <w:szCs w:val="18"/>
              </w:rPr>
              <w:t>4</w:t>
            </w:r>
            <w:r w:rsidRPr="006F76B3">
              <w:rPr>
                <w:rFonts w:ascii="Arial" w:hAnsi="Arial" w:cs="Arial"/>
                <w:sz w:val="18"/>
                <w:szCs w:val="18"/>
              </w:rPr>
              <w:t>%</w:t>
            </w:r>
          </w:p>
        </w:tc>
      </w:tr>
      <w:tr w:rsidR="006F76B3" w:rsidRPr="006F76B3" w:rsidTr="000C1E3E">
        <w:trPr>
          <w:trHeight w:val="117"/>
          <w:jc w:val="center"/>
        </w:trPr>
        <w:tc>
          <w:tcPr>
            <w:tcW w:w="3943" w:type="dxa"/>
            <w:gridSpan w:val="2"/>
            <w:vAlign w:val="center"/>
          </w:tcPr>
          <w:p w:rsidR="006F76B3" w:rsidRPr="006F76B3" w:rsidRDefault="006F76B3" w:rsidP="006F76B3">
            <w:pPr>
              <w:spacing w:after="0" w:line="240" w:lineRule="auto"/>
              <w:rPr>
                <w:rFonts w:ascii="Arial" w:hAnsi="Arial" w:cs="Arial"/>
                <w:sz w:val="18"/>
                <w:szCs w:val="18"/>
              </w:rPr>
            </w:pPr>
            <w:r w:rsidRPr="006F76B3">
              <w:rPr>
                <w:rFonts w:ascii="Arial" w:hAnsi="Arial" w:cs="Arial"/>
                <w:sz w:val="18"/>
                <w:szCs w:val="18"/>
              </w:rPr>
              <w:t>Radio de influencia</w:t>
            </w:r>
          </w:p>
        </w:tc>
        <w:tc>
          <w:tcPr>
            <w:tcW w:w="1315" w:type="dxa"/>
            <w:vAlign w:val="center"/>
          </w:tcPr>
          <w:p w:rsidR="006F76B3" w:rsidRPr="006F76B3" w:rsidRDefault="006F76B3" w:rsidP="006F76B3">
            <w:pPr>
              <w:spacing w:after="0" w:line="240" w:lineRule="auto"/>
              <w:jc w:val="center"/>
              <w:rPr>
                <w:rFonts w:ascii="Arial" w:hAnsi="Arial" w:cs="Arial"/>
                <w:sz w:val="18"/>
                <w:szCs w:val="18"/>
              </w:rPr>
            </w:pPr>
            <w:smartTag w:uri="urn:schemas-microsoft-com:office:smarttags" w:element="metricconverter">
              <w:smartTagPr>
                <w:attr w:name="ProductID" w:val="35 km"/>
              </w:smartTagPr>
              <w:r w:rsidRPr="006F76B3">
                <w:rPr>
                  <w:rFonts w:ascii="Arial" w:hAnsi="Arial" w:cs="Arial"/>
                  <w:sz w:val="18"/>
                  <w:szCs w:val="18"/>
                </w:rPr>
                <w:t>35 km</w:t>
              </w:r>
            </w:smartTag>
            <w:r w:rsidRPr="006F76B3">
              <w:rPr>
                <w:rFonts w:ascii="Arial" w:hAnsi="Arial" w:cs="Arial"/>
                <w:sz w:val="18"/>
                <w:szCs w:val="18"/>
              </w:rPr>
              <w:t>.</w:t>
            </w:r>
          </w:p>
        </w:tc>
        <w:tc>
          <w:tcPr>
            <w:tcW w:w="882" w:type="dxa"/>
            <w:vAlign w:val="center"/>
          </w:tcPr>
          <w:p w:rsidR="006F76B3" w:rsidRPr="006F76B3" w:rsidRDefault="006F76B3" w:rsidP="006F76B3">
            <w:pPr>
              <w:spacing w:after="0" w:line="240" w:lineRule="auto"/>
              <w:jc w:val="center"/>
              <w:rPr>
                <w:rFonts w:ascii="Arial" w:hAnsi="Arial" w:cs="Arial"/>
                <w:sz w:val="18"/>
                <w:szCs w:val="18"/>
              </w:rPr>
            </w:pPr>
            <w:smartTag w:uri="urn:schemas-microsoft-com:office:smarttags" w:element="metricconverter">
              <w:smartTagPr>
                <w:attr w:name="ProductID" w:val="50 km"/>
              </w:smartTagPr>
              <w:r w:rsidRPr="006F76B3">
                <w:rPr>
                  <w:rFonts w:ascii="Arial" w:hAnsi="Arial" w:cs="Arial"/>
                  <w:sz w:val="18"/>
                  <w:szCs w:val="18"/>
                </w:rPr>
                <w:t>50 km</w:t>
              </w:r>
            </w:smartTag>
            <w:r w:rsidRPr="006F76B3">
              <w:rPr>
                <w:rFonts w:ascii="Arial" w:hAnsi="Arial" w:cs="Arial"/>
                <w:sz w:val="18"/>
                <w:szCs w:val="18"/>
              </w:rPr>
              <w:t>.</w:t>
            </w:r>
          </w:p>
        </w:tc>
        <w:tc>
          <w:tcPr>
            <w:tcW w:w="799" w:type="dxa"/>
            <w:vAlign w:val="center"/>
          </w:tcPr>
          <w:p w:rsidR="006F76B3" w:rsidRPr="006F76B3" w:rsidRDefault="006F76B3" w:rsidP="00C118D5">
            <w:pPr>
              <w:spacing w:after="0" w:line="240" w:lineRule="auto"/>
              <w:jc w:val="center"/>
              <w:rPr>
                <w:rFonts w:ascii="Arial" w:hAnsi="Arial" w:cs="Arial"/>
                <w:sz w:val="18"/>
                <w:szCs w:val="18"/>
              </w:rPr>
            </w:pPr>
            <w:r w:rsidRPr="006F76B3">
              <w:rPr>
                <w:rFonts w:ascii="Arial" w:hAnsi="Arial" w:cs="Arial"/>
                <w:sz w:val="18"/>
                <w:szCs w:val="18"/>
              </w:rPr>
              <w:t>1</w:t>
            </w:r>
            <w:r w:rsidR="00C118D5">
              <w:rPr>
                <w:rFonts w:ascii="Arial" w:hAnsi="Arial" w:cs="Arial"/>
                <w:sz w:val="18"/>
                <w:szCs w:val="18"/>
              </w:rPr>
              <w:t>7</w:t>
            </w:r>
            <w:r w:rsidRPr="006F76B3">
              <w:rPr>
                <w:rFonts w:ascii="Arial" w:hAnsi="Arial" w:cs="Arial"/>
                <w:sz w:val="18"/>
                <w:szCs w:val="18"/>
              </w:rPr>
              <w:t>,</w:t>
            </w:r>
            <w:r w:rsidR="00C118D5">
              <w:rPr>
                <w:rFonts w:ascii="Arial" w:hAnsi="Arial" w:cs="Arial"/>
                <w:sz w:val="18"/>
                <w:szCs w:val="18"/>
              </w:rPr>
              <w:t>6</w:t>
            </w:r>
            <w:r w:rsidRPr="006F76B3">
              <w:rPr>
                <w:rFonts w:ascii="Arial" w:hAnsi="Arial" w:cs="Arial"/>
                <w:sz w:val="18"/>
                <w:szCs w:val="18"/>
              </w:rPr>
              <w:t>%</w:t>
            </w:r>
          </w:p>
        </w:tc>
        <w:tc>
          <w:tcPr>
            <w:tcW w:w="869" w:type="dxa"/>
            <w:vAlign w:val="center"/>
          </w:tcPr>
          <w:p w:rsidR="006F76B3" w:rsidRPr="006F76B3" w:rsidRDefault="006F76B3" w:rsidP="006F76B3">
            <w:pPr>
              <w:spacing w:after="0" w:line="240" w:lineRule="auto"/>
              <w:jc w:val="center"/>
              <w:rPr>
                <w:rFonts w:ascii="Arial" w:hAnsi="Arial" w:cs="Arial"/>
                <w:sz w:val="18"/>
                <w:szCs w:val="18"/>
              </w:rPr>
            </w:pPr>
            <w:smartTag w:uri="urn:schemas-microsoft-com:office:smarttags" w:element="metricconverter">
              <w:smartTagPr>
                <w:attr w:name="ProductID" w:val="20 km"/>
              </w:smartTagPr>
              <w:r w:rsidRPr="006F76B3">
                <w:rPr>
                  <w:rFonts w:ascii="Arial" w:hAnsi="Arial" w:cs="Arial"/>
                  <w:sz w:val="18"/>
                  <w:szCs w:val="18"/>
                </w:rPr>
                <w:t>20 km</w:t>
              </w:r>
            </w:smartTag>
            <w:r w:rsidRPr="006F76B3">
              <w:rPr>
                <w:rFonts w:ascii="Arial" w:hAnsi="Arial" w:cs="Arial"/>
                <w:sz w:val="18"/>
                <w:szCs w:val="18"/>
              </w:rPr>
              <w:t>.</w:t>
            </w:r>
          </w:p>
        </w:tc>
        <w:tc>
          <w:tcPr>
            <w:tcW w:w="799" w:type="dxa"/>
            <w:vAlign w:val="center"/>
          </w:tcPr>
          <w:p w:rsidR="006F76B3" w:rsidRPr="006F76B3" w:rsidRDefault="006F76B3" w:rsidP="00C118D5">
            <w:pPr>
              <w:spacing w:after="0" w:line="240" w:lineRule="auto"/>
              <w:jc w:val="center"/>
              <w:rPr>
                <w:rFonts w:ascii="Arial" w:hAnsi="Arial" w:cs="Arial"/>
                <w:sz w:val="18"/>
                <w:szCs w:val="18"/>
              </w:rPr>
            </w:pPr>
            <w:r w:rsidRPr="006F76B3">
              <w:rPr>
                <w:rFonts w:ascii="Arial" w:hAnsi="Arial" w:cs="Arial"/>
                <w:sz w:val="18"/>
                <w:szCs w:val="18"/>
              </w:rPr>
              <w:t>1</w:t>
            </w:r>
            <w:r w:rsidR="00C118D5">
              <w:rPr>
                <w:rFonts w:ascii="Arial" w:hAnsi="Arial" w:cs="Arial"/>
                <w:sz w:val="18"/>
                <w:szCs w:val="18"/>
              </w:rPr>
              <w:t>6</w:t>
            </w:r>
            <w:r w:rsidRPr="006F76B3">
              <w:rPr>
                <w:rFonts w:ascii="Arial" w:hAnsi="Arial" w:cs="Arial"/>
                <w:sz w:val="18"/>
                <w:szCs w:val="18"/>
              </w:rPr>
              <w:t>,</w:t>
            </w:r>
            <w:r w:rsidR="00C118D5">
              <w:rPr>
                <w:rFonts w:ascii="Arial" w:hAnsi="Arial" w:cs="Arial"/>
                <w:sz w:val="18"/>
                <w:szCs w:val="18"/>
              </w:rPr>
              <w:t>3</w:t>
            </w:r>
            <w:r w:rsidRPr="006F76B3">
              <w:rPr>
                <w:rFonts w:ascii="Arial" w:hAnsi="Arial" w:cs="Arial"/>
                <w:sz w:val="18"/>
                <w:szCs w:val="18"/>
              </w:rPr>
              <w:t>%</w:t>
            </w:r>
          </w:p>
        </w:tc>
        <w:tc>
          <w:tcPr>
            <w:tcW w:w="1081" w:type="dxa"/>
            <w:vAlign w:val="center"/>
          </w:tcPr>
          <w:p w:rsidR="006F76B3" w:rsidRPr="006F76B3" w:rsidRDefault="00C118D5" w:rsidP="006F76B3">
            <w:pPr>
              <w:spacing w:after="0" w:line="240" w:lineRule="auto"/>
              <w:jc w:val="center"/>
              <w:rPr>
                <w:rFonts w:ascii="Arial" w:hAnsi="Arial" w:cs="Arial"/>
                <w:sz w:val="18"/>
                <w:szCs w:val="18"/>
              </w:rPr>
            </w:pPr>
            <w:r>
              <w:rPr>
                <w:rFonts w:ascii="Arial" w:hAnsi="Arial" w:cs="Arial"/>
                <w:sz w:val="18"/>
                <w:szCs w:val="18"/>
              </w:rPr>
              <w:t>0</w:t>
            </w:r>
            <w:r w:rsidR="006F76B3" w:rsidRPr="006F76B3">
              <w:rPr>
                <w:rFonts w:ascii="Arial" w:hAnsi="Arial" w:cs="Arial"/>
                <w:sz w:val="18"/>
                <w:szCs w:val="18"/>
              </w:rPr>
              <w:t xml:space="preserve"> km.</w:t>
            </w:r>
          </w:p>
        </w:tc>
      </w:tr>
      <w:tr w:rsidR="006F76B3" w:rsidRPr="006F76B3" w:rsidTr="000C1E3E">
        <w:trPr>
          <w:trHeight w:val="56"/>
          <w:jc w:val="center"/>
        </w:trPr>
        <w:tc>
          <w:tcPr>
            <w:tcW w:w="2033" w:type="dxa"/>
            <w:vMerge w:val="restart"/>
            <w:vAlign w:val="center"/>
          </w:tcPr>
          <w:p w:rsidR="006F76B3" w:rsidRPr="006F76B3" w:rsidRDefault="006F76B3" w:rsidP="006F76B3">
            <w:pPr>
              <w:spacing w:after="0" w:line="240" w:lineRule="auto"/>
              <w:rPr>
                <w:rFonts w:ascii="Arial" w:hAnsi="Arial" w:cs="Arial"/>
                <w:sz w:val="18"/>
                <w:szCs w:val="18"/>
              </w:rPr>
            </w:pPr>
            <w:r w:rsidRPr="006F76B3">
              <w:rPr>
                <w:rFonts w:ascii="Arial" w:hAnsi="Arial" w:cs="Arial"/>
                <w:sz w:val="18"/>
                <w:szCs w:val="18"/>
              </w:rPr>
              <w:t>Reducción de costos por congestión vehicular</w:t>
            </w:r>
            <w:r w:rsidR="00FB0631">
              <w:rPr>
                <w:rStyle w:val="FootnoteReference"/>
                <w:rFonts w:ascii="Arial" w:hAnsi="Arial"/>
                <w:sz w:val="18"/>
                <w:szCs w:val="18"/>
              </w:rPr>
              <w:footnoteReference w:id="18"/>
            </w:r>
          </w:p>
        </w:tc>
        <w:tc>
          <w:tcPr>
            <w:tcW w:w="1910" w:type="dxa"/>
            <w:vAlign w:val="center"/>
          </w:tcPr>
          <w:p w:rsidR="006F76B3" w:rsidRPr="006F76B3" w:rsidRDefault="006F76B3" w:rsidP="006F76B3">
            <w:pPr>
              <w:spacing w:after="0" w:line="240" w:lineRule="auto"/>
              <w:rPr>
                <w:rFonts w:ascii="Arial" w:hAnsi="Arial" w:cs="Arial"/>
                <w:sz w:val="18"/>
                <w:szCs w:val="18"/>
              </w:rPr>
            </w:pPr>
            <w:r>
              <w:rPr>
                <w:rFonts w:ascii="Arial" w:hAnsi="Arial" w:cs="Arial"/>
                <w:sz w:val="18"/>
                <w:szCs w:val="18"/>
              </w:rPr>
              <w:t xml:space="preserve">Invernadero </w:t>
            </w:r>
          </w:p>
        </w:tc>
        <w:tc>
          <w:tcPr>
            <w:tcW w:w="1315" w:type="dxa"/>
            <w:vAlign w:val="center"/>
          </w:tcPr>
          <w:p w:rsidR="006F76B3" w:rsidRPr="006F76B3" w:rsidRDefault="006F76B3" w:rsidP="006F76B3">
            <w:pPr>
              <w:spacing w:after="0" w:line="240" w:lineRule="auto"/>
              <w:jc w:val="center"/>
              <w:rPr>
                <w:rFonts w:ascii="Arial" w:hAnsi="Arial" w:cs="Arial"/>
                <w:sz w:val="18"/>
                <w:szCs w:val="18"/>
              </w:rPr>
            </w:pPr>
            <w:r w:rsidRPr="006F76B3">
              <w:rPr>
                <w:rFonts w:ascii="Arial" w:hAnsi="Arial" w:cs="Arial"/>
                <w:sz w:val="18"/>
                <w:szCs w:val="18"/>
              </w:rPr>
              <w:t>50%</w:t>
            </w:r>
          </w:p>
        </w:tc>
        <w:tc>
          <w:tcPr>
            <w:tcW w:w="882" w:type="dxa"/>
            <w:vAlign w:val="center"/>
          </w:tcPr>
          <w:p w:rsidR="006F76B3" w:rsidRPr="006F76B3" w:rsidRDefault="006F76B3" w:rsidP="006F76B3">
            <w:pPr>
              <w:spacing w:after="0" w:line="240" w:lineRule="auto"/>
              <w:jc w:val="center"/>
              <w:rPr>
                <w:rFonts w:ascii="Arial" w:hAnsi="Arial" w:cs="Arial"/>
                <w:sz w:val="18"/>
                <w:szCs w:val="18"/>
              </w:rPr>
            </w:pPr>
            <w:r w:rsidRPr="006F76B3">
              <w:rPr>
                <w:rFonts w:ascii="Arial" w:hAnsi="Arial" w:cs="Arial"/>
                <w:sz w:val="18"/>
                <w:szCs w:val="18"/>
              </w:rPr>
              <w:t>75%</w:t>
            </w:r>
          </w:p>
        </w:tc>
        <w:tc>
          <w:tcPr>
            <w:tcW w:w="799" w:type="dxa"/>
            <w:vMerge w:val="restart"/>
            <w:vAlign w:val="center"/>
          </w:tcPr>
          <w:p w:rsidR="006F76B3" w:rsidRPr="006F76B3" w:rsidRDefault="006F76B3" w:rsidP="00886901">
            <w:pPr>
              <w:spacing w:after="0" w:line="240" w:lineRule="auto"/>
              <w:jc w:val="center"/>
              <w:rPr>
                <w:rFonts w:ascii="Arial" w:hAnsi="Arial" w:cs="Arial"/>
                <w:sz w:val="18"/>
                <w:szCs w:val="18"/>
              </w:rPr>
            </w:pPr>
            <w:r w:rsidRPr="006F76B3">
              <w:rPr>
                <w:rFonts w:ascii="Arial" w:hAnsi="Arial" w:cs="Arial"/>
                <w:sz w:val="18"/>
                <w:szCs w:val="18"/>
              </w:rPr>
              <w:t>1</w:t>
            </w:r>
            <w:r w:rsidR="00886901">
              <w:rPr>
                <w:rFonts w:ascii="Arial" w:hAnsi="Arial" w:cs="Arial"/>
                <w:sz w:val="18"/>
                <w:szCs w:val="18"/>
              </w:rPr>
              <w:t>7</w:t>
            </w:r>
            <w:r w:rsidRPr="006F76B3">
              <w:rPr>
                <w:rFonts w:ascii="Arial" w:hAnsi="Arial" w:cs="Arial"/>
                <w:sz w:val="18"/>
                <w:szCs w:val="18"/>
              </w:rPr>
              <w:t>,</w:t>
            </w:r>
            <w:r w:rsidR="00886901">
              <w:rPr>
                <w:rFonts w:ascii="Arial" w:hAnsi="Arial" w:cs="Arial"/>
                <w:sz w:val="18"/>
                <w:szCs w:val="18"/>
              </w:rPr>
              <w:t>1</w:t>
            </w:r>
            <w:r w:rsidRPr="006F76B3">
              <w:rPr>
                <w:rFonts w:ascii="Arial" w:hAnsi="Arial" w:cs="Arial"/>
                <w:sz w:val="18"/>
                <w:szCs w:val="18"/>
              </w:rPr>
              <w:t>%</w:t>
            </w:r>
          </w:p>
        </w:tc>
        <w:tc>
          <w:tcPr>
            <w:tcW w:w="869" w:type="dxa"/>
            <w:vAlign w:val="center"/>
          </w:tcPr>
          <w:p w:rsidR="006F76B3" w:rsidRPr="006F76B3" w:rsidRDefault="006F76B3" w:rsidP="006F76B3">
            <w:pPr>
              <w:spacing w:after="0" w:line="240" w:lineRule="auto"/>
              <w:jc w:val="center"/>
              <w:rPr>
                <w:rFonts w:ascii="Arial" w:hAnsi="Arial" w:cs="Arial"/>
                <w:sz w:val="18"/>
                <w:szCs w:val="18"/>
              </w:rPr>
            </w:pPr>
            <w:r w:rsidRPr="006F76B3">
              <w:rPr>
                <w:rFonts w:ascii="Arial" w:hAnsi="Arial" w:cs="Arial"/>
                <w:sz w:val="18"/>
                <w:szCs w:val="18"/>
              </w:rPr>
              <w:t>25%</w:t>
            </w:r>
          </w:p>
        </w:tc>
        <w:tc>
          <w:tcPr>
            <w:tcW w:w="799" w:type="dxa"/>
            <w:vMerge w:val="restart"/>
            <w:vAlign w:val="center"/>
          </w:tcPr>
          <w:p w:rsidR="006F76B3" w:rsidRPr="006F76B3" w:rsidRDefault="006F76B3" w:rsidP="00886901">
            <w:pPr>
              <w:spacing w:after="0" w:line="240" w:lineRule="auto"/>
              <w:jc w:val="center"/>
              <w:rPr>
                <w:rFonts w:ascii="Arial" w:hAnsi="Arial" w:cs="Arial"/>
                <w:sz w:val="18"/>
                <w:szCs w:val="18"/>
              </w:rPr>
            </w:pPr>
            <w:r w:rsidRPr="006F76B3">
              <w:rPr>
                <w:rFonts w:ascii="Arial" w:hAnsi="Arial" w:cs="Arial"/>
                <w:sz w:val="18"/>
                <w:szCs w:val="18"/>
              </w:rPr>
              <w:t>1</w:t>
            </w:r>
            <w:r w:rsidR="00886901">
              <w:rPr>
                <w:rFonts w:ascii="Arial" w:hAnsi="Arial" w:cs="Arial"/>
                <w:sz w:val="18"/>
                <w:szCs w:val="18"/>
              </w:rPr>
              <w:t>6</w:t>
            </w:r>
            <w:r w:rsidRPr="006F76B3">
              <w:rPr>
                <w:rFonts w:ascii="Arial" w:hAnsi="Arial" w:cs="Arial"/>
                <w:sz w:val="18"/>
                <w:szCs w:val="18"/>
              </w:rPr>
              <w:t>,</w:t>
            </w:r>
            <w:r w:rsidR="00886901">
              <w:rPr>
                <w:rFonts w:ascii="Arial" w:hAnsi="Arial" w:cs="Arial"/>
                <w:sz w:val="18"/>
                <w:szCs w:val="18"/>
              </w:rPr>
              <w:t>4</w:t>
            </w:r>
            <w:r w:rsidRPr="006F76B3">
              <w:rPr>
                <w:rFonts w:ascii="Arial" w:hAnsi="Arial" w:cs="Arial"/>
                <w:sz w:val="18"/>
                <w:szCs w:val="18"/>
              </w:rPr>
              <w:t>%</w:t>
            </w:r>
          </w:p>
        </w:tc>
        <w:tc>
          <w:tcPr>
            <w:tcW w:w="1081" w:type="dxa"/>
            <w:vAlign w:val="center"/>
          </w:tcPr>
          <w:p w:rsidR="006F76B3" w:rsidRPr="006F76B3" w:rsidRDefault="00886901" w:rsidP="006F76B3">
            <w:pPr>
              <w:spacing w:after="0" w:line="240" w:lineRule="auto"/>
              <w:jc w:val="center"/>
              <w:rPr>
                <w:rFonts w:ascii="Arial" w:hAnsi="Arial" w:cs="Arial"/>
                <w:sz w:val="18"/>
                <w:szCs w:val="18"/>
              </w:rPr>
            </w:pPr>
            <w:r>
              <w:rPr>
                <w:rFonts w:ascii="Arial" w:hAnsi="Arial" w:cs="Arial"/>
                <w:sz w:val="18"/>
                <w:szCs w:val="18"/>
              </w:rPr>
              <w:t>0</w:t>
            </w:r>
            <w:r w:rsidR="006F76B3" w:rsidRPr="006F76B3">
              <w:rPr>
                <w:rFonts w:ascii="Arial" w:hAnsi="Arial" w:cs="Arial"/>
                <w:sz w:val="18"/>
                <w:szCs w:val="18"/>
              </w:rPr>
              <w:t>%</w:t>
            </w:r>
          </w:p>
        </w:tc>
      </w:tr>
      <w:tr w:rsidR="006F76B3" w:rsidRPr="006F76B3" w:rsidTr="000C1E3E">
        <w:trPr>
          <w:trHeight w:val="110"/>
          <w:jc w:val="center"/>
        </w:trPr>
        <w:tc>
          <w:tcPr>
            <w:tcW w:w="2033" w:type="dxa"/>
            <w:vMerge/>
            <w:vAlign w:val="center"/>
          </w:tcPr>
          <w:p w:rsidR="006F76B3" w:rsidRPr="006F76B3" w:rsidRDefault="006F76B3" w:rsidP="006F76B3">
            <w:pPr>
              <w:spacing w:after="0" w:line="240" w:lineRule="auto"/>
              <w:rPr>
                <w:rFonts w:ascii="Arial" w:hAnsi="Arial" w:cs="Arial"/>
                <w:sz w:val="18"/>
                <w:szCs w:val="18"/>
              </w:rPr>
            </w:pPr>
          </w:p>
        </w:tc>
        <w:tc>
          <w:tcPr>
            <w:tcW w:w="1910" w:type="dxa"/>
            <w:vAlign w:val="center"/>
          </w:tcPr>
          <w:p w:rsidR="006F76B3" w:rsidRPr="006F76B3" w:rsidRDefault="006F76B3" w:rsidP="006F76B3">
            <w:pPr>
              <w:spacing w:after="0" w:line="240" w:lineRule="auto"/>
              <w:rPr>
                <w:rFonts w:ascii="Arial" w:hAnsi="Arial" w:cs="Arial"/>
                <w:sz w:val="18"/>
                <w:szCs w:val="18"/>
              </w:rPr>
            </w:pPr>
            <w:r>
              <w:rPr>
                <w:rFonts w:ascii="Arial" w:hAnsi="Arial" w:cs="Arial"/>
                <w:sz w:val="18"/>
                <w:szCs w:val="18"/>
              </w:rPr>
              <w:t xml:space="preserve">Salud </w:t>
            </w:r>
          </w:p>
        </w:tc>
        <w:tc>
          <w:tcPr>
            <w:tcW w:w="1315" w:type="dxa"/>
            <w:vAlign w:val="center"/>
          </w:tcPr>
          <w:p w:rsidR="006F76B3" w:rsidRPr="006F76B3" w:rsidRDefault="006F76B3" w:rsidP="006F76B3">
            <w:pPr>
              <w:spacing w:after="0" w:line="240" w:lineRule="auto"/>
              <w:jc w:val="center"/>
              <w:rPr>
                <w:rFonts w:ascii="Arial" w:hAnsi="Arial" w:cs="Arial"/>
                <w:sz w:val="18"/>
                <w:szCs w:val="18"/>
              </w:rPr>
            </w:pPr>
            <w:r w:rsidRPr="006F76B3">
              <w:rPr>
                <w:rFonts w:ascii="Arial" w:hAnsi="Arial" w:cs="Arial"/>
                <w:sz w:val="18"/>
                <w:szCs w:val="18"/>
              </w:rPr>
              <w:t>70%</w:t>
            </w:r>
          </w:p>
        </w:tc>
        <w:tc>
          <w:tcPr>
            <w:tcW w:w="882" w:type="dxa"/>
            <w:vAlign w:val="center"/>
          </w:tcPr>
          <w:p w:rsidR="006F76B3" w:rsidRPr="006F76B3" w:rsidRDefault="006F76B3" w:rsidP="006F76B3">
            <w:pPr>
              <w:spacing w:after="0" w:line="240" w:lineRule="auto"/>
              <w:jc w:val="center"/>
              <w:rPr>
                <w:rFonts w:ascii="Arial" w:hAnsi="Arial" w:cs="Arial"/>
                <w:sz w:val="18"/>
                <w:szCs w:val="18"/>
              </w:rPr>
            </w:pPr>
            <w:r w:rsidRPr="006F76B3">
              <w:rPr>
                <w:rFonts w:ascii="Arial" w:hAnsi="Arial" w:cs="Arial"/>
                <w:sz w:val="18"/>
                <w:szCs w:val="18"/>
              </w:rPr>
              <w:t>75%</w:t>
            </w:r>
          </w:p>
        </w:tc>
        <w:tc>
          <w:tcPr>
            <w:tcW w:w="799" w:type="dxa"/>
            <w:vMerge/>
            <w:vAlign w:val="center"/>
          </w:tcPr>
          <w:p w:rsidR="006F76B3" w:rsidRPr="006F76B3" w:rsidRDefault="006F76B3" w:rsidP="006F76B3">
            <w:pPr>
              <w:spacing w:after="0" w:line="240" w:lineRule="auto"/>
              <w:jc w:val="center"/>
              <w:rPr>
                <w:rFonts w:ascii="Arial" w:hAnsi="Arial" w:cs="Arial"/>
                <w:sz w:val="18"/>
                <w:szCs w:val="18"/>
              </w:rPr>
            </w:pPr>
          </w:p>
        </w:tc>
        <w:tc>
          <w:tcPr>
            <w:tcW w:w="869" w:type="dxa"/>
            <w:vAlign w:val="center"/>
          </w:tcPr>
          <w:p w:rsidR="006F76B3" w:rsidRPr="006F76B3" w:rsidRDefault="006F76B3" w:rsidP="006F76B3">
            <w:pPr>
              <w:spacing w:after="0" w:line="240" w:lineRule="auto"/>
              <w:jc w:val="center"/>
              <w:rPr>
                <w:rFonts w:ascii="Arial" w:hAnsi="Arial" w:cs="Arial"/>
                <w:sz w:val="18"/>
                <w:szCs w:val="18"/>
              </w:rPr>
            </w:pPr>
            <w:r w:rsidRPr="006F76B3">
              <w:rPr>
                <w:rFonts w:ascii="Arial" w:hAnsi="Arial" w:cs="Arial"/>
                <w:sz w:val="18"/>
                <w:szCs w:val="18"/>
              </w:rPr>
              <w:t>50%</w:t>
            </w:r>
          </w:p>
        </w:tc>
        <w:tc>
          <w:tcPr>
            <w:tcW w:w="799" w:type="dxa"/>
            <w:vMerge/>
            <w:vAlign w:val="center"/>
          </w:tcPr>
          <w:p w:rsidR="006F76B3" w:rsidRPr="006F76B3" w:rsidRDefault="006F76B3" w:rsidP="006F76B3">
            <w:pPr>
              <w:spacing w:after="0" w:line="240" w:lineRule="auto"/>
              <w:jc w:val="center"/>
              <w:rPr>
                <w:rFonts w:ascii="Arial" w:hAnsi="Arial" w:cs="Arial"/>
                <w:sz w:val="18"/>
                <w:szCs w:val="18"/>
              </w:rPr>
            </w:pPr>
          </w:p>
        </w:tc>
        <w:tc>
          <w:tcPr>
            <w:tcW w:w="1081" w:type="dxa"/>
            <w:vAlign w:val="center"/>
          </w:tcPr>
          <w:p w:rsidR="006F76B3" w:rsidRPr="006F76B3" w:rsidRDefault="00886901" w:rsidP="006F76B3">
            <w:pPr>
              <w:spacing w:after="0" w:line="240" w:lineRule="auto"/>
              <w:jc w:val="center"/>
              <w:rPr>
                <w:rFonts w:ascii="Arial" w:hAnsi="Arial" w:cs="Arial"/>
                <w:sz w:val="18"/>
                <w:szCs w:val="18"/>
              </w:rPr>
            </w:pPr>
            <w:r>
              <w:rPr>
                <w:rFonts w:ascii="Arial" w:hAnsi="Arial" w:cs="Arial"/>
                <w:sz w:val="18"/>
                <w:szCs w:val="18"/>
              </w:rPr>
              <w:t>0</w:t>
            </w:r>
            <w:r w:rsidR="006F76B3" w:rsidRPr="006F76B3">
              <w:rPr>
                <w:rFonts w:ascii="Arial" w:hAnsi="Arial" w:cs="Arial"/>
                <w:sz w:val="18"/>
                <w:szCs w:val="18"/>
              </w:rPr>
              <w:t>%</w:t>
            </w:r>
          </w:p>
        </w:tc>
      </w:tr>
      <w:tr w:rsidR="006F76B3" w:rsidRPr="006F76B3" w:rsidTr="000C1E3E">
        <w:trPr>
          <w:trHeight w:val="56"/>
          <w:jc w:val="center"/>
        </w:trPr>
        <w:tc>
          <w:tcPr>
            <w:tcW w:w="2033" w:type="dxa"/>
            <w:vMerge/>
            <w:vAlign w:val="center"/>
          </w:tcPr>
          <w:p w:rsidR="006F76B3" w:rsidRPr="006F76B3" w:rsidRDefault="006F76B3" w:rsidP="006F76B3">
            <w:pPr>
              <w:spacing w:after="0" w:line="240" w:lineRule="auto"/>
              <w:rPr>
                <w:rFonts w:ascii="Arial" w:hAnsi="Arial" w:cs="Arial"/>
                <w:sz w:val="18"/>
                <w:szCs w:val="18"/>
              </w:rPr>
            </w:pPr>
          </w:p>
        </w:tc>
        <w:tc>
          <w:tcPr>
            <w:tcW w:w="1910" w:type="dxa"/>
            <w:vAlign w:val="center"/>
          </w:tcPr>
          <w:p w:rsidR="006F76B3" w:rsidRPr="006F76B3" w:rsidRDefault="006F76B3" w:rsidP="006F76B3">
            <w:pPr>
              <w:spacing w:after="0" w:line="240" w:lineRule="auto"/>
              <w:rPr>
                <w:rFonts w:ascii="Arial" w:hAnsi="Arial" w:cs="Arial"/>
                <w:sz w:val="18"/>
                <w:szCs w:val="18"/>
              </w:rPr>
            </w:pPr>
            <w:r>
              <w:rPr>
                <w:rFonts w:ascii="Arial" w:hAnsi="Arial" w:cs="Arial"/>
                <w:sz w:val="18"/>
                <w:szCs w:val="18"/>
              </w:rPr>
              <w:t xml:space="preserve">Accidentes </w:t>
            </w:r>
          </w:p>
        </w:tc>
        <w:tc>
          <w:tcPr>
            <w:tcW w:w="1315" w:type="dxa"/>
            <w:vAlign w:val="center"/>
          </w:tcPr>
          <w:p w:rsidR="006F76B3" w:rsidRPr="006F76B3" w:rsidRDefault="006F76B3" w:rsidP="006F76B3">
            <w:pPr>
              <w:spacing w:after="0" w:line="240" w:lineRule="auto"/>
              <w:jc w:val="center"/>
              <w:rPr>
                <w:rFonts w:ascii="Arial" w:hAnsi="Arial" w:cs="Arial"/>
                <w:sz w:val="18"/>
                <w:szCs w:val="18"/>
              </w:rPr>
            </w:pPr>
            <w:r w:rsidRPr="006F76B3">
              <w:rPr>
                <w:rFonts w:ascii="Arial" w:hAnsi="Arial" w:cs="Arial"/>
                <w:sz w:val="18"/>
                <w:szCs w:val="18"/>
              </w:rPr>
              <w:t>50%</w:t>
            </w:r>
          </w:p>
        </w:tc>
        <w:tc>
          <w:tcPr>
            <w:tcW w:w="882" w:type="dxa"/>
            <w:vAlign w:val="center"/>
          </w:tcPr>
          <w:p w:rsidR="006F76B3" w:rsidRPr="006F76B3" w:rsidRDefault="006F76B3" w:rsidP="006F76B3">
            <w:pPr>
              <w:spacing w:after="0" w:line="240" w:lineRule="auto"/>
              <w:jc w:val="center"/>
              <w:rPr>
                <w:rFonts w:ascii="Arial" w:hAnsi="Arial" w:cs="Arial"/>
                <w:sz w:val="18"/>
                <w:szCs w:val="18"/>
              </w:rPr>
            </w:pPr>
            <w:r w:rsidRPr="006F76B3">
              <w:rPr>
                <w:rFonts w:ascii="Arial" w:hAnsi="Arial" w:cs="Arial"/>
                <w:sz w:val="18"/>
                <w:szCs w:val="18"/>
              </w:rPr>
              <w:t>75%</w:t>
            </w:r>
          </w:p>
        </w:tc>
        <w:tc>
          <w:tcPr>
            <w:tcW w:w="799" w:type="dxa"/>
            <w:vMerge/>
            <w:vAlign w:val="center"/>
          </w:tcPr>
          <w:p w:rsidR="006F76B3" w:rsidRPr="006F76B3" w:rsidRDefault="006F76B3" w:rsidP="006F76B3">
            <w:pPr>
              <w:spacing w:after="0" w:line="240" w:lineRule="auto"/>
              <w:jc w:val="center"/>
              <w:rPr>
                <w:rFonts w:ascii="Arial" w:hAnsi="Arial" w:cs="Arial"/>
                <w:sz w:val="18"/>
                <w:szCs w:val="18"/>
              </w:rPr>
            </w:pPr>
          </w:p>
        </w:tc>
        <w:tc>
          <w:tcPr>
            <w:tcW w:w="869" w:type="dxa"/>
            <w:vAlign w:val="center"/>
          </w:tcPr>
          <w:p w:rsidR="006F76B3" w:rsidRPr="006F76B3" w:rsidRDefault="006F76B3" w:rsidP="006F76B3">
            <w:pPr>
              <w:spacing w:after="0" w:line="240" w:lineRule="auto"/>
              <w:jc w:val="center"/>
              <w:rPr>
                <w:rFonts w:ascii="Arial" w:hAnsi="Arial" w:cs="Arial"/>
                <w:sz w:val="18"/>
                <w:szCs w:val="18"/>
              </w:rPr>
            </w:pPr>
            <w:r w:rsidRPr="006F76B3">
              <w:rPr>
                <w:rFonts w:ascii="Arial" w:hAnsi="Arial" w:cs="Arial"/>
                <w:sz w:val="18"/>
                <w:szCs w:val="18"/>
              </w:rPr>
              <w:t>25%</w:t>
            </w:r>
          </w:p>
        </w:tc>
        <w:tc>
          <w:tcPr>
            <w:tcW w:w="799" w:type="dxa"/>
            <w:vMerge/>
            <w:vAlign w:val="center"/>
          </w:tcPr>
          <w:p w:rsidR="006F76B3" w:rsidRPr="006F76B3" w:rsidRDefault="006F76B3" w:rsidP="006F76B3">
            <w:pPr>
              <w:spacing w:after="0" w:line="240" w:lineRule="auto"/>
              <w:jc w:val="center"/>
              <w:rPr>
                <w:rFonts w:ascii="Arial" w:hAnsi="Arial" w:cs="Arial"/>
                <w:sz w:val="18"/>
                <w:szCs w:val="18"/>
              </w:rPr>
            </w:pPr>
          </w:p>
        </w:tc>
        <w:tc>
          <w:tcPr>
            <w:tcW w:w="1081" w:type="dxa"/>
            <w:vAlign w:val="center"/>
          </w:tcPr>
          <w:p w:rsidR="006F76B3" w:rsidRPr="006F76B3" w:rsidRDefault="00886901" w:rsidP="006F76B3">
            <w:pPr>
              <w:spacing w:after="0" w:line="240" w:lineRule="auto"/>
              <w:jc w:val="center"/>
              <w:rPr>
                <w:rFonts w:ascii="Arial" w:hAnsi="Arial" w:cs="Arial"/>
                <w:sz w:val="18"/>
                <w:szCs w:val="18"/>
              </w:rPr>
            </w:pPr>
            <w:r>
              <w:rPr>
                <w:rFonts w:ascii="Arial" w:hAnsi="Arial" w:cs="Arial"/>
                <w:sz w:val="18"/>
                <w:szCs w:val="18"/>
              </w:rPr>
              <w:t>0</w:t>
            </w:r>
            <w:r w:rsidR="006F76B3" w:rsidRPr="006F76B3">
              <w:rPr>
                <w:rFonts w:ascii="Arial" w:hAnsi="Arial" w:cs="Arial"/>
                <w:sz w:val="18"/>
                <w:szCs w:val="18"/>
              </w:rPr>
              <w:t>%</w:t>
            </w:r>
          </w:p>
        </w:tc>
      </w:tr>
      <w:tr w:rsidR="006F76B3" w:rsidRPr="006F76B3" w:rsidTr="000C1E3E">
        <w:trPr>
          <w:trHeight w:val="274"/>
          <w:jc w:val="center"/>
        </w:trPr>
        <w:tc>
          <w:tcPr>
            <w:tcW w:w="3943" w:type="dxa"/>
            <w:gridSpan w:val="2"/>
            <w:vAlign w:val="center"/>
          </w:tcPr>
          <w:p w:rsidR="006F76B3" w:rsidRPr="006F76B3" w:rsidRDefault="006F76B3" w:rsidP="006F76B3">
            <w:pPr>
              <w:spacing w:after="0" w:line="240" w:lineRule="auto"/>
              <w:rPr>
                <w:rFonts w:ascii="Arial" w:hAnsi="Arial" w:cs="Arial"/>
                <w:sz w:val="18"/>
                <w:szCs w:val="18"/>
              </w:rPr>
            </w:pPr>
            <w:r w:rsidRPr="006F76B3">
              <w:rPr>
                <w:rFonts w:ascii="Arial" w:hAnsi="Arial" w:cs="Arial"/>
                <w:sz w:val="18"/>
                <w:szCs w:val="18"/>
              </w:rPr>
              <w:t>Crecimiento en la participación del sector logística en el PBG</w:t>
            </w:r>
          </w:p>
        </w:tc>
        <w:tc>
          <w:tcPr>
            <w:tcW w:w="1315" w:type="dxa"/>
            <w:vAlign w:val="center"/>
          </w:tcPr>
          <w:p w:rsidR="006F76B3" w:rsidRPr="006F76B3" w:rsidRDefault="00E71ED2" w:rsidP="006F76B3">
            <w:pPr>
              <w:spacing w:after="0" w:line="240" w:lineRule="auto"/>
              <w:jc w:val="center"/>
              <w:rPr>
                <w:rFonts w:ascii="Arial" w:hAnsi="Arial" w:cs="Arial"/>
                <w:sz w:val="18"/>
                <w:szCs w:val="18"/>
              </w:rPr>
            </w:pPr>
            <w:r>
              <w:rPr>
                <w:rFonts w:ascii="Arial" w:hAnsi="Arial" w:cs="Arial"/>
                <w:sz w:val="18"/>
                <w:szCs w:val="18"/>
              </w:rPr>
              <w:t>4</w:t>
            </w:r>
            <w:r w:rsidR="006F76B3" w:rsidRPr="006F76B3">
              <w:rPr>
                <w:rFonts w:ascii="Arial" w:hAnsi="Arial" w:cs="Arial"/>
                <w:sz w:val="18"/>
                <w:szCs w:val="18"/>
              </w:rPr>
              <w:t>%</w:t>
            </w:r>
          </w:p>
        </w:tc>
        <w:tc>
          <w:tcPr>
            <w:tcW w:w="882" w:type="dxa"/>
            <w:vAlign w:val="center"/>
          </w:tcPr>
          <w:p w:rsidR="006F76B3" w:rsidRPr="006F76B3" w:rsidRDefault="00E71ED2" w:rsidP="006F76B3">
            <w:pPr>
              <w:spacing w:after="0" w:line="240" w:lineRule="auto"/>
              <w:jc w:val="center"/>
              <w:rPr>
                <w:rFonts w:ascii="Arial" w:hAnsi="Arial" w:cs="Arial"/>
                <w:sz w:val="18"/>
                <w:szCs w:val="18"/>
              </w:rPr>
            </w:pPr>
            <w:r>
              <w:rPr>
                <w:rFonts w:ascii="Arial" w:hAnsi="Arial" w:cs="Arial"/>
                <w:sz w:val="18"/>
                <w:szCs w:val="18"/>
              </w:rPr>
              <w:t>5</w:t>
            </w:r>
            <w:r w:rsidR="006F76B3" w:rsidRPr="006F76B3">
              <w:rPr>
                <w:rFonts w:ascii="Arial" w:hAnsi="Arial" w:cs="Arial"/>
                <w:sz w:val="18"/>
                <w:szCs w:val="18"/>
              </w:rPr>
              <w:t>%</w:t>
            </w:r>
          </w:p>
        </w:tc>
        <w:tc>
          <w:tcPr>
            <w:tcW w:w="799" w:type="dxa"/>
            <w:vAlign w:val="center"/>
          </w:tcPr>
          <w:p w:rsidR="006F76B3" w:rsidRPr="006F76B3" w:rsidRDefault="006F76B3" w:rsidP="00E71ED2">
            <w:pPr>
              <w:spacing w:after="0" w:line="240" w:lineRule="auto"/>
              <w:jc w:val="center"/>
              <w:rPr>
                <w:rFonts w:ascii="Arial" w:hAnsi="Arial" w:cs="Arial"/>
                <w:sz w:val="18"/>
                <w:szCs w:val="18"/>
              </w:rPr>
            </w:pPr>
            <w:r w:rsidRPr="006F76B3">
              <w:rPr>
                <w:rFonts w:ascii="Arial" w:hAnsi="Arial" w:cs="Arial"/>
                <w:sz w:val="18"/>
                <w:szCs w:val="18"/>
              </w:rPr>
              <w:t>1</w:t>
            </w:r>
            <w:r w:rsidR="00E71ED2">
              <w:rPr>
                <w:rFonts w:ascii="Arial" w:hAnsi="Arial" w:cs="Arial"/>
                <w:sz w:val="18"/>
                <w:szCs w:val="18"/>
              </w:rPr>
              <w:t>7</w:t>
            </w:r>
            <w:r w:rsidRPr="006F76B3">
              <w:rPr>
                <w:rFonts w:ascii="Arial" w:hAnsi="Arial" w:cs="Arial"/>
                <w:sz w:val="18"/>
                <w:szCs w:val="18"/>
              </w:rPr>
              <w:t>,3%</w:t>
            </w:r>
          </w:p>
        </w:tc>
        <w:tc>
          <w:tcPr>
            <w:tcW w:w="869" w:type="dxa"/>
            <w:vAlign w:val="center"/>
          </w:tcPr>
          <w:p w:rsidR="006F76B3" w:rsidRPr="006F76B3" w:rsidRDefault="00E71ED2" w:rsidP="006F76B3">
            <w:pPr>
              <w:spacing w:after="0" w:line="240" w:lineRule="auto"/>
              <w:jc w:val="center"/>
              <w:rPr>
                <w:rFonts w:ascii="Arial" w:hAnsi="Arial" w:cs="Arial"/>
                <w:sz w:val="18"/>
                <w:szCs w:val="18"/>
              </w:rPr>
            </w:pPr>
            <w:r>
              <w:rPr>
                <w:rFonts w:ascii="Arial" w:hAnsi="Arial" w:cs="Arial"/>
                <w:sz w:val="18"/>
                <w:szCs w:val="18"/>
              </w:rPr>
              <w:t>3</w:t>
            </w:r>
            <w:r w:rsidR="006F76B3" w:rsidRPr="006F76B3">
              <w:rPr>
                <w:rFonts w:ascii="Arial" w:hAnsi="Arial" w:cs="Arial"/>
                <w:sz w:val="18"/>
                <w:szCs w:val="18"/>
              </w:rPr>
              <w:t>%</w:t>
            </w:r>
          </w:p>
        </w:tc>
        <w:tc>
          <w:tcPr>
            <w:tcW w:w="799" w:type="dxa"/>
            <w:vAlign w:val="center"/>
          </w:tcPr>
          <w:p w:rsidR="006F76B3" w:rsidRPr="006F76B3" w:rsidRDefault="00E71ED2" w:rsidP="00E71ED2">
            <w:pPr>
              <w:spacing w:after="0" w:line="240" w:lineRule="auto"/>
              <w:jc w:val="center"/>
              <w:rPr>
                <w:rFonts w:ascii="Arial" w:hAnsi="Arial" w:cs="Arial"/>
                <w:color w:val="FF0000"/>
                <w:sz w:val="18"/>
                <w:szCs w:val="18"/>
              </w:rPr>
            </w:pPr>
            <w:r w:rsidRPr="00E71ED2">
              <w:rPr>
                <w:rFonts w:ascii="Arial" w:hAnsi="Arial" w:cs="Arial"/>
                <w:sz w:val="18"/>
                <w:szCs w:val="18"/>
              </w:rPr>
              <w:t>16</w:t>
            </w:r>
            <w:r w:rsidR="006F76B3" w:rsidRPr="00E71ED2">
              <w:rPr>
                <w:rFonts w:ascii="Arial" w:hAnsi="Arial" w:cs="Arial"/>
                <w:sz w:val="18"/>
                <w:szCs w:val="18"/>
              </w:rPr>
              <w:t>,</w:t>
            </w:r>
            <w:r w:rsidRPr="00E71ED2">
              <w:rPr>
                <w:rFonts w:ascii="Arial" w:hAnsi="Arial" w:cs="Arial"/>
                <w:sz w:val="18"/>
                <w:szCs w:val="18"/>
              </w:rPr>
              <w:t>6</w:t>
            </w:r>
            <w:r w:rsidR="006F76B3" w:rsidRPr="00E71ED2">
              <w:rPr>
                <w:rFonts w:ascii="Arial" w:hAnsi="Arial" w:cs="Arial"/>
                <w:sz w:val="18"/>
                <w:szCs w:val="18"/>
              </w:rPr>
              <w:t>%</w:t>
            </w:r>
          </w:p>
        </w:tc>
        <w:tc>
          <w:tcPr>
            <w:tcW w:w="1081" w:type="dxa"/>
            <w:vAlign w:val="center"/>
          </w:tcPr>
          <w:p w:rsidR="006F76B3" w:rsidRPr="006F76B3" w:rsidRDefault="00C118D5" w:rsidP="00C118D5">
            <w:pPr>
              <w:spacing w:after="0" w:line="240" w:lineRule="auto"/>
              <w:jc w:val="center"/>
              <w:rPr>
                <w:rFonts w:ascii="Arial" w:hAnsi="Arial" w:cs="Arial"/>
                <w:sz w:val="18"/>
                <w:szCs w:val="18"/>
              </w:rPr>
            </w:pPr>
            <w:r>
              <w:rPr>
                <w:rFonts w:ascii="Arial" w:hAnsi="Arial" w:cs="Arial"/>
                <w:sz w:val="18"/>
                <w:szCs w:val="18"/>
              </w:rPr>
              <w:t>0</w:t>
            </w:r>
            <w:r w:rsidR="006F76B3" w:rsidRPr="006F76B3">
              <w:rPr>
                <w:rFonts w:ascii="Arial" w:hAnsi="Arial" w:cs="Arial"/>
                <w:sz w:val="18"/>
                <w:szCs w:val="18"/>
              </w:rPr>
              <w:t>%</w:t>
            </w:r>
          </w:p>
        </w:tc>
      </w:tr>
      <w:tr w:rsidR="006F76B3" w:rsidRPr="006F76B3" w:rsidTr="00D57D4A">
        <w:trPr>
          <w:trHeight w:val="363"/>
          <w:jc w:val="center"/>
        </w:trPr>
        <w:tc>
          <w:tcPr>
            <w:tcW w:w="3943" w:type="dxa"/>
            <w:gridSpan w:val="2"/>
            <w:vAlign w:val="center"/>
          </w:tcPr>
          <w:p w:rsidR="006F76B3" w:rsidRPr="006F76B3" w:rsidRDefault="006F76B3" w:rsidP="006F76B3">
            <w:pPr>
              <w:spacing w:after="0" w:line="240" w:lineRule="auto"/>
              <w:rPr>
                <w:rFonts w:ascii="Arial" w:hAnsi="Arial" w:cs="Arial"/>
                <w:sz w:val="18"/>
                <w:szCs w:val="18"/>
              </w:rPr>
            </w:pPr>
            <w:r w:rsidRPr="006F76B3">
              <w:rPr>
                <w:rFonts w:ascii="Arial" w:hAnsi="Arial" w:cs="Arial"/>
                <w:sz w:val="18"/>
                <w:szCs w:val="18"/>
              </w:rPr>
              <w:t>Reducción en el tiempo de espera de camiones</w:t>
            </w:r>
          </w:p>
        </w:tc>
        <w:tc>
          <w:tcPr>
            <w:tcW w:w="1315" w:type="dxa"/>
            <w:vAlign w:val="center"/>
          </w:tcPr>
          <w:p w:rsidR="006F76B3" w:rsidRPr="006F76B3" w:rsidRDefault="006F76B3" w:rsidP="006F76B3">
            <w:pPr>
              <w:spacing w:after="0" w:line="240" w:lineRule="auto"/>
              <w:jc w:val="center"/>
              <w:rPr>
                <w:rFonts w:ascii="Arial" w:hAnsi="Arial" w:cs="Arial"/>
                <w:sz w:val="18"/>
                <w:szCs w:val="18"/>
              </w:rPr>
            </w:pPr>
            <w:r>
              <w:rPr>
                <w:rFonts w:ascii="Arial" w:hAnsi="Arial" w:cs="Arial"/>
                <w:sz w:val="18"/>
                <w:szCs w:val="18"/>
              </w:rPr>
              <w:t>3</w:t>
            </w:r>
            <w:r w:rsidRPr="006F76B3">
              <w:rPr>
                <w:rFonts w:ascii="Arial" w:hAnsi="Arial" w:cs="Arial"/>
                <w:sz w:val="18"/>
                <w:szCs w:val="18"/>
              </w:rPr>
              <w:t>,</w:t>
            </w:r>
            <w:r>
              <w:rPr>
                <w:rFonts w:ascii="Arial" w:hAnsi="Arial" w:cs="Arial"/>
                <w:sz w:val="18"/>
                <w:szCs w:val="18"/>
              </w:rPr>
              <w:t>4</w:t>
            </w:r>
            <w:r w:rsidRPr="006F76B3">
              <w:rPr>
                <w:rFonts w:ascii="Arial" w:hAnsi="Arial" w:cs="Arial"/>
                <w:sz w:val="18"/>
                <w:szCs w:val="18"/>
              </w:rPr>
              <w:t>%</w:t>
            </w:r>
          </w:p>
        </w:tc>
        <w:tc>
          <w:tcPr>
            <w:tcW w:w="882" w:type="dxa"/>
            <w:vAlign w:val="center"/>
          </w:tcPr>
          <w:p w:rsidR="006F76B3" w:rsidRPr="006F76B3" w:rsidRDefault="006F76B3" w:rsidP="006F76B3">
            <w:pPr>
              <w:spacing w:after="0" w:line="240" w:lineRule="auto"/>
              <w:jc w:val="center"/>
              <w:rPr>
                <w:rFonts w:ascii="Arial" w:hAnsi="Arial" w:cs="Arial"/>
                <w:sz w:val="18"/>
                <w:szCs w:val="18"/>
              </w:rPr>
            </w:pPr>
            <w:r>
              <w:rPr>
                <w:rFonts w:ascii="Arial" w:hAnsi="Arial" w:cs="Arial"/>
                <w:sz w:val="18"/>
                <w:szCs w:val="18"/>
              </w:rPr>
              <w:t>4,3%</w:t>
            </w:r>
          </w:p>
        </w:tc>
        <w:tc>
          <w:tcPr>
            <w:tcW w:w="799" w:type="dxa"/>
            <w:vAlign w:val="center"/>
          </w:tcPr>
          <w:p w:rsidR="006F76B3" w:rsidRPr="006F76B3" w:rsidRDefault="006F76B3" w:rsidP="005C0765">
            <w:pPr>
              <w:spacing w:after="0" w:line="240" w:lineRule="auto"/>
              <w:jc w:val="center"/>
              <w:rPr>
                <w:rFonts w:ascii="Arial" w:hAnsi="Arial" w:cs="Arial"/>
                <w:sz w:val="18"/>
                <w:szCs w:val="18"/>
              </w:rPr>
            </w:pPr>
            <w:r w:rsidRPr="006F76B3">
              <w:rPr>
                <w:rFonts w:ascii="Arial" w:hAnsi="Arial" w:cs="Arial"/>
                <w:sz w:val="18"/>
                <w:szCs w:val="18"/>
              </w:rPr>
              <w:t>1</w:t>
            </w:r>
            <w:r w:rsidR="005C0765">
              <w:rPr>
                <w:rFonts w:ascii="Arial" w:hAnsi="Arial" w:cs="Arial"/>
                <w:sz w:val="18"/>
                <w:szCs w:val="18"/>
              </w:rPr>
              <w:t>9</w:t>
            </w:r>
            <w:r w:rsidRPr="006F76B3">
              <w:rPr>
                <w:rFonts w:ascii="Arial" w:hAnsi="Arial" w:cs="Arial"/>
                <w:sz w:val="18"/>
                <w:szCs w:val="18"/>
              </w:rPr>
              <w:t>,</w:t>
            </w:r>
            <w:r w:rsidR="005C0765">
              <w:rPr>
                <w:rFonts w:ascii="Arial" w:hAnsi="Arial" w:cs="Arial"/>
                <w:sz w:val="18"/>
                <w:szCs w:val="18"/>
              </w:rPr>
              <w:t>8</w:t>
            </w:r>
            <w:r w:rsidRPr="006F76B3">
              <w:rPr>
                <w:rFonts w:ascii="Arial" w:hAnsi="Arial" w:cs="Arial"/>
                <w:sz w:val="18"/>
                <w:szCs w:val="18"/>
              </w:rPr>
              <w:t>%</w:t>
            </w:r>
          </w:p>
        </w:tc>
        <w:tc>
          <w:tcPr>
            <w:tcW w:w="869" w:type="dxa"/>
            <w:vAlign w:val="center"/>
          </w:tcPr>
          <w:p w:rsidR="006F76B3" w:rsidRPr="006F76B3" w:rsidRDefault="006F76B3" w:rsidP="006F76B3">
            <w:pPr>
              <w:spacing w:after="0" w:line="240" w:lineRule="auto"/>
              <w:jc w:val="center"/>
              <w:rPr>
                <w:rFonts w:ascii="Arial" w:hAnsi="Arial" w:cs="Arial"/>
                <w:sz w:val="18"/>
                <w:szCs w:val="18"/>
              </w:rPr>
            </w:pPr>
            <w:r>
              <w:rPr>
                <w:rFonts w:ascii="Arial" w:hAnsi="Arial" w:cs="Arial"/>
                <w:sz w:val="18"/>
                <w:szCs w:val="18"/>
              </w:rPr>
              <w:t>2,6%</w:t>
            </w:r>
          </w:p>
        </w:tc>
        <w:tc>
          <w:tcPr>
            <w:tcW w:w="799" w:type="dxa"/>
            <w:vAlign w:val="center"/>
          </w:tcPr>
          <w:p w:rsidR="006F76B3" w:rsidRPr="006F76B3" w:rsidRDefault="006F76B3" w:rsidP="005C0765">
            <w:pPr>
              <w:spacing w:after="0" w:line="240" w:lineRule="auto"/>
              <w:jc w:val="center"/>
              <w:rPr>
                <w:rFonts w:ascii="Arial" w:hAnsi="Arial" w:cs="Arial"/>
                <w:sz w:val="18"/>
                <w:szCs w:val="18"/>
              </w:rPr>
            </w:pPr>
            <w:r w:rsidRPr="006F76B3">
              <w:rPr>
                <w:rFonts w:ascii="Arial" w:hAnsi="Arial" w:cs="Arial"/>
                <w:sz w:val="18"/>
                <w:szCs w:val="18"/>
              </w:rPr>
              <w:t>13,</w:t>
            </w:r>
            <w:r w:rsidR="005C0765">
              <w:rPr>
                <w:rFonts w:ascii="Arial" w:hAnsi="Arial" w:cs="Arial"/>
                <w:sz w:val="18"/>
                <w:szCs w:val="18"/>
              </w:rPr>
              <w:t>5</w:t>
            </w:r>
            <w:r w:rsidRPr="006F76B3">
              <w:rPr>
                <w:rFonts w:ascii="Arial" w:hAnsi="Arial" w:cs="Arial"/>
                <w:sz w:val="18"/>
                <w:szCs w:val="18"/>
              </w:rPr>
              <w:t>%</w:t>
            </w:r>
          </w:p>
        </w:tc>
        <w:tc>
          <w:tcPr>
            <w:tcW w:w="1081" w:type="dxa"/>
            <w:vAlign w:val="center"/>
          </w:tcPr>
          <w:p w:rsidR="006F76B3" w:rsidRPr="006F76B3" w:rsidRDefault="006F76B3" w:rsidP="005C0765">
            <w:pPr>
              <w:spacing w:after="0" w:line="240" w:lineRule="auto"/>
              <w:jc w:val="center"/>
              <w:rPr>
                <w:rFonts w:ascii="Arial" w:hAnsi="Arial" w:cs="Arial"/>
                <w:sz w:val="18"/>
                <w:szCs w:val="18"/>
              </w:rPr>
            </w:pPr>
            <w:r w:rsidRPr="006F76B3">
              <w:rPr>
                <w:rFonts w:ascii="Arial" w:hAnsi="Arial" w:cs="Arial"/>
                <w:sz w:val="18"/>
                <w:szCs w:val="18"/>
              </w:rPr>
              <w:t>2,</w:t>
            </w:r>
            <w:r w:rsidR="005C0765">
              <w:rPr>
                <w:rFonts w:ascii="Arial" w:hAnsi="Arial" w:cs="Arial"/>
                <w:sz w:val="18"/>
                <w:szCs w:val="18"/>
              </w:rPr>
              <w:t>2</w:t>
            </w:r>
            <w:r w:rsidRPr="006F76B3">
              <w:rPr>
                <w:rFonts w:ascii="Arial" w:hAnsi="Arial" w:cs="Arial"/>
                <w:sz w:val="18"/>
                <w:szCs w:val="18"/>
              </w:rPr>
              <w:t>%</w:t>
            </w:r>
          </w:p>
        </w:tc>
      </w:tr>
    </w:tbl>
    <w:p w:rsidR="00D8216D" w:rsidRPr="00CF41AB" w:rsidRDefault="00CF41AB" w:rsidP="00ED6199">
      <w:pPr>
        <w:spacing w:before="240"/>
        <w:jc w:val="both"/>
        <w:rPr>
          <w:rFonts w:ascii="Times New Roman" w:hAnsi="Times New Roman"/>
          <w:b/>
          <w:sz w:val="24"/>
        </w:rPr>
      </w:pPr>
      <w:r w:rsidRPr="00CF41AB">
        <w:rPr>
          <w:rFonts w:ascii="Times New Roman" w:hAnsi="Times New Roman"/>
          <w:b/>
          <w:sz w:val="24"/>
        </w:rPr>
        <w:t>En</w:t>
      </w:r>
      <w:r w:rsidR="00D8216D" w:rsidRPr="00CF41AB">
        <w:rPr>
          <w:rFonts w:ascii="Times New Roman" w:hAnsi="Times New Roman"/>
          <w:b/>
          <w:sz w:val="24"/>
        </w:rPr>
        <w:t xml:space="preserve"> el escenario optimista</w:t>
      </w:r>
      <w:r>
        <w:rPr>
          <w:rFonts w:ascii="Times New Roman" w:hAnsi="Times New Roman"/>
          <w:b/>
          <w:sz w:val="24"/>
        </w:rPr>
        <w:t xml:space="preserve"> encontramos que</w:t>
      </w:r>
      <w:r w:rsidR="00D8216D" w:rsidRPr="00CF41AB">
        <w:rPr>
          <w:rFonts w:ascii="Times New Roman" w:hAnsi="Times New Roman"/>
          <w:b/>
          <w:sz w:val="24"/>
        </w:rPr>
        <w:t>:</w:t>
      </w:r>
    </w:p>
    <w:p w:rsidR="00F0301C" w:rsidRPr="00F66207" w:rsidRDefault="00D8216D" w:rsidP="00F66207">
      <w:pPr>
        <w:pStyle w:val="ListParagraph"/>
        <w:numPr>
          <w:ilvl w:val="0"/>
          <w:numId w:val="30"/>
        </w:numPr>
        <w:spacing w:before="240"/>
        <w:jc w:val="both"/>
        <w:rPr>
          <w:rFonts w:ascii="Times New Roman" w:hAnsi="Times New Roman"/>
          <w:sz w:val="24"/>
        </w:rPr>
      </w:pPr>
      <w:r w:rsidRPr="00F66207">
        <w:rPr>
          <w:rFonts w:ascii="Times New Roman" w:hAnsi="Times New Roman"/>
          <w:sz w:val="24"/>
        </w:rPr>
        <w:t xml:space="preserve">Si </w:t>
      </w:r>
      <w:r w:rsidR="00B37D8A" w:rsidRPr="00F66207">
        <w:rPr>
          <w:rFonts w:ascii="Times New Roman" w:hAnsi="Times New Roman"/>
          <w:sz w:val="24"/>
        </w:rPr>
        <w:t>modifica</w:t>
      </w:r>
      <w:r w:rsidRPr="00F66207">
        <w:rPr>
          <w:rFonts w:ascii="Times New Roman" w:hAnsi="Times New Roman"/>
          <w:sz w:val="24"/>
        </w:rPr>
        <w:t>mos</w:t>
      </w:r>
      <w:r w:rsidR="00B37D8A" w:rsidRPr="00F66207">
        <w:rPr>
          <w:rFonts w:ascii="Times New Roman" w:hAnsi="Times New Roman"/>
          <w:sz w:val="24"/>
        </w:rPr>
        <w:t xml:space="preserve"> el supuesto (iii), </w:t>
      </w:r>
      <w:r w:rsidR="00F0301C" w:rsidRPr="00F66207">
        <w:rPr>
          <w:rFonts w:ascii="Times New Roman" w:hAnsi="Times New Roman"/>
          <w:sz w:val="24"/>
        </w:rPr>
        <w:t>llevando e</w:t>
      </w:r>
      <w:r w:rsidR="00B37D8A" w:rsidRPr="00F66207">
        <w:rPr>
          <w:rFonts w:ascii="Times New Roman" w:hAnsi="Times New Roman"/>
          <w:sz w:val="24"/>
        </w:rPr>
        <w:t xml:space="preserve">l crecimiento de la cantidad de vehículos que operan en la ZPA </w:t>
      </w:r>
      <w:r w:rsidR="00F0301C" w:rsidRPr="00F66207">
        <w:rPr>
          <w:rFonts w:ascii="Times New Roman" w:hAnsi="Times New Roman"/>
          <w:sz w:val="24"/>
        </w:rPr>
        <w:t>a</w:t>
      </w:r>
      <w:r w:rsidR="00B37D8A" w:rsidRPr="00F66207">
        <w:rPr>
          <w:rFonts w:ascii="Times New Roman" w:hAnsi="Times New Roman"/>
          <w:sz w:val="24"/>
        </w:rPr>
        <w:t xml:space="preserve"> 5,48% </w:t>
      </w:r>
      <w:r w:rsidR="00F0301C" w:rsidRPr="00F66207">
        <w:rPr>
          <w:rFonts w:ascii="Times New Roman" w:hAnsi="Times New Roman"/>
          <w:sz w:val="24"/>
        </w:rPr>
        <w:t>durante</w:t>
      </w:r>
      <w:r w:rsidR="00B37D8A" w:rsidRPr="00F66207">
        <w:rPr>
          <w:rFonts w:ascii="Times New Roman" w:hAnsi="Times New Roman"/>
          <w:sz w:val="24"/>
        </w:rPr>
        <w:t xml:space="preserve"> los diez primeros años y </w:t>
      </w:r>
      <w:r w:rsidR="00F0301C" w:rsidRPr="00F66207">
        <w:rPr>
          <w:rFonts w:ascii="Times New Roman" w:hAnsi="Times New Roman"/>
          <w:sz w:val="24"/>
        </w:rPr>
        <w:t>a</w:t>
      </w:r>
      <w:r w:rsidR="00B37D8A" w:rsidRPr="00F66207">
        <w:rPr>
          <w:rFonts w:ascii="Times New Roman" w:hAnsi="Times New Roman"/>
          <w:sz w:val="24"/>
        </w:rPr>
        <w:t xml:space="preserve"> 2,74% en los últimos, </w:t>
      </w:r>
      <w:r w:rsidR="00F0301C" w:rsidRPr="00F66207">
        <w:rPr>
          <w:rFonts w:ascii="Times New Roman" w:hAnsi="Times New Roman"/>
          <w:sz w:val="24"/>
        </w:rPr>
        <w:t>la</w:t>
      </w:r>
      <w:r w:rsidR="00B37D8A" w:rsidRPr="00F66207">
        <w:rPr>
          <w:rFonts w:ascii="Times New Roman" w:hAnsi="Times New Roman"/>
          <w:sz w:val="24"/>
        </w:rPr>
        <w:t xml:space="preserve"> TIR</w:t>
      </w:r>
      <w:r w:rsidR="00F0301C" w:rsidRPr="00F66207">
        <w:rPr>
          <w:rFonts w:ascii="Times New Roman" w:hAnsi="Times New Roman"/>
          <w:sz w:val="24"/>
        </w:rPr>
        <w:t xml:space="preserve"> es</w:t>
      </w:r>
      <w:r w:rsidR="00B37D8A" w:rsidRPr="00F66207">
        <w:rPr>
          <w:rFonts w:ascii="Times New Roman" w:hAnsi="Times New Roman"/>
          <w:sz w:val="24"/>
        </w:rPr>
        <w:t xml:space="preserve"> de 1</w:t>
      </w:r>
      <w:r w:rsidR="00D46CDF" w:rsidRPr="00F66207">
        <w:rPr>
          <w:rFonts w:ascii="Times New Roman" w:hAnsi="Times New Roman"/>
          <w:sz w:val="24"/>
        </w:rPr>
        <w:t>8</w:t>
      </w:r>
      <w:r w:rsidR="00B37D8A" w:rsidRPr="00F66207">
        <w:rPr>
          <w:rFonts w:ascii="Times New Roman" w:hAnsi="Times New Roman"/>
          <w:sz w:val="24"/>
        </w:rPr>
        <w:t>,</w:t>
      </w:r>
      <w:r w:rsidR="00D46CDF" w:rsidRPr="00F66207">
        <w:rPr>
          <w:rFonts w:ascii="Times New Roman" w:hAnsi="Times New Roman"/>
          <w:sz w:val="24"/>
        </w:rPr>
        <w:t>3</w:t>
      </w:r>
      <w:r w:rsidR="00B37D8A" w:rsidRPr="00F66207">
        <w:rPr>
          <w:rFonts w:ascii="Times New Roman" w:hAnsi="Times New Roman"/>
          <w:sz w:val="24"/>
        </w:rPr>
        <w:t xml:space="preserve">%. </w:t>
      </w:r>
    </w:p>
    <w:p w:rsidR="00F0301C" w:rsidRPr="00F66207" w:rsidRDefault="00F0301C" w:rsidP="00F66207">
      <w:pPr>
        <w:pStyle w:val="ListParagraph"/>
        <w:numPr>
          <w:ilvl w:val="0"/>
          <w:numId w:val="30"/>
        </w:numPr>
        <w:spacing w:before="240"/>
        <w:jc w:val="both"/>
        <w:rPr>
          <w:rFonts w:ascii="Times New Roman" w:hAnsi="Times New Roman"/>
          <w:sz w:val="24"/>
        </w:rPr>
      </w:pPr>
      <w:r w:rsidRPr="00F66207">
        <w:rPr>
          <w:rFonts w:ascii="Times New Roman" w:hAnsi="Times New Roman"/>
          <w:sz w:val="24"/>
        </w:rPr>
        <w:t>Si modificamos el supuesto (iv) llevando el</w:t>
      </w:r>
      <w:r w:rsidR="00B37D8A" w:rsidRPr="00F66207">
        <w:rPr>
          <w:rFonts w:ascii="Times New Roman" w:hAnsi="Times New Roman"/>
          <w:sz w:val="24"/>
        </w:rPr>
        <w:t xml:space="preserve"> radio de influencia del actual emplazamiento del puerto seco </w:t>
      </w:r>
      <w:r w:rsidRPr="00F66207">
        <w:rPr>
          <w:rFonts w:ascii="Times New Roman" w:hAnsi="Times New Roman"/>
          <w:sz w:val="24"/>
        </w:rPr>
        <w:t>a</w:t>
      </w:r>
      <w:r w:rsidR="00B37D8A" w:rsidRPr="00F66207">
        <w:rPr>
          <w:rFonts w:ascii="Times New Roman" w:hAnsi="Times New Roman"/>
          <w:sz w:val="24"/>
        </w:rPr>
        <w:t xml:space="preserve"> 50 kilómetros en el cálculo de los beneficios por eliminación de la</w:t>
      </w:r>
      <w:r w:rsidRPr="00F66207">
        <w:rPr>
          <w:rFonts w:ascii="Times New Roman" w:hAnsi="Times New Roman"/>
          <w:sz w:val="24"/>
        </w:rPr>
        <w:t xml:space="preserve"> congestión de tránsito pesado, </w:t>
      </w:r>
      <w:r w:rsidR="00D46CDF" w:rsidRPr="00F66207">
        <w:rPr>
          <w:rFonts w:ascii="Times New Roman" w:hAnsi="Times New Roman"/>
          <w:sz w:val="24"/>
        </w:rPr>
        <w:t>la TIR resulta 17,6%</w:t>
      </w:r>
      <w:r w:rsidR="00B37D8A" w:rsidRPr="00F66207">
        <w:rPr>
          <w:rFonts w:ascii="Times New Roman" w:hAnsi="Times New Roman"/>
          <w:sz w:val="24"/>
        </w:rPr>
        <w:t xml:space="preserve">. </w:t>
      </w:r>
    </w:p>
    <w:p w:rsidR="00CF41AB" w:rsidRDefault="00F0301C" w:rsidP="00ED6199">
      <w:pPr>
        <w:pStyle w:val="ListParagraph"/>
        <w:numPr>
          <w:ilvl w:val="0"/>
          <w:numId w:val="30"/>
        </w:numPr>
        <w:spacing w:before="240"/>
        <w:jc w:val="both"/>
        <w:rPr>
          <w:rFonts w:ascii="Times New Roman" w:hAnsi="Times New Roman"/>
          <w:sz w:val="24"/>
        </w:rPr>
      </w:pPr>
      <w:r w:rsidRPr="00F66207">
        <w:rPr>
          <w:rFonts w:ascii="Times New Roman" w:hAnsi="Times New Roman"/>
          <w:sz w:val="24"/>
        </w:rPr>
        <w:lastRenderedPageBreak/>
        <w:t>Si modificamos el</w:t>
      </w:r>
      <w:r w:rsidR="00B37D8A" w:rsidRPr="00F66207">
        <w:rPr>
          <w:rFonts w:ascii="Times New Roman" w:hAnsi="Times New Roman"/>
          <w:sz w:val="24"/>
        </w:rPr>
        <w:t xml:space="preserve"> </w:t>
      </w:r>
      <w:r w:rsidRPr="00F66207">
        <w:rPr>
          <w:rFonts w:ascii="Times New Roman" w:hAnsi="Times New Roman"/>
          <w:sz w:val="24"/>
        </w:rPr>
        <w:t xml:space="preserve">supuesto (v), llevando el </w:t>
      </w:r>
      <w:r w:rsidR="00B37D8A" w:rsidRPr="00F66207">
        <w:rPr>
          <w:rFonts w:ascii="Times New Roman" w:hAnsi="Times New Roman"/>
          <w:sz w:val="24"/>
        </w:rPr>
        <w:t xml:space="preserve">beneficio por disminución de los costos por los efectos nocivos de la congestión vehicular para los habitantes de las zonas aledañas a la actual localización del puerto </w:t>
      </w:r>
      <w:r w:rsidRPr="00F66207">
        <w:rPr>
          <w:rFonts w:ascii="Times New Roman" w:hAnsi="Times New Roman"/>
          <w:sz w:val="24"/>
        </w:rPr>
        <w:t xml:space="preserve">a </w:t>
      </w:r>
      <w:r w:rsidR="00B37D8A" w:rsidRPr="00F66207">
        <w:rPr>
          <w:rFonts w:ascii="Times New Roman" w:hAnsi="Times New Roman"/>
          <w:sz w:val="24"/>
        </w:rPr>
        <w:t>75% para los tres impactos considerados, se obtiene una TIR de 1</w:t>
      </w:r>
      <w:r w:rsidR="00D46CDF" w:rsidRPr="00F66207">
        <w:rPr>
          <w:rFonts w:ascii="Times New Roman" w:hAnsi="Times New Roman"/>
          <w:sz w:val="24"/>
        </w:rPr>
        <w:t>7</w:t>
      </w:r>
      <w:r w:rsidR="00B37D8A" w:rsidRPr="00F66207">
        <w:rPr>
          <w:rFonts w:ascii="Times New Roman" w:hAnsi="Times New Roman"/>
          <w:sz w:val="24"/>
        </w:rPr>
        <w:t>,</w:t>
      </w:r>
      <w:r w:rsidR="00D46CDF" w:rsidRPr="00F66207">
        <w:rPr>
          <w:rFonts w:ascii="Times New Roman" w:hAnsi="Times New Roman"/>
          <w:sz w:val="24"/>
        </w:rPr>
        <w:t>1</w:t>
      </w:r>
      <w:r w:rsidR="00B37D8A" w:rsidRPr="00F66207">
        <w:rPr>
          <w:rFonts w:ascii="Times New Roman" w:hAnsi="Times New Roman"/>
          <w:sz w:val="24"/>
        </w:rPr>
        <w:t xml:space="preserve">%. </w:t>
      </w:r>
    </w:p>
    <w:p w:rsidR="000310E5" w:rsidRDefault="00F0301C" w:rsidP="00ED6199">
      <w:pPr>
        <w:pStyle w:val="ListParagraph"/>
        <w:numPr>
          <w:ilvl w:val="0"/>
          <w:numId w:val="30"/>
        </w:numPr>
        <w:spacing w:before="240"/>
        <w:jc w:val="both"/>
        <w:rPr>
          <w:rFonts w:ascii="Times New Roman" w:hAnsi="Times New Roman"/>
          <w:sz w:val="24"/>
        </w:rPr>
      </w:pPr>
      <w:r w:rsidRPr="00CF41AB">
        <w:rPr>
          <w:rFonts w:ascii="Times New Roman" w:hAnsi="Times New Roman"/>
          <w:sz w:val="24"/>
        </w:rPr>
        <w:t>Si modificamos el supuesto (vii)</w:t>
      </w:r>
      <w:r w:rsidR="002079CA" w:rsidRPr="00CF41AB">
        <w:rPr>
          <w:rFonts w:ascii="Times New Roman" w:hAnsi="Times New Roman"/>
          <w:sz w:val="24"/>
        </w:rPr>
        <w:t xml:space="preserve">, </w:t>
      </w:r>
      <w:r w:rsidRPr="00CF41AB">
        <w:rPr>
          <w:rFonts w:ascii="Times New Roman" w:hAnsi="Times New Roman"/>
          <w:sz w:val="24"/>
        </w:rPr>
        <w:t xml:space="preserve">llevando el crecimiento de la </w:t>
      </w:r>
      <w:r w:rsidR="002079CA" w:rsidRPr="00CF41AB">
        <w:rPr>
          <w:rFonts w:ascii="Times New Roman" w:hAnsi="Times New Roman"/>
          <w:sz w:val="24"/>
        </w:rPr>
        <w:t xml:space="preserve">participación del sector logística en el PBG de Mendoza </w:t>
      </w:r>
      <w:r w:rsidRPr="00CF41AB">
        <w:rPr>
          <w:rFonts w:ascii="Times New Roman" w:hAnsi="Times New Roman"/>
          <w:sz w:val="24"/>
        </w:rPr>
        <w:t>a</w:t>
      </w:r>
      <w:r w:rsidR="002079CA" w:rsidRPr="00CF41AB">
        <w:rPr>
          <w:rFonts w:ascii="Times New Roman" w:hAnsi="Times New Roman"/>
          <w:sz w:val="24"/>
        </w:rPr>
        <w:t xml:space="preserve"> 5% en los 20 años que dura el proyecto, se obtiene una TIR de 17,3%.</w:t>
      </w:r>
      <w:r w:rsidR="000310E5" w:rsidRPr="000310E5">
        <w:rPr>
          <w:rFonts w:ascii="Times New Roman" w:hAnsi="Times New Roman"/>
          <w:sz w:val="24"/>
        </w:rPr>
        <w:t xml:space="preserve"> </w:t>
      </w:r>
    </w:p>
    <w:p w:rsidR="002079CA" w:rsidRPr="00CF41AB" w:rsidRDefault="000310E5" w:rsidP="00ED6199">
      <w:pPr>
        <w:pStyle w:val="ListParagraph"/>
        <w:numPr>
          <w:ilvl w:val="0"/>
          <w:numId w:val="30"/>
        </w:numPr>
        <w:spacing w:before="240"/>
        <w:jc w:val="both"/>
        <w:rPr>
          <w:rFonts w:ascii="Times New Roman" w:hAnsi="Times New Roman"/>
          <w:sz w:val="24"/>
        </w:rPr>
      </w:pPr>
      <w:r>
        <w:rPr>
          <w:rFonts w:ascii="Times New Roman" w:hAnsi="Times New Roman"/>
          <w:sz w:val="24"/>
        </w:rPr>
        <w:t>Si modificamos el supuesto (viii), llevando la reducción en el tiempo de espera de los camiones de 48 a 21 horas, arroja una TIR de 19,8%, siendo este el escenario de mayor retorno.</w:t>
      </w:r>
    </w:p>
    <w:p w:rsidR="00CF41AB" w:rsidRDefault="00CF41AB" w:rsidP="00ED6199">
      <w:pPr>
        <w:spacing w:before="240"/>
        <w:jc w:val="both"/>
        <w:rPr>
          <w:rFonts w:ascii="Times New Roman" w:hAnsi="Times New Roman"/>
          <w:sz w:val="24"/>
        </w:rPr>
      </w:pPr>
      <w:r w:rsidRPr="000310E5">
        <w:rPr>
          <w:rFonts w:ascii="Times New Roman" w:hAnsi="Times New Roman"/>
          <w:b/>
          <w:sz w:val="24"/>
        </w:rPr>
        <w:t>En el escenario pesimista encontramos que</w:t>
      </w:r>
      <w:r>
        <w:rPr>
          <w:rFonts w:ascii="Times New Roman" w:hAnsi="Times New Roman"/>
          <w:sz w:val="24"/>
        </w:rPr>
        <w:t>:</w:t>
      </w:r>
    </w:p>
    <w:p w:rsidR="00CF41AB" w:rsidRPr="000310E5" w:rsidRDefault="00CF41AB" w:rsidP="000310E5">
      <w:pPr>
        <w:pStyle w:val="ListParagraph"/>
        <w:numPr>
          <w:ilvl w:val="0"/>
          <w:numId w:val="31"/>
        </w:numPr>
        <w:spacing w:before="240"/>
        <w:jc w:val="both"/>
        <w:rPr>
          <w:rFonts w:ascii="Times New Roman" w:hAnsi="Times New Roman"/>
          <w:sz w:val="24"/>
        </w:rPr>
      </w:pPr>
      <w:r w:rsidRPr="000310E5">
        <w:rPr>
          <w:rFonts w:ascii="Times New Roman" w:hAnsi="Times New Roman"/>
          <w:sz w:val="24"/>
        </w:rPr>
        <w:t>Si modificamos l</w:t>
      </w:r>
      <w:r w:rsidR="002079CA" w:rsidRPr="000310E5">
        <w:rPr>
          <w:rFonts w:ascii="Times New Roman" w:hAnsi="Times New Roman"/>
          <w:sz w:val="24"/>
        </w:rPr>
        <w:t xml:space="preserve">os cuatro supuestos mencionados </w:t>
      </w:r>
      <w:r w:rsidRPr="000310E5">
        <w:rPr>
          <w:rFonts w:ascii="Times New Roman" w:hAnsi="Times New Roman"/>
          <w:sz w:val="24"/>
        </w:rPr>
        <w:t>en la dirección opuesta</w:t>
      </w:r>
      <w:r w:rsidR="002079CA" w:rsidRPr="000310E5">
        <w:rPr>
          <w:rFonts w:ascii="Times New Roman" w:hAnsi="Times New Roman"/>
          <w:sz w:val="24"/>
        </w:rPr>
        <w:t xml:space="preserve"> –supuestos (iii), (iv), (v) y (vii)-</w:t>
      </w:r>
      <w:r w:rsidR="002B15F1">
        <w:rPr>
          <w:rFonts w:ascii="Times New Roman" w:hAnsi="Times New Roman"/>
          <w:sz w:val="24"/>
        </w:rPr>
        <w:t xml:space="preserve"> (uno por vez)</w:t>
      </w:r>
      <w:r w:rsidR="002079CA" w:rsidRPr="000310E5">
        <w:rPr>
          <w:rFonts w:ascii="Times New Roman" w:hAnsi="Times New Roman"/>
          <w:sz w:val="24"/>
        </w:rPr>
        <w:t xml:space="preserve">, los valores de TIR resultantes oscilan entre 15,6% y 16,6%, por lo que el proyecto resulta viable. </w:t>
      </w:r>
    </w:p>
    <w:p w:rsidR="00CF41AB" w:rsidRPr="000310E5" w:rsidRDefault="00CF41AB" w:rsidP="000310E5">
      <w:pPr>
        <w:pStyle w:val="ListParagraph"/>
        <w:numPr>
          <w:ilvl w:val="0"/>
          <w:numId w:val="31"/>
        </w:numPr>
        <w:spacing w:before="240"/>
        <w:jc w:val="both"/>
        <w:rPr>
          <w:rFonts w:ascii="Times New Roman" w:hAnsi="Times New Roman"/>
          <w:sz w:val="24"/>
        </w:rPr>
      </w:pPr>
      <w:r w:rsidRPr="000310E5">
        <w:rPr>
          <w:rFonts w:ascii="Times New Roman" w:hAnsi="Times New Roman"/>
          <w:sz w:val="24"/>
        </w:rPr>
        <w:t xml:space="preserve">Aun cuando los beneficios asociados a la reducción de la contaminación como los asociados al crecimiento del </w:t>
      </w:r>
      <w:r w:rsidR="00866D29" w:rsidRPr="000310E5">
        <w:rPr>
          <w:rFonts w:ascii="Times New Roman" w:hAnsi="Times New Roman"/>
          <w:sz w:val="24"/>
        </w:rPr>
        <w:t xml:space="preserve">sector logística </w:t>
      </w:r>
      <w:r w:rsidRPr="000310E5">
        <w:rPr>
          <w:rFonts w:ascii="Times New Roman" w:hAnsi="Times New Roman"/>
          <w:sz w:val="24"/>
        </w:rPr>
        <w:t xml:space="preserve">sean inexistentes o mínimos </w:t>
      </w:r>
      <w:r w:rsidR="00421CF5" w:rsidRPr="000310E5">
        <w:rPr>
          <w:rFonts w:ascii="Times New Roman" w:hAnsi="Times New Roman"/>
          <w:sz w:val="24"/>
        </w:rPr>
        <w:t xml:space="preserve">la TIR </w:t>
      </w:r>
      <w:r w:rsidRPr="000310E5">
        <w:rPr>
          <w:rFonts w:ascii="Times New Roman" w:hAnsi="Times New Roman"/>
          <w:sz w:val="24"/>
        </w:rPr>
        <w:t>es</w:t>
      </w:r>
      <w:r w:rsidR="00421CF5" w:rsidRPr="000310E5">
        <w:rPr>
          <w:rFonts w:ascii="Times New Roman" w:hAnsi="Times New Roman"/>
          <w:sz w:val="24"/>
        </w:rPr>
        <w:t xml:space="preserve"> superior al 12%.</w:t>
      </w:r>
      <w:r w:rsidR="006C1F88" w:rsidRPr="000310E5">
        <w:rPr>
          <w:rFonts w:ascii="Times New Roman" w:hAnsi="Times New Roman"/>
          <w:sz w:val="24"/>
        </w:rPr>
        <w:t xml:space="preserve"> </w:t>
      </w:r>
    </w:p>
    <w:p w:rsidR="002079CA" w:rsidRPr="000310E5" w:rsidRDefault="00CF41AB" w:rsidP="000310E5">
      <w:pPr>
        <w:pStyle w:val="ListParagraph"/>
        <w:numPr>
          <w:ilvl w:val="0"/>
          <w:numId w:val="31"/>
        </w:numPr>
        <w:spacing w:before="240"/>
        <w:jc w:val="both"/>
        <w:rPr>
          <w:rFonts w:ascii="Times New Roman" w:hAnsi="Times New Roman"/>
          <w:sz w:val="24"/>
        </w:rPr>
      </w:pPr>
      <w:r w:rsidRPr="000310E5">
        <w:rPr>
          <w:rFonts w:ascii="Times New Roman" w:hAnsi="Times New Roman"/>
          <w:sz w:val="24"/>
        </w:rPr>
        <w:t>El</w:t>
      </w:r>
      <w:r w:rsidR="006C1F88" w:rsidRPr="000310E5">
        <w:rPr>
          <w:rFonts w:ascii="Times New Roman" w:hAnsi="Times New Roman"/>
          <w:sz w:val="24"/>
        </w:rPr>
        <w:t xml:space="preserve"> crecimiento mínimo en la cantidad de vehículos que circulan hacia la ZPA </w:t>
      </w:r>
      <w:r w:rsidR="000310E5" w:rsidRPr="000310E5">
        <w:rPr>
          <w:rFonts w:ascii="Times New Roman" w:hAnsi="Times New Roman"/>
          <w:sz w:val="24"/>
        </w:rPr>
        <w:t>que garantiza un</w:t>
      </w:r>
      <w:r w:rsidR="006C1F88" w:rsidRPr="000310E5">
        <w:rPr>
          <w:rFonts w:ascii="Times New Roman" w:hAnsi="Times New Roman"/>
          <w:sz w:val="24"/>
        </w:rPr>
        <w:t xml:space="preserve"> proyecto con una rentabilidad superior al 12%, </w:t>
      </w:r>
      <w:r w:rsidR="005F5834">
        <w:rPr>
          <w:rFonts w:ascii="Times New Roman" w:hAnsi="Times New Roman"/>
          <w:sz w:val="24"/>
        </w:rPr>
        <w:t xml:space="preserve">dado que todos los otros parámetros permanecen constantes, </w:t>
      </w:r>
      <w:r w:rsidR="006C1F88" w:rsidRPr="000310E5">
        <w:rPr>
          <w:rFonts w:ascii="Times New Roman" w:hAnsi="Times New Roman"/>
          <w:sz w:val="24"/>
        </w:rPr>
        <w:t xml:space="preserve">es de 0,48% entre los años 2 y </w:t>
      </w:r>
      <w:r w:rsidR="000310E5" w:rsidRPr="000310E5">
        <w:rPr>
          <w:rFonts w:ascii="Times New Roman" w:hAnsi="Times New Roman"/>
          <w:sz w:val="24"/>
        </w:rPr>
        <w:t>11</w:t>
      </w:r>
      <w:r w:rsidR="006C1F88" w:rsidRPr="000310E5">
        <w:rPr>
          <w:rFonts w:ascii="Times New Roman" w:hAnsi="Times New Roman"/>
          <w:sz w:val="24"/>
        </w:rPr>
        <w:t xml:space="preserve"> y 0,24% desde el año </w:t>
      </w:r>
      <w:r w:rsidR="000310E5" w:rsidRPr="000310E5">
        <w:rPr>
          <w:rFonts w:ascii="Times New Roman" w:hAnsi="Times New Roman"/>
          <w:sz w:val="24"/>
        </w:rPr>
        <w:t>12</w:t>
      </w:r>
      <w:r w:rsidR="006C1F88" w:rsidRPr="000310E5">
        <w:rPr>
          <w:rFonts w:ascii="Times New Roman" w:hAnsi="Times New Roman"/>
          <w:sz w:val="24"/>
        </w:rPr>
        <w:t xml:space="preserve"> hacia el final.</w:t>
      </w:r>
    </w:p>
    <w:p w:rsidR="00B37D8A" w:rsidRPr="000310E5" w:rsidRDefault="000310E5" w:rsidP="000310E5">
      <w:pPr>
        <w:pStyle w:val="ListParagraph"/>
        <w:numPr>
          <w:ilvl w:val="0"/>
          <w:numId w:val="31"/>
        </w:numPr>
        <w:spacing w:before="240"/>
        <w:jc w:val="both"/>
        <w:rPr>
          <w:rFonts w:ascii="Times New Roman" w:hAnsi="Times New Roman"/>
          <w:sz w:val="24"/>
        </w:rPr>
      </w:pPr>
      <w:r w:rsidRPr="000310E5">
        <w:rPr>
          <w:rFonts w:ascii="Times New Roman" w:hAnsi="Times New Roman"/>
          <w:sz w:val="24"/>
        </w:rPr>
        <w:t>S</w:t>
      </w:r>
      <w:r w:rsidR="00B37D8A" w:rsidRPr="000310E5">
        <w:rPr>
          <w:rFonts w:ascii="Times New Roman" w:hAnsi="Times New Roman"/>
          <w:sz w:val="24"/>
        </w:rPr>
        <w:t xml:space="preserve">i se considera que </w:t>
      </w:r>
      <w:r w:rsidR="00E1779C" w:rsidRPr="000310E5">
        <w:rPr>
          <w:rFonts w:ascii="Times New Roman" w:hAnsi="Times New Roman"/>
          <w:sz w:val="24"/>
        </w:rPr>
        <w:t xml:space="preserve">el tiempo de espera disminuirá un 2,6% pasando de 48 a 29 horas, </w:t>
      </w:r>
      <w:r w:rsidR="00B37D8A" w:rsidRPr="000310E5">
        <w:rPr>
          <w:rFonts w:ascii="Times New Roman" w:hAnsi="Times New Roman"/>
          <w:sz w:val="24"/>
        </w:rPr>
        <w:t xml:space="preserve">la TIR resulta de </w:t>
      </w:r>
      <w:r w:rsidR="002079CA" w:rsidRPr="000310E5">
        <w:rPr>
          <w:rFonts w:ascii="Times New Roman" w:hAnsi="Times New Roman"/>
          <w:sz w:val="24"/>
        </w:rPr>
        <w:t>13</w:t>
      </w:r>
      <w:r w:rsidR="00B37D8A" w:rsidRPr="000310E5">
        <w:rPr>
          <w:rFonts w:ascii="Times New Roman" w:hAnsi="Times New Roman"/>
          <w:sz w:val="24"/>
        </w:rPr>
        <w:t>,</w:t>
      </w:r>
      <w:r w:rsidR="002079CA" w:rsidRPr="000310E5">
        <w:rPr>
          <w:rFonts w:ascii="Times New Roman" w:hAnsi="Times New Roman"/>
          <w:sz w:val="24"/>
        </w:rPr>
        <w:t>5</w:t>
      </w:r>
      <w:r w:rsidR="00B37D8A" w:rsidRPr="000310E5">
        <w:rPr>
          <w:rFonts w:ascii="Times New Roman" w:hAnsi="Times New Roman"/>
          <w:sz w:val="24"/>
        </w:rPr>
        <w:t>%</w:t>
      </w:r>
      <w:r w:rsidR="002079CA" w:rsidRPr="000310E5">
        <w:rPr>
          <w:rFonts w:ascii="Times New Roman" w:hAnsi="Times New Roman"/>
          <w:sz w:val="24"/>
        </w:rPr>
        <w:t xml:space="preserve">. </w:t>
      </w:r>
      <w:r w:rsidR="00E1779C" w:rsidRPr="000310E5">
        <w:rPr>
          <w:rFonts w:ascii="Times New Roman" w:hAnsi="Times New Roman"/>
          <w:sz w:val="24"/>
        </w:rPr>
        <w:t>E</w:t>
      </w:r>
      <w:r w:rsidR="00C90B4F" w:rsidRPr="000310E5">
        <w:rPr>
          <w:rFonts w:ascii="Times New Roman" w:hAnsi="Times New Roman"/>
          <w:sz w:val="24"/>
        </w:rPr>
        <w:t>n consecuencia, el proyecto resulta muy sensible a e</w:t>
      </w:r>
      <w:r w:rsidR="00E1779C" w:rsidRPr="000310E5">
        <w:rPr>
          <w:rFonts w:ascii="Times New Roman" w:hAnsi="Times New Roman"/>
          <w:sz w:val="24"/>
        </w:rPr>
        <w:t>ste supuesto</w:t>
      </w:r>
      <w:r w:rsidRPr="000310E5">
        <w:rPr>
          <w:rFonts w:ascii="Times New Roman" w:hAnsi="Times New Roman"/>
          <w:sz w:val="24"/>
        </w:rPr>
        <w:t>. El valor mínimo en la reducción en el tiempo de espera que garantiza una TIR positiva es de</w:t>
      </w:r>
      <w:r w:rsidR="00C90B4F" w:rsidRPr="000310E5">
        <w:rPr>
          <w:rFonts w:ascii="Times New Roman" w:hAnsi="Times New Roman"/>
          <w:sz w:val="24"/>
        </w:rPr>
        <w:t xml:space="preserve"> 2,2% de forma de obtenerse una rentabilidad superior al 12%.</w:t>
      </w:r>
    </w:p>
    <w:p w:rsidR="00B37D8A" w:rsidRPr="00C27268" w:rsidRDefault="00B37D8A" w:rsidP="00795D5F">
      <w:pPr>
        <w:pStyle w:val="Heading2"/>
        <w:spacing w:after="240"/>
        <w:rPr>
          <w:rFonts w:ascii="Times New Roman" w:hAnsi="Times New Roman"/>
          <w:lang w:val="es-ES_tradnl"/>
        </w:rPr>
      </w:pPr>
      <w:bookmarkStart w:id="32" w:name="_Toc362804615"/>
      <w:r w:rsidRPr="00C27268">
        <w:rPr>
          <w:rFonts w:ascii="Times New Roman" w:hAnsi="Times New Roman"/>
          <w:lang w:val="es-ES_tradnl"/>
        </w:rPr>
        <w:t>Conclusiones</w:t>
      </w:r>
      <w:bookmarkEnd w:id="32"/>
    </w:p>
    <w:p w:rsidR="002B15F1" w:rsidRDefault="000310E5" w:rsidP="005F5834">
      <w:pPr>
        <w:spacing w:before="240"/>
        <w:jc w:val="both"/>
        <w:rPr>
          <w:rFonts w:ascii="Times New Roman" w:hAnsi="Times New Roman"/>
          <w:sz w:val="24"/>
        </w:rPr>
      </w:pPr>
      <w:r w:rsidRPr="002B15F1">
        <w:rPr>
          <w:rFonts w:ascii="Times New Roman" w:hAnsi="Times New Roman"/>
          <w:sz w:val="24"/>
        </w:rPr>
        <w:t xml:space="preserve">El análisis costo beneficio del traslado del puerto </w:t>
      </w:r>
      <w:r w:rsidR="002B15F1" w:rsidRPr="002B15F1">
        <w:rPr>
          <w:rFonts w:ascii="Times New Roman" w:hAnsi="Times New Roman"/>
          <w:sz w:val="24"/>
        </w:rPr>
        <w:t>indica que la inversión arrojará resultados positivos. Encontramos que aún en ausencia de algunos de los beneficios más importantes, como la mejora en la calidad de vida de los ciudadanos ubicados en la localización actual del puerto, o el incremento en la actividad económica asociada al nuevo puerto, el proyecto resulta viable. El análisis indica, sin embargo, también, que la rentabilidad del proyecto, al menos como fue planteado en este análisis, es sensible a dos variables, de las que depende el signo de la TIR: el crecimiento en la cantidad de vehículos que circulan hacia la ZPA y la reducción en el tiempo de espera de los vehículos. El crecimiento mínimo en la cantidad de vehículos que circulan hacia la ZPA que garantiza un proyecto con una rentabilidad superior al 12%, es de 0,48% entre los años 2 y 11 y 0,24% desde el año 12 hacia el final</w:t>
      </w:r>
      <w:r w:rsidR="002B15F1">
        <w:rPr>
          <w:rFonts w:ascii="Times New Roman" w:hAnsi="Times New Roman"/>
          <w:sz w:val="24"/>
        </w:rPr>
        <w:t xml:space="preserve">. Así mismo el proyecto tiene que reducir al menos  </w:t>
      </w:r>
      <w:r w:rsidR="005F5834">
        <w:rPr>
          <w:rFonts w:ascii="Times New Roman" w:hAnsi="Times New Roman"/>
          <w:sz w:val="24"/>
        </w:rPr>
        <w:t xml:space="preserve">en 2.2% </w:t>
      </w:r>
      <w:r w:rsidR="002B15F1" w:rsidRPr="002B15F1">
        <w:rPr>
          <w:rFonts w:ascii="Times New Roman" w:hAnsi="Times New Roman"/>
          <w:sz w:val="24"/>
        </w:rPr>
        <w:t xml:space="preserve">el tiempo de espera </w:t>
      </w:r>
      <w:r w:rsidR="005F5834">
        <w:rPr>
          <w:rFonts w:ascii="Times New Roman" w:hAnsi="Times New Roman"/>
          <w:sz w:val="24"/>
        </w:rPr>
        <w:t xml:space="preserve">para </w:t>
      </w:r>
      <w:r w:rsidR="002B15F1" w:rsidRPr="002B15F1">
        <w:rPr>
          <w:rFonts w:ascii="Times New Roman" w:hAnsi="Times New Roman"/>
          <w:sz w:val="24"/>
        </w:rPr>
        <w:t>garantiza</w:t>
      </w:r>
      <w:r w:rsidR="005F5834">
        <w:rPr>
          <w:rFonts w:ascii="Times New Roman" w:hAnsi="Times New Roman"/>
          <w:sz w:val="24"/>
        </w:rPr>
        <w:t>r</w:t>
      </w:r>
      <w:r w:rsidR="002B15F1" w:rsidRPr="002B15F1">
        <w:rPr>
          <w:rFonts w:ascii="Times New Roman" w:hAnsi="Times New Roman"/>
          <w:sz w:val="24"/>
        </w:rPr>
        <w:t xml:space="preserve"> una TIR positiva</w:t>
      </w:r>
      <w:r w:rsidR="005F5834">
        <w:rPr>
          <w:rFonts w:ascii="Times New Roman" w:hAnsi="Times New Roman"/>
          <w:sz w:val="24"/>
        </w:rPr>
        <w:t xml:space="preserve">. </w:t>
      </w:r>
    </w:p>
    <w:p w:rsidR="000310E5" w:rsidRDefault="005F5834" w:rsidP="000310E5">
      <w:pPr>
        <w:jc w:val="both"/>
        <w:rPr>
          <w:rFonts w:ascii="Times New Roman" w:hAnsi="Times New Roman"/>
          <w:sz w:val="24"/>
        </w:rPr>
      </w:pPr>
      <w:r>
        <w:rPr>
          <w:rFonts w:ascii="Times New Roman" w:hAnsi="Times New Roman"/>
          <w:sz w:val="24"/>
        </w:rPr>
        <w:t>Debe mencionarse, para concluir, sin embargo que todo este análisis fue hecho sin incluir la posibilidad de externalidades positivas hacia otras actividades</w:t>
      </w:r>
      <w:r w:rsidR="00C36570">
        <w:rPr>
          <w:rFonts w:ascii="Times New Roman" w:hAnsi="Times New Roman"/>
          <w:sz w:val="24"/>
        </w:rPr>
        <w:t xml:space="preserve">. </w:t>
      </w:r>
      <w:r w:rsidR="000310E5">
        <w:rPr>
          <w:rFonts w:ascii="Times New Roman" w:hAnsi="Times New Roman"/>
          <w:sz w:val="24"/>
        </w:rPr>
        <w:t xml:space="preserve">En particular, se entiende que las mejoras en logística permitirán a las empresas mendocinas mejorar su competitividad como consecuencia, por ejemplo, de la reducción en el tiempo de procesamiento de cargas y el acceso a mayores y mejores servicios de depósito. Para la estimación de dicha mejora y, considerando que son las firmas </w:t>
      </w:r>
      <w:r w:rsidR="000310E5">
        <w:rPr>
          <w:rFonts w:ascii="Times New Roman" w:hAnsi="Times New Roman"/>
          <w:sz w:val="24"/>
        </w:rPr>
        <w:lastRenderedPageBreak/>
        <w:t>pertenecientes al sector agropecuario e industrial las más beneficiadas por ser las principales exportadoras, se utilizan datos de producto sectorial</w:t>
      </w:r>
      <w:r w:rsidR="000310E5" w:rsidRPr="00EA44B5">
        <w:rPr>
          <w:rStyle w:val="FootnoteReference"/>
          <w:rFonts w:ascii="Times New Roman" w:hAnsi="Times New Roman"/>
          <w:sz w:val="24"/>
          <w:vertAlign w:val="superscript"/>
        </w:rPr>
        <w:footnoteReference w:id="19"/>
      </w:r>
      <w:r w:rsidR="000310E5">
        <w:rPr>
          <w:rFonts w:ascii="Times New Roman" w:hAnsi="Times New Roman"/>
          <w:sz w:val="24"/>
        </w:rPr>
        <w:t xml:space="preserve"> y</w:t>
      </w:r>
      <w:r w:rsidR="000310E5" w:rsidRPr="0086731F">
        <w:rPr>
          <w:rFonts w:ascii="Times New Roman" w:hAnsi="Times New Roman"/>
          <w:sz w:val="24"/>
        </w:rPr>
        <w:t xml:space="preserve"> se supone que l</w:t>
      </w:r>
      <w:r w:rsidR="000310E5">
        <w:rPr>
          <w:rFonts w:ascii="Times New Roman" w:hAnsi="Times New Roman"/>
          <w:sz w:val="24"/>
        </w:rPr>
        <w:t xml:space="preserve">a </w:t>
      </w:r>
      <w:r w:rsidR="000310E5">
        <w:rPr>
          <w:rFonts w:ascii="Times New Roman" w:hAnsi="Times New Roman"/>
          <w:sz w:val="24"/>
          <w:lang w:val="es-ES"/>
        </w:rPr>
        <w:t>Nueva</w:t>
      </w:r>
      <w:r w:rsidR="000310E5" w:rsidRPr="0086731F">
        <w:rPr>
          <w:rFonts w:ascii="Times New Roman" w:hAnsi="Times New Roman"/>
          <w:sz w:val="24"/>
        </w:rPr>
        <w:t xml:space="preserve"> ZPA contribuye un 0,</w:t>
      </w:r>
      <w:r w:rsidR="000310E5">
        <w:rPr>
          <w:rFonts w:ascii="Times New Roman" w:hAnsi="Times New Roman"/>
          <w:sz w:val="24"/>
        </w:rPr>
        <w:t>1</w:t>
      </w:r>
      <w:r w:rsidR="000310E5" w:rsidRPr="0086731F">
        <w:rPr>
          <w:rFonts w:ascii="Times New Roman" w:hAnsi="Times New Roman"/>
          <w:sz w:val="24"/>
        </w:rPr>
        <w:t>% anual adicional al crecimiento de estas actividades</w:t>
      </w:r>
      <w:r w:rsidR="000310E5">
        <w:rPr>
          <w:rFonts w:ascii="Times New Roman" w:hAnsi="Times New Roman"/>
          <w:sz w:val="24"/>
        </w:rPr>
        <w:t>. Así,</w:t>
      </w:r>
      <w:r w:rsidR="000310E5" w:rsidRPr="0086731F">
        <w:rPr>
          <w:rFonts w:ascii="Times New Roman" w:hAnsi="Times New Roman"/>
          <w:sz w:val="24"/>
        </w:rPr>
        <w:t xml:space="preserve"> </w:t>
      </w:r>
      <w:r w:rsidR="000310E5">
        <w:rPr>
          <w:rFonts w:ascii="Times New Roman" w:hAnsi="Times New Roman"/>
          <w:sz w:val="24"/>
        </w:rPr>
        <w:t xml:space="preserve">se obtienen beneficios </w:t>
      </w:r>
      <w:r w:rsidR="000310E5" w:rsidRPr="0086731F">
        <w:rPr>
          <w:rFonts w:ascii="Times New Roman" w:hAnsi="Times New Roman"/>
          <w:sz w:val="24"/>
        </w:rPr>
        <w:t>en asociación a este proyecto que va</w:t>
      </w:r>
      <w:r w:rsidR="000310E5">
        <w:rPr>
          <w:rFonts w:ascii="Times New Roman" w:hAnsi="Times New Roman"/>
          <w:sz w:val="24"/>
        </w:rPr>
        <w:t>n</w:t>
      </w:r>
      <w:r w:rsidR="000310E5" w:rsidRPr="0086731F">
        <w:rPr>
          <w:rFonts w:ascii="Times New Roman" w:hAnsi="Times New Roman"/>
          <w:sz w:val="24"/>
        </w:rPr>
        <w:t xml:space="preserve"> desde ARS </w:t>
      </w:r>
      <w:r w:rsidR="000310E5">
        <w:rPr>
          <w:rFonts w:ascii="Times New Roman" w:hAnsi="Times New Roman"/>
          <w:sz w:val="24"/>
        </w:rPr>
        <w:t>645</w:t>
      </w:r>
      <w:r w:rsidR="000310E5" w:rsidRPr="0086731F">
        <w:rPr>
          <w:rFonts w:ascii="Times New Roman" w:hAnsi="Times New Roman"/>
          <w:sz w:val="24"/>
        </w:rPr>
        <w:t>.</w:t>
      </w:r>
      <w:r w:rsidR="000310E5">
        <w:rPr>
          <w:rFonts w:ascii="Times New Roman" w:hAnsi="Times New Roman"/>
          <w:sz w:val="24"/>
        </w:rPr>
        <w:t>442</w:t>
      </w:r>
      <w:r w:rsidR="000310E5" w:rsidRPr="0086731F">
        <w:rPr>
          <w:rFonts w:ascii="Times New Roman" w:hAnsi="Times New Roman"/>
          <w:sz w:val="24"/>
        </w:rPr>
        <w:t xml:space="preserve"> en el cuarto año hasta ARS </w:t>
      </w:r>
      <w:r w:rsidR="000310E5">
        <w:rPr>
          <w:rFonts w:ascii="Times New Roman" w:hAnsi="Times New Roman"/>
          <w:sz w:val="24"/>
        </w:rPr>
        <w:t>23</w:t>
      </w:r>
      <w:r w:rsidR="000310E5" w:rsidRPr="0086731F">
        <w:rPr>
          <w:rFonts w:ascii="Times New Roman" w:hAnsi="Times New Roman"/>
          <w:sz w:val="24"/>
        </w:rPr>
        <w:t>.</w:t>
      </w:r>
      <w:r w:rsidR="000310E5">
        <w:rPr>
          <w:rFonts w:ascii="Times New Roman" w:hAnsi="Times New Roman"/>
          <w:sz w:val="24"/>
        </w:rPr>
        <w:t>915</w:t>
      </w:r>
      <w:r w:rsidR="000310E5" w:rsidRPr="0086731F">
        <w:rPr>
          <w:rFonts w:ascii="Times New Roman" w:hAnsi="Times New Roman"/>
          <w:sz w:val="24"/>
        </w:rPr>
        <w:t>.</w:t>
      </w:r>
      <w:r w:rsidR="000310E5">
        <w:rPr>
          <w:rFonts w:ascii="Times New Roman" w:hAnsi="Times New Roman"/>
          <w:sz w:val="24"/>
        </w:rPr>
        <w:t>264 en el último, lo cual contribuye a la generación de una TIR de 24%. Incluso, si se considera este beneficio adicional, el proyecto resultaría viable (TIR de 12,01%), aún cuando el tiempo de espera de camiones –supuesto (viii)- no se modificara.</w:t>
      </w:r>
    </w:p>
    <w:p w:rsidR="00B37D8A" w:rsidRPr="00E40ABE" w:rsidRDefault="00B37D8A" w:rsidP="003062AE">
      <w:pPr>
        <w:jc w:val="both"/>
        <w:rPr>
          <w:b/>
          <w:szCs w:val="24"/>
        </w:rPr>
      </w:pPr>
    </w:p>
    <w:p w:rsidR="00B37D8A" w:rsidRDefault="00B37D8A">
      <w:pPr>
        <w:spacing w:after="0" w:line="240" w:lineRule="auto"/>
        <w:rPr>
          <w:rFonts w:ascii="Times New Roman" w:hAnsi="Times New Roman"/>
          <w:b/>
          <w:sz w:val="24"/>
          <w:szCs w:val="24"/>
        </w:rPr>
      </w:pPr>
      <w:bookmarkStart w:id="33" w:name="_Toc113966927"/>
      <w:bookmarkStart w:id="34" w:name="_Toc114301186"/>
      <w:bookmarkStart w:id="35" w:name="_Toc114301503"/>
      <w:r>
        <w:rPr>
          <w:rFonts w:ascii="Times New Roman" w:hAnsi="Times New Roman"/>
          <w:b/>
          <w:sz w:val="24"/>
          <w:szCs w:val="24"/>
        </w:rPr>
        <w:br w:type="page"/>
      </w:r>
    </w:p>
    <w:p w:rsidR="00B37D8A" w:rsidRPr="00455687" w:rsidRDefault="00B37D8A" w:rsidP="00A112D1">
      <w:pPr>
        <w:pStyle w:val="Heading1"/>
        <w:jc w:val="center"/>
        <w:rPr>
          <w:rFonts w:ascii="Times New Roman" w:hAnsi="Times New Roman"/>
          <w:b w:val="0"/>
          <w:i/>
          <w:sz w:val="24"/>
          <w:szCs w:val="24"/>
          <w:lang w:val="es-ES_tradnl"/>
        </w:rPr>
      </w:pPr>
      <w:bookmarkStart w:id="36" w:name="_Toc362804616"/>
      <w:r w:rsidRPr="00455687">
        <w:rPr>
          <w:lang w:val="es-ES"/>
        </w:rPr>
        <w:lastRenderedPageBreak/>
        <w:t>Capítulo 4</w:t>
      </w:r>
      <w:bookmarkEnd w:id="33"/>
      <w:bookmarkEnd w:id="34"/>
      <w:bookmarkEnd w:id="35"/>
      <w:r>
        <w:rPr>
          <w:lang w:val="es-ES"/>
        </w:rPr>
        <w:t xml:space="preserve">. </w:t>
      </w:r>
      <w:r w:rsidRPr="00455687">
        <w:rPr>
          <w:lang w:val="es-ES"/>
        </w:rPr>
        <w:t>Análisis costo beneficio del Subcomponente II.i: Creación del Parque Biotecnológico y de Energías Renovables</w:t>
      </w:r>
      <w:bookmarkEnd w:id="36"/>
    </w:p>
    <w:p w:rsidR="00B37D8A" w:rsidRPr="00C27268" w:rsidRDefault="00B37D8A" w:rsidP="00795D5F">
      <w:pPr>
        <w:pStyle w:val="Heading2"/>
        <w:spacing w:after="240"/>
        <w:rPr>
          <w:rFonts w:ascii="Times New Roman" w:hAnsi="Times New Roman"/>
          <w:lang w:val="es-ES_tradnl"/>
        </w:rPr>
      </w:pPr>
      <w:bookmarkStart w:id="37" w:name="_Toc362804617"/>
      <w:r w:rsidRPr="00C27268">
        <w:rPr>
          <w:rFonts w:ascii="Times New Roman" w:hAnsi="Times New Roman"/>
          <w:lang w:val="es-ES_tradnl"/>
        </w:rPr>
        <w:t>Breve descripción del proyecto</w:t>
      </w:r>
      <w:bookmarkEnd w:id="37"/>
    </w:p>
    <w:p w:rsidR="00B37D8A" w:rsidRPr="00F310BD" w:rsidRDefault="00B37D8A" w:rsidP="00B85C7E">
      <w:pPr>
        <w:tabs>
          <w:tab w:val="left" w:pos="709"/>
        </w:tabs>
        <w:spacing w:before="240"/>
        <w:jc w:val="both"/>
        <w:rPr>
          <w:rFonts w:ascii="Times New Roman" w:hAnsi="Times New Roman"/>
          <w:sz w:val="24"/>
          <w:szCs w:val="24"/>
          <w:lang w:val="es-ES_tradnl"/>
        </w:rPr>
      </w:pPr>
      <w:r w:rsidRPr="00F310BD">
        <w:rPr>
          <w:rFonts w:ascii="Times New Roman" w:hAnsi="Times New Roman"/>
          <w:sz w:val="24"/>
          <w:szCs w:val="24"/>
          <w:lang w:val="es-ES_tradnl"/>
        </w:rPr>
        <w:t>Este subcomponente financiará la creación de un parque biotecnológico y de energías renovables. Es una iniciativa de la Universidad Nacional de Cuyo (UNC) y el Gobierno de Mendoza. El Parque se levantará en un predio existente propiedad de esta Universidad en Chacras de Coria en el departamento de Luján de Cuyo. La Universidad de Cuyo, viene haciendo un trabajo de incubación y soporte a investigadores con ideas que pueden llegar a tener un mercado, sobre todo en el área de biotecnología. La idea principal de este proyecto es construir una infraestructura para albergar a las empresas que se han formado a partir de este trabajo de incubación. Asimismo, el Parque Biotecnológico y de Energías Renovables (PByER) estará orientado a investigación y desarrollo de nuevos emprendimientos del sector biotecnológico en sus diversas áreas, y a temas ambientales y energías renovables. Se alquilarían los terrenos a las empresas. Las empresas se beneficiarían del acceso  a los terrenos a un precio subsidiado (40%),  del acceso a los servicios que presta la Universidad, de la cercanía a investigadores activos en áreas de conocimiento relacionadas a la actividad de las empresas y de la cercanía a otras empresas operando en campos relacionados. Los servicios que se prestarán en el PByER son: concesión de parcelas para desarrollo de infraestructura específica; alquiler de oficinas y de laboratorios; promoción de áreas comunes (</w:t>
      </w:r>
      <w:r w:rsidRPr="009B11B3">
        <w:rPr>
          <w:rFonts w:ascii="Times New Roman" w:hAnsi="Times New Roman"/>
          <w:i/>
          <w:sz w:val="24"/>
          <w:szCs w:val="24"/>
          <w:lang w:val="es-ES_tradnl"/>
        </w:rPr>
        <w:t>buffet</w:t>
      </w:r>
      <w:r w:rsidRPr="00F310BD">
        <w:rPr>
          <w:rFonts w:ascii="Times New Roman" w:hAnsi="Times New Roman"/>
          <w:sz w:val="24"/>
          <w:szCs w:val="24"/>
          <w:lang w:val="es-ES_tradnl"/>
        </w:rPr>
        <w:t xml:space="preserve">, sanitarios, espacios verdes, estacionamiento); alquiler de áreas de soporte (salas de conferencias, bibliotecas, salas de reuniones); y servicios de asesoría multidisciplinaria (legal, financiera, de recursos humanos, patentes). </w:t>
      </w:r>
    </w:p>
    <w:p w:rsidR="00B37D8A" w:rsidRPr="00F310BD" w:rsidRDefault="00B37D8A" w:rsidP="00F310BD">
      <w:pPr>
        <w:tabs>
          <w:tab w:val="left" w:pos="709"/>
        </w:tabs>
        <w:jc w:val="both"/>
        <w:rPr>
          <w:rFonts w:ascii="Times New Roman" w:hAnsi="Times New Roman"/>
          <w:sz w:val="24"/>
          <w:szCs w:val="24"/>
          <w:lang w:val="es-ES_tradnl"/>
        </w:rPr>
      </w:pPr>
      <w:r w:rsidRPr="00F310BD">
        <w:rPr>
          <w:rFonts w:ascii="Times New Roman" w:hAnsi="Times New Roman"/>
          <w:sz w:val="24"/>
          <w:szCs w:val="24"/>
          <w:lang w:val="es-ES_tradnl"/>
        </w:rPr>
        <w:t>Se sabe que hay 11 empresas, que podrían instalarse, muchas de ellas incubadas en la misma universidad.</w:t>
      </w:r>
      <w:r>
        <w:rPr>
          <w:rFonts w:ascii="Times New Roman" w:hAnsi="Times New Roman"/>
          <w:sz w:val="24"/>
          <w:szCs w:val="24"/>
          <w:lang w:val="es-ES_tradnl"/>
        </w:rPr>
        <w:t xml:space="preserve"> </w:t>
      </w:r>
      <w:r w:rsidRPr="00F310BD">
        <w:rPr>
          <w:rFonts w:ascii="Times New Roman" w:hAnsi="Times New Roman"/>
          <w:sz w:val="24"/>
          <w:szCs w:val="24"/>
          <w:lang w:val="es-ES_tradnl"/>
        </w:rPr>
        <w:t>Las empresas que se instalarán serán seleccionadas conforme a un conjunto de criterios que tendrán la aprobación del Banco, tales como potencial de crecimiento, capacidad de innovación, conexión con la agroindustria mendocina y potenciales efectos dinamizadores, etc. Dado que la UNC aporta los terrenos, y con los fondos del préstamo el Gobierno de la Provincia financiará las instalaciones, el gobierno del Parque será ejercido por un consorcio integrado por ambas instituciones. Esta estructura institucional podrá adecuarse en el futuro para recibir nuevos socios y encontrar las formas más adecuadas para administrar el Parque en forma ágil y transparente. Las entidades principales Promotoras del proyecto son el Gobierno de Mendoza y la Universidad Nacional de Cuyo, sin embargo se prevé que también otras entidades relevantes para la actividad del parque participarán directa e indirectamente en la iniciativa, éstas incluyen al INTA, INTI, CONICET, INA, SENASA, INASE e INV, entre otras.</w:t>
      </w:r>
    </w:p>
    <w:p w:rsidR="00B37D8A" w:rsidRDefault="00B37D8A" w:rsidP="00F310BD">
      <w:pPr>
        <w:tabs>
          <w:tab w:val="left" w:pos="709"/>
        </w:tabs>
        <w:jc w:val="both"/>
        <w:rPr>
          <w:rFonts w:ascii="Times New Roman" w:hAnsi="Times New Roman"/>
          <w:sz w:val="24"/>
          <w:szCs w:val="24"/>
          <w:lang w:val="es-ES_tradnl"/>
        </w:rPr>
      </w:pPr>
      <w:r>
        <w:rPr>
          <w:rFonts w:ascii="Times New Roman" w:hAnsi="Times New Roman"/>
          <w:sz w:val="24"/>
          <w:szCs w:val="24"/>
          <w:lang w:val="es-ES_tradnl"/>
        </w:rPr>
        <w:t>En síntesis, el objetivo principal del proyecto es c</w:t>
      </w:r>
      <w:r w:rsidRPr="00F310BD">
        <w:rPr>
          <w:rFonts w:ascii="Times New Roman" w:hAnsi="Times New Roman"/>
          <w:sz w:val="24"/>
          <w:szCs w:val="24"/>
          <w:lang w:val="es-ES_tradnl"/>
        </w:rPr>
        <w:t>rear una infraestructura adecuada para la operación y crecimiento de empresas de base tecnológica, específicamente en el área de biotecnología y energía renovables, dos áreas de conocimiento en las que la Universidad de Cuyo viene trabajando y tiene capacidades. Esta infraestructura debe incluir en el caso de empresas basadas en conocimiento un espacio propicio para la circulación de este conocimiento (particularmente tácito).</w:t>
      </w:r>
      <w:r>
        <w:rPr>
          <w:rFonts w:ascii="Times New Roman" w:hAnsi="Times New Roman"/>
          <w:sz w:val="24"/>
          <w:szCs w:val="24"/>
          <w:lang w:val="es-ES_tradnl"/>
        </w:rPr>
        <w:t xml:space="preserve"> </w:t>
      </w:r>
      <w:r w:rsidRPr="00F310BD">
        <w:rPr>
          <w:rFonts w:ascii="Times New Roman" w:hAnsi="Times New Roman"/>
          <w:sz w:val="24"/>
          <w:szCs w:val="24"/>
          <w:lang w:val="es-ES_tradnl"/>
        </w:rPr>
        <w:t xml:space="preserve">En el largo plazo el </w:t>
      </w:r>
      <w:r w:rsidRPr="00F310BD">
        <w:rPr>
          <w:rFonts w:ascii="Times New Roman" w:hAnsi="Times New Roman"/>
          <w:sz w:val="24"/>
          <w:szCs w:val="24"/>
          <w:lang w:val="es-ES_tradnl"/>
        </w:rPr>
        <w:lastRenderedPageBreak/>
        <w:t>proyecto intenta contribuir a la diversificación productiva de la provincia de Mendoza en una dirección de mayor valor agregado y de conocimiento; y crear capacidades para fortalecer el sector productivo de Mendoza, en áreas cruciales para el desarrollo a largo plazo de la economía, tales como la biotecnología la cual se ha convertido en una tecnología clave para el desarrollo de sectores importantes para la economía Mendocina, tales como el</w:t>
      </w:r>
      <w:r>
        <w:rPr>
          <w:rFonts w:ascii="Times New Roman" w:hAnsi="Times New Roman"/>
          <w:sz w:val="24"/>
          <w:szCs w:val="24"/>
          <w:lang w:val="es-ES_tradnl"/>
        </w:rPr>
        <w:t xml:space="preserve"> </w:t>
      </w:r>
      <w:r w:rsidRPr="00F310BD">
        <w:rPr>
          <w:rFonts w:ascii="Times New Roman" w:hAnsi="Times New Roman"/>
          <w:sz w:val="24"/>
          <w:szCs w:val="24"/>
          <w:lang w:val="es-ES_tradnl"/>
        </w:rPr>
        <w:t>agroindustrial.</w:t>
      </w:r>
      <w:r>
        <w:rPr>
          <w:rFonts w:ascii="Times New Roman" w:hAnsi="Times New Roman"/>
          <w:sz w:val="24"/>
          <w:szCs w:val="24"/>
          <w:lang w:val="es-ES_tradnl"/>
        </w:rPr>
        <w:t xml:space="preserve"> </w:t>
      </w:r>
      <w:r w:rsidRPr="00F310BD">
        <w:rPr>
          <w:rFonts w:ascii="Times New Roman" w:hAnsi="Times New Roman"/>
          <w:sz w:val="24"/>
          <w:szCs w:val="24"/>
          <w:lang w:val="es-ES_tradnl"/>
        </w:rPr>
        <w:t xml:space="preserve">Otros objetivos complementarios del proyecto incluyen: </w:t>
      </w:r>
      <w:r>
        <w:rPr>
          <w:rFonts w:ascii="Times New Roman" w:hAnsi="Times New Roman"/>
          <w:sz w:val="24"/>
          <w:szCs w:val="24"/>
          <w:lang w:val="es-ES_tradnl"/>
        </w:rPr>
        <w:t>i) a</w:t>
      </w:r>
      <w:r w:rsidRPr="00F310BD">
        <w:rPr>
          <w:rFonts w:ascii="Times New Roman" w:hAnsi="Times New Roman"/>
          <w:sz w:val="24"/>
          <w:szCs w:val="24"/>
          <w:lang w:val="es-ES_tradnl"/>
        </w:rPr>
        <w:t>provechar el capital humano y las capacidades con que cuenta la U</w:t>
      </w:r>
      <w:r>
        <w:rPr>
          <w:rFonts w:ascii="Times New Roman" w:hAnsi="Times New Roman"/>
          <w:sz w:val="24"/>
          <w:szCs w:val="24"/>
          <w:lang w:val="es-ES_tradnl"/>
        </w:rPr>
        <w:t>N</w:t>
      </w:r>
      <w:r w:rsidRPr="00F310BD">
        <w:rPr>
          <w:rFonts w:ascii="Times New Roman" w:hAnsi="Times New Roman"/>
          <w:sz w:val="24"/>
          <w:szCs w:val="24"/>
          <w:lang w:val="es-ES_tradnl"/>
        </w:rPr>
        <w:t>C</w:t>
      </w:r>
      <w:r>
        <w:rPr>
          <w:rFonts w:ascii="Times New Roman" w:hAnsi="Times New Roman"/>
          <w:sz w:val="24"/>
          <w:szCs w:val="24"/>
          <w:lang w:val="es-ES_tradnl"/>
        </w:rPr>
        <w:t xml:space="preserve">, </w:t>
      </w:r>
      <w:r w:rsidRPr="00F310BD">
        <w:rPr>
          <w:rFonts w:ascii="Times New Roman" w:hAnsi="Times New Roman"/>
          <w:sz w:val="24"/>
          <w:szCs w:val="24"/>
          <w:lang w:val="es-ES_tradnl"/>
        </w:rPr>
        <w:t>no sólo en temas de biotecnología y energías renovables, sino también en la prestación de servicios e incubación de empresas para fomentar y dar soporte a la creación y desarrollo de empresas  basadas en conocimiento</w:t>
      </w:r>
      <w:r>
        <w:rPr>
          <w:rFonts w:ascii="Times New Roman" w:hAnsi="Times New Roman"/>
          <w:sz w:val="24"/>
          <w:szCs w:val="24"/>
          <w:lang w:val="es-ES_tradnl"/>
        </w:rPr>
        <w:t>; ii) f</w:t>
      </w:r>
      <w:r w:rsidRPr="00F310BD">
        <w:rPr>
          <w:rFonts w:ascii="Times New Roman" w:hAnsi="Times New Roman"/>
          <w:sz w:val="24"/>
          <w:szCs w:val="24"/>
          <w:lang w:val="es-ES_tradnl"/>
        </w:rPr>
        <w:t>omentar las relaciones gobierno-universidad-empresa</w:t>
      </w:r>
      <w:r>
        <w:rPr>
          <w:rFonts w:ascii="Times New Roman" w:hAnsi="Times New Roman"/>
          <w:sz w:val="24"/>
          <w:szCs w:val="24"/>
          <w:lang w:val="es-ES_tradnl"/>
        </w:rPr>
        <w:t>; iii) i</w:t>
      </w:r>
      <w:r w:rsidRPr="00F310BD">
        <w:rPr>
          <w:rFonts w:ascii="Times New Roman" w:hAnsi="Times New Roman"/>
          <w:sz w:val="24"/>
          <w:szCs w:val="24"/>
          <w:lang w:val="es-ES_tradnl"/>
        </w:rPr>
        <w:t>nstitucionalizar y vincular distintos proyectos emprendedores tecnológicos, creando normas de funcionamiento administrativo y legal para las empresas</w:t>
      </w:r>
      <w:r>
        <w:rPr>
          <w:rFonts w:ascii="Times New Roman" w:hAnsi="Times New Roman"/>
          <w:sz w:val="24"/>
          <w:szCs w:val="24"/>
          <w:lang w:val="es-ES_tradnl"/>
        </w:rPr>
        <w:t>; iv) f</w:t>
      </w:r>
      <w:r w:rsidRPr="00F310BD">
        <w:rPr>
          <w:rFonts w:ascii="Times New Roman" w:hAnsi="Times New Roman"/>
          <w:sz w:val="24"/>
          <w:szCs w:val="24"/>
          <w:lang w:val="es-ES_tradnl"/>
        </w:rPr>
        <w:t>acilitar el acceso de las PyMEs al proceso de investigación, desar</w:t>
      </w:r>
      <w:r>
        <w:rPr>
          <w:rFonts w:ascii="Times New Roman" w:hAnsi="Times New Roman"/>
          <w:sz w:val="24"/>
          <w:szCs w:val="24"/>
          <w:lang w:val="es-ES_tradnl"/>
        </w:rPr>
        <w:t>rollo e innovación tecnológica; y v) c</w:t>
      </w:r>
      <w:r w:rsidRPr="00F310BD">
        <w:rPr>
          <w:rFonts w:ascii="Times New Roman" w:hAnsi="Times New Roman"/>
          <w:sz w:val="24"/>
          <w:szCs w:val="24"/>
          <w:lang w:val="es-ES_tradnl"/>
        </w:rPr>
        <w:t>onectar los sectores productivos y demandas tecnológicas de la región con la oferta de cono</w:t>
      </w:r>
      <w:r>
        <w:rPr>
          <w:rFonts w:ascii="Times New Roman" w:hAnsi="Times New Roman"/>
          <w:sz w:val="24"/>
          <w:szCs w:val="24"/>
          <w:lang w:val="es-ES_tradnl"/>
        </w:rPr>
        <w:t>cimiento.</w:t>
      </w:r>
    </w:p>
    <w:p w:rsidR="00B37D8A" w:rsidRPr="00C27268" w:rsidRDefault="00B37D8A" w:rsidP="006101E8">
      <w:pPr>
        <w:pStyle w:val="Heading2"/>
        <w:spacing w:after="240"/>
        <w:rPr>
          <w:rFonts w:ascii="Times New Roman" w:hAnsi="Times New Roman"/>
          <w:lang w:val="es-ES_tradnl"/>
        </w:rPr>
      </w:pPr>
      <w:bookmarkStart w:id="38" w:name="_Toc362804618"/>
      <w:r w:rsidRPr="00C27268">
        <w:rPr>
          <w:rFonts w:ascii="Times New Roman" w:hAnsi="Times New Roman"/>
          <w:lang w:val="es-ES_tradnl"/>
        </w:rPr>
        <w:t>Estimación de beneficios y costos</w:t>
      </w:r>
      <w:bookmarkEnd w:id="38"/>
    </w:p>
    <w:p w:rsidR="00B37D8A" w:rsidRDefault="00B37D8A" w:rsidP="00E40ABE">
      <w:pPr>
        <w:spacing w:before="240"/>
        <w:jc w:val="both"/>
        <w:rPr>
          <w:rFonts w:ascii="Times New Roman" w:hAnsi="Times New Roman"/>
          <w:sz w:val="24"/>
        </w:rPr>
      </w:pPr>
      <w:r>
        <w:rPr>
          <w:rFonts w:ascii="Times New Roman" w:hAnsi="Times New Roman"/>
          <w:sz w:val="24"/>
        </w:rPr>
        <w:t xml:space="preserve">La identificación de costos y beneficios se realiza </w:t>
      </w:r>
      <w:r w:rsidR="00E1314E">
        <w:rPr>
          <w:rFonts w:ascii="Times New Roman" w:hAnsi="Times New Roman"/>
          <w:sz w:val="24"/>
        </w:rPr>
        <w:t xml:space="preserve">en </w:t>
      </w:r>
      <w:r>
        <w:rPr>
          <w:rFonts w:ascii="Times New Roman" w:hAnsi="Times New Roman"/>
          <w:sz w:val="24"/>
        </w:rPr>
        <w:t xml:space="preserve">base </w:t>
      </w:r>
      <w:r w:rsidR="00E1314E">
        <w:rPr>
          <w:rFonts w:ascii="Times New Roman" w:hAnsi="Times New Roman"/>
          <w:sz w:val="24"/>
        </w:rPr>
        <w:t>a</w:t>
      </w:r>
      <w:r>
        <w:rPr>
          <w:rFonts w:ascii="Times New Roman" w:hAnsi="Times New Roman"/>
          <w:sz w:val="24"/>
        </w:rPr>
        <w:t xml:space="preserve"> diferentes documentos elaborados por la Universidad Nacional de Cuyo, y otra información secundaria existente relacionada al sector de biotecnología en Argentina y su impacto sobre la actividad económica en general.</w:t>
      </w:r>
    </w:p>
    <w:p w:rsidR="00B37D8A" w:rsidRDefault="00B37D8A" w:rsidP="00E40ABE">
      <w:pPr>
        <w:spacing w:before="240"/>
        <w:jc w:val="both"/>
        <w:rPr>
          <w:rFonts w:ascii="Times New Roman" w:hAnsi="Times New Roman"/>
          <w:sz w:val="24"/>
        </w:rPr>
      </w:pPr>
      <w:r>
        <w:rPr>
          <w:rFonts w:ascii="Times New Roman" w:hAnsi="Times New Roman"/>
          <w:sz w:val="24"/>
        </w:rPr>
        <w:t xml:space="preserve">Para la estimación de beneficios se tienen en cuenta: </w:t>
      </w:r>
    </w:p>
    <w:p w:rsidR="00B37D8A" w:rsidRDefault="00B37D8A" w:rsidP="009B11B3">
      <w:pPr>
        <w:pStyle w:val="ListParagraph"/>
        <w:numPr>
          <w:ilvl w:val="0"/>
          <w:numId w:val="19"/>
        </w:numPr>
        <w:spacing w:after="0"/>
        <w:jc w:val="both"/>
        <w:rPr>
          <w:rFonts w:ascii="Times New Roman" w:hAnsi="Times New Roman"/>
          <w:sz w:val="24"/>
        </w:rPr>
      </w:pPr>
      <w:r>
        <w:rPr>
          <w:rFonts w:ascii="Times New Roman" w:hAnsi="Times New Roman"/>
          <w:sz w:val="24"/>
        </w:rPr>
        <w:t>los ingresos provenientes por el uso del espacio del parque, por ejemplo alquiler y expensas (ingresos directos), y</w:t>
      </w:r>
    </w:p>
    <w:p w:rsidR="00B37D8A" w:rsidRPr="00A04F12" w:rsidRDefault="00B37D8A" w:rsidP="00A04F12">
      <w:pPr>
        <w:pStyle w:val="ListParagraph"/>
        <w:numPr>
          <w:ilvl w:val="0"/>
          <w:numId w:val="19"/>
        </w:numPr>
        <w:spacing w:after="0"/>
        <w:jc w:val="both"/>
        <w:rPr>
          <w:rFonts w:ascii="Times New Roman" w:hAnsi="Times New Roman"/>
          <w:sz w:val="24"/>
        </w:rPr>
      </w:pPr>
      <w:r w:rsidRPr="00141E96">
        <w:rPr>
          <w:rFonts w:ascii="Times New Roman" w:hAnsi="Times New Roman"/>
          <w:sz w:val="24"/>
        </w:rPr>
        <w:t xml:space="preserve">el crecimiento </w:t>
      </w:r>
      <w:r>
        <w:rPr>
          <w:rFonts w:ascii="Times New Roman" w:hAnsi="Times New Roman"/>
          <w:sz w:val="24"/>
        </w:rPr>
        <w:t>de una empresa típica instalada en el parque (beneficio indirecto).</w:t>
      </w:r>
    </w:p>
    <w:p w:rsidR="00B37D8A" w:rsidRDefault="00B37D8A" w:rsidP="00E40ABE">
      <w:pPr>
        <w:spacing w:before="240"/>
        <w:jc w:val="both"/>
        <w:rPr>
          <w:rFonts w:ascii="Times New Roman" w:hAnsi="Times New Roman"/>
          <w:sz w:val="24"/>
        </w:rPr>
      </w:pPr>
      <w:r>
        <w:rPr>
          <w:rFonts w:ascii="Times New Roman" w:hAnsi="Times New Roman"/>
          <w:sz w:val="24"/>
        </w:rPr>
        <w:t xml:space="preserve">Para la estimación de los costos, consideramos: </w:t>
      </w:r>
    </w:p>
    <w:p w:rsidR="00B37D8A" w:rsidRDefault="00B37D8A" w:rsidP="00E40ABE">
      <w:pPr>
        <w:pStyle w:val="ListParagraph"/>
        <w:numPr>
          <w:ilvl w:val="0"/>
          <w:numId w:val="6"/>
        </w:numPr>
        <w:jc w:val="both"/>
        <w:rPr>
          <w:rFonts w:ascii="Times New Roman" w:hAnsi="Times New Roman"/>
          <w:sz w:val="24"/>
        </w:rPr>
      </w:pPr>
      <w:r>
        <w:rPr>
          <w:rFonts w:ascii="Times New Roman" w:hAnsi="Times New Roman"/>
          <w:sz w:val="24"/>
        </w:rPr>
        <w:t>los provenientes de la instalación del parque en términos de infraestructura y obras edilicias,</w:t>
      </w:r>
    </w:p>
    <w:p w:rsidR="00B37D8A" w:rsidRDefault="00B37D8A" w:rsidP="00E40ABE">
      <w:pPr>
        <w:pStyle w:val="ListParagraph"/>
        <w:numPr>
          <w:ilvl w:val="0"/>
          <w:numId w:val="6"/>
        </w:numPr>
        <w:spacing w:after="0"/>
        <w:jc w:val="both"/>
        <w:rPr>
          <w:rFonts w:ascii="Times New Roman" w:hAnsi="Times New Roman"/>
          <w:sz w:val="24"/>
        </w:rPr>
      </w:pPr>
      <w:r>
        <w:rPr>
          <w:rFonts w:ascii="Times New Roman" w:hAnsi="Times New Roman"/>
          <w:sz w:val="24"/>
        </w:rPr>
        <w:t xml:space="preserve">los referidos a los recursos humanos necesarios para llevar adelante la administración, gestión y actividades comunes del parque, y </w:t>
      </w:r>
    </w:p>
    <w:p w:rsidR="00B37D8A" w:rsidRDefault="00B37D8A" w:rsidP="00E40ABE">
      <w:pPr>
        <w:pStyle w:val="ListParagraph"/>
        <w:numPr>
          <w:ilvl w:val="0"/>
          <w:numId w:val="6"/>
        </w:numPr>
        <w:spacing w:after="0"/>
        <w:jc w:val="both"/>
        <w:rPr>
          <w:rFonts w:ascii="Times New Roman" w:hAnsi="Times New Roman"/>
          <w:sz w:val="24"/>
        </w:rPr>
      </w:pPr>
      <w:r>
        <w:rPr>
          <w:rFonts w:ascii="Times New Roman" w:hAnsi="Times New Roman"/>
          <w:sz w:val="24"/>
        </w:rPr>
        <w:t xml:space="preserve">los gastos operativos de funcionamiento del parque. </w:t>
      </w:r>
    </w:p>
    <w:p w:rsidR="00B37D8A" w:rsidRDefault="00B37D8A" w:rsidP="00E40ABE">
      <w:pPr>
        <w:pStyle w:val="ListParagraph"/>
        <w:spacing w:before="240"/>
        <w:ind w:left="0"/>
        <w:contextualSpacing w:val="0"/>
        <w:jc w:val="both"/>
        <w:rPr>
          <w:rFonts w:ascii="Times New Roman" w:hAnsi="Times New Roman"/>
          <w:sz w:val="24"/>
        </w:rPr>
      </w:pPr>
      <w:r>
        <w:rPr>
          <w:rFonts w:ascii="Times New Roman" w:hAnsi="Times New Roman"/>
          <w:sz w:val="24"/>
        </w:rPr>
        <w:t>A continuación se presenta el detalle de cálculo de beneficios y costos.</w:t>
      </w:r>
    </w:p>
    <w:p w:rsidR="00B37D8A" w:rsidRPr="00E1314E" w:rsidRDefault="00B37D8A" w:rsidP="00E40ABE">
      <w:pPr>
        <w:pStyle w:val="ListParagraph"/>
        <w:spacing w:before="240"/>
        <w:ind w:left="0"/>
        <w:contextualSpacing w:val="0"/>
        <w:jc w:val="both"/>
        <w:rPr>
          <w:rFonts w:ascii="Times New Roman" w:hAnsi="Times New Roman"/>
          <w:b/>
          <w:i/>
          <w:sz w:val="24"/>
        </w:rPr>
      </w:pPr>
      <w:r w:rsidRPr="00E1314E">
        <w:rPr>
          <w:rFonts w:ascii="Times New Roman" w:hAnsi="Times New Roman"/>
          <w:b/>
          <w:i/>
          <w:sz w:val="24"/>
        </w:rPr>
        <w:t>A. BENEFICIOS</w:t>
      </w:r>
    </w:p>
    <w:p w:rsidR="00B37D8A" w:rsidRPr="00E1314E" w:rsidRDefault="00B37D8A" w:rsidP="00E40ABE">
      <w:pPr>
        <w:pStyle w:val="ListParagraph"/>
        <w:spacing w:before="240"/>
        <w:ind w:left="0"/>
        <w:jc w:val="both"/>
        <w:rPr>
          <w:rFonts w:ascii="Times New Roman" w:hAnsi="Times New Roman"/>
          <w:b/>
          <w:i/>
          <w:sz w:val="24"/>
        </w:rPr>
      </w:pPr>
      <w:r w:rsidRPr="00E1314E">
        <w:rPr>
          <w:rFonts w:ascii="Times New Roman" w:hAnsi="Times New Roman"/>
          <w:i/>
          <w:sz w:val="24"/>
        </w:rPr>
        <w:t>i) Ingresos provenientes por el uso del espacio del parque</w:t>
      </w:r>
    </w:p>
    <w:p w:rsidR="00B37D8A" w:rsidRDefault="00B37D8A" w:rsidP="00E40ABE">
      <w:pPr>
        <w:spacing w:before="240"/>
        <w:jc w:val="both"/>
        <w:rPr>
          <w:rFonts w:ascii="Times New Roman" w:hAnsi="Times New Roman"/>
          <w:sz w:val="24"/>
        </w:rPr>
      </w:pPr>
      <w:r>
        <w:rPr>
          <w:rFonts w:ascii="Times New Roman" w:hAnsi="Times New Roman"/>
          <w:spacing w:val="-2"/>
          <w:sz w:val="24"/>
          <w:szCs w:val="24"/>
          <w:lang w:val="es-ES_tradnl"/>
        </w:rPr>
        <w:t>E</w:t>
      </w:r>
      <w:r w:rsidRPr="007730EC">
        <w:rPr>
          <w:rFonts w:ascii="Times New Roman" w:hAnsi="Times New Roman"/>
          <w:spacing w:val="-2"/>
          <w:sz w:val="24"/>
          <w:szCs w:val="24"/>
          <w:lang w:val="es-ES_tradnl"/>
        </w:rPr>
        <w:t>l Parque cuenta con un Plan de Negocios que proyecta un flujo de fondos que llevará a su autofinanciamiento a partir del cobro de alquileres y servicios a las empresas instaladas</w:t>
      </w:r>
      <w:r>
        <w:rPr>
          <w:rFonts w:ascii="Times New Roman" w:hAnsi="Times New Roman"/>
          <w:spacing w:val="-2"/>
          <w:sz w:val="24"/>
          <w:szCs w:val="24"/>
          <w:lang w:val="es-ES_tradnl"/>
        </w:rPr>
        <w:t xml:space="preserve">, para lo cual </w:t>
      </w:r>
      <w:r>
        <w:rPr>
          <w:rFonts w:ascii="Times New Roman" w:hAnsi="Times New Roman"/>
          <w:sz w:val="24"/>
        </w:rPr>
        <w:t xml:space="preserve">debe tenerse en cuenta el espacio físico disponible para alquiler. En particular, el proyecto </w:t>
      </w:r>
      <w:r w:rsidRPr="00B9564B">
        <w:rPr>
          <w:rFonts w:ascii="Times New Roman" w:hAnsi="Times New Roman"/>
          <w:sz w:val="24"/>
        </w:rPr>
        <w:t>prevé la construcción de 1</w:t>
      </w:r>
      <w:r>
        <w:rPr>
          <w:rFonts w:ascii="Times New Roman" w:hAnsi="Times New Roman"/>
          <w:sz w:val="24"/>
        </w:rPr>
        <w:t>.</w:t>
      </w:r>
      <w:r w:rsidRPr="00B9564B">
        <w:rPr>
          <w:rFonts w:ascii="Times New Roman" w:hAnsi="Times New Roman"/>
          <w:sz w:val="24"/>
        </w:rPr>
        <w:t>137m</w:t>
      </w:r>
      <w:r w:rsidRPr="007D12C6">
        <w:rPr>
          <w:rFonts w:ascii="Times New Roman" w:hAnsi="Times New Roman"/>
          <w:sz w:val="24"/>
          <w:vertAlign w:val="superscript"/>
        </w:rPr>
        <w:t>2</w:t>
      </w:r>
      <w:r w:rsidRPr="00B9564B">
        <w:rPr>
          <w:rFonts w:ascii="Times New Roman" w:hAnsi="Times New Roman"/>
          <w:sz w:val="24"/>
        </w:rPr>
        <w:t xml:space="preserve"> destinado</w:t>
      </w:r>
      <w:r w:rsidR="00C36570">
        <w:rPr>
          <w:rFonts w:ascii="Times New Roman" w:hAnsi="Times New Roman"/>
          <w:sz w:val="24"/>
        </w:rPr>
        <w:t>s</w:t>
      </w:r>
      <w:r w:rsidRPr="00B9564B">
        <w:rPr>
          <w:rFonts w:ascii="Times New Roman" w:hAnsi="Times New Roman"/>
          <w:sz w:val="24"/>
        </w:rPr>
        <w:t xml:space="preserve"> principalmente a laboratorios, oficinas y galpones. </w:t>
      </w:r>
      <w:r>
        <w:rPr>
          <w:rFonts w:ascii="Times New Roman" w:hAnsi="Times New Roman"/>
          <w:sz w:val="24"/>
        </w:rPr>
        <w:t xml:space="preserve">En dicha </w:t>
      </w:r>
      <w:r>
        <w:rPr>
          <w:rFonts w:ascii="Times New Roman" w:hAnsi="Times New Roman"/>
          <w:sz w:val="24"/>
        </w:rPr>
        <w:lastRenderedPageBreak/>
        <w:t>superficie, se tiene pensado también, construir</w:t>
      </w:r>
      <w:r w:rsidRPr="00B9564B">
        <w:rPr>
          <w:rFonts w:ascii="Times New Roman" w:hAnsi="Times New Roman"/>
          <w:sz w:val="24"/>
        </w:rPr>
        <w:t xml:space="preserve"> oficinas para la administración, un laboratorio con elementos comunes, baños en cada unidad y espacios de circulación.</w:t>
      </w:r>
      <w:r>
        <w:rPr>
          <w:rFonts w:ascii="Times New Roman" w:hAnsi="Times New Roman"/>
          <w:sz w:val="24"/>
        </w:rPr>
        <w:t xml:space="preserve"> Así, de</w:t>
      </w:r>
      <w:r w:rsidRPr="00B9564B">
        <w:rPr>
          <w:rFonts w:ascii="Times New Roman" w:hAnsi="Times New Roman"/>
          <w:sz w:val="24"/>
        </w:rPr>
        <w:t xml:space="preserve">l </w:t>
      </w:r>
      <w:r>
        <w:rPr>
          <w:rFonts w:ascii="Times New Roman" w:hAnsi="Times New Roman"/>
          <w:sz w:val="24"/>
        </w:rPr>
        <w:t xml:space="preserve">predio </w:t>
      </w:r>
      <w:r w:rsidRPr="00B9564B">
        <w:rPr>
          <w:rFonts w:ascii="Times New Roman" w:hAnsi="Times New Roman"/>
          <w:sz w:val="24"/>
        </w:rPr>
        <w:t>total</w:t>
      </w:r>
      <w:r>
        <w:rPr>
          <w:rFonts w:ascii="Times New Roman" w:hAnsi="Times New Roman"/>
          <w:sz w:val="24"/>
        </w:rPr>
        <w:t xml:space="preserve"> quedan disponibles para ser alquilados 38</w:t>
      </w:r>
      <w:r w:rsidRPr="00B9564B">
        <w:rPr>
          <w:rFonts w:ascii="Times New Roman" w:hAnsi="Times New Roman"/>
          <w:sz w:val="24"/>
        </w:rPr>
        <w:t>00m</w:t>
      </w:r>
      <w:r w:rsidRPr="007D12C6">
        <w:rPr>
          <w:rFonts w:ascii="Times New Roman" w:hAnsi="Times New Roman"/>
          <w:sz w:val="24"/>
          <w:vertAlign w:val="superscript"/>
        </w:rPr>
        <w:t>2</w:t>
      </w:r>
      <w:r>
        <w:rPr>
          <w:rFonts w:ascii="Times New Roman" w:hAnsi="Times New Roman"/>
          <w:sz w:val="24"/>
        </w:rPr>
        <w:t xml:space="preserve"> cubiertos a utilizarse por proyectos y empresas.</w:t>
      </w:r>
    </w:p>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3"/>
        <w:gridCol w:w="993"/>
      </w:tblGrid>
      <w:tr w:rsidR="00B37D8A" w:rsidRPr="00545769" w:rsidTr="0085600D">
        <w:trPr>
          <w:jc w:val="center"/>
        </w:trPr>
        <w:tc>
          <w:tcPr>
            <w:tcW w:w="2613" w:type="dxa"/>
            <w:shd w:val="clear" w:color="auto" w:fill="EEECE1"/>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Destino</w:t>
            </w:r>
          </w:p>
        </w:tc>
        <w:tc>
          <w:tcPr>
            <w:tcW w:w="993" w:type="dxa"/>
            <w:shd w:val="clear" w:color="auto" w:fill="EEECE1"/>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m</w:t>
            </w:r>
            <w:r w:rsidRPr="00545769">
              <w:rPr>
                <w:rFonts w:ascii="Arial" w:hAnsi="Arial" w:cs="Arial"/>
                <w:sz w:val="18"/>
                <w:szCs w:val="18"/>
                <w:vertAlign w:val="superscript"/>
              </w:rPr>
              <w:t>2</w:t>
            </w:r>
          </w:p>
        </w:tc>
      </w:tr>
      <w:tr w:rsidR="00B37D8A" w:rsidRPr="00545769" w:rsidTr="0085600D">
        <w:trPr>
          <w:jc w:val="center"/>
        </w:trPr>
        <w:tc>
          <w:tcPr>
            <w:tcW w:w="2613" w:type="dxa"/>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Oficinas</w:t>
            </w:r>
          </w:p>
        </w:tc>
        <w:tc>
          <w:tcPr>
            <w:tcW w:w="993" w:type="dxa"/>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235</w:t>
            </w:r>
          </w:p>
        </w:tc>
      </w:tr>
      <w:tr w:rsidR="00B37D8A" w:rsidRPr="00545769" w:rsidTr="0085600D">
        <w:trPr>
          <w:jc w:val="center"/>
        </w:trPr>
        <w:tc>
          <w:tcPr>
            <w:tcW w:w="2613" w:type="dxa"/>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Laboratorios</w:t>
            </w:r>
          </w:p>
        </w:tc>
        <w:tc>
          <w:tcPr>
            <w:tcW w:w="993" w:type="dxa"/>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345</w:t>
            </w:r>
          </w:p>
        </w:tc>
      </w:tr>
      <w:tr w:rsidR="00B37D8A" w:rsidRPr="00545769" w:rsidTr="0085600D">
        <w:trPr>
          <w:jc w:val="center"/>
        </w:trPr>
        <w:tc>
          <w:tcPr>
            <w:tcW w:w="2613" w:type="dxa"/>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Galpones</w:t>
            </w:r>
          </w:p>
        </w:tc>
        <w:tc>
          <w:tcPr>
            <w:tcW w:w="993" w:type="dxa"/>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20</w:t>
            </w:r>
          </w:p>
        </w:tc>
      </w:tr>
      <w:tr w:rsidR="00B37D8A" w:rsidRPr="00545769" w:rsidTr="0085600D">
        <w:trPr>
          <w:jc w:val="center"/>
        </w:trPr>
        <w:tc>
          <w:tcPr>
            <w:tcW w:w="2613" w:type="dxa"/>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Parcelas</w:t>
            </w:r>
          </w:p>
        </w:tc>
        <w:tc>
          <w:tcPr>
            <w:tcW w:w="993" w:type="dxa"/>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3</w:t>
            </w:r>
            <w:r>
              <w:rPr>
                <w:rFonts w:ascii="Arial" w:hAnsi="Arial" w:cs="Arial"/>
                <w:sz w:val="18"/>
                <w:szCs w:val="18"/>
              </w:rPr>
              <w:t>.</w:t>
            </w:r>
            <w:r w:rsidRPr="00545769">
              <w:rPr>
                <w:rFonts w:ascii="Arial" w:hAnsi="Arial" w:cs="Arial"/>
                <w:sz w:val="18"/>
                <w:szCs w:val="18"/>
              </w:rPr>
              <w:t>800</w:t>
            </w:r>
          </w:p>
        </w:tc>
      </w:tr>
      <w:tr w:rsidR="00B37D8A" w:rsidRPr="00545769" w:rsidTr="0085600D">
        <w:trPr>
          <w:jc w:val="center"/>
        </w:trPr>
        <w:tc>
          <w:tcPr>
            <w:tcW w:w="2613" w:type="dxa"/>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Espacios comunes</w:t>
            </w:r>
          </w:p>
        </w:tc>
        <w:tc>
          <w:tcPr>
            <w:tcW w:w="993" w:type="dxa"/>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537</w:t>
            </w:r>
          </w:p>
        </w:tc>
      </w:tr>
      <w:tr w:rsidR="00B37D8A" w:rsidRPr="00545769" w:rsidTr="0085600D">
        <w:trPr>
          <w:jc w:val="center"/>
        </w:trPr>
        <w:tc>
          <w:tcPr>
            <w:tcW w:w="2613" w:type="dxa"/>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Total</w:t>
            </w:r>
          </w:p>
        </w:tc>
        <w:tc>
          <w:tcPr>
            <w:tcW w:w="993" w:type="dxa"/>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4</w:t>
            </w:r>
            <w:r>
              <w:rPr>
                <w:rFonts w:ascii="Arial" w:hAnsi="Arial" w:cs="Arial"/>
                <w:sz w:val="18"/>
                <w:szCs w:val="18"/>
              </w:rPr>
              <w:t>.</w:t>
            </w:r>
            <w:r w:rsidRPr="00545769">
              <w:rPr>
                <w:rFonts w:ascii="Arial" w:hAnsi="Arial" w:cs="Arial"/>
                <w:sz w:val="18"/>
                <w:szCs w:val="18"/>
              </w:rPr>
              <w:t>937</w:t>
            </w:r>
          </w:p>
        </w:tc>
      </w:tr>
    </w:tbl>
    <w:p w:rsidR="00B37D8A" w:rsidRDefault="00B37D8A" w:rsidP="00E40ABE">
      <w:pPr>
        <w:spacing w:before="240"/>
        <w:jc w:val="both"/>
        <w:rPr>
          <w:rFonts w:ascii="Times New Roman" w:hAnsi="Times New Roman"/>
          <w:sz w:val="24"/>
        </w:rPr>
      </w:pPr>
      <w:r>
        <w:rPr>
          <w:rFonts w:ascii="Times New Roman" w:hAnsi="Times New Roman"/>
          <w:sz w:val="24"/>
        </w:rPr>
        <w:t>La UNC identificó</w:t>
      </w:r>
      <w:r w:rsidRPr="0098127E">
        <w:rPr>
          <w:rFonts w:ascii="Times New Roman" w:hAnsi="Times New Roman"/>
          <w:sz w:val="24"/>
        </w:rPr>
        <w:t xml:space="preserve"> los proyectos que podrían instalarse en el parque </w:t>
      </w:r>
      <w:r>
        <w:rPr>
          <w:rFonts w:ascii="Times New Roman" w:hAnsi="Times New Roman"/>
          <w:sz w:val="24"/>
        </w:rPr>
        <w:t>y</w:t>
      </w:r>
      <w:r w:rsidRPr="0098127E">
        <w:rPr>
          <w:rFonts w:ascii="Times New Roman" w:hAnsi="Times New Roman"/>
          <w:sz w:val="24"/>
        </w:rPr>
        <w:t xml:space="preserve"> los requerimientos de ocupación de cada uno de ellos</w:t>
      </w:r>
      <w:r>
        <w:rPr>
          <w:rFonts w:ascii="Times New Roman" w:hAnsi="Times New Roman"/>
          <w:sz w:val="24"/>
        </w:rPr>
        <w:t xml:space="preserve">. Se trata de </w:t>
      </w:r>
      <w:r w:rsidRPr="007D12C6">
        <w:rPr>
          <w:rFonts w:ascii="Times New Roman" w:hAnsi="Times New Roman"/>
          <w:sz w:val="24"/>
        </w:rPr>
        <w:t>5 proyectos de Biotecnología y 6 de Energías Renovables</w:t>
      </w:r>
      <w:r>
        <w:rPr>
          <w:rFonts w:ascii="Times New Roman" w:hAnsi="Times New Roman"/>
          <w:sz w:val="24"/>
        </w:rPr>
        <w:t xml:space="preserve"> que colapsan la superficie disponible. Dichas firmas y sus requerimientos en términos de espacio son:</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3"/>
        <w:gridCol w:w="1703"/>
        <w:gridCol w:w="1097"/>
        <w:gridCol w:w="1417"/>
        <w:gridCol w:w="1276"/>
        <w:gridCol w:w="1276"/>
      </w:tblGrid>
      <w:tr w:rsidR="00B37D8A" w:rsidRPr="00545769" w:rsidTr="0085600D">
        <w:trPr>
          <w:jc w:val="center"/>
        </w:trPr>
        <w:tc>
          <w:tcPr>
            <w:tcW w:w="1453" w:type="dxa"/>
            <w:tcBorders>
              <w:top w:val="nil"/>
              <w:left w:val="nil"/>
              <w:right w:val="nil"/>
            </w:tcBorders>
          </w:tcPr>
          <w:p w:rsidR="00B37D8A" w:rsidRPr="00545769" w:rsidRDefault="00B37D8A" w:rsidP="0085600D">
            <w:pPr>
              <w:spacing w:after="0" w:line="240" w:lineRule="auto"/>
              <w:jc w:val="both"/>
              <w:rPr>
                <w:rFonts w:ascii="Arial" w:hAnsi="Arial" w:cs="Arial"/>
                <w:sz w:val="18"/>
                <w:szCs w:val="18"/>
              </w:rPr>
            </w:pPr>
          </w:p>
        </w:tc>
        <w:tc>
          <w:tcPr>
            <w:tcW w:w="1703" w:type="dxa"/>
            <w:tcBorders>
              <w:top w:val="nil"/>
              <w:left w:val="nil"/>
            </w:tcBorders>
          </w:tcPr>
          <w:p w:rsidR="00B37D8A" w:rsidRPr="00545769" w:rsidRDefault="00B37D8A" w:rsidP="0085600D">
            <w:pPr>
              <w:spacing w:after="0" w:line="240" w:lineRule="auto"/>
              <w:jc w:val="both"/>
              <w:rPr>
                <w:rFonts w:ascii="Arial" w:hAnsi="Arial" w:cs="Arial"/>
                <w:sz w:val="18"/>
                <w:szCs w:val="18"/>
              </w:rPr>
            </w:pPr>
          </w:p>
        </w:tc>
        <w:tc>
          <w:tcPr>
            <w:tcW w:w="5066" w:type="dxa"/>
            <w:gridSpan w:val="4"/>
            <w:shd w:val="clear" w:color="auto" w:fill="EEECE1"/>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Requerimiento de espacio (en m</w:t>
            </w:r>
            <w:r w:rsidRPr="00545769">
              <w:rPr>
                <w:rFonts w:ascii="Arial" w:hAnsi="Arial" w:cs="Arial"/>
                <w:sz w:val="18"/>
                <w:szCs w:val="18"/>
                <w:vertAlign w:val="superscript"/>
              </w:rPr>
              <w:t>2</w:t>
            </w:r>
            <w:r w:rsidRPr="00545769">
              <w:rPr>
                <w:rFonts w:ascii="Arial" w:hAnsi="Arial" w:cs="Arial"/>
                <w:sz w:val="18"/>
                <w:szCs w:val="18"/>
              </w:rPr>
              <w:t>)</w:t>
            </w:r>
          </w:p>
        </w:tc>
      </w:tr>
      <w:tr w:rsidR="00B37D8A" w:rsidRPr="00545769" w:rsidTr="0085600D">
        <w:trPr>
          <w:jc w:val="center"/>
        </w:trPr>
        <w:tc>
          <w:tcPr>
            <w:tcW w:w="1453" w:type="dxa"/>
            <w:shd w:val="clear" w:color="auto" w:fill="EEECE1"/>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Empresa</w:t>
            </w:r>
          </w:p>
        </w:tc>
        <w:tc>
          <w:tcPr>
            <w:tcW w:w="1703" w:type="dxa"/>
            <w:shd w:val="clear" w:color="auto" w:fill="EEECE1"/>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Tipo</w:t>
            </w:r>
          </w:p>
        </w:tc>
        <w:tc>
          <w:tcPr>
            <w:tcW w:w="1097" w:type="dxa"/>
            <w:shd w:val="clear" w:color="auto" w:fill="EEECE1"/>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Oficina</w:t>
            </w:r>
          </w:p>
        </w:tc>
        <w:tc>
          <w:tcPr>
            <w:tcW w:w="1417" w:type="dxa"/>
            <w:shd w:val="clear" w:color="auto" w:fill="EEECE1"/>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Laboratorio</w:t>
            </w:r>
          </w:p>
        </w:tc>
        <w:tc>
          <w:tcPr>
            <w:tcW w:w="1276" w:type="dxa"/>
            <w:shd w:val="clear" w:color="auto" w:fill="EEECE1"/>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Galpón</w:t>
            </w:r>
          </w:p>
        </w:tc>
        <w:tc>
          <w:tcPr>
            <w:tcW w:w="1276" w:type="dxa"/>
            <w:shd w:val="clear" w:color="auto" w:fill="EEECE1"/>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Parcela</w:t>
            </w:r>
          </w:p>
        </w:tc>
      </w:tr>
      <w:tr w:rsidR="00B37D8A" w:rsidRPr="00545769" w:rsidTr="0085600D">
        <w:trPr>
          <w:jc w:val="center"/>
        </w:trPr>
        <w:tc>
          <w:tcPr>
            <w:tcW w:w="1453" w:type="dxa"/>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InVitraux</w:t>
            </w:r>
          </w:p>
        </w:tc>
        <w:tc>
          <w:tcPr>
            <w:tcW w:w="1703" w:type="dxa"/>
            <w:vMerge w:val="restart"/>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Biotecnología</w:t>
            </w:r>
          </w:p>
        </w:tc>
        <w:tc>
          <w:tcPr>
            <w:tcW w:w="1097"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15</w:t>
            </w:r>
          </w:p>
        </w:tc>
        <w:tc>
          <w:tcPr>
            <w:tcW w:w="1417"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45</w:t>
            </w:r>
          </w:p>
        </w:tc>
        <w:tc>
          <w:tcPr>
            <w:tcW w:w="1276"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0</w:t>
            </w:r>
          </w:p>
        </w:tc>
        <w:tc>
          <w:tcPr>
            <w:tcW w:w="1276"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0</w:t>
            </w:r>
          </w:p>
        </w:tc>
      </w:tr>
      <w:tr w:rsidR="00B37D8A" w:rsidRPr="00545769" w:rsidTr="0085600D">
        <w:trPr>
          <w:jc w:val="center"/>
        </w:trPr>
        <w:tc>
          <w:tcPr>
            <w:tcW w:w="1453" w:type="dxa"/>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Biovin</w:t>
            </w:r>
          </w:p>
        </w:tc>
        <w:tc>
          <w:tcPr>
            <w:tcW w:w="1703" w:type="dxa"/>
            <w:vMerge/>
          </w:tcPr>
          <w:p w:rsidR="00B37D8A" w:rsidRPr="00545769" w:rsidRDefault="00B37D8A" w:rsidP="0085600D">
            <w:pPr>
              <w:spacing w:after="0" w:line="240" w:lineRule="auto"/>
              <w:jc w:val="both"/>
              <w:rPr>
                <w:rFonts w:ascii="Arial" w:hAnsi="Arial" w:cs="Arial"/>
                <w:sz w:val="18"/>
                <w:szCs w:val="18"/>
              </w:rPr>
            </w:pPr>
          </w:p>
        </w:tc>
        <w:tc>
          <w:tcPr>
            <w:tcW w:w="1097"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15</w:t>
            </w:r>
          </w:p>
        </w:tc>
        <w:tc>
          <w:tcPr>
            <w:tcW w:w="1417"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45</w:t>
            </w:r>
          </w:p>
        </w:tc>
        <w:tc>
          <w:tcPr>
            <w:tcW w:w="1276"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0</w:t>
            </w:r>
          </w:p>
        </w:tc>
        <w:tc>
          <w:tcPr>
            <w:tcW w:w="1276"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0</w:t>
            </w:r>
          </w:p>
        </w:tc>
      </w:tr>
      <w:tr w:rsidR="00B37D8A" w:rsidRPr="00545769" w:rsidTr="0085600D">
        <w:trPr>
          <w:jc w:val="center"/>
        </w:trPr>
        <w:tc>
          <w:tcPr>
            <w:tcW w:w="1453" w:type="dxa"/>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Biopro</w:t>
            </w:r>
          </w:p>
        </w:tc>
        <w:tc>
          <w:tcPr>
            <w:tcW w:w="1703" w:type="dxa"/>
            <w:vMerge/>
          </w:tcPr>
          <w:p w:rsidR="00B37D8A" w:rsidRPr="00545769" w:rsidRDefault="00B37D8A" w:rsidP="0085600D">
            <w:pPr>
              <w:spacing w:after="0" w:line="240" w:lineRule="auto"/>
              <w:jc w:val="both"/>
              <w:rPr>
                <w:rFonts w:ascii="Arial" w:hAnsi="Arial" w:cs="Arial"/>
                <w:sz w:val="18"/>
                <w:szCs w:val="18"/>
              </w:rPr>
            </w:pPr>
          </w:p>
        </w:tc>
        <w:tc>
          <w:tcPr>
            <w:tcW w:w="1097"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15</w:t>
            </w:r>
          </w:p>
        </w:tc>
        <w:tc>
          <w:tcPr>
            <w:tcW w:w="1417"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45</w:t>
            </w:r>
          </w:p>
        </w:tc>
        <w:tc>
          <w:tcPr>
            <w:tcW w:w="1276"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0</w:t>
            </w:r>
          </w:p>
        </w:tc>
        <w:tc>
          <w:tcPr>
            <w:tcW w:w="1276"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0</w:t>
            </w:r>
          </w:p>
        </w:tc>
      </w:tr>
      <w:tr w:rsidR="00B37D8A" w:rsidRPr="00545769" w:rsidTr="0085600D">
        <w:trPr>
          <w:jc w:val="center"/>
        </w:trPr>
        <w:tc>
          <w:tcPr>
            <w:tcW w:w="1453" w:type="dxa"/>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Biolev</w:t>
            </w:r>
          </w:p>
        </w:tc>
        <w:tc>
          <w:tcPr>
            <w:tcW w:w="1703" w:type="dxa"/>
            <w:vMerge/>
          </w:tcPr>
          <w:p w:rsidR="00B37D8A" w:rsidRPr="00545769" w:rsidRDefault="00B37D8A" w:rsidP="0085600D">
            <w:pPr>
              <w:spacing w:after="0" w:line="240" w:lineRule="auto"/>
              <w:jc w:val="both"/>
              <w:rPr>
                <w:rFonts w:ascii="Arial" w:hAnsi="Arial" w:cs="Arial"/>
                <w:sz w:val="18"/>
                <w:szCs w:val="18"/>
              </w:rPr>
            </w:pPr>
          </w:p>
        </w:tc>
        <w:tc>
          <w:tcPr>
            <w:tcW w:w="1097"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15</w:t>
            </w:r>
          </w:p>
        </w:tc>
        <w:tc>
          <w:tcPr>
            <w:tcW w:w="1417"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45</w:t>
            </w:r>
          </w:p>
        </w:tc>
        <w:tc>
          <w:tcPr>
            <w:tcW w:w="1276"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0</w:t>
            </w:r>
          </w:p>
        </w:tc>
        <w:tc>
          <w:tcPr>
            <w:tcW w:w="1276"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0</w:t>
            </w:r>
          </w:p>
        </w:tc>
      </w:tr>
      <w:tr w:rsidR="00B37D8A" w:rsidRPr="00545769" w:rsidTr="0085600D">
        <w:trPr>
          <w:jc w:val="center"/>
        </w:trPr>
        <w:tc>
          <w:tcPr>
            <w:tcW w:w="1453" w:type="dxa"/>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Mycotech</w:t>
            </w:r>
          </w:p>
        </w:tc>
        <w:tc>
          <w:tcPr>
            <w:tcW w:w="1703" w:type="dxa"/>
            <w:vMerge/>
          </w:tcPr>
          <w:p w:rsidR="00B37D8A" w:rsidRPr="00545769" w:rsidRDefault="00B37D8A" w:rsidP="0085600D">
            <w:pPr>
              <w:spacing w:after="0" w:line="240" w:lineRule="auto"/>
              <w:jc w:val="both"/>
              <w:rPr>
                <w:rFonts w:ascii="Arial" w:hAnsi="Arial" w:cs="Arial"/>
                <w:sz w:val="18"/>
                <w:szCs w:val="18"/>
              </w:rPr>
            </w:pPr>
          </w:p>
        </w:tc>
        <w:tc>
          <w:tcPr>
            <w:tcW w:w="1097"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15</w:t>
            </w:r>
          </w:p>
        </w:tc>
        <w:tc>
          <w:tcPr>
            <w:tcW w:w="1417"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45</w:t>
            </w:r>
          </w:p>
        </w:tc>
        <w:tc>
          <w:tcPr>
            <w:tcW w:w="1276"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0</w:t>
            </w:r>
          </w:p>
        </w:tc>
        <w:tc>
          <w:tcPr>
            <w:tcW w:w="1276"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0</w:t>
            </w:r>
          </w:p>
        </w:tc>
      </w:tr>
      <w:tr w:rsidR="00B37D8A" w:rsidRPr="00545769" w:rsidTr="0085600D">
        <w:trPr>
          <w:jc w:val="center"/>
        </w:trPr>
        <w:tc>
          <w:tcPr>
            <w:tcW w:w="1453" w:type="dxa"/>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ICSA</w:t>
            </w:r>
          </w:p>
        </w:tc>
        <w:tc>
          <w:tcPr>
            <w:tcW w:w="1703" w:type="dxa"/>
            <w:vMerge w:val="restart"/>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Energía renovable</w:t>
            </w:r>
          </w:p>
        </w:tc>
        <w:tc>
          <w:tcPr>
            <w:tcW w:w="1097"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45</w:t>
            </w:r>
          </w:p>
        </w:tc>
        <w:tc>
          <w:tcPr>
            <w:tcW w:w="1417"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30</w:t>
            </w:r>
          </w:p>
        </w:tc>
        <w:tc>
          <w:tcPr>
            <w:tcW w:w="1276"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0</w:t>
            </w:r>
          </w:p>
        </w:tc>
        <w:tc>
          <w:tcPr>
            <w:tcW w:w="1276"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800</w:t>
            </w:r>
          </w:p>
        </w:tc>
      </w:tr>
      <w:tr w:rsidR="00B37D8A" w:rsidRPr="00545769" w:rsidTr="0085600D">
        <w:trPr>
          <w:jc w:val="center"/>
        </w:trPr>
        <w:tc>
          <w:tcPr>
            <w:tcW w:w="1453" w:type="dxa"/>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Mundo Clima</w:t>
            </w:r>
          </w:p>
        </w:tc>
        <w:tc>
          <w:tcPr>
            <w:tcW w:w="1703" w:type="dxa"/>
            <w:vMerge/>
          </w:tcPr>
          <w:p w:rsidR="00B37D8A" w:rsidRPr="00545769" w:rsidRDefault="00B37D8A" w:rsidP="0085600D">
            <w:pPr>
              <w:spacing w:after="0" w:line="240" w:lineRule="auto"/>
              <w:jc w:val="both"/>
              <w:rPr>
                <w:rFonts w:ascii="Arial" w:hAnsi="Arial" w:cs="Arial"/>
                <w:sz w:val="18"/>
                <w:szCs w:val="18"/>
              </w:rPr>
            </w:pPr>
          </w:p>
        </w:tc>
        <w:tc>
          <w:tcPr>
            <w:tcW w:w="1097"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30</w:t>
            </w:r>
          </w:p>
        </w:tc>
        <w:tc>
          <w:tcPr>
            <w:tcW w:w="1417"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30</w:t>
            </w:r>
          </w:p>
        </w:tc>
        <w:tc>
          <w:tcPr>
            <w:tcW w:w="1276"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0</w:t>
            </w:r>
          </w:p>
        </w:tc>
        <w:tc>
          <w:tcPr>
            <w:tcW w:w="1276"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500</w:t>
            </w:r>
          </w:p>
        </w:tc>
      </w:tr>
      <w:tr w:rsidR="00B37D8A" w:rsidRPr="00545769" w:rsidTr="0085600D">
        <w:trPr>
          <w:jc w:val="center"/>
        </w:trPr>
        <w:tc>
          <w:tcPr>
            <w:tcW w:w="1453" w:type="dxa"/>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SOUK</w:t>
            </w:r>
          </w:p>
        </w:tc>
        <w:tc>
          <w:tcPr>
            <w:tcW w:w="1703" w:type="dxa"/>
            <w:vMerge/>
          </w:tcPr>
          <w:p w:rsidR="00B37D8A" w:rsidRPr="00545769" w:rsidRDefault="00B37D8A" w:rsidP="0085600D">
            <w:pPr>
              <w:spacing w:after="0" w:line="240" w:lineRule="auto"/>
              <w:jc w:val="both"/>
              <w:rPr>
                <w:rFonts w:ascii="Arial" w:hAnsi="Arial" w:cs="Arial"/>
                <w:sz w:val="18"/>
                <w:szCs w:val="18"/>
              </w:rPr>
            </w:pPr>
          </w:p>
        </w:tc>
        <w:tc>
          <w:tcPr>
            <w:tcW w:w="1097"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10</w:t>
            </w:r>
          </w:p>
        </w:tc>
        <w:tc>
          <w:tcPr>
            <w:tcW w:w="1417"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30</w:t>
            </w:r>
          </w:p>
        </w:tc>
        <w:tc>
          <w:tcPr>
            <w:tcW w:w="1276"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0</w:t>
            </w:r>
          </w:p>
        </w:tc>
        <w:tc>
          <w:tcPr>
            <w:tcW w:w="1276"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0</w:t>
            </w:r>
          </w:p>
        </w:tc>
      </w:tr>
      <w:tr w:rsidR="00B37D8A" w:rsidRPr="00545769" w:rsidTr="0085600D">
        <w:trPr>
          <w:jc w:val="center"/>
        </w:trPr>
        <w:tc>
          <w:tcPr>
            <w:tcW w:w="1453" w:type="dxa"/>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Denarsa</w:t>
            </w:r>
          </w:p>
        </w:tc>
        <w:tc>
          <w:tcPr>
            <w:tcW w:w="1703" w:type="dxa"/>
            <w:vMerge/>
          </w:tcPr>
          <w:p w:rsidR="00B37D8A" w:rsidRPr="00545769" w:rsidRDefault="00B37D8A" w:rsidP="0085600D">
            <w:pPr>
              <w:spacing w:after="0" w:line="240" w:lineRule="auto"/>
              <w:jc w:val="both"/>
              <w:rPr>
                <w:rFonts w:ascii="Arial" w:hAnsi="Arial" w:cs="Arial"/>
                <w:sz w:val="18"/>
                <w:szCs w:val="18"/>
              </w:rPr>
            </w:pPr>
          </w:p>
        </w:tc>
        <w:tc>
          <w:tcPr>
            <w:tcW w:w="1097"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15</w:t>
            </w:r>
          </w:p>
        </w:tc>
        <w:tc>
          <w:tcPr>
            <w:tcW w:w="1417"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30</w:t>
            </w:r>
          </w:p>
        </w:tc>
        <w:tc>
          <w:tcPr>
            <w:tcW w:w="1276"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0</w:t>
            </w:r>
          </w:p>
        </w:tc>
        <w:tc>
          <w:tcPr>
            <w:tcW w:w="1276"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w:t>
            </w:r>
            <w:r>
              <w:rPr>
                <w:rFonts w:ascii="Arial" w:hAnsi="Arial" w:cs="Arial"/>
                <w:sz w:val="18"/>
                <w:szCs w:val="18"/>
              </w:rPr>
              <w:t>.</w:t>
            </w:r>
            <w:r w:rsidRPr="00545769">
              <w:rPr>
                <w:rFonts w:ascii="Arial" w:hAnsi="Arial" w:cs="Arial"/>
                <w:sz w:val="18"/>
                <w:szCs w:val="18"/>
              </w:rPr>
              <w:t>000</w:t>
            </w:r>
          </w:p>
        </w:tc>
      </w:tr>
      <w:tr w:rsidR="00B37D8A" w:rsidRPr="00545769" w:rsidTr="0085600D">
        <w:trPr>
          <w:jc w:val="center"/>
        </w:trPr>
        <w:tc>
          <w:tcPr>
            <w:tcW w:w="1453" w:type="dxa"/>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ACCTAU</w:t>
            </w:r>
          </w:p>
        </w:tc>
        <w:tc>
          <w:tcPr>
            <w:tcW w:w="1703" w:type="dxa"/>
            <w:vMerge/>
          </w:tcPr>
          <w:p w:rsidR="00B37D8A" w:rsidRPr="00545769" w:rsidRDefault="00B37D8A" w:rsidP="0085600D">
            <w:pPr>
              <w:spacing w:after="0" w:line="240" w:lineRule="auto"/>
              <w:jc w:val="both"/>
              <w:rPr>
                <w:rFonts w:ascii="Arial" w:hAnsi="Arial" w:cs="Arial"/>
                <w:sz w:val="18"/>
                <w:szCs w:val="18"/>
              </w:rPr>
            </w:pPr>
          </w:p>
        </w:tc>
        <w:tc>
          <w:tcPr>
            <w:tcW w:w="1097"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15</w:t>
            </w:r>
          </w:p>
        </w:tc>
        <w:tc>
          <w:tcPr>
            <w:tcW w:w="1417"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0</w:t>
            </w:r>
          </w:p>
        </w:tc>
        <w:tc>
          <w:tcPr>
            <w:tcW w:w="1276"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20</w:t>
            </w:r>
          </w:p>
        </w:tc>
        <w:tc>
          <w:tcPr>
            <w:tcW w:w="1276"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0</w:t>
            </w:r>
          </w:p>
        </w:tc>
      </w:tr>
      <w:tr w:rsidR="00B37D8A" w:rsidRPr="00545769" w:rsidTr="0085600D">
        <w:trPr>
          <w:jc w:val="center"/>
        </w:trPr>
        <w:tc>
          <w:tcPr>
            <w:tcW w:w="1453" w:type="dxa"/>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ENERGE</w:t>
            </w:r>
          </w:p>
        </w:tc>
        <w:tc>
          <w:tcPr>
            <w:tcW w:w="1703" w:type="dxa"/>
            <w:vMerge/>
          </w:tcPr>
          <w:p w:rsidR="00B37D8A" w:rsidRPr="00545769" w:rsidRDefault="00B37D8A" w:rsidP="0085600D">
            <w:pPr>
              <w:spacing w:after="0" w:line="240" w:lineRule="auto"/>
              <w:jc w:val="both"/>
              <w:rPr>
                <w:rFonts w:ascii="Arial" w:hAnsi="Arial" w:cs="Arial"/>
                <w:sz w:val="18"/>
                <w:szCs w:val="18"/>
              </w:rPr>
            </w:pPr>
          </w:p>
        </w:tc>
        <w:tc>
          <w:tcPr>
            <w:tcW w:w="1097"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45</w:t>
            </w:r>
          </w:p>
        </w:tc>
        <w:tc>
          <w:tcPr>
            <w:tcW w:w="1417"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0</w:t>
            </w:r>
          </w:p>
        </w:tc>
        <w:tc>
          <w:tcPr>
            <w:tcW w:w="1276"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0</w:t>
            </w:r>
          </w:p>
        </w:tc>
        <w:tc>
          <w:tcPr>
            <w:tcW w:w="1276"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1500</w:t>
            </w:r>
          </w:p>
        </w:tc>
      </w:tr>
      <w:tr w:rsidR="00B37D8A" w:rsidRPr="00545769" w:rsidTr="0085600D">
        <w:trPr>
          <w:jc w:val="center"/>
        </w:trPr>
        <w:tc>
          <w:tcPr>
            <w:tcW w:w="3156" w:type="dxa"/>
            <w:gridSpan w:val="2"/>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Total</w:t>
            </w:r>
          </w:p>
        </w:tc>
        <w:tc>
          <w:tcPr>
            <w:tcW w:w="1097"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235</w:t>
            </w:r>
          </w:p>
        </w:tc>
        <w:tc>
          <w:tcPr>
            <w:tcW w:w="1417"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345</w:t>
            </w:r>
          </w:p>
        </w:tc>
        <w:tc>
          <w:tcPr>
            <w:tcW w:w="1276"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20</w:t>
            </w:r>
          </w:p>
        </w:tc>
        <w:tc>
          <w:tcPr>
            <w:tcW w:w="1276" w:type="dxa"/>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3</w:t>
            </w:r>
            <w:r>
              <w:rPr>
                <w:rFonts w:ascii="Arial" w:hAnsi="Arial" w:cs="Arial"/>
                <w:sz w:val="18"/>
                <w:szCs w:val="18"/>
              </w:rPr>
              <w:t>.</w:t>
            </w:r>
            <w:r w:rsidRPr="00545769">
              <w:rPr>
                <w:rFonts w:ascii="Arial" w:hAnsi="Arial" w:cs="Arial"/>
                <w:sz w:val="18"/>
                <w:szCs w:val="18"/>
              </w:rPr>
              <w:t>800</w:t>
            </w:r>
          </w:p>
        </w:tc>
      </w:tr>
    </w:tbl>
    <w:p w:rsidR="00B37D8A" w:rsidRDefault="00B37D8A" w:rsidP="00E40ABE">
      <w:pPr>
        <w:spacing w:before="240"/>
        <w:jc w:val="both"/>
        <w:rPr>
          <w:rFonts w:ascii="Times New Roman" w:hAnsi="Times New Roman"/>
          <w:sz w:val="24"/>
        </w:rPr>
      </w:pPr>
      <w:r>
        <w:rPr>
          <w:rFonts w:ascii="Times New Roman" w:hAnsi="Times New Roman"/>
          <w:sz w:val="24"/>
        </w:rPr>
        <w:t xml:space="preserve">En base a esta información se estimaron los </w:t>
      </w:r>
      <w:r w:rsidRPr="00B61EDA">
        <w:rPr>
          <w:rFonts w:ascii="Times New Roman" w:hAnsi="Times New Roman"/>
          <w:sz w:val="24"/>
        </w:rPr>
        <w:t>costos de</w:t>
      </w:r>
      <w:r>
        <w:rPr>
          <w:rFonts w:ascii="Times New Roman" w:hAnsi="Times New Roman"/>
          <w:sz w:val="24"/>
        </w:rPr>
        <w:t xml:space="preserve"> alquiler de</w:t>
      </w:r>
      <w:r w:rsidRPr="00B61EDA">
        <w:rPr>
          <w:rFonts w:ascii="Times New Roman" w:hAnsi="Times New Roman"/>
          <w:sz w:val="24"/>
        </w:rPr>
        <w:t xml:space="preserve"> la zona de oficinas, laboratorios, galpones y parcelas</w:t>
      </w:r>
      <w:r>
        <w:rPr>
          <w:rFonts w:ascii="Times New Roman" w:hAnsi="Times New Roman"/>
          <w:sz w:val="24"/>
        </w:rPr>
        <w:t xml:space="preserve"> por </w:t>
      </w:r>
      <w:r w:rsidRPr="00B61EDA">
        <w:rPr>
          <w:rFonts w:ascii="Times New Roman" w:hAnsi="Times New Roman"/>
          <w:sz w:val="24"/>
        </w:rPr>
        <w:t>m</w:t>
      </w:r>
      <w:r w:rsidRPr="00577E20">
        <w:rPr>
          <w:rFonts w:ascii="Times New Roman" w:hAnsi="Times New Roman"/>
          <w:sz w:val="24"/>
          <w:vertAlign w:val="superscript"/>
        </w:rPr>
        <w:t>2</w:t>
      </w:r>
      <w:r w:rsidRPr="00B61EDA">
        <w:rPr>
          <w:rFonts w:ascii="Times New Roman" w:hAnsi="Times New Roman"/>
          <w:sz w:val="24"/>
        </w:rPr>
        <w:t xml:space="preserve"> al año, con</w:t>
      </w:r>
      <w:r>
        <w:rPr>
          <w:rFonts w:ascii="Times New Roman" w:hAnsi="Times New Roman"/>
          <w:sz w:val="24"/>
        </w:rPr>
        <w:t xml:space="preserve">siderando un descuento de 40% por pertenecer al parque, y los ingresos potenciales preliminar </w:t>
      </w:r>
      <w:r w:rsidRPr="00CF355A">
        <w:rPr>
          <w:rFonts w:ascii="Times New Roman" w:hAnsi="Times New Roman"/>
          <w:sz w:val="24"/>
        </w:rPr>
        <w:t>de ingresos anuales</w:t>
      </w:r>
      <w:r>
        <w:rPr>
          <w:rFonts w:ascii="Times New Roman" w:hAnsi="Times New Roman"/>
          <w:sz w:val="24"/>
        </w:rPr>
        <w:t xml:space="preserve"> del proyecto, provenientes del alquiler y cobro de expensas sobre el predio, los cuales se mantienen constantes a lo largo del horizonte temporal considerado. En total se esperan ingresos por ARS 715.320.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4"/>
        <w:gridCol w:w="2228"/>
        <w:gridCol w:w="1707"/>
        <w:gridCol w:w="1427"/>
      </w:tblGrid>
      <w:tr w:rsidR="00B37D8A" w:rsidRPr="00545769" w:rsidTr="0085600D">
        <w:trPr>
          <w:jc w:val="center"/>
        </w:trPr>
        <w:tc>
          <w:tcPr>
            <w:tcW w:w="0" w:type="auto"/>
            <w:shd w:val="clear" w:color="auto" w:fill="EEECE1"/>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Destino</w:t>
            </w:r>
          </w:p>
        </w:tc>
        <w:tc>
          <w:tcPr>
            <w:tcW w:w="0" w:type="auto"/>
            <w:shd w:val="clear" w:color="auto" w:fill="EEECE1"/>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Valor anual de referencia</w:t>
            </w:r>
          </w:p>
        </w:tc>
        <w:tc>
          <w:tcPr>
            <w:tcW w:w="0" w:type="auto"/>
            <w:shd w:val="clear" w:color="auto" w:fill="EEECE1"/>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Descuento Parque</w:t>
            </w:r>
          </w:p>
        </w:tc>
        <w:tc>
          <w:tcPr>
            <w:tcW w:w="0" w:type="auto"/>
            <w:shd w:val="clear" w:color="auto" w:fill="EEECE1"/>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Valor m</w:t>
            </w:r>
            <w:r w:rsidRPr="00545769">
              <w:rPr>
                <w:rFonts w:ascii="Arial" w:hAnsi="Arial" w:cs="Arial"/>
                <w:sz w:val="18"/>
                <w:szCs w:val="18"/>
                <w:vertAlign w:val="superscript"/>
              </w:rPr>
              <w:t xml:space="preserve">2 </w:t>
            </w:r>
            <w:r w:rsidRPr="00545769">
              <w:rPr>
                <w:rFonts w:ascii="Arial" w:hAnsi="Arial" w:cs="Arial"/>
                <w:sz w:val="18"/>
                <w:szCs w:val="18"/>
              </w:rPr>
              <w:t>al año</w:t>
            </w:r>
          </w:p>
        </w:tc>
      </w:tr>
      <w:tr w:rsidR="00B37D8A" w:rsidRPr="00545769" w:rsidTr="0085600D">
        <w:trPr>
          <w:jc w:val="center"/>
        </w:trPr>
        <w:tc>
          <w:tcPr>
            <w:tcW w:w="0" w:type="auto"/>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Oficina 30 m</w:t>
            </w:r>
            <w:r w:rsidRPr="00545769">
              <w:rPr>
                <w:rFonts w:ascii="Arial" w:hAnsi="Arial" w:cs="Arial"/>
                <w:sz w:val="18"/>
                <w:szCs w:val="18"/>
                <w:vertAlign w:val="superscript"/>
              </w:rPr>
              <w:t>2</w:t>
            </w:r>
          </w:p>
        </w:tc>
        <w:tc>
          <w:tcPr>
            <w:tcW w:w="0" w:type="auto"/>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2.000</w:t>
            </w:r>
          </w:p>
        </w:tc>
        <w:tc>
          <w:tcPr>
            <w:tcW w:w="0" w:type="auto"/>
            <w:vMerge w:val="restart"/>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40%</w:t>
            </w:r>
          </w:p>
        </w:tc>
        <w:tc>
          <w:tcPr>
            <w:tcW w:w="0" w:type="auto"/>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480</w:t>
            </w:r>
          </w:p>
        </w:tc>
      </w:tr>
      <w:tr w:rsidR="00B37D8A" w:rsidRPr="00545769" w:rsidTr="0085600D">
        <w:trPr>
          <w:jc w:val="center"/>
        </w:trPr>
        <w:tc>
          <w:tcPr>
            <w:tcW w:w="0" w:type="auto"/>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Laboratorios 30 m</w:t>
            </w:r>
            <w:r w:rsidRPr="00545769">
              <w:rPr>
                <w:rFonts w:ascii="Arial" w:hAnsi="Arial" w:cs="Arial"/>
                <w:sz w:val="18"/>
                <w:szCs w:val="18"/>
                <w:vertAlign w:val="superscript"/>
              </w:rPr>
              <w:t>2</w:t>
            </w:r>
          </w:p>
        </w:tc>
        <w:tc>
          <w:tcPr>
            <w:tcW w:w="0" w:type="auto"/>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3.000</w:t>
            </w:r>
          </w:p>
        </w:tc>
        <w:tc>
          <w:tcPr>
            <w:tcW w:w="0" w:type="auto"/>
            <w:vMerge/>
          </w:tcPr>
          <w:p w:rsidR="00B37D8A" w:rsidRPr="00545769" w:rsidRDefault="00B37D8A" w:rsidP="0085600D">
            <w:pPr>
              <w:spacing w:after="0" w:line="240" w:lineRule="auto"/>
              <w:jc w:val="both"/>
              <w:rPr>
                <w:rFonts w:ascii="Arial" w:hAnsi="Arial" w:cs="Arial"/>
                <w:sz w:val="18"/>
                <w:szCs w:val="18"/>
              </w:rPr>
            </w:pPr>
          </w:p>
        </w:tc>
        <w:tc>
          <w:tcPr>
            <w:tcW w:w="0" w:type="auto"/>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720</w:t>
            </w:r>
          </w:p>
        </w:tc>
      </w:tr>
      <w:tr w:rsidR="00B37D8A" w:rsidRPr="00545769" w:rsidTr="0085600D">
        <w:trPr>
          <w:jc w:val="center"/>
        </w:trPr>
        <w:tc>
          <w:tcPr>
            <w:tcW w:w="0" w:type="auto"/>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Galpón 50 m</w:t>
            </w:r>
            <w:r w:rsidRPr="00545769">
              <w:rPr>
                <w:rFonts w:ascii="Arial" w:hAnsi="Arial" w:cs="Arial"/>
                <w:sz w:val="18"/>
                <w:szCs w:val="18"/>
                <w:vertAlign w:val="superscript"/>
              </w:rPr>
              <w:t>2</w:t>
            </w:r>
          </w:p>
        </w:tc>
        <w:tc>
          <w:tcPr>
            <w:tcW w:w="0" w:type="auto"/>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1.500</w:t>
            </w:r>
          </w:p>
        </w:tc>
        <w:tc>
          <w:tcPr>
            <w:tcW w:w="0" w:type="auto"/>
            <w:vMerge/>
          </w:tcPr>
          <w:p w:rsidR="00B37D8A" w:rsidRPr="00545769" w:rsidRDefault="00B37D8A" w:rsidP="0085600D">
            <w:pPr>
              <w:spacing w:after="0" w:line="240" w:lineRule="auto"/>
              <w:jc w:val="both"/>
              <w:rPr>
                <w:rFonts w:ascii="Arial" w:hAnsi="Arial" w:cs="Arial"/>
                <w:sz w:val="18"/>
                <w:szCs w:val="18"/>
              </w:rPr>
            </w:pPr>
          </w:p>
        </w:tc>
        <w:tc>
          <w:tcPr>
            <w:tcW w:w="0" w:type="auto"/>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360</w:t>
            </w:r>
          </w:p>
        </w:tc>
      </w:tr>
      <w:tr w:rsidR="00B37D8A" w:rsidRPr="00545769" w:rsidTr="0085600D">
        <w:trPr>
          <w:jc w:val="center"/>
        </w:trPr>
        <w:tc>
          <w:tcPr>
            <w:tcW w:w="0" w:type="auto"/>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Parcela 50 m</w:t>
            </w:r>
            <w:r w:rsidRPr="00545769">
              <w:rPr>
                <w:rFonts w:ascii="Arial" w:hAnsi="Arial" w:cs="Arial"/>
                <w:sz w:val="18"/>
                <w:szCs w:val="18"/>
                <w:vertAlign w:val="superscript"/>
              </w:rPr>
              <w:t>2</w:t>
            </w:r>
          </w:p>
        </w:tc>
        <w:tc>
          <w:tcPr>
            <w:tcW w:w="0" w:type="auto"/>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500</w:t>
            </w:r>
          </w:p>
        </w:tc>
        <w:tc>
          <w:tcPr>
            <w:tcW w:w="0" w:type="auto"/>
            <w:vMerge/>
          </w:tcPr>
          <w:p w:rsidR="00B37D8A" w:rsidRPr="00545769" w:rsidRDefault="00B37D8A" w:rsidP="0085600D">
            <w:pPr>
              <w:spacing w:after="0" w:line="240" w:lineRule="auto"/>
              <w:jc w:val="both"/>
              <w:rPr>
                <w:rFonts w:ascii="Arial" w:hAnsi="Arial" w:cs="Arial"/>
                <w:sz w:val="18"/>
                <w:szCs w:val="18"/>
              </w:rPr>
            </w:pPr>
          </w:p>
        </w:tc>
        <w:tc>
          <w:tcPr>
            <w:tcW w:w="0" w:type="auto"/>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120</w:t>
            </w:r>
          </w:p>
        </w:tc>
      </w:tr>
      <w:tr w:rsidR="00B37D8A" w:rsidRPr="00545769" w:rsidTr="0085600D">
        <w:trPr>
          <w:jc w:val="center"/>
        </w:trPr>
        <w:tc>
          <w:tcPr>
            <w:tcW w:w="0" w:type="auto"/>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Expensas 50 m</w:t>
            </w:r>
            <w:r w:rsidRPr="00545769">
              <w:rPr>
                <w:rFonts w:ascii="Arial" w:hAnsi="Arial" w:cs="Arial"/>
                <w:sz w:val="18"/>
                <w:szCs w:val="18"/>
                <w:vertAlign w:val="superscript"/>
              </w:rPr>
              <w:t>2</w:t>
            </w:r>
          </w:p>
        </w:tc>
        <w:tc>
          <w:tcPr>
            <w:tcW w:w="0" w:type="auto"/>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120,27</w:t>
            </w:r>
          </w:p>
        </w:tc>
        <w:tc>
          <w:tcPr>
            <w:tcW w:w="0" w:type="auto"/>
            <w:vMerge/>
          </w:tcPr>
          <w:p w:rsidR="00B37D8A" w:rsidRPr="00545769" w:rsidRDefault="00B37D8A" w:rsidP="0085600D">
            <w:pPr>
              <w:spacing w:after="0" w:line="240" w:lineRule="auto"/>
              <w:jc w:val="both"/>
              <w:rPr>
                <w:rFonts w:ascii="Arial" w:hAnsi="Arial" w:cs="Arial"/>
                <w:sz w:val="18"/>
                <w:szCs w:val="18"/>
              </w:rPr>
            </w:pPr>
          </w:p>
        </w:tc>
        <w:tc>
          <w:tcPr>
            <w:tcW w:w="0" w:type="auto"/>
          </w:tcPr>
          <w:p w:rsidR="00B37D8A" w:rsidRPr="00545769" w:rsidRDefault="00B37D8A" w:rsidP="0085600D">
            <w:pPr>
              <w:spacing w:after="0" w:line="240" w:lineRule="auto"/>
              <w:jc w:val="both"/>
              <w:rPr>
                <w:rFonts w:ascii="Arial" w:hAnsi="Arial" w:cs="Arial"/>
                <w:sz w:val="18"/>
                <w:szCs w:val="18"/>
              </w:rPr>
            </w:pPr>
            <w:r w:rsidRPr="00545769">
              <w:rPr>
                <w:rFonts w:ascii="Arial" w:hAnsi="Arial" w:cs="Arial"/>
                <w:sz w:val="18"/>
                <w:szCs w:val="18"/>
              </w:rPr>
              <w:t>17,32</w:t>
            </w:r>
          </w:p>
        </w:tc>
      </w:tr>
    </w:tbl>
    <w:p w:rsidR="00B37D8A" w:rsidRPr="00141E96" w:rsidRDefault="00B37D8A" w:rsidP="00E40ABE">
      <w:pPr>
        <w:spacing w:after="0" w:line="240" w:lineRule="auto"/>
        <w:jc w:val="both"/>
        <w:rPr>
          <w:rFonts w:ascii="Times New Roman" w:hAnsi="Times New Roman"/>
          <w:sz w:val="24"/>
        </w:rPr>
      </w:pPr>
      <w:r>
        <w:rPr>
          <w:rFonts w:ascii="Times New Roman" w:hAnsi="Times New Roman"/>
          <w:b/>
          <w:sz w:val="24"/>
          <w:u w:val="single"/>
        </w:rPr>
        <w:t xml:space="preserve"> </w:t>
      </w:r>
    </w:p>
    <w:tbl>
      <w:tblPr>
        <w:tblW w:w="2249" w:type="pct"/>
        <w:jc w:val="center"/>
        <w:tblInd w:w="-709" w:type="dxa"/>
        <w:tblCellMar>
          <w:left w:w="0" w:type="dxa"/>
          <w:right w:w="0" w:type="dxa"/>
        </w:tblCellMar>
        <w:tblLook w:val="00A0" w:firstRow="1" w:lastRow="0" w:firstColumn="1" w:lastColumn="0" w:noHBand="0" w:noVBand="0"/>
      </w:tblPr>
      <w:tblGrid>
        <w:gridCol w:w="1699"/>
        <w:gridCol w:w="1422"/>
        <w:gridCol w:w="1420"/>
      </w:tblGrid>
      <w:tr w:rsidR="00B37D8A" w:rsidRPr="00545769" w:rsidTr="0085600D">
        <w:trPr>
          <w:trHeight w:val="20"/>
          <w:jc w:val="center"/>
        </w:trPr>
        <w:tc>
          <w:tcPr>
            <w:tcW w:w="1871" w:type="pct"/>
            <w:tcBorders>
              <w:top w:val="single" w:sz="4" w:space="0" w:color="auto"/>
              <w:left w:val="single" w:sz="8" w:space="0" w:color="auto"/>
              <w:bottom w:val="single" w:sz="4" w:space="0" w:color="auto"/>
              <w:right w:val="single" w:sz="4" w:space="0" w:color="auto"/>
            </w:tcBorders>
            <w:shd w:val="clear" w:color="auto" w:fill="D9D9D9"/>
            <w:noWrap/>
            <w:vAlign w:val="center"/>
          </w:tcPr>
          <w:p w:rsidR="00B37D8A" w:rsidRPr="00545769" w:rsidRDefault="00B37D8A" w:rsidP="0085600D">
            <w:pPr>
              <w:spacing w:after="0" w:line="240" w:lineRule="auto"/>
              <w:jc w:val="center"/>
              <w:rPr>
                <w:rFonts w:ascii="Arial" w:hAnsi="Arial" w:cs="Arial"/>
                <w:bCs/>
                <w:sz w:val="18"/>
                <w:szCs w:val="18"/>
              </w:rPr>
            </w:pPr>
            <w:r w:rsidRPr="00545769">
              <w:rPr>
                <w:rFonts w:ascii="Arial" w:hAnsi="Arial" w:cs="Arial"/>
                <w:bCs/>
                <w:sz w:val="18"/>
                <w:szCs w:val="18"/>
              </w:rPr>
              <w:t>Empresa</w:t>
            </w:r>
          </w:p>
        </w:tc>
        <w:tc>
          <w:tcPr>
            <w:tcW w:w="1566" w:type="pct"/>
            <w:tcBorders>
              <w:top w:val="single" w:sz="4" w:space="0" w:color="auto"/>
              <w:left w:val="nil"/>
              <w:bottom w:val="single" w:sz="4" w:space="0" w:color="auto"/>
              <w:right w:val="single" w:sz="4" w:space="0" w:color="auto"/>
            </w:tcBorders>
            <w:shd w:val="clear" w:color="auto" w:fill="D9D9D9"/>
            <w:noWrap/>
            <w:vAlign w:val="center"/>
          </w:tcPr>
          <w:p w:rsidR="00B37D8A" w:rsidRPr="00545769" w:rsidRDefault="00B37D8A" w:rsidP="0085600D">
            <w:pPr>
              <w:spacing w:after="0" w:line="240" w:lineRule="auto"/>
              <w:jc w:val="center"/>
              <w:rPr>
                <w:rFonts w:ascii="Arial" w:hAnsi="Arial" w:cs="Arial"/>
                <w:bCs/>
                <w:sz w:val="18"/>
                <w:szCs w:val="18"/>
              </w:rPr>
            </w:pPr>
            <w:r w:rsidRPr="00545769">
              <w:rPr>
                <w:rFonts w:ascii="Arial" w:hAnsi="Arial" w:cs="Arial"/>
                <w:bCs/>
                <w:sz w:val="18"/>
                <w:szCs w:val="18"/>
              </w:rPr>
              <w:t>Alquiler</w:t>
            </w:r>
          </w:p>
        </w:tc>
        <w:tc>
          <w:tcPr>
            <w:tcW w:w="1563" w:type="pct"/>
            <w:tcBorders>
              <w:top w:val="single" w:sz="4" w:space="0" w:color="auto"/>
              <w:left w:val="nil"/>
              <w:bottom w:val="single" w:sz="4" w:space="0" w:color="auto"/>
              <w:right w:val="single" w:sz="4" w:space="0" w:color="auto"/>
            </w:tcBorders>
            <w:shd w:val="clear" w:color="auto" w:fill="D9D9D9"/>
            <w:vAlign w:val="center"/>
          </w:tcPr>
          <w:p w:rsidR="00B37D8A" w:rsidRPr="00545769" w:rsidRDefault="00B37D8A" w:rsidP="0085600D">
            <w:pPr>
              <w:spacing w:after="0" w:line="240" w:lineRule="auto"/>
              <w:jc w:val="center"/>
              <w:rPr>
                <w:rFonts w:ascii="Arial" w:hAnsi="Arial" w:cs="Arial"/>
                <w:bCs/>
                <w:sz w:val="18"/>
                <w:szCs w:val="18"/>
              </w:rPr>
            </w:pPr>
            <w:r w:rsidRPr="00545769">
              <w:rPr>
                <w:rFonts w:ascii="Arial" w:hAnsi="Arial" w:cs="Arial"/>
                <w:bCs/>
                <w:sz w:val="18"/>
                <w:szCs w:val="18"/>
              </w:rPr>
              <w:t>Expensas</w:t>
            </w:r>
          </w:p>
        </w:tc>
      </w:tr>
      <w:tr w:rsidR="00B37D8A" w:rsidRPr="00545769" w:rsidTr="0085600D">
        <w:trPr>
          <w:trHeight w:val="20"/>
          <w:jc w:val="center"/>
        </w:trPr>
        <w:tc>
          <w:tcPr>
            <w:tcW w:w="1871" w:type="pct"/>
            <w:tcBorders>
              <w:top w:val="nil"/>
              <w:left w:val="single" w:sz="8" w:space="0" w:color="auto"/>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InVitraux</w:t>
            </w:r>
          </w:p>
        </w:tc>
        <w:tc>
          <w:tcPr>
            <w:tcW w:w="1566"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39.600</w:t>
            </w:r>
          </w:p>
        </w:tc>
        <w:tc>
          <w:tcPr>
            <w:tcW w:w="1563" w:type="pct"/>
            <w:tcBorders>
              <w:top w:val="nil"/>
              <w:left w:val="nil"/>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7.615,38</w:t>
            </w:r>
          </w:p>
        </w:tc>
      </w:tr>
      <w:tr w:rsidR="00B37D8A" w:rsidRPr="00545769" w:rsidTr="0085600D">
        <w:trPr>
          <w:trHeight w:val="20"/>
          <w:jc w:val="center"/>
        </w:trPr>
        <w:tc>
          <w:tcPr>
            <w:tcW w:w="1871" w:type="pct"/>
            <w:tcBorders>
              <w:top w:val="nil"/>
              <w:left w:val="single" w:sz="8" w:space="0" w:color="auto"/>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Biovin</w:t>
            </w:r>
          </w:p>
        </w:tc>
        <w:tc>
          <w:tcPr>
            <w:tcW w:w="1566"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39.600</w:t>
            </w:r>
          </w:p>
        </w:tc>
        <w:tc>
          <w:tcPr>
            <w:tcW w:w="1563" w:type="pct"/>
            <w:tcBorders>
              <w:top w:val="nil"/>
              <w:left w:val="nil"/>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7.615,38</w:t>
            </w:r>
          </w:p>
        </w:tc>
      </w:tr>
      <w:tr w:rsidR="00B37D8A" w:rsidRPr="00545769" w:rsidTr="0085600D">
        <w:trPr>
          <w:trHeight w:val="20"/>
          <w:jc w:val="center"/>
        </w:trPr>
        <w:tc>
          <w:tcPr>
            <w:tcW w:w="1871" w:type="pct"/>
            <w:tcBorders>
              <w:top w:val="nil"/>
              <w:left w:val="single" w:sz="8" w:space="0" w:color="auto"/>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Biopro</w:t>
            </w:r>
          </w:p>
        </w:tc>
        <w:tc>
          <w:tcPr>
            <w:tcW w:w="1566"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39.600</w:t>
            </w:r>
          </w:p>
        </w:tc>
        <w:tc>
          <w:tcPr>
            <w:tcW w:w="1563" w:type="pct"/>
            <w:tcBorders>
              <w:top w:val="nil"/>
              <w:left w:val="nil"/>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7.615,38</w:t>
            </w:r>
          </w:p>
        </w:tc>
      </w:tr>
      <w:tr w:rsidR="00B37D8A" w:rsidRPr="00545769" w:rsidTr="0085600D">
        <w:trPr>
          <w:trHeight w:val="20"/>
          <w:jc w:val="center"/>
        </w:trPr>
        <w:tc>
          <w:tcPr>
            <w:tcW w:w="1871" w:type="pct"/>
            <w:tcBorders>
              <w:top w:val="nil"/>
              <w:left w:val="single" w:sz="8" w:space="0" w:color="auto"/>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Biolev</w:t>
            </w:r>
          </w:p>
        </w:tc>
        <w:tc>
          <w:tcPr>
            <w:tcW w:w="1566"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39.600</w:t>
            </w:r>
          </w:p>
        </w:tc>
        <w:tc>
          <w:tcPr>
            <w:tcW w:w="1563" w:type="pct"/>
            <w:tcBorders>
              <w:top w:val="nil"/>
              <w:left w:val="nil"/>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7.615,38</w:t>
            </w:r>
          </w:p>
        </w:tc>
      </w:tr>
      <w:tr w:rsidR="00B37D8A" w:rsidRPr="00545769" w:rsidTr="0085600D">
        <w:trPr>
          <w:trHeight w:val="20"/>
          <w:jc w:val="center"/>
        </w:trPr>
        <w:tc>
          <w:tcPr>
            <w:tcW w:w="1871" w:type="pct"/>
            <w:tcBorders>
              <w:top w:val="nil"/>
              <w:left w:val="single" w:sz="8" w:space="0" w:color="auto"/>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Mycotech</w:t>
            </w:r>
          </w:p>
        </w:tc>
        <w:tc>
          <w:tcPr>
            <w:tcW w:w="1566"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39.600</w:t>
            </w:r>
          </w:p>
        </w:tc>
        <w:tc>
          <w:tcPr>
            <w:tcW w:w="1563" w:type="pct"/>
            <w:tcBorders>
              <w:top w:val="nil"/>
              <w:left w:val="nil"/>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7.615,38</w:t>
            </w:r>
          </w:p>
        </w:tc>
      </w:tr>
      <w:tr w:rsidR="00B37D8A" w:rsidRPr="00545769" w:rsidTr="0085600D">
        <w:trPr>
          <w:trHeight w:val="20"/>
          <w:jc w:val="center"/>
        </w:trPr>
        <w:tc>
          <w:tcPr>
            <w:tcW w:w="1871" w:type="pct"/>
            <w:tcBorders>
              <w:top w:val="nil"/>
              <w:left w:val="single" w:sz="8" w:space="0" w:color="auto"/>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ICSA</w:t>
            </w:r>
          </w:p>
        </w:tc>
        <w:tc>
          <w:tcPr>
            <w:tcW w:w="1566"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100.800</w:t>
            </w:r>
          </w:p>
        </w:tc>
        <w:tc>
          <w:tcPr>
            <w:tcW w:w="1563" w:type="pct"/>
            <w:tcBorders>
              <w:top w:val="nil"/>
              <w:left w:val="nil"/>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26.769,23</w:t>
            </w:r>
          </w:p>
        </w:tc>
      </w:tr>
      <w:tr w:rsidR="00B37D8A" w:rsidRPr="00545769" w:rsidTr="0085600D">
        <w:trPr>
          <w:trHeight w:val="20"/>
          <w:jc w:val="center"/>
        </w:trPr>
        <w:tc>
          <w:tcPr>
            <w:tcW w:w="1871" w:type="pct"/>
            <w:tcBorders>
              <w:top w:val="nil"/>
              <w:left w:val="single" w:sz="8" w:space="0" w:color="auto"/>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Mundo Clima</w:t>
            </w:r>
          </w:p>
        </w:tc>
        <w:tc>
          <w:tcPr>
            <w:tcW w:w="1566"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72.000</w:t>
            </w:r>
          </w:p>
        </w:tc>
        <w:tc>
          <w:tcPr>
            <w:tcW w:w="1563" w:type="pct"/>
            <w:tcBorders>
              <w:top w:val="nil"/>
              <w:left w:val="nil"/>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18.461,54</w:t>
            </w:r>
          </w:p>
        </w:tc>
      </w:tr>
      <w:tr w:rsidR="00B37D8A" w:rsidRPr="00545769" w:rsidTr="0085600D">
        <w:trPr>
          <w:trHeight w:val="20"/>
          <w:jc w:val="center"/>
        </w:trPr>
        <w:tc>
          <w:tcPr>
            <w:tcW w:w="1871" w:type="pct"/>
            <w:tcBorders>
              <w:top w:val="nil"/>
              <w:left w:val="single" w:sz="8" w:space="0" w:color="auto"/>
              <w:bottom w:val="nil"/>
              <w:right w:val="single" w:sz="4" w:space="0" w:color="auto"/>
            </w:tcBorders>
            <w:shd w:val="clear" w:color="000000" w:fill="FFFFFF"/>
            <w:noWrap/>
            <w:vAlign w:val="center"/>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SOUK</w:t>
            </w:r>
          </w:p>
        </w:tc>
        <w:tc>
          <w:tcPr>
            <w:tcW w:w="1566"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26.400</w:t>
            </w:r>
          </w:p>
        </w:tc>
        <w:tc>
          <w:tcPr>
            <w:tcW w:w="1563" w:type="pct"/>
            <w:tcBorders>
              <w:top w:val="nil"/>
              <w:left w:val="nil"/>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5.072,92</w:t>
            </w:r>
          </w:p>
        </w:tc>
      </w:tr>
      <w:tr w:rsidR="00B37D8A" w:rsidRPr="00545769" w:rsidTr="0085600D">
        <w:trPr>
          <w:trHeight w:val="20"/>
          <w:jc w:val="center"/>
        </w:trPr>
        <w:tc>
          <w:tcPr>
            <w:tcW w:w="1871" w:type="pct"/>
            <w:tcBorders>
              <w:top w:val="single" w:sz="4" w:space="0" w:color="auto"/>
              <w:left w:val="single" w:sz="8" w:space="0" w:color="auto"/>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Denarsa</w:t>
            </w:r>
          </w:p>
        </w:tc>
        <w:tc>
          <w:tcPr>
            <w:tcW w:w="1566"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100.800</w:t>
            </w:r>
          </w:p>
        </w:tc>
        <w:tc>
          <w:tcPr>
            <w:tcW w:w="1563" w:type="pct"/>
            <w:tcBorders>
              <w:top w:val="nil"/>
              <w:left w:val="nil"/>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28.615,38</w:t>
            </w:r>
          </w:p>
        </w:tc>
      </w:tr>
      <w:tr w:rsidR="00B37D8A" w:rsidRPr="00545769" w:rsidTr="0085600D">
        <w:trPr>
          <w:trHeight w:val="20"/>
          <w:jc w:val="center"/>
        </w:trPr>
        <w:tc>
          <w:tcPr>
            <w:tcW w:w="1871" w:type="pct"/>
            <w:tcBorders>
              <w:top w:val="nil"/>
              <w:left w:val="single" w:sz="8" w:space="0" w:color="auto"/>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lastRenderedPageBreak/>
              <w:t>ACCTAU</w:t>
            </w:r>
          </w:p>
        </w:tc>
        <w:tc>
          <w:tcPr>
            <w:tcW w:w="1566"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11.520</w:t>
            </w:r>
          </w:p>
        </w:tc>
        <w:tc>
          <w:tcPr>
            <w:tcW w:w="1563" w:type="pct"/>
            <w:tcBorders>
              <w:top w:val="nil"/>
              <w:left w:val="nil"/>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2.769,23</w:t>
            </w:r>
          </w:p>
        </w:tc>
      </w:tr>
      <w:tr w:rsidR="00B37D8A" w:rsidRPr="00545769" w:rsidTr="0085600D">
        <w:trPr>
          <w:trHeight w:val="20"/>
          <w:jc w:val="center"/>
        </w:trPr>
        <w:tc>
          <w:tcPr>
            <w:tcW w:w="1871" w:type="pct"/>
            <w:tcBorders>
              <w:top w:val="nil"/>
              <w:left w:val="single" w:sz="8" w:space="0" w:color="auto"/>
              <w:bottom w:val="nil"/>
              <w:right w:val="single" w:sz="4" w:space="0" w:color="auto"/>
            </w:tcBorders>
            <w:shd w:val="clear" w:color="000000" w:fill="FFFFFF"/>
            <w:noWrap/>
            <w:vAlign w:val="center"/>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ENERGE</w:t>
            </w:r>
          </w:p>
        </w:tc>
        <w:tc>
          <w:tcPr>
            <w:tcW w:w="1566"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129.600</w:t>
            </w:r>
          </w:p>
        </w:tc>
        <w:tc>
          <w:tcPr>
            <w:tcW w:w="1563" w:type="pct"/>
            <w:tcBorders>
              <w:top w:val="nil"/>
              <w:left w:val="nil"/>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38.769,23</w:t>
            </w:r>
          </w:p>
        </w:tc>
      </w:tr>
      <w:tr w:rsidR="00B37D8A" w:rsidRPr="00545769" w:rsidTr="0085600D">
        <w:trPr>
          <w:trHeight w:val="20"/>
          <w:jc w:val="center"/>
        </w:trPr>
        <w:tc>
          <w:tcPr>
            <w:tcW w:w="1871" w:type="pct"/>
            <w:tcBorders>
              <w:top w:val="single" w:sz="4" w:space="0" w:color="auto"/>
              <w:left w:val="single" w:sz="8" w:space="0" w:color="auto"/>
              <w:bottom w:val="single" w:sz="8" w:space="0" w:color="auto"/>
              <w:right w:val="single" w:sz="4" w:space="0" w:color="auto"/>
            </w:tcBorders>
            <w:shd w:val="clear" w:color="000000" w:fill="FFFFFF"/>
            <w:noWrap/>
            <w:vAlign w:val="center"/>
          </w:tcPr>
          <w:p w:rsidR="00B37D8A" w:rsidRPr="00545769" w:rsidRDefault="00B37D8A" w:rsidP="0085600D">
            <w:pPr>
              <w:spacing w:after="0" w:line="240" w:lineRule="auto"/>
              <w:rPr>
                <w:rFonts w:ascii="Arial" w:hAnsi="Arial" w:cs="Arial"/>
                <w:bCs/>
                <w:sz w:val="18"/>
                <w:szCs w:val="18"/>
              </w:rPr>
            </w:pPr>
            <w:r w:rsidRPr="00545769">
              <w:rPr>
                <w:rFonts w:ascii="Arial" w:hAnsi="Arial" w:cs="Arial"/>
                <w:bCs/>
                <w:sz w:val="18"/>
                <w:szCs w:val="18"/>
              </w:rPr>
              <w:t>Total</w:t>
            </w:r>
          </w:p>
        </w:tc>
        <w:tc>
          <w:tcPr>
            <w:tcW w:w="1566" w:type="pct"/>
            <w:tcBorders>
              <w:top w:val="nil"/>
              <w:left w:val="nil"/>
              <w:bottom w:val="single" w:sz="8"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bCs/>
                <w:sz w:val="18"/>
                <w:szCs w:val="18"/>
              </w:rPr>
            </w:pPr>
            <w:r w:rsidRPr="00545769">
              <w:rPr>
                <w:rFonts w:ascii="Arial" w:hAnsi="Arial" w:cs="Arial"/>
                <w:bCs/>
                <w:sz w:val="18"/>
                <w:szCs w:val="18"/>
              </w:rPr>
              <w:t>639.120</w:t>
            </w:r>
          </w:p>
        </w:tc>
        <w:tc>
          <w:tcPr>
            <w:tcW w:w="1563" w:type="pct"/>
            <w:tcBorders>
              <w:top w:val="nil"/>
              <w:left w:val="nil"/>
              <w:bottom w:val="single" w:sz="8" w:space="0" w:color="auto"/>
              <w:right w:val="single" w:sz="4" w:space="0" w:color="auto"/>
            </w:tcBorders>
            <w:shd w:val="clear" w:color="000000" w:fill="FFFFFF"/>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158.538,46</w:t>
            </w:r>
          </w:p>
        </w:tc>
      </w:tr>
    </w:tbl>
    <w:p w:rsidR="00B37D8A" w:rsidRPr="00E1314E" w:rsidRDefault="00B37D8A" w:rsidP="00E40ABE">
      <w:pPr>
        <w:spacing w:before="240"/>
        <w:jc w:val="both"/>
        <w:rPr>
          <w:rFonts w:ascii="Times New Roman" w:hAnsi="Times New Roman"/>
          <w:i/>
          <w:sz w:val="24"/>
        </w:rPr>
      </w:pPr>
      <w:r w:rsidRPr="00E1314E">
        <w:rPr>
          <w:rFonts w:ascii="Times New Roman" w:hAnsi="Times New Roman"/>
          <w:i/>
          <w:sz w:val="24"/>
        </w:rPr>
        <w:t>ii) Crecimiento de una empresa típica instalada en el parque</w:t>
      </w:r>
    </w:p>
    <w:p w:rsidR="00E1314E" w:rsidRDefault="00B37D8A" w:rsidP="00442360">
      <w:pPr>
        <w:spacing w:before="240"/>
        <w:jc w:val="both"/>
        <w:rPr>
          <w:rFonts w:ascii="Times New Roman" w:hAnsi="Times New Roman"/>
          <w:sz w:val="24"/>
        </w:rPr>
      </w:pPr>
      <w:r>
        <w:rPr>
          <w:rFonts w:ascii="Times New Roman" w:hAnsi="Times New Roman"/>
          <w:sz w:val="24"/>
        </w:rPr>
        <w:t>Para el cálculo de los beneficios sobre las empresas instaladas en el parque se toman en consideración las siguientes cuestiones.</w:t>
      </w:r>
    </w:p>
    <w:p w:rsidR="00327834" w:rsidRDefault="00B37D8A" w:rsidP="00327834">
      <w:pPr>
        <w:pStyle w:val="ListParagraph"/>
        <w:numPr>
          <w:ilvl w:val="0"/>
          <w:numId w:val="32"/>
        </w:numPr>
        <w:spacing w:before="240"/>
        <w:jc w:val="both"/>
        <w:rPr>
          <w:rFonts w:ascii="Times New Roman" w:hAnsi="Times New Roman"/>
          <w:sz w:val="24"/>
        </w:rPr>
      </w:pPr>
      <w:r w:rsidRPr="00327834">
        <w:rPr>
          <w:rFonts w:ascii="Times New Roman" w:hAnsi="Times New Roman"/>
          <w:sz w:val="24"/>
        </w:rPr>
        <w:t xml:space="preserve">Primero, dado que las empresas que se instalarán en el parque se encuentran en su mayoría en etapa de despegue, se toma como punto de partida una facturación inicial de tan sólo ARS 200.000 al año. </w:t>
      </w:r>
    </w:p>
    <w:p w:rsidR="00327834" w:rsidRDefault="00E1314E" w:rsidP="00442360">
      <w:pPr>
        <w:pStyle w:val="ListParagraph"/>
        <w:numPr>
          <w:ilvl w:val="0"/>
          <w:numId w:val="32"/>
        </w:numPr>
        <w:spacing w:before="240"/>
        <w:jc w:val="both"/>
        <w:rPr>
          <w:rFonts w:ascii="Times New Roman" w:hAnsi="Times New Roman"/>
          <w:sz w:val="24"/>
        </w:rPr>
      </w:pPr>
      <w:r w:rsidRPr="00327834">
        <w:rPr>
          <w:rFonts w:ascii="Times New Roman" w:hAnsi="Times New Roman"/>
          <w:sz w:val="24"/>
        </w:rPr>
        <w:t>S</w:t>
      </w:r>
      <w:r w:rsidR="00B37D8A" w:rsidRPr="00327834">
        <w:rPr>
          <w:rFonts w:ascii="Times New Roman" w:hAnsi="Times New Roman"/>
          <w:sz w:val="24"/>
        </w:rPr>
        <w:t xml:space="preserve">e considera que </w:t>
      </w:r>
      <w:r w:rsidR="00061A0D" w:rsidRPr="00327834">
        <w:rPr>
          <w:rFonts w:ascii="Times New Roman" w:hAnsi="Times New Roman"/>
          <w:sz w:val="24"/>
        </w:rPr>
        <w:t xml:space="preserve">cinco de </w:t>
      </w:r>
      <w:r w:rsidR="00B37D8A" w:rsidRPr="00327834">
        <w:rPr>
          <w:rFonts w:ascii="Times New Roman" w:hAnsi="Times New Roman"/>
          <w:sz w:val="24"/>
        </w:rPr>
        <w:t xml:space="preserve">estas firmas llegarán a facturar en los 20 años del proyecto, ARS </w:t>
      </w:r>
      <w:r w:rsidR="00061A0D" w:rsidRPr="00327834">
        <w:rPr>
          <w:rFonts w:ascii="Times New Roman" w:hAnsi="Times New Roman"/>
          <w:sz w:val="24"/>
        </w:rPr>
        <w:t>4</w:t>
      </w:r>
      <w:r w:rsidR="00B37D8A" w:rsidRPr="00327834">
        <w:rPr>
          <w:rFonts w:ascii="Times New Roman" w:hAnsi="Times New Roman"/>
          <w:sz w:val="24"/>
        </w:rPr>
        <w:t>.</w:t>
      </w:r>
      <w:r w:rsidR="00061A0D" w:rsidRPr="00327834">
        <w:rPr>
          <w:rFonts w:ascii="Times New Roman" w:hAnsi="Times New Roman"/>
          <w:sz w:val="24"/>
        </w:rPr>
        <w:t>134</w:t>
      </w:r>
      <w:r w:rsidR="00B37D8A" w:rsidRPr="00327834">
        <w:rPr>
          <w:rFonts w:ascii="Times New Roman" w:hAnsi="Times New Roman"/>
          <w:sz w:val="24"/>
        </w:rPr>
        <w:t>.</w:t>
      </w:r>
      <w:r w:rsidR="00061A0D" w:rsidRPr="00327834">
        <w:rPr>
          <w:rFonts w:ascii="Times New Roman" w:hAnsi="Times New Roman"/>
          <w:sz w:val="24"/>
        </w:rPr>
        <w:t>173</w:t>
      </w:r>
      <w:r w:rsidR="00B37D8A" w:rsidRPr="00327834">
        <w:rPr>
          <w:rFonts w:ascii="Times New Roman" w:hAnsi="Times New Roman"/>
          <w:sz w:val="24"/>
        </w:rPr>
        <w:t xml:space="preserve">, que constituye el </w:t>
      </w:r>
      <w:r w:rsidR="00061A0D" w:rsidRPr="00327834">
        <w:rPr>
          <w:rFonts w:ascii="Times New Roman" w:hAnsi="Times New Roman"/>
          <w:sz w:val="24"/>
        </w:rPr>
        <w:t>50</w:t>
      </w:r>
      <w:r w:rsidR="00B37D8A" w:rsidRPr="00327834">
        <w:rPr>
          <w:rFonts w:ascii="Times New Roman" w:hAnsi="Times New Roman"/>
          <w:sz w:val="24"/>
        </w:rPr>
        <w:t>% de lo que factura en promedio una empresa de biotecnología en Mendoza</w:t>
      </w:r>
      <w:r w:rsidR="00010094" w:rsidRPr="00327834">
        <w:rPr>
          <w:rFonts w:ascii="Times New Roman" w:hAnsi="Times New Roman"/>
          <w:sz w:val="24"/>
        </w:rPr>
        <w:t xml:space="preserve"> -proyectos tipo (1)-</w:t>
      </w:r>
      <w:r w:rsidR="00B37D8A" w:rsidRPr="00327834">
        <w:rPr>
          <w:rFonts w:ascii="Times New Roman" w:hAnsi="Times New Roman"/>
          <w:sz w:val="24"/>
        </w:rPr>
        <w:t xml:space="preserve">. </w:t>
      </w:r>
      <w:r w:rsidR="00327834" w:rsidRPr="00327834">
        <w:rPr>
          <w:rFonts w:ascii="Times New Roman" w:hAnsi="Times New Roman"/>
          <w:sz w:val="24"/>
        </w:rPr>
        <w:t>Dichos valores, están calculados tomando como punto de referencia la facturación promedio de los distintos tipos de empresas biotecnológicas en Argentina</w:t>
      </w:r>
      <w:r w:rsidR="00327834" w:rsidRPr="007D5325">
        <w:rPr>
          <w:rStyle w:val="FootnoteReference"/>
          <w:rFonts w:ascii="Times New Roman" w:hAnsi="Times New Roman"/>
          <w:sz w:val="24"/>
          <w:vertAlign w:val="superscript"/>
        </w:rPr>
        <w:footnoteReference w:id="20"/>
      </w:r>
      <w:r w:rsidR="00327834" w:rsidRPr="00327834">
        <w:rPr>
          <w:rFonts w:ascii="Times New Roman" w:hAnsi="Times New Roman"/>
          <w:sz w:val="24"/>
        </w:rPr>
        <w:t>, ponderada por la composición de proyectos de biotecnología avanzados en Mendoza, los que posiblemente albergará el parque</w:t>
      </w:r>
      <w:r w:rsidR="00327834" w:rsidRPr="00EC50C2">
        <w:rPr>
          <w:rStyle w:val="FootnoteReference"/>
          <w:rFonts w:ascii="Times New Roman" w:hAnsi="Times New Roman"/>
          <w:sz w:val="24"/>
          <w:vertAlign w:val="superscript"/>
        </w:rPr>
        <w:footnoteReference w:id="21"/>
      </w:r>
      <w:r w:rsidR="00327834" w:rsidRPr="00327834">
        <w:rPr>
          <w:rFonts w:ascii="Times New Roman" w:hAnsi="Times New Roman"/>
          <w:sz w:val="24"/>
        </w:rPr>
        <w:t xml:space="preserve">. </w:t>
      </w:r>
    </w:p>
    <w:p w:rsidR="00327834" w:rsidRDefault="00061A0D" w:rsidP="00442360">
      <w:pPr>
        <w:pStyle w:val="ListParagraph"/>
        <w:numPr>
          <w:ilvl w:val="0"/>
          <w:numId w:val="32"/>
        </w:numPr>
        <w:spacing w:before="240"/>
        <w:jc w:val="both"/>
        <w:rPr>
          <w:rFonts w:ascii="Times New Roman" w:hAnsi="Times New Roman"/>
          <w:sz w:val="24"/>
        </w:rPr>
      </w:pPr>
      <w:r w:rsidRPr="00327834">
        <w:rPr>
          <w:rFonts w:ascii="Times New Roman" w:hAnsi="Times New Roman"/>
          <w:sz w:val="24"/>
        </w:rPr>
        <w:t xml:space="preserve">Se supone además que el resto de los proyectos (siete) tendrán un volumen de ventas luego de 20 años de ARS </w:t>
      </w:r>
      <w:r w:rsidR="005179BA" w:rsidRPr="00327834">
        <w:rPr>
          <w:rFonts w:ascii="Times New Roman" w:hAnsi="Times New Roman"/>
          <w:sz w:val="24"/>
        </w:rPr>
        <w:t>620</w:t>
      </w:r>
      <w:r w:rsidRPr="00327834">
        <w:rPr>
          <w:rFonts w:ascii="Times New Roman" w:hAnsi="Times New Roman"/>
          <w:sz w:val="24"/>
        </w:rPr>
        <w:t>.</w:t>
      </w:r>
      <w:r w:rsidR="005179BA" w:rsidRPr="00327834">
        <w:rPr>
          <w:rFonts w:ascii="Times New Roman" w:hAnsi="Times New Roman"/>
          <w:sz w:val="24"/>
        </w:rPr>
        <w:t>126</w:t>
      </w:r>
      <w:r w:rsidRPr="00327834">
        <w:rPr>
          <w:rFonts w:ascii="Times New Roman" w:hAnsi="Times New Roman"/>
          <w:sz w:val="24"/>
        </w:rPr>
        <w:t xml:space="preserve">, que representa el </w:t>
      </w:r>
      <w:r w:rsidR="005179BA" w:rsidRPr="00327834">
        <w:rPr>
          <w:rFonts w:ascii="Times New Roman" w:hAnsi="Times New Roman"/>
          <w:sz w:val="24"/>
        </w:rPr>
        <w:t>7,</w:t>
      </w:r>
      <w:r w:rsidRPr="00327834">
        <w:rPr>
          <w:rFonts w:ascii="Times New Roman" w:hAnsi="Times New Roman"/>
          <w:sz w:val="24"/>
        </w:rPr>
        <w:t>5% de lo que factura en promedio una empresa biotecnológica mendocina</w:t>
      </w:r>
      <w:r w:rsidR="00010094" w:rsidRPr="00327834">
        <w:rPr>
          <w:rFonts w:ascii="Times New Roman" w:hAnsi="Times New Roman"/>
          <w:sz w:val="24"/>
        </w:rPr>
        <w:t xml:space="preserve"> -proyectos tipo (2)-</w:t>
      </w:r>
      <w:r w:rsidRPr="00327834">
        <w:rPr>
          <w:rFonts w:ascii="Times New Roman" w:hAnsi="Times New Roman"/>
          <w:sz w:val="24"/>
        </w:rPr>
        <w:t xml:space="preserve">. </w:t>
      </w:r>
    </w:p>
    <w:p w:rsidR="00327834" w:rsidRDefault="00E1314E" w:rsidP="00E40ABE">
      <w:pPr>
        <w:pStyle w:val="ListParagraph"/>
        <w:numPr>
          <w:ilvl w:val="0"/>
          <w:numId w:val="32"/>
        </w:numPr>
        <w:spacing w:before="240"/>
        <w:jc w:val="both"/>
        <w:rPr>
          <w:rFonts w:ascii="Times New Roman" w:hAnsi="Times New Roman"/>
          <w:sz w:val="24"/>
        </w:rPr>
      </w:pPr>
      <w:r w:rsidRPr="00327834">
        <w:rPr>
          <w:rFonts w:ascii="Times New Roman" w:hAnsi="Times New Roman"/>
          <w:sz w:val="24"/>
        </w:rPr>
        <w:t>P</w:t>
      </w:r>
      <w:r w:rsidR="00B37D8A" w:rsidRPr="00327834">
        <w:rPr>
          <w:rFonts w:ascii="Times New Roman" w:hAnsi="Times New Roman"/>
          <w:sz w:val="24"/>
        </w:rPr>
        <w:t xml:space="preserve">artiendo de una facturación anual de ARS 200.000, </w:t>
      </w:r>
      <w:r w:rsidRPr="00327834">
        <w:rPr>
          <w:rFonts w:ascii="Times New Roman" w:hAnsi="Times New Roman"/>
          <w:sz w:val="24"/>
        </w:rPr>
        <w:t xml:space="preserve">para llegar a estos valores </w:t>
      </w:r>
      <w:r w:rsidR="00B37D8A" w:rsidRPr="00327834">
        <w:rPr>
          <w:rFonts w:ascii="Times New Roman" w:hAnsi="Times New Roman"/>
          <w:sz w:val="24"/>
        </w:rPr>
        <w:t>de ventas planteado</w:t>
      </w:r>
      <w:r w:rsidRPr="00327834">
        <w:rPr>
          <w:rFonts w:ascii="Times New Roman" w:hAnsi="Times New Roman"/>
          <w:sz w:val="24"/>
        </w:rPr>
        <w:t>s</w:t>
      </w:r>
      <w:r w:rsidR="00B37D8A" w:rsidRPr="00327834">
        <w:rPr>
          <w:rFonts w:ascii="Times New Roman" w:hAnsi="Times New Roman"/>
          <w:sz w:val="24"/>
        </w:rPr>
        <w:t xml:space="preserve">, </w:t>
      </w:r>
      <w:r w:rsidRPr="00327834">
        <w:rPr>
          <w:rFonts w:ascii="Times New Roman" w:hAnsi="Times New Roman"/>
          <w:sz w:val="24"/>
        </w:rPr>
        <w:t xml:space="preserve">la </w:t>
      </w:r>
      <w:r w:rsidR="00B37D8A" w:rsidRPr="00327834">
        <w:rPr>
          <w:rFonts w:ascii="Times New Roman" w:hAnsi="Times New Roman"/>
          <w:sz w:val="24"/>
        </w:rPr>
        <w:t xml:space="preserve">tasa de crecimiento anual acumulativo de </w:t>
      </w:r>
      <w:r w:rsidRPr="00327834">
        <w:rPr>
          <w:rFonts w:ascii="Times New Roman" w:hAnsi="Times New Roman"/>
          <w:sz w:val="24"/>
        </w:rPr>
        <w:t>las</w:t>
      </w:r>
      <w:r w:rsidR="00B37D8A" w:rsidRPr="00327834">
        <w:rPr>
          <w:rFonts w:ascii="Times New Roman" w:hAnsi="Times New Roman"/>
          <w:sz w:val="24"/>
        </w:rPr>
        <w:t xml:space="preserve"> empresas </w:t>
      </w:r>
      <w:r w:rsidRPr="00327834">
        <w:rPr>
          <w:rFonts w:ascii="Times New Roman" w:hAnsi="Times New Roman"/>
          <w:sz w:val="24"/>
        </w:rPr>
        <w:t xml:space="preserve">tipo 1 debería ser entonces de </w:t>
      </w:r>
      <w:r w:rsidR="00B37D8A" w:rsidRPr="00327834">
        <w:rPr>
          <w:rFonts w:ascii="Times New Roman" w:hAnsi="Times New Roman"/>
          <w:sz w:val="24"/>
        </w:rPr>
        <w:t>1</w:t>
      </w:r>
      <w:r w:rsidR="00010094" w:rsidRPr="00327834">
        <w:rPr>
          <w:rFonts w:ascii="Times New Roman" w:hAnsi="Times New Roman"/>
          <w:sz w:val="24"/>
        </w:rPr>
        <w:t>7</w:t>
      </w:r>
      <w:r w:rsidR="00B37D8A" w:rsidRPr="00327834">
        <w:rPr>
          <w:rFonts w:ascii="Times New Roman" w:hAnsi="Times New Roman"/>
          <w:sz w:val="24"/>
        </w:rPr>
        <w:t>%</w:t>
      </w:r>
      <w:r w:rsidR="00010094" w:rsidRPr="00327834">
        <w:rPr>
          <w:rFonts w:ascii="Times New Roman" w:hAnsi="Times New Roman"/>
          <w:sz w:val="24"/>
        </w:rPr>
        <w:t xml:space="preserve"> y de </w:t>
      </w:r>
      <w:r w:rsidR="005179BA" w:rsidRPr="00327834">
        <w:rPr>
          <w:rFonts w:ascii="Times New Roman" w:hAnsi="Times New Roman"/>
          <w:sz w:val="24"/>
        </w:rPr>
        <w:t>6</w:t>
      </w:r>
      <w:r w:rsidR="00010094" w:rsidRPr="00327834">
        <w:rPr>
          <w:rFonts w:ascii="Times New Roman" w:hAnsi="Times New Roman"/>
          <w:sz w:val="24"/>
        </w:rPr>
        <w:t>% para l</w:t>
      </w:r>
      <w:r w:rsidRPr="00327834">
        <w:rPr>
          <w:rFonts w:ascii="Times New Roman" w:hAnsi="Times New Roman"/>
          <w:sz w:val="24"/>
        </w:rPr>
        <w:t xml:space="preserve">as empresas </w:t>
      </w:r>
      <w:r w:rsidR="00010094" w:rsidRPr="00327834">
        <w:rPr>
          <w:rFonts w:ascii="Times New Roman" w:hAnsi="Times New Roman"/>
          <w:sz w:val="24"/>
        </w:rPr>
        <w:t>tipo (2)</w:t>
      </w:r>
      <w:r w:rsidR="00010094" w:rsidRPr="00327834">
        <w:rPr>
          <w:rStyle w:val="FootnoteReference"/>
          <w:rFonts w:ascii="Times New Roman" w:hAnsi="Times New Roman"/>
          <w:sz w:val="24"/>
          <w:vertAlign w:val="superscript"/>
        </w:rPr>
        <w:t xml:space="preserve"> </w:t>
      </w:r>
      <w:r w:rsidR="00010094" w:rsidRPr="006C665B">
        <w:rPr>
          <w:rStyle w:val="FootnoteReference"/>
          <w:rFonts w:ascii="Times New Roman" w:hAnsi="Times New Roman"/>
          <w:sz w:val="24"/>
          <w:vertAlign w:val="superscript"/>
        </w:rPr>
        <w:footnoteReference w:id="22"/>
      </w:r>
      <w:r w:rsidR="00B37D8A" w:rsidRPr="00327834">
        <w:rPr>
          <w:rFonts w:ascii="Times New Roman" w:hAnsi="Times New Roman"/>
          <w:sz w:val="24"/>
        </w:rPr>
        <w:t xml:space="preserve">. </w:t>
      </w:r>
    </w:p>
    <w:p w:rsidR="00B37D8A" w:rsidRPr="00327834" w:rsidRDefault="00E1314E" w:rsidP="00E40ABE">
      <w:pPr>
        <w:pStyle w:val="ListParagraph"/>
        <w:numPr>
          <w:ilvl w:val="0"/>
          <w:numId w:val="32"/>
        </w:numPr>
        <w:spacing w:before="240"/>
        <w:jc w:val="both"/>
        <w:rPr>
          <w:rFonts w:ascii="Times New Roman" w:hAnsi="Times New Roman"/>
          <w:sz w:val="24"/>
        </w:rPr>
      </w:pPr>
      <w:r w:rsidRPr="00327834">
        <w:rPr>
          <w:rFonts w:ascii="Times New Roman" w:hAnsi="Times New Roman"/>
          <w:sz w:val="24"/>
        </w:rPr>
        <w:t>Aplicando estos valores de</w:t>
      </w:r>
      <w:r w:rsidR="00B37D8A" w:rsidRPr="00327834">
        <w:rPr>
          <w:rFonts w:ascii="Times New Roman" w:hAnsi="Times New Roman"/>
          <w:sz w:val="24"/>
        </w:rPr>
        <w:t xml:space="preserve"> factor de crecimiento a las ventas anuales iniciales de ARS 200.000, y suponiendo que no todas la ventas, sino sólo su crecimiento puede ser atribuido a la existencia del parque, se calcula un </w:t>
      </w:r>
      <w:r w:rsidR="0070188E" w:rsidRPr="00327834">
        <w:rPr>
          <w:rFonts w:ascii="Times New Roman" w:hAnsi="Times New Roman"/>
          <w:sz w:val="24"/>
        </w:rPr>
        <w:t xml:space="preserve">beneficio por </w:t>
      </w:r>
      <w:r w:rsidR="00B37D8A" w:rsidRPr="00327834">
        <w:rPr>
          <w:rFonts w:ascii="Times New Roman" w:hAnsi="Times New Roman"/>
          <w:sz w:val="24"/>
        </w:rPr>
        <w:t>crecimiento en la facturación por empresa que comienza en ARS 3</w:t>
      </w:r>
      <w:r w:rsidR="0070188E" w:rsidRPr="00327834">
        <w:rPr>
          <w:rFonts w:ascii="Times New Roman" w:hAnsi="Times New Roman"/>
          <w:sz w:val="24"/>
        </w:rPr>
        <w:t>4</w:t>
      </w:r>
      <w:r w:rsidR="00B37D8A" w:rsidRPr="00327834">
        <w:rPr>
          <w:rFonts w:ascii="Times New Roman" w:hAnsi="Times New Roman"/>
          <w:sz w:val="24"/>
        </w:rPr>
        <w:t>.</w:t>
      </w:r>
      <w:r w:rsidR="0070188E" w:rsidRPr="00327834">
        <w:rPr>
          <w:rFonts w:ascii="Times New Roman" w:hAnsi="Times New Roman"/>
          <w:sz w:val="24"/>
        </w:rPr>
        <w:t>563</w:t>
      </w:r>
      <w:r w:rsidR="00B37D8A" w:rsidRPr="00327834">
        <w:rPr>
          <w:rFonts w:ascii="Times New Roman" w:hAnsi="Times New Roman"/>
          <w:sz w:val="24"/>
        </w:rPr>
        <w:t xml:space="preserve"> en el año 2 y llega a ARS </w:t>
      </w:r>
      <w:r w:rsidR="0070188E" w:rsidRPr="00327834">
        <w:rPr>
          <w:rFonts w:ascii="Times New Roman" w:hAnsi="Times New Roman"/>
          <w:sz w:val="24"/>
        </w:rPr>
        <w:t>609</w:t>
      </w:r>
      <w:r w:rsidR="00B37D8A" w:rsidRPr="00327834">
        <w:rPr>
          <w:rFonts w:ascii="Times New Roman" w:hAnsi="Times New Roman"/>
          <w:sz w:val="24"/>
        </w:rPr>
        <w:t>.</w:t>
      </w:r>
      <w:r w:rsidR="0070188E" w:rsidRPr="00327834">
        <w:rPr>
          <w:rFonts w:ascii="Times New Roman" w:hAnsi="Times New Roman"/>
          <w:sz w:val="24"/>
        </w:rPr>
        <w:t>172</w:t>
      </w:r>
      <w:r w:rsidR="00B37D8A" w:rsidRPr="00327834">
        <w:rPr>
          <w:rFonts w:ascii="Times New Roman" w:hAnsi="Times New Roman"/>
          <w:sz w:val="24"/>
        </w:rPr>
        <w:t xml:space="preserve"> en el año 20</w:t>
      </w:r>
      <w:r w:rsidR="0070188E" w:rsidRPr="00327834">
        <w:rPr>
          <w:rFonts w:ascii="Times New Roman" w:hAnsi="Times New Roman"/>
          <w:sz w:val="24"/>
        </w:rPr>
        <w:t xml:space="preserve"> para los proyectos tipo (1) y </w:t>
      </w:r>
      <w:r w:rsidR="00375F5F" w:rsidRPr="00327834">
        <w:rPr>
          <w:rFonts w:ascii="Times New Roman" w:hAnsi="Times New Roman"/>
          <w:sz w:val="24"/>
        </w:rPr>
        <w:t xml:space="preserve">comienza en ARS </w:t>
      </w:r>
      <w:r w:rsidR="005179BA" w:rsidRPr="00327834">
        <w:rPr>
          <w:rFonts w:ascii="Times New Roman" w:hAnsi="Times New Roman"/>
          <w:sz w:val="24"/>
        </w:rPr>
        <w:t>12</w:t>
      </w:r>
      <w:r w:rsidR="00375F5F" w:rsidRPr="00327834">
        <w:rPr>
          <w:rFonts w:ascii="Times New Roman" w:hAnsi="Times New Roman"/>
          <w:sz w:val="24"/>
        </w:rPr>
        <w:t>.</w:t>
      </w:r>
      <w:r w:rsidR="005179BA" w:rsidRPr="00327834">
        <w:rPr>
          <w:rFonts w:ascii="Times New Roman" w:hAnsi="Times New Roman"/>
          <w:sz w:val="24"/>
        </w:rPr>
        <w:t>274</w:t>
      </w:r>
      <w:r w:rsidR="00375F5F" w:rsidRPr="00327834">
        <w:rPr>
          <w:rFonts w:ascii="Times New Roman" w:hAnsi="Times New Roman"/>
          <w:sz w:val="24"/>
        </w:rPr>
        <w:t xml:space="preserve"> y llega a ARS </w:t>
      </w:r>
      <w:r w:rsidR="005179BA" w:rsidRPr="00327834">
        <w:rPr>
          <w:rFonts w:ascii="Times New Roman" w:hAnsi="Times New Roman"/>
          <w:sz w:val="24"/>
        </w:rPr>
        <w:t>3</w:t>
      </w:r>
      <w:r w:rsidR="00375F5F" w:rsidRPr="00327834">
        <w:rPr>
          <w:rFonts w:ascii="Times New Roman" w:hAnsi="Times New Roman"/>
          <w:sz w:val="24"/>
        </w:rPr>
        <w:t>5.</w:t>
      </w:r>
      <w:r w:rsidR="005179BA" w:rsidRPr="00327834">
        <w:rPr>
          <w:rFonts w:ascii="Times New Roman" w:hAnsi="Times New Roman"/>
          <w:sz w:val="24"/>
        </w:rPr>
        <w:t>855</w:t>
      </w:r>
      <w:r w:rsidR="00375F5F" w:rsidRPr="00327834">
        <w:rPr>
          <w:rFonts w:ascii="Times New Roman" w:hAnsi="Times New Roman"/>
          <w:sz w:val="24"/>
        </w:rPr>
        <w:t xml:space="preserve"> para los proyectos tipo (2)</w:t>
      </w:r>
      <w:r w:rsidR="00B37D8A" w:rsidRPr="00327834">
        <w:rPr>
          <w:rFonts w:ascii="Times New Roman" w:hAnsi="Times New Roman"/>
          <w:sz w:val="24"/>
        </w:rPr>
        <w:t xml:space="preserve">. </w:t>
      </w:r>
      <w:r w:rsidR="00375F5F" w:rsidRPr="00327834">
        <w:rPr>
          <w:rFonts w:ascii="Times New Roman" w:hAnsi="Times New Roman"/>
          <w:sz w:val="24"/>
        </w:rPr>
        <w:t xml:space="preserve">Luego, ponderando dichos valores por la cantidad de proyectos que se supone serán tipo (1) y tipo (2), cuatro y siete </w:t>
      </w:r>
      <w:r w:rsidR="00375F5F" w:rsidRPr="00327834">
        <w:rPr>
          <w:rFonts w:ascii="Times New Roman" w:hAnsi="Times New Roman"/>
          <w:sz w:val="24"/>
        </w:rPr>
        <w:lastRenderedPageBreak/>
        <w:t xml:space="preserve">respectivamente, </w:t>
      </w:r>
      <w:r w:rsidR="00B37D8A" w:rsidRPr="00327834">
        <w:rPr>
          <w:rFonts w:ascii="Times New Roman" w:hAnsi="Times New Roman"/>
          <w:sz w:val="24"/>
        </w:rPr>
        <w:t xml:space="preserve">se obtienen los beneficios atribuibles al proyecto que comienzan en ARS </w:t>
      </w:r>
      <w:r w:rsidR="005179BA" w:rsidRPr="00327834">
        <w:rPr>
          <w:rFonts w:ascii="Times New Roman" w:hAnsi="Times New Roman"/>
          <w:sz w:val="24"/>
        </w:rPr>
        <w:t>224</w:t>
      </w:r>
      <w:r w:rsidR="00B37D8A" w:rsidRPr="00327834">
        <w:rPr>
          <w:rFonts w:ascii="Times New Roman" w:hAnsi="Times New Roman"/>
          <w:sz w:val="24"/>
        </w:rPr>
        <w:t>.</w:t>
      </w:r>
      <w:r w:rsidR="005179BA" w:rsidRPr="00327834">
        <w:rPr>
          <w:rFonts w:ascii="Times New Roman" w:hAnsi="Times New Roman"/>
          <w:sz w:val="24"/>
        </w:rPr>
        <w:t>166</w:t>
      </w:r>
      <w:r w:rsidR="00B37D8A" w:rsidRPr="00327834">
        <w:rPr>
          <w:rFonts w:ascii="Times New Roman" w:hAnsi="Times New Roman"/>
          <w:sz w:val="24"/>
        </w:rPr>
        <w:t xml:space="preserve"> y alcanzan los ARS </w:t>
      </w:r>
      <w:r w:rsidR="00375F5F" w:rsidRPr="00327834">
        <w:rPr>
          <w:rFonts w:ascii="Times New Roman" w:hAnsi="Times New Roman"/>
          <w:sz w:val="24"/>
        </w:rPr>
        <w:t>2</w:t>
      </w:r>
      <w:r w:rsidR="00B37D8A" w:rsidRPr="00327834">
        <w:rPr>
          <w:rFonts w:ascii="Times New Roman" w:hAnsi="Times New Roman"/>
          <w:sz w:val="24"/>
        </w:rPr>
        <w:t>.</w:t>
      </w:r>
      <w:r w:rsidR="005179BA" w:rsidRPr="00327834">
        <w:rPr>
          <w:rFonts w:ascii="Times New Roman" w:hAnsi="Times New Roman"/>
          <w:sz w:val="24"/>
        </w:rPr>
        <w:t>687</w:t>
      </w:r>
      <w:r w:rsidR="00B37D8A" w:rsidRPr="00327834">
        <w:rPr>
          <w:rFonts w:ascii="Times New Roman" w:hAnsi="Times New Roman"/>
          <w:sz w:val="24"/>
        </w:rPr>
        <w:t>.</w:t>
      </w:r>
      <w:r w:rsidR="005179BA" w:rsidRPr="00327834">
        <w:rPr>
          <w:rFonts w:ascii="Times New Roman" w:hAnsi="Times New Roman"/>
          <w:sz w:val="24"/>
        </w:rPr>
        <w:t>675</w:t>
      </w:r>
      <w:r w:rsidR="00B37D8A" w:rsidRPr="00327834">
        <w:rPr>
          <w:rFonts w:ascii="Times New Roman" w:hAnsi="Times New Roman"/>
          <w:sz w:val="24"/>
        </w:rPr>
        <w:t>.</w:t>
      </w:r>
    </w:p>
    <w:p w:rsidR="00327834" w:rsidRDefault="00327834" w:rsidP="00E40ABE">
      <w:pPr>
        <w:spacing w:before="240"/>
        <w:jc w:val="both"/>
        <w:rPr>
          <w:rFonts w:ascii="Times New Roman" w:hAnsi="Times New Roman"/>
          <w:sz w:val="24"/>
        </w:rPr>
      </w:pPr>
      <w:r>
        <w:rPr>
          <w:rFonts w:ascii="Times New Roman" w:hAnsi="Times New Roman"/>
          <w:sz w:val="24"/>
        </w:rPr>
        <w:t xml:space="preserve">Dado que no tenemos certeza con respecto a los valores iniciales, de crecimiento y la distribución de empresas por tipo de crecimiento estas variables se modifican en el análisis de sensibilidad. </w:t>
      </w:r>
    </w:p>
    <w:p w:rsidR="00B37D8A" w:rsidRPr="00327834" w:rsidRDefault="00BE19B0" w:rsidP="00E40ABE">
      <w:pPr>
        <w:spacing w:before="240"/>
        <w:jc w:val="both"/>
        <w:rPr>
          <w:rFonts w:ascii="Times New Roman" w:hAnsi="Times New Roman"/>
          <w:b/>
          <w:i/>
          <w:sz w:val="24"/>
        </w:rPr>
      </w:pPr>
      <w:r w:rsidRPr="00327834">
        <w:rPr>
          <w:rFonts w:ascii="Times New Roman" w:hAnsi="Times New Roman"/>
          <w:b/>
          <w:i/>
          <w:sz w:val="24"/>
        </w:rPr>
        <w:t>B</w:t>
      </w:r>
      <w:r w:rsidR="00B37D8A" w:rsidRPr="00327834">
        <w:rPr>
          <w:rFonts w:ascii="Times New Roman" w:hAnsi="Times New Roman"/>
          <w:b/>
          <w:i/>
          <w:sz w:val="24"/>
        </w:rPr>
        <w:t>. COSTOS</w:t>
      </w:r>
    </w:p>
    <w:p w:rsidR="00B37D8A" w:rsidRPr="00BD41E6" w:rsidRDefault="00B37D8A" w:rsidP="00E40ABE">
      <w:pPr>
        <w:spacing w:before="120" w:after="0"/>
        <w:jc w:val="both"/>
        <w:rPr>
          <w:rFonts w:ascii="Times New Roman" w:hAnsi="Times New Roman"/>
          <w:sz w:val="24"/>
        </w:rPr>
      </w:pPr>
      <w:r>
        <w:rPr>
          <w:rFonts w:ascii="Times New Roman" w:hAnsi="Times New Roman"/>
          <w:sz w:val="24"/>
        </w:rPr>
        <w:t xml:space="preserve">En relación con el primer conjunto de costos, la construcción del parque requiere una inversión de </w:t>
      </w:r>
      <w:r w:rsidRPr="00BD41E6">
        <w:rPr>
          <w:rFonts w:ascii="Times New Roman" w:hAnsi="Times New Roman"/>
          <w:sz w:val="24"/>
        </w:rPr>
        <w:t>ARS 6.</w:t>
      </w:r>
      <w:r>
        <w:rPr>
          <w:rFonts w:ascii="Times New Roman" w:hAnsi="Times New Roman"/>
          <w:sz w:val="24"/>
        </w:rPr>
        <w:t>477</w:t>
      </w:r>
      <w:r w:rsidRPr="00BD41E6">
        <w:rPr>
          <w:rFonts w:ascii="Times New Roman" w:hAnsi="Times New Roman"/>
          <w:sz w:val="24"/>
        </w:rPr>
        <w:t>.</w:t>
      </w:r>
      <w:r>
        <w:rPr>
          <w:rFonts w:ascii="Times New Roman" w:hAnsi="Times New Roman"/>
          <w:sz w:val="24"/>
        </w:rPr>
        <w:t>000</w:t>
      </w:r>
      <w:r w:rsidRPr="00BD41E6">
        <w:rPr>
          <w:rFonts w:ascii="Times New Roman" w:hAnsi="Times New Roman"/>
          <w:sz w:val="24"/>
        </w:rPr>
        <w:t xml:space="preserve"> los cuales se desagregan de la siguiente manera:</w:t>
      </w:r>
    </w:p>
    <w:tbl>
      <w:tblPr>
        <w:tblW w:w="9077" w:type="dxa"/>
        <w:jc w:val="center"/>
        <w:tblCellMar>
          <w:left w:w="0" w:type="dxa"/>
          <w:right w:w="0" w:type="dxa"/>
        </w:tblCellMar>
        <w:tblLook w:val="00A0" w:firstRow="1" w:lastRow="0" w:firstColumn="1" w:lastColumn="0" w:noHBand="0" w:noVBand="0"/>
      </w:tblPr>
      <w:tblGrid>
        <w:gridCol w:w="1281"/>
        <w:gridCol w:w="3402"/>
        <w:gridCol w:w="1074"/>
        <w:gridCol w:w="992"/>
        <w:gridCol w:w="1288"/>
        <w:gridCol w:w="1040"/>
      </w:tblGrid>
      <w:tr w:rsidR="00B37D8A" w:rsidRPr="00545769" w:rsidTr="00093D29">
        <w:trPr>
          <w:trHeight w:val="178"/>
          <w:jc w:val="center"/>
        </w:trPr>
        <w:tc>
          <w:tcPr>
            <w:tcW w:w="1281" w:type="dxa"/>
            <w:tcBorders>
              <w:top w:val="single" w:sz="4" w:space="0" w:color="auto"/>
              <w:left w:val="single" w:sz="4" w:space="0" w:color="auto"/>
              <w:bottom w:val="single" w:sz="4" w:space="0" w:color="auto"/>
              <w:right w:val="single" w:sz="4" w:space="0" w:color="auto"/>
            </w:tcBorders>
            <w:shd w:val="clear" w:color="auto" w:fill="D9D9D9"/>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Rubro</w:t>
            </w:r>
          </w:p>
        </w:tc>
        <w:tc>
          <w:tcPr>
            <w:tcW w:w="3402" w:type="dxa"/>
            <w:tcBorders>
              <w:top w:val="single" w:sz="4" w:space="0" w:color="auto"/>
              <w:left w:val="nil"/>
              <w:bottom w:val="single" w:sz="4" w:space="0" w:color="auto"/>
              <w:right w:val="single" w:sz="4" w:space="0" w:color="auto"/>
            </w:tcBorders>
            <w:shd w:val="clear" w:color="auto" w:fill="D9D9D9"/>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Actividad</w:t>
            </w:r>
          </w:p>
        </w:tc>
        <w:tc>
          <w:tcPr>
            <w:tcW w:w="1074" w:type="dxa"/>
            <w:tcBorders>
              <w:top w:val="single" w:sz="4" w:space="0" w:color="auto"/>
              <w:left w:val="nil"/>
              <w:bottom w:val="single" w:sz="4" w:space="0" w:color="auto"/>
              <w:right w:val="single" w:sz="4" w:space="0" w:color="auto"/>
            </w:tcBorders>
            <w:shd w:val="clear" w:color="auto" w:fill="D9D9D9"/>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Financiador</w:t>
            </w:r>
          </w:p>
        </w:tc>
        <w:tc>
          <w:tcPr>
            <w:tcW w:w="992" w:type="dxa"/>
            <w:tcBorders>
              <w:top w:val="single" w:sz="4" w:space="0" w:color="auto"/>
              <w:left w:val="nil"/>
              <w:bottom w:val="single" w:sz="4" w:space="0" w:color="auto"/>
              <w:right w:val="single" w:sz="4" w:space="0" w:color="auto"/>
            </w:tcBorders>
            <w:shd w:val="clear" w:color="auto" w:fill="D9D9D9"/>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Cantidad</w:t>
            </w:r>
          </w:p>
        </w:tc>
        <w:tc>
          <w:tcPr>
            <w:tcW w:w="1288" w:type="dxa"/>
            <w:tcBorders>
              <w:top w:val="single" w:sz="4" w:space="0" w:color="auto"/>
              <w:left w:val="nil"/>
              <w:bottom w:val="single" w:sz="4" w:space="0" w:color="auto"/>
              <w:right w:val="single" w:sz="4" w:space="0" w:color="auto"/>
            </w:tcBorders>
            <w:shd w:val="clear" w:color="auto" w:fill="D9D9D9"/>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Valor Unitario</w:t>
            </w:r>
          </w:p>
        </w:tc>
        <w:tc>
          <w:tcPr>
            <w:tcW w:w="1040" w:type="dxa"/>
            <w:tcBorders>
              <w:top w:val="single" w:sz="4" w:space="0" w:color="auto"/>
              <w:left w:val="nil"/>
              <w:bottom w:val="single" w:sz="4" w:space="0" w:color="auto"/>
              <w:right w:val="single" w:sz="4" w:space="0" w:color="auto"/>
            </w:tcBorders>
            <w:shd w:val="clear" w:color="auto" w:fill="D9D9D9"/>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Valor total</w:t>
            </w:r>
          </w:p>
        </w:tc>
      </w:tr>
      <w:tr w:rsidR="00B37D8A" w:rsidRPr="00545769" w:rsidTr="00093D29">
        <w:trPr>
          <w:trHeight w:val="312"/>
          <w:jc w:val="center"/>
        </w:trPr>
        <w:tc>
          <w:tcPr>
            <w:tcW w:w="1281" w:type="dxa"/>
            <w:tcBorders>
              <w:top w:val="nil"/>
              <w:left w:val="single" w:sz="4" w:space="0" w:color="auto"/>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Construcción</w:t>
            </w:r>
          </w:p>
        </w:tc>
        <w:tc>
          <w:tcPr>
            <w:tcW w:w="3402" w:type="dxa"/>
            <w:tcBorders>
              <w:top w:val="nil"/>
              <w:left w:val="nil"/>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Construcción etapa 1 (incluye urbanización, calefacción y refrigeración)</w:t>
            </w:r>
          </w:p>
        </w:tc>
        <w:tc>
          <w:tcPr>
            <w:tcW w:w="1074"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BID</w:t>
            </w:r>
          </w:p>
        </w:tc>
        <w:tc>
          <w:tcPr>
            <w:tcW w:w="992"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w:t>
            </w:r>
          </w:p>
        </w:tc>
        <w:tc>
          <w:tcPr>
            <w:tcW w:w="1288"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5.803.200</w:t>
            </w:r>
          </w:p>
        </w:tc>
        <w:tc>
          <w:tcPr>
            <w:tcW w:w="1040" w:type="dxa"/>
            <w:tcBorders>
              <w:top w:val="nil"/>
              <w:left w:val="nil"/>
              <w:bottom w:val="single" w:sz="4" w:space="0" w:color="auto"/>
              <w:right w:val="single" w:sz="4" w:space="0" w:color="auto"/>
            </w:tcBorders>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5.803.200</w:t>
            </w:r>
          </w:p>
        </w:tc>
      </w:tr>
      <w:tr w:rsidR="00B37D8A" w:rsidRPr="00545769" w:rsidTr="00093D29">
        <w:trPr>
          <w:trHeight w:val="56"/>
          <w:jc w:val="center"/>
        </w:trPr>
        <w:tc>
          <w:tcPr>
            <w:tcW w:w="1281" w:type="dxa"/>
            <w:vMerge w:val="restart"/>
            <w:tcBorders>
              <w:top w:val="nil"/>
              <w:left w:val="single" w:sz="4" w:space="0" w:color="auto"/>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Equipamiento</w:t>
            </w:r>
          </w:p>
        </w:tc>
        <w:tc>
          <w:tcPr>
            <w:tcW w:w="3402"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Mobiliario oficina</w:t>
            </w:r>
          </w:p>
        </w:tc>
        <w:tc>
          <w:tcPr>
            <w:tcW w:w="1074"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UNCuyo</w:t>
            </w:r>
          </w:p>
        </w:tc>
        <w:tc>
          <w:tcPr>
            <w:tcW w:w="992"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10</w:t>
            </w:r>
          </w:p>
        </w:tc>
        <w:tc>
          <w:tcPr>
            <w:tcW w:w="1288"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6.000</w:t>
            </w:r>
          </w:p>
        </w:tc>
        <w:tc>
          <w:tcPr>
            <w:tcW w:w="1040" w:type="dxa"/>
            <w:tcBorders>
              <w:top w:val="nil"/>
              <w:left w:val="nil"/>
              <w:bottom w:val="single" w:sz="4" w:space="0" w:color="auto"/>
              <w:right w:val="single" w:sz="4" w:space="0" w:color="auto"/>
            </w:tcBorders>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60.000</w:t>
            </w:r>
          </w:p>
        </w:tc>
      </w:tr>
      <w:tr w:rsidR="00B37D8A" w:rsidRPr="00545769" w:rsidTr="00093D29">
        <w:trPr>
          <w:trHeight w:val="56"/>
          <w:jc w:val="center"/>
        </w:trPr>
        <w:tc>
          <w:tcPr>
            <w:tcW w:w="1281" w:type="dxa"/>
            <w:vMerge/>
            <w:tcBorders>
              <w:top w:val="nil"/>
              <w:left w:val="single" w:sz="4" w:space="0" w:color="auto"/>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p>
        </w:tc>
        <w:tc>
          <w:tcPr>
            <w:tcW w:w="3402"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Balanza analítica</w:t>
            </w:r>
          </w:p>
        </w:tc>
        <w:tc>
          <w:tcPr>
            <w:tcW w:w="1074"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UNCuyo</w:t>
            </w:r>
          </w:p>
        </w:tc>
        <w:tc>
          <w:tcPr>
            <w:tcW w:w="992"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2</w:t>
            </w:r>
          </w:p>
        </w:tc>
        <w:tc>
          <w:tcPr>
            <w:tcW w:w="1288"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9.000</w:t>
            </w:r>
          </w:p>
        </w:tc>
        <w:tc>
          <w:tcPr>
            <w:tcW w:w="1040" w:type="dxa"/>
            <w:tcBorders>
              <w:top w:val="nil"/>
              <w:left w:val="nil"/>
              <w:bottom w:val="single" w:sz="4" w:space="0" w:color="auto"/>
              <w:right w:val="single" w:sz="4" w:space="0" w:color="auto"/>
            </w:tcBorders>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18.000</w:t>
            </w:r>
          </w:p>
        </w:tc>
      </w:tr>
      <w:tr w:rsidR="00B37D8A" w:rsidRPr="00545769" w:rsidTr="00093D29">
        <w:trPr>
          <w:trHeight w:val="138"/>
          <w:jc w:val="center"/>
        </w:trPr>
        <w:tc>
          <w:tcPr>
            <w:tcW w:w="1281" w:type="dxa"/>
            <w:vMerge/>
            <w:tcBorders>
              <w:top w:val="nil"/>
              <w:left w:val="single" w:sz="4" w:space="0" w:color="auto"/>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p>
        </w:tc>
        <w:tc>
          <w:tcPr>
            <w:tcW w:w="3402"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Centrífuga</w:t>
            </w:r>
          </w:p>
        </w:tc>
        <w:tc>
          <w:tcPr>
            <w:tcW w:w="1074"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UNCuyo</w:t>
            </w:r>
          </w:p>
        </w:tc>
        <w:tc>
          <w:tcPr>
            <w:tcW w:w="992"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2</w:t>
            </w:r>
          </w:p>
        </w:tc>
        <w:tc>
          <w:tcPr>
            <w:tcW w:w="1288"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8.000</w:t>
            </w:r>
          </w:p>
        </w:tc>
        <w:tc>
          <w:tcPr>
            <w:tcW w:w="1040" w:type="dxa"/>
            <w:tcBorders>
              <w:top w:val="nil"/>
              <w:left w:val="nil"/>
              <w:bottom w:val="single" w:sz="4" w:space="0" w:color="auto"/>
              <w:right w:val="single" w:sz="4" w:space="0" w:color="auto"/>
            </w:tcBorders>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16.000</w:t>
            </w:r>
          </w:p>
        </w:tc>
      </w:tr>
      <w:tr w:rsidR="00B37D8A" w:rsidRPr="00545769" w:rsidTr="00093D29">
        <w:trPr>
          <w:trHeight w:val="255"/>
          <w:jc w:val="center"/>
        </w:trPr>
        <w:tc>
          <w:tcPr>
            <w:tcW w:w="1281" w:type="dxa"/>
            <w:vMerge/>
            <w:tcBorders>
              <w:top w:val="nil"/>
              <w:left w:val="single" w:sz="4" w:space="0" w:color="auto"/>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p>
        </w:tc>
        <w:tc>
          <w:tcPr>
            <w:tcW w:w="3402"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Estufas de cultivo</w:t>
            </w:r>
          </w:p>
        </w:tc>
        <w:tc>
          <w:tcPr>
            <w:tcW w:w="1074"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UNCuyo</w:t>
            </w:r>
          </w:p>
        </w:tc>
        <w:tc>
          <w:tcPr>
            <w:tcW w:w="992"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3</w:t>
            </w:r>
          </w:p>
        </w:tc>
        <w:tc>
          <w:tcPr>
            <w:tcW w:w="1288"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9.000</w:t>
            </w:r>
          </w:p>
        </w:tc>
        <w:tc>
          <w:tcPr>
            <w:tcW w:w="1040" w:type="dxa"/>
            <w:tcBorders>
              <w:top w:val="nil"/>
              <w:left w:val="nil"/>
              <w:bottom w:val="single" w:sz="4" w:space="0" w:color="auto"/>
              <w:right w:val="single" w:sz="4" w:space="0" w:color="auto"/>
            </w:tcBorders>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27.000</w:t>
            </w:r>
          </w:p>
        </w:tc>
      </w:tr>
      <w:tr w:rsidR="00B37D8A" w:rsidRPr="00545769" w:rsidTr="00093D29">
        <w:trPr>
          <w:trHeight w:val="230"/>
          <w:jc w:val="center"/>
        </w:trPr>
        <w:tc>
          <w:tcPr>
            <w:tcW w:w="1281" w:type="dxa"/>
            <w:vMerge/>
            <w:tcBorders>
              <w:top w:val="nil"/>
              <w:left w:val="single" w:sz="4" w:space="0" w:color="auto"/>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p>
        </w:tc>
        <w:tc>
          <w:tcPr>
            <w:tcW w:w="3402"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Microscopio</w:t>
            </w:r>
          </w:p>
        </w:tc>
        <w:tc>
          <w:tcPr>
            <w:tcW w:w="1074"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UNCuyo</w:t>
            </w:r>
          </w:p>
        </w:tc>
        <w:tc>
          <w:tcPr>
            <w:tcW w:w="992"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2</w:t>
            </w:r>
          </w:p>
        </w:tc>
        <w:tc>
          <w:tcPr>
            <w:tcW w:w="1288"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15.000</w:t>
            </w:r>
          </w:p>
        </w:tc>
        <w:tc>
          <w:tcPr>
            <w:tcW w:w="1040" w:type="dxa"/>
            <w:tcBorders>
              <w:top w:val="nil"/>
              <w:left w:val="nil"/>
              <w:bottom w:val="single" w:sz="4" w:space="0" w:color="auto"/>
              <w:right w:val="single" w:sz="4" w:space="0" w:color="auto"/>
            </w:tcBorders>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30.000</w:t>
            </w:r>
          </w:p>
        </w:tc>
      </w:tr>
      <w:tr w:rsidR="00B37D8A" w:rsidRPr="00545769" w:rsidTr="00093D29">
        <w:trPr>
          <w:trHeight w:val="406"/>
          <w:jc w:val="center"/>
        </w:trPr>
        <w:tc>
          <w:tcPr>
            <w:tcW w:w="1281" w:type="dxa"/>
            <w:vMerge/>
            <w:tcBorders>
              <w:top w:val="nil"/>
              <w:left w:val="single" w:sz="4" w:space="0" w:color="auto"/>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p>
        </w:tc>
        <w:tc>
          <w:tcPr>
            <w:tcW w:w="3402"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Autoclave para esterilización de material de laboratorio</w:t>
            </w:r>
          </w:p>
        </w:tc>
        <w:tc>
          <w:tcPr>
            <w:tcW w:w="1074"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UNCuyo</w:t>
            </w:r>
          </w:p>
        </w:tc>
        <w:tc>
          <w:tcPr>
            <w:tcW w:w="992"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w:t>
            </w:r>
          </w:p>
        </w:tc>
        <w:tc>
          <w:tcPr>
            <w:tcW w:w="1288"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32.000</w:t>
            </w:r>
          </w:p>
        </w:tc>
        <w:tc>
          <w:tcPr>
            <w:tcW w:w="1040" w:type="dxa"/>
            <w:tcBorders>
              <w:top w:val="nil"/>
              <w:left w:val="nil"/>
              <w:bottom w:val="single" w:sz="4" w:space="0" w:color="auto"/>
              <w:right w:val="single" w:sz="4" w:space="0" w:color="auto"/>
            </w:tcBorders>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32.000</w:t>
            </w:r>
          </w:p>
        </w:tc>
      </w:tr>
      <w:tr w:rsidR="00B37D8A" w:rsidRPr="00545769" w:rsidTr="00093D29">
        <w:trPr>
          <w:trHeight w:val="268"/>
          <w:jc w:val="center"/>
        </w:trPr>
        <w:tc>
          <w:tcPr>
            <w:tcW w:w="1281" w:type="dxa"/>
            <w:vMerge/>
            <w:tcBorders>
              <w:top w:val="nil"/>
              <w:left w:val="single" w:sz="4" w:space="0" w:color="auto"/>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p>
        </w:tc>
        <w:tc>
          <w:tcPr>
            <w:tcW w:w="3402"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Destilador de agua</w:t>
            </w:r>
          </w:p>
        </w:tc>
        <w:tc>
          <w:tcPr>
            <w:tcW w:w="1074"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UNCuyo</w:t>
            </w:r>
          </w:p>
        </w:tc>
        <w:tc>
          <w:tcPr>
            <w:tcW w:w="992"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w:t>
            </w:r>
          </w:p>
        </w:tc>
        <w:tc>
          <w:tcPr>
            <w:tcW w:w="1288"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8.000</w:t>
            </w:r>
          </w:p>
        </w:tc>
        <w:tc>
          <w:tcPr>
            <w:tcW w:w="1040" w:type="dxa"/>
            <w:tcBorders>
              <w:top w:val="nil"/>
              <w:left w:val="nil"/>
              <w:bottom w:val="single" w:sz="4" w:space="0" w:color="auto"/>
              <w:right w:val="single" w:sz="4" w:space="0" w:color="auto"/>
            </w:tcBorders>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8.000</w:t>
            </w:r>
          </w:p>
        </w:tc>
      </w:tr>
      <w:tr w:rsidR="00B37D8A" w:rsidRPr="00545769" w:rsidTr="00093D29">
        <w:trPr>
          <w:trHeight w:val="129"/>
          <w:jc w:val="center"/>
        </w:trPr>
        <w:tc>
          <w:tcPr>
            <w:tcW w:w="1281" w:type="dxa"/>
            <w:vMerge/>
            <w:tcBorders>
              <w:top w:val="nil"/>
              <w:left w:val="single" w:sz="4" w:space="0" w:color="auto"/>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p>
        </w:tc>
        <w:tc>
          <w:tcPr>
            <w:tcW w:w="3402"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Refrigerador</w:t>
            </w:r>
          </w:p>
        </w:tc>
        <w:tc>
          <w:tcPr>
            <w:tcW w:w="1074"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UNCuyo</w:t>
            </w:r>
          </w:p>
        </w:tc>
        <w:tc>
          <w:tcPr>
            <w:tcW w:w="992"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2</w:t>
            </w:r>
          </w:p>
        </w:tc>
        <w:tc>
          <w:tcPr>
            <w:tcW w:w="1288"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8.000</w:t>
            </w:r>
          </w:p>
        </w:tc>
        <w:tc>
          <w:tcPr>
            <w:tcW w:w="1040" w:type="dxa"/>
            <w:tcBorders>
              <w:top w:val="nil"/>
              <w:left w:val="nil"/>
              <w:bottom w:val="single" w:sz="4" w:space="0" w:color="auto"/>
              <w:right w:val="single" w:sz="4" w:space="0" w:color="auto"/>
            </w:tcBorders>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16.000</w:t>
            </w:r>
          </w:p>
        </w:tc>
      </w:tr>
      <w:tr w:rsidR="00B37D8A" w:rsidRPr="00545769" w:rsidTr="00093D29">
        <w:trPr>
          <w:trHeight w:val="204"/>
          <w:jc w:val="center"/>
        </w:trPr>
        <w:tc>
          <w:tcPr>
            <w:tcW w:w="1281" w:type="dxa"/>
            <w:vMerge/>
            <w:tcBorders>
              <w:top w:val="nil"/>
              <w:left w:val="single" w:sz="4" w:space="0" w:color="auto"/>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p>
        </w:tc>
        <w:tc>
          <w:tcPr>
            <w:tcW w:w="3402"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Cabina de flujo laminar</w:t>
            </w:r>
          </w:p>
        </w:tc>
        <w:tc>
          <w:tcPr>
            <w:tcW w:w="1074"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UNCuyo</w:t>
            </w:r>
          </w:p>
        </w:tc>
        <w:tc>
          <w:tcPr>
            <w:tcW w:w="992"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w:t>
            </w:r>
          </w:p>
        </w:tc>
        <w:tc>
          <w:tcPr>
            <w:tcW w:w="1288"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30.000</w:t>
            </w:r>
          </w:p>
        </w:tc>
        <w:tc>
          <w:tcPr>
            <w:tcW w:w="1040" w:type="dxa"/>
            <w:tcBorders>
              <w:top w:val="nil"/>
              <w:left w:val="nil"/>
              <w:bottom w:val="single" w:sz="4" w:space="0" w:color="auto"/>
              <w:right w:val="single" w:sz="4" w:space="0" w:color="auto"/>
            </w:tcBorders>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30.000</w:t>
            </w:r>
          </w:p>
        </w:tc>
      </w:tr>
      <w:tr w:rsidR="00B37D8A" w:rsidRPr="00545769" w:rsidTr="00093D29">
        <w:trPr>
          <w:trHeight w:val="121"/>
          <w:jc w:val="center"/>
        </w:trPr>
        <w:tc>
          <w:tcPr>
            <w:tcW w:w="1281" w:type="dxa"/>
            <w:vMerge w:val="restart"/>
            <w:tcBorders>
              <w:top w:val="nil"/>
              <w:left w:val="single" w:sz="4" w:space="0" w:color="auto"/>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Otros</w:t>
            </w:r>
          </w:p>
        </w:tc>
        <w:tc>
          <w:tcPr>
            <w:tcW w:w="3402"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Capacitaciones</w:t>
            </w:r>
          </w:p>
        </w:tc>
        <w:tc>
          <w:tcPr>
            <w:tcW w:w="1074" w:type="dxa"/>
            <w:tcBorders>
              <w:top w:val="nil"/>
              <w:left w:val="nil"/>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BID</w:t>
            </w:r>
          </w:p>
        </w:tc>
        <w:tc>
          <w:tcPr>
            <w:tcW w:w="992" w:type="dxa"/>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w:t>
            </w:r>
          </w:p>
        </w:tc>
        <w:tc>
          <w:tcPr>
            <w:tcW w:w="1288"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124.800</w:t>
            </w:r>
          </w:p>
        </w:tc>
        <w:tc>
          <w:tcPr>
            <w:tcW w:w="1040" w:type="dxa"/>
            <w:tcBorders>
              <w:top w:val="nil"/>
              <w:left w:val="nil"/>
              <w:bottom w:val="single" w:sz="4" w:space="0" w:color="auto"/>
              <w:right w:val="single" w:sz="4" w:space="0" w:color="auto"/>
            </w:tcBorders>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124.800</w:t>
            </w:r>
          </w:p>
        </w:tc>
      </w:tr>
      <w:tr w:rsidR="00B37D8A" w:rsidRPr="00545769" w:rsidTr="00093D29">
        <w:trPr>
          <w:trHeight w:val="621"/>
          <w:jc w:val="center"/>
        </w:trPr>
        <w:tc>
          <w:tcPr>
            <w:tcW w:w="1281" w:type="dxa"/>
            <w:vMerge/>
            <w:tcBorders>
              <w:top w:val="nil"/>
              <w:left w:val="single" w:sz="4" w:space="0" w:color="auto"/>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p>
        </w:tc>
        <w:tc>
          <w:tcPr>
            <w:tcW w:w="3402"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Definición de Procesos, documentación y puesta en marcha. Certificar buenas prácticas: ISO 17025</w:t>
            </w:r>
          </w:p>
        </w:tc>
        <w:tc>
          <w:tcPr>
            <w:tcW w:w="1074" w:type="dxa"/>
            <w:tcBorders>
              <w:top w:val="nil"/>
              <w:left w:val="nil"/>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BID</w:t>
            </w:r>
          </w:p>
        </w:tc>
        <w:tc>
          <w:tcPr>
            <w:tcW w:w="992"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w:t>
            </w:r>
          </w:p>
        </w:tc>
        <w:tc>
          <w:tcPr>
            <w:tcW w:w="1288" w:type="dxa"/>
            <w:tcBorders>
              <w:top w:val="nil"/>
              <w:left w:val="nil"/>
              <w:bottom w:val="single" w:sz="4" w:space="0" w:color="auto"/>
              <w:right w:val="single" w:sz="4" w:space="0" w:color="auto"/>
            </w:tcBorders>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312.000</w:t>
            </w:r>
          </w:p>
        </w:tc>
        <w:tc>
          <w:tcPr>
            <w:tcW w:w="1040" w:type="dxa"/>
            <w:tcBorders>
              <w:top w:val="nil"/>
              <w:left w:val="nil"/>
              <w:bottom w:val="single" w:sz="4" w:space="0" w:color="auto"/>
              <w:right w:val="single" w:sz="4" w:space="0" w:color="auto"/>
            </w:tcBorders>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312.000</w:t>
            </w:r>
          </w:p>
        </w:tc>
      </w:tr>
      <w:tr w:rsidR="00B37D8A" w:rsidRPr="00545769" w:rsidTr="00093D29">
        <w:trPr>
          <w:trHeight w:val="300"/>
          <w:jc w:val="center"/>
        </w:trPr>
        <w:tc>
          <w:tcPr>
            <w:tcW w:w="8037" w:type="dxa"/>
            <w:gridSpan w:val="5"/>
            <w:tcBorders>
              <w:top w:val="single" w:sz="4" w:space="0" w:color="auto"/>
              <w:left w:val="single" w:sz="4" w:space="0" w:color="auto"/>
              <w:bottom w:val="single" w:sz="4" w:space="0" w:color="auto"/>
              <w:right w:val="single" w:sz="4" w:space="0" w:color="000000"/>
            </w:tcBorders>
            <w:vAlign w:val="center"/>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TOTAL</w:t>
            </w:r>
          </w:p>
        </w:tc>
        <w:tc>
          <w:tcPr>
            <w:tcW w:w="1040" w:type="dxa"/>
            <w:tcBorders>
              <w:top w:val="nil"/>
              <w:left w:val="nil"/>
              <w:bottom w:val="single" w:sz="4" w:space="0" w:color="auto"/>
              <w:right w:val="single" w:sz="4" w:space="0" w:color="auto"/>
            </w:tcBorders>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6.477.000</w:t>
            </w:r>
          </w:p>
        </w:tc>
      </w:tr>
    </w:tbl>
    <w:p w:rsidR="00B37D8A" w:rsidRPr="003A6627" w:rsidRDefault="00B37D8A" w:rsidP="00E40ABE">
      <w:pPr>
        <w:spacing w:after="0"/>
        <w:ind w:left="-567"/>
        <w:jc w:val="both"/>
      </w:pPr>
    </w:p>
    <w:p w:rsidR="00B37D8A" w:rsidRPr="00105F87" w:rsidRDefault="00B37D8A" w:rsidP="00E40ABE">
      <w:pPr>
        <w:jc w:val="both"/>
        <w:rPr>
          <w:rFonts w:ascii="Times New Roman" w:hAnsi="Times New Roman"/>
          <w:sz w:val="24"/>
        </w:rPr>
      </w:pPr>
      <w:r>
        <w:rPr>
          <w:rFonts w:ascii="Times New Roman" w:hAnsi="Times New Roman"/>
          <w:sz w:val="24"/>
        </w:rPr>
        <w:t>En relación con</w:t>
      </w:r>
      <w:r w:rsidRPr="00105F87">
        <w:rPr>
          <w:rFonts w:ascii="Times New Roman" w:hAnsi="Times New Roman"/>
          <w:sz w:val="24"/>
        </w:rPr>
        <w:t xml:space="preserve"> la necesidad de recursos humanos para la gestión del proyecto y el asesoramiento técnico de las empresas del parque se </w:t>
      </w:r>
      <w:r>
        <w:rPr>
          <w:rFonts w:ascii="Times New Roman" w:hAnsi="Times New Roman"/>
          <w:sz w:val="24"/>
        </w:rPr>
        <w:t>demandará personal de acuerdo al siguiente detalle</w:t>
      </w:r>
      <w:r w:rsidRPr="00AB4BDC">
        <w:rPr>
          <w:rStyle w:val="FootnoteReference"/>
          <w:vertAlign w:val="superscript"/>
        </w:rPr>
        <w:footnoteReference w:id="23"/>
      </w:r>
      <w:r>
        <w:rPr>
          <w:rFonts w:ascii="Times New Roman" w:hAnsi="Times New Roman"/>
          <w:sz w:val="24"/>
        </w:rPr>
        <w:t>:</w:t>
      </w:r>
    </w:p>
    <w:tbl>
      <w:tblPr>
        <w:tblW w:w="3413" w:type="pct"/>
        <w:jc w:val="center"/>
        <w:tblInd w:w="-1467" w:type="dxa"/>
        <w:tblCellMar>
          <w:left w:w="0" w:type="dxa"/>
          <w:right w:w="0" w:type="dxa"/>
        </w:tblCellMar>
        <w:tblLook w:val="00A0" w:firstRow="1" w:lastRow="0" w:firstColumn="1" w:lastColumn="0" w:noHBand="0" w:noVBand="0"/>
      </w:tblPr>
      <w:tblGrid>
        <w:gridCol w:w="4431"/>
        <w:gridCol w:w="1221"/>
        <w:gridCol w:w="1239"/>
      </w:tblGrid>
      <w:tr w:rsidR="00B37D8A" w:rsidRPr="00545769" w:rsidTr="0085600D">
        <w:trPr>
          <w:trHeight w:val="61"/>
          <w:jc w:val="center"/>
        </w:trPr>
        <w:tc>
          <w:tcPr>
            <w:tcW w:w="3214" w:type="pct"/>
            <w:tcBorders>
              <w:top w:val="single" w:sz="4" w:space="0" w:color="auto"/>
              <w:left w:val="single" w:sz="8" w:space="0" w:color="auto"/>
              <w:bottom w:val="single" w:sz="4" w:space="0" w:color="auto"/>
              <w:right w:val="single" w:sz="4" w:space="0" w:color="auto"/>
            </w:tcBorders>
            <w:shd w:val="clear" w:color="auto" w:fill="EEECE1"/>
            <w:noWrap/>
            <w:vAlign w:val="center"/>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Personal</w:t>
            </w:r>
          </w:p>
        </w:tc>
        <w:tc>
          <w:tcPr>
            <w:tcW w:w="886" w:type="pct"/>
            <w:tcBorders>
              <w:top w:val="single" w:sz="4" w:space="0" w:color="auto"/>
              <w:left w:val="nil"/>
              <w:bottom w:val="single" w:sz="4" w:space="0" w:color="auto"/>
              <w:right w:val="single" w:sz="4" w:space="0" w:color="auto"/>
            </w:tcBorders>
            <w:shd w:val="clear" w:color="auto" w:fill="EEECE1"/>
            <w:noWrap/>
            <w:vAlign w:val="center"/>
          </w:tcPr>
          <w:p w:rsidR="00B37D8A" w:rsidRPr="00545769" w:rsidRDefault="00B37D8A" w:rsidP="0085600D">
            <w:pPr>
              <w:spacing w:after="0" w:line="240" w:lineRule="auto"/>
              <w:jc w:val="center"/>
              <w:rPr>
                <w:rFonts w:ascii="Arial" w:hAnsi="Arial" w:cs="Arial"/>
                <w:bCs/>
                <w:color w:val="000000"/>
                <w:sz w:val="18"/>
                <w:szCs w:val="18"/>
              </w:rPr>
            </w:pPr>
            <w:r w:rsidRPr="00545769">
              <w:rPr>
                <w:rFonts w:ascii="Arial" w:hAnsi="Arial" w:cs="Arial"/>
                <w:bCs/>
                <w:color w:val="000000"/>
                <w:sz w:val="18"/>
                <w:szCs w:val="18"/>
              </w:rPr>
              <w:t>Años 2 a 6</w:t>
            </w:r>
          </w:p>
        </w:tc>
        <w:tc>
          <w:tcPr>
            <w:tcW w:w="899" w:type="pct"/>
            <w:tcBorders>
              <w:top w:val="single" w:sz="4" w:space="0" w:color="auto"/>
              <w:left w:val="nil"/>
              <w:bottom w:val="single" w:sz="4" w:space="0" w:color="auto"/>
              <w:right w:val="single" w:sz="4" w:space="0" w:color="auto"/>
            </w:tcBorders>
            <w:shd w:val="clear" w:color="auto" w:fill="EEECE1"/>
            <w:noWrap/>
            <w:vAlign w:val="center"/>
          </w:tcPr>
          <w:p w:rsidR="00B37D8A" w:rsidRPr="00545769" w:rsidRDefault="00B37D8A" w:rsidP="0085600D">
            <w:pPr>
              <w:spacing w:after="0" w:line="240" w:lineRule="auto"/>
              <w:jc w:val="center"/>
              <w:rPr>
                <w:rFonts w:ascii="Arial" w:hAnsi="Arial" w:cs="Arial"/>
                <w:bCs/>
                <w:color w:val="000000"/>
                <w:sz w:val="18"/>
                <w:szCs w:val="18"/>
              </w:rPr>
            </w:pPr>
            <w:r w:rsidRPr="00545769">
              <w:rPr>
                <w:rFonts w:ascii="Arial" w:hAnsi="Arial" w:cs="Arial"/>
                <w:bCs/>
                <w:color w:val="000000"/>
                <w:sz w:val="18"/>
                <w:szCs w:val="18"/>
              </w:rPr>
              <w:t>Años 7 a 20</w:t>
            </w:r>
          </w:p>
        </w:tc>
      </w:tr>
      <w:tr w:rsidR="00B37D8A" w:rsidRPr="00545769" w:rsidTr="0085600D">
        <w:trPr>
          <w:trHeight w:val="135"/>
          <w:jc w:val="center"/>
        </w:trPr>
        <w:tc>
          <w:tcPr>
            <w:tcW w:w="3214" w:type="pct"/>
            <w:tcBorders>
              <w:top w:val="nil"/>
              <w:left w:val="single" w:sz="8" w:space="0" w:color="auto"/>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Presidente SAPEM</w:t>
            </w:r>
          </w:p>
        </w:tc>
        <w:tc>
          <w:tcPr>
            <w:tcW w:w="886"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1,5</w:t>
            </w:r>
          </w:p>
        </w:tc>
        <w:tc>
          <w:tcPr>
            <w:tcW w:w="899"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1,5</w:t>
            </w:r>
          </w:p>
        </w:tc>
      </w:tr>
      <w:tr w:rsidR="00B37D8A" w:rsidRPr="00545769" w:rsidTr="0085600D">
        <w:trPr>
          <w:trHeight w:val="181"/>
          <w:jc w:val="center"/>
        </w:trPr>
        <w:tc>
          <w:tcPr>
            <w:tcW w:w="3214" w:type="pct"/>
            <w:tcBorders>
              <w:top w:val="nil"/>
              <w:left w:val="single" w:sz="8" w:space="0" w:color="auto"/>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Dirección técnica</w:t>
            </w:r>
          </w:p>
        </w:tc>
        <w:tc>
          <w:tcPr>
            <w:tcW w:w="886"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2</w:t>
            </w:r>
          </w:p>
        </w:tc>
        <w:tc>
          <w:tcPr>
            <w:tcW w:w="899"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2</w:t>
            </w:r>
          </w:p>
        </w:tc>
      </w:tr>
      <w:tr w:rsidR="00B37D8A" w:rsidRPr="00545769" w:rsidTr="0085600D">
        <w:trPr>
          <w:trHeight w:val="113"/>
          <w:jc w:val="center"/>
        </w:trPr>
        <w:tc>
          <w:tcPr>
            <w:tcW w:w="3214" w:type="pct"/>
            <w:tcBorders>
              <w:top w:val="nil"/>
              <w:left w:val="single" w:sz="8" w:space="0" w:color="auto"/>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Tutor (BioIngeniero / Biotecnólogo)</w:t>
            </w:r>
          </w:p>
        </w:tc>
        <w:tc>
          <w:tcPr>
            <w:tcW w:w="886"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w:t>
            </w:r>
          </w:p>
        </w:tc>
        <w:tc>
          <w:tcPr>
            <w:tcW w:w="899"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1,5</w:t>
            </w:r>
          </w:p>
        </w:tc>
      </w:tr>
      <w:tr w:rsidR="00B37D8A" w:rsidRPr="00545769" w:rsidTr="0085600D">
        <w:trPr>
          <w:trHeight w:val="187"/>
          <w:jc w:val="center"/>
        </w:trPr>
        <w:tc>
          <w:tcPr>
            <w:tcW w:w="3214" w:type="pct"/>
            <w:tcBorders>
              <w:top w:val="nil"/>
              <w:left w:val="single" w:sz="8" w:space="0" w:color="auto"/>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Tutor (Especialista en Energía Alternativas)</w:t>
            </w:r>
          </w:p>
        </w:tc>
        <w:tc>
          <w:tcPr>
            <w:tcW w:w="886"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0,5</w:t>
            </w:r>
          </w:p>
        </w:tc>
        <w:tc>
          <w:tcPr>
            <w:tcW w:w="899"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w:t>
            </w:r>
          </w:p>
        </w:tc>
      </w:tr>
      <w:tr w:rsidR="00B37D8A" w:rsidRPr="00545769" w:rsidTr="0085600D">
        <w:trPr>
          <w:trHeight w:val="105"/>
          <w:jc w:val="center"/>
        </w:trPr>
        <w:tc>
          <w:tcPr>
            <w:tcW w:w="3214" w:type="pct"/>
            <w:tcBorders>
              <w:top w:val="nil"/>
              <w:left w:val="single" w:sz="8" w:space="0" w:color="auto"/>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Tutor (Ing. Industrial)</w:t>
            </w:r>
          </w:p>
        </w:tc>
        <w:tc>
          <w:tcPr>
            <w:tcW w:w="886"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0,5</w:t>
            </w:r>
          </w:p>
        </w:tc>
        <w:tc>
          <w:tcPr>
            <w:tcW w:w="899"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w:t>
            </w:r>
          </w:p>
        </w:tc>
      </w:tr>
      <w:tr w:rsidR="00B37D8A" w:rsidRPr="00545769" w:rsidTr="0085600D">
        <w:trPr>
          <w:trHeight w:val="138"/>
          <w:jc w:val="center"/>
        </w:trPr>
        <w:tc>
          <w:tcPr>
            <w:tcW w:w="3214" w:type="pct"/>
            <w:tcBorders>
              <w:top w:val="nil"/>
              <w:left w:val="single" w:sz="8" w:space="0" w:color="auto"/>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Tutor (Ing. Agronómo)</w:t>
            </w:r>
          </w:p>
        </w:tc>
        <w:tc>
          <w:tcPr>
            <w:tcW w:w="886"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w:t>
            </w:r>
          </w:p>
        </w:tc>
        <w:tc>
          <w:tcPr>
            <w:tcW w:w="899"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w:t>
            </w:r>
          </w:p>
        </w:tc>
      </w:tr>
      <w:tr w:rsidR="00B37D8A" w:rsidRPr="00545769" w:rsidTr="0085600D">
        <w:trPr>
          <w:trHeight w:val="197"/>
          <w:jc w:val="center"/>
        </w:trPr>
        <w:tc>
          <w:tcPr>
            <w:tcW w:w="3214" w:type="pct"/>
            <w:tcBorders>
              <w:top w:val="nil"/>
              <w:left w:val="single" w:sz="8" w:space="0" w:color="auto"/>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Tutor (Especialista en Marketing)</w:t>
            </w:r>
          </w:p>
        </w:tc>
        <w:tc>
          <w:tcPr>
            <w:tcW w:w="886"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0,5</w:t>
            </w:r>
          </w:p>
        </w:tc>
        <w:tc>
          <w:tcPr>
            <w:tcW w:w="899"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w:t>
            </w:r>
          </w:p>
        </w:tc>
      </w:tr>
      <w:tr w:rsidR="00B37D8A" w:rsidRPr="00545769" w:rsidTr="0085600D">
        <w:trPr>
          <w:trHeight w:val="129"/>
          <w:jc w:val="center"/>
        </w:trPr>
        <w:tc>
          <w:tcPr>
            <w:tcW w:w="3214" w:type="pct"/>
            <w:tcBorders>
              <w:top w:val="nil"/>
              <w:left w:val="single" w:sz="8" w:space="0" w:color="auto"/>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Tutor (Especialista en Finanzas)</w:t>
            </w:r>
          </w:p>
        </w:tc>
        <w:tc>
          <w:tcPr>
            <w:tcW w:w="886"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0,5</w:t>
            </w:r>
          </w:p>
        </w:tc>
        <w:tc>
          <w:tcPr>
            <w:tcW w:w="899"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w:t>
            </w:r>
          </w:p>
        </w:tc>
      </w:tr>
      <w:tr w:rsidR="00B37D8A" w:rsidRPr="00545769" w:rsidTr="0085600D">
        <w:trPr>
          <w:trHeight w:val="189"/>
          <w:jc w:val="center"/>
        </w:trPr>
        <w:tc>
          <w:tcPr>
            <w:tcW w:w="3214" w:type="pct"/>
            <w:tcBorders>
              <w:top w:val="nil"/>
              <w:left w:val="single" w:sz="8" w:space="0" w:color="auto"/>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Tutor (Especialista en Gestión</w:t>
            </w:r>
          </w:p>
        </w:tc>
        <w:tc>
          <w:tcPr>
            <w:tcW w:w="886"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0,5</w:t>
            </w:r>
          </w:p>
        </w:tc>
        <w:tc>
          <w:tcPr>
            <w:tcW w:w="899"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w:t>
            </w:r>
          </w:p>
        </w:tc>
      </w:tr>
      <w:tr w:rsidR="00B37D8A" w:rsidRPr="00545769" w:rsidTr="0085600D">
        <w:trPr>
          <w:trHeight w:val="121"/>
          <w:jc w:val="center"/>
        </w:trPr>
        <w:tc>
          <w:tcPr>
            <w:tcW w:w="3214" w:type="pct"/>
            <w:tcBorders>
              <w:top w:val="nil"/>
              <w:left w:val="single" w:sz="8" w:space="0" w:color="auto"/>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Personal Administrativo</w:t>
            </w:r>
          </w:p>
        </w:tc>
        <w:tc>
          <w:tcPr>
            <w:tcW w:w="886"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0,5</w:t>
            </w:r>
          </w:p>
        </w:tc>
        <w:tc>
          <w:tcPr>
            <w:tcW w:w="899"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w:t>
            </w:r>
          </w:p>
        </w:tc>
      </w:tr>
    </w:tbl>
    <w:p w:rsidR="00B37D8A" w:rsidRDefault="00B37D8A" w:rsidP="00E40ABE">
      <w:pPr>
        <w:spacing w:before="240"/>
        <w:jc w:val="both"/>
        <w:rPr>
          <w:rFonts w:ascii="Times New Roman" w:hAnsi="Times New Roman"/>
          <w:sz w:val="24"/>
        </w:rPr>
      </w:pPr>
      <w:r w:rsidRPr="006C1FA3">
        <w:rPr>
          <w:rFonts w:ascii="Times New Roman" w:hAnsi="Times New Roman"/>
          <w:sz w:val="24"/>
        </w:rPr>
        <w:t>Para el financiamiento de</w:t>
      </w:r>
      <w:r>
        <w:rPr>
          <w:rFonts w:ascii="Times New Roman" w:hAnsi="Times New Roman"/>
          <w:sz w:val="24"/>
        </w:rPr>
        <w:t xml:space="preserve"> </w:t>
      </w:r>
      <w:r w:rsidRPr="006C1FA3">
        <w:rPr>
          <w:rFonts w:ascii="Times New Roman" w:hAnsi="Times New Roman"/>
          <w:sz w:val="24"/>
        </w:rPr>
        <w:t>l</w:t>
      </w:r>
      <w:r>
        <w:rPr>
          <w:rFonts w:ascii="Times New Roman" w:hAnsi="Times New Roman"/>
          <w:sz w:val="24"/>
        </w:rPr>
        <w:t xml:space="preserve">os recursos humanos, </w:t>
      </w:r>
      <w:r w:rsidRPr="006C1FA3">
        <w:rPr>
          <w:rFonts w:ascii="Times New Roman" w:hAnsi="Times New Roman"/>
          <w:sz w:val="24"/>
        </w:rPr>
        <w:t xml:space="preserve">la </w:t>
      </w:r>
      <w:r>
        <w:rPr>
          <w:rFonts w:ascii="Times New Roman" w:hAnsi="Times New Roman"/>
          <w:sz w:val="24"/>
        </w:rPr>
        <w:t>UNC</w:t>
      </w:r>
      <w:r w:rsidRPr="006C1FA3">
        <w:rPr>
          <w:rFonts w:ascii="Times New Roman" w:hAnsi="Times New Roman"/>
          <w:sz w:val="24"/>
        </w:rPr>
        <w:t xml:space="preserve">, a través del área de Vinculación, </w:t>
      </w:r>
      <w:r>
        <w:rPr>
          <w:rFonts w:ascii="Times New Roman" w:hAnsi="Times New Roman"/>
          <w:sz w:val="24"/>
        </w:rPr>
        <w:t>aportar</w:t>
      </w:r>
      <w:r w:rsidRPr="006C1FA3">
        <w:rPr>
          <w:rFonts w:ascii="Times New Roman" w:hAnsi="Times New Roman"/>
          <w:sz w:val="24"/>
        </w:rPr>
        <w:t xml:space="preserve">á </w:t>
      </w:r>
      <w:r>
        <w:rPr>
          <w:rFonts w:ascii="Times New Roman" w:hAnsi="Times New Roman"/>
          <w:sz w:val="24"/>
        </w:rPr>
        <w:t>personal</w:t>
      </w:r>
      <w:r w:rsidRPr="006C1FA3">
        <w:rPr>
          <w:rFonts w:ascii="Times New Roman" w:hAnsi="Times New Roman"/>
          <w:sz w:val="24"/>
        </w:rPr>
        <w:t xml:space="preserve"> de su equipo, salvo el tu</w:t>
      </w:r>
      <w:r>
        <w:rPr>
          <w:rFonts w:ascii="Times New Roman" w:hAnsi="Times New Roman"/>
          <w:sz w:val="24"/>
        </w:rPr>
        <w:t>tor Bioingeniero o Biotecnólogo, de acuerdo a la siguiente tabla.</w:t>
      </w:r>
    </w:p>
    <w:tbl>
      <w:tblPr>
        <w:tblW w:w="3413" w:type="pct"/>
        <w:jc w:val="center"/>
        <w:tblInd w:w="-1467" w:type="dxa"/>
        <w:tblCellMar>
          <w:left w:w="0" w:type="dxa"/>
          <w:right w:w="0" w:type="dxa"/>
        </w:tblCellMar>
        <w:tblLook w:val="00A0" w:firstRow="1" w:lastRow="0" w:firstColumn="1" w:lastColumn="0" w:noHBand="0" w:noVBand="0"/>
      </w:tblPr>
      <w:tblGrid>
        <w:gridCol w:w="4431"/>
        <w:gridCol w:w="1221"/>
        <w:gridCol w:w="1239"/>
      </w:tblGrid>
      <w:tr w:rsidR="00B37D8A" w:rsidRPr="00545769" w:rsidTr="0085600D">
        <w:trPr>
          <w:trHeight w:val="61"/>
          <w:jc w:val="center"/>
        </w:trPr>
        <w:tc>
          <w:tcPr>
            <w:tcW w:w="3214" w:type="pct"/>
            <w:tcBorders>
              <w:top w:val="single" w:sz="4" w:space="0" w:color="auto"/>
              <w:left w:val="single" w:sz="8" w:space="0" w:color="auto"/>
              <w:bottom w:val="single" w:sz="4" w:space="0" w:color="auto"/>
              <w:right w:val="single" w:sz="4" w:space="0" w:color="auto"/>
            </w:tcBorders>
            <w:shd w:val="clear" w:color="auto" w:fill="EEECE1"/>
            <w:noWrap/>
            <w:vAlign w:val="center"/>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Personal</w:t>
            </w:r>
          </w:p>
        </w:tc>
        <w:tc>
          <w:tcPr>
            <w:tcW w:w="886" w:type="pct"/>
            <w:tcBorders>
              <w:top w:val="single" w:sz="4" w:space="0" w:color="auto"/>
              <w:left w:val="nil"/>
              <w:bottom w:val="single" w:sz="4" w:space="0" w:color="auto"/>
              <w:right w:val="single" w:sz="4" w:space="0" w:color="auto"/>
            </w:tcBorders>
            <w:shd w:val="clear" w:color="auto" w:fill="EEECE1"/>
            <w:noWrap/>
            <w:vAlign w:val="center"/>
          </w:tcPr>
          <w:p w:rsidR="00B37D8A" w:rsidRPr="00545769" w:rsidRDefault="00B37D8A" w:rsidP="0085600D">
            <w:pPr>
              <w:spacing w:after="0" w:line="240" w:lineRule="auto"/>
              <w:jc w:val="center"/>
              <w:rPr>
                <w:rFonts w:ascii="Arial" w:hAnsi="Arial" w:cs="Arial"/>
                <w:bCs/>
                <w:color w:val="000000"/>
                <w:sz w:val="18"/>
                <w:szCs w:val="18"/>
              </w:rPr>
            </w:pPr>
            <w:r w:rsidRPr="00545769">
              <w:rPr>
                <w:rFonts w:ascii="Arial" w:hAnsi="Arial" w:cs="Arial"/>
                <w:bCs/>
                <w:color w:val="000000"/>
                <w:sz w:val="18"/>
                <w:szCs w:val="18"/>
              </w:rPr>
              <w:t>Años 2 a 6</w:t>
            </w:r>
          </w:p>
        </w:tc>
        <w:tc>
          <w:tcPr>
            <w:tcW w:w="899" w:type="pct"/>
            <w:tcBorders>
              <w:top w:val="single" w:sz="4" w:space="0" w:color="auto"/>
              <w:left w:val="nil"/>
              <w:bottom w:val="single" w:sz="4" w:space="0" w:color="auto"/>
              <w:right w:val="single" w:sz="4" w:space="0" w:color="auto"/>
            </w:tcBorders>
            <w:shd w:val="clear" w:color="auto" w:fill="EEECE1"/>
            <w:noWrap/>
            <w:vAlign w:val="center"/>
          </w:tcPr>
          <w:p w:rsidR="00B37D8A" w:rsidRPr="00545769" w:rsidRDefault="00B37D8A" w:rsidP="0085600D">
            <w:pPr>
              <w:spacing w:after="0" w:line="240" w:lineRule="auto"/>
              <w:jc w:val="center"/>
              <w:rPr>
                <w:rFonts w:ascii="Arial" w:hAnsi="Arial" w:cs="Arial"/>
                <w:bCs/>
                <w:color w:val="000000"/>
                <w:sz w:val="18"/>
                <w:szCs w:val="18"/>
              </w:rPr>
            </w:pPr>
            <w:r w:rsidRPr="00545769">
              <w:rPr>
                <w:rFonts w:ascii="Arial" w:hAnsi="Arial" w:cs="Arial"/>
                <w:bCs/>
                <w:color w:val="000000"/>
                <w:sz w:val="18"/>
                <w:szCs w:val="18"/>
              </w:rPr>
              <w:t>Años 7 a 20</w:t>
            </w:r>
          </w:p>
        </w:tc>
      </w:tr>
      <w:tr w:rsidR="00B37D8A" w:rsidRPr="00545769" w:rsidTr="0085600D">
        <w:trPr>
          <w:trHeight w:val="135"/>
          <w:jc w:val="center"/>
        </w:trPr>
        <w:tc>
          <w:tcPr>
            <w:tcW w:w="3214" w:type="pct"/>
            <w:tcBorders>
              <w:top w:val="nil"/>
              <w:left w:val="single" w:sz="8" w:space="0" w:color="auto"/>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Presidente SAPEM</w:t>
            </w:r>
          </w:p>
        </w:tc>
        <w:tc>
          <w:tcPr>
            <w:tcW w:w="886" w:type="pct"/>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18"/>
                <w:szCs w:val="16"/>
              </w:rPr>
            </w:pPr>
            <w:r w:rsidRPr="00545769">
              <w:rPr>
                <w:rFonts w:ascii="Arial" w:hAnsi="Arial" w:cs="Arial"/>
                <w:sz w:val="18"/>
                <w:szCs w:val="16"/>
              </w:rPr>
              <w:t>1,5</w:t>
            </w:r>
          </w:p>
        </w:tc>
        <w:tc>
          <w:tcPr>
            <w:tcW w:w="899" w:type="pct"/>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18"/>
                <w:szCs w:val="16"/>
              </w:rPr>
            </w:pPr>
            <w:r w:rsidRPr="00545769">
              <w:rPr>
                <w:rFonts w:ascii="Arial" w:hAnsi="Arial" w:cs="Arial"/>
                <w:sz w:val="18"/>
                <w:szCs w:val="16"/>
              </w:rPr>
              <w:t>1,5</w:t>
            </w:r>
          </w:p>
        </w:tc>
      </w:tr>
      <w:tr w:rsidR="00B37D8A" w:rsidRPr="00545769" w:rsidTr="0085600D">
        <w:trPr>
          <w:trHeight w:val="181"/>
          <w:jc w:val="center"/>
        </w:trPr>
        <w:tc>
          <w:tcPr>
            <w:tcW w:w="3214" w:type="pct"/>
            <w:tcBorders>
              <w:top w:val="nil"/>
              <w:left w:val="single" w:sz="8" w:space="0" w:color="auto"/>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Dirección técnica</w:t>
            </w:r>
          </w:p>
        </w:tc>
        <w:tc>
          <w:tcPr>
            <w:tcW w:w="886" w:type="pct"/>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18"/>
                <w:szCs w:val="16"/>
              </w:rPr>
            </w:pPr>
            <w:r w:rsidRPr="00545769">
              <w:rPr>
                <w:rFonts w:ascii="Arial" w:hAnsi="Arial" w:cs="Arial"/>
                <w:sz w:val="18"/>
                <w:szCs w:val="16"/>
              </w:rPr>
              <w:t>2</w:t>
            </w:r>
          </w:p>
        </w:tc>
        <w:tc>
          <w:tcPr>
            <w:tcW w:w="899" w:type="pct"/>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18"/>
                <w:szCs w:val="16"/>
              </w:rPr>
            </w:pPr>
            <w:r w:rsidRPr="00545769">
              <w:rPr>
                <w:rFonts w:ascii="Arial" w:hAnsi="Arial" w:cs="Arial"/>
                <w:sz w:val="18"/>
                <w:szCs w:val="16"/>
              </w:rPr>
              <w:t>2</w:t>
            </w:r>
          </w:p>
        </w:tc>
      </w:tr>
      <w:tr w:rsidR="00B37D8A" w:rsidRPr="00545769" w:rsidTr="0085600D">
        <w:trPr>
          <w:trHeight w:val="113"/>
          <w:jc w:val="center"/>
        </w:trPr>
        <w:tc>
          <w:tcPr>
            <w:tcW w:w="3214" w:type="pct"/>
            <w:tcBorders>
              <w:top w:val="nil"/>
              <w:left w:val="single" w:sz="8" w:space="0" w:color="auto"/>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lastRenderedPageBreak/>
              <w:t>Tutor (BioIngeniero / Biotecnólogo)</w:t>
            </w:r>
          </w:p>
        </w:tc>
        <w:tc>
          <w:tcPr>
            <w:tcW w:w="886" w:type="pct"/>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18"/>
                <w:szCs w:val="16"/>
              </w:rPr>
            </w:pPr>
            <w:r w:rsidRPr="00545769">
              <w:rPr>
                <w:rFonts w:ascii="Arial" w:hAnsi="Arial" w:cs="Arial"/>
                <w:sz w:val="18"/>
                <w:szCs w:val="16"/>
              </w:rPr>
              <w:t>0</w:t>
            </w:r>
          </w:p>
        </w:tc>
        <w:tc>
          <w:tcPr>
            <w:tcW w:w="899" w:type="pct"/>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18"/>
                <w:szCs w:val="16"/>
              </w:rPr>
            </w:pPr>
            <w:r w:rsidRPr="00545769">
              <w:rPr>
                <w:rFonts w:ascii="Arial" w:hAnsi="Arial" w:cs="Arial"/>
                <w:sz w:val="18"/>
                <w:szCs w:val="16"/>
              </w:rPr>
              <w:t>0</w:t>
            </w:r>
          </w:p>
        </w:tc>
      </w:tr>
      <w:tr w:rsidR="00B37D8A" w:rsidRPr="00545769" w:rsidTr="0085600D">
        <w:trPr>
          <w:trHeight w:val="187"/>
          <w:jc w:val="center"/>
        </w:trPr>
        <w:tc>
          <w:tcPr>
            <w:tcW w:w="3214" w:type="pct"/>
            <w:tcBorders>
              <w:top w:val="nil"/>
              <w:left w:val="single" w:sz="8" w:space="0" w:color="auto"/>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Tutor (Especialista en Energía Alternativas)</w:t>
            </w:r>
          </w:p>
        </w:tc>
        <w:tc>
          <w:tcPr>
            <w:tcW w:w="886" w:type="pct"/>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18"/>
                <w:szCs w:val="16"/>
              </w:rPr>
            </w:pPr>
            <w:r w:rsidRPr="00545769">
              <w:rPr>
                <w:rFonts w:ascii="Arial" w:hAnsi="Arial" w:cs="Arial"/>
                <w:sz w:val="18"/>
                <w:szCs w:val="16"/>
              </w:rPr>
              <w:t>0,5</w:t>
            </w:r>
          </w:p>
        </w:tc>
        <w:tc>
          <w:tcPr>
            <w:tcW w:w="899" w:type="pct"/>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18"/>
                <w:szCs w:val="16"/>
              </w:rPr>
            </w:pPr>
            <w:r w:rsidRPr="00545769">
              <w:rPr>
                <w:rFonts w:ascii="Arial" w:hAnsi="Arial" w:cs="Arial"/>
                <w:sz w:val="18"/>
                <w:szCs w:val="16"/>
              </w:rPr>
              <w:t>1</w:t>
            </w:r>
          </w:p>
        </w:tc>
      </w:tr>
      <w:tr w:rsidR="00B37D8A" w:rsidRPr="00545769" w:rsidTr="0085600D">
        <w:trPr>
          <w:trHeight w:val="105"/>
          <w:jc w:val="center"/>
        </w:trPr>
        <w:tc>
          <w:tcPr>
            <w:tcW w:w="3214" w:type="pct"/>
            <w:tcBorders>
              <w:top w:val="nil"/>
              <w:left w:val="single" w:sz="8" w:space="0" w:color="auto"/>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Tutor (Ing. Industrial)</w:t>
            </w:r>
          </w:p>
        </w:tc>
        <w:tc>
          <w:tcPr>
            <w:tcW w:w="886" w:type="pct"/>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18"/>
                <w:szCs w:val="16"/>
              </w:rPr>
            </w:pPr>
            <w:r w:rsidRPr="00545769">
              <w:rPr>
                <w:rFonts w:ascii="Arial" w:hAnsi="Arial" w:cs="Arial"/>
                <w:sz w:val="18"/>
                <w:szCs w:val="16"/>
              </w:rPr>
              <w:t>0,5</w:t>
            </w:r>
          </w:p>
        </w:tc>
        <w:tc>
          <w:tcPr>
            <w:tcW w:w="899" w:type="pct"/>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18"/>
                <w:szCs w:val="16"/>
              </w:rPr>
            </w:pPr>
            <w:r w:rsidRPr="00545769">
              <w:rPr>
                <w:rFonts w:ascii="Arial" w:hAnsi="Arial" w:cs="Arial"/>
                <w:sz w:val="18"/>
                <w:szCs w:val="16"/>
              </w:rPr>
              <w:t>1</w:t>
            </w:r>
          </w:p>
        </w:tc>
      </w:tr>
      <w:tr w:rsidR="00B37D8A" w:rsidRPr="00545769" w:rsidTr="0085600D">
        <w:trPr>
          <w:trHeight w:val="138"/>
          <w:jc w:val="center"/>
        </w:trPr>
        <w:tc>
          <w:tcPr>
            <w:tcW w:w="3214" w:type="pct"/>
            <w:tcBorders>
              <w:top w:val="nil"/>
              <w:left w:val="single" w:sz="8" w:space="0" w:color="auto"/>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Tutor (Ing. Agronómo)</w:t>
            </w:r>
          </w:p>
        </w:tc>
        <w:tc>
          <w:tcPr>
            <w:tcW w:w="886" w:type="pct"/>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18"/>
                <w:szCs w:val="16"/>
              </w:rPr>
            </w:pPr>
            <w:r w:rsidRPr="00545769">
              <w:rPr>
                <w:rFonts w:ascii="Arial" w:hAnsi="Arial" w:cs="Arial"/>
                <w:sz w:val="18"/>
                <w:szCs w:val="16"/>
              </w:rPr>
              <w:t>1</w:t>
            </w:r>
          </w:p>
        </w:tc>
        <w:tc>
          <w:tcPr>
            <w:tcW w:w="899" w:type="pct"/>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18"/>
                <w:szCs w:val="16"/>
              </w:rPr>
            </w:pPr>
            <w:r w:rsidRPr="00545769">
              <w:rPr>
                <w:rFonts w:ascii="Arial" w:hAnsi="Arial" w:cs="Arial"/>
                <w:sz w:val="18"/>
                <w:szCs w:val="16"/>
              </w:rPr>
              <w:t>1</w:t>
            </w:r>
          </w:p>
        </w:tc>
      </w:tr>
      <w:tr w:rsidR="00B37D8A" w:rsidRPr="00545769" w:rsidTr="0085600D">
        <w:trPr>
          <w:trHeight w:val="197"/>
          <w:jc w:val="center"/>
        </w:trPr>
        <w:tc>
          <w:tcPr>
            <w:tcW w:w="3214" w:type="pct"/>
            <w:tcBorders>
              <w:top w:val="nil"/>
              <w:left w:val="single" w:sz="8" w:space="0" w:color="auto"/>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Tutor (Especialista en Marketing)</w:t>
            </w:r>
          </w:p>
        </w:tc>
        <w:tc>
          <w:tcPr>
            <w:tcW w:w="886" w:type="pct"/>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18"/>
                <w:szCs w:val="16"/>
              </w:rPr>
            </w:pPr>
            <w:r w:rsidRPr="00545769">
              <w:rPr>
                <w:rFonts w:ascii="Arial" w:hAnsi="Arial" w:cs="Arial"/>
                <w:sz w:val="18"/>
                <w:szCs w:val="16"/>
              </w:rPr>
              <w:t>0,5</w:t>
            </w:r>
          </w:p>
        </w:tc>
        <w:tc>
          <w:tcPr>
            <w:tcW w:w="899" w:type="pct"/>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18"/>
                <w:szCs w:val="16"/>
              </w:rPr>
            </w:pPr>
            <w:r w:rsidRPr="00545769">
              <w:rPr>
                <w:rFonts w:ascii="Arial" w:hAnsi="Arial" w:cs="Arial"/>
                <w:sz w:val="18"/>
                <w:szCs w:val="16"/>
              </w:rPr>
              <w:t>1</w:t>
            </w:r>
          </w:p>
        </w:tc>
      </w:tr>
      <w:tr w:rsidR="00B37D8A" w:rsidRPr="00545769" w:rsidTr="0085600D">
        <w:trPr>
          <w:trHeight w:val="129"/>
          <w:jc w:val="center"/>
        </w:trPr>
        <w:tc>
          <w:tcPr>
            <w:tcW w:w="3214" w:type="pct"/>
            <w:tcBorders>
              <w:top w:val="nil"/>
              <w:left w:val="single" w:sz="8" w:space="0" w:color="auto"/>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Tutor (Especialista en Finanzas)</w:t>
            </w:r>
          </w:p>
        </w:tc>
        <w:tc>
          <w:tcPr>
            <w:tcW w:w="886" w:type="pct"/>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18"/>
                <w:szCs w:val="16"/>
              </w:rPr>
            </w:pPr>
            <w:r w:rsidRPr="00545769">
              <w:rPr>
                <w:rFonts w:ascii="Arial" w:hAnsi="Arial" w:cs="Arial"/>
                <w:sz w:val="18"/>
                <w:szCs w:val="16"/>
              </w:rPr>
              <w:t>0,5</w:t>
            </w:r>
          </w:p>
        </w:tc>
        <w:tc>
          <w:tcPr>
            <w:tcW w:w="899" w:type="pct"/>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18"/>
                <w:szCs w:val="16"/>
              </w:rPr>
            </w:pPr>
            <w:r w:rsidRPr="00545769">
              <w:rPr>
                <w:rFonts w:ascii="Arial" w:hAnsi="Arial" w:cs="Arial"/>
                <w:sz w:val="18"/>
                <w:szCs w:val="16"/>
              </w:rPr>
              <w:t>1</w:t>
            </w:r>
          </w:p>
        </w:tc>
      </w:tr>
      <w:tr w:rsidR="00B37D8A" w:rsidRPr="00545769" w:rsidTr="0085600D">
        <w:trPr>
          <w:trHeight w:val="189"/>
          <w:jc w:val="center"/>
        </w:trPr>
        <w:tc>
          <w:tcPr>
            <w:tcW w:w="3214" w:type="pct"/>
            <w:tcBorders>
              <w:top w:val="nil"/>
              <w:left w:val="single" w:sz="8" w:space="0" w:color="auto"/>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Tutor (Especialista en Gestión</w:t>
            </w:r>
          </w:p>
        </w:tc>
        <w:tc>
          <w:tcPr>
            <w:tcW w:w="886" w:type="pct"/>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18"/>
                <w:szCs w:val="16"/>
              </w:rPr>
            </w:pPr>
            <w:r w:rsidRPr="00545769">
              <w:rPr>
                <w:rFonts w:ascii="Arial" w:hAnsi="Arial" w:cs="Arial"/>
                <w:sz w:val="18"/>
                <w:szCs w:val="16"/>
              </w:rPr>
              <w:t>0,5</w:t>
            </w:r>
          </w:p>
        </w:tc>
        <w:tc>
          <w:tcPr>
            <w:tcW w:w="899" w:type="pct"/>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18"/>
                <w:szCs w:val="16"/>
              </w:rPr>
            </w:pPr>
            <w:r w:rsidRPr="00545769">
              <w:rPr>
                <w:rFonts w:ascii="Arial" w:hAnsi="Arial" w:cs="Arial"/>
                <w:sz w:val="18"/>
                <w:szCs w:val="16"/>
              </w:rPr>
              <w:t>1</w:t>
            </w:r>
          </w:p>
        </w:tc>
      </w:tr>
      <w:tr w:rsidR="00B37D8A" w:rsidRPr="00545769" w:rsidTr="0085600D">
        <w:trPr>
          <w:trHeight w:val="121"/>
          <w:jc w:val="center"/>
        </w:trPr>
        <w:tc>
          <w:tcPr>
            <w:tcW w:w="3214" w:type="pct"/>
            <w:tcBorders>
              <w:top w:val="nil"/>
              <w:left w:val="single" w:sz="8" w:space="0" w:color="auto"/>
              <w:bottom w:val="single" w:sz="4" w:space="0" w:color="auto"/>
              <w:right w:val="single" w:sz="4" w:space="0" w:color="auto"/>
            </w:tcBorders>
            <w:shd w:val="clear" w:color="000000" w:fill="FFFFFF"/>
            <w:vAlign w:val="center"/>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Personal Administrativo</w:t>
            </w:r>
          </w:p>
        </w:tc>
        <w:tc>
          <w:tcPr>
            <w:tcW w:w="886" w:type="pct"/>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18"/>
                <w:szCs w:val="16"/>
              </w:rPr>
            </w:pPr>
            <w:r w:rsidRPr="00545769">
              <w:rPr>
                <w:rFonts w:ascii="Arial" w:hAnsi="Arial" w:cs="Arial"/>
                <w:sz w:val="18"/>
                <w:szCs w:val="16"/>
              </w:rPr>
              <w:t>0,5</w:t>
            </w:r>
          </w:p>
        </w:tc>
        <w:tc>
          <w:tcPr>
            <w:tcW w:w="899" w:type="pct"/>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18"/>
                <w:szCs w:val="16"/>
              </w:rPr>
            </w:pPr>
            <w:r w:rsidRPr="00545769">
              <w:rPr>
                <w:rFonts w:ascii="Arial" w:hAnsi="Arial" w:cs="Arial"/>
                <w:sz w:val="18"/>
                <w:szCs w:val="16"/>
              </w:rPr>
              <w:t>1</w:t>
            </w:r>
          </w:p>
        </w:tc>
      </w:tr>
    </w:tbl>
    <w:p w:rsidR="00B37D8A" w:rsidRDefault="00B37D8A" w:rsidP="00E40ABE">
      <w:pPr>
        <w:spacing w:before="240"/>
        <w:jc w:val="both"/>
        <w:rPr>
          <w:rFonts w:ascii="Times New Roman" w:hAnsi="Times New Roman"/>
          <w:sz w:val="24"/>
        </w:rPr>
      </w:pPr>
      <w:r>
        <w:rPr>
          <w:rFonts w:ascii="Times New Roman" w:hAnsi="Times New Roman"/>
          <w:sz w:val="24"/>
        </w:rPr>
        <w:t xml:space="preserve">Asimismo, para el cálculo de los costos anuales de mano de obra, se toman </w:t>
      </w:r>
      <w:r w:rsidRPr="008E4516">
        <w:rPr>
          <w:rFonts w:ascii="Times New Roman" w:hAnsi="Times New Roman"/>
          <w:sz w:val="24"/>
        </w:rPr>
        <w:t xml:space="preserve">en consideración </w:t>
      </w:r>
      <w:r>
        <w:rPr>
          <w:rFonts w:ascii="Times New Roman" w:hAnsi="Times New Roman"/>
          <w:sz w:val="24"/>
        </w:rPr>
        <w:t>como</w:t>
      </w:r>
      <w:r w:rsidRPr="008E4516">
        <w:rPr>
          <w:rFonts w:ascii="Times New Roman" w:hAnsi="Times New Roman"/>
          <w:sz w:val="24"/>
        </w:rPr>
        <w:t xml:space="preserve"> costos salariales</w:t>
      </w:r>
      <w:r>
        <w:rPr>
          <w:rFonts w:ascii="Times New Roman" w:hAnsi="Times New Roman"/>
          <w:sz w:val="24"/>
        </w:rPr>
        <w:t>:</w:t>
      </w:r>
    </w:p>
    <w:tbl>
      <w:tblPr>
        <w:tblW w:w="0" w:type="auto"/>
        <w:jc w:val="center"/>
        <w:tblInd w:w="-273" w:type="dxa"/>
        <w:tblCellMar>
          <w:left w:w="0" w:type="dxa"/>
          <w:right w:w="0" w:type="dxa"/>
        </w:tblCellMar>
        <w:tblLook w:val="00A0" w:firstRow="1" w:lastRow="0" w:firstColumn="1" w:lastColumn="0" w:noHBand="0" w:noVBand="0"/>
      </w:tblPr>
      <w:tblGrid>
        <w:gridCol w:w="3544"/>
        <w:gridCol w:w="1636"/>
        <w:gridCol w:w="1394"/>
        <w:gridCol w:w="1531"/>
      </w:tblGrid>
      <w:tr w:rsidR="00B37D8A" w:rsidRPr="00545769" w:rsidTr="00093D29">
        <w:trPr>
          <w:trHeight w:val="295"/>
          <w:jc w:val="center"/>
        </w:trPr>
        <w:tc>
          <w:tcPr>
            <w:tcW w:w="3544" w:type="dxa"/>
            <w:tcBorders>
              <w:top w:val="single" w:sz="4" w:space="0" w:color="auto"/>
              <w:left w:val="single" w:sz="8" w:space="0" w:color="auto"/>
              <w:bottom w:val="single" w:sz="4" w:space="0" w:color="auto"/>
              <w:right w:val="single" w:sz="4" w:space="0" w:color="auto"/>
            </w:tcBorders>
            <w:shd w:val="clear" w:color="auto" w:fill="EEECE1"/>
            <w:noWrap/>
            <w:vAlign w:val="bottom"/>
          </w:tcPr>
          <w:p w:rsidR="00B37D8A" w:rsidRPr="00545769" w:rsidRDefault="00B37D8A" w:rsidP="0085600D">
            <w:pPr>
              <w:spacing w:after="0" w:line="240" w:lineRule="auto"/>
              <w:jc w:val="center"/>
              <w:rPr>
                <w:rFonts w:ascii="Arial" w:hAnsi="Arial" w:cs="Arial"/>
                <w:bCs/>
                <w:color w:val="000000"/>
                <w:sz w:val="18"/>
                <w:szCs w:val="18"/>
              </w:rPr>
            </w:pPr>
            <w:r w:rsidRPr="00545769">
              <w:rPr>
                <w:rFonts w:ascii="Arial" w:hAnsi="Arial" w:cs="Arial"/>
                <w:bCs/>
                <w:color w:val="000000"/>
                <w:sz w:val="18"/>
                <w:szCs w:val="18"/>
              </w:rPr>
              <w:t>Personal</w:t>
            </w:r>
          </w:p>
        </w:tc>
        <w:tc>
          <w:tcPr>
            <w:tcW w:w="1636" w:type="dxa"/>
            <w:tcBorders>
              <w:top w:val="single" w:sz="4" w:space="0" w:color="auto"/>
              <w:left w:val="nil"/>
              <w:bottom w:val="single" w:sz="4" w:space="0" w:color="auto"/>
              <w:right w:val="single" w:sz="4" w:space="0" w:color="auto"/>
            </w:tcBorders>
            <w:shd w:val="clear" w:color="auto" w:fill="EEECE1"/>
            <w:vAlign w:val="bottom"/>
          </w:tcPr>
          <w:p w:rsidR="00B37D8A" w:rsidRPr="00545769" w:rsidRDefault="00B37D8A" w:rsidP="0085600D">
            <w:pPr>
              <w:spacing w:after="0" w:line="240" w:lineRule="auto"/>
              <w:jc w:val="center"/>
              <w:rPr>
                <w:rFonts w:ascii="Arial" w:hAnsi="Arial" w:cs="Arial"/>
                <w:bCs/>
                <w:color w:val="000000"/>
                <w:sz w:val="18"/>
                <w:szCs w:val="18"/>
              </w:rPr>
            </w:pPr>
            <w:r w:rsidRPr="00545769">
              <w:rPr>
                <w:rFonts w:ascii="Arial" w:hAnsi="Arial" w:cs="Arial"/>
                <w:bCs/>
                <w:color w:val="000000"/>
                <w:sz w:val="18"/>
                <w:szCs w:val="18"/>
              </w:rPr>
              <w:t xml:space="preserve">Salario mensual </w:t>
            </w:r>
          </w:p>
        </w:tc>
        <w:tc>
          <w:tcPr>
            <w:tcW w:w="1394" w:type="dxa"/>
            <w:tcBorders>
              <w:top w:val="single" w:sz="4" w:space="0" w:color="auto"/>
              <w:left w:val="nil"/>
              <w:bottom w:val="single" w:sz="4" w:space="0" w:color="auto"/>
              <w:right w:val="single" w:sz="4" w:space="0" w:color="auto"/>
            </w:tcBorders>
            <w:shd w:val="clear" w:color="auto" w:fill="EEECE1"/>
            <w:vAlign w:val="bottom"/>
          </w:tcPr>
          <w:p w:rsidR="00B37D8A" w:rsidRPr="00545769" w:rsidRDefault="00B37D8A" w:rsidP="0085600D">
            <w:pPr>
              <w:spacing w:after="0" w:line="240" w:lineRule="auto"/>
              <w:jc w:val="center"/>
              <w:rPr>
                <w:rFonts w:ascii="Arial" w:hAnsi="Arial" w:cs="Arial"/>
                <w:bCs/>
                <w:color w:val="000000"/>
                <w:sz w:val="18"/>
                <w:szCs w:val="18"/>
              </w:rPr>
            </w:pPr>
            <w:r w:rsidRPr="00545769">
              <w:rPr>
                <w:rFonts w:ascii="Arial" w:hAnsi="Arial" w:cs="Arial"/>
                <w:bCs/>
                <w:color w:val="000000"/>
                <w:sz w:val="18"/>
                <w:szCs w:val="18"/>
              </w:rPr>
              <w:t>Contribuciones Sociales</w:t>
            </w:r>
          </w:p>
        </w:tc>
        <w:tc>
          <w:tcPr>
            <w:tcW w:w="1531" w:type="dxa"/>
            <w:tcBorders>
              <w:top w:val="single" w:sz="4" w:space="0" w:color="auto"/>
              <w:left w:val="nil"/>
              <w:bottom w:val="single" w:sz="4" w:space="0" w:color="auto"/>
              <w:right w:val="single" w:sz="4" w:space="0" w:color="auto"/>
            </w:tcBorders>
            <w:shd w:val="clear" w:color="auto" w:fill="EEECE1"/>
            <w:vAlign w:val="bottom"/>
          </w:tcPr>
          <w:p w:rsidR="00B37D8A" w:rsidRPr="00545769" w:rsidRDefault="00B37D8A" w:rsidP="0085600D">
            <w:pPr>
              <w:spacing w:after="0" w:line="240" w:lineRule="auto"/>
              <w:jc w:val="center"/>
              <w:rPr>
                <w:rFonts w:ascii="Arial" w:hAnsi="Arial" w:cs="Arial"/>
                <w:bCs/>
                <w:color w:val="000000"/>
                <w:sz w:val="18"/>
                <w:szCs w:val="18"/>
              </w:rPr>
            </w:pPr>
            <w:r w:rsidRPr="00545769">
              <w:rPr>
                <w:rFonts w:ascii="Arial" w:hAnsi="Arial" w:cs="Arial"/>
                <w:bCs/>
                <w:color w:val="000000"/>
                <w:sz w:val="18"/>
                <w:szCs w:val="18"/>
              </w:rPr>
              <w:t>Costo anual de manos de obra</w:t>
            </w:r>
          </w:p>
        </w:tc>
      </w:tr>
      <w:tr w:rsidR="00B37D8A" w:rsidRPr="00545769" w:rsidTr="00093D29">
        <w:trPr>
          <w:trHeight w:val="163"/>
          <w:jc w:val="center"/>
        </w:trPr>
        <w:tc>
          <w:tcPr>
            <w:tcW w:w="3544" w:type="dxa"/>
            <w:tcBorders>
              <w:top w:val="nil"/>
              <w:left w:val="single" w:sz="8" w:space="0" w:color="auto"/>
              <w:bottom w:val="single" w:sz="4" w:space="0" w:color="auto"/>
              <w:right w:val="single" w:sz="4" w:space="0" w:color="auto"/>
            </w:tcBorders>
            <w:shd w:val="clear" w:color="000000" w:fill="FFFFFF"/>
            <w:vAlign w:val="bottom"/>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Presidente SAPEM</w:t>
            </w:r>
          </w:p>
        </w:tc>
        <w:tc>
          <w:tcPr>
            <w:tcW w:w="1636" w:type="dxa"/>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25.000</w:t>
            </w:r>
          </w:p>
        </w:tc>
        <w:tc>
          <w:tcPr>
            <w:tcW w:w="1394" w:type="dxa"/>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6.250</w:t>
            </w:r>
          </w:p>
        </w:tc>
        <w:tc>
          <w:tcPr>
            <w:tcW w:w="1531" w:type="dxa"/>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bCs/>
                <w:sz w:val="20"/>
                <w:szCs w:val="20"/>
              </w:rPr>
              <w:t>406.250</w:t>
            </w:r>
          </w:p>
        </w:tc>
      </w:tr>
      <w:tr w:rsidR="00B37D8A" w:rsidRPr="00545769" w:rsidTr="00093D29">
        <w:trPr>
          <w:trHeight w:val="81"/>
          <w:jc w:val="center"/>
        </w:trPr>
        <w:tc>
          <w:tcPr>
            <w:tcW w:w="3544" w:type="dxa"/>
            <w:tcBorders>
              <w:top w:val="nil"/>
              <w:left w:val="single" w:sz="8" w:space="0" w:color="auto"/>
              <w:bottom w:val="single" w:sz="4" w:space="0" w:color="auto"/>
              <w:right w:val="single" w:sz="4" w:space="0" w:color="auto"/>
            </w:tcBorders>
            <w:shd w:val="clear" w:color="000000" w:fill="FFFFFF"/>
            <w:vAlign w:val="bottom"/>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Dirección técnica</w:t>
            </w:r>
          </w:p>
        </w:tc>
        <w:tc>
          <w:tcPr>
            <w:tcW w:w="1636" w:type="dxa"/>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7.000</w:t>
            </w:r>
          </w:p>
        </w:tc>
        <w:tc>
          <w:tcPr>
            <w:tcW w:w="1394" w:type="dxa"/>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1.750</w:t>
            </w:r>
          </w:p>
        </w:tc>
        <w:tc>
          <w:tcPr>
            <w:tcW w:w="1531" w:type="dxa"/>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113.750</w:t>
            </w:r>
          </w:p>
        </w:tc>
      </w:tr>
      <w:tr w:rsidR="00B37D8A" w:rsidRPr="00545769" w:rsidTr="00093D29">
        <w:trPr>
          <w:trHeight w:val="53"/>
          <w:jc w:val="center"/>
        </w:trPr>
        <w:tc>
          <w:tcPr>
            <w:tcW w:w="3544" w:type="dxa"/>
            <w:tcBorders>
              <w:top w:val="nil"/>
              <w:left w:val="single" w:sz="8" w:space="0" w:color="auto"/>
              <w:bottom w:val="single" w:sz="4" w:space="0" w:color="auto"/>
              <w:right w:val="single" w:sz="4" w:space="0" w:color="auto"/>
            </w:tcBorders>
            <w:shd w:val="clear" w:color="000000" w:fill="FFFFFF"/>
            <w:vAlign w:val="bottom"/>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Tutor (BioIngeniero / Biotecnólogo)</w:t>
            </w:r>
          </w:p>
        </w:tc>
        <w:tc>
          <w:tcPr>
            <w:tcW w:w="1636" w:type="dxa"/>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7.000</w:t>
            </w:r>
          </w:p>
        </w:tc>
        <w:tc>
          <w:tcPr>
            <w:tcW w:w="1394" w:type="dxa"/>
            <w:tcBorders>
              <w:top w:val="nil"/>
              <w:left w:val="nil"/>
              <w:bottom w:val="single" w:sz="4" w:space="0" w:color="auto"/>
              <w:right w:val="single" w:sz="4" w:space="0" w:color="auto"/>
            </w:tcBorders>
            <w:shd w:val="clear" w:color="000000" w:fill="FFFFFF"/>
            <w:noWrap/>
          </w:tcPr>
          <w:p w:rsidR="00B37D8A" w:rsidRPr="00545769" w:rsidRDefault="00B37D8A" w:rsidP="0085600D">
            <w:pPr>
              <w:spacing w:after="0" w:line="240" w:lineRule="auto"/>
              <w:jc w:val="center"/>
            </w:pPr>
            <w:r w:rsidRPr="00545769">
              <w:rPr>
                <w:rFonts w:ascii="Arial" w:hAnsi="Arial" w:cs="Arial"/>
                <w:sz w:val="18"/>
                <w:szCs w:val="18"/>
              </w:rPr>
              <w:t>1.750</w:t>
            </w:r>
          </w:p>
        </w:tc>
        <w:tc>
          <w:tcPr>
            <w:tcW w:w="1531" w:type="dxa"/>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113.750</w:t>
            </w:r>
          </w:p>
        </w:tc>
      </w:tr>
      <w:tr w:rsidR="00B37D8A" w:rsidRPr="00545769" w:rsidTr="00093D29">
        <w:trPr>
          <w:trHeight w:val="73"/>
          <w:jc w:val="center"/>
        </w:trPr>
        <w:tc>
          <w:tcPr>
            <w:tcW w:w="3544" w:type="dxa"/>
            <w:tcBorders>
              <w:top w:val="nil"/>
              <w:left w:val="single" w:sz="8" w:space="0" w:color="auto"/>
              <w:bottom w:val="single" w:sz="4" w:space="0" w:color="auto"/>
              <w:right w:val="single" w:sz="4" w:space="0" w:color="auto"/>
            </w:tcBorders>
            <w:shd w:val="clear" w:color="000000" w:fill="FFFFFF"/>
            <w:vAlign w:val="bottom"/>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Tutor (Especialista en Energía Alternativas)</w:t>
            </w:r>
          </w:p>
        </w:tc>
        <w:tc>
          <w:tcPr>
            <w:tcW w:w="1636" w:type="dxa"/>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7.000</w:t>
            </w:r>
          </w:p>
        </w:tc>
        <w:tc>
          <w:tcPr>
            <w:tcW w:w="1394" w:type="dxa"/>
            <w:tcBorders>
              <w:top w:val="nil"/>
              <w:left w:val="nil"/>
              <w:bottom w:val="single" w:sz="4" w:space="0" w:color="auto"/>
              <w:right w:val="single" w:sz="4" w:space="0" w:color="auto"/>
            </w:tcBorders>
            <w:shd w:val="clear" w:color="000000" w:fill="FFFFFF"/>
            <w:noWrap/>
          </w:tcPr>
          <w:p w:rsidR="00B37D8A" w:rsidRPr="00545769" w:rsidRDefault="00B37D8A" w:rsidP="0085600D">
            <w:pPr>
              <w:spacing w:after="0" w:line="240" w:lineRule="auto"/>
              <w:jc w:val="center"/>
            </w:pPr>
            <w:r w:rsidRPr="00545769">
              <w:rPr>
                <w:rFonts w:ascii="Arial" w:hAnsi="Arial" w:cs="Arial"/>
                <w:sz w:val="18"/>
                <w:szCs w:val="18"/>
              </w:rPr>
              <w:t>1.750</w:t>
            </w:r>
          </w:p>
        </w:tc>
        <w:tc>
          <w:tcPr>
            <w:tcW w:w="1531" w:type="dxa"/>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113.750</w:t>
            </w:r>
          </w:p>
        </w:tc>
      </w:tr>
      <w:tr w:rsidR="00B37D8A" w:rsidRPr="00545769" w:rsidTr="00093D29">
        <w:trPr>
          <w:trHeight w:val="53"/>
          <w:jc w:val="center"/>
        </w:trPr>
        <w:tc>
          <w:tcPr>
            <w:tcW w:w="3544" w:type="dxa"/>
            <w:tcBorders>
              <w:top w:val="nil"/>
              <w:left w:val="single" w:sz="8" w:space="0" w:color="auto"/>
              <w:bottom w:val="single" w:sz="4" w:space="0" w:color="auto"/>
              <w:right w:val="single" w:sz="4" w:space="0" w:color="auto"/>
            </w:tcBorders>
            <w:shd w:val="clear" w:color="000000" w:fill="FFFFFF"/>
            <w:vAlign w:val="bottom"/>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Tutor (Ing. Industrial)</w:t>
            </w:r>
          </w:p>
        </w:tc>
        <w:tc>
          <w:tcPr>
            <w:tcW w:w="1636" w:type="dxa"/>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7.000</w:t>
            </w:r>
          </w:p>
        </w:tc>
        <w:tc>
          <w:tcPr>
            <w:tcW w:w="1394" w:type="dxa"/>
            <w:tcBorders>
              <w:top w:val="nil"/>
              <w:left w:val="nil"/>
              <w:bottom w:val="single" w:sz="4" w:space="0" w:color="auto"/>
              <w:right w:val="single" w:sz="4" w:space="0" w:color="auto"/>
            </w:tcBorders>
            <w:shd w:val="clear" w:color="000000" w:fill="FFFFFF"/>
            <w:noWrap/>
          </w:tcPr>
          <w:p w:rsidR="00B37D8A" w:rsidRPr="00545769" w:rsidRDefault="00B37D8A" w:rsidP="0085600D">
            <w:pPr>
              <w:spacing w:after="0" w:line="240" w:lineRule="auto"/>
              <w:jc w:val="center"/>
            </w:pPr>
            <w:r w:rsidRPr="00545769">
              <w:rPr>
                <w:rFonts w:ascii="Arial" w:hAnsi="Arial" w:cs="Arial"/>
                <w:sz w:val="18"/>
                <w:szCs w:val="18"/>
              </w:rPr>
              <w:t>1.750</w:t>
            </w:r>
          </w:p>
        </w:tc>
        <w:tc>
          <w:tcPr>
            <w:tcW w:w="1531" w:type="dxa"/>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113.750</w:t>
            </w:r>
          </w:p>
        </w:tc>
      </w:tr>
      <w:tr w:rsidR="00B37D8A" w:rsidRPr="00545769" w:rsidTr="00093D29">
        <w:trPr>
          <w:trHeight w:val="139"/>
          <w:jc w:val="center"/>
        </w:trPr>
        <w:tc>
          <w:tcPr>
            <w:tcW w:w="3544" w:type="dxa"/>
            <w:tcBorders>
              <w:top w:val="nil"/>
              <w:left w:val="single" w:sz="8" w:space="0" w:color="auto"/>
              <w:bottom w:val="single" w:sz="4" w:space="0" w:color="auto"/>
              <w:right w:val="single" w:sz="4" w:space="0" w:color="auto"/>
            </w:tcBorders>
            <w:shd w:val="clear" w:color="000000" w:fill="FFFFFF"/>
            <w:vAlign w:val="bottom"/>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Tutor (Ing. Agronómo)</w:t>
            </w:r>
          </w:p>
        </w:tc>
        <w:tc>
          <w:tcPr>
            <w:tcW w:w="1636" w:type="dxa"/>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7.000</w:t>
            </w:r>
          </w:p>
        </w:tc>
        <w:tc>
          <w:tcPr>
            <w:tcW w:w="1394" w:type="dxa"/>
            <w:tcBorders>
              <w:top w:val="nil"/>
              <w:left w:val="nil"/>
              <w:bottom w:val="single" w:sz="4" w:space="0" w:color="auto"/>
              <w:right w:val="single" w:sz="4" w:space="0" w:color="auto"/>
            </w:tcBorders>
            <w:shd w:val="clear" w:color="000000" w:fill="FFFFFF"/>
            <w:noWrap/>
          </w:tcPr>
          <w:p w:rsidR="00B37D8A" w:rsidRPr="00545769" w:rsidRDefault="00B37D8A" w:rsidP="0085600D">
            <w:pPr>
              <w:spacing w:after="0" w:line="240" w:lineRule="auto"/>
              <w:jc w:val="center"/>
            </w:pPr>
            <w:r w:rsidRPr="00545769">
              <w:rPr>
                <w:rFonts w:ascii="Arial" w:hAnsi="Arial" w:cs="Arial"/>
                <w:sz w:val="18"/>
                <w:szCs w:val="18"/>
              </w:rPr>
              <w:t>1.750</w:t>
            </w:r>
          </w:p>
        </w:tc>
        <w:tc>
          <w:tcPr>
            <w:tcW w:w="1531" w:type="dxa"/>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113.750</w:t>
            </w:r>
          </w:p>
        </w:tc>
      </w:tr>
      <w:tr w:rsidR="00B37D8A" w:rsidRPr="00545769" w:rsidTr="00093D29">
        <w:trPr>
          <w:trHeight w:val="72"/>
          <w:jc w:val="center"/>
        </w:trPr>
        <w:tc>
          <w:tcPr>
            <w:tcW w:w="3544" w:type="dxa"/>
            <w:tcBorders>
              <w:top w:val="nil"/>
              <w:left w:val="single" w:sz="8" w:space="0" w:color="auto"/>
              <w:bottom w:val="single" w:sz="4" w:space="0" w:color="auto"/>
              <w:right w:val="single" w:sz="4" w:space="0" w:color="auto"/>
            </w:tcBorders>
            <w:shd w:val="clear" w:color="000000" w:fill="FFFFFF"/>
            <w:vAlign w:val="bottom"/>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Tutor (Especialista en Marketing)</w:t>
            </w:r>
          </w:p>
        </w:tc>
        <w:tc>
          <w:tcPr>
            <w:tcW w:w="1636" w:type="dxa"/>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7.000</w:t>
            </w:r>
          </w:p>
        </w:tc>
        <w:tc>
          <w:tcPr>
            <w:tcW w:w="1394" w:type="dxa"/>
            <w:tcBorders>
              <w:top w:val="nil"/>
              <w:left w:val="nil"/>
              <w:bottom w:val="single" w:sz="4" w:space="0" w:color="auto"/>
              <w:right w:val="single" w:sz="4" w:space="0" w:color="auto"/>
            </w:tcBorders>
            <w:shd w:val="clear" w:color="000000" w:fill="FFFFFF"/>
            <w:noWrap/>
          </w:tcPr>
          <w:p w:rsidR="00B37D8A" w:rsidRPr="00545769" w:rsidRDefault="00B37D8A" w:rsidP="0085600D">
            <w:pPr>
              <w:spacing w:after="0" w:line="240" w:lineRule="auto"/>
              <w:jc w:val="center"/>
            </w:pPr>
            <w:r w:rsidRPr="00545769">
              <w:rPr>
                <w:rFonts w:ascii="Arial" w:hAnsi="Arial" w:cs="Arial"/>
                <w:sz w:val="18"/>
                <w:szCs w:val="18"/>
              </w:rPr>
              <w:t>1.750</w:t>
            </w:r>
          </w:p>
        </w:tc>
        <w:tc>
          <w:tcPr>
            <w:tcW w:w="1531" w:type="dxa"/>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113.750</w:t>
            </w:r>
          </w:p>
        </w:tc>
      </w:tr>
      <w:tr w:rsidR="00B37D8A" w:rsidRPr="00545769" w:rsidTr="00093D29">
        <w:trPr>
          <w:trHeight w:val="131"/>
          <w:jc w:val="center"/>
        </w:trPr>
        <w:tc>
          <w:tcPr>
            <w:tcW w:w="3544" w:type="dxa"/>
            <w:tcBorders>
              <w:top w:val="nil"/>
              <w:left w:val="single" w:sz="8" w:space="0" w:color="auto"/>
              <w:bottom w:val="single" w:sz="4" w:space="0" w:color="auto"/>
              <w:right w:val="single" w:sz="4" w:space="0" w:color="auto"/>
            </w:tcBorders>
            <w:shd w:val="clear" w:color="000000" w:fill="FFFFFF"/>
            <w:vAlign w:val="bottom"/>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Tutor (Especialista en Finanzas)</w:t>
            </w:r>
          </w:p>
        </w:tc>
        <w:tc>
          <w:tcPr>
            <w:tcW w:w="1636" w:type="dxa"/>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7.000</w:t>
            </w:r>
          </w:p>
        </w:tc>
        <w:tc>
          <w:tcPr>
            <w:tcW w:w="1394" w:type="dxa"/>
            <w:tcBorders>
              <w:top w:val="nil"/>
              <w:left w:val="nil"/>
              <w:bottom w:val="single" w:sz="4" w:space="0" w:color="auto"/>
              <w:right w:val="single" w:sz="4" w:space="0" w:color="auto"/>
            </w:tcBorders>
            <w:shd w:val="clear" w:color="000000" w:fill="FFFFFF"/>
            <w:noWrap/>
          </w:tcPr>
          <w:p w:rsidR="00B37D8A" w:rsidRPr="00545769" w:rsidRDefault="00B37D8A" w:rsidP="0085600D">
            <w:pPr>
              <w:spacing w:after="0" w:line="240" w:lineRule="auto"/>
              <w:jc w:val="center"/>
            </w:pPr>
            <w:r w:rsidRPr="00545769">
              <w:rPr>
                <w:rFonts w:ascii="Arial" w:hAnsi="Arial" w:cs="Arial"/>
                <w:sz w:val="18"/>
                <w:szCs w:val="18"/>
              </w:rPr>
              <w:t>1.750</w:t>
            </w:r>
          </w:p>
        </w:tc>
        <w:tc>
          <w:tcPr>
            <w:tcW w:w="1531" w:type="dxa"/>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113.750</w:t>
            </w:r>
          </w:p>
        </w:tc>
      </w:tr>
      <w:tr w:rsidR="00B37D8A" w:rsidRPr="00545769" w:rsidTr="00093D29">
        <w:trPr>
          <w:trHeight w:val="63"/>
          <w:jc w:val="center"/>
        </w:trPr>
        <w:tc>
          <w:tcPr>
            <w:tcW w:w="3544" w:type="dxa"/>
            <w:tcBorders>
              <w:top w:val="nil"/>
              <w:left w:val="single" w:sz="8" w:space="0" w:color="auto"/>
              <w:bottom w:val="single" w:sz="4" w:space="0" w:color="auto"/>
              <w:right w:val="single" w:sz="4" w:space="0" w:color="auto"/>
            </w:tcBorders>
            <w:shd w:val="clear" w:color="000000" w:fill="FFFFFF"/>
            <w:vAlign w:val="bottom"/>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Tutor (Especialista en Gestión</w:t>
            </w:r>
          </w:p>
        </w:tc>
        <w:tc>
          <w:tcPr>
            <w:tcW w:w="1636" w:type="dxa"/>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7.000</w:t>
            </w:r>
          </w:p>
        </w:tc>
        <w:tc>
          <w:tcPr>
            <w:tcW w:w="1394" w:type="dxa"/>
            <w:tcBorders>
              <w:top w:val="nil"/>
              <w:left w:val="nil"/>
              <w:bottom w:val="single" w:sz="4" w:space="0" w:color="auto"/>
              <w:right w:val="single" w:sz="4" w:space="0" w:color="auto"/>
            </w:tcBorders>
            <w:shd w:val="clear" w:color="000000" w:fill="FFFFFF"/>
            <w:noWrap/>
          </w:tcPr>
          <w:p w:rsidR="00B37D8A" w:rsidRPr="00545769" w:rsidRDefault="00B37D8A" w:rsidP="0085600D">
            <w:pPr>
              <w:spacing w:after="0" w:line="240" w:lineRule="auto"/>
              <w:jc w:val="center"/>
            </w:pPr>
            <w:r w:rsidRPr="00545769">
              <w:rPr>
                <w:rFonts w:ascii="Arial" w:hAnsi="Arial" w:cs="Arial"/>
                <w:sz w:val="18"/>
                <w:szCs w:val="18"/>
              </w:rPr>
              <w:t>1.750</w:t>
            </w:r>
          </w:p>
        </w:tc>
        <w:tc>
          <w:tcPr>
            <w:tcW w:w="1531" w:type="dxa"/>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113.750</w:t>
            </w:r>
          </w:p>
        </w:tc>
      </w:tr>
      <w:tr w:rsidR="00B37D8A" w:rsidRPr="00545769" w:rsidTr="00093D29">
        <w:trPr>
          <w:trHeight w:val="137"/>
          <w:jc w:val="center"/>
        </w:trPr>
        <w:tc>
          <w:tcPr>
            <w:tcW w:w="3544" w:type="dxa"/>
            <w:tcBorders>
              <w:top w:val="nil"/>
              <w:left w:val="single" w:sz="8" w:space="0" w:color="auto"/>
              <w:bottom w:val="single" w:sz="4" w:space="0" w:color="auto"/>
              <w:right w:val="single" w:sz="4" w:space="0" w:color="auto"/>
            </w:tcBorders>
            <w:shd w:val="clear" w:color="000000" w:fill="FFFFFF"/>
            <w:vAlign w:val="bottom"/>
          </w:tcPr>
          <w:p w:rsidR="00B37D8A" w:rsidRPr="00545769" w:rsidRDefault="00B37D8A" w:rsidP="0085600D">
            <w:pPr>
              <w:spacing w:after="0" w:line="240" w:lineRule="auto"/>
              <w:rPr>
                <w:rFonts w:ascii="Arial" w:hAnsi="Arial" w:cs="Arial"/>
                <w:bCs/>
                <w:color w:val="000000"/>
                <w:sz w:val="18"/>
                <w:szCs w:val="18"/>
              </w:rPr>
            </w:pPr>
            <w:r w:rsidRPr="00545769">
              <w:rPr>
                <w:rFonts w:ascii="Arial" w:hAnsi="Arial" w:cs="Arial"/>
                <w:bCs/>
                <w:color w:val="000000"/>
                <w:sz w:val="18"/>
                <w:szCs w:val="18"/>
              </w:rPr>
              <w:t>Personal Administrativo</w:t>
            </w:r>
          </w:p>
        </w:tc>
        <w:tc>
          <w:tcPr>
            <w:tcW w:w="1636" w:type="dxa"/>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4.000</w:t>
            </w:r>
          </w:p>
        </w:tc>
        <w:tc>
          <w:tcPr>
            <w:tcW w:w="1394" w:type="dxa"/>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18"/>
                <w:szCs w:val="18"/>
              </w:rPr>
            </w:pPr>
            <w:r w:rsidRPr="00545769">
              <w:rPr>
                <w:rFonts w:ascii="Arial" w:hAnsi="Arial" w:cs="Arial"/>
                <w:sz w:val="18"/>
                <w:szCs w:val="18"/>
              </w:rPr>
              <w:t>1.000</w:t>
            </w:r>
          </w:p>
        </w:tc>
        <w:tc>
          <w:tcPr>
            <w:tcW w:w="1531" w:type="dxa"/>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65.000</w:t>
            </w:r>
          </w:p>
        </w:tc>
      </w:tr>
    </w:tbl>
    <w:p w:rsidR="00B37D8A" w:rsidRDefault="00B37D8A" w:rsidP="00E40ABE">
      <w:pPr>
        <w:spacing w:before="240"/>
        <w:jc w:val="both"/>
        <w:rPr>
          <w:rFonts w:ascii="Times New Roman" w:hAnsi="Times New Roman"/>
          <w:sz w:val="24"/>
        </w:rPr>
      </w:pPr>
      <w:r>
        <w:rPr>
          <w:rFonts w:ascii="Times New Roman" w:hAnsi="Times New Roman"/>
          <w:sz w:val="24"/>
        </w:rPr>
        <w:t>En base a la información anterior, se calcula el costo anual de los recursos humanos, que difiere entre los 5 primeros años y luego de ellos, para los tutores y el personal administrativo, tal como se detalla en la tabla</w:t>
      </w:r>
      <w:r w:rsidRPr="006C1FA3">
        <w:rPr>
          <w:rFonts w:ascii="Times New Roman" w:hAnsi="Times New Roman"/>
          <w:sz w:val="24"/>
        </w:rPr>
        <w:t>.</w:t>
      </w:r>
      <w:r>
        <w:rPr>
          <w:rFonts w:ascii="Times New Roman" w:hAnsi="Times New Roman"/>
          <w:sz w:val="24"/>
        </w:rPr>
        <w:t xml:space="preserve"> En el primer subperíodo, los costos resultan de ARS 113.750, mientras que en el segundo subperíodo asciende a ARS 170.625.</w:t>
      </w:r>
    </w:p>
    <w:tbl>
      <w:tblPr>
        <w:tblW w:w="0" w:type="auto"/>
        <w:jc w:val="center"/>
        <w:tblInd w:w="-274" w:type="dxa"/>
        <w:tblLayout w:type="fixed"/>
        <w:tblCellMar>
          <w:left w:w="0" w:type="dxa"/>
          <w:right w:w="0" w:type="dxa"/>
        </w:tblCellMar>
        <w:tblLook w:val="00A0" w:firstRow="1" w:lastRow="0" w:firstColumn="1" w:lastColumn="0" w:noHBand="0" w:noVBand="0"/>
      </w:tblPr>
      <w:tblGrid>
        <w:gridCol w:w="3756"/>
        <w:gridCol w:w="1635"/>
        <w:gridCol w:w="1604"/>
      </w:tblGrid>
      <w:tr w:rsidR="00B37D8A" w:rsidRPr="00545769" w:rsidTr="0085600D">
        <w:trPr>
          <w:trHeight w:val="20"/>
          <w:jc w:val="center"/>
        </w:trPr>
        <w:tc>
          <w:tcPr>
            <w:tcW w:w="3756" w:type="dxa"/>
            <w:tcBorders>
              <w:bottom w:val="single" w:sz="4" w:space="0" w:color="auto"/>
              <w:right w:val="single" w:sz="4" w:space="0" w:color="auto"/>
            </w:tcBorders>
            <w:shd w:val="clear" w:color="auto" w:fill="FFFFFF"/>
            <w:vAlign w:val="bottom"/>
          </w:tcPr>
          <w:p w:rsidR="00B37D8A" w:rsidRPr="00545769" w:rsidRDefault="00B37D8A" w:rsidP="00B65C6C">
            <w:pPr>
              <w:spacing w:after="0" w:line="240" w:lineRule="auto"/>
              <w:jc w:val="center"/>
              <w:rPr>
                <w:rFonts w:ascii="Arial" w:hAnsi="Arial" w:cs="Arial"/>
                <w:bCs/>
                <w:color w:val="000000"/>
                <w:sz w:val="18"/>
                <w:szCs w:val="16"/>
              </w:rPr>
            </w:pPr>
          </w:p>
        </w:tc>
        <w:tc>
          <w:tcPr>
            <w:tcW w:w="3239" w:type="dxa"/>
            <w:gridSpan w:val="2"/>
            <w:tcBorders>
              <w:top w:val="single" w:sz="4" w:space="0" w:color="auto"/>
              <w:left w:val="nil"/>
              <w:bottom w:val="single" w:sz="4" w:space="0" w:color="auto"/>
              <w:right w:val="single" w:sz="4" w:space="0" w:color="auto"/>
            </w:tcBorders>
            <w:shd w:val="clear" w:color="auto" w:fill="EEECE1"/>
            <w:noWrap/>
            <w:vAlign w:val="bottom"/>
          </w:tcPr>
          <w:p w:rsidR="00B37D8A" w:rsidRPr="00545769" w:rsidRDefault="00B37D8A" w:rsidP="00B65C6C">
            <w:pPr>
              <w:spacing w:after="0" w:line="240" w:lineRule="auto"/>
              <w:jc w:val="center"/>
              <w:rPr>
                <w:rFonts w:ascii="Arial" w:hAnsi="Arial" w:cs="Arial"/>
                <w:bCs/>
                <w:color w:val="000000"/>
                <w:sz w:val="18"/>
                <w:szCs w:val="16"/>
              </w:rPr>
            </w:pPr>
            <w:r w:rsidRPr="00545769">
              <w:rPr>
                <w:rFonts w:ascii="Arial" w:hAnsi="Arial" w:cs="Arial"/>
                <w:bCs/>
                <w:color w:val="000000"/>
                <w:sz w:val="18"/>
                <w:szCs w:val="16"/>
              </w:rPr>
              <w:t>Costo recursos humanos anual</w:t>
            </w:r>
          </w:p>
        </w:tc>
      </w:tr>
      <w:tr w:rsidR="00B37D8A" w:rsidRPr="00545769" w:rsidTr="0085600D">
        <w:trPr>
          <w:trHeight w:val="20"/>
          <w:jc w:val="center"/>
        </w:trPr>
        <w:tc>
          <w:tcPr>
            <w:tcW w:w="3756" w:type="dxa"/>
            <w:tcBorders>
              <w:top w:val="single" w:sz="4" w:space="0" w:color="auto"/>
              <w:left w:val="single" w:sz="4" w:space="0" w:color="auto"/>
              <w:bottom w:val="single" w:sz="4" w:space="0" w:color="auto"/>
              <w:right w:val="single" w:sz="4" w:space="0" w:color="auto"/>
            </w:tcBorders>
            <w:shd w:val="clear" w:color="auto" w:fill="EEECE1"/>
            <w:vAlign w:val="bottom"/>
          </w:tcPr>
          <w:p w:rsidR="00B37D8A" w:rsidRPr="00545769" w:rsidRDefault="00B37D8A" w:rsidP="00B65C6C">
            <w:pPr>
              <w:spacing w:after="0" w:line="240" w:lineRule="auto"/>
              <w:jc w:val="center"/>
              <w:rPr>
                <w:rFonts w:ascii="Arial" w:hAnsi="Arial" w:cs="Arial"/>
                <w:bCs/>
                <w:color w:val="000000"/>
                <w:sz w:val="18"/>
                <w:szCs w:val="16"/>
              </w:rPr>
            </w:pPr>
            <w:r w:rsidRPr="00545769">
              <w:rPr>
                <w:rFonts w:ascii="Arial" w:hAnsi="Arial" w:cs="Arial"/>
                <w:bCs/>
                <w:color w:val="000000"/>
                <w:sz w:val="18"/>
                <w:szCs w:val="16"/>
              </w:rPr>
              <w:t>Personal</w:t>
            </w:r>
          </w:p>
        </w:tc>
        <w:tc>
          <w:tcPr>
            <w:tcW w:w="1635" w:type="dxa"/>
            <w:tcBorders>
              <w:top w:val="single" w:sz="4" w:space="0" w:color="auto"/>
              <w:left w:val="nil"/>
              <w:bottom w:val="single" w:sz="4" w:space="0" w:color="auto"/>
              <w:right w:val="single" w:sz="4" w:space="0" w:color="auto"/>
            </w:tcBorders>
            <w:shd w:val="clear" w:color="auto" w:fill="EEECE1"/>
            <w:noWrap/>
            <w:vAlign w:val="bottom"/>
          </w:tcPr>
          <w:p w:rsidR="00B37D8A" w:rsidRPr="00545769" w:rsidRDefault="00B37D8A" w:rsidP="0085600D">
            <w:pPr>
              <w:spacing w:after="0" w:line="240" w:lineRule="auto"/>
              <w:jc w:val="center"/>
              <w:rPr>
                <w:rFonts w:ascii="Arial" w:hAnsi="Arial" w:cs="Arial"/>
                <w:bCs/>
                <w:color w:val="000000"/>
                <w:sz w:val="18"/>
                <w:szCs w:val="16"/>
              </w:rPr>
            </w:pPr>
            <w:r w:rsidRPr="00545769">
              <w:rPr>
                <w:rFonts w:ascii="Arial" w:hAnsi="Arial" w:cs="Arial"/>
                <w:bCs/>
                <w:color w:val="000000"/>
                <w:sz w:val="18"/>
                <w:szCs w:val="16"/>
              </w:rPr>
              <w:t>Años 2 a 6</w:t>
            </w:r>
          </w:p>
        </w:tc>
        <w:tc>
          <w:tcPr>
            <w:tcW w:w="1604" w:type="dxa"/>
            <w:tcBorders>
              <w:top w:val="single" w:sz="4" w:space="0" w:color="auto"/>
              <w:left w:val="nil"/>
              <w:bottom w:val="single" w:sz="4" w:space="0" w:color="auto"/>
              <w:right w:val="single" w:sz="4" w:space="0" w:color="auto"/>
            </w:tcBorders>
            <w:shd w:val="clear" w:color="auto" w:fill="EEECE1"/>
            <w:noWrap/>
            <w:vAlign w:val="bottom"/>
          </w:tcPr>
          <w:p w:rsidR="00B37D8A" w:rsidRPr="00545769" w:rsidRDefault="00B37D8A" w:rsidP="0085600D">
            <w:pPr>
              <w:spacing w:after="0" w:line="240" w:lineRule="auto"/>
              <w:jc w:val="center"/>
              <w:rPr>
                <w:rFonts w:ascii="Arial" w:hAnsi="Arial" w:cs="Arial"/>
                <w:bCs/>
                <w:color w:val="000000"/>
                <w:sz w:val="18"/>
                <w:szCs w:val="16"/>
              </w:rPr>
            </w:pPr>
            <w:r w:rsidRPr="00545769">
              <w:rPr>
                <w:rFonts w:ascii="Arial" w:hAnsi="Arial" w:cs="Arial"/>
                <w:bCs/>
                <w:color w:val="000000"/>
                <w:sz w:val="18"/>
                <w:szCs w:val="16"/>
              </w:rPr>
              <w:t>Años 7 a 20</w:t>
            </w:r>
          </w:p>
        </w:tc>
      </w:tr>
      <w:tr w:rsidR="00B37D8A" w:rsidRPr="00545769" w:rsidTr="0085600D">
        <w:trPr>
          <w:trHeight w:val="129"/>
          <w:jc w:val="center"/>
        </w:trPr>
        <w:tc>
          <w:tcPr>
            <w:tcW w:w="3756" w:type="dxa"/>
            <w:tcBorders>
              <w:top w:val="nil"/>
              <w:left w:val="single" w:sz="4" w:space="0" w:color="auto"/>
              <w:bottom w:val="single" w:sz="4" w:space="0" w:color="auto"/>
              <w:right w:val="single" w:sz="4" w:space="0" w:color="auto"/>
            </w:tcBorders>
            <w:shd w:val="clear" w:color="000000" w:fill="FFFFFF"/>
            <w:vAlign w:val="bottom"/>
          </w:tcPr>
          <w:p w:rsidR="00B37D8A" w:rsidRPr="00545769" w:rsidRDefault="00B37D8A" w:rsidP="0085600D">
            <w:pPr>
              <w:spacing w:after="0" w:line="240" w:lineRule="auto"/>
              <w:rPr>
                <w:rFonts w:ascii="Arial" w:hAnsi="Arial" w:cs="Arial"/>
                <w:bCs/>
                <w:color w:val="000000"/>
                <w:sz w:val="18"/>
                <w:szCs w:val="16"/>
              </w:rPr>
            </w:pPr>
            <w:r w:rsidRPr="00545769">
              <w:rPr>
                <w:rFonts w:ascii="Arial" w:hAnsi="Arial" w:cs="Arial"/>
                <w:bCs/>
                <w:color w:val="000000"/>
                <w:sz w:val="18"/>
                <w:szCs w:val="16"/>
              </w:rPr>
              <w:t>Presidente SAPEM</w:t>
            </w:r>
          </w:p>
        </w:tc>
        <w:tc>
          <w:tcPr>
            <w:tcW w:w="1635" w:type="dxa"/>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492.187,50</w:t>
            </w:r>
          </w:p>
        </w:tc>
        <w:tc>
          <w:tcPr>
            <w:tcW w:w="1604" w:type="dxa"/>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609.375</w:t>
            </w:r>
          </w:p>
        </w:tc>
      </w:tr>
      <w:tr w:rsidR="00B37D8A" w:rsidRPr="00545769" w:rsidTr="0085600D">
        <w:trPr>
          <w:trHeight w:val="20"/>
          <w:jc w:val="center"/>
        </w:trPr>
        <w:tc>
          <w:tcPr>
            <w:tcW w:w="3756" w:type="dxa"/>
            <w:tcBorders>
              <w:top w:val="nil"/>
              <w:left w:val="single" w:sz="4" w:space="0" w:color="auto"/>
              <w:bottom w:val="single" w:sz="4" w:space="0" w:color="auto"/>
              <w:right w:val="single" w:sz="4" w:space="0" w:color="auto"/>
            </w:tcBorders>
            <w:shd w:val="clear" w:color="000000" w:fill="FFFFFF"/>
            <w:vAlign w:val="bottom"/>
          </w:tcPr>
          <w:p w:rsidR="00B37D8A" w:rsidRPr="00545769" w:rsidRDefault="00B37D8A" w:rsidP="0085600D">
            <w:pPr>
              <w:spacing w:after="0" w:line="240" w:lineRule="auto"/>
              <w:rPr>
                <w:rFonts w:ascii="Arial" w:hAnsi="Arial" w:cs="Arial"/>
                <w:bCs/>
                <w:color w:val="000000"/>
                <w:sz w:val="18"/>
                <w:szCs w:val="16"/>
              </w:rPr>
            </w:pPr>
            <w:r w:rsidRPr="00545769">
              <w:rPr>
                <w:rFonts w:ascii="Arial" w:hAnsi="Arial" w:cs="Arial"/>
                <w:bCs/>
                <w:color w:val="000000"/>
                <w:sz w:val="18"/>
                <w:szCs w:val="16"/>
              </w:rPr>
              <w:t>Dirección técnica</w:t>
            </w:r>
          </w:p>
        </w:tc>
        <w:tc>
          <w:tcPr>
            <w:tcW w:w="1635" w:type="dxa"/>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183.750,00</w:t>
            </w:r>
          </w:p>
        </w:tc>
        <w:tc>
          <w:tcPr>
            <w:tcW w:w="1604" w:type="dxa"/>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227.500</w:t>
            </w:r>
          </w:p>
        </w:tc>
      </w:tr>
      <w:tr w:rsidR="00B37D8A" w:rsidRPr="00545769" w:rsidTr="0085600D">
        <w:trPr>
          <w:trHeight w:val="20"/>
          <w:jc w:val="center"/>
        </w:trPr>
        <w:tc>
          <w:tcPr>
            <w:tcW w:w="3756" w:type="dxa"/>
            <w:tcBorders>
              <w:top w:val="nil"/>
              <w:left w:val="single" w:sz="4" w:space="0" w:color="auto"/>
              <w:bottom w:val="single" w:sz="4" w:space="0" w:color="auto"/>
              <w:right w:val="single" w:sz="4" w:space="0" w:color="auto"/>
            </w:tcBorders>
            <w:shd w:val="clear" w:color="000000" w:fill="FFFFFF"/>
            <w:vAlign w:val="bottom"/>
          </w:tcPr>
          <w:p w:rsidR="00B37D8A" w:rsidRPr="00545769" w:rsidRDefault="00B37D8A" w:rsidP="0085600D">
            <w:pPr>
              <w:spacing w:after="0" w:line="240" w:lineRule="auto"/>
              <w:rPr>
                <w:rFonts w:ascii="Arial" w:hAnsi="Arial" w:cs="Arial"/>
                <w:bCs/>
                <w:color w:val="000000"/>
                <w:sz w:val="18"/>
                <w:szCs w:val="16"/>
              </w:rPr>
            </w:pPr>
            <w:r w:rsidRPr="00545769">
              <w:rPr>
                <w:rFonts w:ascii="Arial" w:hAnsi="Arial" w:cs="Arial"/>
                <w:bCs/>
                <w:color w:val="000000"/>
                <w:sz w:val="18"/>
                <w:szCs w:val="16"/>
              </w:rPr>
              <w:t>Tutor (BioIngeniero / Biotecnólogo)</w:t>
            </w:r>
          </w:p>
        </w:tc>
        <w:tc>
          <w:tcPr>
            <w:tcW w:w="1635" w:type="dxa"/>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91.875,00</w:t>
            </w:r>
          </w:p>
        </w:tc>
        <w:tc>
          <w:tcPr>
            <w:tcW w:w="1604" w:type="dxa"/>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170.625</w:t>
            </w:r>
          </w:p>
        </w:tc>
      </w:tr>
      <w:tr w:rsidR="00B37D8A" w:rsidRPr="00545769" w:rsidTr="0085600D">
        <w:trPr>
          <w:trHeight w:val="20"/>
          <w:jc w:val="center"/>
        </w:trPr>
        <w:tc>
          <w:tcPr>
            <w:tcW w:w="3756" w:type="dxa"/>
            <w:tcBorders>
              <w:top w:val="nil"/>
              <w:left w:val="single" w:sz="4" w:space="0" w:color="auto"/>
              <w:bottom w:val="single" w:sz="4" w:space="0" w:color="auto"/>
              <w:right w:val="single" w:sz="4" w:space="0" w:color="auto"/>
            </w:tcBorders>
            <w:shd w:val="clear" w:color="000000" w:fill="FFFFFF"/>
            <w:vAlign w:val="bottom"/>
          </w:tcPr>
          <w:p w:rsidR="00B37D8A" w:rsidRPr="00545769" w:rsidRDefault="00B37D8A" w:rsidP="0085600D">
            <w:pPr>
              <w:spacing w:after="0" w:line="240" w:lineRule="auto"/>
              <w:rPr>
                <w:rFonts w:ascii="Arial" w:hAnsi="Arial" w:cs="Arial"/>
                <w:bCs/>
                <w:color w:val="000000"/>
                <w:sz w:val="18"/>
                <w:szCs w:val="16"/>
              </w:rPr>
            </w:pPr>
            <w:r w:rsidRPr="00545769">
              <w:rPr>
                <w:rFonts w:ascii="Arial" w:hAnsi="Arial" w:cs="Arial"/>
                <w:bCs/>
                <w:color w:val="000000"/>
                <w:sz w:val="18"/>
                <w:szCs w:val="16"/>
              </w:rPr>
              <w:t>Tutor (Especialista en Energía Alternativas)</w:t>
            </w:r>
          </w:p>
        </w:tc>
        <w:tc>
          <w:tcPr>
            <w:tcW w:w="1635" w:type="dxa"/>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45.937,50</w:t>
            </w:r>
          </w:p>
        </w:tc>
        <w:tc>
          <w:tcPr>
            <w:tcW w:w="1604" w:type="dxa"/>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113.750</w:t>
            </w:r>
          </w:p>
        </w:tc>
      </w:tr>
      <w:tr w:rsidR="00B37D8A" w:rsidRPr="00545769" w:rsidTr="0085600D">
        <w:trPr>
          <w:trHeight w:val="20"/>
          <w:jc w:val="center"/>
        </w:trPr>
        <w:tc>
          <w:tcPr>
            <w:tcW w:w="3756" w:type="dxa"/>
            <w:tcBorders>
              <w:top w:val="nil"/>
              <w:left w:val="single" w:sz="4" w:space="0" w:color="auto"/>
              <w:bottom w:val="single" w:sz="4" w:space="0" w:color="auto"/>
              <w:right w:val="single" w:sz="4" w:space="0" w:color="auto"/>
            </w:tcBorders>
            <w:shd w:val="clear" w:color="000000" w:fill="FFFFFF"/>
            <w:vAlign w:val="bottom"/>
          </w:tcPr>
          <w:p w:rsidR="00B37D8A" w:rsidRPr="00545769" w:rsidRDefault="00B37D8A" w:rsidP="0085600D">
            <w:pPr>
              <w:spacing w:after="0" w:line="240" w:lineRule="auto"/>
              <w:rPr>
                <w:rFonts w:ascii="Arial" w:hAnsi="Arial" w:cs="Arial"/>
                <w:bCs/>
                <w:color w:val="000000"/>
                <w:sz w:val="18"/>
                <w:szCs w:val="16"/>
              </w:rPr>
            </w:pPr>
            <w:r w:rsidRPr="00545769">
              <w:rPr>
                <w:rFonts w:ascii="Arial" w:hAnsi="Arial" w:cs="Arial"/>
                <w:bCs/>
                <w:color w:val="000000"/>
                <w:sz w:val="18"/>
                <w:szCs w:val="16"/>
              </w:rPr>
              <w:t>Tutor (Ing. Industrial)</w:t>
            </w:r>
          </w:p>
        </w:tc>
        <w:tc>
          <w:tcPr>
            <w:tcW w:w="1635" w:type="dxa"/>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45.937,50</w:t>
            </w:r>
          </w:p>
        </w:tc>
        <w:tc>
          <w:tcPr>
            <w:tcW w:w="1604" w:type="dxa"/>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113.750</w:t>
            </w:r>
          </w:p>
        </w:tc>
      </w:tr>
      <w:tr w:rsidR="00B37D8A" w:rsidRPr="00545769" w:rsidTr="0085600D">
        <w:trPr>
          <w:trHeight w:val="20"/>
          <w:jc w:val="center"/>
        </w:trPr>
        <w:tc>
          <w:tcPr>
            <w:tcW w:w="3756" w:type="dxa"/>
            <w:tcBorders>
              <w:top w:val="nil"/>
              <w:left w:val="single" w:sz="4" w:space="0" w:color="auto"/>
              <w:bottom w:val="single" w:sz="4" w:space="0" w:color="auto"/>
              <w:right w:val="single" w:sz="4" w:space="0" w:color="auto"/>
            </w:tcBorders>
            <w:shd w:val="clear" w:color="000000" w:fill="FFFFFF"/>
            <w:vAlign w:val="bottom"/>
          </w:tcPr>
          <w:p w:rsidR="00B37D8A" w:rsidRPr="00545769" w:rsidRDefault="00B37D8A" w:rsidP="0085600D">
            <w:pPr>
              <w:spacing w:after="0" w:line="240" w:lineRule="auto"/>
              <w:rPr>
                <w:rFonts w:ascii="Arial" w:hAnsi="Arial" w:cs="Arial"/>
                <w:bCs/>
                <w:color w:val="000000"/>
                <w:sz w:val="18"/>
                <w:szCs w:val="16"/>
              </w:rPr>
            </w:pPr>
            <w:r w:rsidRPr="00545769">
              <w:rPr>
                <w:rFonts w:ascii="Arial" w:hAnsi="Arial" w:cs="Arial"/>
                <w:bCs/>
                <w:color w:val="000000"/>
                <w:sz w:val="18"/>
                <w:szCs w:val="16"/>
              </w:rPr>
              <w:t>Tutor (Ing. Agronómo)</w:t>
            </w:r>
          </w:p>
        </w:tc>
        <w:tc>
          <w:tcPr>
            <w:tcW w:w="1635" w:type="dxa"/>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91.875,00</w:t>
            </w:r>
          </w:p>
        </w:tc>
        <w:tc>
          <w:tcPr>
            <w:tcW w:w="1604" w:type="dxa"/>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113.750</w:t>
            </w:r>
          </w:p>
        </w:tc>
      </w:tr>
      <w:tr w:rsidR="00B37D8A" w:rsidRPr="00545769" w:rsidTr="0085600D">
        <w:trPr>
          <w:trHeight w:val="20"/>
          <w:jc w:val="center"/>
        </w:trPr>
        <w:tc>
          <w:tcPr>
            <w:tcW w:w="3756" w:type="dxa"/>
            <w:tcBorders>
              <w:top w:val="nil"/>
              <w:left w:val="single" w:sz="4" w:space="0" w:color="auto"/>
              <w:bottom w:val="single" w:sz="4" w:space="0" w:color="auto"/>
              <w:right w:val="single" w:sz="4" w:space="0" w:color="auto"/>
            </w:tcBorders>
            <w:shd w:val="clear" w:color="000000" w:fill="FFFFFF"/>
            <w:vAlign w:val="bottom"/>
          </w:tcPr>
          <w:p w:rsidR="00B37D8A" w:rsidRPr="00545769" w:rsidRDefault="00B37D8A" w:rsidP="0085600D">
            <w:pPr>
              <w:spacing w:after="0" w:line="240" w:lineRule="auto"/>
              <w:rPr>
                <w:rFonts w:ascii="Arial" w:hAnsi="Arial" w:cs="Arial"/>
                <w:bCs/>
                <w:color w:val="000000"/>
                <w:sz w:val="18"/>
                <w:szCs w:val="16"/>
              </w:rPr>
            </w:pPr>
            <w:r w:rsidRPr="00545769">
              <w:rPr>
                <w:rFonts w:ascii="Arial" w:hAnsi="Arial" w:cs="Arial"/>
                <w:bCs/>
                <w:color w:val="000000"/>
                <w:sz w:val="18"/>
                <w:szCs w:val="16"/>
              </w:rPr>
              <w:t>Tutor (Especialista en Marketing)</w:t>
            </w:r>
          </w:p>
        </w:tc>
        <w:tc>
          <w:tcPr>
            <w:tcW w:w="1635" w:type="dxa"/>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45.937,50</w:t>
            </w:r>
          </w:p>
        </w:tc>
        <w:tc>
          <w:tcPr>
            <w:tcW w:w="1604" w:type="dxa"/>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113.750</w:t>
            </w:r>
          </w:p>
        </w:tc>
      </w:tr>
      <w:tr w:rsidR="00B37D8A" w:rsidRPr="00545769" w:rsidTr="0085600D">
        <w:trPr>
          <w:trHeight w:val="20"/>
          <w:jc w:val="center"/>
        </w:trPr>
        <w:tc>
          <w:tcPr>
            <w:tcW w:w="3756" w:type="dxa"/>
            <w:tcBorders>
              <w:top w:val="nil"/>
              <w:left w:val="single" w:sz="4" w:space="0" w:color="auto"/>
              <w:bottom w:val="single" w:sz="4" w:space="0" w:color="auto"/>
              <w:right w:val="single" w:sz="4" w:space="0" w:color="auto"/>
            </w:tcBorders>
            <w:shd w:val="clear" w:color="000000" w:fill="FFFFFF"/>
            <w:vAlign w:val="bottom"/>
          </w:tcPr>
          <w:p w:rsidR="00B37D8A" w:rsidRPr="00545769" w:rsidRDefault="00B37D8A" w:rsidP="0085600D">
            <w:pPr>
              <w:spacing w:after="0" w:line="240" w:lineRule="auto"/>
              <w:rPr>
                <w:rFonts w:ascii="Arial" w:hAnsi="Arial" w:cs="Arial"/>
                <w:bCs/>
                <w:color w:val="000000"/>
                <w:sz w:val="18"/>
                <w:szCs w:val="16"/>
              </w:rPr>
            </w:pPr>
            <w:r w:rsidRPr="00545769">
              <w:rPr>
                <w:rFonts w:ascii="Arial" w:hAnsi="Arial" w:cs="Arial"/>
                <w:bCs/>
                <w:color w:val="000000"/>
                <w:sz w:val="18"/>
                <w:szCs w:val="16"/>
              </w:rPr>
              <w:t>Tutor (Especialista en Finanzas)</w:t>
            </w:r>
          </w:p>
        </w:tc>
        <w:tc>
          <w:tcPr>
            <w:tcW w:w="1635" w:type="dxa"/>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45.937,50</w:t>
            </w:r>
          </w:p>
        </w:tc>
        <w:tc>
          <w:tcPr>
            <w:tcW w:w="1604" w:type="dxa"/>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113.750</w:t>
            </w:r>
          </w:p>
        </w:tc>
      </w:tr>
      <w:tr w:rsidR="00B37D8A" w:rsidRPr="00545769" w:rsidTr="0085600D">
        <w:trPr>
          <w:trHeight w:val="20"/>
          <w:jc w:val="center"/>
        </w:trPr>
        <w:tc>
          <w:tcPr>
            <w:tcW w:w="3756" w:type="dxa"/>
            <w:tcBorders>
              <w:top w:val="nil"/>
              <w:left w:val="single" w:sz="4" w:space="0" w:color="auto"/>
              <w:bottom w:val="single" w:sz="4" w:space="0" w:color="auto"/>
              <w:right w:val="single" w:sz="4" w:space="0" w:color="auto"/>
            </w:tcBorders>
            <w:shd w:val="clear" w:color="000000" w:fill="FFFFFF"/>
            <w:vAlign w:val="bottom"/>
          </w:tcPr>
          <w:p w:rsidR="00B37D8A" w:rsidRPr="00545769" w:rsidRDefault="00B37D8A" w:rsidP="0085600D">
            <w:pPr>
              <w:spacing w:after="0" w:line="240" w:lineRule="auto"/>
              <w:rPr>
                <w:rFonts w:ascii="Arial" w:hAnsi="Arial" w:cs="Arial"/>
                <w:bCs/>
                <w:color w:val="000000"/>
                <w:sz w:val="18"/>
                <w:szCs w:val="16"/>
              </w:rPr>
            </w:pPr>
            <w:r w:rsidRPr="00545769">
              <w:rPr>
                <w:rFonts w:ascii="Arial" w:hAnsi="Arial" w:cs="Arial"/>
                <w:bCs/>
                <w:color w:val="000000"/>
                <w:sz w:val="18"/>
                <w:szCs w:val="16"/>
              </w:rPr>
              <w:t>Tutor (Especialista en Gestión)</w:t>
            </w:r>
          </w:p>
        </w:tc>
        <w:tc>
          <w:tcPr>
            <w:tcW w:w="1635" w:type="dxa"/>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45.937,50</w:t>
            </w:r>
          </w:p>
        </w:tc>
        <w:tc>
          <w:tcPr>
            <w:tcW w:w="1604" w:type="dxa"/>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113.750</w:t>
            </w:r>
          </w:p>
        </w:tc>
      </w:tr>
      <w:tr w:rsidR="00B37D8A" w:rsidRPr="00545769" w:rsidTr="0085600D">
        <w:trPr>
          <w:trHeight w:val="20"/>
          <w:jc w:val="center"/>
        </w:trPr>
        <w:tc>
          <w:tcPr>
            <w:tcW w:w="3756" w:type="dxa"/>
            <w:tcBorders>
              <w:top w:val="nil"/>
              <w:left w:val="single" w:sz="4" w:space="0" w:color="auto"/>
              <w:bottom w:val="single" w:sz="4" w:space="0" w:color="auto"/>
              <w:right w:val="single" w:sz="4" w:space="0" w:color="auto"/>
            </w:tcBorders>
            <w:shd w:val="clear" w:color="000000" w:fill="FFFFFF"/>
            <w:vAlign w:val="bottom"/>
          </w:tcPr>
          <w:p w:rsidR="00B37D8A" w:rsidRPr="00545769" w:rsidRDefault="00B37D8A" w:rsidP="0085600D">
            <w:pPr>
              <w:spacing w:after="0" w:line="240" w:lineRule="auto"/>
              <w:rPr>
                <w:rFonts w:ascii="Arial" w:hAnsi="Arial" w:cs="Arial"/>
                <w:bCs/>
                <w:color w:val="000000"/>
                <w:sz w:val="18"/>
                <w:szCs w:val="16"/>
              </w:rPr>
            </w:pPr>
            <w:r w:rsidRPr="00545769">
              <w:rPr>
                <w:rFonts w:ascii="Arial" w:hAnsi="Arial" w:cs="Arial"/>
                <w:bCs/>
                <w:color w:val="000000"/>
                <w:sz w:val="18"/>
                <w:szCs w:val="16"/>
              </w:rPr>
              <w:t>Personal Administrativo</w:t>
            </w:r>
          </w:p>
        </w:tc>
        <w:tc>
          <w:tcPr>
            <w:tcW w:w="1635" w:type="dxa"/>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26.250,00</w:t>
            </w:r>
          </w:p>
        </w:tc>
        <w:tc>
          <w:tcPr>
            <w:tcW w:w="1604" w:type="dxa"/>
            <w:tcBorders>
              <w:top w:val="nil"/>
              <w:left w:val="nil"/>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65.000</w:t>
            </w:r>
          </w:p>
        </w:tc>
      </w:tr>
      <w:tr w:rsidR="00B37D8A" w:rsidRPr="00545769" w:rsidTr="0085600D">
        <w:trPr>
          <w:trHeight w:val="86"/>
          <w:jc w:val="center"/>
        </w:trPr>
        <w:tc>
          <w:tcPr>
            <w:tcW w:w="3756" w:type="dxa"/>
            <w:tcBorders>
              <w:top w:val="nil"/>
              <w:left w:val="single" w:sz="4" w:space="0" w:color="auto"/>
              <w:bottom w:val="single" w:sz="4" w:space="0" w:color="auto"/>
              <w:right w:val="single" w:sz="4" w:space="0" w:color="auto"/>
            </w:tcBorders>
            <w:shd w:val="clear" w:color="auto" w:fill="EEECE1"/>
            <w:vAlign w:val="center"/>
          </w:tcPr>
          <w:p w:rsidR="00B37D8A" w:rsidRPr="00545769" w:rsidRDefault="00B37D8A" w:rsidP="0085600D">
            <w:pPr>
              <w:spacing w:after="0" w:line="240" w:lineRule="auto"/>
              <w:rPr>
                <w:rFonts w:ascii="Arial" w:hAnsi="Arial" w:cs="Arial"/>
                <w:bCs/>
                <w:sz w:val="18"/>
                <w:szCs w:val="16"/>
              </w:rPr>
            </w:pPr>
            <w:r w:rsidRPr="00545769">
              <w:rPr>
                <w:rFonts w:ascii="Arial" w:hAnsi="Arial" w:cs="Arial"/>
                <w:bCs/>
                <w:sz w:val="18"/>
                <w:szCs w:val="16"/>
              </w:rPr>
              <w:t>Total</w:t>
            </w:r>
          </w:p>
        </w:tc>
        <w:tc>
          <w:tcPr>
            <w:tcW w:w="1635" w:type="dxa"/>
            <w:tcBorders>
              <w:top w:val="nil"/>
              <w:left w:val="nil"/>
              <w:bottom w:val="single" w:sz="4" w:space="0" w:color="auto"/>
              <w:right w:val="single" w:sz="4" w:space="0" w:color="auto"/>
            </w:tcBorders>
            <w:shd w:val="clear" w:color="auto" w:fill="EEECE1"/>
            <w:noWrap/>
            <w:vAlign w:val="bottom"/>
          </w:tcPr>
          <w:p w:rsidR="00B37D8A" w:rsidRPr="00545769" w:rsidRDefault="00B37D8A" w:rsidP="0085600D">
            <w:pPr>
              <w:spacing w:after="0" w:line="240" w:lineRule="auto"/>
              <w:jc w:val="center"/>
              <w:rPr>
                <w:rFonts w:ascii="Arial" w:hAnsi="Arial" w:cs="Arial"/>
                <w:sz w:val="20"/>
                <w:szCs w:val="20"/>
              </w:rPr>
            </w:pPr>
            <w:r w:rsidRPr="00545769">
              <w:rPr>
                <w:rFonts w:ascii="Arial" w:hAnsi="Arial" w:cs="Arial"/>
                <w:sz w:val="20"/>
                <w:szCs w:val="20"/>
              </w:rPr>
              <w:t>1.381.250</w:t>
            </w:r>
          </w:p>
        </w:tc>
        <w:tc>
          <w:tcPr>
            <w:tcW w:w="1604" w:type="dxa"/>
            <w:tcBorders>
              <w:top w:val="nil"/>
              <w:left w:val="nil"/>
              <w:bottom w:val="single" w:sz="4" w:space="0" w:color="auto"/>
              <w:right w:val="single" w:sz="4" w:space="0" w:color="auto"/>
            </w:tcBorders>
            <w:shd w:val="clear" w:color="auto" w:fill="EEECE1"/>
            <w:noWrap/>
            <w:vAlign w:val="bottom"/>
          </w:tcPr>
          <w:p w:rsidR="00B37D8A" w:rsidRPr="00545769" w:rsidRDefault="00B37D8A" w:rsidP="0085600D">
            <w:pPr>
              <w:spacing w:after="0" w:line="240" w:lineRule="auto"/>
              <w:jc w:val="center"/>
              <w:rPr>
                <w:rFonts w:ascii="Arial" w:hAnsi="Arial" w:cs="Arial"/>
                <w:bCs/>
                <w:sz w:val="18"/>
                <w:szCs w:val="16"/>
              </w:rPr>
            </w:pPr>
            <w:r w:rsidRPr="00545769">
              <w:rPr>
                <w:rFonts w:ascii="Arial" w:hAnsi="Arial" w:cs="Arial"/>
                <w:bCs/>
                <w:sz w:val="18"/>
                <w:szCs w:val="16"/>
              </w:rPr>
              <w:t>1.755.000</w:t>
            </w:r>
          </w:p>
        </w:tc>
      </w:tr>
      <w:tr w:rsidR="00B37D8A" w:rsidRPr="00545769" w:rsidTr="0085600D">
        <w:trPr>
          <w:trHeight w:val="20"/>
          <w:jc w:val="center"/>
        </w:trPr>
        <w:tc>
          <w:tcPr>
            <w:tcW w:w="3756" w:type="dxa"/>
            <w:tcBorders>
              <w:top w:val="nil"/>
              <w:left w:val="single" w:sz="4" w:space="0" w:color="auto"/>
              <w:bottom w:val="single" w:sz="4" w:space="0" w:color="auto"/>
              <w:right w:val="single" w:sz="4" w:space="0" w:color="auto"/>
            </w:tcBorders>
            <w:shd w:val="clear" w:color="auto" w:fill="EEECE1"/>
            <w:vAlign w:val="center"/>
          </w:tcPr>
          <w:p w:rsidR="00B37D8A" w:rsidRPr="00545769" w:rsidRDefault="00B37D8A" w:rsidP="0085600D">
            <w:pPr>
              <w:spacing w:after="0" w:line="240" w:lineRule="auto"/>
              <w:rPr>
                <w:rFonts w:ascii="Arial" w:hAnsi="Arial" w:cs="Arial"/>
                <w:bCs/>
                <w:sz w:val="18"/>
                <w:szCs w:val="16"/>
              </w:rPr>
            </w:pPr>
            <w:r w:rsidRPr="00545769">
              <w:rPr>
                <w:rFonts w:ascii="Arial" w:hAnsi="Arial" w:cs="Arial"/>
                <w:bCs/>
                <w:sz w:val="18"/>
                <w:szCs w:val="16"/>
              </w:rPr>
              <w:t>Aporte UNC</w:t>
            </w:r>
          </w:p>
        </w:tc>
        <w:tc>
          <w:tcPr>
            <w:tcW w:w="1635" w:type="dxa"/>
            <w:tcBorders>
              <w:top w:val="nil"/>
              <w:left w:val="nil"/>
              <w:bottom w:val="single" w:sz="4" w:space="0" w:color="auto"/>
              <w:right w:val="single" w:sz="4" w:space="0" w:color="auto"/>
            </w:tcBorders>
            <w:shd w:val="clear" w:color="auto" w:fill="EEECE1"/>
            <w:noWrap/>
            <w:vAlign w:val="bottom"/>
          </w:tcPr>
          <w:p w:rsidR="00B37D8A" w:rsidRPr="00545769" w:rsidRDefault="00B37D8A" w:rsidP="0085600D">
            <w:pPr>
              <w:spacing w:after="0" w:line="240" w:lineRule="auto"/>
              <w:jc w:val="center"/>
              <w:rPr>
                <w:rFonts w:ascii="Arial" w:hAnsi="Arial" w:cs="Arial"/>
                <w:bCs/>
                <w:sz w:val="18"/>
                <w:szCs w:val="16"/>
              </w:rPr>
            </w:pPr>
            <w:r w:rsidRPr="00545769">
              <w:rPr>
                <w:rFonts w:ascii="Arial" w:hAnsi="Arial" w:cs="Arial"/>
                <w:bCs/>
                <w:sz w:val="18"/>
                <w:szCs w:val="16"/>
              </w:rPr>
              <w:t>1.267.500</w:t>
            </w:r>
          </w:p>
        </w:tc>
        <w:tc>
          <w:tcPr>
            <w:tcW w:w="1604" w:type="dxa"/>
            <w:tcBorders>
              <w:top w:val="nil"/>
              <w:left w:val="nil"/>
              <w:bottom w:val="single" w:sz="4" w:space="0" w:color="auto"/>
              <w:right w:val="single" w:sz="4" w:space="0" w:color="auto"/>
            </w:tcBorders>
            <w:shd w:val="clear" w:color="auto" w:fill="EEECE1"/>
            <w:noWrap/>
            <w:vAlign w:val="bottom"/>
          </w:tcPr>
          <w:p w:rsidR="00B37D8A" w:rsidRPr="00545769" w:rsidRDefault="00B37D8A" w:rsidP="0085600D">
            <w:pPr>
              <w:spacing w:after="0" w:line="240" w:lineRule="auto"/>
              <w:jc w:val="center"/>
              <w:rPr>
                <w:rFonts w:ascii="Arial" w:hAnsi="Arial" w:cs="Arial"/>
                <w:bCs/>
                <w:sz w:val="18"/>
                <w:szCs w:val="16"/>
              </w:rPr>
            </w:pPr>
            <w:r w:rsidRPr="00545769">
              <w:rPr>
                <w:rFonts w:ascii="Arial" w:hAnsi="Arial" w:cs="Arial"/>
                <w:bCs/>
                <w:sz w:val="18"/>
                <w:szCs w:val="16"/>
              </w:rPr>
              <w:t>1.584.375</w:t>
            </w:r>
          </w:p>
        </w:tc>
      </w:tr>
      <w:tr w:rsidR="00B37D8A" w:rsidRPr="00545769" w:rsidTr="0085600D">
        <w:trPr>
          <w:trHeight w:val="20"/>
          <w:jc w:val="center"/>
        </w:trPr>
        <w:tc>
          <w:tcPr>
            <w:tcW w:w="3756" w:type="dxa"/>
            <w:tcBorders>
              <w:top w:val="single" w:sz="4" w:space="0" w:color="auto"/>
              <w:left w:val="single" w:sz="4" w:space="0" w:color="auto"/>
              <w:bottom w:val="single" w:sz="4" w:space="0" w:color="auto"/>
              <w:right w:val="single" w:sz="4" w:space="0" w:color="auto"/>
            </w:tcBorders>
            <w:shd w:val="clear" w:color="auto" w:fill="EEECE1"/>
          </w:tcPr>
          <w:p w:rsidR="00B37D8A" w:rsidRPr="00545769" w:rsidRDefault="00B37D8A" w:rsidP="0085600D">
            <w:pPr>
              <w:spacing w:after="0" w:line="240" w:lineRule="auto"/>
              <w:rPr>
                <w:rFonts w:ascii="Arial" w:hAnsi="Arial" w:cs="Arial"/>
                <w:sz w:val="18"/>
                <w:szCs w:val="16"/>
              </w:rPr>
            </w:pPr>
            <w:r w:rsidRPr="00545769">
              <w:rPr>
                <w:rFonts w:ascii="Arial" w:hAnsi="Arial" w:cs="Arial"/>
                <w:sz w:val="18"/>
                <w:szCs w:val="16"/>
              </w:rPr>
              <w:t>Inversión del Proyecto</w:t>
            </w:r>
          </w:p>
        </w:tc>
        <w:tc>
          <w:tcPr>
            <w:tcW w:w="1635" w:type="dxa"/>
            <w:tcBorders>
              <w:top w:val="single" w:sz="4" w:space="0" w:color="auto"/>
              <w:left w:val="single" w:sz="4" w:space="0" w:color="auto"/>
              <w:bottom w:val="single" w:sz="4" w:space="0" w:color="auto"/>
              <w:right w:val="single" w:sz="4" w:space="0" w:color="auto"/>
            </w:tcBorders>
            <w:shd w:val="clear" w:color="auto" w:fill="EEECE1"/>
            <w:noWrap/>
            <w:vAlign w:val="bottom"/>
          </w:tcPr>
          <w:p w:rsidR="00B37D8A" w:rsidRPr="00545769" w:rsidRDefault="00B37D8A" w:rsidP="0085600D">
            <w:pPr>
              <w:spacing w:after="0" w:line="240" w:lineRule="auto"/>
              <w:jc w:val="center"/>
              <w:rPr>
                <w:rFonts w:ascii="Arial" w:hAnsi="Arial" w:cs="Arial"/>
                <w:sz w:val="18"/>
                <w:szCs w:val="16"/>
              </w:rPr>
            </w:pPr>
            <w:r w:rsidRPr="00545769">
              <w:rPr>
                <w:rFonts w:ascii="Arial" w:hAnsi="Arial" w:cs="Arial"/>
                <w:sz w:val="18"/>
                <w:szCs w:val="16"/>
              </w:rPr>
              <w:t>113.750</w:t>
            </w:r>
          </w:p>
        </w:tc>
        <w:tc>
          <w:tcPr>
            <w:tcW w:w="1604" w:type="dxa"/>
            <w:tcBorders>
              <w:top w:val="single" w:sz="4" w:space="0" w:color="auto"/>
              <w:left w:val="single" w:sz="4" w:space="0" w:color="auto"/>
              <w:bottom w:val="single" w:sz="4" w:space="0" w:color="auto"/>
              <w:right w:val="single" w:sz="4" w:space="0" w:color="auto"/>
            </w:tcBorders>
            <w:shd w:val="clear" w:color="auto" w:fill="EEECE1"/>
            <w:noWrap/>
            <w:vAlign w:val="bottom"/>
          </w:tcPr>
          <w:p w:rsidR="00B37D8A" w:rsidRPr="00545769" w:rsidRDefault="00B37D8A" w:rsidP="0085600D">
            <w:pPr>
              <w:spacing w:after="0" w:line="240" w:lineRule="auto"/>
              <w:jc w:val="center"/>
              <w:rPr>
                <w:rFonts w:ascii="Arial" w:hAnsi="Arial" w:cs="Arial"/>
                <w:sz w:val="18"/>
                <w:szCs w:val="16"/>
              </w:rPr>
            </w:pPr>
            <w:r w:rsidRPr="00545769">
              <w:rPr>
                <w:rFonts w:ascii="Arial" w:hAnsi="Arial" w:cs="Arial"/>
                <w:sz w:val="18"/>
                <w:szCs w:val="16"/>
              </w:rPr>
              <w:t>170.625</w:t>
            </w:r>
          </w:p>
        </w:tc>
      </w:tr>
    </w:tbl>
    <w:p w:rsidR="00B37D8A" w:rsidRDefault="00B37D8A" w:rsidP="00E40ABE">
      <w:pPr>
        <w:spacing w:before="240"/>
        <w:jc w:val="both"/>
        <w:rPr>
          <w:rFonts w:ascii="Times New Roman" w:hAnsi="Times New Roman"/>
          <w:sz w:val="24"/>
        </w:rPr>
      </w:pPr>
      <w:r>
        <w:rPr>
          <w:rFonts w:ascii="Times New Roman" w:hAnsi="Times New Roman"/>
          <w:sz w:val="24"/>
        </w:rPr>
        <w:t>Por último, en relación con los gastos operativos, se consideran los conceptos presentados en la siguiente tabla, que en algunos casos son financiados por el parque y en otros, por los propios emprendimientos instalados en él. A partir de allí, se calcula un costo operativo anual de ARS 162.600, que se mantienen constantes a lo largo del horizonte temporal.</w:t>
      </w:r>
    </w:p>
    <w:tbl>
      <w:tblPr>
        <w:tblW w:w="4127" w:type="pct"/>
        <w:jc w:val="center"/>
        <w:tblInd w:w="583" w:type="dxa"/>
        <w:tblCellMar>
          <w:left w:w="0" w:type="dxa"/>
          <w:right w:w="0" w:type="dxa"/>
        </w:tblCellMar>
        <w:tblLook w:val="00A0" w:firstRow="1" w:lastRow="0" w:firstColumn="1" w:lastColumn="0" w:noHBand="0" w:noVBand="0"/>
      </w:tblPr>
      <w:tblGrid>
        <w:gridCol w:w="2833"/>
        <w:gridCol w:w="1586"/>
        <w:gridCol w:w="1336"/>
        <w:gridCol w:w="2573"/>
      </w:tblGrid>
      <w:tr w:rsidR="00B37D8A" w:rsidRPr="00545769" w:rsidTr="005C06FF">
        <w:trPr>
          <w:cantSplit/>
          <w:trHeight w:val="132"/>
          <w:jc w:val="center"/>
        </w:trPr>
        <w:tc>
          <w:tcPr>
            <w:tcW w:w="1701" w:type="pct"/>
            <w:tcBorders>
              <w:top w:val="single" w:sz="4" w:space="0" w:color="auto"/>
              <w:left w:val="single" w:sz="4" w:space="0" w:color="auto"/>
              <w:bottom w:val="single" w:sz="4" w:space="0" w:color="auto"/>
              <w:right w:val="single" w:sz="4" w:space="0" w:color="auto"/>
            </w:tcBorders>
            <w:shd w:val="clear" w:color="auto" w:fill="EEECE1"/>
            <w:noWrap/>
            <w:vAlign w:val="bottom"/>
          </w:tcPr>
          <w:p w:rsidR="00B37D8A" w:rsidRPr="00545769" w:rsidRDefault="00B37D8A" w:rsidP="005C06FF">
            <w:pPr>
              <w:spacing w:after="0" w:line="240" w:lineRule="auto"/>
              <w:jc w:val="center"/>
              <w:rPr>
                <w:rFonts w:ascii="Arial" w:hAnsi="Arial" w:cs="Arial"/>
                <w:sz w:val="18"/>
                <w:szCs w:val="18"/>
              </w:rPr>
            </w:pPr>
            <w:r w:rsidRPr="00545769">
              <w:rPr>
                <w:rFonts w:ascii="Arial" w:hAnsi="Arial" w:cs="Arial"/>
                <w:sz w:val="18"/>
                <w:szCs w:val="18"/>
              </w:rPr>
              <w:t>Concepto</w:t>
            </w:r>
          </w:p>
        </w:tc>
        <w:tc>
          <w:tcPr>
            <w:tcW w:w="952" w:type="pct"/>
            <w:tcBorders>
              <w:top w:val="single" w:sz="4" w:space="0" w:color="auto"/>
              <w:left w:val="nil"/>
              <w:bottom w:val="single" w:sz="4" w:space="0" w:color="auto"/>
              <w:right w:val="single" w:sz="4" w:space="0" w:color="auto"/>
            </w:tcBorders>
            <w:shd w:val="clear" w:color="auto" w:fill="EEECE1"/>
            <w:noWrap/>
            <w:vAlign w:val="center"/>
          </w:tcPr>
          <w:p w:rsidR="00B37D8A" w:rsidRPr="00545769" w:rsidRDefault="00B37D8A" w:rsidP="005C06FF">
            <w:pPr>
              <w:spacing w:after="0" w:line="240" w:lineRule="auto"/>
              <w:jc w:val="center"/>
              <w:rPr>
                <w:rFonts w:ascii="Arial" w:hAnsi="Arial" w:cs="Arial"/>
                <w:sz w:val="18"/>
                <w:szCs w:val="18"/>
              </w:rPr>
            </w:pPr>
            <w:r w:rsidRPr="00545769">
              <w:rPr>
                <w:rFonts w:ascii="Arial" w:hAnsi="Arial" w:cs="Arial"/>
                <w:sz w:val="18"/>
                <w:szCs w:val="18"/>
              </w:rPr>
              <w:t>Costo mensual</w:t>
            </w:r>
          </w:p>
        </w:tc>
        <w:tc>
          <w:tcPr>
            <w:tcW w:w="802" w:type="pct"/>
            <w:tcBorders>
              <w:top w:val="single" w:sz="4" w:space="0" w:color="auto"/>
              <w:left w:val="nil"/>
              <w:bottom w:val="single" w:sz="4" w:space="0" w:color="auto"/>
              <w:right w:val="single" w:sz="4" w:space="0" w:color="auto"/>
            </w:tcBorders>
            <w:shd w:val="clear" w:color="auto" w:fill="EEECE1"/>
            <w:noWrap/>
            <w:vAlign w:val="center"/>
          </w:tcPr>
          <w:p w:rsidR="00B37D8A" w:rsidRPr="00545769" w:rsidRDefault="00B37D8A" w:rsidP="005C06FF">
            <w:pPr>
              <w:spacing w:after="0" w:line="240" w:lineRule="auto"/>
              <w:jc w:val="center"/>
              <w:rPr>
                <w:rFonts w:ascii="Arial" w:hAnsi="Arial" w:cs="Arial"/>
                <w:sz w:val="18"/>
                <w:szCs w:val="18"/>
              </w:rPr>
            </w:pPr>
            <w:r w:rsidRPr="00545769">
              <w:rPr>
                <w:rFonts w:ascii="Arial" w:hAnsi="Arial" w:cs="Arial"/>
                <w:sz w:val="18"/>
                <w:szCs w:val="18"/>
              </w:rPr>
              <w:t>Costo anual</w:t>
            </w:r>
          </w:p>
        </w:tc>
        <w:tc>
          <w:tcPr>
            <w:tcW w:w="1545" w:type="pct"/>
            <w:tcBorders>
              <w:top w:val="single" w:sz="4" w:space="0" w:color="auto"/>
              <w:left w:val="nil"/>
              <w:bottom w:val="single" w:sz="4" w:space="0" w:color="auto"/>
              <w:right w:val="single" w:sz="4" w:space="0" w:color="auto"/>
            </w:tcBorders>
            <w:shd w:val="clear" w:color="auto" w:fill="EEECE1"/>
            <w:noWrap/>
            <w:vAlign w:val="center"/>
          </w:tcPr>
          <w:p w:rsidR="00B37D8A" w:rsidRPr="00545769" w:rsidRDefault="00B37D8A" w:rsidP="005C06FF">
            <w:pPr>
              <w:spacing w:after="0" w:line="240" w:lineRule="auto"/>
              <w:jc w:val="center"/>
              <w:rPr>
                <w:rFonts w:ascii="Arial" w:hAnsi="Arial" w:cs="Arial"/>
                <w:sz w:val="18"/>
                <w:szCs w:val="18"/>
              </w:rPr>
            </w:pPr>
            <w:r w:rsidRPr="00545769">
              <w:rPr>
                <w:rFonts w:ascii="Arial" w:hAnsi="Arial" w:cs="Arial"/>
                <w:sz w:val="18"/>
                <w:szCs w:val="18"/>
              </w:rPr>
              <w:t>Financiador</w:t>
            </w:r>
          </w:p>
        </w:tc>
      </w:tr>
      <w:tr w:rsidR="00B37D8A" w:rsidRPr="00545769" w:rsidTr="005C06FF">
        <w:trPr>
          <w:cantSplit/>
          <w:trHeight w:val="53"/>
          <w:jc w:val="center"/>
        </w:trPr>
        <w:tc>
          <w:tcPr>
            <w:tcW w:w="1701" w:type="pct"/>
            <w:tcBorders>
              <w:top w:val="nil"/>
              <w:left w:val="single" w:sz="4" w:space="0" w:color="auto"/>
              <w:bottom w:val="single" w:sz="4" w:space="0" w:color="auto"/>
              <w:right w:val="single" w:sz="4" w:space="0" w:color="auto"/>
            </w:tcBorders>
            <w:shd w:val="clear" w:color="000000" w:fill="FFFFFF"/>
            <w:noWrap/>
            <w:vAlign w:val="bottom"/>
          </w:tcPr>
          <w:p w:rsidR="00B37D8A" w:rsidRPr="00545769" w:rsidRDefault="00B37D8A" w:rsidP="005C06FF">
            <w:pPr>
              <w:spacing w:after="0" w:line="240" w:lineRule="auto"/>
              <w:rPr>
                <w:rFonts w:ascii="Arial" w:hAnsi="Arial" w:cs="Arial"/>
                <w:sz w:val="18"/>
                <w:szCs w:val="18"/>
              </w:rPr>
            </w:pPr>
            <w:r w:rsidRPr="00545769">
              <w:rPr>
                <w:rFonts w:ascii="Arial" w:hAnsi="Arial" w:cs="Arial"/>
                <w:sz w:val="18"/>
                <w:szCs w:val="18"/>
              </w:rPr>
              <w:lastRenderedPageBreak/>
              <w:t>Librería</w:t>
            </w:r>
          </w:p>
        </w:tc>
        <w:tc>
          <w:tcPr>
            <w:tcW w:w="952"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1.500</w:t>
            </w:r>
          </w:p>
        </w:tc>
        <w:tc>
          <w:tcPr>
            <w:tcW w:w="802"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18.000</w:t>
            </w:r>
          </w:p>
        </w:tc>
        <w:tc>
          <w:tcPr>
            <w:tcW w:w="1545"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Parque Biotecnológico</w:t>
            </w:r>
          </w:p>
        </w:tc>
      </w:tr>
      <w:tr w:rsidR="00B37D8A" w:rsidRPr="00545769" w:rsidTr="005C06FF">
        <w:trPr>
          <w:cantSplit/>
          <w:trHeight w:val="57"/>
          <w:jc w:val="center"/>
        </w:trPr>
        <w:tc>
          <w:tcPr>
            <w:tcW w:w="1701" w:type="pct"/>
            <w:tcBorders>
              <w:top w:val="nil"/>
              <w:left w:val="single" w:sz="4" w:space="0" w:color="auto"/>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Contador</w:t>
            </w:r>
          </w:p>
        </w:tc>
        <w:tc>
          <w:tcPr>
            <w:tcW w:w="952"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2.000</w:t>
            </w:r>
          </w:p>
        </w:tc>
        <w:tc>
          <w:tcPr>
            <w:tcW w:w="802"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24.000</w:t>
            </w:r>
          </w:p>
        </w:tc>
        <w:tc>
          <w:tcPr>
            <w:tcW w:w="1545"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Parque Biotecnológico</w:t>
            </w:r>
          </w:p>
        </w:tc>
      </w:tr>
      <w:tr w:rsidR="00B37D8A" w:rsidRPr="00545769" w:rsidTr="005C06FF">
        <w:trPr>
          <w:cantSplit/>
          <w:trHeight w:val="57"/>
          <w:jc w:val="center"/>
        </w:trPr>
        <w:tc>
          <w:tcPr>
            <w:tcW w:w="1701" w:type="pct"/>
            <w:tcBorders>
              <w:top w:val="nil"/>
              <w:left w:val="single" w:sz="4" w:space="0" w:color="auto"/>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Abogado</w:t>
            </w:r>
          </w:p>
        </w:tc>
        <w:tc>
          <w:tcPr>
            <w:tcW w:w="952"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2.000</w:t>
            </w:r>
          </w:p>
        </w:tc>
        <w:tc>
          <w:tcPr>
            <w:tcW w:w="802"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24.000</w:t>
            </w:r>
          </w:p>
        </w:tc>
        <w:tc>
          <w:tcPr>
            <w:tcW w:w="1545"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Parque Biotecnológico</w:t>
            </w:r>
          </w:p>
        </w:tc>
      </w:tr>
      <w:tr w:rsidR="00B37D8A" w:rsidRPr="00545769" w:rsidTr="005C06FF">
        <w:trPr>
          <w:cantSplit/>
          <w:trHeight w:val="57"/>
          <w:jc w:val="center"/>
        </w:trPr>
        <w:tc>
          <w:tcPr>
            <w:tcW w:w="1701" w:type="pct"/>
            <w:tcBorders>
              <w:top w:val="nil"/>
              <w:left w:val="single" w:sz="4" w:space="0" w:color="auto"/>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Telefonía fija empresa</w:t>
            </w:r>
          </w:p>
        </w:tc>
        <w:tc>
          <w:tcPr>
            <w:tcW w:w="952"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1.500</w:t>
            </w:r>
          </w:p>
        </w:tc>
        <w:tc>
          <w:tcPr>
            <w:tcW w:w="802"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18.000</w:t>
            </w:r>
          </w:p>
        </w:tc>
        <w:tc>
          <w:tcPr>
            <w:tcW w:w="1545"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Emprendimientos</w:t>
            </w:r>
          </w:p>
        </w:tc>
      </w:tr>
      <w:tr w:rsidR="00B37D8A" w:rsidRPr="00545769" w:rsidTr="005C06FF">
        <w:trPr>
          <w:cantSplit/>
          <w:trHeight w:val="57"/>
          <w:jc w:val="center"/>
        </w:trPr>
        <w:tc>
          <w:tcPr>
            <w:tcW w:w="1701" w:type="pct"/>
            <w:tcBorders>
              <w:top w:val="nil"/>
              <w:left w:val="single" w:sz="4" w:space="0" w:color="auto"/>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Servicio de internet</w:t>
            </w:r>
          </w:p>
        </w:tc>
        <w:tc>
          <w:tcPr>
            <w:tcW w:w="952"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500</w:t>
            </w:r>
          </w:p>
        </w:tc>
        <w:tc>
          <w:tcPr>
            <w:tcW w:w="802"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6.000</w:t>
            </w:r>
          </w:p>
        </w:tc>
        <w:tc>
          <w:tcPr>
            <w:tcW w:w="1545"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Emprendimientos</w:t>
            </w:r>
          </w:p>
        </w:tc>
      </w:tr>
      <w:tr w:rsidR="00B37D8A" w:rsidRPr="00545769" w:rsidTr="005C06FF">
        <w:trPr>
          <w:cantSplit/>
          <w:trHeight w:val="57"/>
          <w:jc w:val="center"/>
        </w:trPr>
        <w:tc>
          <w:tcPr>
            <w:tcW w:w="1701" w:type="pct"/>
            <w:tcBorders>
              <w:top w:val="nil"/>
              <w:left w:val="single" w:sz="4" w:space="0" w:color="auto"/>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Electricidad</w:t>
            </w:r>
          </w:p>
        </w:tc>
        <w:tc>
          <w:tcPr>
            <w:tcW w:w="952"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500</w:t>
            </w:r>
          </w:p>
        </w:tc>
        <w:tc>
          <w:tcPr>
            <w:tcW w:w="802"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6.000</w:t>
            </w:r>
          </w:p>
        </w:tc>
        <w:tc>
          <w:tcPr>
            <w:tcW w:w="1545"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Emprendimientos</w:t>
            </w:r>
          </w:p>
        </w:tc>
      </w:tr>
      <w:tr w:rsidR="00B37D8A" w:rsidRPr="00545769" w:rsidTr="005C06FF">
        <w:trPr>
          <w:cantSplit/>
          <w:trHeight w:val="57"/>
          <w:jc w:val="center"/>
        </w:trPr>
        <w:tc>
          <w:tcPr>
            <w:tcW w:w="1701" w:type="pct"/>
            <w:tcBorders>
              <w:top w:val="nil"/>
              <w:left w:val="single" w:sz="4" w:space="0" w:color="auto"/>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Gas</w:t>
            </w:r>
          </w:p>
        </w:tc>
        <w:tc>
          <w:tcPr>
            <w:tcW w:w="952"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500</w:t>
            </w:r>
          </w:p>
        </w:tc>
        <w:tc>
          <w:tcPr>
            <w:tcW w:w="802"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6.000</w:t>
            </w:r>
          </w:p>
        </w:tc>
        <w:tc>
          <w:tcPr>
            <w:tcW w:w="1545"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Emprendimientos</w:t>
            </w:r>
          </w:p>
        </w:tc>
      </w:tr>
      <w:tr w:rsidR="00B37D8A" w:rsidRPr="00545769" w:rsidTr="005C06FF">
        <w:trPr>
          <w:cantSplit/>
          <w:trHeight w:val="57"/>
          <w:jc w:val="center"/>
        </w:trPr>
        <w:tc>
          <w:tcPr>
            <w:tcW w:w="1701" w:type="pct"/>
            <w:tcBorders>
              <w:top w:val="nil"/>
              <w:left w:val="single" w:sz="4" w:space="0" w:color="auto"/>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Municipalidad</w:t>
            </w:r>
          </w:p>
        </w:tc>
        <w:tc>
          <w:tcPr>
            <w:tcW w:w="952"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150</w:t>
            </w:r>
          </w:p>
        </w:tc>
        <w:tc>
          <w:tcPr>
            <w:tcW w:w="802"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1.800</w:t>
            </w:r>
          </w:p>
        </w:tc>
        <w:tc>
          <w:tcPr>
            <w:tcW w:w="1545"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Emprendimientos</w:t>
            </w:r>
          </w:p>
        </w:tc>
      </w:tr>
      <w:tr w:rsidR="00B37D8A" w:rsidRPr="00545769" w:rsidTr="005C06FF">
        <w:trPr>
          <w:cantSplit/>
          <w:trHeight w:val="57"/>
          <w:jc w:val="center"/>
        </w:trPr>
        <w:tc>
          <w:tcPr>
            <w:tcW w:w="1701" w:type="pct"/>
            <w:tcBorders>
              <w:top w:val="nil"/>
              <w:left w:val="single" w:sz="4" w:space="0" w:color="auto"/>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Impuesto Autónomo</w:t>
            </w:r>
          </w:p>
        </w:tc>
        <w:tc>
          <w:tcPr>
            <w:tcW w:w="952"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700</w:t>
            </w:r>
          </w:p>
        </w:tc>
        <w:tc>
          <w:tcPr>
            <w:tcW w:w="802"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8.400</w:t>
            </w:r>
          </w:p>
        </w:tc>
        <w:tc>
          <w:tcPr>
            <w:tcW w:w="1545"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Parque Biotecnológico</w:t>
            </w:r>
          </w:p>
        </w:tc>
      </w:tr>
      <w:tr w:rsidR="00B37D8A" w:rsidRPr="00545769" w:rsidTr="005C06FF">
        <w:trPr>
          <w:cantSplit/>
          <w:trHeight w:val="57"/>
          <w:jc w:val="center"/>
        </w:trPr>
        <w:tc>
          <w:tcPr>
            <w:tcW w:w="1701" w:type="pct"/>
            <w:tcBorders>
              <w:top w:val="nil"/>
              <w:left w:val="single" w:sz="4" w:space="0" w:color="auto"/>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Seguridad (Alarma)</w:t>
            </w:r>
          </w:p>
        </w:tc>
        <w:tc>
          <w:tcPr>
            <w:tcW w:w="952"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1.200</w:t>
            </w:r>
          </w:p>
        </w:tc>
        <w:tc>
          <w:tcPr>
            <w:tcW w:w="802"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14.400</w:t>
            </w:r>
          </w:p>
        </w:tc>
        <w:tc>
          <w:tcPr>
            <w:tcW w:w="1545"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Emprendimientos</w:t>
            </w:r>
          </w:p>
        </w:tc>
      </w:tr>
      <w:tr w:rsidR="00B37D8A" w:rsidRPr="00545769" w:rsidTr="005C06FF">
        <w:trPr>
          <w:cantSplit/>
          <w:trHeight w:val="57"/>
          <w:jc w:val="center"/>
        </w:trPr>
        <w:tc>
          <w:tcPr>
            <w:tcW w:w="1701" w:type="pct"/>
            <w:tcBorders>
              <w:top w:val="nil"/>
              <w:left w:val="single" w:sz="4" w:space="0" w:color="auto"/>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Limpieza</w:t>
            </w:r>
          </w:p>
        </w:tc>
        <w:tc>
          <w:tcPr>
            <w:tcW w:w="952"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2.000</w:t>
            </w:r>
          </w:p>
        </w:tc>
        <w:tc>
          <w:tcPr>
            <w:tcW w:w="802"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24.000</w:t>
            </w:r>
          </w:p>
        </w:tc>
        <w:tc>
          <w:tcPr>
            <w:tcW w:w="1545"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Emprendimientos</w:t>
            </w:r>
          </w:p>
        </w:tc>
      </w:tr>
      <w:tr w:rsidR="00B37D8A" w:rsidRPr="00545769" w:rsidTr="005C06FF">
        <w:trPr>
          <w:cantSplit/>
          <w:trHeight w:val="57"/>
          <w:jc w:val="center"/>
        </w:trPr>
        <w:tc>
          <w:tcPr>
            <w:tcW w:w="1701" w:type="pct"/>
            <w:tcBorders>
              <w:top w:val="nil"/>
              <w:left w:val="single" w:sz="4" w:space="0" w:color="auto"/>
              <w:bottom w:val="single" w:sz="4" w:space="0" w:color="auto"/>
              <w:right w:val="single" w:sz="4" w:space="0" w:color="auto"/>
            </w:tcBorders>
            <w:shd w:val="clear" w:color="000000" w:fill="FFFFFF"/>
            <w:noWrap/>
            <w:vAlign w:val="bottom"/>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Stock materiales laboratorio</w:t>
            </w:r>
          </w:p>
        </w:tc>
        <w:tc>
          <w:tcPr>
            <w:tcW w:w="952"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1.000</w:t>
            </w:r>
          </w:p>
        </w:tc>
        <w:tc>
          <w:tcPr>
            <w:tcW w:w="802"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12.000</w:t>
            </w:r>
          </w:p>
        </w:tc>
        <w:tc>
          <w:tcPr>
            <w:tcW w:w="1545" w:type="pct"/>
            <w:tcBorders>
              <w:top w:val="nil"/>
              <w:left w:val="nil"/>
              <w:bottom w:val="single" w:sz="4" w:space="0" w:color="auto"/>
              <w:right w:val="single" w:sz="4" w:space="0" w:color="auto"/>
            </w:tcBorders>
            <w:shd w:val="clear" w:color="000000" w:fill="FFFFFF"/>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Parque Biotecnológico</w:t>
            </w:r>
          </w:p>
        </w:tc>
      </w:tr>
      <w:tr w:rsidR="00B37D8A" w:rsidRPr="00545769" w:rsidTr="005C06FF">
        <w:trPr>
          <w:cantSplit/>
          <w:trHeight w:val="57"/>
          <w:jc w:val="center"/>
        </w:trPr>
        <w:tc>
          <w:tcPr>
            <w:tcW w:w="1701"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B37D8A" w:rsidRPr="00545769" w:rsidRDefault="00B37D8A" w:rsidP="0085600D">
            <w:pPr>
              <w:spacing w:after="0" w:line="240" w:lineRule="auto"/>
              <w:rPr>
                <w:rFonts w:ascii="Arial" w:hAnsi="Arial" w:cs="Arial"/>
                <w:sz w:val="18"/>
                <w:szCs w:val="18"/>
              </w:rPr>
            </w:pPr>
            <w:r w:rsidRPr="00545769">
              <w:rPr>
                <w:rFonts w:ascii="Arial" w:hAnsi="Arial" w:cs="Arial"/>
                <w:sz w:val="18"/>
                <w:szCs w:val="18"/>
              </w:rPr>
              <w:t>Total</w:t>
            </w:r>
          </w:p>
        </w:tc>
        <w:tc>
          <w:tcPr>
            <w:tcW w:w="952" w:type="pct"/>
            <w:tcBorders>
              <w:top w:val="single" w:sz="4" w:space="0" w:color="auto"/>
              <w:left w:val="nil"/>
              <w:bottom w:val="single" w:sz="4" w:space="0" w:color="auto"/>
              <w:right w:val="single" w:sz="4" w:space="0" w:color="auto"/>
            </w:tcBorders>
            <w:shd w:val="clear" w:color="auto" w:fill="D9D9D9"/>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112.000</w:t>
            </w:r>
          </w:p>
        </w:tc>
        <w:tc>
          <w:tcPr>
            <w:tcW w:w="802" w:type="pct"/>
            <w:tcBorders>
              <w:top w:val="single" w:sz="4" w:space="0" w:color="auto"/>
              <w:left w:val="nil"/>
              <w:bottom w:val="single" w:sz="4" w:space="0" w:color="auto"/>
              <w:right w:val="single" w:sz="4" w:space="0" w:color="auto"/>
            </w:tcBorders>
            <w:shd w:val="clear" w:color="auto" w:fill="D9D9D9"/>
            <w:noWrap/>
            <w:vAlign w:val="center"/>
          </w:tcPr>
          <w:p w:rsidR="00B37D8A" w:rsidRPr="00545769" w:rsidRDefault="00B37D8A" w:rsidP="0085600D">
            <w:pPr>
              <w:spacing w:after="0" w:line="240" w:lineRule="auto"/>
              <w:jc w:val="center"/>
              <w:rPr>
                <w:rFonts w:ascii="Arial" w:hAnsi="Arial" w:cs="Arial"/>
                <w:color w:val="000000"/>
                <w:sz w:val="18"/>
                <w:szCs w:val="18"/>
              </w:rPr>
            </w:pPr>
            <w:r w:rsidRPr="00545769">
              <w:rPr>
                <w:rFonts w:ascii="Arial" w:hAnsi="Arial" w:cs="Arial"/>
                <w:color w:val="000000"/>
                <w:sz w:val="18"/>
                <w:szCs w:val="18"/>
              </w:rPr>
              <w:t>162.600</w:t>
            </w:r>
          </w:p>
        </w:tc>
        <w:tc>
          <w:tcPr>
            <w:tcW w:w="1545" w:type="pct"/>
            <w:tcBorders>
              <w:top w:val="single" w:sz="4" w:space="0" w:color="auto"/>
              <w:left w:val="nil"/>
              <w:bottom w:val="single" w:sz="4" w:space="0" w:color="auto"/>
              <w:right w:val="single" w:sz="4" w:space="0" w:color="auto"/>
            </w:tcBorders>
            <w:shd w:val="clear" w:color="auto" w:fill="D9D9D9"/>
            <w:noWrap/>
            <w:vAlign w:val="center"/>
          </w:tcPr>
          <w:p w:rsidR="00B37D8A" w:rsidRPr="00545769" w:rsidRDefault="00B37D8A" w:rsidP="0085600D">
            <w:pPr>
              <w:spacing w:after="0" w:line="240" w:lineRule="auto"/>
              <w:jc w:val="center"/>
              <w:rPr>
                <w:rFonts w:ascii="Arial" w:hAnsi="Arial" w:cs="Arial"/>
                <w:color w:val="000000"/>
                <w:sz w:val="18"/>
                <w:szCs w:val="18"/>
              </w:rPr>
            </w:pPr>
          </w:p>
        </w:tc>
      </w:tr>
    </w:tbl>
    <w:p w:rsidR="00B37D8A" w:rsidRDefault="00B37D8A" w:rsidP="00E40ABE">
      <w:pPr>
        <w:jc w:val="both"/>
        <w:rPr>
          <w:rFonts w:ascii="Times New Roman" w:hAnsi="Times New Roman"/>
          <w:b/>
          <w:bCs/>
          <w:color w:val="53548A"/>
          <w:sz w:val="26"/>
          <w:szCs w:val="26"/>
          <w:lang w:val="es-ES" w:eastAsia="es-ES"/>
        </w:rPr>
      </w:pPr>
    </w:p>
    <w:p w:rsidR="00B37D8A" w:rsidRPr="00E40ABE" w:rsidRDefault="00B37D8A" w:rsidP="006101E8">
      <w:pPr>
        <w:pStyle w:val="Heading2"/>
        <w:spacing w:after="240"/>
        <w:rPr>
          <w:rFonts w:ascii="Times New Roman" w:hAnsi="Times New Roman"/>
          <w:b w:val="0"/>
          <w:bCs w:val="0"/>
          <w:lang w:val="es-ES"/>
        </w:rPr>
      </w:pPr>
      <w:bookmarkStart w:id="39" w:name="_Toc362804619"/>
      <w:r w:rsidRPr="00327834">
        <w:rPr>
          <w:rFonts w:ascii="Times New Roman" w:hAnsi="Times New Roman"/>
          <w:lang w:val="es-AR"/>
        </w:rPr>
        <w:t xml:space="preserve">Supuestos </w:t>
      </w:r>
      <w:r w:rsidR="00327834" w:rsidRPr="00327834">
        <w:rPr>
          <w:rFonts w:ascii="Times New Roman" w:hAnsi="Times New Roman"/>
          <w:lang w:val="es-AR"/>
        </w:rPr>
        <w:t xml:space="preserve">y parámetros </w:t>
      </w:r>
      <w:r w:rsidRPr="00327834">
        <w:rPr>
          <w:rFonts w:ascii="Times New Roman" w:hAnsi="Times New Roman"/>
          <w:lang w:val="es-AR"/>
        </w:rPr>
        <w:t>del análisis</w:t>
      </w:r>
      <w:bookmarkEnd w:id="39"/>
    </w:p>
    <w:p w:rsidR="00B37D8A" w:rsidRDefault="00B37D8A" w:rsidP="00E40ABE">
      <w:pPr>
        <w:jc w:val="both"/>
        <w:rPr>
          <w:rFonts w:ascii="Times New Roman" w:hAnsi="Times New Roman"/>
          <w:sz w:val="24"/>
          <w:szCs w:val="24"/>
        </w:rPr>
      </w:pPr>
      <w:r>
        <w:rPr>
          <w:rFonts w:ascii="Times New Roman" w:hAnsi="Times New Roman"/>
          <w:sz w:val="24"/>
          <w:szCs w:val="24"/>
        </w:rPr>
        <w:t>Para el análisis económico del proyecto, los supuestos establecidos son:</w:t>
      </w:r>
    </w:p>
    <w:p w:rsidR="00B37D8A" w:rsidRDefault="00B37D8A" w:rsidP="00E40ABE">
      <w:pPr>
        <w:numPr>
          <w:ilvl w:val="0"/>
          <w:numId w:val="13"/>
        </w:numPr>
        <w:tabs>
          <w:tab w:val="right" w:pos="851"/>
        </w:tabs>
        <w:spacing w:after="0"/>
        <w:ind w:left="851" w:hanging="491"/>
        <w:jc w:val="both"/>
        <w:rPr>
          <w:rFonts w:ascii="Times New Roman" w:hAnsi="Times New Roman"/>
          <w:sz w:val="24"/>
        </w:rPr>
      </w:pPr>
      <w:r>
        <w:rPr>
          <w:rFonts w:ascii="Times New Roman" w:hAnsi="Times New Roman"/>
          <w:sz w:val="24"/>
        </w:rPr>
        <w:t xml:space="preserve">Los ingresos por alquiler y expensas, así como los costos operativos se suponen constantes en todo el período. </w:t>
      </w:r>
    </w:p>
    <w:p w:rsidR="007C265A" w:rsidRDefault="007C265A" w:rsidP="007C265A">
      <w:pPr>
        <w:numPr>
          <w:ilvl w:val="0"/>
          <w:numId w:val="13"/>
        </w:numPr>
        <w:tabs>
          <w:tab w:val="right" w:pos="851"/>
        </w:tabs>
        <w:spacing w:after="0"/>
        <w:ind w:left="851" w:hanging="491"/>
        <w:jc w:val="both"/>
        <w:rPr>
          <w:rFonts w:ascii="Times New Roman" w:hAnsi="Times New Roman"/>
          <w:sz w:val="24"/>
        </w:rPr>
      </w:pPr>
      <w:r w:rsidRPr="00093D29">
        <w:rPr>
          <w:rFonts w:ascii="Times New Roman" w:hAnsi="Times New Roman"/>
          <w:sz w:val="24"/>
        </w:rPr>
        <w:t>Dado que no se cuenta con información sobre ventas de empresas argentinas del subsector de energías renovables</w:t>
      </w:r>
      <w:r>
        <w:rPr>
          <w:rFonts w:ascii="Times New Roman" w:hAnsi="Times New Roman"/>
          <w:sz w:val="24"/>
        </w:rPr>
        <w:t xml:space="preserve">, la totalidad de los proyectos a instalarse en el parque serán considerados como de biotecnología. Este supuesto puede conducir a una subestimación de los resultados del subcomponente, dado que el sector energías renovables </w:t>
      </w:r>
      <w:r w:rsidR="006B5EBA">
        <w:rPr>
          <w:rFonts w:ascii="Times New Roman" w:hAnsi="Times New Roman"/>
          <w:sz w:val="24"/>
        </w:rPr>
        <w:t xml:space="preserve">ha tenido un comportamiento extremadamente </w:t>
      </w:r>
      <w:r>
        <w:rPr>
          <w:rFonts w:ascii="Times New Roman" w:hAnsi="Times New Roman"/>
          <w:sz w:val="24"/>
        </w:rPr>
        <w:t xml:space="preserve">dinámico </w:t>
      </w:r>
      <w:r w:rsidR="006B5EBA">
        <w:rPr>
          <w:rFonts w:ascii="Times New Roman" w:hAnsi="Times New Roman"/>
          <w:sz w:val="24"/>
        </w:rPr>
        <w:t>en los últimos años en Argentina (Stubrin, Marin and Kababe, 2013)</w:t>
      </w:r>
      <w:r>
        <w:rPr>
          <w:rFonts w:ascii="Times New Roman" w:hAnsi="Times New Roman"/>
          <w:sz w:val="24"/>
        </w:rPr>
        <w:t xml:space="preserve">. </w:t>
      </w:r>
    </w:p>
    <w:p w:rsidR="00B37D8A" w:rsidRDefault="00B37D8A" w:rsidP="00E40ABE">
      <w:pPr>
        <w:numPr>
          <w:ilvl w:val="0"/>
          <w:numId w:val="13"/>
        </w:numPr>
        <w:tabs>
          <w:tab w:val="right" w:pos="851"/>
        </w:tabs>
        <w:spacing w:after="0"/>
        <w:ind w:left="851" w:hanging="491"/>
        <w:jc w:val="both"/>
        <w:rPr>
          <w:rFonts w:ascii="Times New Roman" w:hAnsi="Times New Roman"/>
          <w:sz w:val="24"/>
        </w:rPr>
      </w:pPr>
      <w:r>
        <w:rPr>
          <w:rFonts w:ascii="Times New Roman" w:hAnsi="Times New Roman"/>
          <w:sz w:val="24"/>
        </w:rPr>
        <w:t xml:space="preserve">La facturación </w:t>
      </w:r>
      <w:r w:rsidR="006B5EBA">
        <w:rPr>
          <w:rFonts w:ascii="Times New Roman" w:hAnsi="Times New Roman"/>
          <w:sz w:val="24"/>
        </w:rPr>
        <w:t xml:space="preserve">inicial </w:t>
      </w:r>
      <w:r>
        <w:rPr>
          <w:rFonts w:ascii="Times New Roman" w:hAnsi="Times New Roman"/>
          <w:sz w:val="24"/>
        </w:rPr>
        <w:t xml:space="preserve">de las empresas que se instalarán en el parque </w:t>
      </w:r>
      <w:r w:rsidR="006B5EBA">
        <w:rPr>
          <w:rFonts w:ascii="Times New Roman" w:hAnsi="Times New Roman"/>
          <w:sz w:val="24"/>
        </w:rPr>
        <w:t>se estimó en</w:t>
      </w:r>
      <w:r>
        <w:rPr>
          <w:rFonts w:ascii="Times New Roman" w:hAnsi="Times New Roman"/>
          <w:sz w:val="24"/>
        </w:rPr>
        <w:t xml:space="preserve"> ARS 200.000</w:t>
      </w:r>
      <w:r w:rsidR="006B5EBA">
        <w:rPr>
          <w:rFonts w:ascii="Times New Roman" w:hAnsi="Times New Roman"/>
          <w:sz w:val="24"/>
        </w:rPr>
        <w:t>. este supuesto es</w:t>
      </w:r>
      <w:r w:rsidRPr="00093D29">
        <w:rPr>
          <w:rFonts w:ascii="Times New Roman" w:hAnsi="Times New Roman"/>
          <w:sz w:val="24"/>
        </w:rPr>
        <w:t xml:space="preserve"> arbitrario dada la falta de disponibilidad de información sobre la facturación actual de dichas firmas</w:t>
      </w:r>
      <w:r w:rsidR="006B5EBA">
        <w:rPr>
          <w:rFonts w:ascii="Times New Roman" w:hAnsi="Times New Roman"/>
          <w:sz w:val="24"/>
        </w:rPr>
        <w:t>, y por esto lo modificamos en el análisis de sensibilidad</w:t>
      </w:r>
      <w:r w:rsidRPr="00093D29">
        <w:rPr>
          <w:rFonts w:ascii="Times New Roman" w:hAnsi="Times New Roman"/>
          <w:sz w:val="24"/>
        </w:rPr>
        <w:t>.</w:t>
      </w:r>
    </w:p>
    <w:p w:rsidR="006B5EBA" w:rsidRDefault="006B5EBA" w:rsidP="00E40ABE">
      <w:pPr>
        <w:numPr>
          <w:ilvl w:val="0"/>
          <w:numId w:val="13"/>
        </w:numPr>
        <w:tabs>
          <w:tab w:val="right" w:pos="851"/>
        </w:tabs>
        <w:spacing w:after="0"/>
        <w:ind w:left="851" w:hanging="491"/>
        <w:jc w:val="both"/>
        <w:rPr>
          <w:rFonts w:ascii="Times New Roman" w:hAnsi="Times New Roman"/>
          <w:sz w:val="24"/>
        </w:rPr>
      </w:pPr>
      <w:r w:rsidRPr="006B5EBA">
        <w:rPr>
          <w:rFonts w:ascii="Times New Roman" w:hAnsi="Times New Roman"/>
          <w:sz w:val="24"/>
        </w:rPr>
        <w:t>L</w:t>
      </w:r>
      <w:r w:rsidR="00B37D8A" w:rsidRPr="006B5EBA">
        <w:rPr>
          <w:rFonts w:ascii="Times New Roman" w:hAnsi="Times New Roman"/>
          <w:sz w:val="24"/>
        </w:rPr>
        <w:t xml:space="preserve">a facturación de </w:t>
      </w:r>
      <w:r w:rsidRPr="006B5EBA">
        <w:rPr>
          <w:rFonts w:ascii="Times New Roman" w:hAnsi="Times New Roman"/>
          <w:sz w:val="24"/>
        </w:rPr>
        <w:t>una</w:t>
      </w:r>
      <w:r w:rsidR="00B37D8A" w:rsidRPr="006B5EBA">
        <w:rPr>
          <w:rFonts w:ascii="Times New Roman" w:hAnsi="Times New Roman"/>
          <w:sz w:val="24"/>
        </w:rPr>
        <w:t xml:space="preserve"> empresa de biotecnología </w:t>
      </w:r>
      <w:r w:rsidRPr="006B5EBA">
        <w:rPr>
          <w:rFonts w:ascii="Times New Roman" w:hAnsi="Times New Roman"/>
          <w:sz w:val="24"/>
        </w:rPr>
        <w:t>típica en</w:t>
      </w:r>
      <w:r w:rsidR="00B37D8A" w:rsidRPr="006B5EBA">
        <w:rPr>
          <w:rFonts w:ascii="Times New Roman" w:hAnsi="Times New Roman"/>
          <w:sz w:val="24"/>
        </w:rPr>
        <w:t xml:space="preserve"> Mendoza, </w:t>
      </w:r>
      <w:r w:rsidRPr="006B5EBA">
        <w:rPr>
          <w:rFonts w:ascii="Times New Roman" w:hAnsi="Times New Roman"/>
          <w:sz w:val="24"/>
        </w:rPr>
        <w:t xml:space="preserve">de ARS 8.268.346 se estimó en </w:t>
      </w:r>
      <w:r w:rsidR="00B37D8A" w:rsidRPr="006B5EBA">
        <w:rPr>
          <w:rFonts w:ascii="Times New Roman" w:hAnsi="Times New Roman"/>
          <w:sz w:val="24"/>
        </w:rPr>
        <w:t xml:space="preserve">que surge </w:t>
      </w:r>
      <w:r w:rsidRPr="006B5EBA">
        <w:rPr>
          <w:rFonts w:ascii="Times New Roman" w:hAnsi="Times New Roman"/>
          <w:sz w:val="24"/>
        </w:rPr>
        <w:t xml:space="preserve">en base a </w:t>
      </w:r>
      <w:r w:rsidR="00B37D8A" w:rsidRPr="006B5EBA">
        <w:rPr>
          <w:rFonts w:ascii="Times New Roman" w:hAnsi="Times New Roman"/>
          <w:sz w:val="24"/>
        </w:rPr>
        <w:t>datos de Anlló, Bisang y Sturbin (2011) para Argentina</w:t>
      </w:r>
      <w:r w:rsidR="007C265A" w:rsidRPr="006B5EBA">
        <w:rPr>
          <w:rFonts w:ascii="Times New Roman" w:hAnsi="Times New Roman"/>
          <w:sz w:val="24"/>
        </w:rPr>
        <w:t>,</w:t>
      </w:r>
      <w:r w:rsidR="00B37D8A" w:rsidRPr="006B5EBA">
        <w:rPr>
          <w:rFonts w:ascii="Times New Roman" w:hAnsi="Times New Roman"/>
          <w:sz w:val="24"/>
        </w:rPr>
        <w:t xml:space="preserve"> ponderados por la composición de las firmas mendocinas según UNC (2012)</w:t>
      </w:r>
      <w:r w:rsidR="00854936" w:rsidRPr="006B5EBA">
        <w:rPr>
          <w:rFonts w:ascii="Times New Roman" w:hAnsi="Times New Roman"/>
          <w:sz w:val="24"/>
        </w:rPr>
        <w:t xml:space="preserve"> y </w:t>
      </w:r>
      <w:r w:rsidRPr="006B5EBA">
        <w:rPr>
          <w:rFonts w:ascii="Times New Roman" w:hAnsi="Times New Roman"/>
          <w:sz w:val="24"/>
        </w:rPr>
        <w:t>de los</w:t>
      </w:r>
      <w:r w:rsidR="00854936" w:rsidRPr="006B5EBA">
        <w:rPr>
          <w:rFonts w:ascii="Times New Roman" w:hAnsi="Times New Roman"/>
          <w:sz w:val="24"/>
        </w:rPr>
        <w:t xml:space="preserve"> proyectos a instalarse en el PByER</w:t>
      </w:r>
      <w:r>
        <w:rPr>
          <w:rFonts w:ascii="Times New Roman" w:hAnsi="Times New Roman"/>
          <w:sz w:val="24"/>
        </w:rPr>
        <w:t>.</w:t>
      </w:r>
    </w:p>
    <w:p w:rsidR="006B5EBA" w:rsidRDefault="00EE1BF8" w:rsidP="00E40ABE">
      <w:pPr>
        <w:numPr>
          <w:ilvl w:val="0"/>
          <w:numId w:val="13"/>
        </w:numPr>
        <w:tabs>
          <w:tab w:val="right" w:pos="851"/>
        </w:tabs>
        <w:spacing w:after="0"/>
        <w:ind w:left="851" w:hanging="491"/>
        <w:jc w:val="both"/>
        <w:rPr>
          <w:rFonts w:ascii="Times New Roman" w:hAnsi="Times New Roman"/>
          <w:sz w:val="24"/>
        </w:rPr>
      </w:pPr>
      <w:r w:rsidRPr="006B5EBA">
        <w:rPr>
          <w:rFonts w:ascii="Times New Roman" w:hAnsi="Times New Roman"/>
          <w:sz w:val="24"/>
        </w:rPr>
        <w:t>Se toman dos subconjuntos de proyectos a ins</w:t>
      </w:r>
      <w:r w:rsidR="006B5EBA" w:rsidRPr="006B5EBA">
        <w:rPr>
          <w:rFonts w:ascii="Times New Roman" w:hAnsi="Times New Roman"/>
          <w:sz w:val="24"/>
        </w:rPr>
        <w:t xml:space="preserve">talarse en el PByER de acuerdo al crecimiento en la </w:t>
      </w:r>
      <w:r w:rsidRPr="006B5EBA">
        <w:rPr>
          <w:rFonts w:ascii="Times New Roman" w:hAnsi="Times New Roman"/>
          <w:sz w:val="24"/>
        </w:rPr>
        <w:t xml:space="preserve">facturación esperada. </w:t>
      </w:r>
      <w:r w:rsidR="006B5EBA" w:rsidRPr="006B5EBA">
        <w:rPr>
          <w:rFonts w:ascii="Times New Roman" w:hAnsi="Times New Roman"/>
          <w:sz w:val="24"/>
        </w:rPr>
        <w:t>Las empresas tipo 1,</w:t>
      </w:r>
      <w:r w:rsidR="007913AF" w:rsidRPr="006B5EBA">
        <w:rPr>
          <w:rFonts w:ascii="Times New Roman" w:hAnsi="Times New Roman"/>
          <w:sz w:val="24"/>
        </w:rPr>
        <w:t xml:space="preserve"> </w:t>
      </w:r>
      <w:r w:rsidR="006B5EBA" w:rsidRPr="006B5EBA">
        <w:rPr>
          <w:rFonts w:ascii="Times New Roman" w:hAnsi="Times New Roman"/>
          <w:sz w:val="24"/>
        </w:rPr>
        <w:t>se espera que</w:t>
      </w:r>
      <w:r w:rsidR="007913AF" w:rsidRPr="006B5EBA">
        <w:rPr>
          <w:rFonts w:ascii="Times New Roman" w:hAnsi="Times New Roman"/>
          <w:sz w:val="24"/>
        </w:rPr>
        <w:t xml:space="preserve"> </w:t>
      </w:r>
      <w:r w:rsidR="00B37D8A" w:rsidRPr="006B5EBA">
        <w:rPr>
          <w:rFonts w:ascii="Times New Roman" w:hAnsi="Times New Roman"/>
          <w:sz w:val="24"/>
        </w:rPr>
        <w:t>alcance</w:t>
      </w:r>
      <w:r w:rsidR="007913AF" w:rsidRPr="006B5EBA">
        <w:rPr>
          <w:rFonts w:ascii="Times New Roman" w:hAnsi="Times New Roman"/>
          <w:sz w:val="24"/>
        </w:rPr>
        <w:t>n</w:t>
      </w:r>
      <w:r w:rsidR="00B37D8A" w:rsidRPr="006B5EBA">
        <w:rPr>
          <w:rFonts w:ascii="Times New Roman" w:hAnsi="Times New Roman"/>
          <w:sz w:val="24"/>
        </w:rPr>
        <w:t xml:space="preserve"> en el lapso de 20 años un monto de ventas </w:t>
      </w:r>
      <w:r w:rsidR="0019284E" w:rsidRPr="006B5EBA">
        <w:rPr>
          <w:rFonts w:ascii="Times New Roman" w:hAnsi="Times New Roman"/>
          <w:sz w:val="24"/>
        </w:rPr>
        <w:t xml:space="preserve">de ARS 4.134.173, </w:t>
      </w:r>
      <w:r w:rsidR="00B37D8A" w:rsidRPr="006B5EBA">
        <w:rPr>
          <w:rFonts w:ascii="Times New Roman" w:hAnsi="Times New Roman"/>
          <w:sz w:val="24"/>
        </w:rPr>
        <w:t>equivalente al 5</w:t>
      </w:r>
      <w:r w:rsidR="007913AF" w:rsidRPr="006B5EBA">
        <w:rPr>
          <w:rFonts w:ascii="Times New Roman" w:hAnsi="Times New Roman"/>
          <w:sz w:val="24"/>
        </w:rPr>
        <w:t>0</w:t>
      </w:r>
      <w:r w:rsidR="00B37D8A" w:rsidRPr="006B5EBA">
        <w:rPr>
          <w:rFonts w:ascii="Times New Roman" w:hAnsi="Times New Roman"/>
          <w:sz w:val="24"/>
        </w:rPr>
        <w:t>% de las de una firma biotecnológica mendocina</w:t>
      </w:r>
      <w:r w:rsidR="007913AF" w:rsidRPr="006B5EBA">
        <w:rPr>
          <w:rFonts w:ascii="Times New Roman" w:hAnsi="Times New Roman"/>
          <w:sz w:val="24"/>
        </w:rPr>
        <w:t xml:space="preserve">, lo que </w:t>
      </w:r>
      <w:r w:rsidR="00B37D8A" w:rsidRPr="006B5EBA">
        <w:rPr>
          <w:rFonts w:ascii="Times New Roman" w:hAnsi="Times New Roman"/>
          <w:sz w:val="24"/>
        </w:rPr>
        <w:t>implica suponer una tasa de crecim</w:t>
      </w:r>
      <w:r w:rsidR="007913AF" w:rsidRPr="006B5EBA">
        <w:rPr>
          <w:rFonts w:ascii="Times New Roman" w:hAnsi="Times New Roman"/>
          <w:sz w:val="24"/>
        </w:rPr>
        <w:t>iento anual acumulativa del 17%</w:t>
      </w:r>
      <w:r w:rsidR="006B5EBA" w:rsidRPr="006B5EBA">
        <w:rPr>
          <w:rFonts w:ascii="Times New Roman" w:hAnsi="Times New Roman"/>
          <w:sz w:val="24"/>
        </w:rPr>
        <w:t>. Las empresas tipo 2</w:t>
      </w:r>
      <w:r w:rsidRPr="006B5EBA">
        <w:rPr>
          <w:rFonts w:ascii="Times New Roman" w:hAnsi="Times New Roman"/>
          <w:sz w:val="24"/>
        </w:rPr>
        <w:t xml:space="preserve"> se espera que </w:t>
      </w:r>
      <w:r w:rsidR="007913AF" w:rsidRPr="006B5EBA">
        <w:rPr>
          <w:rFonts w:ascii="Times New Roman" w:hAnsi="Times New Roman"/>
          <w:sz w:val="24"/>
        </w:rPr>
        <w:t xml:space="preserve"> </w:t>
      </w:r>
      <w:r w:rsidR="006B5EBA" w:rsidRPr="006B5EBA">
        <w:rPr>
          <w:rFonts w:ascii="Times New Roman" w:hAnsi="Times New Roman"/>
          <w:sz w:val="24"/>
        </w:rPr>
        <w:t xml:space="preserve">alcancen en el lapso de 20 años una facturación de </w:t>
      </w:r>
      <w:r w:rsidR="0019284E" w:rsidRPr="006B5EBA">
        <w:rPr>
          <w:rFonts w:ascii="Times New Roman" w:hAnsi="Times New Roman"/>
          <w:sz w:val="24"/>
        </w:rPr>
        <w:t xml:space="preserve">ARS 620.126, </w:t>
      </w:r>
      <w:r w:rsidR="006B5EBA" w:rsidRPr="006B5EBA">
        <w:rPr>
          <w:rFonts w:ascii="Times New Roman" w:hAnsi="Times New Roman"/>
          <w:sz w:val="24"/>
        </w:rPr>
        <w:t xml:space="preserve">lo que equivale a un </w:t>
      </w:r>
      <w:r w:rsidR="005179BA" w:rsidRPr="006B5EBA">
        <w:rPr>
          <w:rFonts w:ascii="Times New Roman" w:hAnsi="Times New Roman"/>
          <w:sz w:val="24"/>
        </w:rPr>
        <w:t>7,</w:t>
      </w:r>
      <w:r w:rsidR="007913AF" w:rsidRPr="006B5EBA">
        <w:rPr>
          <w:rFonts w:ascii="Times New Roman" w:hAnsi="Times New Roman"/>
          <w:sz w:val="24"/>
        </w:rPr>
        <w:t xml:space="preserve">5% </w:t>
      </w:r>
      <w:r w:rsidR="006B5EBA" w:rsidRPr="006B5EBA">
        <w:rPr>
          <w:rFonts w:ascii="Times New Roman" w:hAnsi="Times New Roman"/>
          <w:sz w:val="24"/>
        </w:rPr>
        <w:t>de lo que factura la empresa tipo</w:t>
      </w:r>
      <w:r w:rsidR="007913AF" w:rsidRPr="006B5EBA">
        <w:rPr>
          <w:rFonts w:ascii="Times New Roman" w:hAnsi="Times New Roman"/>
          <w:sz w:val="24"/>
        </w:rPr>
        <w:t xml:space="preserve">. En este último caso, la tasa de crecimiento acumulativo de las firmas será del </w:t>
      </w:r>
      <w:r w:rsidR="0019284E" w:rsidRPr="006B5EBA">
        <w:rPr>
          <w:rFonts w:ascii="Times New Roman" w:hAnsi="Times New Roman"/>
          <w:sz w:val="24"/>
        </w:rPr>
        <w:t>6</w:t>
      </w:r>
      <w:r w:rsidR="007913AF" w:rsidRPr="006B5EBA">
        <w:rPr>
          <w:rFonts w:ascii="Times New Roman" w:hAnsi="Times New Roman"/>
          <w:sz w:val="24"/>
        </w:rPr>
        <w:t>% anual</w:t>
      </w:r>
      <w:r w:rsidR="006B5EBA">
        <w:rPr>
          <w:rFonts w:ascii="Times New Roman" w:hAnsi="Times New Roman"/>
          <w:sz w:val="24"/>
        </w:rPr>
        <w:t>.</w:t>
      </w:r>
    </w:p>
    <w:p w:rsidR="00CC45C4" w:rsidRDefault="006B5EBA" w:rsidP="00CC45C4">
      <w:pPr>
        <w:numPr>
          <w:ilvl w:val="0"/>
          <w:numId w:val="13"/>
        </w:numPr>
        <w:tabs>
          <w:tab w:val="right" w:pos="851"/>
        </w:tabs>
        <w:spacing w:after="0"/>
        <w:ind w:left="851" w:hanging="491"/>
        <w:jc w:val="both"/>
        <w:rPr>
          <w:rFonts w:ascii="Times New Roman" w:hAnsi="Times New Roman"/>
          <w:sz w:val="24"/>
        </w:rPr>
      </w:pPr>
      <w:r>
        <w:rPr>
          <w:rFonts w:ascii="Times New Roman" w:hAnsi="Times New Roman"/>
          <w:sz w:val="24"/>
        </w:rPr>
        <w:t>En el análisis inicial, s</w:t>
      </w:r>
      <w:r w:rsidR="00A34589" w:rsidRPr="006B5EBA">
        <w:rPr>
          <w:rFonts w:ascii="Times New Roman" w:hAnsi="Times New Roman"/>
          <w:sz w:val="24"/>
        </w:rPr>
        <w:t xml:space="preserve">e </w:t>
      </w:r>
      <w:r w:rsidR="00090D38" w:rsidRPr="006B5EBA">
        <w:rPr>
          <w:rFonts w:ascii="Times New Roman" w:hAnsi="Times New Roman"/>
          <w:sz w:val="24"/>
        </w:rPr>
        <w:t>supone que de los 11 proyectos que se instalarán en el PByER, c</w:t>
      </w:r>
      <w:r w:rsidR="006203BB" w:rsidRPr="006B5EBA">
        <w:rPr>
          <w:rFonts w:ascii="Times New Roman" w:hAnsi="Times New Roman"/>
          <w:sz w:val="24"/>
        </w:rPr>
        <w:t>uatro</w:t>
      </w:r>
      <w:r w:rsidR="00090D38" w:rsidRPr="006B5EBA">
        <w:rPr>
          <w:rFonts w:ascii="Times New Roman" w:hAnsi="Times New Roman"/>
          <w:sz w:val="24"/>
        </w:rPr>
        <w:t xml:space="preserve"> resultarán de </w:t>
      </w:r>
      <w:r w:rsidR="00A34589" w:rsidRPr="006B5EBA">
        <w:rPr>
          <w:rFonts w:ascii="Times New Roman" w:hAnsi="Times New Roman"/>
          <w:sz w:val="24"/>
        </w:rPr>
        <w:t>tipo (1)</w:t>
      </w:r>
      <w:r w:rsidR="00090D38" w:rsidRPr="006B5EBA">
        <w:rPr>
          <w:rFonts w:ascii="Times New Roman" w:hAnsi="Times New Roman"/>
          <w:sz w:val="24"/>
        </w:rPr>
        <w:t xml:space="preserve">, es decir, que </w:t>
      </w:r>
      <w:r w:rsidR="00B37D8A" w:rsidRPr="006B5EBA">
        <w:rPr>
          <w:rFonts w:ascii="Times New Roman" w:hAnsi="Times New Roman"/>
          <w:sz w:val="24"/>
        </w:rPr>
        <w:t>cumplirán con el objetivo de aumentar su facturación anual en un 1</w:t>
      </w:r>
      <w:r w:rsidR="007C265A" w:rsidRPr="006B5EBA">
        <w:rPr>
          <w:rFonts w:ascii="Times New Roman" w:hAnsi="Times New Roman"/>
          <w:sz w:val="24"/>
        </w:rPr>
        <w:t>7</w:t>
      </w:r>
      <w:r w:rsidR="00B37D8A" w:rsidRPr="006B5EBA">
        <w:rPr>
          <w:rFonts w:ascii="Times New Roman" w:hAnsi="Times New Roman"/>
          <w:sz w:val="24"/>
        </w:rPr>
        <w:t>% en el período analizado</w:t>
      </w:r>
      <w:r w:rsidR="00B93DB1" w:rsidRPr="006B5EBA">
        <w:rPr>
          <w:rFonts w:ascii="Times New Roman" w:hAnsi="Times New Roman"/>
          <w:sz w:val="24"/>
        </w:rPr>
        <w:t>, y</w:t>
      </w:r>
      <w:r w:rsidR="00B37D8A" w:rsidRPr="006B5EBA">
        <w:rPr>
          <w:rFonts w:ascii="Times New Roman" w:hAnsi="Times New Roman"/>
          <w:sz w:val="24"/>
        </w:rPr>
        <w:t xml:space="preserve"> </w:t>
      </w:r>
      <w:r w:rsidR="00B93DB1" w:rsidRPr="006B5EBA">
        <w:rPr>
          <w:rFonts w:ascii="Times New Roman" w:hAnsi="Times New Roman"/>
          <w:sz w:val="24"/>
        </w:rPr>
        <w:t>e</w:t>
      </w:r>
      <w:r w:rsidR="007C265A" w:rsidRPr="006B5EBA">
        <w:rPr>
          <w:rFonts w:ascii="Times New Roman" w:hAnsi="Times New Roman"/>
          <w:sz w:val="24"/>
        </w:rPr>
        <w:t xml:space="preserve">l </w:t>
      </w:r>
      <w:r w:rsidR="00B37D8A" w:rsidRPr="006B5EBA">
        <w:rPr>
          <w:rFonts w:ascii="Times New Roman" w:hAnsi="Times New Roman"/>
          <w:sz w:val="24"/>
        </w:rPr>
        <w:t>resto de las fir</w:t>
      </w:r>
      <w:r w:rsidR="007C265A" w:rsidRPr="006B5EBA">
        <w:rPr>
          <w:rFonts w:ascii="Times New Roman" w:hAnsi="Times New Roman"/>
          <w:sz w:val="24"/>
        </w:rPr>
        <w:t xml:space="preserve">mas localizadas en el parque (siete) </w:t>
      </w:r>
      <w:r w:rsidR="00B37D8A" w:rsidRPr="006B5EBA">
        <w:rPr>
          <w:rFonts w:ascii="Times New Roman" w:hAnsi="Times New Roman"/>
          <w:sz w:val="24"/>
        </w:rPr>
        <w:t xml:space="preserve">incrementarán sus ventas </w:t>
      </w:r>
      <w:r w:rsidR="007C265A" w:rsidRPr="006B5EBA">
        <w:rPr>
          <w:rFonts w:ascii="Times New Roman" w:hAnsi="Times New Roman"/>
          <w:sz w:val="24"/>
        </w:rPr>
        <w:t xml:space="preserve">en un </w:t>
      </w:r>
      <w:r w:rsidR="00B93DB1" w:rsidRPr="006B5EBA">
        <w:rPr>
          <w:rFonts w:ascii="Times New Roman" w:hAnsi="Times New Roman"/>
          <w:sz w:val="24"/>
        </w:rPr>
        <w:t>6</w:t>
      </w:r>
      <w:r w:rsidR="007C265A" w:rsidRPr="006B5EBA">
        <w:rPr>
          <w:rFonts w:ascii="Times New Roman" w:hAnsi="Times New Roman"/>
          <w:sz w:val="24"/>
        </w:rPr>
        <w:t xml:space="preserve">% anual </w:t>
      </w:r>
      <w:r w:rsidR="00B37D8A" w:rsidRPr="006B5EBA">
        <w:rPr>
          <w:rFonts w:ascii="Times New Roman" w:hAnsi="Times New Roman"/>
          <w:sz w:val="24"/>
        </w:rPr>
        <w:t>respecto de su volumen actual</w:t>
      </w:r>
      <w:r w:rsidR="00090D38" w:rsidRPr="006B5EBA">
        <w:rPr>
          <w:rFonts w:ascii="Times New Roman" w:hAnsi="Times New Roman"/>
          <w:sz w:val="24"/>
        </w:rPr>
        <w:t xml:space="preserve">, esto es resultarán </w:t>
      </w:r>
      <w:r w:rsidR="00090D38" w:rsidRPr="006B5EBA">
        <w:rPr>
          <w:rFonts w:ascii="Times New Roman" w:hAnsi="Times New Roman"/>
          <w:sz w:val="24"/>
        </w:rPr>
        <w:lastRenderedPageBreak/>
        <w:t>proyectos tipo (2)</w:t>
      </w:r>
      <w:r w:rsidR="00B37D8A" w:rsidRPr="006B5EBA">
        <w:rPr>
          <w:rFonts w:ascii="Times New Roman" w:hAnsi="Times New Roman"/>
          <w:sz w:val="24"/>
        </w:rPr>
        <w:t>.</w:t>
      </w:r>
      <w:r>
        <w:rPr>
          <w:rFonts w:ascii="Times New Roman" w:hAnsi="Times New Roman"/>
          <w:sz w:val="24"/>
        </w:rPr>
        <w:t xml:space="preserve"> Esta distribución se corresponde con la distribución de tamaños observada en Argentina según </w:t>
      </w:r>
      <w:r w:rsidR="00CE52E7" w:rsidRPr="006B5EBA">
        <w:rPr>
          <w:rFonts w:ascii="Times New Roman" w:hAnsi="Times New Roman"/>
          <w:sz w:val="24"/>
        </w:rPr>
        <w:t>Anlló, Bisang y Sturbin (2011)</w:t>
      </w:r>
      <w:r w:rsidR="00FE3C65">
        <w:rPr>
          <w:rFonts w:ascii="Times New Roman" w:hAnsi="Times New Roman"/>
          <w:sz w:val="24"/>
        </w:rPr>
        <w:t>. D</w:t>
      </w:r>
      <w:r w:rsidR="00CE52E7">
        <w:rPr>
          <w:rFonts w:ascii="Times New Roman" w:hAnsi="Times New Roman"/>
          <w:sz w:val="24"/>
        </w:rPr>
        <w:t xml:space="preserve">ebido a que no estamos seguros </w:t>
      </w:r>
      <w:r w:rsidR="00FE3C65">
        <w:rPr>
          <w:rFonts w:ascii="Times New Roman" w:hAnsi="Times New Roman"/>
          <w:sz w:val="24"/>
        </w:rPr>
        <w:t xml:space="preserve">esta distribución </w:t>
      </w:r>
      <w:r w:rsidR="00CE52E7">
        <w:rPr>
          <w:rFonts w:ascii="Times New Roman" w:hAnsi="Times New Roman"/>
          <w:sz w:val="24"/>
        </w:rPr>
        <w:t>se replique en el parque</w:t>
      </w:r>
      <w:r w:rsidR="00FE3C65">
        <w:rPr>
          <w:rFonts w:ascii="Times New Roman" w:hAnsi="Times New Roman"/>
          <w:sz w:val="24"/>
        </w:rPr>
        <w:t>,</w:t>
      </w:r>
      <w:r w:rsidR="00CE52E7">
        <w:rPr>
          <w:rFonts w:ascii="Times New Roman" w:hAnsi="Times New Roman"/>
          <w:sz w:val="24"/>
        </w:rPr>
        <w:t xml:space="preserve"> sin embargo</w:t>
      </w:r>
      <w:r w:rsidR="00FE3C65">
        <w:rPr>
          <w:rFonts w:ascii="Times New Roman" w:hAnsi="Times New Roman"/>
          <w:sz w:val="24"/>
        </w:rPr>
        <w:t xml:space="preserve">, </w:t>
      </w:r>
      <w:r w:rsidR="00CE52E7">
        <w:rPr>
          <w:rFonts w:ascii="Times New Roman" w:hAnsi="Times New Roman"/>
          <w:sz w:val="24"/>
        </w:rPr>
        <w:t xml:space="preserve">la modificamos en el análisis de sensibilidad. </w:t>
      </w:r>
    </w:p>
    <w:p w:rsidR="00CC45C4" w:rsidRPr="00CC45C4" w:rsidRDefault="0012596D" w:rsidP="00CC45C4">
      <w:pPr>
        <w:numPr>
          <w:ilvl w:val="0"/>
          <w:numId w:val="13"/>
        </w:numPr>
        <w:tabs>
          <w:tab w:val="right" w:pos="851"/>
        </w:tabs>
        <w:spacing w:after="0"/>
        <w:ind w:left="851" w:hanging="491"/>
        <w:jc w:val="both"/>
        <w:rPr>
          <w:rFonts w:ascii="Times New Roman" w:hAnsi="Times New Roman"/>
          <w:sz w:val="24"/>
        </w:rPr>
      </w:pPr>
      <w:r>
        <w:rPr>
          <w:rFonts w:ascii="Times New Roman" w:hAnsi="Times New Roman"/>
          <w:sz w:val="24"/>
        </w:rPr>
        <w:t xml:space="preserve">Solo el </w:t>
      </w:r>
      <w:r w:rsidR="00CC45C4" w:rsidRPr="00CC45C4">
        <w:rPr>
          <w:rFonts w:ascii="Times New Roman" w:hAnsi="Times New Roman"/>
          <w:sz w:val="24"/>
        </w:rPr>
        <w:t>crecimiento de las ventas</w:t>
      </w:r>
      <w:r>
        <w:rPr>
          <w:rFonts w:ascii="Times New Roman" w:hAnsi="Times New Roman"/>
          <w:sz w:val="24"/>
        </w:rPr>
        <w:t>, no su totalidad,</w:t>
      </w:r>
      <w:r w:rsidR="00CC45C4" w:rsidRPr="00CC45C4">
        <w:rPr>
          <w:rFonts w:ascii="Times New Roman" w:hAnsi="Times New Roman"/>
          <w:sz w:val="24"/>
        </w:rPr>
        <w:t xml:space="preserve"> es atribuido al parque. </w:t>
      </w:r>
      <w:r w:rsidR="00E31E3B">
        <w:rPr>
          <w:rFonts w:ascii="Times New Roman" w:hAnsi="Times New Roman"/>
          <w:sz w:val="24"/>
        </w:rPr>
        <w:t>Este es un supuesto conservador ya que e</w:t>
      </w:r>
      <w:r w:rsidR="00CC45C4" w:rsidRPr="00CC45C4">
        <w:rPr>
          <w:rFonts w:ascii="Times New Roman" w:hAnsi="Times New Roman"/>
          <w:sz w:val="24"/>
        </w:rPr>
        <w:t>xiste abundante bibliografía que da cuenta de la importancia de la cercanía</w:t>
      </w:r>
      <w:r w:rsidR="00CC45C4">
        <w:rPr>
          <w:rFonts w:ascii="Times New Roman" w:hAnsi="Times New Roman"/>
          <w:sz w:val="24"/>
        </w:rPr>
        <w:t xml:space="preserve"> a las fuentes de conocimiento (e.j. universidades e investigadores)</w:t>
      </w:r>
      <w:r w:rsidR="00CC45C4" w:rsidRPr="00CC45C4">
        <w:rPr>
          <w:rFonts w:ascii="Times New Roman" w:hAnsi="Times New Roman"/>
          <w:sz w:val="24"/>
        </w:rPr>
        <w:t xml:space="preserve"> y </w:t>
      </w:r>
      <w:r w:rsidR="00CC45C4">
        <w:rPr>
          <w:rFonts w:ascii="Times New Roman" w:hAnsi="Times New Roman"/>
          <w:sz w:val="24"/>
        </w:rPr>
        <w:t xml:space="preserve">el </w:t>
      </w:r>
      <w:r w:rsidR="00CC45C4" w:rsidRPr="00CC45C4">
        <w:rPr>
          <w:rFonts w:ascii="Times New Roman" w:hAnsi="Times New Roman"/>
          <w:sz w:val="24"/>
        </w:rPr>
        <w:t xml:space="preserve">trabajo en red </w:t>
      </w:r>
      <w:r w:rsidR="00CC45C4">
        <w:rPr>
          <w:rFonts w:ascii="Times New Roman" w:hAnsi="Times New Roman"/>
          <w:sz w:val="24"/>
        </w:rPr>
        <w:t xml:space="preserve">(con otras empresas) </w:t>
      </w:r>
      <w:r>
        <w:rPr>
          <w:rFonts w:ascii="Times New Roman" w:hAnsi="Times New Roman"/>
          <w:sz w:val="24"/>
        </w:rPr>
        <w:t xml:space="preserve">para </w:t>
      </w:r>
      <w:r w:rsidR="00CC45C4" w:rsidRPr="00CC45C4">
        <w:rPr>
          <w:rFonts w:ascii="Times New Roman" w:hAnsi="Times New Roman"/>
          <w:sz w:val="24"/>
        </w:rPr>
        <w:t>el caso de empresas intensivas en conocimiento (Grant 1996, Muller y Zenker 2001, Nonaka et al. 2013, Nonaka y Takeuchi 1995, Polanyi 1966, Asheim y Isaksen 2002). Esto se debe a las características propias del conocimiento, el cual por ser tácito en muchos casos y de difícil apropiabilidad</w:t>
      </w:r>
      <w:r w:rsidR="00CC45C4">
        <w:rPr>
          <w:rFonts w:ascii="Times New Roman" w:hAnsi="Times New Roman"/>
          <w:sz w:val="24"/>
        </w:rPr>
        <w:t>,</w:t>
      </w:r>
      <w:r w:rsidR="00CC45C4" w:rsidRPr="00CC45C4">
        <w:rPr>
          <w:rFonts w:ascii="Times New Roman" w:hAnsi="Times New Roman"/>
          <w:sz w:val="24"/>
        </w:rPr>
        <w:t xml:space="preserve"> requiere para su difusión y absorción de cierta proximidad geográfica y temática. </w:t>
      </w:r>
    </w:p>
    <w:p w:rsidR="00B37D8A" w:rsidRDefault="00B37D8A" w:rsidP="00E40ABE">
      <w:pPr>
        <w:numPr>
          <w:ilvl w:val="0"/>
          <w:numId w:val="13"/>
        </w:numPr>
        <w:tabs>
          <w:tab w:val="right" w:pos="851"/>
        </w:tabs>
        <w:spacing w:after="0"/>
        <w:ind w:left="851" w:hanging="491"/>
        <w:jc w:val="both"/>
        <w:rPr>
          <w:rFonts w:ascii="Times New Roman" w:hAnsi="Times New Roman"/>
          <w:sz w:val="24"/>
        </w:rPr>
      </w:pPr>
      <w:r>
        <w:rPr>
          <w:rFonts w:ascii="Times New Roman" w:hAnsi="Times New Roman"/>
          <w:sz w:val="24"/>
        </w:rPr>
        <w:t>El aumento de los costos se trasladará en igual proporción en expensas o alquiler, por lo que se consideran flujos reales a valores de precios actuales.</w:t>
      </w:r>
    </w:p>
    <w:p w:rsidR="00B37D8A" w:rsidRDefault="00B37D8A" w:rsidP="00E40ABE">
      <w:pPr>
        <w:numPr>
          <w:ilvl w:val="0"/>
          <w:numId w:val="13"/>
        </w:numPr>
        <w:tabs>
          <w:tab w:val="right" w:pos="851"/>
        </w:tabs>
        <w:spacing w:after="0"/>
        <w:ind w:left="851" w:hanging="491"/>
        <w:jc w:val="both"/>
        <w:rPr>
          <w:rFonts w:ascii="Times New Roman" w:hAnsi="Times New Roman"/>
          <w:sz w:val="24"/>
        </w:rPr>
      </w:pPr>
      <w:r>
        <w:rPr>
          <w:rFonts w:ascii="Times New Roman" w:hAnsi="Times New Roman"/>
          <w:sz w:val="24"/>
        </w:rPr>
        <w:t>Se trabaja con valores netos de IVA, dado que dicho impuesto no impacta en el desarrollo del proyecto.</w:t>
      </w:r>
    </w:p>
    <w:p w:rsidR="00B37D8A" w:rsidRPr="00CE52E7" w:rsidRDefault="00B37D8A" w:rsidP="00CE52E7">
      <w:pPr>
        <w:numPr>
          <w:ilvl w:val="0"/>
          <w:numId w:val="13"/>
        </w:numPr>
        <w:tabs>
          <w:tab w:val="right" w:pos="851"/>
        </w:tabs>
        <w:spacing w:after="0"/>
        <w:ind w:left="851" w:hanging="491"/>
        <w:jc w:val="both"/>
        <w:rPr>
          <w:rFonts w:ascii="Times New Roman" w:hAnsi="Times New Roman"/>
          <w:sz w:val="24"/>
        </w:rPr>
      </w:pPr>
      <w:r>
        <w:rPr>
          <w:rFonts w:ascii="Times New Roman" w:hAnsi="Times New Roman"/>
          <w:sz w:val="24"/>
        </w:rPr>
        <w:t xml:space="preserve">Los ingresos por alquiler se estiman </w:t>
      </w:r>
      <w:r w:rsidR="00CE52E7">
        <w:rPr>
          <w:rFonts w:ascii="Times New Roman" w:hAnsi="Times New Roman"/>
          <w:sz w:val="24"/>
        </w:rPr>
        <w:t xml:space="preserve">en base a un estudio de la UNC. </w:t>
      </w:r>
      <w:r w:rsidRPr="00CE52E7">
        <w:rPr>
          <w:rFonts w:ascii="Times New Roman" w:hAnsi="Times New Roman"/>
          <w:sz w:val="24"/>
        </w:rPr>
        <w:t>Se entiende que las que finalmente resulten seleccionadas tendrán requerimientos de espacio similares.</w:t>
      </w:r>
    </w:p>
    <w:p w:rsidR="00B37D8A" w:rsidRDefault="00B37D8A" w:rsidP="00E40ABE">
      <w:pPr>
        <w:numPr>
          <w:ilvl w:val="0"/>
          <w:numId w:val="13"/>
        </w:numPr>
        <w:tabs>
          <w:tab w:val="right" w:pos="851"/>
        </w:tabs>
        <w:spacing w:after="0"/>
        <w:ind w:left="851" w:hanging="491"/>
        <w:jc w:val="both"/>
        <w:rPr>
          <w:rFonts w:ascii="Times New Roman" w:hAnsi="Times New Roman"/>
          <w:sz w:val="24"/>
        </w:rPr>
      </w:pPr>
      <w:r>
        <w:rPr>
          <w:rFonts w:ascii="Times New Roman" w:hAnsi="Times New Roman"/>
          <w:sz w:val="24"/>
        </w:rPr>
        <w:t>Se toma como cotización del dólar el valor oficial de 5,20.</w:t>
      </w:r>
    </w:p>
    <w:p w:rsidR="00B37D8A" w:rsidRDefault="00B37D8A" w:rsidP="00E40ABE">
      <w:pPr>
        <w:numPr>
          <w:ilvl w:val="0"/>
          <w:numId w:val="13"/>
        </w:numPr>
        <w:tabs>
          <w:tab w:val="right" w:pos="851"/>
        </w:tabs>
        <w:spacing w:after="0"/>
        <w:ind w:left="851" w:hanging="491"/>
        <w:jc w:val="both"/>
        <w:rPr>
          <w:rFonts w:ascii="Times New Roman" w:hAnsi="Times New Roman"/>
          <w:sz w:val="24"/>
        </w:rPr>
      </w:pPr>
      <w:r>
        <w:rPr>
          <w:rFonts w:ascii="Times New Roman" w:hAnsi="Times New Roman"/>
          <w:sz w:val="24"/>
        </w:rPr>
        <w:t>El horizonte temporal de evaluación es de 20 años.</w:t>
      </w:r>
    </w:p>
    <w:p w:rsidR="00B37D8A" w:rsidRDefault="00B37D8A" w:rsidP="00397A7B">
      <w:pPr>
        <w:pStyle w:val="ListParagraph"/>
        <w:ind w:left="0"/>
        <w:jc w:val="both"/>
        <w:rPr>
          <w:rFonts w:ascii="Times New Roman" w:hAnsi="Times New Roman"/>
          <w:sz w:val="24"/>
        </w:rPr>
      </w:pPr>
    </w:p>
    <w:p w:rsidR="00B37D8A" w:rsidRPr="00511439" w:rsidRDefault="00FE3C65" w:rsidP="006101E8">
      <w:pPr>
        <w:pStyle w:val="Heading2"/>
        <w:spacing w:after="240"/>
        <w:rPr>
          <w:rFonts w:ascii="Times New Roman" w:hAnsi="Times New Roman"/>
          <w:i/>
          <w:sz w:val="24"/>
          <w:lang w:val="es-ES_tradnl"/>
        </w:rPr>
      </w:pPr>
      <w:bookmarkStart w:id="40" w:name="_Toc362804620"/>
      <w:r>
        <w:rPr>
          <w:rFonts w:ascii="Times New Roman" w:hAnsi="Times New Roman"/>
          <w:lang w:val="es-ES_tradnl"/>
        </w:rPr>
        <w:t xml:space="preserve">Análisis </w:t>
      </w:r>
      <w:r w:rsidR="00B37D8A" w:rsidRPr="00511439">
        <w:rPr>
          <w:rFonts w:ascii="Times New Roman" w:hAnsi="Times New Roman"/>
          <w:lang w:val="es-ES_tradnl"/>
        </w:rPr>
        <w:t>y resultados</w:t>
      </w:r>
      <w:bookmarkEnd w:id="40"/>
    </w:p>
    <w:p w:rsidR="00B37D8A" w:rsidRDefault="00B37D8A" w:rsidP="00E40ABE">
      <w:pPr>
        <w:pStyle w:val="ListParagraph"/>
        <w:spacing w:after="0"/>
        <w:ind w:left="0"/>
        <w:jc w:val="both"/>
        <w:rPr>
          <w:rFonts w:ascii="Times New Roman" w:hAnsi="Times New Roman"/>
          <w:sz w:val="24"/>
        </w:rPr>
      </w:pPr>
      <w:r>
        <w:rPr>
          <w:rFonts w:ascii="Times New Roman" w:hAnsi="Times New Roman"/>
          <w:sz w:val="24"/>
        </w:rPr>
        <w:t xml:space="preserve">Sobre la </w:t>
      </w:r>
      <w:r w:rsidRPr="0010794A">
        <w:rPr>
          <w:rFonts w:ascii="Times New Roman" w:hAnsi="Times New Roman"/>
          <w:sz w:val="24"/>
        </w:rPr>
        <w:t xml:space="preserve">base </w:t>
      </w:r>
      <w:r>
        <w:rPr>
          <w:rFonts w:ascii="Times New Roman" w:hAnsi="Times New Roman"/>
          <w:sz w:val="24"/>
        </w:rPr>
        <w:t>de</w:t>
      </w:r>
      <w:r w:rsidRPr="0010794A">
        <w:rPr>
          <w:rFonts w:ascii="Times New Roman" w:hAnsi="Times New Roman"/>
          <w:sz w:val="24"/>
        </w:rPr>
        <w:t xml:space="preserve"> las proyecciones realizadas con anterioridad, se </w:t>
      </w:r>
      <w:r>
        <w:rPr>
          <w:rFonts w:ascii="Times New Roman" w:hAnsi="Times New Roman"/>
          <w:sz w:val="24"/>
        </w:rPr>
        <w:t xml:space="preserve">efectúa una evaluación de factibilidad para un horizonte temporal de 20 años (tabla 3 en anexo 1). </w:t>
      </w:r>
      <w:r w:rsidRPr="00602C3C">
        <w:rPr>
          <w:rFonts w:ascii="Times New Roman" w:hAnsi="Times New Roman"/>
          <w:sz w:val="24"/>
        </w:rPr>
        <w:t>S</w:t>
      </w:r>
      <w:r>
        <w:rPr>
          <w:rFonts w:ascii="Times New Roman" w:hAnsi="Times New Roman"/>
          <w:sz w:val="24"/>
        </w:rPr>
        <w:t xml:space="preserve">e ha considerado en el análisis los ingresos provenientes del uso del espacio del parque, por ejemplo alquiler y expensas (ingresos directos), y </w:t>
      </w:r>
      <w:r w:rsidRPr="002C25C9">
        <w:rPr>
          <w:rFonts w:ascii="Times New Roman" w:hAnsi="Times New Roman"/>
          <w:sz w:val="24"/>
        </w:rPr>
        <w:t xml:space="preserve">el crecimiento de </w:t>
      </w:r>
      <w:r>
        <w:rPr>
          <w:rFonts w:ascii="Times New Roman" w:hAnsi="Times New Roman"/>
          <w:sz w:val="24"/>
        </w:rPr>
        <w:t>cinco empresas instaladas en el parque (beneficio indirecto). Dentro de los costos, se han considerado principalmente aquellos derivados del funcionamiento del parque.</w:t>
      </w:r>
    </w:p>
    <w:p w:rsidR="00B37D8A" w:rsidRDefault="00B37D8A" w:rsidP="00E40ABE">
      <w:pPr>
        <w:spacing w:before="240"/>
        <w:jc w:val="both"/>
        <w:rPr>
          <w:rFonts w:ascii="Times New Roman" w:hAnsi="Times New Roman"/>
          <w:sz w:val="24"/>
        </w:rPr>
      </w:pPr>
      <w:r>
        <w:rPr>
          <w:rFonts w:ascii="Times New Roman" w:hAnsi="Times New Roman"/>
          <w:sz w:val="24"/>
        </w:rPr>
        <w:t>Bajo los supuestos considerados, el análisis mencionado arroja un VAN de ARS</w:t>
      </w:r>
      <w:r w:rsidR="00C7535E" w:rsidRPr="00C7535E">
        <w:rPr>
          <w:rFonts w:ascii="Times New Roman" w:hAnsi="Times New Roman"/>
          <w:sz w:val="24"/>
        </w:rPr>
        <w:t xml:space="preserve"> 1.052.146</w:t>
      </w:r>
      <w:r>
        <w:rPr>
          <w:rFonts w:ascii="Times New Roman" w:hAnsi="Times New Roman"/>
          <w:sz w:val="24"/>
        </w:rPr>
        <w:t xml:space="preserve"> (USD </w:t>
      </w:r>
      <w:r w:rsidR="00C7535E" w:rsidRPr="00C7535E">
        <w:rPr>
          <w:rFonts w:ascii="Times New Roman" w:hAnsi="Times New Roman"/>
          <w:sz w:val="24"/>
        </w:rPr>
        <w:t>202.336</w:t>
      </w:r>
      <w:r>
        <w:rPr>
          <w:rFonts w:ascii="Times New Roman" w:hAnsi="Times New Roman"/>
          <w:sz w:val="24"/>
        </w:rPr>
        <w:t>) y una TIR de 1</w:t>
      </w:r>
      <w:r w:rsidR="00C7535E">
        <w:rPr>
          <w:rFonts w:ascii="Times New Roman" w:hAnsi="Times New Roman"/>
          <w:sz w:val="24"/>
        </w:rPr>
        <w:t>4</w:t>
      </w:r>
      <w:r>
        <w:rPr>
          <w:rFonts w:ascii="Times New Roman" w:hAnsi="Times New Roman"/>
          <w:sz w:val="24"/>
        </w:rPr>
        <w:t>,</w:t>
      </w:r>
      <w:r w:rsidR="00C7535E">
        <w:rPr>
          <w:rFonts w:ascii="Times New Roman" w:hAnsi="Times New Roman"/>
          <w:sz w:val="24"/>
        </w:rPr>
        <w:t>1</w:t>
      </w:r>
      <w:r>
        <w:rPr>
          <w:rFonts w:ascii="Times New Roman" w:hAnsi="Times New Roman"/>
          <w:sz w:val="24"/>
        </w:rPr>
        <w:t xml:space="preserve">%. Así, considerando que las </w:t>
      </w:r>
      <w:r w:rsidRPr="008B4C8F">
        <w:rPr>
          <w:rFonts w:ascii="Times New Roman" w:hAnsi="Times New Roman"/>
          <w:sz w:val="24"/>
        </w:rPr>
        <w:t>proyecciones fueron realizadas de manera conservadora, con el fin no sobrestimar las bondades del p</w:t>
      </w:r>
      <w:r>
        <w:rPr>
          <w:rFonts w:ascii="Times New Roman" w:hAnsi="Times New Roman"/>
          <w:sz w:val="24"/>
        </w:rPr>
        <w:t>royecto</w:t>
      </w:r>
      <w:r w:rsidRPr="008B4C8F">
        <w:rPr>
          <w:rFonts w:ascii="Times New Roman" w:hAnsi="Times New Roman"/>
          <w:sz w:val="24"/>
        </w:rPr>
        <w:t>, que no se detectaron períodos con flujos de fondos negativos, y que los costos a ser financiados por el proyecto son bajos y variables, se concluye que e</w:t>
      </w:r>
      <w:r w:rsidRPr="0010794A">
        <w:rPr>
          <w:rFonts w:ascii="Times New Roman" w:hAnsi="Times New Roman"/>
          <w:sz w:val="24"/>
        </w:rPr>
        <w:t>l proyecto es sostenible en el tiempo.</w:t>
      </w:r>
    </w:p>
    <w:p w:rsidR="00B37D8A" w:rsidRDefault="00B37D8A" w:rsidP="00E40ABE">
      <w:pPr>
        <w:spacing w:before="240"/>
        <w:jc w:val="both"/>
        <w:rPr>
          <w:rFonts w:ascii="Times New Roman" w:hAnsi="Times New Roman"/>
          <w:sz w:val="24"/>
        </w:rPr>
      </w:pPr>
    </w:p>
    <w:p w:rsidR="00B37D8A" w:rsidRPr="00511439" w:rsidRDefault="00B37D8A" w:rsidP="006101E8">
      <w:pPr>
        <w:pStyle w:val="Heading2"/>
        <w:spacing w:after="240"/>
        <w:rPr>
          <w:rFonts w:ascii="Times New Roman" w:hAnsi="Times New Roman"/>
          <w:lang w:val="es-ES_tradnl"/>
        </w:rPr>
      </w:pPr>
      <w:bookmarkStart w:id="41" w:name="_Toc362804621"/>
      <w:r w:rsidRPr="00511439">
        <w:rPr>
          <w:rFonts w:ascii="Times New Roman" w:hAnsi="Times New Roman"/>
          <w:lang w:val="es-ES_tradnl"/>
        </w:rPr>
        <w:lastRenderedPageBreak/>
        <w:t>Análisis de sensibilidad</w:t>
      </w:r>
      <w:bookmarkEnd w:id="41"/>
    </w:p>
    <w:p w:rsidR="00B37D8A" w:rsidRDefault="00B37D8A" w:rsidP="00A62EA0">
      <w:pPr>
        <w:jc w:val="both"/>
        <w:rPr>
          <w:rFonts w:ascii="Times New Roman" w:hAnsi="Times New Roman"/>
          <w:sz w:val="24"/>
        </w:rPr>
      </w:pPr>
      <w:r>
        <w:rPr>
          <w:rFonts w:ascii="Times New Roman" w:hAnsi="Times New Roman"/>
          <w:sz w:val="24"/>
        </w:rPr>
        <w:t>A los efectos de realizar el análisis de sensibilidad se identifican las variables relevantes y sus valores supuestos inicialmente, y se plantean dos escenarios posibles: uno optimista y otro pesimista. Las variables sensibilizadas son:</w:t>
      </w:r>
    </w:p>
    <w:p w:rsidR="00B37D8A" w:rsidRDefault="00B37D8A" w:rsidP="00A62EA0">
      <w:pPr>
        <w:numPr>
          <w:ilvl w:val="0"/>
          <w:numId w:val="27"/>
        </w:numPr>
        <w:spacing w:after="0"/>
        <w:jc w:val="both"/>
        <w:rPr>
          <w:rFonts w:ascii="Times New Roman" w:hAnsi="Times New Roman"/>
          <w:sz w:val="24"/>
        </w:rPr>
      </w:pPr>
      <w:r>
        <w:rPr>
          <w:rFonts w:ascii="Times New Roman" w:hAnsi="Times New Roman"/>
          <w:sz w:val="24"/>
        </w:rPr>
        <w:t>Facturación inicial de las empresas a instalarse en el PByER (supuesto iv).</w:t>
      </w:r>
    </w:p>
    <w:p w:rsidR="00B37D8A" w:rsidRDefault="00591BDD" w:rsidP="00A62EA0">
      <w:pPr>
        <w:numPr>
          <w:ilvl w:val="0"/>
          <w:numId w:val="27"/>
        </w:numPr>
        <w:spacing w:after="0"/>
        <w:jc w:val="both"/>
        <w:rPr>
          <w:rFonts w:ascii="Times New Roman" w:hAnsi="Times New Roman"/>
          <w:sz w:val="24"/>
        </w:rPr>
      </w:pPr>
      <w:r>
        <w:rPr>
          <w:rFonts w:ascii="Times New Roman" w:hAnsi="Times New Roman"/>
          <w:sz w:val="24"/>
        </w:rPr>
        <w:t>Tasa de crecimiento de l</w:t>
      </w:r>
      <w:r w:rsidR="00FC7900">
        <w:rPr>
          <w:rFonts w:ascii="Times New Roman" w:hAnsi="Times New Roman"/>
          <w:sz w:val="24"/>
        </w:rPr>
        <w:t>as ventas de l</w:t>
      </w:r>
      <w:r>
        <w:rPr>
          <w:rFonts w:ascii="Times New Roman" w:hAnsi="Times New Roman"/>
          <w:sz w:val="24"/>
        </w:rPr>
        <w:t>os proyectos tipo (1) y de los tipo (2)</w:t>
      </w:r>
      <w:r w:rsidR="00B37D8A">
        <w:rPr>
          <w:rFonts w:ascii="Times New Roman" w:hAnsi="Times New Roman"/>
          <w:sz w:val="24"/>
        </w:rPr>
        <w:t xml:space="preserve"> </w:t>
      </w:r>
      <w:r>
        <w:rPr>
          <w:rFonts w:ascii="Times New Roman" w:hAnsi="Times New Roman"/>
          <w:sz w:val="24"/>
        </w:rPr>
        <w:t>(</w:t>
      </w:r>
      <w:r w:rsidR="00B37D8A">
        <w:rPr>
          <w:rFonts w:ascii="Times New Roman" w:hAnsi="Times New Roman"/>
          <w:sz w:val="24"/>
        </w:rPr>
        <w:t>supuesto v</w:t>
      </w:r>
      <w:r w:rsidR="00A34589">
        <w:rPr>
          <w:rFonts w:ascii="Times New Roman" w:hAnsi="Times New Roman"/>
          <w:sz w:val="24"/>
        </w:rPr>
        <w:t>i</w:t>
      </w:r>
      <w:r w:rsidR="00B37D8A">
        <w:rPr>
          <w:rFonts w:ascii="Times New Roman" w:hAnsi="Times New Roman"/>
          <w:sz w:val="24"/>
        </w:rPr>
        <w:t>).</w:t>
      </w:r>
    </w:p>
    <w:p w:rsidR="00B37D8A" w:rsidRDefault="00B37D8A" w:rsidP="00A62EA0">
      <w:pPr>
        <w:numPr>
          <w:ilvl w:val="0"/>
          <w:numId w:val="27"/>
        </w:numPr>
        <w:spacing w:after="0"/>
        <w:jc w:val="both"/>
        <w:rPr>
          <w:rFonts w:ascii="Times New Roman" w:hAnsi="Times New Roman"/>
          <w:sz w:val="24"/>
        </w:rPr>
      </w:pPr>
      <w:r>
        <w:rPr>
          <w:rFonts w:ascii="Times New Roman" w:hAnsi="Times New Roman"/>
          <w:sz w:val="24"/>
        </w:rPr>
        <w:t xml:space="preserve">Cantidad de </w:t>
      </w:r>
      <w:r w:rsidR="00591BDD">
        <w:rPr>
          <w:rFonts w:ascii="Times New Roman" w:hAnsi="Times New Roman"/>
          <w:sz w:val="24"/>
        </w:rPr>
        <w:t xml:space="preserve">proyectos tipo (1) y tipo (2) del total de </w:t>
      </w:r>
      <w:r>
        <w:rPr>
          <w:rFonts w:ascii="Times New Roman" w:hAnsi="Times New Roman"/>
          <w:sz w:val="24"/>
        </w:rPr>
        <w:t xml:space="preserve">empresas </w:t>
      </w:r>
      <w:r w:rsidR="00591BDD">
        <w:rPr>
          <w:rFonts w:ascii="Times New Roman" w:hAnsi="Times New Roman"/>
          <w:sz w:val="24"/>
        </w:rPr>
        <w:t>a instalarse</w:t>
      </w:r>
      <w:r>
        <w:rPr>
          <w:rFonts w:ascii="Times New Roman" w:hAnsi="Times New Roman"/>
          <w:sz w:val="24"/>
        </w:rPr>
        <w:t xml:space="preserve"> en el PByER (supuesto vi</w:t>
      </w:r>
      <w:r w:rsidR="00A34589">
        <w:rPr>
          <w:rFonts w:ascii="Times New Roman" w:hAnsi="Times New Roman"/>
          <w:sz w:val="24"/>
        </w:rPr>
        <w:t>i</w:t>
      </w:r>
      <w:r>
        <w:rPr>
          <w:rFonts w:ascii="Times New Roman" w:hAnsi="Times New Roman"/>
          <w:sz w:val="24"/>
        </w:rPr>
        <w:t>).</w:t>
      </w:r>
    </w:p>
    <w:p w:rsidR="0012596D" w:rsidRDefault="0012596D" w:rsidP="0012596D">
      <w:pPr>
        <w:spacing w:after="0"/>
        <w:ind w:left="360"/>
        <w:jc w:val="both"/>
        <w:rPr>
          <w:rFonts w:ascii="Times New Roman" w:hAnsi="Times New Roman"/>
          <w:sz w:val="24"/>
        </w:rPr>
      </w:pPr>
    </w:p>
    <w:p w:rsidR="0012596D" w:rsidRDefault="00B37D8A" w:rsidP="0012596D">
      <w:pPr>
        <w:jc w:val="both"/>
        <w:rPr>
          <w:rFonts w:ascii="Times New Roman" w:hAnsi="Times New Roman"/>
          <w:sz w:val="24"/>
        </w:rPr>
      </w:pPr>
      <w:r>
        <w:rPr>
          <w:rFonts w:ascii="Times New Roman" w:hAnsi="Times New Roman"/>
          <w:sz w:val="24"/>
        </w:rPr>
        <w:t xml:space="preserve">En la tabla a continuación se presentan las variables sensibilizadas y los cambios propuestos para el análisis, junto a la TIR resultante. </w:t>
      </w:r>
      <w:r w:rsidR="0012596D">
        <w:rPr>
          <w:rFonts w:ascii="Times New Roman" w:hAnsi="Times New Roman"/>
          <w:sz w:val="24"/>
        </w:rPr>
        <w:t>En cada caso se modifica solo una variable, mientras que el resto mantiene su valor base. La última columna muestra cuál es el valor mínimo de cada variable que hace el proyecto viable, es decir con una TIR superior al 12%.</w:t>
      </w:r>
    </w:p>
    <w:tbl>
      <w:tblPr>
        <w:tblW w:w="9738" w:type="dxa"/>
        <w:jc w:val="center"/>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5"/>
        <w:gridCol w:w="1637"/>
        <w:gridCol w:w="1366"/>
        <w:gridCol w:w="1367"/>
        <w:gridCol w:w="727"/>
        <w:gridCol w:w="1334"/>
        <w:gridCol w:w="727"/>
        <w:gridCol w:w="1355"/>
      </w:tblGrid>
      <w:tr w:rsidR="00A31530" w:rsidRPr="00737070" w:rsidTr="00F13F3C">
        <w:trPr>
          <w:jc w:val="center"/>
        </w:trPr>
        <w:tc>
          <w:tcPr>
            <w:tcW w:w="1225" w:type="dxa"/>
            <w:tcBorders>
              <w:top w:val="nil"/>
              <w:left w:val="nil"/>
              <w:right w:val="nil"/>
            </w:tcBorders>
            <w:vAlign w:val="center"/>
          </w:tcPr>
          <w:p w:rsidR="009543DA" w:rsidRPr="00737070" w:rsidRDefault="009543DA" w:rsidP="00650A34">
            <w:pPr>
              <w:spacing w:after="0" w:line="240" w:lineRule="auto"/>
              <w:rPr>
                <w:rFonts w:ascii="Arial" w:hAnsi="Arial" w:cs="Arial"/>
                <w:sz w:val="18"/>
                <w:szCs w:val="18"/>
              </w:rPr>
            </w:pPr>
          </w:p>
        </w:tc>
        <w:tc>
          <w:tcPr>
            <w:tcW w:w="1637" w:type="dxa"/>
            <w:tcBorders>
              <w:top w:val="nil"/>
              <w:left w:val="nil"/>
              <w:bottom w:val="single" w:sz="4" w:space="0" w:color="auto"/>
            </w:tcBorders>
            <w:shd w:val="clear" w:color="auto" w:fill="auto"/>
          </w:tcPr>
          <w:p w:rsidR="009543DA" w:rsidRPr="00737070" w:rsidRDefault="009543DA" w:rsidP="00650A34">
            <w:pPr>
              <w:spacing w:after="0" w:line="240" w:lineRule="auto"/>
              <w:jc w:val="center"/>
              <w:rPr>
                <w:rFonts w:ascii="Arial" w:hAnsi="Arial" w:cs="Arial"/>
                <w:sz w:val="18"/>
                <w:szCs w:val="18"/>
              </w:rPr>
            </w:pPr>
          </w:p>
        </w:tc>
        <w:tc>
          <w:tcPr>
            <w:tcW w:w="1366" w:type="dxa"/>
            <w:shd w:val="clear" w:color="auto" w:fill="D9D9D9"/>
            <w:vAlign w:val="center"/>
          </w:tcPr>
          <w:p w:rsidR="009543DA" w:rsidRPr="00737070" w:rsidRDefault="009543DA" w:rsidP="00650A34">
            <w:pPr>
              <w:spacing w:after="0" w:line="240" w:lineRule="auto"/>
              <w:jc w:val="center"/>
              <w:rPr>
                <w:rFonts w:ascii="Arial" w:hAnsi="Arial" w:cs="Arial"/>
                <w:sz w:val="18"/>
                <w:szCs w:val="18"/>
              </w:rPr>
            </w:pPr>
            <w:r w:rsidRPr="00737070">
              <w:rPr>
                <w:rFonts w:ascii="Arial" w:hAnsi="Arial" w:cs="Arial"/>
                <w:sz w:val="18"/>
                <w:szCs w:val="18"/>
              </w:rPr>
              <w:t xml:space="preserve">Caso base </w:t>
            </w:r>
          </w:p>
          <w:p w:rsidR="009543DA" w:rsidRPr="00737070" w:rsidRDefault="009543DA" w:rsidP="00C237BF">
            <w:pPr>
              <w:spacing w:after="0" w:line="240" w:lineRule="auto"/>
              <w:jc w:val="center"/>
              <w:rPr>
                <w:rFonts w:ascii="Arial" w:hAnsi="Arial" w:cs="Arial"/>
                <w:sz w:val="18"/>
                <w:szCs w:val="18"/>
              </w:rPr>
            </w:pPr>
            <w:r w:rsidRPr="00737070">
              <w:rPr>
                <w:rFonts w:ascii="Arial" w:hAnsi="Arial" w:cs="Arial"/>
                <w:sz w:val="18"/>
                <w:szCs w:val="18"/>
              </w:rPr>
              <w:t>(TIR 1</w:t>
            </w:r>
            <w:r w:rsidR="00C237BF">
              <w:rPr>
                <w:rFonts w:ascii="Arial" w:hAnsi="Arial" w:cs="Arial"/>
                <w:sz w:val="18"/>
                <w:szCs w:val="18"/>
              </w:rPr>
              <w:t>4</w:t>
            </w:r>
            <w:r w:rsidRPr="00737070">
              <w:rPr>
                <w:rFonts w:ascii="Arial" w:hAnsi="Arial" w:cs="Arial"/>
                <w:sz w:val="18"/>
                <w:szCs w:val="18"/>
              </w:rPr>
              <w:t>,</w:t>
            </w:r>
            <w:r w:rsidR="00C237BF">
              <w:rPr>
                <w:rFonts w:ascii="Arial" w:hAnsi="Arial" w:cs="Arial"/>
                <w:sz w:val="18"/>
                <w:szCs w:val="18"/>
              </w:rPr>
              <w:t>1</w:t>
            </w:r>
            <w:r w:rsidRPr="00737070">
              <w:rPr>
                <w:rFonts w:ascii="Arial" w:hAnsi="Arial" w:cs="Arial"/>
                <w:sz w:val="18"/>
                <w:szCs w:val="18"/>
              </w:rPr>
              <w:t>%)</w:t>
            </w:r>
          </w:p>
        </w:tc>
        <w:tc>
          <w:tcPr>
            <w:tcW w:w="2094" w:type="dxa"/>
            <w:gridSpan w:val="2"/>
            <w:shd w:val="clear" w:color="auto" w:fill="D9D9D9"/>
            <w:vAlign w:val="center"/>
          </w:tcPr>
          <w:p w:rsidR="009543DA" w:rsidRPr="00737070" w:rsidRDefault="009543DA" w:rsidP="00650A34">
            <w:pPr>
              <w:spacing w:after="0" w:line="240" w:lineRule="auto"/>
              <w:jc w:val="center"/>
              <w:rPr>
                <w:rFonts w:ascii="Arial" w:hAnsi="Arial" w:cs="Arial"/>
                <w:sz w:val="18"/>
                <w:szCs w:val="18"/>
              </w:rPr>
            </w:pPr>
            <w:r w:rsidRPr="00737070">
              <w:rPr>
                <w:rFonts w:ascii="Arial" w:hAnsi="Arial" w:cs="Arial"/>
                <w:sz w:val="18"/>
                <w:szCs w:val="18"/>
              </w:rPr>
              <w:t>Escenario optimista</w:t>
            </w:r>
          </w:p>
        </w:tc>
        <w:tc>
          <w:tcPr>
            <w:tcW w:w="2061" w:type="dxa"/>
            <w:gridSpan w:val="2"/>
            <w:shd w:val="clear" w:color="auto" w:fill="D9D9D9"/>
            <w:vAlign w:val="center"/>
          </w:tcPr>
          <w:p w:rsidR="009543DA" w:rsidRPr="00737070" w:rsidRDefault="009543DA" w:rsidP="00650A34">
            <w:pPr>
              <w:spacing w:after="0" w:line="240" w:lineRule="auto"/>
              <w:jc w:val="center"/>
              <w:rPr>
                <w:rFonts w:ascii="Arial" w:hAnsi="Arial" w:cs="Arial"/>
                <w:sz w:val="18"/>
                <w:szCs w:val="18"/>
              </w:rPr>
            </w:pPr>
            <w:r w:rsidRPr="00737070">
              <w:rPr>
                <w:rFonts w:ascii="Arial" w:hAnsi="Arial" w:cs="Arial"/>
                <w:sz w:val="18"/>
                <w:szCs w:val="18"/>
              </w:rPr>
              <w:t>Escenario pesimista</w:t>
            </w:r>
          </w:p>
        </w:tc>
        <w:tc>
          <w:tcPr>
            <w:tcW w:w="1355" w:type="dxa"/>
            <w:vMerge w:val="restart"/>
            <w:shd w:val="clear" w:color="auto" w:fill="D9D9D9"/>
            <w:vAlign w:val="center"/>
          </w:tcPr>
          <w:p w:rsidR="009543DA" w:rsidRPr="00737070" w:rsidRDefault="009543DA" w:rsidP="00650A34">
            <w:pPr>
              <w:spacing w:after="0" w:line="240" w:lineRule="auto"/>
              <w:jc w:val="center"/>
              <w:rPr>
                <w:rFonts w:ascii="Arial" w:hAnsi="Arial" w:cs="Arial"/>
                <w:sz w:val="18"/>
                <w:szCs w:val="18"/>
              </w:rPr>
            </w:pPr>
            <w:r w:rsidRPr="00737070">
              <w:rPr>
                <w:rFonts w:ascii="Arial" w:hAnsi="Arial" w:cs="Arial"/>
                <w:sz w:val="18"/>
                <w:szCs w:val="18"/>
              </w:rPr>
              <w:t>Valor mínimo (TIR 12%)</w:t>
            </w:r>
          </w:p>
        </w:tc>
      </w:tr>
      <w:tr w:rsidR="00737070" w:rsidRPr="00737070" w:rsidTr="00F13F3C">
        <w:trPr>
          <w:jc w:val="center"/>
        </w:trPr>
        <w:tc>
          <w:tcPr>
            <w:tcW w:w="2862" w:type="dxa"/>
            <w:gridSpan w:val="2"/>
            <w:shd w:val="clear" w:color="auto" w:fill="D9D9D9"/>
            <w:vAlign w:val="center"/>
          </w:tcPr>
          <w:p w:rsidR="009543DA" w:rsidRPr="00737070" w:rsidRDefault="009543DA" w:rsidP="00650A34">
            <w:pPr>
              <w:spacing w:after="0" w:line="240" w:lineRule="auto"/>
              <w:jc w:val="center"/>
              <w:rPr>
                <w:rFonts w:ascii="Arial" w:hAnsi="Arial" w:cs="Arial"/>
                <w:sz w:val="18"/>
                <w:szCs w:val="18"/>
              </w:rPr>
            </w:pPr>
            <w:r w:rsidRPr="00737070">
              <w:rPr>
                <w:rFonts w:ascii="Arial" w:hAnsi="Arial" w:cs="Arial"/>
                <w:sz w:val="18"/>
                <w:szCs w:val="18"/>
              </w:rPr>
              <w:t>Variable sensibilizada</w:t>
            </w:r>
          </w:p>
        </w:tc>
        <w:tc>
          <w:tcPr>
            <w:tcW w:w="1366" w:type="dxa"/>
            <w:shd w:val="clear" w:color="auto" w:fill="D9D9D9"/>
            <w:vAlign w:val="center"/>
          </w:tcPr>
          <w:p w:rsidR="009543DA" w:rsidRPr="00737070" w:rsidRDefault="009543DA" w:rsidP="00650A34">
            <w:pPr>
              <w:spacing w:after="0" w:line="240" w:lineRule="auto"/>
              <w:jc w:val="center"/>
              <w:rPr>
                <w:rFonts w:ascii="Arial" w:hAnsi="Arial" w:cs="Arial"/>
                <w:sz w:val="18"/>
                <w:szCs w:val="18"/>
              </w:rPr>
            </w:pPr>
            <w:r w:rsidRPr="00737070">
              <w:rPr>
                <w:rFonts w:ascii="Arial" w:hAnsi="Arial" w:cs="Arial"/>
                <w:sz w:val="18"/>
                <w:szCs w:val="18"/>
              </w:rPr>
              <w:t>Valor</w:t>
            </w:r>
          </w:p>
        </w:tc>
        <w:tc>
          <w:tcPr>
            <w:tcW w:w="1367" w:type="dxa"/>
            <w:shd w:val="clear" w:color="auto" w:fill="D9D9D9"/>
            <w:vAlign w:val="center"/>
          </w:tcPr>
          <w:p w:rsidR="009543DA" w:rsidRPr="00737070" w:rsidRDefault="009543DA" w:rsidP="00650A34">
            <w:pPr>
              <w:spacing w:after="0" w:line="240" w:lineRule="auto"/>
              <w:jc w:val="center"/>
              <w:rPr>
                <w:rFonts w:ascii="Arial" w:hAnsi="Arial" w:cs="Arial"/>
                <w:sz w:val="18"/>
                <w:szCs w:val="18"/>
              </w:rPr>
            </w:pPr>
            <w:r w:rsidRPr="00737070">
              <w:rPr>
                <w:rFonts w:ascii="Arial" w:hAnsi="Arial" w:cs="Arial"/>
                <w:sz w:val="18"/>
                <w:szCs w:val="18"/>
              </w:rPr>
              <w:t>Valor</w:t>
            </w:r>
          </w:p>
        </w:tc>
        <w:tc>
          <w:tcPr>
            <w:tcW w:w="727" w:type="dxa"/>
            <w:shd w:val="clear" w:color="auto" w:fill="D9D9D9"/>
            <w:vAlign w:val="center"/>
          </w:tcPr>
          <w:p w:rsidR="009543DA" w:rsidRPr="00737070" w:rsidRDefault="009543DA" w:rsidP="00650A34">
            <w:pPr>
              <w:spacing w:after="0" w:line="240" w:lineRule="auto"/>
              <w:jc w:val="center"/>
              <w:rPr>
                <w:rFonts w:ascii="Arial" w:hAnsi="Arial" w:cs="Arial"/>
                <w:sz w:val="18"/>
                <w:szCs w:val="18"/>
              </w:rPr>
            </w:pPr>
            <w:r w:rsidRPr="00737070">
              <w:rPr>
                <w:rFonts w:ascii="Arial" w:hAnsi="Arial" w:cs="Arial"/>
                <w:sz w:val="18"/>
                <w:szCs w:val="18"/>
              </w:rPr>
              <w:t>TIR</w:t>
            </w:r>
          </w:p>
        </w:tc>
        <w:tc>
          <w:tcPr>
            <w:tcW w:w="1334" w:type="dxa"/>
            <w:shd w:val="clear" w:color="auto" w:fill="D9D9D9"/>
            <w:vAlign w:val="center"/>
          </w:tcPr>
          <w:p w:rsidR="009543DA" w:rsidRPr="00737070" w:rsidRDefault="009543DA" w:rsidP="00650A34">
            <w:pPr>
              <w:spacing w:after="0" w:line="240" w:lineRule="auto"/>
              <w:jc w:val="center"/>
              <w:rPr>
                <w:rFonts w:ascii="Arial" w:hAnsi="Arial" w:cs="Arial"/>
                <w:sz w:val="18"/>
                <w:szCs w:val="18"/>
              </w:rPr>
            </w:pPr>
            <w:r w:rsidRPr="00737070">
              <w:rPr>
                <w:rFonts w:ascii="Arial" w:hAnsi="Arial" w:cs="Arial"/>
                <w:sz w:val="18"/>
                <w:szCs w:val="18"/>
              </w:rPr>
              <w:t>Valor</w:t>
            </w:r>
          </w:p>
        </w:tc>
        <w:tc>
          <w:tcPr>
            <w:tcW w:w="727" w:type="dxa"/>
            <w:shd w:val="clear" w:color="auto" w:fill="D9D9D9"/>
            <w:vAlign w:val="center"/>
          </w:tcPr>
          <w:p w:rsidR="009543DA" w:rsidRPr="00737070" w:rsidRDefault="009543DA" w:rsidP="00650A34">
            <w:pPr>
              <w:spacing w:after="0" w:line="240" w:lineRule="auto"/>
              <w:jc w:val="center"/>
              <w:rPr>
                <w:rFonts w:ascii="Arial" w:hAnsi="Arial" w:cs="Arial"/>
                <w:sz w:val="18"/>
                <w:szCs w:val="18"/>
              </w:rPr>
            </w:pPr>
            <w:r w:rsidRPr="00737070">
              <w:rPr>
                <w:rFonts w:ascii="Arial" w:hAnsi="Arial" w:cs="Arial"/>
                <w:sz w:val="18"/>
                <w:szCs w:val="18"/>
              </w:rPr>
              <w:t>TIR</w:t>
            </w:r>
          </w:p>
        </w:tc>
        <w:tc>
          <w:tcPr>
            <w:tcW w:w="1355" w:type="dxa"/>
            <w:vMerge/>
            <w:shd w:val="clear" w:color="auto" w:fill="D9D9D9"/>
            <w:vAlign w:val="center"/>
          </w:tcPr>
          <w:p w:rsidR="009543DA" w:rsidRPr="00737070" w:rsidRDefault="009543DA" w:rsidP="00650A34">
            <w:pPr>
              <w:spacing w:after="0" w:line="240" w:lineRule="auto"/>
              <w:jc w:val="center"/>
              <w:rPr>
                <w:rFonts w:ascii="Arial" w:hAnsi="Arial" w:cs="Arial"/>
                <w:sz w:val="18"/>
                <w:szCs w:val="18"/>
              </w:rPr>
            </w:pPr>
          </w:p>
        </w:tc>
      </w:tr>
      <w:tr w:rsidR="00737070" w:rsidRPr="00737070" w:rsidTr="00F13F3C">
        <w:trPr>
          <w:trHeight w:val="127"/>
          <w:jc w:val="center"/>
        </w:trPr>
        <w:tc>
          <w:tcPr>
            <w:tcW w:w="2862" w:type="dxa"/>
            <w:gridSpan w:val="2"/>
            <w:vAlign w:val="center"/>
          </w:tcPr>
          <w:p w:rsidR="009543DA" w:rsidRPr="00737070" w:rsidRDefault="009543DA" w:rsidP="00650A34">
            <w:pPr>
              <w:spacing w:after="0" w:line="240" w:lineRule="auto"/>
              <w:jc w:val="center"/>
              <w:rPr>
                <w:rFonts w:ascii="Arial" w:hAnsi="Arial" w:cs="Arial"/>
                <w:sz w:val="18"/>
                <w:szCs w:val="18"/>
              </w:rPr>
            </w:pPr>
            <w:r w:rsidRPr="00737070">
              <w:rPr>
                <w:rFonts w:ascii="Arial" w:hAnsi="Arial" w:cs="Arial"/>
                <w:sz w:val="18"/>
                <w:szCs w:val="18"/>
              </w:rPr>
              <w:t>Facturación inicial</w:t>
            </w:r>
          </w:p>
        </w:tc>
        <w:tc>
          <w:tcPr>
            <w:tcW w:w="1366" w:type="dxa"/>
            <w:vAlign w:val="center"/>
          </w:tcPr>
          <w:p w:rsidR="009543DA" w:rsidRPr="00737070" w:rsidRDefault="009543DA" w:rsidP="00650A34">
            <w:pPr>
              <w:spacing w:after="0" w:line="240" w:lineRule="auto"/>
              <w:jc w:val="center"/>
              <w:rPr>
                <w:rFonts w:ascii="Arial" w:hAnsi="Arial" w:cs="Arial"/>
                <w:sz w:val="18"/>
                <w:szCs w:val="18"/>
              </w:rPr>
            </w:pPr>
            <w:r w:rsidRPr="00737070">
              <w:rPr>
                <w:rFonts w:ascii="Arial" w:hAnsi="Arial" w:cs="Arial"/>
                <w:sz w:val="18"/>
                <w:szCs w:val="18"/>
              </w:rPr>
              <w:t>ARS 200.000</w:t>
            </w:r>
          </w:p>
        </w:tc>
        <w:tc>
          <w:tcPr>
            <w:tcW w:w="1367" w:type="dxa"/>
            <w:vAlign w:val="center"/>
          </w:tcPr>
          <w:p w:rsidR="009543DA" w:rsidRPr="00737070" w:rsidRDefault="009543DA" w:rsidP="00A31530">
            <w:pPr>
              <w:spacing w:after="0" w:line="240" w:lineRule="auto"/>
              <w:jc w:val="center"/>
              <w:rPr>
                <w:rFonts w:ascii="Arial" w:hAnsi="Arial" w:cs="Arial"/>
                <w:sz w:val="18"/>
                <w:szCs w:val="18"/>
              </w:rPr>
            </w:pPr>
            <w:r w:rsidRPr="00737070">
              <w:rPr>
                <w:rFonts w:ascii="Arial" w:hAnsi="Arial" w:cs="Arial"/>
                <w:sz w:val="18"/>
                <w:szCs w:val="18"/>
              </w:rPr>
              <w:t xml:space="preserve">ARS </w:t>
            </w:r>
            <w:r w:rsidR="00C42AF0">
              <w:rPr>
                <w:rFonts w:ascii="Arial" w:hAnsi="Arial" w:cs="Arial"/>
                <w:sz w:val="18"/>
                <w:szCs w:val="18"/>
              </w:rPr>
              <w:t>3</w:t>
            </w:r>
            <w:r w:rsidRPr="00737070">
              <w:rPr>
                <w:rFonts w:ascii="Arial" w:hAnsi="Arial" w:cs="Arial"/>
                <w:sz w:val="18"/>
                <w:szCs w:val="18"/>
              </w:rPr>
              <w:t>00.000</w:t>
            </w:r>
          </w:p>
        </w:tc>
        <w:tc>
          <w:tcPr>
            <w:tcW w:w="727" w:type="dxa"/>
            <w:vAlign w:val="center"/>
          </w:tcPr>
          <w:p w:rsidR="009543DA" w:rsidRPr="00737070" w:rsidRDefault="009543DA" w:rsidP="00C237BF">
            <w:pPr>
              <w:spacing w:after="0" w:line="240" w:lineRule="auto"/>
              <w:jc w:val="center"/>
              <w:rPr>
                <w:rFonts w:ascii="Arial" w:hAnsi="Arial" w:cs="Arial"/>
                <w:sz w:val="18"/>
                <w:szCs w:val="18"/>
              </w:rPr>
            </w:pPr>
            <w:r w:rsidRPr="00737070">
              <w:rPr>
                <w:rFonts w:ascii="Arial" w:hAnsi="Arial" w:cs="Arial"/>
                <w:sz w:val="18"/>
                <w:szCs w:val="18"/>
              </w:rPr>
              <w:t>1</w:t>
            </w:r>
            <w:r w:rsidR="00C237BF">
              <w:rPr>
                <w:rFonts w:ascii="Arial" w:hAnsi="Arial" w:cs="Arial"/>
                <w:sz w:val="18"/>
                <w:szCs w:val="18"/>
              </w:rPr>
              <w:t>7</w:t>
            </w:r>
            <w:r w:rsidRPr="00737070">
              <w:rPr>
                <w:rFonts w:ascii="Arial" w:hAnsi="Arial" w:cs="Arial"/>
                <w:sz w:val="18"/>
                <w:szCs w:val="18"/>
              </w:rPr>
              <w:t>,</w:t>
            </w:r>
            <w:r w:rsidR="00C237BF">
              <w:rPr>
                <w:rFonts w:ascii="Arial" w:hAnsi="Arial" w:cs="Arial"/>
                <w:sz w:val="18"/>
                <w:szCs w:val="18"/>
              </w:rPr>
              <w:t>6</w:t>
            </w:r>
            <w:r w:rsidRPr="00737070">
              <w:rPr>
                <w:rFonts w:ascii="Arial" w:hAnsi="Arial" w:cs="Arial"/>
                <w:sz w:val="18"/>
                <w:szCs w:val="18"/>
              </w:rPr>
              <w:t>%</w:t>
            </w:r>
          </w:p>
        </w:tc>
        <w:tc>
          <w:tcPr>
            <w:tcW w:w="1334" w:type="dxa"/>
            <w:vAlign w:val="center"/>
          </w:tcPr>
          <w:p w:rsidR="009543DA" w:rsidRPr="00737070" w:rsidRDefault="009543DA" w:rsidP="00C42AF0">
            <w:pPr>
              <w:spacing w:after="0" w:line="240" w:lineRule="auto"/>
              <w:jc w:val="center"/>
              <w:rPr>
                <w:rFonts w:ascii="Arial" w:hAnsi="Arial" w:cs="Arial"/>
                <w:sz w:val="18"/>
                <w:szCs w:val="18"/>
              </w:rPr>
            </w:pPr>
            <w:r w:rsidRPr="00737070">
              <w:rPr>
                <w:rFonts w:ascii="Arial" w:hAnsi="Arial" w:cs="Arial"/>
                <w:sz w:val="18"/>
                <w:szCs w:val="18"/>
              </w:rPr>
              <w:t xml:space="preserve">ARS </w:t>
            </w:r>
            <w:r w:rsidR="00C42AF0">
              <w:rPr>
                <w:rFonts w:ascii="Arial" w:hAnsi="Arial" w:cs="Arial"/>
                <w:sz w:val="18"/>
                <w:szCs w:val="18"/>
              </w:rPr>
              <w:t>1</w:t>
            </w:r>
            <w:r w:rsidRPr="00737070">
              <w:rPr>
                <w:rFonts w:ascii="Arial" w:hAnsi="Arial" w:cs="Arial"/>
                <w:sz w:val="18"/>
                <w:szCs w:val="18"/>
              </w:rPr>
              <w:t>00.000</w:t>
            </w:r>
          </w:p>
        </w:tc>
        <w:tc>
          <w:tcPr>
            <w:tcW w:w="727" w:type="dxa"/>
            <w:vAlign w:val="center"/>
          </w:tcPr>
          <w:p w:rsidR="009543DA" w:rsidRPr="00C237BF" w:rsidRDefault="00C237BF" w:rsidP="00C237BF">
            <w:pPr>
              <w:spacing w:after="0" w:line="240" w:lineRule="auto"/>
              <w:jc w:val="center"/>
              <w:rPr>
                <w:rFonts w:ascii="Arial" w:hAnsi="Arial" w:cs="Arial"/>
                <w:color w:val="FF0000"/>
                <w:sz w:val="18"/>
                <w:szCs w:val="18"/>
              </w:rPr>
            </w:pPr>
            <w:r w:rsidRPr="00C237BF">
              <w:rPr>
                <w:rFonts w:ascii="Arial" w:hAnsi="Arial" w:cs="Arial"/>
                <w:color w:val="FF0000"/>
                <w:sz w:val="18"/>
                <w:szCs w:val="18"/>
              </w:rPr>
              <w:t>9</w:t>
            </w:r>
            <w:r w:rsidR="009543DA" w:rsidRPr="00C237BF">
              <w:rPr>
                <w:rFonts w:ascii="Arial" w:hAnsi="Arial" w:cs="Arial"/>
                <w:color w:val="FF0000"/>
                <w:sz w:val="18"/>
                <w:szCs w:val="18"/>
              </w:rPr>
              <w:t>,</w:t>
            </w:r>
            <w:r w:rsidRPr="00C237BF">
              <w:rPr>
                <w:rFonts w:ascii="Arial" w:hAnsi="Arial" w:cs="Arial"/>
                <w:color w:val="FF0000"/>
                <w:sz w:val="18"/>
                <w:szCs w:val="18"/>
              </w:rPr>
              <w:t>7</w:t>
            </w:r>
            <w:r w:rsidR="009543DA" w:rsidRPr="00C237BF">
              <w:rPr>
                <w:rFonts w:ascii="Arial" w:hAnsi="Arial" w:cs="Arial"/>
                <w:color w:val="FF0000"/>
                <w:sz w:val="18"/>
                <w:szCs w:val="18"/>
              </w:rPr>
              <w:t>%</w:t>
            </w:r>
          </w:p>
        </w:tc>
        <w:tc>
          <w:tcPr>
            <w:tcW w:w="1355" w:type="dxa"/>
            <w:vAlign w:val="center"/>
          </w:tcPr>
          <w:p w:rsidR="009543DA" w:rsidRPr="00737070" w:rsidRDefault="00F13F3C" w:rsidP="00650A34">
            <w:pPr>
              <w:spacing w:after="0" w:line="240" w:lineRule="auto"/>
              <w:jc w:val="center"/>
              <w:rPr>
                <w:rFonts w:ascii="Arial" w:hAnsi="Arial" w:cs="Arial"/>
                <w:sz w:val="18"/>
                <w:szCs w:val="18"/>
              </w:rPr>
            </w:pPr>
            <w:r>
              <w:rPr>
                <w:rFonts w:ascii="Arial" w:hAnsi="Arial" w:cs="Arial"/>
                <w:sz w:val="18"/>
                <w:szCs w:val="18"/>
              </w:rPr>
              <w:t>ARS 150.000</w:t>
            </w:r>
          </w:p>
        </w:tc>
      </w:tr>
      <w:tr w:rsidR="00323BF6" w:rsidRPr="00737070" w:rsidTr="00F13F3C">
        <w:trPr>
          <w:trHeight w:val="56"/>
          <w:jc w:val="center"/>
        </w:trPr>
        <w:tc>
          <w:tcPr>
            <w:tcW w:w="1225" w:type="dxa"/>
            <w:vMerge w:val="restart"/>
            <w:vAlign w:val="center"/>
          </w:tcPr>
          <w:p w:rsidR="00323BF6" w:rsidRPr="00737070" w:rsidRDefault="00323BF6" w:rsidP="00650A34">
            <w:pPr>
              <w:spacing w:after="0" w:line="240" w:lineRule="auto"/>
              <w:rPr>
                <w:rFonts w:ascii="Arial" w:hAnsi="Arial" w:cs="Arial"/>
                <w:sz w:val="18"/>
                <w:szCs w:val="18"/>
              </w:rPr>
            </w:pPr>
            <w:r w:rsidRPr="00737070">
              <w:rPr>
                <w:rFonts w:ascii="Arial" w:hAnsi="Arial" w:cs="Arial"/>
                <w:sz w:val="18"/>
                <w:szCs w:val="18"/>
              </w:rPr>
              <w:t>Tasa de crecimiento</w:t>
            </w:r>
          </w:p>
        </w:tc>
        <w:tc>
          <w:tcPr>
            <w:tcW w:w="1637" w:type="dxa"/>
          </w:tcPr>
          <w:p w:rsidR="00323BF6" w:rsidRPr="00737070" w:rsidRDefault="00323BF6" w:rsidP="00650A34">
            <w:pPr>
              <w:spacing w:after="0" w:line="240" w:lineRule="auto"/>
              <w:jc w:val="center"/>
              <w:rPr>
                <w:rFonts w:ascii="Arial" w:hAnsi="Arial" w:cs="Arial"/>
                <w:sz w:val="18"/>
                <w:szCs w:val="18"/>
              </w:rPr>
            </w:pPr>
            <w:r w:rsidRPr="00737070">
              <w:rPr>
                <w:rFonts w:ascii="Arial" w:hAnsi="Arial" w:cs="Arial"/>
                <w:sz w:val="18"/>
                <w:szCs w:val="18"/>
              </w:rPr>
              <w:t>Proyectos tipo (1)</w:t>
            </w:r>
          </w:p>
        </w:tc>
        <w:tc>
          <w:tcPr>
            <w:tcW w:w="1366" w:type="dxa"/>
            <w:vAlign w:val="center"/>
          </w:tcPr>
          <w:p w:rsidR="00323BF6" w:rsidRPr="00737070" w:rsidRDefault="00323BF6" w:rsidP="004E017B">
            <w:pPr>
              <w:spacing w:after="0" w:line="240" w:lineRule="auto"/>
              <w:jc w:val="center"/>
              <w:rPr>
                <w:rFonts w:ascii="Arial" w:hAnsi="Arial" w:cs="Arial"/>
                <w:sz w:val="18"/>
                <w:szCs w:val="18"/>
              </w:rPr>
            </w:pPr>
            <w:r w:rsidRPr="00737070">
              <w:rPr>
                <w:rFonts w:ascii="Arial" w:hAnsi="Arial" w:cs="Arial"/>
                <w:sz w:val="18"/>
                <w:szCs w:val="18"/>
              </w:rPr>
              <w:t>17%</w:t>
            </w:r>
          </w:p>
        </w:tc>
        <w:tc>
          <w:tcPr>
            <w:tcW w:w="1367" w:type="dxa"/>
            <w:vAlign w:val="center"/>
          </w:tcPr>
          <w:p w:rsidR="00323BF6" w:rsidRPr="00737070" w:rsidRDefault="00323BF6" w:rsidP="00650A34">
            <w:pPr>
              <w:spacing w:after="0" w:line="240" w:lineRule="auto"/>
              <w:jc w:val="center"/>
              <w:rPr>
                <w:rFonts w:ascii="Arial" w:hAnsi="Arial" w:cs="Arial"/>
                <w:sz w:val="18"/>
                <w:szCs w:val="18"/>
              </w:rPr>
            </w:pPr>
            <w:r w:rsidRPr="00737070">
              <w:rPr>
                <w:rFonts w:ascii="Arial" w:hAnsi="Arial" w:cs="Arial"/>
                <w:sz w:val="18"/>
                <w:szCs w:val="18"/>
              </w:rPr>
              <w:t>20%</w:t>
            </w:r>
          </w:p>
        </w:tc>
        <w:tc>
          <w:tcPr>
            <w:tcW w:w="727" w:type="dxa"/>
            <w:vMerge w:val="restart"/>
            <w:vAlign w:val="center"/>
          </w:tcPr>
          <w:p w:rsidR="00323BF6" w:rsidRPr="00737070" w:rsidRDefault="00737070" w:rsidP="00C237BF">
            <w:pPr>
              <w:spacing w:after="0" w:line="240" w:lineRule="auto"/>
              <w:jc w:val="center"/>
              <w:rPr>
                <w:rFonts w:ascii="Arial" w:hAnsi="Arial" w:cs="Arial"/>
                <w:sz w:val="18"/>
                <w:szCs w:val="18"/>
              </w:rPr>
            </w:pPr>
            <w:r w:rsidRPr="00737070">
              <w:rPr>
                <w:rFonts w:ascii="Arial" w:hAnsi="Arial" w:cs="Arial"/>
                <w:sz w:val="18"/>
                <w:szCs w:val="18"/>
              </w:rPr>
              <w:t>1</w:t>
            </w:r>
            <w:r w:rsidR="00C237BF">
              <w:rPr>
                <w:rFonts w:ascii="Arial" w:hAnsi="Arial" w:cs="Arial"/>
                <w:sz w:val="18"/>
                <w:szCs w:val="18"/>
              </w:rPr>
              <w:t>8</w:t>
            </w:r>
            <w:r w:rsidRPr="00737070">
              <w:rPr>
                <w:rFonts w:ascii="Arial" w:hAnsi="Arial" w:cs="Arial"/>
                <w:sz w:val="18"/>
                <w:szCs w:val="18"/>
              </w:rPr>
              <w:t>,</w:t>
            </w:r>
            <w:r w:rsidR="00C237BF">
              <w:rPr>
                <w:rFonts w:ascii="Arial" w:hAnsi="Arial" w:cs="Arial"/>
                <w:sz w:val="18"/>
                <w:szCs w:val="18"/>
              </w:rPr>
              <w:t>7</w:t>
            </w:r>
            <w:r w:rsidR="00323BF6" w:rsidRPr="00737070">
              <w:rPr>
                <w:rFonts w:ascii="Arial" w:hAnsi="Arial" w:cs="Arial"/>
                <w:sz w:val="18"/>
                <w:szCs w:val="18"/>
              </w:rPr>
              <w:t>%</w:t>
            </w:r>
          </w:p>
        </w:tc>
        <w:tc>
          <w:tcPr>
            <w:tcW w:w="1334" w:type="dxa"/>
            <w:vAlign w:val="center"/>
          </w:tcPr>
          <w:p w:rsidR="00323BF6" w:rsidRPr="00737070" w:rsidRDefault="00323BF6" w:rsidP="00323BF6">
            <w:pPr>
              <w:spacing w:after="0" w:line="240" w:lineRule="auto"/>
              <w:jc w:val="center"/>
              <w:rPr>
                <w:rFonts w:ascii="Arial" w:hAnsi="Arial" w:cs="Arial"/>
                <w:sz w:val="18"/>
                <w:szCs w:val="18"/>
              </w:rPr>
            </w:pPr>
            <w:r w:rsidRPr="00737070">
              <w:rPr>
                <w:rFonts w:ascii="Arial" w:hAnsi="Arial" w:cs="Arial"/>
                <w:sz w:val="18"/>
                <w:szCs w:val="18"/>
              </w:rPr>
              <w:t>13%</w:t>
            </w:r>
          </w:p>
        </w:tc>
        <w:tc>
          <w:tcPr>
            <w:tcW w:w="727" w:type="dxa"/>
            <w:vMerge w:val="restart"/>
            <w:vAlign w:val="center"/>
          </w:tcPr>
          <w:p w:rsidR="00323BF6" w:rsidRPr="00C42AF0" w:rsidRDefault="00C42AF0" w:rsidP="00C42AF0">
            <w:pPr>
              <w:spacing w:after="0" w:line="240" w:lineRule="auto"/>
              <w:jc w:val="center"/>
              <w:rPr>
                <w:rFonts w:ascii="Arial" w:hAnsi="Arial" w:cs="Arial"/>
                <w:color w:val="FF0000"/>
                <w:sz w:val="18"/>
                <w:szCs w:val="18"/>
              </w:rPr>
            </w:pPr>
            <w:r w:rsidRPr="00C42AF0">
              <w:rPr>
                <w:rFonts w:ascii="Arial" w:hAnsi="Arial" w:cs="Arial"/>
                <w:color w:val="FF0000"/>
                <w:sz w:val="18"/>
                <w:szCs w:val="18"/>
              </w:rPr>
              <w:t>9</w:t>
            </w:r>
            <w:r w:rsidR="00323BF6" w:rsidRPr="00C42AF0">
              <w:rPr>
                <w:rFonts w:ascii="Arial" w:hAnsi="Arial" w:cs="Arial"/>
                <w:color w:val="FF0000"/>
                <w:sz w:val="18"/>
                <w:szCs w:val="18"/>
              </w:rPr>
              <w:t>%</w:t>
            </w:r>
          </w:p>
        </w:tc>
        <w:tc>
          <w:tcPr>
            <w:tcW w:w="1355" w:type="dxa"/>
            <w:vAlign w:val="center"/>
          </w:tcPr>
          <w:p w:rsidR="00323BF6" w:rsidRPr="00737070" w:rsidRDefault="00F13F3C" w:rsidP="00650A34">
            <w:pPr>
              <w:spacing w:after="0" w:line="240" w:lineRule="auto"/>
              <w:jc w:val="center"/>
              <w:rPr>
                <w:rFonts w:ascii="Arial" w:hAnsi="Arial" w:cs="Arial"/>
                <w:sz w:val="18"/>
                <w:szCs w:val="18"/>
              </w:rPr>
            </w:pPr>
            <w:r>
              <w:rPr>
                <w:rFonts w:ascii="Arial" w:hAnsi="Arial" w:cs="Arial"/>
                <w:sz w:val="18"/>
                <w:szCs w:val="18"/>
              </w:rPr>
              <w:t>16%</w:t>
            </w:r>
          </w:p>
        </w:tc>
      </w:tr>
      <w:tr w:rsidR="00323BF6" w:rsidRPr="00737070" w:rsidTr="00F13F3C">
        <w:trPr>
          <w:trHeight w:val="56"/>
          <w:jc w:val="center"/>
        </w:trPr>
        <w:tc>
          <w:tcPr>
            <w:tcW w:w="1225" w:type="dxa"/>
            <w:vMerge/>
            <w:vAlign w:val="center"/>
          </w:tcPr>
          <w:p w:rsidR="00323BF6" w:rsidRPr="00737070" w:rsidRDefault="00323BF6" w:rsidP="00650A34">
            <w:pPr>
              <w:spacing w:after="0" w:line="240" w:lineRule="auto"/>
              <w:rPr>
                <w:rFonts w:ascii="Arial" w:hAnsi="Arial" w:cs="Arial"/>
                <w:sz w:val="18"/>
                <w:szCs w:val="18"/>
              </w:rPr>
            </w:pPr>
          </w:p>
        </w:tc>
        <w:tc>
          <w:tcPr>
            <w:tcW w:w="1637" w:type="dxa"/>
          </w:tcPr>
          <w:p w:rsidR="00323BF6" w:rsidRPr="00737070" w:rsidRDefault="00323BF6" w:rsidP="004E017B">
            <w:pPr>
              <w:spacing w:after="0" w:line="240" w:lineRule="auto"/>
              <w:jc w:val="center"/>
              <w:rPr>
                <w:rFonts w:ascii="Arial" w:hAnsi="Arial" w:cs="Arial"/>
                <w:sz w:val="18"/>
                <w:szCs w:val="18"/>
              </w:rPr>
            </w:pPr>
            <w:r w:rsidRPr="00737070">
              <w:rPr>
                <w:rFonts w:ascii="Arial" w:hAnsi="Arial" w:cs="Arial"/>
                <w:sz w:val="18"/>
                <w:szCs w:val="18"/>
              </w:rPr>
              <w:t>Proyectos tipo (2)</w:t>
            </w:r>
          </w:p>
        </w:tc>
        <w:tc>
          <w:tcPr>
            <w:tcW w:w="1366" w:type="dxa"/>
            <w:vAlign w:val="center"/>
          </w:tcPr>
          <w:p w:rsidR="00323BF6" w:rsidRPr="00737070" w:rsidRDefault="00C237BF" w:rsidP="00650A34">
            <w:pPr>
              <w:spacing w:after="0" w:line="240" w:lineRule="auto"/>
              <w:jc w:val="center"/>
              <w:rPr>
                <w:rFonts w:ascii="Arial" w:hAnsi="Arial" w:cs="Arial"/>
                <w:sz w:val="18"/>
                <w:szCs w:val="18"/>
              </w:rPr>
            </w:pPr>
            <w:r>
              <w:rPr>
                <w:rFonts w:ascii="Arial" w:hAnsi="Arial" w:cs="Arial"/>
                <w:sz w:val="18"/>
                <w:szCs w:val="18"/>
              </w:rPr>
              <w:t>6</w:t>
            </w:r>
            <w:r w:rsidR="00323BF6" w:rsidRPr="00737070">
              <w:rPr>
                <w:rFonts w:ascii="Arial" w:hAnsi="Arial" w:cs="Arial"/>
                <w:sz w:val="18"/>
                <w:szCs w:val="18"/>
              </w:rPr>
              <w:t>%</w:t>
            </w:r>
          </w:p>
        </w:tc>
        <w:tc>
          <w:tcPr>
            <w:tcW w:w="1367" w:type="dxa"/>
            <w:vAlign w:val="center"/>
          </w:tcPr>
          <w:p w:rsidR="00323BF6" w:rsidRPr="00737070" w:rsidRDefault="00C237BF" w:rsidP="00650A34">
            <w:pPr>
              <w:spacing w:after="0" w:line="240" w:lineRule="auto"/>
              <w:jc w:val="center"/>
              <w:rPr>
                <w:rFonts w:ascii="Arial" w:hAnsi="Arial" w:cs="Arial"/>
                <w:sz w:val="18"/>
                <w:szCs w:val="18"/>
              </w:rPr>
            </w:pPr>
            <w:r>
              <w:rPr>
                <w:rFonts w:ascii="Arial" w:hAnsi="Arial" w:cs="Arial"/>
                <w:sz w:val="18"/>
                <w:szCs w:val="18"/>
              </w:rPr>
              <w:t>12</w:t>
            </w:r>
            <w:r w:rsidR="00323BF6" w:rsidRPr="00737070">
              <w:rPr>
                <w:rFonts w:ascii="Arial" w:hAnsi="Arial" w:cs="Arial"/>
                <w:sz w:val="18"/>
                <w:szCs w:val="18"/>
              </w:rPr>
              <w:t>%</w:t>
            </w:r>
          </w:p>
        </w:tc>
        <w:tc>
          <w:tcPr>
            <w:tcW w:w="727" w:type="dxa"/>
            <w:vMerge/>
            <w:vAlign w:val="center"/>
          </w:tcPr>
          <w:p w:rsidR="00323BF6" w:rsidRPr="00737070" w:rsidRDefault="00323BF6" w:rsidP="00650A34">
            <w:pPr>
              <w:spacing w:after="0" w:line="240" w:lineRule="auto"/>
              <w:jc w:val="center"/>
              <w:rPr>
                <w:rFonts w:ascii="Arial" w:hAnsi="Arial" w:cs="Arial"/>
                <w:sz w:val="18"/>
                <w:szCs w:val="18"/>
              </w:rPr>
            </w:pPr>
          </w:p>
        </w:tc>
        <w:tc>
          <w:tcPr>
            <w:tcW w:w="1334" w:type="dxa"/>
            <w:vAlign w:val="center"/>
          </w:tcPr>
          <w:p w:rsidR="00323BF6" w:rsidRPr="00737070" w:rsidRDefault="00323BF6" w:rsidP="00650A34">
            <w:pPr>
              <w:spacing w:after="0" w:line="240" w:lineRule="auto"/>
              <w:jc w:val="center"/>
              <w:rPr>
                <w:rFonts w:ascii="Arial" w:hAnsi="Arial" w:cs="Arial"/>
                <w:sz w:val="18"/>
                <w:szCs w:val="18"/>
              </w:rPr>
            </w:pPr>
            <w:r w:rsidRPr="00737070">
              <w:rPr>
                <w:rFonts w:ascii="Arial" w:hAnsi="Arial" w:cs="Arial"/>
                <w:sz w:val="18"/>
                <w:szCs w:val="18"/>
              </w:rPr>
              <w:t>1%</w:t>
            </w:r>
          </w:p>
        </w:tc>
        <w:tc>
          <w:tcPr>
            <w:tcW w:w="727" w:type="dxa"/>
            <w:vMerge/>
            <w:vAlign w:val="center"/>
          </w:tcPr>
          <w:p w:rsidR="00323BF6" w:rsidRPr="00737070" w:rsidRDefault="00323BF6" w:rsidP="00650A34">
            <w:pPr>
              <w:spacing w:after="0" w:line="240" w:lineRule="auto"/>
              <w:jc w:val="center"/>
              <w:rPr>
                <w:rFonts w:ascii="Arial" w:hAnsi="Arial" w:cs="Arial"/>
                <w:sz w:val="18"/>
                <w:szCs w:val="18"/>
              </w:rPr>
            </w:pPr>
          </w:p>
        </w:tc>
        <w:tc>
          <w:tcPr>
            <w:tcW w:w="1355" w:type="dxa"/>
            <w:vAlign w:val="center"/>
          </w:tcPr>
          <w:p w:rsidR="00323BF6" w:rsidRPr="00737070" w:rsidRDefault="00F13F3C" w:rsidP="00650A34">
            <w:pPr>
              <w:spacing w:after="0" w:line="240" w:lineRule="auto"/>
              <w:jc w:val="center"/>
              <w:rPr>
                <w:rFonts w:ascii="Arial" w:hAnsi="Arial" w:cs="Arial"/>
                <w:sz w:val="18"/>
                <w:szCs w:val="18"/>
              </w:rPr>
            </w:pPr>
            <w:r>
              <w:rPr>
                <w:rFonts w:ascii="Arial" w:hAnsi="Arial" w:cs="Arial"/>
                <w:sz w:val="18"/>
                <w:szCs w:val="18"/>
              </w:rPr>
              <w:t>5%</w:t>
            </w:r>
          </w:p>
        </w:tc>
      </w:tr>
      <w:tr w:rsidR="00323BF6" w:rsidRPr="00737070" w:rsidTr="00F13F3C">
        <w:trPr>
          <w:trHeight w:val="56"/>
          <w:jc w:val="center"/>
        </w:trPr>
        <w:tc>
          <w:tcPr>
            <w:tcW w:w="1225" w:type="dxa"/>
            <w:vMerge w:val="restart"/>
            <w:vAlign w:val="center"/>
          </w:tcPr>
          <w:p w:rsidR="00323BF6" w:rsidRPr="00737070" w:rsidRDefault="00323BF6" w:rsidP="004E017B">
            <w:pPr>
              <w:spacing w:after="0" w:line="240" w:lineRule="auto"/>
              <w:rPr>
                <w:rFonts w:ascii="Arial" w:hAnsi="Arial" w:cs="Arial"/>
                <w:sz w:val="18"/>
                <w:szCs w:val="18"/>
              </w:rPr>
            </w:pPr>
            <w:r w:rsidRPr="00737070">
              <w:rPr>
                <w:rFonts w:ascii="Arial" w:hAnsi="Arial" w:cs="Arial"/>
                <w:sz w:val="18"/>
                <w:szCs w:val="18"/>
              </w:rPr>
              <w:t>Cantidad de empresas</w:t>
            </w:r>
          </w:p>
        </w:tc>
        <w:tc>
          <w:tcPr>
            <w:tcW w:w="1637" w:type="dxa"/>
          </w:tcPr>
          <w:p w:rsidR="00323BF6" w:rsidRPr="00737070" w:rsidRDefault="00323BF6" w:rsidP="00C237BF">
            <w:pPr>
              <w:spacing w:after="0" w:line="240" w:lineRule="auto"/>
              <w:jc w:val="center"/>
              <w:rPr>
                <w:rFonts w:ascii="Arial" w:hAnsi="Arial" w:cs="Arial"/>
                <w:sz w:val="18"/>
                <w:szCs w:val="18"/>
              </w:rPr>
            </w:pPr>
            <w:r w:rsidRPr="00737070">
              <w:rPr>
                <w:rFonts w:ascii="Arial" w:hAnsi="Arial" w:cs="Arial"/>
                <w:sz w:val="18"/>
                <w:szCs w:val="18"/>
              </w:rPr>
              <w:t>Proyectos tipo (1)</w:t>
            </w:r>
          </w:p>
        </w:tc>
        <w:tc>
          <w:tcPr>
            <w:tcW w:w="1366" w:type="dxa"/>
            <w:vAlign w:val="center"/>
          </w:tcPr>
          <w:p w:rsidR="00323BF6" w:rsidRPr="00737070" w:rsidRDefault="00323BF6" w:rsidP="00650A34">
            <w:pPr>
              <w:spacing w:after="0" w:line="240" w:lineRule="auto"/>
              <w:jc w:val="center"/>
              <w:rPr>
                <w:rFonts w:ascii="Arial" w:hAnsi="Arial" w:cs="Arial"/>
                <w:sz w:val="18"/>
                <w:szCs w:val="18"/>
              </w:rPr>
            </w:pPr>
            <w:r w:rsidRPr="00737070">
              <w:rPr>
                <w:rFonts w:ascii="Arial" w:hAnsi="Arial" w:cs="Arial"/>
                <w:sz w:val="18"/>
                <w:szCs w:val="18"/>
              </w:rPr>
              <w:t>4</w:t>
            </w:r>
          </w:p>
        </w:tc>
        <w:tc>
          <w:tcPr>
            <w:tcW w:w="1367" w:type="dxa"/>
            <w:vAlign w:val="center"/>
          </w:tcPr>
          <w:p w:rsidR="00323BF6" w:rsidRPr="00737070" w:rsidRDefault="00BE2694" w:rsidP="00650A34">
            <w:pPr>
              <w:spacing w:after="0" w:line="240" w:lineRule="auto"/>
              <w:jc w:val="center"/>
              <w:rPr>
                <w:rFonts w:ascii="Arial" w:hAnsi="Arial" w:cs="Arial"/>
                <w:sz w:val="18"/>
                <w:szCs w:val="18"/>
              </w:rPr>
            </w:pPr>
            <w:r>
              <w:rPr>
                <w:rFonts w:ascii="Arial" w:hAnsi="Arial" w:cs="Arial"/>
                <w:sz w:val="18"/>
                <w:szCs w:val="18"/>
              </w:rPr>
              <w:t>10</w:t>
            </w:r>
          </w:p>
        </w:tc>
        <w:tc>
          <w:tcPr>
            <w:tcW w:w="727" w:type="dxa"/>
            <w:vMerge w:val="restart"/>
            <w:vAlign w:val="center"/>
          </w:tcPr>
          <w:p w:rsidR="00323BF6" w:rsidRPr="00737070" w:rsidRDefault="00BE2694" w:rsidP="00BE2694">
            <w:pPr>
              <w:spacing w:after="0" w:line="240" w:lineRule="auto"/>
              <w:jc w:val="center"/>
              <w:rPr>
                <w:rFonts w:ascii="Arial" w:hAnsi="Arial" w:cs="Arial"/>
                <w:sz w:val="18"/>
                <w:szCs w:val="18"/>
              </w:rPr>
            </w:pPr>
            <w:r>
              <w:rPr>
                <w:rFonts w:ascii="Arial" w:hAnsi="Arial" w:cs="Arial"/>
                <w:sz w:val="18"/>
                <w:szCs w:val="18"/>
              </w:rPr>
              <w:t>10</w:t>
            </w:r>
            <w:r w:rsidR="00323BF6" w:rsidRPr="00737070">
              <w:rPr>
                <w:rFonts w:ascii="Arial" w:hAnsi="Arial" w:cs="Arial"/>
                <w:sz w:val="18"/>
                <w:szCs w:val="18"/>
              </w:rPr>
              <w:t>,</w:t>
            </w:r>
            <w:r>
              <w:rPr>
                <w:rFonts w:ascii="Arial" w:hAnsi="Arial" w:cs="Arial"/>
                <w:sz w:val="18"/>
                <w:szCs w:val="18"/>
              </w:rPr>
              <w:t>2</w:t>
            </w:r>
            <w:r w:rsidR="00323BF6" w:rsidRPr="00737070">
              <w:rPr>
                <w:rFonts w:ascii="Arial" w:hAnsi="Arial" w:cs="Arial"/>
                <w:sz w:val="18"/>
                <w:szCs w:val="18"/>
              </w:rPr>
              <w:t>%</w:t>
            </w:r>
          </w:p>
        </w:tc>
        <w:tc>
          <w:tcPr>
            <w:tcW w:w="1334" w:type="dxa"/>
            <w:vAlign w:val="center"/>
          </w:tcPr>
          <w:p w:rsidR="00323BF6" w:rsidRPr="00737070" w:rsidRDefault="00323BF6" w:rsidP="00650A34">
            <w:pPr>
              <w:spacing w:after="0" w:line="240" w:lineRule="auto"/>
              <w:jc w:val="center"/>
              <w:rPr>
                <w:rFonts w:ascii="Arial" w:hAnsi="Arial" w:cs="Arial"/>
                <w:sz w:val="18"/>
                <w:szCs w:val="18"/>
              </w:rPr>
            </w:pPr>
            <w:r w:rsidRPr="00737070">
              <w:rPr>
                <w:rFonts w:ascii="Arial" w:hAnsi="Arial" w:cs="Arial"/>
                <w:sz w:val="18"/>
                <w:szCs w:val="18"/>
              </w:rPr>
              <w:t>1</w:t>
            </w:r>
          </w:p>
        </w:tc>
        <w:tc>
          <w:tcPr>
            <w:tcW w:w="727" w:type="dxa"/>
            <w:vMerge w:val="restart"/>
            <w:vAlign w:val="center"/>
          </w:tcPr>
          <w:p w:rsidR="00323BF6" w:rsidRPr="00E25F6C" w:rsidRDefault="00E25F6C" w:rsidP="00650A34">
            <w:pPr>
              <w:spacing w:after="0" w:line="240" w:lineRule="auto"/>
              <w:jc w:val="center"/>
              <w:rPr>
                <w:rFonts w:ascii="Arial" w:hAnsi="Arial" w:cs="Arial"/>
                <w:color w:val="FF0000"/>
                <w:sz w:val="18"/>
                <w:szCs w:val="18"/>
              </w:rPr>
            </w:pPr>
            <w:r w:rsidRPr="00E25F6C">
              <w:rPr>
                <w:rFonts w:ascii="Arial" w:hAnsi="Arial" w:cs="Arial"/>
                <w:color w:val="FF0000"/>
                <w:sz w:val="18"/>
                <w:szCs w:val="18"/>
              </w:rPr>
              <w:t>9,4</w:t>
            </w:r>
            <w:r w:rsidR="00323BF6" w:rsidRPr="00E25F6C">
              <w:rPr>
                <w:rFonts w:ascii="Arial" w:hAnsi="Arial" w:cs="Arial"/>
                <w:color w:val="FF0000"/>
                <w:sz w:val="18"/>
                <w:szCs w:val="18"/>
              </w:rPr>
              <w:t>%</w:t>
            </w:r>
          </w:p>
        </w:tc>
        <w:tc>
          <w:tcPr>
            <w:tcW w:w="1355" w:type="dxa"/>
            <w:vAlign w:val="center"/>
          </w:tcPr>
          <w:p w:rsidR="00323BF6" w:rsidRPr="00737070" w:rsidRDefault="00F13F3C" w:rsidP="00650A34">
            <w:pPr>
              <w:spacing w:after="0" w:line="240" w:lineRule="auto"/>
              <w:jc w:val="center"/>
              <w:rPr>
                <w:rFonts w:ascii="Arial" w:hAnsi="Arial" w:cs="Arial"/>
                <w:sz w:val="18"/>
                <w:szCs w:val="18"/>
              </w:rPr>
            </w:pPr>
            <w:r>
              <w:rPr>
                <w:rFonts w:ascii="Arial" w:hAnsi="Arial" w:cs="Arial"/>
                <w:sz w:val="18"/>
                <w:szCs w:val="18"/>
              </w:rPr>
              <w:t>3</w:t>
            </w:r>
          </w:p>
        </w:tc>
      </w:tr>
      <w:tr w:rsidR="00323BF6" w:rsidRPr="00737070" w:rsidTr="00F13F3C">
        <w:trPr>
          <w:trHeight w:val="56"/>
          <w:jc w:val="center"/>
        </w:trPr>
        <w:tc>
          <w:tcPr>
            <w:tcW w:w="1225" w:type="dxa"/>
            <w:vMerge/>
            <w:vAlign w:val="center"/>
          </w:tcPr>
          <w:p w:rsidR="00323BF6" w:rsidRPr="00737070" w:rsidRDefault="00323BF6" w:rsidP="00650A34">
            <w:pPr>
              <w:spacing w:after="0" w:line="240" w:lineRule="auto"/>
              <w:rPr>
                <w:rFonts w:ascii="Arial" w:hAnsi="Arial" w:cs="Arial"/>
                <w:sz w:val="18"/>
                <w:szCs w:val="18"/>
              </w:rPr>
            </w:pPr>
          </w:p>
        </w:tc>
        <w:tc>
          <w:tcPr>
            <w:tcW w:w="1637" w:type="dxa"/>
          </w:tcPr>
          <w:p w:rsidR="00323BF6" w:rsidRPr="00737070" w:rsidRDefault="00323BF6" w:rsidP="00C237BF">
            <w:pPr>
              <w:spacing w:after="0" w:line="240" w:lineRule="auto"/>
              <w:jc w:val="center"/>
              <w:rPr>
                <w:rFonts w:ascii="Arial" w:hAnsi="Arial" w:cs="Arial"/>
                <w:sz w:val="18"/>
                <w:szCs w:val="18"/>
              </w:rPr>
            </w:pPr>
            <w:r w:rsidRPr="00737070">
              <w:rPr>
                <w:rFonts w:ascii="Arial" w:hAnsi="Arial" w:cs="Arial"/>
                <w:sz w:val="18"/>
                <w:szCs w:val="18"/>
              </w:rPr>
              <w:t>Proyectos tipo (2)</w:t>
            </w:r>
          </w:p>
        </w:tc>
        <w:tc>
          <w:tcPr>
            <w:tcW w:w="1366" w:type="dxa"/>
            <w:vAlign w:val="center"/>
          </w:tcPr>
          <w:p w:rsidR="00323BF6" w:rsidRPr="00737070" w:rsidRDefault="00323BF6" w:rsidP="00650A34">
            <w:pPr>
              <w:spacing w:after="0" w:line="240" w:lineRule="auto"/>
              <w:jc w:val="center"/>
              <w:rPr>
                <w:rFonts w:ascii="Arial" w:hAnsi="Arial" w:cs="Arial"/>
                <w:sz w:val="18"/>
                <w:szCs w:val="18"/>
              </w:rPr>
            </w:pPr>
            <w:r w:rsidRPr="00737070">
              <w:rPr>
                <w:rFonts w:ascii="Arial" w:hAnsi="Arial" w:cs="Arial"/>
                <w:sz w:val="18"/>
                <w:szCs w:val="18"/>
              </w:rPr>
              <w:t>7</w:t>
            </w:r>
          </w:p>
        </w:tc>
        <w:tc>
          <w:tcPr>
            <w:tcW w:w="1367" w:type="dxa"/>
            <w:vAlign w:val="center"/>
          </w:tcPr>
          <w:p w:rsidR="00323BF6" w:rsidRPr="00737070" w:rsidRDefault="00BE2694" w:rsidP="00650A34">
            <w:pPr>
              <w:spacing w:after="0" w:line="240" w:lineRule="auto"/>
              <w:jc w:val="center"/>
              <w:rPr>
                <w:rFonts w:ascii="Arial" w:hAnsi="Arial" w:cs="Arial"/>
                <w:sz w:val="18"/>
                <w:szCs w:val="18"/>
              </w:rPr>
            </w:pPr>
            <w:r>
              <w:rPr>
                <w:rFonts w:ascii="Arial" w:hAnsi="Arial" w:cs="Arial"/>
                <w:sz w:val="18"/>
                <w:szCs w:val="18"/>
              </w:rPr>
              <w:t>1</w:t>
            </w:r>
          </w:p>
        </w:tc>
        <w:tc>
          <w:tcPr>
            <w:tcW w:w="727" w:type="dxa"/>
            <w:vMerge/>
            <w:vAlign w:val="center"/>
          </w:tcPr>
          <w:p w:rsidR="00323BF6" w:rsidRPr="00737070" w:rsidRDefault="00323BF6" w:rsidP="00650A34">
            <w:pPr>
              <w:spacing w:after="0" w:line="240" w:lineRule="auto"/>
              <w:jc w:val="center"/>
              <w:rPr>
                <w:rFonts w:ascii="Arial" w:hAnsi="Arial" w:cs="Arial"/>
                <w:sz w:val="18"/>
                <w:szCs w:val="18"/>
                <w:highlight w:val="cyan"/>
              </w:rPr>
            </w:pPr>
          </w:p>
        </w:tc>
        <w:tc>
          <w:tcPr>
            <w:tcW w:w="1334" w:type="dxa"/>
            <w:vAlign w:val="center"/>
          </w:tcPr>
          <w:p w:rsidR="00323BF6" w:rsidRPr="00737070" w:rsidRDefault="000076B2" w:rsidP="00650A34">
            <w:pPr>
              <w:spacing w:after="0" w:line="240" w:lineRule="auto"/>
              <w:jc w:val="center"/>
              <w:rPr>
                <w:rFonts w:ascii="Arial" w:hAnsi="Arial" w:cs="Arial"/>
                <w:sz w:val="18"/>
                <w:szCs w:val="18"/>
              </w:rPr>
            </w:pPr>
            <w:r>
              <w:rPr>
                <w:rFonts w:ascii="Arial" w:hAnsi="Arial" w:cs="Arial"/>
                <w:sz w:val="18"/>
                <w:szCs w:val="18"/>
              </w:rPr>
              <w:t>10</w:t>
            </w:r>
          </w:p>
        </w:tc>
        <w:tc>
          <w:tcPr>
            <w:tcW w:w="727" w:type="dxa"/>
            <w:vMerge/>
            <w:vAlign w:val="center"/>
          </w:tcPr>
          <w:p w:rsidR="00323BF6" w:rsidRPr="00737070" w:rsidRDefault="00323BF6" w:rsidP="00650A34">
            <w:pPr>
              <w:spacing w:after="0" w:line="240" w:lineRule="auto"/>
              <w:jc w:val="center"/>
              <w:rPr>
                <w:rFonts w:ascii="Arial" w:hAnsi="Arial" w:cs="Arial"/>
                <w:sz w:val="18"/>
                <w:szCs w:val="18"/>
                <w:highlight w:val="cyan"/>
              </w:rPr>
            </w:pPr>
          </w:p>
        </w:tc>
        <w:tc>
          <w:tcPr>
            <w:tcW w:w="1355" w:type="dxa"/>
            <w:vAlign w:val="center"/>
          </w:tcPr>
          <w:p w:rsidR="00323BF6" w:rsidRPr="00737070" w:rsidRDefault="00F13F3C" w:rsidP="00650A34">
            <w:pPr>
              <w:spacing w:after="0" w:line="240" w:lineRule="auto"/>
              <w:jc w:val="center"/>
              <w:rPr>
                <w:rFonts w:ascii="Arial" w:hAnsi="Arial" w:cs="Arial"/>
                <w:sz w:val="18"/>
                <w:szCs w:val="18"/>
              </w:rPr>
            </w:pPr>
            <w:r>
              <w:rPr>
                <w:rFonts w:ascii="Arial" w:hAnsi="Arial" w:cs="Arial"/>
                <w:sz w:val="18"/>
                <w:szCs w:val="18"/>
              </w:rPr>
              <w:t>8</w:t>
            </w:r>
          </w:p>
        </w:tc>
      </w:tr>
    </w:tbl>
    <w:p w:rsidR="0012596D" w:rsidRPr="0012596D" w:rsidRDefault="0012596D" w:rsidP="00C237BF">
      <w:pPr>
        <w:spacing w:before="240"/>
        <w:jc w:val="both"/>
        <w:rPr>
          <w:rFonts w:ascii="Times New Roman" w:hAnsi="Times New Roman"/>
          <w:b/>
          <w:sz w:val="24"/>
          <w:u w:val="single"/>
        </w:rPr>
      </w:pPr>
      <w:r w:rsidRPr="0012596D">
        <w:rPr>
          <w:rFonts w:ascii="Times New Roman" w:hAnsi="Times New Roman"/>
          <w:b/>
          <w:sz w:val="24"/>
          <w:u w:val="single"/>
        </w:rPr>
        <w:t>Escenario</w:t>
      </w:r>
      <w:r>
        <w:rPr>
          <w:rFonts w:ascii="Times New Roman" w:hAnsi="Times New Roman"/>
          <w:b/>
          <w:sz w:val="24"/>
          <w:u w:val="single"/>
        </w:rPr>
        <w:t>s</w:t>
      </w:r>
      <w:r w:rsidRPr="0012596D">
        <w:rPr>
          <w:rFonts w:ascii="Times New Roman" w:hAnsi="Times New Roman"/>
          <w:b/>
          <w:sz w:val="24"/>
          <w:u w:val="single"/>
        </w:rPr>
        <w:t xml:space="preserve"> optimista</w:t>
      </w:r>
      <w:r>
        <w:rPr>
          <w:rFonts w:ascii="Times New Roman" w:hAnsi="Times New Roman"/>
          <w:b/>
          <w:sz w:val="24"/>
          <w:u w:val="single"/>
        </w:rPr>
        <w:t>s</w:t>
      </w:r>
    </w:p>
    <w:p w:rsidR="0012596D" w:rsidRDefault="0012596D" w:rsidP="00C237BF">
      <w:pPr>
        <w:spacing w:before="240"/>
        <w:jc w:val="both"/>
        <w:rPr>
          <w:rFonts w:ascii="Times New Roman" w:hAnsi="Times New Roman"/>
          <w:sz w:val="24"/>
        </w:rPr>
      </w:pPr>
      <w:r>
        <w:rPr>
          <w:rFonts w:ascii="Times New Roman" w:hAnsi="Times New Roman"/>
          <w:sz w:val="24"/>
        </w:rPr>
        <w:t xml:space="preserve">Si se modifica </w:t>
      </w:r>
      <w:r w:rsidR="00C237BF">
        <w:rPr>
          <w:rFonts w:ascii="Times New Roman" w:hAnsi="Times New Roman"/>
          <w:sz w:val="24"/>
        </w:rPr>
        <w:t xml:space="preserve">el supuesto (iv) </w:t>
      </w:r>
      <w:r>
        <w:rPr>
          <w:rFonts w:ascii="Times New Roman" w:hAnsi="Times New Roman"/>
          <w:sz w:val="24"/>
        </w:rPr>
        <w:t xml:space="preserve">llevando el inicial </w:t>
      </w:r>
      <w:r w:rsidR="00C237BF">
        <w:rPr>
          <w:rFonts w:ascii="Times New Roman" w:hAnsi="Times New Roman"/>
          <w:sz w:val="24"/>
        </w:rPr>
        <w:t xml:space="preserve">de ventas </w:t>
      </w:r>
      <w:r>
        <w:rPr>
          <w:rFonts w:ascii="Times New Roman" w:hAnsi="Times New Roman"/>
          <w:sz w:val="24"/>
        </w:rPr>
        <w:t>a</w:t>
      </w:r>
      <w:r w:rsidR="00C237BF">
        <w:rPr>
          <w:rFonts w:ascii="Times New Roman" w:hAnsi="Times New Roman"/>
          <w:sz w:val="24"/>
        </w:rPr>
        <w:t xml:space="preserve"> ARS 300.000, la TIR resultante es de 17,6%. </w:t>
      </w:r>
    </w:p>
    <w:p w:rsidR="0012596D" w:rsidRDefault="0012596D" w:rsidP="00C237BF">
      <w:pPr>
        <w:spacing w:before="240"/>
        <w:jc w:val="both"/>
        <w:rPr>
          <w:rFonts w:ascii="Times New Roman" w:hAnsi="Times New Roman"/>
          <w:sz w:val="24"/>
        </w:rPr>
      </w:pPr>
      <w:r>
        <w:rPr>
          <w:rFonts w:ascii="Times New Roman" w:hAnsi="Times New Roman"/>
          <w:sz w:val="24"/>
        </w:rPr>
        <w:t xml:space="preserve">Si se modifica el supuesto sobre la </w:t>
      </w:r>
      <w:r w:rsidR="00C237BF">
        <w:rPr>
          <w:rFonts w:ascii="Times New Roman" w:hAnsi="Times New Roman"/>
          <w:sz w:val="24"/>
        </w:rPr>
        <w:t>tasa de crecimiento esperada para las dos tipo</w:t>
      </w:r>
      <w:r>
        <w:rPr>
          <w:rFonts w:ascii="Times New Roman" w:hAnsi="Times New Roman"/>
          <w:sz w:val="24"/>
        </w:rPr>
        <w:t>s</w:t>
      </w:r>
      <w:r w:rsidR="00C237BF">
        <w:rPr>
          <w:rFonts w:ascii="Times New Roman" w:hAnsi="Times New Roman"/>
          <w:sz w:val="24"/>
        </w:rPr>
        <w:t xml:space="preserve"> de proyectos </w:t>
      </w:r>
      <w:r>
        <w:rPr>
          <w:rFonts w:ascii="Times New Roman" w:hAnsi="Times New Roman"/>
          <w:sz w:val="24"/>
        </w:rPr>
        <w:t xml:space="preserve">llevando la tasa de crecimiento de las </w:t>
      </w:r>
      <w:r w:rsidR="00C237BF">
        <w:rPr>
          <w:rFonts w:ascii="Times New Roman" w:hAnsi="Times New Roman"/>
          <w:sz w:val="24"/>
        </w:rPr>
        <w:t xml:space="preserve">cuatro empresas </w:t>
      </w:r>
      <w:r>
        <w:rPr>
          <w:rFonts w:ascii="Times New Roman" w:hAnsi="Times New Roman"/>
          <w:sz w:val="24"/>
        </w:rPr>
        <w:t>tipo 1 a</w:t>
      </w:r>
      <w:r w:rsidR="00C237BF">
        <w:rPr>
          <w:rFonts w:ascii="Times New Roman" w:hAnsi="Times New Roman"/>
          <w:sz w:val="24"/>
        </w:rPr>
        <w:t xml:space="preserve"> 20% anual acumulativo </w:t>
      </w:r>
      <w:r>
        <w:rPr>
          <w:rFonts w:ascii="Times New Roman" w:hAnsi="Times New Roman"/>
          <w:sz w:val="24"/>
        </w:rPr>
        <w:t xml:space="preserve">(llevando la facturación de estas empresas en 20 años a ARS 6.201.260, un 75% de la facturación de la empresa tipo) </w:t>
      </w:r>
      <w:r w:rsidR="00C237BF">
        <w:rPr>
          <w:rFonts w:ascii="Times New Roman" w:hAnsi="Times New Roman"/>
          <w:sz w:val="24"/>
        </w:rPr>
        <w:t xml:space="preserve">y </w:t>
      </w:r>
      <w:r>
        <w:rPr>
          <w:rFonts w:ascii="Times New Roman" w:hAnsi="Times New Roman"/>
          <w:sz w:val="24"/>
        </w:rPr>
        <w:t xml:space="preserve">de </w:t>
      </w:r>
      <w:r w:rsidR="00C237BF">
        <w:rPr>
          <w:rFonts w:ascii="Times New Roman" w:hAnsi="Times New Roman"/>
          <w:sz w:val="24"/>
        </w:rPr>
        <w:t>las restantes siete a 12%</w:t>
      </w:r>
      <w:r>
        <w:rPr>
          <w:rFonts w:ascii="Times New Roman" w:hAnsi="Times New Roman"/>
          <w:sz w:val="24"/>
        </w:rPr>
        <w:t xml:space="preserve"> (llevando la facturación a ARS 1.653.669, 20% de la facturación de la tipo), </w:t>
      </w:r>
      <w:r w:rsidR="00C237BF">
        <w:rPr>
          <w:rFonts w:ascii="Times New Roman" w:hAnsi="Times New Roman"/>
          <w:sz w:val="24"/>
        </w:rPr>
        <w:t>la TIR resulta</w:t>
      </w:r>
      <w:r>
        <w:rPr>
          <w:rFonts w:ascii="Times New Roman" w:hAnsi="Times New Roman"/>
          <w:sz w:val="24"/>
        </w:rPr>
        <w:t>nte es de</w:t>
      </w:r>
      <w:r w:rsidR="00C237BF">
        <w:rPr>
          <w:rFonts w:ascii="Times New Roman" w:hAnsi="Times New Roman"/>
          <w:sz w:val="24"/>
        </w:rPr>
        <w:t xml:space="preserve"> 18,7%. </w:t>
      </w:r>
    </w:p>
    <w:p w:rsidR="00C237BF" w:rsidRDefault="0012596D" w:rsidP="00C237BF">
      <w:pPr>
        <w:spacing w:before="240"/>
        <w:jc w:val="both"/>
        <w:rPr>
          <w:rFonts w:ascii="Times New Roman" w:hAnsi="Times New Roman"/>
          <w:sz w:val="24"/>
        </w:rPr>
      </w:pPr>
      <w:r>
        <w:rPr>
          <w:rFonts w:ascii="Times New Roman" w:hAnsi="Times New Roman"/>
          <w:sz w:val="24"/>
        </w:rPr>
        <w:t>Si modificamos el supuesto con respecto a la distribución finalmente, con</w:t>
      </w:r>
      <w:r w:rsidR="00BE2694">
        <w:rPr>
          <w:rFonts w:ascii="Times New Roman" w:hAnsi="Times New Roman"/>
          <w:sz w:val="24"/>
        </w:rPr>
        <w:t xml:space="preserve"> diez proyectos </w:t>
      </w:r>
      <w:r w:rsidR="00C237BF">
        <w:rPr>
          <w:rFonts w:ascii="Times New Roman" w:hAnsi="Times New Roman"/>
          <w:sz w:val="24"/>
        </w:rPr>
        <w:t xml:space="preserve">tipo (1) y </w:t>
      </w:r>
      <w:r>
        <w:rPr>
          <w:rFonts w:ascii="Times New Roman" w:hAnsi="Times New Roman"/>
          <w:sz w:val="24"/>
        </w:rPr>
        <w:t xml:space="preserve">sólo uno </w:t>
      </w:r>
      <w:r w:rsidR="00C237BF">
        <w:rPr>
          <w:rFonts w:ascii="Times New Roman" w:hAnsi="Times New Roman"/>
          <w:sz w:val="24"/>
        </w:rPr>
        <w:t xml:space="preserve">tipo (2), </w:t>
      </w:r>
      <w:r>
        <w:rPr>
          <w:rFonts w:ascii="Times New Roman" w:hAnsi="Times New Roman"/>
          <w:sz w:val="24"/>
        </w:rPr>
        <w:t xml:space="preserve">la </w:t>
      </w:r>
      <w:r w:rsidR="00C237BF">
        <w:rPr>
          <w:rFonts w:ascii="Times New Roman" w:hAnsi="Times New Roman"/>
          <w:sz w:val="24"/>
        </w:rPr>
        <w:t xml:space="preserve">TIR </w:t>
      </w:r>
      <w:r>
        <w:rPr>
          <w:rFonts w:ascii="Times New Roman" w:hAnsi="Times New Roman"/>
          <w:sz w:val="24"/>
        </w:rPr>
        <w:t>asciende a</w:t>
      </w:r>
      <w:r w:rsidR="00C237BF">
        <w:rPr>
          <w:rFonts w:ascii="Times New Roman" w:hAnsi="Times New Roman"/>
          <w:sz w:val="24"/>
        </w:rPr>
        <w:t xml:space="preserve"> </w:t>
      </w:r>
      <w:r w:rsidR="00BE2694">
        <w:rPr>
          <w:rFonts w:ascii="Times New Roman" w:hAnsi="Times New Roman"/>
          <w:sz w:val="24"/>
        </w:rPr>
        <w:t>20</w:t>
      </w:r>
      <w:r w:rsidR="00C237BF">
        <w:rPr>
          <w:rFonts w:ascii="Times New Roman" w:hAnsi="Times New Roman"/>
          <w:sz w:val="24"/>
        </w:rPr>
        <w:t>,</w:t>
      </w:r>
      <w:r w:rsidR="00BE2694">
        <w:rPr>
          <w:rFonts w:ascii="Times New Roman" w:hAnsi="Times New Roman"/>
          <w:sz w:val="24"/>
        </w:rPr>
        <w:t>2</w:t>
      </w:r>
      <w:r w:rsidR="00C237BF">
        <w:rPr>
          <w:rFonts w:ascii="Times New Roman" w:hAnsi="Times New Roman"/>
          <w:sz w:val="24"/>
        </w:rPr>
        <w:t>%.</w:t>
      </w:r>
    </w:p>
    <w:p w:rsidR="0012596D" w:rsidRPr="0012596D" w:rsidRDefault="0012596D" w:rsidP="00F0726D">
      <w:pPr>
        <w:spacing w:before="240"/>
        <w:jc w:val="both"/>
        <w:rPr>
          <w:rFonts w:ascii="Times New Roman" w:hAnsi="Times New Roman"/>
          <w:b/>
          <w:sz w:val="24"/>
          <w:u w:val="single"/>
        </w:rPr>
      </w:pPr>
      <w:r w:rsidRPr="0012596D">
        <w:rPr>
          <w:rFonts w:ascii="Times New Roman" w:hAnsi="Times New Roman"/>
          <w:b/>
          <w:sz w:val="24"/>
          <w:u w:val="single"/>
        </w:rPr>
        <w:t>Escenarios pesimistas</w:t>
      </w:r>
    </w:p>
    <w:p w:rsidR="00786BD4" w:rsidRDefault="00786BD4" w:rsidP="00F0726D">
      <w:pPr>
        <w:spacing w:before="240"/>
        <w:jc w:val="both"/>
        <w:rPr>
          <w:rFonts w:ascii="Times New Roman" w:hAnsi="Times New Roman"/>
          <w:sz w:val="24"/>
        </w:rPr>
      </w:pPr>
      <w:r>
        <w:rPr>
          <w:rFonts w:ascii="Times New Roman" w:hAnsi="Times New Roman"/>
          <w:sz w:val="24"/>
        </w:rPr>
        <w:t xml:space="preserve">El resultado es sensible a modificaciones en todas las variables. </w:t>
      </w:r>
    </w:p>
    <w:p w:rsidR="00786BD4" w:rsidRDefault="00786BD4" w:rsidP="00F0726D">
      <w:pPr>
        <w:spacing w:before="240"/>
        <w:jc w:val="both"/>
        <w:rPr>
          <w:rFonts w:ascii="Times New Roman" w:hAnsi="Times New Roman"/>
          <w:sz w:val="24"/>
        </w:rPr>
      </w:pPr>
      <w:r>
        <w:rPr>
          <w:rFonts w:ascii="Times New Roman" w:hAnsi="Times New Roman"/>
          <w:sz w:val="24"/>
        </w:rPr>
        <w:t xml:space="preserve">Por ejemplo </w:t>
      </w:r>
    </w:p>
    <w:p w:rsidR="00786BD4" w:rsidRDefault="00786BD4" w:rsidP="00F0726D">
      <w:pPr>
        <w:spacing w:before="240"/>
        <w:jc w:val="both"/>
        <w:rPr>
          <w:rFonts w:ascii="Times New Roman" w:hAnsi="Times New Roman"/>
          <w:sz w:val="24"/>
        </w:rPr>
      </w:pPr>
      <w:r>
        <w:rPr>
          <w:rFonts w:ascii="Times New Roman" w:hAnsi="Times New Roman"/>
          <w:sz w:val="24"/>
        </w:rPr>
        <w:lastRenderedPageBreak/>
        <w:t>S</w:t>
      </w:r>
      <w:r w:rsidR="008F2B18">
        <w:rPr>
          <w:rFonts w:ascii="Times New Roman" w:hAnsi="Times New Roman"/>
          <w:sz w:val="24"/>
        </w:rPr>
        <w:t xml:space="preserve">i </w:t>
      </w:r>
      <w:r w:rsidR="001629FA">
        <w:rPr>
          <w:rFonts w:ascii="Times New Roman" w:hAnsi="Times New Roman"/>
          <w:sz w:val="24"/>
        </w:rPr>
        <w:t xml:space="preserve">las firmas a instalarse en el PByER facturan inicialmente sólo </w:t>
      </w:r>
      <w:r w:rsidR="00C237BF">
        <w:rPr>
          <w:rFonts w:ascii="Times New Roman" w:hAnsi="Times New Roman"/>
          <w:sz w:val="24"/>
        </w:rPr>
        <w:t>ARS 100.000</w:t>
      </w:r>
      <w:r w:rsidR="001629FA">
        <w:rPr>
          <w:rFonts w:ascii="Times New Roman" w:hAnsi="Times New Roman"/>
          <w:sz w:val="24"/>
        </w:rPr>
        <w:t xml:space="preserve"> –supuesto (iv)-</w:t>
      </w:r>
      <w:r w:rsidR="00C237BF">
        <w:rPr>
          <w:rFonts w:ascii="Times New Roman" w:hAnsi="Times New Roman"/>
          <w:sz w:val="24"/>
        </w:rPr>
        <w:t xml:space="preserve">, la TIR </w:t>
      </w:r>
      <w:r>
        <w:rPr>
          <w:rFonts w:ascii="Times New Roman" w:hAnsi="Times New Roman"/>
          <w:sz w:val="24"/>
        </w:rPr>
        <w:t xml:space="preserve">es </w:t>
      </w:r>
      <w:r w:rsidR="00B66E87">
        <w:rPr>
          <w:rFonts w:ascii="Times New Roman" w:hAnsi="Times New Roman"/>
          <w:sz w:val="24"/>
        </w:rPr>
        <w:t>llega a</w:t>
      </w:r>
      <w:r w:rsidR="00C237BF">
        <w:rPr>
          <w:rFonts w:ascii="Times New Roman" w:hAnsi="Times New Roman"/>
          <w:sz w:val="24"/>
        </w:rPr>
        <w:t xml:space="preserve"> 9,6%.</w:t>
      </w:r>
      <w:r w:rsidR="001629FA">
        <w:rPr>
          <w:rFonts w:ascii="Times New Roman" w:hAnsi="Times New Roman"/>
          <w:sz w:val="24"/>
        </w:rPr>
        <w:t xml:space="preserve"> </w:t>
      </w:r>
    </w:p>
    <w:p w:rsidR="00B66E87" w:rsidRDefault="00786BD4" w:rsidP="00F0726D">
      <w:pPr>
        <w:spacing w:before="240"/>
        <w:jc w:val="both"/>
        <w:rPr>
          <w:rFonts w:ascii="Times New Roman" w:hAnsi="Times New Roman"/>
          <w:sz w:val="24"/>
        </w:rPr>
      </w:pPr>
      <w:r>
        <w:rPr>
          <w:rFonts w:ascii="Times New Roman" w:hAnsi="Times New Roman"/>
          <w:sz w:val="24"/>
        </w:rPr>
        <w:t>S</w:t>
      </w:r>
      <w:r w:rsidR="001629FA">
        <w:rPr>
          <w:rFonts w:ascii="Times New Roman" w:hAnsi="Times New Roman"/>
          <w:sz w:val="24"/>
        </w:rPr>
        <w:t>i se toman como tasas de crecimiento 13% y 1% para los proyectos tipo</w:t>
      </w:r>
      <w:r>
        <w:rPr>
          <w:rFonts w:ascii="Times New Roman" w:hAnsi="Times New Roman"/>
          <w:sz w:val="24"/>
        </w:rPr>
        <w:t xml:space="preserve"> (1) y tipo (2) </w:t>
      </w:r>
      <w:r w:rsidR="00B66E87">
        <w:rPr>
          <w:rFonts w:ascii="Times New Roman" w:hAnsi="Times New Roman"/>
          <w:sz w:val="24"/>
        </w:rPr>
        <w:t>respectivamente</w:t>
      </w:r>
      <w:r>
        <w:rPr>
          <w:rFonts w:ascii="Times New Roman" w:hAnsi="Times New Roman"/>
          <w:sz w:val="24"/>
        </w:rPr>
        <w:t>, lo que implicaría que los p</w:t>
      </w:r>
      <w:r w:rsidR="00B5670D">
        <w:rPr>
          <w:rFonts w:ascii="Times New Roman" w:hAnsi="Times New Roman"/>
          <w:sz w:val="24"/>
        </w:rPr>
        <w:t>royectos tipo (1)</w:t>
      </w:r>
      <w:r>
        <w:rPr>
          <w:rFonts w:ascii="Times New Roman" w:hAnsi="Times New Roman"/>
          <w:sz w:val="24"/>
        </w:rPr>
        <w:t xml:space="preserve"> alcanzaría</w:t>
      </w:r>
      <w:r w:rsidR="00B5670D">
        <w:rPr>
          <w:rFonts w:ascii="Times New Roman" w:hAnsi="Times New Roman"/>
          <w:sz w:val="24"/>
        </w:rPr>
        <w:t xml:space="preserve">n una facturación equivalente al 25% de la </w:t>
      </w:r>
      <w:r>
        <w:rPr>
          <w:rFonts w:ascii="Times New Roman" w:hAnsi="Times New Roman"/>
          <w:sz w:val="24"/>
        </w:rPr>
        <w:t xml:space="preserve">facturación </w:t>
      </w:r>
      <w:r w:rsidR="00B5670D">
        <w:rPr>
          <w:rFonts w:ascii="Times New Roman" w:hAnsi="Times New Roman"/>
          <w:sz w:val="24"/>
        </w:rPr>
        <w:t xml:space="preserve">de una firma promedio de biotecnología en Mendoza y </w:t>
      </w:r>
      <w:r>
        <w:rPr>
          <w:rFonts w:ascii="Times New Roman" w:hAnsi="Times New Roman"/>
          <w:sz w:val="24"/>
        </w:rPr>
        <w:t>los</w:t>
      </w:r>
      <w:r w:rsidR="00B5670D">
        <w:rPr>
          <w:rFonts w:ascii="Times New Roman" w:hAnsi="Times New Roman"/>
          <w:sz w:val="24"/>
        </w:rPr>
        <w:t>–proyectos tipo (2)</w:t>
      </w:r>
      <w:r>
        <w:rPr>
          <w:rFonts w:ascii="Times New Roman" w:hAnsi="Times New Roman"/>
          <w:sz w:val="24"/>
        </w:rPr>
        <w:t xml:space="preserve"> una facturación </w:t>
      </w:r>
      <w:r w:rsidR="00B5670D">
        <w:rPr>
          <w:rFonts w:ascii="Times New Roman" w:hAnsi="Times New Roman"/>
          <w:sz w:val="24"/>
        </w:rPr>
        <w:t>equivalente al 3% de dicho monto</w:t>
      </w:r>
      <w:r>
        <w:rPr>
          <w:rFonts w:ascii="Times New Roman" w:hAnsi="Times New Roman"/>
          <w:sz w:val="24"/>
        </w:rPr>
        <w:t>, l</w:t>
      </w:r>
      <w:r w:rsidR="00244A27">
        <w:rPr>
          <w:rFonts w:ascii="Times New Roman" w:hAnsi="Times New Roman"/>
          <w:sz w:val="24"/>
        </w:rPr>
        <w:t>a TIR asciende a 9%.</w:t>
      </w:r>
      <w:r w:rsidR="00195DB7">
        <w:rPr>
          <w:rFonts w:ascii="Times New Roman" w:hAnsi="Times New Roman"/>
          <w:sz w:val="24"/>
        </w:rPr>
        <w:t xml:space="preserve"> </w:t>
      </w:r>
    </w:p>
    <w:p w:rsidR="00B37D8A" w:rsidRPr="00323BF6" w:rsidRDefault="00B66E87" w:rsidP="00F0726D">
      <w:pPr>
        <w:spacing w:before="240"/>
        <w:jc w:val="both"/>
        <w:rPr>
          <w:rFonts w:ascii="Times New Roman" w:hAnsi="Times New Roman"/>
          <w:sz w:val="24"/>
        </w:rPr>
      </w:pPr>
      <w:r>
        <w:rPr>
          <w:rFonts w:ascii="Times New Roman" w:hAnsi="Times New Roman"/>
          <w:sz w:val="24"/>
        </w:rPr>
        <w:t>Si</w:t>
      </w:r>
      <w:r w:rsidR="00F0726D">
        <w:rPr>
          <w:rFonts w:ascii="Times New Roman" w:hAnsi="Times New Roman"/>
          <w:sz w:val="24"/>
        </w:rPr>
        <w:t xml:space="preserve"> </w:t>
      </w:r>
      <w:r w:rsidR="00E25F6C">
        <w:rPr>
          <w:rFonts w:ascii="Times New Roman" w:hAnsi="Times New Roman"/>
          <w:sz w:val="24"/>
        </w:rPr>
        <w:t>sólo una empresa a instalarse resultar</w:t>
      </w:r>
      <w:r>
        <w:rPr>
          <w:rFonts w:ascii="Times New Roman" w:hAnsi="Times New Roman"/>
          <w:sz w:val="24"/>
        </w:rPr>
        <w:t>a</w:t>
      </w:r>
      <w:r w:rsidR="00E25F6C">
        <w:rPr>
          <w:rFonts w:ascii="Times New Roman" w:hAnsi="Times New Roman"/>
          <w:sz w:val="24"/>
        </w:rPr>
        <w:t xml:space="preserve"> ser tipo (1), mientras que las demás alcanzarán un valor de ventas equivalente a ARS 620.126 (7,5% de la facturación de una firma biotecnológica mendocina), la rentabilidad del proyecto ascende</w:t>
      </w:r>
      <w:r>
        <w:rPr>
          <w:rFonts w:ascii="Times New Roman" w:hAnsi="Times New Roman"/>
          <w:sz w:val="24"/>
        </w:rPr>
        <w:t>ría</w:t>
      </w:r>
      <w:r w:rsidR="00E25F6C">
        <w:rPr>
          <w:rFonts w:ascii="Times New Roman" w:hAnsi="Times New Roman"/>
          <w:sz w:val="24"/>
        </w:rPr>
        <w:t xml:space="preserve"> a 9,4%.</w:t>
      </w:r>
    </w:p>
    <w:p w:rsidR="00B37D8A" w:rsidRPr="000C5E89" w:rsidRDefault="00B66E87" w:rsidP="00A62EA0">
      <w:pPr>
        <w:jc w:val="both"/>
        <w:rPr>
          <w:rFonts w:ascii="Times New Roman" w:hAnsi="Times New Roman"/>
          <w:sz w:val="24"/>
        </w:rPr>
      </w:pPr>
      <w:r>
        <w:rPr>
          <w:rFonts w:ascii="Times New Roman" w:hAnsi="Times New Roman"/>
          <w:sz w:val="24"/>
        </w:rPr>
        <w:t>E</w:t>
      </w:r>
      <w:r w:rsidR="00F30921" w:rsidRPr="000C5E89">
        <w:rPr>
          <w:rFonts w:ascii="Times New Roman" w:hAnsi="Times New Roman"/>
          <w:sz w:val="24"/>
        </w:rPr>
        <w:t xml:space="preserve">n la última columna de la tabla se presentan los valores mínimos </w:t>
      </w:r>
      <w:r>
        <w:rPr>
          <w:rFonts w:ascii="Times New Roman" w:hAnsi="Times New Roman"/>
          <w:sz w:val="24"/>
        </w:rPr>
        <w:t>que cada variable debe asumir dados los valores de las otras para que la</w:t>
      </w:r>
      <w:r w:rsidR="00F30921" w:rsidRPr="000C5E89">
        <w:rPr>
          <w:rFonts w:ascii="Times New Roman" w:hAnsi="Times New Roman"/>
          <w:sz w:val="24"/>
        </w:rPr>
        <w:t xml:space="preserve"> TIR </w:t>
      </w:r>
      <w:r>
        <w:rPr>
          <w:rFonts w:ascii="Times New Roman" w:hAnsi="Times New Roman"/>
          <w:sz w:val="24"/>
        </w:rPr>
        <w:t xml:space="preserve">sea </w:t>
      </w:r>
      <w:r w:rsidR="00F30921" w:rsidRPr="000C5E89">
        <w:rPr>
          <w:rFonts w:ascii="Times New Roman" w:hAnsi="Times New Roman"/>
          <w:sz w:val="24"/>
        </w:rPr>
        <w:t xml:space="preserve">superior al 12%. </w:t>
      </w:r>
      <w:r>
        <w:rPr>
          <w:rFonts w:ascii="Times New Roman" w:hAnsi="Times New Roman"/>
          <w:sz w:val="24"/>
        </w:rPr>
        <w:t>Esta muestra que</w:t>
      </w:r>
      <w:r w:rsidR="00A36745">
        <w:rPr>
          <w:rFonts w:ascii="Times New Roman" w:hAnsi="Times New Roman"/>
          <w:sz w:val="24"/>
        </w:rPr>
        <w:t xml:space="preserve"> para que el proyecto sea viable</w:t>
      </w:r>
      <w:r>
        <w:rPr>
          <w:rFonts w:ascii="Times New Roman" w:hAnsi="Times New Roman"/>
          <w:sz w:val="24"/>
        </w:rPr>
        <w:t xml:space="preserve">: (1) </w:t>
      </w:r>
      <w:r w:rsidR="00F30921" w:rsidRPr="000C5E89">
        <w:rPr>
          <w:rFonts w:ascii="Times New Roman" w:hAnsi="Times New Roman"/>
          <w:sz w:val="24"/>
        </w:rPr>
        <w:t>las empresas que se instalen en el PByER deben tener un volumen de ventas igual o mayor a ARS 150.000 para que el proyecto resulte viable</w:t>
      </w:r>
      <w:r>
        <w:rPr>
          <w:rFonts w:ascii="Times New Roman" w:hAnsi="Times New Roman"/>
          <w:sz w:val="24"/>
        </w:rPr>
        <w:t xml:space="preserve">; (ii) </w:t>
      </w:r>
      <w:r w:rsidR="00A36745">
        <w:rPr>
          <w:rFonts w:ascii="Times New Roman" w:hAnsi="Times New Roman"/>
          <w:sz w:val="24"/>
        </w:rPr>
        <w:t xml:space="preserve">es necesario que </w:t>
      </w:r>
      <w:r>
        <w:rPr>
          <w:rFonts w:ascii="Times New Roman" w:hAnsi="Times New Roman"/>
          <w:sz w:val="24"/>
        </w:rPr>
        <w:t>c</w:t>
      </w:r>
      <w:r w:rsidR="00F30921" w:rsidRPr="000C5E89">
        <w:rPr>
          <w:rFonts w:ascii="Times New Roman" w:hAnsi="Times New Roman"/>
          <w:sz w:val="24"/>
        </w:rPr>
        <w:t xml:space="preserve">omo mínimo tres de ellas </w:t>
      </w:r>
      <w:r w:rsidR="00A36745">
        <w:rPr>
          <w:rFonts w:ascii="Times New Roman" w:hAnsi="Times New Roman"/>
          <w:sz w:val="24"/>
        </w:rPr>
        <w:t xml:space="preserve">crezcan al 17% anual, </w:t>
      </w:r>
      <w:r w:rsidR="00F30921" w:rsidRPr="000C5E89">
        <w:rPr>
          <w:rFonts w:ascii="Times New Roman" w:hAnsi="Times New Roman"/>
          <w:sz w:val="24"/>
        </w:rPr>
        <w:t>alcan</w:t>
      </w:r>
      <w:r w:rsidR="00A36745">
        <w:rPr>
          <w:rFonts w:ascii="Times New Roman" w:hAnsi="Times New Roman"/>
          <w:sz w:val="24"/>
        </w:rPr>
        <w:t xml:space="preserve">zando </w:t>
      </w:r>
      <w:r w:rsidR="00F30921" w:rsidRPr="000C5E89">
        <w:rPr>
          <w:rFonts w:ascii="Times New Roman" w:hAnsi="Times New Roman"/>
          <w:sz w:val="24"/>
        </w:rPr>
        <w:t>un monto de ventas al cabo de 20 años de ARS 4.134.1</w:t>
      </w:r>
      <w:r w:rsidR="00A36745">
        <w:rPr>
          <w:rFonts w:ascii="Times New Roman" w:hAnsi="Times New Roman"/>
          <w:sz w:val="24"/>
        </w:rPr>
        <w:t>73 y la</w:t>
      </w:r>
      <w:r w:rsidR="00F30921" w:rsidRPr="000C5E89">
        <w:rPr>
          <w:rFonts w:ascii="Times New Roman" w:hAnsi="Times New Roman"/>
          <w:sz w:val="24"/>
        </w:rPr>
        <w:t xml:space="preserve">s restantes </w:t>
      </w:r>
      <w:r w:rsidR="000C5E89">
        <w:rPr>
          <w:rFonts w:ascii="Times New Roman" w:hAnsi="Times New Roman"/>
          <w:sz w:val="24"/>
        </w:rPr>
        <w:t>ocho</w:t>
      </w:r>
      <w:r w:rsidR="00F30921" w:rsidRPr="000C5E89">
        <w:rPr>
          <w:rFonts w:ascii="Times New Roman" w:hAnsi="Times New Roman"/>
          <w:sz w:val="24"/>
        </w:rPr>
        <w:t xml:space="preserve"> deben crecer al </w:t>
      </w:r>
      <w:r w:rsidR="009716B9" w:rsidRPr="000C5E89">
        <w:rPr>
          <w:rFonts w:ascii="Times New Roman" w:hAnsi="Times New Roman"/>
          <w:sz w:val="24"/>
        </w:rPr>
        <w:t xml:space="preserve">6% anual </w:t>
      </w:r>
      <w:r w:rsidR="00A36745">
        <w:rPr>
          <w:rFonts w:ascii="Times New Roman" w:hAnsi="Times New Roman"/>
          <w:sz w:val="24"/>
        </w:rPr>
        <w:t xml:space="preserve">, (iii) dada la distribución inicial, </w:t>
      </w:r>
      <w:r w:rsidR="00E74C78">
        <w:rPr>
          <w:rFonts w:ascii="Times New Roman" w:hAnsi="Times New Roman"/>
          <w:sz w:val="24"/>
        </w:rPr>
        <w:t xml:space="preserve">los valores mínimos </w:t>
      </w:r>
      <w:r w:rsidR="00A36745">
        <w:rPr>
          <w:rFonts w:ascii="Times New Roman" w:hAnsi="Times New Roman"/>
          <w:sz w:val="24"/>
        </w:rPr>
        <w:t>de crecimiento para las cuatro de mayor crecimiento son</w:t>
      </w:r>
      <w:r w:rsidR="00E74C78">
        <w:rPr>
          <w:rFonts w:ascii="Times New Roman" w:hAnsi="Times New Roman"/>
          <w:sz w:val="24"/>
        </w:rPr>
        <w:t xml:space="preserve"> 16% para proyectos tipo (1) y 5% para los </w:t>
      </w:r>
      <w:r w:rsidR="00811D9D">
        <w:rPr>
          <w:rFonts w:ascii="Times New Roman" w:hAnsi="Times New Roman"/>
          <w:sz w:val="24"/>
        </w:rPr>
        <w:t xml:space="preserve">de </w:t>
      </w:r>
      <w:r w:rsidR="00E74C78">
        <w:rPr>
          <w:rFonts w:ascii="Times New Roman" w:hAnsi="Times New Roman"/>
          <w:sz w:val="24"/>
        </w:rPr>
        <w:t>tipo (2).</w:t>
      </w:r>
    </w:p>
    <w:p w:rsidR="00B37D8A" w:rsidRPr="00D91A4C" w:rsidRDefault="00B37D8A" w:rsidP="006101E8">
      <w:pPr>
        <w:pStyle w:val="Heading2"/>
        <w:spacing w:after="240"/>
        <w:rPr>
          <w:rFonts w:ascii="Times New Roman" w:hAnsi="Times New Roman"/>
          <w:lang w:val="es-ES"/>
        </w:rPr>
      </w:pPr>
      <w:bookmarkStart w:id="42" w:name="_Toc362804622"/>
      <w:r w:rsidRPr="00D91A4C">
        <w:rPr>
          <w:rFonts w:ascii="Times New Roman" w:hAnsi="Times New Roman"/>
          <w:lang w:val="es-ES"/>
        </w:rPr>
        <w:t>Conclusiones</w:t>
      </w:r>
      <w:bookmarkEnd w:id="42"/>
    </w:p>
    <w:p w:rsidR="00A36745" w:rsidRDefault="00A36745" w:rsidP="00A36745">
      <w:pPr>
        <w:jc w:val="both"/>
        <w:rPr>
          <w:rFonts w:ascii="Times New Roman" w:hAnsi="Times New Roman"/>
          <w:sz w:val="24"/>
        </w:rPr>
      </w:pPr>
      <w:r>
        <w:rPr>
          <w:rFonts w:ascii="Times New Roman" w:hAnsi="Times New Roman"/>
          <w:sz w:val="24"/>
        </w:rPr>
        <w:t xml:space="preserve">El análisis costo beneficio arroja en general resultados positivos, pero como se indicó en la sección anterior es sensible a modificaciones en todos los parámetros considerados. En particular el análisis es sensible al crecimiento de las empresas. Sin embargo es necesario tener en cuenta que los supuestos de crecimiento fueron conservadores – si se tiene en cuenta el tamaño de las empresas de biotecnología típicas en Argentina -  y, más importante aunque no se consideraron las externalidades, las cuales, aun cuando es difícil medirlas, en proyectos de este tipo constituyen la justificación más importante para su desarrollo. </w:t>
      </w:r>
      <w:r w:rsidR="00B3256C">
        <w:rPr>
          <w:rFonts w:ascii="Times New Roman" w:hAnsi="Times New Roman"/>
          <w:sz w:val="24"/>
        </w:rPr>
        <w:t xml:space="preserve">El siguiente ejercicio, que ofrecemos a modo de conclusión, ejemplifica los beneficios que podrían obtenerse por externalidades solo sobre el sector agropecuario. </w:t>
      </w:r>
    </w:p>
    <w:p w:rsidR="00A36745" w:rsidRPr="001E0D7C" w:rsidRDefault="00A36745" w:rsidP="00A36745">
      <w:pPr>
        <w:jc w:val="both"/>
        <w:rPr>
          <w:rFonts w:ascii="Times New Roman" w:hAnsi="Times New Roman"/>
          <w:sz w:val="24"/>
        </w:rPr>
      </w:pPr>
      <w:r w:rsidRPr="001F2528">
        <w:rPr>
          <w:rFonts w:ascii="Times New Roman" w:hAnsi="Times New Roman"/>
          <w:sz w:val="24"/>
        </w:rPr>
        <w:t>Estudios previos han identificado que la biotecnología ha tenido un efecto positivo en los ingresos del sector agrario como consecuencia de aumentos en productividad y ganancias de eficiencias</w:t>
      </w:r>
      <w:r w:rsidRPr="001F2528">
        <w:rPr>
          <w:rStyle w:val="FootnoteReference"/>
          <w:rFonts w:ascii="Times New Roman" w:hAnsi="Times New Roman"/>
          <w:vertAlign w:val="superscript"/>
        </w:rPr>
        <w:footnoteReference w:id="24"/>
      </w:r>
      <w:r w:rsidRPr="001F2528">
        <w:rPr>
          <w:rFonts w:ascii="Times New Roman" w:hAnsi="Times New Roman"/>
          <w:sz w:val="24"/>
        </w:rPr>
        <w:t>.Brookes y Barfoot estiman que entre 1996 y 2007 el sector biotecnológico ha incrementado la producción mundial de los cuatro principales granos (soja, maíz, canola y algodón) en 4,4%</w:t>
      </w:r>
      <w:r w:rsidRPr="001F2528">
        <w:rPr>
          <w:rStyle w:val="FootnoteReference"/>
          <w:rFonts w:ascii="Times New Roman" w:hAnsi="Times New Roman"/>
          <w:sz w:val="24"/>
          <w:vertAlign w:val="superscript"/>
        </w:rPr>
        <w:footnoteReference w:id="25"/>
      </w:r>
      <w:r w:rsidRPr="001F2528">
        <w:rPr>
          <w:rFonts w:ascii="Times New Roman" w:hAnsi="Times New Roman"/>
          <w:sz w:val="24"/>
        </w:rPr>
        <w:t xml:space="preserve">. En base a esta información, </w:t>
      </w:r>
      <w:r w:rsidRPr="001F2528">
        <w:rPr>
          <w:rFonts w:ascii="Times New Roman" w:hAnsi="Times New Roman"/>
          <w:sz w:val="24"/>
        </w:rPr>
        <w:lastRenderedPageBreak/>
        <w:t>puede estimarse una tasa efectiva de crecimiento del producto asociada a la biotecnología de 0,227%</w:t>
      </w:r>
      <w:r w:rsidRPr="001F2528">
        <w:rPr>
          <w:rStyle w:val="FootnoteReference"/>
          <w:vertAlign w:val="superscript"/>
        </w:rPr>
        <w:footnoteReference w:id="26"/>
      </w:r>
      <w:r w:rsidRPr="001F2528">
        <w:rPr>
          <w:rFonts w:ascii="Times New Roman" w:hAnsi="Times New Roman"/>
          <w:sz w:val="24"/>
        </w:rPr>
        <w:t xml:space="preserve">. </w:t>
      </w:r>
      <w:r w:rsidR="00B3256C">
        <w:rPr>
          <w:rFonts w:ascii="Times New Roman" w:hAnsi="Times New Roman"/>
          <w:sz w:val="24"/>
        </w:rPr>
        <w:t>P</w:t>
      </w:r>
      <w:r w:rsidRPr="001F2528">
        <w:rPr>
          <w:rFonts w:ascii="Times New Roman" w:hAnsi="Times New Roman"/>
          <w:sz w:val="24"/>
        </w:rPr>
        <w:t>ara el caso específico de Mendoza, según la UNC, el bio-agro es la especialidad biotecnológica más desarrollada con un 37% del total</w:t>
      </w:r>
      <w:r w:rsidR="00B3256C">
        <w:rPr>
          <w:rFonts w:ascii="Times New Roman" w:hAnsi="Times New Roman"/>
          <w:sz w:val="24"/>
        </w:rPr>
        <w:t xml:space="preserve">, </w:t>
      </w:r>
      <w:r w:rsidR="00B3256C" w:rsidRPr="001F2528">
        <w:rPr>
          <w:rFonts w:ascii="Times New Roman" w:hAnsi="Times New Roman"/>
          <w:sz w:val="24"/>
        </w:rPr>
        <w:t>el sector agropecuario</w:t>
      </w:r>
      <w:r w:rsidR="00B3256C">
        <w:rPr>
          <w:rFonts w:ascii="Times New Roman" w:hAnsi="Times New Roman"/>
          <w:sz w:val="24"/>
        </w:rPr>
        <w:t xml:space="preserve">, </w:t>
      </w:r>
      <w:r w:rsidRPr="001F2528">
        <w:rPr>
          <w:rFonts w:ascii="Times New Roman" w:hAnsi="Times New Roman"/>
          <w:sz w:val="24"/>
        </w:rPr>
        <w:t>en la provincia de Mendoza, según estadísticas oficiales del IDITS, represent</w:t>
      </w:r>
      <w:r w:rsidR="00B3256C">
        <w:rPr>
          <w:rFonts w:ascii="Times New Roman" w:hAnsi="Times New Roman"/>
          <w:sz w:val="24"/>
        </w:rPr>
        <w:t>ó</w:t>
      </w:r>
      <w:r w:rsidRPr="001F2528">
        <w:rPr>
          <w:rFonts w:ascii="Times New Roman" w:hAnsi="Times New Roman"/>
          <w:sz w:val="24"/>
        </w:rPr>
        <w:t xml:space="preserve"> en 2011</w:t>
      </w:r>
      <w:r w:rsidR="00B3256C">
        <w:rPr>
          <w:rFonts w:ascii="Times New Roman" w:hAnsi="Times New Roman"/>
          <w:sz w:val="24"/>
        </w:rPr>
        <w:t>,</w:t>
      </w:r>
      <w:r w:rsidRPr="001F2528">
        <w:rPr>
          <w:rFonts w:ascii="Times New Roman" w:hAnsi="Times New Roman"/>
          <w:sz w:val="24"/>
        </w:rPr>
        <w:t xml:space="preserve"> el 8,5% del PBG de la provincia a precios corrientes, es decir, un valor </w:t>
      </w:r>
      <w:r w:rsidR="00B3256C">
        <w:rPr>
          <w:rFonts w:ascii="Times New Roman" w:hAnsi="Times New Roman"/>
          <w:sz w:val="24"/>
        </w:rPr>
        <w:t>que asciende a</w:t>
      </w:r>
      <w:r w:rsidRPr="001F2528">
        <w:rPr>
          <w:rFonts w:ascii="Times New Roman" w:hAnsi="Times New Roman"/>
          <w:sz w:val="24"/>
        </w:rPr>
        <w:t xml:space="preserve"> ARS 5.108.728.471. </w:t>
      </w:r>
      <w:r w:rsidR="00B3256C">
        <w:rPr>
          <w:rFonts w:ascii="Times New Roman" w:hAnsi="Times New Roman"/>
          <w:sz w:val="24"/>
        </w:rPr>
        <w:t>En base a esta información</w:t>
      </w:r>
      <w:r w:rsidRPr="001F2528">
        <w:rPr>
          <w:rFonts w:ascii="Times New Roman" w:hAnsi="Times New Roman"/>
          <w:sz w:val="24"/>
        </w:rPr>
        <w:t>, si se considera la tasa del 0,227% de crecimiento del producto por causa de la biotecnología, y se tiene en cuenta además que de dichos desarrollos el 37% se destina al sector agropecuario en Mendoza, se obtiene una tasa de crecimiento del sector bio-agro mendocino del 0,084%. Si se supone que de dicho crecimiento la existencia del PByER podría explicar el 10%, se puede obtener un incremento del PBG provincial de ARS 428.866</w:t>
      </w:r>
      <w:r w:rsidRPr="007F4343">
        <w:rPr>
          <w:rStyle w:val="FootnoteReference"/>
          <w:rFonts w:ascii="Times New Roman" w:hAnsi="Times New Roman"/>
          <w:vertAlign w:val="superscript"/>
        </w:rPr>
        <w:footnoteReference w:id="27"/>
      </w:r>
      <w:r>
        <w:rPr>
          <w:rFonts w:ascii="Times New Roman" w:hAnsi="Times New Roman"/>
          <w:sz w:val="24"/>
        </w:rPr>
        <w:t>, que aporta a la generación de una TIR de 19,83%. Más aún, en el caso de que ocurra el escenario pesimista para las tres variables sensibilizadas –supuestos (iv), (vi) y (vii)-, la inclusión de las externalidades positivas en el análisis determina la factibilidad del proyecto, con una TIR de 12,16%.</w:t>
      </w:r>
    </w:p>
    <w:p w:rsidR="00B37D8A" w:rsidRPr="00A36745" w:rsidRDefault="00B37D8A" w:rsidP="00397A7B">
      <w:pPr>
        <w:spacing w:after="240" w:line="240" w:lineRule="auto"/>
        <w:jc w:val="both"/>
        <w:rPr>
          <w:rFonts w:ascii="Times New Roman" w:hAnsi="Times New Roman"/>
          <w:b/>
          <w:bCs/>
          <w:color w:val="53548A"/>
          <w:sz w:val="26"/>
          <w:szCs w:val="26"/>
          <w:lang w:eastAsia="es-ES"/>
        </w:rPr>
      </w:pPr>
    </w:p>
    <w:p w:rsidR="00B37D8A" w:rsidRDefault="00B37D8A">
      <w:pPr>
        <w:spacing w:after="0" w:line="240" w:lineRule="auto"/>
        <w:rPr>
          <w:rStyle w:val="subparCarCarCar"/>
          <w:rFonts w:ascii="Times New Roman" w:hAnsi="Times New Roman"/>
          <w:bCs/>
          <w:i/>
          <w:szCs w:val="24"/>
        </w:rPr>
      </w:pPr>
      <w:r>
        <w:rPr>
          <w:rStyle w:val="subparCarCarCar"/>
          <w:rFonts w:ascii="Times New Roman" w:hAnsi="Times New Roman"/>
          <w:bCs/>
          <w:i/>
          <w:szCs w:val="24"/>
        </w:rPr>
        <w:br w:type="page"/>
      </w:r>
    </w:p>
    <w:p w:rsidR="00B37D8A" w:rsidRPr="00455687" w:rsidRDefault="00B37D8A" w:rsidP="00A112D1">
      <w:pPr>
        <w:pStyle w:val="Heading1"/>
        <w:jc w:val="center"/>
        <w:rPr>
          <w:rFonts w:ascii="Times New Roman" w:hAnsi="Times New Roman"/>
          <w:b w:val="0"/>
          <w:sz w:val="24"/>
          <w:szCs w:val="24"/>
          <w:lang w:val="es-ES_tradnl"/>
        </w:rPr>
      </w:pPr>
      <w:bookmarkStart w:id="43" w:name="_Toc362804623"/>
      <w:r w:rsidRPr="00455687">
        <w:rPr>
          <w:lang w:val="es-ES"/>
        </w:rPr>
        <w:lastRenderedPageBreak/>
        <w:t>Capítulo 5</w:t>
      </w:r>
      <w:r>
        <w:rPr>
          <w:lang w:val="es-ES"/>
        </w:rPr>
        <w:t xml:space="preserve">. </w:t>
      </w:r>
      <w:r w:rsidRPr="00455687">
        <w:rPr>
          <w:lang w:val="es-ES"/>
        </w:rPr>
        <w:t>Análisis costo-beneficio del Subcomponente II.ii: Construcción de un Polo de Conocimiento</w:t>
      </w:r>
      <w:bookmarkEnd w:id="43"/>
    </w:p>
    <w:p w:rsidR="00B37D8A" w:rsidRPr="00511439" w:rsidRDefault="00B37D8A" w:rsidP="006101E8">
      <w:pPr>
        <w:pStyle w:val="Heading2"/>
        <w:spacing w:after="240"/>
        <w:rPr>
          <w:rFonts w:ascii="Times New Roman" w:hAnsi="Times New Roman"/>
          <w:lang w:val="es-ES_tradnl"/>
        </w:rPr>
      </w:pPr>
      <w:bookmarkStart w:id="44" w:name="_Toc362804624"/>
      <w:r w:rsidRPr="00511439">
        <w:rPr>
          <w:rFonts w:ascii="Times New Roman" w:hAnsi="Times New Roman"/>
          <w:lang w:val="es-ES_tradnl"/>
        </w:rPr>
        <w:t>Breve descripción del proyecto</w:t>
      </w:r>
      <w:bookmarkEnd w:id="44"/>
    </w:p>
    <w:p w:rsidR="005A3C43" w:rsidRPr="004C4F93" w:rsidRDefault="005A3C43" w:rsidP="005A3C43">
      <w:pPr>
        <w:jc w:val="both"/>
        <w:rPr>
          <w:rFonts w:ascii="Times New Roman" w:hAnsi="Times New Roman"/>
          <w:sz w:val="24"/>
          <w:szCs w:val="24"/>
          <w:lang w:val="es-ES"/>
        </w:rPr>
      </w:pPr>
      <w:r>
        <w:rPr>
          <w:rFonts w:ascii="Times New Roman" w:hAnsi="Times New Roman"/>
          <w:sz w:val="24"/>
          <w:szCs w:val="24"/>
          <w:lang w:val="es-ES"/>
        </w:rPr>
        <w:t>Este sub-componente</w:t>
      </w:r>
      <w:r w:rsidR="00B37D8A" w:rsidRPr="004C4F93">
        <w:rPr>
          <w:rFonts w:ascii="Times New Roman" w:hAnsi="Times New Roman"/>
          <w:sz w:val="24"/>
          <w:szCs w:val="24"/>
          <w:lang w:val="es-ES"/>
        </w:rPr>
        <w:t xml:space="preserve"> financiará la expansión del actual “Mendoza TIC Parque Tecnológico” en un predio lindante que quedará disponible al trasladar el puerto seco provincial (ZPA). </w:t>
      </w:r>
      <w:r>
        <w:rPr>
          <w:rFonts w:ascii="Times New Roman" w:hAnsi="Times New Roman"/>
          <w:sz w:val="24"/>
          <w:szCs w:val="24"/>
          <w:lang w:val="es-ES"/>
        </w:rPr>
        <w:t>E</w:t>
      </w:r>
      <w:r w:rsidR="00B37D8A" w:rsidRPr="004C4F93">
        <w:rPr>
          <w:rFonts w:ascii="Times New Roman" w:hAnsi="Times New Roman"/>
          <w:sz w:val="24"/>
          <w:szCs w:val="24"/>
          <w:lang w:val="es-ES"/>
        </w:rPr>
        <w:t>l Polo prestará los servicios y la infraestructura necesaria para nuevas empresas de base tecnológica, fomentando su interacción con el sistema mendocino de innovación. El emprendimiento también alojará a un conjunto de entidades público-privadas de la Provincia (por ejemplo organismos dependientes del Ministerio de Agroindustria y Tecnología de Mendoza) cuya finalidad es el desarrollo productivo, concentrando de esa forma la oferta provincial de apoyo y promoción empresarial en un mismo lugar. Actuará además en coordinación con el Parque de biotecnología y energías renovables.</w:t>
      </w:r>
      <w:r w:rsidRPr="005A3C43">
        <w:rPr>
          <w:rFonts w:ascii="Times New Roman" w:hAnsi="Times New Roman"/>
          <w:sz w:val="24"/>
          <w:szCs w:val="24"/>
          <w:lang w:val="es-ES"/>
        </w:rPr>
        <w:t xml:space="preserve"> </w:t>
      </w:r>
      <w:r w:rsidRPr="004C4F93">
        <w:rPr>
          <w:rFonts w:ascii="Times New Roman" w:hAnsi="Times New Roman"/>
          <w:sz w:val="24"/>
          <w:szCs w:val="24"/>
          <w:lang w:val="es-ES"/>
        </w:rPr>
        <w:t>También se prevé la construcción dentro de dicho predio de un centro de desarrollo empresarial, un centro de capacitación, un centro de multimedia, un centro de convenciones y de laboratorios de investigación, entre otros, los cuales permitirán dar las herramientas necesarias para lograr una sinergia y vinculación entre los actores relacionados con el desarrollo de tecnologías.</w:t>
      </w:r>
    </w:p>
    <w:p w:rsidR="005A3C43" w:rsidRDefault="005A3C43" w:rsidP="004C4F93">
      <w:pPr>
        <w:jc w:val="both"/>
        <w:rPr>
          <w:rFonts w:ascii="Times New Roman" w:hAnsi="Times New Roman"/>
          <w:sz w:val="24"/>
          <w:szCs w:val="24"/>
          <w:lang w:val="es-ES"/>
        </w:rPr>
      </w:pPr>
      <w:r w:rsidRPr="004C4F93">
        <w:rPr>
          <w:rFonts w:ascii="Times New Roman" w:hAnsi="Times New Roman"/>
          <w:sz w:val="24"/>
          <w:szCs w:val="24"/>
          <w:lang w:val="es-ES"/>
        </w:rPr>
        <w:t>La experiencia del Parque TIC servirá como piloto para valerse de las lecciones aprendidas en esta ampliación. Además, dado que el mismo tiene una extensión de 4 hectáreas y que el predio liberado a partir del traslado de la ZPA es de 12 hectáreas, se prevé que cuando las obras de este subcomponente estén completas, Polo de Conocimiento y Parque TIC funcionarán como una única entidad de 16 hectáreas para la promoción tecnológica de Mendoza.</w:t>
      </w:r>
    </w:p>
    <w:p w:rsidR="005A3C43" w:rsidRDefault="00B37D8A" w:rsidP="004C4F93">
      <w:pPr>
        <w:jc w:val="both"/>
        <w:rPr>
          <w:rFonts w:ascii="Times New Roman" w:hAnsi="Times New Roman"/>
          <w:sz w:val="24"/>
          <w:szCs w:val="24"/>
          <w:lang w:val="es-ES"/>
        </w:rPr>
      </w:pPr>
      <w:r w:rsidRPr="004C4F93">
        <w:rPr>
          <w:rFonts w:ascii="Times New Roman" w:hAnsi="Times New Roman"/>
          <w:sz w:val="24"/>
          <w:szCs w:val="24"/>
          <w:lang w:val="es-ES"/>
        </w:rPr>
        <w:t xml:space="preserve">La selección de entidades y empresas a instalarse en el Polo se hará en base a criterios acordados con el Banco y buscará maximizar las sinergias entre todos los actores involucrados. Para el caso de las empresas, se realizarán licitaciones para la venta de los terrenos, y las empresas adjudicadas estarán sujetas a un conjunto de reglas de funcionamiento para asegurar que las actividades de las firmas se adecuen a los objetivos centrales del parque. La Provincia delegará la administración del parque en el Instituto de Desarrollo Industrial Tecnológico y de Servicios (IDITS), institución público-privada que ya se encuentra administrando el Parque TIC. </w:t>
      </w:r>
    </w:p>
    <w:p w:rsidR="005A3C43" w:rsidRDefault="005A3C43" w:rsidP="005A3C43">
      <w:pPr>
        <w:spacing w:before="240"/>
        <w:jc w:val="both"/>
        <w:rPr>
          <w:rFonts w:ascii="Times New Roman" w:hAnsi="Times New Roman"/>
          <w:sz w:val="24"/>
          <w:szCs w:val="24"/>
          <w:lang w:val="es-ES"/>
        </w:rPr>
      </w:pPr>
      <w:r w:rsidRPr="004C4F93">
        <w:rPr>
          <w:rFonts w:ascii="Times New Roman" w:hAnsi="Times New Roman"/>
          <w:sz w:val="24"/>
          <w:szCs w:val="24"/>
          <w:lang w:val="es-ES"/>
        </w:rPr>
        <w:t xml:space="preserve">El objetivo </w:t>
      </w:r>
      <w:r>
        <w:rPr>
          <w:rFonts w:ascii="Times New Roman" w:hAnsi="Times New Roman"/>
          <w:sz w:val="24"/>
          <w:szCs w:val="24"/>
          <w:lang w:val="es-ES"/>
        </w:rPr>
        <w:t xml:space="preserve">inmediato </w:t>
      </w:r>
      <w:r w:rsidRPr="004C4F93">
        <w:rPr>
          <w:rFonts w:ascii="Times New Roman" w:hAnsi="Times New Roman"/>
          <w:sz w:val="24"/>
          <w:szCs w:val="24"/>
          <w:lang w:val="es-ES"/>
        </w:rPr>
        <w:t>de este subcomponente es promover el nacimiento y consolidación de empresas de base tecnológica en la Provincia de Mendoza</w:t>
      </w:r>
      <w:r>
        <w:rPr>
          <w:rFonts w:ascii="Times New Roman" w:hAnsi="Times New Roman"/>
          <w:sz w:val="24"/>
          <w:szCs w:val="24"/>
          <w:lang w:val="es-ES"/>
        </w:rPr>
        <w:t xml:space="preserve">. El ánimo en el largo plazo es </w:t>
      </w:r>
      <w:r w:rsidRPr="004C4F93">
        <w:rPr>
          <w:rFonts w:ascii="Times New Roman" w:hAnsi="Times New Roman"/>
          <w:sz w:val="24"/>
          <w:szCs w:val="24"/>
          <w:lang w:val="es-ES"/>
        </w:rPr>
        <w:t xml:space="preserve">fomentar </w:t>
      </w:r>
      <w:r>
        <w:rPr>
          <w:rFonts w:ascii="Times New Roman" w:hAnsi="Times New Roman"/>
          <w:sz w:val="24"/>
          <w:szCs w:val="24"/>
          <w:lang w:val="es-ES"/>
        </w:rPr>
        <w:t>un</w:t>
      </w:r>
      <w:r w:rsidRPr="004C4F93">
        <w:rPr>
          <w:rFonts w:ascii="Times New Roman" w:hAnsi="Times New Roman"/>
          <w:sz w:val="24"/>
          <w:szCs w:val="24"/>
          <w:lang w:val="es-ES"/>
        </w:rPr>
        <w:t xml:space="preserve"> proceso virtuoso de interacción entre las empresas innovadoras, las instituciones de investigación y las agencias de apoyo para potenciar el proceso innovador en la Provincia.</w:t>
      </w:r>
      <w:r>
        <w:rPr>
          <w:rFonts w:ascii="Times New Roman" w:hAnsi="Times New Roman"/>
          <w:sz w:val="24"/>
          <w:szCs w:val="24"/>
          <w:lang w:val="es-ES"/>
        </w:rPr>
        <w:t xml:space="preserve"> </w:t>
      </w:r>
    </w:p>
    <w:p w:rsidR="00B37D8A" w:rsidRPr="00511439" w:rsidRDefault="00B37D8A" w:rsidP="006101E8">
      <w:pPr>
        <w:pStyle w:val="Heading2"/>
        <w:spacing w:after="240"/>
        <w:rPr>
          <w:rFonts w:ascii="Times New Roman" w:hAnsi="Times New Roman"/>
          <w:lang w:val="es-ES_tradnl"/>
        </w:rPr>
      </w:pPr>
      <w:bookmarkStart w:id="45" w:name="_Toc362804625"/>
      <w:r w:rsidRPr="00511439">
        <w:rPr>
          <w:rFonts w:ascii="Times New Roman" w:hAnsi="Times New Roman"/>
          <w:lang w:val="es-ES_tradnl"/>
        </w:rPr>
        <w:t>Estimación de beneficios y costos</w:t>
      </w:r>
      <w:bookmarkEnd w:id="45"/>
    </w:p>
    <w:p w:rsidR="00B37D8A" w:rsidRDefault="005A3C43" w:rsidP="00AE7EFC">
      <w:pPr>
        <w:spacing w:before="240"/>
        <w:jc w:val="both"/>
        <w:rPr>
          <w:rFonts w:ascii="Times New Roman" w:hAnsi="Times New Roman"/>
          <w:sz w:val="24"/>
        </w:rPr>
      </w:pPr>
      <w:r>
        <w:rPr>
          <w:rFonts w:ascii="Times New Roman" w:hAnsi="Times New Roman"/>
          <w:sz w:val="24"/>
        </w:rPr>
        <w:t>P</w:t>
      </w:r>
      <w:r w:rsidR="00B37D8A">
        <w:rPr>
          <w:rFonts w:ascii="Times New Roman" w:hAnsi="Times New Roman"/>
          <w:sz w:val="24"/>
        </w:rPr>
        <w:t xml:space="preserve">ara la estimación de beneficios se tienen en cuenta: </w:t>
      </w:r>
    </w:p>
    <w:p w:rsidR="00B37D8A" w:rsidRDefault="00B37D8A" w:rsidP="0013448B">
      <w:pPr>
        <w:pStyle w:val="ListParagraph"/>
        <w:numPr>
          <w:ilvl w:val="0"/>
          <w:numId w:val="20"/>
        </w:numPr>
        <w:spacing w:after="0"/>
        <w:jc w:val="both"/>
        <w:rPr>
          <w:rFonts w:ascii="Times New Roman" w:hAnsi="Times New Roman"/>
          <w:sz w:val="24"/>
        </w:rPr>
      </w:pPr>
      <w:r>
        <w:rPr>
          <w:rFonts w:ascii="Times New Roman" w:hAnsi="Times New Roman"/>
          <w:sz w:val="24"/>
        </w:rPr>
        <w:t>los ingresos provenientes del uso del espacio del polo, por ejemplo venta de terrenos (ingresos directos),</w:t>
      </w:r>
      <w:r w:rsidR="00DA5D2B">
        <w:rPr>
          <w:rFonts w:ascii="Times New Roman" w:hAnsi="Times New Roman"/>
          <w:sz w:val="24"/>
        </w:rPr>
        <w:t xml:space="preserve"> y</w:t>
      </w:r>
    </w:p>
    <w:p w:rsidR="00B37D8A" w:rsidRDefault="00B37D8A" w:rsidP="0013448B">
      <w:pPr>
        <w:pStyle w:val="ListParagraph"/>
        <w:numPr>
          <w:ilvl w:val="0"/>
          <w:numId w:val="20"/>
        </w:numPr>
        <w:spacing w:after="0"/>
        <w:jc w:val="both"/>
        <w:rPr>
          <w:rFonts w:ascii="Times New Roman" w:hAnsi="Times New Roman"/>
          <w:sz w:val="24"/>
        </w:rPr>
      </w:pPr>
      <w:r>
        <w:rPr>
          <w:rFonts w:ascii="Times New Roman" w:hAnsi="Times New Roman"/>
          <w:sz w:val="24"/>
        </w:rPr>
        <w:lastRenderedPageBreak/>
        <w:t>el incremento en ventas proveniente de las empresas que se instalen en el polo (beneficio indirecto)</w:t>
      </w:r>
      <w:r w:rsidR="00DA5D2B">
        <w:rPr>
          <w:rFonts w:ascii="Times New Roman" w:hAnsi="Times New Roman"/>
          <w:sz w:val="24"/>
        </w:rPr>
        <w:t>.</w:t>
      </w:r>
    </w:p>
    <w:p w:rsidR="00B37D8A" w:rsidRDefault="00BB21AC" w:rsidP="0013448B">
      <w:pPr>
        <w:spacing w:before="240"/>
        <w:jc w:val="both"/>
        <w:rPr>
          <w:rFonts w:ascii="Times New Roman" w:hAnsi="Times New Roman"/>
          <w:sz w:val="24"/>
        </w:rPr>
      </w:pPr>
      <w:r>
        <w:rPr>
          <w:rFonts w:ascii="Times New Roman" w:hAnsi="Times New Roman"/>
          <w:sz w:val="24"/>
        </w:rPr>
        <w:t>L</w:t>
      </w:r>
      <w:r w:rsidR="00B37D8A">
        <w:rPr>
          <w:rFonts w:ascii="Times New Roman" w:hAnsi="Times New Roman"/>
          <w:sz w:val="24"/>
        </w:rPr>
        <w:t>os costos considerados son:</w:t>
      </w:r>
    </w:p>
    <w:p w:rsidR="00B37D8A" w:rsidRDefault="00B37D8A" w:rsidP="0013448B">
      <w:pPr>
        <w:pStyle w:val="ListParagraph"/>
        <w:numPr>
          <w:ilvl w:val="0"/>
          <w:numId w:val="23"/>
        </w:numPr>
        <w:jc w:val="both"/>
        <w:rPr>
          <w:rFonts w:ascii="Times New Roman" w:hAnsi="Times New Roman"/>
          <w:sz w:val="24"/>
        </w:rPr>
      </w:pPr>
      <w:r>
        <w:rPr>
          <w:rFonts w:ascii="Times New Roman" w:hAnsi="Times New Roman"/>
          <w:sz w:val="24"/>
        </w:rPr>
        <w:t>los provenientes de la instalación del polo, en términos de realización de obras de infraestructura y licitación de parcelas, y</w:t>
      </w:r>
    </w:p>
    <w:p w:rsidR="00B37D8A" w:rsidRDefault="00B37D8A" w:rsidP="0013448B">
      <w:pPr>
        <w:pStyle w:val="ListParagraph"/>
        <w:numPr>
          <w:ilvl w:val="0"/>
          <w:numId w:val="23"/>
        </w:numPr>
        <w:jc w:val="both"/>
        <w:rPr>
          <w:rFonts w:ascii="Times New Roman" w:hAnsi="Times New Roman"/>
          <w:sz w:val="24"/>
        </w:rPr>
      </w:pPr>
      <w:r w:rsidRPr="0013448B">
        <w:rPr>
          <w:rFonts w:ascii="Times New Roman" w:hAnsi="Times New Roman"/>
          <w:sz w:val="24"/>
        </w:rPr>
        <w:t>los gastos operativos de funcionamiento del polo.</w:t>
      </w:r>
    </w:p>
    <w:p w:rsidR="005A3C43" w:rsidRDefault="005A3C43" w:rsidP="005A3C43">
      <w:pPr>
        <w:jc w:val="both"/>
        <w:rPr>
          <w:rFonts w:ascii="Times New Roman" w:hAnsi="Times New Roman"/>
          <w:sz w:val="24"/>
          <w:szCs w:val="24"/>
          <w:lang w:val="es-ES"/>
        </w:rPr>
      </w:pPr>
      <w:r>
        <w:rPr>
          <w:rFonts w:ascii="Times New Roman" w:hAnsi="Times New Roman"/>
          <w:sz w:val="24"/>
          <w:szCs w:val="24"/>
          <w:lang w:val="es-ES"/>
        </w:rPr>
        <w:t>En el análisis se utiliza información proveniente del</w:t>
      </w:r>
      <w:r w:rsidRPr="003873A2">
        <w:rPr>
          <w:rFonts w:ascii="Times New Roman" w:hAnsi="Times New Roman"/>
          <w:sz w:val="24"/>
          <w:szCs w:val="24"/>
          <w:lang w:val="es-ES"/>
        </w:rPr>
        <w:t xml:space="preserve"> IDITS</w:t>
      </w:r>
      <w:r>
        <w:rPr>
          <w:rFonts w:ascii="Times New Roman" w:hAnsi="Times New Roman"/>
          <w:sz w:val="24"/>
          <w:szCs w:val="24"/>
          <w:lang w:val="es-ES"/>
        </w:rPr>
        <w:t xml:space="preserve">, que ha </w:t>
      </w:r>
      <w:r w:rsidRPr="003873A2">
        <w:rPr>
          <w:rFonts w:ascii="Times New Roman" w:hAnsi="Times New Roman"/>
          <w:sz w:val="24"/>
          <w:szCs w:val="24"/>
          <w:lang w:val="es-ES"/>
        </w:rPr>
        <w:t xml:space="preserve">desarrollado un plan de negocios para este </w:t>
      </w:r>
      <w:r>
        <w:rPr>
          <w:rFonts w:ascii="Times New Roman" w:hAnsi="Times New Roman"/>
          <w:sz w:val="24"/>
          <w:szCs w:val="24"/>
          <w:lang w:val="es-ES"/>
        </w:rPr>
        <w:t>nuevo polo</w:t>
      </w:r>
      <w:r w:rsidRPr="003873A2">
        <w:rPr>
          <w:rFonts w:ascii="Times New Roman" w:hAnsi="Times New Roman"/>
          <w:sz w:val="24"/>
          <w:szCs w:val="24"/>
          <w:lang w:val="es-ES"/>
        </w:rPr>
        <w:t>.</w:t>
      </w:r>
    </w:p>
    <w:p w:rsidR="00B37D8A" w:rsidRPr="0013448B" w:rsidRDefault="00B37D8A" w:rsidP="0013448B">
      <w:pPr>
        <w:jc w:val="both"/>
        <w:rPr>
          <w:rFonts w:ascii="Times New Roman" w:hAnsi="Times New Roman"/>
          <w:sz w:val="24"/>
        </w:rPr>
      </w:pPr>
      <w:r>
        <w:rPr>
          <w:rFonts w:ascii="Times New Roman" w:hAnsi="Times New Roman"/>
          <w:sz w:val="24"/>
        </w:rPr>
        <w:t>A continuación se presenta el detalle las estimaciones realizadas.</w:t>
      </w:r>
      <w:r w:rsidR="00BB21AC">
        <w:rPr>
          <w:rFonts w:ascii="Times New Roman" w:hAnsi="Times New Roman"/>
          <w:sz w:val="24"/>
        </w:rPr>
        <w:t xml:space="preserve"> El horizonte temporal del análisis es 20años.</w:t>
      </w:r>
    </w:p>
    <w:p w:rsidR="00B37D8A" w:rsidRPr="0013448B" w:rsidRDefault="00B37D8A" w:rsidP="0013448B">
      <w:pPr>
        <w:spacing w:before="240"/>
        <w:jc w:val="both"/>
        <w:rPr>
          <w:rFonts w:ascii="Times New Roman" w:hAnsi="Times New Roman"/>
          <w:i/>
          <w:sz w:val="24"/>
        </w:rPr>
      </w:pPr>
      <w:r w:rsidRPr="0013448B">
        <w:rPr>
          <w:rFonts w:ascii="Times New Roman" w:hAnsi="Times New Roman"/>
          <w:i/>
          <w:sz w:val="24"/>
        </w:rPr>
        <w:t>A. BENEFICIOS</w:t>
      </w:r>
    </w:p>
    <w:p w:rsidR="00BD70EC" w:rsidRPr="00A41208" w:rsidRDefault="00BD70EC" w:rsidP="00BD70EC">
      <w:pPr>
        <w:spacing w:before="240"/>
        <w:jc w:val="both"/>
        <w:rPr>
          <w:rFonts w:ascii="Times New Roman" w:hAnsi="Times New Roman"/>
          <w:sz w:val="24"/>
        </w:rPr>
      </w:pPr>
      <w:r w:rsidRPr="00A41208">
        <w:rPr>
          <w:rFonts w:ascii="Times New Roman" w:hAnsi="Times New Roman"/>
          <w:sz w:val="24"/>
        </w:rPr>
        <w:t xml:space="preserve">i) </w:t>
      </w:r>
      <w:r w:rsidR="006345C1">
        <w:rPr>
          <w:rFonts w:ascii="Times New Roman" w:hAnsi="Times New Roman"/>
          <w:sz w:val="24"/>
        </w:rPr>
        <w:t>Ingresos por venta de terrenos</w:t>
      </w:r>
    </w:p>
    <w:p w:rsidR="00B37D8A" w:rsidRDefault="00B37D8A" w:rsidP="00AE7EFC">
      <w:pPr>
        <w:spacing w:before="240"/>
        <w:jc w:val="both"/>
        <w:rPr>
          <w:rFonts w:ascii="Times New Roman" w:hAnsi="Times New Roman"/>
          <w:spacing w:val="-2"/>
          <w:sz w:val="24"/>
          <w:szCs w:val="24"/>
          <w:lang w:val="es-ES_tradnl"/>
        </w:rPr>
      </w:pPr>
      <w:r>
        <w:rPr>
          <w:rFonts w:ascii="Times New Roman" w:hAnsi="Times New Roman"/>
          <w:sz w:val="24"/>
        </w:rPr>
        <w:t>E</w:t>
      </w:r>
      <w:r w:rsidRPr="007730EC">
        <w:rPr>
          <w:rFonts w:ascii="Times New Roman" w:hAnsi="Times New Roman"/>
          <w:spacing w:val="-2"/>
          <w:sz w:val="24"/>
          <w:szCs w:val="24"/>
          <w:lang w:val="es-ES_tradnl"/>
        </w:rPr>
        <w:t xml:space="preserve">l </w:t>
      </w:r>
      <w:r>
        <w:rPr>
          <w:rFonts w:ascii="Times New Roman" w:hAnsi="Times New Roman"/>
          <w:spacing w:val="-2"/>
          <w:sz w:val="24"/>
          <w:szCs w:val="24"/>
          <w:lang w:val="es-ES_tradnl"/>
        </w:rPr>
        <w:t xml:space="preserve">Polo utilizará un predio de 12 hectáreas, de las cuales una parte serán destinadas a la instalación de empresas, a través de la compra de los terrenos por licitación, y el resto servirán para la instalación de instituciones de apoyo a empresas. Según el Círculo de Constructores de Mendoza (CCM), el valor del metro cuadrado para la construcción es de ARS 3.500. </w:t>
      </w:r>
      <w:r w:rsidR="00BB21AC">
        <w:rPr>
          <w:rFonts w:ascii="Times New Roman" w:hAnsi="Times New Roman"/>
          <w:spacing w:val="-2"/>
          <w:sz w:val="24"/>
          <w:szCs w:val="24"/>
          <w:lang w:val="es-ES_tradnl"/>
        </w:rPr>
        <w:t xml:space="preserve">Las empresas </w:t>
      </w:r>
      <w:r>
        <w:rPr>
          <w:rFonts w:ascii="Times New Roman" w:hAnsi="Times New Roman"/>
          <w:spacing w:val="-2"/>
          <w:sz w:val="24"/>
          <w:szCs w:val="24"/>
          <w:lang w:val="es-ES_tradnl"/>
        </w:rPr>
        <w:t xml:space="preserve">del Polo </w:t>
      </w:r>
      <w:r w:rsidR="00BB21AC">
        <w:rPr>
          <w:rFonts w:ascii="Times New Roman" w:hAnsi="Times New Roman"/>
          <w:spacing w:val="-2"/>
          <w:sz w:val="24"/>
          <w:szCs w:val="24"/>
          <w:lang w:val="es-ES_tradnl"/>
        </w:rPr>
        <w:t>recibir</w:t>
      </w:r>
      <w:r>
        <w:rPr>
          <w:rFonts w:ascii="Times New Roman" w:hAnsi="Times New Roman"/>
          <w:spacing w:val="-2"/>
          <w:sz w:val="24"/>
          <w:szCs w:val="24"/>
          <w:lang w:val="es-ES_tradnl"/>
        </w:rPr>
        <w:t xml:space="preserve"> un descuento del 40% sobre el precio de los terrenos (para este estudio de ARS 3.500 – valor de referencia del CCM), por lo cual el valor del metro cuadrado para las empresas a establecerse en el Polo resulta de ARS 2.100. </w:t>
      </w:r>
      <w:r w:rsidR="00BB21AC">
        <w:rPr>
          <w:rFonts w:ascii="Times New Roman" w:hAnsi="Times New Roman"/>
          <w:spacing w:val="-2"/>
          <w:sz w:val="24"/>
          <w:szCs w:val="24"/>
          <w:lang w:val="es-ES_tradnl"/>
        </w:rPr>
        <w:t>D</w:t>
      </w:r>
      <w:r>
        <w:rPr>
          <w:rFonts w:ascii="Times New Roman" w:hAnsi="Times New Roman"/>
          <w:spacing w:val="-2"/>
          <w:sz w:val="24"/>
          <w:szCs w:val="24"/>
          <w:lang w:val="es-ES_tradnl"/>
        </w:rPr>
        <w:t xml:space="preserve">ado que las firmas que se espera que se instalen en el predio pertenecen al sector TICs, </w:t>
      </w:r>
      <w:r w:rsidR="00BB21AC">
        <w:rPr>
          <w:rFonts w:ascii="Times New Roman" w:hAnsi="Times New Roman"/>
          <w:spacing w:val="-2"/>
          <w:sz w:val="24"/>
          <w:szCs w:val="24"/>
          <w:lang w:val="es-ES_tradnl"/>
        </w:rPr>
        <w:t xml:space="preserve">y estas tienen </w:t>
      </w:r>
      <w:r>
        <w:rPr>
          <w:rFonts w:ascii="Times New Roman" w:hAnsi="Times New Roman"/>
          <w:spacing w:val="-2"/>
          <w:sz w:val="24"/>
          <w:szCs w:val="24"/>
          <w:lang w:val="es-ES_tradnl"/>
        </w:rPr>
        <w:t>requerimientos en términos de espacio físico relativamente bajos, se supone una la demanda individual de 200 m</w:t>
      </w:r>
      <w:r w:rsidRPr="00E52CBB">
        <w:rPr>
          <w:rFonts w:ascii="Times New Roman" w:hAnsi="Times New Roman"/>
          <w:spacing w:val="-2"/>
          <w:sz w:val="24"/>
          <w:szCs w:val="24"/>
          <w:vertAlign w:val="superscript"/>
          <w:lang w:val="es-ES_tradnl"/>
        </w:rPr>
        <w:t>2</w:t>
      </w:r>
      <w:r>
        <w:rPr>
          <w:rFonts w:ascii="Times New Roman" w:hAnsi="Times New Roman"/>
          <w:spacing w:val="-2"/>
          <w:sz w:val="24"/>
          <w:szCs w:val="24"/>
          <w:lang w:val="es-ES_tradnl"/>
        </w:rPr>
        <w:t xml:space="preserve">, por lo cual el valor a pagar por </w:t>
      </w:r>
      <w:r w:rsidR="00BB21AC">
        <w:rPr>
          <w:rFonts w:ascii="Times New Roman" w:hAnsi="Times New Roman"/>
          <w:spacing w:val="-2"/>
          <w:sz w:val="24"/>
          <w:szCs w:val="24"/>
          <w:lang w:val="es-ES_tradnl"/>
        </w:rPr>
        <w:t xml:space="preserve">la </w:t>
      </w:r>
      <w:r>
        <w:rPr>
          <w:rFonts w:ascii="Times New Roman" w:hAnsi="Times New Roman"/>
          <w:spacing w:val="-2"/>
          <w:sz w:val="24"/>
          <w:szCs w:val="24"/>
          <w:lang w:val="es-ES_tradnl"/>
        </w:rPr>
        <w:t xml:space="preserve">empresa sería de ARS 420.000. </w:t>
      </w:r>
    </w:p>
    <w:p w:rsidR="00B37D8A" w:rsidRDefault="00B37D8A" w:rsidP="00AE7EFC">
      <w:pPr>
        <w:spacing w:before="240"/>
        <w:jc w:val="both"/>
        <w:rPr>
          <w:rFonts w:ascii="Times New Roman" w:hAnsi="Times New Roman"/>
          <w:spacing w:val="-2"/>
          <w:sz w:val="24"/>
          <w:szCs w:val="24"/>
          <w:lang w:val="es-ES_tradnl"/>
        </w:rPr>
      </w:pPr>
      <w:r>
        <w:rPr>
          <w:rFonts w:ascii="Times New Roman" w:hAnsi="Times New Roman"/>
          <w:spacing w:val="-2"/>
          <w:sz w:val="24"/>
          <w:szCs w:val="24"/>
          <w:lang w:val="es-ES_tradnl"/>
        </w:rPr>
        <w:t>Según los valores de las estimaciones del IDITS, se espera que en la primera etapa de formación del Polo de conocimiento, se instalen en él 25 empresas. Si se supone que la radicación de estas firmas se hace de forma progresiva de acuerdo al esquema</w:t>
      </w:r>
      <w:r w:rsidRPr="009E2314">
        <w:rPr>
          <w:rStyle w:val="FootnoteReference"/>
          <w:rFonts w:ascii="Times New Roman" w:hAnsi="Times New Roman"/>
          <w:spacing w:val="-2"/>
          <w:sz w:val="24"/>
          <w:szCs w:val="24"/>
          <w:vertAlign w:val="superscript"/>
          <w:lang w:val="es-ES_tradnl"/>
        </w:rPr>
        <w:footnoteReference w:id="28"/>
      </w:r>
      <w:r>
        <w:rPr>
          <w:rFonts w:ascii="Times New Roman" w:hAnsi="Times New Roman"/>
          <w:spacing w:val="-2"/>
          <w:sz w:val="24"/>
          <w:szCs w:val="24"/>
          <w:lang w:val="es-ES_tradnl"/>
        </w:rPr>
        <w:t xml:space="preserve">que se presenta a continuación, se obtiene un total de ingresos por venta de terrenos, que comienza en ARS </w:t>
      </w:r>
      <w:r w:rsidR="001560C1">
        <w:rPr>
          <w:rFonts w:ascii="Times New Roman" w:hAnsi="Times New Roman"/>
          <w:spacing w:val="-2"/>
          <w:sz w:val="24"/>
          <w:szCs w:val="24"/>
          <w:lang w:val="es-ES_tradnl"/>
        </w:rPr>
        <w:t>132</w:t>
      </w:r>
      <w:r>
        <w:rPr>
          <w:rFonts w:ascii="Times New Roman" w:hAnsi="Times New Roman"/>
          <w:spacing w:val="-2"/>
          <w:sz w:val="24"/>
          <w:szCs w:val="24"/>
          <w:lang w:val="es-ES_tradnl"/>
        </w:rPr>
        <w:t>.</w:t>
      </w:r>
      <w:r w:rsidR="001560C1">
        <w:rPr>
          <w:rFonts w:ascii="Times New Roman" w:hAnsi="Times New Roman"/>
          <w:spacing w:val="-2"/>
          <w:sz w:val="24"/>
          <w:szCs w:val="24"/>
          <w:lang w:val="es-ES_tradnl"/>
        </w:rPr>
        <w:t>632</w:t>
      </w:r>
      <w:r>
        <w:rPr>
          <w:rFonts w:ascii="Times New Roman" w:hAnsi="Times New Roman"/>
          <w:spacing w:val="-2"/>
          <w:sz w:val="24"/>
          <w:szCs w:val="24"/>
          <w:lang w:val="es-ES_tradnl"/>
        </w:rPr>
        <w:t xml:space="preserve"> en el año 2 y culmina en ARS </w:t>
      </w:r>
      <w:r w:rsidR="007F7BB5">
        <w:rPr>
          <w:rFonts w:ascii="Times New Roman" w:hAnsi="Times New Roman"/>
          <w:spacing w:val="-2"/>
          <w:sz w:val="24"/>
          <w:szCs w:val="24"/>
          <w:lang w:val="es-ES_tradnl"/>
        </w:rPr>
        <w:t>663</w:t>
      </w:r>
      <w:r>
        <w:rPr>
          <w:rFonts w:ascii="Times New Roman" w:hAnsi="Times New Roman"/>
          <w:spacing w:val="-2"/>
          <w:sz w:val="24"/>
          <w:szCs w:val="24"/>
          <w:lang w:val="es-ES_tradnl"/>
        </w:rPr>
        <w:t>.</w:t>
      </w:r>
      <w:r w:rsidR="007F7BB5">
        <w:rPr>
          <w:rFonts w:ascii="Times New Roman" w:hAnsi="Times New Roman"/>
          <w:spacing w:val="-2"/>
          <w:sz w:val="24"/>
          <w:szCs w:val="24"/>
          <w:lang w:val="es-ES_tradnl"/>
        </w:rPr>
        <w:t>158</w:t>
      </w:r>
      <w:r>
        <w:rPr>
          <w:rFonts w:ascii="Times New Roman" w:hAnsi="Times New Roman"/>
          <w:spacing w:val="-2"/>
          <w:sz w:val="24"/>
          <w:szCs w:val="24"/>
          <w:lang w:val="es-ES_tradnl"/>
        </w:rPr>
        <w:t xml:space="preserve"> en el año 20.  </w:t>
      </w:r>
    </w:p>
    <w:tbl>
      <w:tblPr>
        <w:tblW w:w="3785" w:type="pct"/>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69"/>
        <w:gridCol w:w="1278"/>
        <w:gridCol w:w="552"/>
        <w:gridCol w:w="456"/>
        <w:gridCol w:w="433"/>
        <w:gridCol w:w="433"/>
        <w:gridCol w:w="433"/>
        <w:gridCol w:w="433"/>
        <w:gridCol w:w="433"/>
        <w:gridCol w:w="433"/>
        <w:gridCol w:w="433"/>
        <w:gridCol w:w="957"/>
      </w:tblGrid>
      <w:tr w:rsidR="00B37D8A" w:rsidRPr="008279FD" w:rsidTr="0013448B">
        <w:trPr>
          <w:trHeight w:val="255"/>
          <w:jc w:val="center"/>
        </w:trPr>
        <w:tc>
          <w:tcPr>
            <w:tcW w:w="896" w:type="pct"/>
            <w:shd w:val="clear" w:color="auto" w:fill="D9D9D9"/>
          </w:tcPr>
          <w:p w:rsidR="00B37D8A" w:rsidRPr="008279FD" w:rsidRDefault="00B37D8A" w:rsidP="0085600D">
            <w:pPr>
              <w:spacing w:after="0" w:line="240" w:lineRule="auto"/>
              <w:jc w:val="center"/>
              <w:rPr>
                <w:rFonts w:ascii="Arial" w:hAnsi="Arial" w:cs="Arial"/>
                <w:sz w:val="18"/>
                <w:szCs w:val="18"/>
              </w:rPr>
            </w:pPr>
          </w:p>
        </w:tc>
        <w:tc>
          <w:tcPr>
            <w:tcW w:w="836" w:type="pct"/>
            <w:shd w:val="clear" w:color="auto" w:fill="D9D9D9"/>
            <w:noWrap/>
            <w:tcMar>
              <w:top w:w="12" w:type="dxa"/>
              <w:left w:w="12" w:type="dxa"/>
              <w:bottom w:w="0" w:type="dxa"/>
              <w:right w:w="12" w:type="dxa"/>
            </w:tcMar>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Año</w:t>
            </w:r>
          </w:p>
        </w:tc>
        <w:tc>
          <w:tcPr>
            <w:tcW w:w="361" w:type="pct"/>
            <w:shd w:val="clear" w:color="auto" w:fill="D9D9D9"/>
            <w:noWrap/>
            <w:tcMar>
              <w:top w:w="12" w:type="dxa"/>
              <w:left w:w="12" w:type="dxa"/>
              <w:bottom w:w="0" w:type="dxa"/>
              <w:right w:w="12" w:type="dxa"/>
            </w:tcMar>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2</w:t>
            </w:r>
          </w:p>
        </w:tc>
        <w:tc>
          <w:tcPr>
            <w:tcW w:w="298" w:type="pct"/>
            <w:shd w:val="clear" w:color="auto" w:fill="D9D9D9"/>
            <w:noWrap/>
            <w:tcMar>
              <w:top w:w="12" w:type="dxa"/>
              <w:left w:w="12" w:type="dxa"/>
              <w:bottom w:w="0" w:type="dxa"/>
              <w:right w:w="12" w:type="dxa"/>
            </w:tcMar>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3</w:t>
            </w:r>
          </w:p>
        </w:tc>
        <w:tc>
          <w:tcPr>
            <w:tcW w:w="283" w:type="pct"/>
            <w:shd w:val="clear" w:color="auto" w:fill="D9D9D9"/>
            <w:noWrap/>
            <w:tcMar>
              <w:top w:w="12" w:type="dxa"/>
              <w:left w:w="12" w:type="dxa"/>
              <w:bottom w:w="0" w:type="dxa"/>
              <w:right w:w="12" w:type="dxa"/>
            </w:tcMar>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4</w:t>
            </w:r>
          </w:p>
        </w:tc>
        <w:tc>
          <w:tcPr>
            <w:tcW w:w="283" w:type="pct"/>
            <w:shd w:val="clear" w:color="auto" w:fill="D9D9D9"/>
            <w:noWrap/>
            <w:tcMar>
              <w:top w:w="12" w:type="dxa"/>
              <w:left w:w="12" w:type="dxa"/>
              <w:bottom w:w="0" w:type="dxa"/>
              <w:right w:w="12" w:type="dxa"/>
            </w:tcMar>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5</w:t>
            </w:r>
          </w:p>
        </w:tc>
        <w:tc>
          <w:tcPr>
            <w:tcW w:w="283" w:type="pct"/>
            <w:shd w:val="clear" w:color="auto" w:fill="D9D9D9"/>
            <w:noWrap/>
            <w:tcMar>
              <w:top w:w="12" w:type="dxa"/>
              <w:left w:w="12" w:type="dxa"/>
              <w:bottom w:w="0" w:type="dxa"/>
              <w:right w:w="12" w:type="dxa"/>
            </w:tcMar>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6</w:t>
            </w:r>
          </w:p>
        </w:tc>
        <w:tc>
          <w:tcPr>
            <w:tcW w:w="283" w:type="pct"/>
            <w:shd w:val="clear" w:color="auto" w:fill="D9D9D9"/>
            <w:noWrap/>
            <w:tcMar>
              <w:top w:w="12" w:type="dxa"/>
              <w:left w:w="12" w:type="dxa"/>
              <w:bottom w:w="0" w:type="dxa"/>
              <w:right w:w="12" w:type="dxa"/>
            </w:tcMar>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7</w:t>
            </w:r>
          </w:p>
        </w:tc>
        <w:tc>
          <w:tcPr>
            <w:tcW w:w="283" w:type="pct"/>
            <w:shd w:val="clear" w:color="auto" w:fill="D9D9D9"/>
            <w:noWrap/>
            <w:tcMar>
              <w:top w:w="12" w:type="dxa"/>
              <w:left w:w="12" w:type="dxa"/>
              <w:bottom w:w="0" w:type="dxa"/>
              <w:right w:w="12" w:type="dxa"/>
            </w:tcMar>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8</w:t>
            </w:r>
          </w:p>
        </w:tc>
        <w:tc>
          <w:tcPr>
            <w:tcW w:w="283" w:type="pct"/>
            <w:shd w:val="clear" w:color="auto" w:fill="D9D9D9"/>
            <w:noWrap/>
            <w:tcMar>
              <w:top w:w="12" w:type="dxa"/>
              <w:left w:w="12" w:type="dxa"/>
              <w:bottom w:w="0" w:type="dxa"/>
              <w:right w:w="12" w:type="dxa"/>
            </w:tcMar>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9</w:t>
            </w:r>
          </w:p>
        </w:tc>
        <w:tc>
          <w:tcPr>
            <w:tcW w:w="283" w:type="pct"/>
            <w:shd w:val="clear" w:color="auto" w:fill="D9D9D9"/>
            <w:noWrap/>
            <w:tcMar>
              <w:top w:w="12" w:type="dxa"/>
              <w:left w:w="12" w:type="dxa"/>
              <w:bottom w:w="0" w:type="dxa"/>
              <w:right w:w="12" w:type="dxa"/>
            </w:tcMar>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10</w:t>
            </w:r>
          </w:p>
        </w:tc>
        <w:tc>
          <w:tcPr>
            <w:tcW w:w="626" w:type="pct"/>
            <w:shd w:val="clear" w:color="auto" w:fill="D9D9D9"/>
            <w:noWrap/>
            <w:tcMar>
              <w:top w:w="12" w:type="dxa"/>
              <w:left w:w="12" w:type="dxa"/>
              <w:bottom w:w="0" w:type="dxa"/>
              <w:right w:w="12" w:type="dxa"/>
            </w:tcMar>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11 a 20</w:t>
            </w:r>
          </w:p>
        </w:tc>
      </w:tr>
      <w:tr w:rsidR="00B37D8A" w:rsidRPr="008279FD" w:rsidTr="0013448B">
        <w:trPr>
          <w:trHeight w:val="255"/>
          <w:jc w:val="center"/>
        </w:trPr>
        <w:tc>
          <w:tcPr>
            <w:tcW w:w="896" w:type="pct"/>
            <w:vMerge w:val="restart"/>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Cantidad de empresas</w:t>
            </w:r>
          </w:p>
        </w:tc>
        <w:tc>
          <w:tcPr>
            <w:tcW w:w="836" w:type="pct"/>
            <w:noWrap/>
            <w:tcMar>
              <w:top w:w="12" w:type="dxa"/>
              <w:left w:w="12" w:type="dxa"/>
              <w:bottom w:w="0" w:type="dxa"/>
              <w:right w:w="12" w:type="dxa"/>
            </w:tcMar>
            <w:vAlign w:val="center"/>
          </w:tcPr>
          <w:p w:rsidR="00B37D8A" w:rsidRPr="008279FD" w:rsidRDefault="00B37D8A" w:rsidP="0085600D">
            <w:pPr>
              <w:spacing w:after="0" w:line="240" w:lineRule="auto"/>
              <w:rPr>
                <w:rFonts w:ascii="Arial" w:hAnsi="Arial" w:cs="Arial"/>
                <w:sz w:val="18"/>
                <w:szCs w:val="18"/>
              </w:rPr>
            </w:pPr>
            <w:r w:rsidRPr="008279FD">
              <w:rPr>
                <w:rFonts w:ascii="Arial" w:hAnsi="Arial" w:cs="Arial"/>
                <w:sz w:val="18"/>
                <w:szCs w:val="18"/>
              </w:rPr>
              <w:t>Nuevas</w:t>
            </w:r>
          </w:p>
        </w:tc>
        <w:tc>
          <w:tcPr>
            <w:tcW w:w="361" w:type="pct"/>
            <w:noWrap/>
            <w:tcMar>
              <w:top w:w="12" w:type="dxa"/>
              <w:left w:w="12" w:type="dxa"/>
              <w:bottom w:w="0" w:type="dxa"/>
              <w:right w:w="12" w:type="dxa"/>
            </w:tcMar>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1</w:t>
            </w:r>
          </w:p>
        </w:tc>
        <w:tc>
          <w:tcPr>
            <w:tcW w:w="298" w:type="pct"/>
            <w:noWrap/>
            <w:tcMar>
              <w:top w:w="12" w:type="dxa"/>
              <w:left w:w="12" w:type="dxa"/>
              <w:bottom w:w="0" w:type="dxa"/>
              <w:right w:w="12" w:type="dxa"/>
            </w:tcMar>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1</w:t>
            </w:r>
          </w:p>
        </w:tc>
        <w:tc>
          <w:tcPr>
            <w:tcW w:w="283" w:type="pct"/>
            <w:noWrap/>
            <w:tcMar>
              <w:top w:w="12" w:type="dxa"/>
              <w:left w:w="12" w:type="dxa"/>
              <w:bottom w:w="0" w:type="dxa"/>
              <w:right w:w="12" w:type="dxa"/>
            </w:tcMar>
            <w:vAlign w:val="center"/>
          </w:tcPr>
          <w:p w:rsidR="00B37D8A" w:rsidRPr="008279FD" w:rsidRDefault="00146119" w:rsidP="0085600D">
            <w:pPr>
              <w:spacing w:after="0" w:line="240" w:lineRule="auto"/>
              <w:jc w:val="center"/>
              <w:rPr>
                <w:rFonts w:ascii="Arial" w:hAnsi="Arial" w:cs="Arial"/>
                <w:sz w:val="18"/>
                <w:szCs w:val="18"/>
              </w:rPr>
            </w:pPr>
            <w:r>
              <w:rPr>
                <w:rFonts w:ascii="Arial" w:hAnsi="Arial" w:cs="Arial"/>
                <w:sz w:val="18"/>
                <w:szCs w:val="18"/>
              </w:rPr>
              <w:t>1</w:t>
            </w:r>
          </w:p>
        </w:tc>
        <w:tc>
          <w:tcPr>
            <w:tcW w:w="283" w:type="pct"/>
            <w:noWrap/>
            <w:tcMar>
              <w:top w:w="12" w:type="dxa"/>
              <w:left w:w="12" w:type="dxa"/>
              <w:bottom w:w="0" w:type="dxa"/>
              <w:right w:w="12" w:type="dxa"/>
            </w:tcMar>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2</w:t>
            </w:r>
          </w:p>
        </w:tc>
        <w:tc>
          <w:tcPr>
            <w:tcW w:w="283" w:type="pct"/>
            <w:noWrap/>
            <w:tcMar>
              <w:top w:w="12" w:type="dxa"/>
              <w:left w:w="12" w:type="dxa"/>
              <w:bottom w:w="0" w:type="dxa"/>
              <w:right w:w="12" w:type="dxa"/>
            </w:tcMar>
            <w:vAlign w:val="center"/>
          </w:tcPr>
          <w:p w:rsidR="00B37D8A" w:rsidRPr="008279FD" w:rsidRDefault="00146119" w:rsidP="0085600D">
            <w:pPr>
              <w:spacing w:after="0" w:line="240" w:lineRule="auto"/>
              <w:jc w:val="center"/>
              <w:rPr>
                <w:rFonts w:ascii="Arial" w:hAnsi="Arial" w:cs="Arial"/>
                <w:sz w:val="18"/>
                <w:szCs w:val="18"/>
              </w:rPr>
            </w:pPr>
            <w:r>
              <w:rPr>
                <w:rFonts w:ascii="Arial" w:hAnsi="Arial" w:cs="Arial"/>
                <w:sz w:val="18"/>
                <w:szCs w:val="18"/>
              </w:rPr>
              <w:t>2</w:t>
            </w:r>
          </w:p>
        </w:tc>
        <w:tc>
          <w:tcPr>
            <w:tcW w:w="283" w:type="pct"/>
            <w:noWrap/>
            <w:tcMar>
              <w:top w:w="12" w:type="dxa"/>
              <w:left w:w="12" w:type="dxa"/>
              <w:bottom w:w="0" w:type="dxa"/>
              <w:right w:w="12" w:type="dxa"/>
            </w:tcMar>
            <w:vAlign w:val="center"/>
          </w:tcPr>
          <w:p w:rsidR="00B37D8A" w:rsidRPr="008279FD" w:rsidRDefault="00146119" w:rsidP="0085600D">
            <w:pPr>
              <w:spacing w:after="0" w:line="240" w:lineRule="auto"/>
              <w:jc w:val="center"/>
              <w:rPr>
                <w:rFonts w:ascii="Arial" w:hAnsi="Arial" w:cs="Arial"/>
                <w:sz w:val="18"/>
                <w:szCs w:val="18"/>
              </w:rPr>
            </w:pPr>
            <w:r>
              <w:rPr>
                <w:rFonts w:ascii="Arial" w:hAnsi="Arial" w:cs="Arial"/>
                <w:sz w:val="18"/>
                <w:szCs w:val="18"/>
              </w:rPr>
              <w:t>3</w:t>
            </w:r>
          </w:p>
        </w:tc>
        <w:tc>
          <w:tcPr>
            <w:tcW w:w="283" w:type="pct"/>
            <w:noWrap/>
            <w:tcMar>
              <w:top w:w="12" w:type="dxa"/>
              <w:left w:w="12" w:type="dxa"/>
              <w:bottom w:w="0" w:type="dxa"/>
              <w:right w:w="12" w:type="dxa"/>
            </w:tcMar>
            <w:vAlign w:val="center"/>
          </w:tcPr>
          <w:p w:rsidR="00B37D8A" w:rsidRPr="008279FD" w:rsidRDefault="00146119" w:rsidP="0085600D">
            <w:pPr>
              <w:spacing w:after="0" w:line="240" w:lineRule="auto"/>
              <w:jc w:val="center"/>
              <w:rPr>
                <w:rFonts w:ascii="Arial" w:hAnsi="Arial" w:cs="Arial"/>
                <w:sz w:val="18"/>
                <w:szCs w:val="18"/>
              </w:rPr>
            </w:pPr>
            <w:r>
              <w:rPr>
                <w:rFonts w:ascii="Arial" w:hAnsi="Arial" w:cs="Arial"/>
                <w:sz w:val="18"/>
                <w:szCs w:val="18"/>
              </w:rPr>
              <w:t>3</w:t>
            </w:r>
          </w:p>
        </w:tc>
        <w:tc>
          <w:tcPr>
            <w:tcW w:w="283" w:type="pct"/>
            <w:noWrap/>
            <w:tcMar>
              <w:top w:w="12" w:type="dxa"/>
              <w:left w:w="12" w:type="dxa"/>
              <w:bottom w:w="0" w:type="dxa"/>
              <w:right w:w="12" w:type="dxa"/>
            </w:tcMar>
            <w:vAlign w:val="center"/>
          </w:tcPr>
          <w:p w:rsidR="00B37D8A" w:rsidRPr="008279FD" w:rsidRDefault="00146119" w:rsidP="0085600D">
            <w:pPr>
              <w:spacing w:after="0" w:line="240" w:lineRule="auto"/>
              <w:jc w:val="center"/>
              <w:rPr>
                <w:rFonts w:ascii="Arial" w:hAnsi="Arial" w:cs="Arial"/>
                <w:sz w:val="18"/>
                <w:szCs w:val="18"/>
              </w:rPr>
            </w:pPr>
            <w:r>
              <w:rPr>
                <w:rFonts w:ascii="Arial" w:hAnsi="Arial" w:cs="Arial"/>
                <w:sz w:val="18"/>
                <w:szCs w:val="18"/>
              </w:rPr>
              <w:t>4</w:t>
            </w:r>
          </w:p>
        </w:tc>
        <w:tc>
          <w:tcPr>
            <w:tcW w:w="283" w:type="pct"/>
            <w:noWrap/>
            <w:tcMar>
              <w:top w:w="12" w:type="dxa"/>
              <w:left w:w="12" w:type="dxa"/>
              <w:bottom w:w="0" w:type="dxa"/>
              <w:right w:w="12" w:type="dxa"/>
            </w:tcMar>
            <w:vAlign w:val="center"/>
          </w:tcPr>
          <w:p w:rsidR="00B37D8A" w:rsidRPr="008279FD" w:rsidRDefault="00146119" w:rsidP="0085600D">
            <w:pPr>
              <w:spacing w:after="0" w:line="240" w:lineRule="auto"/>
              <w:jc w:val="center"/>
              <w:rPr>
                <w:rFonts w:ascii="Arial" w:hAnsi="Arial" w:cs="Arial"/>
                <w:sz w:val="18"/>
                <w:szCs w:val="18"/>
              </w:rPr>
            </w:pPr>
            <w:r>
              <w:rPr>
                <w:rFonts w:ascii="Arial" w:hAnsi="Arial" w:cs="Arial"/>
                <w:sz w:val="18"/>
                <w:szCs w:val="18"/>
              </w:rPr>
              <w:t>5</w:t>
            </w:r>
          </w:p>
        </w:tc>
        <w:tc>
          <w:tcPr>
            <w:tcW w:w="626" w:type="pct"/>
            <w:noWrap/>
            <w:tcMar>
              <w:top w:w="12" w:type="dxa"/>
              <w:left w:w="12" w:type="dxa"/>
              <w:bottom w:w="0" w:type="dxa"/>
              <w:right w:w="12" w:type="dxa"/>
            </w:tcMar>
            <w:vAlign w:val="center"/>
          </w:tcPr>
          <w:p w:rsidR="00B37D8A" w:rsidRPr="008279FD" w:rsidRDefault="007E0B8C" w:rsidP="0085600D">
            <w:pPr>
              <w:spacing w:after="0" w:line="240" w:lineRule="auto"/>
              <w:jc w:val="center"/>
              <w:rPr>
                <w:rFonts w:ascii="Arial" w:hAnsi="Arial" w:cs="Arial"/>
                <w:sz w:val="18"/>
                <w:szCs w:val="18"/>
              </w:rPr>
            </w:pPr>
            <w:r>
              <w:rPr>
                <w:rFonts w:ascii="Arial" w:hAnsi="Arial" w:cs="Arial"/>
                <w:sz w:val="18"/>
                <w:szCs w:val="18"/>
              </w:rPr>
              <w:t>6</w:t>
            </w:r>
          </w:p>
        </w:tc>
      </w:tr>
      <w:tr w:rsidR="00B37D8A" w:rsidRPr="008279FD" w:rsidTr="0013448B">
        <w:trPr>
          <w:trHeight w:val="255"/>
          <w:jc w:val="center"/>
        </w:trPr>
        <w:tc>
          <w:tcPr>
            <w:tcW w:w="896" w:type="pct"/>
            <w:vMerge/>
          </w:tcPr>
          <w:p w:rsidR="00B37D8A" w:rsidRPr="008279FD" w:rsidRDefault="00B37D8A" w:rsidP="0085600D">
            <w:pPr>
              <w:spacing w:after="0" w:line="240" w:lineRule="auto"/>
              <w:jc w:val="center"/>
              <w:rPr>
                <w:rFonts w:ascii="Arial" w:hAnsi="Arial" w:cs="Arial"/>
                <w:sz w:val="18"/>
                <w:szCs w:val="18"/>
              </w:rPr>
            </w:pPr>
          </w:p>
        </w:tc>
        <w:tc>
          <w:tcPr>
            <w:tcW w:w="836" w:type="pct"/>
            <w:noWrap/>
            <w:tcMar>
              <w:top w:w="12" w:type="dxa"/>
              <w:left w:w="12" w:type="dxa"/>
              <w:bottom w:w="0" w:type="dxa"/>
              <w:right w:w="12" w:type="dxa"/>
            </w:tcMar>
            <w:vAlign w:val="center"/>
          </w:tcPr>
          <w:p w:rsidR="00B37D8A" w:rsidRPr="008279FD" w:rsidRDefault="00B37D8A" w:rsidP="0085600D">
            <w:pPr>
              <w:spacing w:after="0" w:line="240" w:lineRule="auto"/>
              <w:rPr>
                <w:rFonts w:ascii="Arial" w:hAnsi="Arial" w:cs="Arial"/>
                <w:sz w:val="18"/>
                <w:szCs w:val="18"/>
              </w:rPr>
            </w:pPr>
            <w:r w:rsidRPr="008279FD">
              <w:rPr>
                <w:rFonts w:ascii="Arial" w:hAnsi="Arial" w:cs="Arial"/>
                <w:sz w:val="18"/>
                <w:szCs w:val="18"/>
              </w:rPr>
              <w:t>Existentes</w:t>
            </w:r>
          </w:p>
        </w:tc>
        <w:tc>
          <w:tcPr>
            <w:tcW w:w="361" w:type="pct"/>
            <w:noWrap/>
            <w:tcMar>
              <w:top w:w="12" w:type="dxa"/>
              <w:left w:w="12" w:type="dxa"/>
              <w:bottom w:w="0" w:type="dxa"/>
              <w:right w:w="12" w:type="dxa"/>
            </w:tcMar>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5</w:t>
            </w:r>
          </w:p>
        </w:tc>
        <w:tc>
          <w:tcPr>
            <w:tcW w:w="298" w:type="pct"/>
            <w:noWrap/>
            <w:tcMar>
              <w:top w:w="12" w:type="dxa"/>
              <w:left w:w="12" w:type="dxa"/>
              <w:bottom w:w="0" w:type="dxa"/>
              <w:right w:w="12" w:type="dxa"/>
            </w:tcMar>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6</w:t>
            </w:r>
          </w:p>
        </w:tc>
        <w:tc>
          <w:tcPr>
            <w:tcW w:w="283" w:type="pct"/>
            <w:noWrap/>
            <w:tcMar>
              <w:top w:w="12" w:type="dxa"/>
              <w:left w:w="12" w:type="dxa"/>
              <w:bottom w:w="0" w:type="dxa"/>
              <w:right w:w="12" w:type="dxa"/>
            </w:tcMar>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7</w:t>
            </w:r>
          </w:p>
        </w:tc>
        <w:tc>
          <w:tcPr>
            <w:tcW w:w="283" w:type="pct"/>
            <w:noWrap/>
            <w:tcMar>
              <w:top w:w="12" w:type="dxa"/>
              <w:left w:w="12" w:type="dxa"/>
              <w:bottom w:w="0" w:type="dxa"/>
              <w:right w:w="12" w:type="dxa"/>
            </w:tcMar>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8</w:t>
            </w:r>
          </w:p>
        </w:tc>
        <w:tc>
          <w:tcPr>
            <w:tcW w:w="283" w:type="pct"/>
            <w:noWrap/>
            <w:tcMar>
              <w:top w:w="12" w:type="dxa"/>
              <w:left w:w="12" w:type="dxa"/>
              <w:bottom w:w="0" w:type="dxa"/>
              <w:right w:w="12" w:type="dxa"/>
            </w:tcMar>
            <w:vAlign w:val="center"/>
          </w:tcPr>
          <w:p w:rsidR="00B37D8A" w:rsidRPr="008279FD" w:rsidRDefault="007E0B8C" w:rsidP="0085600D">
            <w:pPr>
              <w:spacing w:after="0" w:line="240" w:lineRule="auto"/>
              <w:jc w:val="center"/>
              <w:rPr>
                <w:rFonts w:ascii="Arial" w:hAnsi="Arial" w:cs="Arial"/>
                <w:sz w:val="18"/>
                <w:szCs w:val="18"/>
              </w:rPr>
            </w:pPr>
            <w:r>
              <w:rPr>
                <w:rFonts w:ascii="Arial" w:hAnsi="Arial" w:cs="Arial"/>
                <w:sz w:val="18"/>
                <w:szCs w:val="18"/>
              </w:rPr>
              <w:t>10</w:t>
            </w:r>
          </w:p>
        </w:tc>
        <w:tc>
          <w:tcPr>
            <w:tcW w:w="283" w:type="pct"/>
            <w:noWrap/>
            <w:tcMar>
              <w:top w:w="12" w:type="dxa"/>
              <w:left w:w="12" w:type="dxa"/>
              <w:bottom w:w="0" w:type="dxa"/>
              <w:right w:w="12" w:type="dxa"/>
            </w:tcMar>
            <w:vAlign w:val="center"/>
          </w:tcPr>
          <w:p w:rsidR="00B37D8A" w:rsidRPr="008279FD" w:rsidRDefault="00B37D8A" w:rsidP="007E0B8C">
            <w:pPr>
              <w:spacing w:after="0" w:line="240" w:lineRule="auto"/>
              <w:jc w:val="center"/>
              <w:rPr>
                <w:rFonts w:ascii="Arial" w:hAnsi="Arial" w:cs="Arial"/>
                <w:sz w:val="18"/>
                <w:szCs w:val="18"/>
              </w:rPr>
            </w:pPr>
            <w:r w:rsidRPr="008279FD">
              <w:rPr>
                <w:rFonts w:ascii="Arial" w:hAnsi="Arial" w:cs="Arial"/>
                <w:sz w:val="18"/>
                <w:szCs w:val="18"/>
              </w:rPr>
              <w:t>1</w:t>
            </w:r>
            <w:r w:rsidR="007E0B8C">
              <w:rPr>
                <w:rFonts w:ascii="Arial" w:hAnsi="Arial" w:cs="Arial"/>
                <w:sz w:val="18"/>
                <w:szCs w:val="18"/>
              </w:rPr>
              <w:t>2</w:t>
            </w:r>
          </w:p>
        </w:tc>
        <w:tc>
          <w:tcPr>
            <w:tcW w:w="283" w:type="pct"/>
            <w:noWrap/>
            <w:tcMar>
              <w:top w:w="12" w:type="dxa"/>
              <w:left w:w="12" w:type="dxa"/>
              <w:bottom w:w="0" w:type="dxa"/>
              <w:right w:w="12" w:type="dxa"/>
            </w:tcMar>
            <w:vAlign w:val="center"/>
          </w:tcPr>
          <w:p w:rsidR="00B37D8A" w:rsidRPr="008279FD" w:rsidRDefault="00B37D8A" w:rsidP="007E0B8C">
            <w:pPr>
              <w:spacing w:after="0" w:line="240" w:lineRule="auto"/>
              <w:jc w:val="center"/>
              <w:rPr>
                <w:rFonts w:ascii="Arial" w:hAnsi="Arial" w:cs="Arial"/>
                <w:sz w:val="18"/>
                <w:szCs w:val="18"/>
              </w:rPr>
            </w:pPr>
            <w:r w:rsidRPr="008279FD">
              <w:rPr>
                <w:rFonts w:ascii="Arial" w:hAnsi="Arial" w:cs="Arial"/>
                <w:sz w:val="18"/>
                <w:szCs w:val="18"/>
              </w:rPr>
              <w:t>1</w:t>
            </w:r>
            <w:r w:rsidR="007E0B8C">
              <w:rPr>
                <w:rFonts w:ascii="Arial" w:hAnsi="Arial" w:cs="Arial"/>
                <w:sz w:val="18"/>
                <w:szCs w:val="18"/>
              </w:rPr>
              <w:t>4</w:t>
            </w:r>
          </w:p>
        </w:tc>
        <w:tc>
          <w:tcPr>
            <w:tcW w:w="283" w:type="pct"/>
            <w:noWrap/>
            <w:tcMar>
              <w:top w:w="12" w:type="dxa"/>
              <w:left w:w="12" w:type="dxa"/>
              <w:bottom w:w="0" w:type="dxa"/>
              <w:right w:w="12" w:type="dxa"/>
            </w:tcMar>
            <w:vAlign w:val="center"/>
          </w:tcPr>
          <w:p w:rsidR="00B37D8A" w:rsidRPr="008279FD" w:rsidRDefault="00B37D8A" w:rsidP="007E0B8C">
            <w:pPr>
              <w:spacing w:after="0" w:line="240" w:lineRule="auto"/>
              <w:jc w:val="center"/>
              <w:rPr>
                <w:rFonts w:ascii="Arial" w:hAnsi="Arial" w:cs="Arial"/>
                <w:sz w:val="18"/>
                <w:szCs w:val="18"/>
              </w:rPr>
            </w:pPr>
            <w:r w:rsidRPr="008279FD">
              <w:rPr>
                <w:rFonts w:ascii="Arial" w:hAnsi="Arial" w:cs="Arial"/>
                <w:sz w:val="18"/>
                <w:szCs w:val="18"/>
              </w:rPr>
              <w:t>1</w:t>
            </w:r>
            <w:r w:rsidR="007E0B8C">
              <w:rPr>
                <w:rFonts w:ascii="Arial" w:hAnsi="Arial" w:cs="Arial"/>
                <w:sz w:val="18"/>
                <w:szCs w:val="18"/>
              </w:rPr>
              <w:t>7</w:t>
            </w:r>
          </w:p>
        </w:tc>
        <w:tc>
          <w:tcPr>
            <w:tcW w:w="283" w:type="pct"/>
            <w:noWrap/>
            <w:tcMar>
              <w:top w:w="12" w:type="dxa"/>
              <w:left w:w="12" w:type="dxa"/>
              <w:bottom w:w="0" w:type="dxa"/>
              <w:right w:w="12" w:type="dxa"/>
            </w:tcMar>
            <w:vAlign w:val="center"/>
          </w:tcPr>
          <w:p w:rsidR="00B37D8A" w:rsidRPr="008279FD" w:rsidRDefault="007E0B8C" w:rsidP="0085600D">
            <w:pPr>
              <w:spacing w:after="0" w:line="240" w:lineRule="auto"/>
              <w:jc w:val="center"/>
              <w:rPr>
                <w:rFonts w:ascii="Arial" w:hAnsi="Arial" w:cs="Arial"/>
                <w:sz w:val="18"/>
                <w:szCs w:val="18"/>
              </w:rPr>
            </w:pPr>
            <w:r>
              <w:rPr>
                <w:rFonts w:ascii="Arial" w:hAnsi="Arial" w:cs="Arial"/>
                <w:sz w:val="18"/>
                <w:szCs w:val="18"/>
              </w:rPr>
              <w:t>20</w:t>
            </w:r>
          </w:p>
        </w:tc>
        <w:tc>
          <w:tcPr>
            <w:tcW w:w="626" w:type="pct"/>
            <w:noWrap/>
            <w:tcMar>
              <w:top w:w="12" w:type="dxa"/>
              <w:left w:w="12" w:type="dxa"/>
              <w:bottom w:w="0" w:type="dxa"/>
              <w:right w:w="12" w:type="dxa"/>
            </w:tcMar>
            <w:vAlign w:val="center"/>
          </w:tcPr>
          <w:p w:rsidR="00B37D8A" w:rsidRPr="008279FD" w:rsidRDefault="00B37D8A" w:rsidP="007E0B8C">
            <w:pPr>
              <w:spacing w:after="0" w:line="240" w:lineRule="auto"/>
              <w:jc w:val="center"/>
              <w:rPr>
                <w:rFonts w:ascii="Arial" w:hAnsi="Arial" w:cs="Arial"/>
                <w:sz w:val="18"/>
                <w:szCs w:val="18"/>
              </w:rPr>
            </w:pPr>
            <w:r w:rsidRPr="008279FD">
              <w:rPr>
                <w:rFonts w:ascii="Arial" w:hAnsi="Arial" w:cs="Arial"/>
                <w:sz w:val="18"/>
                <w:szCs w:val="18"/>
              </w:rPr>
              <w:t>2</w:t>
            </w:r>
            <w:r w:rsidR="007E0B8C">
              <w:rPr>
                <w:rFonts w:ascii="Arial" w:hAnsi="Arial" w:cs="Arial"/>
                <w:sz w:val="18"/>
                <w:szCs w:val="18"/>
              </w:rPr>
              <w:t>4</w:t>
            </w:r>
          </w:p>
        </w:tc>
      </w:tr>
      <w:tr w:rsidR="00B37D8A" w:rsidRPr="008279FD" w:rsidTr="0013448B">
        <w:trPr>
          <w:trHeight w:val="255"/>
          <w:jc w:val="center"/>
        </w:trPr>
        <w:tc>
          <w:tcPr>
            <w:tcW w:w="896" w:type="pct"/>
            <w:vMerge/>
          </w:tcPr>
          <w:p w:rsidR="00B37D8A" w:rsidRPr="008279FD" w:rsidRDefault="00B37D8A" w:rsidP="0085600D">
            <w:pPr>
              <w:spacing w:after="0" w:line="240" w:lineRule="auto"/>
              <w:jc w:val="center"/>
              <w:rPr>
                <w:rFonts w:ascii="Arial" w:hAnsi="Arial" w:cs="Arial"/>
                <w:sz w:val="18"/>
                <w:szCs w:val="18"/>
              </w:rPr>
            </w:pPr>
          </w:p>
        </w:tc>
        <w:tc>
          <w:tcPr>
            <w:tcW w:w="836" w:type="pct"/>
            <w:noWrap/>
            <w:tcMar>
              <w:top w:w="12" w:type="dxa"/>
              <w:left w:w="12" w:type="dxa"/>
              <w:bottom w:w="0" w:type="dxa"/>
              <w:right w:w="12" w:type="dxa"/>
            </w:tcMar>
            <w:vAlign w:val="center"/>
          </w:tcPr>
          <w:p w:rsidR="00B37D8A" w:rsidRPr="008279FD" w:rsidRDefault="00B37D8A" w:rsidP="00397B2B">
            <w:pPr>
              <w:spacing w:after="0" w:line="240" w:lineRule="auto"/>
              <w:rPr>
                <w:rFonts w:ascii="Arial" w:hAnsi="Arial" w:cs="Arial"/>
                <w:sz w:val="18"/>
                <w:szCs w:val="18"/>
              </w:rPr>
            </w:pPr>
            <w:r w:rsidRPr="008279FD">
              <w:rPr>
                <w:rFonts w:ascii="Arial" w:hAnsi="Arial" w:cs="Arial"/>
                <w:sz w:val="18"/>
                <w:szCs w:val="18"/>
              </w:rPr>
              <w:t>Total</w:t>
            </w:r>
          </w:p>
        </w:tc>
        <w:tc>
          <w:tcPr>
            <w:tcW w:w="361" w:type="pct"/>
            <w:noWrap/>
            <w:tcMar>
              <w:top w:w="12" w:type="dxa"/>
              <w:left w:w="12" w:type="dxa"/>
              <w:bottom w:w="0" w:type="dxa"/>
              <w:right w:w="12" w:type="dxa"/>
            </w:tcMar>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6</w:t>
            </w:r>
          </w:p>
        </w:tc>
        <w:tc>
          <w:tcPr>
            <w:tcW w:w="298" w:type="pct"/>
            <w:noWrap/>
            <w:tcMar>
              <w:top w:w="12" w:type="dxa"/>
              <w:left w:w="12" w:type="dxa"/>
              <w:bottom w:w="0" w:type="dxa"/>
              <w:right w:w="12" w:type="dxa"/>
            </w:tcMar>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7</w:t>
            </w:r>
          </w:p>
        </w:tc>
        <w:tc>
          <w:tcPr>
            <w:tcW w:w="283" w:type="pct"/>
            <w:noWrap/>
            <w:tcMar>
              <w:top w:w="12" w:type="dxa"/>
              <w:left w:w="12" w:type="dxa"/>
              <w:bottom w:w="0" w:type="dxa"/>
              <w:right w:w="12" w:type="dxa"/>
            </w:tcMar>
            <w:vAlign w:val="center"/>
          </w:tcPr>
          <w:p w:rsidR="00B37D8A" w:rsidRPr="008279FD" w:rsidRDefault="00146119" w:rsidP="0085600D">
            <w:pPr>
              <w:spacing w:after="0" w:line="240" w:lineRule="auto"/>
              <w:jc w:val="center"/>
              <w:rPr>
                <w:rFonts w:ascii="Arial" w:hAnsi="Arial" w:cs="Arial"/>
                <w:sz w:val="18"/>
                <w:szCs w:val="18"/>
              </w:rPr>
            </w:pPr>
            <w:r>
              <w:rPr>
                <w:rFonts w:ascii="Arial" w:hAnsi="Arial" w:cs="Arial"/>
                <w:sz w:val="18"/>
                <w:szCs w:val="18"/>
              </w:rPr>
              <w:t>8</w:t>
            </w:r>
          </w:p>
        </w:tc>
        <w:tc>
          <w:tcPr>
            <w:tcW w:w="283" w:type="pct"/>
            <w:noWrap/>
            <w:tcMar>
              <w:top w:w="12" w:type="dxa"/>
              <w:left w:w="12" w:type="dxa"/>
              <w:bottom w:w="0" w:type="dxa"/>
              <w:right w:w="12" w:type="dxa"/>
            </w:tcMar>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10</w:t>
            </w:r>
          </w:p>
        </w:tc>
        <w:tc>
          <w:tcPr>
            <w:tcW w:w="283" w:type="pct"/>
            <w:noWrap/>
            <w:tcMar>
              <w:top w:w="12" w:type="dxa"/>
              <w:left w:w="12" w:type="dxa"/>
              <w:bottom w:w="0" w:type="dxa"/>
              <w:right w:w="12" w:type="dxa"/>
            </w:tcMar>
            <w:vAlign w:val="center"/>
          </w:tcPr>
          <w:p w:rsidR="00B37D8A" w:rsidRPr="008279FD" w:rsidRDefault="00B37D8A" w:rsidP="00146119">
            <w:pPr>
              <w:spacing w:after="0" w:line="240" w:lineRule="auto"/>
              <w:jc w:val="center"/>
              <w:rPr>
                <w:rFonts w:ascii="Arial" w:hAnsi="Arial" w:cs="Arial"/>
                <w:sz w:val="18"/>
                <w:szCs w:val="18"/>
              </w:rPr>
            </w:pPr>
            <w:r w:rsidRPr="008279FD">
              <w:rPr>
                <w:rFonts w:ascii="Arial" w:hAnsi="Arial" w:cs="Arial"/>
                <w:sz w:val="18"/>
                <w:szCs w:val="18"/>
              </w:rPr>
              <w:t>1</w:t>
            </w:r>
            <w:r w:rsidR="00146119">
              <w:rPr>
                <w:rFonts w:ascii="Arial" w:hAnsi="Arial" w:cs="Arial"/>
                <w:sz w:val="18"/>
                <w:szCs w:val="18"/>
              </w:rPr>
              <w:t>2</w:t>
            </w:r>
          </w:p>
        </w:tc>
        <w:tc>
          <w:tcPr>
            <w:tcW w:w="283" w:type="pct"/>
            <w:noWrap/>
            <w:tcMar>
              <w:top w:w="12" w:type="dxa"/>
              <w:left w:w="12" w:type="dxa"/>
              <w:bottom w:w="0" w:type="dxa"/>
              <w:right w:w="12" w:type="dxa"/>
            </w:tcMar>
            <w:vAlign w:val="center"/>
          </w:tcPr>
          <w:p w:rsidR="00B37D8A" w:rsidRPr="008279FD" w:rsidRDefault="00B37D8A" w:rsidP="00146119">
            <w:pPr>
              <w:spacing w:after="0" w:line="240" w:lineRule="auto"/>
              <w:jc w:val="center"/>
              <w:rPr>
                <w:rFonts w:ascii="Arial" w:hAnsi="Arial" w:cs="Arial"/>
                <w:sz w:val="18"/>
                <w:szCs w:val="18"/>
              </w:rPr>
            </w:pPr>
            <w:r w:rsidRPr="008279FD">
              <w:rPr>
                <w:rFonts w:ascii="Arial" w:hAnsi="Arial" w:cs="Arial"/>
                <w:sz w:val="18"/>
                <w:szCs w:val="18"/>
              </w:rPr>
              <w:t>1</w:t>
            </w:r>
            <w:r w:rsidR="00146119">
              <w:rPr>
                <w:rFonts w:ascii="Arial" w:hAnsi="Arial" w:cs="Arial"/>
                <w:sz w:val="18"/>
                <w:szCs w:val="18"/>
              </w:rPr>
              <w:t>5</w:t>
            </w:r>
          </w:p>
        </w:tc>
        <w:tc>
          <w:tcPr>
            <w:tcW w:w="283" w:type="pct"/>
            <w:noWrap/>
            <w:tcMar>
              <w:top w:w="12" w:type="dxa"/>
              <w:left w:w="12" w:type="dxa"/>
              <w:bottom w:w="0" w:type="dxa"/>
              <w:right w:w="12" w:type="dxa"/>
            </w:tcMar>
            <w:vAlign w:val="center"/>
          </w:tcPr>
          <w:p w:rsidR="00B37D8A" w:rsidRPr="008279FD" w:rsidRDefault="007E0B8C" w:rsidP="00146119">
            <w:pPr>
              <w:spacing w:after="0" w:line="240" w:lineRule="auto"/>
              <w:jc w:val="center"/>
              <w:rPr>
                <w:rFonts w:ascii="Arial" w:hAnsi="Arial" w:cs="Arial"/>
                <w:sz w:val="18"/>
                <w:szCs w:val="18"/>
              </w:rPr>
            </w:pPr>
            <w:r>
              <w:rPr>
                <w:rFonts w:ascii="Arial" w:hAnsi="Arial" w:cs="Arial"/>
                <w:sz w:val="18"/>
                <w:szCs w:val="18"/>
              </w:rPr>
              <w:t>1</w:t>
            </w:r>
            <w:r w:rsidR="00146119">
              <w:rPr>
                <w:rFonts w:ascii="Arial" w:hAnsi="Arial" w:cs="Arial"/>
                <w:sz w:val="18"/>
                <w:szCs w:val="18"/>
              </w:rPr>
              <w:t>7</w:t>
            </w:r>
          </w:p>
        </w:tc>
        <w:tc>
          <w:tcPr>
            <w:tcW w:w="283" w:type="pct"/>
            <w:noWrap/>
            <w:tcMar>
              <w:top w:w="12" w:type="dxa"/>
              <w:left w:w="12" w:type="dxa"/>
              <w:bottom w:w="0" w:type="dxa"/>
              <w:right w:w="12" w:type="dxa"/>
            </w:tcMar>
            <w:vAlign w:val="center"/>
          </w:tcPr>
          <w:p w:rsidR="00B37D8A" w:rsidRPr="008279FD" w:rsidRDefault="007E0B8C" w:rsidP="00146119">
            <w:pPr>
              <w:spacing w:after="0" w:line="240" w:lineRule="auto"/>
              <w:jc w:val="center"/>
              <w:rPr>
                <w:rFonts w:ascii="Arial" w:hAnsi="Arial" w:cs="Arial"/>
                <w:sz w:val="18"/>
                <w:szCs w:val="18"/>
              </w:rPr>
            </w:pPr>
            <w:r>
              <w:rPr>
                <w:rFonts w:ascii="Arial" w:hAnsi="Arial" w:cs="Arial"/>
                <w:sz w:val="18"/>
                <w:szCs w:val="18"/>
              </w:rPr>
              <w:t>2</w:t>
            </w:r>
            <w:r w:rsidR="00146119">
              <w:rPr>
                <w:rFonts w:ascii="Arial" w:hAnsi="Arial" w:cs="Arial"/>
                <w:sz w:val="18"/>
                <w:szCs w:val="18"/>
              </w:rPr>
              <w:t>1</w:t>
            </w:r>
          </w:p>
        </w:tc>
        <w:tc>
          <w:tcPr>
            <w:tcW w:w="283" w:type="pct"/>
            <w:noWrap/>
            <w:tcMar>
              <w:top w:w="12" w:type="dxa"/>
              <w:left w:w="12" w:type="dxa"/>
              <w:bottom w:w="0" w:type="dxa"/>
              <w:right w:w="12" w:type="dxa"/>
            </w:tcMar>
            <w:vAlign w:val="center"/>
          </w:tcPr>
          <w:p w:rsidR="00B37D8A" w:rsidRPr="008279FD" w:rsidRDefault="007E0B8C" w:rsidP="00146119">
            <w:pPr>
              <w:spacing w:after="0" w:line="240" w:lineRule="auto"/>
              <w:jc w:val="center"/>
              <w:rPr>
                <w:rFonts w:ascii="Arial" w:hAnsi="Arial" w:cs="Arial"/>
                <w:sz w:val="18"/>
                <w:szCs w:val="18"/>
              </w:rPr>
            </w:pPr>
            <w:r>
              <w:rPr>
                <w:rFonts w:ascii="Arial" w:hAnsi="Arial" w:cs="Arial"/>
                <w:sz w:val="18"/>
                <w:szCs w:val="18"/>
              </w:rPr>
              <w:t>2</w:t>
            </w:r>
            <w:r w:rsidR="00146119">
              <w:rPr>
                <w:rFonts w:ascii="Arial" w:hAnsi="Arial" w:cs="Arial"/>
                <w:sz w:val="18"/>
                <w:szCs w:val="18"/>
              </w:rPr>
              <w:t>5</w:t>
            </w:r>
          </w:p>
        </w:tc>
        <w:tc>
          <w:tcPr>
            <w:tcW w:w="626" w:type="pct"/>
            <w:noWrap/>
            <w:tcMar>
              <w:top w:w="12" w:type="dxa"/>
              <w:left w:w="12" w:type="dxa"/>
              <w:bottom w:w="0" w:type="dxa"/>
              <w:right w:w="12" w:type="dxa"/>
            </w:tcMar>
            <w:vAlign w:val="center"/>
          </w:tcPr>
          <w:p w:rsidR="00B37D8A" w:rsidRPr="008279FD" w:rsidRDefault="007E0B8C" w:rsidP="0085600D">
            <w:pPr>
              <w:spacing w:after="0" w:line="240" w:lineRule="auto"/>
              <w:jc w:val="center"/>
              <w:rPr>
                <w:rFonts w:ascii="Arial" w:hAnsi="Arial" w:cs="Arial"/>
                <w:sz w:val="18"/>
                <w:szCs w:val="18"/>
              </w:rPr>
            </w:pPr>
            <w:r>
              <w:rPr>
                <w:rFonts w:ascii="Arial" w:hAnsi="Arial" w:cs="Arial"/>
                <w:sz w:val="18"/>
                <w:szCs w:val="18"/>
              </w:rPr>
              <w:t>30</w:t>
            </w:r>
          </w:p>
        </w:tc>
      </w:tr>
    </w:tbl>
    <w:p w:rsidR="00B37D8A" w:rsidRPr="006D15CF" w:rsidRDefault="00B37D8A" w:rsidP="00AE7EFC">
      <w:pPr>
        <w:spacing w:after="120"/>
        <w:jc w:val="both"/>
        <w:rPr>
          <w:rFonts w:ascii="Times New Roman" w:hAnsi="Times New Roman"/>
          <w:sz w:val="20"/>
          <w:szCs w:val="20"/>
        </w:rPr>
      </w:pPr>
      <w:r>
        <w:rPr>
          <w:rFonts w:ascii="Times New Roman" w:hAnsi="Times New Roman"/>
          <w:sz w:val="20"/>
          <w:szCs w:val="20"/>
        </w:rPr>
        <w:t xml:space="preserve">                      </w:t>
      </w:r>
      <w:r w:rsidRPr="006D15CF">
        <w:rPr>
          <w:rFonts w:ascii="Times New Roman" w:hAnsi="Times New Roman"/>
          <w:sz w:val="20"/>
          <w:szCs w:val="20"/>
        </w:rPr>
        <w:t>Nota: los valores son acumulativos.</w:t>
      </w:r>
    </w:p>
    <w:p w:rsidR="001560C1" w:rsidRDefault="001560C1" w:rsidP="00AE7EFC">
      <w:pPr>
        <w:spacing w:before="240"/>
        <w:jc w:val="both"/>
        <w:rPr>
          <w:rFonts w:ascii="Times New Roman" w:hAnsi="Times New Roman"/>
          <w:sz w:val="24"/>
        </w:rPr>
      </w:pPr>
      <w:r>
        <w:rPr>
          <w:rFonts w:ascii="Times New Roman" w:hAnsi="Times New Roman"/>
          <w:sz w:val="24"/>
        </w:rPr>
        <w:t>i</w:t>
      </w:r>
      <w:r w:rsidRPr="00A41208">
        <w:rPr>
          <w:rFonts w:ascii="Times New Roman" w:hAnsi="Times New Roman"/>
          <w:sz w:val="24"/>
        </w:rPr>
        <w:t xml:space="preserve">i) </w:t>
      </w:r>
      <w:r>
        <w:rPr>
          <w:rFonts w:ascii="Times New Roman" w:hAnsi="Times New Roman"/>
          <w:sz w:val="24"/>
        </w:rPr>
        <w:t>Incremento en ventas de las empresas</w:t>
      </w:r>
    </w:p>
    <w:p w:rsidR="00B37D8A" w:rsidRDefault="00B37D8A" w:rsidP="00AE7EFC">
      <w:pPr>
        <w:spacing w:before="240"/>
        <w:jc w:val="both"/>
        <w:rPr>
          <w:rFonts w:ascii="Times New Roman" w:hAnsi="Times New Roman"/>
          <w:sz w:val="24"/>
        </w:rPr>
      </w:pPr>
      <w:r>
        <w:rPr>
          <w:rFonts w:ascii="Times New Roman" w:hAnsi="Times New Roman"/>
          <w:sz w:val="24"/>
        </w:rPr>
        <w:lastRenderedPageBreak/>
        <w:t>En relación a los beneficios indirectos provenientes del crecimiento en ventas de los proyectos que se radicarán en el Polo, el análisis se realiza para dos casos posibles de instalación de empresas</w:t>
      </w:r>
      <w:r w:rsidR="001560C1">
        <w:rPr>
          <w:rFonts w:ascii="Times New Roman" w:hAnsi="Times New Roman"/>
          <w:sz w:val="24"/>
        </w:rPr>
        <w:t>:</w:t>
      </w:r>
      <w:r>
        <w:rPr>
          <w:rFonts w:ascii="Times New Roman" w:hAnsi="Times New Roman"/>
          <w:sz w:val="24"/>
        </w:rPr>
        <w:t xml:space="preserve"> </w:t>
      </w:r>
      <w:r w:rsidRPr="006D15CF">
        <w:rPr>
          <w:rFonts w:ascii="Times New Roman" w:hAnsi="Times New Roman"/>
          <w:sz w:val="24"/>
        </w:rPr>
        <w:t xml:space="preserve">(i) </w:t>
      </w:r>
      <w:r w:rsidR="001560C1">
        <w:rPr>
          <w:rFonts w:ascii="Times New Roman" w:hAnsi="Times New Roman"/>
          <w:sz w:val="24"/>
        </w:rPr>
        <w:t xml:space="preserve">el </w:t>
      </w:r>
      <w:r w:rsidRPr="006D15CF">
        <w:rPr>
          <w:rFonts w:ascii="Times New Roman" w:hAnsi="Times New Roman"/>
          <w:sz w:val="24"/>
        </w:rPr>
        <w:t>traslado al Polo de empresas ya existentes</w:t>
      </w:r>
      <w:r w:rsidR="001560C1">
        <w:rPr>
          <w:rFonts w:ascii="Times New Roman" w:hAnsi="Times New Roman"/>
          <w:sz w:val="24"/>
        </w:rPr>
        <w:t xml:space="preserve"> –empresas tipo (1)-</w:t>
      </w:r>
      <w:r w:rsidRPr="006D15CF">
        <w:rPr>
          <w:rFonts w:ascii="Times New Roman" w:hAnsi="Times New Roman"/>
          <w:sz w:val="24"/>
        </w:rPr>
        <w:t xml:space="preserve">; y (ii) </w:t>
      </w:r>
      <w:r w:rsidR="00015822">
        <w:rPr>
          <w:rFonts w:ascii="Times New Roman" w:hAnsi="Times New Roman"/>
          <w:sz w:val="24"/>
        </w:rPr>
        <w:t xml:space="preserve">la </w:t>
      </w:r>
      <w:r w:rsidRPr="006D15CF">
        <w:rPr>
          <w:rFonts w:ascii="Times New Roman" w:hAnsi="Times New Roman"/>
          <w:sz w:val="24"/>
        </w:rPr>
        <w:t>creación de nuevas empresas</w:t>
      </w:r>
      <w:r w:rsidR="001560C1">
        <w:rPr>
          <w:rFonts w:ascii="Times New Roman" w:hAnsi="Times New Roman"/>
          <w:sz w:val="24"/>
        </w:rPr>
        <w:t xml:space="preserve"> –empresas tipo (2)-</w:t>
      </w:r>
      <w:r w:rsidRPr="006D15CF">
        <w:rPr>
          <w:rFonts w:ascii="Times New Roman" w:hAnsi="Times New Roman"/>
          <w:sz w:val="24"/>
        </w:rPr>
        <w:t xml:space="preserve">. </w:t>
      </w:r>
      <w:r w:rsidR="00402FD6" w:rsidRPr="006D15CF">
        <w:rPr>
          <w:rFonts w:ascii="Times New Roman" w:hAnsi="Times New Roman"/>
          <w:sz w:val="24"/>
        </w:rPr>
        <w:t>Se supone que del total de empresas que se instalarán en el Polo</w:t>
      </w:r>
      <w:r w:rsidR="00402FD6">
        <w:rPr>
          <w:rFonts w:ascii="Times New Roman" w:hAnsi="Times New Roman"/>
          <w:sz w:val="24"/>
        </w:rPr>
        <w:t xml:space="preserve"> (</w:t>
      </w:r>
      <w:r w:rsidR="000B2856">
        <w:rPr>
          <w:rFonts w:ascii="Times New Roman" w:hAnsi="Times New Roman"/>
          <w:sz w:val="24"/>
        </w:rPr>
        <w:t>30</w:t>
      </w:r>
      <w:r w:rsidR="00402FD6">
        <w:rPr>
          <w:rFonts w:ascii="Times New Roman" w:hAnsi="Times New Roman"/>
          <w:sz w:val="24"/>
        </w:rPr>
        <w:t>)</w:t>
      </w:r>
      <w:r w:rsidR="00402FD6" w:rsidRPr="006D15CF">
        <w:rPr>
          <w:rFonts w:ascii="Times New Roman" w:hAnsi="Times New Roman"/>
          <w:sz w:val="24"/>
        </w:rPr>
        <w:t xml:space="preserve">, un </w:t>
      </w:r>
      <w:r w:rsidR="00402FD6">
        <w:rPr>
          <w:rFonts w:ascii="Times New Roman" w:hAnsi="Times New Roman"/>
          <w:sz w:val="24"/>
        </w:rPr>
        <w:t xml:space="preserve">80% corresponde a empresas ya existentes y el 20% restante a nuevas empresas. </w:t>
      </w:r>
      <w:r w:rsidR="00131C4B">
        <w:rPr>
          <w:rFonts w:ascii="Times New Roman" w:hAnsi="Times New Roman"/>
          <w:sz w:val="24"/>
        </w:rPr>
        <w:t>Para las empresas tipo (1)</w:t>
      </w:r>
      <w:r w:rsidR="00402FD6">
        <w:rPr>
          <w:rFonts w:ascii="Times New Roman" w:hAnsi="Times New Roman"/>
          <w:sz w:val="24"/>
        </w:rPr>
        <w:t xml:space="preserve"> los beneficios por crecimiento en las ventas </w:t>
      </w:r>
      <w:r w:rsidR="00131C4B" w:rsidRPr="006D15CF">
        <w:rPr>
          <w:rFonts w:ascii="Times New Roman" w:hAnsi="Times New Roman"/>
          <w:sz w:val="24"/>
        </w:rPr>
        <w:t>atribuibles al Polo</w:t>
      </w:r>
      <w:r w:rsidR="00131C4B">
        <w:rPr>
          <w:rFonts w:ascii="Times New Roman" w:hAnsi="Times New Roman"/>
          <w:sz w:val="24"/>
        </w:rPr>
        <w:t xml:space="preserve"> corresponden a los</w:t>
      </w:r>
      <w:r w:rsidRPr="006D15CF">
        <w:rPr>
          <w:rFonts w:ascii="Times New Roman" w:hAnsi="Times New Roman"/>
          <w:sz w:val="24"/>
        </w:rPr>
        <w:t xml:space="preserve"> incrementos marginales en las ventas, mientras que en el </w:t>
      </w:r>
      <w:r w:rsidR="00131C4B">
        <w:rPr>
          <w:rFonts w:ascii="Times New Roman" w:hAnsi="Times New Roman"/>
          <w:sz w:val="24"/>
        </w:rPr>
        <w:t>caso de las empresas tipo</w:t>
      </w:r>
      <w:r w:rsidR="00402FD6">
        <w:rPr>
          <w:rFonts w:ascii="Times New Roman" w:hAnsi="Times New Roman"/>
          <w:sz w:val="24"/>
        </w:rPr>
        <w:t xml:space="preserve"> (2)</w:t>
      </w:r>
      <w:r w:rsidRPr="006D15CF">
        <w:rPr>
          <w:rFonts w:ascii="Times New Roman" w:hAnsi="Times New Roman"/>
          <w:sz w:val="24"/>
        </w:rPr>
        <w:t xml:space="preserve">, se toman como beneficios las ventas totales de las nuevas firmas. Como ya se señaló, se considera un ingreso progresivo de las empresas en el Polo de Conocimiento hasta el año 10, momento a partir del cual la totalidad de las firmas se ha instalado en el predio. </w:t>
      </w:r>
    </w:p>
    <w:p w:rsidR="00131C4B" w:rsidRDefault="00B37D8A" w:rsidP="00131C4B">
      <w:pPr>
        <w:spacing w:before="240"/>
        <w:jc w:val="both"/>
        <w:rPr>
          <w:rFonts w:ascii="Times New Roman" w:hAnsi="Times New Roman"/>
          <w:sz w:val="24"/>
        </w:rPr>
      </w:pPr>
      <w:r>
        <w:rPr>
          <w:rFonts w:ascii="Times New Roman" w:hAnsi="Times New Roman"/>
          <w:sz w:val="24"/>
        </w:rPr>
        <w:t>Según el IDITS</w:t>
      </w:r>
      <w:r w:rsidR="00397B2B">
        <w:rPr>
          <w:rFonts w:ascii="Times New Roman" w:hAnsi="Times New Roman"/>
          <w:sz w:val="24"/>
        </w:rPr>
        <w:t xml:space="preserve"> (2010 y 2006)</w:t>
      </w:r>
      <w:r>
        <w:rPr>
          <w:rFonts w:ascii="Times New Roman" w:hAnsi="Times New Roman"/>
          <w:sz w:val="24"/>
        </w:rPr>
        <w:t xml:space="preserve">, en la provincia de Mendoza el sector TICs factura anualmente alrededor de ARS </w:t>
      </w:r>
      <w:r w:rsidRPr="00D12E4E">
        <w:rPr>
          <w:rFonts w:ascii="Times New Roman" w:hAnsi="Times New Roman"/>
          <w:sz w:val="24"/>
        </w:rPr>
        <w:t>1</w:t>
      </w:r>
      <w:r>
        <w:rPr>
          <w:rFonts w:ascii="Times New Roman" w:hAnsi="Times New Roman"/>
          <w:sz w:val="24"/>
        </w:rPr>
        <w:t>.</w:t>
      </w:r>
      <w:r w:rsidRPr="00D12E4E">
        <w:rPr>
          <w:rFonts w:ascii="Times New Roman" w:hAnsi="Times New Roman"/>
          <w:sz w:val="24"/>
        </w:rPr>
        <w:t>300</w:t>
      </w:r>
      <w:r>
        <w:rPr>
          <w:rFonts w:ascii="Times New Roman" w:hAnsi="Times New Roman"/>
          <w:sz w:val="24"/>
        </w:rPr>
        <w:t xml:space="preserve"> millones, </w:t>
      </w:r>
      <w:r w:rsidR="00131C4B">
        <w:rPr>
          <w:rFonts w:ascii="Times New Roman" w:hAnsi="Times New Roman"/>
          <w:sz w:val="24"/>
        </w:rPr>
        <w:t>y está conformado por alrededor</w:t>
      </w:r>
      <w:r>
        <w:rPr>
          <w:rFonts w:ascii="Times New Roman" w:hAnsi="Times New Roman"/>
          <w:sz w:val="24"/>
        </w:rPr>
        <w:t xml:space="preserve"> </w:t>
      </w:r>
      <w:r w:rsidR="00131C4B">
        <w:rPr>
          <w:rFonts w:ascii="Times New Roman" w:hAnsi="Times New Roman"/>
          <w:sz w:val="24"/>
        </w:rPr>
        <w:t>de</w:t>
      </w:r>
      <w:r>
        <w:rPr>
          <w:rFonts w:ascii="Times New Roman" w:hAnsi="Times New Roman"/>
          <w:sz w:val="24"/>
        </w:rPr>
        <w:t xml:space="preserve"> 258 firmas. Dicha información permite estimar una facturación anual por empresa TIC en Mendoza de ARS </w:t>
      </w:r>
      <w:r w:rsidRPr="00D12E4E">
        <w:rPr>
          <w:rFonts w:ascii="Times New Roman" w:hAnsi="Times New Roman"/>
          <w:sz w:val="24"/>
        </w:rPr>
        <w:t>5</w:t>
      </w:r>
      <w:r>
        <w:rPr>
          <w:rFonts w:ascii="Times New Roman" w:hAnsi="Times New Roman"/>
          <w:sz w:val="24"/>
        </w:rPr>
        <w:t>.</w:t>
      </w:r>
      <w:r w:rsidRPr="00D12E4E">
        <w:rPr>
          <w:rFonts w:ascii="Times New Roman" w:hAnsi="Times New Roman"/>
          <w:sz w:val="24"/>
        </w:rPr>
        <w:t>038</w:t>
      </w:r>
      <w:r>
        <w:rPr>
          <w:rFonts w:ascii="Times New Roman" w:hAnsi="Times New Roman"/>
          <w:sz w:val="24"/>
        </w:rPr>
        <w:t>.</w:t>
      </w:r>
      <w:r w:rsidRPr="00D12E4E">
        <w:rPr>
          <w:rFonts w:ascii="Times New Roman" w:hAnsi="Times New Roman"/>
          <w:sz w:val="24"/>
        </w:rPr>
        <w:t>760</w:t>
      </w:r>
      <w:r>
        <w:rPr>
          <w:rFonts w:ascii="Times New Roman" w:hAnsi="Times New Roman"/>
          <w:sz w:val="24"/>
        </w:rPr>
        <w:t xml:space="preserve">. </w:t>
      </w:r>
    </w:p>
    <w:p w:rsidR="00131C4B" w:rsidRDefault="00131C4B" w:rsidP="00131C4B">
      <w:pPr>
        <w:spacing w:before="240"/>
        <w:jc w:val="both"/>
        <w:rPr>
          <w:rFonts w:ascii="Times New Roman" w:hAnsi="Times New Roman"/>
          <w:sz w:val="24"/>
        </w:rPr>
      </w:pPr>
      <w:r>
        <w:rPr>
          <w:rFonts w:ascii="Times New Roman" w:hAnsi="Times New Roman"/>
          <w:sz w:val="24"/>
        </w:rPr>
        <w:t xml:space="preserve">Para el caso de las firmas existentes, si partimos de la facturación </w:t>
      </w:r>
      <w:r w:rsidR="0077378F">
        <w:rPr>
          <w:rFonts w:ascii="Times New Roman" w:hAnsi="Times New Roman"/>
          <w:sz w:val="24"/>
        </w:rPr>
        <w:t>promedio de las empresas del sector en Mendoza (ARS 5.038.760) y suponemos</w:t>
      </w:r>
      <w:r>
        <w:rPr>
          <w:rFonts w:ascii="Times New Roman" w:hAnsi="Times New Roman"/>
          <w:sz w:val="24"/>
        </w:rPr>
        <w:t xml:space="preserve"> un incremento en su facturación anual como resultado de su instalación en el Polo del 5%, </w:t>
      </w:r>
      <w:r w:rsidR="0077378F">
        <w:rPr>
          <w:rFonts w:ascii="Times New Roman" w:hAnsi="Times New Roman"/>
          <w:sz w:val="24"/>
        </w:rPr>
        <w:t>esto supone</w:t>
      </w:r>
      <w:r>
        <w:rPr>
          <w:rFonts w:ascii="Times New Roman" w:hAnsi="Times New Roman"/>
          <w:sz w:val="24"/>
        </w:rPr>
        <w:t xml:space="preserve"> ingresos anuales marginales por firma existente de ARS </w:t>
      </w:r>
      <w:r w:rsidRPr="007E0B8C">
        <w:rPr>
          <w:rFonts w:ascii="Times New Roman" w:hAnsi="Times New Roman"/>
          <w:sz w:val="24"/>
        </w:rPr>
        <w:t>125</w:t>
      </w:r>
      <w:r>
        <w:rPr>
          <w:rFonts w:ascii="Times New Roman" w:hAnsi="Times New Roman"/>
          <w:sz w:val="24"/>
        </w:rPr>
        <w:t>.</w:t>
      </w:r>
      <w:r w:rsidRPr="007E0B8C">
        <w:rPr>
          <w:rFonts w:ascii="Times New Roman" w:hAnsi="Times New Roman"/>
          <w:sz w:val="24"/>
        </w:rPr>
        <w:t>969</w:t>
      </w:r>
      <w:r>
        <w:rPr>
          <w:rFonts w:ascii="Times New Roman" w:hAnsi="Times New Roman"/>
          <w:sz w:val="24"/>
        </w:rPr>
        <w:t xml:space="preserve">. En total, considerando las 24 firmas que se trasladarán al polo, luego, </w:t>
      </w:r>
      <w:r w:rsidR="0077378F">
        <w:rPr>
          <w:rFonts w:ascii="Times New Roman" w:hAnsi="Times New Roman"/>
          <w:sz w:val="24"/>
        </w:rPr>
        <w:t xml:space="preserve">los beneficios totales </w:t>
      </w:r>
      <w:r>
        <w:rPr>
          <w:rFonts w:ascii="Times New Roman" w:hAnsi="Times New Roman"/>
          <w:sz w:val="24"/>
        </w:rPr>
        <w:t xml:space="preserve">por este concepto </w:t>
      </w:r>
      <w:r w:rsidR="0077378F">
        <w:rPr>
          <w:rFonts w:ascii="Times New Roman" w:hAnsi="Times New Roman"/>
          <w:sz w:val="24"/>
        </w:rPr>
        <w:t>comenzarían</w:t>
      </w:r>
      <w:r>
        <w:rPr>
          <w:rFonts w:ascii="Times New Roman" w:hAnsi="Times New Roman"/>
          <w:sz w:val="24"/>
        </w:rPr>
        <w:t xml:space="preserve"> en ARS </w:t>
      </w:r>
      <w:r w:rsidRPr="000B2856">
        <w:rPr>
          <w:rFonts w:ascii="Times New Roman" w:hAnsi="Times New Roman"/>
          <w:sz w:val="24"/>
        </w:rPr>
        <w:t>629</w:t>
      </w:r>
      <w:r>
        <w:rPr>
          <w:rFonts w:ascii="Times New Roman" w:hAnsi="Times New Roman"/>
          <w:sz w:val="24"/>
        </w:rPr>
        <w:t>.</w:t>
      </w:r>
      <w:r w:rsidRPr="000B2856">
        <w:rPr>
          <w:rFonts w:ascii="Times New Roman" w:hAnsi="Times New Roman"/>
          <w:sz w:val="24"/>
        </w:rPr>
        <w:t>845</w:t>
      </w:r>
      <w:r>
        <w:rPr>
          <w:rFonts w:ascii="Times New Roman" w:hAnsi="Times New Roman"/>
          <w:sz w:val="24"/>
        </w:rPr>
        <w:t xml:space="preserve"> en el segundo año y culminan</w:t>
      </w:r>
      <w:r w:rsidR="0077378F">
        <w:rPr>
          <w:rFonts w:ascii="Times New Roman" w:hAnsi="Times New Roman"/>
          <w:sz w:val="24"/>
        </w:rPr>
        <w:t xml:space="preserve">rían </w:t>
      </w:r>
      <w:r>
        <w:rPr>
          <w:rFonts w:ascii="Times New Roman" w:hAnsi="Times New Roman"/>
          <w:sz w:val="24"/>
        </w:rPr>
        <w:t xml:space="preserve">en ARS </w:t>
      </w:r>
      <w:r w:rsidRPr="000B2856">
        <w:rPr>
          <w:rFonts w:ascii="Times New Roman" w:hAnsi="Times New Roman"/>
          <w:sz w:val="24"/>
        </w:rPr>
        <w:t>3</w:t>
      </w:r>
      <w:r>
        <w:rPr>
          <w:rFonts w:ascii="Times New Roman" w:hAnsi="Times New Roman"/>
          <w:sz w:val="24"/>
        </w:rPr>
        <w:t>.</w:t>
      </w:r>
      <w:r w:rsidRPr="000B2856">
        <w:rPr>
          <w:rFonts w:ascii="Times New Roman" w:hAnsi="Times New Roman"/>
          <w:sz w:val="24"/>
        </w:rPr>
        <w:t>023</w:t>
      </w:r>
      <w:r>
        <w:rPr>
          <w:rFonts w:ascii="Times New Roman" w:hAnsi="Times New Roman"/>
          <w:sz w:val="24"/>
        </w:rPr>
        <w:t>.</w:t>
      </w:r>
      <w:r w:rsidRPr="000B2856">
        <w:rPr>
          <w:rFonts w:ascii="Times New Roman" w:hAnsi="Times New Roman"/>
          <w:sz w:val="24"/>
        </w:rPr>
        <w:t>256</w:t>
      </w:r>
      <w:r>
        <w:rPr>
          <w:rFonts w:ascii="Times New Roman" w:hAnsi="Times New Roman"/>
          <w:sz w:val="24"/>
        </w:rPr>
        <w:t xml:space="preserve"> en el último.</w:t>
      </w:r>
    </w:p>
    <w:p w:rsidR="00B37D8A" w:rsidRDefault="00131C4B" w:rsidP="00131C4B">
      <w:pPr>
        <w:spacing w:before="240"/>
        <w:jc w:val="both"/>
        <w:rPr>
          <w:rFonts w:ascii="Times New Roman" w:hAnsi="Times New Roman"/>
          <w:sz w:val="24"/>
        </w:rPr>
      </w:pPr>
      <w:r>
        <w:rPr>
          <w:rFonts w:ascii="Times New Roman" w:hAnsi="Times New Roman"/>
          <w:sz w:val="24"/>
        </w:rPr>
        <w:t>P</w:t>
      </w:r>
      <w:r w:rsidR="00B37D8A">
        <w:rPr>
          <w:rFonts w:ascii="Times New Roman" w:hAnsi="Times New Roman"/>
          <w:sz w:val="24"/>
        </w:rPr>
        <w:t xml:space="preserve">ara el caso de las nuevas firmas </w:t>
      </w:r>
      <w:r>
        <w:rPr>
          <w:rFonts w:ascii="Times New Roman" w:hAnsi="Times New Roman"/>
          <w:sz w:val="24"/>
        </w:rPr>
        <w:t xml:space="preserve">si partimos de una facturación base de ARS 150000 y suponemos luego que en 20 años llegan a facturar el 25% de lo que factura la empresa promedio, ARS </w:t>
      </w:r>
      <w:r w:rsidRPr="00ED4D1E">
        <w:rPr>
          <w:rFonts w:ascii="Times New Roman" w:hAnsi="Times New Roman"/>
          <w:sz w:val="24"/>
        </w:rPr>
        <w:t>1</w:t>
      </w:r>
      <w:r>
        <w:rPr>
          <w:rFonts w:ascii="Times New Roman" w:hAnsi="Times New Roman"/>
          <w:sz w:val="24"/>
        </w:rPr>
        <w:t>.</w:t>
      </w:r>
      <w:r w:rsidRPr="00ED4D1E">
        <w:rPr>
          <w:rFonts w:ascii="Times New Roman" w:hAnsi="Times New Roman"/>
          <w:sz w:val="24"/>
        </w:rPr>
        <w:t>126</w:t>
      </w:r>
      <w:r>
        <w:rPr>
          <w:rFonts w:ascii="Times New Roman" w:hAnsi="Times New Roman"/>
          <w:sz w:val="24"/>
        </w:rPr>
        <w:t>.</w:t>
      </w:r>
      <w:r w:rsidRPr="00ED4D1E">
        <w:rPr>
          <w:rFonts w:ascii="Times New Roman" w:hAnsi="Times New Roman"/>
          <w:sz w:val="24"/>
        </w:rPr>
        <w:t>219</w:t>
      </w:r>
      <w:r>
        <w:rPr>
          <w:rFonts w:ascii="Times New Roman" w:hAnsi="Times New Roman"/>
          <w:sz w:val="24"/>
        </w:rPr>
        <w:t xml:space="preserve">, esto requeriría un </w:t>
      </w:r>
      <w:r w:rsidR="00AA2F7A">
        <w:rPr>
          <w:rFonts w:ascii="Times New Roman" w:hAnsi="Times New Roman"/>
          <w:sz w:val="24"/>
        </w:rPr>
        <w:t>increment</w:t>
      </w:r>
      <w:r>
        <w:rPr>
          <w:rFonts w:ascii="Times New Roman" w:hAnsi="Times New Roman"/>
          <w:sz w:val="24"/>
        </w:rPr>
        <w:t>o en</w:t>
      </w:r>
      <w:r w:rsidR="00AA2F7A">
        <w:rPr>
          <w:rFonts w:ascii="Times New Roman" w:hAnsi="Times New Roman"/>
          <w:sz w:val="24"/>
        </w:rPr>
        <w:t xml:space="preserve"> sus ventas anuales </w:t>
      </w:r>
      <w:r>
        <w:rPr>
          <w:rFonts w:ascii="Times New Roman" w:hAnsi="Times New Roman"/>
          <w:sz w:val="24"/>
        </w:rPr>
        <w:t>de</w:t>
      </w:r>
      <w:r w:rsidR="00AA2F7A">
        <w:rPr>
          <w:rFonts w:ascii="Times New Roman" w:hAnsi="Times New Roman"/>
          <w:sz w:val="24"/>
        </w:rPr>
        <w:t xml:space="preserve"> 1</w:t>
      </w:r>
      <w:r w:rsidR="00ED4D1E">
        <w:rPr>
          <w:rFonts w:ascii="Times New Roman" w:hAnsi="Times New Roman"/>
          <w:sz w:val="24"/>
        </w:rPr>
        <w:t>1,9</w:t>
      </w:r>
      <w:r w:rsidR="00AA2F7A">
        <w:rPr>
          <w:rFonts w:ascii="Times New Roman" w:hAnsi="Times New Roman"/>
          <w:sz w:val="24"/>
        </w:rPr>
        <w:t>%</w:t>
      </w:r>
      <w:r w:rsidR="00B37D8A" w:rsidRPr="002B17EA">
        <w:rPr>
          <w:rStyle w:val="FootnoteReference"/>
          <w:rFonts w:ascii="Times New Roman" w:hAnsi="Times New Roman"/>
          <w:sz w:val="24"/>
          <w:vertAlign w:val="superscript"/>
        </w:rPr>
        <w:footnoteReference w:id="29"/>
      </w:r>
      <w:r>
        <w:rPr>
          <w:rFonts w:ascii="Times New Roman" w:hAnsi="Times New Roman"/>
          <w:sz w:val="24"/>
        </w:rPr>
        <w:t xml:space="preserve">. </w:t>
      </w:r>
      <w:r w:rsidR="00B37D8A">
        <w:rPr>
          <w:rFonts w:ascii="Times New Roman" w:hAnsi="Times New Roman"/>
          <w:sz w:val="24"/>
        </w:rPr>
        <w:t xml:space="preserve"> E</w:t>
      </w:r>
      <w:r w:rsidR="001A6BE2">
        <w:rPr>
          <w:rFonts w:ascii="Times New Roman" w:hAnsi="Times New Roman"/>
          <w:sz w:val="24"/>
        </w:rPr>
        <w:t xml:space="preserve">n </w:t>
      </w:r>
      <w:r>
        <w:rPr>
          <w:rFonts w:ascii="Times New Roman" w:hAnsi="Times New Roman"/>
          <w:sz w:val="24"/>
        </w:rPr>
        <w:t xml:space="preserve">asociación con estas empresas en </w:t>
      </w:r>
      <w:r w:rsidR="00701D0A">
        <w:rPr>
          <w:rFonts w:ascii="Times New Roman" w:hAnsi="Times New Roman"/>
          <w:sz w:val="24"/>
        </w:rPr>
        <w:t>consecuencia</w:t>
      </w:r>
      <w:r>
        <w:rPr>
          <w:rFonts w:ascii="Times New Roman" w:hAnsi="Times New Roman"/>
          <w:sz w:val="24"/>
        </w:rPr>
        <w:t xml:space="preserve"> estimamos </w:t>
      </w:r>
      <w:r w:rsidR="00B37D8A">
        <w:rPr>
          <w:rFonts w:ascii="Times New Roman" w:hAnsi="Times New Roman"/>
          <w:sz w:val="24"/>
        </w:rPr>
        <w:t>beneficios totales para el Polo que van desde ARS 1</w:t>
      </w:r>
      <w:r w:rsidR="001A6BE2">
        <w:rPr>
          <w:rFonts w:ascii="Times New Roman" w:hAnsi="Times New Roman"/>
          <w:sz w:val="24"/>
        </w:rPr>
        <w:t>5</w:t>
      </w:r>
      <w:r w:rsidR="00B37D8A">
        <w:rPr>
          <w:rFonts w:ascii="Times New Roman" w:hAnsi="Times New Roman"/>
          <w:sz w:val="24"/>
        </w:rPr>
        <w:t xml:space="preserve">0.000 hasta ARS </w:t>
      </w:r>
      <w:r w:rsidR="000B2856" w:rsidRPr="000B2856">
        <w:rPr>
          <w:rFonts w:ascii="Times New Roman" w:hAnsi="Times New Roman"/>
          <w:sz w:val="24"/>
        </w:rPr>
        <w:t>6</w:t>
      </w:r>
      <w:r w:rsidR="000B2856">
        <w:rPr>
          <w:rFonts w:ascii="Times New Roman" w:hAnsi="Times New Roman"/>
          <w:sz w:val="24"/>
        </w:rPr>
        <w:t>.</w:t>
      </w:r>
      <w:r w:rsidR="000B2856" w:rsidRPr="000B2856">
        <w:rPr>
          <w:rFonts w:ascii="Times New Roman" w:hAnsi="Times New Roman"/>
          <w:sz w:val="24"/>
        </w:rPr>
        <w:t>757</w:t>
      </w:r>
      <w:r w:rsidR="000B2856">
        <w:rPr>
          <w:rFonts w:ascii="Times New Roman" w:hAnsi="Times New Roman"/>
          <w:sz w:val="24"/>
        </w:rPr>
        <w:t>.</w:t>
      </w:r>
      <w:r w:rsidR="000B2856" w:rsidRPr="000B2856">
        <w:rPr>
          <w:rFonts w:ascii="Times New Roman" w:hAnsi="Times New Roman"/>
          <w:sz w:val="24"/>
        </w:rPr>
        <w:t>316</w:t>
      </w:r>
      <w:r>
        <w:rPr>
          <w:rFonts w:ascii="Times New Roman" w:hAnsi="Times New Roman"/>
          <w:sz w:val="24"/>
        </w:rPr>
        <w:t>.</w:t>
      </w:r>
    </w:p>
    <w:p w:rsidR="00B37D8A" w:rsidRPr="0077378F" w:rsidRDefault="00B37D8A" w:rsidP="00AE7EFC">
      <w:pPr>
        <w:spacing w:before="240"/>
        <w:jc w:val="both"/>
        <w:rPr>
          <w:rFonts w:ascii="Times New Roman" w:hAnsi="Times New Roman"/>
          <w:b/>
          <w:i/>
          <w:sz w:val="24"/>
        </w:rPr>
      </w:pPr>
      <w:r w:rsidRPr="0077378F">
        <w:rPr>
          <w:rFonts w:ascii="Times New Roman" w:hAnsi="Times New Roman"/>
          <w:b/>
          <w:i/>
          <w:sz w:val="24"/>
        </w:rPr>
        <w:t>B. COSTOS</w:t>
      </w:r>
    </w:p>
    <w:p w:rsidR="00B37D8A" w:rsidRPr="00BD41E6" w:rsidRDefault="0077378F" w:rsidP="00AE7EFC">
      <w:pPr>
        <w:spacing w:before="240"/>
        <w:jc w:val="both"/>
        <w:rPr>
          <w:rFonts w:ascii="Times New Roman" w:hAnsi="Times New Roman"/>
          <w:sz w:val="24"/>
        </w:rPr>
      </w:pPr>
      <w:r>
        <w:rPr>
          <w:rFonts w:ascii="Times New Roman" w:hAnsi="Times New Roman"/>
          <w:sz w:val="24"/>
        </w:rPr>
        <w:t>L</w:t>
      </w:r>
      <w:r w:rsidR="00B37D8A">
        <w:rPr>
          <w:rFonts w:ascii="Times New Roman" w:hAnsi="Times New Roman"/>
          <w:sz w:val="24"/>
        </w:rPr>
        <w:t xml:space="preserve">a construcción del polo requiere una inversión de </w:t>
      </w:r>
      <w:r w:rsidR="00B37D8A" w:rsidRPr="00BD41E6">
        <w:rPr>
          <w:rFonts w:ascii="Times New Roman" w:hAnsi="Times New Roman"/>
          <w:sz w:val="24"/>
        </w:rPr>
        <w:t xml:space="preserve">ARS </w:t>
      </w:r>
      <w:r w:rsidR="00B37D8A">
        <w:rPr>
          <w:rFonts w:ascii="Times New Roman" w:hAnsi="Times New Roman"/>
          <w:sz w:val="24"/>
        </w:rPr>
        <w:t>19</w:t>
      </w:r>
      <w:r w:rsidR="00B37D8A" w:rsidRPr="00BD41E6">
        <w:rPr>
          <w:rFonts w:ascii="Times New Roman" w:hAnsi="Times New Roman"/>
          <w:sz w:val="24"/>
        </w:rPr>
        <w:t>.</w:t>
      </w:r>
      <w:r w:rsidR="00B37D8A">
        <w:rPr>
          <w:rFonts w:ascii="Times New Roman" w:hAnsi="Times New Roman"/>
          <w:sz w:val="24"/>
        </w:rPr>
        <w:t>125</w:t>
      </w:r>
      <w:r w:rsidR="00B37D8A" w:rsidRPr="00BD41E6">
        <w:rPr>
          <w:rFonts w:ascii="Times New Roman" w:hAnsi="Times New Roman"/>
          <w:sz w:val="24"/>
        </w:rPr>
        <w:t>.</w:t>
      </w:r>
      <w:r w:rsidR="00B37D8A">
        <w:rPr>
          <w:rFonts w:ascii="Times New Roman" w:hAnsi="Times New Roman"/>
          <w:sz w:val="24"/>
        </w:rPr>
        <w:t>000</w:t>
      </w:r>
      <w:r w:rsidR="00B37D8A" w:rsidRPr="00BD41E6">
        <w:rPr>
          <w:rFonts w:ascii="Times New Roman" w:hAnsi="Times New Roman"/>
          <w:sz w:val="24"/>
        </w:rPr>
        <w:t xml:space="preserve"> los cuales se desagregan de la siguiente manera:</w:t>
      </w:r>
    </w:p>
    <w:tbl>
      <w:tblPr>
        <w:tblW w:w="6633"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00"/>
        <w:gridCol w:w="3933"/>
        <w:gridCol w:w="1200"/>
      </w:tblGrid>
      <w:tr w:rsidR="00B37D8A" w:rsidRPr="008279FD" w:rsidTr="0085600D">
        <w:trPr>
          <w:trHeight w:val="196"/>
          <w:jc w:val="center"/>
        </w:trPr>
        <w:tc>
          <w:tcPr>
            <w:tcW w:w="1500" w:type="dxa"/>
            <w:shd w:val="clear" w:color="auto" w:fill="D9D9D9"/>
            <w:noWrap/>
            <w:tcMar>
              <w:top w:w="12" w:type="dxa"/>
              <w:left w:w="12" w:type="dxa"/>
              <w:bottom w:w="0" w:type="dxa"/>
              <w:right w:w="12" w:type="dxa"/>
            </w:tcMar>
            <w:vAlign w:val="bottom"/>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Rubro</w:t>
            </w:r>
          </w:p>
        </w:tc>
        <w:tc>
          <w:tcPr>
            <w:tcW w:w="3933" w:type="dxa"/>
            <w:shd w:val="clear" w:color="auto" w:fill="D9D9D9"/>
            <w:noWrap/>
            <w:tcMar>
              <w:top w:w="12" w:type="dxa"/>
              <w:left w:w="12" w:type="dxa"/>
              <w:bottom w:w="0" w:type="dxa"/>
              <w:right w:w="12" w:type="dxa"/>
            </w:tcMar>
            <w:vAlign w:val="bottom"/>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Actividad</w:t>
            </w:r>
          </w:p>
        </w:tc>
        <w:tc>
          <w:tcPr>
            <w:tcW w:w="1200" w:type="dxa"/>
            <w:shd w:val="clear" w:color="auto" w:fill="D9D9D9"/>
            <w:noWrap/>
            <w:tcMar>
              <w:top w:w="12" w:type="dxa"/>
              <w:left w:w="12" w:type="dxa"/>
              <w:bottom w:w="0" w:type="dxa"/>
              <w:right w:w="12" w:type="dxa"/>
            </w:tcMar>
            <w:vAlign w:val="bottom"/>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Costo</w:t>
            </w:r>
          </w:p>
        </w:tc>
      </w:tr>
      <w:tr w:rsidR="00B37D8A" w:rsidRPr="008279FD" w:rsidTr="0085600D">
        <w:trPr>
          <w:trHeight w:val="44"/>
          <w:jc w:val="center"/>
        </w:trPr>
        <w:tc>
          <w:tcPr>
            <w:tcW w:w="1500" w:type="dxa"/>
            <w:vMerge w:val="restart"/>
            <w:noWrap/>
            <w:tcMar>
              <w:top w:w="12" w:type="dxa"/>
              <w:left w:w="12" w:type="dxa"/>
              <w:bottom w:w="0" w:type="dxa"/>
              <w:right w:w="12" w:type="dxa"/>
            </w:tcMar>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Infraestructura básica</w:t>
            </w:r>
          </w:p>
        </w:tc>
        <w:tc>
          <w:tcPr>
            <w:tcW w:w="3933" w:type="dxa"/>
            <w:noWrap/>
            <w:tcMar>
              <w:top w:w="12" w:type="dxa"/>
              <w:left w:w="12" w:type="dxa"/>
              <w:bottom w:w="0" w:type="dxa"/>
              <w:right w:w="12" w:type="dxa"/>
            </w:tcMar>
            <w:vAlign w:val="bottom"/>
          </w:tcPr>
          <w:p w:rsidR="00B37D8A" w:rsidRPr="008279FD" w:rsidRDefault="00B37D8A" w:rsidP="0085600D">
            <w:pPr>
              <w:spacing w:after="0" w:line="240" w:lineRule="auto"/>
              <w:rPr>
                <w:rFonts w:ascii="Arial" w:hAnsi="Arial" w:cs="Arial"/>
                <w:sz w:val="18"/>
                <w:szCs w:val="18"/>
              </w:rPr>
            </w:pPr>
            <w:r w:rsidRPr="008279FD">
              <w:rPr>
                <w:rFonts w:ascii="Arial" w:hAnsi="Arial" w:cs="Arial"/>
                <w:sz w:val="18"/>
                <w:szCs w:val="18"/>
              </w:rPr>
              <w:t>Trabajos preliminares y perimetrales</w:t>
            </w:r>
          </w:p>
        </w:tc>
        <w:tc>
          <w:tcPr>
            <w:tcW w:w="0" w:type="auto"/>
            <w:noWrap/>
            <w:tcMar>
              <w:top w:w="12" w:type="dxa"/>
              <w:left w:w="12" w:type="dxa"/>
              <w:bottom w:w="0" w:type="dxa"/>
              <w:right w:w="12" w:type="dxa"/>
            </w:tcMar>
            <w:vAlign w:val="bottom"/>
          </w:tcPr>
          <w:p w:rsidR="00B37D8A" w:rsidRPr="008279FD" w:rsidRDefault="00B37D8A" w:rsidP="0085600D">
            <w:pPr>
              <w:spacing w:after="0" w:line="240" w:lineRule="auto"/>
              <w:jc w:val="right"/>
              <w:rPr>
                <w:rFonts w:ascii="Arial" w:hAnsi="Arial" w:cs="Arial"/>
                <w:sz w:val="18"/>
                <w:szCs w:val="18"/>
              </w:rPr>
            </w:pPr>
            <w:r w:rsidRPr="008279FD">
              <w:rPr>
                <w:rFonts w:ascii="Arial" w:hAnsi="Arial" w:cs="Arial"/>
                <w:sz w:val="18"/>
                <w:szCs w:val="18"/>
              </w:rPr>
              <w:t xml:space="preserve">2.234.426 </w:t>
            </w:r>
          </w:p>
        </w:tc>
      </w:tr>
      <w:tr w:rsidR="00B37D8A" w:rsidRPr="008279FD" w:rsidTr="0085600D">
        <w:trPr>
          <w:trHeight w:val="44"/>
          <w:jc w:val="center"/>
        </w:trPr>
        <w:tc>
          <w:tcPr>
            <w:tcW w:w="1500" w:type="dxa"/>
            <w:vMerge/>
            <w:vAlign w:val="center"/>
          </w:tcPr>
          <w:p w:rsidR="00B37D8A" w:rsidRPr="008279FD" w:rsidRDefault="00B37D8A" w:rsidP="0085600D">
            <w:pPr>
              <w:spacing w:after="0" w:line="240" w:lineRule="auto"/>
              <w:rPr>
                <w:rFonts w:ascii="Arial" w:hAnsi="Arial" w:cs="Arial"/>
                <w:sz w:val="18"/>
                <w:szCs w:val="18"/>
              </w:rPr>
            </w:pPr>
          </w:p>
        </w:tc>
        <w:tc>
          <w:tcPr>
            <w:tcW w:w="3933" w:type="dxa"/>
            <w:noWrap/>
            <w:tcMar>
              <w:top w:w="12" w:type="dxa"/>
              <w:left w:w="12" w:type="dxa"/>
              <w:bottom w:w="0" w:type="dxa"/>
              <w:right w:w="12" w:type="dxa"/>
            </w:tcMar>
            <w:vAlign w:val="center"/>
          </w:tcPr>
          <w:p w:rsidR="00B37D8A" w:rsidRPr="008279FD" w:rsidRDefault="00B37D8A" w:rsidP="0085600D">
            <w:pPr>
              <w:spacing w:after="0" w:line="240" w:lineRule="auto"/>
              <w:rPr>
                <w:rFonts w:ascii="Arial" w:hAnsi="Arial" w:cs="Arial"/>
                <w:sz w:val="18"/>
                <w:szCs w:val="18"/>
              </w:rPr>
            </w:pPr>
            <w:r w:rsidRPr="008279FD">
              <w:rPr>
                <w:rFonts w:ascii="Arial" w:hAnsi="Arial" w:cs="Arial"/>
                <w:sz w:val="18"/>
                <w:szCs w:val="18"/>
              </w:rPr>
              <w:t>Movimiento de suelos</w:t>
            </w:r>
          </w:p>
        </w:tc>
        <w:tc>
          <w:tcPr>
            <w:tcW w:w="0" w:type="auto"/>
            <w:noWrap/>
            <w:tcMar>
              <w:top w:w="12" w:type="dxa"/>
              <w:left w:w="12" w:type="dxa"/>
              <w:bottom w:w="0" w:type="dxa"/>
              <w:right w:w="12" w:type="dxa"/>
            </w:tcMar>
            <w:vAlign w:val="center"/>
          </w:tcPr>
          <w:p w:rsidR="00B37D8A" w:rsidRPr="008279FD" w:rsidRDefault="00B37D8A" w:rsidP="0085600D">
            <w:pPr>
              <w:spacing w:after="0" w:line="240" w:lineRule="auto"/>
              <w:jc w:val="right"/>
              <w:rPr>
                <w:rFonts w:ascii="Arial" w:hAnsi="Arial" w:cs="Arial"/>
                <w:sz w:val="18"/>
                <w:szCs w:val="18"/>
              </w:rPr>
            </w:pPr>
            <w:r w:rsidRPr="008279FD">
              <w:rPr>
                <w:rFonts w:ascii="Arial" w:hAnsi="Arial" w:cs="Arial"/>
                <w:sz w:val="18"/>
                <w:szCs w:val="18"/>
              </w:rPr>
              <w:t xml:space="preserve">998.931 </w:t>
            </w:r>
          </w:p>
        </w:tc>
      </w:tr>
      <w:tr w:rsidR="00B37D8A" w:rsidRPr="008279FD" w:rsidTr="0085600D">
        <w:trPr>
          <w:trHeight w:val="78"/>
          <w:jc w:val="center"/>
        </w:trPr>
        <w:tc>
          <w:tcPr>
            <w:tcW w:w="1500" w:type="dxa"/>
            <w:vMerge/>
            <w:vAlign w:val="center"/>
          </w:tcPr>
          <w:p w:rsidR="00B37D8A" w:rsidRPr="008279FD" w:rsidRDefault="00B37D8A" w:rsidP="0085600D">
            <w:pPr>
              <w:spacing w:after="0" w:line="240" w:lineRule="auto"/>
              <w:rPr>
                <w:rFonts w:ascii="Arial" w:hAnsi="Arial" w:cs="Arial"/>
                <w:sz w:val="18"/>
                <w:szCs w:val="18"/>
              </w:rPr>
            </w:pPr>
          </w:p>
        </w:tc>
        <w:tc>
          <w:tcPr>
            <w:tcW w:w="3933" w:type="dxa"/>
            <w:noWrap/>
            <w:tcMar>
              <w:top w:w="12" w:type="dxa"/>
              <w:left w:w="12" w:type="dxa"/>
              <w:bottom w:w="0" w:type="dxa"/>
              <w:right w:w="12" w:type="dxa"/>
            </w:tcMar>
            <w:vAlign w:val="center"/>
          </w:tcPr>
          <w:p w:rsidR="00B37D8A" w:rsidRPr="008279FD" w:rsidRDefault="00B37D8A" w:rsidP="0085600D">
            <w:pPr>
              <w:spacing w:after="0" w:line="240" w:lineRule="auto"/>
              <w:rPr>
                <w:rFonts w:ascii="Arial" w:hAnsi="Arial" w:cs="Arial"/>
                <w:sz w:val="18"/>
                <w:szCs w:val="18"/>
              </w:rPr>
            </w:pPr>
            <w:r w:rsidRPr="008279FD">
              <w:rPr>
                <w:rFonts w:ascii="Arial" w:hAnsi="Arial" w:cs="Arial"/>
                <w:sz w:val="18"/>
                <w:szCs w:val="18"/>
              </w:rPr>
              <w:t>Cierre olímpico</w:t>
            </w:r>
          </w:p>
        </w:tc>
        <w:tc>
          <w:tcPr>
            <w:tcW w:w="0" w:type="auto"/>
            <w:noWrap/>
            <w:tcMar>
              <w:top w:w="12" w:type="dxa"/>
              <w:left w:w="12" w:type="dxa"/>
              <w:bottom w:w="0" w:type="dxa"/>
              <w:right w:w="12" w:type="dxa"/>
            </w:tcMar>
            <w:vAlign w:val="center"/>
          </w:tcPr>
          <w:p w:rsidR="00B37D8A" w:rsidRPr="008279FD" w:rsidRDefault="00B37D8A" w:rsidP="0085600D">
            <w:pPr>
              <w:spacing w:after="0" w:line="240" w:lineRule="auto"/>
              <w:jc w:val="right"/>
              <w:rPr>
                <w:rFonts w:ascii="Arial" w:hAnsi="Arial" w:cs="Arial"/>
                <w:color w:val="000000"/>
                <w:sz w:val="18"/>
                <w:szCs w:val="18"/>
              </w:rPr>
            </w:pPr>
            <w:r w:rsidRPr="008279FD">
              <w:rPr>
                <w:rFonts w:ascii="Arial" w:hAnsi="Arial" w:cs="Arial"/>
                <w:color w:val="000000"/>
                <w:sz w:val="18"/>
                <w:szCs w:val="18"/>
              </w:rPr>
              <w:t xml:space="preserve">364.023 </w:t>
            </w:r>
          </w:p>
        </w:tc>
      </w:tr>
      <w:tr w:rsidR="00B37D8A" w:rsidRPr="008279FD" w:rsidTr="0085600D">
        <w:trPr>
          <w:trHeight w:val="44"/>
          <w:jc w:val="center"/>
        </w:trPr>
        <w:tc>
          <w:tcPr>
            <w:tcW w:w="1500" w:type="dxa"/>
            <w:vMerge/>
            <w:vAlign w:val="center"/>
          </w:tcPr>
          <w:p w:rsidR="00B37D8A" w:rsidRPr="008279FD" w:rsidRDefault="00B37D8A" w:rsidP="0085600D">
            <w:pPr>
              <w:spacing w:after="0" w:line="240" w:lineRule="auto"/>
              <w:rPr>
                <w:rFonts w:ascii="Arial" w:hAnsi="Arial" w:cs="Arial"/>
                <w:sz w:val="18"/>
                <w:szCs w:val="18"/>
              </w:rPr>
            </w:pPr>
          </w:p>
        </w:tc>
        <w:tc>
          <w:tcPr>
            <w:tcW w:w="3933" w:type="dxa"/>
            <w:noWrap/>
            <w:tcMar>
              <w:top w:w="12" w:type="dxa"/>
              <w:left w:w="12" w:type="dxa"/>
              <w:bottom w:w="0" w:type="dxa"/>
              <w:right w:w="12" w:type="dxa"/>
            </w:tcMar>
            <w:vAlign w:val="center"/>
          </w:tcPr>
          <w:p w:rsidR="00B37D8A" w:rsidRPr="008279FD" w:rsidRDefault="00B37D8A" w:rsidP="0085600D">
            <w:pPr>
              <w:spacing w:after="0" w:line="240" w:lineRule="auto"/>
              <w:rPr>
                <w:rFonts w:ascii="Arial" w:hAnsi="Arial" w:cs="Arial"/>
                <w:sz w:val="18"/>
                <w:szCs w:val="18"/>
              </w:rPr>
            </w:pPr>
            <w:r w:rsidRPr="008279FD">
              <w:rPr>
                <w:rFonts w:ascii="Arial" w:hAnsi="Arial" w:cs="Arial"/>
                <w:sz w:val="18"/>
                <w:szCs w:val="18"/>
              </w:rPr>
              <w:t>Parquización</w:t>
            </w:r>
          </w:p>
        </w:tc>
        <w:tc>
          <w:tcPr>
            <w:tcW w:w="0" w:type="auto"/>
            <w:noWrap/>
            <w:tcMar>
              <w:top w:w="12" w:type="dxa"/>
              <w:left w:w="12" w:type="dxa"/>
              <w:bottom w:w="0" w:type="dxa"/>
              <w:right w:w="12" w:type="dxa"/>
            </w:tcMar>
            <w:vAlign w:val="bottom"/>
          </w:tcPr>
          <w:p w:rsidR="00B37D8A" w:rsidRPr="008279FD" w:rsidRDefault="00B37D8A" w:rsidP="0085600D">
            <w:pPr>
              <w:spacing w:after="0" w:line="240" w:lineRule="auto"/>
              <w:jc w:val="right"/>
              <w:rPr>
                <w:rFonts w:ascii="Arial" w:hAnsi="Arial" w:cs="Arial"/>
                <w:sz w:val="18"/>
                <w:szCs w:val="18"/>
              </w:rPr>
            </w:pPr>
            <w:r w:rsidRPr="008279FD">
              <w:rPr>
                <w:rFonts w:ascii="Arial" w:hAnsi="Arial" w:cs="Arial"/>
                <w:sz w:val="18"/>
                <w:szCs w:val="18"/>
              </w:rPr>
              <w:t xml:space="preserve">308.710 </w:t>
            </w:r>
          </w:p>
        </w:tc>
      </w:tr>
      <w:tr w:rsidR="00B37D8A" w:rsidRPr="008279FD" w:rsidTr="0085600D">
        <w:trPr>
          <w:trHeight w:val="44"/>
          <w:jc w:val="center"/>
        </w:trPr>
        <w:tc>
          <w:tcPr>
            <w:tcW w:w="1500" w:type="dxa"/>
            <w:vMerge w:val="restart"/>
            <w:noWrap/>
            <w:tcMar>
              <w:top w:w="12" w:type="dxa"/>
              <w:left w:w="12" w:type="dxa"/>
              <w:bottom w:w="0" w:type="dxa"/>
              <w:right w:w="12" w:type="dxa"/>
            </w:tcMar>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lastRenderedPageBreak/>
              <w:t xml:space="preserve">Provisión </w:t>
            </w:r>
          </w:p>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de servicios</w:t>
            </w:r>
          </w:p>
        </w:tc>
        <w:tc>
          <w:tcPr>
            <w:tcW w:w="3933" w:type="dxa"/>
            <w:noWrap/>
            <w:tcMar>
              <w:top w:w="12" w:type="dxa"/>
              <w:left w:w="12" w:type="dxa"/>
              <w:bottom w:w="0" w:type="dxa"/>
              <w:right w:w="12" w:type="dxa"/>
            </w:tcMar>
            <w:vAlign w:val="center"/>
          </w:tcPr>
          <w:p w:rsidR="00B37D8A" w:rsidRPr="008279FD" w:rsidRDefault="00B37D8A" w:rsidP="0085600D">
            <w:pPr>
              <w:spacing w:after="0" w:line="240" w:lineRule="auto"/>
              <w:rPr>
                <w:rFonts w:ascii="Arial" w:hAnsi="Arial" w:cs="Arial"/>
                <w:sz w:val="18"/>
                <w:szCs w:val="18"/>
              </w:rPr>
            </w:pPr>
            <w:r w:rsidRPr="008279FD">
              <w:rPr>
                <w:rFonts w:ascii="Arial" w:hAnsi="Arial" w:cs="Arial"/>
                <w:sz w:val="18"/>
                <w:szCs w:val="18"/>
              </w:rPr>
              <w:t>Ingresos</w:t>
            </w:r>
          </w:p>
        </w:tc>
        <w:tc>
          <w:tcPr>
            <w:tcW w:w="0" w:type="auto"/>
            <w:noWrap/>
            <w:tcMar>
              <w:top w:w="12" w:type="dxa"/>
              <w:left w:w="12" w:type="dxa"/>
              <w:bottom w:w="0" w:type="dxa"/>
              <w:right w:w="12" w:type="dxa"/>
            </w:tcMar>
            <w:vAlign w:val="center"/>
          </w:tcPr>
          <w:p w:rsidR="00B37D8A" w:rsidRPr="008279FD" w:rsidRDefault="00B37D8A" w:rsidP="0085600D">
            <w:pPr>
              <w:spacing w:after="0" w:line="240" w:lineRule="auto"/>
              <w:jc w:val="right"/>
              <w:rPr>
                <w:rFonts w:ascii="Arial" w:hAnsi="Arial" w:cs="Arial"/>
                <w:sz w:val="18"/>
                <w:szCs w:val="18"/>
              </w:rPr>
            </w:pPr>
            <w:r w:rsidRPr="008279FD">
              <w:rPr>
                <w:rFonts w:ascii="Arial" w:hAnsi="Arial" w:cs="Arial"/>
                <w:sz w:val="18"/>
                <w:szCs w:val="18"/>
              </w:rPr>
              <w:t xml:space="preserve">442.579 </w:t>
            </w:r>
          </w:p>
        </w:tc>
      </w:tr>
      <w:tr w:rsidR="00B37D8A" w:rsidRPr="008279FD" w:rsidTr="0085600D">
        <w:trPr>
          <w:trHeight w:val="44"/>
          <w:jc w:val="center"/>
        </w:trPr>
        <w:tc>
          <w:tcPr>
            <w:tcW w:w="1500" w:type="dxa"/>
            <w:vMerge/>
            <w:vAlign w:val="center"/>
          </w:tcPr>
          <w:p w:rsidR="00B37D8A" w:rsidRPr="008279FD" w:rsidRDefault="00B37D8A" w:rsidP="0085600D">
            <w:pPr>
              <w:spacing w:after="0" w:line="240" w:lineRule="auto"/>
              <w:rPr>
                <w:rFonts w:ascii="Arial" w:hAnsi="Arial" w:cs="Arial"/>
                <w:sz w:val="18"/>
                <w:szCs w:val="18"/>
              </w:rPr>
            </w:pPr>
          </w:p>
        </w:tc>
        <w:tc>
          <w:tcPr>
            <w:tcW w:w="3933" w:type="dxa"/>
            <w:noWrap/>
            <w:tcMar>
              <w:top w:w="12" w:type="dxa"/>
              <w:left w:w="12" w:type="dxa"/>
              <w:bottom w:w="0" w:type="dxa"/>
              <w:right w:w="12" w:type="dxa"/>
            </w:tcMar>
            <w:vAlign w:val="center"/>
          </w:tcPr>
          <w:p w:rsidR="00B37D8A" w:rsidRPr="008279FD" w:rsidRDefault="00B37D8A" w:rsidP="0085600D">
            <w:pPr>
              <w:spacing w:after="0" w:line="240" w:lineRule="auto"/>
              <w:rPr>
                <w:rFonts w:ascii="Arial" w:hAnsi="Arial" w:cs="Arial"/>
                <w:sz w:val="18"/>
                <w:szCs w:val="18"/>
              </w:rPr>
            </w:pPr>
            <w:r w:rsidRPr="008279FD">
              <w:rPr>
                <w:rFonts w:ascii="Arial" w:hAnsi="Arial" w:cs="Arial"/>
                <w:sz w:val="18"/>
                <w:szCs w:val="18"/>
              </w:rPr>
              <w:t>Calles internas</w:t>
            </w:r>
          </w:p>
        </w:tc>
        <w:tc>
          <w:tcPr>
            <w:tcW w:w="0" w:type="auto"/>
            <w:noWrap/>
            <w:tcMar>
              <w:top w:w="12" w:type="dxa"/>
              <w:left w:w="12" w:type="dxa"/>
              <w:bottom w:w="0" w:type="dxa"/>
              <w:right w:w="12" w:type="dxa"/>
            </w:tcMar>
            <w:vAlign w:val="center"/>
          </w:tcPr>
          <w:p w:rsidR="00B37D8A" w:rsidRPr="008279FD" w:rsidRDefault="00B37D8A" w:rsidP="0085600D">
            <w:pPr>
              <w:spacing w:after="0" w:line="240" w:lineRule="auto"/>
              <w:jc w:val="right"/>
              <w:rPr>
                <w:rFonts w:ascii="Arial" w:hAnsi="Arial" w:cs="Arial"/>
                <w:sz w:val="18"/>
                <w:szCs w:val="18"/>
              </w:rPr>
            </w:pPr>
            <w:r w:rsidRPr="008279FD">
              <w:rPr>
                <w:rFonts w:ascii="Arial" w:hAnsi="Arial" w:cs="Arial"/>
                <w:sz w:val="18"/>
                <w:szCs w:val="18"/>
              </w:rPr>
              <w:t xml:space="preserve">3.227.431 </w:t>
            </w:r>
          </w:p>
        </w:tc>
      </w:tr>
      <w:tr w:rsidR="00B37D8A" w:rsidRPr="008279FD" w:rsidTr="0085600D">
        <w:trPr>
          <w:trHeight w:val="44"/>
          <w:jc w:val="center"/>
        </w:trPr>
        <w:tc>
          <w:tcPr>
            <w:tcW w:w="1500" w:type="dxa"/>
            <w:vMerge/>
            <w:vAlign w:val="center"/>
          </w:tcPr>
          <w:p w:rsidR="00B37D8A" w:rsidRPr="008279FD" w:rsidRDefault="00B37D8A" w:rsidP="0085600D">
            <w:pPr>
              <w:spacing w:after="0" w:line="240" w:lineRule="auto"/>
              <w:rPr>
                <w:rFonts w:ascii="Arial" w:hAnsi="Arial" w:cs="Arial"/>
                <w:sz w:val="18"/>
                <w:szCs w:val="18"/>
              </w:rPr>
            </w:pPr>
          </w:p>
        </w:tc>
        <w:tc>
          <w:tcPr>
            <w:tcW w:w="3933" w:type="dxa"/>
            <w:noWrap/>
            <w:tcMar>
              <w:top w:w="12" w:type="dxa"/>
              <w:left w:w="12" w:type="dxa"/>
              <w:bottom w:w="0" w:type="dxa"/>
              <w:right w:w="12" w:type="dxa"/>
            </w:tcMar>
            <w:vAlign w:val="center"/>
          </w:tcPr>
          <w:p w:rsidR="00B37D8A" w:rsidRPr="008279FD" w:rsidRDefault="00B37D8A" w:rsidP="0085600D">
            <w:pPr>
              <w:spacing w:after="0" w:line="240" w:lineRule="auto"/>
              <w:rPr>
                <w:rFonts w:ascii="Arial" w:hAnsi="Arial" w:cs="Arial"/>
                <w:sz w:val="18"/>
                <w:szCs w:val="18"/>
              </w:rPr>
            </w:pPr>
            <w:r w:rsidRPr="008279FD">
              <w:rPr>
                <w:rFonts w:ascii="Arial" w:hAnsi="Arial" w:cs="Arial"/>
                <w:sz w:val="18"/>
                <w:szCs w:val="18"/>
              </w:rPr>
              <w:t>Electricidad e iluminación</w:t>
            </w:r>
          </w:p>
        </w:tc>
        <w:tc>
          <w:tcPr>
            <w:tcW w:w="0" w:type="auto"/>
            <w:noWrap/>
            <w:tcMar>
              <w:top w:w="12" w:type="dxa"/>
              <w:left w:w="12" w:type="dxa"/>
              <w:bottom w:w="0" w:type="dxa"/>
              <w:right w:w="12" w:type="dxa"/>
            </w:tcMar>
            <w:vAlign w:val="center"/>
          </w:tcPr>
          <w:p w:rsidR="00B37D8A" w:rsidRPr="008279FD" w:rsidRDefault="00B37D8A" w:rsidP="0085600D">
            <w:pPr>
              <w:spacing w:after="0" w:line="240" w:lineRule="auto"/>
              <w:jc w:val="right"/>
              <w:rPr>
                <w:rFonts w:ascii="Arial" w:hAnsi="Arial" w:cs="Arial"/>
                <w:sz w:val="18"/>
                <w:szCs w:val="18"/>
              </w:rPr>
            </w:pPr>
            <w:r w:rsidRPr="008279FD">
              <w:rPr>
                <w:rFonts w:ascii="Arial" w:hAnsi="Arial" w:cs="Arial"/>
                <w:sz w:val="18"/>
                <w:szCs w:val="18"/>
              </w:rPr>
              <w:t xml:space="preserve">2.641.689 </w:t>
            </w:r>
          </w:p>
        </w:tc>
      </w:tr>
      <w:tr w:rsidR="00B37D8A" w:rsidRPr="008279FD" w:rsidTr="0085600D">
        <w:trPr>
          <w:trHeight w:val="44"/>
          <w:jc w:val="center"/>
        </w:trPr>
        <w:tc>
          <w:tcPr>
            <w:tcW w:w="1500" w:type="dxa"/>
            <w:vMerge/>
            <w:vAlign w:val="center"/>
          </w:tcPr>
          <w:p w:rsidR="00B37D8A" w:rsidRPr="008279FD" w:rsidRDefault="00B37D8A" w:rsidP="0085600D">
            <w:pPr>
              <w:spacing w:after="0" w:line="240" w:lineRule="auto"/>
              <w:rPr>
                <w:rFonts w:ascii="Arial" w:hAnsi="Arial" w:cs="Arial"/>
                <w:sz w:val="18"/>
                <w:szCs w:val="18"/>
              </w:rPr>
            </w:pPr>
          </w:p>
        </w:tc>
        <w:tc>
          <w:tcPr>
            <w:tcW w:w="3933" w:type="dxa"/>
            <w:noWrap/>
            <w:tcMar>
              <w:top w:w="12" w:type="dxa"/>
              <w:left w:w="12" w:type="dxa"/>
              <w:bottom w:w="0" w:type="dxa"/>
              <w:right w:w="12" w:type="dxa"/>
            </w:tcMar>
            <w:vAlign w:val="center"/>
          </w:tcPr>
          <w:p w:rsidR="00B37D8A" w:rsidRPr="008279FD" w:rsidRDefault="00B37D8A" w:rsidP="0085600D">
            <w:pPr>
              <w:spacing w:after="0" w:line="240" w:lineRule="auto"/>
              <w:rPr>
                <w:rFonts w:ascii="Arial" w:hAnsi="Arial" w:cs="Arial"/>
                <w:sz w:val="18"/>
                <w:szCs w:val="18"/>
              </w:rPr>
            </w:pPr>
            <w:r w:rsidRPr="008279FD">
              <w:rPr>
                <w:rFonts w:ascii="Arial" w:hAnsi="Arial" w:cs="Arial"/>
                <w:sz w:val="18"/>
                <w:szCs w:val="18"/>
              </w:rPr>
              <w:t>Agua</w:t>
            </w:r>
          </w:p>
        </w:tc>
        <w:tc>
          <w:tcPr>
            <w:tcW w:w="0" w:type="auto"/>
            <w:noWrap/>
            <w:tcMar>
              <w:top w:w="12" w:type="dxa"/>
              <w:left w:w="12" w:type="dxa"/>
              <w:bottom w:w="0" w:type="dxa"/>
              <w:right w:w="12" w:type="dxa"/>
            </w:tcMar>
            <w:vAlign w:val="center"/>
          </w:tcPr>
          <w:p w:rsidR="00B37D8A" w:rsidRPr="008279FD" w:rsidRDefault="00B37D8A" w:rsidP="0085600D">
            <w:pPr>
              <w:spacing w:after="0" w:line="240" w:lineRule="auto"/>
              <w:jc w:val="right"/>
              <w:rPr>
                <w:rFonts w:ascii="Arial" w:hAnsi="Arial" w:cs="Arial"/>
                <w:sz w:val="18"/>
                <w:szCs w:val="18"/>
              </w:rPr>
            </w:pPr>
            <w:r w:rsidRPr="008279FD">
              <w:rPr>
                <w:rFonts w:ascii="Arial" w:hAnsi="Arial" w:cs="Arial"/>
                <w:sz w:val="18"/>
                <w:szCs w:val="18"/>
              </w:rPr>
              <w:t xml:space="preserve">946.895 </w:t>
            </w:r>
          </w:p>
        </w:tc>
      </w:tr>
      <w:tr w:rsidR="00B37D8A" w:rsidRPr="008279FD" w:rsidTr="0085600D">
        <w:trPr>
          <w:trHeight w:val="44"/>
          <w:jc w:val="center"/>
        </w:trPr>
        <w:tc>
          <w:tcPr>
            <w:tcW w:w="1500" w:type="dxa"/>
            <w:vMerge/>
            <w:vAlign w:val="center"/>
          </w:tcPr>
          <w:p w:rsidR="00B37D8A" w:rsidRPr="008279FD" w:rsidRDefault="00B37D8A" w:rsidP="0085600D">
            <w:pPr>
              <w:spacing w:after="0" w:line="240" w:lineRule="auto"/>
              <w:rPr>
                <w:rFonts w:ascii="Arial" w:hAnsi="Arial" w:cs="Arial"/>
                <w:sz w:val="18"/>
                <w:szCs w:val="18"/>
              </w:rPr>
            </w:pPr>
          </w:p>
        </w:tc>
        <w:tc>
          <w:tcPr>
            <w:tcW w:w="3933" w:type="dxa"/>
            <w:noWrap/>
            <w:tcMar>
              <w:top w:w="12" w:type="dxa"/>
              <w:left w:w="12" w:type="dxa"/>
              <w:bottom w:w="0" w:type="dxa"/>
              <w:right w:w="12" w:type="dxa"/>
            </w:tcMar>
            <w:vAlign w:val="center"/>
          </w:tcPr>
          <w:p w:rsidR="00B37D8A" w:rsidRPr="008279FD" w:rsidRDefault="00B37D8A" w:rsidP="0085600D">
            <w:pPr>
              <w:spacing w:after="0" w:line="240" w:lineRule="auto"/>
              <w:rPr>
                <w:rFonts w:ascii="Arial" w:hAnsi="Arial" w:cs="Arial"/>
                <w:sz w:val="18"/>
                <w:szCs w:val="18"/>
              </w:rPr>
            </w:pPr>
            <w:r w:rsidRPr="008279FD">
              <w:rPr>
                <w:rFonts w:ascii="Arial" w:hAnsi="Arial" w:cs="Arial"/>
                <w:sz w:val="18"/>
                <w:szCs w:val="18"/>
              </w:rPr>
              <w:t>Cloacas</w:t>
            </w:r>
          </w:p>
        </w:tc>
        <w:tc>
          <w:tcPr>
            <w:tcW w:w="0" w:type="auto"/>
            <w:noWrap/>
            <w:tcMar>
              <w:top w:w="12" w:type="dxa"/>
              <w:left w:w="12" w:type="dxa"/>
              <w:bottom w:w="0" w:type="dxa"/>
              <w:right w:w="12" w:type="dxa"/>
            </w:tcMar>
            <w:vAlign w:val="center"/>
          </w:tcPr>
          <w:p w:rsidR="00B37D8A" w:rsidRPr="008279FD" w:rsidRDefault="00B37D8A" w:rsidP="0085600D">
            <w:pPr>
              <w:spacing w:after="0" w:line="240" w:lineRule="auto"/>
              <w:jc w:val="right"/>
              <w:rPr>
                <w:rFonts w:ascii="Arial" w:hAnsi="Arial" w:cs="Arial"/>
                <w:sz w:val="18"/>
                <w:szCs w:val="18"/>
              </w:rPr>
            </w:pPr>
            <w:r w:rsidRPr="008279FD">
              <w:rPr>
                <w:rFonts w:ascii="Arial" w:hAnsi="Arial" w:cs="Arial"/>
                <w:sz w:val="18"/>
                <w:szCs w:val="18"/>
              </w:rPr>
              <w:t xml:space="preserve">960.349 </w:t>
            </w:r>
          </w:p>
        </w:tc>
      </w:tr>
      <w:tr w:rsidR="00B37D8A" w:rsidRPr="008279FD" w:rsidTr="0085600D">
        <w:trPr>
          <w:trHeight w:val="44"/>
          <w:jc w:val="center"/>
        </w:trPr>
        <w:tc>
          <w:tcPr>
            <w:tcW w:w="1500" w:type="dxa"/>
            <w:noWrap/>
            <w:tcMar>
              <w:top w:w="12" w:type="dxa"/>
              <w:left w:w="12" w:type="dxa"/>
              <w:bottom w:w="0" w:type="dxa"/>
              <w:right w:w="12" w:type="dxa"/>
            </w:tcMar>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Edificación</w:t>
            </w:r>
          </w:p>
        </w:tc>
        <w:tc>
          <w:tcPr>
            <w:tcW w:w="3933" w:type="dxa"/>
            <w:noWrap/>
            <w:tcMar>
              <w:top w:w="12" w:type="dxa"/>
              <w:left w:w="12" w:type="dxa"/>
              <w:bottom w:w="0" w:type="dxa"/>
              <w:right w:w="12" w:type="dxa"/>
            </w:tcMar>
            <w:vAlign w:val="center"/>
          </w:tcPr>
          <w:p w:rsidR="00B37D8A" w:rsidRPr="008279FD" w:rsidRDefault="00B37D8A" w:rsidP="0085600D">
            <w:pPr>
              <w:spacing w:after="0" w:line="240" w:lineRule="auto"/>
              <w:rPr>
                <w:rFonts w:ascii="Arial" w:hAnsi="Arial" w:cs="Arial"/>
                <w:sz w:val="18"/>
                <w:szCs w:val="18"/>
              </w:rPr>
            </w:pPr>
            <w:r w:rsidRPr="008279FD">
              <w:rPr>
                <w:rFonts w:ascii="Arial" w:hAnsi="Arial" w:cs="Arial"/>
                <w:sz w:val="18"/>
                <w:szCs w:val="18"/>
              </w:rPr>
              <w:t>Adecuación de instalaciones edilicias existentes</w:t>
            </w:r>
          </w:p>
        </w:tc>
        <w:tc>
          <w:tcPr>
            <w:tcW w:w="0" w:type="auto"/>
            <w:noWrap/>
            <w:tcMar>
              <w:top w:w="12" w:type="dxa"/>
              <w:left w:w="12" w:type="dxa"/>
              <w:bottom w:w="0" w:type="dxa"/>
              <w:right w:w="12" w:type="dxa"/>
            </w:tcMar>
            <w:vAlign w:val="center"/>
          </w:tcPr>
          <w:p w:rsidR="00B37D8A" w:rsidRPr="008279FD" w:rsidRDefault="00B37D8A" w:rsidP="0085600D">
            <w:pPr>
              <w:spacing w:after="0" w:line="240" w:lineRule="auto"/>
              <w:jc w:val="right"/>
              <w:rPr>
                <w:rFonts w:ascii="Arial" w:hAnsi="Arial" w:cs="Arial"/>
                <w:sz w:val="18"/>
                <w:szCs w:val="18"/>
              </w:rPr>
            </w:pPr>
            <w:r w:rsidRPr="008279FD">
              <w:rPr>
                <w:rFonts w:ascii="Arial" w:hAnsi="Arial" w:cs="Arial"/>
                <w:sz w:val="18"/>
                <w:szCs w:val="18"/>
              </w:rPr>
              <w:t xml:space="preserve">4.235.967 </w:t>
            </w:r>
          </w:p>
        </w:tc>
      </w:tr>
      <w:tr w:rsidR="00B37D8A" w:rsidRPr="008279FD" w:rsidTr="0085600D">
        <w:trPr>
          <w:trHeight w:val="75"/>
          <w:jc w:val="center"/>
        </w:trPr>
        <w:tc>
          <w:tcPr>
            <w:tcW w:w="1500" w:type="dxa"/>
            <w:vMerge w:val="restart"/>
            <w:noWrap/>
            <w:tcMar>
              <w:top w:w="12" w:type="dxa"/>
              <w:left w:w="12" w:type="dxa"/>
              <w:bottom w:w="0" w:type="dxa"/>
              <w:right w:w="12" w:type="dxa"/>
            </w:tcMar>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Otros</w:t>
            </w:r>
          </w:p>
        </w:tc>
        <w:tc>
          <w:tcPr>
            <w:tcW w:w="3933" w:type="dxa"/>
            <w:noWrap/>
            <w:tcMar>
              <w:top w:w="12" w:type="dxa"/>
              <w:left w:w="12" w:type="dxa"/>
              <w:bottom w:w="0" w:type="dxa"/>
              <w:right w:w="12" w:type="dxa"/>
            </w:tcMar>
            <w:vAlign w:val="center"/>
          </w:tcPr>
          <w:p w:rsidR="00B37D8A" w:rsidRPr="008279FD" w:rsidRDefault="00B37D8A" w:rsidP="0085600D">
            <w:pPr>
              <w:spacing w:after="0" w:line="240" w:lineRule="auto"/>
              <w:rPr>
                <w:rFonts w:ascii="Arial" w:hAnsi="Arial" w:cs="Arial"/>
                <w:sz w:val="18"/>
                <w:szCs w:val="18"/>
              </w:rPr>
            </w:pPr>
            <w:r w:rsidRPr="008279FD">
              <w:rPr>
                <w:rFonts w:ascii="Arial" w:hAnsi="Arial" w:cs="Arial"/>
                <w:sz w:val="18"/>
                <w:szCs w:val="18"/>
              </w:rPr>
              <w:t>Varios e imprevistos</w:t>
            </w:r>
          </w:p>
        </w:tc>
        <w:tc>
          <w:tcPr>
            <w:tcW w:w="0" w:type="auto"/>
            <w:noWrap/>
            <w:tcMar>
              <w:top w:w="12" w:type="dxa"/>
              <w:left w:w="12" w:type="dxa"/>
              <w:bottom w:w="0" w:type="dxa"/>
              <w:right w:w="12" w:type="dxa"/>
            </w:tcMar>
            <w:vAlign w:val="center"/>
          </w:tcPr>
          <w:p w:rsidR="00B37D8A" w:rsidRPr="008279FD" w:rsidRDefault="00B37D8A" w:rsidP="0085600D">
            <w:pPr>
              <w:spacing w:after="0" w:line="240" w:lineRule="auto"/>
              <w:jc w:val="right"/>
              <w:rPr>
                <w:rFonts w:ascii="Arial" w:hAnsi="Arial" w:cs="Arial"/>
                <w:sz w:val="18"/>
                <w:szCs w:val="18"/>
              </w:rPr>
            </w:pPr>
            <w:r w:rsidRPr="008279FD">
              <w:rPr>
                <w:rFonts w:ascii="Arial" w:hAnsi="Arial" w:cs="Arial"/>
                <w:sz w:val="18"/>
                <w:szCs w:val="18"/>
              </w:rPr>
              <w:t xml:space="preserve">1.000.000 </w:t>
            </w:r>
          </w:p>
        </w:tc>
      </w:tr>
      <w:tr w:rsidR="00B37D8A" w:rsidRPr="008279FD" w:rsidTr="0085600D">
        <w:trPr>
          <w:trHeight w:val="44"/>
          <w:jc w:val="center"/>
        </w:trPr>
        <w:tc>
          <w:tcPr>
            <w:tcW w:w="1500" w:type="dxa"/>
            <w:vMerge/>
            <w:vAlign w:val="center"/>
          </w:tcPr>
          <w:p w:rsidR="00B37D8A" w:rsidRPr="008279FD" w:rsidRDefault="00B37D8A" w:rsidP="0085600D">
            <w:pPr>
              <w:spacing w:after="0" w:line="240" w:lineRule="auto"/>
              <w:rPr>
                <w:rFonts w:ascii="Arial" w:hAnsi="Arial" w:cs="Arial"/>
                <w:sz w:val="18"/>
                <w:szCs w:val="18"/>
              </w:rPr>
            </w:pPr>
          </w:p>
        </w:tc>
        <w:tc>
          <w:tcPr>
            <w:tcW w:w="3933" w:type="dxa"/>
            <w:noWrap/>
            <w:tcMar>
              <w:top w:w="12" w:type="dxa"/>
              <w:left w:w="12" w:type="dxa"/>
              <w:bottom w:w="0" w:type="dxa"/>
              <w:right w:w="12" w:type="dxa"/>
            </w:tcMar>
            <w:vAlign w:val="center"/>
          </w:tcPr>
          <w:p w:rsidR="00B37D8A" w:rsidRPr="008279FD" w:rsidRDefault="00B37D8A" w:rsidP="0085600D">
            <w:pPr>
              <w:spacing w:after="0" w:line="240" w:lineRule="auto"/>
              <w:rPr>
                <w:rFonts w:ascii="Arial" w:hAnsi="Arial" w:cs="Arial"/>
                <w:sz w:val="18"/>
                <w:szCs w:val="18"/>
              </w:rPr>
            </w:pPr>
            <w:r w:rsidRPr="008279FD">
              <w:rPr>
                <w:rFonts w:ascii="Arial" w:hAnsi="Arial" w:cs="Arial"/>
                <w:sz w:val="18"/>
                <w:szCs w:val="18"/>
              </w:rPr>
              <w:t>Dirección Técnica y Control</w:t>
            </w:r>
          </w:p>
        </w:tc>
        <w:tc>
          <w:tcPr>
            <w:tcW w:w="0" w:type="auto"/>
            <w:noWrap/>
            <w:tcMar>
              <w:top w:w="12" w:type="dxa"/>
              <w:left w:w="12" w:type="dxa"/>
              <w:bottom w:w="0" w:type="dxa"/>
              <w:right w:w="12" w:type="dxa"/>
            </w:tcMar>
            <w:vAlign w:val="center"/>
          </w:tcPr>
          <w:p w:rsidR="00B37D8A" w:rsidRPr="008279FD" w:rsidRDefault="00B37D8A" w:rsidP="0085600D">
            <w:pPr>
              <w:spacing w:after="0" w:line="240" w:lineRule="auto"/>
              <w:jc w:val="right"/>
              <w:rPr>
                <w:rFonts w:ascii="Arial" w:hAnsi="Arial" w:cs="Arial"/>
                <w:sz w:val="18"/>
                <w:szCs w:val="18"/>
              </w:rPr>
            </w:pPr>
            <w:r w:rsidRPr="008279FD">
              <w:rPr>
                <w:rFonts w:ascii="Arial" w:hAnsi="Arial" w:cs="Arial"/>
                <w:sz w:val="18"/>
                <w:szCs w:val="18"/>
              </w:rPr>
              <w:t xml:space="preserve">564.000 </w:t>
            </w:r>
          </w:p>
        </w:tc>
      </w:tr>
      <w:tr w:rsidR="00B37D8A" w:rsidRPr="008279FD" w:rsidTr="0085600D">
        <w:trPr>
          <w:trHeight w:val="54"/>
          <w:jc w:val="center"/>
        </w:trPr>
        <w:tc>
          <w:tcPr>
            <w:tcW w:w="1500" w:type="dxa"/>
            <w:vMerge/>
            <w:vAlign w:val="center"/>
          </w:tcPr>
          <w:p w:rsidR="00B37D8A" w:rsidRPr="008279FD" w:rsidRDefault="00B37D8A" w:rsidP="0085600D">
            <w:pPr>
              <w:spacing w:after="0" w:line="240" w:lineRule="auto"/>
              <w:rPr>
                <w:rFonts w:ascii="Arial" w:hAnsi="Arial" w:cs="Arial"/>
                <w:sz w:val="18"/>
                <w:szCs w:val="18"/>
              </w:rPr>
            </w:pPr>
          </w:p>
        </w:tc>
        <w:tc>
          <w:tcPr>
            <w:tcW w:w="3933" w:type="dxa"/>
            <w:noWrap/>
            <w:tcMar>
              <w:top w:w="12" w:type="dxa"/>
              <w:left w:w="12" w:type="dxa"/>
              <w:bottom w:w="0" w:type="dxa"/>
              <w:right w:w="12" w:type="dxa"/>
            </w:tcMar>
            <w:vAlign w:val="bottom"/>
          </w:tcPr>
          <w:p w:rsidR="00B37D8A" w:rsidRPr="008279FD" w:rsidRDefault="00B37D8A" w:rsidP="0085600D">
            <w:pPr>
              <w:spacing w:after="0" w:line="240" w:lineRule="auto"/>
              <w:rPr>
                <w:rFonts w:ascii="Arial" w:hAnsi="Arial" w:cs="Arial"/>
                <w:sz w:val="18"/>
                <w:szCs w:val="18"/>
              </w:rPr>
            </w:pPr>
            <w:r w:rsidRPr="008279FD">
              <w:rPr>
                <w:rFonts w:ascii="Arial" w:hAnsi="Arial" w:cs="Arial"/>
                <w:sz w:val="18"/>
                <w:szCs w:val="18"/>
              </w:rPr>
              <w:t>Proyecto ejecutivo y proceso licitatorio</w:t>
            </w:r>
          </w:p>
        </w:tc>
        <w:tc>
          <w:tcPr>
            <w:tcW w:w="0" w:type="auto"/>
            <w:noWrap/>
            <w:tcMar>
              <w:top w:w="12" w:type="dxa"/>
              <w:left w:w="12" w:type="dxa"/>
              <w:bottom w:w="0" w:type="dxa"/>
              <w:right w:w="12" w:type="dxa"/>
            </w:tcMar>
            <w:vAlign w:val="bottom"/>
          </w:tcPr>
          <w:p w:rsidR="00B37D8A" w:rsidRPr="008279FD" w:rsidRDefault="00B37D8A" w:rsidP="0085600D">
            <w:pPr>
              <w:spacing w:after="0" w:line="240" w:lineRule="auto"/>
              <w:jc w:val="right"/>
              <w:rPr>
                <w:rFonts w:ascii="Arial" w:hAnsi="Arial" w:cs="Arial"/>
                <w:sz w:val="18"/>
                <w:szCs w:val="18"/>
              </w:rPr>
            </w:pPr>
            <w:r w:rsidRPr="008279FD">
              <w:rPr>
                <w:rFonts w:ascii="Arial" w:hAnsi="Arial" w:cs="Arial"/>
                <w:sz w:val="18"/>
                <w:szCs w:val="18"/>
              </w:rPr>
              <w:t xml:space="preserve">1.200.000 </w:t>
            </w:r>
          </w:p>
        </w:tc>
      </w:tr>
      <w:tr w:rsidR="00B37D8A" w:rsidRPr="008279FD" w:rsidTr="0085600D">
        <w:trPr>
          <w:trHeight w:val="54"/>
          <w:jc w:val="center"/>
        </w:trPr>
        <w:tc>
          <w:tcPr>
            <w:tcW w:w="5433" w:type="dxa"/>
            <w:gridSpan w:val="2"/>
            <w:vAlign w:val="center"/>
          </w:tcPr>
          <w:p w:rsidR="00B37D8A" w:rsidRPr="008279FD" w:rsidRDefault="00B37D8A" w:rsidP="0085600D">
            <w:pPr>
              <w:spacing w:after="0" w:line="240" w:lineRule="auto"/>
              <w:rPr>
                <w:rFonts w:ascii="Arial" w:hAnsi="Arial" w:cs="Arial"/>
                <w:sz w:val="18"/>
                <w:szCs w:val="18"/>
              </w:rPr>
            </w:pPr>
            <w:r w:rsidRPr="008279FD">
              <w:rPr>
                <w:rFonts w:ascii="Arial" w:hAnsi="Arial" w:cs="Arial"/>
                <w:sz w:val="18"/>
                <w:szCs w:val="18"/>
              </w:rPr>
              <w:t>Total</w:t>
            </w:r>
          </w:p>
        </w:tc>
        <w:tc>
          <w:tcPr>
            <w:tcW w:w="0" w:type="auto"/>
            <w:noWrap/>
            <w:tcMar>
              <w:top w:w="12" w:type="dxa"/>
              <w:left w:w="12" w:type="dxa"/>
              <w:bottom w:w="0" w:type="dxa"/>
              <w:right w:w="12" w:type="dxa"/>
            </w:tcMar>
            <w:vAlign w:val="bottom"/>
          </w:tcPr>
          <w:p w:rsidR="00B37D8A" w:rsidRPr="008279FD" w:rsidRDefault="00B37D8A" w:rsidP="0085600D">
            <w:pPr>
              <w:spacing w:after="0" w:line="240" w:lineRule="auto"/>
              <w:jc w:val="right"/>
              <w:rPr>
                <w:rFonts w:ascii="Arial" w:hAnsi="Arial" w:cs="Arial"/>
                <w:sz w:val="18"/>
                <w:szCs w:val="18"/>
              </w:rPr>
            </w:pPr>
            <w:r w:rsidRPr="008279FD">
              <w:rPr>
                <w:rFonts w:ascii="Arial" w:hAnsi="Arial" w:cs="Arial"/>
                <w:sz w:val="18"/>
                <w:szCs w:val="18"/>
              </w:rPr>
              <w:t>19.125.000</w:t>
            </w:r>
          </w:p>
        </w:tc>
      </w:tr>
    </w:tbl>
    <w:p w:rsidR="00B37D8A" w:rsidRDefault="0077378F" w:rsidP="00AE7EFC">
      <w:pPr>
        <w:spacing w:before="240"/>
        <w:jc w:val="both"/>
        <w:rPr>
          <w:rFonts w:ascii="Times New Roman" w:hAnsi="Times New Roman"/>
          <w:sz w:val="24"/>
        </w:rPr>
      </w:pPr>
      <w:r>
        <w:rPr>
          <w:rFonts w:ascii="Times New Roman" w:hAnsi="Times New Roman"/>
          <w:sz w:val="24"/>
        </w:rPr>
        <w:t>Para</w:t>
      </w:r>
      <w:r w:rsidR="00B37D8A">
        <w:rPr>
          <w:rFonts w:ascii="Times New Roman" w:hAnsi="Times New Roman"/>
          <w:sz w:val="24"/>
        </w:rPr>
        <w:t xml:space="preserve"> los gastos operativos, se consideran los conceptos presentados en la siguiente tabla, calculándose un costo operativo anual de ARS 474.000, que se mantienen constantes a lo largo del horizonte temporal.</w:t>
      </w:r>
    </w:p>
    <w:tbl>
      <w:tblPr>
        <w:tblW w:w="2851" w:type="pct"/>
        <w:jc w:val="center"/>
        <w:tblInd w:w="583" w:type="dxa"/>
        <w:tblCellMar>
          <w:left w:w="0" w:type="dxa"/>
          <w:right w:w="0" w:type="dxa"/>
        </w:tblCellMar>
        <w:tblLook w:val="00A0" w:firstRow="1" w:lastRow="0" w:firstColumn="1" w:lastColumn="0" w:noHBand="0" w:noVBand="0"/>
      </w:tblPr>
      <w:tblGrid>
        <w:gridCol w:w="2833"/>
        <w:gridCol w:w="1586"/>
        <w:gridCol w:w="1334"/>
      </w:tblGrid>
      <w:tr w:rsidR="00B37D8A" w:rsidRPr="008279FD" w:rsidTr="0085600D">
        <w:trPr>
          <w:cantSplit/>
          <w:trHeight w:val="132"/>
          <w:jc w:val="center"/>
        </w:trPr>
        <w:tc>
          <w:tcPr>
            <w:tcW w:w="2463"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Concepto</w:t>
            </w:r>
          </w:p>
        </w:tc>
        <w:tc>
          <w:tcPr>
            <w:tcW w:w="1378" w:type="pct"/>
            <w:tcBorders>
              <w:top w:val="single" w:sz="4" w:space="0" w:color="auto"/>
              <w:left w:val="nil"/>
              <w:bottom w:val="single" w:sz="4" w:space="0" w:color="auto"/>
              <w:right w:val="single" w:sz="4" w:space="0" w:color="auto"/>
            </w:tcBorders>
            <w:shd w:val="clear" w:color="auto" w:fill="D9D9D9"/>
            <w:noWrap/>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Costo mensual</w:t>
            </w:r>
          </w:p>
        </w:tc>
        <w:tc>
          <w:tcPr>
            <w:tcW w:w="1160" w:type="pct"/>
            <w:tcBorders>
              <w:top w:val="single" w:sz="4" w:space="0" w:color="auto"/>
              <w:left w:val="nil"/>
              <w:bottom w:val="single" w:sz="4" w:space="0" w:color="auto"/>
              <w:right w:val="single" w:sz="4" w:space="0" w:color="auto"/>
            </w:tcBorders>
            <w:shd w:val="clear" w:color="auto" w:fill="D9D9D9"/>
            <w:noWrap/>
            <w:vAlign w:val="center"/>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Costo anual</w:t>
            </w:r>
          </w:p>
        </w:tc>
      </w:tr>
      <w:tr w:rsidR="00B37D8A" w:rsidRPr="008279FD" w:rsidTr="0085600D">
        <w:trPr>
          <w:cantSplit/>
          <w:trHeight w:val="53"/>
          <w:jc w:val="center"/>
        </w:trPr>
        <w:tc>
          <w:tcPr>
            <w:tcW w:w="2463" w:type="pct"/>
            <w:tcBorders>
              <w:top w:val="nil"/>
              <w:left w:val="single" w:sz="4" w:space="0" w:color="auto"/>
              <w:bottom w:val="single" w:sz="4" w:space="0" w:color="auto"/>
              <w:right w:val="single" w:sz="4" w:space="0" w:color="auto"/>
            </w:tcBorders>
            <w:shd w:val="clear" w:color="000000" w:fill="FFFFFF"/>
            <w:noWrap/>
            <w:vAlign w:val="bottom"/>
          </w:tcPr>
          <w:p w:rsidR="00B37D8A" w:rsidRPr="008279FD" w:rsidRDefault="00B37D8A" w:rsidP="0085600D">
            <w:pPr>
              <w:spacing w:after="0" w:line="240" w:lineRule="auto"/>
              <w:rPr>
                <w:rFonts w:ascii="Arial" w:hAnsi="Arial" w:cs="Arial"/>
                <w:sz w:val="18"/>
                <w:szCs w:val="18"/>
              </w:rPr>
            </w:pPr>
            <w:r w:rsidRPr="008279FD">
              <w:rPr>
                <w:rFonts w:ascii="Arial" w:hAnsi="Arial" w:cs="Arial"/>
                <w:sz w:val="18"/>
                <w:szCs w:val="18"/>
              </w:rPr>
              <w:t>Librería</w:t>
            </w:r>
          </w:p>
        </w:tc>
        <w:tc>
          <w:tcPr>
            <w:tcW w:w="1378" w:type="pct"/>
            <w:tcBorders>
              <w:top w:val="nil"/>
              <w:left w:val="nil"/>
              <w:bottom w:val="single" w:sz="4" w:space="0" w:color="auto"/>
              <w:right w:val="single" w:sz="4" w:space="0" w:color="auto"/>
            </w:tcBorders>
            <w:shd w:val="clear" w:color="000000" w:fill="FFFFFF"/>
            <w:noWrap/>
            <w:vAlign w:val="bottom"/>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5.000</w:t>
            </w:r>
          </w:p>
        </w:tc>
        <w:tc>
          <w:tcPr>
            <w:tcW w:w="1160" w:type="pct"/>
            <w:tcBorders>
              <w:top w:val="nil"/>
              <w:left w:val="nil"/>
              <w:bottom w:val="single" w:sz="4" w:space="0" w:color="auto"/>
              <w:right w:val="single" w:sz="4" w:space="0" w:color="auto"/>
            </w:tcBorders>
            <w:shd w:val="clear" w:color="000000" w:fill="FFFFFF"/>
            <w:noWrap/>
            <w:vAlign w:val="bottom"/>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60.000</w:t>
            </w:r>
          </w:p>
        </w:tc>
      </w:tr>
      <w:tr w:rsidR="00B37D8A" w:rsidRPr="008279FD" w:rsidTr="0085600D">
        <w:trPr>
          <w:cantSplit/>
          <w:trHeight w:val="57"/>
          <w:jc w:val="center"/>
        </w:trPr>
        <w:tc>
          <w:tcPr>
            <w:tcW w:w="2463" w:type="pct"/>
            <w:tcBorders>
              <w:top w:val="nil"/>
              <w:left w:val="single" w:sz="4" w:space="0" w:color="auto"/>
              <w:bottom w:val="single" w:sz="4" w:space="0" w:color="auto"/>
              <w:right w:val="single" w:sz="4" w:space="0" w:color="auto"/>
            </w:tcBorders>
            <w:shd w:val="clear" w:color="000000" w:fill="FFFFFF"/>
            <w:noWrap/>
            <w:vAlign w:val="bottom"/>
          </w:tcPr>
          <w:p w:rsidR="00B37D8A" w:rsidRPr="008279FD" w:rsidRDefault="00B37D8A" w:rsidP="0085600D">
            <w:pPr>
              <w:spacing w:after="0" w:line="240" w:lineRule="auto"/>
              <w:rPr>
                <w:rFonts w:ascii="Arial" w:hAnsi="Arial" w:cs="Arial"/>
                <w:sz w:val="18"/>
                <w:szCs w:val="18"/>
              </w:rPr>
            </w:pPr>
            <w:r w:rsidRPr="008279FD">
              <w:rPr>
                <w:rFonts w:ascii="Arial" w:hAnsi="Arial" w:cs="Arial"/>
                <w:sz w:val="18"/>
                <w:szCs w:val="18"/>
              </w:rPr>
              <w:t>Contador</w:t>
            </w:r>
          </w:p>
        </w:tc>
        <w:tc>
          <w:tcPr>
            <w:tcW w:w="1378" w:type="pct"/>
            <w:tcBorders>
              <w:top w:val="nil"/>
              <w:left w:val="nil"/>
              <w:bottom w:val="single" w:sz="4" w:space="0" w:color="auto"/>
              <w:right w:val="single" w:sz="4" w:space="0" w:color="auto"/>
            </w:tcBorders>
            <w:shd w:val="clear" w:color="000000" w:fill="FFFFFF"/>
            <w:noWrap/>
            <w:vAlign w:val="bottom"/>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6.500</w:t>
            </w:r>
          </w:p>
        </w:tc>
        <w:tc>
          <w:tcPr>
            <w:tcW w:w="1160" w:type="pct"/>
            <w:tcBorders>
              <w:top w:val="nil"/>
              <w:left w:val="nil"/>
              <w:bottom w:val="single" w:sz="4" w:space="0" w:color="auto"/>
              <w:right w:val="single" w:sz="4" w:space="0" w:color="auto"/>
            </w:tcBorders>
            <w:shd w:val="clear" w:color="000000" w:fill="FFFFFF"/>
            <w:noWrap/>
            <w:vAlign w:val="bottom"/>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78.000</w:t>
            </w:r>
          </w:p>
        </w:tc>
      </w:tr>
      <w:tr w:rsidR="00B37D8A" w:rsidRPr="008279FD" w:rsidTr="0085600D">
        <w:trPr>
          <w:cantSplit/>
          <w:trHeight w:val="57"/>
          <w:jc w:val="center"/>
        </w:trPr>
        <w:tc>
          <w:tcPr>
            <w:tcW w:w="2463" w:type="pct"/>
            <w:tcBorders>
              <w:top w:val="nil"/>
              <w:left w:val="single" w:sz="4" w:space="0" w:color="auto"/>
              <w:bottom w:val="single" w:sz="4" w:space="0" w:color="auto"/>
              <w:right w:val="single" w:sz="4" w:space="0" w:color="auto"/>
            </w:tcBorders>
            <w:shd w:val="clear" w:color="000000" w:fill="FFFFFF"/>
            <w:noWrap/>
            <w:vAlign w:val="bottom"/>
          </w:tcPr>
          <w:p w:rsidR="00B37D8A" w:rsidRPr="008279FD" w:rsidRDefault="00B37D8A" w:rsidP="0085600D">
            <w:pPr>
              <w:spacing w:after="0" w:line="240" w:lineRule="auto"/>
              <w:rPr>
                <w:rFonts w:ascii="Arial" w:hAnsi="Arial" w:cs="Arial"/>
                <w:sz w:val="18"/>
                <w:szCs w:val="18"/>
              </w:rPr>
            </w:pPr>
            <w:r w:rsidRPr="008279FD">
              <w:rPr>
                <w:rFonts w:ascii="Arial" w:hAnsi="Arial" w:cs="Arial"/>
                <w:sz w:val="18"/>
                <w:szCs w:val="18"/>
              </w:rPr>
              <w:t>Abogado</w:t>
            </w:r>
          </w:p>
        </w:tc>
        <w:tc>
          <w:tcPr>
            <w:tcW w:w="1378" w:type="pct"/>
            <w:tcBorders>
              <w:top w:val="nil"/>
              <w:left w:val="nil"/>
              <w:bottom w:val="single" w:sz="4" w:space="0" w:color="auto"/>
              <w:right w:val="single" w:sz="4" w:space="0" w:color="auto"/>
            </w:tcBorders>
            <w:shd w:val="clear" w:color="000000" w:fill="FFFFFF"/>
            <w:noWrap/>
            <w:vAlign w:val="bottom"/>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6.500</w:t>
            </w:r>
          </w:p>
        </w:tc>
        <w:tc>
          <w:tcPr>
            <w:tcW w:w="1160" w:type="pct"/>
            <w:tcBorders>
              <w:top w:val="nil"/>
              <w:left w:val="nil"/>
              <w:bottom w:val="single" w:sz="4" w:space="0" w:color="auto"/>
              <w:right w:val="single" w:sz="4" w:space="0" w:color="auto"/>
            </w:tcBorders>
            <w:shd w:val="clear" w:color="000000" w:fill="FFFFFF"/>
            <w:noWrap/>
            <w:vAlign w:val="bottom"/>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78.000</w:t>
            </w:r>
          </w:p>
        </w:tc>
      </w:tr>
      <w:tr w:rsidR="00B37D8A" w:rsidRPr="008279FD" w:rsidTr="0085600D">
        <w:trPr>
          <w:cantSplit/>
          <w:trHeight w:val="57"/>
          <w:jc w:val="center"/>
        </w:trPr>
        <w:tc>
          <w:tcPr>
            <w:tcW w:w="2463" w:type="pct"/>
            <w:tcBorders>
              <w:top w:val="nil"/>
              <w:left w:val="single" w:sz="4" w:space="0" w:color="auto"/>
              <w:bottom w:val="single" w:sz="4" w:space="0" w:color="auto"/>
              <w:right w:val="single" w:sz="4" w:space="0" w:color="auto"/>
            </w:tcBorders>
            <w:shd w:val="clear" w:color="000000" w:fill="FFFFFF"/>
            <w:noWrap/>
            <w:vAlign w:val="bottom"/>
          </w:tcPr>
          <w:p w:rsidR="00B37D8A" w:rsidRPr="008279FD" w:rsidRDefault="00B37D8A" w:rsidP="0085600D">
            <w:pPr>
              <w:spacing w:after="0" w:line="240" w:lineRule="auto"/>
              <w:rPr>
                <w:rFonts w:ascii="Arial" w:hAnsi="Arial" w:cs="Arial"/>
                <w:sz w:val="18"/>
                <w:szCs w:val="18"/>
              </w:rPr>
            </w:pPr>
            <w:r w:rsidRPr="008279FD">
              <w:rPr>
                <w:rFonts w:ascii="Arial" w:hAnsi="Arial" w:cs="Arial"/>
                <w:sz w:val="18"/>
                <w:szCs w:val="18"/>
              </w:rPr>
              <w:t>Telefonía fija empresa</w:t>
            </w:r>
          </w:p>
        </w:tc>
        <w:tc>
          <w:tcPr>
            <w:tcW w:w="1378" w:type="pct"/>
            <w:tcBorders>
              <w:top w:val="nil"/>
              <w:left w:val="nil"/>
              <w:bottom w:val="single" w:sz="4" w:space="0" w:color="auto"/>
              <w:right w:val="single" w:sz="4" w:space="0" w:color="auto"/>
            </w:tcBorders>
            <w:shd w:val="clear" w:color="000000" w:fill="FFFFFF"/>
            <w:noWrap/>
            <w:vAlign w:val="bottom"/>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5.000</w:t>
            </w:r>
          </w:p>
        </w:tc>
        <w:tc>
          <w:tcPr>
            <w:tcW w:w="1160" w:type="pct"/>
            <w:tcBorders>
              <w:top w:val="nil"/>
              <w:left w:val="nil"/>
              <w:bottom w:val="single" w:sz="4" w:space="0" w:color="auto"/>
              <w:right w:val="single" w:sz="4" w:space="0" w:color="auto"/>
            </w:tcBorders>
            <w:shd w:val="clear" w:color="000000" w:fill="FFFFFF"/>
            <w:noWrap/>
            <w:vAlign w:val="bottom"/>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60.000</w:t>
            </w:r>
          </w:p>
        </w:tc>
      </w:tr>
      <w:tr w:rsidR="00B37D8A" w:rsidRPr="008279FD" w:rsidTr="0085600D">
        <w:trPr>
          <w:cantSplit/>
          <w:trHeight w:val="57"/>
          <w:jc w:val="center"/>
        </w:trPr>
        <w:tc>
          <w:tcPr>
            <w:tcW w:w="2463" w:type="pct"/>
            <w:tcBorders>
              <w:top w:val="nil"/>
              <w:left w:val="single" w:sz="4" w:space="0" w:color="auto"/>
              <w:bottom w:val="single" w:sz="4" w:space="0" w:color="auto"/>
              <w:right w:val="single" w:sz="4" w:space="0" w:color="auto"/>
            </w:tcBorders>
            <w:shd w:val="clear" w:color="000000" w:fill="FFFFFF"/>
            <w:noWrap/>
            <w:vAlign w:val="bottom"/>
          </w:tcPr>
          <w:p w:rsidR="00B37D8A" w:rsidRPr="008279FD" w:rsidRDefault="00B37D8A" w:rsidP="0085600D">
            <w:pPr>
              <w:spacing w:after="0" w:line="240" w:lineRule="auto"/>
              <w:rPr>
                <w:rFonts w:ascii="Arial" w:hAnsi="Arial" w:cs="Arial"/>
                <w:sz w:val="18"/>
                <w:szCs w:val="18"/>
              </w:rPr>
            </w:pPr>
            <w:r w:rsidRPr="008279FD">
              <w:rPr>
                <w:rFonts w:ascii="Arial" w:hAnsi="Arial" w:cs="Arial"/>
                <w:sz w:val="18"/>
                <w:szCs w:val="18"/>
              </w:rPr>
              <w:t>Servicio de internet</w:t>
            </w:r>
          </w:p>
        </w:tc>
        <w:tc>
          <w:tcPr>
            <w:tcW w:w="1378" w:type="pct"/>
            <w:tcBorders>
              <w:top w:val="nil"/>
              <w:left w:val="nil"/>
              <w:bottom w:val="single" w:sz="4" w:space="0" w:color="auto"/>
              <w:right w:val="single" w:sz="4" w:space="0" w:color="auto"/>
            </w:tcBorders>
            <w:shd w:val="clear" w:color="000000" w:fill="FFFFFF"/>
            <w:noWrap/>
            <w:vAlign w:val="bottom"/>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2.000</w:t>
            </w:r>
          </w:p>
        </w:tc>
        <w:tc>
          <w:tcPr>
            <w:tcW w:w="1160" w:type="pct"/>
            <w:tcBorders>
              <w:top w:val="nil"/>
              <w:left w:val="nil"/>
              <w:bottom w:val="single" w:sz="4" w:space="0" w:color="auto"/>
              <w:right w:val="single" w:sz="4" w:space="0" w:color="auto"/>
            </w:tcBorders>
            <w:shd w:val="clear" w:color="000000" w:fill="FFFFFF"/>
            <w:noWrap/>
            <w:vAlign w:val="bottom"/>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24.000</w:t>
            </w:r>
          </w:p>
        </w:tc>
      </w:tr>
      <w:tr w:rsidR="00B37D8A" w:rsidRPr="008279FD" w:rsidTr="0085600D">
        <w:trPr>
          <w:cantSplit/>
          <w:trHeight w:val="57"/>
          <w:jc w:val="center"/>
        </w:trPr>
        <w:tc>
          <w:tcPr>
            <w:tcW w:w="2463" w:type="pct"/>
            <w:tcBorders>
              <w:top w:val="nil"/>
              <w:left w:val="single" w:sz="4" w:space="0" w:color="auto"/>
              <w:bottom w:val="single" w:sz="4" w:space="0" w:color="auto"/>
              <w:right w:val="single" w:sz="4" w:space="0" w:color="auto"/>
            </w:tcBorders>
            <w:shd w:val="clear" w:color="000000" w:fill="FFFFFF"/>
            <w:noWrap/>
            <w:vAlign w:val="bottom"/>
          </w:tcPr>
          <w:p w:rsidR="00B37D8A" w:rsidRPr="008279FD" w:rsidRDefault="00B37D8A" w:rsidP="0085600D">
            <w:pPr>
              <w:spacing w:after="0" w:line="240" w:lineRule="auto"/>
              <w:rPr>
                <w:rFonts w:ascii="Arial" w:hAnsi="Arial" w:cs="Arial"/>
                <w:sz w:val="18"/>
                <w:szCs w:val="18"/>
              </w:rPr>
            </w:pPr>
            <w:r w:rsidRPr="008279FD">
              <w:rPr>
                <w:rFonts w:ascii="Arial" w:hAnsi="Arial" w:cs="Arial"/>
                <w:sz w:val="18"/>
                <w:szCs w:val="18"/>
              </w:rPr>
              <w:t>Electricidad</w:t>
            </w:r>
          </w:p>
        </w:tc>
        <w:tc>
          <w:tcPr>
            <w:tcW w:w="1378" w:type="pct"/>
            <w:tcBorders>
              <w:top w:val="nil"/>
              <w:left w:val="nil"/>
              <w:bottom w:val="single" w:sz="4" w:space="0" w:color="auto"/>
              <w:right w:val="single" w:sz="4" w:space="0" w:color="auto"/>
            </w:tcBorders>
            <w:shd w:val="clear" w:color="000000" w:fill="FFFFFF"/>
            <w:noWrap/>
            <w:vAlign w:val="bottom"/>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2.000</w:t>
            </w:r>
          </w:p>
        </w:tc>
        <w:tc>
          <w:tcPr>
            <w:tcW w:w="1160" w:type="pct"/>
            <w:tcBorders>
              <w:top w:val="nil"/>
              <w:left w:val="nil"/>
              <w:bottom w:val="single" w:sz="4" w:space="0" w:color="auto"/>
              <w:right w:val="single" w:sz="4" w:space="0" w:color="auto"/>
            </w:tcBorders>
            <w:shd w:val="clear" w:color="000000" w:fill="FFFFFF"/>
            <w:noWrap/>
            <w:vAlign w:val="bottom"/>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24.000</w:t>
            </w:r>
          </w:p>
        </w:tc>
      </w:tr>
      <w:tr w:rsidR="00B37D8A" w:rsidRPr="008279FD" w:rsidTr="0085600D">
        <w:trPr>
          <w:cantSplit/>
          <w:trHeight w:val="57"/>
          <w:jc w:val="center"/>
        </w:trPr>
        <w:tc>
          <w:tcPr>
            <w:tcW w:w="2463" w:type="pct"/>
            <w:tcBorders>
              <w:top w:val="nil"/>
              <w:left w:val="single" w:sz="4" w:space="0" w:color="auto"/>
              <w:bottom w:val="single" w:sz="4" w:space="0" w:color="auto"/>
              <w:right w:val="single" w:sz="4" w:space="0" w:color="auto"/>
            </w:tcBorders>
            <w:shd w:val="clear" w:color="000000" w:fill="FFFFFF"/>
            <w:noWrap/>
            <w:vAlign w:val="bottom"/>
          </w:tcPr>
          <w:p w:rsidR="00B37D8A" w:rsidRPr="008279FD" w:rsidRDefault="00B37D8A" w:rsidP="0085600D">
            <w:pPr>
              <w:spacing w:after="0" w:line="240" w:lineRule="auto"/>
              <w:rPr>
                <w:rFonts w:ascii="Arial" w:hAnsi="Arial" w:cs="Arial"/>
                <w:sz w:val="18"/>
                <w:szCs w:val="18"/>
              </w:rPr>
            </w:pPr>
            <w:r w:rsidRPr="008279FD">
              <w:rPr>
                <w:rFonts w:ascii="Arial" w:hAnsi="Arial" w:cs="Arial"/>
                <w:sz w:val="18"/>
                <w:szCs w:val="18"/>
              </w:rPr>
              <w:t>Gas</w:t>
            </w:r>
          </w:p>
        </w:tc>
        <w:tc>
          <w:tcPr>
            <w:tcW w:w="1378" w:type="pct"/>
            <w:tcBorders>
              <w:top w:val="nil"/>
              <w:left w:val="nil"/>
              <w:bottom w:val="single" w:sz="4" w:space="0" w:color="auto"/>
              <w:right w:val="single" w:sz="4" w:space="0" w:color="auto"/>
            </w:tcBorders>
            <w:shd w:val="clear" w:color="000000" w:fill="FFFFFF"/>
            <w:noWrap/>
            <w:vAlign w:val="bottom"/>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2.000</w:t>
            </w:r>
          </w:p>
        </w:tc>
        <w:tc>
          <w:tcPr>
            <w:tcW w:w="1160" w:type="pct"/>
            <w:tcBorders>
              <w:top w:val="nil"/>
              <w:left w:val="nil"/>
              <w:bottom w:val="single" w:sz="4" w:space="0" w:color="auto"/>
              <w:right w:val="single" w:sz="4" w:space="0" w:color="auto"/>
            </w:tcBorders>
            <w:shd w:val="clear" w:color="000000" w:fill="FFFFFF"/>
            <w:noWrap/>
            <w:vAlign w:val="bottom"/>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24.000</w:t>
            </w:r>
          </w:p>
        </w:tc>
      </w:tr>
      <w:tr w:rsidR="00B37D8A" w:rsidRPr="008279FD" w:rsidTr="0085600D">
        <w:trPr>
          <w:cantSplit/>
          <w:trHeight w:val="57"/>
          <w:jc w:val="center"/>
        </w:trPr>
        <w:tc>
          <w:tcPr>
            <w:tcW w:w="2463" w:type="pct"/>
            <w:tcBorders>
              <w:top w:val="nil"/>
              <w:left w:val="single" w:sz="4" w:space="0" w:color="auto"/>
              <w:bottom w:val="single" w:sz="4" w:space="0" w:color="auto"/>
              <w:right w:val="single" w:sz="4" w:space="0" w:color="auto"/>
            </w:tcBorders>
            <w:shd w:val="clear" w:color="000000" w:fill="FFFFFF"/>
            <w:noWrap/>
            <w:vAlign w:val="bottom"/>
          </w:tcPr>
          <w:p w:rsidR="00B37D8A" w:rsidRPr="008279FD" w:rsidRDefault="00B37D8A" w:rsidP="0085600D">
            <w:pPr>
              <w:spacing w:after="0" w:line="240" w:lineRule="auto"/>
              <w:rPr>
                <w:rFonts w:ascii="Arial" w:hAnsi="Arial" w:cs="Arial"/>
                <w:sz w:val="18"/>
                <w:szCs w:val="18"/>
              </w:rPr>
            </w:pPr>
            <w:r w:rsidRPr="008279FD">
              <w:rPr>
                <w:rFonts w:ascii="Arial" w:hAnsi="Arial" w:cs="Arial"/>
                <w:sz w:val="18"/>
                <w:szCs w:val="18"/>
              </w:rPr>
              <w:t>Seguridad (Alarma)</w:t>
            </w:r>
          </w:p>
        </w:tc>
        <w:tc>
          <w:tcPr>
            <w:tcW w:w="1378" w:type="pct"/>
            <w:tcBorders>
              <w:top w:val="nil"/>
              <w:left w:val="nil"/>
              <w:bottom w:val="single" w:sz="4" w:space="0" w:color="auto"/>
              <w:right w:val="single" w:sz="4" w:space="0" w:color="auto"/>
            </w:tcBorders>
            <w:shd w:val="clear" w:color="000000" w:fill="FFFFFF"/>
            <w:noWrap/>
            <w:vAlign w:val="bottom"/>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4.000</w:t>
            </w:r>
          </w:p>
        </w:tc>
        <w:tc>
          <w:tcPr>
            <w:tcW w:w="1160" w:type="pct"/>
            <w:tcBorders>
              <w:top w:val="nil"/>
              <w:left w:val="nil"/>
              <w:bottom w:val="single" w:sz="4" w:space="0" w:color="auto"/>
              <w:right w:val="single" w:sz="4" w:space="0" w:color="auto"/>
            </w:tcBorders>
            <w:shd w:val="clear" w:color="000000" w:fill="FFFFFF"/>
            <w:noWrap/>
            <w:vAlign w:val="bottom"/>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48.000</w:t>
            </w:r>
          </w:p>
        </w:tc>
      </w:tr>
      <w:tr w:rsidR="00B37D8A" w:rsidRPr="008279FD" w:rsidTr="0085600D">
        <w:trPr>
          <w:cantSplit/>
          <w:trHeight w:val="57"/>
          <w:jc w:val="center"/>
        </w:trPr>
        <w:tc>
          <w:tcPr>
            <w:tcW w:w="2463" w:type="pct"/>
            <w:tcBorders>
              <w:top w:val="nil"/>
              <w:left w:val="single" w:sz="4" w:space="0" w:color="auto"/>
              <w:bottom w:val="single" w:sz="4" w:space="0" w:color="auto"/>
              <w:right w:val="single" w:sz="4" w:space="0" w:color="auto"/>
            </w:tcBorders>
            <w:shd w:val="clear" w:color="000000" w:fill="FFFFFF"/>
            <w:noWrap/>
            <w:vAlign w:val="bottom"/>
          </w:tcPr>
          <w:p w:rsidR="00B37D8A" w:rsidRPr="008279FD" w:rsidRDefault="00B37D8A" w:rsidP="0085600D">
            <w:pPr>
              <w:spacing w:after="0" w:line="240" w:lineRule="auto"/>
              <w:rPr>
                <w:rFonts w:ascii="Arial" w:hAnsi="Arial" w:cs="Arial"/>
                <w:sz w:val="18"/>
                <w:szCs w:val="18"/>
              </w:rPr>
            </w:pPr>
            <w:r w:rsidRPr="008279FD">
              <w:rPr>
                <w:rFonts w:ascii="Arial" w:hAnsi="Arial" w:cs="Arial"/>
                <w:sz w:val="18"/>
                <w:szCs w:val="18"/>
              </w:rPr>
              <w:t>Limpieza</w:t>
            </w:r>
          </w:p>
        </w:tc>
        <w:tc>
          <w:tcPr>
            <w:tcW w:w="1378" w:type="pct"/>
            <w:tcBorders>
              <w:top w:val="nil"/>
              <w:left w:val="nil"/>
              <w:bottom w:val="single" w:sz="4" w:space="0" w:color="auto"/>
              <w:right w:val="single" w:sz="4" w:space="0" w:color="auto"/>
            </w:tcBorders>
            <w:shd w:val="clear" w:color="000000" w:fill="FFFFFF"/>
            <w:noWrap/>
            <w:vAlign w:val="bottom"/>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6.500</w:t>
            </w:r>
          </w:p>
        </w:tc>
        <w:tc>
          <w:tcPr>
            <w:tcW w:w="1160" w:type="pct"/>
            <w:tcBorders>
              <w:top w:val="nil"/>
              <w:left w:val="nil"/>
              <w:bottom w:val="single" w:sz="4" w:space="0" w:color="auto"/>
              <w:right w:val="single" w:sz="4" w:space="0" w:color="auto"/>
            </w:tcBorders>
            <w:shd w:val="clear" w:color="000000" w:fill="FFFFFF"/>
            <w:noWrap/>
            <w:vAlign w:val="bottom"/>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78.000</w:t>
            </w:r>
          </w:p>
        </w:tc>
      </w:tr>
      <w:tr w:rsidR="00B37D8A" w:rsidRPr="008279FD" w:rsidTr="0085600D">
        <w:trPr>
          <w:cantSplit/>
          <w:trHeight w:val="57"/>
          <w:jc w:val="center"/>
        </w:trPr>
        <w:tc>
          <w:tcPr>
            <w:tcW w:w="2463" w:type="pct"/>
            <w:tcBorders>
              <w:top w:val="single" w:sz="4" w:space="0" w:color="auto"/>
              <w:left w:val="single" w:sz="4" w:space="0" w:color="auto"/>
              <w:bottom w:val="single" w:sz="4" w:space="0" w:color="auto"/>
              <w:right w:val="single" w:sz="4" w:space="0" w:color="auto"/>
            </w:tcBorders>
            <w:noWrap/>
            <w:vAlign w:val="bottom"/>
          </w:tcPr>
          <w:p w:rsidR="00B37D8A" w:rsidRPr="008279FD" w:rsidRDefault="00B37D8A" w:rsidP="0085600D">
            <w:pPr>
              <w:spacing w:after="0" w:line="240" w:lineRule="auto"/>
              <w:rPr>
                <w:rFonts w:ascii="Arial" w:hAnsi="Arial" w:cs="Arial"/>
                <w:sz w:val="18"/>
                <w:szCs w:val="18"/>
              </w:rPr>
            </w:pPr>
            <w:r w:rsidRPr="008279FD">
              <w:rPr>
                <w:rFonts w:ascii="Arial" w:hAnsi="Arial" w:cs="Arial"/>
                <w:sz w:val="18"/>
                <w:szCs w:val="18"/>
              </w:rPr>
              <w:t>Total</w:t>
            </w:r>
          </w:p>
        </w:tc>
        <w:tc>
          <w:tcPr>
            <w:tcW w:w="1378" w:type="pct"/>
            <w:tcBorders>
              <w:top w:val="single" w:sz="4" w:space="0" w:color="auto"/>
              <w:left w:val="nil"/>
              <w:bottom w:val="single" w:sz="4" w:space="0" w:color="auto"/>
              <w:right w:val="single" w:sz="4" w:space="0" w:color="auto"/>
            </w:tcBorders>
            <w:noWrap/>
            <w:vAlign w:val="bottom"/>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39.500</w:t>
            </w:r>
          </w:p>
        </w:tc>
        <w:tc>
          <w:tcPr>
            <w:tcW w:w="1160" w:type="pct"/>
            <w:tcBorders>
              <w:top w:val="single" w:sz="4" w:space="0" w:color="auto"/>
              <w:left w:val="nil"/>
              <w:bottom w:val="single" w:sz="4" w:space="0" w:color="auto"/>
              <w:right w:val="single" w:sz="4" w:space="0" w:color="auto"/>
            </w:tcBorders>
            <w:noWrap/>
            <w:vAlign w:val="bottom"/>
          </w:tcPr>
          <w:p w:rsidR="00B37D8A" w:rsidRPr="008279FD" w:rsidRDefault="00B37D8A" w:rsidP="0085600D">
            <w:pPr>
              <w:spacing w:after="0" w:line="240" w:lineRule="auto"/>
              <w:jc w:val="center"/>
              <w:rPr>
                <w:rFonts w:ascii="Arial" w:hAnsi="Arial" w:cs="Arial"/>
                <w:sz w:val="18"/>
                <w:szCs w:val="18"/>
              </w:rPr>
            </w:pPr>
            <w:r w:rsidRPr="008279FD">
              <w:rPr>
                <w:rFonts w:ascii="Arial" w:hAnsi="Arial" w:cs="Arial"/>
                <w:sz w:val="18"/>
                <w:szCs w:val="18"/>
              </w:rPr>
              <w:t>474.000</w:t>
            </w:r>
          </w:p>
        </w:tc>
      </w:tr>
    </w:tbl>
    <w:p w:rsidR="004F588F" w:rsidRDefault="004F588F" w:rsidP="004F588F">
      <w:pPr>
        <w:jc w:val="both"/>
        <w:rPr>
          <w:rFonts w:ascii="Times New Roman" w:hAnsi="Times New Roman"/>
        </w:rPr>
      </w:pPr>
      <w:bookmarkStart w:id="46" w:name="_Toc362804626"/>
    </w:p>
    <w:p w:rsidR="00B37D8A" w:rsidRPr="00A174D7" w:rsidRDefault="00B37D8A" w:rsidP="006101E8">
      <w:pPr>
        <w:pStyle w:val="Heading2"/>
        <w:spacing w:after="240"/>
        <w:rPr>
          <w:rFonts w:ascii="Times New Roman" w:hAnsi="Times New Roman"/>
          <w:lang w:val="es-AR"/>
        </w:rPr>
      </w:pPr>
      <w:r w:rsidRPr="00A174D7">
        <w:rPr>
          <w:rFonts w:ascii="Times New Roman" w:hAnsi="Times New Roman"/>
          <w:lang w:val="es-AR"/>
        </w:rPr>
        <w:t xml:space="preserve">Supuestos </w:t>
      </w:r>
      <w:r w:rsidR="00A174D7" w:rsidRPr="00A174D7">
        <w:rPr>
          <w:rFonts w:ascii="Times New Roman" w:hAnsi="Times New Roman"/>
          <w:lang w:val="es-AR"/>
        </w:rPr>
        <w:t xml:space="preserve">y parámetros </w:t>
      </w:r>
      <w:r w:rsidRPr="00A174D7">
        <w:rPr>
          <w:rFonts w:ascii="Times New Roman" w:hAnsi="Times New Roman"/>
          <w:lang w:val="es-AR"/>
        </w:rPr>
        <w:t>del análisis</w:t>
      </w:r>
      <w:bookmarkEnd w:id="46"/>
    </w:p>
    <w:p w:rsidR="00B37D8A" w:rsidRDefault="00B37D8A" w:rsidP="00AE7EFC">
      <w:pPr>
        <w:jc w:val="both"/>
        <w:rPr>
          <w:rFonts w:ascii="Times New Roman" w:hAnsi="Times New Roman"/>
          <w:sz w:val="24"/>
          <w:szCs w:val="24"/>
          <w:lang w:val="es-ES"/>
        </w:rPr>
      </w:pPr>
      <w:r>
        <w:rPr>
          <w:rFonts w:ascii="Times New Roman" w:hAnsi="Times New Roman"/>
          <w:sz w:val="24"/>
          <w:szCs w:val="24"/>
          <w:lang w:val="es-ES"/>
        </w:rPr>
        <w:t>Los supuestos que sustentan el análisis presentado son:</w:t>
      </w:r>
    </w:p>
    <w:p w:rsidR="00B37D8A" w:rsidRDefault="00B37D8A" w:rsidP="00AE7EFC">
      <w:pPr>
        <w:pStyle w:val="ListParagraph"/>
        <w:numPr>
          <w:ilvl w:val="0"/>
          <w:numId w:val="18"/>
        </w:numPr>
        <w:spacing w:after="0"/>
        <w:ind w:left="851" w:hanging="491"/>
        <w:jc w:val="both"/>
        <w:rPr>
          <w:rFonts w:ascii="Times New Roman" w:hAnsi="Times New Roman"/>
          <w:sz w:val="24"/>
        </w:rPr>
      </w:pPr>
      <w:r>
        <w:rPr>
          <w:rFonts w:ascii="Times New Roman" w:hAnsi="Times New Roman"/>
          <w:sz w:val="24"/>
        </w:rPr>
        <w:t xml:space="preserve">Se espera la instalación de 5 instituciones de apoyo y </w:t>
      </w:r>
      <w:r w:rsidR="004F588F">
        <w:rPr>
          <w:rFonts w:ascii="Times New Roman" w:hAnsi="Times New Roman"/>
          <w:sz w:val="24"/>
        </w:rPr>
        <w:t>30</w:t>
      </w:r>
      <w:r>
        <w:rPr>
          <w:rFonts w:ascii="Times New Roman" w:hAnsi="Times New Roman"/>
          <w:sz w:val="24"/>
        </w:rPr>
        <w:t xml:space="preserve"> empresas en el Polo de Conocimientos. De dichas firmas, se supone que el 80% (2</w:t>
      </w:r>
      <w:r w:rsidR="004F588F">
        <w:rPr>
          <w:rFonts w:ascii="Times New Roman" w:hAnsi="Times New Roman"/>
          <w:sz w:val="24"/>
        </w:rPr>
        <w:t>4</w:t>
      </w:r>
      <w:r>
        <w:rPr>
          <w:rFonts w:ascii="Times New Roman" w:hAnsi="Times New Roman"/>
          <w:sz w:val="24"/>
        </w:rPr>
        <w:t xml:space="preserve"> </w:t>
      </w:r>
      <w:r w:rsidR="004F588F">
        <w:rPr>
          <w:rFonts w:ascii="Times New Roman" w:hAnsi="Times New Roman"/>
          <w:sz w:val="24"/>
        </w:rPr>
        <w:t>firmas</w:t>
      </w:r>
      <w:r>
        <w:rPr>
          <w:rFonts w:ascii="Times New Roman" w:hAnsi="Times New Roman"/>
          <w:sz w:val="24"/>
        </w:rPr>
        <w:t>) serán proyectos que se relocalizarán en el predio</w:t>
      </w:r>
      <w:r w:rsidR="004F588F">
        <w:rPr>
          <w:rFonts w:ascii="Times New Roman" w:hAnsi="Times New Roman"/>
          <w:sz w:val="24"/>
        </w:rPr>
        <w:t xml:space="preserve"> –denominadas empresas tipo (1)</w:t>
      </w:r>
      <w:r w:rsidR="004F2A5D">
        <w:rPr>
          <w:rFonts w:ascii="Times New Roman" w:hAnsi="Times New Roman"/>
          <w:sz w:val="24"/>
        </w:rPr>
        <w:t>-</w:t>
      </w:r>
      <w:r>
        <w:rPr>
          <w:rFonts w:ascii="Times New Roman" w:hAnsi="Times New Roman"/>
          <w:sz w:val="24"/>
        </w:rPr>
        <w:t>, mientras que el 20% restante (</w:t>
      </w:r>
      <w:r w:rsidR="004F588F">
        <w:rPr>
          <w:rFonts w:ascii="Times New Roman" w:hAnsi="Times New Roman"/>
          <w:sz w:val="24"/>
        </w:rPr>
        <w:t>6</w:t>
      </w:r>
      <w:r>
        <w:rPr>
          <w:rFonts w:ascii="Times New Roman" w:hAnsi="Times New Roman"/>
          <w:sz w:val="24"/>
        </w:rPr>
        <w:t xml:space="preserve"> </w:t>
      </w:r>
      <w:r w:rsidR="004F588F">
        <w:rPr>
          <w:rFonts w:ascii="Times New Roman" w:hAnsi="Times New Roman"/>
          <w:sz w:val="24"/>
        </w:rPr>
        <w:t>firmas</w:t>
      </w:r>
      <w:r>
        <w:rPr>
          <w:rFonts w:ascii="Times New Roman" w:hAnsi="Times New Roman"/>
          <w:sz w:val="24"/>
        </w:rPr>
        <w:t>) corresponden a nuevos emprendimientos</w:t>
      </w:r>
      <w:r w:rsidR="004F588F">
        <w:rPr>
          <w:rFonts w:ascii="Times New Roman" w:hAnsi="Times New Roman"/>
          <w:sz w:val="24"/>
        </w:rPr>
        <w:t xml:space="preserve"> –denominadas empresas tipo (2)</w:t>
      </w:r>
      <w:r w:rsidR="004F2A5D">
        <w:rPr>
          <w:rFonts w:ascii="Times New Roman" w:hAnsi="Times New Roman"/>
          <w:sz w:val="24"/>
        </w:rPr>
        <w:t>-</w:t>
      </w:r>
      <w:r>
        <w:rPr>
          <w:rFonts w:ascii="Times New Roman" w:hAnsi="Times New Roman"/>
          <w:sz w:val="24"/>
        </w:rPr>
        <w:t xml:space="preserve">. </w:t>
      </w:r>
      <w:r w:rsidR="0077378F">
        <w:rPr>
          <w:rFonts w:ascii="Times New Roman" w:hAnsi="Times New Roman"/>
          <w:sz w:val="24"/>
        </w:rPr>
        <w:t>Esta distribución es arbitraria, por lo tanto la cambiamos en el análisis de senisbilidad.</w:t>
      </w:r>
    </w:p>
    <w:p w:rsidR="00B37D8A" w:rsidRDefault="00B37D8A" w:rsidP="00AE7EFC">
      <w:pPr>
        <w:pStyle w:val="ListParagraph"/>
        <w:numPr>
          <w:ilvl w:val="0"/>
          <w:numId w:val="18"/>
        </w:numPr>
        <w:spacing w:after="0"/>
        <w:ind w:left="851" w:hanging="491"/>
        <w:jc w:val="both"/>
        <w:rPr>
          <w:rFonts w:ascii="Times New Roman" w:hAnsi="Times New Roman"/>
          <w:sz w:val="24"/>
        </w:rPr>
      </w:pPr>
      <w:r>
        <w:rPr>
          <w:rFonts w:ascii="Times New Roman" w:hAnsi="Times New Roman"/>
          <w:sz w:val="24"/>
        </w:rPr>
        <w:t xml:space="preserve">En el año de comienzo de operación del </w:t>
      </w:r>
      <w:r w:rsidR="002F0092">
        <w:rPr>
          <w:rFonts w:ascii="Times New Roman" w:hAnsi="Times New Roman"/>
          <w:sz w:val="24"/>
        </w:rPr>
        <w:t>P</w:t>
      </w:r>
      <w:r>
        <w:rPr>
          <w:rFonts w:ascii="Times New Roman" w:hAnsi="Times New Roman"/>
          <w:sz w:val="24"/>
        </w:rPr>
        <w:t xml:space="preserve">olo se instalan: una empresa nueva y cinco existentes. Luego y hasta el décimo año, el ingreso de las empresas en el Polo ocurre de forma gradual hasta llegar a las </w:t>
      </w:r>
      <w:r w:rsidR="002F0092">
        <w:rPr>
          <w:rFonts w:ascii="Times New Roman" w:hAnsi="Times New Roman"/>
          <w:sz w:val="24"/>
        </w:rPr>
        <w:t>30</w:t>
      </w:r>
      <w:r>
        <w:rPr>
          <w:rFonts w:ascii="Times New Roman" w:hAnsi="Times New Roman"/>
          <w:sz w:val="24"/>
        </w:rPr>
        <w:t xml:space="preserve"> firmas. Específicamente, en el primer sub período (años 2 a 10) las empresas nuevas crecen a una tasa del </w:t>
      </w:r>
      <w:r w:rsidR="002F0092">
        <w:rPr>
          <w:rFonts w:ascii="Times New Roman" w:hAnsi="Times New Roman"/>
          <w:sz w:val="24"/>
        </w:rPr>
        <w:t>22</w:t>
      </w:r>
      <w:r>
        <w:rPr>
          <w:rFonts w:ascii="Times New Roman" w:hAnsi="Times New Roman"/>
          <w:sz w:val="24"/>
        </w:rPr>
        <w:t xml:space="preserve">% y las existentes </w:t>
      </w:r>
      <w:r w:rsidR="0077378F">
        <w:rPr>
          <w:rFonts w:ascii="Times New Roman" w:hAnsi="Times New Roman"/>
          <w:sz w:val="24"/>
        </w:rPr>
        <w:t xml:space="preserve">a una tasa </w:t>
      </w:r>
      <w:r>
        <w:rPr>
          <w:rFonts w:ascii="Times New Roman" w:hAnsi="Times New Roman"/>
          <w:sz w:val="24"/>
        </w:rPr>
        <w:t>de 1</w:t>
      </w:r>
      <w:r w:rsidR="002F0092">
        <w:rPr>
          <w:rFonts w:ascii="Times New Roman" w:hAnsi="Times New Roman"/>
          <w:sz w:val="24"/>
        </w:rPr>
        <w:t>9</w:t>
      </w:r>
      <w:r>
        <w:rPr>
          <w:rFonts w:ascii="Times New Roman" w:hAnsi="Times New Roman"/>
          <w:sz w:val="24"/>
        </w:rPr>
        <w:t>%.</w:t>
      </w:r>
      <w:r w:rsidR="003813DE">
        <w:rPr>
          <w:rFonts w:ascii="Times New Roman" w:hAnsi="Times New Roman"/>
          <w:sz w:val="24"/>
        </w:rPr>
        <w:t xml:space="preserve"> </w:t>
      </w:r>
      <w:r w:rsidR="0077378F">
        <w:rPr>
          <w:rFonts w:ascii="Times New Roman" w:hAnsi="Times New Roman"/>
          <w:sz w:val="24"/>
        </w:rPr>
        <w:t>Asó</w:t>
      </w:r>
      <w:r w:rsidR="003813DE">
        <w:rPr>
          <w:rFonts w:ascii="Times New Roman" w:hAnsi="Times New Roman"/>
          <w:sz w:val="24"/>
        </w:rPr>
        <w:t xml:space="preserve"> a partir del año 11 la cantidad de firmas instaladas en el polo es 24 para las tipo (1) y 6 para las tipo (2).</w:t>
      </w:r>
    </w:p>
    <w:p w:rsidR="00B37D8A" w:rsidRDefault="00B37D8A" w:rsidP="00AE7EFC">
      <w:pPr>
        <w:pStyle w:val="ListParagraph"/>
        <w:numPr>
          <w:ilvl w:val="0"/>
          <w:numId w:val="18"/>
        </w:numPr>
        <w:spacing w:after="0"/>
        <w:ind w:left="851" w:hanging="491"/>
        <w:jc w:val="both"/>
        <w:rPr>
          <w:rFonts w:ascii="Times New Roman" w:hAnsi="Times New Roman"/>
          <w:sz w:val="24"/>
        </w:rPr>
      </w:pPr>
      <w:r>
        <w:rPr>
          <w:rFonts w:ascii="Times New Roman" w:hAnsi="Times New Roman"/>
          <w:sz w:val="24"/>
        </w:rPr>
        <w:t xml:space="preserve">El Polo de Conocimientos ofrece un descuento del 40% en el valor del metro cuadrado a las empresas que se instalen en el predio. </w:t>
      </w:r>
    </w:p>
    <w:p w:rsidR="00B37D8A" w:rsidRDefault="00397B2B" w:rsidP="00AE7EFC">
      <w:pPr>
        <w:pStyle w:val="ListParagraph"/>
        <w:numPr>
          <w:ilvl w:val="0"/>
          <w:numId w:val="18"/>
        </w:numPr>
        <w:spacing w:after="0"/>
        <w:ind w:left="851" w:hanging="491"/>
        <w:jc w:val="both"/>
        <w:rPr>
          <w:rFonts w:ascii="Times New Roman" w:hAnsi="Times New Roman"/>
          <w:sz w:val="24"/>
        </w:rPr>
      </w:pPr>
      <w:r>
        <w:rPr>
          <w:rFonts w:ascii="Times New Roman" w:hAnsi="Times New Roman"/>
          <w:sz w:val="24"/>
        </w:rPr>
        <w:t xml:space="preserve">Las empresas mendocinas del sector TIC facturan en promedio </w:t>
      </w:r>
      <w:r w:rsidRPr="00397B2B">
        <w:rPr>
          <w:rFonts w:ascii="Times New Roman" w:hAnsi="Times New Roman"/>
          <w:sz w:val="24"/>
        </w:rPr>
        <w:t>5</w:t>
      </w:r>
      <w:r>
        <w:rPr>
          <w:rFonts w:ascii="Times New Roman" w:hAnsi="Times New Roman"/>
          <w:sz w:val="24"/>
        </w:rPr>
        <w:t>.</w:t>
      </w:r>
      <w:r w:rsidRPr="00397B2B">
        <w:rPr>
          <w:rFonts w:ascii="Times New Roman" w:hAnsi="Times New Roman"/>
          <w:sz w:val="24"/>
        </w:rPr>
        <w:t>038</w:t>
      </w:r>
      <w:r>
        <w:rPr>
          <w:rFonts w:ascii="Times New Roman" w:hAnsi="Times New Roman"/>
          <w:sz w:val="24"/>
        </w:rPr>
        <w:t>.</w:t>
      </w:r>
      <w:r w:rsidRPr="00397B2B">
        <w:rPr>
          <w:rFonts w:ascii="Times New Roman" w:hAnsi="Times New Roman"/>
          <w:sz w:val="24"/>
        </w:rPr>
        <w:t>760</w:t>
      </w:r>
      <w:r>
        <w:rPr>
          <w:rFonts w:ascii="Times New Roman" w:hAnsi="Times New Roman"/>
          <w:sz w:val="24"/>
        </w:rPr>
        <w:t xml:space="preserve"> al año </w:t>
      </w:r>
      <w:r w:rsidR="00A10EE9">
        <w:rPr>
          <w:rFonts w:ascii="Times New Roman" w:hAnsi="Times New Roman"/>
          <w:sz w:val="24"/>
        </w:rPr>
        <w:t>(</w:t>
      </w:r>
      <w:r w:rsidR="00AF1049">
        <w:rPr>
          <w:rFonts w:ascii="Times New Roman" w:hAnsi="Times New Roman"/>
          <w:sz w:val="24"/>
        </w:rPr>
        <w:t>IDITS</w:t>
      </w:r>
      <w:r w:rsidR="00A10EE9">
        <w:rPr>
          <w:rFonts w:ascii="Times New Roman" w:hAnsi="Times New Roman"/>
          <w:sz w:val="24"/>
        </w:rPr>
        <w:t>,</w:t>
      </w:r>
      <w:r>
        <w:rPr>
          <w:rFonts w:ascii="Times New Roman" w:hAnsi="Times New Roman"/>
          <w:sz w:val="24"/>
        </w:rPr>
        <w:t xml:space="preserve"> </w:t>
      </w:r>
      <w:r w:rsidR="00AF1049">
        <w:rPr>
          <w:rFonts w:ascii="Times New Roman" w:hAnsi="Times New Roman"/>
          <w:sz w:val="24"/>
        </w:rPr>
        <w:t>2010</w:t>
      </w:r>
      <w:r w:rsidR="00A10EE9">
        <w:rPr>
          <w:rFonts w:ascii="Times New Roman" w:hAnsi="Times New Roman"/>
          <w:sz w:val="24"/>
        </w:rPr>
        <w:t xml:space="preserve"> </w:t>
      </w:r>
      <w:r w:rsidR="00AF1049">
        <w:rPr>
          <w:rFonts w:ascii="Times New Roman" w:hAnsi="Times New Roman"/>
          <w:sz w:val="24"/>
        </w:rPr>
        <w:t>y 2006)</w:t>
      </w:r>
      <w:r w:rsidR="00A10EE9">
        <w:rPr>
          <w:rFonts w:ascii="Times New Roman" w:hAnsi="Times New Roman"/>
          <w:sz w:val="24"/>
        </w:rPr>
        <w:t>, y e</w:t>
      </w:r>
      <w:r w:rsidR="00AF1049">
        <w:rPr>
          <w:rFonts w:ascii="Times New Roman" w:hAnsi="Times New Roman"/>
          <w:sz w:val="24"/>
        </w:rPr>
        <w:t>se es el monto de facturación asignado a l</w:t>
      </w:r>
      <w:r w:rsidR="00B37D8A">
        <w:rPr>
          <w:rFonts w:ascii="Times New Roman" w:hAnsi="Times New Roman"/>
          <w:sz w:val="24"/>
        </w:rPr>
        <w:t xml:space="preserve">as </w:t>
      </w:r>
      <w:r>
        <w:rPr>
          <w:rFonts w:ascii="Times New Roman" w:hAnsi="Times New Roman"/>
          <w:sz w:val="24"/>
        </w:rPr>
        <w:t>firmas</w:t>
      </w:r>
      <w:r w:rsidR="00B37D8A">
        <w:rPr>
          <w:rFonts w:ascii="Times New Roman" w:hAnsi="Times New Roman"/>
          <w:sz w:val="24"/>
        </w:rPr>
        <w:t xml:space="preserve"> </w:t>
      </w:r>
      <w:r w:rsidR="00A10EE9">
        <w:rPr>
          <w:rFonts w:ascii="Times New Roman" w:hAnsi="Times New Roman"/>
          <w:sz w:val="24"/>
        </w:rPr>
        <w:t>existentes que decidan instalarse</w:t>
      </w:r>
      <w:r w:rsidR="00B37D8A">
        <w:rPr>
          <w:rFonts w:ascii="Times New Roman" w:hAnsi="Times New Roman"/>
          <w:sz w:val="24"/>
        </w:rPr>
        <w:t xml:space="preserve"> en el Polo </w:t>
      </w:r>
      <w:r>
        <w:rPr>
          <w:rFonts w:ascii="Times New Roman" w:hAnsi="Times New Roman"/>
          <w:sz w:val="24"/>
        </w:rPr>
        <w:t>–empresas tipo (1)-</w:t>
      </w:r>
      <w:r w:rsidR="00AF1049">
        <w:rPr>
          <w:rFonts w:ascii="Times New Roman" w:hAnsi="Times New Roman"/>
          <w:sz w:val="24"/>
        </w:rPr>
        <w:t xml:space="preserve">. Se supone que su radicación en el Polo de conocimientos les </w:t>
      </w:r>
      <w:r w:rsidR="00AF1049">
        <w:rPr>
          <w:rFonts w:ascii="Times New Roman" w:hAnsi="Times New Roman"/>
          <w:sz w:val="24"/>
        </w:rPr>
        <w:lastRenderedPageBreak/>
        <w:t xml:space="preserve">permitirá incrementar sus ventas </w:t>
      </w:r>
      <w:r w:rsidR="00B37D8A">
        <w:rPr>
          <w:rFonts w:ascii="Times New Roman" w:hAnsi="Times New Roman"/>
          <w:sz w:val="24"/>
        </w:rPr>
        <w:t>como consecuencia de dicha relocalización</w:t>
      </w:r>
      <w:r w:rsidR="00AF1049">
        <w:rPr>
          <w:rFonts w:ascii="Times New Roman" w:hAnsi="Times New Roman"/>
          <w:sz w:val="24"/>
        </w:rPr>
        <w:t xml:space="preserve"> en un</w:t>
      </w:r>
      <w:r w:rsidR="00B37D8A">
        <w:rPr>
          <w:rFonts w:ascii="Times New Roman" w:hAnsi="Times New Roman"/>
          <w:sz w:val="24"/>
        </w:rPr>
        <w:t xml:space="preserve"> 2</w:t>
      </w:r>
      <w:r w:rsidR="002F0092">
        <w:rPr>
          <w:rFonts w:ascii="Times New Roman" w:hAnsi="Times New Roman"/>
          <w:sz w:val="24"/>
        </w:rPr>
        <w:t>,5</w:t>
      </w:r>
      <w:r w:rsidR="00B37D8A">
        <w:rPr>
          <w:rFonts w:ascii="Times New Roman" w:hAnsi="Times New Roman"/>
          <w:sz w:val="24"/>
        </w:rPr>
        <w:t>% anual.</w:t>
      </w:r>
      <w:r w:rsidR="00A174D7">
        <w:rPr>
          <w:rFonts w:ascii="Times New Roman" w:hAnsi="Times New Roman"/>
          <w:sz w:val="24"/>
        </w:rPr>
        <w:t xml:space="preserve"> Este supuesto es arbitrario así es que lo modificamos en el análisis de sensibilidad.</w:t>
      </w:r>
    </w:p>
    <w:p w:rsidR="00C71E27" w:rsidRDefault="00C71E27" w:rsidP="00AE7EFC">
      <w:pPr>
        <w:pStyle w:val="ListParagraph"/>
        <w:numPr>
          <w:ilvl w:val="0"/>
          <w:numId w:val="18"/>
        </w:numPr>
        <w:spacing w:after="0"/>
        <w:ind w:left="851" w:hanging="491"/>
        <w:jc w:val="both"/>
        <w:rPr>
          <w:rFonts w:ascii="Times New Roman" w:hAnsi="Times New Roman"/>
          <w:sz w:val="24"/>
        </w:rPr>
      </w:pPr>
      <w:r>
        <w:rPr>
          <w:rFonts w:ascii="Times New Roman" w:hAnsi="Times New Roman"/>
          <w:sz w:val="24"/>
        </w:rPr>
        <w:t>La facturación de los nuevos emprendimientos</w:t>
      </w:r>
      <w:r w:rsidR="00B37D8A">
        <w:rPr>
          <w:rFonts w:ascii="Times New Roman" w:hAnsi="Times New Roman"/>
          <w:sz w:val="24"/>
        </w:rPr>
        <w:t xml:space="preserve"> que se </w:t>
      </w:r>
      <w:r w:rsidR="00A10EE9">
        <w:rPr>
          <w:rFonts w:ascii="Times New Roman" w:hAnsi="Times New Roman"/>
          <w:sz w:val="24"/>
        </w:rPr>
        <w:t>surgirán</w:t>
      </w:r>
      <w:r w:rsidR="00B37D8A">
        <w:rPr>
          <w:rFonts w:ascii="Times New Roman" w:hAnsi="Times New Roman"/>
          <w:sz w:val="24"/>
        </w:rPr>
        <w:t xml:space="preserve"> en el </w:t>
      </w:r>
      <w:r>
        <w:rPr>
          <w:rFonts w:ascii="Times New Roman" w:hAnsi="Times New Roman"/>
          <w:sz w:val="24"/>
        </w:rPr>
        <w:t>Polo –empresas tipo (2)-</w:t>
      </w:r>
      <w:r w:rsidR="00B37D8A">
        <w:rPr>
          <w:rFonts w:ascii="Times New Roman" w:hAnsi="Times New Roman"/>
          <w:sz w:val="24"/>
        </w:rPr>
        <w:t xml:space="preserve"> es en su primer año de vida ARS 1</w:t>
      </w:r>
      <w:r w:rsidR="00A10EE9">
        <w:rPr>
          <w:rFonts w:ascii="Times New Roman" w:hAnsi="Times New Roman"/>
          <w:sz w:val="24"/>
        </w:rPr>
        <w:t>5</w:t>
      </w:r>
      <w:r w:rsidR="00B37D8A">
        <w:rPr>
          <w:rFonts w:ascii="Times New Roman" w:hAnsi="Times New Roman"/>
          <w:sz w:val="24"/>
        </w:rPr>
        <w:t>0.000</w:t>
      </w:r>
      <w:r>
        <w:rPr>
          <w:rFonts w:ascii="Times New Roman" w:hAnsi="Times New Roman"/>
          <w:sz w:val="24"/>
        </w:rPr>
        <w:t>. Se toma dicho valor como umbral mínimo de ventas para una empresa TIC por la falta de información al respecto.</w:t>
      </w:r>
    </w:p>
    <w:p w:rsidR="00B37D8A" w:rsidRDefault="00C71E27" w:rsidP="00AE7EFC">
      <w:pPr>
        <w:pStyle w:val="ListParagraph"/>
        <w:numPr>
          <w:ilvl w:val="0"/>
          <w:numId w:val="18"/>
        </w:numPr>
        <w:spacing w:after="0"/>
        <w:ind w:left="851" w:hanging="491"/>
        <w:jc w:val="both"/>
        <w:rPr>
          <w:rFonts w:ascii="Times New Roman" w:hAnsi="Times New Roman"/>
          <w:sz w:val="24"/>
        </w:rPr>
      </w:pPr>
      <w:r>
        <w:rPr>
          <w:rFonts w:ascii="Times New Roman" w:hAnsi="Times New Roman"/>
          <w:sz w:val="24"/>
        </w:rPr>
        <w:t xml:space="preserve">Las empresas tipo (2), es decir aquellas que nacen dentro del Polo de conocimientos tienen un incremento de sus ventas del </w:t>
      </w:r>
      <w:r w:rsidR="00B37D8A">
        <w:rPr>
          <w:rFonts w:ascii="Times New Roman" w:hAnsi="Times New Roman"/>
          <w:sz w:val="24"/>
        </w:rPr>
        <w:t>1</w:t>
      </w:r>
      <w:r w:rsidR="00A10EE9">
        <w:rPr>
          <w:rFonts w:ascii="Times New Roman" w:hAnsi="Times New Roman"/>
          <w:sz w:val="24"/>
        </w:rPr>
        <w:t>1</w:t>
      </w:r>
      <w:r w:rsidR="00B37D8A">
        <w:rPr>
          <w:rFonts w:ascii="Times New Roman" w:hAnsi="Times New Roman"/>
          <w:sz w:val="24"/>
        </w:rPr>
        <w:t>,</w:t>
      </w:r>
      <w:r w:rsidR="00A10EE9">
        <w:rPr>
          <w:rFonts w:ascii="Times New Roman" w:hAnsi="Times New Roman"/>
          <w:sz w:val="24"/>
        </w:rPr>
        <w:t>9</w:t>
      </w:r>
      <w:r w:rsidR="00B37D8A">
        <w:rPr>
          <w:rFonts w:ascii="Times New Roman" w:hAnsi="Times New Roman"/>
          <w:sz w:val="24"/>
        </w:rPr>
        <w:t>% anual</w:t>
      </w:r>
      <w:r>
        <w:rPr>
          <w:rFonts w:ascii="Times New Roman" w:hAnsi="Times New Roman"/>
          <w:sz w:val="24"/>
        </w:rPr>
        <w:t xml:space="preserve"> acumulativo, lo que les permite llegar a ARS </w:t>
      </w:r>
      <w:r w:rsidRPr="00A10EE9">
        <w:rPr>
          <w:rFonts w:ascii="Times New Roman" w:hAnsi="Times New Roman"/>
          <w:sz w:val="24"/>
        </w:rPr>
        <w:t>1</w:t>
      </w:r>
      <w:r>
        <w:rPr>
          <w:rFonts w:ascii="Times New Roman" w:hAnsi="Times New Roman"/>
          <w:sz w:val="24"/>
        </w:rPr>
        <w:t>.</w:t>
      </w:r>
      <w:r w:rsidRPr="00A10EE9">
        <w:rPr>
          <w:rFonts w:ascii="Times New Roman" w:hAnsi="Times New Roman"/>
          <w:sz w:val="24"/>
        </w:rPr>
        <w:t>259</w:t>
      </w:r>
      <w:r>
        <w:rPr>
          <w:rFonts w:ascii="Times New Roman" w:hAnsi="Times New Roman"/>
          <w:sz w:val="24"/>
        </w:rPr>
        <w:t>.</w:t>
      </w:r>
      <w:r w:rsidRPr="00A10EE9">
        <w:rPr>
          <w:rFonts w:ascii="Times New Roman" w:hAnsi="Times New Roman"/>
          <w:sz w:val="24"/>
        </w:rPr>
        <w:t>690</w:t>
      </w:r>
      <w:r>
        <w:rPr>
          <w:rFonts w:ascii="Times New Roman" w:hAnsi="Times New Roman"/>
          <w:sz w:val="24"/>
        </w:rPr>
        <w:t xml:space="preserve"> </w:t>
      </w:r>
      <w:r w:rsidR="00B37D8A">
        <w:rPr>
          <w:rFonts w:ascii="Times New Roman" w:hAnsi="Times New Roman"/>
          <w:sz w:val="24"/>
        </w:rPr>
        <w:t>en el año 20</w:t>
      </w:r>
      <w:r>
        <w:rPr>
          <w:rFonts w:ascii="Times New Roman" w:hAnsi="Times New Roman"/>
          <w:sz w:val="24"/>
        </w:rPr>
        <w:t xml:space="preserve">. Dicho </w:t>
      </w:r>
      <w:r w:rsidR="00B37D8A">
        <w:rPr>
          <w:rFonts w:ascii="Times New Roman" w:hAnsi="Times New Roman"/>
          <w:sz w:val="24"/>
        </w:rPr>
        <w:t xml:space="preserve">volumen </w:t>
      </w:r>
      <w:r w:rsidR="00A10EE9">
        <w:rPr>
          <w:rFonts w:ascii="Times New Roman" w:hAnsi="Times New Roman"/>
          <w:sz w:val="24"/>
        </w:rPr>
        <w:t>equivale a</w:t>
      </w:r>
      <w:r w:rsidR="00B37D8A">
        <w:rPr>
          <w:rFonts w:ascii="Times New Roman" w:hAnsi="Times New Roman"/>
          <w:sz w:val="24"/>
        </w:rPr>
        <w:t>l 25% de la facturación promedio de una empresa del sector TIC en Mendoza</w:t>
      </w:r>
      <w:r w:rsidR="00A10EE9">
        <w:rPr>
          <w:rFonts w:ascii="Times New Roman" w:hAnsi="Times New Roman"/>
          <w:sz w:val="24"/>
        </w:rPr>
        <w:t xml:space="preserve"> (ARS </w:t>
      </w:r>
      <w:r w:rsidR="00A10EE9" w:rsidRPr="00397B2B">
        <w:rPr>
          <w:rFonts w:ascii="Times New Roman" w:hAnsi="Times New Roman"/>
          <w:sz w:val="24"/>
        </w:rPr>
        <w:t>5</w:t>
      </w:r>
      <w:r w:rsidR="00A10EE9">
        <w:rPr>
          <w:rFonts w:ascii="Times New Roman" w:hAnsi="Times New Roman"/>
          <w:sz w:val="24"/>
        </w:rPr>
        <w:t>.</w:t>
      </w:r>
      <w:r w:rsidR="00A10EE9" w:rsidRPr="00397B2B">
        <w:rPr>
          <w:rFonts w:ascii="Times New Roman" w:hAnsi="Times New Roman"/>
          <w:sz w:val="24"/>
        </w:rPr>
        <w:t>038</w:t>
      </w:r>
      <w:r w:rsidR="00A10EE9">
        <w:rPr>
          <w:rFonts w:ascii="Times New Roman" w:hAnsi="Times New Roman"/>
          <w:sz w:val="24"/>
        </w:rPr>
        <w:t>.</w:t>
      </w:r>
      <w:r w:rsidR="00A10EE9" w:rsidRPr="00397B2B">
        <w:rPr>
          <w:rFonts w:ascii="Times New Roman" w:hAnsi="Times New Roman"/>
          <w:sz w:val="24"/>
        </w:rPr>
        <w:t>760</w:t>
      </w:r>
      <w:r w:rsidR="00A10EE9">
        <w:rPr>
          <w:rFonts w:ascii="Times New Roman" w:hAnsi="Times New Roman"/>
          <w:sz w:val="24"/>
        </w:rPr>
        <w:t>)</w:t>
      </w:r>
      <w:r w:rsidR="00B37D8A">
        <w:rPr>
          <w:rFonts w:ascii="Times New Roman" w:hAnsi="Times New Roman"/>
          <w:sz w:val="24"/>
        </w:rPr>
        <w:t>.</w:t>
      </w:r>
    </w:p>
    <w:p w:rsidR="00B37D8A" w:rsidRDefault="00B37D8A" w:rsidP="00AE7EFC">
      <w:pPr>
        <w:pStyle w:val="ListParagraph"/>
        <w:numPr>
          <w:ilvl w:val="0"/>
          <w:numId w:val="18"/>
        </w:numPr>
        <w:spacing w:after="0"/>
        <w:ind w:left="851" w:hanging="491"/>
        <w:jc w:val="both"/>
        <w:rPr>
          <w:rFonts w:ascii="Times New Roman" w:hAnsi="Times New Roman"/>
          <w:sz w:val="24"/>
        </w:rPr>
      </w:pPr>
      <w:r>
        <w:rPr>
          <w:rFonts w:ascii="Times New Roman" w:hAnsi="Times New Roman"/>
          <w:sz w:val="24"/>
        </w:rPr>
        <w:t xml:space="preserve">En la estimación de los costos operativos, se utiliza información proveniente de aquellos presupuestados para el Parque Biotecnológico y de Energías Renovables, extendidos a la cantidad de empresas (25) e instituciones (5) que se espera se radicarán en el Polo de Conocimiento. </w:t>
      </w:r>
    </w:p>
    <w:p w:rsidR="00B37D8A" w:rsidRDefault="00B37D8A" w:rsidP="00AE7EFC">
      <w:pPr>
        <w:pStyle w:val="ListParagraph"/>
        <w:numPr>
          <w:ilvl w:val="0"/>
          <w:numId w:val="18"/>
        </w:numPr>
        <w:spacing w:after="0"/>
        <w:ind w:left="851" w:hanging="491"/>
        <w:jc w:val="both"/>
        <w:rPr>
          <w:rFonts w:ascii="Times New Roman" w:hAnsi="Times New Roman"/>
          <w:sz w:val="24"/>
        </w:rPr>
      </w:pPr>
      <w:r>
        <w:rPr>
          <w:rFonts w:ascii="Times New Roman" w:hAnsi="Times New Roman"/>
          <w:sz w:val="24"/>
        </w:rPr>
        <w:t>Se trabaja con valores netos de IVA, dado que dicho impuesto no impacta en el desarrollo del proyecto.</w:t>
      </w:r>
    </w:p>
    <w:p w:rsidR="00B37D8A" w:rsidRDefault="00B37D8A" w:rsidP="00AE7EFC">
      <w:pPr>
        <w:pStyle w:val="ListParagraph"/>
        <w:numPr>
          <w:ilvl w:val="0"/>
          <w:numId w:val="18"/>
        </w:numPr>
        <w:spacing w:after="0"/>
        <w:ind w:left="851" w:hanging="491"/>
        <w:jc w:val="both"/>
        <w:rPr>
          <w:rFonts w:ascii="Times New Roman" w:hAnsi="Times New Roman"/>
          <w:sz w:val="24"/>
        </w:rPr>
      </w:pPr>
      <w:r>
        <w:rPr>
          <w:rFonts w:ascii="Times New Roman" w:hAnsi="Times New Roman"/>
          <w:sz w:val="24"/>
        </w:rPr>
        <w:t>Se toma como cotización del dólar el valor oficial de 5,20.</w:t>
      </w:r>
    </w:p>
    <w:p w:rsidR="00B37D8A" w:rsidRPr="0092582C" w:rsidRDefault="00B37D8A" w:rsidP="00AE7EFC">
      <w:pPr>
        <w:pStyle w:val="ListParagraph"/>
        <w:numPr>
          <w:ilvl w:val="0"/>
          <w:numId w:val="18"/>
        </w:numPr>
        <w:spacing w:after="0"/>
        <w:ind w:left="851" w:hanging="491"/>
        <w:jc w:val="both"/>
        <w:rPr>
          <w:rFonts w:ascii="Times New Roman" w:hAnsi="Times New Roman"/>
          <w:sz w:val="24"/>
        </w:rPr>
      </w:pPr>
      <w:r>
        <w:rPr>
          <w:rFonts w:ascii="Times New Roman" w:hAnsi="Times New Roman"/>
          <w:sz w:val="24"/>
        </w:rPr>
        <w:t>El horizonte temporal de evaluación es de 20 años.</w:t>
      </w:r>
    </w:p>
    <w:p w:rsidR="00B37D8A" w:rsidRPr="00AE7EFC" w:rsidRDefault="00B37D8A" w:rsidP="00680119">
      <w:pPr>
        <w:spacing w:after="240" w:line="240" w:lineRule="auto"/>
        <w:jc w:val="both"/>
        <w:rPr>
          <w:rFonts w:ascii="Times New Roman" w:hAnsi="Times New Roman"/>
          <w:b/>
          <w:bCs/>
          <w:color w:val="53548A"/>
          <w:sz w:val="26"/>
          <w:szCs w:val="26"/>
          <w:lang w:eastAsia="es-ES"/>
        </w:rPr>
      </w:pPr>
    </w:p>
    <w:p w:rsidR="00B37D8A" w:rsidRPr="00511439" w:rsidRDefault="00B37D8A" w:rsidP="006101E8">
      <w:pPr>
        <w:pStyle w:val="Heading2"/>
        <w:spacing w:after="240"/>
        <w:rPr>
          <w:rFonts w:ascii="Times New Roman" w:hAnsi="Times New Roman"/>
          <w:lang w:val="es-ES_tradnl"/>
        </w:rPr>
      </w:pPr>
      <w:bookmarkStart w:id="47" w:name="_Toc362804627"/>
      <w:r w:rsidRPr="00511439">
        <w:rPr>
          <w:rFonts w:ascii="Times New Roman" w:hAnsi="Times New Roman"/>
          <w:lang w:val="es-ES_tradnl"/>
        </w:rPr>
        <w:t>Análisis y resultados</w:t>
      </w:r>
      <w:bookmarkEnd w:id="47"/>
    </w:p>
    <w:p w:rsidR="00B37D8A" w:rsidRDefault="00B37D8A" w:rsidP="00AE7EFC">
      <w:pPr>
        <w:spacing w:before="240"/>
        <w:jc w:val="both"/>
        <w:rPr>
          <w:rFonts w:ascii="Times New Roman" w:hAnsi="Times New Roman"/>
          <w:sz w:val="24"/>
        </w:rPr>
      </w:pPr>
      <w:r>
        <w:rPr>
          <w:rFonts w:ascii="Times New Roman" w:hAnsi="Times New Roman"/>
          <w:sz w:val="24"/>
        </w:rPr>
        <w:t xml:space="preserve">Sobre la </w:t>
      </w:r>
      <w:r w:rsidRPr="0010794A">
        <w:rPr>
          <w:rFonts w:ascii="Times New Roman" w:hAnsi="Times New Roman"/>
          <w:sz w:val="24"/>
        </w:rPr>
        <w:t xml:space="preserve">base </w:t>
      </w:r>
      <w:r>
        <w:rPr>
          <w:rFonts w:ascii="Times New Roman" w:hAnsi="Times New Roman"/>
          <w:sz w:val="24"/>
        </w:rPr>
        <w:t>de</w:t>
      </w:r>
      <w:r w:rsidRPr="0010794A">
        <w:rPr>
          <w:rFonts w:ascii="Times New Roman" w:hAnsi="Times New Roman"/>
          <w:sz w:val="24"/>
        </w:rPr>
        <w:t xml:space="preserve"> las proyecciones realizadas con anterioridad, se </w:t>
      </w:r>
      <w:r>
        <w:rPr>
          <w:rFonts w:ascii="Times New Roman" w:hAnsi="Times New Roman"/>
          <w:sz w:val="24"/>
        </w:rPr>
        <w:t>efectúa una evaluación de factibilidad para un horizonte temporal de 20 años</w:t>
      </w:r>
      <w:r w:rsidR="00B03456">
        <w:rPr>
          <w:rFonts w:ascii="Times New Roman" w:hAnsi="Times New Roman"/>
          <w:sz w:val="24"/>
        </w:rPr>
        <w:t xml:space="preserve"> (tabla 4 en el capítulo 6)</w:t>
      </w:r>
      <w:r>
        <w:rPr>
          <w:rFonts w:ascii="Times New Roman" w:hAnsi="Times New Roman"/>
          <w:sz w:val="24"/>
        </w:rPr>
        <w:t xml:space="preserve">. </w:t>
      </w:r>
      <w:r w:rsidRPr="00602C3C">
        <w:rPr>
          <w:rFonts w:ascii="Times New Roman" w:hAnsi="Times New Roman"/>
          <w:sz w:val="24"/>
        </w:rPr>
        <w:t>S</w:t>
      </w:r>
      <w:r>
        <w:rPr>
          <w:rFonts w:ascii="Times New Roman" w:hAnsi="Times New Roman"/>
          <w:sz w:val="24"/>
        </w:rPr>
        <w:t xml:space="preserve">e ha considerado en el análisis </w:t>
      </w:r>
      <w:r w:rsidRPr="00602C3C">
        <w:rPr>
          <w:rFonts w:ascii="Times New Roman" w:hAnsi="Times New Roman"/>
          <w:sz w:val="24"/>
        </w:rPr>
        <w:t>la inversión para la construcción y el equipamiento del p</w:t>
      </w:r>
      <w:r>
        <w:rPr>
          <w:rFonts w:ascii="Times New Roman" w:hAnsi="Times New Roman"/>
          <w:sz w:val="24"/>
        </w:rPr>
        <w:t>olo</w:t>
      </w:r>
      <w:r w:rsidRPr="00602C3C">
        <w:rPr>
          <w:rFonts w:ascii="Times New Roman" w:hAnsi="Times New Roman"/>
          <w:sz w:val="24"/>
        </w:rPr>
        <w:t xml:space="preserve">, los gastos </w:t>
      </w:r>
      <w:r>
        <w:rPr>
          <w:rFonts w:ascii="Times New Roman" w:hAnsi="Times New Roman"/>
          <w:sz w:val="24"/>
        </w:rPr>
        <w:t xml:space="preserve">operativos derivados de su funcionamiento </w:t>
      </w:r>
      <w:r w:rsidRPr="00602C3C">
        <w:rPr>
          <w:rFonts w:ascii="Times New Roman" w:hAnsi="Times New Roman"/>
          <w:sz w:val="24"/>
        </w:rPr>
        <w:t xml:space="preserve">y el impuesto sobre los ingresos brutos calculado sobre los ingresos por </w:t>
      </w:r>
      <w:r>
        <w:rPr>
          <w:rFonts w:ascii="Times New Roman" w:hAnsi="Times New Roman"/>
          <w:sz w:val="24"/>
        </w:rPr>
        <w:t>venta</w:t>
      </w:r>
      <w:r w:rsidRPr="00602C3C">
        <w:rPr>
          <w:rFonts w:ascii="Times New Roman" w:hAnsi="Times New Roman"/>
          <w:sz w:val="24"/>
        </w:rPr>
        <w:t xml:space="preserve">. </w:t>
      </w:r>
      <w:r>
        <w:rPr>
          <w:rFonts w:ascii="Times New Roman" w:hAnsi="Times New Roman"/>
          <w:sz w:val="24"/>
        </w:rPr>
        <w:t xml:space="preserve">Dentro de </w:t>
      </w:r>
      <w:r w:rsidRPr="00602C3C">
        <w:rPr>
          <w:rFonts w:ascii="Times New Roman" w:hAnsi="Times New Roman"/>
          <w:sz w:val="24"/>
        </w:rPr>
        <w:t xml:space="preserve">los </w:t>
      </w:r>
      <w:r>
        <w:rPr>
          <w:rFonts w:ascii="Times New Roman" w:hAnsi="Times New Roman"/>
          <w:sz w:val="24"/>
        </w:rPr>
        <w:t xml:space="preserve">beneficios, </w:t>
      </w:r>
      <w:r w:rsidRPr="00602C3C">
        <w:rPr>
          <w:rFonts w:ascii="Times New Roman" w:hAnsi="Times New Roman"/>
          <w:sz w:val="24"/>
        </w:rPr>
        <w:t>se consigna</w:t>
      </w:r>
      <w:r>
        <w:rPr>
          <w:rFonts w:ascii="Times New Roman" w:hAnsi="Times New Roman"/>
          <w:sz w:val="24"/>
        </w:rPr>
        <w:t>ro</w:t>
      </w:r>
      <w:r w:rsidRPr="00602C3C">
        <w:rPr>
          <w:rFonts w:ascii="Times New Roman" w:hAnsi="Times New Roman"/>
          <w:sz w:val="24"/>
        </w:rPr>
        <w:t xml:space="preserve">n los </w:t>
      </w:r>
      <w:r>
        <w:rPr>
          <w:rFonts w:ascii="Times New Roman" w:hAnsi="Times New Roman"/>
          <w:sz w:val="24"/>
        </w:rPr>
        <w:t xml:space="preserve">ingresos por venta de terrenos bajo la forma de licitación, el aumento de las ventas de las firmas existentes que se localizarán en el polo, </w:t>
      </w:r>
      <w:r w:rsidR="00701D0A">
        <w:rPr>
          <w:rFonts w:ascii="Times New Roman" w:hAnsi="Times New Roman"/>
          <w:sz w:val="24"/>
        </w:rPr>
        <w:t xml:space="preserve">y </w:t>
      </w:r>
      <w:r>
        <w:rPr>
          <w:rFonts w:ascii="Times New Roman" w:hAnsi="Times New Roman"/>
          <w:sz w:val="24"/>
        </w:rPr>
        <w:t>la facturación anual de los nuevos emprendimientos que tendrán origen en el polo de conocimientos</w:t>
      </w:r>
      <w:r w:rsidRPr="00602C3C">
        <w:rPr>
          <w:rFonts w:ascii="Times New Roman" w:hAnsi="Times New Roman"/>
          <w:sz w:val="24"/>
        </w:rPr>
        <w:t>.</w:t>
      </w:r>
    </w:p>
    <w:p w:rsidR="00B37D8A" w:rsidRPr="00ED6AD1" w:rsidRDefault="00B37D8A" w:rsidP="00AE7EFC">
      <w:pPr>
        <w:spacing w:before="240"/>
        <w:jc w:val="both"/>
        <w:rPr>
          <w:rFonts w:ascii="Times New Roman" w:hAnsi="Times New Roman"/>
          <w:sz w:val="24"/>
        </w:rPr>
      </w:pPr>
      <w:r>
        <w:rPr>
          <w:rFonts w:ascii="Times New Roman" w:hAnsi="Times New Roman"/>
          <w:sz w:val="24"/>
        </w:rPr>
        <w:t>Bajo los supuestos considerados, el análisis mencionado arroja una TIR de 1</w:t>
      </w:r>
      <w:r w:rsidR="00466C46">
        <w:rPr>
          <w:rFonts w:ascii="Times New Roman" w:hAnsi="Times New Roman"/>
          <w:sz w:val="24"/>
        </w:rPr>
        <w:t>3</w:t>
      </w:r>
      <w:r>
        <w:rPr>
          <w:rFonts w:ascii="Times New Roman" w:hAnsi="Times New Roman"/>
          <w:sz w:val="24"/>
        </w:rPr>
        <w:t>,</w:t>
      </w:r>
      <w:r w:rsidR="00466C46">
        <w:rPr>
          <w:rFonts w:ascii="Times New Roman" w:hAnsi="Times New Roman"/>
          <w:sz w:val="24"/>
        </w:rPr>
        <w:t>8</w:t>
      </w:r>
      <w:r w:rsidR="006125F4">
        <w:rPr>
          <w:rFonts w:ascii="Times New Roman" w:hAnsi="Times New Roman"/>
          <w:sz w:val="24"/>
        </w:rPr>
        <w:t xml:space="preserve">% y un VAN de ARS </w:t>
      </w:r>
      <w:r w:rsidR="006125F4" w:rsidRPr="006125F4">
        <w:rPr>
          <w:rFonts w:ascii="Times New Roman" w:hAnsi="Times New Roman"/>
          <w:sz w:val="24"/>
        </w:rPr>
        <w:t>3.274.049</w:t>
      </w:r>
      <w:r w:rsidR="006125F4">
        <w:rPr>
          <w:rFonts w:ascii="Times New Roman" w:hAnsi="Times New Roman"/>
          <w:sz w:val="24"/>
        </w:rPr>
        <w:t xml:space="preserve"> (USD 6</w:t>
      </w:r>
      <w:r w:rsidR="006125F4" w:rsidRPr="006125F4">
        <w:rPr>
          <w:rFonts w:ascii="Times New Roman" w:hAnsi="Times New Roman"/>
          <w:sz w:val="24"/>
        </w:rPr>
        <w:t>29.625</w:t>
      </w:r>
      <w:r w:rsidR="006125F4">
        <w:rPr>
          <w:rFonts w:ascii="Times New Roman" w:hAnsi="Times New Roman"/>
          <w:sz w:val="24"/>
        </w:rPr>
        <w:t>)</w:t>
      </w:r>
      <w:r>
        <w:rPr>
          <w:rFonts w:ascii="Times New Roman" w:hAnsi="Times New Roman"/>
          <w:sz w:val="24"/>
        </w:rPr>
        <w:t xml:space="preserve">. Así, considerando que las </w:t>
      </w:r>
      <w:r w:rsidRPr="008B4C8F">
        <w:rPr>
          <w:rFonts w:ascii="Times New Roman" w:hAnsi="Times New Roman"/>
          <w:sz w:val="24"/>
        </w:rPr>
        <w:t xml:space="preserve">proyecciones fueron realizadas de manera conservadora, con el fin </w:t>
      </w:r>
      <w:r>
        <w:rPr>
          <w:rFonts w:ascii="Times New Roman" w:hAnsi="Times New Roman"/>
          <w:sz w:val="24"/>
        </w:rPr>
        <w:t xml:space="preserve">de </w:t>
      </w:r>
      <w:r w:rsidRPr="008B4C8F">
        <w:rPr>
          <w:rFonts w:ascii="Times New Roman" w:hAnsi="Times New Roman"/>
          <w:sz w:val="24"/>
        </w:rPr>
        <w:t>no sobrestimar las bondades del p</w:t>
      </w:r>
      <w:r>
        <w:rPr>
          <w:rFonts w:ascii="Times New Roman" w:hAnsi="Times New Roman"/>
          <w:sz w:val="24"/>
        </w:rPr>
        <w:t>olo</w:t>
      </w:r>
      <w:r w:rsidRPr="008B4C8F">
        <w:rPr>
          <w:rFonts w:ascii="Times New Roman" w:hAnsi="Times New Roman"/>
          <w:sz w:val="24"/>
        </w:rPr>
        <w:t>, que no se detectaron períodos con flujos de fondos negativos, y que los costos a ser financiados por el proyecto son bajos y variables, se concluye que e</w:t>
      </w:r>
      <w:r w:rsidRPr="0010794A">
        <w:rPr>
          <w:rFonts w:ascii="Times New Roman" w:hAnsi="Times New Roman"/>
          <w:sz w:val="24"/>
        </w:rPr>
        <w:t>l proyecto es sostenible en el tiempo y los fondos que se vayan acumulando servirán para renovar equipamiento e ir realizando nuevas etapas del proyecto.</w:t>
      </w:r>
    </w:p>
    <w:p w:rsidR="00B37D8A" w:rsidRPr="00511439" w:rsidRDefault="00B37D8A" w:rsidP="006101E8">
      <w:pPr>
        <w:pStyle w:val="Heading2"/>
        <w:spacing w:after="240"/>
        <w:rPr>
          <w:rFonts w:ascii="Times New Roman" w:hAnsi="Times New Roman"/>
          <w:lang w:val="es-ES_tradnl"/>
        </w:rPr>
      </w:pPr>
      <w:bookmarkStart w:id="48" w:name="_Toc362804628"/>
      <w:r w:rsidRPr="00511439">
        <w:rPr>
          <w:rFonts w:ascii="Times New Roman" w:hAnsi="Times New Roman"/>
          <w:lang w:val="es-ES_tradnl"/>
        </w:rPr>
        <w:t>Análisis de sensibilidad</w:t>
      </w:r>
      <w:bookmarkEnd w:id="48"/>
    </w:p>
    <w:p w:rsidR="00C86976" w:rsidRDefault="00C86976" w:rsidP="00C86976">
      <w:pPr>
        <w:jc w:val="both"/>
        <w:rPr>
          <w:rFonts w:ascii="Times New Roman" w:hAnsi="Times New Roman"/>
          <w:sz w:val="24"/>
        </w:rPr>
      </w:pPr>
      <w:r>
        <w:rPr>
          <w:rFonts w:ascii="Times New Roman" w:hAnsi="Times New Roman"/>
          <w:sz w:val="24"/>
        </w:rPr>
        <w:t>A los efectos de realizar el análisis de sensibilidad se identifican las variables relevantes y sus valores supuestos inicialmente, y se plantean dos escenarios posibles: uno optimista y otro pesimista. Las variables sensibilizadas son:</w:t>
      </w:r>
    </w:p>
    <w:p w:rsidR="00C86976" w:rsidRDefault="00C86976" w:rsidP="00C86976">
      <w:pPr>
        <w:numPr>
          <w:ilvl w:val="0"/>
          <w:numId w:val="28"/>
        </w:numPr>
        <w:spacing w:after="0"/>
        <w:jc w:val="both"/>
        <w:rPr>
          <w:rFonts w:ascii="Times New Roman" w:hAnsi="Times New Roman"/>
          <w:sz w:val="24"/>
        </w:rPr>
      </w:pPr>
      <w:r>
        <w:rPr>
          <w:rFonts w:ascii="Times New Roman" w:hAnsi="Times New Roman"/>
          <w:sz w:val="24"/>
        </w:rPr>
        <w:lastRenderedPageBreak/>
        <w:t>Cantidad de empresas a instalarse en el Polo de conocimientos (supuesto ii).</w:t>
      </w:r>
    </w:p>
    <w:p w:rsidR="00C86976" w:rsidRDefault="00C86976" w:rsidP="00C86976">
      <w:pPr>
        <w:numPr>
          <w:ilvl w:val="0"/>
          <w:numId w:val="28"/>
        </w:numPr>
        <w:spacing w:after="0"/>
        <w:jc w:val="both"/>
        <w:rPr>
          <w:rFonts w:ascii="Times New Roman" w:hAnsi="Times New Roman"/>
          <w:sz w:val="24"/>
        </w:rPr>
      </w:pPr>
      <w:r>
        <w:rPr>
          <w:rFonts w:ascii="Times New Roman" w:hAnsi="Times New Roman"/>
          <w:sz w:val="24"/>
        </w:rPr>
        <w:t>Tasa de crecimiento de l</w:t>
      </w:r>
      <w:r w:rsidR="00FC7900">
        <w:rPr>
          <w:rFonts w:ascii="Times New Roman" w:hAnsi="Times New Roman"/>
          <w:sz w:val="24"/>
        </w:rPr>
        <w:t>a</w:t>
      </w:r>
      <w:r>
        <w:rPr>
          <w:rFonts w:ascii="Times New Roman" w:hAnsi="Times New Roman"/>
          <w:sz w:val="24"/>
        </w:rPr>
        <w:t xml:space="preserve">s </w:t>
      </w:r>
      <w:r w:rsidR="00FC7900">
        <w:rPr>
          <w:rFonts w:ascii="Times New Roman" w:hAnsi="Times New Roman"/>
          <w:sz w:val="24"/>
        </w:rPr>
        <w:t xml:space="preserve">ventas de las empresas </w:t>
      </w:r>
      <w:r>
        <w:rPr>
          <w:rFonts w:ascii="Times New Roman" w:hAnsi="Times New Roman"/>
          <w:sz w:val="24"/>
        </w:rPr>
        <w:t xml:space="preserve">tipo (1) (supuesto </w:t>
      </w:r>
      <w:r w:rsidR="00FC7900">
        <w:rPr>
          <w:rFonts w:ascii="Times New Roman" w:hAnsi="Times New Roman"/>
          <w:sz w:val="24"/>
        </w:rPr>
        <w:t>i</w:t>
      </w:r>
      <w:r>
        <w:rPr>
          <w:rFonts w:ascii="Times New Roman" w:hAnsi="Times New Roman"/>
          <w:sz w:val="24"/>
        </w:rPr>
        <w:t>v).</w:t>
      </w:r>
    </w:p>
    <w:p w:rsidR="00013102" w:rsidRDefault="00013102" w:rsidP="00C86976">
      <w:pPr>
        <w:numPr>
          <w:ilvl w:val="0"/>
          <w:numId w:val="28"/>
        </w:numPr>
        <w:spacing w:after="0"/>
        <w:jc w:val="both"/>
        <w:rPr>
          <w:rFonts w:ascii="Times New Roman" w:hAnsi="Times New Roman"/>
          <w:sz w:val="24"/>
        </w:rPr>
      </w:pPr>
      <w:r>
        <w:rPr>
          <w:rFonts w:ascii="Times New Roman" w:hAnsi="Times New Roman"/>
          <w:sz w:val="24"/>
        </w:rPr>
        <w:t>Facturación inicial de las empresas tipo (2) (supuesto v).</w:t>
      </w:r>
    </w:p>
    <w:p w:rsidR="00C86976" w:rsidRPr="00013102" w:rsidRDefault="00013102" w:rsidP="00013102">
      <w:pPr>
        <w:numPr>
          <w:ilvl w:val="0"/>
          <w:numId w:val="28"/>
        </w:numPr>
        <w:spacing w:after="0"/>
        <w:jc w:val="both"/>
        <w:rPr>
          <w:rFonts w:ascii="Times New Roman" w:hAnsi="Times New Roman"/>
          <w:sz w:val="24"/>
        </w:rPr>
      </w:pPr>
      <w:r>
        <w:rPr>
          <w:rFonts w:ascii="Times New Roman" w:hAnsi="Times New Roman"/>
          <w:sz w:val="24"/>
        </w:rPr>
        <w:t>Tasa de crecimiento de las ventas de las empresas tipo (2) (supuesto vi).</w:t>
      </w:r>
    </w:p>
    <w:p w:rsidR="00C86976" w:rsidRDefault="00C86976" w:rsidP="00C86976">
      <w:pPr>
        <w:spacing w:before="240"/>
        <w:jc w:val="both"/>
        <w:rPr>
          <w:rFonts w:ascii="Times New Roman" w:hAnsi="Times New Roman"/>
          <w:sz w:val="24"/>
        </w:rPr>
      </w:pPr>
      <w:r>
        <w:rPr>
          <w:rFonts w:ascii="Times New Roman" w:hAnsi="Times New Roman"/>
          <w:sz w:val="24"/>
        </w:rPr>
        <w:t xml:space="preserve">En la tabla a continuación se presentan las variables sensibilizadas y los cambios propuestos para el análisis, junto a la TIR resultante. </w:t>
      </w:r>
      <w:r w:rsidR="0077378F">
        <w:rPr>
          <w:rFonts w:ascii="Times New Roman" w:hAnsi="Times New Roman"/>
          <w:sz w:val="24"/>
        </w:rPr>
        <w:t xml:space="preserve">En cada caso se modifica solo una variable, mientras que el resto mantiene su valor base. </w:t>
      </w:r>
      <w:r>
        <w:rPr>
          <w:rFonts w:ascii="Times New Roman" w:hAnsi="Times New Roman"/>
          <w:sz w:val="24"/>
        </w:rPr>
        <w:t>La última columna expone cuál es el valor mínimo de cada variable que soporta el proyecto, de forma tal de que resulte viable, es decir, obtener una TIR superior al 12%.</w:t>
      </w:r>
    </w:p>
    <w:tbl>
      <w:tblPr>
        <w:tblW w:w="9625"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2"/>
        <w:gridCol w:w="1637"/>
        <w:gridCol w:w="1366"/>
        <w:gridCol w:w="1367"/>
        <w:gridCol w:w="727"/>
        <w:gridCol w:w="1334"/>
        <w:gridCol w:w="727"/>
        <w:gridCol w:w="1355"/>
      </w:tblGrid>
      <w:tr w:rsidR="00C86976" w:rsidRPr="00737070" w:rsidTr="00BD5A1D">
        <w:trPr>
          <w:jc w:val="center"/>
        </w:trPr>
        <w:tc>
          <w:tcPr>
            <w:tcW w:w="1112" w:type="dxa"/>
            <w:tcBorders>
              <w:top w:val="nil"/>
              <w:left w:val="nil"/>
              <w:right w:val="nil"/>
            </w:tcBorders>
            <w:vAlign w:val="center"/>
          </w:tcPr>
          <w:p w:rsidR="00C86976" w:rsidRPr="00737070" w:rsidRDefault="00C86976" w:rsidP="00BD5A1D">
            <w:pPr>
              <w:spacing w:after="0" w:line="240" w:lineRule="auto"/>
              <w:jc w:val="center"/>
              <w:rPr>
                <w:rFonts w:ascii="Arial" w:hAnsi="Arial" w:cs="Arial"/>
                <w:sz w:val="18"/>
                <w:szCs w:val="18"/>
              </w:rPr>
            </w:pPr>
          </w:p>
        </w:tc>
        <w:tc>
          <w:tcPr>
            <w:tcW w:w="1637" w:type="dxa"/>
            <w:tcBorders>
              <w:top w:val="nil"/>
              <w:left w:val="nil"/>
              <w:bottom w:val="single" w:sz="4" w:space="0" w:color="auto"/>
            </w:tcBorders>
            <w:shd w:val="clear" w:color="auto" w:fill="auto"/>
            <w:vAlign w:val="center"/>
          </w:tcPr>
          <w:p w:rsidR="00C86976" w:rsidRPr="00737070" w:rsidRDefault="00C86976" w:rsidP="00BD5A1D">
            <w:pPr>
              <w:spacing w:after="0" w:line="240" w:lineRule="auto"/>
              <w:jc w:val="center"/>
              <w:rPr>
                <w:rFonts w:ascii="Arial" w:hAnsi="Arial" w:cs="Arial"/>
                <w:sz w:val="18"/>
                <w:szCs w:val="18"/>
              </w:rPr>
            </w:pPr>
          </w:p>
        </w:tc>
        <w:tc>
          <w:tcPr>
            <w:tcW w:w="1366" w:type="dxa"/>
            <w:shd w:val="clear" w:color="auto" w:fill="D9D9D9"/>
            <w:vAlign w:val="center"/>
          </w:tcPr>
          <w:p w:rsidR="00C86976" w:rsidRPr="00737070" w:rsidRDefault="00C86976" w:rsidP="00BD5A1D">
            <w:pPr>
              <w:spacing w:after="0" w:line="240" w:lineRule="auto"/>
              <w:jc w:val="center"/>
              <w:rPr>
                <w:rFonts w:ascii="Arial" w:hAnsi="Arial" w:cs="Arial"/>
                <w:sz w:val="18"/>
                <w:szCs w:val="18"/>
              </w:rPr>
            </w:pPr>
            <w:r w:rsidRPr="00737070">
              <w:rPr>
                <w:rFonts w:ascii="Arial" w:hAnsi="Arial" w:cs="Arial"/>
                <w:sz w:val="18"/>
                <w:szCs w:val="18"/>
              </w:rPr>
              <w:t>Caso base</w:t>
            </w:r>
          </w:p>
          <w:p w:rsidR="00C86976" w:rsidRPr="00737070" w:rsidRDefault="00C86976" w:rsidP="00BD5A1D">
            <w:pPr>
              <w:spacing w:after="0" w:line="240" w:lineRule="auto"/>
              <w:jc w:val="center"/>
              <w:rPr>
                <w:rFonts w:ascii="Arial" w:hAnsi="Arial" w:cs="Arial"/>
                <w:sz w:val="18"/>
                <w:szCs w:val="18"/>
              </w:rPr>
            </w:pPr>
            <w:r w:rsidRPr="00737070">
              <w:rPr>
                <w:rFonts w:ascii="Arial" w:hAnsi="Arial" w:cs="Arial"/>
                <w:sz w:val="18"/>
                <w:szCs w:val="18"/>
              </w:rPr>
              <w:t>(TIR 1</w:t>
            </w:r>
            <w:r w:rsidR="00466C46">
              <w:rPr>
                <w:rFonts w:ascii="Arial" w:hAnsi="Arial" w:cs="Arial"/>
                <w:sz w:val="18"/>
                <w:szCs w:val="18"/>
              </w:rPr>
              <w:t>3</w:t>
            </w:r>
            <w:r w:rsidRPr="00737070">
              <w:rPr>
                <w:rFonts w:ascii="Arial" w:hAnsi="Arial" w:cs="Arial"/>
                <w:sz w:val="18"/>
                <w:szCs w:val="18"/>
              </w:rPr>
              <w:t>,</w:t>
            </w:r>
            <w:r w:rsidR="00466C46">
              <w:rPr>
                <w:rFonts w:ascii="Arial" w:hAnsi="Arial" w:cs="Arial"/>
                <w:sz w:val="18"/>
                <w:szCs w:val="18"/>
              </w:rPr>
              <w:t>8</w:t>
            </w:r>
            <w:r w:rsidRPr="00737070">
              <w:rPr>
                <w:rFonts w:ascii="Arial" w:hAnsi="Arial" w:cs="Arial"/>
                <w:sz w:val="18"/>
                <w:szCs w:val="18"/>
              </w:rPr>
              <w:t>%)</w:t>
            </w:r>
          </w:p>
        </w:tc>
        <w:tc>
          <w:tcPr>
            <w:tcW w:w="2094" w:type="dxa"/>
            <w:gridSpan w:val="2"/>
            <w:shd w:val="clear" w:color="auto" w:fill="D9D9D9"/>
            <w:vAlign w:val="center"/>
          </w:tcPr>
          <w:p w:rsidR="00C86976" w:rsidRPr="00737070" w:rsidRDefault="00C86976" w:rsidP="00BD5A1D">
            <w:pPr>
              <w:spacing w:after="0" w:line="240" w:lineRule="auto"/>
              <w:jc w:val="center"/>
              <w:rPr>
                <w:rFonts w:ascii="Arial" w:hAnsi="Arial" w:cs="Arial"/>
                <w:sz w:val="18"/>
                <w:szCs w:val="18"/>
              </w:rPr>
            </w:pPr>
            <w:r w:rsidRPr="00737070">
              <w:rPr>
                <w:rFonts w:ascii="Arial" w:hAnsi="Arial" w:cs="Arial"/>
                <w:sz w:val="18"/>
                <w:szCs w:val="18"/>
              </w:rPr>
              <w:t>Escenario optimista</w:t>
            </w:r>
          </w:p>
        </w:tc>
        <w:tc>
          <w:tcPr>
            <w:tcW w:w="2061" w:type="dxa"/>
            <w:gridSpan w:val="2"/>
            <w:shd w:val="clear" w:color="auto" w:fill="D9D9D9"/>
            <w:vAlign w:val="center"/>
          </w:tcPr>
          <w:p w:rsidR="00C86976" w:rsidRPr="00737070" w:rsidRDefault="00C86976" w:rsidP="00BD5A1D">
            <w:pPr>
              <w:spacing w:after="0" w:line="240" w:lineRule="auto"/>
              <w:jc w:val="center"/>
              <w:rPr>
                <w:rFonts w:ascii="Arial" w:hAnsi="Arial" w:cs="Arial"/>
                <w:sz w:val="18"/>
                <w:szCs w:val="18"/>
              </w:rPr>
            </w:pPr>
            <w:r w:rsidRPr="00737070">
              <w:rPr>
                <w:rFonts w:ascii="Arial" w:hAnsi="Arial" w:cs="Arial"/>
                <w:sz w:val="18"/>
                <w:szCs w:val="18"/>
              </w:rPr>
              <w:t>Escenario pesimista</w:t>
            </w:r>
          </w:p>
        </w:tc>
        <w:tc>
          <w:tcPr>
            <w:tcW w:w="1355" w:type="dxa"/>
            <w:vMerge w:val="restart"/>
            <w:shd w:val="clear" w:color="auto" w:fill="D9D9D9"/>
            <w:vAlign w:val="center"/>
          </w:tcPr>
          <w:p w:rsidR="00C86976" w:rsidRPr="00737070" w:rsidRDefault="00C86976" w:rsidP="00BD5A1D">
            <w:pPr>
              <w:spacing w:after="0" w:line="240" w:lineRule="auto"/>
              <w:jc w:val="center"/>
              <w:rPr>
                <w:rFonts w:ascii="Arial" w:hAnsi="Arial" w:cs="Arial"/>
                <w:sz w:val="18"/>
                <w:szCs w:val="18"/>
              </w:rPr>
            </w:pPr>
            <w:r w:rsidRPr="00737070">
              <w:rPr>
                <w:rFonts w:ascii="Arial" w:hAnsi="Arial" w:cs="Arial"/>
                <w:sz w:val="18"/>
                <w:szCs w:val="18"/>
              </w:rPr>
              <w:t>Valor mínimo (TIR 12%)</w:t>
            </w:r>
          </w:p>
        </w:tc>
      </w:tr>
      <w:tr w:rsidR="00C86976" w:rsidRPr="00737070" w:rsidTr="00BD5A1D">
        <w:trPr>
          <w:jc w:val="center"/>
        </w:trPr>
        <w:tc>
          <w:tcPr>
            <w:tcW w:w="2749" w:type="dxa"/>
            <w:gridSpan w:val="2"/>
            <w:shd w:val="clear" w:color="auto" w:fill="D9D9D9"/>
            <w:vAlign w:val="center"/>
          </w:tcPr>
          <w:p w:rsidR="00C86976" w:rsidRPr="00737070" w:rsidRDefault="00C86976" w:rsidP="00BD5A1D">
            <w:pPr>
              <w:spacing w:after="0" w:line="240" w:lineRule="auto"/>
              <w:jc w:val="center"/>
              <w:rPr>
                <w:rFonts w:ascii="Arial" w:hAnsi="Arial" w:cs="Arial"/>
                <w:sz w:val="18"/>
                <w:szCs w:val="18"/>
              </w:rPr>
            </w:pPr>
            <w:r w:rsidRPr="00737070">
              <w:rPr>
                <w:rFonts w:ascii="Arial" w:hAnsi="Arial" w:cs="Arial"/>
                <w:sz w:val="18"/>
                <w:szCs w:val="18"/>
              </w:rPr>
              <w:t>Variable sensibilizada</w:t>
            </w:r>
          </w:p>
        </w:tc>
        <w:tc>
          <w:tcPr>
            <w:tcW w:w="1366" w:type="dxa"/>
            <w:shd w:val="clear" w:color="auto" w:fill="D9D9D9"/>
            <w:vAlign w:val="center"/>
          </w:tcPr>
          <w:p w:rsidR="00C86976" w:rsidRPr="00737070" w:rsidRDefault="00C86976" w:rsidP="00BD5A1D">
            <w:pPr>
              <w:spacing w:after="0" w:line="240" w:lineRule="auto"/>
              <w:jc w:val="center"/>
              <w:rPr>
                <w:rFonts w:ascii="Arial" w:hAnsi="Arial" w:cs="Arial"/>
                <w:sz w:val="18"/>
                <w:szCs w:val="18"/>
              </w:rPr>
            </w:pPr>
            <w:r w:rsidRPr="00737070">
              <w:rPr>
                <w:rFonts w:ascii="Arial" w:hAnsi="Arial" w:cs="Arial"/>
                <w:sz w:val="18"/>
                <w:szCs w:val="18"/>
              </w:rPr>
              <w:t>Valor</w:t>
            </w:r>
          </w:p>
        </w:tc>
        <w:tc>
          <w:tcPr>
            <w:tcW w:w="1367" w:type="dxa"/>
            <w:shd w:val="clear" w:color="auto" w:fill="D9D9D9"/>
            <w:vAlign w:val="center"/>
          </w:tcPr>
          <w:p w:rsidR="00C86976" w:rsidRPr="00737070" w:rsidRDefault="00C86976" w:rsidP="00BD5A1D">
            <w:pPr>
              <w:spacing w:after="0" w:line="240" w:lineRule="auto"/>
              <w:jc w:val="center"/>
              <w:rPr>
                <w:rFonts w:ascii="Arial" w:hAnsi="Arial" w:cs="Arial"/>
                <w:sz w:val="18"/>
                <w:szCs w:val="18"/>
              </w:rPr>
            </w:pPr>
            <w:r w:rsidRPr="00737070">
              <w:rPr>
                <w:rFonts w:ascii="Arial" w:hAnsi="Arial" w:cs="Arial"/>
                <w:sz w:val="18"/>
                <w:szCs w:val="18"/>
              </w:rPr>
              <w:t>Valor</w:t>
            </w:r>
          </w:p>
        </w:tc>
        <w:tc>
          <w:tcPr>
            <w:tcW w:w="727" w:type="dxa"/>
            <w:shd w:val="clear" w:color="auto" w:fill="D9D9D9"/>
            <w:vAlign w:val="center"/>
          </w:tcPr>
          <w:p w:rsidR="00C86976" w:rsidRPr="00737070" w:rsidRDefault="00C86976" w:rsidP="00BD5A1D">
            <w:pPr>
              <w:spacing w:after="0" w:line="240" w:lineRule="auto"/>
              <w:jc w:val="center"/>
              <w:rPr>
                <w:rFonts w:ascii="Arial" w:hAnsi="Arial" w:cs="Arial"/>
                <w:sz w:val="18"/>
                <w:szCs w:val="18"/>
              </w:rPr>
            </w:pPr>
            <w:r w:rsidRPr="00737070">
              <w:rPr>
                <w:rFonts w:ascii="Arial" w:hAnsi="Arial" w:cs="Arial"/>
                <w:sz w:val="18"/>
                <w:szCs w:val="18"/>
              </w:rPr>
              <w:t>TIR</w:t>
            </w:r>
          </w:p>
        </w:tc>
        <w:tc>
          <w:tcPr>
            <w:tcW w:w="1334" w:type="dxa"/>
            <w:shd w:val="clear" w:color="auto" w:fill="D9D9D9"/>
            <w:vAlign w:val="center"/>
          </w:tcPr>
          <w:p w:rsidR="00C86976" w:rsidRPr="00737070" w:rsidRDefault="00C86976" w:rsidP="00BD5A1D">
            <w:pPr>
              <w:spacing w:after="0" w:line="240" w:lineRule="auto"/>
              <w:jc w:val="center"/>
              <w:rPr>
                <w:rFonts w:ascii="Arial" w:hAnsi="Arial" w:cs="Arial"/>
                <w:sz w:val="18"/>
                <w:szCs w:val="18"/>
              </w:rPr>
            </w:pPr>
            <w:r w:rsidRPr="00737070">
              <w:rPr>
                <w:rFonts w:ascii="Arial" w:hAnsi="Arial" w:cs="Arial"/>
                <w:sz w:val="18"/>
                <w:szCs w:val="18"/>
              </w:rPr>
              <w:t>Valor</w:t>
            </w:r>
          </w:p>
        </w:tc>
        <w:tc>
          <w:tcPr>
            <w:tcW w:w="727" w:type="dxa"/>
            <w:shd w:val="clear" w:color="auto" w:fill="D9D9D9"/>
            <w:vAlign w:val="center"/>
          </w:tcPr>
          <w:p w:rsidR="00C86976" w:rsidRPr="00737070" w:rsidRDefault="00C86976" w:rsidP="00BD5A1D">
            <w:pPr>
              <w:spacing w:after="0" w:line="240" w:lineRule="auto"/>
              <w:jc w:val="center"/>
              <w:rPr>
                <w:rFonts w:ascii="Arial" w:hAnsi="Arial" w:cs="Arial"/>
                <w:sz w:val="18"/>
                <w:szCs w:val="18"/>
              </w:rPr>
            </w:pPr>
            <w:r w:rsidRPr="00737070">
              <w:rPr>
                <w:rFonts w:ascii="Arial" w:hAnsi="Arial" w:cs="Arial"/>
                <w:sz w:val="18"/>
                <w:szCs w:val="18"/>
              </w:rPr>
              <w:t>TIR</w:t>
            </w:r>
          </w:p>
        </w:tc>
        <w:tc>
          <w:tcPr>
            <w:tcW w:w="1355" w:type="dxa"/>
            <w:vMerge/>
            <w:shd w:val="clear" w:color="auto" w:fill="D9D9D9"/>
            <w:vAlign w:val="center"/>
          </w:tcPr>
          <w:p w:rsidR="00C86976" w:rsidRPr="00737070" w:rsidRDefault="00C86976" w:rsidP="00BD5A1D">
            <w:pPr>
              <w:spacing w:after="0" w:line="240" w:lineRule="auto"/>
              <w:jc w:val="center"/>
              <w:rPr>
                <w:rFonts w:ascii="Arial" w:hAnsi="Arial" w:cs="Arial"/>
                <w:sz w:val="18"/>
                <w:szCs w:val="18"/>
              </w:rPr>
            </w:pPr>
          </w:p>
        </w:tc>
      </w:tr>
      <w:tr w:rsidR="00E22568" w:rsidRPr="00737070" w:rsidTr="00BD5A1D">
        <w:trPr>
          <w:trHeight w:val="56"/>
          <w:jc w:val="center"/>
        </w:trPr>
        <w:tc>
          <w:tcPr>
            <w:tcW w:w="1112" w:type="dxa"/>
            <w:vMerge w:val="restart"/>
            <w:vAlign w:val="center"/>
          </w:tcPr>
          <w:p w:rsidR="00E22568" w:rsidRPr="00737070" w:rsidRDefault="00E22568" w:rsidP="00BD5A1D">
            <w:pPr>
              <w:spacing w:after="0" w:line="240" w:lineRule="auto"/>
              <w:rPr>
                <w:rFonts w:ascii="Arial" w:hAnsi="Arial" w:cs="Arial"/>
                <w:sz w:val="18"/>
                <w:szCs w:val="18"/>
              </w:rPr>
            </w:pPr>
            <w:r>
              <w:rPr>
                <w:rFonts w:ascii="Arial" w:hAnsi="Arial" w:cs="Arial"/>
                <w:sz w:val="18"/>
                <w:szCs w:val="18"/>
              </w:rPr>
              <w:t>Cantidad de firmas</w:t>
            </w:r>
          </w:p>
        </w:tc>
        <w:tc>
          <w:tcPr>
            <w:tcW w:w="1637" w:type="dxa"/>
            <w:vAlign w:val="center"/>
          </w:tcPr>
          <w:p w:rsidR="00E22568" w:rsidRPr="00737070" w:rsidRDefault="00E22568" w:rsidP="00BD5A1D">
            <w:pPr>
              <w:spacing w:after="0" w:line="240" w:lineRule="auto"/>
              <w:jc w:val="center"/>
              <w:rPr>
                <w:rFonts w:ascii="Arial" w:hAnsi="Arial" w:cs="Arial"/>
                <w:sz w:val="18"/>
                <w:szCs w:val="18"/>
              </w:rPr>
            </w:pPr>
            <w:r>
              <w:rPr>
                <w:rFonts w:ascii="Arial" w:hAnsi="Arial" w:cs="Arial"/>
                <w:sz w:val="18"/>
                <w:szCs w:val="18"/>
              </w:rPr>
              <w:t>Empresas tipo (1)</w:t>
            </w:r>
          </w:p>
        </w:tc>
        <w:tc>
          <w:tcPr>
            <w:tcW w:w="1366" w:type="dxa"/>
            <w:vAlign w:val="center"/>
          </w:tcPr>
          <w:p w:rsidR="00E22568" w:rsidRPr="00737070" w:rsidRDefault="00E22568" w:rsidP="00BD5A1D">
            <w:pPr>
              <w:spacing w:after="0" w:line="240" w:lineRule="auto"/>
              <w:jc w:val="center"/>
              <w:rPr>
                <w:rFonts w:ascii="Arial" w:hAnsi="Arial" w:cs="Arial"/>
                <w:sz w:val="18"/>
                <w:szCs w:val="18"/>
              </w:rPr>
            </w:pPr>
            <w:r>
              <w:rPr>
                <w:rFonts w:ascii="Arial" w:hAnsi="Arial" w:cs="Arial"/>
                <w:sz w:val="18"/>
                <w:szCs w:val="18"/>
              </w:rPr>
              <w:t>24</w:t>
            </w:r>
          </w:p>
        </w:tc>
        <w:tc>
          <w:tcPr>
            <w:tcW w:w="1367" w:type="dxa"/>
            <w:vAlign w:val="center"/>
          </w:tcPr>
          <w:p w:rsidR="00E22568" w:rsidRPr="00737070" w:rsidRDefault="00E22568" w:rsidP="00BD5A1D">
            <w:pPr>
              <w:spacing w:after="0" w:line="240" w:lineRule="auto"/>
              <w:jc w:val="center"/>
              <w:rPr>
                <w:rFonts w:ascii="Arial" w:hAnsi="Arial" w:cs="Arial"/>
                <w:sz w:val="18"/>
                <w:szCs w:val="18"/>
              </w:rPr>
            </w:pPr>
            <w:r>
              <w:rPr>
                <w:rFonts w:ascii="Arial" w:hAnsi="Arial" w:cs="Arial"/>
                <w:sz w:val="18"/>
                <w:szCs w:val="18"/>
              </w:rPr>
              <w:t>32</w:t>
            </w:r>
          </w:p>
        </w:tc>
        <w:tc>
          <w:tcPr>
            <w:tcW w:w="727" w:type="dxa"/>
            <w:vMerge w:val="restart"/>
            <w:vAlign w:val="center"/>
          </w:tcPr>
          <w:p w:rsidR="00E22568" w:rsidRPr="00737070" w:rsidRDefault="00E22568" w:rsidP="00BD5A1D">
            <w:pPr>
              <w:spacing w:after="0" w:line="240" w:lineRule="auto"/>
              <w:jc w:val="center"/>
              <w:rPr>
                <w:rFonts w:ascii="Arial" w:hAnsi="Arial" w:cs="Arial"/>
                <w:sz w:val="18"/>
                <w:szCs w:val="18"/>
              </w:rPr>
            </w:pPr>
            <w:r>
              <w:rPr>
                <w:rFonts w:ascii="Arial" w:hAnsi="Arial" w:cs="Arial"/>
                <w:sz w:val="18"/>
                <w:szCs w:val="18"/>
              </w:rPr>
              <w:t>16,6%</w:t>
            </w:r>
          </w:p>
        </w:tc>
        <w:tc>
          <w:tcPr>
            <w:tcW w:w="1334" w:type="dxa"/>
            <w:vAlign w:val="center"/>
          </w:tcPr>
          <w:p w:rsidR="00E22568" w:rsidRPr="00737070" w:rsidRDefault="00E22568" w:rsidP="00BD5A1D">
            <w:pPr>
              <w:spacing w:after="0" w:line="240" w:lineRule="auto"/>
              <w:jc w:val="center"/>
              <w:rPr>
                <w:rFonts w:ascii="Arial" w:hAnsi="Arial" w:cs="Arial"/>
                <w:sz w:val="18"/>
                <w:szCs w:val="18"/>
              </w:rPr>
            </w:pPr>
            <w:r>
              <w:rPr>
                <w:rFonts w:ascii="Arial" w:hAnsi="Arial" w:cs="Arial"/>
                <w:sz w:val="18"/>
                <w:szCs w:val="18"/>
              </w:rPr>
              <w:t>16</w:t>
            </w:r>
          </w:p>
        </w:tc>
        <w:tc>
          <w:tcPr>
            <w:tcW w:w="727" w:type="dxa"/>
            <w:vMerge w:val="restart"/>
            <w:vAlign w:val="center"/>
          </w:tcPr>
          <w:p w:rsidR="00E22568" w:rsidRPr="00C42AF0" w:rsidRDefault="00E22568" w:rsidP="00BD5A1D">
            <w:pPr>
              <w:spacing w:after="0" w:line="240" w:lineRule="auto"/>
              <w:jc w:val="center"/>
              <w:rPr>
                <w:rFonts w:ascii="Arial" w:hAnsi="Arial" w:cs="Arial"/>
                <w:color w:val="FF0000"/>
                <w:sz w:val="18"/>
                <w:szCs w:val="18"/>
              </w:rPr>
            </w:pPr>
            <w:r>
              <w:rPr>
                <w:rFonts w:ascii="Arial" w:hAnsi="Arial" w:cs="Arial"/>
                <w:color w:val="FF0000"/>
                <w:sz w:val="18"/>
                <w:szCs w:val="18"/>
              </w:rPr>
              <w:t>10%</w:t>
            </w:r>
          </w:p>
        </w:tc>
        <w:tc>
          <w:tcPr>
            <w:tcW w:w="1355" w:type="dxa"/>
            <w:vAlign w:val="center"/>
          </w:tcPr>
          <w:p w:rsidR="00E22568" w:rsidRDefault="00E22568" w:rsidP="00BD5A1D">
            <w:pPr>
              <w:spacing w:after="0" w:line="240" w:lineRule="auto"/>
              <w:jc w:val="center"/>
              <w:rPr>
                <w:rFonts w:ascii="Arial" w:hAnsi="Arial" w:cs="Arial"/>
                <w:sz w:val="18"/>
                <w:szCs w:val="18"/>
              </w:rPr>
            </w:pPr>
            <w:r>
              <w:rPr>
                <w:rFonts w:ascii="Arial" w:hAnsi="Arial" w:cs="Arial"/>
                <w:sz w:val="18"/>
                <w:szCs w:val="18"/>
              </w:rPr>
              <w:t>20</w:t>
            </w:r>
          </w:p>
        </w:tc>
      </w:tr>
      <w:tr w:rsidR="00E22568" w:rsidRPr="00737070" w:rsidTr="00BD5A1D">
        <w:trPr>
          <w:trHeight w:val="56"/>
          <w:jc w:val="center"/>
        </w:trPr>
        <w:tc>
          <w:tcPr>
            <w:tcW w:w="1112" w:type="dxa"/>
            <w:vMerge/>
            <w:vAlign w:val="center"/>
          </w:tcPr>
          <w:p w:rsidR="00E22568" w:rsidRPr="00737070" w:rsidRDefault="00E22568" w:rsidP="00BD5A1D">
            <w:pPr>
              <w:spacing w:after="0" w:line="240" w:lineRule="auto"/>
              <w:jc w:val="center"/>
              <w:rPr>
                <w:rFonts w:ascii="Arial" w:hAnsi="Arial" w:cs="Arial"/>
                <w:sz w:val="18"/>
                <w:szCs w:val="18"/>
              </w:rPr>
            </w:pPr>
          </w:p>
        </w:tc>
        <w:tc>
          <w:tcPr>
            <w:tcW w:w="1637" w:type="dxa"/>
            <w:vAlign w:val="center"/>
          </w:tcPr>
          <w:p w:rsidR="00E22568" w:rsidRPr="00737070" w:rsidRDefault="00E22568" w:rsidP="00BD5A1D">
            <w:pPr>
              <w:spacing w:after="0" w:line="240" w:lineRule="auto"/>
              <w:jc w:val="center"/>
              <w:rPr>
                <w:rFonts w:ascii="Arial" w:hAnsi="Arial" w:cs="Arial"/>
                <w:sz w:val="18"/>
                <w:szCs w:val="18"/>
              </w:rPr>
            </w:pPr>
            <w:r>
              <w:rPr>
                <w:rFonts w:ascii="Arial" w:hAnsi="Arial" w:cs="Arial"/>
                <w:sz w:val="18"/>
                <w:szCs w:val="18"/>
              </w:rPr>
              <w:t>Empresas tipo (2)</w:t>
            </w:r>
          </w:p>
        </w:tc>
        <w:tc>
          <w:tcPr>
            <w:tcW w:w="1366" w:type="dxa"/>
            <w:vAlign w:val="center"/>
          </w:tcPr>
          <w:p w:rsidR="00E22568" w:rsidRPr="00737070" w:rsidRDefault="00E22568" w:rsidP="00BD5A1D">
            <w:pPr>
              <w:spacing w:after="0" w:line="240" w:lineRule="auto"/>
              <w:jc w:val="center"/>
              <w:rPr>
                <w:rFonts w:ascii="Arial" w:hAnsi="Arial" w:cs="Arial"/>
                <w:sz w:val="18"/>
                <w:szCs w:val="18"/>
              </w:rPr>
            </w:pPr>
            <w:r>
              <w:rPr>
                <w:rFonts w:ascii="Arial" w:hAnsi="Arial" w:cs="Arial"/>
                <w:sz w:val="18"/>
                <w:szCs w:val="18"/>
              </w:rPr>
              <w:t>6</w:t>
            </w:r>
          </w:p>
        </w:tc>
        <w:tc>
          <w:tcPr>
            <w:tcW w:w="1367" w:type="dxa"/>
            <w:vAlign w:val="center"/>
          </w:tcPr>
          <w:p w:rsidR="00E22568" w:rsidRPr="00737070" w:rsidRDefault="00E22568" w:rsidP="00BD5A1D">
            <w:pPr>
              <w:spacing w:after="0" w:line="240" w:lineRule="auto"/>
              <w:jc w:val="center"/>
              <w:rPr>
                <w:rFonts w:ascii="Arial" w:hAnsi="Arial" w:cs="Arial"/>
                <w:sz w:val="18"/>
                <w:szCs w:val="18"/>
              </w:rPr>
            </w:pPr>
            <w:r>
              <w:rPr>
                <w:rFonts w:ascii="Arial" w:hAnsi="Arial" w:cs="Arial"/>
                <w:sz w:val="18"/>
                <w:szCs w:val="18"/>
              </w:rPr>
              <w:t>8</w:t>
            </w:r>
          </w:p>
        </w:tc>
        <w:tc>
          <w:tcPr>
            <w:tcW w:w="727" w:type="dxa"/>
            <w:vMerge/>
            <w:vAlign w:val="center"/>
          </w:tcPr>
          <w:p w:rsidR="00E22568" w:rsidRPr="00737070" w:rsidRDefault="00E22568" w:rsidP="00BD5A1D">
            <w:pPr>
              <w:spacing w:after="0" w:line="240" w:lineRule="auto"/>
              <w:jc w:val="center"/>
              <w:rPr>
                <w:rFonts w:ascii="Arial" w:hAnsi="Arial" w:cs="Arial"/>
                <w:sz w:val="18"/>
                <w:szCs w:val="18"/>
              </w:rPr>
            </w:pPr>
          </w:p>
        </w:tc>
        <w:tc>
          <w:tcPr>
            <w:tcW w:w="1334" w:type="dxa"/>
            <w:vAlign w:val="center"/>
          </w:tcPr>
          <w:p w:rsidR="00E22568" w:rsidRPr="00737070" w:rsidRDefault="00E22568" w:rsidP="00BD5A1D">
            <w:pPr>
              <w:spacing w:after="0" w:line="240" w:lineRule="auto"/>
              <w:jc w:val="center"/>
              <w:rPr>
                <w:rFonts w:ascii="Arial" w:hAnsi="Arial" w:cs="Arial"/>
                <w:sz w:val="18"/>
                <w:szCs w:val="18"/>
              </w:rPr>
            </w:pPr>
            <w:r>
              <w:rPr>
                <w:rFonts w:ascii="Arial" w:hAnsi="Arial" w:cs="Arial"/>
                <w:sz w:val="18"/>
                <w:szCs w:val="18"/>
              </w:rPr>
              <w:t>4</w:t>
            </w:r>
          </w:p>
        </w:tc>
        <w:tc>
          <w:tcPr>
            <w:tcW w:w="727" w:type="dxa"/>
            <w:vMerge/>
            <w:vAlign w:val="center"/>
          </w:tcPr>
          <w:p w:rsidR="00E22568" w:rsidRPr="00C42AF0" w:rsidRDefault="00E22568" w:rsidP="00BD5A1D">
            <w:pPr>
              <w:spacing w:after="0" w:line="240" w:lineRule="auto"/>
              <w:jc w:val="center"/>
              <w:rPr>
                <w:rFonts w:ascii="Arial" w:hAnsi="Arial" w:cs="Arial"/>
                <w:color w:val="FF0000"/>
                <w:sz w:val="18"/>
                <w:szCs w:val="18"/>
              </w:rPr>
            </w:pPr>
          </w:p>
        </w:tc>
        <w:tc>
          <w:tcPr>
            <w:tcW w:w="1355" w:type="dxa"/>
            <w:vAlign w:val="center"/>
          </w:tcPr>
          <w:p w:rsidR="00E22568" w:rsidRDefault="00E22568" w:rsidP="00BD5A1D">
            <w:pPr>
              <w:spacing w:after="0" w:line="240" w:lineRule="auto"/>
              <w:jc w:val="center"/>
              <w:rPr>
                <w:rFonts w:ascii="Arial" w:hAnsi="Arial" w:cs="Arial"/>
                <w:sz w:val="18"/>
                <w:szCs w:val="18"/>
              </w:rPr>
            </w:pPr>
            <w:r>
              <w:rPr>
                <w:rFonts w:ascii="Arial" w:hAnsi="Arial" w:cs="Arial"/>
                <w:sz w:val="18"/>
                <w:szCs w:val="18"/>
              </w:rPr>
              <w:t>5</w:t>
            </w:r>
          </w:p>
        </w:tc>
      </w:tr>
      <w:tr w:rsidR="00064B30" w:rsidRPr="00737070" w:rsidTr="00BD5A1D">
        <w:trPr>
          <w:trHeight w:val="403"/>
          <w:jc w:val="center"/>
        </w:trPr>
        <w:tc>
          <w:tcPr>
            <w:tcW w:w="2749" w:type="dxa"/>
            <w:gridSpan w:val="2"/>
            <w:vAlign w:val="center"/>
          </w:tcPr>
          <w:p w:rsidR="00064B30" w:rsidRPr="00737070" w:rsidRDefault="00064B30" w:rsidP="00BD5A1D">
            <w:pPr>
              <w:spacing w:after="0" w:line="240" w:lineRule="auto"/>
              <w:rPr>
                <w:rFonts w:ascii="Arial" w:hAnsi="Arial" w:cs="Arial"/>
                <w:sz w:val="18"/>
                <w:szCs w:val="18"/>
              </w:rPr>
            </w:pPr>
            <w:r w:rsidRPr="00737070">
              <w:rPr>
                <w:rFonts w:ascii="Arial" w:hAnsi="Arial" w:cs="Arial"/>
                <w:sz w:val="18"/>
                <w:szCs w:val="18"/>
              </w:rPr>
              <w:t>Tasa de crecimiento</w:t>
            </w:r>
            <w:r>
              <w:rPr>
                <w:rFonts w:ascii="Arial" w:hAnsi="Arial" w:cs="Arial"/>
                <w:sz w:val="18"/>
                <w:szCs w:val="18"/>
              </w:rPr>
              <w:t xml:space="preserve"> empresas tipo (1)</w:t>
            </w:r>
          </w:p>
        </w:tc>
        <w:tc>
          <w:tcPr>
            <w:tcW w:w="1366" w:type="dxa"/>
            <w:vAlign w:val="center"/>
          </w:tcPr>
          <w:p w:rsidR="00064B30" w:rsidRPr="00737070" w:rsidRDefault="00064B30" w:rsidP="00BD5A1D">
            <w:pPr>
              <w:spacing w:after="0" w:line="240" w:lineRule="auto"/>
              <w:jc w:val="center"/>
              <w:rPr>
                <w:rFonts w:ascii="Arial" w:hAnsi="Arial" w:cs="Arial"/>
                <w:sz w:val="18"/>
                <w:szCs w:val="18"/>
              </w:rPr>
            </w:pPr>
            <w:r>
              <w:rPr>
                <w:rFonts w:ascii="Arial" w:hAnsi="Arial" w:cs="Arial"/>
                <w:sz w:val="18"/>
                <w:szCs w:val="18"/>
              </w:rPr>
              <w:t>2,5%</w:t>
            </w:r>
          </w:p>
        </w:tc>
        <w:tc>
          <w:tcPr>
            <w:tcW w:w="1367" w:type="dxa"/>
            <w:vAlign w:val="center"/>
          </w:tcPr>
          <w:p w:rsidR="00064B30" w:rsidRPr="00737070" w:rsidRDefault="00BD5A1D" w:rsidP="00BD5A1D">
            <w:pPr>
              <w:spacing w:after="0" w:line="240" w:lineRule="auto"/>
              <w:jc w:val="center"/>
              <w:rPr>
                <w:rFonts w:ascii="Arial" w:hAnsi="Arial" w:cs="Arial"/>
                <w:sz w:val="18"/>
                <w:szCs w:val="18"/>
              </w:rPr>
            </w:pPr>
            <w:r>
              <w:rPr>
                <w:rFonts w:ascii="Arial" w:hAnsi="Arial" w:cs="Arial"/>
                <w:sz w:val="18"/>
                <w:szCs w:val="18"/>
              </w:rPr>
              <w:t>3,75%</w:t>
            </w:r>
          </w:p>
        </w:tc>
        <w:tc>
          <w:tcPr>
            <w:tcW w:w="727" w:type="dxa"/>
            <w:vAlign w:val="center"/>
          </w:tcPr>
          <w:p w:rsidR="00064B30" w:rsidRPr="00737070" w:rsidRDefault="00064B30" w:rsidP="00BD5A1D">
            <w:pPr>
              <w:spacing w:after="0" w:line="240" w:lineRule="auto"/>
              <w:jc w:val="center"/>
              <w:rPr>
                <w:rFonts w:ascii="Arial" w:hAnsi="Arial" w:cs="Arial"/>
                <w:sz w:val="18"/>
                <w:szCs w:val="18"/>
              </w:rPr>
            </w:pPr>
            <w:r w:rsidRPr="00737070">
              <w:rPr>
                <w:rFonts w:ascii="Arial" w:hAnsi="Arial" w:cs="Arial"/>
                <w:sz w:val="18"/>
                <w:szCs w:val="18"/>
              </w:rPr>
              <w:t>1</w:t>
            </w:r>
            <w:r w:rsidR="00BD5A1D">
              <w:rPr>
                <w:rFonts w:ascii="Arial" w:hAnsi="Arial" w:cs="Arial"/>
                <w:sz w:val="18"/>
                <w:szCs w:val="18"/>
              </w:rPr>
              <w:t>6</w:t>
            </w:r>
            <w:r w:rsidRPr="00737070">
              <w:rPr>
                <w:rFonts w:ascii="Arial" w:hAnsi="Arial" w:cs="Arial"/>
                <w:sz w:val="18"/>
                <w:szCs w:val="18"/>
              </w:rPr>
              <w:t>,</w:t>
            </w:r>
            <w:r>
              <w:rPr>
                <w:rFonts w:ascii="Arial" w:hAnsi="Arial" w:cs="Arial"/>
                <w:sz w:val="18"/>
                <w:szCs w:val="18"/>
              </w:rPr>
              <w:t>7</w:t>
            </w:r>
            <w:r w:rsidRPr="00737070">
              <w:rPr>
                <w:rFonts w:ascii="Arial" w:hAnsi="Arial" w:cs="Arial"/>
                <w:sz w:val="18"/>
                <w:szCs w:val="18"/>
              </w:rPr>
              <w:t>%</w:t>
            </w:r>
          </w:p>
        </w:tc>
        <w:tc>
          <w:tcPr>
            <w:tcW w:w="1334" w:type="dxa"/>
            <w:vAlign w:val="center"/>
          </w:tcPr>
          <w:p w:rsidR="00BD5A1D" w:rsidRPr="00737070" w:rsidRDefault="00BD5A1D" w:rsidP="00BD5A1D">
            <w:pPr>
              <w:spacing w:after="0" w:line="240" w:lineRule="auto"/>
              <w:jc w:val="center"/>
              <w:rPr>
                <w:rFonts w:ascii="Arial" w:hAnsi="Arial" w:cs="Arial"/>
                <w:sz w:val="18"/>
                <w:szCs w:val="18"/>
              </w:rPr>
            </w:pPr>
            <w:r>
              <w:rPr>
                <w:rFonts w:ascii="Arial" w:hAnsi="Arial" w:cs="Arial"/>
                <w:sz w:val="18"/>
                <w:szCs w:val="18"/>
              </w:rPr>
              <w:t>1,25%</w:t>
            </w:r>
          </w:p>
        </w:tc>
        <w:tc>
          <w:tcPr>
            <w:tcW w:w="727" w:type="dxa"/>
            <w:vAlign w:val="center"/>
          </w:tcPr>
          <w:p w:rsidR="00064B30" w:rsidRPr="00C42AF0" w:rsidRDefault="00BD5A1D" w:rsidP="00BD5A1D">
            <w:pPr>
              <w:spacing w:after="0" w:line="240" w:lineRule="auto"/>
              <w:jc w:val="center"/>
              <w:rPr>
                <w:rFonts w:ascii="Arial" w:hAnsi="Arial" w:cs="Arial"/>
                <w:color w:val="FF0000"/>
                <w:sz w:val="18"/>
                <w:szCs w:val="18"/>
              </w:rPr>
            </w:pPr>
            <w:r>
              <w:rPr>
                <w:rFonts w:ascii="Arial" w:hAnsi="Arial" w:cs="Arial"/>
                <w:color w:val="FF0000"/>
                <w:sz w:val="18"/>
                <w:szCs w:val="18"/>
              </w:rPr>
              <w:t>10,6</w:t>
            </w:r>
            <w:r w:rsidR="00064B30" w:rsidRPr="00C42AF0">
              <w:rPr>
                <w:rFonts w:ascii="Arial" w:hAnsi="Arial" w:cs="Arial"/>
                <w:color w:val="FF0000"/>
                <w:sz w:val="18"/>
                <w:szCs w:val="18"/>
              </w:rPr>
              <w:t>%</w:t>
            </w:r>
          </w:p>
        </w:tc>
        <w:tc>
          <w:tcPr>
            <w:tcW w:w="1355" w:type="dxa"/>
            <w:vAlign w:val="center"/>
          </w:tcPr>
          <w:p w:rsidR="00064B30" w:rsidRPr="00737070" w:rsidRDefault="00E22568" w:rsidP="00BD5A1D">
            <w:pPr>
              <w:spacing w:after="0" w:line="240" w:lineRule="auto"/>
              <w:jc w:val="center"/>
              <w:rPr>
                <w:rFonts w:ascii="Arial" w:hAnsi="Arial" w:cs="Arial"/>
                <w:sz w:val="18"/>
                <w:szCs w:val="18"/>
              </w:rPr>
            </w:pPr>
            <w:r>
              <w:rPr>
                <w:rFonts w:ascii="Arial" w:hAnsi="Arial" w:cs="Arial"/>
                <w:sz w:val="18"/>
                <w:szCs w:val="18"/>
              </w:rPr>
              <w:t>1,8%</w:t>
            </w:r>
          </w:p>
        </w:tc>
      </w:tr>
      <w:tr w:rsidR="00064B30" w:rsidRPr="00737070" w:rsidTr="00BD5A1D">
        <w:trPr>
          <w:trHeight w:val="455"/>
          <w:jc w:val="center"/>
        </w:trPr>
        <w:tc>
          <w:tcPr>
            <w:tcW w:w="2749" w:type="dxa"/>
            <w:gridSpan w:val="2"/>
            <w:vAlign w:val="center"/>
          </w:tcPr>
          <w:p w:rsidR="00064B30" w:rsidRPr="00737070" w:rsidRDefault="00064B30" w:rsidP="00BD5A1D">
            <w:pPr>
              <w:spacing w:after="0" w:line="240" w:lineRule="auto"/>
              <w:rPr>
                <w:rFonts w:ascii="Arial" w:hAnsi="Arial" w:cs="Arial"/>
                <w:sz w:val="18"/>
                <w:szCs w:val="18"/>
              </w:rPr>
            </w:pPr>
            <w:r>
              <w:rPr>
                <w:rFonts w:ascii="Arial" w:hAnsi="Arial" w:cs="Arial"/>
                <w:sz w:val="18"/>
                <w:szCs w:val="18"/>
              </w:rPr>
              <w:t>Facturación inicial empresas tipo (2)</w:t>
            </w:r>
          </w:p>
        </w:tc>
        <w:tc>
          <w:tcPr>
            <w:tcW w:w="1366" w:type="dxa"/>
            <w:vAlign w:val="center"/>
          </w:tcPr>
          <w:p w:rsidR="00064B30" w:rsidRPr="00737070" w:rsidRDefault="00064B30" w:rsidP="00BD5A1D">
            <w:pPr>
              <w:spacing w:after="0" w:line="240" w:lineRule="auto"/>
              <w:jc w:val="center"/>
              <w:rPr>
                <w:rFonts w:ascii="Arial" w:hAnsi="Arial" w:cs="Arial"/>
                <w:sz w:val="18"/>
                <w:szCs w:val="18"/>
              </w:rPr>
            </w:pPr>
            <w:r>
              <w:rPr>
                <w:rFonts w:ascii="Arial" w:hAnsi="Arial" w:cs="Arial"/>
                <w:sz w:val="18"/>
                <w:szCs w:val="18"/>
              </w:rPr>
              <w:t>ARS 150.000</w:t>
            </w:r>
          </w:p>
        </w:tc>
        <w:tc>
          <w:tcPr>
            <w:tcW w:w="1367" w:type="dxa"/>
            <w:vAlign w:val="center"/>
          </w:tcPr>
          <w:p w:rsidR="00064B30" w:rsidRPr="00737070" w:rsidRDefault="00BD5A1D" w:rsidP="00BD5A1D">
            <w:pPr>
              <w:spacing w:after="0" w:line="240" w:lineRule="auto"/>
              <w:jc w:val="center"/>
              <w:rPr>
                <w:rFonts w:ascii="Arial" w:hAnsi="Arial" w:cs="Arial"/>
                <w:sz w:val="18"/>
                <w:szCs w:val="18"/>
              </w:rPr>
            </w:pPr>
            <w:r>
              <w:rPr>
                <w:rFonts w:ascii="Arial" w:hAnsi="Arial" w:cs="Arial"/>
                <w:sz w:val="18"/>
                <w:szCs w:val="18"/>
              </w:rPr>
              <w:t>ARS 200.000</w:t>
            </w:r>
          </w:p>
        </w:tc>
        <w:tc>
          <w:tcPr>
            <w:tcW w:w="727" w:type="dxa"/>
            <w:vAlign w:val="center"/>
          </w:tcPr>
          <w:p w:rsidR="00064B30" w:rsidRPr="00737070" w:rsidRDefault="00064B30" w:rsidP="00BD5A1D">
            <w:pPr>
              <w:spacing w:after="0" w:line="240" w:lineRule="auto"/>
              <w:jc w:val="center"/>
              <w:rPr>
                <w:rFonts w:ascii="Arial" w:hAnsi="Arial" w:cs="Arial"/>
                <w:sz w:val="18"/>
                <w:szCs w:val="18"/>
              </w:rPr>
            </w:pPr>
            <w:r>
              <w:rPr>
                <w:rFonts w:ascii="Arial" w:hAnsi="Arial" w:cs="Arial"/>
                <w:sz w:val="18"/>
                <w:szCs w:val="18"/>
              </w:rPr>
              <w:t>1</w:t>
            </w:r>
            <w:r w:rsidR="00BD5A1D">
              <w:rPr>
                <w:rFonts w:ascii="Arial" w:hAnsi="Arial" w:cs="Arial"/>
                <w:sz w:val="18"/>
                <w:szCs w:val="18"/>
              </w:rPr>
              <w:t>5</w:t>
            </w:r>
            <w:r w:rsidRPr="00737070">
              <w:rPr>
                <w:rFonts w:ascii="Arial" w:hAnsi="Arial" w:cs="Arial"/>
                <w:sz w:val="18"/>
                <w:szCs w:val="18"/>
              </w:rPr>
              <w:t>,</w:t>
            </w:r>
            <w:r w:rsidR="00BD5A1D">
              <w:rPr>
                <w:rFonts w:ascii="Arial" w:hAnsi="Arial" w:cs="Arial"/>
                <w:sz w:val="18"/>
                <w:szCs w:val="18"/>
              </w:rPr>
              <w:t>4</w:t>
            </w:r>
            <w:r w:rsidRPr="00737070">
              <w:rPr>
                <w:rFonts w:ascii="Arial" w:hAnsi="Arial" w:cs="Arial"/>
                <w:sz w:val="18"/>
                <w:szCs w:val="18"/>
              </w:rPr>
              <w:t>%</w:t>
            </w:r>
          </w:p>
        </w:tc>
        <w:tc>
          <w:tcPr>
            <w:tcW w:w="1334" w:type="dxa"/>
            <w:vAlign w:val="center"/>
          </w:tcPr>
          <w:p w:rsidR="00064B30" w:rsidRPr="00737070" w:rsidRDefault="00BD5A1D" w:rsidP="00BD5A1D">
            <w:pPr>
              <w:spacing w:after="0" w:line="240" w:lineRule="auto"/>
              <w:jc w:val="center"/>
              <w:rPr>
                <w:rFonts w:ascii="Arial" w:hAnsi="Arial" w:cs="Arial"/>
                <w:sz w:val="18"/>
                <w:szCs w:val="18"/>
              </w:rPr>
            </w:pPr>
            <w:r>
              <w:rPr>
                <w:rFonts w:ascii="Arial" w:hAnsi="Arial" w:cs="Arial"/>
                <w:sz w:val="18"/>
                <w:szCs w:val="18"/>
              </w:rPr>
              <w:t>ARS 100.000</w:t>
            </w:r>
          </w:p>
        </w:tc>
        <w:tc>
          <w:tcPr>
            <w:tcW w:w="727" w:type="dxa"/>
            <w:vAlign w:val="center"/>
          </w:tcPr>
          <w:p w:rsidR="00064B30" w:rsidRPr="00BD5A1D" w:rsidRDefault="00BD5A1D" w:rsidP="00BD5A1D">
            <w:pPr>
              <w:spacing w:after="0" w:line="240" w:lineRule="auto"/>
              <w:jc w:val="center"/>
              <w:rPr>
                <w:rFonts w:ascii="Arial" w:hAnsi="Arial" w:cs="Arial"/>
                <w:sz w:val="18"/>
                <w:szCs w:val="18"/>
              </w:rPr>
            </w:pPr>
            <w:r w:rsidRPr="00BD5A1D">
              <w:rPr>
                <w:rFonts w:ascii="Arial" w:hAnsi="Arial" w:cs="Arial"/>
                <w:sz w:val="18"/>
                <w:szCs w:val="18"/>
              </w:rPr>
              <w:t>12%</w:t>
            </w:r>
          </w:p>
        </w:tc>
        <w:tc>
          <w:tcPr>
            <w:tcW w:w="1355" w:type="dxa"/>
            <w:vAlign w:val="center"/>
          </w:tcPr>
          <w:p w:rsidR="00064B30" w:rsidRPr="00737070" w:rsidRDefault="00E22568" w:rsidP="00BD5A1D">
            <w:pPr>
              <w:spacing w:after="0" w:line="240" w:lineRule="auto"/>
              <w:jc w:val="center"/>
              <w:rPr>
                <w:rFonts w:ascii="Arial" w:hAnsi="Arial" w:cs="Arial"/>
                <w:sz w:val="18"/>
                <w:szCs w:val="18"/>
              </w:rPr>
            </w:pPr>
            <w:r>
              <w:rPr>
                <w:rFonts w:ascii="Arial" w:hAnsi="Arial" w:cs="Arial"/>
                <w:sz w:val="18"/>
                <w:szCs w:val="18"/>
              </w:rPr>
              <w:t>ARS 100.000</w:t>
            </w:r>
          </w:p>
        </w:tc>
      </w:tr>
      <w:tr w:rsidR="00064B30" w:rsidRPr="00737070" w:rsidTr="00BD5A1D">
        <w:trPr>
          <w:trHeight w:val="56"/>
          <w:jc w:val="center"/>
        </w:trPr>
        <w:tc>
          <w:tcPr>
            <w:tcW w:w="2749" w:type="dxa"/>
            <w:gridSpan w:val="2"/>
            <w:vAlign w:val="center"/>
          </w:tcPr>
          <w:p w:rsidR="00064B30" w:rsidRPr="00737070" w:rsidRDefault="00064B30" w:rsidP="00BD5A1D">
            <w:pPr>
              <w:spacing w:after="0" w:line="240" w:lineRule="auto"/>
              <w:rPr>
                <w:rFonts w:ascii="Arial" w:hAnsi="Arial" w:cs="Arial"/>
                <w:sz w:val="18"/>
                <w:szCs w:val="18"/>
              </w:rPr>
            </w:pPr>
            <w:r w:rsidRPr="00737070">
              <w:rPr>
                <w:rFonts w:ascii="Arial" w:hAnsi="Arial" w:cs="Arial"/>
                <w:sz w:val="18"/>
                <w:szCs w:val="18"/>
              </w:rPr>
              <w:t>Tasa de crecimiento</w:t>
            </w:r>
            <w:r>
              <w:rPr>
                <w:rFonts w:ascii="Arial" w:hAnsi="Arial" w:cs="Arial"/>
                <w:sz w:val="18"/>
                <w:szCs w:val="18"/>
              </w:rPr>
              <w:t xml:space="preserve"> empresas tipo (2)</w:t>
            </w:r>
          </w:p>
        </w:tc>
        <w:tc>
          <w:tcPr>
            <w:tcW w:w="1366" w:type="dxa"/>
            <w:vAlign w:val="center"/>
          </w:tcPr>
          <w:p w:rsidR="00064B30" w:rsidRPr="00737070" w:rsidRDefault="00064B30" w:rsidP="00BD5A1D">
            <w:pPr>
              <w:spacing w:after="0" w:line="240" w:lineRule="auto"/>
              <w:jc w:val="center"/>
              <w:rPr>
                <w:rFonts w:ascii="Arial" w:hAnsi="Arial" w:cs="Arial"/>
                <w:sz w:val="18"/>
                <w:szCs w:val="18"/>
              </w:rPr>
            </w:pPr>
            <w:r>
              <w:rPr>
                <w:rFonts w:ascii="Arial" w:hAnsi="Arial" w:cs="Arial"/>
                <w:sz w:val="18"/>
                <w:szCs w:val="18"/>
              </w:rPr>
              <w:t>11,9%</w:t>
            </w:r>
          </w:p>
        </w:tc>
        <w:tc>
          <w:tcPr>
            <w:tcW w:w="1367" w:type="dxa"/>
            <w:vAlign w:val="center"/>
          </w:tcPr>
          <w:p w:rsidR="00064B30" w:rsidRDefault="00B70667" w:rsidP="00BD5A1D">
            <w:pPr>
              <w:spacing w:after="0" w:line="240" w:lineRule="auto"/>
              <w:jc w:val="center"/>
              <w:rPr>
                <w:rFonts w:ascii="Arial" w:hAnsi="Arial" w:cs="Arial"/>
                <w:sz w:val="18"/>
                <w:szCs w:val="18"/>
              </w:rPr>
            </w:pPr>
            <w:r>
              <w:rPr>
                <w:rFonts w:ascii="Arial" w:hAnsi="Arial" w:cs="Arial"/>
                <w:sz w:val="18"/>
                <w:szCs w:val="18"/>
              </w:rPr>
              <w:t>16%</w:t>
            </w:r>
          </w:p>
        </w:tc>
        <w:tc>
          <w:tcPr>
            <w:tcW w:w="727" w:type="dxa"/>
            <w:vAlign w:val="center"/>
          </w:tcPr>
          <w:p w:rsidR="00064B30" w:rsidRPr="00737070" w:rsidRDefault="00B70667" w:rsidP="00BD5A1D">
            <w:pPr>
              <w:spacing w:after="0" w:line="240" w:lineRule="auto"/>
              <w:jc w:val="center"/>
              <w:rPr>
                <w:rFonts w:ascii="Arial" w:hAnsi="Arial" w:cs="Arial"/>
                <w:sz w:val="18"/>
                <w:szCs w:val="18"/>
                <w:highlight w:val="cyan"/>
              </w:rPr>
            </w:pPr>
            <w:r w:rsidRPr="00B70667">
              <w:rPr>
                <w:rFonts w:ascii="Arial" w:hAnsi="Arial" w:cs="Arial"/>
                <w:sz w:val="18"/>
                <w:szCs w:val="18"/>
              </w:rPr>
              <w:t>16%</w:t>
            </w:r>
          </w:p>
        </w:tc>
        <w:tc>
          <w:tcPr>
            <w:tcW w:w="1334" w:type="dxa"/>
            <w:vAlign w:val="center"/>
          </w:tcPr>
          <w:p w:rsidR="00064B30" w:rsidRDefault="0098693D" w:rsidP="00BD5A1D">
            <w:pPr>
              <w:spacing w:after="0" w:line="240" w:lineRule="auto"/>
              <w:jc w:val="center"/>
              <w:rPr>
                <w:rFonts w:ascii="Arial" w:hAnsi="Arial" w:cs="Arial"/>
                <w:sz w:val="18"/>
                <w:szCs w:val="18"/>
              </w:rPr>
            </w:pPr>
            <w:r>
              <w:rPr>
                <w:rFonts w:ascii="Arial" w:hAnsi="Arial" w:cs="Arial"/>
                <w:sz w:val="18"/>
                <w:szCs w:val="18"/>
              </w:rPr>
              <w:t>5</w:t>
            </w:r>
            <w:r w:rsidR="00E22568">
              <w:rPr>
                <w:rFonts w:ascii="Arial" w:hAnsi="Arial" w:cs="Arial"/>
                <w:sz w:val="18"/>
                <w:szCs w:val="18"/>
              </w:rPr>
              <w:t>%</w:t>
            </w:r>
          </w:p>
        </w:tc>
        <w:tc>
          <w:tcPr>
            <w:tcW w:w="727" w:type="dxa"/>
            <w:vAlign w:val="center"/>
          </w:tcPr>
          <w:p w:rsidR="00064B30" w:rsidRPr="00E22568" w:rsidRDefault="00E22568" w:rsidP="0098693D">
            <w:pPr>
              <w:spacing w:after="0" w:line="240" w:lineRule="auto"/>
              <w:jc w:val="center"/>
              <w:rPr>
                <w:rFonts w:ascii="Arial" w:hAnsi="Arial" w:cs="Arial"/>
                <w:color w:val="FF0000"/>
                <w:sz w:val="18"/>
                <w:szCs w:val="18"/>
                <w:highlight w:val="cyan"/>
              </w:rPr>
            </w:pPr>
            <w:r w:rsidRPr="00E22568">
              <w:rPr>
                <w:rFonts w:ascii="Arial" w:hAnsi="Arial" w:cs="Arial"/>
                <w:color w:val="FF0000"/>
                <w:sz w:val="18"/>
                <w:szCs w:val="18"/>
              </w:rPr>
              <w:t>1</w:t>
            </w:r>
            <w:r w:rsidR="0098693D">
              <w:rPr>
                <w:rFonts w:ascii="Arial" w:hAnsi="Arial" w:cs="Arial"/>
                <w:color w:val="FF0000"/>
                <w:sz w:val="18"/>
                <w:szCs w:val="18"/>
              </w:rPr>
              <w:t>1</w:t>
            </w:r>
            <w:r w:rsidRPr="00E22568">
              <w:rPr>
                <w:rFonts w:ascii="Arial" w:hAnsi="Arial" w:cs="Arial"/>
                <w:color w:val="FF0000"/>
                <w:sz w:val="18"/>
                <w:szCs w:val="18"/>
              </w:rPr>
              <w:t>%</w:t>
            </w:r>
          </w:p>
        </w:tc>
        <w:tc>
          <w:tcPr>
            <w:tcW w:w="1355" w:type="dxa"/>
            <w:vAlign w:val="center"/>
          </w:tcPr>
          <w:p w:rsidR="00064B30" w:rsidRDefault="00E22568" w:rsidP="00BD5A1D">
            <w:pPr>
              <w:spacing w:after="0" w:line="240" w:lineRule="auto"/>
              <w:jc w:val="center"/>
              <w:rPr>
                <w:rFonts w:ascii="Arial" w:hAnsi="Arial" w:cs="Arial"/>
                <w:sz w:val="18"/>
                <w:szCs w:val="18"/>
              </w:rPr>
            </w:pPr>
            <w:r>
              <w:rPr>
                <w:rFonts w:ascii="Arial" w:hAnsi="Arial" w:cs="Arial"/>
                <w:sz w:val="18"/>
                <w:szCs w:val="18"/>
              </w:rPr>
              <w:t>7,7% 12,2</w:t>
            </w:r>
          </w:p>
        </w:tc>
      </w:tr>
    </w:tbl>
    <w:p w:rsidR="0077378F" w:rsidRPr="0077378F" w:rsidRDefault="0077378F" w:rsidP="00BD5A1D">
      <w:pPr>
        <w:spacing w:before="240" w:after="0"/>
        <w:jc w:val="both"/>
        <w:rPr>
          <w:rFonts w:ascii="Times New Roman" w:hAnsi="Times New Roman"/>
          <w:b/>
          <w:sz w:val="24"/>
        </w:rPr>
      </w:pPr>
      <w:r w:rsidRPr="0077378F">
        <w:rPr>
          <w:rFonts w:ascii="Times New Roman" w:hAnsi="Times New Roman"/>
          <w:b/>
          <w:sz w:val="24"/>
        </w:rPr>
        <w:t>Escenario optimista:</w:t>
      </w:r>
    </w:p>
    <w:p w:rsidR="0077378F" w:rsidRDefault="0077378F" w:rsidP="0077378F">
      <w:pPr>
        <w:numPr>
          <w:ilvl w:val="0"/>
          <w:numId w:val="33"/>
        </w:numPr>
        <w:spacing w:before="240" w:after="0"/>
        <w:jc w:val="both"/>
        <w:rPr>
          <w:rFonts w:ascii="Times New Roman" w:hAnsi="Times New Roman"/>
          <w:sz w:val="24"/>
        </w:rPr>
      </w:pPr>
      <w:r>
        <w:rPr>
          <w:rFonts w:ascii="Times New Roman" w:hAnsi="Times New Roman"/>
          <w:sz w:val="24"/>
        </w:rPr>
        <w:t>S</w:t>
      </w:r>
      <w:r w:rsidR="00C86976">
        <w:rPr>
          <w:rFonts w:ascii="Times New Roman" w:hAnsi="Times New Roman"/>
          <w:sz w:val="24"/>
        </w:rPr>
        <w:t>i se modifica el supuesto (</w:t>
      </w:r>
      <w:r w:rsidR="00EA76BE">
        <w:rPr>
          <w:rFonts w:ascii="Times New Roman" w:hAnsi="Times New Roman"/>
          <w:sz w:val="24"/>
        </w:rPr>
        <w:t>i</w:t>
      </w:r>
      <w:r w:rsidR="00C86976">
        <w:rPr>
          <w:rFonts w:ascii="Times New Roman" w:hAnsi="Times New Roman"/>
          <w:sz w:val="24"/>
        </w:rPr>
        <w:t xml:space="preserve">i) </w:t>
      </w:r>
      <w:r>
        <w:rPr>
          <w:rFonts w:ascii="Times New Roman" w:hAnsi="Times New Roman"/>
          <w:sz w:val="24"/>
        </w:rPr>
        <w:t>llevando el número de</w:t>
      </w:r>
      <w:r w:rsidR="00C86976">
        <w:rPr>
          <w:rFonts w:ascii="Times New Roman" w:hAnsi="Times New Roman"/>
          <w:sz w:val="24"/>
        </w:rPr>
        <w:t xml:space="preserve"> firmas a instalarse en el </w:t>
      </w:r>
      <w:r w:rsidR="00EA76BE">
        <w:rPr>
          <w:rFonts w:ascii="Times New Roman" w:hAnsi="Times New Roman"/>
          <w:sz w:val="24"/>
        </w:rPr>
        <w:t xml:space="preserve">Polo de conocimientos </w:t>
      </w:r>
      <w:r>
        <w:rPr>
          <w:rFonts w:ascii="Times New Roman" w:hAnsi="Times New Roman"/>
          <w:sz w:val="24"/>
        </w:rPr>
        <w:t>a un</w:t>
      </w:r>
      <w:r w:rsidR="00EA76BE">
        <w:rPr>
          <w:rFonts w:ascii="Times New Roman" w:hAnsi="Times New Roman"/>
          <w:sz w:val="24"/>
        </w:rPr>
        <w:t xml:space="preserve"> total 40, distribuidas en 32 empresas tipo (1) y 8 de tipo (2), la TIR resultante es 1</w:t>
      </w:r>
      <w:r w:rsidR="00BD5A1D">
        <w:rPr>
          <w:rFonts w:ascii="Times New Roman" w:hAnsi="Times New Roman"/>
          <w:sz w:val="24"/>
        </w:rPr>
        <w:t>6</w:t>
      </w:r>
      <w:r w:rsidR="00EA76BE">
        <w:rPr>
          <w:rFonts w:ascii="Times New Roman" w:hAnsi="Times New Roman"/>
          <w:sz w:val="24"/>
        </w:rPr>
        <w:t>,</w:t>
      </w:r>
      <w:r w:rsidR="00BD5A1D">
        <w:rPr>
          <w:rFonts w:ascii="Times New Roman" w:hAnsi="Times New Roman"/>
          <w:sz w:val="24"/>
        </w:rPr>
        <w:t>6</w:t>
      </w:r>
      <w:r w:rsidR="00EA76BE">
        <w:rPr>
          <w:rFonts w:ascii="Times New Roman" w:hAnsi="Times New Roman"/>
          <w:sz w:val="24"/>
        </w:rPr>
        <w:t xml:space="preserve">%. </w:t>
      </w:r>
    </w:p>
    <w:p w:rsidR="0077378F" w:rsidRDefault="0077378F" w:rsidP="0077378F">
      <w:pPr>
        <w:numPr>
          <w:ilvl w:val="0"/>
          <w:numId w:val="33"/>
        </w:numPr>
        <w:spacing w:before="240" w:after="0"/>
        <w:jc w:val="both"/>
        <w:rPr>
          <w:rFonts w:ascii="Times New Roman" w:hAnsi="Times New Roman"/>
          <w:sz w:val="24"/>
        </w:rPr>
      </w:pPr>
      <w:r>
        <w:rPr>
          <w:rFonts w:ascii="Times New Roman" w:hAnsi="Times New Roman"/>
          <w:sz w:val="24"/>
        </w:rPr>
        <w:t>S</w:t>
      </w:r>
      <w:r w:rsidR="00BD5A1D">
        <w:rPr>
          <w:rFonts w:ascii="Times New Roman" w:hAnsi="Times New Roman"/>
          <w:sz w:val="24"/>
        </w:rPr>
        <w:t xml:space="preserve">i se </w:t>
      </w:r>
      <w:r>
        <w:rPr>
          <w:rFonts w:ascii="Times New Roman" w:hAnsi="Times New Roman"/>
          <w:sz w:val="24"/>
        </w:rPr>
        <w:t>modifica</w:t>
      </w:r>
      <w:r w:rsidR="00BD5A1D">
        <w:rPr>
          <w:rFonts w:ascii="Times New Roman" w:hAnsi="Times New Roman"/>
          <w:sz w:val="24"/>
        </w:rPr>
        <w:t xml:space="preserve"> el supuesto (iv), </w:t>
      </w:r>
      <w:r>
        <w:rPr>
          <w:rFonts w:ascii="Times New Roman" w:hAnsi="Times New Roman"/>
          <w:sz w:val="24"/>
        </w:rPr>
        <w:t xml:space="preserve">llevando el </w:t>
      </w:r>
      <w:r w:rsidR="00BD5A1D">
        <w:rPr>
          <w:rFonts w:ascii="Times New Roman" w:hAnsi="Times New Roman"/>
          <w:sz w:val="24"/>
        </w:rPr>
        <w:t xml:space="preserve">crecimiento en el volumen de ventas de las empresas </w:t>
      </w:r>
      <w:r w:rsidR="00C86976">
        <w:rPr>
          <w:rFonts w:ascii="Times New Roman" w:hAnsi="Times New Roman"/>
          <w:sz w:val="24"/>
        </w:rPr>
        <w:t xml:space="preserve">tipo (1) </w:t>
      </w:r>
      <w:r w:rsidR="00BD5A1D">
        <w:rPr>
          <w:rFonts w:ascii="Times New Roman" w:hAnsi="Times New Roman"/>
          <w:sz w:val="24"/>
        </w:rPr>
        <w:t xml:space="preserve">de 3,75% anual -25% más que en el caso base- atribuible al Polo de conocimientos, se obtiene una TIR de 16,7%. </w:t>
      </w:r>
    </w:p>
    <w:p w:rsidR="0077378F" w:rsidRDefault="0077378F" w:rsidP="0077378F">
      <w:pPr>
        <w:numPr>
          <w:ilvl w:val="0"/>
          <w:numId w:val="33"/>
        </w:numPr>
        <w:spacing w:before="240" w:after="0"/>
        <w:jc w:val="both"/>
        <w:rPr>
          <w:rFonts w:ascii="Times New Roman" w:hAnsi="Times New Roman"/>
          <w:sz w:val="24"/>
        </w:rPr>
      </w:pPr>
      <w:r>
        <w:rPr>
          <w:rFonts w:ascii="Times New Roman" w:hAnsi="Times New Roman"/>
          <w:sz w:val="24"/>
        </w:rPr>
        <w:t>S</w:t>
      </w:r>
      <w:r w:rsidR="00BD5A1D">
        <w:rPr>
          <w:rFonts w:ascii="Times New Roman" w:hAnsi="Times New Roman"/>
          <w:sz w:val="24"/>
        </w:rPr>
        <w:t xml:space="preserve">i se supone que las empresas de </w:t>
      </w:r>
      <w:r w:rsidR="00C86976">
        <w:rPr>
          <w:rFonts w:ascii="Times New Roman" w:hAnsi="Times New Roman"/>
          <w:sz w:val="24"/>
        </w:rPr>
        <w:t>tipo (2) comien</w:t>
      </w:r>
      <w:r w:rsidR="00BD5A1D">
        <w:rPr>
          <w:rFonts w:ascii="Times New Roman" w:hAnsi="Times New Roman"/>
          <w:sz w:val="24"/>
        </w:rPr>
        <w:t>za</w:t>
      </w:r>
      <w:r w:rsidR="00C86976">
        <w:rPr>
          <w:rFonts w:ascii="Times New Roman" w:hAnsi="Times New Roman"/>
          <w:sz w:val="24"/>
        </w:rPr>
        <w:t xml:space="preserve">n con un monto de ventas de ARS </w:t>
      </w:r>
      <w:r w:rsidR="00B70667">
        <w:rPr>
          <w:rFonts w:ascii="Times New Roman" w:hAnsi="Times New Roman"/>
          <w:sz w:val="24"/>
        </w:rPr>
        <w:t>2</w:t>
      </w:r>
      <w:r w:rsidR="00C86976">
        <w:rPr>
          <w:rFonts w:ascii="Times New Roman" w:hAnsi="Times New Roman"/>
          <w:sz w:val="24"/>
        </w:rPr>
        <w:t>00.000, la TIR resultante es de 1</w:t>
      </w:r>
      <w:r w:rsidR="00B70667">
        <w:rPr>
          <w:rFonts w:ascii="Times New Roman" w:hAnsi="Times New Roman"/>
          <w:sz w:val="24"/>
        </w:rPr>
        <w:t>5</w:t>
      </w:r>
      <w:r w:rsidR="00C86976">
        <w:rPr>
          <w:rFonts w:ascii="Times New Roman" w:hAnsi="Times New Roman"/>
          <w:sz w:val="24"/>
        </w:rPr>
        <w:t>,</w:t>
      </w:r>
      <w:r w:rsidR="00B70667">
        <w:rPr>
          <w:rFonts w:ascii="Times New Roman" w:hAnsi="Times New Roman"/>
          <w:sz w:val="24"/>
        </w:rPr>
        <w:t xml:space="preserve">4%. </w:t>
      </w:r>
    </w:p>
    <w:p w:rsidR="00C86976" w:rsidRDefault="0077378F" w:rsidP="0077378F">
      <w:pPr>
        <w:numPr>
          <w:ilvl w:val="0"/>
          <w:numId w:val="33"/>
        </w:numPr>
        <w:spacing w:before="240" w:after="0"/>
        <w:jc w:val="both"/>
        <w:rPr>
          <w:rFonts w:ascii="Times New Roman" w:hAnsi="Times New Roman"/>
          <w:sz w:val="24"/>
        </w:rPr>
      </w:pPr>
      <w:r>
        <w:rPr>
          <w:rFonts w:ascii="Times New Roman" w:hAnsi="Times New Roman"/>
          <w:sz w:val="24"/>
        </w:rPr>
        <w:t>Si se toma</w:t>
      </w:r>
      <w:r w:rsidR="00B70667">
        <w:rPr>
          <w:rFonts w:ascii="Times New Roman" w:hAnsi="Times New Roman"/>
          <w:sz w:val="24"/>
        </w:rPr>
        <w:t xml:space="preserve"> una tasa de crecimiento de facturación de los nuevos emprendimientos que se instalarán en el Polo de conocimientos –empresas tipo (2)- de 16%. </w:t>
      </w:r>
      <w:r w:rsidR="00C86976">
        <w:rPr>
          <w:rFonts w:ascii="Times New Roman" w:hAnsi="Times New Roman"/>
          <w:sz w:val="24"/>
        </w:rPr>
        <w:t xml:space="preserve">Ello implica </w:t>
      </w:r>
      <w:r w:rsidR="00B70667">
        <w:rPr>
          <w:rFonts w:ascii="Times New Roman" w:hAnsi="Times New Roman"/>
          <w:sz w:val="24"/>
        </w:rPr>
        <w:t xml:space="preserve">estas firmas </w:t>
      </w:r>
      <w:r w:rsidR="00C86976">
        <w:rPr>
          <w:rFonts w:ascii="Times New Roman" w:hAnsi="Times New Roman"/>
          <w:sz w:val="24"/>
        </w:rPr>
        <w:t>alcanzarán en el lapso de 20 años una facturación anual equivalente al 5</w:t>
      </w:r>
      <w:r w:rsidR="00B70667">
        <w:rPr>
          <w:rFonts w:ascii="Times New Roman" w:hAnsi="Times New Roman"/>
          <w:sz w:val="24"/>
        </w:rPr>
        <w:t>0</w:t>
      </w:r>
      <w:r w:rsidR="00C86976">
        <w:rPr>
          <w:rFonts w:ascii="Times New Roman" w:hAnsi="Times New Roman"/>
          <w:sz w:val="24"/>
        </w:rPr>
        <w:t xml:space="preserve">% de las ventas de </w:t>
      </w:r>
      <w:r w:rsidR="00B70667">
        <w:rPr>
          <w:rFonts w:ascii="Times New Roman" w:hAnsi="Times New Roman"/>
          <w:sz w:val="24"/>
        </w:rPr>
        <w:t>promedio de una empresa</w:t>
      </w:r>
      <w:r w:rsidR="00C86976">
        <w:rPr>
          <w:rFonts w:ascii="Times New Roman" w:hAnsi="Times New Roman"/>
          <w:sz w:val="24"/>
        </w:rPr>
        <w:t xml:space="preserve"> </w:t>
      </w:r>
      <w:r w:rsidR="00B70667">
        <w:rPr>
          <w:rFonts w:ascii="Times New Roman" w:hAnsi="Times New Roman"/>
          <w:sz w:val="24"/>
        </w:rPr>
        <w:t xml:space="preserve">TIC </w:t>
      </w:r>
      <w:r w:rsidR="00C86976">
        <w:rPr>
          <w:rFonts w:ascii="Times New Roman" w:hAnsi="Times New Roman"/>
          <w:sz w:val="24"/>
        </w:rPr>
        <w:t xml:space="preserve">en Mendoza, ARS </w:t>
      </w:r>
      <w:r w:rsidR="00B70667" w:rsidRPr="00B70667">
        <w:rPr>
          <w:rFonts w:ascii="Times New Roman" w:hAnsi="Times New Roman"/>
          <w:sz w:val="24"/>
        </w:rPr>
        <w:t>2</w:t>
      </w:r>
      <w:r w:rsidR="00B70667">
        <w:rPr>
          <w:rFonts w:ascii="Times New Roman" w:hAnsi="Times New Roman"/>
          <w:sz w:val="24"/>
        </w:rPr>
        <w:t>.</w:t>
      </w:r>
      <w:r w:rsidR="00B70667" w:rsidRPr="00B70667">
        <w:rPr>
          <w:rFonts w:ascii="Times New Roman" w:hAnsi="Times New Roman"/>
          <w:sz w:val="24"/>
        </w:rPr>
        <w:t>519</w:t>
      </w:r>
      <w:r w:rsidR="00B70667">
        <w:rPr>
          <w:rFonts w:ascii="Times New Roman" w:hAnsi="Times New Roman"/>
          <w:sz w:val="24"/>
        </w:rPr>
        <w:t>.</w:t>
      </w:r>
      <w:r w:rsidR="00B70667" w:rsidRPr="00B70667">
        <w:rPr>
          <w:rFonts w:ascii="Times New Roman" w:hAnsi="Times New Roman"/>
          <w:sz w:val="24"/>
        </w:rPr>
        <w:t>380</w:t>
      </w:r>
      <w:r w:rsidR="00B70667">
        <w:rPr>
          <w:rFonts w:ascii="Times New Roman" w:hAnsi="Times New Roman"/>
          <w:sz w:val="24"/>
        </w:rPr>
        <w:t xml:space="preserve"> en valores monetarios. En este caso, la TIR resulta 16</w:t>
      </w:r>
      <w:r w:rsidR="00C86976">
        <w:rPr>
          <w:rFonts w:ascii="Times New Roman" w:hAnsi="Times New Roman"/>
          <w:sz w:val="24"/>
        </w:rPr>
        <w:t>%.</w:t>
      </w:r>
    </w:p>
    <w:p w:rsidR="0077378F" w:rsidRPr="005D5E89" w:rsidRDefault="0077378F" w:rsidP="00C86976">
      <w:pPr>
        <w:spacing w:before="240"/>
        <w:jc w:val="both"/>
        <w:rPr>
          <w:rFonts w:ascii="Times New Roman" w:hAnsi="Times New Roman"/>
          <w:b/>
          <w:sz w:val="24"/>
        </w:rPr>
      </w:pPr>
      <w:r w:rsidRPr="005D5E89">
        <w:rPr>
          <w:rFonts w:ascii="Times New Roman" w:hAnsi="Times New Roman"/>
          <w:b/>
          <w:sz w:val="24"/>
        </w:rPr>
        <w:t>Escenario pesimista</w:t>
      </w:r>
    </w:p>
    <w:p w:rsidR="0077378F" w:rsidRDefault="005D5E89" w:rsidP="005D5E89">
      <w:pPr>
        <w:numPr>
          <w:ilvl w:val="0"/>
          <w:numId w:val="34"/>
        </w:numPr>
        <w:spacing w:before="240"/>
        <w:jc w:val="both"/>
        <w:rPr>
          <w:rFonts w:ascii="Times New Roman" w:hAnsi="Times New Roman"/>
          <w:sz w:val="24"/>
        </w:rPr>
      </w:pPr>
      <w:r>
        <w:rPr>
          <w:rFonts w:ascii="Times New Roman" w:hAnsi="Times New Roman"/>
          <w:sz w:val="24"/>
        </w:rPr>
        <w:t xml:space="preserve">Obtenemos </w:t>
      </w:r>
      <w:r w:rsidR="00C86976">
        <w:rPr>
          <w:rFonts w:ascii="Times New Roman" w:hAnsi="Times New Roman"/>
          <w:sz w:val="24"/>
        </w:rPr>
        <w:t xml:space="preserve"> valores de VAN negativos, por lo </w:t>
      </w:r>
      <w:r>
        <w:rPr>
          <w:rFonts w:ascii="Times New Roman" w:hAnsi="Times New Roman"/>
          <w:sz w:val="24"/>
        </w:rPr>
        <w:t>que el proyecto no sería viable en las siguientes situaciones por ejemplo:</w:t>
      </w:r>
      <w:r w:rsidR="00C86976">
        <w:rPr>
          <w:rFonts w:ascii="Times New Roman" w:hAnsi="Times New Roman"/>
          <w:sz w:val="24"/>
        </w:rPr>
        <w:t xml:space="preserve"> </w:t>
      </w:r>
      <w:r w:rsidR="00546D25">
        <w:rPr>
          <w:rFonts w:ascii="Times New Roman" w:hAnsi="Times New Roman"/>
          <w:sz w:val="24"/>
        </w:rPr>
        <w:t xml:space="preserve"> </w:t>
      </w:r>
    </w:p>
    <w:p w:rsidR="005D5E89" w:rsidRDefault="0077378F" w:rsidP="005D5E89">
      <w:pPr>
        <w:numPr>
          <w:ilvl w:val="0"/>
          <w:numId w:val="34"/>
        </w:numPr>
        <w:spacing w:before="240"/>
        <w:jc w:val="both"/>
        <w:rPr>
          <w:rFonts w:ascii="Times New Roman" w:hAnsi="Times New Roman"/>
          <w:sz w:val="24"/>
        </w:rPr>
      </w:pPr>
      <w:r>
        <w:rPr>
          <w:rFonts w:ascii="Times New Roman" w:hAnsi="Times New Roman"/>
          <w:sz w:val="24"/>
        </w:rPr>
        <w:lastRenderedPageBreak/>
        <w:t xml:space="preserve">Si </w:t>
      </w:r>
      <w:r w:rsidR="00546D25">
        <w:rPr>
          <w:rFonts w:ascii="Times New Roman" w:hAnsi="Times New Roman"/>
          <w:sz w:val="24"/>
        </w:rPr>
        <w:t xml:space="preserve">se instalen en el Polo de conocimientos 16 empresas tipo (1) y 4 tipo (2) </w:t>
      </w:r>
      <w:r w:rsidR="005D5E89">
        <w:rPr>
          <w:rFonts w:ascii="Times New Roman" w:hAnsi="Times New Roman"/>
          <w:sz w:val="24"/>
        </w:rPr>
        <w:t>La TIR no da positiva</w:t>
      </w:r>
    </w:p>
    <w:p w:rsidR="005D5E89" w:rsidRDefault="005D5E89" w:rsidP="005D5E89">
      <w:pPr>
        <w:numPr>
          <w:ilvl w:val="0"/>
          <w:numId w:val="34"/>
        </w:numPr>
        <w:spacing w:before="240"/>
        <w:jc w:val="both"/>
        <w:rPr>
          <w:rFonts w:ascii="Times New Roman" w:hAnsi="Times New Roman"/>
          <w:sz w:val="24"/>
        </w:rPr>
      </w:pPr>
      <w:r>
        <w:rPr>
          <w:rFonts w:ascii="Times New Roman" w:hAnsi="Times New Roman"/>
          <w:sz w:val="24"/>
        </w:rPr>
        <w:t>Si</w:t>
      </w:r>
      <w:r w:rsidR="00546D25">
        <w:rPr>
          <w:rFonts w:ascii="Times New Roman" w:hAnsi="Times New Roman"/>
          <w:sz w:val="24"/>
        </w:rPr>
        <w:t xml:space="preserve"> las</w:t>
      </w:r>
      <w:r>
        <w:rPr>
          <w:rFonts w:ascii="Times New Roman" w:hAnsi="Times New Roman"/>
          <w:sz w:val="24"/>
        </w:rPr>
        <w:t xml:space="preserve"> empresas </w:t>
      </w:r>
      <w:r w:rsidR="00546D25">
        <w:rPr>
          <w:rFonts w:ascii="Times New Roman" w:hAnsi="Times New Roman"/>
          <w:sz w:val="24"/>
        </w:rPr>
        <w:t>existentes, t</w:t>
      </w:r>
      <w:r>
        <w:rPr>
          <w:rFonts w:ascii="Times New Roman" w:hAnsi="Times New Roman"/>
          <w:sz w:val="24"/>
        </w:rPr>
        <w:t>ienen</w:t>
      </w:r>
      <w:r w:rsidR="00546D25">
        <w:rPr>
          <w:rFonts w:ascii="Times New Roman" w:hAnsi="Times New Roman"/>
          <w:sz w:val="24"/>
        </w:rPr>
        <w:t xml:space="preserve"> una tasa de incremento </w:t>
      </w:r>
      <w:r>
        <w:rPr>
          <w:rFonts w:ascii="Times New Roman" w:hAnsi="Times New Roman"/>
          <w:sz w:val="24"/>
        </w:rPr>
        <w:t xml:space="preserve">de </w:t>
      </w:r>
      <w:r w:rsidR="00546D25">
        <w:rPr>
          <w:rFonts w:ascii="Times New Roman" w:hAnsi="Times New Roman"/>
          <w:sz w:val="24"/>
        </w:rPr>
        <w:t xml:space="preserve">las ventas del 1,25% y las empresas de tipo (2) incrementen su facturación en un 5% anual, llegando a vender al cabo de 20 años un monto equivalente al 7,5% de las ventas de una empresa TIC promedio mendocina –supuesto (vi)-. </w:t>
      </w:r>
    </w:p>
    <w:p w:rsidR="005D5E89" w:rsidRDefault="00546D25" w:rsidP="005D5E89">
      <w:pPr>
        <w:numPr>
          <w:ilvl w:val="0"/>
          <w:numId w:val="34"/>
        </w:numPr>
        <w:spacing w:before="240"/>
        <w:jc w:val="both"/>
        <w:rPr>
          <w:rFonts w:ascii="Times New Roman" w:hAnsi="Times New Roman"/>
          <w:sz w:val="24"/>
        </w:rPr>
      </w:pPr>
      <w:r>
        <w:rPr>
          <w:rFonts w:ascii="Times New Roman" w:hAnsi="Times New Roman"/>
          <w:sz w:val="24"/>
        </w:rPr>
        <w:t xml:space="preserve">La rentabilidad resultante es de 10%, 10,6% y 11% respectivamente. </w:t>
      </w:r>
    </w:p>
    <w:p w:rsidR="00C86976" w:rsidRPr="00323BF6" w:rsidRDefault="00546D25" w:rsidP="005D5E89">
      <w:pPr>
        <w:numPr>
          <w:ilvl w:val="0"/>
          <w:numId w:val="34"/>
        </w:numPr>
        <w:spacing w:before="240"/>
        <w:jc w:val="both"/>
        <w:rPr>
          <w:rFonts w:ascii="Times New Roman" w:hAnsi="Times New Roman"/>
          <w:sz w:val="24"/>
        </w:rPr>
      </w:pPr>
      <w:r>
        <w:rPr>
          <w:rFonts w:ascii="Times New Roman" w:hAnsi="Times New Roman"/>
          <w:sz w:val="24"/>
        </w:rPr>
        <w:t xml:space="preserve">El único </w:t>
      </w:r>
      <w:r w:rsidR="00AA7355">
        <w:rPr>
          <w:rFonts w:ascii="Times New Roman" w:hAnsi="Times New Roman"/>
          <w:sz w:val="24"/>
        </w:rPr>
        <w:t>escenario</w:t>
      </w:r>
      <w:r>
        <w:rPr>
          <w:rFonts w:ascii="Times New Roman" w:hAnsi="Times New Roman"/>
          <w:sz w:val="24"/>
        </w:rPr>
        <w:t xml:space="preserve"> pesimista en el que el proyecto continua siendo rentable es </w:t>
      </w:r>
      <w:r w:rsidR="00C86976">
        <w:rPr>
          <w:rFonts w:ascii="Times New Roman" w:hAnsi="Times New Roman"/>
          <w:sz w:val="24"/>
        </w:rPr>
        <w:t>si las firmas a instalarse en el P</w:t>
      </w:r>
      <w:r w:rsidR="00AA7355">
        <w:rPr>
          <w:rFonts w:ascii="Times New Roman" w:hAnsi="Times New Roman"/>
          <w:sz w:val="24"/>
        </w:rPr>
        <w:t xml:space="preserve">olo de conocimientos </w:t>
      </w:r>
      <w:r w:rsidR="00C86976">
        <w:rPr>
          <w:rFonts w:ascii="Times New Roman" w:hAnsi="Times New Roman"/>
          <w:sz w:val="24"/>
        </w:rPr>
        <w:t>facturan inicialmente sólo ARS 100.000 –supuesto (v</w:t>
      </w:r>
      <w:r w:rsidR="00AA7355">
        <w:rPr>
          <w:rFonts w:ascii="Times New Roman" w:hAnsi="Times New Roman"/>
          <w:sz w:val="24"/>
        </w:rPr>
        <w:t>i</w:t>
      </w:r>
      <w:r w:rsidR="00C86976">
        <w:rPr>
          <w:rFonts w:ascii="Times New Roman" w:hAnsi="Times New Roman"/>
          <w:sz w:val="24"/>
        </w:rPr>
        <w:t xml:space="preserve">)-, </w:t>
      </w:r>
      <w:r w:rsidR="00AA7355">
        <w:rPr>
          <w:rFonts w:ascii="Times New Roman" w:hAnsi="Times New Roman"/>
          <w:sz w:val="24"/>
        </w:rPr>
        <w:t xml:space="preserve">caso en el que </w:t>
      </w:r>
      <w:r w:rsidR="00C86976">
        <w:rPr>
          <w:rFonts w:ascii="Times New Roman" w:hAnsi="Times New Roman"/>
          <w:sz w:val="24"/>
        </w:rPr>
        <w:t xml:space="preserve">la TIR sería de </w:t>
      </w:r>
      <w:r w:rsidR="00AA7355">
        <w:rPr>
          <w:rFonts w:ascii="Times New Roman" w:hAnsi="Times New Roman"/>
          <w:sz w:val="24"/>
        </w:rPr>
        <w:t>12</w:t>
      </w:r>
      <w:r w:rsidR="00C86976">
        <w:rPr>
          <w:rFonts w:ascii="Times New Roman" w:hAnsi="Times New Roman"/>
          <w:sz w:val="24"/>
        </w:rPr>
        <w:t xml:space="preserve">%. </w:t>
      </w:r>
      <w:r w:rsidR="006A0CD9">
        <w:rPr>
          <w:rFonts w:ascii="Times New Roman" w:hAnsi="Times New Roman"/>
          <w:sz w:val="24"/>
        </w:rPr>
        <w:t>Ese es el valor mínimo que soporta la variable para que el proyecto sea viable.</w:t>
      </w:r>
    </w:p>
    <w:p w:rsidR="00C86976" w:rsidRPr="000C5E89" w:rsidRDefault="006A0CD9" w:rsidP="00C86976">
      <w:pPr>
        <w:jc w:val="both"/>
        <w:rPr>
          <w:rFonts w:ascii="Times New Roman" w:hAnsi="Times New Roman"/>
          <w:sz w:val="24"/>
        </w:rPr>
      </w:pPr>
      <w:r>
        <w:rPr>
          <w:rFonts w:ascii="Times New Roman" w:hAnsi="Times New Roman"/>
          <w:sz w:val="24"/>
        </w:rPr>
        <w:t>E</w:t>
      </w:r>
      <w:r w:rsidR="00C86976" w:rsidRPr="000C5E89">
        <w:rPr>
          <w:rFonts w:ascii="Times New Roman" w:hAnsi="Times New Roman"/>
          <w:sz w:val="24"/>
        </w:rPr>
        <w:t>n la última columna de la tabla se presentan los valores mínimos que permiten una TIR superior al 12%</w:t>
      </w:r>
      <w:r>
        <w:rPr>
          <w:rFonts w:ascii="Times New Roman" w:hAnsi="Times New Roman"/>
          <w:sz w:val="24"/>
        </w:rPr>
        <w:t>, donde se observa que deben instalarse en el Polo de conocimientos al menos 25 empresas, 20 de tipo (1) y las restantes de tipo (2)</w:t>
      </w:r>
      <w:r w:rsidR="00C86976" w:rsidRPr="000C5E89">
        <w:rPr>
          <w:rFonts w:ascii="Times New Roman" w:hAnsi="Times New Roman"/>
          <w:sz w:val="24"/>
        </w:rPr>
        <w:t>. As</w:t>
      </w:r>
      <w:r w:rsidR="00197062">
        <w:rPr>
          <w:rFonts w:ascii="Times New Roman" w:hAnsi="Times New Roman"/>
          <w:sz w:val="24"/>
        </w:rPr>
        <w:t xml:space="preserve">imismo, respecto del crecimiento en la facturación, lo valores </w:t>
      </w:r>
      <w:r w:rsidR="00C74E79">
        <w:rPr>
          <w:rFonts w:ascii="Times New Roman" w:hAnsi="Times New Roman"/>
          <w:sz w:val="24"/>
        </w:rPr>
        <w:t xml:space="preserve">mínimos que soporta el proyecto son 1,8% para las </w:t>
      </w:r>
      <w:r w:rsidR="00C86976" w:rsidRPr="000C5E89">
        <w:rPr>
          <w:rFonts w:ascii="Times New Roman" w:hAnsi="Times New Roman"/>
          <w:sz w:val="24"/>
        </w:rPr>
        <w:t xml:space="preserve">empresas </w:t>
      </w:r>
      <w:r w:rsidR="00C74E79">
        <w:rPr>
          <w:rFonts w:ascii="Times New Roman" w:hAnsi="Times New Roman"/>
          <w:sz w:val="24"/>
        </w:rPr>
        <w:t xml:space="preserve">tipo (1) y 7,7% para las empresas tipo (2). En este último caso, se trata de que los nuevos emprendimientos que se originen a partir del polo </w:t>
      </w:r>
      <w:r w:rsidR="00C86976" w:rsidRPr="000C5E89">
        <w:rPr>
          <w:rFonts w:ascii="Times New Roman" w:hAnsi="Times New Roman"/>
          <w:sz w:val="24"/>
        </w:rPr>
        <w:t xml:space="preserve">alcancen un monto de ventas al cabo de 20 años de ARS </w:t>
      </w:r>
      <w:r w:rsidR="00C74E79" w:rsidRPr="00C74E79">
        <w:rPr>
          <w:rFonts w:ascii="Times New Roman" w:hAnsi="Times New Roman"/>
          <w:sz w:val="24"/>
        </w:rPr>
        <w:t>614</w:t>
      </w:r>
      <w:r w:rsidR="00C74E79">
        <w:rPr>
          <w:rFonts w:ascii="Times New Roman" w:hAnsi="Times New Roman"/>
          <w:sz w:val="24"/>
        </w:rPr>
        <w:t>.</w:t>
      </w:r>
      <w:r w:rsidR="00C74E79" w:rsidRPr="00C74E79">
        <w:rPr>
          <w:rFonts w:ascii="Times New Roman" w:hAnsi="Times New Roman"/>
          <w:sz w:val="24"/>
        </w:rPr>
        <w:t>729</w:t>
      </w:r>
      <w:r w:rsidR="00C86976" w:rsidRPr="000C5E89">
        <w:rPr>
          <w:rFonts w:ascii="Times New Roman" w:hAnsi="Times New Roman"/>
          <w:sz w:val="24"/>
        </w:rPr>
        <w:t>, e</w:t>
      </w:r>
      <w:r w:rsidR="00C74E79">
        <w:rPr>
          <w:rFonts w:ascii="Times New Roman" w:hAnsi="Times New Roman"/>
          <w:sz w:val="24"/>
        </w:rPr>
        <w:t>quivalente al 12,2% de la facturación de una empresa TIC en Mendoza</w:t>
      </w:r>
      <w:r w:rsidR="00C86976">
        <w:rPr>
          <w:rFonts w:ascii="Times New Roman" w:hAnsi="Times New Roman"/>
          <w:sz w:val="24"/>
        </w:rPr>
        <w:t>.</w:t>
      </w:r>
    </w:p>
    <w:p w:rsidR="00B37D8A" w:rsidRPr="00511439" w:rsidRDefault="00B37D8A" w:rsidP="006101E8">
      <w:pPr>
        <w:pStyle w:val="Heading2"/>
        <w:spacing w:after="240"/>
        <w:rPr>
          <w:rFonts w:ascii="Times New Roman" w:hAnsi="Times New Roman"/>
          <w:lang w:val="es-ES_tradnl"/>
        </w:rPr>
      </w:pPr>
      <w:bookmarkStart w:id="49" w:name="_Toc362804629"/>
      <w:r w:rsidRPr="00511439">
        <w:rPr>
          <w:rFonts w:ascii="Times New Roman" w:hAnsi="Times New Roman"/>
          <w:lang w:val="es-ES_tradnl"/>
        </w:rPr>
        <w:t>Conclusiones</w:t>
      </w:r>
      <w:bookmarkEnd w:id="49"/>
    </w:p>
    <w:p w:rsidR="005D5E89" w:rsidRDefault="005D5E89" w:rsidP="005D5E89">
      <w:pPr>
        <w:spacing w:before="240"/>
        <w:jc w:val="both"/>
        <w:rPr>
          <w:rFonts w:ascii="Times New Roman" w:hAnsi="Times New Roman"/>
          <w:sz w:val="24"/>
        </w:rPr>
      </w:pPr>
      <w:r>
        <w:rPr>
          <w:rFonts w:ascii="Times New Roman" w:hAnsi="Times New Roman"/>
          <w:sz w:val="24"/>
        </w:rPr>
        <w:t>El análisis realizado nos permite concluir que el proyecto tiene una rentabilidad social positiva. Encontramos, sin embargo, también que el impacto positivo depende de algunas cuestiones críticas, como la capacidad del polo de atraer nuevas empresas, y de ayudar al crecimiento de estas empresas de manera tal que alcancen  al menos 12% de la facturación de una empresa promedio del sector TIC. Debe tenerse en cuenta no obstante que no hemos considerado en el análisis la posibilidad de externalidades positivas sobre otras empresas y sectores, tales como aquellos que serán atendidos por las empresas del polo, que en muchos casos son proveedores de otras sectores claves para la provincia como el de agro-alimentos.</w:t>
      </w:r>
    </w:p>
    <w:p w:rsidR="005D5E89" w:rsidRDefault="005D5E89" w:rsidP="005D5E89">
      <w:pPr>
        <w:spacing w:before="240"/>
        <w:jc w:val="both"/>
        <w:rPr>
          <w:rFonts w:ascii="Times New Roman" w:hAnsi="Times New Roman"/>
          <w:sz w:val="24"/>
        </w:rPr>
      </w:pPr>
      <w:r>
        <w:rPr>
          <w:rFonts w:ascii="Times New Roman" w:hAnsi="Times New Roman"/>
          <w:sz w:val="24"/>
        </w:rPr>
        <w:t xml:space="preserve">Finalizamos ilustrando a través de un ejercicio el tipo de que aparecerían si se considerara la posibilidad </w:t>
      </w:r>
      <w:r w:rsidRPr="0055290B">
        <w:rPr>
          <w:rFonts w:ascii="Times New Roman" w:hAnsi="Times New Roman"/>
          <w:sz w:val="24"/>
        </w:rPr>
        <w:t>de</w:t>
      </w:r>
      <w:r>
        <w:rPr>
          <w:rFonts w:ascii="Times New Roman" w:hAnsi="Times New Roman"/>
          <w:sz w:val="24"/>
        </w:rPr>
        <w:t xml:space="preserve"> estas externalidades positivas. Aunque no es lo ideal, por falta de mejores indicadores, conducimos este ejercicio utilizando datos de</w:t>
      </w:r>
      <w:r w:rsidRPr="0055290B">
        <w:rPr>
          <w:rFonts w:ascii="Times New Roman" w:hAnsi="Times New Roman"/>
          <w:sz w:val="24"/>
        </w:rPr>
        <w:t xml:space="preserve">l PBG </w:t>
      </w:r>
      <w:r w:rsidRPr="001F2528">
        <w:rPr>
          <w:rFonts w:ascii="Times New Roman" w:hAnsi="Times New Roman"/>
          <w:sz w:val="24"/>
        </w:rPr>
        <w:t>provincial</w:t>
      </w:r>
      <w:r>
        <w:rPr>
          <w:rFonts w:ascii="Times New Roman" w:hAnsi="Times New Roman"/>
          <w:sz w:val="24"/>
        </w:rPr>
        <w:t>, y nos basamos en información proporcionada por l</w:t>
      </w:r>
      <w:r w:rsidRPr="00164C78">
        <w:rPr>
          <w:rFonts w:ascii="Times New Roman" w:hAnsi="Times New Roman"/>
          <w:sz w:val="24"/>
        </w:rPr>
        <w:t xml:space="preserve">a Asociación de Parques Científicos y Tecnológicos de España </w:t>
      </w:r>
      <w:r>
        <w:rPr>
          <w:rFonts w:ascii="Times New Roman" w:hAnsi="Times New Roman"/>
          <w:sz w:val="24"/>
        </w:rPr>
        <w:t xml:space="preserve">que </w:t>
      </w:r>
      <w:r w:rsidRPr="00164C78">
        <w:rPr>
          <w:rFonts w:ascii="Times New Roman" w:hAnsi="Times New Roman"/>
          <w:sz w:val="24"/>
        </w:rPr>
        <w:t xml:space="preserve">estima que los parques TIC consolidados aportan el 3,49% del producto de las regiones donde se </w:t>
      </w:r>
      <w:r>
        <w:rPr>
          <w:rFonts w:ascii="Times New Roman" w:hAnsi="Times New Roman"/>
          <w:sz w:val="24"/>
        </w:rPr>
        <w:t xml:space="preserve">localizan. </w:t>
      </w:r>
    </w:p>
    <w:p w:rsidR="005D5E89" w:rsidRPr="0030241F" w:rsidRDefault="005D5E89" w:rsidP="005D5E89">
      <w:pPr>
        <w:spacing w:before="240"/>
        <w:jc w:val="both"/>
        <w:rPr>
          <w:rFonts w:ascii="Times New Roman" w:hAnsi="Times New Roman"/>
          <w:sz w:val="24"/>
        </w:rPr>
      </w:pPr>
      <w:r>
        <w:rPr>
          <w:rFonts w:ascii="Times New Roman" w:hAnsi="Times New Roman"/>
          <w:sz w:val="24"/>
        </w:rPr>
        <w:t xml:space="preserve">Para el caso de Mendoza, y por tratarse de un Polo de conocimientos en formación y en un país en desarrollo, se supone que el impacto en el producto resulta hasta el año 10 de 0,175% y luego y hasta el final del período de 0,35%. Dichos valores equivalen al 5% y 10% respectivamente, de las estimaciones para el caso de los parques TIC en España. Así, para conocer el valor agregado total que generará el </w:t>
      </w:r>
      <w:r>
        <w:rPr>
          <w:rFonts w:ascii="Times New Roman" w:hAnsi="Times New Roman"/>
          <w:sz w:val="24"/>
        </w:rPr>
        <w:lastRenderedPageBreak/>
        <w:t xml:space="preserve">Polo en el PBG, se utiliza el ingreso gradual de las empresas esquematizado previamente y además para el caso de las firmas existentes que se trasladan al polo, se considera el producto marginal bajo el supuesto de aporte del polo del 25%. Cuando se incluyen externalidades positivas entonces, la TIR resulta 23,6% y el VAN </w:t>
      </w:r>
      <w:r w:rsidRPr="00121EB2">
        <w:rPr>
          <w:rFonts w:ascii="Times New Roman" w:hAnsi="Times New Roman"/>
          <w:sz w:val="24"/>
        </w:rPr>
        <w:t>28.077.947</w:t>
      </w:r>
      <w:r>
        <w:rPr>
          <w:rFonts w:ascii="Times New Roman" w:hAnsi="Times New Roman"/>
          <w:sz w:val="24"/>
        </w:rPr>
        <w:t xml:space="preserve"> (USD </w:t>
      </w:r>
      <w:r w:rsidRPr="00121EB2">
        <w:rPr>
          <w:rFonts w:ascii="Times New Roman" w:hAnsi="Times New Roman"/>
          <w:sz w:val="24"/>
        </w:rPr>
        <w:t>5.399.605</w:t>
      </w:r>
      <w:r>
        <w:rPr>
          <w:rFonts w:ascii="Times New Roman" w:hAnsi="Times New Roman"/>
          <w:sz w:val="24"/>
        </w:rPr>
        <w:t>). Incluso, aún si se plantean escenarios pesimistas para el conjunto de las variables sensibilizadas –supuestos (ii), (iv), (v) y (vi)-, la inclusión de externalidades positivas asegura una rentabilidad del proyecto superior al 12%, específicamente una TIR de 15,5%.</w:t>
      </w:r>
    </w:p>
    <w:p w:rsidR="00B37D8A" w:rsidRPr="00D92A3E" w:rsidRDefault="00B37D8A" w:rsidP="00D92A3E">
      <w:pPr>
        <w:spacing w:before="240"/>
        <w:jc w:val="both"/>
        <w:rPr>
          <w:rFonts w:ascii="Times New Roman" w:hAnsi="Times New Roman"/>
          <w:sz w:val="24"/>
        </w:rPr>
      </w:pPr>
    </w:p>
    <w:p w:rsidR="00B37D8A" w:rsidRDefault="00B37D8A">
      <w:pPr>
        <w:spacing w:after="0" w:line="240" w:lineRule="auto"/>
        <w:rPr>
          <w:rFonts w:ascii="Times New Roman" w:hAnsi="Times New Roman"/>
          <w:b/>
          <w:bCs/>
          <w:color w:val="365F91"/>
          <w:sz w:val="28"/>
          <w:szCs w:val="28"/>
          <w:lang w:val="es-ES" w:eastAsia="es-ES"/>
        </w:rPr>
      </w:pPr>
      <w:r>
        <w:rPr>
          <w:rFonts w:ascii="Times New Roman" w:hAnsi="Times New Roman"/>
          <w:lang w:val="es-ES"/>
        </w:rPr>
        <w:br w:type="page"/>
      </w:r>
    </w:p>
    <w:p w:rsidR="00B37D8A" w:rsidRPr="0087271E" w:rsidRDefault="00B37D8A" w:rsidP="00A112D1">
      <w:pPr>
        <w:pStyle w:val="Heading1"/>
        <w:jc w:val="center"/>
        <w:rPr>
          <w:rFonts w:ascii="Times New Roman" w:hAnsi="Times New Roman"/>
          <w:lang w:val="es-ES"/>
        </w:rPr>
      </w:pPr>
      <w:bookmarkStart w:id="50" w:name="_Toc362804630"/>
      <w:r>
        <w:rPr>
          <w:rFonts w:ascii="Times New Roman" w:hAnsi="Times New Roman"/>
          <w:lang w:val="es-ES"/>
        </w:rPr>
        <w:lastRenderedPageBreak/>
        <w:t xml:space="preserve">Capítulo 6. </w:t>
      </w:r>
      <w:r w:rsidR="009D3872">
        <w:rPr>
          <w:rFonts w:ascii="Times New Roman" w:hAnsi="Times New Roman"/>
          <w:lang w:val="es-ES"/>
        </w:rPr>
        <w:t>A</w:t>
      </w:r>
      <w:r w:rsidRPr="00607EE7">
        <w:rPr>
          <w:rFonts w:ascii="Times New Roman" w:hAnsi="Times New Roman"/>
          <w:lang w:val="es-ES"/>
        </w:rPr>
        <w:t>nálisis conjunto de los subcomponentes</w:t>
      </w:r>
      <w:bookmarkEnd w:id="50"/>
    </w:p>
    <w:p w:rsidR="00B37D8A" w:rsidRPr="00106CCA" w:rsidRDefault="009D3872" w:rsidP="00201FFA">
      <w:pPr>
        <w:spacing w:before="240"/>
        <w:jc w:val="both"/>
        <w:rPr>
          <w:rFonts w:ascii="Times New Roman" w:hAnsi="Times New Roman"/>
          <w:sz w:val="24"/>
        </w:rPr>
      </w:pPr>
      <w:r>
        <w:rPr>
          <w:rFonts w:ascii="Times New Roman" w:hAnsi="Times New Roman"/>
          <w:sz w:val="24"/>
        </w:rPr>
        <w:t xml:space="preserve">Este informe reporta los resultados del análisis costo beneficio del programa </w:t>
      </w:r>
      <w:r w:rsidRPr="00AB2154">
        <w:rPr>
          <w:rFonts w:ascii="Times New Roman" w:hAnsi="Times New Roman"/>
          <w:b/>
          <w:sz w:val="24"/>
        </w:rPr>
        <w:t xml:space="preserve">Programa de </w:t>
      </w:r>
      <w:r w:rsidR="00A112D1">
        <w:rPr>
          <w:rFonts w:ascii="Times New Roman" w:hAnsi="Times New Roman"/>
          <w:b/>
          <w:sz w:val="24"/>
        </w:rPr>
        <w:t xml:space="preserve">Apoyo al </w:t>
      </w:r>
      <w:r w:rsidRPr="00AB2154">
        <w:rPr>
          <w:rFonts w:ascii="Times New Roman" w:hAnsi="Times New Roman"/>
          <w:b/>
          <w:sz w:val="24"/>
        </w:rPr>
        <w:t xml:space="preserve">Desarrollo </w:t>
      </w:r>
      <w:r w:rsidR="00A112D1">
        <w:rPr>
          <w:rFonts w:ascii="Times New Roman" w:hAnsi="Times New Roman"/>
          <w:b/>
          <w:sz w:val="24"/>
        </w:rPr>
        <w:t xml:space="preserve">Tecnológico </w:t>
      </w:r>
      <w:r w:rsidRPr="00AB2154">
        <w:rPr>
          <w:rFonts w:ascii="Times New Roman" w:hAnsi="Times New Roman"/>
          <w:b/>
          <w:sz w:val="24"/>
        </w:rPr>
        <w:t xml:space="preserve">de </w:t>
      </w:r>
      <w:r w:rsidR="00A112D1">
        <w:rPr>
          <w:rFonts w:ascii="Times New Roman" w:hAnsi="Times New Roman"/>
          <w:b/>
          <w:sz w:val="24"/>
        </w:rPr>
        <w:t>Mendoza</w:t>
      </w:r>
      <w:r>
        <w:rPr>
          <w:rFonts w:ascii="Times New Roman" w:hAnsi="Times New Roman"/>
          <w:b/>
          <w:sz w:val="24"/>
        </w:rPr>
        <w:t>.</w:t>
      </w:r>
      <w:r>
        <w:rPr>
          <w:rFonts w:ascii="Times New Roman" w:hAnsi="Times New Roman"/>
          <w:sz w:val="24"/>
        </w:rPr>
        <w:t xml:space="preserve"> </w:t>
      </w:r>
      <w:r w:rsidR="00B37D8A" w:rsidRPr="00106CCA">
        <w:rPr>
          <w:rFonts w:ascii="Times New Roman" w:hAnsi="Times New Roman"/>
          <w:sz w:val="24"/>
        </w:rPr>
        <w:t>El tipo de evaluación realizado fue el análisis costo beneficio</w:t>
      </w:r>
      <w:r w:rsidR="00B37D8A">
        <w:rPr>
          <w:rFonts w:ascii="Times New Roman" w:hAnsi="Times New Roman"/>
          <w:sz w:val="24"/>
        </w:rPr>
        <w:t xml:space="preserve">, utilizando una </w:t>
      </w:r>
      <w:r w:rsidR="00B37D8A" w:rsidRPr="00106CCA">
        <w:rPr>
          <w:rFonts w:ascii="Times New Roman" w:hAnsi="Times New Roman"/>
          <w:sz w:val="24"/>
        </w:rPr>
        <w:t>tasa de descuento del 12%, tasa que es habitualmente utilizada por el Banco.</w:t>
      </w:r>
      <w:r w:rsidR="00B37D8A">
        <w:rPr>
          <w:rFonts w:ascii="Times New Roman" w:hAnsi="Times New Roman"/>
          <w:sz w:val="24"/>
        </w:rPr>
        <w:t xml:space="preserve"> E</w:t>
      </w:r>
      <w:r w:rsidR="00B37D8A" w:rsidRPr="00106CCA">
        <w:rPr>
          <w:rFonts w:ascii="Times New Roman" w:hAnsi="Times New Roman"/>
          <w:sz w:val="24"/>
        </w:rPr>
        <w:t xml:space="preserve">l horizonte del </w:t>
      </w:r>
      <w:r w:rsidR="00B37D8A" w:rsidRPr="00106CCA">
        <w:rPr>
          <w:rFonts w:ascii="Times New Roman" w:hAnsi="Times New Roman"/>
          <w:i/>
          <w:sz w:val="24"/>
        </w:rPr>
        <w:t>cash flow</w:t>
      </w:r>
      <w:r w:rsidR="00B37D8A" w:rsidRPr="00106CCA">
        <w:rPr>
          <w:rFonts w:ascii="Times New Roman" w:hAnsi="Times New Roman"/>
          <w:sz w:val="24"/>
        </w:rPr>
        <w:t xml:space="preserve"> se estableció en </w:t>
      </w:r>
      <w:r w:rsidR="00B37D8A">
        <w:rPr>
          <w:rFonts w:ascii="Times New Roman" w:hAnsi="Times New Roman"/>
          <w:sz w:val="24"/>
        </w:rPr>
        <w:t>20</w:t>
      </w:r>
      <w:r w:rsidR="00B37D8A" w:rsidRPr="00106CCA">
        <w:rPr>
          <w:rFonts w:ascii="Times New Roman" w:hAnsi="Times New Roman"/>
          <w:sz w:val="24"/>
        </w:rPr>
        <w:t xml:space="preserve"> años. Esto está en línea con el tipo de programa de que se trata, con las características de los proyectos a financiar, y con el cronograma de desembolsos previsto. Una proyección del</w:t>
      </w:r>
      <w:r w:rsidR="00B37D8A">
        <w:rPr>
          <w:rFonts w:ascii="Times New Roman" w:hAnsi="Times New Roman"/>
          <w:sz w:val="24"/>
        </w:rPr>
        <w:t xml:space="preserve"> flujo de fondos a menor plazo </w:t>
      </w:r>
      <w:r w:rsidR="00B37D8A" w:rsidRPr="00106CCA">
        <w:rPr>
          <w:rFonts w:ascii="Times New Roman" w:hAnsi="Times New Roman"/>
          <w:sz w:val="24"/>
        </w:rPr>
        <w:t>hubiera subestimado los beneficios del P</w:t>
      </w:r>
      <w:r w:rsidR="00B37D8A">
        <w:rPr>
          <w:rFonts w:ascii="Times New Roman" w:hAnsi="Times New Roman"/>
          <w:sz w:val="24"/>
        </w:rPr>
        <w:t>rograma</w:t>
      </w:r>
      <w:r w:rsidR="00B37D8A" w:rsidRPr="00106CCA">
        <w:rPr>
          <w:rFonts w:ascii="Times New Roman" w:hAnsi="Times New Roman"/>
          <w:sz w:val="24"/>
        </w:rPr>
        <w:t xml:space="preserve">, dado el tiempo de maduración de </w:t>
      </w:r>
      <w:r w:rsidR="00B37D8A">
        <w:rPr>
          <w:rFonts w:ascii="Times New Roman" w:hAnsi="Times New Roman"/>
          <w:sz w:val="24"/>
        </w:rPr>
        <w:t>los proyectos involucrados</w:t>
      </w:r>
      <w:r w:rsidR="00B37D8A" w:rsidRPr="00106CCA">
        <w:rPr>
          <w:rFonts w:ascii="Times New Roman" w:hAnsi="Times New Roman"/>
          <w:sz w:val="24"/>
        </w:rPr>
        <w:t xml:space="preserve">. </w:t>
      </w:r>
    </w:p>
    <w:p w:rsidR="00B37D8A" w:rsidRPr="00106CCA" w:rsidRDefault="00B37D8A" w:rsidP="00201FFA">
      <w:pPr>
        <w:spacing w:before="240"/>
        <w:jc w:val="both"/>
        <w:rPr>
          <w:rFonts w:ascii="Times New Roman" w:hAnsi="Times New Roman"/>
          <w:sz w:val="24"/>
        </w:rPr>
      </w:pPr>
      <w:r w:rsidRPr="00106CCA">
        <w:rPr>
          <w:rFonts w:ascii="Times New Roman" w:hAnsi="Times New Roman"/>
          <w:sz w:val="24"/>
        </w:rPr>
        <w:t>El cálculo por separado</w:t>
      </w:r>
      <w:r>
        <w:rPr>
          <w:rFonts w:ascii="Times New Roman" w:hAnsi="Times New Roman"/>
          <w:sz w:val="24"/>
        </w:rPr>
        <w:t xml:space="preserve"> </w:t>
      </w:r>
      <w:r w:rsidRPr="00106CCA">
        <w:rPr>
          <w:rFonts w:ascii="Times New Roman" w:hAnsi="Times New Roman"/>
          <w:sz w:val="24"/>
        </w:rPr>
        <w:t>de beneficios</w:t>
      </w:r>
      <w:r>
        <w:rPr>
          <w:rFonts w:ascii="Times New Roman" w:hAnsi="Times New Roman"/>
          <w:sz w:val="24"/>
        </w:rPr>
        <w:t xml:space="preserve"> y</w:t>
      </w:r>
      <w:r w:rsidRPr="00106CCA">
        <w:rPr>
          <w:rFonts w:ascii="Times New Roman" w:hAnsi="Times New Roman"/>
          <w:sz w:val="24"/>
        </w:rPr>
        <w:t xml:space="preserve"> costos, permitió estimar el resultado </w:t>
      </w:r>
      <w:r>
        <w:rPr>
          <w:rFonts w:ascii="Times New Roman" w:hAnsi="Times New Roman"/>
          <w:sz w:val="24"/>
        </w:rPr>
        <w:t xml:space="preserve">económico </w:t>
      </w:r>
      <w:r w:rsidRPr="00106CCA">
        <w:rPr>
          <w:rFonts w:ascii="Times New Roman" w:hAnsi="Times New Roman"/>
          <w:sz w:val="24"/>
        </w:rPr>
        <w:t xml:space="preserve">para cada subcomponente en términos de valor </w:t>
      </w:r>
      <w:r>
        <w:rPr>
          <w:rFonts w:ascii="Times New Roman" w:hAnsi="Times New Roman"/>
          <w:sz w:val="24"/>
        </w:rPr>
        <w:t>actual</w:t>
      </w:r>
      <w:r w:rsidRPr="00106CCA">
        <w:rPr>
          <w:rFonts w:ascii="Times New Roman" w:hAnsi="Times New Roman"/>
          <w:sz w:val="24"/>
        </w:rPr>
        <w:t xml:space="preserve"> neto</w:t>
      </w:r>
      <w:r>
        <w:rPr>
          <w:rFonts w:ascii="Times New Roman" w:hAnsi="Times New Roman"/>
          <w:sz w:val="24"/>
        </w:rPr>
        <w:t xml:space="preserve"> (VAN) y de tasa interna de retorno (TIR)</w:t>
      </w:r>
      <w:r w:rsidRPr="00106CCA">
        <w:rPr>
          <w:rFonts w:ascii="Times New Roman" w:hAnsi="Times New Roman"/>
          <w:sz w:val="24"/>
        </w:rPr>
        <w:t>. Los resultados por subcomponentes tien</w:t>
      </w:r>
      <w:r>
        <w:rPr>
          <w:rFonts w:ascii="Times New Roman" w:hAnsi="Times New Roman"/>
          <w:sz w:val="24"/>
        </w:rPr>
        <w:t xml:space="preserve">en </w:t>
      </w:r>
      <w:r w:rsidR="001A508B">
        <w:rPr>
          <w:rFonts w:ascii="Times New Roman" w:hAnsi="Times New Roman"/>
          <w:sz w:val="24"/>
        </w:rPr>
        <w:t>cierta</w:t>
      </w:r>
      <w:r>
        <w:rPr>
          <w:rFonts w:ascii="Times New Roman" w:hAnsi="Times New Roman"/>
          <w:sz w:val="24"/>
        </w:rPr>
        <w:t xml:space="preserve"> dispersión </w:t>
      </w:r>
      <w:r w:rsidRPr="00106CCA">
        <w:rPr>
          <w:rFonts w:ascii="Times New Roman" w:hAnsi="Times New Roman"/>
          <w:sz w:val="24"/>
        </w:rPr>
        <w:t xml:space="preserve">siendo </w:t>
      </w:r>
      <w:r>
        <w:rPr>
          <w:rFonts w:ascii="Times New Roman" w:hAnsi="Times New Roman"/>
          <w:sz w:val="24"/>
        </w:rPr>
        <w:t xml:space="preserve">todos </w:t>
      </w:r>
      <w:r w:rsidRPr="00106CCA">
        <w:rPr>
          <w:rFonts w:ascii="Times New Roman" w:hAnsi="Times New Roman"/>
          <w:sz w:val="24"/>
        </w:rPr>
        <w:t>ellos positivos</w:t>
      </w:r>
      <w:r>
        <w:rPr>
          <w:rFonts w:ascii="Times New Roman" w:hAnsi="Times New Roman"/>
          <w:sz w:val="24"/>
        </w:rPr>
        <w:t>. A continuación se presentan los resultados por componente y subcomponente.</w:t>
      </w:r>
      <w:r w:rsidRPr="00106CCA">
        <w:rPr>
          <w:rFonts w:ascii="Times New Roman" w:hAnsi="Times New Roman"/>
          <w:sz w:val="24"/>
        </w:rPr>
        <w:t xml:space="preserve"> </w:t>
      </w:r>
    </w:p>
    <w:tbl>
      <w:tblPr>
        <w:tblW w:w="0" w:type="auto"/>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601"/>
        <w:gridCol w:w="1842"/>
        <w:gridCol w:w="1531"/>
      </w:tblGrid>
      <w:tr w:rsidR="00A112D1" w:rsidRPr="004C6E4A" w:rsidTr="004C6E4A">
        <w:trPr>
          <w:jc w:val="center"/>
        </w:trPr>
        <w:tc>
          <w:tcPr>
            <w:tcW w:w="2127" w:type="dxa"/>
            <w:tcBorders>
              <w:top w:val="nil"/>
              <w:left w:val="nil"/>
            </w:tcBorders>
            <w:shd w:val="clear" w:color="auto" w:fill="auto"/>
            <w:vAlign w:val="center"/>
          </w:tcPr>
          <w:p w:rsidR="00A112D1" w:rsidRPr="004C6E4A" w:rsidRDefault="00A112D1" w:rsidP="004C6E4A">
            <w:pPr>
              <w:spacing w:after="0" w:line="240" w:lineRule="auto"/>
              <w:rPr>
                <w:rFonts w:ascii="Arial" w:hAnsi="Arial" w:cs="Arial"/>
                <w:sz w:val="18"/>
                <w:szCs w:val="20"/>
              </w:rPr>
            </w:pPr>
          </w:p>
        </w:tc>
        <w:tc>
          <w:tcPr>
            <w:tcW w:w="1601" w:type="dxa"/>
            <w:shd w:val="clear" w:color="auto" w:fill="D9D9D9"/>
            <w:vAlign w:val="center"/>
          </w:tcPr>
          <w:p w:rsidR="00A112D1" w:rsidRPr="004C6E4A" w:rsidRDefault="00A112D1" w:rsidP="004C6E4A">
            <w:pPr>
              <w:spacing w:after="0" w:line="240" w:lineRule="auto"/>
              <w:jc w:val="center"/>
              <w:rPr>
                <w:rFonts w:ascii="Arial" w:hAnsi="Arial" w:cs="Arial"/>
                <w:sz w:val="18"/>
                <w:szCs w:val="20"/>
              </w:rPr>
            </w:pPr>
            <w:r w:rsidRPr="004C6E4A">
              <w:rPr>
                <w:rFonts w:ascii="Arial" w:hAnsi="Arial" w:cs="Arial"/>
                <w:sz w:val="18"/>
                <w:szCs w:val="20"/>
              </w:rPr>
              <w:t>Porcentaje del Programa</w:t>
            </w:r>
          </w:p>
        </w:tc>
        <w:tc>
          <w:tcPr>
            <w:tcW w:w="1842" w:type="dxa"/>
            <w:shd w:val="clear" w:color="auto" w:fill="D9D9D9"/>
            <w:vAlign w:val="center"/>
          </w:tcPr>
          <w:p w:rsidR="00A112D1" w:rsidRPr="004C6E4A" w:rsidRDefault="00A112D1" w:rsidP="004C6E4A">
            <w:pPr>
              <w:spacing w:after="0" w:line="240" w:lineRule="auto"/>
              <w:jc w:val="center"/>
              <w:rPr>
                <w:rFonts w:ascii="Arial" w:hAnsi="Arial" w:cs="Arial"/>
                <w:sz w:val="18"/>
                <w:szCs w:val="20"/>
              </w:rPr>
            </w:pPr>
            <w:r w:rsidRPr="004C6E4A">
              <w:rPr>
                <w:rFonts w:ascii="Arial" w:hAnsi="Arial" w:cs="Arial"/>
                <w:sz w:val="18"/>
                <w:szCs w:val="20"/>
              </w:rPr>
              <w:t>VAN ARS</w:t>
            </w:r>
          </w:p>
        </w:tc>
        <w:tc>
          <w:tcPr>
            <w:tcW w:w="1531" w:type="dxa"/>
            <w:shd w:val="clear" w:color="auto" w:fill="D9D9D9"/>
            <w:vAlign w:val="center"/>
          </w:tcPr>
          <w:p w:rsidR="00A112D1" w:rsidRPr="004C6E4A" w:rsidRDefault="00A112D1" w:rsidP="004C6E4A">
            <w:pPr>
              <w:spacing w:after="0" w:line="240" w:lineRule="auto"/>
              <w:jc w:val="center"/>
              <w:rPr>
                <w:rFonts w:ascii="Arial" w:hAnsi="Arial" w:cs="Arial"/>
                <w:sz w:val="18"/>
                <w:szCs w:val="20"/>
              </w:rPr>
            </w:pPr>
            <w:r w:rsidRPr="004C6E4A">
              <w:rPr>
                <w:rFonts w:ascii="Arial" w:hAnsi="Arial" w:cs="Arial"/>
                <w:sz w:val="18"/>
                <w:szCs w:val="20"/>
              </w:rPr>
              <w:t>TIR</w:t>
            </w:r>
          </w:p>
        </w:tc>
      </w:tr>
      <w:tr w:rsidR="00A112D1" w:rsidRPr="004C6E4A" w:rsidTr="004C6E4A">
        <w:trPr>
          <w:jc w:val="center"/>
        </w:trPr>
        <w:tc>
          <w:tcPr>
            <w:tcW w:w="2127" w:type="dxa"/>
            <w:vAlign w:val="center"/>
          </w:tcPr>
          <w:p w:rsidR="00A112D1" w:rsidRPr="004C6E4A" w:rsidRDefault="00A112D1" w:rsidP="004C6E4A">
            <w:pPr>
              <w:spacing w:after="0" w:line="240" w:lineRule="auto"/>
              <w:rPr>
                <w:rFonts w:ascii="Arial" w:hAnsi="Arial" w:cs="Arial"/>
                <w:sz w:val="18"/>
                <w:szCs w:val="20"/>
              </w:rPr>
            </w:pPr>
            <w:r w:rsidRPr="004C6E4A">
              <w:rPr>
                <w:rFonts w:ascii="Arial" w:hAnsi="Arial" w:cs="Arial"/>
                <w:sz w:val="18"/>
                <w:szCs w:val="20"/>
              </w:rPr>
              <w:t>Subcomponente I.i</w:t>
            </w:r>
          </w:p>
        </w:tc>
        <w:tc>
          <w:tcPr>
            <w:tcW w:w="1601" w:type="dxa"/>
            <w:vAlign w:val="center"/>
          </w:tcPr>
          <w:p w:rsidR="00A112D1" w:rsidRPr="004C6E4A" w:rsidRDefault="00A112D1" w:rsidP="004C6E4A">
            <w:pPr>
              <w:spacing w:after="0" w:line="240" w:lineRule="auto"/>
              <w:jc w:val="center"/>
              <w:rPr>
                <w:rFonts w:ascii="Arial" w:hAnsi="Arial" w:cs="Arial"/>
                <w:sz w:val="18"/>
                <w:szCs w:val="20"/>
              </w:rPr>
            </w:pPr>
            <w:r>
              <w:rPr>
                <w:rFonts w:ascii="Arial" w:hAnsi="Arial" w:cs="Arial"/>
                <w:sz w:val="18"/>
                <w:szCs w:val="20"/>
              </w:rPr>
              <w:t>65,06%</w:t>
            </w:r>
          </w:p>
        </w:tc>
        <w:tc>
          <w:tcPr>
            <w:tcW w:w="1842" w:type="dxa"/>
            <w:vAlign w:val="center"/>
          </w:tcPr>
          <w:p w:rsidR="00A112D1" w:rsidRPr="004C6E4A" w:rsidRDefault="00A112D1" w:rsidP="00A112D1">
            <w:pPr>
              <w:spacing w:after="0" w:line="240" w:lineRule="auto"/>
              <w:jc w:val="center"/>
              <w:rPr>
                <w:rFonts w:ascii="Arial" w:hAnsi="Arial" w:cs="Arial"/>
                <w:sz w:val="18"/>
                <w:szCs w:val="20"/>
              </w:rPr>
            </w:pPr>
            <w:r>
              <w:rPr>
                <w:rFonts w:ascii="Arial" w:hAnsi="Arial" w:cs="Arial"/>
                <w:sz w:val="18"/>
                <w:szCs w:val="20"/>
              </w:rPr>
              <w:t>43</w:t>
            </w:r>
            <w:r w:rsidRPr="004C6E4A">
              <w:rPr>
                <w:rFonts w:ascii="Arial" w:hAnsi="Arial" w:cs="Arial"/>
                <w:sz w:val="18"/>
                <w:szCs w:val="20"/>
              </w:rPr>
              <w:t>.</w:t>
            </w:r>
            <w:r>
              <w:rPr>
                <w:rFonts w:ascii="Arial" w:hAnsi="Arial" w:cs="Arial"/>
                <w:sz w:val="18"/>
                <w:szCs w:val="20"/>
              </w:rPr>
              <w:t>031</w:t>
            </w:r>
            <w:r w:rsidRPr="004C6E4A">
              <w:rPr>
                <w:rFonts w:ascii="Arial" w:hAnsi="Arial" w:cs="Arial"/>
                <w:sz w:val="18"/>
                <w:szCs w:val="20"/>
              </w:rPr>
              <w:t>,</w:t>
            </w:r>
            <w:r>
              <w:rPr>
                <w:rFonts w:ascii="Arial" w:hAnsi="Arial" w:cs="Arial"/>
                <w:sz w:val="18"/>
                <w:szCs w:val="20"/>
              </w:rPr>
              <w:t>359</w:t>
            </w:r>
          </w:p>
        </w:tc>
        <w:tc>
          <w:tcPr>
            <w:tcW w:w="1531" w:type="dxa"/>
            <w:vAlign w:val="center"/>
          </w:tcPr>
          <w:p w:rsidR="00A112D1" w:rsidRPr="004C6E4A" w:rsidRDefault="00A112D1" w:rsidP="00A112D1">
            <w:pPr>
              <w:spacing w:after="0" w:line="240" w:lineRule="auto"/>
              <w:jc w:val="center"/>
              <w:rPr>
                <w:rFonts w:ascii="Arial" w:hAnsi="Arial" w:cs="Arial"/>
                <w:sz w:val="18"/>
                <w:szCs w:val="20"/>
              </w:rPr>
            </w:pPr>
            <w:r w:rsidRPr="004C6E4A">
              <w:rPr>
                <w:rFonts w:ascii="Arial" w:hAnsi="Arial" w:cs="Arial"/>
                <w:sz w:val="18"/>
                <w:szCs w:val="20"/>
              </w:rPr>
              <w:t>1</w:t>
            </w:r>
            <w:r>
              <w:rPr>
                <w:rFonts w:ascii="Arial" w:hAnsi="Arial" w:cs="Arial"/>
                <w:sz w:val="18"/>
                <w:szCs w:val="20"/>
              </w:rPr>
              <w:t>4</w:t>
            </w:r>
            <w:r w:rsidRPr="004C6E4A">
              <w:rPr>
                <w:rFonts w:ascii="Arial" w:hAnsi="Arial" w:cs="Arial"/>
                <w:sz w:val="18"/>
                <w:szCs w:val="20"/>
              </w:rPr>
              <w:t>,</w:t>
            </w:r>
            <w:r>
              <w:rPr>
                <w:rFonts w:ascii="Arial" w:hAnsi="Arial" w:cs="Arial"/>
                <w:sz w:val="18"/>
                <w:szCs w:val="20"/>
              </w:rPr>
              <w:t>37</w:t>
            </w:r>
            <w:r w:rsidRPr="004C6E4A">
              <w:rPr>
                <w:rFonts w:ascii="Arial" w:hAnsi="Arial" w:cs="Arial"/>
                <w:sz w:val="18"/>
                <w:szCs w:val="20"/>
              </w:rPr>
              <w:t>%</w:t>
            </w:r>
          </w:p>
        </w:tc>
      </w:tr>
      <w:tr w:rsidR="00A112D1" w:rsidRPr="004C6E4A" w:rsidTr="004C6E4A">
        <w:trPr>
          <w:jc w:val="center"/>
        </w:trPr>
        <w:tc>
          <w:tcPr>
            <w:tcW w:w="2127" w:type="dxa"/>
            <w:vAlign w:val="center"/>
          </w:tcPr>
          <w:p w:rsidR="00A112D1" w:rsidRPr="004C6E4A" w:rsidRDefault="00A112D1" w:rsidP="004C6E4A">
            <w:pPr>
              <w:spacing w:after="0" w:line="240" w:lineRule="auto"/>
              <w:rPr>
                <w:rFonts w:ascii="Arial" w:hAnsi="Arial" w:cs="Arial"/>
                <w:sz w:val="18"/>
                <w:szCs w:val="20"/>
              </w:rPr>
            </w:pPr>
            <w:r w:rsidRPr="004C6E4A">
              <w:rPr>
                <w:rFonts w:ascii="Arial" w:hAnsi="Arial" w:cs="Arial"/>
                <w:sz w:val="18"/>
                <w:szCs w:val="20"/>
              </w:rPr>
              <w:t>Subcomponente I.ii</w:t>
            </w:r>
          </w:p>
        </w:tc>
        <w:tc>
          <w:tcPr>
            <w:tcW w:w="1601" w:type="dxa"/>
            <w:vAlign w:val="center"/>
          </w:tcPr>
          <w:p w:rsidR="00A112D1" w:rsidRPr="004C6E4A" w:rsidRDefault="00A112D1" w:rsidP="004C6E4A">
            <w:pPr>
              <w:spacing w:after="0" w:line="240" w:lineRule="auto"/>
              <w:jc w:val="center"/>
              <w:rPr>
                <w:rFonts w:ascii="Arial" w:hAnsi="Arial" w:cs="Arial"/>
                <w:sz w:val="18"/>
                <w:szCs w:val="20"/>
              </w:rPr>
            </w:pPr>
            <w:r>
              <w:rPr>
                <w:rFonts w:ascii="Arial" w:hAnsi="Arial" w:cs="Arial"/>
                <w:sz w:val="18"/>
                <w:szCs w:val="20"/>
              </w:rPr>
              <w:t>12,09%</w:t>
            </w:r>
          </w:p>
        </w:tc>
        <w:tc>
          <w:tcPr>
            <w:tcW w:w="1842" w:type="dxa"/>
            <w:vAlign w:val="center"/>
          </w:tcPr>
          <w:p w:rsidR="00A112D1" w:rsidRPr="004C6E4A" w:rsidRDefault="00A112D1" w:rsidP="004B26E2">
            <w:pPr>
              <w:spacing w:after="0" w:line="240" w:lineRule="auto"/>
              <w:jc w:val="center"/>
              <w:rPr>
                <w:rFonts w:ascii="Arial" w:hAnsi="Arial" w:cs="Arial"/>
                <w:sz w:val="18"/>
                <w:szCs w:val="20"/>
              </w:rPr>
            </w:pPr>
            <w:r w:rsidRPr="004B26E2">
              <w:rPr>
                <w:rFonts w:ascii="Arial" w:hAnsi="Arial" w:cs="Arial"/>
                <w:sz w:val="18"/>
                <w:szCs w:val="20"/>
              </w:rPr>
              <w:t>12.615.558</w:t>
            </w:r>
          </w:p>
        </w:tc>
        <w:tc>
          <w:tcPr>
            <w:tcW w:w="1531" w:type="dxa"/>
            <w:vAlign w:val="center"/>
          </w:tcPr>
          <w:p w:rsidR="00A112D1" w:rsidRPr="004C6E4A" w:rsidRDefault="00A112D1" w:rsidP="004B26E2">
            <w:pPr>
              <w:spacing w:after="0" w:line="240" w:lineRule="auto"/>
              <w:jc w:val="center"/>
              <w:rPr>
                <w:rFonts w:ascii="Arial" w:hAnsi="Arial" w:cs="Arial"/>
                <w:sz w:val="18"/>
                <w:szCs w:val="20"/>
              </w:rPr>
            </w:pPr>
            <w:r>
              <w:rPr>
                <w:rFonts w:ascii="Arial" w:hAnsi="Arial" w:cs="Arial"/>
                <w:sz w:val="18"/>
                <w:szCs w:val="20"/>
              </w:rPr>
              <w:t>16</w:t>
            </w:r>
            <w:r w:rsidRPr="004C6E4A">
              <w:rPr>
                <w:rFonts w:ascii="Arial" w:hAnsi="Arial" w:cs="Arial"/>
                <w:sz w:val="18"/>
                <w:szCs w:val="20"/>
              </w:rPr>
              <w:t>,</w:t>
            </w:r>
            <w:r>
              <w:rPr>
                <w:rFonts w:ascii="Arial" w:hAnsi="Arial" w:cs="Arial"/>
                <w:sz w:val="18"/>
                <w:szCs w:val="20"/>
              </w:rPr>
              <w:t>92</w:t>
            </w:r>
            <w:r w:rsidRPr="004C6E4A">
              <w:rPr>
                <w:rFonts w:ascii="Arial" w:hAnsi="Arial" w:cs="Arial"/>
                <w:sz w:val="18"/>
                <w:szCs w:val="20"/>
              </w:rPr>
              <w:t>%</w:t>
            </w:r>
          </w:p>
        </w:tc>
      </w:tr>
      <w:tr w:rsidR="00A112D1" w:rsidRPr="004C6E4A" w:rsidTr="004C6E4A">
        <w:trPr>
          <w:jc w:val="center"/>
        </w:trPr>
        <w:tc>
          <w:tcPr>
            <w:tcW w:w="2127" w:type="dxa"/>
            <w:vAlign w:val="center"/>
          </w:tcPr>
          <w:p w:rsidR="00A112D1" w:rsidRPr="004C6E4A" w:rsidRDefault="00A112D1" w:rsidP="004C6E4A">
            <w:pPr>
              <w:spacing w:after="0" w:line="240" w:lineRule="auto"/>
              <w:rPr>
                <w:rFonts w:ascii="Arial" w:hAnsi="Arial" w:cs="Arial"/>
                <w:sz w:val="18"/>
                <w:szCs w:val="20"/>
              </w:rPr>
            </w:pPr>
            <w:r w:rsidRPr="004C6E4A">
              <w:rPr>
                <w:rFonts w:ascii="Arial" w:hAnsi="Arial" w:cs="Arial"/>
                <w:sz w:val="18"/>
                <w:szCs w:val="20"/>
              </w:rPr>
              <w:t>Subcomponente II.i</w:t>
            </w:r>
          </w:p>
        </w:tc>
        <w:tc>
          <w:tcPr>
            <w:tcW w:w="1601" w:type="dxa"/>
            <w:vAlign w:val="center"/>
          </w:tcPr>
          <w:p w:rsidR="00A112D1" w:rsidRPr="004C6E4A" w:rsidRDefault="00A112D1" w:rsidP="004C6E4A">
            <w:pPr>
              <w:spacing w:after="0" w:line="240" w:lineRule="auto"/>
              <w:jc w:val="center"/>
              <w:rPr>
                <w:rFonts w:ascii="Arial" w:hAnsi="Arial" w:cs="Arial"/>
                <w:sz w:val="18"/>
                <w:szCs w:val="20"/>
              </w:rPr>
            </w:pPr>
            <w:r>
              <w:rPr>
                <w:rFonts w:ascii="Arial" w:hAnsi="Arial" w:cs="Arial"/>
                <w:sz w:val="18"/>
                <w:szCs w:val="20"/>
              </w:rPr>
              <w:t>2,22%</w:t>
            </w:r>
          </w:p>
        </w:tc>
        <w:tc>
          <w:tcPr>
            <w:tcW w:w="1842" w:type="dxa"/>
            <w:vAlign w:val="center"/>
          </w:tcPr>
          <w:p w:rsidR="00A112D1" w:rsidRPr="004C6E4A" w:rsidRDefault="00A112D1" w:rsidP="004B26E2">
            <w:pPr>
              <w:spacing w:after="0" w:line="240" w:lineRule="auto"/>
              <w:jc w:val="center"/>
              <w:rPr>
                <w:rFonts w:ascii="Arial" w:hAnsi="Arial" w:cs="Arial"/>
                <w:sz w:val="18"/>
                <w:szCs w:val="20"/>
              </w:rPr>
            </w:pPr>
            <w:r w:rsidRPr="004B26E2">
              <w:rPr>
                <w:rFonts w:ascii="Arial" w:hAnsi="Arial" w:cs="Arial"/>
                <w:sz w:val="18"/>
                <w:szCs w:val="20"/>
              </w:rPr>
              <w:t>1.052.146</w:t>
            </w:r>
          </w:p>
        </w:tc>
        <w:tc>
          <w:tcPr>
            <w:tcW w:w="1531" w:type="dxa"/>
            <w:vAlign w:val="center"/>
          </w:tcPr>
          <w:p w:rsidR="00A112D1" w:rsidRPr="004C6E4A" w:rsidRDefault="00A112D1" w:rsidP="004B26E2">
            <w:pPr>
              <w:spacing w:after="0" w:line="240" w:lineRule="auto"/>
              <w:jc w:val="center"/>
              <w:rPr>
                <w:rFonts w:ascii="Arial" w:hAnsi="Arial" w:cs="Arial"/>
                <w:sz w:val="18"/>
                <w:szCs w:val="20"/>
              </w:rPr>
            </w:pPr>
            <w:r w:rsidRPr="004C6E4A">
              <w:rPr>
                <w:rFonts w:ascii="Arial" w:hAnsi="Arial" w:cs="Arial"/>
                <w:sz w:val="18"/>
                <w:szCs w:val="20"/>
              </w:rPr>
              <w:t>1</w:t>
            </w:r>
            <w:r>
              <w:rPr>
                <w:rFonts w:ascii="Arial" w:hAnsi="Arial" w:cs="Arial"/>
                <w:sz w:val="18"/>
                <w:szCs w:val="20"/>
              </w:rPr>
              <w:t>4</w:t>
            </w:r>
            <w:r w:rsidRPr="004C6E4A">
              <w:rPr>
                <w:rFonts w:ascii="Arial" w:hAnsi="Arial" w:cs="Arial"/>
                <w:sz w:val="18"/>
                <w:szCs w:val="20"/>
              </w:rPr>
              <w:t>,</w:t>
            </w:r>
            <w:r>
              <w:rPr>
                <w:rFonts w:ascii="Arial" w:hAnsi="Arial" w:cs="Arial"/>
                <w:sz w:val="18"/>
                <w:szCs w:val="20"/>
              </w:rPr>
              <w:t>1</w:t>
            </w:r>
            <w:r w:rsidRPr="004C6E4A">
              <w:rPr>
                <w:rFonts w:ascii="Arial" w:hAnsi="Arial" w:cs="Arial"/>
                <w:sz w:val="18"/>
                <w:szCs w:val="20"/>
              </w:rPr>
              <w:t>%</w:t>
            </w:r>
          </w:p>
        </w:tc>
      </w:tr>
      <w:tr w:rsidR="00A112D1" w:rsidRPr="004C6E4A" w:rsidTr="004C6E4A">
        <w:trPr>
          <w:jc w:val="center"/>
        </w:trPr>
        <w:tc>
          <w:tcPr>
            <w:tcW w:w="2127" w:type="dxa"/>
            <w:vAlign w:val="center"/>
          </w:tcPr>
          <w:p w:rsidR="00A112D1" w:rsidRPr="004C6E4A" w:rsidRDefault="00A112D1" w:rsidP="004C6E4A">
            <w:pPr>
              <w:spacing w:after="0" w:line="240" w:lineRule="auto"/>
              <w:rPr>
                <w:rFonts w:ascii="Arial" w:hAnsi="Arial" w:cs="Arial"/>
                <w:sz w:val="18"/>
                <w:szCs w:val="20"/>
              </w:rPr>
            </w:pPr>
            <w:r w:rsidRPr="004C6E4A">
              <w:rPr>
                <w:rFonts w:ascii="Arial" w:hAnsi="Arial" w:cs="Arial"/>
                <w:sz w:val="18"/>
                <w:szCs w:val="20"/>
              </w:rPr>
              <w:t>Subcomponente II.ii</w:t>
            </w:r>
          </w:p>
        </w:tc>
        <w:tc>
          <w:tcPr>
            <w:tcW w:w="1601" w:type="dxa"/>
            <w:vAlign w:val="center"/>
          </w:tcPr>
          <w:p w:rsidR="00A112D1" w:rsidRPr="004C6E4A" w:rsidRDefault="00A112D1" w:rsidP="004C6E4A">
            <w:pPr>
              <w:spacing w:after="0" w:line="240" w:lineRule="auto"/>
              <w:jc w:val="center"/>
              <w:rPr>
                <w:rFonts w:ascii="Arial" w:hAnsi="Arial" w:cs="Arial"/>
                <w:sz w:val="18"/>
                <w:szCs w:val="20"/>
              </w:rPr>
            </w:pPr>
            <w:r>
              <w:rPr>
                <w:rFonts w:ascii="Arial" w:hAnsi="Arial" w:cs="Arial"/>
                <w:sz w:val="18"/>
                <w:szCs w:val="20"/>
              </w:rPr>
              <w:t>4,75%</w:t>
            </w:r>
          </w:p>
        </w:tc>
        <w:tc>
          <w:tcPr>
            <w:tcW w:w="1842" w:type="dxa"/>
            <w:vAlign w:val="center"/>
          </w:tcPr>
          <w:p w:rsidR="00A112D1" w:rsidRPr="004C6E4A" w:rsidRDefault="00A112D1" w:rsidP="004C6E4A">
            <w:pPr>
              <w:spacing w:after="0" w:line="240" w:lineRule="auto"/>
              <w:jc w:val="center"/>
              <w:rPr>
                <w:rFonts w:ascii="Arial" w:hAnsi="Arial" w:cs="Arial"/>
                <w:sz w:val="18"/>
                <w:szCs w:val="20"/>
              </w:rPr>
            </w:pPr>
            <w:r w:rsidRPr="004C6E4A">
              <w:rPr>
                <w:rFonts w:ascii="Arial" w:hAnsi="Arial" w:cs="Arial"/>
                <w:sz w:val="18"/>
                <w:szCs w:val="20"/>
              </w:rPr>
              <w:t>3.274.049</w:t>
            </w:r>
          </w:p>
        </w:tc>
        <w:tc>
          <w:tcPr>
            <w:tcW w:w="1531" w:type="dxa"/>
            <w:vAlign w:val="center"/>
          </w:tcPr>
          <w:p w:rsidR="00A112D1" w:rsidRPr="004C6E4A" w:rsidRDefault="00A112D1" w:rsidP="004C6E4A">
            <w:pPr>
              <w:spacing w:after="0" w:line="240" w:lineRule="auto"/>
              <w:jc w:val="center"/>
              <w:rPr>
                <w:rFonts w:ascii="Arial" w:hAnsi="Arial" w:cs="Arial"/>
                <w:sz w:val="18"/>
                <w:szCs w:val="20"/>
              </w:rPr>
            </w:pPr>
            <w:r w:rsidRPr="004C6E4A">
              <w:rPr>
                <w:rFonts w:ascii="Arial" w:hAnsi="Arial" w:cs="Arial"/>
                <w:sz w:val="18"/>
                <w:szCs w:val="20"/>
              </w:rPr>
              <w:t>13,81%</w:t>
            </w:r>
          </w:p>
        </w:tc>
      </w:tr>
    </w:tbl>
    <w:p w:rsidR="00B37D8A" w:rsidRPr="009D3872" w:rsidRDefault="00B37D8A" w:rsidP="00AB2154">
      <w:pPr>
        <w:spacing w:before="240"/>
        <w:jc w:val="both"/>
        <w:rPr>
          <w:rFonts w:ascii="Times New Roman" w:hAnsi="Times New Roman"/>
          <w:sz w:val="24"/>
        </w:rPr>
      </w:pPr>
      <w:r w:rsidRPr="00106CCA">
        <w:rPr>
          <w:rFonts w:ascii="Times New Roman" w:hAnsi="Times New Roman"/>
          <w:sz w:val="24"/>
        </w:rPr>
        <w:t xml:space="preserve">Finalmente, para el caso base y en el marco del escenario descripto anteriormente, </w:t>
      </w:r>
      <w:r>
        <w:rPr>
          <w:rFonts w:ascii="Times New Roman" w:hAnsi="Times New Roman"/>
          <w:sz w:val="24"/>
        </w:rPr>
        <w:t xml:space="preserve">se calcula el </w:t>
      </w:r>
      <w:r w:rsidRPr="009D3872">
        <w:rPr>
          <w:rFonts w:ascii="Times New Roman" w:hAnsi="Times New Roman"/>
          <w:sz w:val="24"/>
        </w:rPr>
        <w:t xml:space="preserve">resultado económico del Programa de Crédito para el Desarrollo de Mendoza Tecnológica (tabla 5). </w:t>
      </w:r>
      <w:r w:rsidR="009D3872" w:rsidRPr="009D3872">
        <w:rPr>
          <w:rFonts w:ascii="Times New Roman" w:hAnsi="Times New Roman"/>
          <w:sz w:val="24"/>
        </w:rPr>
        <w:t>En este caso la</w:t>
      </w:r>
      <w:r w:rsidRPr="009D3872">
        <w:rPr>
          <w:rFonts w:ascii="Times New Roman" w:hAnsi="Times New Roman"/>
          <w:sz w:val="24"/>
        </w:rPr>
        <w:t xml:space="preserve"> Tasa Interna de Retorno (TIR) es de 1</w:t>
      </w:r>
      <w:r w:rsidR="00AB2154" w:rsidRPr="009D3872">
        <w:rPr>
          <w:rFonts w:ascii="Times New Roman" w:hAnsi="Times New Roman"/>
          <w:sz w:val="24"/>
        </w:rPr>
        <w:t>7</w:t>
      </w:r>
      <w:r w:rsidRPr="009D3872">
        <w:rPr>
          <w:rFonts w:ascii="Times New Roman" w:hAnsi="Times New Roman"/>
          <w:sz w:val="24"/>
        </w:rPr>
        <w:t>,</w:t>
      </w:r>
      <w:r w:rsidR="00AB2154" w:rsidRPr="009D3872">
        <w:rPr>
          <w:rFonts w:ascii="Times New Roman" w:hAnsi="Times New Roman"/>
          <w:sz w:val="24"/>
        </w:rPr>
        <w:t>34</w:t>
      </w:r>
      <w:r w:rsidRPr="009D3872">
        <w:rPr>
          <w:rFonts w:ascii="Times New Roman" w:hAnsi="Times New Roman"/>
          <w:sz w:val="24"/>
        </w:rPr>
        <w:t xml:space="preserve">% y el VAN es de ARS </w:t>
      </w:r>
      <w:r w:rsidR="00AB2154" w:rsidRPr="009D3872">
        <w:rPr>
          <w:rFonts w:ascii="Times New Roman" w:hAnsi="Times New Roman"/>
          <w:sz w:val="24"/>
        </w:rPr>
        <w:t>109.465.201 (USD 21.051.000).</w:t>
      </w:r>
    </w:p>
    <w:p w:rsidR="00B37D8A" w:rsidRDefault="00B37D8A" w:rsidP="00AA3DF6">
      <w:pPr>
        <w:pStyle w:val="NoSpacing"/>
        <w:jc w:val="center"/>
        <w:rPr>
          <w:rFonts w:ascii="Times New Roman" w:hAnsi="Times New Roman"/>
        </w:rPr>
        <w:sectPr w:rsidR="00B37D8A" w:rsidSect="00AB4720">
          <w:footerReference w:type="default" r:id="rId9"/>
          <w:pgSz w:w="12240" w:h="15840"/>
          <w:pgMar w:top="1440" w:right="1080" w:bottom="1440" w:left="1080" w:header="708" w:footer="708" w:gutter="0"/>
          <w:cols w:space="708"/>
          <w:titlePg/>
          <w:docGrid w:linePitch="360"/>
        </w:sectPr>
      </w:pPr>
    </w:p>
    <w:p w:rsidR="00B37D8A" w:rsidRDefault="00B37D8A" w:rsidP="00201FFA">
      <w:pPr>
        <w:pStyle w:val="Heading1"/>
        <w:rPr>
          <w:rFonts w:ascii="Times New Roman" w:hAnsi="Times New Roman"/>
          <w:lang w:val="es-ES"/>
        </w:rPr>
      </w:pPr>
      <w:bookmarkStart w:id="51" w:name="_Toc362804631"/>
      <w:r>
        <w:rPr>
          <w:rFonts w:ascii="Times New Roman" w:hAnsi="Times New Roman"/>
          <w:lang w:val="es-ES"/>
        </w:rPr>
        <w:lastRenderedPageBreak/>
        <w:t xml:space="preserve">Anexo 1: </w:t>
      </w:r>
      <w:r w:rsidRPr="0087271E">
        <w:rPr>
          <w:rFonts w:ascii="Times New Roman" w:hAnsi="Times New Roman"/>
          <w:lang w:val="es-ES"/>
        </w:rPr>
        <w:t>Tablas</w:t>
      </w:r>
      <w:bookmarkEnd w:id="51"/>
    </w:p>
    <w:p w:rsidR="00B37D8A" w:rsidRPr="007A6FD5" w:rsidRDefault="00B37D8A" w:rsidP="007A6FD5">
      <w:pPr>
        <w:rPr>
          <w:lang w:val="es-ES" w:eastAsia="es-ES"/>
        </w:rPr>
      </w:pPr>
    </w:p>
    <w:p w:rsidR="00B37D8A" w:rsidRPr="00AA3DF6" w:rsidRDefault="00B37D8A" w:rsidP="007A6FD5">
      <w:pPr>
        <w:pStyle w:val="NoSpacing"/>
        <w:rPr>
          <w:rFonts w:ascii="Times New Roman" w:hAnsi="Times New Roman"/>
          <w:b/>
        </w:rPr>
      </w:pPr>
      <w:r w:rsidRPr="00AA3DF6">
        <w:rPr>
          <w:rFonts w:ascii="Times New Roman" w:hAnsi="Times New Roman"/>
          <w:b/>
          <w:sz w:val="20"/>
        </w:rPr>
        <w:t>Tabla 1. Análisis costo-beneficio Subcomponente I.i</w:t>
      </w:r>
    </w:p>
    <w:p w:rsidR="00B37D8A" w:rsidRPr="00003568" w:rsidRDefault="00537D4D" w:rsidP="00AA3DF6">
      <w:pPr>
        <w:pStyle w:val="NoSpacing"/>
        <w:jc w:val="both"/>
      </w:pPr>
      <w:r>
        <w:rPr>
          <w:noProof/>
          <w:lang w:val="es-ES_tradnl" w:eastAsia="es-ES_tradnl"/>
        </w:rPr>
        <w:drawing>
          <wp:inline distT="0" distB="0" distL="0" distR="0">
            <wp:extent cx="8187055" cy="4305935"/>
            <wp:effectExtent l="19050" t="19050" r="23495" b="184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87055" cy="4305935"/>
                    </a:xfrm>
                    <a:prstGeom prst="rect">
                      <a:avLst/>
                    </a:prstGeom>
                    <a:noFill/>
                    <a:ln w="6350" cmpd="sng">
                      <a:solidFill>
                        <a:srgbClr val="000000"/>
                      </a:solidFill>
                      <a:miter lim="800000"/>
                      <a:headEnd/>
                      <a:tailEnd/>
                    </a:ln>
                    <a:effectLst/>
                  </pic:spPr>
                </pic:pic>
              </a:graphicData>
            </a:graphic>
          </wp:inline>
        </w:drawing>
      </w:r>
    </w:p>
    <w:p w:rsidR="00B37D8A" w:rsidRPr="00DE5DFF" w:rsidRDefault="00B37D8A" w:rsidP="00AA3DF6">
      <w:pPr>
        <w:pStyle w:val="NoSpacing"/>
        <w:jc w:val="both"/>
        <w:rPr>
          <w:b/>
          <w:color w:val="FF0000"/>
          <w:sz w:val="16"/>
          <w:szCs w:val="16"/>
        </w:rPr>
      </w:pPr>
      <w:r w:rsidRPr="00DE5DFF">
        <w:rPr>
          <w:b/>
          <w:color w:val="FF0000"/>
          <w:sz w:val="16"/>
          <w:szCs w:val="16"/>
        </w:rPr>
        <w:t>Nota: datos expresados en miles de ARS</w:t>
      </w:r>
    </w:p>
    <w:p w:rsidR="00B37D8A" w:rsidRDefault="00B37D8A" w:rsidP="00AA3DF6">
      <w:pPr>
        <w:pStyle w:val="NoSpacing"/>
        <w:jc w:val="both"/>
        <w:rPr>
          <w:rFonts w:ascii="Times New Roman" w:hAnsi="Times New Roman"/>
          <w:b/>
          <w:sz w:val="20"/>
        </w:rPr>
      </w:pPr>
    </w:p>
    <w:p w:rsidR="00B37D8A" w:rsidRDefault="00B37D8A" w:rsidP="00AA3DF6">
      <w:pPr>
        <w:pStyle w:val="NoSpacing"/>
        <w:jc w:val="both"/>
        <w:rPr>
          <w:rFonts w:ascii="Times New Roman" w:hAnsi="Times New Roman"/>
          <w:b/>
          <w:sz w:val="20"/>
        </w:rPr>
      </w:pPr>
    </w:p>
    <w:p w:rsidR="00B37D8A" w:rsidRDefault="00B37D8A" w:rsidP="00AA3DF6">
      <w:pPr>
        <w:pStyle w:val="NoSpacing"/>
        <w:jc w:val="both"/>
        <w:rPr>
          <w:rFonts w:ascii="Times New Roman" w:hAnsi="Times New Roman"/>
          <w:b/>
          <w:sz w:val="20"/>
        </w:rPr>
      </w:pPr>
    </w:p>
    <w:p w:rsidR="00B37D8A" w:rsidRDefault="00B37D8A" w:rsidP="00AA3DF6">
      <w:pPr>
        <w:pStyle w:val="NoSpacing"/>
        <w:jc w:val="both"/>
        <w:rPr>
          <w:rFonts w:ascii="Times New Roman" w:hAnsi="Times New Roman"/>
          <w:b/>
          <w:sz w:val="20"/>
        </w:rPr>
      </w:pPr>
    </w:p>
    <w:p w:rsidR="00B37D8A" w:rsidRDefault="00B37D8A" w:rsidP="00AA3DF6">
      <w:pPr>
        <w:pStyle w:val="NoSpacing"/>
        <w:jc w:val="both"/>
        <w:rPr>
          <w:rFonts w:ascii="Times New Roman" w:hAnsi="Times New Roman"/>
          <w:b/>
          <w:sz w:val="20"/>
        </w:rPr>
      </w:pPr>
    </w:p>
    <w:p w:rsidR="00B37D8A" w:rsidRDefault="00B37D8A" w:rsidP="00AA3DF6">
      <w:pPr>
        <w:pStyle w:val="NoSpacing"/>
        <w:jc w:val="both"/>
        <w:rPr>
          <w:rFonts w:ascii="Times New Roman" w:hAnsi="Times New Roman"/>
          <w:b/>
          <w:sz w:val="20"/>
        </w:rPr>
      </w:pPr>
    </w:p>
    <w:p w:rsidR="00B37D8A" w:rsidRDefault="00B37D8A" w:rsidP="00AA3DF6">
      <w:pPr>
        <w:pStyle w:val="NoSpacing"/>
        <w:jc w:val="both"/>
        <w:rPr>
          <w:rFonts w:ascii="Times New Roman" w:hAnsi="Times New Roman"/>
          <w:b/>
          <w:sz w:val="20"/>
        </w:rPr>
      </w:pPr>
    </w:p>
    <w:p w:rsidR="00B37D8A" w:rsidRDefault="00B37D8A" w:rsidP="00AA3DF6">
      <w:pPr>
        <w:pStyle w:val="NoSpacing"/>
        <w:jc w:val="both"/>
        <w:rPr>
          <w:rFonts w:ascii="Times New Roman" w:hAnsi="Times New Roman"/>
          <w:b/>
          <w:sz w:val="20"/>
        </w:rPr>
      </w:pPr>
    </w:p>
    <w:p w:rsidR="00B37D8A" w:rsidRDefault="00B37D8A" w:rsidP="00AA3DF6">
      <w:pPr>
        <w:pStyle w:val="NoSpacing"/>
        <w:jc w:val="both"/>
        <w:rPr>
          <w:rFonts w:ascii="Times New Roman" w:hAnsi="Times New Roman"/>
        </w:rPr>
      </w:pPr>
      <w:r w:rsidRPr="00AA3DF6">
        <w:rPr>
          <w:rFonts w:ascii="Times New Roman" w:hAnsi="Times New Roman"/>
          <w:b/>
          <w:sz w:val="20"/>
        </w:rPr>
        <w:t xml:space="preserve">Tabla </w:t>
      </w:r>
      <w:r>
        <w:rPr>
          <w:rFonts w:ascii="Times New Roman" w:hAnsi="Times New Roman"/>
          <w:b/>
          <w:sz w:val="20"/>
        </w:rPr>
        <w:t>2</w:t>
      </w:r>
      <w:r w:rsidRPr="00AA3DF6">
        <w:rPr>
          <w:rFonts w:ascii="Times New Roman" w:hAnsi="Times New Roman"/>
          <w:b/>
          <w:sz w:val="20"/>
        </w:rPr>
        <w:t>. Análisis costo-beneficio Subcomponente I.i</w:t>
      </w:r>
      <w:r>
        <w:rPr>
          <w:rFonts w:ascii="Times New Roman" w:hAnsi="Times New Roman"/>
          <w:b/>
          <w:sz w:val="20"/>
        </w:rPr>
        <w:t>i</w:t>
      </w:r>
      <w:r>
        <w:rPr>
          <w:rFonts w:ascii="Times New Roman" w:hAnsi="Times New Roman"/>
        </w:rPr>
        <w:t xml:space="preserve"> </w:t>
      </w:r>
    </w:p>
    <w:p w:rsidR="00B37D8A" w:rsidRDefault="00537D4D" w:rsidP="00AA3DF6">
      <w:pPr>
        <w:pStyle w:val="NoSpacing"/>
        <w:jc w:val="both"/>
        <w:rPr>
          <w:rFonts w:ascii="Times New Roman" w:hAnsi="Times New Roman"/>
        </w:rPr>
      </w:pPr>
      <w:r>
        <w:rPr>
          <w:noProof/>
          <w:lang w:val="es-ES_tradnl" w:eastAsia="es-ES_tradnl"/>
        </w:rPr>
        <w:drawing>
          <wp:inline distT="0" distB="0" distL="0" distR="0">
            <wp:extent cx="8229600" cy="1892300"/>
            <wp:effectExtent l="0" t="0" r="0" b="0"/>
            <wp:docPr id="2"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1892300"/>
                    </a:xfrm>
                    <a:prstGeom prst="rect">
                      <a:avLst/>
                    </a:prstGeom>
                    <a:noFill/>
                    <a:ln>
                      <a:noFill/>
                    </a:ln>
                  </pic:spPr>
                </pic:pic>
              </a:graphicData>
            </a:graphic>
          </wp:inline>
        </w:drawing>
      </w:r>
    </w:p>
    <w:p w:rsidR="00B37D8A" w:rsidRDefault="00B37D8A" w:rsidP="00AA3DF6">
      <w:pPr>
        <w:pStyle w:val="NoSpacing"/>
        <w:jc w:val="both"/>
        <w:rPr>
          <w:rFonts w:ascii="Times New Roman" w:hAnsi="Times New Roman"/>
        </w:rPr>
      </w:pPr>
    </w:p>
    <w:p w:rsidR="00B37D8A" w:rsidRDefault="00B37D8A" w:rsidP="00AA3DF6">
      <w:pPr>
        <w:pStyle w:val="NoSpacing"/>
        <w:jc w:val="both"/>
        <w:rPr>
          <w:rFonts w:ascii="Times New Roman" w:hAnsi="Times New Roman"/>
        </w:rPr>
      </w:pPr>
      <w:r w:rsidRPr="00AA3DF6">
        <w:rPr>
          <w:rFonts w:ascii="Times New Roman" w:hAnsi="Times New Roman"/>
          <w:b/>
          <w:sz w:val="20"/>
        </w:rPr>
        <w:t xml:space="preserve">Tabla </w:t>
      </w:r>
      <w:r>
        <w:rPr>
          <w:rFonts w:ascii="Times New Roman" w:hAnsi="Times New Roman"/>
          <w:b/>
          <w:sz w:val="20"/>
        </w:rPr>
        <w:t>3</w:t>
      </w:r>
      <w:r w:rsidRPr="00AA3DF6">
        <w:rPr>
          <w:rFonts w:ascii="Times New Roman" w:hAnsi="Times New Roman"/>
          <w:b/>
          <w:sz w:val="20"/>
        </w:rPr>
        <w:t>. Análisis costo-beneficio Subcomponente I</w:t>
      </w:r>
      <w:r>
        <w:rPr>
          <w:rFonts w:ascii="Times New Roman" w:hAnsi="Times New Roman"/>
          <w:b/>
          <w:sz w:val="20"/>
        </w:rPr>
        <w:t>I</w:t>
      </w:r>
      <w:r w:rsidRPr="00AA3DF6">
        <w:rPr>
          <w:rFonts w:ascii="Times New Roman" w:hAnsi="Times New Roman"/>
          <w:b/>
          <w:sz w:val="20"/>
        </w:rPr>
        <w:t>.i</w:t>
      </w:r>
      <w:r>
        <w:rPr>
          <w:rFonts w:ascii="Times New Roman" w:hAnsi="Times New Roman"/>
        </w:rPr>
        <w:t xml:space="preserve"> </w:t>
      </w:r>
    </w:p>
    <w:p w:rsidR="00B37D8A" w:rsidRDefault="00537D4D" w:rsidP="00AA3DF6">
      <w:pPr>
        <w:pStyle w:val="NoSpacing"/>
        <w:jc w:val="both"/>
        <w:rPr>
          <w:rFonts w:ascii="Times New Roman" w:hAnsi="Times New Roman"/>
        </w:rPr>
      </w:pPr>
      <w:r>
        <w:rPr>
          <w:noProof/>
          <w:lang w:val="es-ES_tradnl" w:eastAsia="es-ES_tradnl"/>
        </w:rPr>
        <w:drawing>
          <wp:inline distT="0" distB="0" distL="0" distR="0">
            <wp:extent cx="8229600" cy="1849755"/>
            <wp:effectExtent l="0" t="0" r="0" b="0"/>
            <wp:docPr id="3"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1849755"/>
                    </a:xfrm>
                    <a:prstGeom prst="rect">
                      <a:avLst/>
                    </a:prstGeom>
                    <a:noFill/>
                    <a:ln>
                      <a:noFill/>
                    </a:ln>
                  </pic:spPr>
                </pic:pic>
              </a:graphicData>
            </a:graphic>
          </wp:inline>
        </w:drawing>
      </w:r>
    </w:p>
    <w:p w:rsidR="00B37D8A" w:rsidRDefault="00B37D8A" w:rsidP="00AA3DF6">
      <w:pPr>
        <w:pStyle w:val="NoSpacing"/>
        <w:jc w:val="both"/>
        <w:rPr>
          <w:rFonts w:ascii="Times New Roman" w:hAnsi="Times New Roman"/>
          <w:b/>
          <w:sz w:val="20"/>
        </w:rPr>
      </w:pPr>
    </w:p>
    <w:p w:rsidR="004C6E4A" w:rsidRDefault="004C6E4A" w:rsidP="00AA3DF6">
      <w:pPr>
        <w:pStyle w:val="NoSpacing"/>
        <w:jc w:val="both"/>
        <w:rPr>
          <w:rFonts w:ascii="Times New Roman" w:hAnsi="Times New Roman"/>
          <w:b/>
          <w:sz w:val="20"/>
        </w:rPr>
      </w:pPr>
    </w:p>
    <w:p w:rsidR="004C6E4A" w:rsidRDefault="004C6E4A" w:rsidP="00AA3DF6">
      <w:pPr>
        <w:pStyle w:val="NoSpacing"/>
        <w:jc w:val="both"/>
        <w:rPr>
          <w:rFonts w:ascii="Times New Roman" w:hAnsi="Times New Roman"/>
          <w:b/>
          <w:sz w:val="20"/>
        </w:rPr>
      </w:pPr>
    </w:p>
    <w:p w:rsidR="004C6E4A" w:rsidRDefault="004C6E4A" w:rsidP="00AA3DF6">
      <w:pPr>
        <w:pStyle w:val="NoSpacing"/>
        <w:jc w:val="both"/>
        <w:rPr>
          <w:rFonts w:ascii="Times New Roman" w:hAnsi="Times New Roman"/>
          <w:b/>
          <w:sz w:val="20"/>
        </w:rPr>
      </w:pPr>
    </w:p>
    <w:p w:rsidR="004C6E4A" w:rsidRDefault="004C6E4A" w:rsidP="00AA3DF6">
      <w:pPr>
        <w:pStyle w:val="NoSpacing"/>
        <w:jc w:val="both"/>
        <w:rPr>
          <w:rFonts w:ascii="Times New Roman" w:hAnsi="Times New Roman"/>
          <w:b/>
          <w:sz w:val="20"/>
        </w:rPr>
      </w:pPr>
    </w:p>
    <w:p w:rsidR="004C6E4A" w:rsidRDefault="004C6E4A" w:rsidP="00AA3DF6">
      <w:pPr>
        <w:pStyle w:val="NoSpacing"/>
        <w:jc w:val="both"/>
        <w:rPr>
          <w:rFonts w:ascii="Times New Roman" w:hAnsi="Times New Roman"/>
          <w:b/>
          <w:sz w:val="20"/>
        </w:rPr>
      </w:pPr>
    </w:p>
    <w:p w:rsidR="004C6E4A" w:rsidRDefault="004C6E4A" w:rsidP="00AA3DF6">
      <w:pPr>
        <w:pStyle w:val="NoSpacing"/>
        <w:jc w:val="both"/>
        <w:rPr>
          <w:rFonts w:ascii="Times New Roman" w:hAnsi="Times New Roman"/>
          <w:b/>
          <w:sz w:val="20"/>
        </w:rPr>
      </w:pPr>
    </w:p>
    <w:p w:rsidR="004C6E4A" w:rsidRDefault="004C6E4A" w:rsidP="00AA3DF6">
      <w:pPr>
        <w:pStyle w:val="NoSpacing"/>
        <w:jc w:val="both"/>
        <w:rPr>
          <w:rFonts w:ascii="Times New Roman" w:hAnsi="Times New Roman"/>
          <w:b/>
          <w:sz w:val="20"/>
        </w:rPr>
      </w:pPr>
    </w:p>
    <w:p w:rsidR="004C6E4A" w:rsidRDefault="004C6E4A" w:rsidP="00AA3DF6">
      <w:pPr>
        <w:pStyle w:val="NoSpacing"/>
        <w:jc w:val="both"/>
        <w:rPr>
          <w:rFonts w:ascii="Times New Roman" w:hAnsi="Times New Roman"/>
          <w:b/>
          <w:sz w:val="20"/>
        </w:rPr>
      </w:pPr>
    </w:p>
    <w:p w:rsidR="004C6E4A" w:rsidRDefault="004C6E4A" w:rsidP="00AA3DF6">
      <w:pPr>
        <w:pStyle w:val="NoSpacing"/>
        <w:jc w:val="both"/>
        <w:rPr>
          <w:rFonts w:ascii="Times New Roman" w:hAnsi="Times New Roman"/>
          <w:b/>
          <w:sz w:val="20"/>
        </w:rPr>
      </w:pPr>
    </w:p>
    <w:p w:rsidR="004C6E4A" w:rsidRDefault="004C6E4A" w:rsidP="00AA3DF6">
      <w:pPr>
        <w:pStyle w:val="NoSpacing"/>
        <w:jc w:val="both"/>
        <w:rPr>
          <w:rFonts w:ascii="Times New Roman" w:hAnsi="Times New Roman"/>
          <w:b/>
          <w:sz w:val="20"/>
        </w:rPr>
      </w:pPr>
    </w:p>
    <w:p w:rsidR="004C6E4A" w:rsidRDefault="004C6E4A" w:rsidP="00AA3DF6">
      <w:pPr>
        <w:pStyle w:val="NoSpacing"/>
        <w:jc w:val="both"/>
        <w:rPr>
          <w:rFonts w:ascii="Times New Roman" w:hAnsi="Times New Roman"/>
          <w:b/>
          <w:sz w:val="20"/>
        </w:rPr>
      </w:pPr>
    </w:p>
    <w:p w:rsidR="00B37D8A" w:rsidRDefault="00B37D8A" w:rsidP="00AA3DF6">
      <w:pPr>
        <w:pStyle w:val="NoSpacing"/>
        <w:jc w:val="both"/>
        <w:rPr>
          <w:rFonts w:ascii="Times New Roman" w:hAnsi="Times New Roman"/>
          <w:b/>
          <w:sz w:val="20"/>
        </w:rPr>
      </w:pPr>
      <w:r w:rsidRPr="00AA3DF6">
        <w:rPr>
          <w:rFonts w:ascii="Times New Roman" w:hAnsi="Times New Roman"/>
          <w:b/>
          <w:sz w:val="20"/>
        </w:rPr>
        <w:lastRenderedPageBreak/>
        <w:t xml:space="preserve">Tabla </w:t>
      </w:r>
      <w:r>
        <w:rPr>
          <w:rFonts w:ascii="Times New Roman" w:hAnsi="Times New Roman"/>
          <w:b/>
          <w:sz w:val="20"/>
        </w:rPr>
        <w:t>4</w:t>
      </w:r>
      <w:r w:rsidRPr="00AA3DF6">
        <w:rPr>
          <w:rFonts w:ascii="Times New Roman" w:hAnsi="Times New Roman"/>
          <w:b/>
          <w:sz w:val="20"/>
        </w:rPr>
        <w:t>. Análisis costo-beneficio Subcomponente I</w:t>
      </w:r>
      <w:r>
        <w:rPr>
          <w:rFonts w:ascii="Times New Roman" w:hAnsi="Times New Roman"/>
          <w:b/>
          <w:sz w:val="20"/>
        </w:rPr>
        <w:t>I</w:t>
      </w:r>
      <w:r w:rsidRPr="00AA3DF6">
        <w:rPr>
          <w:rFonts w:ascii="Times New Roman" w:hAnsi="Times New Roman"/>
          <w:b/>
          <w:sz w:val="20"/>
        </w:rPr>
        <w:t>.i</w:t>
      </w:r>
      <w:r>
        <w:rPr>
          <w:rFonts w:ascii="Times New Roman" w:hAnsi="Times New Roman"/>
          <w:b/>
          <w:sz w:val="20"/>
        </w:rPr>
        <w:t>i</w:t>
      </w:r>
    </w:p>
    <w:p w:rsidR="00B37D8A" w:rsidRDefault="00537D4D" w:rsidP="00AA3DF6">
      <w:pPr>
        <w:pStyle w:val="NoSpacing"/>
        <w:jc w:val="both"/>
        <w:rPr>
          <w:noProof/>
          <w:szCs w:val="24"/>
          <w:lang w:val="en-US"/>
        </w:rPr>
      </w:pPr>
      <w:r>
        <w:rPr>
          <w:noProof/>
          <w:szCs w:val="24"/>
          <w:lang w:val="es-ES_tradnl" w:eastAsia="es-ES_tradnl"/>
        </w:rPr>
        <w:drawing>
          <wp:inline distT="0" distB="0" distL="0" distR="0">
            <wp:extent cx="8218805" cy="1732915"/>
            <wp:effectExtent l="0" t="0" r="0" b="635"/>
            <wp:docPr id="4"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18805" cy="1732915"/>
                    </a:xfrm>
                    <a:prstGeom prst="rect">
                      <a:avLst/>
                    </a:prstGeom>
                    <a:noFill/>
                    <a:ln>
                      <a:noFill/>
                    </a:ln>
                  </pic:spPr>
                </pic:pic>
              </a:graphicData>
            </a:graphic>
          </wp:inline>
        </w:drawing>
      </w:r>
    </w:p>
    <w:p w:rsidR="00B37D8A" w:rsidRDefault="00B37D8A" w:rsidP="00201FFA">
      <w:pPr>
        <w:pStyle w:val="NoSpacing"/>
        <w:jc w:val="both"/>
        <w:rPr>
          <w:rFonts w:ascii="Times New Roman" w:hAnsi="Times New Roman"/>
          <w:b/>
          <w:sz w:val="20"/>
        </w:rPr>
      </w:pPr>
    </w:p>
    <w:p w:rsidR="00B37D8A" w:rsidRDefault="00B37D8A" w:rsidP="00AA3DF6">
      <w:pPr>
        <w:pStyle w:val="NoSpacing"/>
        <w:jc w:val="both"/>
        <w:rPr>
          <w:rFonts w:ascii="Times New Roman" w:hAnsi="Times New Roman"/>
          <w:b/>
          <w:sz w:val="20"/>
        </w:rPr>
      </w:pPr>
    </w:p>
    <w:p w:rsidR="00B37D8A" w:rsidRDefault="00B37D8A" w:rsidP="00AA3DF6">
      <w:pPr>
        <w:pStyle w:val="NoSpacing"/>
        <w:jc w:val="both"/>
        <w:rPr>
          <w:rFonts w:ascii="Times New Roman" w:hAnsi="Times New Roman"/>
          <w:b/>
          <w:sz w:val="20"/>
        </w:rPr>
      </w:pPr>
      <w:r w:rsidRPr="00AA3DF6">
        <w:rPr>
          <w:rFonts w:ascii="Times New Roman" w:hAnsi="Times New Roman"/>
          <w:b/>
          <w:sz w:val="20"/>
        </w:rPr>
        <w:t xml:space="preserve">Tabla </w:t>
      </w:r>
      <w:r>
        <w:rPr>
          <w:rFonts w:ascii="Times New Roman" w:hAnsi="Times New Roman"/>
          <w:b/>
          <w:sz w:val="20"/>
        </w:rPr>
        <w:t>5</w:t>
      </w:r>
      <w:r w:rsidRPr="00AA3DF6">
        <w:rPr>
          <w:rFonts w:ascii="Times New Roman" w:hAnsi="Times New Roman"/>
          <w:b/>
          <w:sz w:val="20"/>
        </w:rPr>
        <w:t xml:space="preserve">. Análisis costo-beneficio </w:t>
      </w:r>
      <w:r>
        <w:rPr>
          <w:rFonts w:ascii="Times New Roman" w:hAnsi="Times New Roman"/>
          <w:b/>
          <w:sz w:val="20"/>
        </w:rPr>
        <w:t>General</w:t>
      </w:r>
    </w:p>
    <w:p w:rsidR="00B37D8A" w:rsidRDefault="00B37D8A" w:rsidP="00AA3DF6">
      <w:pPr>
        <w:pStyle w:val="NoSpacing"/>
        <w:jc w:val="both"/>
        <w:rPr>
          <w:noProof/>
          <w:lang w:val="es-ES_tradnl" w:eastAsia="es-ES_tradnl"/>
        </w:rPr>
      </w:pPr>
    </w:p>
    <w:p w:rsidR="00AB2154" w:rsidRPr="00201FFA" w:rsidRDefault="00537D4D" w:rsidP="00AA3DF6">
      <w:pPr>
        <w:pStyle w:val="NoSpacing"/>
        <w:jc w:val="both"/>
        <w:rPr>
          <w:rFonts w:ascii="Times New Roman" w:hAnsi="Times New Roman"/>
          <w:b/>
          <w:sz w:val="20"/>
        </w:rPr>
        <w:sectPr w:rsidR="00AB2154" w:rsidRPr="00201FFA" w:rsidSect="009418A2">
          <w:pgSz w:w="15840" w:h="12240" w:orient="landscape"/>
          <w:pgMar w:top="1077" w:right="1440" w:bottom="1077" w:left="1440" w:header="709" w:footer="709" w:gutter="0"/>
          <w:cols w:space="708"/>
          <w:titlePg/>
          <w:docGrid w:linePitch="360"/>
        </w:sectPr>
      </w:pPr>
      <w:r>
        <w:rPr>
          <w:noProof/>
          <w:lang w:val="es-ES_tradnl" w:eastAsia="es-ES_tradnl"/>
        </w:rPr>
        <w:drawing>
          <wp:inline distT="0" distB="0" distL="0" distR="0">
            <wp:extent cx="8229600" cy="1594883"/>
            <wp:effectExtent l="0" t="0" r="0" b="5715"/>
            <wp:docPr id="5"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1594883"/>
                    </a:xfrm>
                    <a:prstGeom prst="rect">
                      <a:avLst/>
                    </a:prstGeom>
                    <a:noFill/>
                    <a:ln>
                      <a:noFill/>
                    </a:ln>
                  </pic:spPr>
                </pic:pic>
              </a:graphicData>
            </a:graphic>
          </wp:inline>
        </w:drawing>
      </w:r>
    </w:p>
    <w:p w:rsidR="00B37D8A" w:rsidRDefault="00B37D8A">
      <w:pPr>
        <w:pStyle w:val="Heading1"/>
        <w:rPr>
          <w:rFonts w:ascii="Times New Roman" w:hAnsi="Times New Roman"/>
          <w:lang w:val="es-ES"/>
        </w:rPr>
        <w:sectPr w:rsidR="00B37D8A" w:rsidSect="00240DF7">
          <w:type w:val="continuous"/>
          <w:pgSz w:w="15840" w:h="12240" w:orient="landscape"/>
          <w:pgMar w:top="1080" w:right="1440" w:bottom="1080" w:left="1440" w:header="708" w:footer="708" w:gutter="0"/>
          <w:cols w:space="708"/>
          <w:titlePg/>
          <w:docGrid w:linePitch="360"/>
        </w:sectPr>
      </w:pPr>
    </w:p>
    <w:p w:rsidR="00B37D8A" w:rsidRPr="0087271E" w:rsidRDefault="00B37D8A">
      <w:pPr>
        <w:pStyle w:val="Heading1"/>
        <w:rPr>
          <w:rFonts w:ascii="Times New Roman" w:hAnsi="Times New Roman"/>
          <w:lang w:val="es-ES"/>
        </w:rPr>
      </w:pPr>
      <w:bookmarkStart w:id="52" w:name="_Toc362804632"/>
      <w:r w:rsidRPr="0087271E">
        <w:rPr>
          <w:rFonts w:ascii="Times New Roman" w:hAnsi="Times New Roman"/>
          <w:lang w:val="es-ES"/>
        </w:rPr>
        <w:lastRenderedPageBreak/>
        <w:t>Bibliografía, documentación y fuentes de información</w:t>
      </w:r>
      <w:bookmarkEnd w:id="52"/>
    </w:p>
    <w:p w:rsidR="00B37D8A" w:rsidRPr="00FD5465" w:rsidRDefault="00B37D8A" w:rsidP="00FD5465">
      <w:pPr>
        <w:autoSpaceDE w:val="0"/>
        <w:autoSpaceDN w:val="0"/>
        <w:adjustRightInd w:val="0"/>
        <w:spacing w:after="0" w:line="360" w:lineRule="auto"/>
        <w:rPr>
          <w:rFonts w:ascii="Times New Roman" w:hAnsi="Times New Roman"/>
          <w:sz w:val="24"/>
        </w:rPr>
      </w:pPr>
    </w:p>
    <w:p w:rsidR="00B37D8A" w:rsidRPr="00E10DFC" w:rsidRDefault="00B37D8A" w:rsidP="0070605D">
      <w:pPr>
        <w:pStyle w:val="ListParagraph"/>
        <w:numPr>
          <w:ilvl w:val="0"/>
          <w:numId w:val="1"/>
        </w:numPr>
        <w:autoSpaceDE w:val="0"/>
        <w:autoSpaceDN w:val="0"/>
        <w:adjustRightInd w:val="0"/>
        <w:spacing w:after="0" w:line="360" w:lineRule="auto"/>
        <w:ind w:left="714" w:hanging="357"/>
        <w:jc w:val="both"/>
        <w:rPr>
          <w:rFonts w:ascii="Times New Roman" w:hAnsi="Times New Roman"/>
          <w:sz w:val="24"/>
          <w:lang w:val="es-ES_tradnl"/>
        </w:rPr>
      </w:pPr>
      <w:r w:rsidRPr="00E10DFC">
        <w:rPr>
          <w:rFonts w:ascii="Times New Roman" w:hAnsi="Times New Roman"/>
          <w:sz w:val="24"/>
          <w:lang w:val="es-ES_tradnl"/>
        </w:rPr>
        <w:t xml:space="preserve">AIC (2013). “Consultoría para la elaboración del anteproyecto para el traslado </w:t>
      </w:r>
      <w:r>
        <w:rPr>
          <w:rFonts w:ascii="Times New Roman" w:hAnsi="Times New Roman"/>
          <w:sz w:val="24"/>
          <w:lang w:val="es-ES_tradnl"/>
        </w:rPr>
        <w:t>y relocalización de la Zona Primaria Aduanera de Mendoza y Depósito Fiscal (ZPA). Informe 1 – Etapa 1: Lay Out preliminar</w:t>
      </w:r>
      <w:r w:rsidRPr="00E10DFC">
        <w:rPr>
          <w:rFonts w:ascii="Times New Roman" w:hAnsi="Times New Roman"/>
          <w:sz w:val="24"/>
          <w:lang w:val="es-ES_tradnl"/>
        </w:rPr>
        <w:t>”</w:t>
      </w:r>
      <w:r>
        <w:rPr>
          <w:rFonts w:ascii="Times New Roman" w:hAnsi="Times New Roman"/>
          <w:sz w:val="24"/>
          <w:lang w:val="es-ES_tradnl"/>
        </w:rPr>
        <w:t>. Documento elaborado por la consultora AIC Estudios y Proyectos para el Ministerio de Hacienda de la Provincia de Mendoza.</w:t>
      </w:r>
    </w:p>
    <w:p w:rsidR="00B37D8A" w:rsidRPr="00675BB7" w:rsidRDefault="00B37D8A" w:rsidP="0070605D">
      <w:pPr>
        <w:pStyle w:val="ListParagraph"/>
        <w:numPr>
          <w:ilvl w:val="0"/>
          <w:numId w:val="1"/>
        </w:numPr>
        <w:autoSpaceDE w:val="0"/>
        <w:autoSpaceDN w:val="0"/>
        <w:adjustRightInd w:val="0"/>
        <w:spacing w:after="0" w:line="360" w:lineRule="auto"/>
        <w:ind w:left="714" w:hanging="357"/>
        <w:jc w:val="both"/>
        <w:rPr>
          <w:rFonts w:ascii="Times New Roman" w:hAnsi="Times New Roman"/>
          <w:sz w:val="24"/>
          <w:lang w:val="es-ES_tradnl"/>
        </w:rPr>
      </w:pPr>
      <w:r w:rsidRPr="00675BB7">
        <w:rPr>
          <w:rFonts w:ascii="Times New Roman" w:hAnsi="Times New Roman"/>
          <w:sz w:val="24"/>
          <w:lang w:val="es-ES_tradnl"/>
        </w:rPr>
        <w:t>Anlló, Bisang y Sturbin (2011).</w:t>
      </w:r>
      <w:r w:rsidR="00675BB7" w:rsidRPr="00675BB7">
        <w:rPr>
          <w:rFonts w:ascii="Times New Roman" w:hAnsi="Times New Roman"/>
          <w:sz w:val="24"/>
          <w:lang w:val="es-ES_tradnl"/>
        </w:rPr>
        <w:t xml:space="preserve"> “Las empresas de biotecnología en Argentina”. CEPAL, Colección Documentos de Proyectos.</w:t>
      </w:r>
    </w:p>
    <w:p w:rsidR="00B37D8A" w:rsidRPr="00AC3987" w:rsidRDefault="00B37D8A" w:rsidP="0070605D">
      <w:pPr>
        <w:pStyle w:val="ListParagraph"/>
        <w:numPr>
          <w:ilvl w:val="0"/>
          <w:numId w:val="1"/>
        </w:numPr>
        <w:autoSpaceDE w:val="0"/>
        <w:autoSpaceDN w:val="0"/>
        <w:adjustRightInd w:val="0"/>
        <w:spacing w:after="0" w:line="360" w:lineRule="auto"/>
        <w:ind w:left="714" w:hanging="357"/>
        <w:jc w:val="both"/>
        <w:rPr>
          <w:rFonts w:ascii="Times New Roman" w:hAnsi="Times New Roman"/>
          <w:sz w:val="24"/>
          <w:lang w:val="en-US"/>
        </w:rPr>
      </w:pPr>
      <w:r w:rsidRPr="007D0E93">
        <w:rPr>
          <w:rFonts w:ascii="Times New Roman" w:hAnsi="Times New Roman"/>
          <w:sz w:val="24"/>
        </w:rPr>
        <w:t xml:space="preserve">Asheim, B. 2007. «Sistemas regionales de innovación y bases de conocimiento diferenciadas: un marco teórico analítico». En Sistemas regionales de innovación: tipología y eficiencia en España y la Unión Europea, editado por M. Buesa y J. Heijs. </w:t>
      </w:r>
      <w:r w:rsidRPr="00AC3987">
        <w:rPr>
          <w:rFonts w:ascii="Times New Roman" w:hAnsi="Times New Roman"/>
          <w:sz w:val="24"/>
          <w:lang w:val="en-US"/>
        </w:rPr>
        <w:t>Madrid: Fundación de lasCajas de Ahorros.</w:t>
      </w:r>
    </w:p>
    <w:p w:rsidR="00B37D8A" w:rsidRPr="004B1E60" w:rsidRDefault="00B37D8A" w:rsidP="00F35D04">
      <w:pPr>
        <w:pStyle w:val="ListParagraph"/>
        <w:numPr>
          <w:ilvl w:val="0"/>
          <w:numId w:val="1"/>
        </w:numPr>
        <w:autoSpaceDE w:val="0"/>
        <w:autoSpaceDN w:val="0"/>
        <w:adjustRightInd w:val="0"/>
        <w:spacing w:after="0" w:line="360" w:lineRule="auto"/>
        <w:jc w:val="both"/>
        <w:rPr>
          <w:rFonts w:ascii="Times New Roman" w:hAnsi="Times New Roman"/>
          <w:sz w:val="24"/>
        </w:rPr>
      </w:pPr>
      <w:r w:rsidRPr="004B1E60">
        <w:rPr>
          <w:rFonts w:ascii="Times New Roman" w:hAnsi="Times New Roman"/>
          <w:sz w:val="24"/>
        </w:rPr>
        <w:t xml:space="preserve">BID. Informe de Seguimiento de Progreso </w:t>
      </w:r>
      <w:r>
        <w:rPr>
          <w:rFonts w:ascii="Times New Roman" w:hAnsi="Times New Roman"/>
          <w:sz w:val="24"/>
        </w:rPr>
        <w:t>AR1157</w:t>
      </w:r>
      <w:r w:rsidRPr="004B1E60">
        <w:rPr>
          <w:rFonts w:ascii="Times New Roman" w:hAnsi="Times New Roman"/>
          <w:sz w:val="24"/>
        </w:rPr>
        <w:t>. Varios</w:t>
      </w:r>
    </w:p>
    <w:p w:rsidR="00B37D8A" w:rsidRPr="00701332" w:rsidRDefault="00B37D8A" w:rsidP="00F35D04">
      <w:pPr>
        <w:pStyle w:val="ListParagraph"/>
        <w:numPr>
          <w:ilvl w:val="0"/>
          <w:numId w:val="1"/>
        </w:numPr>
        <w:autoSpaceDE w:val="0"/>
        <w:autoSpaceDN w:val="0"/>
        <w:adjustRightInd w:val="0"/>
        <w:spacing w:after="120" w:line="240" w:lineRule="auto"/>
        <w:contextualSpacing w:val="0"/>
        <w:jc w:val="both"/>
        <w:rPr>
          <w:rFonts w:ascii="Times New Roman" w:hAnsi="Times New Roman"/>
          <w:sz w:val="24"/>
        </w:rPr>
      </w:pPr>
      <w:r>
        <w:rPr>
          <w:rFonts w:ascii="Times New Roman" w:hAnsi="Times New Roman"/>
          <w:sz w:val="24"/>
        </w:rPr>
        <w:t>Bisang; Gutman y Díaz (coord.) (2002). “Las empresas de biotecnología en Argentina”. Documento de trabajo Nº1, PICT. www.probio.ungs.edu.ar.</w:t>
      </w:r>
    </w:p>
    <w:p w:rsidR="00B37D8A" w:rsidRPr="00D44CAC" w:rsidRDefault="00B37D8A" w:rsidP="00F35D04">
      <w:pPr>
        <w:pStyle w:val="ListParagraph"/>
        <w:numPr>
          <w:ilvl w:val="0"/>
          <w:numId w:val="1"/>
        </w:numPr>
        <w:jc w:val="both"/>
        <w:rPr>
          <w:rFonts w:ascii="Times New Roman" w:hAnsi="Times New Roman"/>
          <w:sz w:val="24"/>
        </w:rPr>
      </w:pPr>
      <w:r w:rsidRPr="00D44CAC">
        <w:rPr>
          <w:rFonts w:ascii="Times New Roman" w:hAnsi="Times New Roman"/>
          <w:sz w:val="24"/>
        </w:rPr>
        <w:t xml:space="preserve">CEPAL (2003). </w:t>
      </w:r>
      <w:r w:rsidRPr="00D44CAC">
        <w:rPr>
          <w:rFonts w:ascii="Times New Roman" w:hAnsi="Times New Roman"/>
          <w:i/>
          <w:sz w:val="24"/>
        </w:rPr>
        <w:t>Congestión de tránsito: El problema y cómo enfrentarlo</w:t>
      </w:r>
      <w:r w:rsidRPr="00D44CAC">
        <w:rPr>
          <w:rFonts w:ascii="Times New Roman" w:hAnsi="Times New Roman"/>
          <w:sz w:val="24"/>
        </w:rPr>
        <w:t xml:space="preserve">. Santiago de Chile: CEPAL. Disponible en: </w:t>
      </w:r>
      <w:r w:rsidRPr="00D44CAC">
        <w:rPr>
          <w:rFonts w:ascii="Times New Roman" w:hAnsi="Times New Roman"/>
          <w:kern w:val="1"/>
          <w:sz w:val="24"/>
          <w:lang w:eastAsia="ar-SA"/>
        </w:rPr>
        <w:t>http://www.eclac.org/publicaciones/xml/9/13059/lcg2199_e_cap_6a.pdf</w:t>
      </w:r>
      <w:r w:rsidRPr="00D44CAC">
        <w:rPr>
          <w:rFonts w:ascii="Times New Roman" w:hAnsi="Times New Roman"/>
          <w:sz w:val="24"/>
        </w:rPr>
        <w:t>.</w:t>
      </w:r>
    </w:p>
    <w:p w:rsidR="00B37D8A" w:rsidRPr="00065B1F" w:rsidRDefault="00B37D8A" w:rsidP="007A6FD5">
      <w:pPr>
        <w:pStyle w:val="ListParagraph"/>
        <w:numPr>
          <w:ilvl w:val="0"/>
          <w:numId w:val="1"/>
        </w:numPr>
        <w:autoSpaceDE w:val="0"/>
        <w:autoSpaceDN w:val="0"/>
        <w:adjustRightInd w:val="0"/>
        <w:spacing w:after="0" w:line="360" w:lineRule="auto"/>
        <w:ind w:left="714" w:hanging="357"/>
        <w:jc w:val="both"/>
        <w:rPr>
          <w:rFonts w:ascii="Times New Roman" w:hAnsi="Times New Roman"/>
          <w:sz w:val="24"/>
        </w:rPr>
      </w:pPr>
      <w:r>
        <w:rPr>
          <w:rFonts w:ascii="Times New Roman" w:hAnsi="Times New Roman"/>
          <w:sz w:val="24"/>
        </w:rPr>
        <w:t xml:space="preserve">DPVMza </w:t>
      </w:r>
      <w:r w:rsidRPr="00065B1F">
        <w:rPr>
          <w:rFonts w:ascii="Times New Roman" w:hAnsi="Times New Roman"/>
          <w:sz w:val="24"/>
        </w:rPr>
        <w:t xml:space="preserve">(2013) Evaluación económica obra: construcción conexión mediante túnel de la Sección I con la sección II de la RPN82. Departamento de Luján de Cuyo de la Provincia de Mendoza. </w:t>
      </w:r>
      <w:r>
        <w:rPr>
          <w:rFonts w:ascii="Times New Roman" w:hAnsi="Times New Roman"/>
          <w:sz w:val="24"/>
        </w:rPr>
        <w:t>D</w:t>
      </w:r>
      <w:r w:rsidRPr="00065B1F">
        <w:rPr>
          <w:rFonts w:ascii="Times New Roman" w:hAnsi="Times New Roman"/>
          <w:sz w:val="24"/>
        </w:rPr>
        <w:t xml:space="preserve">irección Provincial </w:t>
      </w:r>
      <w:r>
        <w:rPr>
          <w:rFonts w:ascii="Times New Roman" w:hAnsi="Times New Roman"/>
          <w:sz w:val="24"/>
        </w:rPr>
        <w:t>d</w:t>
      </w:r>
      <w:r w:rsidRPr="00065B1F">
        <w:rPr>
          <w:rFonts w:ascii="Times New Roman" w:hAnsi="Times New Roman"/>
          <w:sz w:val="24"/>
        </w:rPr>
        <w:t>e Vialidad</w:t>
      </w:r>
      <w:r>
        <w:rPr>
          <w:rFonts w:ascii="Times New Roman" w:hAnsi="Times New Roman"/>
          <w:sz w:val="24"/>
        </w:rPr>
        <w:t xml:space="preserve">, </w:t>
      </w:r>
      <w:r w:rsidRPr="00065B1F">
        <w:rPr>
          <w:rFonts w:ascii="Times New Roman" w:hAnsi="Times New Roman"/>
          <w:sz w:val="24"/>
        </w:rPr>
        <w:t>Departamento Planeamiento</w:t>
      </w:r>
      <w:r>
        <w:rPr>
          <w:rFonts w:ascii="Times New Roman" w:hAnsi="Times New Roman"/>
          <w:sz w:val="24"/>
        </w:rPr>
        <w:t>, Provincia de Mendoza (DPVMza).</w:t>
      </w:r>
    </w:p>
    <w:p w:rsidR="00B37D8A" w:rsidRPr="00AC3987" w:rsidRDefault="00B37D8A" w:rsidP="0070605D">
      <w:pPr>
        <w:pStyle w:val="ListParagraph"/>
        <w:numPr>
          <w:ilvl w:val="0"/>
          <w:numId w:val="1"/>
        </w:numPr>
        <w:autoSpaceDE w:val="0"/>
        <w:autoSpaceDN w:val="0"/>
        <w:adjustRightInd w:val="0"/>
        <w:spacing w:after="0" w:line="360" w:lineRule="auto"/>
        <w:ind w:left="714" w:hanging="357"/>
        <w:jc w:val="both"/>
        <w:rPr>
          <w:rFonts w:ascii="Times New Roman" w:hAnsi="Times New Roman"/>
          <w:sz w:val="24"/>
          <w:lang w:val="en-US"/>
        </w:rPr>
      </w:pPr>
      <w:r w:rsidRPr="0087271E">
        <w:rPr>
          <w:rFonts w:ascii="Times New Roman" w:hAnsi="Times New Roman"/>
          <w:sz w:val="24"/>
          <w:lang w:val="en-US"/>
        </w:rPr>
        <w:t>Grant</w:t>
      </w:r>
      <w:r w:rsidRPr="00AC3987">
        <w:rPr>
          <w:rFonts w:ascii="Times New Roman" w:hAnsi="Times New Roman"/>
          <w:sz w:val="24"/>
          <w:lang w:val="en-US"/>
        </w:rPr>
        <w:t xml:space="preserve">, R. </w:t>
      </w:r>
      <w:r>
        <w:rPr>
          <w:rFonts w:ascii="Times New Roman" w:hAnsi="Times New Roman"/>
          <w:sz w:val="24"/>
          <w:lang w:val="en-US"/>
        </w:rPr>
        <w:t>(</w:t>
      </w:r>
      <w:r w:rsidRPr="00AC3987">
        <w:rPr>
          <w:rFonts w:ascii="Times New Roman" w:hAnsi="Times New Roman"/>
          <w:sz w:val="24"/>
          <w:lang w:val="en-US"/>
        </w:rPr>
        <w:t>1996</w:t>
      </w:r>
      <w:r>
        <w:rPr>
          <w:rFonts w:ascii="Times New Roman" w:hAnsi="Times New Roman"/>
          <w:sz w:val="24"/>
          <w:lang w:val="en-US"/>
        </w:rPr>
        <w:t>).</w:t>
      </w:r>
      <w:r w:rsidRPr="00AC3987">
        <w:rPr>
          <w:rFonts w:ascii="Times New Roman" w:hAnsi="Times New Roman"/>
          <w:sz w:val="24"/>
          <w:lang w:val="en-US"/>
        </w:rPr>
        <w:t xml:space="preserve"> </w:t>
      </w:r>
      <w:r>
        <w:rPr>
          <w:rFonts w:ascii="Times New Roman" w:hAnsi="Times New Roman"/>
          <w:sz w:val="24"/>
          <w:lang w:val="en-US"/>
        </w:rPr>
        <w:t>“</w:t>
      </w:r>
      <w:r w:rsidRPr="00AC3987">
        <w:rPr>
          <w:rFonts w:ascii="Times New Roman" w:hAnsi="Times New Roman"/>
          <w:sz w:val="24"/>
          <w:lang w:val="en-US"/>
        </w:rPr>
        <w:t>Toward a kno</w:t>
      </w:r>
      <w:r>
        <w:rPr>
          <w:rFonts w:ascii="Times New Roman" w:hAnsi="Times New Roman"/>
          <w:sz w:val="24"/>
          <w:lang w:val="en-US"/>
        </w:rPr>
        <w:t>wledge-based theory of the firm”</w:t>
      </w:r>
      <w:r w:rsidRPr="00AC3987">
        <w:rPr>
          <w:rFonts w:ascii="Times New Roman" w:hAnsi="Times New Roman"/>
          <w:sz w:val="24"/>
          <w:lang w:val="en-US"/>
        </w:rPr>
        <w:t>. Strategic Management Journal 17: 109-122.</w:t>
      </w:r>
    </w:p>
    <w:p w:rsidR="00B37D8A" w:rsidRPr="00F164A1" w:rsidRDefault="00B37D8A" w:rsidP="0070605D">
      <w:pPr>
        <w:pStyle w:val="ListParagraph"/>
        <w:numPr>
          <w:ilvl w:val="0"/>
          <w:numId w:val="1"/>
        </w:numPr>
        <w:autoSpaceDE w:val="0"/>
        <w:autoSpaceDN w:val="0"/>
        <w:adjustRightInd w:val="0"/>
        <w:spacing w:after="0" w:line="360" w:lineRule="auto"/>
        <w:ind w:left="714" w:hanging="357"/>
        <w:jc w:val="both"/>
        <w:rPr>
          <w:rFonts w:ascii="Times New Roman" w:hAnsi="Times New Roman"/>
          <w:sz w:val="24"/>
          <w:lang w:val="es-ES_tradnl"/>
        </w:rPr>
      </w:pPr>
      <w:r w:rsidRPr="00F164A1">
        <w:rPr>
          <w:rFonts w:ascii="Times New Roman" w:hAnsi="Times New Roman"/>
          <w:sz w:val="24"/>
          <w:lang w:val="es-ES_tradnl"/>
        </w:rPr>
        <w:t>IDITS (2012). “Mendoza Centro Logístico del Mercosur”</w:t>
      </w:r>
      <w:r>
        <w:rPr>
          <w:rFonts w:ascii="Times New Roman" w:hAnsi="Times New Roman"/>
          <w:sz w:val="24"/>
          <w:lang w:val="es-ES_tradnl"/>
        </w:rPr>
        <w:t>. Documento elaborado en conjunto entre el Instituto de Desarrollo Industrial, Tecnológico y de Servicios (IDITS) y el Ministerio de Agroindustria y Tecnología de Mendoza.</w:t>
      </w:r>
    </w:p>
    <w:p w:rsidR="00C84B11" w:rsidRDefault="00C84B11" w:rsidP="0070605D">
      <w:pPr>
        <w:pStyle w:val="ListParagraph"/>
        <w:numPr>
          <w:ilvl w:val="0"/>
          <w:numId w:val="1"/>
        </w:numPr>
        <w:autoSpaceDE w:val="0"/>
        <w:autoSpaceDN w:val="0"/>
        <w:adjustRightInd w:val="0"/>
        <w:spacing w:after="0" w:line="360" w:lineRule="auto"/>
        <w:ind w:left="714" w:hanging="357"/>
        <w:jc w:val="both"/>
        <w:rPr>
          <w:rFonts w:ascii="Times New Roman" w:hAnsi="Times New Roman"/>
          <w:sz w:val="24"/>
          <w:lang w:val="es-ES_tradnl"/>
        </w:rPr>
      </w:pPr>
      <w:r>
        <w:rPr>
          <w:rFonts w:ascii="Times New Roman" w:hAnsi="Times New Roman"/>
          <w:sz w:val="24"/>
          <w:lang w:val="es-ES_tradnl"/>
        </w:rPr>
        <w:t xml:space="preserve">IDITS (2010). “Mendoza TIC Parque Tecnológico. Factibilidad. Mendoza hacia la sociedad de la información y el conocimiento”. </w:t>
      </w:r>
      <w:r w:rsidR="004E32BC">
        <w:rPr>
          <w:rFonts w:ascii="Times New Roman" w:hAnsi="Times New Roman"/>
          <w:sz w:val="24"/>
          <w:lang w:val="es-ES_tradnl"/>
        </w:rPr>
        <w:t>Documento elaborado en conjunto entre el Instituto de Desarrollo Industrial, Tecnológico y de Servicios (IDITS), el Ministerio de Producción, Tecnología e Innovación de Mendoza y el Polo TIC Mendoza.</w:t>
      </w:r>
    </w:p>
    <w:p w:rsidR="00BE5BAC" w:rsidRPr="00BE5BAC" w:rsidRDefault="00BE5BAC" w:rsidP="0070605D">
      <w:pPr>
        <w:pStyle w:val="ListParagraph"/>
        <w:numPr>
          <w:ilvl w:val="0"/>
          <w:numId w:val="1"/>
        </w:numPr>
        <w:autoSpaceDE w:val="0"/>
        <w:autoSpaceDN w:val="0"/>
        <w:adjustRightInd w:val="0"/>
        <w:spacing w:after="0" w:line="360" w:lineRule="auto"/>
        <w:ind w:left="714" w:hanging="357"/>
        <w:jc w:val="both"/>
        <w:rPr>
          <w:rFonts w:ascii="Times New Roman" w:hAnsi="Times New Roman"/>
          <w:sz w:val="24"/>
          <w:lang w:val="es-ES_tradnl"/>
        </w:rPr>
      </w:pPr>
      <w:r w:rsidRPr="00BE5BAC">
        <w:rPr>
          <w:rFonts w:ascii="Times New Roman" w:hAnsi="Times New Roman"/>
          <w:sz w:val="24"/>
          <w:lang w:val="es-ES_tradnl"/>
        </w:rPr>
        <w:lastRenderedPageBreak/>
        <w:t>IDITS (2006). “Plan Estratégico Sector Tecnologías de la Información y la Comunicaci</w:t>
      </w:r>
      <w:r>
        <w:rPr>
          <w:rFonts w:ascii="Times New Roman" w:hAnsi="Times New Roman"/>
          <w:sz w:val="24"/>
          <w:lang w:val="es-ES_tradnl"/>
        </w:rPr>
        <w:t>ón</w:t>
      </w:r>
      <w:r w:rsidRPr="00BE5BAC">
        <w:rPr>
          <w:rFonts w:ascii="Times New Roman" w:hAnsi="Times New Roman"/>
          <w:sz w:val="24"/>
          <w:lang w:val="es-ES_tradnl"/>
        </w:rPr>
        <w:t>”</w:t>
      </w:r>
      <w:r>
        <w:rPr>
          <w:rFonts w:ascii="Times New Roman" w:hAnsi="Times New Roman"/>
          <w:sz w:val="24"/>
          <w:lang w:val="es-ES_tradnl"/>
        </w:rPr>
        <w:t xml:space="preserve">. Documento elaborado </w:t>
      </w:r>
      <w:r w:rsidR="00D1394A">
        <w:rPr>
          <w:rFonts w:ascii="Times New Roman" w:hAnsi="Times New Roman"/>
          <w:sz w:val="24"/>
          <w:lang w:val="es-ES_tradnl"/>
        </w:rPr>
        <w:t>en conjunto entre el Instituto de Desarrollo Industrial, Tecnológico y de Servicios (IDITS) y</w:t>
      </w:r>
      <w:r>
        <w:rPr>
          <w:rFonts w:ascii="Times New Roman" w:hAnsi="Times New Roman"/>
          <w:sz w:val="24"/>
          <w:lang w:val="es-ES_tradnl"/>
        </w:rPr>
        <w:t xml:space="preserve"> el Ministerio de Economía de Mendoza.</w:t>
      </w:r>
    </w:p>
    <w:p w:rsidR="00B37D8A" w:rsidRPr="00AC3987" w:rsidRDefault="00B37D8A" w:rsidP="0070605D">
      <w:pPr>
        <w:pStyle w:val="ListParagraph"/>
        <w:numPr>
          <w:ilvl w:val="0"/>
          <w:numId w:val="1"/>
        </w:numPr>
        <w:autoSpaceDE w:val="0"/>
        <w:autoSpaceDN w:val="0"/>
        <w:adjustRightInd w:val="0"/>
        <w:spacing w:after="0" w:line="360" w:lineRule="auto"/>
        <w:ind w:left="714" w:hanging="357"/>
        <w:jc w:val="both"/>
        <w:rPr>
          <w:rFonts w:ascii="Times New Roman" w:hAnsi="Times New Roman"/>
          <w:sz w:val="24"/>
          <w:lang w:val="en-US"/>
        </w:rPr>
      </w:pPr>
      <w:r w:rsidRPr="0087271E">
        <w:rPr>
          <w:rFonts w:ascii="Times New Roman" w:hAnsi="Times New Roman"/>
          <w:sz w:val="24"/>
          <w:lang w:val="en-US"/>
        </w:rPr>
        <w:t>Muller</w:t>
      </w:r>
      <w:r w:rsidRPr="00AC3987">
        <w:rPr>
          <w:rFonts w:ascii="Times New Roman" w:hAnsi="Times New Roman"/>
          <w:sz w:val="24"/>
          <w:lang w:val="en-US"/>
        </w:rPr>
        <w:t xml:space="preserve">, E., y A. Zenker. </w:t>
      </w:r>
      <w:r>
        <w:rPr>
          <w:rFonts w:ascii="Times New Roman" w:hAnsi="Times New Roman"/>
          <w:sz w:val="24"/>
          <w:lang w:val="en-US"/>
        </w:rPr>
        <w:t>(</w:t>
      </w:r>
      <w:r w:rsidRPr="00AC3987">
        <w:rPr>
          <w:rFonts w:ascii="Times New Roman" w:hAnsi="Times New Roman"/>
          <w:sz w:val="24"/>
          <w:lang w:val="en-US"/>
        </w:rPr>
        <w:t>2001</w:t>
      </w:r>
      <w:r>
        <w:rPr>
          <w:rFonts w:ascii="Times New Roman" w:hAnsi="Times New Roman"/>
          <w:sz w:val="24"/>
          <w:lang w:val="en-US"/>
        </w:rPr>
        <w:t>)</w:t>
      </w:r>
      <w:r w:rsidRPr="00AC3987">
        <w:rPr>
          <w:rFonts w:ascii="Times New Roman" w:hAnsi="Times New Roman"/>
          <w:sz w:val="24"/>
          <w:lang w:val="en-US"/>
        </w:rPr>
        <w:t xml:space="preserve">. </w:t>
      </w:r>
      <w:r>
        <w:rPr>
          <w:rFonts w:ascii="Times New Roman" w:hAnsi="Times New Roman"/>
          <w:sz w:val="24"/>
          <w:lang w:val="en-US"/>
        </w:rPr>
        <w:t>“</w:t>
      </w:r>
      <w:r w:rsidRPr="00AC3987">
        <w:rPr>
          <w:rFonts w:ascii="Times New Roman" w:hAnsi="Times New Roman"/>
          <w:sz w:val="24"/>
          <w:lang w:val="en-US"/>
        </w:rPr>
        <w:t>Business services as actors of knowledge transformation: the role of KIBS in regional and national innovation systems</w:t>
      </w:r>
      <w:r>
        <w:rPr>
          <w:rFonts w:ascii="Times New Roman" w:hAnsi="Times New Roman"/>
          <w:sz w:val="24"/>
          <w:lang w:val="en-US"/>
        </w:rPr>
        <w:t>”</w:t>
      </w:r>
      <w:r w:rsidRPr="00AC3987">
        <w:rPr>
          <w:rFonts w:ascii="Times New Roman" w:hAnsi="Times New Roman"/>
          <w:sz w:val="24"/>
          <w:lang w:val="en-US"/>
        </w:rPr>
        <w:t>. Codification of Knowledge: 30 (9): 1501-1516. doi:10.1016/S0048-7333(01)00164-0.</w:t>
      </w:r>
    </w:p>
    <w:p w:rsidR="00B37D8A" w:rsidRPr="00AC3987" w:rsidRDefault="00B37D8A" w:rsidP="0070605D">
      <w:pPr>
        <w:pStyle w:val="ListParagraph"/>
        <w:numPr>
          <w:ilvl w:val="0"/>
          <w:numId w:val="1"/>
        </w:numPr>
        <w:autoSpaceDE w:val="0"/>
        <w:autoSpaceDN w:val="0"/>
        <w:adjustRightInd w:val="0"/>
        <w:spacing w:after="0" w:line="360" w:lineRule="auto"/>
        <w:ind w:left="714" w:hanging="357"/>
        <w:jc w:val="both"/>
        <w:rPr>
          <w:rFonts w:ascii="Times New Roman" w:hAnsi="Times New Roman"/>
          <w:sz w:val="24"/>
          <w:lang w:val="en-US"/>
        </w:rPr>
      </w:pPr>
      <w:r w:rsidRPr="0087271E">
        <w:rPr>
          <w:rFonts w:ascii="Times New Roman" w:hAnsi="Times New Roman"/>
          <w:sz w:val="24"/>
          <w:lang w:val="en-US"/>
        </w:rPr>
        <w:t>Nonaka</w:t>
      </w:r>
      <w:r w:rsidRPr="00E03DB9">
        <w:rPr>
          <w:rFonts w:ascii="Times New Roman" w:hAnsi="Times New Roman"/>
          <w:sz w:val="24"/>
          <w:lang w:val="en-US"/>
        </w:rPr>
        <w:t xml:space="preserve">, I., M. Kodama, A. Hirose, y F. Kohlbacher. </w:t>
      </w:r>
      <w:r>
        <w:rPr>
          <w:rFonts w:ascii="Times New Roman" w:hAnsi="Times New Roman"/>
          <w:sz w:val="24"/>
          <w:lang w:val="en-US"/>
        </w:rPr>
        <w:t>(</w:t>
      </w:r>
      <w:r w:rsidRPr="00AC3987">
        <w:rPr>
          <w:rFonts w:ascii="Times New Roman" w:hAnsi="Times New Roman"/>
          <w:sz w:val="24"/>
          <w:lang w:val="en-US"/>
        </w:rPr>
        <w:t>2013</w:t>
      </w:r>
      <w:r>
        <w:rPr>
          <w:rFonts w:ascii="Times New Roman" w:hAnsi="Times New Roman"/>
          <w:sz w:val="24"/>
          <w:lang w:val="en-US"/>
        </w:rPr>
        <w:t>)</w:t>
      </w:r>
      <w:r w:rsidRPr="00AC3987">
        <w:rPr>
          <w:rFonts w:ascii="Times New Roman" w:hAnsi="Times New Roman"/>
          <w:sz w:val="24"/>
          <w:lang w:val="en-US"/>
        </w:rPr>
        <w:t xml:space="preserve"> </w:t>
      </w:r>
      <w:r>
        <w:rPr>
          <w:rFonts w:ascii="Times New Roman" w:hAnsi="Times New Roman"/>
          <w:sz w:val="24"/>
          <w:lang w:val="en-US"/>
        </w:rPr>
        <w:t>“</w:t>
      </w:r>
      <w:r w:rsidRPr="00AC3987">
        <w:rPr>
          <w:rFonts w:ascii="Times New Roman" w:hAnsi="Times New Roman"/>
          <w:sz w:val="24"/>
          <w:lang w:val="en-US"/>
        </w:rPr>
        <w:t>Dynamic fractal organizations for promoting knowledge-based transformation – A new paradigm for organizational theory</w:t>
      </w:r>
      <w:r>
        <w:rPr>
          <w:rFonts w:ascii="Times New Roman" w:hAnsi="Times New Roman"/>
          <w:sz w:val="24"/>
          <w:lang w:val="en-US"/>
        </w:rPr>
        <w:t>”</w:t>
      </w:r>
      <w:r w:rsidRPr="00AC3987">
        <w:rPr>
          <w:rFonts w:ascii="Times New Roman" w:hAnsi="Times New Roman"/>
          <w:sz w:val="24"/>
          <w:lang w:val="en-US"/>
        </w:rPr>
        <w:t>. European Management Journal (en prensa). doi:10.1016/j.emj.2013.02.003.</w:t>
      </w:r>
    </w:p>
    <w:p w:rsidR="00B37D8A" w:rsidRPr="00AC3987" w:rsidRDefault="00B37D8A" w:rsidP="0070605D">
      <w:pPr>
        <w:pStyle w:val="ListParagraph"/>
        <w:numPr>
          <w:ilvl w:val="0"/>
          <w:numId w:val="1"/>
        </w:numPr>
        <w:autoSpaceDE w:val="0"/>
        <w:autoSpaceDN w:val="0"/>
        <w:adjustRightInd w:val="0"/>
        <w:spacing w:after="0" w:line="360" w:lineRule="auto"/>
        <w:ind w:left="714" w:hanging="357"/>
        <w:jc w:val="both"/>
        <w:rPr>
          <w:rFonts w:ascii="Times New Roman" w:hAnsi="Times New Roman"/>
          <w:sz w:val="24"/>
          <w:lang w:val="en-US"/>
        </w:rPr>
      </w:pPr>
      <w:r w:rsidRPr="0087271E">
        <w:rPr>
          <w:rFonts w:ascii="Times New Roman" w:hAnsi="Times New Roman"/>
          <w:sz w:val="24"/>
          <w:lang w:val="en-US"/>
        </w:rPr>
        <w:t>Nonaka</w:t>
      </w:r>
      <w:r w:rsidRPr="00AC3987">
        <w:rPr>
          <w:rFonts w:ascii="Times New Roman" w:hAnsi="Times New Roman"/>
          <w:sz w:val="24"/>
          <w:lang w:val="en-US"/>
        </w:rPr>
        <w:t xml:space="preserve">, I., y H. Takeuchi. </w:t>
      </w:r>
      <w:r>
        <w:rPr>
          <w:rFonts w:ascii="Times New Roman" w:hAnsi="Times New Roman"/>
          <w:sz w:val="24"/>
          <w:lang w:val="en-US"/>
        </w:rPr>
        <w:t>(</w:t>
      </w:r>
      <w:r w:rsidRPr="00AC3987">
        <w:rPr>
          <w:rFonts w:ascii="Times New Roman" w:hAnsi="Times New Roman"/>
          <w:sz w:val="24"/>
          <w:lang w:val="en-US"/>
        </w:rPr>
        <w:t>1995</w:t>
      </w:r>
      <w:r>
        <w:rPr>
          <w:rFonts w:ascii="Times New Roman" w:hAnsi="Times New Roman"/>
          <w:sz w:val="24"/>
          <w:lang w:val="en-US"/>
        </w:rPr>
        <w:t>)</w:t>
      </w:r>
      <w:r w:rsidRPr="00AC3987">
        <w:rPr>
          <w:rFonts w:ascii="Times New Roman" w:hAnsi="Times New Roman"/>
          <w:sz w:val="24"/>
          <w:lang w:val="en-US"/>
        </w:rPr>
        <w:t xml:space="preserve">. </w:t>
      </w:r>
      <w:r w:rsidRPr="00B000E8">
        <w:rPr>
          <w:rFonts w:ascii="Times New Roman" w:hAnsi="Times New Roman"/>
          <w:i/>
          <w:sz w:val="24"/>
          <w:lang w:val="en-US"/>
        </w:rPr>
        <w:t>The knowledge-creating company, How Japanese Companies Create the Dynamics of Innovation</w:t>
      </w:r>
      <w:r w:rsidRPr="00AC3987">
        <w:rPr>
          <w:rFonts w:ascii="Times New Roman" w:hAnsi="Times New Roman"/>
          <w:sz w:val="24"/>
          <w:lang w:val="en-US"/>
        </w:rPr>
        <w:t>. Oxford: Oxford University Press.</w:t>
      </w:r>
    </w:p>
    <w:p w:rsidR="00B37D8A" w:rsidRPr="005C42EC" w:rsidRDefault="00B37D8A" w:rsidP="0070605D">
      <w:pPr>
        <w:pStyle w:val="ListParagraph"/>
        <w:numPr>
          <w:ilvl w:val="0"/>
          <w:numId w:val="1"/>
        </w:numPr>
        <w:autoSpaceDE w:val="0"/>
        <w:autoSpaceDN w:val="0"/>
        <w:adjustRightInd w:val="0"/>
        <w:spacing w:after="0" w:line="360" w:lineRule="auto"/>
        <w:ind w:left="714" w:hanging="357"/>
        <w:jc w:val="both"/>
        <w:rPr>
          <w:rFonts w:ascii="Times New Roman" w:hAnsi="Times New Roman"/>
          <w:sz w:val="24"/>
          <w:lang w:val="en-US"/>
        </w:rPr>
      </w:pPr>
      <w:r w:rsidRPr="0087271E">
        <w:rPr>
          <w:rFonts w:ascii="Times New Roman" w:hAnsi="Times New Roman"/>
          <w:sz w:val="24"/>
          <w:lang w:val="en-US"/>
        </w:rPr>
        <w:t>Polanyi</w:t>
      </w:r>
      <w:r w:rsidRPr="00AC3987">
        <w:rPr>
          <w:rFonts w:ascii="Times New Roman" w:hAnsi="Times New Roman"/>
          <w:sz w:val="24"/>
          <w:lang w:val="en-US"/>
        </w:rPr>
        <w:t xml:space="preserve">, M. </w:t>
      </w:r>
      <w:r>
        <w:rPr>
          <w:rFonts w:ascii="Times New Roman" w:hAnsi="Times New Roman"/>
          <w:sz w:val="24"/>
          <w:lang w:val="en-US"/>
        </w:rPr>
        <w:t>(</w:t>
      </w:r>
      <w:r w:rsidRPr="00AC3987">
        <w:rPr>
          <w:rFonts w:ascii="Times New Roman" w:hAnsi="Times New Roman"/>
          <w:sz w:val="24"/>
          <w:lang w:val="en-US"/>
        </w:rPr>
        <w:t>1966</w:t>
      </w:r>
      <w:r>
        <w:rPr>
          <w:rFonts w:ascii="Times New Roman" w:hAnsi="Times New Roman"/>
          <w:sz w:val="24"/>
          <w:lang w:val="en-US"/>
        </w:rPr>
        <w:t>)</w:t>
      </w:r>
      <w:r w:rsidRPr="00AC3987">
        <w:rPr>
          <w:rFonts w:ascii="Times New Roman" w:hAnsi="Times New Roman"/>
          <w:sz w:val="24"/>
          <w:lang w:val="en-US"/>
        </w:rPr>
        <w:t xml:space="preserve">. </w:t>
      </w:r>
      <w:r w:rsidRPr="00B000E8">
        <w:rPr>
          <w:rFonts w:ascii="Times New Roman" w:hAnsi="Times New Roman"/>
          <w:i/>
          <w:sz w:val="24"/>
          <w:lang w:val="en-US"/>
        </w:rPr>
        <w:t>The tacit dimension</w:t>
      </w:r>
      <w:r w:rsidRPr="00AC3987">
        <w:rPr>
          <w:rFonts w:ascii="Times New Roman" w:hAnsi="Times New Roman"/>
          <w:sz w:val="24"/>
          <w:lang w:val="en-US"/>
        </w:rPr>
        <w:t>.</w:t>
      </w:r>
      <w:r>
        <w:rPr>
          <w:rFonts w:ascii="Times New Roman" w:hAnsi="Times New Roman"/>
          <w:sz w:val="24"/>
          <w:lang w:val="en-US"/>
        </w:rPr>
        <w:t xml:space="preserve"> </w:t>
      </w:r>
      <w:r w:rsidRPr="005C42EC">
        <w:rPr>
          <w:rFonts w:ascii="Times New Roman" w:hAnsi="Times New Roman"/>
          <w:sz w:val="24"/>
          <w:lang w:val="en-US"/>
        </w:rPr>
        <w:t>London: Routledge&amp;Kegan Paul.</w:t>
      </w:r>
    </w:p>
    <w:p w:rsidR="00B37D8A" w:rsidRPr="004B1E60" w:rsidRDefault="00B37D8A" w:rsidP="00F35D04">
      <w:pPr>
        <w:pStyle w:val="ListParagraph"/>
        <w:numPr>
          <w:ilvl w:val="0"/>
          <w:numId w:val="1"/>
        </w:numPr>
        <w:autoSpaceDE w:val="0"/>
        <w:autoSpaceDN w:val="0"/>
        <w:adjustRightInd w:val="0"/>
        <w:spacing w:after="0" w:line="360" w:lineRule="auto"/>
        <w:ind w:left="714" w:hanging="357"/>
        <w:jc w:val="both"/>
        <w:rPr>
          <w:rFonts w:ascii="Times New Roman" w:hAnsi="Times New Roman"/>
          <w:sz w:val="24"/>
        </w:rPr>
      </w:pPr>
      <w:r w:rsidRPr="00D44CAC">
        <w:rPr>
          <w:rFonts w:ascii="Times New Roman" w:hAnsi="Times New Roman"/>
          <w:sz w:val="24"/>
        </w:rPr>
        <w:t>Puliafito, Castro y Allende (2009). “Transporte y calidad del aire en Mendoza”. UTN.</w:t>
      </w:r>
    </w:p>
    <w:p w:rsidR="00B37D8A" w:rsidRPr="005B34BB" w:rsidRDefault="00B37D8A" w:rsidP="00942908">
      <w:pPr>
        <w:pStyle w:val="ListParagraph"/>
        <w:numPr>
          <w:ilvl w:val="0"/>
          <w:numId w:val="1"/>
        </w:numPr>
        <w:autoSpaceDE w:val="0"/>
        <w:autoSpaceDN w:val="0"/>
        <w:adjustRightInd w:val="0"/>
        <w:spacing w:after="0" w:line="360" w:lineRule="auto"/>
        <w:ind w:left="714" w:hanging="357"/>
        <w:jc w:val="both"/>
        <w:rPr>
          <w:lang w:val="en-US"/>
        </w:rPr>
      </w:pPr>
      <w:r w:rsidRPr="003A600B">
        <w:rPr>
          <w:rFonts w:ascii="Times New Roman" w:hAnsi="Times New Roman"/>
          <w:sz w:val="24"/>
        </w:rPr>
        <w:t>Rodríguez-Pose, A.</w:t>
      </w:r>
      <w:r>
        <w:rPr>
          <w:rFonts w:ascii="Times New Roman" w:hAnsi="Times New Roman"/>
          <w:sz w:val="24"/>
        </w:rPr>
        <w:t xml:space="preserve"> (</w:t>
      </w:r>
      <w:r w:rsidRPr="003A600B">
        <w:rPr>
          <w:rFonts w:ascii="Times New Roman" w:hAnsi="Times New Roman"/>
          <w:sz w:val="24"/>
        </w:rPr>
        <w:t>2012</w:t>
      </w:r>
      <w:r>
        <w:rPr>
          <w:rFonts w:ascii="Times New Roman" w:hAnsi="Times New Roman"/>
          <w:sz w:val="24"/>
        </w:rPr>
        <w:t>)</w:t>
      </w:r>
      <w:r w:rsidRPr="003A600B">
        <w:rPr>
          <w:rFonts w:ascii="Times New Roman" w:hAnsi="Times New Roman"/>
          <w:sz w:val="24"/>
        </w:rPr>
        <w:t xml:space="preserve">. </w:t>
      </w:r>
      <w:r>
        <w:rPr>
          <w:rFonts w:ascii="Times New Roman" w:hAnsi="Times New Roman"/>
          <w:sz w:val="24"/>
        </w:rPr>
        <w:t>“</w:t>
      </w:r>
      <w:r w:rsidRPr="003A600B">
        <w:rPr>
          <w:rFonts w:ascii="Times New Roman" w:hAnsi="Times New Roman"/>
          <w:sz w:val="24"/>
        </w:rPr>
        <w:t>Los parques científicos y tecnológicos en América Latina: Un análisis de la situación actual</w:t>
      </w:r>
      <w:r>
        <w:rPr>
          <w:rFonts w:ascii="Times New Roman" w:hAnsi="Times New Roman"/>
          <w:sz w:val="24"/>
        </w:rPr>
        <w:t>”</w:t>
      </w:r>
      <w:r w:rsidRPr="003A600B">
        <w:rPr>
          <w:rFonts w:ascii="Times New Roman" w:hAnsi="Times New Roman"/>
          <w:sz w:val="24"/>
        </w:rPr>
        <w:t xml:space="preserve">. </w:t>
      </w:r>
      <w:r w:rsidRPr="005B34BB">
        <w:rPr>
          <w:rFonts w:ascii="Times New Roman" w:hAnsi="Times New Roman"/>
          <w:sz w:val="24"/>
          <w:lang w:val="en-US"/>
        </w:rPr>
        <w:t>Washington: BID. http://idbdocs.iadb.org/wsdocs/getdocument.aspx?docnum=37017319.</w:t>
      </w:r>
    </w:p>
    <w:p w:rsidR="00B37D8A" w:rsidRPr="00675BB7" w:rsidRDefault="00B37D8A" w:rsidP="00942908">
      <w:pPr>
        <w:pStyle w:val="ListParagraph"/>
        <w:numPr>
          <w:ilvl w:val="0"/>
          <w:numId w:val="1"/>
        </w:numPr>
        <w:autoSpaceDE w:val="0"/>
        <w:autoSpaceDN w:val="0"/>
        <w:adjustRightInd w:val="0"/>
        <w:spacing w:after="0" w:line="360" w:lineRule="auto"/>
        <w:ind w:left="714" w:hanging="357"/>
        <w:jc w:val="both"/>
        <w:rPr>
          <w:lang w:val="es-ES_tradnl"/>
        </w:rPr>
      </w:pPr>
      <w:r w:rsidRPr="00675BB7">
        <w:rPr>
          <w:rFonts w:ascii="Times New Roman" w:hAnsi="Times New Roman"/>
          <w:sz w:val="24"/>
          <w:lang w:val="es-ES_tradnl"/>
        </w:rPr>
        <w:t>UNC (2012)</w:t>
      </w:r>
      <w:r w:rsidR="006E6AC8" w:rsidRPr="00675BB7">
        <w:rPr>
          <w:rFonts w:ascii="Times New Roman" w:hAnsi="Times New Roman"/>
          <w:sz w:val="24"/>
          <w:lang w:val="es-ES_tradnl"/>
        </w:rPr>
        <w:t>. “Relevamiento de proyectos de investigación en proceso relacionados con biotecnología”. Documento elaborado por la Universidad Nacional de Cuyo (UNC) en su Secretaría de Desarrollo Institucional y bajo la coordinación</w:t>
      </w:r>
      <w:bookmarkStart w:id="53" w:name="_GoBack"/>
      <w:bookmarkEnd w:id="53"/>
      <w:r w:rsidR="006E6AC8" w:rsidRPr="00675BB7">
        <w:rPr>
          <w:rFonts w:ascii="Times New Roman" w:hAnsi="Times New Roman"/>
          <w:sz w:val="24"/>
          <w:lang w:val="es-ES_tradnl"/>
        </w:rPr>
        <w:t xml:space="preserve"> de</w:t>
      </w:r>
      <w:r w:rsidRPr="00675BB7">
        <w:rPr>
          <w:rFonts w:ascii="Times New Roman" w:hAnsi="Times New Roman"/>
          <w:sz w:val="24"/>
          <w:lang w:val="es-ES_tradnl"/>
        </w:rPr>
        <w:t xml:space="preserve"> Giraudo</w:t>
      </w:r>
      <w:r w:rsidR="006E6AC8" w:rsidRPr="00675BB7">
        <w:rPr>
          <w:rFonts w:ascii="Times New Roman" w:hAnsi="Times New Roman"/>
          <w:sz w:val="24"/>
          <w:lang w:val="es-ES_tradnl"/>
        </w:rPr>
        <w:t>, V.</w:t>
      </w:r>
    </w:p>
    <w:sectPr w:rsidR="00B37D8A" w:rsidRPr="00675BB7" w:rsidSect="00680119">
      <w:type w:val="continuous"/>
      <w:pgSz w:w="12240" w:h="15840"/>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D97" w:rsidRDefault="006A7D97" w:rsidP="00134EE9">
      <w:pPr>
        <w:spacing w:after="0" w:line="240" w:lineRule="auto"/>
      </w:pPr>
      <w:r>
        <w:separator/>
      </w:r>
    </w:p>
  </w:endnote>
  <w:endnote w:type="continuationSeparator" w:id="0">
    <w:p w:rsidR="006A7D97" w:rsidRDefault="006A7D97" w:rsidP="00134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89" w:rsidRDefault="005D5E89">
    <w:pPr>
      <w:pStyle w:val="Footer"/>
      <w:jc w:val="right"/>
    </w:pPr>
    <w:r>
      <w:fldChar w:fldCharType="begin"/>
    </w:r>
    <w:r>
      <w:instrText xml:space="preserve"> PAGE   \* MERGEFORMAT </w:instrText>
    </w:r>
    <w:r>
      <w:fldChar w:fldCharType="separate"/>
    </w:r>
    <w:r w:rsidR="009B1FEC">
      <w:rPr>
        <w:noProof/>
      </w:rPr>
      <w:t>51</w:t>
    </w:r>
    <w:r>
      <w:fldChar w:fldCharType="end"/>
    </w:r>
  </w:p>
  <w:p w:rsidR="005D5E89" w:rsidRDefault="005D5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D97" w:rsidRDefault="006A7D97" w:rsidP="00134EE9">
      <w:pPr>
        <w:spacing w:after="0" w:line="240" w:lineRule="auto"/>
      </w:pPr>
      <w:r>
        <w:separator/>
      </w:r>
    </w:p>
  </w:footnote>
  <w:footnote w:type="continuationSeparator" w:id="0">
    <w:p w:rsidR="006A7D97" w:rsidRDefault="006A7D97" w:rsidP="00134EE9">
      <w:pPr>
        <w:spacing w:after="0" w:line="240" w:lineRule="auto"/>
      </w:pPr>
      <w:r>
        <w:continuationSeparator/>
      </w:r>
    </w:p>
  </w:footnote>
  <w:footnote w:id="1">
    <w:p w:rsidR="005D5E89" w:rsidRDefault="005D5E89" w:rsidP="00BA5392">
      <w:pPr>
        <w:pStyle w:val="FootnoteText"/>
      </w:pPr>
      <w:r w:rsidRPr="00BB6A3C">
        <w:rPr>
          <w:rStyle w:val="FootnoteReference"/>
        </w:rPr>
        <w:footnoteRef/>
      </w:r>
      <w:r w:rsidRPr="00FD00D0">
        <w:t xml:space="preserve"> Por ejemplo, </w:t>
      </w:r>
      <w:r w:rsidRPr="00FD00D0">
        <w:rPr>
          <w:spacing w:val="-2"/>
          <w:lang w:val="es-ES_tradnl"/>
        </w:rPr>
        <w:t>Blanco Encalada, Las Compuertas y Cacheuta.</w:t>
      </w:r>
    </w:p>
  </w:footnote>
  <w:footnote w:id="2">
    <w:p w:rsidR="005D5E89" w:rsidRDefault="005D5E89" w:rsidP="00455687">
      <w:pPr>
        <w:spacing w:after="0" w:line="240" w:lineRule="auto"/>
        <w:jc w:val="both"/>
      </w:pPr>
      <w:r w:rsidRPr="007A6FD5">
        <w:rPr>
          <w:rStyle w:val="FootnoteReference"/>
          <w:rFonts w:ascii="Times New Roman" w:hAnsi="Times New Roman"/>
          <w:sz w:val="20"/>
          <w:szCs w:val="20"/>
        </w:rPr>
        <w:footnoteRef/>
      </w:r>
      <w:r w:rsidRPr="007A6FD5">
        <w:rPr>
          <w:rFonts w:ascii="Times New Roman" w:hAnsi="Times New Roman"/>
          <w:sz w:val="20"/>
          <w:szCs w:val="20"/>
        </w:rPr>
        <w:t xml:space="preserve"> Un beneficio adicional </w:t>
      </w:r>
      <w:r w:rsidRPr="007A6FD5">
        <w:rPr>
          <w:rFonts w:ascii="Times New Roman" w:hAnsi="Times New Roman"/>
          <w:spacing w:val="-2"/>
          <w:sz w:val="20"/>
          <w:szCs w:val="20"/>
          <w:lang w:val="es-ES_tradnl"/>
        </w:rPr>
        <w:t>por tratarse de una ruta turística y por las características del túnel a construirse, permitirá a quienes transiten por ella, evitar los inconvenientes generados por el tránsito pesado que no podrá utilizar esta vía y que continuará transitando por el Corredor Bioceánico.</w:t>
      </w:r>
      <w:r w:rsidRPr="007A6FD5">
        <w:rPr>
          <w:rFonts w:ascii="Times New Roman" w:hAnsi="Times New Roman"/>
          <w:sz w:val="20"/>
          <w:szCs w:val="20"/>
        </w:rPr>
        <w:t xml:space="preserve"> </w:t>
      </w:r>
    </w:p>
  </w:footnote>
  <w:footnote w:id="3">
    <w:p w:rsidR="005D5E89" w:rsidRDefault="005D5E89" w:rsidP="00455687">
      <w:pPr>
        <w:spacing w:after="0" w:line="240" w:lineRule="auto"/>
        <w:jc w:val="both"/>
      </w:pPr>
      <w:r w:rsidRPr="007A6FD5">
        <w:rPr>
          <w:rStyle w:val="FootnoteReference"/>
          <w:rFonts w:ascii="Times New Roman" w:hAnsi="Times New Roman"/>
          <w:sz w:val="20"/>
          <w:szCs w:val="20"/>
        </w:rPr>
        <w:footnoteRef/>
      </w:r>
      <w:r w:rsidRPr="007A6FD5">
        <w:rPr>
          <w:rFonts w:ascii="Times New Roman" w:hAnsi="Times New Roman"/>
          <w:sz w:val="20"/>
          <w:szCs w:val="20"/>
        </w:rPr>
        <w:t xml:space="preserve"> El modelo HDM es un </w:t>
      </w:r>
      <w:r w:rsidRPr="007A6FD5">
        <w:rPr>
          <w:rFonts w:ascii="Times New Roman" w:hAnsi="Times New Roman"/>
          <w:i/>
          <w:sz w:val="20"/>
          <w:szCs w:val="20"/>
        </w:rPr>
        <w:t>software</w:t>
      </w:r>
      <w:r w:rsidRPr="007A6FD5">
        <w:rPr>
          <w:rFonts w:ascii="Times New Roman" w:hAnsi="Times New Roman"/>
          <w:sz w:val="20"/>
          <w:szCs w:val="20"/>
        </w:rPr>
        <w:t xml:space="preserve"> diseñado para analizar los costos totales del transporte para distintas alternativas de mejoramiento y mantenimiento de caminos o redes de caminos, que se realiza a través de la evaluación económica del ciclo de vida de los mismos. El programa proporciona una prognosis detallada del deterioro y mantenimiento del pavimento y calzadas no pavimentadas y calcula los costos de la construcción de rutas, mantenimiento, operación de vehículos y tiempos de viaje.</w:t>
      </w:r>
    </w:p>
  </w:footnote>
  <w:footnote w:id="4">
    <w:p w:rsidR="005D5E89" w:rsidRDefault="005D5E89" w:rsidP="00455687">
      <w:pPr>
        <w:pStyle w:val="FootnoteText"/>
        <w:jc w:val="both"/>
      </w:pPr>
      <w:r w:rsidRPr="00BB6A3C">
        <w:rPr>
          <w:rStyle w:val="FootnoteReference"/>
        </w:rPr>
        <w:footnoteRef/>
      </w:r>
      <w:r>
        <w:t xml:space="preserve"> El costo económico surge de multiplicar el precio de mercado por el coeficiente de conversión establecido de 0,707 </w:t>
      </w:r>
      <w:r w:rsidRPr="0093547B">
        <w:t>(DPVMza 2013)</w:t>
      </w:r>
      <w:r>
        <w:t>.</w:t>
      </w:r>
    </w:p>
  </w:footnote>
  <w:footnote w:id="5">
    <w:p w:rsidR="005D5E89" w:rsidRDefault="005D5E89" w:rsidP="007A6FD5">
      <w:pPr>
        <w:spacing w:after="0"/>
        <w:jc w:val="both"/>
      </w:pPr>
      <w:r w:rsidRPr="007A6FD5">
        <w:rPr>
          <w:rStyle w:val="FootnoteReference"/>
          <w:rFonts w:ascii="Times New Roman" w:hAnsi="Times New Roman"/>
          <w:sz w:val="20"/>
          <w:szCs w:val="20"/>
        </w:rPr>
        <w:footnoteRef/>
      </w:r>
      <w:r w:rsidRPr="007A6FD5">
        <w:rPr>
          <w:rFonts w:ascii="Times New Roman" w:hAnsi="Times New Roman"/>
          <w:sz w:val="20"/>
          <w:szCs w:val="20"/>
        </w:rPr>
        <w:t xml:space="preserve"> </w:t>
      </w:r>
      <w:r w:rsidRPr="007A6FD5">
        <w:rPr>
          <w:rFonts w:ascii="Times New Roman" w:hAnsi="Times New Roman"/>
          <w:sz w:val="20"/>
          <w:szCs w:val="20"/>
          <w:lang w:val="es-ES_tradnl"/>
        </w:rPr>
        <w:t>El valor que se infiere del tránsito que se traslada desde el Gran Mendoza hasta la zona de Potrerillos para 2011 es de 1841 vehículos. Para el cálculo de este TMDA se tomaron datos de censos de tránsito de la Dirección Nacional de Vialidad (web: www.vialidad.gov.ar). El valor surge de la diferencia de la circulación entre los tramos que se encuentran antes y después de la Localidad de Potrerillos (Acceso a Destilería YPF- Acceso a Potrerillos) (VPNMza 2013).</w:t>
      </w:r>
    </w:p>
  </w:footnote>
  <w:footnote w:id="6">
    <w:p w:rsidR="005D5E89" w:rsidRDefault="005D5E89" w:rsidP="00455687">
      <w:pPr>
        <w:pStyle w:val="FootnoteText"/>
        <w:jc w:val="both"/>
      </w:pPr>
      <w:r w:rsidRPr="007A6FD5">
        <w:rPr>
          <w:rStyle w:val="FootnoteReference"/>
        </w:rPr>
        <w:footnoteRef/>
      </w:r>
      <w:r w:rsidRPr="007A6FD5">
        <w:t xml:space="preserve"> Ver informe Costos: </w:t>
      </w:r>
      <w:r w:rsidRPr="007A6FD5">
        <w:rPr>
          <w:lang w:val="es-ES_tradnl"/>
        </w:rPr>
        <w:t>http://www.vialidad.gov.ar/costo_operativo/costo_operativo.php.</w:t>
      </w:r>
    </w:p>
  </w:footnote>
  <w:footnote w:id="7">
    <w:p w:rsidR="005D5E89" w:rsidRDefault="005D5E89" w:rsidP="00455687">
      <w:pPr>
        <w:pStyle w:val="FootnoteText"/>
        <w:jc w:val="both"/>
      </w:pPr>
      <w:r w:rsidRPr="00BB6A3C">
        <w:rPr>
          <w:rStyle w:val="FootnoteReference"/>
        </w:rPr>
        <w:footnoteRef/>
      </w:r>
      <w:r>
        <w:t xml:space="preserve"> El indicador de vehículos circulantes es el tránsito medio diario anual (TMDA), y se obtiene de censos de tránsito llevados adelante por </w:t>
      </w:r>
      <w:r w:rsidRPr="00376364">
        <w:t>la División Tránsito de la Gerencia de Planeamiento, Investigación y Control, Subgerencia de Planeamiento y Programación Vial de la Dirección Nacional de Vialidad</w:t>
      </w:r>
      <w:r w:rsidRPr="00376364">
        <w:rPr>
          <w:lang w:val="es-ES_tradnl"/>
        </w:rPr>
        <w:t xml:space="preserve"> </w:t>
      </w:r>
      <w:r>
        <w:rPr>
          <w:lang w:val="es-ES_tradnl"/>
        </w:rPr>
        <w:t>(www.vialidad.gov.ar).</w:t>
      </w:r>
    </w:p>
  </w:footnote>
  <w:footnote w:id="8">
    <w:p w:rsidR="005D5E89" w:rsidRDefault="005D5E89" w:rsidP="00455687">
      <w:pPr>
        <w:pStyle w:val="FootnoteText"/>
        <w:jc w:val="both"/>
      </w:pPr>
      <w:r w:rsidRPr="00BB6A3C">
        <w:rPr>
          <w:rStyle w:val="FootnoteReference"/>
        </w:rPr>
        <w:footnoteRef/>
      </w:r>
      <w:r w:rsidRPr="008A4A6D">
        <w:rPr>
          <w:rStyle w:val="FootnoteReference"/>
          <w:szCs w:val="22"/>
          <w:vertAlign w:val="superscript"/>
          <w:lang w:val="es-AR"/>
        </w:rPr>
        <w:t xml:space="preserve"> </w:t>
      </w:r>
      <w:r w:rsidRPr="00EF0F34">
        <w:rPr>
          <w:szCs w:val="24"/>
        </w:rPr>
        <w:t xml:space="preserve">Se incluyen como transporte liviano </w:t>
      </w:r>
      <w:r>
        <w:rPr>
          <w:szCs w:val="24"/>
        </w:rPr>
        <w:t>los</w:t>
      </w:r>
      <w:r w:rsidRPr="00EF0F34">
        <w:rPr>
          <w:szCs w:val="24"/>
        </w:rPr>
        <w:t xml:space="preserve"> automóviles, camionetas, ómnibus medianos y camiones ligeros.</w:t>
      </w:r>
    </w:p>
  </w:footnote>
  <w:footnote w:id="9">
    <w:p w:rsidR="005D5E89" w:rsidRDefault="005D5E89" w:rsidP="00E40ABE">
      <w:pPr>
        <w:pStyle w:val="FootnoteText"/>
      </w:pPr>
      <w:r>
        <w:rPr>
          <w:rStyle w:val="FootnoteReference"/>
        </w:rPr>
        <w:footnoteRef/>
      </w:r>
      <w:r>
        <w:t xml:space="preserve"> Incluye polvo suspendido.</w:t>
      </w:r>
    </w:p>
  </w:footnote>
  <w:footnote w:id="10">
    <w:p w:rsidR="005D5E89" w:rsidRDefault="005D5E89" w:rsidP="00E40ABE">
      <w:pPr>
        <w:pStyle w:val="FootnoteText"/>
      </w:pPr>
      <w:r>
        <w:rPr>
          <w:rStyle w:val="FootnoteReference"/>
        </w:rPr>
        <w:footnoteRef/>
      </w:r>
      <w:r>
        <w:t xml:space="preserve"> </w:t>
      </w:r>
      <w:r>
        <w:rPr>
          <w:lang w:val="es-ES_tradnl"/>
        </w:rPr>
        <w:t>Para expresar gramos en toneladas se divide el valor por 1.000.000.</w:t>
      </w:r>
    </w:p>
  </w:footnote>
  <w:footnote w:id="11">
    <w:p w:rsidR="005D5E89" w:rsidRDefault="005D5E89" w:rsidP="009968DF">
      <w:pPr>
        <w:pStyle w:val="FootnoteText"/>
        <w:jc w:val="both"/>
      </w:pPr>
      <w:r w:rsidRPr="00C23108">
        <w:footnoteRef/>
      </w:r>
      <w:r>
        <w:t xml:space="preserve"> </w:t>
      </w:r>
      <w:r w:rsidRPr="00C23108">
        <w:t>Puliafito, Castro y Allende (2009)</w:t>
      </w:r>
      <w:r>
        <w:t xml:space="preserve"> (UTN) estudian la contaminación del transporte y </w:t>
      </w:r>
      <w:r w:rsidRPr="00C23108">
        <w:t>concluye</w:t>
      </w:r>
      <w:r>
        <w:t>n</w:t>
      </w:r>
      <w:r w:rsidRPr="00C23108">
        <w:t xml:space="preserve"> que </w:t>
      </w:r>
      <w:r>
        <w:t xml:space="preserve">las emisiones procedentes del sistema de transporte constituyen un porcentaje alto sobre el total de emisiones. A su vez, dentro del sistema de transporte </w:t>
      </w:r>
      <w:r w:rsidRPr="00C23108">
        <w:t xml:space="preserve">la mayor fuente de producción de </w:t>
      </w:r>
      <w:r>
        <w:t xml:space="preserve">contaminantes son los </w:t>
      </w:r>
      <w:r w:rsidRPr="00C23108">
        <w:t>vehículos de carga</w:t>
      </w:r>
      <w:r>
        <w:t>,</w:t>
      </w:r>
      <w:r w:rsidRPr="00C23108">
        <w:t xml:space="preserve"> aún cuando su participación en el parque vehicular es de apenas 8%. Esto se debe a que sus factores de emisión de escape son entre 10 y 15 veces superiores a los de vehículos livianos, al incremento </w:t>
      </w:r>
      <w:r>
        <w:t>en</w:t>
      </w:r>
      <w:r w:rsidRPr="00C23108">
        <w:t xml:space="preserve"> el peso promedio y a</w:t>
      </w:r>
      <w:r>
        <w:t>l</w:t>
      </w:r>
      <w:r w:rsidRPr="00C23108">
        <w:t xml:space="preserve"> mayor desgaste de frenos y cubiertas.</w:t>
      </w:r>
    </w:p>
  </w:footnote>
  <w:footnote w:id="12">
    <w:p w:rsidR="005D5E89" w:rsidRDefault="005D5E89" w:rsidP="00E40ABE">
      <w:pPr>
        <w:pStyle w:val="FootnoteText"/>
      </w:pPr>
      <w:r>
        <w:rPr>
          <w:rStyle w:val="FootnoteReference"/>
        </w:rPr>
        <w:footnoteRef/>
      </w:r>
      <w:r>
        <w:t xml:space="preserve"> El CO</w:t>
      </w:r>
      <w:r w:rsidRPr="00CC221A">
        <w:rPr>
          <w:vertAlign w:val="subscript"/>
        </w:rPr>
        <w:t>2eq</w:t>
      </w:r>
      <w:r>
        <w:t xml:space="preserve"> en el caso de hidrocarburos surge de multiplicar las toneladas totales emitidas por 21.</w:t>
      </w:r>
    </w:p>
  </w:footnote>
  <w:footnote w:id="13">
    <w:p w:rsidR="005D5E89" w:rsidRDefault="005D5E89" w:rsidP="00E40ABE">
      <w:pPr>
        <w:pStyle w:val="FootnoteText"/>
      </w:pPr>
      <w:r>
        <w:rPr>
          <w:rStyle w:val="FootnoteReference"/>
        </w:rPr>
        <w:footnoteRef/>
      </w:r>
      <w:r>
        <w:t xml:space="preserve"> El CO</w:t>
      </w:r>
      <w:r w:rsidRPr="00CC221A">
        <w:rPr>
          <w:vertAlign w:val="subscript"/>
        </w:rPr>
        <w:t>2eq</w:t>
      </w:r>
      <w:r>
        <w:t xml:space="preserve"> en el caso de óxido de nitrógeno surge de multiplicar las toneladas totales emitidas por 296.</w:t>
      </w:r>
    </w:p>
  </w:footnote>
  <w:footnote w:id="14">
    <w:p w:rsidR="005D5E89" w:rsidRDefault="005D5E89" w:rsidP="00E40ABE">
      <w:pPr>
        <w:pStyle w:val="FootnoteText"/>
      </w:pPr>
      <w:r>
        <w:rPr>
          <w:rStyle w:val="FootnoteReference"/>
        </w:rPr>
        <w:footnoteRef/>
      </w:r>
      <w:r>
        <w:t xml:space="preserve"> Se obtiene como suma de los demás componentes.</w:t>
      </w:r>
    </w:p>
  </w:footnote>
  <w:footnote w:id="15">
    <w:p w:rsidR="005D5E89" w:rsidRDefault="005D5E89" w:rsidP="00E40ABE">
      <w:pPr>
        <w:pStyle w:val="FootnoteText"/>
        <w:jc w:val="both"/>
      </w:pPr>
      <w:r>
        <w:rPr>
          <w:rStyle w:val="FootnoteReference"/>
        </w:rPr>
        <w:footnoteRef/>
      </w:r>
      <w:r>
        <w:t xml:space="preserve"> </w:t>
      </w:r>
      <w:r>
        <w:rPr>
          <w:lang w:val="es-ES_tradnl"/>
        </w:rPr>
        <w:t>En el documento los valores están expresados en dólares, no obstante, se presentan en pesos argentinos, para unificar la información disponible.</w:t>
      </w:r>
    </w:p>
  </w:footnote>
  <w:footnote w:id="16">
    <w:p w:rsidR="005D5E89" w:rsidRDefault="005D5E89" w:rsidP="00E40ABE">
      <w:pPr>
        <w:pStyle w:val="FootnoteText"/>
      </w:pPr>
      <w:r>
        <w:rPr>
          <w:rStyle w:val="FootnoteReference"/>
        </w:rPr>
        <w:footnoteRef/>
      </w:r>
      <w:r>
        <w:t xml:space="preserve"> Se calcula como tasa de crecimiento acumulativa: </w:t>
      </w:r>
      <w:r w:rsidRPr="00AF4DEA">
        <w:rPr>
          <w:position w:val="-14"/>
          <w:lang w:eastAsia="es-ES"/>
        </w:rPr>
        <w:object w:dxaOrig="146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0.3pt;height:23.45pt" o:ole="">
            <v:imagedata r:id="rId1" o:title=""/>
          </v:shape>
          <o:OLEObject Type="Embed" ProgID="Equation.DSMT4" ShapeID="_x0000_i1030" DrawAspect="Content" ObjectID="_1436940809" r:id="rId2"/>
        </w:object>
      </w:r>
      <w:r>
        <w:t>, a partir del 4 año, es decir, considerando el período luego del traslado de la ZPA, es decir, 17 años.</w:t>
      </w:r>
    </w:p>
  </w:footnote>
  <w:footnote w:id="17">
    <w:p w:rsidR="005D5E89" w:rsidRPr="008915C0" w:rsidRDefault="005D5E89">
      <w:pPr>
        <w:pStyle w:val="FootnoteText"/>
      </w:pPr>
      <w:r>
        <w:rPr>
          <w:rStyle w:val="FootnoteReference"/>
        </w:rPr>
        <w:footnoteRef/>
      </w:r>
      <w:r>
        <w:t xml:space="preserve"> http://www.rht.com.ar/sucursales.php.</w:t>
      </w:r>
    </w:p>
  </w:footnote>
  <w:footnote w:id="18">
    <w:p w:rsidR="005D5E89" w:rsidRPr="00FB0631" w:rsidRDefault="005D5E89" w:rsidP="00FB0631">
      <w:pPr>
        <w:pStyle w:val="FootnoteText"/>
        <w:jc w:val="both"/>
      </w:pPr>
      <w:r>
        <w:rPr>
          <w:rStyle w:val="FootnoteReference"/>
        </w:rPr>
        <w:footnoteRef/>
      </w:r>
      <w:r>
        <w:t xml:space="preserve"> Los valores sugeridos para el análisis de sensibilidad son aquellos considerados adecuados según el caso, es decir, para esta variable no se trabaja con una variación positiva/negativa de 25%, sino con valores arbitrarios.</w:t>
      </w:r>
    </w:p>
  </w:footnote>
  <w:footnote w:id="19">
    <w:p w:rsidR="005D5E89" w:rsidRDefault="005D5E89" w:rsidP="000310E5">
      <w:pPr>
        <w:pStyle w:val="FootnoteText"/>
        <w:jc w:val="both"/>
      </w:pPr>
      <w:r w:rsidRPr="005224F9">
        <w:rPr>
          <w:rStyle w:val="FootnoteReference"/>
        </w:rPr>
        <w:footnoteRef/>
      </w:r>
      <w:r w:rsidRPr="005224F9">
        <w:t xml:space="preserve"> </w:t>
      </w:r>
      <w:r w:rsidRPr="005224F9">
        <w:rPr>
          <w:lang w:val="es-ES_tradnl"/>
        </w:rPr>
        <w:t xml:space="preserve">En 2011 el PBG del sector agropecuario ascendía a 5.108.728.471 y el del sector industrial a 7.847.518.200, lo que en conjunto suma </w:t>
      </w:r>
      <w:r w:rsidRPr="005224F9">
        <w:t>ARS 12.956.246 (en miles)</w:t>
      </w:r>
      <w:r w:rsidRPr="005224F9">
        <w:rPr>
          <w:lang w:val="es-ES_tradnl"/>
        </w:rPr>
        <w:t>.</w:t>
      </w:r>
      <w:r>
        <w:rPr>
          <w:lang w:val="es-ES_tradnl"/>
        </w:rPr>
        <w:t xml:space="preserve"> A su vez, estos sectores han tenido una tasa de crecimiento anual promedio en el último decenio de 4,8% y 5,1% respectivamente.</w:t>
      </w:r>
    </w:p>
  </w:footnote>
  <w:footnote w:id="20">
    <w:p w:rsidR="005D5E89" w:rsidRDefault="005D5E89" w:rsidP="00327834">
      <w:pPr>
        <w:spacing w:after="0" w:line="240" w:lineRule="auto"/>
        <w:jc w:val="both"/>
      </w:pPr>
      <w:r w:rsidRPr="007A6FD5">
        <w:rPr>
          <w:rStyle w:val="FootnoteReference"/>
          <w:rFonts w:ascii="Times New Roman" w:hAnsi="Times New Roman"/>
          <w:sz w:val="20"/>
          <w:szCs w:val="20"/>
        </w:rPr>
        <w:footnoteRef/>
      </w:r>
      <w:r>
        <w:rPr>
          <w:rFonts w:ascii="Times New Roman" w:hAnsi="Times New Roman"/>
          <w:sz w:val="20"/>
          <w:szCs w:val="20"/>
        </w:rPr>
        <w:t xml:space="preserve"> </w:t>
      </w:r>
      <w:r w:rsidRPr="007A6FD5">
        <w:rPr>
          <w:rFonts w:ascii="Times New Roman" w:hAnsi="Times New Roman"/>
          <w:sz w:val="20"/>
          <w:szCs w:val="20"/>
        </w:rPr>
        <w:t>Las ventas de empresas biotecnológicas Argentinas fueron calculadas en base al análisis del sector de biotecnología en Argentina realizado por Anlló, Bisang y Sturbin (2011). Según estos autores, una empresa argentina dedicada a la biotecnología con fines agrícolas factura anualmente ARS 5.874.931 mientras que aquellas orientadas a la salud humana, ARS 11.387.292. Para el cálculo de las ventas de las empresas de biotecnología agrícola excluimos las ventas provenientes de las empresas del sector semillas, ya que las cifras de facturación de ese tipo de empresas alcanza valores que superan ampliamente al del resto de las actividades de biotecnología de la rama y que no hay empresas de este tipo en el listado de potenciales firmas del PByER.</w:t>
      </w:r>
    </w:p>
  </w:footnote>
  <w:footnote w:id="21">
    <w:p w:rsidR="005D5E89" w:rsidRDefault="005D5E89" w:rsidP="00327834">
      <w:pPr>
        <w:pStyle w:val="FootnoteText"/>
      </w:pPr>
      <w:r w:rsidRPr="007A6FD5">
        <w:rPr>
          <w:rStyle w:val="FootnoteReference"/>
        </w:rPr>
        <w:footnoteRef/>
      </w:r>
      <w:r w:rsidRPr="007A6FD5">
        <w:rPr>
          <w:lang w:val="es-AR"/>
        </w:rPr>
        <w:t>Un estudio de la UNC (2012) a cargo de la Lic. Giraudo encuentra que de la totalidad de los proyectos de biotecnología de la provincia de Mendoza, el 37,4% se focaliza en el agro y el 28,7% en la salud humana y que en conjunto estos subsectores comprenden el 66,1% del total de proyectos biotecnológicos mendocinos. Tomamos estos datos para hacer las ponderaciones.</w:t>
      </w:r>
    </w:p>
  </w:footnote>
  <w:footnote w:id="22">
    <w:p w:rsidR="005D5E89" w:rsidRDefault="005D5E89" w:rsidP="00010094">
      <w:pPr>
        <w:pStyle w:val="FootnoteText"/>
        <w:jc w:val="both"/>
      </w:pPr>
      <w:r w:rsidRPr="007A6FD5">
        <w:rPr>
          <w:rStyle w:val="FootnoteReference"/>
        </w:rPr>
        <w:footnoteRef/>
      </w:r>
      <w:r w:rsidRPr="007A6FD5">
        <w:t xml:space="preserve"> Se trata del cálculo de una tasa de crecimiento anual compuesta: </w:t>
      </w:r>
      <w:r w:rsidRPr="007A6FD5">
        <w:rPr>
          <w:position w:val="-48"/>
          <w:lang w:eastAsia="es-ES"/>
        </w:rPr>
        <w:object w:dxaOrig="2020" w:dyaOrig="1080">
          <v:shape id="_x0000_i1031" type="#_x0000_t75" style="width:81.2pt;height:45.2pt" o:ole="">
            <v:imagedata r:id="rId3" o:title=""/>
          </v:shape>
          <o:OLEObject Type="Embed" ProgID="Equation.DSMT4" ShapeID="_x0000_i1031" DrawAspect="Content" ObjectID="_1436940810" r:id="rId4"/>
        </w:object>
      </w:r>
      <w:r w:rsidRPr="007A6FD5">
        <w:t xml:space="preserve">, siendo </w:t>
      </w:r>
      <w:r w:rsidRPr="007A6FD5">
        <w:rPr>
          <w:i/>
        </w:rPr>
        <w:t>Vn</w:t>
      </w:r>
      <w:r w:rsidRPr="007A6FD5">
        <w:t xml:space="preserve"> el valor final, </w:t>
      </w:r>
      <w:r w:rsidRPr="007A6FD5">
        <w:rPr>
          <w:i/>
        </w:rPr>
        <w:t>V0</w:t>
      </w:r>
      <w:r w:rsidRPr="007A6FD5">
        <w:t xml:space="preserve"> el valor inicial y n la cantidad de años, en este caso: ARS </w:t>
      </w:r>
      <w:r>
        <w:t>4</w:t>
      </w:r>
      <w:r w:rsidRPr="007A6FD5">
        <w:t>.</w:t>
      </w:r>
      <w:r>
        <w:t>134</w:t>
      </w:r>
      <w:r w:rsidRPr="007A6FD5">
        <w:t>.</w:t>
      </w:r>
      <w:r>
        <w:t>173</w:t>
      </w:r>
      <w:r w:rsidRPr="007A6FD5">
        <w:t>, ARS 200.000 y 19, respectivamente</w:t>
      </w:r>
      <w:r>
        <w:t xml:space="preserve"> por un lado, y ARS 413.417, ARS 200.000 y 19 respectivamente, por el otro</w:t>
      </w:r>
      <w:r w:rsidRPr="007A6FD5">
        <w:t>.</w:t>
      </w:r>
    </w:p>
  </w:footnote>
  <w:footnote w:id="23">
    <w:p w:rsidR="005D5E89" w:rsidRDefault="005D5E89" w:rsidP="00E40ABE">
      <w:pPr>
        <w:pStyle w:val="FootnoteText"/>
      </w:pPr>
      <w:r w:rsidRPr="00BB6A3C">
        <w:rPr>
          <w:rStyle w:val="FootnoteReference"/>
        </w:rPr>
        <w:footnoteRef/>
      </w:r>
      <w:r w:rsidRPr="00110509">
        <w:t xml:space="preserve"> Los valores decimales corresponden a personal a tiempo parcial.</w:t>
      </w:r>
    </w:p>
  </w:footnote>
  <w:footnote w:id="24">
    <w:p w:rsidR="005D5E89" w:rsidRDefault="005D5E89" w:rsidP="00A36745">
      <w:pPr>
        <w:pStyle w:val="FootnoteText"/>
        <w:jc w:val="both"/>
      </w:pPr>
      <w:r w:rsidRPr="00BB6A3C">
        <w:rPr>
          <w:rStyle w:val="FootnoteReference"/>
        </w:rPr>
        <w:footnoteRef/>
      </w:r>
      <w:r>
        <w:t xml:space="preserve"> Ver por ejemplo, “</w:t>
      </w:r>
      <w:r w:rsidRPr="00C92BB1">
        <w:rPr>
          <w:color w:val="000000"/>
        </w:rPr>
        <w:t>GM crops: global socio-economic and environmental</w:t>
      </w:r>
      <w:r>
        <w:rPr>
          <w:color w:val="000000"/>
        </w:rPr>
        <w:t xml:space="preserve"> </w:t>
      </w:r>
      <w:r w:rsidRPr="00C92BB1">
        <w:rPr>
          <w:color w:val="000000"/>
        </w:rPr>
        <w:t>impacts 1996-2007”</w:t>
      </w:r>
      <w:r>
        <w:rPr>
          <w:color w:val="000000"/>
        </w:rPr>
        <w:t>, documento elaborado por</w:t>
      </w:r>
      <w:r w:rsidRPr="00C92BB1">
        <w:rPr>
          <w:color w:val="000000"/>
        </w:rPr>
        <w:t xml:space="preserve"> Graham Brookes y Peter</w:t>
      </w:r>
      <w:r>
        <w:rPr>
          <w:color w:val="000000"/>
        </w:rPr>
        <w:t xml:space="preserve"> Barfoot.</w:t>
      </w:r>
    </w:p>
  </w:footnote>
  <w:footnote w:id="25">
    <w:p w:rsidR="005D5E89" w:rsidRPr="00B07147" w:rsidRDefault="005D5E89" w:rsidP="00A36745">
      <w:pPr>
        <w:pStyle w:val="FootnoteText"/>
        <w:jc w:val="both"/>
      </w:pPr>
      <w:r w:rsidRPr="00B07147">
        <w:rPr>
          <w:rStyle w:val="FootnoteReference"/>
        </w:rPr>
        <w:footnoteRef/>
      </w:r>
      <w:r w:rsidRPr="00B07147">
        <w:t xml:space="preserve"> En el caso específico de la soja, por ejemplo, en 2007, ellos argumentan que se generaron ingresos adicionales debido a la biotecnología por un monto de USD 3.9 billones, dada la introducción de la soja genéticamente modificada tolerante a herbicidas (GM HT), y todas las variedades relacionadas, lo cual es equivalente a un aumento de 7,2% en el valor de la cosecha en los países en los cuales la biotecnología se encuentra en una etapa de expansión.</w:t>
      </w:r>
    </w:p>
  </w:footnote>
  <w:footnote w:id="26">
    <w:p w:rsidR="005D5E89" w:rsidRDefault="005D5E89" w:rsidP="00A36745">
      <w:pPr>
        <w:pStyle w:val="FootnoteText"/>
        <w:jc w:val="both"/>
      </w:pPr>
      <w:r w:rsidRPr="00AC3987">
        <w:rPr>
          <w:rStyle w:val="FootnoteReference"/>
        </w:rPr>
        <w:footnoteRef/>
      </w:r>
      <w:r w:rsidRPr="00AC3987">
        <w:t xml:space="preserve"> De acuerdo</w:t>
      </w:r>
      <w:r>
        <w:t xml:space="preserve"> con </w:t>
      </w:r>
      <w:r w:rsidRPr="00003575">
        <w:t xml:space="preserve">“GM crops: global socio-economic and </w:t>
      </w:r>
      <w:r>
        <w:t>e</w:t>
      </w:r>
      <w:r w:rsidRPr="00003575">
        <w:t>nvironmental</w:t>
      </w:r>
      <w:r>
        <w:t xml:space="preserve"> </w:t>
      </w:r>
      <w:r w:rsidRPr="00003575">
        <w:t>impacts 1996-2007” (Cosechas genéticamente modificadas: impactos socioeconómicos y ambientales globales 1996-2007) de Graham Brookes y Peter Barfoot</w:t>
      </w:r>
      <w:r>
        <w:t xml:space="preserve"> el incremento en el producto de soja, maíz, canola y algodón entre 1996 y 2007 fue del 4.4%. Esta tasa de crecimiento para un período de 19 años permite obtener una tasa efectiva de crecimiento anual acumulativo de 0.227% anual, calculado a partir de:</w:t>
      </w:r>
      <w:r w:rsidRPr="00AF4DEA">
        <w:rPr>
          <w:position w:val="-14"/>
          <w:lang w:eastAsia="es-ES"/>
        </w:rPr>
        <w:object w:dxaOrig="1560" w:dyaOrig="520">
          <v:shape id="_x0000_i1032" type="#_x0000_t75" style="width:59.45pt;height:20.1pt" o:ole="">
            <v:imagedata r:id="rId5" o:title=""/>
          </v:shape>
          <o:OLEObject Type="Embed" ProgID="Equation.DSMT4" ShapeID="_x0000_i1032" DrawAspect="Content" ObjectID="_1436940811" r:id="rId6"/>
        </w:object>
      </w:r>
      <w:r>
        <w:t xml:space="preserve"> .</w:t>
      </w:r>
    </w:p>
  </w:footnote>
  <w:footnote w:id="27">
    <w:p w:rsidR="005D5E89" w:rsidRDefault="005D5E89" w:rsidP="00A36745">
      <w:pPr>
        <w:pStyle w:val="FootnoteText"/>
      </w:pPr>
      <w:r w:rsidRPr="00BB6A3C">
        <w:rPr>
          <w:rStyle w:val="FootnoteReference"/>
        </w:rPr>
        <w:footnoteRef/>
      </w:r>
      <w:r>
        <w:t xml:space="preserve"> Esto es: ARS 5.108.728.471 x 0,00133 x 0,1 = ARS 679.461.</w:t>
      </w:r>
    </w:p>
  </w:footnote>
  <w:footnote w:id="28">
    <w:p w:rsidR="005D5E89" w:rsidRDefault="005D5E89" w:rsidP="00AE7EFC">
      <w:pPr>
        <w:pStyle w:val="FootnoteText"/>
        <w:jc w:val="both"/>
      </w:pPr>
      <w:r>
        <w:rPr>
          <w:rStyle w:val="FootnoteReference"/>
        </w:rPr>
        <w:footnoteRef/>
      </w:r>
      <w:r>
        <w:t xml:space="preserve"> El esquema está planteado de una manera sumamente conservadora. El objeto de esta forma de abordaje es observar si el proyecto es viable con esta base mínima de empresas en los períodos indicados. De esta manera cualquier mejora en su implementación que supere estos supuestos incrementaría los beneficios del mismo.</w:t>
      </w:r>
    </w:p>
  </w:footnote>
  <w:footnote w:id="29">
    <w:p w:rsidR="005D5E89" w:rsidRDefault="005D5E89" w:rsidP="00AE7EFC">
      <w:pPr>
        <w:pStyle w:val="FootnoteText"/>
        <w:jc w:val="both"/>
      </w:pPr>
      <w:r>
        <w:rPr>
          <w:rStyle w:val="FootnoteReference"/>
        </w:rPr>
        <w:footnoteRef/>
      </w:r>
      <w:r>
        <w:t xml:space="preserve"> </w:t>
      </w:r>
      <w:r>
        <w:rPr>
          <w:lang w:val="es-ES_tradnl"/>
        </w:rPr>
        <w:t xml:space="preserve">La tasa de crecimiento estimada es del 11,9% anual, que se calcula como </w:t>
      </w:r>
      <w:r>
        <w:t xml:space="preserve">tasa de crecimiento anual compuesta: </w:t>
      </w:r>
      <w:r w:rsidRPr="00AE0511">
        <w:rPr>
          <w:rFonts w:eastAsia="Times New Roman"/>
          <w:position w:val="-48"/>
          <w:lang w:eastAsia="es-ES"/>
        </w:rPr>
        <w:object w:dxaOrig="2020" w:dyaOrig="1080">
          <v:shape id="_x0000_i1033" type="#_x0000_t75" style="width:78.7pt;height:45.2pt" o:ole="">
            <v:imagedata r:id="rId3" o:title=""/>
          </v:shape>
          <o:OLEObject Type="Embed" ProgID="Equation.DSMT4" ShapeID="_x0000_i1033" DrawAspect="Content" ObjectID="_1436940812" r:id="rId7"/>
        </w:object>
      </w:r>
      <w:r>
        <w:t xml:space="preserve">, siendo </w:t>
      </w:r>
      <w:r w:rsidRPr="00AE0511">
        <w:rPr>
          <w:i/>
        </w:rPr>
        <w:t>V</w:t>
      </w:r>
      <w:r w:rsidRPr="00AE0511">
        <w:rPr>
          <w:i/>
          <w:vertAlign w:val="subscript"/>
        </w:rPr>
        <w:t>n</w:t>
      </w:r>
      <w:r>
        <w:t xml:space="preserve"> el valor final, </w:t>
      </w:r>
      <w:r w:rsidRPr="00AE0511">
        <w:rPr>
          <w:i/>
        </w:rPr>
        <w:t>V</w:t>
      </w:r>
      <w:r w:rsidRPr="00AE0511">
        <w:rPr>
          <w:i/>
          <w:vertAlign w:val="subscript"/>
        </w:rPr>
        <w:t>0</w:t>
      </w:r>
      <w:r>
        <w:t xml:space="preserve"> el valor inicial y n la cantidad de años, en este caso: ARS </w:t>
      </w:r>
      <w:r w:rsidRPr="00ED4D1E">
        <w:t>1.126.219</w:t>
      </w:r>
      <w:r>
        <w:t>, ARS 150.000 y 19, respectivamente.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524"/>
    <w:multiLevelType w:val="hybridMultilevel"/>
    <w:tmpl w:val="F066376A"/>
    <w:lvl w:ilvl="0" w:tplc="040A0015">
      <w:start w:val="1"/>
      <w:numFmt w:val="upp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
    <w:nsid w:val="0ACE3B3A"/>
    <w:multiLevelType w:val="hybridMultilevel"/>
    <w:tmpl w:val="7A92C2D0"/>
    <w:lvl w:ilvl="0" w:tplc="B9E4E47E">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F53227C"/>
    <w:multiLevelType w:val="hybridMultilevel"/>
    <w:tmpl w:val="296EA7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70C6CD3"/>
    <w:multiLevelType w:val="hybridMultilevel"/>
    <w:tmpl w:val="E946D16A"/>
    <w:lvl w:ilvl="0" w:tplc="C9984A3A">
      <w:start w:val="1"/>
      <w:numFmt w:val="lowerRoman"/>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
    <w:nsid w:val="1AA268D3"/>
    <w:multiLevelType w:val="hybridMultilevel"/>
    <w:tmpl w:val="67A208BC"/>
    <w:lvl w:ilvl="0" w:tplc="2C0A0019">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
    <w:nsid w:val="1F9A216B"/>
    <w:multiLevelType w:val="hybridMultilevel"/>
    <w:tmpl w:val="E946D16A"/>
    <w:lvl w:ilvl="0" w:tplc="C9984A3A">
      <w:start w:val="1"/>
      <w:numFmt w:val="lowerRoman"/>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6">
    <w:nsid w:val="20D66DAD"/>
    <w:multiLevelType w:val="hybridMultilevel"/>
    <w:tmpl w:val="259C1364"/>
    <w:lvl w:ilvl="0" w:tplc="C9984A3A">
      <w:start w:val="1"/>
      <w:numFmt w:val="lowerRoman"/>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7">
    <w:nsid w:val="277615C5"/>
    <w:multiLevelType w:val="hybridMultilevel"/>
    <w:tmpl w:val="C1D47E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8D52D5F"/>
    <w:multiLevelType w:val="hybridMultilevel"/>
    <w:tmpl w:val="29F4E16A"/>
    <w:lvl w:ilvl="0" w:tplc="040A0011">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9">
    <w:nsid w:val="2A1C21AF"/>
    <w:multiLevelType w:val="hybridMultilevel"/>
    <w:tmpl w:val="9C26DFDC"/>
    <w:lvl w:ilvl="0" w:tplc="040A0017">
      <w:start w:val="1"/>
      <w:numFmt w:val="lowerLetter"/>
      <w:lvlText w:val="%1)"/>
      <w:lvlJc w:val="left"/>
      <w:pPr>
        <w:ind w:left="720" w:hanging="360"/>
      </w:pPr>
      <w:rPr>
        <w:rFonts w:cs="Times New Roman"/>
      </w:rPr>
    </w:lvl>
    <w:lvl w:ilvl="1" w:tplc="040A001B">
      <w:start w:val="1"/>
      <w:numFmt w:val="lowerRoman"/>
      <w:lvlText w:val="%2."/>
      <w:lvlJc w:val="right"/>
      <w:pPr>
        <w:ind w:left="1440" w:hanging="360"/>
      </w:pPr>
      <w:rPr>
        <w:rFonts w:cs="Times New Roman"/>
      </w:rPr>
    </w:lvl>
    <w:lvl w:ilvl="2" w:tplc="040A000F">
      <w:start w:val="1"/>
      <w:numFmt w:val="decimal"/>
      <w:lvlText w:val="%3."/>
      <w:lvlJc w:val="lef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0">
    <w:nsid w:val="2BA05826"/>
    <w:multiLevelType w:val="hybridMultilevel"/>
    <w:tmpl w:val="F9468830"/>
    <w:lvl w:ilvl="0" w:tplc="69E85734">
      <w:start w:val="1"/>
      <w:numFmt w:val="bullet"/>
      <w:lvlText w:val=""/>
      <w:lvlJc w:val="left"/>
      <w:pPr>
        <w:ind w:left="720" w:hanging="360"/>
      </w:pPr>
      <w:rPr>
        <w:rFonts w:ascii="Symbol" w:hAnsi="Symbol" w:hint="default"/>
      </w:rPr>
    </w:lvl>
    <w:lvl w:ilvl="1" w:tplc="C04CD15A">
      <w:start w:val="1"/>
      <w:numFmt w:val="bullet"/>
      <w:lvlText w:val="o"/>
      <w:lvlJc w:val="left"/>
      <w:pPr>
        <w:ind w:left="1440" w:hanging="360"/>
      </w:pPr>
      <w:rPr>
        <w:rFonts w:ascii="Courier New" w:hAnsi="Courier New" w:hint="default"/>
      </w:rPr>
    </w:lvl>
    <w:lvl w:ilvl="2" w:tplc="E0B629B8" w:tentative="1">
      <w:start w:val="1"/>
      <w:numFmt w:val="bullet"/>
      <w:lvlText w:val=""/>
      <w:lvlJc w:val="left"/>
      <w:pPr>
        <w:ind w:left="2160" w:hanging="360"/>
      </w:pPr>
      <w:rPr>
        <w:rFonts w:ascii="Wingdings" w:hAnsi="Wingdings" w:hint="default"/>
      </w:rPr>
    </w:lvl>
    <w:lvl w:ilvl="3" w:tplc="F6C46E28" w:tentative="1">
      <w:start w:val="1"/>
      <w:numFmt w:val="bullet"/>
      <w:lvlText w:val=""/>
      <w:lvlJc w:val="left"/>
      <w:pPr>
        <w:ind w:left="2880" w:hanging="360"/>
      </w:pPr>
      <w:rPr>
        <w:rFonts w:ascii="Symbol" w:hAnsi="Symbol" w:hint="default"/>
      </w:rPr>
    </w:lvl>
    <w:lvl w:ilvl="4" w:tplc="6B9A4F72" w:tentative="1">
      <w:start w:val="1"/>
      <w:numFmt w:val="bullet"/>
      <w:lvlText w:val="o"/>
      <w:lvlJc w:val="left"/>
      <w:pPr>
        <w:ind w:left="3600" w:hanging="360"/>
      </w:pPr>
      <w:rPr>
        <w:rFonts w:ascii="Courier New" w:hAnsi="Courier New" w:hint="default"/>
      </w:rPr>
    </w:lvl>
    <w:lvl w:ilvl="5" w:tplc="4168B2FE" w:tentative="1">
      <w:start w:val="1"/>
      <w:numFmt w:val="bullet"/>
      <w:lvlText w:val=""/>
      <w:lvlJc w:val="left"/>
      <w:pPr>
        <w:ind w:left="4320" w:hanging="360"/>
      </w:pPr>
      <w:rPr>
        <w:rFonts w:ascii="Wingdings" w:hAnsi="Wingdings" w:hint="default"/>
      </w:rPr>
    </w:lvl>
    <w:lvl w:ilvl="6" w:tplc="4E429CE6" w:tentative="1">
      <w:start w:val="1"/>
      <w:numFmt w:val="bullet"/>
      <w:lvlText w:val=""/>
      <w:lvlJc w:val="left"/>
      <w:pPr>
        <w:ind w:left="5040" w:hanging="360"/>
      </w:pPr>
      <w:rPr>
        <w:rFonts w:ascii="Symbol" w:hAnsi="Symbol" w:hint="default"/>
      </w:rPr>
    </w:lvl>
    <w:lvl w:ilvl="7" w:tplc="BED44836" w:tentative="1">
      <w:start w:val="1"/>
      <w:numFmt w:val="bullet"/>
      <w:lvlText w:val="o"/>
      <w:lvlJc w:val="left"/>
      <w:pPr>
        <w:ind w:left="5760" w:hanging="360"/>
      </w:pPr>
      <w:rPr>
        <w:rFonts w:ascii="Courier New" w:hAnsi="Courier New" w:hint="default"/>
      </w:rPr>
    </w:lvl>
    <w:lvl w:ilvl="8" w:tplc="CBF4F816" w:tentative="1">
      <w:start w:val="1"/>
      <w:numFmt w:val="bullet"/>
      <w:lvlText w:val=""/>
      <w:lvlJc w:val="left"/>
      <w:pPr>
        <w:ind w:left="6480" w:hanging="360"/>
      </w:pPr>
      <w:rPr>
        <w:rFonts w:ascii="Wingdings" w:hAnsi="Wingdings" w:hint="default"/>
      </w:rPr>
    </w:lvl>
  </w:abstractNum>
  <w:abstractNum w:abstractNumId="11">
    <w:nsid w:val="2CF851DE"/>
    <w:multiLevelType w:val="hybridMultilevel"/>
    <w:tmpl w:val="E946D16A"/>
    <w:lvl w:ilvl="0" w:tplc="C9984A3A">
      <w:start w:val="1"/>
      <w:numFmt w:val="lowerRoman"/>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2">
    <w:nsid w:val="38FD7A1E"/>
    <w:multiLevelType w:val="hybridMultilevel"/>
    <w:tmpl w:val="29F4E16A"/>
    <w:lvl w:ilvl="0" w:tplc="040A0011">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3">
    <w:nsid w:val="3D954B06"/>
    <w:multiLevelType w:val="multilevel"/>
    <w:tmpl w:val="5004031A"/>
    <w:lvl w:ilvl="0">
      <w:start w:val="1"/>
      <w:numFmt w:val="decimal"/>
      <w:lvlText w:val="%1."/>
      <w:lvlJc w:val="left"/>
      <w:pPr>
        <w:tabs>
          <w:tab w:val="num" w:pos="1560"/>
        </w:tabs>
        <w:ind w:left="1560" w:hanging="1560"/>
      </w:pPr>
      <w:rPr>
        <w:rFonts w:cs="Times New Roman" w:hint="default"/>
        <w:b w:val="0"/>
      </w:rPr>
    </w:lvl>
    <w:lvl w:ilvl="1">
      <w:start w:val="1"/>
      <w:numFmt w:val="decimal"/>
      <w:lvlText w:val="%1.%2."/>
      <w:lvlJc w:val="left"/>
      <w:pPr>
        <w:tabs>
          <w:tab w:val="num" w:pos="1560"/>
        </w:tabs>
        <w:ind w:left="1560" w:hanging="1560"/>
      </w:pPr>
      <w:rPr>
        <w:rFonts w:cs="Times New Roman" w:hint="default"/>
        <w:b w:val="0"/>
      </w:rPr>
    </w:lvl>
    <w:lvl w:ilvl="2">
      <w:start w:val="3"/>
      <w:numFmt w:val="decimal"/>
      <w:suff w:val="space"/>
      <w:lvlText w:val="%1.%2.%3."/>
      <w:lvlJc w:val="left"/>
      <w:pPr>
        <w:ind w:left="1560" w:hanging="1560"/>
      </w:pPr>
      <w:rPr>
        <w:rFonts w:cs="Times New Roman" w:hint="default"/>
        <w:b w:val="0"/>
      </w:rPr>
    </w:lvl>
    <w:lvl w:ilvl="3">
      <w:start w:val="1"/>
      <w:numFmt w:val="decimal"/>
      <w:lvlText w:val="%1.%2.%3.%4."/>
      <w:lvlJc w:val="left"/>
      <w:pPr>
        <w:tabs>
          <w:tab w:val="num" w:pos="1560"/>
        </w:tabs>
        <w:ind w:left="1560" w:hanging="1560"/>
      </w:pPr>
      <w:rPr>
        <w:rFonts w:cs="Times New Roman" w:hint="default"/>
        <w:b w:val="0"/>
      </w:rPr>
    </w:lvl>
    <w:lvl w:ilvl="4">
      <w:start w:val="1"/>
      <w:numFmt w:val="decimal"/>
      <w:lvlText w:val="%1.%2.%3.%4.%5."/>
      <w:lvlJc w:val="left"/>
      <w:pPr>
        <w:tabs>
          <w:tab w:val="num" w:pos="1560"/>
        </w:tabs>
        <w:ind w:left="1560" w:hanging="1560"/>
      </w:pPr>
      <w:rPr>
        <w:rFonts w:cs="Times New Roman" w:hint="default"/>
        <w:b w:val="0"/>
      </w:rPr>
    </w:lvl>
    <w:lvl w:ilvl="5">
      <w:start w:val="1"/>
      <w:numFmt w:val="decimal"/>
      <w:lvlText w:val="%1.%2.%3.%4.%5.%6."/>
      <w:lvlJc w:val="left"/>
      <w:pPr>
        <w:tabs>
          <w:tab w:val="num" w:pos="1560"/>
        </w:tabs>
        <w:ind w:left="1560" w:hanging="1560"/>
      </w:pPr>
      <w:rPr>
        <w:rFonts w:cs="Times New Roman" w:hint="default"/>
        <w:b w:val="0"/>
      </w:rPr>
    </w:lvl>
    <w:lvl w:ilvl="6">
      <w:start w:val="1"/>
      <w:numFmt w:val="decimal"/>
      <w:lvlText w:val="%1.%2.%3.%4.%5.%6.%7."/>
      <w:lvlJc w:val="left"/>
      <w:pPr>
        <w:tabs>
          <w:tab w:val="num" w:pos="1560"/>
        </w:tabs>
        <w:ind w:left="1560" w:hanging="156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4">
    <w:nsid w:val="3EFF6DB2"/>
    <w:multiLevelType w:val="hybridMultilevel"/>
    <w:tmpl w:val="E946D16A"/>
    <w:lvl w:ilvl="0" w:tplc="C9984A3A">
      <w:start w:val="1"/>
      <w:numFmt w:val="lowerRoman"/>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5">
    <w:nsid w:val="42C54B30"/>
    <w:multiLevelType w:val="hybridMultilevel"/>
    <w:tmpl w:val="DBF26700"/>
    <w:lvl w:ilvl="0" w:tplc="C9984A3A">
      <w:start w:val="1"/>
      <w:numFmt w:val="lowerRoman"/>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6">
    <w:nsid w:val="436F45F5"/>
    <w:multiLevelType w:val="hybridMultilevel"/>
    <w:tmpl w:val="E946D16A"/>
    <w:lvl w:ilvl="0" w:tplc="C9984A3A">
      <w:start w:val="1"/>
      <w:numFmt w:val="lowerRoman"/>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7">
    <w:nsid w:val="44750929"/>
    <w:multiLevelType w:val="hybridMultilevel"/>
    <w:tmpl w:val="259C1364"/>
    <w:lvl w:ilvl="0" w:tplc="C9984A3A">
      <w:start w:val="1"/>
      <w:numFmt w:val="lowerRoman"/>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8">
    <w:nsid w:val="47195D16"/>
    <w:multiLevelType w:val="hybridMultilevel"/>
    <w:tmpl w:val="E946D16A"/>
    <w:lvl w:ilvl="0" w:tplc="C9984A3A">
      <w:start w:val="1"/>
      <w:numFmt w:val="lowerRoman"/>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9">
    <w:nsid w:val="47F24284"/>
    <w:multiLevelType w:val="hybridMultilevel"/>
    <w:tmpl w:val="F6AA76C8"/>
    <w:lvl w:ilvl="0" w:tplc="2C0A001B">
      <w:start w:val="1"/>
      <w:numFmt w:val="lowerRoman"/>
      <w:lvlText w:val="%1."/>
      <w:lvlJc w:val="righ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0">
    <w:nsid w:val="4C703B47"/>
    <w:multiLevelType w:val="hybridMultilevel"/>
    <w:tmpl w:val="CA50F9D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5EAA60DC"/>
    <w:multiLevelType w:val="hybridMultilevel"/>
    <w:tmpl w:val="39B2DF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2FE75CF"/>
    <w:multiLevelType w:val="hybridMultilevel"/>
    <w:tmpl w:val="9C76C3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662F5F97"/>
    <w:multiLevelType w:val="hybridMultilevel"/>
    <w:tmpl w:val="324CFA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67987765"/>
    <w:multiLevelType w:val="hybridMultilevel"/>
    <w:tmpl w:val="7966BAE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7D344C9"/>
    <w:multiLevelType w:val="hybridMultilevel"/>
    <w:tmpl w:val="83AA7FC2"/>
    <w:lvl w:ilvl="0" w:tplc="040A0015">
      <w:start w:val="1"/>
      <w:numFmt w:val="upp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6">
    <w:nsid w:val="6C083B8E"/>
    <w:multiLevelType w:val="hybridMultilevel"/>
    <w:tmpl w:val="EDA454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6C4137B0"/>
    <w:multiLevelType w:val="hybridMultilevel"/>
    <w:tmpl w:val="E946D16A"/>
    <w:lvl w:ilvl="0" w:tplc="C9984A3A">
      <w:start w:val="1"/>
      <w:numFmt w:val="lowerRoman"/>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8">
    <w:nsid w:val="6F9F6366"/>
    <w:multiLevelType w:val="hybridMultilevel"/>
    <w:tmpl w:val="29F4E16A"/>
    <w:lvl w:ilvl="0" w:tplc="040A0011">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9">
    <w:nsid w:val="7143604B"/>
    <w:multiLevelType w:val="hybridMultilevel"/>
    <w:tmpl w:val="0700D7C4"/>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0">
    <w:nsid w:val="71922EDA"/>
    <w:multiLevelType w:val="hybridMultilevel"/>
    <w:tmpl w:val="259C1364"/>
    <w:lvl w:ilvl="0" w:tplc="C9984A3A">
      <w:start w:val="1"/>
      <w:numFmt w:val="lowerRoman"/>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1">
    <w:nsid w:val="7A974A48"/>
    <w:multiLevelType w:val="hybridMultilevel"/>
    <w:tmpl w:val="64128960"/>
    <w:lvl w:ilvl="0" w:tplc="C9984A3A">
      <w:start w:val="1"/>
      <w:numFmt w:val="lowerRoman"/>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2">
    <w:nsid w:val="7D086342"/>
    <w:multiLevelType w:val="hybridMultilevel"/>
    <w:tmpl w:val="D166C97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7E915AB5"/>
    <w:multiLevelType w:val="hybridMultilevel"/>
    <w:tmpl w:val="577A7DDA"/>
    <w:lvl w:ilvl="0" w:tplc="040A0017">
      <w:start w:val="1"/>
      <w:numFmt w:val="lowerLetter"/>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num w:numId="1">
    <w:abstractNumId w:val="2"/>
  </w:num>
  <w:num w:numId="2">
    <w:abstractNumId w:val="10"/>
  </w:num>
  <w:num w:numId="3">
    <w:abstractNumId w:val="22"/>
  </w:num>
  <w:num w:numId="4">
    <w:abstractNumId w:val="4"/>
  </w:num>
  <w:num w:numId="5">
    <w:abstractNumId w:val="19"/>
  </w:num>
  <w:num w:numId="6">
    <w:abstractNumId w:val="3"/>
  </w:num>
  <w:num w:numId="7">
    <w:abstractNumId w:val="33"/>
  </w:num>
  <w:num w:numId="8">
    <w:abstractNumId w:val="9"/>
  </w:num>
  <w:num w:numId="9">
    <w:abstractNumId w:val="30"/>
  </w:num>
  <w:num w:numId="10">
    <w:abstractNumId w:val="11"/>
  </w:num>
  <w:num w:numId="11">
    <w:abstractNumId w:val="6"/>
  </w:num>
  <w:num w:numId="12">
    <w:abstractNumId w:val="29"/>
  </w:num>
  <w:num w:numId="13">
    <w:abstractNumId w:val="31"/>
  </w:num>
  <w:num w:numId="14">
    <w:abstractNumId w:val="18"/>
  </w:num>
  <w:num w:numId="15">
    <w:abstractNumId w:val="5"/>
  </w:num>
  <w:num w:numId="16">
    <w:abstractNumId w:val="17"/>
  </w:num>
  <w:num w:numId="17">
    <w:abstractNumId w:val="26"/>
  </w:num>
  <w:num w:numId="18">
    <w:abstractNumId w:val="15"/>
  </w:num>
  <w:num w:numId="19">
    <w:abstractNumId w:val="14"/>
  </w:num>
  <w:num w:numId="20">
    <w:abstractNumId w:val="16"/>
  </w:num>
  <w:num w:numId="21">
    <w:abstractNumId w:val="0"/>
  </w:num>
  <w:num w:numId="22">
    <w:abstractNumId w:val="25"/>
  </w:num>
  <w:num w:numId="23">
    <w:abstractNumId w:val="27"/>
  </w:num>
  <w:num w:numId="24">
    <w:abstractNumId w:val="13"/>
  </w:num>
  <w:num w:numId="25">
    <w:abstractNumId w:val="1"/>
  </w:num>
  <w:num w:numId="26">
    <w:abstractNumId w:val="12"/>
  </w:num>
  <w:num w:numId="27">
    <w:abstractNumId w:val="28"/>
  </w:num>
  <w:num w:numId="28">
    <w:abstractNumId w:val="8"/>
  </w:num>
  <w:num w:numId="29">
    <w:abstractNumId w:val="20"/>
  </w:num>
  <w:num w:numId="30">
    <w:abstractNumId w:val="23"/>
  </w:num>
  <w:num w:numId="31">
    <w:abstractNumId w:val="21"/>
  </w:num>
  <w:num w:numId="32">
    <w:abstractNumId w:val="32"/>
  </w:num>
  <w:num w:numId="33">
    <w:abstractNumId w:val="24"/>
  </w:num>
  <w:num w:numId="3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3E"/>
    <w:rsid w:val="000009E6"/>
    <w:rsid w:val="00000C92"/>
    <w:rsid w:val="00003568"/>
    <w:rsid w:val="00003575"/>
    <w:rsid w:val="000036DD"/>
    <w:rsid w:val="0000461B"/>
    <w:rsid w:val="00005472"/>
    <w:rsid w:val="00006C7F"/>
    <w:rsid w:val="000076B2"/>
    <w:rsid w:val="00007CE5"/>
    <w:rsid w:val="00010094"/>
    <w:rsid w:val="00010165"/>
    <w:rsid w:val="00010666"/>
    <w:rsid w:val="000124A0"/>
    <w:rsid w:val="000127F7"/>
    <w:rsid w:val="00013102"/>
    <w:rsid w:val="0001511B"/>
    <w:rsid w:val="00015791"/>
    <w:rsid w:val="00015822"/>
    <w:rsid w:val="00015BDD"/>
    <w:rsid w:val="00015DE6"/>
    <w:rsid w:val="00016CAF"/>
    <w:rsid w:val="00021BB8"/>
    <w:rsid w:val="00025118"/>
    <w:rsid w:val="00030857"/>
    <w:rsid w:val="000310E5"/>
    <w:rsid w:val="00031908"/>
    <w:rsid w:val="00031B04"/>
    <w:rsid w:val="00031FAD"/>
    <w:rsid w:val="000320E6"/>
    <w:rsid w:val="00032197"/>
    <w:rsid w:val="00034A36"/>
    <w:rsid w:val="00035EE1"/>
    <w:rsid w:val="00036564"/>
    <w:rsid w:val="00037240"/>
    <w:rsid w:val="00037876"/>
    <w:rsid w:val="00037EF2"/>
    <w:rsid w:val="00040773"/>
    <w:rsid w:val="000416FC"/>
    <w:rsid w:val="000424DD"/>
    <w:rsid w:val="000432B1"/>
    <w:rsid w:val="00043523"/>
    <w:rsid w:val="00043F56"/>
    <w:rsid w:val="00046157"/>
    <w:rsid w:val="00047EB5"/>
    <w:rsid w:val="000508A9"/>
    <w:rsid w:val="00051861"/>
    <w:rsid w:val="0005452A"/>
    <w:rsid w:val="00054A57"/>
    <w:rsid w:val="00056DA7"/>
    <w:rsid w:val="00060889"/>
    <w:rsid w:val="00060E44"/>
    <w:rsid w:val="00061A0D"/>
    <w:rsid w:val="00062828"/>
    <w:rsid w:val="00062EC4"/>
    <w:rsid w:val="00063F1F"/>
    <w:rsid w:val="00064B30"/>
    <w:rsid w:val="00065B1F"/>
    <w:rsid w:val="00066243"/>
    <w:rsid w:val="00066279"/>
    <w:rsid w:val="00066D36"/>
    <w:rsid w:val="00066E43"/>
    <w:rsid w:val="000715D1"/>
    <w:rsid w:val="0007168B"/>
    <w:rsid w:val="0007184A"/>
    <w:rsid w:val="00073E21"/>
    <w:rsid w:val="000741DB"/>
    <w:rsid w:val="0007450E"/>
    <w:rsid w:val="0007595E"/>
    <w:rsid w:val="0008188D"/>
    <w:rsid w:val="00081D85"/>
    <w:rsid w:val="00082E45"/>
    <w:rsid w:val="000846F3"/>
    <w:rsid w:val="0008582F"/>
    <w:rsid w:val="00086695"/>
    <w:rsid w:val="00086995"/>
    <w:rsid w:val="00086D49"/>
    <w:rsid w:val="00087352"/>
    <w:rsid w:val="00087D5E"/>
    <w:rsid w:val="00087E20"/>
    <w:rsid w:val="00090D38"/>
    <w:rsid w:val="0009148D"/>
    <w:rsid w:val="00091AFE"/>
    <w:rsid w:val="0009353B"/>
    <w:rsid w:val="00093D29"/>
    <w:rsid w:val="00094581"/>
    <w:rsid w:val="00094771"/>
    <w:rsid w:val="0009492F"/>
    <w:rsid w:val="00095133"/>
    <w:rsid w:val="000959B3"/>
    <w:rsid w:val="000A501A"/>
    <w:rsid w:val="000A6407"/>
    <w:rsid w:val="000B0FB0"/>
    <w:rsid w:val="000B2262"/>
    <w:rsid w:val="000B2856"/>
    <w:rsid w:val="000B2AE8"/>
    <w:rsid w:val="000B3DA8"/>
    <w:rsid w:val="000B4233"/>
    <w:rsid w:val="000B6947"/>
    <w:rsid w:val="000C00CB"/>
    <w:rsid w:val="000C1E3E"/>
    <w:rsid w:val="000C1E9B"/>
    <w:rsid w:val="000C2761"/>
    <w:rsid w:val="000C29D1"/>
    <w:rsid w:val="000C34C0"/>
    <w:rsid w:val="000C4CAF"/>
    <w:rsid w:val="000C5A0C"/>
    <w:rsid w:val="000C5E89"/>
    <w:rsid w:val="000C6AA7"/>
    <w:rsid w:val="000C7857"/>
    <w:rsid w:val="000D04E6"/>
    <w:rsid w:val="000D18BF"/>
    <w:rsid w:val="000D2B3A"/>
    <w:rsid w:val="000D345F"/>
    <w:rsid w:val="000D4CC4"/>
    <w:rsid w:val="000D5334"/>
    <w:rsid w:val="000D5C2D"/>
    <w:rsid w:val="000D5E90"/>
    <w:rsid w:val="000D7BA6"/>
    <w:rsid w:val="000E00DF"/>
    <w:rsid w:val="000E0310"/>
    <w:rsid w:val="000E1FC2"/>
    <w:rsid w:val="000F025A"/>
    <w:rsid w:val="000F0523"/>
    <w:rsid w:val="000F16AE"/>
    <w:rsid w:val="000F31DF"/>
    <w:rsid w:val="000F466F"/>
    <w:rsid w:val="000F726F"/>
    <w:rsid w:val="00100787"/>
    <w:rsid w:val="00102291"/>
    <w:rsid w:val="00105F87"/>
    <w:rsid w:val="00106CCA"/>
    <w:rsid w:val="00106CFF"/>
    <w:rsid w:val="0010794A"/>
    <w:rsid w:val="00110509"/>
    <w:rsid w:val="00110B99"/>
    <w:rsid w:val="00112A15"/>
    <w:rsid w:val="00113721"/>
    <w:rsid w:val="0011394A"/>
    <w:rsid w:val="00113E5E"/>
    <w:rsid w:val="00114FF1"/>
    <w:rsid w:val="0011565D"/>
    <w:rsid w:val="0011732D"/>
    <w:rsid w:val="00117ED5"/>
    <w:rsid w:val="0012002E"/>
    <w:rsid w:val="00120576"/>
    <w:rsid w:val="0012069A"/>
    <w:rsid w:val="00121272"/>
    <w:rsid w:val="00121B72"/>
    <w:rsid w:val="00121EB2"/>
    <w:rsid w:val="001229F6"/>
    <w:rsid w:val="00124EDA"/>
    <w:rsid w:val="0012564E"/>
    <w:rsid w:val="0012596D"/>
    <w:rsid w:val="00126051"/>
    <w:rsid w:val="00126452"/>
    <w:rsid w:val="00127212"/>
    <w:rsid w:val="001306D7"/>
    <w:rsid w:val="00131C4B"/>
    <w:rsid w:val="001325CA"/>
    <w:rsid w:val="00132BC6"/>
    <w:rsid w:val="00133A84"/>
    <w:rsid w:val="0013448B"/>
    <w:rsid w:val="00134EE9"/>
    <w:rsid w:val="00141E96"/>
    <w:rsid w:val="00143D40"/>
    <w:rsid w:val="00144404"/>
    <w:rsid w:val="00146119"/>
    <w:rsid w:val="00146771"/>
    <w:rsid w:val="0014777F"/>
    <w:rsid w:val="0015019F"/>
    <w:rsid w:val="0015084C"/>
    <w:rsid w:val="001516C1"/>
    <w:rsid w:val="001523E0"/>
    <w:rsid w:val="00152D9B"/>
    <w:rsid w:val="00153F1A"/>
    <w:rsid w:val="001556B1"/>
    <w:rsid w:val="00155DB3"/>
    <w:rsid w:val="001560C1"/>
    <w:rsid w:val="0015769E"/>
    <w:rsid w:val="00161AD9"/>
    <w:rsid w:val="001629FA"/>
    <w:rsid w:val="00162C12"/>
    <w:rsid w:val="00163165"/>
    <w:rsid w:val="00163B55"/>
    <w:rsid w:val="00164588"/>
    <w:rsid w:val="00164C78"/>
    <w:rsid w:val="00165764"/>
    <w:rsid w:val="00166AD5"/>
    <w:rsid w:val="00171CA5"/>
    <w:rsid w:val="00172732"/>
    <w:rsid w:val="0017450A"/>
    <w:rsid w:val="00174FD6"/>
    <w:rsid w:val="00176C02"/>
    <w:rsid w:val="00177621"/>
    <w:rsid w:val="00180519"/>
    <w:rsid w:val="00180EA4"/>
    <w:rsid w:val="001829DE"/>
    <w:rsid w:val="001834FA"/>
    <w:rsid w:val="00183D25"/>
    <w:rsid w:val="001857F4"/>
    <w:rsid w:val="00185E16"/>
    <w:rsid w:val="00186C1D"/>
    <w:rsid w:val="00187534"/>
    <w:rsid w:val="00187D1C"/>
    <w:rsid w:val="00190D7A"/>
    <w:rsid w:val="00191AC5"/>
    <w:rsid w:val="00192125"/>
    <w:rsid w:val="0019284E"/>
    <w:rsid w:val="0019364B"/>
    <w:rsid w:val="001944C7"/>
    <w:rsid w:val="001951C0"/>
    <w:rsid w:val="00195DB7"/>
    <w:rsid w:val="00196761"/>
    <w:rsid w:val="00196D91"/>
    <w:rsid w:val="00197062"/>
    <w:rsid w:val="001A1307"/>
    <w:rsid w:val="001A2693"/>
    <w:rsid w:val="001A276C"/>
    <w:rsid w:val="001A320F"/>
    <w:rsid w:val="001A508B"/>
    <w:rsid w:val="001A54DD"/>
    <w:rsid w:val="001A6BE2"/>
    <w:rsid w:val="001A73CC"/>
    <w:rsid w:val="001B1AB0"/>
    <w:rsid w:val="001B3183"/>
    <w:rsid w:val="001B4356"/>
    <w:rsid w:val="001B5ADC"/>
    <w:rsid w:val="001B6D52"/>
    <w:rsid w:val="001B6F3F"/>
    <w:rsid w:val="001B72F2"/>
    <w:rsid w:val="001B7576"/>
    <w:rsid w:val="001B7E51"/>
    <w:rsid w:val="001C0374"/>
    <w:rsid w:val="001C0A54"/>
    <w:rsid w:val="001C3974"/>
    <w:rsid w:val="001C3C5C"/>
    <w:rsid w:val="001C54D2"/>
    <w:rsid w:val="001C6965"/>
    <w:rsid w:val="001C6EC9"/>
    <w:rsid w:val="001C6ECA"/>
    <w:rsid w:val="001C779A"/>
    <w:rsid w:val="001D0136"/>
    <w:rsid w:val="001D195B"/>
    <w:rsid w:val="001D1E0D"/>
    <w:rsid w:val="001D1E8B"/>
    <w:rsid w:val="001E012D"/>
    <w:rsid w:val="001E0A3F"/>
    <w:rsid w:val="001E0D7C"/>
    <w:rsid w:val="001E0E7B"/>
    <w:rsid w:val="001E118B"/>
    <w:rsid w:val="001E6CC8"/>
    <w:rsid w:val="001E6E31"/>
    <w:rsid w:val="001F0D08"/>
    <w:rsid w:val="001F18D1"/>
    <w:rsid w:val="001F2528"/>
    <w:rsid w:val="001F380E"/>
    <w:rsid w:val="001F3E7B"/>
    <w:rsid w:val="001F4660"/>
    <w:rsid w:val="001F5DDE"/>
    <w:rsid w:val="001F77BD"/>
    <w:rsid w:val="00201DFD"/>
    <w:rsid w:val="00201FFA"/>
    <w:rsid w:val="00203041"/>
    <w:rsid w:val="00203F0E"/>
    <w:rsid w:val="00206B9F"/>
    <w:rsid w:val="002079CA"/>
    <w:rsid w:val="002079EB"/>
    <w:rsid w:val="002103D9"/>
    <w:rsid w:val="002109C0"/>
    <w:rsid w:val="0021141D"/>
    <w:rsid w:val="002147C5"/>
    <w:rsid w:val="00215746"/>
    <w:rsid w:val="002159F4"/>
    <w:rsid w:val="002172E7"/>
    <w:rsid w:val="0022275D"/>
    <w:rsid w:val="00222828"/>
    <w:rsid w:val="002228B8"/>
    <w:rsid w:val="00223645"/>
    <w:rsid w:val="00223EB1"/>
    <w:rsid w:val="00225084"/>
    <w:rsid w:val="002306C1"/>
    <w:rsid w:val="00231D01"/>
    <w:rsid w:val="00232C71"/>
    <w:rsid w:val="00233D41"/>
    <w:rsid w:val="00234177"/>
    <w:rsid w:val="0023606C"/>
    <w:rsid w:val="0023690A"/>
    <w:rsid w:val="00240D9B"/>
    <w:rsid w:val="00240DF7"/>
    <w:rsid w:val="00241320"/>
    <w:rsid w:val="0024165E"/>
    <w:rsid w:val="00241A8B"/>
    <w:rsid w:val="00244A27"/>
    <w:rsid w:val="002505C7"/>
    <w:rsid w:val="00250E78"/>
    <w:rsid w:val="0025155C"/>
    <w:rsid w:val="00252AF7"/>
    <w:rsid w:val="0025401D"/>
    <w:rsid w:val="00255245"/>
    <w:rsid w:val="00255CBD"/>
    <w:rsid w:val="00256FDE"/>
    <w:rsid w:val="00257E5C"/>
    <w:rsid w:val="00260168"/>
    <w:rsid w:val="00260500"/>
    <w:rsid w:val="002621EA"/>
    <w:rsid w:val="002630A8"/>
    <w:rsid w:val="00263513"/>
    <w:rsid w:val="00263524"/>
    <w:rsid w:val="00263FE5"/>
    <w:rsid w:val="002647DC"/>
    <w:rsid w:val="0026751F"/>
    <w:rsid w:val="00267BA7"/>
    <w:rsid w:val="00270586"/>
    <w:rsid w:val="00271FDF"/>
    <w:rsid w:val="00273D10"/>
    <w:rsid w:val="00273D72"/>
    <w:rsid w:val="002755C2"/>
    <w:rsid w:val="0027689C"/>
    <w:rsid w:val="002770C2"/>
    <w:rsid w:val="00277844"/>
    <w:rsid w:val="00281356"/>
    <w:rsid w:val="002819C1"/>
    <w:rsid w:val="0028329D"/>
    <w:rsid w:val="002855E7"/>
    <w:rsid w:val="002862E3"/>
    <w:rsid w:val="00286EB3"/>
    <w:rsid w:val="00287035"/>
    <w:rsid w:val="002879B3"/>
    <w:rsid w:val="00292657"/>
    <w:rsid w:val="00292991"/>
    <w:rsid w:val="00292FA1"/>
    <w:rsid w:val="0029506C"/>
    <w:rsid w:val="002A0229"/>
    <w:rsid w:val="002A16DE"/>
    <w:rsid w:val="002A2255"/>
    <w:rsid w:val="002A25B9"/>
    <w:rsid w:val="002A4181"/>
    <w:rsid w:val="002A6E83"/>
    <w:rsid w:val="002A6F45"/>
    <w:rsid w:val="002A7EFE"/>
    <w:rsid w:val="002B1005"/>
    <w:rsid w:val="002B15F1"/>
    <w:rsid w:val="002B17EA"/>
    <w:rsid w:val="002B1FAD"/>
    <w:rsid w:val="002B269D"/>
    <w:rsid w:val="002B33B0"/>
    <w:rsid w:val="002B3AD0"/>
    <w:rsid w:val="002B55B3"/>
    <w:rsid w:val="002B6D86"/>
    <w:rsid w:val="002B6EDF"/>
    <w:rsid w:val="002C25C9"/>
    <w:rsid w:val="002C30C9"/>
    <w:rsid w:val="002C7027"/>
    <w:rsid w:val="002C7C2B"/>
    <w:rsid w:val="002C7C91"/>
    <w:rsid w:val="002D2839"/>
    <w:rsid w:val="002D5707"/>
    <w:rsid w:val="002D712C"/>
    <w:rsid w:val="002E0A53"/>
    <w:rsid w:val="002E24D1"/>
    <w:rsid w:val="002E26B5"/>
    <w:rsid w:val="002E2FB8"/>
    <w:rsid w:val="002E36EB"/>
    <w:rsid w:val="002E41DE"/>
    <w:rsid w:val="002E4CD1"/>
    <w:rsid w:val="002E729C"/>
    <w:rsid w:val="002E7E3D"/>
    <w:rsid w:val="002F0092"/>
    <w:rsid w:val="002F0983"/>
    <w:rsid w:val="002F0EEC"/>
    <w:rsid w:val="002F2D40"/>
    <w:rsid w:val="002F3BDE"/>
    <w:rsid w:val="002F5693"/>
    <w:rsid w:val="002F6536"/>
    <w:rsid w:val="00302377"/>
    <w:rsid w:val="0030241F"/>
    <w:rsid w:val="00302B34"/>
    <w:rsid w:val="00302DCB"/>
    <w:rsid w:val="00304FAE"/>
    <w:rsid w:val="00305544"/>
    <w:rsid w:val="003062AE"/>
    <w:rsid w:val="003070F4"/>
    <w:rsid w:val="00311754"/>
    <w:rsid w:val="003118B0"/>
    <w:rsid w:val="003118CE"/>
    <w:rsid w:val="0031274D"/>
    <w:rsid w:val="00313890"/>
    <w:rsid w:val="00313B4B"/>
    <w:rsid w:val="0031570E"/>
    <w:rsid w:val="0031737A"/>
    <w:rsid w:val="003173C6"/>
    <w:rsid w:val="003222F1"/>
    <w:rsid w:val="003226A9"/>
    <w:rsid w:val="003229A4"/>
    <w:rsid w:val="003230B5"/>
    <w:rsid w:val="003234C3"/>
    <w:rsid w:val="00323BF6"/>
    <w:rsid w:val="00324CA0"/>
    <w:rsid w:val="00326D93"/>
    <w:rsid w:val="00327834"/>
    <w:rsid w:val="0032796E"/>
    <w:rsid w:val="00332582"/>
    <w:rsid w:val="003329DA"/>
    <w:rsid w:val="00332D9F"/>
    <w:rsid w:val="0033316B"/>
    <w:rsid w:val="00335483"/>
    <w:rsid w:val="003414CE"/>
    <w:rsid w:val="00341C9A"/>
    <w:rsid w:val="003423C7"/>
    <w:rsid w:val="00343764"/>
    <w:rsid w:val="0034751A"/>
    <w:rsid w:val="00347DC1"/>
    <w:rsid w:val="00347DFF"/>
    <w:rsid w:val="00350F8D"/>
    <w:rsid w:val="003521CD"/>
    <w:rsid w:val="00353394"/>
    <w:rsid w:val="00354470"/>
    <w:rsid w:val="0035462F"/>
    <w:rsid w:val="00356816"/>
    <w:rsid w:val="00361E29"/>
    <w:rsid w:val="0036450C"/>
    <w:rsid w:val="00366571"/>
    <w:rsid w:val="0037066A"/>
    <w:rsid w:val="00371AE9"/>
    <w:rsid w:val="00375D29"/>
    <w:rsid w:val="00375F5F"/>
    <w:rsid w:val="00376364"/>
    <w:rsid w:val="003763CC"/>
    <w:rsid w:val="003770F7"/>
    <w:rsid w:val="00377CEB"/>
    <w:rsid w:val="00377E65"/>
    <w:rsid w:val="00380560"/>
    <w:rsid w:val="00380CED"/>
    <w:rsid w:val="00381389"/>
    <w:rsid w:val="003813AD"/>
    <w:rsid w:val="003813DE"/>
    <w:rsid w:val="0038280A"/>
    <w:rsid w:val="00383092"/>
    <w:rsid w:val="00383164"/>
    <w:rsid w:val="003873A2"/>
    <w:rsid w:val="00391B46"/>
    <w:rsid w:val="0039230F"/>
    <w:rsid w:val="00392361"/>
    <w:rsid w:val="00394E0E"/>
    <w:rsid w:val="00395FFA"/>
    <w:rsid w:val="003973C4"/>
    <w:rsid w:val="00397A7B"/>
    <w:rsid w:val="00397B2B"/>
    <w:rsid w:val="00397B3B"/>
    <w:rsid w:val="003A035A"/>
    <w:rsid w:val="003A30E1"/>
    <w:rsid w:val="003A3B74"/>
    <w:rsid w:val="003A5A03"/>
    <w:rsid w:val="003A5FD0"/>
    <w:rsid w:val="003A600B"/>
    <w:rsid w:val="003A6627"/>
    <w:rsid w:val="003A6B0B"/>
    <w:rsid w:val="003B00A6"/>
    <w:rsid w:val="003B0106"/>
    <w:rsid w:val="003B1B25"/>
    <w:rsid w:val="003B5268"/>
    <w:rsid w:val="003B5945"/>
    <w:rsid w:val="003B6134"/>
    <w:rsid w:val="003B64C0"/>
    <w:rsid w:val="003B6E54"/>
    <w:rsid w:val="003B7D3E"/>
    <w:rsid w:val="003C16F9"/>
    <w:rsid w:val="003C50A1"/>
    <w:rsid w:val="003C5FCE"/>
    <w:rsid w:val="003C707F"/>
    <w:rsid w:val="003C7C7F"/>
    <w:rsid w:val="003C7EA3"/>
    <w:rsid w:val="003D02F9"/>
    <w:rsid w:val="003D1132"/>
    <w:rsid w:val="003D2A84"/>
    <w:rsid w:val="003D3AA6"/>
    <w:rsid w:val="003D3E84"/>
    <w:rsid w:val="003D4403"/>
    <w:rsid w:val="003D4F5B"/>
    <w:rsid w:val="003D565A"/>
    <w:rsid w:val="003D670C"/>
    <w:rsid w:val="003E0433"/>
    <w:rsid w:val="003E07D1"/>
    <w:rsid w:val="003E3B86"/>
    <w:rsid w:val="003E5C30"/>
    <w:rsid w:val="003E624F"/>
    <w:rsid w:val="003E6A23"/>
    <w:rsid w:val="003F222D"/>
    <w:rsid w:val="003F2ED4"/>
    <w:rsid w:val="003F4BFD"/>
    <w:rsid w:val="004004A3"/>
    <w:rsid w:val="0040092C"/>
    <w:rsid w:val="00400A6F"/>
    <w:rsid w:val="0040117E"/>
    <w:rsid w:val="00402FD6"/>
    <w:rsid w:val="004040FF"/>
    <w:rsid w:val="00404C4B"/>
    <w:rsid w:val="00405FC8"/>
    <w:rsid w:val="004063E5"/>
    <w:rsid w:val="004064C5"/>
    <w:rsid w:val="00406744"/>
    <w:rsid w:val="0040729A"/>
    <w:rsid w:val="0040769A"/>
    <w:rsid w:val="00410DA6"/>
    <w:rsid w:val="004131FC"/>
    <w:rsid w:val="00413CFC"/>
    <w:rsid w:val="00417581"/>
    <w:rsid w:val="00420C43"/>
    <w:rsid w:val="00421841"/>
    <w:rsid w:val="00421CF5"/>
    <w:rsid w:val="00423D6D"/>
    <w:rsid w:val="00423EA8"/>
    <w:rsid w:val="0042542D"/>
    <w:rsid w:val="00427C65"/>
    <w:rsid w:val="004323C1"/>
    <w:rsid w:val="0043276E"/>
    <w:rsid w:val="00434B08"/>
    <w:rsid w:val="004353F6"/>
    <w:rsid w:val="004379E7"/>
    <w:rsid w:val="00442360"/>
    <w:rsid w:val="00442DE5"/>
    <w:rsid w:val="00447A46"/>
    <w:rsid w:val="0045112D"/>
    <w:rsid w:val="00452F6A"/>
    <w:rsid w:val="00453EFD"/>
    <w:rsid w:val="00453F57"/>
    <w:rsid w:val="00453FFF"/>
    <w:rsid w:val="0045411D"/>
    <w:rsid w:val="00454B2D"/>
    <w:rsid w:val="00454EB7"/>
    <w:rsid w:val="00455687"/>
    <w:rsid w:val="00455BE0"/>
    <w:rsid w:val="00456271"/>
    <w:rsid w:val="00456941"/>
    <w:rsid w:val="00457AA7"/>
    <w:rsid w:val="00457B77"/>
    <w:rsid w:val="00460D57"/>
    <w:rsid w:val="00461AE2"/>
    <w:rsid w:val="00462120"/>
    <w:rsid w:val="00463148"/>
    <w:rsid w:val="0046320B"/>
    <w:rsid w:val="00463485"/>
    <w:rsid w:val="004637EE"/>
    <w:rsid w:val="00464684"/>
    <w:rsid w:val="004661A4"/>
    <w:rsid w:val="0046654D"/>
    <w:rsid w:val="004667F6"/>
    <w:rsid w:val="00466C46"/>
    <w:rsid w:val="00467854"/>
    <w:rsid w:val="004678CF"/>
    <w:rsid w:val="00472014"/>
    <w:rsid w:val="00473488"/>
    <w:rsid w:val="00473E8A"/>
    <w:rsid w:val="004760CE"/>
    <w:rsid w:val="0048025D"/>
    <w:rsid w:val="00490EC4"/>
    <w:rsid w:val="004918EB"/>
    <w:rsid w:val="00492F19"/>
    <w:rsid w:val="00497E13"/>
    <w:rsid w:val="004A278A"/>
    <w:rsid w:val="004A2928"/>
    <w:rsid w:val="004A2DFD"/>
    <w:rsid w:val="004A3B51"/>
    <w:rsid w:val="004A3EA4"/>
    <w:rsid w:val="004A4515"/>
    <w:rsid w:val="004A457D"/>
    <w:rsid w:val="004A4804"/>
    <w:rsid w:val="004A4DF2"/>
    <w:rsid w:val="004A61B9"/>
    <w:rsid w:val="004A6D3E"/>
    <w:rsid w:val="004A6EC7"/>
    <w:rsid w:val="004A7853"/>
    <w:rsid w:val="004B142B"/>
    <w:rsid w:val="004B14B7"/>
    <w:rsid w:val="004B1D9F"/>
    <w:rsid w:val="004B1E60"/>
    <w:rsid w:val="004B26E2"/>
    <w:rsid w:val="004B2B36"/>
    <w:rsid w:val="004B30D4"/>
    <w:rsid w:val="004B400A"/>
    <w:rsid w:val="004B4ABF"/>
    <w:rsid w:val="004B61B5"/>
    <w:rsid w:val="004B6428"/>
    <w:rsid w:val="004B6DF7"/>
    <w:rsid w:val="004B7624"/>
    <w:rsid w:val="004C09E7"/>
    <w:rsid w:val="004C10CE"/>
    <w:rsid w:val="004C1B5D"/>
    <w:rsid w:val="004C2048"/>
    <w:rsid w:val="004C4F93"/>
    <w:rsid w:val="004C5133"/>
    <w:rsid w:val="004C6C8A"/>
    <w:rsid w:val="004C6E4A"/>
    <w:rsid w:val="004D0062"/>
    <w:rsid w:val="004D0538"/>
    <w:rsid w:val="004D2758"/>
    <w:rsid w:val="004D412B"/>
    <w:rsid w:val="004D504A"/>
    <w:rsid w:val="004D6004"/>
    <w:rsid w:val="004E017B"/>
    <w:rsid w:val="004E0D2F"/>
    <w:rsid w:val="004E16F0"/>
    <w:rsid w:val="004E2132"/>
    <w:rsid w:val="004E32BC"/>
    <w:rsid w:val="004E37E9"/>
    <w:rsid w:val="004E463B"/>
    <w:rsid w:val="004E4B5E"/>
    <w:rsid w:val="004E55E7"/>
    <w:rsid w:val="004E663B"/>
    <w:rsid w:val="004E79EE"/>
    <w:rsid w:val="004E7B65"/>
    <w:rsid w:val="004F0976"/>
    <w:rsid w:val="004F11A4"/>
    <w:rsid w:val="004F1CD5"/>
    <w:rsid w:val="004F2A5D"/>
    <w:rsid w:val="004F3BA3"/>
    <w:rsid w:val="004F3FE4"/>
    <w:rsid w:val="004F4A63"/>
    <w:rsid w:val="004F588F"/>
    <w:rsid w:val="004F6A6E"/>
    <w:rsid w:val="004F6E5D"/>
    <w:rsid w:val="00500A59"/>
    <w:rsid w:val="005015A0"/>
    <w:rsid w:val="00501A15"/>
    <w:rsid w:val="0050264B"/>
    <w:rsid w:val="00502E50"/>
    <w:rsid w:val="00503775"/>
    <w:rsid w:val="0050597A"/>
    <w:rsid w:val="00506217"/>
    <w:rsid w:val="00506CA0"/>
    <w:rsid w:val="00510115"/>
    <w:rsid w:val="0051101A"/>
    <w:rsid w:val="00511439"/>
    <w:rsid w:val="0051281B"/>
    <w:rsid w:val="005177A1"/>
    <w:rsid w:val="005179BA"/>
    <w:rsid w:val="005203C6"/>
    <w:rsid w:val="00522208"/>
    <w:rsid w:val="005224F9"/>
    <w:rsid w:val="005228DF"/>
    <w:rsid w:val="00523DCC"/>
    <w:rsid w:val="0052662F"/>
    <w:rsid w:val="0053003A"/>
    <w:rsid w:val="005310C3"/>
    <w:rsid w:val="00534B2C"/>
    <w:rsid w:val="00536B13"/>
    <w:rsid w:val="00537C28"/>
    <w:rsid w:val="00537D4D"/>
    <w:rsid w:val="00541EF3"/>
    <w:rsid w:val="005445EF"/>
    <w:rsid w:val="0054464B"/>
    <w:rsid w:val="00544DF6"/>
    <w:rsid w:val="00545769"/>
    <w:rsid w:val="00546D25"/>
    <w:rsid w:val="00550C82"/>
    <w:rsid w:val="005514F8"/>
    <w:rsid w:val="0055219F"/>
    <w:rsid w:val="0055290B"/>
    <w:rsid w:val="00553D17"/>
    <w:rsid w:val="00555D8E"/>
    <w:rsid w:val="00556AE0"/>
    <w:rsid w:val="00557827"/>
    <w:rsid w:val="005602EE"/>
    <w:rsid w:val="00562D2A"/>
    <w:rsid w:val="00564231"/>
    <w:rsid w:val="005658E2"/>
    <w:rsid w:val="00565ABD"/>
    <w:rsid w:val="00565D8D"/>
    <w:rsid w:val="00571016"/>
    <w:rsid w:val="00574A1E"/>
    <w:rsid w:val="00574ECD"/>
    <w:rsid w:val="0057609B"/>
    <w:rsid w:val="00577123"/>
    <w:rsid w:val="00577E20"/>
    <w:rsid w:val="00580435"/>
    <w:rsid w:val="00583A8A"/>
    <w:rsid w:val="005840FC"/>
    <w:rsid w:val="00585155"/>
    <w:rsid w:val="00586FB1"/>
    <w:rsid w:val="0059013F"/>
    <w:rsid w:val="005903F2"/>
    <w:rsid w:val="00591BDD"/>
    <w:rsid w:val="005923E7"/>
    <w:rsid w:val="00593E37"/>
    <w:rsid w:val="0059530F"/>
    <w:rsid w:val="00596612"/>
    <w:rsid w:val="005A18A7"/>
    <w:rsid w:val="005A2347"/>
    <w:rsid w:val="005A32F7"/>
    <w:rsid w:val="005A354B"/>
    <w:rsid w:val="005A3C43"/>
    <w:rsid w:val="005A467A"/>
    <w:rsid w:val="005A5B7B"/>
    <w:rsid w:val="005A672B"/>
    <w:rsid w:val="005A75FA"/>
    <w:rsid w:val="005B001F"/>
    <w:rsid w:val="005B1E6D"/>
    <w:rsid w:val="005B26F7"/>
    <w:rsid w:val="005B34BB"/>
    <w:rsid w:val="005B3A71"/>
    <w:rsid w:val="005B4D04"/>
    <w:rsid w:val="005B7AEC"/>
    <w:rsid w:val="005C06FF"/>
    <w:rsid w:val="005C0765"/>
    <w:rsid w:val="005C277C"/>
    <w:rsid w:val="005C3878"/>
    <w:rsid w:val="005C42EC"/>
    <w:rsid w:val="005C53FD"/>
    <w:rsid w:val="005C579D"/>
    <w:rsid w:val="005C6707"/>
    <w:rsid w:val="005C68AC"/>
    <w:rsid w:val="005C7C3B"/>
    <w:rsid w:val="005D168A"/>
    <w:rsid w:val="005D2473"/>
    <w:rsid w:val="005D49CB"/>
    <w:rsid w:val="005D4A70"/>
    <w:rsid w:val="005D5E89"/>
    <w:rsid w:val="005D6A51"/>
    <w:rsid w:val="005E0BFF"/>
    <w:rsid w:val="005E212C"/>
    <w:rsid w:val="005E321B"/>
    <w:rsid w:val="005E3337"/>
    <w:rsid w:val="005E33E8"/>
    <w:rsid w:val="005E4D73"/>
    <w:rsid w:val="005E7E21"/>
    <w:rsid w:val="005F02A5"/>
    <w:rsid w:val="005F3D9D"/>
    <w:rsid w:val="005F4A36"/>
    <w:rsid w:val="005F5834"/>
    <w:rsid w:val="005F5A47"/>
    <w:rsid w:val="005F5CC4"/>
    <w:rsid w:val="005F615C"/>
    <w:rsid w:val="005F6C0D"/>
    <w:rsid w:val="005F73E6"/>
    <w:rsid w:val="005F7789"/>
    <w:rsid w:val="006012C3"/>
    <w:rsid w:val="00601F01"/>
    <w:rsid w:val="00602C3C"/>
    <w:rsid w:val="006038A3"/>
    <w:rsid w:val="006042C8"/>
    <w:rsid w:val="00604A4C"/>
    <w:rsid w:val="00607930"/>
    <w:rsid w:val="00607EE7"/>
    <w:rsid w:val="006101E8"/>
    <w:rsid w:val="006125F4"/>
    <w:rsid w:val="00615710"/>
    <w:rsid w:val="006178E1"/>
    <w:rsid w:val="006203BB"/>
    <w:rsid w:val="006212C0"/>
    <w:rsid w:val="00621ABE"/>
    <w:rsid w:val="00622076"/>
    <w:rsid w:val="0062286D"/>
    <w:rsid w:val="006233E7"/>
    <w:rsid w:val="00623719"/>
    <w:rsid w:val="00627AA0"/>
    <w:rsid w:val="0063001A"/>
    <w:rsid w:val="0063010D"/>
    <w:rsid w:val="0063027F"/>
    <w:rsid w:val="00630600"/>
    <w:rsid w:val="00631CB7"/>
    <w:rsid w:val="00632319"/>
    <w:rsid w:val="00632BE6"/>
    <w:rsid w:val="00633071"/>
    <w:rsid w:val="006345C1"/>
    <w:rsid w:val="006346CA"/>
    <w:rsid w:val="006355EC"/>
    <w:rsid w:val="0063667E"/>
    <w:rsid w:val="00636BE6"/>
    <w:rsid w:val="00637108"/>
    <w:rsid w:val="00637123"/>
    <w:rsid w:val="0064001A"/>
    <w:rsid w:val="00641A92"/>
    <w:rsid w:val="00642327"/>
    <w:rsid w:val="006449B9"/>
    <w:rsid w:val="00644FA5"/>
    <w:rsid w:val="00645068"/>
    <w:rsid w:val="00645666"/>
    <w:rsid w:val="006456D7"/>
    <w:rsid w:val="00645929"/>
    <w:rsid w:val="00645D37"/>
    <w:rsid w:val="006466DD"/>
    <w:rsid w:val="006467AF"/>
    <w:rsid w:val="00646B0B"/>
    <w:rsid w:val="006472F5"/>
    <w:rsid w:val="00647B00"/>
    <w:rsid w:val="00650A34"/>
    <w:rsid w:val="0065365A"/>
    <w:rsid w:val="00654801"/>
    <w:rsid w:val="006558E9"/>
    <w:rsid w:val="00655F5F"/>
    <w:rsid w:val="00655F81"/>
    <w:rsid w:val="006568A6"/>
    <w:rsid w:val="00657766"/>
    <w:rsid w:val="0066049C"/>
    <w:rsid w:val="00661762"/>
    <w:rsid w:val="00661C6E"/>
    <w:rsid w:val="0066639F"/>
    <w:rsid w:val="00667CB3"/>
    <w:rsid w:val="00671923"/>
    <w:rsid w:val="00674CB2"/>
    <w:rsid w:val="00675BB7"/>
    <w:rsid w:val="006777DB"/>
    <w:rsid w:val="00680119"/>
    <w:rsid w:val="0068043E"/>
    <w:rsid w:val="00680A85"/>
    <w:rsid w:val="006828FA"/>
    <w:rsid w:val="00684B1D"/>
    <w:rsid w:val="006855BF"/>
    <w:rsid w:val="00685C70"/>
    <w:rsid w:val="00686C33"/>
    <w:rsid w:val="0069124F"/>
    <w:rsid w:val="006912A2"/>
    <w:rsid w:val="00693437"/>
    <w:rsid w:val="006943FF"/>
    <w:rsid w:val="0069492F"/>
    <w:rsid w:val="00695547"/>
    <w:rsid w:val="00695A8D"/>
    <w:rsid w:val="006973CD"/>
    <w:rsid w:val="006A009D"/>
    <w:rsid w:val="006A0167"/>
    <w:rsid w:val="006A0CD9"/>
    <w:rsid w:val="006A11AB"/>
    <w:rsid w:val="006A4D22"/>
    <w:rsid w:val="006A4EB6"/>
    <w:rsid w:val="006A7D97"/>
    <w:rsid w:val="006B2949"/>
    <w:rsid w:val="006B297C"/>
    <w:rsid w:val="006B38C6"/>
    <w:rsid w:val="006B3A6E"/>
    <w:rsid w:val="006B3B39"/>
    <w:rsid w:val="006B3D87"/>
    <w:rsid w:val="006B4D44"/>
    <w:rsid w:val="006B5EBA"/>
    <w:rsid w:val="006B6426"/>
    <w:rsid w:val="006B71B4"/>
    <w:rsid w:val="006B7CB0"/>
    <w:rsid w:val="006C062B"/>
    <w:rsid w:val="006C1F88"/>
    <w:rsid w:val="006C1FA3"/>
    <w:rsid w:val="006C2E1E"/>
    <w:rsid w:val="006C4175"/>
    <w:rsid w:val="006C665B"/>
    <w:rsid w:val="006C6A51"/>
    <w:rsid w:val="006C7C49"/>
    <w:rsid w:val="006C7F98"/>
    <w:rsid w:val="006C7FF9"/>
    <w:rsid w:val="006D01A8"/>
    <w:rsid w:val="006D15CF"/>
    <w:rsid w:val="006D1D0A"/>
    <w:rsid w:val="006D1D65"/>
    <w:rsid w:val="006D226E"/>
    <w:rsid w:val="006D3323"/>
    <w:rsid w:val="006D3B14"/>
    <w:rsid w:val="006D42F9"/>
    <w:rsid w:val="006D5452"/>
    <w:rsid w:val="006D5A02"/>
    <w:rsid w:val="006D63BC"/>
    <w:rsid w:val="006D7837"/>
    <w:rsid w:val="006E17CD"/>
    <w:rsid w:val="006E1E88"/>
    <w:rsid w:val="006E2232"/>
    <w:rsid w:val="006E4CD5"/>
    <w:rsid w:val="006E6748"/>
    <w:rsid w:val="006E6AC8"/>
    <w:rsid w:val="006E6E5B"/>
    <w:rsid w:val="006E7E32"/>
    <w:rsid w:val="006F0091"/>
    <w:rsid w:val="006F1DC4"/>
    <w:rsid w:val="006F2E0C"/>
    <w:rsid w:val="006F4620"/>
    <w:rsid w:val="006F4C96"/>
    <w:rsid w:val="006F5B0D"/>
    <w:rsid w:val="006F65C8"/>
    <w:rsid w:val="006F76B3"/>
    <w:rsid w:val="006F7827"/>
    <w:rsid w:val="006F791D"/>
    <w:rsid w:val="0070037A"/>
    <w:rsid w:val="00700945"/>
    <w:rsid w:val="00701332"/>
    <w:rsid w:val="00701492"/>
    <w:rsid w:val="0070188E"/>
    <w:rsid w:val="00701D0A"/>
    <w:rsid w:val="0070460C"/>
    <w:rsid w:val="007059DC"/>
    <w:rsid w:val="0070605D"/>
    <w:rsid w:val="007062C4"/>
    <w:rsid w:val="00710413"/>
    <w:rsid w:val="0071109D"/>
    <w:rsid w:val="007120DB"/>
    <w:rsid w:val="007173F5"/>
    <w:rsid w:val="00721711"/>
    <w:rsid w:val="00721AAD"/>
    <w:rsid w:val="007227B9"/>
    <w:rsid w:val="0072431A"/>
    <w:rsid w:val="00724440"/>
    <w:rsid w:val="007300ED"/>
    <w:rsid w:val="00730CA6"/>
    <w:rsid w:val="00731148"/>
    <w:rsid w:val="007317AB"/>
    <w:rsid w:val="00732709"/>
    <w:rsid w:val="007333B4"/>
    <w:rsid w:val="00734038"/>
    <w:rsid w:val="00734632"/>
    <w:rsid w:val="007348FC"/>
    <w:rsid w:val="00734D14"/>
    <w:rsid w:val="007359D0"/>
    <w:rsid w:val="00737070"/>
    <w:rsid w:val="007423F9"/>
    <w:rsid w:val="00744D07"/>
    <w:rsid w:val="00746073"/>
    <w:rsid w:val="007470A0"/>
    <w:rsid w:val="00747A41"/>
    <w:rsid w:val="00750F79"/>
    <w:rsid w:val="00751235"/>
    <w:rsid w:val="00752746"/>
    <w:rsid w:val="00752AC2"/>
    <w:rsid w:val="00753262"/>
    <w:rsid w:val="00753BCA"/>
    <w:rsid w:val="00755DFC"/>
    <w:rsid w:val="007561B6"/>
    <w:rsid w:val="0075654F"/>
    <w:rsid w:val="00757A2C"/>
    <w:rsid w:val="00757AAA"/>
    <w:rsid w:val="00757F41"/>
    <w:rsid w:val="007609EA"/>
    <w:rsid w:val="00761C21"/>
    <w:rsid w:val="007624B0"/>
    <w:rsid w:val="0076359A"/>
    <w:rsid w:val="007635A0"/>
    <w:rsid w:val="007649E6"/>
    <w:rsid w:val="0076635C"/>
    <w:rsid w:val="007663E9"/>
    <w:rsid w:val="00767292"/>
    <w:rsid w:val="0077107D"/>
    <w:rsid w:val="00771F97"/>
    <w:rsid w:val="007730EC"/>
    <w:rsid w:val="00773745"/>
    <w:rsid w:val="0077378F"/>
    <w:rsid w:val="007744F7"/>
    <w:rsid w:val="00774815"/>
    <w:rsid w:val="00774A63"/>
    <w:rsid w:val="00774AE3"/>
    <w:rsid w:val="00776148"/>
    <w:rsid w:val="00776401"/>
    <w:rsid w:val="00781523"/>
    <w:rsid w:val="007820D6"/>
    <w:rsid w:val="00783DA6"/>
    <w:rsid w:val="00783EBF"/>
    <w:rsid w:val="0078442C"/>
    <w:rsid w:val="00786191"/>
    <w:rsid w:val="00786858"/>
    <w:rsid w:val="00786989"/>
    <w:rsid w:val="00786BD4"/>
    <w:rsid w:val="00787331"/>
    <w:rsid w:val="0079056D"/>
    <w:rsid w:val="00790DA7"/>
    <w:rsid w:val="007913AF"/>
    <w:rsid w:val="007926F7"/>
    <w:rsid w:val="0079426F"/>
    <w:rsid w:val="0079480C"/>
    <w:rsid w:val="00794FC0"/>
    <w:rsid w:val="00795B56"/>
    <w:rsid w:val="00795CD2"/>
    <w:rsid w:val="00795D5F"/>
    <w:rsid w:val="007A05BE"/>
    <w:rsid w:val="007A0694"/>
    <w:rsid w:val="007A310B"/>
    <w:rsid w:val="007A3D01"/>
    <w:rsid w:val="007A481B"/>
    <w:rsid w:val="007A672A"/>
    <w:rsid w:val="007A6E23"/>
    <w:rsid w:val="007A6E48"/>
    <w:rsid w:val="007A6FD5"/>
    <w:rsid w:val="007A7CA6"/>
    <w:rsid w:val="007B2A01"/>
    <w:rsid w:val="007B2D43"/>
    <w:rsid w:val="007B3CF8"/>
    <w:rsid w:val="007B46DA"/>
    <w:rsid w:val="007B476D"/>
    <w:rsid w:val="007B70A8"/>
    <w:rsid w:val="007B7E6D"/>
    <w:rsid w:val="007C265A"/>
    <w:rsid w:val="007C3706"/>
    <w:rsid w:val="007C392A"/>
    <w:rsid w:val="007C3FD2"/>
    <w:rsid w:val="007C51E3"/>
    <w:rsid w:val="007C7060"/>
    <w:rsid w:val="007D04FE"/>
    <w:rsid w:val="007D0E93"/>
    <w:rsid w:val="007D11F3"/>
    <w:rsid w:val="007D12C6"/>
    <w:rsid w:val="007D2DF6"/>
    <w:rsid w:val="007D30A1"/>
    <w:rsid w:val="007D3AC7"/>
    <w:rsid w:val="007D4344"/>
    <w:rsid w:val="007D5325"/>
    <w:rsid w:val="007D589D"/>
    <w:rsid w:val="007D5B2F"/>
    <w:rsid w:val="007E0B8C"/>
    <w:rsid w:val="007E0F20"/>
    <w:rsid w:val="007E1A6C"/>
    <w:rsid w:val="007E3D05"/>
    <w:rsid w:val="007E5230"/>
    <w:rsid w:val="007E5BD1"/>
    <w:rsid w:val="007E5F5D"/>
    <w:rsid w:val="007E630E"/>
    <w:rsid w:val="007E647B"/>
    <w:rsid w:val="007E6E8A"/>
    <w:rsid w:val="007F1B27"/>
    <w:rsid w:val="007F2CEE"/>
    <w:rsid w:val="007F2FA5"/>
    <w:rsid w:val="007F300C"/>
    <w:rsid w:val="007F40FA"/>
    <w:rsid w:val="007F4343"/>
    <w:rsid w:val="007F73BD"/>
    <w:rsid w:val="007F7BB5"/>
    <w:rsid w:val="00802004"/>
    <w:rsid w:val="00803508"/>
    <w:rsid w:val="00804351"/>
    <w:rsid w:val="00804535"/>
    <w:rsid w:val="008061CB"/>
    <w:rsid w:val="008101CB"/>
    <w:rsid w:val="008119A8"/>
    <w:rsid w:val="00811AB1"/>
    <w:rsid w:val="00811D9D"/>
    <w:rsid w:val="0081249E"/>
    <w:rsid w:val="0081253A"/>
    <w:rsid w:val="00812C06"/>
    <w:rsid w:val="00813900"/>
    <w:rsid w:val="008140BE"/>
    <w:rsid w:val="008163FC"/>
    <w:rsid w:val="00820C53"/>
    <w:rsid w:val="00820DE2"/>
    <w:rsid w:val="00824896"/>
    <w:rsid w:val="00824BC5"/>
    <w:rsid w:val="00824CFF"/>
    <w:rsid w:val="00824EE2"/>
    <w:rsid w:val="008279FD"/>
    <w:rsid w:val="008329EF"/>
    <w:rsid w:val="00833036"/>
    <w:rsid w:val="00833634"/>
    <w:rsid w:val="008341B1"/>
    <w:rsid w:val="0083473D"/>
    <w:rsid w:val="00834891"/>
    <w:rsid w:val="008356B8"/>
    <w:rsid w:val="008361A3"/>
    <w:rsid w:val="008427D1"/>
    <w:rsid w:val="0084290E"/>
    <w:rsid w:val="00842E5E"/>
    <w:rsid w:val="0084304F"/>
    <w:rsid w:val="00843459"/>
    <w:rsid w:val="00843527"/>
    <w:rsid w:val="0084729A"/>
    <w:rsid w:val="00850F11"/>
    <w:rsid w:val="008515B3"/>
    <w:rsid w:val="0085160F"/>
    <w:rsid w:val="00852082"/>
    <w:rsid w:val="00853F7A"/>
    <w:rsid w:val="00854936"/>
    <w:rsid w:val="00855D69"/>
    <w:rsid w:val="00855F60"/>
    <w:rsid w:val="0085600D"/>
    <w:rsid w:val="00856B1B"/>
    <w:rsid w:val="00857C02"/>
    <w:rsid w:val="00860600"/>
    <w:rsid w:val="0086079C"/>
    <w:rsid w:val="00861361"/>
    <w:rsid w:val="00863653"/>
    <w:rsid w:val="00864225"/>
    <w:rsid w:val="008657EC"/>
    <w:rsid w:val="00866D29"/>
    <w:rsid w:val="0086731F"/>
    <w:rsid w:val="00867BA8"/>
    <w:rsid w:val="00871E15"/>
    <w:rsid w:val="00871E19"/>
    <w:rsid w:val="00871E67"/>
    <w:rsid w:val="0087271E"/>
    <w:rsid w:val="00872D00"/>
    <w:rsid w:val="00874B54"/>
    <w:rsid w:val="00880F31"/>
    <w:rsid w:val="00881699"/>
    <w:rsid w:val="008816CF"/>
    <w:rsid w:val="00881E5A"/>
    <w:rsid w:val="0088303C"/>
    <w:rsid w:val="00885699"/>
    <w:rsid w:val="00885F55"/>
    <w:rsid w:val="00886573"/>
    <w:rsid w:val="00886901"/>
    <w:rsid w:val="00886950"/>
    <w:rsid w:val="00887F0F"/>
    <w:rsid w:val="00887FD7"/>
    <w:rsid w:val="00890B1D"/>
    <w:rsid w:val="008914F6"/>
    <w:rsid w:val="008915C0"/>
    <w:rsid w:val="00891757"/>
    <w:rsid w:val="00893062"/>
    <w:rsid w:val="00893343"/>
    <w:rsid w:val="008938A0"/>
    <w:rsid w:val="00894284"/>
    <w:rsid w:val="0089475F"/>
    <w:rsid w:val="00896EB3"/>
    <w:rsid w:val="00897E86"/>
    <w:rsid w:val="008A1659"/>
    <w:rsid w:val="008A3EEE"/>
    <w:rsid w:val="008A4A6D"/>
    <w:rsid w:val="008A6921"/>
    <w:rsid w:val="008B1182"/>
    <w:rsid w:val="008B1C52"/>
    <w:rsid w:val="008B1DE9"/>
    <w:rsid w:val="008B2D3A"/>
    <w:rsid w:val="008B4C8F"/>
    <w:rsid w:val="008B6013"/>
    <w:rsid w:val="008B6427"/>
    <w:rsid w:val="008B64F5"/>
    <w:rsid w:val="008C0ABA"/>
    <w:rsid w:val="008C0E8B"/>
    <w:rsid w:val="008C3B32"/>
    <w:rsid w:val="008C458E"/>
    <w:rsid w:val="008C4643"/>
    <w:rsid w:val="008C5C23"/>
    <w:rsid w:val="008D040D"/>
    <w:rsid w:val="008D0523"/>
    <w:rsid w:val="008D0A05"/>
    <w:rsid w:val="008D0D06"/>
    <w:rsid w:val="008D0E43"/>
    <w:rsid w:val="008D1362"/>
    <w:rsid w:val="008D19A7"/>
    <w:rsid w:val="008D3735"/>
    <w:rsid w:val="008D481E"/>
    <w:rsid w:val="008D4978"/>
    <w:rsid w:val="008E0780"/>
    <w:rsid w:val="008E0DE9"/>
    <w:rsid w:val="008E4516"/>
    <w:rsid w:val="008F26FF"/>
    <w:rsid w:val="008F2B18"/>
    <w:rsid w:val="008F2F97"/>
    <w:rsid w:val="008F3832"/>
    <w:rsid w:val="008F59D0"/>
    <w:rsid w:val="008F7910"/>
    <w:rsid w:val="009005CE"/>
    <w:rsid w:val="00900C2D"/>
    <w:rsid w:val="0090354B"/>
    <w:rsid w:val="0090445D"/>
    <w:rsid w:val="00904978"/>
    <w:rsid w:val="009058EC"/>
    <w:rsid w:val="009074CB"/>
    <w:rsid w:val="00910113"/>
    <w:rsid w:val="00911C86"/>
    <w:rsid w:val="00912166"/>
    <w:rsid w:val="00912C6D"/>
    <w:rsid w:val="0091420B"/>
    <w:rsid w:val="009147C3"/>
    <w:rsid w:val="00914865"/>
    <w:rsid w:val="00915989"/>
    <w:rsid w:val="009178C6"/>
    <w:rsid w:val="009218F7"/>
    <w:rsid w:val="0092582C"/>
    <w:rsid w:val="00925CE7"/>
    <w:rsid w:val="00926983"/>
    <w:rsid w:val="00927DA6"/>
    <w:rsid w:val="00932E1D"/>
    <w:rsid w:val="0093547B"/>
    <w:rsid w:val="0093573C"/>
    <w:rsid w:val="009360F2"/>
    <w:rsid w:val="009366FC"/>
    <w:rsid w:val="009368C9"/>
    <w:rsid w:val="00936BC6"/>
    <w:rsid w:val="00940957"/>
    <w:rsid w:val="00940A8F"/>
    <w:rsid w:val="009416D3"/>
    <w:rsid w:val="009418A2"/>
    <w:rsid w:val="00942908"/>
    <w:rsid w:val="00942B56"/>
    <w:rsid w:val="009456D5"/>
    <w:rsid w:val="00945935"/>
    <w:rsid w:val="00945C72"/>
    <w:rsid w:val="009468D8"/>
    <w:rsid w:val="00946C36"/>
    <w:rsid w:val="00946F69"/>
    <w:rsid w:val="009512EF"/>
    <w:rsid w:val="00951F2B"/>
    <w:rsid w:val="009543DA"/>
    <w:rsid w:val="009558BC"/>
    <w:rsid w:val="009564FD"/>
    <w:rsid w:val="00957666"/>
    <w:rsid w:val="00957E7D"/>
    <w:rsid w:val="00960785"/>
    <w:rsid w:val="00960839"/>
    <w:rsid w:val="00960E73"/>
    <w:rsid w:val="00962DDA"/>
    <w:rsid w:val="00963AAF"/>
    <w:rsid w:val="00963B8F"/>
    <w:rsid w:val="009645F3"/>
    <w:rsid w:val="00964840"/>
    <w:rsid w:val="009654AF"/>
    <w:rsid w:val="009664DA"/>
    <w:rsid w:val="00966E3D"/>
    <w:rsid w:val="00967DDE"/>
    <w:rsid w:val="00967FF5"/>
    <w:rsid w:val="009705EF"/>
    <w:rsid w:val="0097083D"/>
    <w:rsid w:val="009716B9"/>
    <w:rsid w:val="00973DB3"/>
    <w:rsid w:val="009748A1"/>
    <w:rsid w:val="0097492A"/>
    <w:rsid w:val="00974F11"/>
    <w:rsid w:val="00975978"/>
    <w:rsid w:val="0098127E"/>
    <w:rsid w:val="0098161E"/>
    <w:rsid w:val="00983279"/>
    <w:rsid w:val="0098564A"/>
    <w:rsid w:val="0098693D"/>
    <w:rsid w:val="00986D76"/>
    <w:rsid w:val="009870B4"/>
    <w:rsid w:val="00987271"/>
    <w:rsid w:val="00993C78"/>
    <w:rsid w:val="009950CE"/>
    <w:rsid w:val="009968DF"/>
    <w:rsid w:val="009A02DA"/>
    <w:rsid w:val="009A2A94"/>
    <w:rsid w:val="009A2F2B"/>
    <w:rsid w:val="009A430D"/>
    <w:rsid w:val="009A5E73"/>
    <w:rsid w:val="009A623B"/>
    <w:rsid w:val="009A7019"/>
    <w:rsid w:val="009A7F8D"/>
    <w:rsid w:val="009B0754"/>
    <w:rsid w:val="009B11B3"/>
    <w:rsid w:val="009B1420"/>
    <w:rsid w:val="009B1FEC"/>
    <w:rsid w:val="009B2DA8"/>
    <w:rsid w:val="009B71AE"/>
    <w:rsid w:val="009C240C"/>
    <w:rsid w:val="009C25DE"/>
    <w:rsid w:val="009C3513"/>
    <w:rsid w:val="009C513A"/>
    <w:rsid w:val="009C73B0"/>
    <w:rsid w:val="009D25F1"/>
    <w:rsid w:val="009D2799"/>
    <w:rsid w:val="009D3250"/>
    <w:rsid w:val="009D3872"/>
    <w:rsid w:val="009D45E3"/>
    <w:rsid w:val="009D6F1C"/>
    <w:rsid w:val="009D7833"/>
    <w:rsid w:val="009E2239"/>
    <w:rsid w:val="009E2314"/>
    <w:rsid w:val="009E2368"/>
    <w:rsid w:val="009E3B3E"/>
    <w:rsid w:val="009E4106"/>
    <w:rsid w:val="009E4DFB"/>
    <w:rsid w:val="009E681C"/>
    <w:rsid w:val="009F0272"/>
    <w:rsid w:val="009F5639"/>
    <w:rsid w:val="009F6920"/>
    <w:rsid w:val="009F7A0E"/>
    <w:rsid w:val="00A00514"/>
    <w:rsid w:val="00A01603"/>
    <w:rsid w:val="00A02BDE"/>
    <w:rsid w:val="00A02F8D"/>
    <w:rsid w:val="00A04F12"/>
    <w:rsid w:val="00A064E9"/>
    <w:rsid w:val="00A06783"/>
    <w:rsid w:val="00A10EE9"/>
    <w:rsid w:val="00A112D1"/>
    <w:rsid w:val="00A1215E"/>
    <w:rsid w:val="00A128C0"/>
    <w:rsid w:val="00A136B8"/>
    <w:rsid w:val="00A14C17"/>
    <w:rsid w:val="00A157B4"/>
    <w:rsid w:val="00A1699A"/>
    <w:rsid w:val="00A174D7"/>
    <w:rsid w:val="00A21749"/>
    <w:rsid w:val="00A22369"/>
    <w:rsid w:val="00A23A50"/>
    <w:rsid w:val="00A23C56"/>
    <w:rsid w:val="00A2503C"/>
    <w:rsid w:val="00A257DE"/>
    <w:rsid w:val="00A264B1"/>
    <w:rsid w:val="00A2684E"/>
    <w:rsid w:val="00A30393"/>
    <w:rsid w:val="00A30615"/>
    <w:rsid w:val="00A31530"/>
    <w:rsid w:val="00A31BBF"/>
    <w:rsid w:val="00A34070"/>
    <w:rsid w:val="00A34589"/>
    <w:rsid w:val="00A35CF3"/>
    <w:rsid w:val="00A36745"/>
    <w:rsid w:val="00A37657"/>
    <w:rsid w:val="00A41208"/>
    <w:rsid w:val="00A413E4"/>
    <w:rsid w:val="00A44F1C"/>
    <w:rsid w:val="00A478B8"/>
    <w:rsid w:val="00A50997"/>
    <w:rsid w:val="00A50E0F"/>
    <w:rsid w:val="00A540C4"/>
    <w:rsid w:val="00A54150"/>
    <w:rsid w:val="00A55A0F"/>
    <w:rsid w:val="00A55F85"/>
    <w:rsid w:val="00A569A9"/>
    <w:rsid w:val="00A607BD"/>
    <w:rsid w:val="00A61063"/>
    <w:rsid w:val="00A61A2C"/>
    <w:rsid w:val="00A61D65"/>
    <w:rsid w:val="00A62EA0"/>
    <w:rsid w:val="00A6301A"/>
    <w:rsid w:val="00A6381B"/>
    <w:rsid w:val="00A65A1E"/>
    <w:rsid w:val="00A66819"/>
    <w:rsid w:val="00A70C66"/>
    <w:rsid w:val="00A7167A"/>
    <w:rsid w:val="00A72082"/>
    <w:rsid w:val="00A72B12"/>
    <w:rsid w:val="00A75536"/>
    <w:rsid w:val="00A75614"/>
    <w:rsid w:val="00A75C2A"/>
    <w:rsid w:val="00A765C9"/>
    <w:rsid w:val="00A767EB"/>
    <w:rsid w:val="00A77521"/>
    <w:rsid w:val="00A807F3"/>
    <w:rsid w:val="00A81B30"/>
    <w:rsid w:val="00A81DD6"/>
    <w:rsid w:val="00A84B06"/>
    <w:rsid w:val="00A84DD1"/>
    <w:rsid w:val="00A86728"/>
    <w:rsid w:val="00A87418"/>
    <w:rsid w:val="00A87548"/>
    <w:rsid w:val="00A9067F"/>
    <w:rsid w:val="00A91159"/>
    <w:rsid w:val="00A92F61"/>
    <w:rsid w:val="00A95A03"/>
    <w:rsid w:val="00A95F4A"/>
    <w:rsid w:val="00AA00A8"/>
    <w:rsid w:val="00AA2F7A"/>
    <w:rsid w:val="00AA3DF6"/>
    <w:rsid w:val="00AA575F"/>
    <w:rsid w:val="00AA5D17"/>
    <w:rsid w:val="00AA5F22"/>
    <w:rsid w:val="00AA6C49"/>
    <w:rsid w:val="00AA71CE"/>
    <w:rsid w:val="00AA7355"/>
    <w:rsid w:val="00AA7993"/>
    <w:rsid w:val="00AA7FCD"/>
    <w:rsid w:val="00AB0BD7"/>
    <w:rsid w:val="00AB2010"/>
    <w:rsid w:val="00AB2154"/>
    <w:rsid w:val="00AB240C"/>
    <w:rsid w:val="00AB4720"/>
    <w:rsid w:val="00AB4BDC"/>
    <w:rsid w:val="00AB4EF8"/>
    <w:rsid w:val="00AB568E"/>
    <w:rsid w:val="00AB6010"/>
    <w:rsid w:val="00AB78BC"/>
    <w:rsid w:val="00AC0259"/>
    <w:rsid w:val="00AC1B48"/>
    <w:rsid w:val="00AC2865"/>
    <w:rsid w:val="00AC3987"/>
    <w:rsid w:val="00AC3CE5"/>
    <w:rsid w:val="00AC4A71"/>
    <w:rsid w:val="00AC5727"/>
    <w:rsid w:val="00AC6E91"/>
    <w:rsid w:val="00AC7CA0"/>
    <w:rsid w:val="00AD28A3"/>
    <w:rsid w:val="00AD472B"/>
    <w:rsid w:val="00AD4E0C"/>
    <w:rsid w:val="00AD56DD"/>
    <w:rsid w:val="00AD5A45"/>
    <w:rsid w:val="00AE0511"/>
    <w:rsid w:val="00AE23BC"/>
    <w:rsid w:val="00AE47E3"/>
    <w:rsid w:val="00AE5881"/>
    <w:rsid w:val="00AE6E89"/>
    <w:rsid w:val="00AE7C58"/>
    <w:rsid w:val="00AE7EFC"/>
    <w:rsid w:val="00AF1049"/>
    <w:rsid w:val="00AF2001"/>
    <w:rsid w:val="00AF2B97"/>
    <w:rsid w:val="00AF3225"/>
    <w:rsid w:val="00AF3457"/>
    <w:rsid w:val="00AF4DEA"/>
    <w:rsid w:val="00AF6EC3"/>
    <w:rsid w:val="00AF76A3"/>
    <w:rsid w:val="00B000E8"/>
    <w:rsid w:val="00B00738"/>
    <w:rsid w:val="00B02B71"/>
    <w:rsid w:val="00B02CF8"/>
    <w:rsid w:val="00B03456"/>
    <w:rsid w:val="00B05EFA"/>
    <w:rsid w:val="00B061A3"/>
    <w:rsid w:val="00B06923"/>
    <w:rsid w:val="00B07147"/>
    <w:rsid w:val="00B07515"/>
    <w:rsid w:val="00B07ED3"/>
    <w:rsid w:val="00B11FD4"/>
    <w:rsid w:val="00B13367"/>
    <w:rsid w:val="00B1607F"/>
    <w:rsid w:val="00B1701C"/>
    <w:rsid w:val="00B175ED"/>
    <w:rsid w:val="00B17ACA"/>
    <w:rsid w:val="00B2109A"/>
    <w:rsid w:val="00B22FAC"/>
    <w:rsid w:val="00B23A32"/>
    <w:rsid w:val="00B23F52"/>
    <w:rsid w:val="00B24057"/>
    <w:rsid w:val="00B24389"/>
    <w:rsid w:val="00B24479"/>
    <w:rsid w:val="00B24B3C"/>
    <w:rsid w:val="00B25F62"/>
    <w:rsid w:val="00B26219"/>
    <w:rsid w:val="00B26633"/>
    <w:rsid w:val="00B27B3F"/>
    <w:rsid w:val="00B307E4"/>
    <w:rsid w:val="00B30BE0"/>
    <w:rsid w:val="00B315E0"/>
    <w:rsid w:val="00B3256C"/>
    <w:rsid w:val="00B32720"/>
    <w:rsid w:val="00B35BAA"/>
    <w:rsid w:val="00B36E5D"/>
    <w:rsid w:val="00B37D8A"/>
    <w:rsid w:val="00B40996"/>
    <w:rsid w:val="00B40EDE"/>
    <w:rsid w:val="00B41F85"/>
    <w:rsid w:val="00B421F4"/>
    <w:rsid w:val="00B43338"/>
    <w:rsid w:val="00B43453"/>
    <w:rsid w:val="00B45EDA"/>
    <w:rsid w:val="00B45F75"/>
    <w:rsid w:val="00B47673"/>
    <w:rsid w:val="00B50431"/>
    <w:rsid w:val="00B51824"/>
    <w:rsid w:val="00B51AC4"/>
    <w:rsid w:val="00B51DF6"/>
    <w:rsid w:val="00B5336A"/>
    <w:rsid w:val="00B538CA"/>
    <w:rsid w:val="00B55A0A"/>
    <w:rsid w:val="00B5670D"/>
    <w:rsid w:val="00B56C7B"/>
    <w:rsid w:val="00B57DEB"/>
    <w:rsid w:val="00B61EDA"/>
    <w:rsid w:val="00B63AB7"/>
    <w:rsid w:val="00B64FF6"/>
    <w:rsid w:val="00B65C6C"/>
    <w:rsid w:val="00B66E87"/>
    <w:rsid w:val="00B66FB8"/>
    <w:rsid w:val="00B67366"/>
    <w:rsid w:val="00B675BF"/>
    <w:rsid w:val="00B67960"/>
    <w:rsid w:val="00B67ECC"/>
    <w:rsid w:val="00B70667"/>
    <w:rsid w:val="00B71EE5"/>
    <w:rsid w:val="00B7522A"/>
    <w:rsid w:val="00B77098"/>
    <w:rsid w:val="00B803BB"/>
    <w:rsid w:val="00B80733"/>
    <w:rsid w:val="00B81E5E"/>
    <w:rsid w:val="00B81EC9"/>
    <w:rsid w:val="00B83DF9"/>
    <w:rsid w:val="00B8414C"/>
    <w:rsid w:val="00B84824"/>
    <w:rsid w:val="00B85C7E"/>
    <w:rsid w:val="00B85FCD"/>
    <w:rsid w:val="00B86F07"/>
    <w:rsid w:val="00B872FD"/>
    <w:rsid w:val="00B87E6E"/>
    <w:rsid w:val="00B90D2C"/>
    <w:rsid w:val="00B911E8"/>
    <w:rsid w:val="00B91458"/>
    <w:rsid w:val="00B919B5"/>
    <w:rsid w:val="00B92D23"/>
    <w:rsid w:val="00B931B1"/>
    <w:rsid w:val="00B93DB1"/>
    <w:rsid w:val="00B93FED"/>
    <w:rsid w:val="00B94407"/>
    <w:rsid w:val="00B94F4F"/>
    <w:rsid w:val="00B954AB"/>
    <w:rsid w:val="00B9564B"/>
    <w:rsid w:val="00B96C3D"/>
    <w:rsid w:val="00B97129"/>
    <w:rsid w:val="00B97847"/>
    <w:rsid w:val="00BA0813"/>
    <w:rsid w:val="00BA0C26"/>
    <w:rsid w:val="00BA3E6F"/>
    <w:rsid w:val="00BA5392"/>
    <w:rsid w:val="00BA5639"/>
    <w:rsid w:val="00BA6F74"/>
    <w:rsid w:val="00BB1121"/>
    <w:rsid w:val="00BB164D"/>
    <w:rsid w:val="00BB21AC"/>
    <w:rsid w:val="00BB23BA"/>
    <w:rsid w:val="00BB429C"/>
    <w:rsid w:val="00BB4BB2"/>
    <w:rsid w:val="00BB6116"/>
    <w:rsid w:val="00BB613C"/>
    <w:rsid w:val="00BB63BD"/>
    <w:rsid w:val="00BB69A3"/>
    <w:rsid w:val="00BB6A3C"/>
    <w:rsid w:val="00BB76F1"/>
    <w:rsid w:val="00BB7C3D"/>
    <w:rsid w:val="00BB7D09"/>
    <w:rsid w:val="00BC07CC"/>
    <w:rsid w:val="00BC18F1"/>
    <w:rsid w:val="00BC1A2F"/>
    <w:rsid w:val="00BC1B0A"/>
    <w:rsid w:val="00BC1FB3"/>
    <w:rsid w:val="00BC2552"/>
    <w:rsid w:val="00BC365C"/>
    <w:rsid w:val="00BC4823"/>
    <w:rsid w:val="00BC6C8C"/>
    <w:rsid w:val="00BC7089"/>
    <w:rsid w:val="00BC77C0"/>
    <w:rsid w:val="00BD07E5"/>
    <w:rsid w:val="00BD2A29"/>
    <w:rsid w:val="00BD33EE"/>
    <w:rsid w:val="00BD3586"/>
    <w:rsid w:val="00BD41E6"/>
    <w:rsid w:val="00BD47D3"/>
    <w:rsid w:val="00BD4BE8"/>
    <w:rsid w:val="00BD5A1D"/>
    <w:rsid w:val="00BD5B83"/>
    <w:rsid w:val="00BD5EDD"/>
    <w:rsid w:val="00BD62FB"/>
    <w:rsid w:val="00BD6A3A"/>
    <w:rsid w:val="00BD70EC"/>
    <w:rsid w:val="00BE1535"/>
    <w:rsid w:val="00BE19B0"/>
    <w:rsid w:val="00BE22E1"/>
    <w:rsid w:val="00BE2652"/>
    <w:rsid w:val="00BE2694"/>
    <w:rsid w:val="00BE34B2"/>
    <w:rsid w:val="00BE35CC"/>
    <w:rsid w:val="00BE378B"/>
    <w:rsid w:val="00BE5BAC"/>
    <w:rsid w:val="00BE5CEB"/>
    <w:rsid w:val="00BF10B2"/>
    <w:rsid w:val="00BF46FF"/>
    <w:rsid w:val="00BF4C06"/>
    <w:rsid w:val="00BF4F61"/>
    <w:rsid w:val="00BF63BF"/>
    <w:rsid w:val="00C0117B"/>
    <w:rsid w:val="00C0121B"/>
    <w:rsid w:val="00C0355D"/>
    <w:rsid w:val="00C0472A"/>
    <w:rsid w:val="00C06971"/>
    <w:rsid w:val="00C10BA7"/>
    <w:rsid w:val="00C118D5"/>
    <w:rsid w:val="00C1561D"/>
    <w:rsid w:val="00C17CD1"/>
    <w:rsid w:val="00C201DA"/>
    <w:rsid w:val="00C204D1"/>
    <w:rsid w:val="00C20A1C"/>
    <w:rsid w:val="00C217CD"/>
    <w:rsid w:val="00C21AFB"/>
    <w:rsid w:val="00C22621"/>
    <w:rsid w:val="00C22AA4"/>
    <w:rsid w:val="00C22D9C"/>
    <w:rsid w:val="00C23108"/>
    <w:rsid w:val="00C235F7"/>
    <w:rsid w:val="00C237BF"/>
    <w:rsid w:val="00C23EC7"/>
    <w:rsid w:val="00C257A1"/>
    <w:rsid w:val="00C26435"/>
    <w:rsid w:val="00C27203"/>
    <w:rsid w:val="00C27268"/>
    <w:rsid w:val="00C2795A"/>
    <w:rsid w:val="00C279EF"/>
    <w:rsid w:val="00C27C4E"/>
    <w:rsid w:val="00C30B70"/>
    <w:rsid w:val="00C30DE1"/>
    <w:rsid w:val="00C3393A"/>
    <w:rsid w:val="00C33E59"/>
    <w:rsid w:val="00C33E62"/>
    <w:rsid w:val="00C347A6"/>
    <w:rsid w:val="00C358F4"/>
    <w:rsid w:val="00C3643C"/>
    <w:rsid w:val="00C36570"/>
    <w:rsid w:val="00C37DE5"/>
    <w:rsid w:val="00C37F93"/>
    <w:rsid w:val="00C41152"/>
    <w:rsid w:val="00C41751"/>
    <w:rsid w:val="00C42AF0"/>
    <w:rsid w:val="00C42B4E"/>
    <w:rsid w:val="00C4338E"/>
    <w:rsid w:val="00C4489D"/>
    <w:rsid w:val="00C4553F"/>
    <w:rsid w:val="00C45D84"/>
    <w:rsid w:val="00C47240"/>
    <w:rsid w:val="00C504B5"/>
    <w:rsid w:val="00C50502"/>
    <w:rsid w:val="00C53156"/>
    <w:rsid w:val="00C56E77"/>
    <w:rsid w:val="00C60DC7"/>
    <w:rsid w:val="00C622B4"/>
    <w:rsid w:val="00C63917"/>
    <w:rsid w:val="00C63CB7"/>
    <w:rsid w:val="00C64095"/>
    <w:rsid w:val="00C6493F"/>
    <w:rsid w:val="00C64A98"/>
    <w:rsid w:val="00C673D7"/>
    <w:rsid w:val="00C716EA"/>
    <w:rsid w:val="00C71E27"/>
    <w:rsid w:val="00C723F4"/>
    <w:rsid w:val="00C73176"/>
    <w:rsid w:val="00C731DE"/>
    <w:rsid w:val="00C73DF9"/>
    <w:rsid w:val="00C74E79"/>
    <w:rsid w:val="00C7535E"/>
    <w:rsid w:val="00C766EA"/>
    <w:rsid w:val="00C76AA2"/>
    <w:rsid w:val="00C806C0"/>
    <w:rsid w:val="00C80F58"/>
    <w:rsid w:val="00C818D9"/>
    <w:rsid w:val="00C81F4F"/>
    <w:rsid w:val="00C822B2"/>
    <w:rsid w:val="00C827B6"/>
    <w:rsid w:val="00C82DA2"/>
    <w:rsid w:val="00C8345C"/>
    <w:rsid w:val="00C84B11"/>
    <w:rsid w:val="00C851EA"/>
    <w:rsid w:val="00C856EA"/>
    <w:rsid w:val="00C86976"/>
    <w:rsid w:val="00C87C6B"/>
    <w:rsid w:val="00C90B4F"/>
    <w:rsid w:val="00C92490"/>
    <w:rsid w:val="00C92BB1"/>
    <w:rsid w:val="00C92F9D"/>
    <w:rsid w:val="00C93EDB"/>
    <w:rsid w:val="00C9499D"/>
    <w:rsid w:val="00C95E26"/>
    <w:rsid w:val="00C96412"/>
    <w:rsid w:val="00CA0BBF"/>
    <w:rsid w:val="00CA2761"/>
    <w:rsid w:val="00CA4660"/>
    <w:rsid w:val="00CA67BC"/>
    <w:rsid w:val="00CA7572"/>
    <w:rsid w:val="00CB07D9"/>
    <w:rsid w:val="00CB0BA1"/>
    <w:rsid w:val="00CB2EC0"/>
    <w:rsid w:val="00CB46B7"/>
    <w:rsid w:val="00CB4791"/>
    <w:rsid w:val="00CB4F2D"/>
    <w:rsid w:val="00CB5D5A"/>
    <w:rsid w:val="00CB61C5"/>
    <w:rsid w:val="00CB7530"/>
    <w:rsid w:val="00CB7641"/>
    <w:rsid w:val="00CB79AC"/>
    <w:rsid w:val="00CC221A"/>
    <w:rsid w:val="00CC45C4"/>
    <w:rsid w:val="00CC5C61"/>
    <w:rsid w:val="00CC61F2"/>
    <w:rsid w:val="00CC63DE"/>
    <w:rsid w:val="00CD0DBC"/>
    <w:rsid w:val="00CD1114"/>
    <w:rsid w:val="00CD1A27"/>
    <w:rsid w:val="00CD4D3E"/>
    <w:rsid w:val="00CD58B8"/>
    <w:rsid w:val="00CD7ED8"/>
    <w:rsid w:val="00CE0124"/>
    <w:rsid w:val="00CE0403"/>
    <w:rsid w:val="00CE0428"/>
    <w:rsid w:val="00CE0B2C"/>
    <w:rsid w:val="00CE32E1"/>
    <w:rsid w:val="00CE3560"/>
    <w:rsid w:val="00CE52E7"/>
    <w:rsid w:val="00CF00DB"/>
    <w:rsid w:val="00CF0415"/>
    <w:rsid w:val="00CF0FEE"/>
    <w:rsid w:val="00CF2871"/>
    <w:rsid w:val="00CF2910"/>
    <w:rsid w:val="00CF355A"/>
    <w:rsid w:val="00CF41AB"/>
    <w:rsid w:val="00CF6588"/>
    <w:rsid w:val="00D01FF2"/>
    <w:rsid w:val="00D02064"/>
    <w:rsid w:val="00D04922"/>
    <w:rsid w:val="00D07678"/>
    <w:rsid w:val="00D077B6"/>
    <w:rsid w:val="00D07DDF"/>
    <w:rsid w:val="00D1023E"/>
    <w:rsid w:val="00D10A91"/>
    <w:rsid w:val="00D12CA4"/>
    <w:rsid w:val="00D12E4E"/>
    <w:rsid w:val="00D13510"/>
    <w:rsid w:val="00D1394A"/>
    <w:rsid w:val="00D13C50"/>
    <w:rsid w:val="00D1482D"/>
    <w:rsid w:val="00D14DF0"/>
    <w:rsid w:val="00D16405"/>
    <w:rsid w:val="00D165EF"/>
    <w:rsid w:val="00D16C3B"/>
    <w:rsid w:val="00D20F39"/>
    <w:rsid w:val="00D216AC"/>
    <w:rsid w:val="00D23CAB"/>
    <w:rsid w:val="00D243B8"/>
    <w:rsid w:val="00D256E2"/>
    <w:rsid w:val="00D2710A"/>
    <w:rsid w:val="00D30E98"/>
    <w:rsid w:val="00D3222E"/>
    <w:rsid w:val="00D401B4"/>
    <w:rsid w:val="00D40D03"/>
    <w:rsid w:val="00D4185C"/>
    <w:rsid w:val="00D420EA"/>
    <w:rsid w:val="00D43057"/>
    <w:rsid w:val="00D43380"/>
    <w:rsid w:val="00D43664"/>
    <w:rsid w:val="00D43D1B"/>
    <w:rsid w:val="00D43FCA"/>
    <w:rsid w:val="00D44107"/>
    <w:rsid w:val="00D44704"/>
    <w:rsid w:val="00D44CAC"/>
    <w:rsid w:val="00D46CDF"/>
    <w:rsid w:val="00D47DF1"/>
    <w:rsid w:val="00D507AA"/>
    <w:rsid w:val="00D508E3"/>
    <w:rsid w:val="00D51CE9"/>
    <w:rsid w:val="00D535FD"/>
    <w:rsid w:val="00D53C62"/>
    <w:rsid w:val="00D54470"/>
    <w:rsid w:val="00D552A6"/>
    <w:rsid w:val="00D55A8D"/>
    <w:rsid w:val="00D57751"/>
    <w:rsid w:val="00D57C38"/>
    <w:rsid w:val="00D57D4A"/>
    <w:rsid w:val="00D600EE"/>
    <w:rsid w:val="00D6117E"/>
    <w:rsid w:val="00D62E7E"/>
    <w:rsid w:val="00D639D4"/>
    <w:rsid w:val="00D6422C"/>
    <w:rsid w:val="00D65628"/>
    <w:rsid w:val="00D65DC8"/>
    <w:rsid w:val="00D67A21"/>
    <w:rsid w:val="00D67DBB"/>
    <w:rsid w:val="00D70E25"/>
    <w:rsid w:val="00D74F40"/>
    <w:rsid w:val="00D75341"/>
    <w:rsid w:val="00D76001"/>
    <w:rsid w:val="00D805EA"/>
    <w:rsid w:val="00D8124A"/>
    <w:rsid w:val="00D8165A"/>
    <w:rsid w:val="00D81D79"/>
    <w:rsid w:val="00D82083"/>
    <w:rsid w:val="00D8216D"/>
    <w:rsid w:val="00D822AF"/>
    <w:rsid w:val="00D82C4B"/>
    <w:rsid w:val="00D86197"/>
    <w:rsid w:val="00D862A3"/>
    <w:rsid w:val="00D9028A"/>
    <w:rsid w:val="00D911C0"/>
    <w:rsid w:val="00D91A4C"/>
    <w:rsid w:val="00D91BAF"/>
    <w:rsid w:val="00D922FD"/>
    <w:rsid w:val="00D92A3E"/>
    <w:rsid w:val="00D9367F"/>
    <w:rsid w:val="00D93870"/>
    <w:rsid w:val="00D94FE3"/>
    <w:rsid w:val="00D9619E"/>
    <w:rsid w:val="00D97026"/>
    <w:rsid w:val="00D970D1"/>
    <w:rsid w:val="00DA2B8E"/>
    <w:rsid w:val="00DA4BFF"/>
    <w:rsid w:val="00DA4E57"/>
    <w:rsid w:val="00DA5BCB"/>
    <w:rsid w:val="00DA5D2B"/>
    <w:rsid w:val="00DA6295"/>
    <w:rsid w:val="00DA6AB5"/>
    <w:rsid w:val="00DA72C3"/>
    <w:rsid w:val="00DA7373"/>
    <w:rsid w:val="00DB1C98"/>
    <w:rsid w:val="00DB2FE2"/>
    <w:rsid w:val="00DB5B16"/>
    <w:rsid w:val="00DC00C4"/>
    <w:rsid w:val="00DC031A"/>
    <w:rsid w:val="00DC0AF0"/>
    <w:rsid w:val="00DC26D3"/>
    <w:rsid w:val="00DC28EF"/>
    <w:rsid w:val="00DC29A6"/>
    <w:rsid w:val="00DC2CD4"/>
    <w:rsid w:val="00DC40C4"/>
    <w:rsid w:val="00DC522F"/>
    <w:rsid w:val="00DC59FA"/>
    <w:rsid w:val="00DC5D41"/>
    <w:rsid w:val="00DC60A5"/>
    <w:rsid w:val="00DC6459"/>
    <w:rsid w:val="00DC6DA3"/>
    <w:rsid w:val="00DD3278"/>
    <w:rsid w:val="00DD4108"/>
    <w:rsid w:val="00DD44F5"/>
    <w:rsid w:val="00DD48FC"/>
    <w:rsid w:val="00DD4CDE"/>
    <w:rsid w:val="00DD5E7D"/>
    <w:rsid w:val="00DD67C0"/>
    <w:rsid w:val="00DD792F"/>
    <w:rsid w:val="00DE003A"/>
    <w:rsid w:val="00DE1AE5"/>
    <w:rsid w:val="00DE26AE"/>
    <w:rsid w:val="00DE3D73"/>
    <w:rsid w:val="00DE5DFF"/>
    <w:rsid w:val="00DE6E31"/>
    <w:rsid w:val="00DF0B17"/>
    <w:rsid w:val="00DF11AC"/>
    <w:rsid w:val="00DF167B"/>
    <w:rsid w:val="00DF2484"/>
    <w:rsid w:val="00DF27D3"/>
    <w:rsid w:val="00DF2DDF"/>
    <w:rsid w:val="00DF5254"/>
    <w:rsid w:val="00E00378"/>
    <w:rsid w:val="00E00A78"/>
    <w:rsid w:val="00E00CF8"/>
    <w:rsid w:val="00E00D7F"/>
    <w:rsid w:val="00E02D56"/>
    <w:rsid w:val="00E0329C"/>
    <w:rsid w:val="00E03583"/>
    <w:rsid w:val="00E03DB9"/>
    <w:rsid w:val="00E06128"/>
    <w:rsid w:val="00E0657D"/>
    <w:rsid w:val="00E06872"/>
    <w:rsid w:val="00E06CB4"/>
    <w:rsid w:val="00E105F9"/>
    <w:rsid w:val="00E10DFC"/>
    <w:rsid w:val="00E116E1"/>
    <w:rsid w:val="00E1314E"/>
    <w:rsid w:val="00E13933"/>
    <w:rsid w:val="00E1779C"/>
    <w:rsid w:val="00E21EC4"/>
    <w:rsid w:val="00E2244C"/>
    <w:rsid w:val="00E22568"/>
    <w:rsid w:val="00E22CED"/>
    <w:rsid w:val="00E22F6C"/>
    <w:rsid w:val="00E23B3F"/>
    <w:rsid w:val="00E2414C"/>
    <w:rsid w:val="00E2480F"/>
    <w:rsid w:val="00E25F6C"/>
    <w:rsid w:val="00E30388"/>
    <w:rsid w:val="00E31154"/>
    <w:rsid w:val="00E3182D"/>
    <w:rsid w:val="00E31934"/>
    <w:rsid w:val="00E31E3B"/>
    <w:rsid w:val="00E34409"/>
    <w:rsid w:val="00E37457"/>
    <w:rsid w:val="00E40ABE"/>
    <w:rsid w:val="00E4540F"/>
    <w:rsid w:val="00E457C0"/>
    <w:rsid w:val="00E45D16"/>
    <w:rsid w:val="00E45E0F"/>
    <w:rsid w:val="00E46E7D"/>
    <w:rsid w:val="00E4707A"/>
    <w:rsid w:val="00E50A3A"/>
    <w:rsid w:val="00E519AA"/>
    <w:rsid w:val="00E52CBB"/>
    <w:rsid w:val="00E55A9E"/>
    <w:rsid w:val="00E569A0"/>
    <w:rsid w:val="00E570E1"/>
    <w:rsid w:val="00E57511"/>
    <w:rsid w:val="00E57DE1"/>
    <w:rsid w:val="00E6025F"/>
    <w:rsid w:val="00E602EF"/>
    <w:rsid w:val="00E60A56"/>
    <w:rsid w:val="00E62502"/>
    <w:rsid w:val="00E628B3"/>
    <w:rsid w:val="00E6717C"/>
    <w:rsid w:val="00E67FCC"/>
    <w:rsid w:val="00E70341"/>
    <w:rsid w:val="00E71ED2"/>
    <w:rsid w:val="00E71ED8"/>
    <w:rsid w:val="00E72FAA"/>
    <w:rsid w:val="00E73398"/>
    <w:rsid w:val="00E74C78"/>
    <w:rsid w:val="00E755EC"/>
    <w:rsid w:val="00E762C9"/>
    <w:rsid w:val="00E763BD"/>
    <w:rsid w:val="00E77003"/>
    <w:rsid w:val="00E770D1"/>
    <w:rsid w:val="00E77E87"/>
    <w:rsid w:val="00E8034A"/>
    <w:rsid w:val="00E81A08"/>
    <w:rsid w:val="00E82190"/>
    <w:rsid w:val="00E8447F"/>
    <w:rsid w:val="00E854A9"/>
    <w:rsid w:val="00E85FF9"/>
    <w:rsid w:val="00E87888"/>
    <w:rsid w:val="00E945EA"/>
    <w:rsid w:val="00E94BAA"/>
    <w:rsid w:val="00E95113"/>
    <w:rsid w:val="00E95342"/>
    <w:rsid w:val="00E956A7"/>
    <w:rsid w:val="00E961C3"/>
    <w:rsid w:val="00E969A5"/>
    <w:rsid w:val="00EA0EA7"/>
    <w:rsid w:val="00EA44B5"/>
    <w:rsid w:val="00EA564C"/>
    <w:rsid w:val="00EA68E8"/>
    <w:rsid w:val="00EA76BE"/>
    <w:rsid w:val="00EA7A7B"/>
    <w:rsid w:val="00EA7E91"/>
    <w:rsid w:val="00EB1829"/>
    <w:rsid w:val="00EB303B"/>
    <w:rsid w:val="00EB31A4"/>
    <w:rsid w:val="00EB31D8"/>
    <w:rsid w:val="00EB34F8"/>
    <w:rsid w:val="00EB3832"/>
    <w:rsid w:val="00EB417A"/>
    <w:rsid w:val="00EB56F4"/>
    <w:rsid w:val="00EB659E"/>
    <w:rsid w:val="00EB684C"/>
    <w:rsid w:val="00EB6F6E"/>
    <w:rsid w:val="00EC0BD9"/>
    <w:rsid w:val="00EC0F5F"/>
    <w:rsid w:val="00EC1016"/>
    <w:rsid w:val="00EC20F9"/>
    <w:rsid w:val="00EC2CE1"/>
    <w:rsid w:val="00EC3BBE"/>
    <w:rsid w:val="00EC4493"/>
    <w:rsid w:val="00EC4B3D"/>
    <w:rsid w:val="00EC50C2"/>
    <w:rsid w:val="00EC6DC1"/>
    <w:rsid w:val="00ED0319"/>
    <w:rsid w:val="00ED0C06"/>
    <w:rsid w:val="00ED310F"/>
    <w:rsid w:val="00ED3682"/>
    <w:rsid w:val="00ED3BC9"/>
    <w:rsid w:val="00ED4D1E"/>
    <w:rsid w:val="00ED50C5"/>
    <w:rsid w:val="00ED6199"/>
    <w:rsid w:val="00ED6AD1"/>
    <w:rsid w:val="00ED7BD5"/>
    <w:rsid w:val="00ED7E5C"/>
    <w:rsid w:val="00EE1442"/>
    <w:rsid w:val="00EE1BF8"/>
    <w:rsid w:val="00EE66E5"/>
    <w:rsid w:val="00EE7B0C"/>
    <w:rsid w:val="00EF0F34"/>
    <w:rsid w:val="00EF1CF6"/>
    <w:rsid w:val="00EF2A53"/>
    <w:rsid w:val="00EF402F"/>
    <w:rsid w:val="00EF4810"/>
    <w:rsid w:val="00EF5721"/>
    <w:rsid w:val="00EF6CDE"/>
    <w:rsid w:val="00F007D5"/>
    <w:rsid w:val="00F016BB"/>
    <w:rsid w:val="00F02446"/>
    <w:rsid w:val="00F0301C"/>
    <w:rsid w:val="00F05A7A"/>
    <w:rsid w:val="00F0726D"/>
    <w:rsid w:val="00F103E4"/>
    <w:rsid w:val="00F13548"/>
    <w:rsid w:val="00F1394F"/>
    <w:rsid w:val="00F13F3C"/>
    <w:rsid w:val="00F14998"/>
    <w:rsid w:val="00F16358"/>
    <w:rsid w:val="00F164A1"/>
    <w:rsid w:val="00F17197"/>
    <w:rsid w:val="00F17DA1"/>
    <w:rsid w:val="00F2018D"/>
    <w:rsid w:val="00F21998"/>
    <w:rsid w:val="00F22160"/>
    <w:rsid w:val="00F23A93"/>
    <w:rsid w:val="00F246B2"/>
    <w:rsid w:val="00F24FE7"/>
    <w:rsid w:val="00F2554D"/>
    <w:rsid w:val="00F256ED"/>
    <w:rsid w:val="00F26B29"/>
    <w:rsid w:val="00F30921"/>
    <w:rsid w:val="00F310BD"/>
    <w:rsid w:val="00F32E13"/>
    <w:rsid w:val="00F33FA2"/>
    <w:rsid w:val="00F344CA"/>
    <w:rsid w:val="00F35A3C"/>
    <w:rsid w:val="00F35D04"/>
    <w:rsid w:val="00F364EF"/>
    <w:rsid w:val="00F37286"/>
    <w:rsid w:val="00F374D1"/>
    <w:rsid w:val="00F3794B"/>
    <w:rsid w:val="00F37CF4"/>
    <w:rsid w:val="00F4061B"/>
    <w:rsid w:val="00F4226E"/>
    <w:rsid w:val="00F4297E"/>
    <w:rsid w:val="00F43259"/>
    <w:rsid w:val="00F43594"/>
    <w:rsid w:val="00F43FF5"/>
    <w:rsid w:val="00F44BC7"/>
    <w:rsid w:val="00F45965"/>
    <w:rsid w:val="00F4621D"/>
    <w:rsid w:val="00F5033B"/>
    <w:rsid w:val="00F5177B"/>
    <w:rsid w:val="00F525CF"/>
    <w:rsid w:val="00F53AA5"/>
    <w:rsid w:val="00F54FF6"/>
    <w:rsid w:val="00F5563B"/>
    <w:rsid w:val="00F60B49"/>
    <w:rsid w:val="00F626D4"/>
    <w:rsid w:val="00F6501D"/>
    <w:rsid w:val="00F65612"/>
    <w:rsid w:val="00F66207"/>
    <w:rsid w:val="00F66522"/>
    <w:rsid w:val="00F67238"/>
    <w:rsid w:val="00F67A80"/>
    <w:rsid w:val="00F67CD0"/>
    <w:rsid w:val="00F7017A"/>
    <w:rsid w:val="00F71756"/>
    <w:rsid w:val="00F71D1E"/>
    <w:rsid w:val="00F720F5"/>
    <w:rsid w:val="00F73F79"/>
    <w:rsid w:val="00F742BF"/>
    <w:rsid w:val="00F746F6"/>
    <w:rsid w:val="00F750ED"/>
    <w:rsid w:val="00F7553C"/>
    <w:rsid w:val="00F76F25"/>
    <w:rsid w:val="00F80499"/>
    <w:rsid w:val="00F8055B"/>
    <w:rsid w:val="00F81674"/>
    <w:rsid w:val="00F82628"/>
    <w:rsid w:val="00F82940"/>
    <w:rsid w:val="00F84FD9"/>
    <w:rsid w:val="00F8684A"/>
    <w:rsid w:val="00F91BBC"/>
    <w:rsid w:val="00F92699"/>
    <w:rsid w:val="00F935C9"/>
    <w:rsid w:val="00F93E60"/>
    <w:rsid w:val="00F9543A"/>
    <w:rsid w:val="00F97A71"/>
    <w:rsid w:val="00F97D53"/>
    <w:rsid w:val="00FA1415"/>
    <w:rsid w:val="00FA1560"/>
    <w:rsid w:val="00FA1D78"/>
    <w:rsid w:val="00FA271B"/>
    <w:rsid w:val="00FA39CC"/>
    <w:rsid w:val="00FA4CE0"/>
    <w:rsid w:val="00FA5C79"/>
    <w:rsid w:val="00FA6661"/>
    <w:rsid w:val="00FA7020"/>
    <w:rsid w:val="00FB0227"/>
    <w:rsid w:val="00FB0631"/>
    <w:rsid w:val="00FB0769"/>
    <w:rsid w:val="00FB0BC8"/>
    <w:rsid w:val="00FB2355"/>
    <w:rsid w:val="00FB2EF7"/>
    <w:rsid w:val="00FB5A66"/>
    <w:rsid w:val="00FB67F4"/>
    <w:rsid w:val="00FB7A27"/>
    <w:rsid w:val="00FB7D45"/>
    <w:rsid w:val="00FC097C"/>
    <w:rsid w:val="00FC0A56"/>
    <w:rsid w:val="00FC3B76"/>
    <w:rsid w:val="00FC435F"/>
    <w:rsid w:val="00FC59CA"/>
    <w:rsid w:val="00FC5FC7"/>
    <w:rsid w:val="00FC7900"/>
    <w:rsid w:val="00FC7C2E"/>
    <w:rsid w:val="00FD006C"/>
    <w:rsid w:val="00FD00D0"/>
    <w:rsid w:val="00FD1A3D"/>
    <w:rsid w:val="00FD2B47"/>
    <w:rsid w:val="00FD2CA0"/>
    <w:rsid w:val="00FD3570"/>
    <w:rsid w:val="00FD5465"/>
    <w:rsid w:val="00FD628E"/>
    <w:rsid w:val="00FD64F2"/>
    <w:rsid w:val="00FD76F5"/>
    <w:rsid w:val="00FE13D5"/>
    <w:rsid w:val="00FE29B7"/>
    <w:rsid w:val="00FE3C65"/>
    <w:rsid w:val="00FE48D8"/>
    <w:rsid w:val="00FE6904"/>
    <w:rsid w:val="00FF202B"/>
    <w:rsid w:val="00FF3817"/>
    <w:rsid w:val="00FF4B71"/>
    <w:rsid w:val="00FF5AF6"/>
    <w:rsid w:val="00FF7C67"/>
    <w:rsid w:val="00FF7CA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Times New Roman"/>
        <w:lang w:val="es-ES_tradnl" w:eastAsia="es-ES_trad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A481B"/>
    <w:pPr>
      <w:spacing w:after="200" w:line="276" w:lineRule="auto"/>
    </w:pPr>
    <w:rPr>
      <w:rFonts w:ascii="Calibri" w:hAnsi="Calibri"/>
      <w:sz w:val="22"/>
      <w:szCs w:val="22"/>
      <w:lang w:val="es-AR" w:eastAsia="en-US"/>
    </w:rPr>
  </w:style>
  <w:style w:type="paragraph" w:styleId="Heading1">
    <w:name w:val="heading 1"/>
    <w:basedOn w:val="Normal"/>
    <w:next w:val="Normal"/>
    <w:link w:val="Heading1Char"/>
    <w:uiPriority w:val="99"/>
    <w:qFormat/>
    <w:rsid w:val="007A481B"/>
    <w:pPr>
      <w:keepNext/>
      <w:keepLines/>
      <w:spacing w:before="480" w:after="0"/>
      <w:outlineLvl w:val="0"/>
    </w:pPr>
    <w:rPr>
      <w:rFonts w:ascii="Cambria" w:hAnsi="Cambria"/>
      <w:b/>
      <w:bCs/>
      <w:color w:val="365F91"/>
      <w:sz w:val="28"/>
      <w:szCs w:val="28"/>
      <w:lang w:val="en-US" w:eastAsia="es-ES"/>
    </w:rPr>
  </w:style>
  <w:style w:type="paragraph" w:styleId="Heading2">
    <w:name w:val="heading 2"/>
    <w:basedOn w:val="Normal"/>
    <w:next w:val="Normal"/>
    <w:link w:val="Heading2Char"/>
    <w:uiPriority w:val="99"/>
    <w:qFormat/>
    <w:rsid w:val="00015BDD"/>
    <w:pPr>
      <w:keepNext/>
      <w:keepLines/>
      <w:spacing w:before="200" w:after="0"/>
      <w:outlineLvl w:val="1"/>
    </w:pPr>
    <w:rPr>
      <w:rFonts w:ascii="Trebuchet MS" w:hAnsi="Trebuchet MS"/>
      <w:b/>
      <w:bCs/>
      <w:color w:val="53548A"/>
      <w:sz w:val="26"/>
      <w:szCs w:val="26"/>
      <w:lang w:val="en-US" w:eastAsia="es-ES"/>
    </w:rPr>
  </w:style>
  <w:style w:type="paragraph" w:styleId="Heading3">
    <w:name w:val="heading 3"/>
    <w:basedOn w:val="Normal"/>
    <w:next w:val="Normal"/>
    <w:link w:val="Heading3Char"/>
    <w:uiPriority w:val="99"/>
    <w:qFormat/>
    <w:rsid w:val="007A481B"/>
    <w:pPr>
      <w:keepNext/>
      <w:spacing w:before="240" w:after="60" w:line="240" w:lineRule="auto"/>
      <w:outlineLvl w:val="2"/>
    </w:pPr>
    <w:rPr>
      <w:rFonts w:ascii="Arial" w:hAnsi="Arial"/>
      <w:b/>
      <w:bCs/>
      <w:sz w:val="26"/>
      <w:szCs w:val="26"/>
      <w:lang w:val="es-ES" w:eastAsia="es-ES"/>
    </w:rPr>
  </w:style>
  <w:style w:type="paragraph" w:styleId="Heading4">
    <w:name w:val="heading 4"/>
    <w:basedOn w:val="Normal"/>
    <w:next w:val="Normal"/>
    <w:link w:val="Heading4Char"/>
    <w:uiPriority w:val="99"/>
    <w:qFormat/>
    <w:rsid w:val="00E06872"/>
    <w:pPr>
      <w:keepNext/>
      <w:keepLines/>
      <w:spacing w:before="200" w:after="0"/>
      <w:outlineLvl w:val="3"/>
    </w:pPr>
    <w:rPr>
      <w:rFonts w:ascii="Trebuchet MS" w:hAnsi="Trebuchet MS"/>
      <w:b/>
      <w:bCs/>
      <w:i/>
      <w:iCs/>
      <w:color w:val="53548A"/>
      <w:sz w:val="20"/>
      <w:szCs w:val="20"/>
      <w:lang w:val="en-US" w:eastAsia="es-ES"/>
    </w:rPr>
  </w:style>
  <w:style w:type="paragraph" w:styleId="Heading5">
    <w:name w:val="heading 5"/>
    <w:basedOn w:val="Normal"/>
    <w:next w:val="Normal"/>
    <w:link w:val="Heading5Char"/>
    <w:uiPriority w:val="99"/>
    <w:qFormat/>
    <w:rsid w:val="00E2414C"/>
    <w:pPr>
      <w:spacing w:before="240" w:after="60" w:line="240" w:lineRule="auto"/>
      <w:ind w:left="5112" w:hanging="432"/>
      <w:jc w:val="both"/>
      <w:outlineLvl w:val="4"/>
    </w:pPr>
    <w:rPr>
      <w:rFonts w:ascii="Times New Roman" w:hAnsi="Times New Roman"/>
      <w:sz w:val="20"/>
      <w:szCs w:val="20"/>
      <w:lang w:val="es-ES" w:eastAsia="es-ES"/>
    </w:rPr>
  </w:style>
  <w:style w:type="paragraph" w:styleId="Heading6">
    <w:name w:val="heading 6"/>
    <w:basedOn w:val="Normal"/>
    <w:next w:val="Normal"/>
    <w:link w:val="Heading6Char"/>
    <w:uiPriority w:val="99"/>
    <w:qFormat/>
    <w:rsid w:val="00E2414C"/>
    <w:pPr>
      <w:spacing w:before="240" w:after="60" w:line="240" w:lineRule="auto"/>
      <w:ind w:left="5256" w:hanging="432"/>
      <w:jc w:val="both"/>
      <w:outlineLvl w:val="5"/>
    </w:pPr>
    <w:rPr>
      <w:rFonts w:ascii="Times New Roman" w:hAnsi="Times New Roman"/>
      <w:i/>
      <w:iCs/>
      <w:sz w:val="20"/>
      <w:szCs w:val="20"/>
      <w:lang w:val="es-ES" w:eastAsia="es-ES"/>
    </w:rPr>
  </w:style>
  <w:style w:type="paragraph" w:styleId="Heading7">
    <w:name w:val="heading 7"/>
    <w:basedOn w:val="Normal"/>
    <w:next w:val="Normal"/>
    <w:link w:val="Heading7Char"/>
    <w:uiPriority w:val="99"/>
    <w:qFormat/>
    <w:rsid w:val="00E2414C"/>
    <w:pPr>
      <w:spacing w:before="240" w:after="60" w:line="240" w:lineRule="auto"/>
      <w:ind w:left="5400" w:hanging="288"/>
      <w:jc w:val="both"/>
      <w:outlineLvl w:val="6"/>
    </w:pPr>
    <w:rPr>
      <w:rFonts w:ascii="Arial" w:hAnsi="Arial"/>
      <w:sz w:val="24"/>
      <w:szCs w:val="24"/>
      <w:lang w:val="es-ES" w:eastAsia="es-ES"/>
    </w:rPr>
  </w:style>
  <w:style w:type="paragraph" w:styleId="Heading8">
    <w:name w:val="heading 8"/>
    <w:basedOn w:val="Normal"/>
    <w:next w:val="Normal"/>
    <w:link w:val="Heading8Char"/>
    <w:uiPriority w:val="99"/>
    <w:qFormat/>
    <w:rsid w:val="00E2414C"/>
    <w:pPr>
      <w:spacing w:before="240" w:after="60" w:line="240" w:lineRule="auto"/>
      <w:ind w:left="5544" w:hanging="432"/>
      <w:jc w:val="both"/>
      <w:outlineLvl w:val="7"/>
    </w:pPr>
    <w:rPr>
      <w:rFonts w:ascii="Arial" w:hAnsi="Arial"/>
      <w:i/>
      <w:iCs/>
      <w:sz w:val="24"/>
      <w:szCs w:val="24"/>
      <w:lang w:val="es-ES" w:eastAsia="es-ES"/>
    </w:rPr>
  </w:style>
  <w:style w:type="paragraph" w:styleId="Heading9">
    <w:name w:val="heading 9"/>
    <w:basedOn w:val="Normal"/>
    <w:next w:val="Normal"/>
    <w:link w:val="Heading9Char"/>
    <w:uiPriority w:val="99"/>
    <w:qFormat/>
    <w:rsid w:val="00E2414C"/>
    <w:pPr>
      <w:spacing w:before="240" w:after="60" w:line="240" w:lineRule="auto"/>
      <w:ind w:left="5688" w:hanging="144"/>
      <w:jc w:val="both"/>
      <w:outlineLvl w:val="8"/>
    </w:pPr>
    <w:rPr>
      <w:rFonts w:ascii="Arial" w:hAnsi="Arial"/>
      <w:b/>
      <w:bCs/>
      <w:i/>
      <w:iCs/>
      <w:sz w:val="18"/>
      <w:szCs w:val="18"/>
      <w:lang w:val="es-ES"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81B"/>
    <w:rPr>
      <w:rFonts w:ascii="Cambria" w:hAnsi="Cambria" w:cs="Times New Roman"/>
      <w:b/>
      <w:color w:val="365F91"/>
      <w:sz w:val="28"/>
    </w:rPr>
  </w:style>
  <w:style w:type="character" w:customStyle="1" w:styleId="Heading2Char">
    <w:name w:val="Heading 2 Char"/>
    <w:basedOn w:val="DefaultParagraphFont"/>
    <w:link w:val="Heading2"/>
    <w:uiPriority w:val="99"/>
    <w:locked/>
    <w:rsid w:val="00015BDD"/>
    <w:rPr>
      <w:rFonts w:ascii="Trebuchet MS" w:hAnsi="Trebuchet MS" w:cs="Times New Roman"/>
      <w:b/>
      <w:color w:val="53548A"/>
      <w:sz w:val="26"/>
    </w:rPr>
  </w:style>
  <w:style w:type="character" w:customStyle="1" w:styleId="Heading3Char">
    <w:name w:val="Heading 3 Char"/>
    <w:basedOn w:val="DefaultParagraphFont"/>
    <w:link w:val="Heading3"/>
    <w:uiPriority w:val="99"/>
    <w:locked/>
    <w:rsid w:val="007A481B"/>
    <w:rPr>
      <w:rFonts w:ascii="Arial" w:hAnsi="Arial" w:cs="Times New Roman"/>
      <w:b/>
      <w:sz w:val="26"/>
      <w:lang w:val="es-ES" w:eastAsia="es-ES"/>
    </w:rPr>
  </w:style>
  <w:style w:type="character" w:customStyle="1" w:styleId="Heading4Char">
    <w:name w:val="Heading 4 Char"/>
    <w:basedOn w:val="DefaultParagraphFont"/>
    <w:link w:val="Heading4"/>
    <w:uiPriority w:val="99"/>
    <w:locked/>
    <w:rsid w:val="00E06872"/>
    <w:rPr>
      <w:rFonts w:ascii="Trebuchet MS" w:hAnsi="Trebuchet MS" w:cs="Times New Roman"/>
      <w:b/>
      <w:i/>
      <w:color w:val="53548A"/>
    </w:rPr>
  </w:style>
  <w:style w:type="character" w:customStyle="1" w:styleId="Heading5Char">
    <w:name w:val="Heading 5 Char"/>
    <w:basedOn w:val="DefaultParagraphFont"/>
    <w:link w:val="Heading5"/>
    <w:uiPriority w:val="99"/>
    <w:locked/>
    <w:rsid w:val="00E2414C"/>
    <w:rPr>
      <w:rFonts w:ascii="Times New Roman" w:hAnsi="Times New Roman" w:cs="Times New Roman"/>
      <w:lang w:val="es-ES"/>
    </w:rPr>
  </w:style>
  <w:style w:type="character" w:customStyle="1" w:styleId="Heading6Char">
    <w:name w:val="Heading 6 Char"/>
    <w:basedOn w:val="DefaultParagraphFont"/>
    <w:link w:val="Heading6"/>
    <w:uiPriority w:val="99"/>
    <w:locked/>
    <w:rsid w:val="00E2414C"/>
    <w:rPr>
      <w:rFonts w:ascii="Times New Roman" w:hAnsi="Times New Roman" w:cs="Times New Roman"/>
      <w:i/>
      <w:lang w:val="es-ES"/>
    </w:rPr>
  </w:style>
  <w:style w:type="character" w:customStyle="1" w:styleId="Heading7Char">
    <w:name w:val="Heading 7 Char"/>
    <w:basedOn w:val="DefaultParagraphFont"/>
    <w:link w:val="Heading7"/>
    <w:uiPriority w:val="99"/>
    <w:locked/>
    <w:rsid w:val="00E2414C"/>
    <w:rPr>
      <w:rFonts w:ascii="Arial" w:hAnsi="Arial" w:cs="Times New Roman"/>
      <w:sz w:val="24"/>
      <w:lang w:val="es-ES"/>
    </w:rPr>
  </w:style>
  <w:style w:type="character" w:customStyle="1" w:styleId="Heading8Char">
    <w:name w:val="Heading 8 Char"/>
    <w:basedOn w:val="DefaultParagraphFont"/>
    <w:link w:val="Heading8"/>
    <w:uiPriority w:val="99"/>
    <w:locked/>
    <w:rsid w:val="00E2414C"/>
    <w:rPr>
      <w:rFonts w:ascii="Arial" w:hAnsi="Arial" w:cs="Times New Roman"/>
      <w:i/>
      <w:sz w:val="24"/>
      <w:lang w:val="es-ES"/>
    </w:rPr>
  </w:style>
  <w:style w:type="character" w:customStyle="1" w:styleId="Heading9Char">
    <w:name w:val="Heading 9 Char"/>
    <w:basedOn w:val="DefaultParagraphFont"/>
    <w:link w:val="Heading9"/>
    <w:uiPriority w:val="99"/>
    <w:locked/>
    <w:rsid w:val="00E2414C"/>
    <w:rPr>
      <w:rFonts w:ascii="Arial" w:hAnsi="Arial" w:cs="Times New Roman"/>
      <w:b/>
      <w:i/>
      <w:sz w:val="18"/>
      <w:lang w:val="es-ES"/>
    </w:rPr>
  </w:style>
  <w:style w:type="paragraph" w:styleId="ListParagraph">
    <w:name w:val="List Paragraph"/>
    <w:basedOn w:val="Normal"/>
    <w:uiPriority w:val="99"/>
    <w:qFormat/>
    <w:rsid w:val="007A481B"/>
    <w:pPr>
      <w:ind w:left="720"/>
      <w:contextualSpacing/>
    </w:pPr>
  </w:style>
  <w:style w:type="paragraph" w:styleId="TOCHeading">
    <w:name w:val="TOC Heading"/>
    <w:basedOn w:val="Heading1"/>
    <w:next w:val="Normal"/>
    <w:uiPriority w:val="99"/>
    <w:qFormat/>
    <w:rsid w:val="007A481B"/>
    <w:pPr>
      <w:outlineLvl w:val="9"/>
    </w:pPr>
    <w:rPr>
      <w:rFonts w:ascii="Trebuchet MS" w:hAnsi="Trebuchet MS"/>
      <w:color w:val="3E3E67"/>
      <w:lang w:val="es-ES"/>
    </w:rPr>
  </w:style>
  <w:style w:type="paragraph" w:styleId="TOC1">
    <w:name w:val="toc 1"/>
    <w:basedOn w:val="Normal"/>
    <w:next w:val="Normal"/>
    <w:autoRedefine/>
    <w:uiPriority w:val="99"/>
    <w:rsid w:val="007A481B"/>
    <w:pPr>
      <w:spacing w:after="100"/>
    </w:pPr>
  </w:style>
  <w:style w:type="character" w:styleId="Hyperlink">
    <w:name w:val="Hyperlink"/>
    <w:basedOn w:val="DefaultParagraphFont"/>
    <w:uiPriority w:val="99"/>
    <w:rsid w:val="007A481B"/>
    <w:rPr>
      <w:rFonts w:cs="Times New Roman"/>
      <w:color w:val="67AFBD"/>
      <w:u w:val="single"/>
    </w:rPr>
  </w:style>
  <w:style w:type="paragraph" w:styleId="TOC3">
    <w:name w:val="toc 3"/>
    <w:basedOn w:val="Normal"/>
    <w:next w:val="Normal"/>
    <w:autoRedefine/>
    <w:uiPriority w:val="99"/>
    <w:rsid w:val="003222F1"/>
    <w:pPr>
      <w:tabs>
        <w:tab w:val="right" w:leader="dot" w:pos="8495"/>
      </w:tabs>
      <w:spacing w:after="100"/>
      <w:ind w:left="440"/>
    </w:pPr>
    <w:rPr>
      <w:rFonts w:ascii="Times New Roman" w:hAnsi="Times New Roman"/>
      <w:i/>
      <w:noProof/>
    </w:rPr>
  </w:style>
  <w:style w:type="paragraph" w:styleId="BalloonText">
    <w:name w:val="Balloon Text"/>
    <w:basedOn w:val="Normal"/>
    <w:link w:val="BalloonTextChar"/>
    <w:uiPriority w:val="99"/>
    <w:semiHidden/>
    <w:rsid w:val="007A481B"/>
    <w:pPr>
      <w:spacing w:after="0" w:line="240" w:lineRule="auto"/>
    </w:pPr>
    <w:rPr>
      <w:rFonts w:ascii="Tahoma" w:hAnsi="Tahoma"/>
      <w:sz w:val="16"/>
      <w:szCs w:val="16"/>
      <w:lang w:val="en-US" w:eastAsia="es-ES"/>
    </w:rPr>
  </w:style>
  <w:style w:type="character" w:customStyle="1" w:styleId="BalloonTextChar">
    <w:name w:val="Balloon Text Char"/>
    <w:basedOn w:val="DefaultParagraphFont"/>
    <w:link w:val="BalloonText"/>
    <w:uiPriority w:val="99"/>
    <w:semiHidden/>
    <w:locked/>
    <w:rsid w:val="007A481B"/>
    <w:rPr>
      <w:rFonts w:ascii="Tahoma" w:hAnsi="Tahoma" w:cs="Times New Roman"/>
      <w:sz w:val="16"/>
    </w:rPr>
  </w:style>
  <w:style w:type="paragraph" w:customStyle="1" w:styleId="Chapter">
    <w:name w:val="Chapter"/>
    <w:basedOn w:val="Normal"/>
    <w:next w:val="Normal"/>
    <w:uiPriority w:val="99"/>
    <w:rsid w:val="003118CE"/>
    <w:pPr>
      <w:tabs>
        <w:tab w:val="num" w:pos="648"/>
        <w:tab w:val="left" w:pos="1440"/>
      </w:tabs>
      <w:spacing w:before="240" w:after="240" w:line="240" w:lineRule="auto"/>
      <w:ind w:firstLine="288"/>
      <w:jc w:val="center"/>
    </w:pPr>
    <w:rPr>
      <w:rFonts w:ascii="Times New Roman" w:eastAsia="Times New Roman" w:hAnsi="Times New Roman"/>
      <w:b/>
      <w:smallCaps/>
      <w:sz w:val="24"/>
      <w:szCs w:val="20"/>
      <w:lang w:val="es-ES"/>
    </w:rPr>
  </w:style>
  <w:style w:type="paragraph" w:customStyle="1" w:styleId="Paragraph">
    <w:name w:val="Paragraph"/>
    <w:aliases w:val="paragraph,p,PARAGRAPH,PG,pa,at"/>
    <w:basedOn w:val="BodyTextIndent"/>
    <w:link w:val="ParagraphChar"/>
    <w:uiPriority w:val="99"/>
    <w:rsid w:val="003118CE"/>
    <w:pPr>
      <w:tabs>
        <w:tab w:val="num" w:pos="720"/>
      </w:tabs>
      <w:spacing w:before="120" w:line="240" w:lineRule="auto"/>
      <w:ind w:left="720" w:hanging="720"/>
      <w:jc w:val="both"/>
      <w:outlineLvl w:val="1"/>
    </w:pPr>
    <w:rPr>
      <w:rFonts w:ascii="Times New Roman" w:hAnsi="Times New Roman"/>
      <w:lang w:val="es-ES_tradnl" w:eastAsia="x-none"/>
    </w:rPr>
  </w:style>
  <w:style w:type="paragraph" w:styleId="BodyTextIndent">
    <w:name w:val="Body Text Indent"/>
    <w:basedOn w:val="Normal"/>
    <w:link w:val="BodyTextIndentChar"/>
    <w:uiPriority w:val="99"/>
    <w:semiHidden/>
    <w:rsid w:val="003118CE"/>
    <w:pPr>
      <w:spacing w:after="120"/>
      <w:ind w:left="283"/>
    </w:pPr>
    <w:rPr>
      <w:sz w:val="20"/>
      <w:szCs w:val="20"/>
      <w:lang w:val="en-US" w:eastAsia="es-ES"/>
    </w:rPr>
  </w:style>
  <w:style w:type="character" w:customStyle="1" w:styleId="BodyTextIndentChar">
    <w:name w:val="Body Text Indent Char"/>
    <w:basedOn w:val="DefaultParagraphFont"/>
    <w:link w:val="BodyTextIndent"/>
    <w:uiPriority w:val="99"/>
    <w:semiHidden/>
    <w:locked/>
    <w:rsid w:val="003118CE"/>
    <w:rPr>
      <w:rFonts w:ascii="Calibri" w:hAnsi="Calibri" w:cs="Times New Roman"/>
    </w:rPr>
  </w:style>
  <w:style w:type="character" w:customStyle="1" w:styleId="ParagraphChar">
    <w:name w:val="Paragraph Char"/>
    <w:link w:val="Paragraph"/>
    <w:uiPriority w:val="99"/>
    <w:locked/>
    <w:rsid w:val="003118CE"/>
    <w:rPr>
      <w:rFonts w:ascii="Times New Roman" w:hAnsi="Times New Roman"/>
      <w:sz w:val="20"/>
      <w:lang w:val="es-ES_tradnl"/>
    </w:rPr>
  </w:style>
  <w:style w:type="paragraph" w:customStyle="1" w:styleId="subpar">
    <w:name w:val="subpar"/>
    <w:basedOn w:val="BodyTextIndent3"/>
    <w:uiPriority w:val="99"/>
    <w:rsid w:val="003118CE"/>
    <w:pPr>
      <w:tabs>
        <w:tab w:val="num" w:pos="1152"/>
      </w:tabs>
      <w:spacing w:before="120" w:line="240" w:lineRule="auto"/>
      <w:ind w:left="1152" w:hanging="432"/>
      <w:jc w:val="both"/>
      <w:outlineLvl w:val="2"/>
    </w:pPr>
    <w:rPr>
      <w:rFonts w:ascii="Times New Roman" w:eastAsia="Times New Roman" w:hAnsi="Times New Roman"/>
      <w:sz w:val="24"/>
      <w:szCs w:val="20"/>
      <w:lang w:val="es-ES_tradnl"/>
    </w:rPr>
  </w:style>
  <w:style w:type="paragraph" w:styleId="BodyTextIndent3">
    <w:name w:val="Body Text Indent 3"/>
    <w:basedOn w:val="Normal"/>
    <w:link w:val="BodyTextIndent3Char"/>
    <w:uiPriority w:val="99"/>
    <w:semiHidden/>
    <w:rsid w:val="003118CE"/>
    <w:pPr>
      <w:spacing w:after="120"/>
      <w:ind w:left="283"/>
    </w:pPr>
    <w:rPr>
      <w:sz w:val="16"/>
      <w:szCs w:val="16"/>
      <w:lang w:val="en-US" w:eastAsia="es-ES"/>
    </w:rPr>
  </w:style>
  <w:style w:type="character" w:customStyle="1" w:styleId="BodyTextIndent3Char">
    <w:name w:val="Body Text Indent 3 Char"/>
    <w:basedOn w:val="DefaultParagraphFont"/>
    <w:link w:val="BodyTextIndent3"/>
    <w:uiPriority w:val="99"/>
    <w:semiHidden/>
    <w:locked/>
    <w:rsid w:val="003118CE"/>
    <w:rPr>
      <w:rFonts w:ascii="Calibri" w:hAnsi="Calibri" w:cs="Times New Roman"/>
      <w:sz w:val="16"/>
    </w:rPr>
  </w:style>
  <w:style w:type="paragraph" w:customStyle="1" w:styleId="SubSubPar">
    <w:name w:val="SubSubPar"/>
    <w:basedOn w:val="subpar"/>
    <w:uiPriority w:val="99"/>
    <w:rsid w:val="003118CE"/>
    <w:pPr>
      <w:numPr>
        <w:ilvl w:val="3"/>
      </w:numPr>
      <w:tabs>
        <w:tab w:val="left" w:pos="0"/>
        <w:tab w:val="num" w:pos="1152"/>
      </w:tabs>
      <w:ind w:left="1152" w:hanging="432"/>
    </w:pPr>
  </w:style>
  <w:style w:type="paragraph" w:customStyle="1" w:styleId="Newpage">
    <w:name w:val="Newpage"/>
    <w:basedOn w:val="Chapter"/>
    <w:uiPriority w:val="99"/>
    <w:rsid w:val="00957666"/>
    <w:pPr>
      <w:tabs>
        <w:tab w:val="clear" w:pos="648"/>
        <w:tab w:val="left" w:pos="3060"/>
      </w:tabs>
      <w:spacing w:before="0" w:after="0"/>
      <w:ind w:firstLine="0"/>
    </w:pPr>
    <w:rPr>
      <w:lang w:val="en-US"/>
    </w:rPr>
  </w:style>
  <w:style w:type="character" w:styleId="FootnoteReference">
    <w:name w:val="footnote reference"/>
    <w:basedOn w:val="DefaultParagraphFont"/>
    <w:uiPriority w:val="99"/>
    <w:semiHidden/>
    <w:rsid w:val="00134EE9"/>
    <w:rPr>
      <w:rFonts w:cs="Times New Roman"/>
    </w:rPr>
  </w:style>
  <w:style w:type="paragraph" w:customStyle="1" w:styleId="EstiloParagraphDespus0ptoCar">
    <w:name w:val="Estilo Paragraph + Después:  0 pto Car"/>
    <w:basedOn w:val="Normal"/>
    <w:uiPriority w:val="99"/>
    <w:rsid w:val="00134EE9"/>
    <w:pPr>
      <w:tabs>
        <w:tab w:val="num" w:pos="576"/>
      </w:tabs>
      <w:spacing w:before="120" w:after="120" w:line="240" w:lineRule="auto"/>
      <w:ind w:left="576" w:hanging="576"/>
      <w:jc w:val="both"/>
      <w:outlineLvl w:val="1"/>
    </w:pPr>
    <w:rPr>
      <w:rFonts w:ascii="Times New Roman" w:eastAsia="Times New Roman" w:hAnsi="Times New Roman"/>
      <w:sz w:val="24"/>
      <w:szCs w:val="20"/>
      <w:lang w:val="es-ES"/>
    </w:rPr>
  </w:style>
  <w:style w:type="paragraph" w:customStyle="1" w:styleId="FirstHeading">
    <w:name w:val="FirstHeading"/>
    <w:basedOn w:val="Normal"/>
    <w:uiPriority w:val="99"/>
    <w:rsid w:val="00134EE9"/>
    <w:pPr>
      <w:keepNext/>
      <w:tabs>
        <w:tab w:val="left" w:pos="0"/>
        <w:tab w:val="left" w:pos="90"/>
      </w:tabs>
      <w:spacing w:before="120" w:after="120" w:line="240" w:lineRule="auto"/>
      <w:ind w:left="720" w:hanging="720"/>
    </w:pPr>
    <w:rPr>
      <w:rFonts w:ascii="Times New Roman" w:eastAsia="Times New Roman" w:hAnsi="Times New Roman"/>
      <w:b/>
      <w:sz w:val="24"/>
      <w:szCs w:val="20"/>
      <w:lang w:val="es-ES"/>
    </w:rPr>
  </w:style>
  <w:style w:type="paragraph" w:customStyle="1" w:styleId="SecHeading">
    <w:name w:val="SecHeading"/>
    <w:basedOn w:val="Normal"/>
    <w:next w:val="Normal"/>
    <w:uiPriority w:val="99"/>
    <w:rsid w:val="00134EE9"/>
    <w:pPr>
      <w:keepNext/>
      <w:tabs>
        <w:tab w:val="num" w:pos="1296"/>
      </w:tabs>
      <w:spacing w:before="120" w:after="120" w:line="240" w:lineRule="auto"/>
      <w:ind w:left="1296" w:hanging="576"/>
    </w:pPr>
    <w:rPr>
      <w:rFonts w:ascii="Times New Roman" w:eastAsia="Times New Roman" w:hAnsi="Times New Roman"/>
      <w:b/>
      <w:sz w:val="24"/>
      <w:szCs w:val="20"/>
      <w:lang w:val="es-ES_tradnl"/>
    </w:rPr>
  </w:style>
  <w:style w:type="paragraph" w:customStyle="1" w:styleId="SubHeading1">
    <w:name w:val="SubHeading1"/>
    <w:basedOn w:val="SecHeading"/>
    <w:uiPriority w:val="99"/>
    <w:rsid w:val="00134EE9"/>
    <w:pPr>
      <w:numPr>
        <w:ilvl w:val="2"/>
      </w:numPr>
      <w:tabs>
        <w:tab w:val="num" w:pos="360"/>
        <w:tab w:val="num" w:pos="1296"/>
      </w:tabs>
      <w:ind w:left="1296" w:hanging="576"/>
    </w:pPr>
  </w:style>
  <w:style w:type="paragraph" w:customStyle="1" w:styleId="Subheading2">
    <w:name w:val="Subheading2"/>
    <w:basedOn w:val="SecHeading"/>
    <w:uiPriority w:val="99"/>
    <w:rsid w:val="00134EE9"/>
    <w:pPr>
      <w:numPr>
        <w:ilvl w:val="3"/>
      </w:numPr>
      <w:tabs>
        <w:tab w:val="num" w:pos="360"/>
        <w:tab w:val="num" w:pos="1296"/>
      </w:tabs>
      <w:ind w:left="1296" w:hanging="576"/>
    </w:pPr>
  </w:style>
  <w:style w:type="character" w:customStyle="1" w:styleId="subparCarCarCar">
    <w:name w:val="subpar Car Car Car"/>
    <w:uiPriority w:val="99"/>
    <w:rsid w:val="00134EE9"/>
    <w:rPr>
      <w:sz w:val="24"/>
      <w:lang w:val="es-ES_tradnl" w:eastAsia="en-US"/>
    </w:rPr>
  </w:style>
  <w:style w:type="paragraph" w:styleId="FootnoteText">
    <w:name w:val="footnote text"/>
    <w:aliases w:val="Texto nota pie IIRSA,fn,foottextfra,footnote,F,Texto nota pie Car Car,Texto de rodapé,nota_rodapé,nota de rodapé,FOOTNOTES,single space,Footnote Text Char Char,Style 25,Texto nota piepddes Car Car,Texto nota piepddes Car,ft"/>
    <w:basedOn w:val="Normal"/>
    <w:link w:val="FootnoteTextChar1"/>
    <w:uiPriority w:val="99"/>
    <w:rsid w:val="00134EE9"/>
    <w:pPr>
      <w:spacing w:after="0" w:line="240" w:lineRule="auto"/>
    </w:pPr>
    <w:rPr>
      <w:rFonts w:ascii="Times New Roman" w:hAnsi="Times New Roman"/>
      <w:sz w:val="20"/>
      <w:szCs w:val="20"/>
      <w:lang w:val="es-ES" w:eastAsia="x-none"/>
    </w:rPr>
  </w:style>
  <w:style w:type="character" w:customStyle="1" w:styleId="FootnoteTextChar">
    <w:name w:val="Footnote Text Char"/>
    <w:aliases w:val="Texto nota pie IIRSA Char,fn Char,foottextfra Char,footnote Char,F Char,Texto nota pie Car Car Char,Texto de rodapé Char,nota_rodapé Char,nota de rodapé Char,FOOTNOTES Char,single space Char,Footnote Text Char Char Char,Style 25 Char"/>
    <w:basedOn w:val="DefaultParagraphFont"/>
    <w:uiPriority w:val="99"/>
    <w:semiHidden/>
    <w:locked/>
    <w:rsid w:val="00CB79AC"/>
    <w:rPr>
      <w:rFonts w:ascii="Calibri" w:hAnsi="Calibri" w:cs="Times New Roman"/>
      <w:sz w:val="20"/>
      <w:lang w:val="es-AR"/>
    </w:rPr>
  </w:style>
  <w:style w:type="character" w:customStyle="1" w:styleId="FootnoteTextChar1">
    <w:name w:val="Footnote Text Char1"/>
    <w:aliases w:val="Texto nota pie IIRSA Char1,fn Char1,foottextfra Char1,footnote Char1,F Char1,Texto nota pie Car Car Char1,Texto de rodapé Char1,nota_rodapé Char1,nota de rodapé Char1,FOOTNOTES Char1,single space Char1,Footnote Text Char Char Char1"/>
    <w:link w:val="FootnoteText"/>
    <w:uiPriority w:val="99"/>
    <w:locked/>
    <w:rsid w:val="00134EE9"/>
    <w:rPr>
      <w:rFonts w:ascii="Times New Roman" w:hAnsi="Times New Roman"/>
      <w:sz w:val="20"/>
      <w:lang w:val="es-ES"/>
    </w:rPr>
  </w:style>
  <w:style w:type="paragraph" w:styleId="TOC2">
    <w:name w:val="toc 2"/>
    <w:basedOn w:val="Normal"/>
    <w:next w:val="Normal"/>
    <w:autoRedefine/>
    <w:uiPriority w:val="99"/>
    <w:rsid w:val="005923E7"/>
    <w:pPr>
      <w:spacing w:after="100"/>
      <w:ind w:left="220"/>
    </w:pPr>
  </w:style>
  <w:style w:type="paragraph" w:styleId="Header">
    <w:name w:val="header"/>
    <w:basedOn w:val="Normal"/>
    <w:link w:val="HeaderChar"/>
    <w:uiPriority w:val="99"/>
    <w:semiHidden/>
    <w:rsid w:val="00191AC5"/>
    <w:pPr>
      <w:tabs>
        <w:tab w:val="center" w:pos="4419"/>
        <w:tab w:val="right" w:pos="8838"/>
      </w:tabs>
      <w:spacing w:after="0" w:line="240" w:lineRule="auto"/>
    </w:pPr>
    <w:rPr>
      <w:sz w:val="20"/>
      <w:szCs w:val="20"/>
      <w:lang w:val="en-US" w:eastAsia="es-ES"/>
    </w:rPr>
  </w:style>
  <w:style w:type="character" w:customStyle="1" w:styleId="HeaderChar">
    <w:name w:val="Header Char"/>
    <w:basedOn w:val="DefaultParagraphFont"/>
    <w:link w:val="Header"/>
    <w:uiPriority w:val="99"/>
    <w:semiHidden/>
    <w:locked/>
    <w:rsid w:val="00191AC5"/>
    <w:rPr>
      <w:rFonts w:ascii="Calibri" w:hAnsi="Calibri" w:cs="Times New Roman"/>
    </w:rPr>
  </w:style>
  <w:style w:type="paragraph" w:styleId="Footer">
    <w:name w:val="footer"/>
    <w:basedOn w:val="Normal"/>
    <w:link w:val="FooterChar"/>
    <w:uiPriority w:val="99"/>
    <w:rsid w:val="00191AC5"/>
    <w:pPr>
      <w:tabs>
        <w:tab w:val="center" w:pos="4419"/>
        <w:tab w:val="right" w:pos="8838"/>
      </w:tabs>
      <w:spacing w:after="0" w:line="240" w:lineRule="auto"/>
    </w:pPr>
    <w:rPr>
      <w:sz w:val="20"/>
      <w:szCs w:val="20"/>
      <w:lang w:val="en-US" w:eastAsia="es-ES"/>
    </w:rPr>
  </w:style>
  <w:style w:type="character" w:customStyle="1" w:styleId="FooterChar">
    <w:name w:val="Footer Char"/>
    <w:basedOn w:val="DefaultParagraphFont"/>
    <w:link w:val="Footer"/>
    <w:uiPriority w:val="99"/>
    <w:locked/>
    <w:rsid w:val="00191AC5"/>
    <w:rPr>
      <w:rFonts w:ascii="Calibri" w:hAnsi="Calibri" w:cs="Times New Roman"/>
    </w:rPr>
  </w:style>
  <w:style w:type="paragraph" w:styleId="NoSpacing">
    <w:name w:val="No Spacing"/>
    <w:uiPriority w:val="99"/>
    <w:qFormat/>
    <w:rsid w:val="00C27203"/>
    <w:rPr>
      <w:sz w:val="22"/>
      <w:szCs w:val="22"/>
      <w:lang w:val="es-AR" w:eastAsia="en-US"/>
    </w:rPr>
  </w:style>
  <w:style w:type="table" w:styleId="TableGrid">
    <w:name w:val="Table Grid"/>
    <w:basedOn w:val="TableNormal"/>
    <w:uiPriority w:val="99"/>
    <w:rsid w:val="008E0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416D3"/>
    <w:rPr>
      <w:rFonts w:cs="Times New Roman"/>
      <w:sz w:val="16"/>
    </w:rPr>
  </w:style>
  <w:style w:type="paragraph" w:styleId="CommentText">
    <w:name w:val="annotation text"/>
    <w:basedOn w:val="Normal"/>
    <w:link w:val="CommentTextChar"/>
    <w:uiPriority w:val="99"/>
    <w:semiHidden/>
    <w:rsid w:val="009416D3"/>
    <w:pPr>
      <w:spacing w:line="240" w:lineRule="auto"/>
    </w:pPr>
    <w:rPr>
      <w:sz w:val="20"/>
      <w:szCs w:val="20"/>
      <w:lang w:val="en-US" w:eastAsia="es-ES"/>
    </w:rPr>
  </w:style>
  <w:style w:type="character" w:customStyle="1" w:styleId="CommentTextChar">
    <w:name w:val="Comment Text Char"/>
    <w:basedOn w:val="DefaultParagraphFont"/>
    <w:link w:val="CommentText"/>
    <w:uiPriority w:val="99"/>
    <w:semiHidden/>
    <w:locked/>
    <w:rsid w:val="009416D3"/>
    <w:rPr>
      <w:rFonts w:ascii="Calibri" w:hAnsi="Calibri" w:cs="Times New Roman"/>
      <w:sz w:val="20"/>
    </w:rPr>
  </w:style>
  <w:style w:type="paragraph" w:styleId="CommentSubject">
    <w:name w:val="annotation subject"/>
    <w:basedOn w:val="CommentText"/>
    <w:next w:val="CommentText"/>
    <w:link w:val="CommentSubjectChar"/>
    <w:uiPriority w:val="99"/>
    <w:semiHidden/>
    <w:rsid w:val="009416D3"/>
    <w:rPr>
      <w:b/>
      <w:bCs/>
    </w:rPr>
  </w:style>
  <w:style w:type="character" w:customStyle="1" w:styleId="CommentSubjectChar">
    <w:name w:val="Comment Subject Char"/>
    <w:basedOn w:val="CommentTextChar"/>
    <w:link w:val="CommentSubject"/>
    <w:uiPriority w:val="99"/>
    <w:semiHidden/>
    <w:locked/>
    <w:rsid w:val="009416D3"/>
    <w:rPr>
      <w:rFonts w:ascii="Calibri" w:hAnsi="Calibri" w:cs="Times New Roman"/>
      <w:b/>
      <w:sz w:val="20"/>
    </w:rPr>
  </w:style>
  <w:style w:type="character" w:customStyle="1" w:styleId="Ttulodellibro1">
    <w:name w:val="Título del libro1"/>
    <w:uiPriority w:val="99"/>
    <w:rsid w:val="00776148"/>
  </w:style>
  <w:style w:type="character" w:styleId="EndnoteReference">
    <w:name w:val="endnote reference"/>
    <w:basedOn w:val="DefaultParagraphFont"/>
    <w:uiPriority w:val="99"/>
    <w:semiHidden/>
    <w:rsid w:val="00BB6A3C"/>
    <w:rPr>
      <w:rFonts w:cs="Times New Roman"/>
      <w:vertAlign w:val="superscript"/>
    </w:rPr>
  </w:style>
  <w:style w:type="paragraph" w:styleId="Title">
    <w:name w:val="Title"/>
    <w:basedOn w:val="Normal"/>
    <w:link w:val="TitleChar"/>
    <w:uiPriority w:val="99"/>
    <w:qFormat/>
    <w:locked/>
    <w:rsid w:val="00065B1F"/>
    <w:pPr>
      <w:spacing w:before="240" w:after="60" w:line="240" w:lineRule="auto"/>
      <w:jc w:val="center"/>
      <w:outlineLvl w:val="0"/>
    </w:pPr>
    <w:rPr>
      <w:rFonts w:ascii="Arial" w:hAnsi="Arial" w:cs="Arial"/>
      <w:b/>
      <w:bCs/>
      <w:kern w:val="28"/>
      <w:sz w:val="32"/>
      <w:szCs w:val="32"/>
      <w:lang w:val="es-ES" w:eastAsia="es-ES"/>
    </w:rPr>
  </w:style>
  <w:style w:type="character" w:customStyle="1" w:styleId="TitleChar">
    <w:name w:val="Title Char"/>
    <w:basedOn w:val="DefaultParagraphFont"/>
    <w:link w:val="Title"/>
    <w:uiPriority w:val="99"/>
    <w:locked/>
    <w:rsid w:val="00065B1F"/>
    <w:rPr>
      <w:rFonts w:ascii="Arial" w:hAnsi="Arial" w:cs="Arial"/>
      <w:b/>
      <w:bCs/>
      <w:kern w:val="28"/>
      <w:sz w:val="32"/>
      <w:szCs w:val="32"/>
      <w:lang w:val="es-ES" w:eastAsia="es-ES" w:bidi="ar-SA"/>
    </w:rPr>
  </w:style>
  <w:style w:type="paragraph" w:styleId="BodyTextIndent2">
    <w:name w:val="Body Text Indent 2"/>
    <w:basedOn w:val="Normal"/>
    <w:link w:val="BodyTextIndent2Char"/>
    <w:uiPriority w:val="99"/>
    <w:locked/>
    <w:rsid w:val="00F24FE7"/>
    <w:pPr>
      <w:spacing w:after="120" w:line="480" w:lineRule="auto"/>
      <w:ind w:left="283"/>
    </w:pPr>
    <w:rPr>
      <w:rFonts w:ascii="Times New Roman" w:hAnsi="Times New Roman"/>
      <w:sz w:val="24"/>
      <w:szCs w:val="24"/>
      <w:lang w:val="es-ES_tradnl" w:eastAsia="es-ES_tradnl"/>
    </w:rPr>
  </w:style>
  <w:style w:type="character" w:customStyle="1" w:styleId="BodyTextIndent2Char">
    <w:name w:val="Body Text Indent 2 Char"/>
    <w:basedOn w:val="DefaultParagraphFont"/>
    <w:link w:val="BodyTextIndent2"/>
    <w:uiPriority w:val="99"/>
    <w:semiHidden/>
    <w:locked/>
    <w:rsid w:val="00BD5B83"/>
    <w:rPr>
      <w:rFonts w:ascii="Calibri" w:hAnsi="Calibri" w:cs="Times New Roman"/>
      <w:lang w:val="es-AR"/>
    </w:rPr>
  </w:style>
  <w:style w:type="character" w:customStyle="1" w:styleId="st">
    <w:name w:val="st"/>
    <w:basedOn w:val="DefaultParagraphFont"/>
    <w:uiPriority w:val="99"/>
    <w:rsid w:val="00F26B2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Times New Roman"/>
        <w:lang w:val="es-ES_tradnl" w:eastAsia="es-ES_trad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A481B"/>
    <w:pPr>
      <w:spacing w:after="200" w:line="276" w:lineRule="auto"/>
    </w:pPr>
    <w:rPr>
      <w:rFonts w:ascii="Calibri" w:hAnsi="Calibri"/>
      <w:sz w:val="22"/>
      <w:szCs w:val="22"/>
      <w:lang w:val="es-AR" w:eastAsia="en-US"/>
    </w:rPr>
  </w:style>
  <w:style w:type="paragraph" w:styleId="Heading1">
    <w:name w:val="heading 1"/>
    <w:basedOn w:val="Normal"/>
    <w:next w:val="Normal"/>
    <w:link w:val="Heading1Char"/>
    <w:uiPriority w:val="99"/>
    <w:qFormat/>
    <w:rsid w:val="007A481B"/>
    <w:pPr>
      <w:keepNext/>
      <w:keepLines/>
      <w:spacing w:before="480" w:after="0"/>
      <w:outlineLvl w:val="0"/>
    </w:pPr>
    <w:rPr>
      <w:rFonts w:ascii="Cambria" w:hAnsi="Cambria"/>
      <w:b/>
      <w:bCs/>
      <w:color w:val="365F91"/>
      <w:sz w:val="28"/>
      <w:szCs w:val="28"/>
      <w:lang w:val="en-US" w:eastAsia="es-ES"/>
    </w:rPr>
  </w:style>
  <w:style w:type="paragraph" w:styleId="Heading2">
    <w:name w:val="heading 2"/>
    <w:basedOn w:val="Normal"/>
    <w:next w:val="Normal"/>
    <w:link w:val="Heading2Char"/>
    <w:uiPriority w:val="99"/>
    <w:qFormat/>
    <w:rsid w:val="00015BDD"/>
    <w:pPr>
      <w:keepNext/>
      <w:keepLines/>
      <w:spacing w:before="200" w:after="0"/>
      <w:outlineLvl w:val="1"/>
    </w:pPr>
    <w:rPr>
      <w:rFonts w:ascii="Trebuchet MS" w:hAnsi="Trebuchet MS"/>
      <w:b/>
      <w:bCs/>
      <w:color w:val="53548A"/>
      <w:sz w:val="26"/>
      <w:szCs w:val="26"/>
      <w:lang w:val="en-US" w:eastAsia="es-ES"/>
    </w:rPr>
  </w:style>
  <w:style w:type="paragraph" w:styleId="Heading3">
    <w:name w:val="heading 3"/>
    <w:basedOn w:val="Normal"/>
    <w:next w:val="Normal"/>
    <w:link w:val="Heading3Char"/>
    <w:uiPriority w:val="99"/>
    <w:qFormat/>
    <w:rsid w:val="007A481B"/>
    <w:pPr>
      <w:keepNext/>
      <w:spacing w:before="240" w:after="60" w:line="240" w:lineRule="auto"/>
      <w:outlineLvl w:val="2"/>
    </w:pPr>
    <w:rPr>
      <w:rFonts w:ascii="Arial" w:hAnsi="Arial"/>
      <w:b/>
      <w:bCs/>
      <w:sz w:val="26"/>
      <w:szCs w:val="26"/>
      <w:lang w:val="es-ES" w:eastAsia="es-ES"/>
    </w:rPr>
  </w:style>
  <w:style w:type="paragraph" w:styleId="Heading4">
    <w:name w:val="heading 4"/>
    <w:basedOn w:val="Normal"/>
    <w:next w:val="Normal"/>
    <w:link w:val="Heading4Char"/>
    <w:uiPriority w:val="99"/>
    <w:qFormat/>
    <w:rsid w:val="00E06872"/>
    <w:pPr>
      <w:keepNext/>
      <w:keepLines/>
      <w:spacing w:before="200" w:after="0"/>
      <w:outlineLvl w:val="3"/>
    </w:pPr>
    <w:rPr>
      <w:rFonts w:ascii="Trebuchet MS" w:hAnsi="Trebuchet MS"/>
      <w:b/>
      <w:bCs/>
      <w:i/>
      <w:iCs/>
      <w:color w:val="53548A"/>
      <w:sz w:val="20"/>
      <w:szCs w:val="20"/>
      <w:lang w:val="en-US" w:eastAsia="es-ES"/>
    </w:rPr>
  </w:style>
  <w:style w:type="paragraph" w:styleId="Heading5">
    <w:name w:val="heading 5"/>
    <w:basedOn w:val="Normal"/>
    <w:next w:val="Normal"/>
    <w:link w:val="Heading5Char"/>
    <w:uiPriority w:val="99"/>
    <w:qFormat/>
    <w:rsid w:val="00E2414C"/>
    <w:pPr>
      <w:spacing w:before="240" w:after="60" w:line="240" w:lineRule="auto"/>
      <w:ind w:left="5112" w:hanging="432"/>
      <w:jc w:val="both"/>
      <w:outlineLvl w:val="4"/>
    </w:pPr>
    <w:rPr>
      <w:rFonts w:ascii="Times New Roman" w:hAnsi="Times New Roman"/>
      <w:sz w:val="20"/>
      <w:szCs w:val="20"/>
      <w:lang w:val="es-ES" w:eastAsia="es-ES"/>
    </w:rPr>
  </w:style>
  <w:style w:type="paragraph" w:styleId="Heading6">
    <w:name w:val="heading 6"/>
    <w:basedOn w:val="Normal"/>
    <w:next w:val="Normal"/>
    <w:link w:val="Heading6Char"/>
    <w:uiPriority w:val="99"/>
    <w:qFormat/>
    <w:rsid w:val="00E2414C"/>
    <w:pPr>
      <w:spacing w:before="240" w:after="60" w:line="240" w:lineRule="auto"/>
      <w:ind w:left="5256" w:hanging="432"/>
      <w:jc w:val="both"/>
      <w:outlineLvl w:val="5"/>
    </w:pPr>
    <w:rPr>
      <w:rFonts w:ascii="Times New Roman" w:hAnsi="Times New Roman"/>
      <w:i/>
      <w:iCs/>
      <w:sz w:val="20"/>
      <w:szCs w:val="20"/>
      <w:lang w:val="es-ES" w:eastAsia="es-ES"/>
    </w:rPr>
  </w:style>
  <w:style w:type="paragraph" w:styleId="Heading7">
    <w:name w:val="heading 7"/>
    <w:basedOn w:val="Normal"/>
    <w:next w:val="Normal"/>
    <w:link w:val="Heading7Char"/>
    <w:uiPriority w:val="99"/>
    <w:qFormat/>
    <w:rsid w:val="00E2414C"/>
    <w:pPr>
      <w:spacing w:before="240" w:after="60" w:line="240" w:lineRule="auto"/>
      <w:ind w:left="5400" w:hanging="288"/>
      <w:jc w:val="both"/>
      <w:outlineLvl w:val="6"/>
    </w:pPr>
    <w:rPr>
      <w:rFonts w:ascii="Arial" w:hAnsi="Arial"/>
      <w:sz w:val="24"/>
      <w:szCs w:val="24"/>
      <w:lang w:val="es-ES" w:eastAsia="es-ES"/>
    </w:rPr>
  </w:style>
  <w:style w:type="paragraph" w:styleId="Heading8">
    <w:name w:val="heading 8"/>
    <w:basedOn w:val="Normal"/>
    <w:next w:val="Normal"/>
    <w:link w:val="Heading8Char"/>
    <w:uiPriority w:val="99"/>
    <w:qFormat/>
    <w:rsid w:val="00E2414C"/>
    <w:pPr>
      <w:spacing w:before="240" w:after="60" w:line="240" w:lineRule="auto"/>
      <w:ind w:left="5544" w:hanging="432"/>
      <w:jc w:val="both"/>
      <w:outlineLvl w:val="7"/>
    </w:pPr>
    <w:rPr>
      <w:rFonts w:ascii="Arial" w:hAnsi="Arial"/>
      <w:i/>
      <w:iCs/>
      <w:sz w:val="24"/>
      <w:szCs w:val="24"/>
      <w:lang w:val="es-ES" w:eastAsia="es-ES"/>
    </w:rPr>
  </w:style>
  <w:style w:type="paragraph" w:styleId="Heading9">
    <w:name w:val="heading 9"/>
    <w:basedOn w:val="Normal"/>
    <w:next w:val="Normal"/>
    <w:link w:val="Heading9Char"/>
    <w:uiPriority w:val="99"/>
    <w:qFormat/>
    <w:rsid w:val="00E2414C"/>
    <w:pPr>
      <w:spacing w:before="240" w:after="60" w:line="240" w:lineRule="auto"/>
      <w:ind w:left="5688" w:hanging="144"/>
      <w:jc w:val="both"/>
      <w:outlineLvl w:val="8"/>
    </w:pPr>
    <w:rPr>
      <w:rFonts w:ascii="Arial" w:hAnsi="Arial"/>
      <w:b/>
      <w:bCs/>
      <w:i/>
      <w:iCs/>
      <w:sz w:val="18"/>
      <w:szCs w:val="18"/>
      <w:lang w:val="es-ES"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81B"/>
    <w:rPr>
      <w:rFonts w:ascii="Cambria" w:hAnsi="Cambria" w:cs="Times New Roman"/>
      <w:b/>
      <w:color w:val="365F91"/>
      <w:sz w:val="28"/>
    </w:rPr>
  </w:style>
  <w:style w:type="character" w:customStyle="1" w:styleId="Heading2Char">
    <w:name w:val="Heading 2 Char"/>
    <w:basedOn w:val="DefaultParagraphFont"/>
    <w:link w:val="Heading2"/>
    <w:uiPriority w:val="99"/>
    <w:locked/>
    <w:rsid w:val="00015BDD"/>
    <w:rPr>
      <w:rFonts w:ascii="Trebuchet MS" w:hAnsi="Trebuchet MS" w:cs="Times New Roman"/>
      <w:b/>
      <w:color w:val="53548A"/>
      <w:sz w:val="26"/>
    </w:rPr>
  </w:style>
  <w:style w:type="character" w:customStyle="1" w:styleId="Heading3Char">
    <w:name w:val="Heading 3 Char"/>
    <w:basedOn w:val="DefaultParagraphFont"/>
    <w:link w:val="Heading3"/>
    <w:uiPriority w:val="99"/>
    <w:locked/>
    <w:rsid w:val="007A481B"/>
    <w:rPr>
      <w:rFonts w:ascii="Arial" w:hAnsi="Arial" w:cs="Times New Roman"/>
      <w:b/>
      <w:sz w:val="26"/>
      <w:lang w:val="es-ES" w:eastAsia="es-ES"/>
    </w:rPr>
  </w:style>
  <w:style w:type="character" w:customStyle="1" w:styleId="Heading4Char">
    <w:name w:val="Heading 4 Char"/>
    <w:basedOn w:val="DefaultParagraphFont"/>
    <w:link w:val="Heading4"/>
    <w:uiPriority w:val="99"/>
    <w:locked/>
    <w:rsid w:val="00E06872"/>
    <w:rPr>
      <w:rFonts w:ascii="Trebuchet MS" w:hAnsi="Trebuchet MS" w:cs="Times New Roman"/>
      <w:b/>
      <w:i/>
      <w:color w:val="53548A"/>
    </w:rPr>
  </w:style>
  <w:style w:type="character" w:customStyle="1" w:styleId="Heading5Char">
    <w:name w:val="Heading 5 Char"/>
    <w:basedOn w:val="DefaultParagraphFont"/>
    <w:link w:val="Heading5"/>
    <w:uiPriority w:val="99"/>
    <w:locked/>
    <w:rsid w:val="00E2414C"/>
    <w:rPr>
      <w:rFonts w:ascii="Times New Roman" w:hAnsi="Times New Roman" w:cs="Times New Roman"/>
      <w:lang w:val="es-ES"/>
    </w:rPr>
  </w:style>
  <w:style w:type="character" w:customStyle="1" w:styleId="Heading6Char">
    <w:name w:val="Heading 6 Char"/>
    <w:basedOn w:val="DefaultParagraphFont"/>
    <w:link w:val="Heading6"/>
    <w:uiPriority w:val="99"/>
    <w:locked/>
    <w:rsid w:val="00E2414C"/>
    <w:rPr>
      <w:rFonts w:ascii="Times New Roman" w:hAnsi="Times New Roman" w:cs="Times New Roman"/>
      <w:i/>
      <w:lang w:val="es-ES"/>
    </w:rPr>
  </w:style>
  <w:style w:type="character" w:customStyle="1" w:styleId="Heading7Char">
    <w:name w:val="Heading 7 Char"/>
    <w:basedOn w:val="DefaultParagraphFont"/>
    <w:link w:val="Heading7"/>
    <w:uiPriority w:val="99"/>
    <w:locked/>
    <w:rsid w:val="00E2414C"/>
    <w:rPr>
      <w:rFonts w:ascii="Arial" w:hAnsi="Arial" w:cs="Times New Roman"/>
      <w:sz w:val="24"/>
      <w:lang w:val="es-ES"/>
    </w:rPr>
  </w:style>
  <w:style w:type="character" w:customStyle="1" w:styleId="Heading8Char">
    <w:name w:val="Heading 8 Char"/>
    <w:basedOn w:val="DefaultParagraphFont"/>
    <w:link w:val="Heading8"/>
    <w:uiPriority w:val="99"/>
    <w:locked/>
    <w:rsid w:val="00E2414C"/>
    <w:rPr>
      <w:rFonts w:ascii="Arial" w:hAnsi="Arial" w:cs="Times New Roman"/>
      <w:i/>
      <w:sz w:val="24"/>
      <w:lang w:val="es-ES"/>
    </w:rPr>
  </w:style>
  <w:style w:type="character" w:customStyle="1" w:styleId="Heading9Char">
    <w:name w:val="Heading 9 Char"/>
    <w:basedOn w:val="DefaultParagraphFont"/>
    <w:link w:val="Heading9"/>
    <w:uiPriority w:val="99"/>
    <w:locked/>
    <w:rsid w:val="00E2414C"/>
    <w:rPr>
      <w:rFonts w:ascii="Arial" w:hAnsi="Arial" w:cs="Times New Roman"/>
      <w:b/>
      <w:i/>
      <w:sz w:val="18"/>
      <w:lang w:val="es-ES"/>
    </w:rPr>
  </w:style>
  <w:style w:type="paragraph" w:styleId="ListParagraph">
    <w:name w:val="List Paragraph"/>
    <w:basedOn w:val="Normal"/>
    <w:uiPriority w:val="99"/>
    <w:qFormat/>
    <w:rsid w:val="007A481B"/>
    <w:pPr>
      <w:ind w:left="720"/>
      <w:contextualSpacing/>
    </w:pPr>
  </w:style>
  <w:style w:type="paragraph" w:styleId="TOCHeading">
    <w:name w:val="TOC Heading"/>
    <w:basedOn w:val="Heading1"/>
    <w:next w:val="Normal"/>
    <w:uiPriority w:val="99"/>
    <w:qFormat/>
    <w:rsid w:val="007A481B"/>
    <w:pPr>
      <w:outlineLvl w:val="9"/>
    </w:pPr>
    <w:rPr>
      <w:rFonts w:ascii="Trebuchet MS" w:hAnsi="Trebuchet MS"/>
      <w:color w:val="3E3E67"/>
      <w:lang w:val="es-ES"/>
    </w:rPr>
  </w:style>
  <w:style w:type="paragraph" w:styleId="TOC1">
    <w:name w:val="toc 1"/>
    <w:basedOn w:val="Normal"/>
    <w:next w:val="Normal"/>
    <w:autoRedefine/>
    <w:uiPriority w:val="99"/>
    <w:rsid w:val="007A481B"/>
    <w:pPr>
      <w:spacing w:after="100"/>
    </w:pPr>
  </w:style>
  <w:style w:type="character" w:styleId="Hyperlink">
    <w:name w:val="Hyperlink"/>
    <w:basedOn w:val="DefaultParagraphFont"/>
    <w:uiPriority w:val="99"/>
    <w:rsid w:val="007A481B"/>
    <w:rPr>
      <w:rFonts w:cs="Times New Roman"/>
      <w:color w:val="67AFBD"/>
      <w:u w:val="single"/>
    </w:rPr>
  </w:style>
  <w:style w:type="paragraph" w:styleId="TOC3">
    <w:name w:val="toc 3"/>
    <w:basedOn w:val="Normal"/>
    <w:next w:val="Normal"/>
    <w:autoRedefine/>
    <w:uiPriority w:val="99"/>
    <w:rsid w:val="003222F1"/>
    <w:pPr>
      <w:tabs>
        <w:tab w:val="right" w:leader="dot" w:pos="8495"/>
      </w:tabs>
      <w:spacing w:after="100"/>
      <w:ind w:left="440"/>
    </w:pPr>
    <w:rPr>
      <w:rFonts w:ascii="Times New Roman" w:hAnsi="Times New Roman"/>
      <w:i/>
      <w:noProof/>
    </w:rPr>
  </w:style>
  <w:style w:type="paragraph" w:styleId="BalloonText">
    <w:name w:val="Balloon Text"/>
    <w:basedOn w:val="Normal"/>
    <w:link w:val="BalloonTextChar"/>
    <w:uiPriority w:val="99"/>
    <w:semiHidden/>
    <w:rsid w:val="007A481B"/>
    <w:pPr>
      <w:spacing w:after="0" w:line="240" w:lineRule="auto"/>
    </w:pPr>
    <w:rPr>
      <w:rFonts w:ascii="Tahoma" w:hAnsi="Tahoma"/>
      <w:sz w:val="16"/>
      <w:szCs w:val="16"/>
      <w:lang w:val="en-US" w:eastAsia="es-ES"/>
    </w:rPr>
  </w:style>
  <w:style w:type="character" w:customStyle="1" w:styleId="BalloonTextChar">
    <w:name w:val="Balloon Text Char"/>
    <w:basedOn w:val="DefaultParagraphFont"/>
    <w:link w:val="BalloonText"/>
    <w:uiPriority w:val="99"/>
    <w:semiHidden/>
    <w:locked/>
    <w:rsid w:val="007A481B"/>
    <w:rPr>
      <w:rFonts w:ascii="Tahoma" w:hAnsi="Tahoma" w:cs="Times New Roman"/>
      <w:sz w:val="16"/>
    </w:rPr>
  </w:style>
  <w:style w:type="paragraph" w:customStyle="1" w:styleId="Chapter">
    <w:name w:val="Chapter"/>
    <w:basedOn w:val="Normal"/>
    <w:next w:val="Normal"/>
    <w:uiPriority w:val="99"/>
    <w:rsid w:val="003118CE"/>
    <w:pPr>
      <w:tabs>
        <w:tab w:val="num" w:pos="648"/>
        <w:tab w:val="left" w:pos="1440"/>
      </w:tabs>
      <w:spacing w:before="240" w:after="240" w:line="240" w:lineRule="auto"/>
      <w:ind w:firstLine="288"/>
      <w:jc w:val="center"/>
    </w:pPr>
    <w:rPr>
      <w:rFonts w:ascii="Times New Roman" w:eastAsia="Times New Roman" w:hAnsi="Times New Roman"/>
      <w:b/>
      <w:smallCaps/>
      <w:sz w:val="24"/>
      <w:szCs w:val="20"/>
      <w:lang w:val="es-ES"/>
    </w:rPr>
  </w:style>
  <w:style w:type="paragraph" w:customStyle="1" w:styleId="Paragraph">
    <w:name w:val="Paragraph"/>
    <w:aliases w:val="paragraph,p,PARAGRAPH,PG,pa,at"/>
    <w:basedOn w:val="BodyTextIndent"/>
    <w:link w:val="ParagraphChar"/>
    <w:uiPriority w:val="99"/>
    <w:rsid w:val="003118CE"/>
    <w:pPr>
      <w:tabs>
        <w:tab w:val="num" w:pos="720"/>
      </w:tabs>
      <w:spacing w:before="120" w:line="240" w:lineRule="auto"/>
      <w:ind w:left="720" w:hanging="720"/>
      <w:jc w:val="both"/>
      <w:outlineLvl w:val="1"/>
    </w:pPr>
    <w:rPr>
      <w:rFonts w:ascii="Times New Roman" w:hAnsi="Times New Roman"/>
      <w:lang w:val="es-ES_tradnl" w:eastAsia="x-none"/>
    </w:rPr>
  </w:style>
  <w:style w:type="paragraph" w:styleId="BodyTextIndent">
    <w:name w:val="Body Text Indent"/>
    <w:basedOn w:val="Normal"/>
    <w:link w:val="BodyTextIndentChar"/>
    <w:uiPriority w:val="99"/>
    <w:semiHidden/>
    <w:rsid w:val="003118CE"/>
    <w:pPr>
      <w:spacing w:after="120"/>
      <w:ind w:left="283"/>
    </w:pPr>
    <w:rPr>
      <w:sz w:val="20"/>
      <w:szCs w:val="20"/>
      <w:lang w:val="en-US" w:eastAsia="es-ES"/>
    </w:rPr>
  </w:style>
  <w:style w:type="character" w:customStyle="1" w:styleId="BodyTextIndentChar">
    <w:name w:val="Body Text Indent Char"/>
    <w:basedOn w:val="DefaultParagraphFont"/>
    <w:link w:val="BodyTextIndent"/>
    <w:uiPriority w:val="99"/>
    <w:semiHidden/>
    <w:locked/>
    <w:rsid w:val="003118CE"/>
    <w:rPr>
      <w:rFonts w:ascii="Calibri" w:hAnsi="Calibri" w:cs="Times New Roman"/>
    </w:rPr>
  </w:style>
  <w:style w:type="character" w:customStyle="1" w:styleId="ParagraphChar">
    <w:name w:val="Paragraph Char"/>
    <w:link w:val="Paragraph"/>
    <w:uiPriority w:val="99"/>
    <w:locked/>
    <w:rsid w:val="003118CE"/>
    <w:rPr>
      <w:rFonts w:ascii="Times New Roman" w:hAnsi="Times New Roman"/>
      <w:sz w:val="20"/>
      <w:lang w:val="es-ES_tradnl"/>
    </w:rPr>
  </w:style>
  <w:style w:type="paragraph" w:customStyle="1" w:styleId="subpar">
    <w:name w:val="subpar"/>
    <w:basedOn w:val="BodyTextIndent3"/>
    <w:uiPriority w:val="99"/>
    <w:rsid w:val="003118CE"/>
    <w:pPr>
      <w:tabs>
        <w:tab w:val="num" w:pos="1152"/>
      </w:tabs>
      <w:spacing w:before="120" w:line="240" w:lineRule="auto"/>
      <w:ind w:left="1152" w:hanging="432"/>
      <w:jc w:val="both"/>
      <w:outlineLvl w:val="2"/>
    </w:pPr>
    <w:rPr>
      <w:rFonts w:ascii="Times New Roman" w:eastAsia="Times New Roman" w:hAnsi="Times New Roman"/>
      <w:sz w:val="24"/>
      <w:szCs w:val="20"/>
      <w:lang w:val="es-ES_tradnl"/>
    </w:rPr>
  </w:style>
  <w:style w:type="paragraph" w:styleId="BodyTextIndent3">
    <w:name w:val="Body Text Indent 3"/>
    <w:basedOn w:val="Normal"/>
    <w:link w:val="BodyTextIndent3Char"/>
    <w:uiPriority w:val="99"/>
    <w:semiHidden/>
    <w:rsid w:val="003118CE"/>
    <w:pPr>
      <w:spacing w:after="120"/>
      <w:ind w:left="283"/>
    </w:pPr>
    <w:rPr>
      <w:sz w:val="16"/>
      <w:szCs w:val="16"/>
      <w:lang w:val="en-US" w:eastAsia="es-ES"/>
    </w:rPr>
  </w:style>
  <w:style w:type="character" w:customStyle="1" w:styleId="BodyTextIndent3Char">
    <w:name w:val="Body Text Indent 3 Char"/>
    <w:basedOn w:val="DefaultParagraphFont"/>
    <w:link w:val="BodyTextIndent3"/>
    <w:uiPriority w:val="99"/>
    <w:semiHidden/>
    <w:locked/>
    <w:rsid w:val="003118CE"/>
    <w:rPr>
      <w:rFonts w:ascii="Calibri" w:hAnsi="Calibri" w:cs="Times New Roman"/>
      <w:sz w:val="16"/>
    </w:rPr>
  </w:style>
  <w:style w:type="paragraph" w:customStyle="1" w:styleId="SubSubPar">
    <w:name w:val="SubSubPar"/>
    <w:basedOn w:val="subpar"/>
    <w:uiPriority w:val="99"/>
    <w:rsid w:val="003118CE"/>
    <w:pPr>
      <w:numPr>
        <w:ilvl w:val="3"/>
      </w:numPr>
      <w:tabs>
        <w:tab w:val="left" w:pos="0"/>
        <w:tab w:val="num" w:pos="1152"/>
      </w:tabs>
      <w:ind w:left="1152" w:hanging="432"/>
    </w:pPr>
  </w:style>
  <w:style w:type="paragraph" w:customStyle="1" w:styleId="Newpage">
    <w:name w:val="Newpage"/>
    <w:basedOn w:val="Chapter"/>
    <w:uiPriority w:val="99"/>
    <w:rsid w:val="00957666"/>
    <w:pPr>
      <w:tabs>
        <w:tab w:val="clear" w:pos="648"/>
        <w:tab w:val="left" w:pos="3060"/>
      </w:tabs>
      <w:spacing w:before="0" w:after="0"/>
      <w:ind w:firstLine="0"/>
    </w:pPr>
    <w:rPr>
      <w:lang w:val="en-US"/>
    </w:rPr>
  </w:style>
  <w:style w:type="character" w:styleId="FootnoteReference">
    <w:name w:val="footnote reference"/>
    <w:basedOn w:val="DefaultParagraphFont"/>
    <w:uiPriority w:val="99"/>
    <w:semiHidden/>
    <w:rsid w:val="00134EE9"/>
    <w:rPr>
      <w:rFonts w:cs="Times New Roman"/>
    </w:rPr>
  </w:style>
  <w:style w:type="paragraph" w:customStyle="1" w:styleId="EstiloParagraphDespus0ptoCar">
    <w:name w:val="Estilo Paragraph + Después:  0 pto Car"/>
    <w:basedOn w:val="Normal"/>
    <w:uiPriority w:val="99"/>
    <w:rsid w:val="00134EE9"/>
    <w:pPr>
      <w:tabs>
        <w:tab w:val="num" w:pos="576"/>
      </w:tabs>
      <w:spacing w:before="120" w:after="120" w:line="240" w:lineRule="auto"/>
      <w:ind w:left="576" w:hanging="576"/>
      <w:jc w:val="both"/>
      <w:outlineLvl w:val="1"/>
    </w:pPr>
    <w:rPr>
      <w:rFonts w:ascii="Times New Roman" w:eastAsia="Times New Roman" w:hAnsi="Times New Roman"/>
      <w:sz w:val="24"/>
      <w:szCs w:val="20"/>
      <w:lang w:val="es-ES"/>
    </w:rPr>
  </w:style>
  <w:style w:type="paragraph" w:customStyle="1" w:styleId="FirstHeading">
    <w:name w:val="FirstHeading"/>
    <w:basedOn w:val="Normal"/>
    <w:uiPriority w:val="99"/>
    <w:rsid w:val="00134EE9"/>
    <w:pPr>
      <w:keepNext/>
      <w:tabs>
        <w:tab w:val="left" w:pos="0"/>
        <w:tab w:val="left" w:pos="90"/>
      </w:tabs>
      <w:spacing w:before="120" w:after="120" w:line="240" w:lineRule="auto"/>
      <w:ind w:left="720" w:hanging="720"/>
    </w:pPr>
    <w:rPr>
      <w:rFonts w:ascii="Times New Roman" w:eastAsia="Times New Roman" w:hAnsi="Times New Roman"/>
      <w:b/>
      <w:sz w:val="24"/>
      <w:szCs w:val="20"/>
      <w:lang w:val="es-ES"/>
    </w:rPr>
  </w:style>
  <w:style w:type="paragraph" w:customStyle="1" w:styleId="SecHeading">
    <w:name w:val="SecHeading"/>
    <w:basedOn w:val="Normal"/>
    <w:next w:val="Normal"/>
    <w:uiPriority w:val="99"/>
    <w:rsid w:val="00134EE9"/>
    <w:pPr>
      <w:keepNext/>
      <w:tabs>
        <w:tab w:val="num" w:pos="1296"/>
      </w:tabs>
      <w:spacing w:before="120" w:after="120" w:line="240" w:lineRule="auto"/>
      <w:ind w:left="1296" w:hanging="576"/>
    </w:pPr>
    <w:rPr>
      <w:rFonts w:ascii="Times New Roman" w:eastAsia="Times New Roman" w:hAnsi="Times New Roman"/>
      <w:b/>
      <w:sz w:val="24"/>
      <w:szCs w:val="20"/>
      <w:lang w:val="es-ES_tradnl"/>
    </w:rPr>
  </w:style>
  <w:style w:type="paragraph" w:customStyle="1" w:styleId="SubHeading1">
    <w:name w:val="SubHeading1"/>
    <w:basedOn w:val="SecHeading"/>
    <w:uiPriority w:val="99"/>
    <w:rsid w:val="00134EE9"/>
    <w:pPr>
      <w:numPr>
        <w:ilvl w:val="2"/>
      </w:numPr>
      <w:tabs>
        <w:tab w:val="num" w:pos="360"/>
        <w:tab w:val="num" w:pos="1296"/>
      </w:tabs>
      <w:ind w:left="1296" w:hanging="576"/>
    </w:pPr>
  </w:style>
  <w:style w:type="paragraph" w:customStyle="1" w:styleId="Subheading2">
    <w:name w:val="Subheading2"/>
    <w:basedOn w:val="SecHeading"/>
    <w:uiPriority w:val="99"/>
    <w:rsid w:val="00134EE9"/>
    <w:pPr>
      <w:numPr>
        <w:ilvl w:val="3"/>
      </w:numPr>
      <w:tabs>
        <w:tab w:val="num" w:pos="360"/>
        <w:tab w:val="num" w:pos="1296"/>
      </w:tabs>
      <w:ind w:left="1296" w:hanging="576"/>
    </w:pPr>
  </w:style>
  <w:style w:type="character" w:customStyle="1" w:styleId="subparCarCarCar">
    <w:name w:val="subpar Car Car Car"/>
    <w:uiPriority w:val="99"/>
    <w:rsid w:val="00134EE9"/>
    <w:rPr>
      <w:sz w:val="24"/>
      <w:lang w:val="es-ES_tradnl" w:eastAsia="en-US"/>
    </w:rPr>
  </w:style>
  <w:style w:type="paragraph" w:styleId="FootnoteText">
    <w:name w:val="footnote text"/>
    <w:aliases w:val="Texto nota pie IIRSA,fn,foottextfra,footnote,F,Texto nota pie Car Car,Texto de rodapé,nota_rodapé,nota de rodapé,FOOTNOTES,single space,Footnote Text Char Char,Style 25,Texto nota piepddes Car Car,Texto nota piepddes Car,ft"/>
    <w:basedOn w:val="Normal"/>
    <w:link w:val="FootnoteTextChar1"/>
    <w:uiPriority w:val="99"/>
    <w:rsid w:val="00134EE9"/>
    <w:pPr>
      <w:spacing w:after="0" w:line="240" w:lineRule="auto"/>
    </w:pPr>
    <w:rPr>
      <w:rFonts w:ascii="Times New Roman" w:hAnsi="Times New Roman"/>
      <w:sz w:val="20"/>
      <w:szCs w:val="20"/>
      <w:lang w:val="es-ES" w:eastAsia="x-none"/>
    </w:rPr>
  </w:style>
  <w:style w:type="character" w:customStyle="1" w:styleId="FootnoteTextChar">
    <w:name w:val="Footnote Text Char"/>
    <w:aliases w:val="Texto nota pie IIRSA Char,fn Char,foottextfra Char,footnote Char,F Char,Texto nota pie Car Car Char,Texto de rodapé Char,nota_rodapé Char,nota de rodapé Char,FOOTNOTES Char,single space Char,Footnote Text Char Char Char,Style 25 Char"/>
    <w:basedOn w:val="DefaultParagraphFont"/>
    <w:uiPriority w:val="99"/>
    <w:semiHidden/>
    <w:locked/>
    <w:rsid w:val="00CB79AC"/>
    <w:rPr>
      <w:rFonts w:ascii="Calibri" w:hAnsi="Calibri" w:cs="Times New Roman"/>
      <w:sz w:val="20"/>
      <w:lang w:val="es-AR"/>
    </w:rPr>
  </w:style>
  <w:style w:type="character" w:customStyle="1" w:styleId="FootnoteTextChar1">
    <w:name w:val="Footnote Text Char1"/>
    <w:aliases w:val="Texto nota pie IIRSA Char1,fn Char1,foottextfra Char1,footnote Char1,F Char1,Texto nota pie Car Car Char1,Texto de rodapé Char1,nota_rodapé Char1,nota de rodapé Char1,FOOTNOTES Char1,single space Char1,Footnote Text Char Char Char1"/>
    <w:link w:val="FootnoteText"/>
    <w:uiPriority w:val="99"/>
    <w:locked/>
    <w:rsid w:val="00134EE9"/>
    <w:rPr>
      <w:rFonts w:ascii="Times New Roman" w:hAnsi="Times New Roman"/>
      <w:sz w:val="20"/>
      <w:lang w:val="es-ES"/>
    </w:rPr>
  </w:style>
  <w:style w:type="paragraph" w:styleId="TOC2">
    <w:name w:val="toc 2"/>
    <w:basedOn w:val="Normal"/>
    <w:next w:val="Normal"/>
    <w:autoRedefine/>
    <w:uiPriority w:val="99"/>
    <w:rsid w:val="005923E7"/>
    <w:pPr>
      <w:spacing w:after="100"/>
      <w:ind w:left="220"/>
    </w:pPr>
  </w:style>
  <w:style w:type="paragraph" w:styleId="Header">
    <w:name w:val="header"/>
    <w:basedOn w:val="Normal"/>
    <w:link w:val="HeaderChar"/>
    <w:uiPriority w:val="99"/>
    <w:semiHidden/>
    <w:rsid w:val="00191AC5"/>
    <w:pPr>
      <w:tabs>
        <w:tab w:val="center" w:pos="4419"/>
        <w:tab w:val="right" w:pos="8838"/>
      </w:tabs>
      <w:spacing w:after="0" w:line="240" w:lineRule="auto"/>
    </w:pPr>
    <w:rPr>
      <w:sz w:val="20"/>
      <w:szCs w:val="20"/>
      <w:lang w:val="en-US" w:eastAsia="es-ES"/>
    </w:rPr>
  </w:style>
  <w:style w:type="character" w:customStyle="1" w:styleId="HeaderChar">
    <w:name w:val="Header Char"/>
    <w:basedOn w:val="DefaultParagraphFont"/>
    <w:link w:val="Header"/>
    <w:uiPriority w:val="99"/>
    <w:semiHidden/>
    <w:locked/>
    <w:rsid w:val="00191AC5"/>
    <w:rPr>
      <w:rFonts w:ascii="Calibri" w:hAnsi="Calibri" w:cs="Times New Roman"/>
    </w:rPr>
  </w:style>
  <w:style w:type="paragraph" w:styleId="Footer">
    <w:name w:val="footer"/>
    <w:basedOn w:val="Normal"/>
    <w:link w:val="FooterChar"/>
    <w:uiPriority w:val="99"/>
    <w:rsid w:val="00191AC5"/>
    <w:pPr>
      <w:tabs>
        <w:tab w:val="center" w:pos="4419"/>
        <w:tab w:val="right" w:pos="8838"/>
      </w:tabs>
      <w:spacing w:after="0" w:line="240" w:lineRule="auto"/>
    </w:pPr>
    <w:rPr>
      <w:sz w:val="20"/>
      <w:szCs w:val="20"/>
      <w:lang w:val="en-US" w:eastAsia="es-ES"/>
    </w:rPr>
  </w:style>
  <w:style w:type="character" w:customStyle="1" w:styleId="FooterChar">
    <w:name w:val="Footer Char"/>
    <w:basedOn w:val="DefaultParagraphFont"/>
    <w:link w:val="Footer"/>
    <w:uiPriority w:val="99"/>
    <w:locked/>
    <w:rsid w:val="00191AC5"/>
    <w:rPr>
      <w:rFonts w:ascii="Calibri" w:hAnsi="Calibri" w:cs="Times New Roman"/>
    </w:rPr>
  </w:style>
  <w:style w:type="paragraph" w:styleId="NoSpacing">
    <w:name w:val="No Spacing"/>
    <w:uiPriority w:val="99"/>
    <w:qFormat/>
    <w:rsid w:val="00C27203"/>
    <w:rPr>
      <w:sz w:val="22"/>
      <w:szCs w:val="22"/>
      <w:lang w:val="es-AR" w:eastAsia="en-US"/>
    </w:rPr>
  </w:style>
  <w:style w:type="table" w:styleId="TableGrid">
    <w:name w:val="Table Grid"/>
    <w:basedOn w:val="TableNormal"/>
    <w:uiPriority w:val="99"/>
    <w:rsid w:val="008E0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416D3"/>
    <w:rPr>
      <w:rFonts w:cs="Times New Roman"/>
      <w:sz w:val="16"/>
    </w:rPr>
  </w:style>
  <w:style w:type="paragraph" w:styleId="CommentText">
    <w:name w:val="annotation text"/>
    <w:basedOn w:val="Normal"/>
    <w:link w:val="CommentTextChar"/>
    <w:uiPriority w:val="99"/>
    <w:semiHidden/>
    <w:rsid w:val="009416D3"/>
    <w:pPr>
      <w:spacing w:line="240" w:lineRule="auto"/>
    </w:pPr>
    <w:rPr>
      <w:sz w:val="20"/>
      <w:szCs w:val="20"/>
      <w:lang w:val="en-US" w:eastAsia="es-ES"/>
    </w:rPr>
  </w:style>
  <w:style w:type="character" w:customStyle="1" w:styleId="CommentTextChar">
    <w:name w:val="Comment Text Char"/>
    <w:basedOn w:val="DefaultParagraphFont"/>
    <w:link w:val="CommentText"/>
    <w:uiPriority w:val="99"/>
    <w:semiHidden/>
    <w:locked/>
    <w:rsid w:val="009416D3"/>
    <w:rPr>
      <w:rFonts w:ascii="Calibri" w:hAnsi="Calibri" w:cs="Times New Roman"/>
      <w:sz w:val="20"/>
    </w:rPr>
  </w:style>
  <w:style w:type="paragraph" w:styleId="CommentSubject">
    <w:name w:val="annotation subject"/>
    <w:basedOn w:val="CommentText"/>
    <w:next w:val="CommentText"/>
    <w:link w:val="CommentSubjectChar"/>
    <w:uiPriority w:val="99"/>
    <w:semiHidden/>
    <w:rsid w:val="009416D3"/>
    <w:rPr>
      <w:b/>
      <w:bCs/>
    </w:rPr>
  </w:style>
  <w:style w:type="character" w:customStyle="1" w:styleId="CommentSubjectChar">
    <w:name w:val="Comment Subject Char"/>
    <w:basedOn w:val="CommentTextChar"/>
    <w:link w:val="CommentSubject"/>
    <w:uiPriority w:val="99"/>
    <w:semiHidden/>
    <w:locked/>
    <w:rsid w:val="009416D3"/>
    <w:rPr>
      <w:rFonts w:ascii="Calibri" w:hAnsi="Calibri" w:cs="Times New Roman"/>
      <w:b/>
      <w:sz w:val="20"/>
    </w:rPr>
  </w:style>
  <w:style w:type="character" w:customStyle="1" w:styleId="Ttulodellibro1">
    <w:name w:val="Título del libro1"/>
    <w:uiPriority w:val="99"/>
    <w:rsid w:val="00776148"/>
  </w:style>
  <w:style w:type="character" w:styleId="EndnoteReference">
    <w:name w:val="endnote reference"/>
    <w:basedOn w:val="DefaultParagraphFont"/>
    <w:uiPriority w:val="99"/>
    <w:semiHidden/>
    <w:rsid w:val="00BB6A3C"/>
    <w:rPr>
      <w:rFonts w:cs="Times New Roman"/>
      <w:vertAlign w:val="superscript"/>
    </w:rPr>
  </w:style>
  <w:style w:type="paragraph" w:styleId="Title">
    <w:name w:val="Title"/>
    <w:basedOn w:val="Normal"/>
    <w:link w:val="TitleChar"/>
    <w:uiPriority w:val="99"/>
    <w:qFormat/>
    <w:locked/>
    <w:rsid w:val="00065B1F"/>
    <w:pPr>
      <w:spacing w:before="240" w:after="60" w:line="240" w:lineRule="auto"/>
      <w:jc w:val="center"/>
      <w:outlineLvl w:val="0"/>
    </w:pPr>
    <w:rPr>
      <w:rFonts w:ascii="Arial" w:hAnsi="Arial" w:cs="Arial"/>
      <w:b/>
      <w:bCs/>
      <w:kern w:val="28"/>
      <w:sz w:val="32"/>
      <w:szCs w:val="32"/>
      <w:lang w:val="es-ES" w:eastAsia="es-ES"/>
    </w:rPr>
  </w:style>
  <w:style w:type="character" w:customStyle="1" w:styleId="TitleChar">
    <w:name w:val="Title Char"/>
    <w:basedOn w:val="DefaultParagraphFont"/>
    <w:link w:val="Title"/>
    <w:uiPriority w:val="99"/>
    <w:locked/>
    <w:rsid w:val="00065B1F"/>
    <w:rPr>
      <w:rFonts w:ascii="Arial" w:hAnsi="Arial" w:cs="Arial"/>
      <w:b/>
      <w:bCs/>
      <w:kern w:val="28"/>
      <w:sz w:val="32"/>
      <w:szCs w:val="32"/>
      <w:lang w:val="es-ES" w:eastAsia="es-ES" w:bidi="ar-SA"/>
    </w:rPr>
  </w:style>
  <w:style w:type="paragraph" w:styleId="BodyTextIndent2">
    <w:name w:val="Body Text Indent 2"/>
    <w:basedOn w:val="Normal"/>
    <w:link w:val="BodyTextIndent2Char"/>
    <w:uiPriority w:val="99"/>
    <w:locked/>
    <w:rsid w:val="00F24FE7"/>
    <w:pPr>
      <w:spacing w:after="120" w:line="480" w:lineRule="auto"/>
      <w:ind w:left="283"/>
    </w:pPr>
    <w:rPr>
      <w:rFonts w:ascii="Times New Roman" w:hAnsi="Times New Roman"/>
      <w:sz w:val="24"/>
      <w:szCs w:val="24"/>
      <w:lang w:val="es-ES_tradnl" w:eastAsia="es-ES_tradnl"/>
    </w:rPr>
  </w:style>
  <w:style w:type="character" w:customStyle="1" w:styleId="BodyTextIndent2Char">
    <w:name w:val="Body Text Indent 2 Char"/>
    <w:basedOn w:val="DefaultParagraphFont"/>
    <w:link w:val="BodyTextIndent2"/>
    <w:uiPriority w:val="99"/>
    <w:semiHidden/>
    <w:locked/>
    <w:rsid w:val="00BD5B83"/>
    <w:rPr>
      <w:rFonts w:ascii="Calibri" w:hAnsi="Calibri" w:cs="Times New Roman"/>
      <w:lang w:val="es-AR"/>
    </w:rPr>
  </w:style>
  <w:style w:type="character" w:customStyle="1" w:styleId="st">
    <w:name w:val="st"/>
    <w:basedOn w:val="DefaultParagraphFont"/>
    <w:uiPriority w:val="99"/>
    <w:rsid w:val="00F26B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860186">
      <w:marLeft w:val="0"/>
      <w:marRight w:val="0"/>
      <w:marTop w:val="0"/>
      <w:marBottom w:val="0"/>
      <w:divBdr>
        <w:top w:val="none" w:sz="0" w:space="0" w:color="auto"/>
        <w:left w:val="none" w:sz="0" w:space="0" w:color="auto"/>
        <w:bottom w:val="none" w:sz="0" w:space="0" w:color="auto"/>
        <w:right w:val="none" w:sz="0" w:space="0" w:color="auto"/>
      </w:divBdr>
    </w:div>
    <w:div w:id="1222860187">
      <w:marLeft w:val="0"/>
      <w:marRight w:val="0"/>
      <w:marTop w:val="0"/>
      <w:marBottom w:val="0"/>
      <w:divBdr>
        <w:top w:val="none" w:sz="0" w:space="0" w:color="auto"/>
        <w:left w:val="none" w:sz="0" w:space="0" w:color="auto"/>
        <w:bottom w:val="none" w:sz="0" w:space="0" w:color="auto"/>
        <w:right w:val="none" w:sz="0" w:space="0" w:color="auto"/>
      </w:divBdr>
    </w:div>
    <w:div w:id="1222860188">
      <w:marLeft w:val="0"/>
      <w:marRight w:val="0"/>
      <w:marTop w:val="0"/>
      <w:marBottom w:val="0"/>
      <w:divBdr>
        <w:top w:val="none" w:sz="0" w:space="0" w:color="auto"/>
        <w:left w:val="none" w:sz="0" w:space="0" w:color="auto"/>
        <w:bottom w:val="none" w:sz="0" w:space="0" w:color="auto"/>
        <w:right w:val="none" w:sz="0" w:space="0" w:color="auto"/>
      </w:divBdr>
    </w:div>
    <w:div w:id="1222860189">
      <w:marLeft w:val="0"/>
      <w:marRight w:val="0"/>
      <w:marTop w:val="0"/>
      <w:marBottom w:val="0"/>
      <w:divBdr>
        <w:top w:val="none" w:sz="0" w:space="0" w:color="auto"/>
        <w:left w:val="none" w:sz="0" w:space="0" w:color="auto"/>
        <w:bottom w:val="none" w:sz="0" w:space="0" w:color="auto"/>
        <w:right w:val="none" w:sz="0" w:space="0" w:color="auto"/>
      </w:divBdr>
    </w:div>
    <w:div w:id="1222860190">
      <w:marLeft w:val="0"/>
      <w:marRight w:val="0"/>
      <w:marTop w:val="0"/>
      <w:marBottom w:val="0"/>
      <w:divBdr>
        <w:top w:val="none" w:sz="0" w:space="0" w:color="auto"/>
        <w:left w:val="none" w:sz="0" w:space="0" w:color="auto"/>
        <w:bottom w:val="none" w:sz="0" w:space="0" w:color="auto"/>
        <w:right w:val="none" w:sz="0" w:space="0" w:color="auto"/>
      </w:divBdr>
    </w:div>
    <w:div w:id="1222860191">
      <w:marLeft w:val="0"/>
      <w:marRight w:val="0"/>
      <w:marTop w:val="0"/>
      <w:marBottom w:val="0"/>
      <w:divBdr>
        <w:top w:val="none" w:sz="0" w:space="0" w:color="auto"/>
        <w:left w:val="none" w:sz="0" w:space="0" w:color="auto"/>
        <w:bottom w:val="none" w:sz="0" w:space="0" w:color="auto"/>
        <w:right w:val="none" w:sz="0" w:space="0" w:color="auto"/>
      </w:divBdr>
    </w:div>
    <w:div w:id="1222860192">
      <w:marLeft w:val="0"/>
      <w:marRight w:val="0"/>
      <w:marTop w:val="0"/>
      <w:marBottom w:val="0"/>
      <w:divBdr>
        <w:top w:val="none" w:sz="0" w:space="0" w:color="auto"/>
        <w:left w:val="none" w:sz="0" w:space="0" w:color="auto"/>
        <w:bottom w:val="none" w:sz="0" w:space="0" w:color="auto"/>
        <w:right w:val="none" w:sz="0" w:space="0" w:color="auto"/>
      </w:divBdr>
    </w:div>
    <w:div w:id="1222860193">
      <w:marLeft w:val="0"/>
      <w:marRight w:val="0"/>
      <w:marTop w:val="0"/>
      <w:marBottom w:val="0"/>
      <w:divBdr>
        <w:top w:val="none" w:sz="0" w:space="0" w:color="auto"/>
        <w:left w:val="none" w:sz="0" w:space="0" w:color="auto"/>
        <w:bottom w:val="none" w:sz="0" w:space="0" w:color="auto"/>
        <w:right w:val="none" w:sz="0" w:space="0" w:color="auto"/>
      </w:divBdr>
    </w:div>
    <w:div w:id="1222860194">
      <w:marLeft w:val="0"/>
      <w:marRight w:val="0"/>
      <w:marTop w:val="0"/>
      <w:marBottom w:val="0"/>
      <w:divBdr>
        <w:top w:val="none" w:sz="0" w:space="0" w:color="auto"/>
        <w:left w:val="none" w:sz="0" w:space="0" w:color="auto"/>
        <w:bottom w:val="none" w:sz="0" w:space="0" w:color="auto"/>
        <w:right w:val="none" w:sz="0" w:space="0" w:color="auto"/>
      </w:divBdr>
    </w:div>
    <w:div w:id="1222860195">
      <w:marLeft w:val="0"/>
      <w:marRight w:val="0"/>
      <w:marTop w:val="0"/>
      <w:marBottom w:val="0"/>
      <w:divBdr>
        <w:top w:val="none" w:sz="0" w:space="0" w:color="auto"/>
        <w:left w:val="none" w:sz="0" w:space="0" w:color="auto"/>
        <w:bottom w:val="none" w:sz="0" w:space="0" w:color="auto"/>
        <w:right w:val="none" w:sz="0" w:space="0" w:color="auto"/>
      </w:divBdr>
    </w:div>
    <w:div w:id="1222860196">
      <w:marLeft w:val="0"/>
      <w:marRight w:val="0"/>
      <w:marTop w:val="0"/>
      <w:marBottom w:val="0"/>
      <w:divBdr>
        <w:top w:val="none" w:sz="0" w:space="0" w:color="auto"/>
        <w:left w:val="none" w:sz="0" w:space="0" w:color="auto"/>
        <w:bottom w:val="none" w:sz="0" w:space="0" w:color="auto"/>
        <w:right w:val="none" w:sz="0" w:space="0" w:color="auto"/>
      </w:divBdr>
    </w:div>
    <w:div w:id="1222860197">
      <w:marLeft w:val="0"/>
      <w:marRight w:val="0"/>
      <w:marTop w:val="0"/>
      <w:marBottom w:val="0"/>
      <w:divBdr>
        <w:top w:val="none" w:sz="0" w:space="0" w:color="auto"/>
        <w:left w:val="none" w:sz="0" w:space="0" w:color="auto"/>
        <w:bottom w:val="none" w:sz="0" w:space="0" w:color="auto"/>
        <w:right w:val="none" w:sz="0" w:space="0" w:color="auto"/>
      </w:divBdr>
    </w:div>
    <w:div w:id="1222860198">
      <w:marLeft w:val="0"/>
      <w:marRight w:val="0"/>
      <w:marTop w:val="0"/>
      <w:marBottom w:val="0"/>
      <w:divBdr>
        <w:top w:val="none" w:sz="0" w:space="0" w:color="auto"/>
        <w:left w:val="none" w:sz="0" w:space="0" w:color="auto"/>
        <w:bottom w:val="none" w:sz="0" w:space="0" w:color="auto"/>
        <w:right w:val="none" w:sz="0" w:space="0" w:color="auto"/>
      </w:divBdr>
    </w:div>
    <w:div w:id="1222860199">
      <w:marLeft w:val="0"/>
      <w:marRight w:val="0"/>
      <w:marTop w:val="0"/>
      <w:marBottom w:val="0"/>
      <w:divBdr>
        <w:top w:val="none" w:sz="0" w:space="0" w:color="auto"/>
        <w:left w:val="none" w:sz="0" w:space="0" w:color="auto"/>
        <w:bottom w:val="none" w:sz="0" w:space="0" w:color="auto"/>
        <w:right w:val="none" w:sz="0" w:space="0" w:color="auto"/>
      </w:divBdr>
    </w:div>
    <w:div w:id="1222860200">
      <w:marLeft w:val="0"/>
      <w:marRight w:val="0"/>
      <w:marTop w:val="0"/>
      <w:marBottom w:val="0"/>
      <w:divBdr>
        <w:top w:val="none" w:sz="0" w:space="0" w:color="auto"/>
        <w:left w:val="none" w:sz="0" w:space="0" w:color="auto"/>
        <w:bottom w:val="none" w:sz="0" w:space="0" w:color="auto"/>
        <w:right w:val="none" w:sz="0" w:space="0" w:color="auto"/>
      </w:divBdr>
    </w:div>
    <w:div w:id="1222860201">
      <w:marLeft w:val="0"/>
      <w:marRight w:val="0"/>
      <w:marTop w:val="0"/>
      <w:marBottom w:val="0"/>
      <w:divBdr>
        <w:top w:val="none" w:sz="0" w:space="0" w:color="auto"/>
        <w:left w:val="none" w:sz="0" w:space="0" w:color="auto"/>
        <w:bottom w:val="none" w:sz="0" w:space="0" w:color="auto"/>
        <w:right w:val="none" w:sz="0" w:space="0" w:color="auto"/>
      </w:divBdr>
    </w:div>
    <w:div w:id="1222860202">
      <w:marLeft w:val="0"/>
      <w:marRight w:val="0"/>
      <w:marTop w:val="0"/>
      <w:marBottom w:val="0"/>
      <w:divBdr>
        <w:top w:val="none" w:sz="0" w:space="0" w:color="auto"/>
        <w:left w:val="none" w:sz="0" w:space="0" w:color="auto"/>
        <w:bottom w:val="none" w:sz="0" w:space="0" w:color="auto"/>
        <w:right w:val="none" w:sz="0" w:space="0" w:color="auto"/>
      </w:divBdr>
    </w:div>
    <w:div w:id="1222860203">
      <w:marLeft w:val="0"/>
      <w:marRight w:val="0"/>
      <w:marTop w:val="0"/>
      <w:marBottom w:val="0"/>
      <w:divBdr>
        <w:top w:val="none" w:sz="0" w:space="0" w:color="auto"/>
        <w:left w:val="none" w:sz="0" w:space="0" w:color="auto"/>
        <w:bottom w:val="none" w:sz="0" w:space="0" w:color="auto"/>
        <w:right w:val="none" w:sz="0" w:space="0" w:color="auto"/>
      </w:divBdr>
    </w:div>
    <w:div w:id="1222860204">
      <w:marLeft w:val="0"/>
      <w:marRight w:val="0"/>
      <w:marTop w:val="0"/>
      <w:marBottom w:val="0"/>
      <w:divBdr>
        <w:top w:val="none" w:sz="0" w:space="0" w:color="auto"/>
        <w:left w:val="none" w:sz="0" w:space="0" w:color="auto"/>
        <w:bottom w:val="none" w:sz="0" w:space="0" w:color="auto"/>
        <w:right w:val="none" w:sz="0" w:space="0" w:color="auto"/>
      </w:divBdr>
    </w:div>
    <w:div w:id="1222860205">
      <w:marLeft w:val="0"/>
      <w:marRight w:val="0"/>
      <w:marTop w:val="0"/>
      <w:marBottom w:val="0"/>
      <w:divBdr>
        <w:top w:val="none" w:sz="0" w:space="0" w:color="auto"/>
        <w:left w:val="none" w:sz="0" w:space="0" w:color="auto"/>
        <w:bottom w:val="none" w:sz="0" w:space="0" w:color="auto"/>
        <w:right w:val="none" w:sz="0" w:space="0" w:color="auto"/>
      </w:divBdr>
    </w:div>
    <w:div w:id="1222860206">
      <w:marLeft w:val="0"/>
      <w:marRight w:val="0"/>
      <w:marTop w:val="0"/>
      <w:marBottom w:val="0"/>
      <w:divBdr>
        <w:top w:val="none" w:sz="0" w:space="0" w:color="auto"/>
        <w:left w:val="none" w:sz="0" w:space="0" w:color="auto"/>
        <w:bottom w:val="none" w:sz="0" w:space="0" w:color="auto"/>
        <w:right w:val="none" w:sz="0" w:space="0" w:color="auto"/>
      </w:divBdr>
    </w:div>
    <w:div w:id="1222860208">
      <w:marLeft w:val="0"/>
      <w:marRight w:val="0"/>
      <w:marTop w:val="0"/>
      <w:marBottom w:val="0"/>
      <w:divBdr>
        <w:top w:val="none" w:sz="0" w:space="0" w:color="auto"/>
        <w:left w:val="none" w:sz="0" w:space="0" w:color="auto"/>
        <w:bottom w:val="none" w:sz="0" w:space="0" w:color="auto"/>
        <w:right w:val="none" w:sz="0" w:space="0" w:color="auto"/>
      </w:divBdr>
    </w:div>
    <w:div w:id="1222860212">
      <w:marLeft w:val="0"/>
      <w:marRight w:val="0"/>
      <w:marTop w:val="0"/>
      <w:marBottom w:val="0"/>
      <w:divBdr>
        <w:top w:val="none" w:sz="0" w:space="0" w:color="auto"/>
        <w:left w:val="none" w:sz="0" w:space="0" w:color="auto"/>
        <w:bottom w:val="none" w:sz="0" w:space="0" w:color="auto"/>
        <w:right w:val="none" w:sz="0" w:space="0" w:color="auto"/>
      </w:divBdr>
      <w:divsChild>
        <w:div w:id="1222860207">
          <w:marLeft w:val="0"/>
          <w:marRight w:val="0"/>
          <w:marTop w:val="0"/>
          <w:marBottom w:val="0"/>
          <w:divBdr>
            <w:top w:val="none" w:sz="0" w:space="0" w:color="auto"/>
            <w:left w:val="none" w:sz="0" w:space="0" w:color="auto"/>
            <w:bottom w:val="none" w:sz="0" w:space="0" w:color="auto"/>
            <w:right w:val="none" w:sz="0" w:space="0" w:color="auto"/>
          </w:divBdr>
        </w:div>
        <w:div w:id="1222860209">
          <w:marLeft w:val="0"/>
          <w:marRight w:val="0"/>
          <w:marTop w:val="0"/>
          <w:marBottom w:val="0"/>
          <w:divBdr>
            <w:top w:val="none" w:sz="0" w:space="0" w:color="auto"/>
            <w:left w:val="none" w:sz="0" w:space="0" w:color="auto"/>
            <w:bottom w:val="none" w:sz="0" w:space="0" w:color="auto"/>
            <w:right w:val="none" w:sz="0" w:space="0" w:color="auto"/>
          </w:divBdr>
        </w:div>
        <w:div w:id="1222860210">
          <w:marLeft w:val="0"/>
          <w:marRight w:val="0"/>
          <w:marTop w:val="0"/>
          <w:marBottom w:val="0"/>
          <w:divBdr>
            <w:top w:val="none" w:sz="0" w:space="0" w:color="auto"/>
            <w:left w:val="none" w:sz="0" w:space="0" w:color="auto"/>
            <w:bottom w:val="none" w:sz="0" w:space="0" w:color="auto"/>
            <w:right w:val="none" w:sz="0" w:space="0" w:color="auto"/>
          </w:divBdr>
        </w:div>
        <w:div w:id="1222860211">
          <w:marLeft w:val="0"/>
          <w:marRight w:val="0"/>
          <w:marTop w:val="0"/>
          <w:marBottom w:val="0"/>
          <w:divBdr>
            <w:top w:val="none" w:sz="0" w:space="0" w:color="auto"/>
            <w:left w:val="none" w:sz="0" w:space="0" w:color="auto"/>
            <w:bottom w:val="none" w:sz="0" w:space="0" w:color="auto"/>
            <w:right w:val="none" w:sz="0" w:space="0" w:color="auto"/>
          </w:divBdr>
        </w:div>
        <w:div w:id="1222860213">
          <w:marLeft w:val="0"/>
          <w:marRight w:val="0"/>
          <w:marTop w:val="0"/>
          <w:marBottom w:val="0"/>
          <w:divBdr>
            <w:top w:val="none" w:sz="0" w:space="0" w:color="auto"/>
            <w:left w:val="none" w:sz="0" w:space="0" w:color="auto"/>
            <w:bottom w:val="none" w:sz="0" w:space="0" w:color="auto"/>
            <w:right w:val="none" w:sz="0" w:space="0" w:color="auto"/>
          </w:divBdr>
        </w:div>
        <w:div w:id="1222860216">
          <w:marLeft w:val="0"/>
          <w:marRight w:val="0"/>
          <w:marTop w:val="0"/>
          <w:marBottom w:val="0"/>
          <w:divBdr>
            <w:top w:val="none" w:sz="0" w:space="0" w:color="auto"/>
            <w:left w:val="none" w:sz="0" w:space="0" w:color="auto"/>
            <w:bottom w:val="none" w:sz="0" w:space="0" w:color="auto"/>
            <w:right w:val="none" w:sz="0" w:space="0" w:color="auto"/>
          </w:divBdr>
        </w:div>
        <w:div w:id="1222860217">
          <w:marLeft w:val="0"/>
          <w:marRight w:val="0"/>
          <w:marTop w:val="0"/>
          <w:marBottom w:val="0"/>
          <w:divBdr>
            <w:top w:val="none" w:sz="0" w:space="0" w:color="auto"/>
            <w:left w:val="none" w:sz="0" w:space="0" w:color="auto"/>
            <w:bottom w:val="none" w:sz="0" w:space="0" w:color="auto"/>
            <w:right w:val="none" w:sz="0" w:space="0" w:color="auto"/>
          </w:divBdr>
        </w:div>
        <w:div w:id="1222860218">
          <w:marLeft w:val="0"/>
          <w:marRight w:val="0"/>
          <w:marTop w:val="0"/>
          <w:marBottom w:val="0"/>
          <w:divBdr>
            <w:top w:val="none" w:sz="0" w:space="0" w:color="auto"/>
            <w:left w:val="none" w:sz="0" w:space="0" w:color="auto"/>
            <w:bottom w:val="none" w:sz="0" w:space="0" w:color="auto"/>
            <w:right w:val="none" w:sz="0" w:space="0" w:color="auto"/>
          </w:divBdr>
        </w:div>
        <w:div w:id="1222860219">
          <w:marLeft w:val="0"/>
          <w:marRight w:val="0"/>
          <w:marTop w:val="0"/>
          <w:marBottom w:val="0"/>
          <w:divBdr>
            <w:top w:val="none" w:sz="0" w:space="0" w:color="auto"/>
            <w:left w:val="none" w:sz="0" w:space="0" w:color="auto"/>
            <w:bottom w:val="none" w:sz="0" w:space="0" w:color="auto"/>
            <w:right w:val="none" w:sz="0" w:space="0" w:color="auto"/>
          </w:divBdr>
        </w:div>
        <w:div w:id="1222860221">
          <w:marLeft w:val="0"/>
          <w:marRight w:val="0"/>
          <w:marTop w:val="0"/>
          <w:marBottom w:val="0"/>
          <w:divBdr>
            <w:top w:val="none" w:sz="0" w:space="0" w:color="auto"/>
            <w:left w:val="none" w:sz="0" w:space="0" w:color="auto"/>
            <w:bottom w:val="none" w:sz="0" w:space="0" w:color="auto"/>
            <w:right w:val="none" w:sz="0" w:space="0" w:color="auto"/>
          </w:divBdr>
        </w:div>
        <w:div w:id="1222860222">
          <w:marLeft w:val="0"/>
          <w:marRight w:val="0"/>
          <w:marTop w:val="0"/>
          <w:marBottom w:val="0"/>
          <w:divBdr>
            <w:top w:val="none" w:sz="0" w:space="0" w:color="auto"/>
            <w:left w:val="none" w:sz="0" w:space="0" w:color="auto"/>
            <w:bottom w:val="none" w:sz="0" w:space="0" w:color="auto"/>
            <w:right w:val="none" w:sz="0" w:space="0" w:color="auto"/>
          </w:divBdr>
        </w:div>
        <w:div w:id="1222860224">
          <w:marLeft w:val="0"/>
          <w:marRight w:val="0"/>
          <w:marTop w:val="0"/>
          <w:marBottom w:val="0"/>
          <w:divBdr>
            <w:top w:val="none" w:sz="0" w:space="0" w:color="auto"/>
            <w:left w:val="none" w:sz="0" w:space="0" w:color="auto"/>
            <w:bottom w:val="none" w:sz="0" w:space="0" w:color="auto"/>
            <w:right w:val="none" w:sz="0" w:space="0" w:color="auto"/>
          </w:divBdr>
        </w:div>
        <w:div w:id="1222860225">
          <w:marLeft w:val="0"/>
          <w:marRight w:val="0"/>
          <w:marTop w:val="0"/>
          <w:marBottom w:val="0"/>
          <w:divBdr>
            <w:top w:val="none" w:sz="0" w:space="0" w:color="auto"/>
            <w:left w:val="none" w:sz="0" w:space="0" w:color="auto"/>
            <w:bottom w:val="none" w:sz="0" w:space="0" w:color="auto"/>
            <w:right w:val="none" w:sz="0" w:space="0" w:color="auto"/>
          </w:divBdr>
        </w:div>
        <w:div w:id="1222860226">
          <w:marLeft w:val="0"/>
          <w:marRight w:val="0"/>
          <w:marTop w:val="0"/>
          <w:marBottom w:val="0"/>
          <w:divBdr>
            <w:top w:val="none" w:sz="0" w:space="0" w:color="auto"/>
            <w:left w:val="none" w:sz="0" w:space="0" w:color="auto"/>
            <w:bottom w:val="none" w:sz="0" w:space="0" w:color="auto"/>
            <w:right w:val="none" w:sz="0" w:space="0" w:color="auto"/>
          </w:divBdr>
        </w:div>
        <w:div w:id="1222860227">
          <w:marLeft w:val="0"/>
          <w:marRight w:val="0"/>
          <w:marTop w:val="0"/>
          <w:marBottom w:val="0"/>
          <w:divBdr>
            <w:top w:val="none" w:sz="0" w:space="0" w:color="auto"/>
            <w:left w:val="none" w:sz="0" w:space="0" w:color="auto"/>
            <w:bottom w:val="none" w:sz="0" w:space="0" w:color="auto"/>
            <w:right w:val="none" w:sz="0" w:space="0" w:color="auto"/>
          </w:divBdr>
        </w:div>
        <w:div w:id="1222860229">
          <w:marLeft w:val="0"/>
          <w:marRight w:val="0"/>
          <w:marTop w:val="0"/>
          <w:marBottom w:val="0"/>
          <w:divBdr>
            <w:top w:val="none" w:sz="0" w:space="0" w:color="auto"/>
            <w:left w:val="none" w:sz="0" w:space="0" w:color="auto"/>
            <w:bottom w:val="none" w:sz="0" w:space="0" w:color="auto"/>
            <w:right w:val="none" w:sz="0" w:space="0" w:color="auto"/>
          </w:divBdr>
        </w:div>
        <w:div w:id="1222860230">
          <w:marLeft w:val="0"/>
          <w:marRight w:val="0"/>
          <w:marTop w:val="0"/>
          <w:marBottom w:val="0"/>
          <w:divBdr>
            <w:top w:val="none" w:sz="0" w:space="0" w:color="auto"/>
            <w:left w:val="none" w:sz="0" w:space="0" w:color="auto"/>
            <w:bottom w:val="none" w:sz="0" w:space="0" w:color="auto"/>
            <w:right w:val="none" w:sz="0" w:space="0" w:color="auto"/>
          </w:divBdr>
        </w:div>
        <w:div w:id="1222860231">
          <w:marLeft w:val="0"/>
          <w:marRight w:val="0"/>
          <w:marTop w:val="0"/>
          <w:marBottom w:val="0"/>
          <w:divBdr>
            <w:top w:val="none" w:sz="0" w:space="0" w:color="auto"/>
            <w:left w:val="none" w:sz="0" w:space="0" w:color="auto"/>
            <w:bottom w:val="none" w:sz="0" w:space="0" w:color="auto"/>
            <w:right w:val="none" w:sz="0" w:space="0" w:color="auto"/>
          </w:divBdr>
        </w:div>
        <w:div w:id="1222860232">
          <w:marLeft w:val="0"/>
          <w:marRight w:val="0"/>
          <w:marTop w:val="0"/>
          <w:marBottom w:val="0"/>
          <w:divBdr>
            <w:top w:val="none" w:sz="0" w:space="0" w:color="auto"/>
            <w:left w:val="none" w:sz="0" w:space="0" w:color="auto"/>
            <w:bottom w:val="none" w:sz="0" w:space="0" w:color="auto"/>
            <w:right w:val="none" w:sz="0" w:space="0" w:color="auto"/>
          </w:divBdr>
        </w:div>
        <w:div w:id="1222860233">
          <w:marLeft w:val="0"/>
          <w:marRight w:val="0"/>
          <w:marTop w:val="0"/>
          <w:marBottom w:val="0"/>
          <w:divBdr>
            <w:top w:val="none" w:sz="0" w:space="0" w:color="auto"/>
            <w:left w:val="none" w:sz="0" w:space="0" w:color="auto"/>
            <w:bottom w:val="none" w:sz="0" w:space="0" w:color="auto"/>
            <w:right w:val="none" w:sz="0" w:space="0" w:color="auto"/>
          </w:divBdr>
        </w:div>
        <w:div w:id="1222860234">
          <w:marLeft w:val="0"/>
          <w:marRight w:val="0"/>
          <w:marTop w:val="0"/>
          <w:marBottom w:val="0"/>
          <w:divBdr>
            <w:top w:val="none" w:sz="0" w:space="0" w:color="auto"/>
            <w:left w:val="none" w:sz="0" w:space="0" w:color="auto"/>
            <w:bottom w:val="none" w:sz="0" w:space="0" w:color="auto"/>
            <w:right w:val="none" w:sz="0" w:space="0" w:color="auto"/>
          </w:divBdr>
        </w:div>
        <w:div w:id="1222860235">
          <w:marLeft w:val="0"/>
          <w:marRight w:val="0"/>
          <w:marTop w:val="0"/>
          <w:marBottom w:val="0"/>
          <w:divBdr>
            <w:top w:val="none" w:sz="0" w:space="0" w:color="auto"/>
            <w:left w:val="none" w:sz="0" w:space="0" w:color="auto"/>
            <w:bottom w:val="none" w:sz="0" w:space="0" w:color="auto"/>
            <w:right w:val="none" w:sz="0" w:space="0" w:color="auto"/>
          </w:divBdr>
        </w:div>
        <w:div w:id="1222860236">
          <w:marLeft w:val="0"/>
          <w:marRight w:val="0"/>
          <w:marTop w:val="0"/>
          <w:marBottom w:val="0"/>
          <w:divBdr>
            <w:top w:val="none" w:sz="0" w:space="0" w:color="auto"/>
            <w:left w:val="none" w:sz="0" w:space="0" w:color="auto"/>
            <w:bottom w:val="none" w:sz="0" w:space="0" w:color="auto"/>
            <w:right w:val="none" w:sz="0" w:space="0" w:color="auto"/>
          </w:divBdr>
        </w:div>
        <w:div w:id="1222860237">
          <w:marLeft w:val="0"/>
          <w:marRight w:val="0"/>
          <w:marTop w:val="0"/>
          <w:marBottom w:val="0"/>
          <w:divBdr>
            <w:top w:val="none" w:sz="0" w:space="0" w:color="auto"/>
            <w:left w:val="none" w:sz="0" w:space="0" w:color="auto"/>
            <w:bottom w:val="none" w:sz="0" w:space="0" w:color="auto"/>
            <w:right w:val="none" w:sz="0" w:space="0" w:color="auto"/>
          </w:divBdr>
        </w:div>
        <w:div w:id="1222860238">
          <w:marLeft w:val="0"/>
          <w:marRight w:val="0"/>
          <w:marTop w:val="0"/>
          <w:marBottom w:val="0"/>
          <w:divBdr>
            <w:top w:val="none" w:sz="0" w:space="0" w:color="auto"/>
            <w:left w:val="none" w:sz="0" w:space="0" w:color="auto"/>
            <w:bottom w:val="none" w:sz="0" w:space="0" w:color="auto"/>
            <w:right w:val="none" w:sz="0" w:space="0" w:color="auto"/>
          </w:divBdr>
        </w:div>
        <w:div w:id="1222860239">
          <w:marLeft w:val="0"/>
          <w:marRight w:val="0"/>
          <w:marTop w:val="0"/>
          <w:marBottom w:val="0"/>
          <w:divBdr>
            <w:top w:val="none" w:sz="0" w:space="0" w:color="auto"/>
            <w:left w:val="none" w:sz="0" w:space="0" w:color="auto"/>
            <w:bottom w:val="none" w:sz="0" w:space="0" w:color="auto"/>
            <w:right w:val="none" w:sz="0" w:space="0" w:color="auto"/>
          </w:divBdr>
        </w:div>
        <w:div w:id="1222860240">
          <w:marLeft w:val="0"/>
          <w:marRight w:val="0"/>
          <w:marTop w:val="0"/>
          <w:marBottom w:val="0"/>
          <w:divBdr>
            <w:top w:val="none" w:sz="0" w:space="0" w:color="auto"/>
            <w:left w:val="none" w:sz="0" w:space="0" w:color="auto"/>
            <w:bottom w:val="none" w:sz="0" w:space="0" w:color="auto"/>
            <w:right w:val="none" w:sz="0" w:space="0" w:color="auto"/>
          </w:divBdr>
        </w:div>
        <w:div w:id="1222860241">
          <w:marLeft w:val="0"/>
          <w:marRight w:val="0"/>
          <w:marTop w:val="0"/>
          <w:marBottom w:val="0"/>
          <w:divBdr>
            <w:top w:val="none" w:sz="0" w:space="0" w:color="auto"/>
            <w:left w:val="none" w:sz="0" w:space="0" w:color="auto"/>
            <w:bottom w:val="none" w:sz="0" w:space="0" w:color="auto"/>
            <w:right w:val="none" w:sz="0" w:space="0" w:color="auto"/>
          </w:divBdr>
        </w:div>
        <w:div w:id="1222860242">
          <w:marLeft w:val="0"/>
          <w:marRight w:val="0"/>
          <w:marTop w:val="0"/>
          <w:marBottom w:val="0"/>
          <w:divBdr>
            <w:top w:val="none" w:sz="0" w:space="0" w:color="auto"/>
            <w:left w:val="none" w:sz="0" w:space="0" w:color="auto"/>
            <w:bottom w:val="none" w:sz="0" w:space="0" w:color="auto"/>
            <w:right w:val="none" w:sz="0" w:space="0" w:color="auto"/>
          </w:divBdr>
        </w:div>
        <w:div w:id="1222860243">
          <w:marLeft w:val="0"/>
          <w:marRight w:val="0"/>
          <w:marTop w:val="0"/>
          <w:marBottom w:val="0"/>
          <w:divBdr>
            <w:top w:val="none" w:sz="0" w:space="0" w:color="auto"/>
            <w:left w:val="none" w:sz="0" w:space="0" w:color="auto"/>
            <w:bottom w:val="none" w:sz="0" w:space="0" w:color="auto"/>
            <w:right w:val="none" w:sz="0" w:space="0" w:color="auto"/>
          </w:divBdr>
        </w:div>
        <w:div w:id="1222860244">
          <w:marLeft w:val="0"/>
          <w:marRight w:val="0"/>
          <w:marTop w:val="0"/>
          <w:marBottom w:val="0"/>
          <w:divBdr>
            <w:top w:val="none" w:sz="0" w:space="0" w:color="auto"/>
            <w:left w:val="none" w:sz="0" w:space="0" w:color="auto"/>
            <w:bottom w:val="none" w:sz="0" w:space="0" w:color="auto"/>
            <w:right w:val="none" w:sz="0" w:space="0" w:color="auto"/>
          </w:divBdr>
        </w:div>
        <w:div w:id="1222860245">
          <w:marLeft w:val="0"/>
          <w:marRight w:val="0"/>
          <w:marTop w:val="0"/>
          <w:marBottom w:val="0"/>
          <w:divBdr>
            <w:top w:val="none" w:sz="0" w:space="0" w:color="auto"/>
            <w:left w:val="none" w:sz="0" w:space="0" w:color="auto"/>
            <w:bottom w:val="none" w:sz="0" w:space="0" w:color="auto"/>
            <w:right w:val="none" w:sz="0" w:space="0" w:color="auto"/>
          </w:divBdr>
        </w:div>
      </w:divsChild>
    </w:div>
    <w:div w:id="1222860215">
      <w:marLeft w:val="0"/>
      <w:marRight w:val="0"/>
      <w:marTop w:val="0"/>
      <w:marBottom w:val="0"/>
      <w:divBdr>
        <w:top w:val="none" w:sz="0" w:space="0" w:color="auto"/>
        <w:left w:val="none" w:sz="0" w:space="0" w:color="auto"/>
        <w:bottom w:val="none" w:sz="0" w:space="0" w:color="auto"/>
        <w:right w:val="none" w:sz="0" w:space="0" w:color="auto"/>
      </w:divBdr>
      <w:divsChild>
        <w:div w:id="1222860214">
          <w:marLeft w:val="0"/>
          <w:marRight w:val="0"/>
          <w:marTop w:val="0"/>
          <w:marBottom w:val="0"/>
          <w:divBdr>
            <w:top w:val="none" w:sz="0" w:space="0" w:color="auto"/>
            <w:left w:val="none" w:sz="0" w:space="0" w:color="auto"/>
            <w:bottom w:val="none" w:sz="0" w:space="0" w:color="auto"/>
            <w:right w:val="none" w:sz="0" w:space="0" w:color="auto"/>
          </w:divBdr>
        </w:div>
        <w:div w:id="1222860228">
          <w:marLeft w:val="0"/>
          <w:marRight w:val="0"/>
          <w:marTop w:val="0"/>
          <w:marBottom w:val="0"/>
          <w:divBdr>
            <w:top w:val="none" w:sz="0" w:space="0" w:color="auto"/>
            <w:left w:val="none" w:sz="0" w:space="0" w:color="auto"/>
            <w:bottom w:val="none" w:sz="0" w:space="0" w:color="auto"/>
            <w:right w:val="none" w:sz="0" w:space="0" w:color="auto"/>
          </w:divBdr>
        </w:div>
      </w:divsChild>
    </w:div>
    <w:div w:id="1222860220">
      <w:marLeft w:val="0"/>
      <w:marRight w:val="0"/>
      <w:marTop w:val="0"/>
      <w:marBottom w:val="0"/>
      <w:divBdr>
        <w:top w:val="none" w:sz="0" w:space="0" w:color="auto"/>
        <w:left w:val="none" w:sz="0" w:space="0" w:color="auto"/>
        <w:bottom w:val="none" w:sz="0" w:space="0" w:color="auto"/>
        <w:right w:val="none" w:sz="0" w:space="0" w:color="auto"/>
      </w:divBdr>
    </w:div>
    <w:div w:id="122286022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image" Target="media/image2.wmf"/><Relationship Id="rId7" Type="http://schemas.openxmlformats.org/officeDocument/2006/relationships/oleObject" Target="embeddings/oleObject4.bin"/><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oleObject" Target="embeddings/oleObject3.bin"/><Relationship Id="rId5" Type="http://schemas.openxmlformats.org/officeDocument/2006/relationships/image" Target="media/image3.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B037B0DDB10C4C4091CBB2E0506F7C28" ma:contentTypeVersion="0" ma:contentTypeDescription="A content type to manage public (operations) IDB documents" ma:contentTypeScope="" ma:versionID="5d24cbce4c153b87e933b18deabcc1cd">
  <xsd:schema xmlns:xsd="http://www.w3.org/2001/XMLSchema" xmlns:xs="http://www.w3.org/2001/XMLSchema" xmlns:p="http://schemas.microsoft.com/office/2006/metadata/properties" xmlns:ns2="9c571b2f-e523-4ab2-ba2e-09e151a03ef4" targetNamespace="http://schemas.microsoft.com/office/2006/metadata/properties" ma:root="true" ma:fieldsID="6bfe46e4c83422ab72b735076e7988d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7e3e8b7-b0c0-4a85-90a4-39ae7e6b1e0c}" ma:internalName="TaxCatchAll" ma:showField="CatchAllData"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7e3e8b7-b0c0-4a85-90a4-39ae7e6b1e0c}" ma:internalName="TaxCatchAllLabel" ma:readOnly="true" ma:showField="CatchAllDataLabel"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IFD/CTI</Division_x0020_or_x0020_Unit>
    <Other_x0020_Author xmlns="9c571b2f-e523-4ab2-ba2e-09e151a03ef4" xsi:nil="true"/>
    <Region xmlns="9c571b2f-e523-4ab2-ba2e-09e151a03ef4" xsi:nil="true"/>
    <IDBDocs_x0020_Number xmlns="9c571b2f-e523-4ab2-ba2e-09e151a03ef4">37898972</IDBDocs_x0020_Number>
    <Document_x0020_Author xmlns="9c571b2f-e523-4ab2-ba2e-09e151a03ef4">Angelelli, Pablo Javier</Document_x0020_Author>
    <Publication_x0020_Type xmlns="9c571b2f-e523-4ab2-ba2e-09e151a03ef4" xsi:nil="true"/>
    <Operation_x0020_Type xmlns="9c571b2f-e523-4ab2-ba2e-09e151a03ef4" xsi:nil="true"/>
    <TaxCatchAll xmlns="9c571b2f-e523-4ab2-ba2e-09e151a03ef4">
      <Value>8</Value>
      <Value>18</Value>
    </TaxCatchAll>
    <Fiscal_x0020_Year_x0020_IDB xmlns="9c571b2f-e523-4ab2-ba2e-09e151a03ef4">2013</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AR-L1157</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Proposal&lt;/USER_STAGE&gt;&lt;APPROVAL_CODE&gt;QRR&lt;/APPROVAL_CODE&gt;&lt;APPROVAL_DESC&gt;Quality &amp; Risk Review&lt;/APPROVAL_DESC&gt;&lt;PD_OBJ_TYPE&gt;0&lt;/PD_OBJ_TYPE&gt;&lt;MAKERECORD&gt;N&lt;/MAKERECORD&gt;&lt;PD_FILEPT_NO&gt;PO-AR-L1157-Plan&lt;/PD_FILEPT_NO&gt;&lt;/Data&gt;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CO-CYT</Webtopic>
    <Identifier xmlns="9c571b2f-e523-4ab2-ba2e-09e151a03ef4"> ANNEX</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C995E713-4B1C-44A1-90B5-2721263D92E5}"/>
</file>

<file path=customXml/itemProps2.xml><?xml version="1.0" encoding="utf-8"?>
<ds:datastoreItem xmlns:ds="http://schemas.openxmlformats.org/officeDocument/2006/customXml" ds:itemID="{DE067129-530D-4C0C-AB1F-A0A869BA6E39}"/>
</file>

<file path=customXml/itemProps3.xml><?xml version="1.0" encoding="utf-8"?>
<ds:datastoreItem xmlns:ds="http://schemas.openxmlformats.org/officeDocument/2006/customXml" ds:itemID="{8B8F9F92-9BCD-42F1-8E54-99CD63CCDEC4}"/>
</file>

<file path=customXml/itemProps4.xml><?xml version="1.0" encoding="utf-8"?>
<ds:datastoreItem xmlns:ds="http://schemas.openxmlformats.org/officeDocument/2006/customXml" ds:itemID="{8CED4370-2CC5-4F21-8890-99AAE2E966DE}"/>
</file>

<file path=customXml/itemProps5.xml><?xml version="1.0" encoding="utf-8"?>
<ds:datastoreItem xmlns:ds="http://schemas.openxmlformats.org/officeDocument/2006/customXml" ds:itemID="{2C5095F4-BA79-4CDE-926D-1C4AFEB798C1}"/>
</file>

<file path=customXml/itemProps6.xml><?xml version="1.0" encoding="utf-8"?>
<ds:datastoreItem xmlns:ds="http://schemas.openxmlformats.org/officeDocument/2006/customXml" ds:itemID="{41D73512-39F0-49FD-9A53-DC96073197C4}"/>
</file>

<file path=docProps/app.xml><?xml version="1.0" encoding="utf-8"?>
<Properties xmlns="http://schemas.openxmlformats.org/officeDocument/2006/extended-properties" xmlns:vt="http://schemas.openxmlformats.org/officeDocument/2006/docPropsVTypes">
  <Template>Normal.dotm</Template>
  <TotalTime>59</TotalTime>
  <Pages>51</Pages>
  <Words>17897</Words>
  <Characters>96201</Characters>
  <Application>Microsoft Office Word</Application>
  <DocSecurity>0</DocSecurity>
  <Lines>801</Lines>
  <Paragraphs>227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113871</CharactersWithSpaces>
  <SharedDoc>false</SharedDoc>
  <HLinks>
    <vt:vector size="234" baseType="variant">
      <vt:variant>
        <vt:i4>1966135</vt:i4>
      </vt:variant>
      <vt:variant>
        <vt:i4>230</vt:i4>
      </vt:variant>
      <vt:variant>
        <vt:i4>0</vt:i4>
      </vt:variant>
      <vt:variant>
        <vt:i4>5</vt:i4>
      </vt:variant>
      <vt:variant>
        <vt:lpwstr/>
      </vt:variant>
      <vt:variant>
        <vt:lpwstr>_Toc362804632</vt:lpwstr>
      </vt:variant>
      <vt:variant>
        <vt:i4>1966135</vt:i4>
      </vt:variant>
      <vt:variant>
        <vt:i4>224</vt:i4>
      </vt:variant>
      <vt:variant>
        <vt:i4>0</vt:i4>
      </vt:variant>
      <vt:variant>
        <vt:i4>5</vt:i4>
      </vt:variant>
      <vt:variant>
        <vt:lpwstr/>
      </vt:variant>
      <vt:variant>
        <vt:lpwstr>_Toc362804631</vt:lpwstr>
      </vt:variant>
      <vt:variant>
        <vt:i4>1966135</vt:i4>
      </vt:variant>
      <vt:variant>
        <vt:i4>218</vt:i4>
      </vt:variant>
      <vt:variant>
        <vt:i4>0</vt:i4>
      </vt:variant>
      <vt:variant>
        <vt:i4>5</vt:i4>
      </vt:variant>
      <vt:variant>
        <vt:lpwstr/>
      </vt:variant>
      <vt:variant>
        <vt:lpwstr>_Toc362804630</vt:lpwstr>
      </vt:variant>
      <vt:variant>
        <vt:i4>2031671</vt:i4>
      </vt:variant>
      <vt:variant>
        <vt:i4>212</vt:i4>
      </vt:variant>
      <vt:variant>
        <vt:i4>0</vt:i4>
      </vt:variant>
      <vt:variant>
        <vt:i4>5</vt:i4>
      </vt:variant>
      <vt:variant>
        <vt:lpwstr/>
      </vt:variant>
      <vt:variant>
        <vt:lpwstr>_Toc362804629</vt:lpwstr>
      </vt:variant>
      <vt:variant>
        <vt:i4>2031671</vt:i4>
      </vt:variant>
      <vt:variant>
        <vt:i4>206</vt:i4>
      </vt:variant>
      <vt:variant>
        <vt:i4>0</vt:i4>
      </vt:variant>
      <vt:variant>
        <vt:i4>5</vt:i4>
      </vt:variant>
      <vt:variant>
        <vt:lpwstr/>
      </vt:variant>
      <vt:variant>
        <vt:lpwstr>_Toc362804628</vt:lpwstr>
      </vt:variant>
      <vt:variant>
        <vt:i4>2031671</vt:i4>
      </vt:variant>
      <vt:variant>
        <vt:i4>200</vt:i4>
      </vt:variant>
      <vt:variant>
        <vt:i4>0</vt:i4>
      </vt:variant>
      <vt:variant>
        <vt:i4>5</vt:i4>
      </vt:variant>
      <vt:variant>
        <vt:lpwstr/>
      </vt:variant>
      <vt:variant>
        <vt:lpwstr>_Toc362804627</vt:lpwstr>
      </vt:variant>
      <vt:variant>
        <vt:i4>2031671</vt:i4>
      </vt:variant>
      <vt:variant>
        <vt:i4>194</vt:i4>
      </vt:variant>
      <vt:variant>
        <vt:i4>0</vt:i4>
      </vt:variant>
      <vt:variant>
        <vt:i4>5</vt:i4>
      </vt:variant>
      <vt:variant>
        <vt:lpwstr/>
      </vt:variant>
      <vt:variant>
        <vt:lpwstr>_Toc362804626</vt:lpwstr>
      </vt:variant>
      <vt:variant>
        <vt:i4>2031671</vt:i4>
      </vt:variant>
      <vt:variant>
        <vt:i4>188</vt:i4>
      </vt:variant>
      <vt:variant>
        <vt:i4>0</vt:i4>
      </vt:variant>
      <vt:variant>
        <vt:i4>5</vt:i4>
      </vt:variant>
      <vt:variant>
        <vt:lpwstr/>
      </vt:variant>
      <vt:variant>
        <vt:lpwstr>_Toc362804625</vt:lpwstr>
      </vt:variant>
      <vt:variant>
        <vt:i4>2031671</vt:i4>
      </vt:variant>
      <vt:variant>
        <vt:i4>182</vt:i4>
      </vt:variant>
      <vt:variant>
        <vt:i4>0</vt:i4>
      </vt:variant>
      <vt:variant>
        <vt:i4>5</vt:i4>
      </vt:variant>
      <vt:variant>
        <vt:lpwstr/>
      </vt:variant>
      <vt:variant>
        <vt:lpwstr>_Toc362804624</vt:lpwstr>
      </vt:variant>
      <vt:variant>
        <vt:i4>2031671</vt:i4>
      </vt:variant>
      <vt:variant>
        <vt:i4>176</vt:i4>
      </vt:variant>
      <vt:variant>
        <vt:i4>0</vt:i4>
      </vt:variant>
      <vt:variant>
        <vt:i4>5</vt:i4>
      </vt:variant>
      <vt:variant>
        <vt:lpwstr/>
      </vt:variant>
      <vt:variant>
        <vt:lpwstr>_Toc362804623</vt:lpwstr>
      </vt:variant>
      <vt:variant>
        <vt:i4>2031671</vt:i4>
      </vt:variant>
      <vt:variant>
        <vt:i4>170</vt:i4>
      </vt:variant>
      <vt:variant>
        <vt:i4>0</vt:i4>
      </vt:variant>
      <vt:variant>
        <vt:i4>5</vt:i4>
      </vt:variant>
      <vt:variant>
        <vt:lpwstr/>
      </vt:variant>
      <vt:variant>
        <vt:lpwstr>_Toc362804622</vt:lpwstr>
      </vt:variant>
      <vt:variant>
        <vt:i4>2031671</vt:i4>
      </vt:variant>
      <vt:variant>
        <vt:i4>164</vt:i4>
      </vt:variant>
      <vt:variant>
        <vt:i4>0</vt:i4>
      </vt:variant>
      <vt:variant>
        <vt:i4>5</vt:i4>
      </vt:variant>
      <vt:variant>
        <vt:lpwstr/>
      </vt:variant>
      <vt:variant>
        <vt:lpwstr>_Toc362804621</vt:lpwstr>
      </vt:variant>
      <vt:variant>
        <vt:i4>2031671</vt:i4>
      </vt:variant>
      <vt:variant>
        <vt:i4>158</vt:i4>
      </vt:variant>
      <vt:variant>
        <vt:i4>0</vt:i4>
      </vt:variant>
      <vt:variant>
        <vt:i4>5</vt:i4>
      </vt:variant>
      <vt:variant>
        <vt:lpwstr/>
      </vt:variant>
      <vt:variant>
        <vt:lpwstr>_Toc362804620</vt:lpwstr>
      </vt:variant>
      <vt:variant>
        <vt:i4>1835063</vt:i4>
      </vt:variant>
      <vt:variant>
        <vt:i4>152</vt:i4>
      </vt:variant>
      <vt:variant>
        <vt:i4>0</vt:i4>
      </vt:variant>
      <vt:variant>
        <vt:i4>5</vt:i4>
      </vt:variant>
      <vt:variant>
        <vt:lpwstr/>
      </vt:variant>
      <vt:variant>
        <vt:lpwstr>_Toc362804619</vt:lpwstr>
      </vt:variant>
      <vt:variant>
        <vt:i4>1835063</vt:i4>
      </vt:variant>
      <vt:variant>
        <vt:i4>146</vt:i4>
      </vt:variant>
      <vt:variant>
        <vt:i4>0</vt:i4>
      </vt:variant>
      <vt:variant>
        <vt:i4>5</vt:i4>
      </vt:variant>
      <vt:variant>
        <vt:lpwstr/>
      </vt:variant>
      <vt:variant>
        <vt:lpwstr>_Toc362804618</vt:lpwstr>
      </vt:variant>
      <vt:variant>
        <vt:i4>1835063</vt:i4>
      </vt:variant>
      <vt:variant>
        <vt:i4>140</vt:i4>
      </vt:variant>
      <vt:variant>
        <vt:i4>0</vt:i4>
      </vt:variant>
      <vt:variant>
        <vt:i4>5</vt:i4>
      </vt:variant>
      <vt:variant>
        <vt:lpwstr/>
      </vt:variant>
      <vt:variant>
        <vt:lpwstr>_Toc362804617</vt:lpwstr>
      </vt:variant>
      <vt:variant>
        <vt:i4>1835063</vt:i4>
      </vt:variant>
      <vt:variant>
        <vt:i4>134</vt:i4>
      </vt:variant>
      <vt:variant>
        <vt:i4>0</vt:i4>
      </vt:variant>
      <vt:variant>
        <vt:i4>5</vt:i4>
      </vt:variant>
      <vt:variant>
        <vt:lpwstr/>
      </vt:variant>
      <vt:variant>
        <vt:lpwstr>_Toc362804616</vt:lpwstr>
      </vt:variant>
      <vt:variant>
        <vt:i4>1835063</vt:i4>
      </vt:variant>
      <vt:variant>
        <vt:i4>128</vt:i4>
      </vt:variant>
      <vt:variant>
        <vt:i4>0</vt:i4>
      </vt:variant>
      <vt:variant>
        <vt:i4>5</vt:i4>
      </vt:variant>
      <vt:variant>
        <vt:lpwstr/>
      </vt:variant>
      <vt:variant>
        <vt:lpwstr>_Toc362804615</vt:lpwstr>
      </vt:variant>
      <vt:variant>
        <vt:i4>1835063</vt:i4>
      </vt:variant>
      <vt:variant>
        <vt:i4>122</vt:i4>
      </vt:variant>
      <vt:variant>
        <vt:i4>0</vt:i4>
      </vt:variant>
      <vt:variant>
        <vt:i4>5</vt:i4>
      </vt:variant>
      <vt:variant>
        <vt:lpwstr/>
      </vt:variant>
      <vt:variant>
        <vt:lpwstr>_Toc362804614</vt:lpwstr>
      </vt:variant>
      <vt:variant>
        <vt:i4>1835063</vt:i4>
      </vt:variant>
      <vt:variant>
        <vt:i4>116</vt:i4>
      </vt:variant>
      <vt:variant>
        <vt:i4>0</vt:i4>
      </vt:variant>
      <vt:variant>
        <vt:i4>5</vt:i4>
      </vt:variant>
      <vt:variant>
        <vt:lpwstr/>
      </vt:variant>
      <vt:variant>
        <vt:lpwstr>_Toc362804613</vt:lpwstr>
      </vt:variant>
      <vt:variant>
        <vt:i4>1835063</vt:i4>
      </vt:variant>
      <vt:variant>
        <vt:i4>110</vt:i4>
      </vt:variant>
      <vt:variant>
        <vt:i4>0</vt:i4>
      </vt:variant>
      <vt:variant>
        <vt:i4>5</vt:i4>
      </vt:variant>
      <vt:variant>
        <vt:lpwstr/>
      </vt:variant>
      <vt:variant>
        <vt:lpwstr>_Toc362804612</vt:lpwstr>
      </vt:variant>
      <vt:variant>
        <vt:i4>1835063</vt:i4>
      </vt:variant>
      <vt:variant>
        <vt:i4>104</vt:i4>
      </vt:variant>
      <vt:variant>
        <vt:i4>0</vt:i4>
      </vt:variant>
      <vt:variant>
        <vt:i4>5</vt:i4>
      </vt:variant>
      <vt:variant>
        <vt:lpwstr/>
      </vt:variant>
      <vt:variant>
        <vt:lpwstr>_Toc362804611</vt:lpwstr>
      </vt:variant>
      <vt:variant>
        <vt:i4>1835063</vt:i4>
      </vt:variant>
      <vt:variant>
        <vt:i4>98</vt:i4>
      </vt:variant>
      <vt:variant>
        <vt:i4>0</vt:i4>
      </vt:variant>
      <vt:variant>
        <vt:i4>5</vt:i4>
      </vt:variant>
      <vt:variant>
        <vt:lpwstr/>
      </vt:variant>
      <vt:variant>
        <vt:lpwstr>_Toc362804610</vt:lpwstr>
      </vt:variant>
      <vt:variant>
        <vt:i4>1900599</vt:i4>
      </vt:variant>
      <vt:variant>
        <vt:i4>92</vt:i4>
      </vt:variant>
      <vt:variant>
        <vt:i4>0</vt:i4>
      </vt:variant>
      <vt:variant>
        <vt:i4>5</vt:i4>
      </vt:variant>
      <vt:variant>
        <vt:lpwstr/>
      </vt:variant>
      <vt:variant>
        <vt:lpwstr>_Toc362804609</vt:lpwstr>
      </vt:variant>
      <vt:variant>
        <vt:i4>1900599</vt:i4>
      </vt:variant>
      <vt:variant>
        <vt:i4>86</vt:i4>
      </vt:variant>
      <vt:variant>
        <vt:i4>0</vt:i4>
      </vt:variant>
      <vt:variant>
        <vt:i4>5</vt:i4>
      </vt:variant>
      <vt:variant>
        <vt:lpwstr/>
      </vt:variant>
      <vt:variant>
        <vt:lpwstr>_Toc362804608</vt:lpwstr>
      </vt:variant>
      <vt:variant>
        <vt:i4>1900599</vt:i4>
      </vt:variant>
      <vt:variant>
        <vt:i4>80</vt:i4>
      </vt:variant>
      <vt:variant>
        <vt:i4>0</vt:i4>
      </vt:variant>
      <vt:variant>
        <vt:i4>5</vt:i4>
      </vt:variant>
      <vt:variant>
        <vt:lpwstr/>
      </vt:variant>
      <vt:variant>
        <vt:lpwstr>_Toc362804607</vt:lpwstr>
      </vt:variant>
      <vt:variant>
        <vt:i4>1900599</vt:i4>
      </vt:variant>
      <vt:variant>
        <vt:i4>74</vt:i4>
      </vt:variant>
      <vt:variant>
        <vt:i4>0</vt:i4>
      </vt:variant>
      <vt:variant>
        <vt:i4>5</vt:i4>
      </vt:variant>
      <vt:variant>
        <vt:lpwstr/>
      </vt:variant>
      <vt:variant>
        <vt:lpwstr>_Toc362804606</vt:lpwstr>
      </vt:variant>
      <vt:variant>
        <vt:i4>1900599</vt:i4>
      </vt:variant>
      <vt:variant>
        <vt:i4>68</vt:i4>
      </vt:variant>
      <vt:variant>
        <vt:i4>0</vt:i4>
      </vt:variant>
      <vt:variant>
        <vt:i4>5</vt:i4>
      </vt:variant>
      <vt:variant>
        <vt:lpwstr/>
      </vt:variant>
      <vt:variant>
        <vt:lpwstr>_Toc362804605</vt:lpwstr>
      </vt:variant>
      <vt:variant>
        <vt:i4>1900599</vt:i4>
      </vt:variant>
      <vt:variant>
        <vt:i4>62</vt:i4>
      </vt:variant>
      <vt:variant>
        <vt:i4>0</vt:i4>
      </vt:variant>
      <vt:variant>
        <vt:i4>5</vt:i4>
      </vt:variant>
      <vt:variant>
        <vt:lpwstr/>
      </vt:variant>
      <vt:variant>
        <vt:lpwstr>_Toc362804604</vt:lpwstr>
      </vt:variant>
      <vt:variant>
        <vt:i4>1900599</vt:i4>
      </vt:variant>
      <vt:variant>
        <vt:i4>56</vt:i4>
      </vt:variant>
      <vt:variant>
        <vt:i4>0</vt:i4>
      </vt:variant>
      <vt:variant>
        <vt:i4>5</vt:i4>
      </vt:variant>
      <vt:variant>
        <vt:lpwstr/>
      </vt:variant>
      <vt:variant>
        <vt:lpwstr>_Toc362804603</vt:lpwstr>
      </vt:variant>
      <vt:variant>
        <vt:i4>1900599</vt:i4>
      </vt:variant>
      <vt:variant>
        <vt:i4>50</vt:i4>
      </vt:variant>
      <vt:variant>
        <vt:i4>0</vt:i4>
      </vt:variant>
      <vt:variant>
        <vt:i4>5</vt:i4>
      </vt:variant>
      <vt:variant>
        <vt:lpwstr/>
      </vt:variant>
      <vt:variant>
        <vt:lpwstr>_Toc362804602</vt:lpwstr>
      </vt:variant>
      <vt:variant>
        <vt:i4>1900599</vt:i4>
      </vt:variant>
      <vt:variant>
        <vt:i4>44</vt:i4>
      </vt:variant>
      <vt:variant>
        <vt:i4>0</vt:i4>
      </vt:variant>
      <vt:variant>
        <vt:i4>5</vt:i4>
      </vt:variant>
      <vt:variant>
        <vt:lpwstr/>
      </vt:variant>
      <vt:variant>
        <vt:lpwstr>_Toc362804601</vt:lpwstr>
      </vt:variant>
      <vt:variant>
        <vt:i4>1900599</vt:i4>
      </vt:variant>
      <vt:variant>
        <vt:i4>38</vt:i4>
      </vt:variant>
      <vt:variant>
        <vt:i4>0</vt:i4>
      </vt:variant>
      <vt:variant>
        <vt:i4>5</vt:i4>
      </vt:variant>
      <vt:variant>
        <vt:lpwstr/>
      </vt:variant>
      <vt:variant>
        <vt:lpwstr>_Toc362804600</vt:lpwstr>
      </vt:variant>
      <vt:variant>
        <vt:i4>1310772</vt:i4>
      </vt:variant>
      <vt:variant>
        <vt:i4>32</vt:i4>
      </vt:variant>
      <vt:variant>
        <vt:i4>0</vt:i4>
      </vt:variant>
      <vt:variant>
        <vt:i4>5</vt:i4>
      </vt:variant>
      <vt:variant>
        <vt:lpwstr/>
      </vt:variant>
      <vt:variant>
        <vt:lpwstr>_Toc362804599</vt:lpwstr>
      </vt:variant>
      <vt:variant>
        <vt:i4>1310772</vt:i4>
      </vt:variant>
      <vt:variant>
        <vt:i4>26</vt:i4>
      </vt:variant>
      <vt:variant>
        <vt:i4>0</vt:i4>
      </vt:variant>
      <vt:variant>
        <vt:i4>5</vt:i4>
      </vt:variant>
      <vt:variant>
        <vt:lpwstr/>
      </vt:variant>
      <vt:variant>
        <vt:lpwstr>_Toc362804598</vt:lpwstr>
      </vt:variant>
      <vt:variant>
        <vt:i4>1310772</vt:i4>
      </vt:variant>
      <vt:variant>
        <vt:i4>20</vt:i4>
      </vt:variant>
      <vt:variant>
        <vt:i4>0</vt:i4>
      </vt:variant>
      <vt:variant>
        <vt:i4>5</vt:i4>
      </vt:variant>
      <vt:variant>
        <vt:lpwstr/>
      </vt:variant>
      <vt:variant>
        <vt:lpwstr>_Toc362804597</vt:lpwstr>
      </vt:variant>
      <vt:variant>
        <vt:i4>1310772</vt:i4>
      </vt:variant>
      <vt:variant>
        <vt:i4>14</vt:i4>
      </vt:variant>
      <vt:variant>
        <vt:i4>0</vt:i4>
      </vt:variant>
      <vt:variant>
        <vt:i4>5</vt:i4>
      </vt:variant>
      <vt:variant>
        <vt:lpwstr/>
      </vt:variant>
      <vt:variant>
        <vt:lpwstr>_Toc362804596</vt:lpwstr>
      </vt:variant>
      <vt:variant>
        <vt:i4>1310772</vt:i4>
      </vt:variant>
      <vt:variant>
        <vt:i4>8</vt:i4>
      </vt:variant>
      <vt:variant>
        <vt:i4>0</vt:i4>
      </vt:variant>
      <vt:variant>
        <vt:i4>5</vt:i4>
      </vt:variant>
      <vt:variant>
        <vt:lpwstr/>
      </vt:variant>
      <vt:variant>
        <vt:lpwstr>_Toc362804595</vt:lpwstr>
      </vt:variant>
      <vt:variant>
        <vt:i4>1310772</vt:i4>
      </vt:variant>
      <vt:variant>
        <vt:i4>2</vt:i4>
      </vt:variant>
      <vt:variant>
        <vt:i4>0</vt:i4>
      </vt:variant>
      <vt:variant>
        <vt:i4>5</vt:i4>
      </vt:variant>
      <vt:variant>
        <vt:lpwstr/>
      </vt:variant>
      <vt:variant>
        <vt:lpwstr>_Toc362804594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 Link Op_ 4 Analisis economico del proyecto AR-L1157</dc:title>
  <dc:subject/>
  <dc:creator>Valeria</dc:creator>
  <cp:keywords/>
  <cp:lastModifiedBy>Inter-American Development Bank</cp:lastModifiedBy>
  <cp:revision>3</cp:revision>
  <cp:lastPrinted>2013-07-30T13:01:00Z</cp:lastPrinted>
  <dcterms:created xsi:type="dcterms:W3CDTF">2013-08-02T11:29:00Z</dcterms:created>
  <dcterms:modified xsi:type="dcterms:W3CDTF">2013-08-02T12:27:00Z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0x01010046CF21643EE8D14686A648AA6DAD089200B037B0DDB10C4C4091CBB2E0506F7C28</vt:lpwstr>
  </property>
  <property fmtid="{D5CDD505-2E9C-101B-9397-08002B2CF9AE}" pid="5" name="TaxKeywordTaxHTField">
    <vt:lpwstr/>
  </property>
  <property fmtid="{D5CDD505-2E9C-101B-9397-08002B2CF9AE}" pid="6" name="Series Operations IDB">
    <vt:lpwstr>18;#Project Profile (PP)|ac5f0c28-f2f6-431c-8d05-62f851b6a822</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18;#Project Profile (PP)|ac5f0c28-f2f6-431c-8d05-62f851b6a822</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8;#Project Preparation, Planning and Design|29ca0c72-1fc4-435f-a09c-28585cb5eac9</vt:lpwstr>
  </property>
</Properties>
</file>