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DA" w:rsidRPr="001E169D" w:rsidRDefault="00AE2BDA" w:rsidP="00253D5A">
      <w:pPr>
        <w:rPr>
          <w:u w:val="single"/>
          <w:lang w:val="es-ES_tradnl"/>
        </w:rPr>
      </w:pPr>
    </w:p>
    <w:p w:rsidR="00210EAE" w:rsidRPr="001E169D" w:rsidRDefault="00210EAE" w:rsidP="00210EAE">
      <w:pPr>
        <w:jc w:val="both"/>
        <w:rPr>
          <w:rFonts w:ascii="Arial" w:hAnsi="Arial" w:cs="Arial"/>
          <w:b/>
          <w:bCs/>
          <w:sz w:val="22"/>
          <w:szCs w:val="22"/>
          <w:lang w:val="es-ES_tradnl"/>
        </w:rPr>
      </w:pPr>
    </w:p>
    <w:p w:rsidR="00DD2779" w:rsidRPr="001E169D" w:rsidRDefault="00DD2779" w:rsidP="005F718A">
      <w:pPr>
        <w:jc w:val="center"/>
        <w:rPr>
          <w:rFonts w:ascii="Arial" w:eastAsia="SimSun" w:hAnsi="Arial" w:cs="Arial"/>
          <w:b/>
          <w:smallCaps/>
          <w:sz w:val="22"/>
          <w:szCs w:val="22"/>
          <w:lang w:val="es-ES_tradnl"/>
        </w:rPr>
      </w:pPr>
      <w:r w:rsidRPr="001E169D">
        <w:rPr>
          <w:rFonts w:ascii="Arial" w:eastAsia="SimSun" w:hAnsi="Arial" w:cs="Arial"/>
          <w:b/>
          <w:smallCaps/>
          <w:sz w:val="22"/>
          <w:szCs w:val="22"/>
          <w:lang w:val="es-ES_tradnl"/>
        </w:rPr>
        <w:t>REGIONAL</w:t>
      </w:r>
    </w:p>
    <w:p w:rsidR="00DD2779" w:rsidRPr="001E169D" w:rsidRDefault="00DD2779" w:rsidP="005F718A">
      <w:pPr>
        <w:jc w:val="center"/>
        <w:rPr>
          <w:rFonts w:ascii="Arial" w:eastAsia="SimSun" w:hAnsi="Arial" w:cs="Arial"/>
          <w:b/>
          <w:smallCaps/>
          <w:sz w:val="22"/>
          <w:szCs w:val="22"/>
          <w:lang w:val="es-ES_tradnl"/>
        </w:rPr>
      </w:pPr>
    </w:p>
    <w:p w:rsidR="00DD2779" w:rsidRPr="001E169D" w:rsidRDefault="00DD2779" w:rsidP="005F718A">
      <w:pPr>
        <w:jc w:val="center"/>
        <w:rPr>
          <w:rFonts w:ascii="Arial" w:eastAsia="SimSun" w:hAnsi="Arial" w:cs="Arial"/>
          <w:b/>
          <w:smallCaps/>
          <w:sz w:val="22"/>
          <w:szCs w:val="22"/>
          <w:lang w:val="es-ES_tradnl"/>
        </w:rPr>
      </w:pPr>
      <w:r w:rsidRPr="001E169D">
        <w:rPr>
          <w:rFonts w:ascii="Arial" w:eastAsia="SimSun" w:hAnsi="Arial" w:cs="Arial"/>
          <w:b/>
          <w:smallCaps/>
          <w:sz w:val="22"/>
          <w:szCs w:val="22"/>
          <w:lang w:val="es-ES_tradnl"/>
        </w:rPr>
        <w:t xml:space="preserve">Programa de cooperación regional para el desarrollo de un </w:t>
      </w:r>
      <w:bookmarkStart w:id="0" w:name="_Hlk495001728"/>
      <w:r w:rsidRPr="001E169D">
        <w:rPr>
          <w:rFonts w:ascii="Arial" w:eastAsia="SimSun" w:hAnsi="Arial" w:cs="Arial"/>
          <w:b/>
          <w:smallCaps/>
          <w:sz w:val="22"/>
          <w:szCs w:val="22"/>
          <w:lang w:val="es-ES_tradnl"/>
        </w:rPr>
        <w:t>marco de resolución de crisis financieras regionales</w:t>
      </w:r>
      <w:bookmarkEnd w:id="0"/>
      <w:r w:rsidRPr="001E169D">
        <w:rPr>
          <w:rFonts w:ascii="Arial" w:eastAsia="SimSun" w:hAnsi="Arial" w:cs="Arial"/>
          <w:b/>
          <w:smallCaps/>
          <w:sz w:val="22"/>
          <w:szCs w:val="22"/>
          <w:lang w:val="es-ES_tradnl"/>
        </w:rPr>
        <w:t xml:space="preserve">  </w:t>
      </w:r>
    </w:p>
    <w:p w:rsidR="00DD2779" w:rsidRPr="001E169D" w:rsidRDefault="00DD2779" w:rsidP="005F718A">
      <w:pPr>
        <w:jc w:val="center"/>
        <w:rPr>
          <w:rFonts w:ascii="Arial" w:eastAsia="SimSun" w:hAnsi="Arial" w:cs="Arial"/>
          <w:b/>
          <w:smallCaps/>
          <w:sz w:val="22"/>
          <w:szCs w:val="22"/>
          <w:lang w:val="es-ES_tradnl"/>
        </w:rPr>
      </w:pPr>
      <w:r w:rsidRPr="001E169D">
        <w:rPr>
          <w:rFonts w:ascii="Arial" w:eastAsia="SimSun" w:hAnsi="Arial" w:cs="Arial"/>
          <w:b/>
          <w:smallCaps/>
          <w:sz w:val="22"/>
          <w:szCs w:val="22"/>
          <w:lang w:val="es-ES_tradnl"/>
        </w:rPr>
        <w:t>(RG-T3097)</w:t>
      </w:r>
    </w:p>
    <w:p w:rsidR="00DD2779" w:rsidRPr="001E169D" w:rsidRDefault="00DD2779" w:rsidP="005F718A">
      <w:pPr>
        <w:jc w:val="center"/>
        <w:rPr>
          <w:rFonts w:ascii="Arial" w:eastAsia="SimSun" w:hAnsi="Arial" w:cs="Arial"/>
          <w:b/>
          <w:smallCaps/>
          <w:sz w:val="22"/>
          <w:szCs w:val="22"/>
          <w:lang w:val="es-ES_tradnl"/>
        </w:rPr>
      </w:pPr>
    </w:p>
    <w:p w:rsidR="005F718A" w:rsidRPr="001E169D" w:rsidRDefault="005F718A" w:rsidP="005F718A">
      <w:pPr>
        <w:jc w:val="center"/>
        <w:rPr>
          <w:rFonts w:ascii="Arial" w:eastAsia="SimSun" w:hAnsi="Arial" w:cs="Arial"/>
          <w:b/>
          <w:smallCaps/>
          <w:sz w:val="22"/>
          <w:szCs w:val="22"/>
          <w:lang w:val="es-ES_tradnl"/>
        </w:rPr>
      </w:pPr>
      <w:r w:rsidRPr="001E169D">
        <w:rPr>
          <w:rFonts w:ascii="Arial" w:eastAsia="SimSun" w:hAnsi="Arial" w:cs="Arial"/>
          <w:b/>
          <w:smallCaps/>
          <w:sz w:val="22"/>
          <w:szCs w:val="22"/>
          <w:lang w:val="es-ES_tradnl"/>
        </w:rPr>
        <w:t>Cooperación transfronteriza para desarrollar una resolución eficiente y un marco de gestión de crisis para instituciones financi</w:t>
      </w:r>
      <w:r w:rsidR="00DD2779" w:rsidRPr="001E169D">
        <w:rPr>
          <w:rFonts w:ascii="Arial" w:eastAsia="SimSun" w:hAnsi="Arial" w:cs="Arial"/>
          <w:b/>
          <w:smallCaps/>
          <w:sz w:val="22"/>
          <w:szCs w:val="22"/>
          <w:lang w:val="es-ES_tradnl"/>
        </w:rPr>
        <w:t>eras con operaciones regionales</w:t>
      </w:r>
    </w:p>
    <w:p w:rsidR="00AE2BDA" w:rsidRPr="001E169D" w:rsidRDefault="005F718A" w:rsidP="00210EAE">
      <w:pPr>
        <w:jc w:val="center"/>
        <w:rPr>
          <w:rFonts w:ascii="Arial" w:eastAsia="SimSun" w:hAnsi="Arial" w:cs="Arial"/>
          <w:sz w:val="22"/>
          <w:szCs w:val="22"/>
          <w:lang w:val="es-ES_tradnl"/>
        </w:rPr>
      </w:pPr>
      <w:r w:rsidRPr="001E169D">
        <w:rPr>
          <w:rFonts w:ascii="Arial" w:eastAsia="SimSun" w:hAnsi="Arial" w:cs="Arial"/>
          <w:sz w:val="22"/>
          <w:szCs w:val="22"/>
          <w:lang w:val="es-ES_tradnl"/>
        </w:rPr>
        <w:t xml:space="preserve"> </w:t>
      </w:r>
    </w:p>
    <w:p w:rsidR="00253D5A" w:rsidRPr="001E169D" w:rsidRDefault="00253D5A" w:rsidP="00253D5A">
      <w:pPr>
        <w:rPr>
          <w:rFonts w:ascii="Arial" w:eastAsia="SimSun" w:hAnsi="Arial" w:cs="Arial"/>
          <w:sz w:val="22"/>
          <w:szCs w:val="22"/>
          <w:lang w:val="es-ES_tradnl"/>
        </w:rPr>
      </w:pPr>
    </w:p>
    <w:p w:rsidR="00AE2BDA" w:rsidRPr="001E169D" w:rsidRDefault="00DD2779" w:rsidP="00210EAE">
      <w:pPr>
        <w:jc w:val="center"/>
        <w:rPr>
          <w:rFonts w:ascii="Arial" w:eastAsia="SimSun" w:hAnsi="Arial" w:cs="Arial"/>
          <w:b/>
          <w:smallCaps/>
          <w:sz w:val="22"/>
          <w:szCs w:val="22"/>
          <w:lang w:val="es-ES_tradnl"/>
        </w:rPr>
      </w:pPr>
      <w:r w:rsidRPr="001E169D">
        <w:rPr>
          <w:rFonts w:ascii="Arial" w:eastAsia="SimSun" w:hAnsi="Arial" w:cs="Arial"/>
          <w:b/>
          <w:smallCaps/>
          <w:sz w:val="22"/>
          <w:szCs w:val="22"/>
          <w:lang w:val="es-ES_tradnl"/>
        </w:rPr>
        <w:t>Términos de Referencia</w:t>
      </w:r>
    </w:p>
    <w:p w:rsidR="00AE2BDA" w:rsidRPr="001E169D" w:rsidRDefault="00AE2BDA" w:rsidP="00253D5A">
      <w:pPr>
        <w:jc w:val="both"/>
        <w:rPr>
          <w:rFonts w:ascii="Arial" w:eastAsia="SimSun" w:hAnsi="Arial" w:cs="Arial"/>
          <w:sz w:val="22"/>
          <w:szCs w:val="22"/>
          <w:lang w:val="es-ES_tradnl"/>
        </w:rPr>
      </w:pPr>
    </w:p>
    <w:p w:rsidR="00E13800" w:rsidRPr="001E169D" w:rsidRDefault="00E13800" w:rsidP="00253D5A">
      <w:pPr>
        <w:jc w:val="both"/>
        <w:rPr>
          <w:rFonts w:ascii="Arial" w:eastAsia="SimSun" w:hAnsi="Arial" w:cs="Arial"/>
          <w:sz w:val="22"/>
          <w:szCs w:val="22"/>
          <w:lang w:val="es-ES_tradnl"/>
        </w:rPr>
      </w:pPr>
    </w:p>
    <w:p w:rsidR="004F2393" w:rsidRPr="001E169D" w:rsidRDefault="00381358" w:rsidP="00253D5A">
      <w:pPr>
        <w:jc w:val="both"/>
        <w:rPr>
          <w:rFonts w:ascii="Arial" w:eastAsia="SimSun" w:hAnsi="Arial" w:cs="Arial"/>
          <w:b/>
          <w:sz w:val="22"/>
          <w:szCs w:val="22"/>
          <w:lang w:val="es-ES_tradnl"/>
        </w:rPr>
      </w:pPr>
      <w:r w:rsidRPr="001E169D">
        <w:rPr>
          <w:rFonts w:ascii="Arial" w:eastAsia="SimSun" w:hAnsi="Arial" w:cs="Arial"/>
          <w:b/>
          <w:sz w:val="22"/>
          <w:szCs w:val="22"/>
          <w:lang w:val="es-ES_tradnl"/>
        </w:rPr>
        <w:t>Antecedentes:</w:t>
      </w:r>
    </w:p>
    <w:p w:rsidR="008D00A7" w:rsidRPr="001E169D" w:rsidRDefault="008D00A7" w:rsidP="00253D5A">
      <w:pPr>
        <w:jc w:val="both"/>
        <w:rPr>
          <w:rFonts w:ascii="Arial" w:eastAsia="SimSun" w:hAnsi="Arial" w:cs="Arial"/>
          <w:sz w:val="22"/>
          <w:szCs w:val="22"/>
          <w:lang w:val="es-ES_tradnl"/>
        </w:rPr>
      </w:pPr>
    </w:p>
    <w:p w:rsidR="005F718A" w:rsidRPr="001E169D" w:rsidRDefault="005F718A" w:rsidP="00DD2779">
      <w:pPr>
        <w:pStyle w:val="BodyText"/>
        <w:spacing w:before="120" w:after="120"/>
        <w:ind w:hanging="86"/>
        <w:jc w:val="both"/>
        <w:rPr>
          <w:rFonts w:ascii="Arial" w:eastAsia="SimSun" w:hAnsi="Arial" w:cs="Arial"/>
          <w:sz w:val="22"/>
          <w:szCs w:val="22"/>
          <w:lang w:val="es-ES_tradnl"/>
        </w:rPr>
      </w:pPr>
      <w:r w:rsidRPr="001E169D">
        <w:rPr>
          <w:rFonts w:ascii="Arial" w:eastAsia="SimSun" w:hAnsi="Arial" w:cs="Arial"/>
          <w:sz w:val="22"/>
          <w:szCs w:val="22"/>
          <w:lang w:val="es-ES_tradnl"/>
        </w:rPr>
        <w:t xml:space="preserve">La crisis de 2008 realzó que la existencia de un marco eficiente para la cooperación transfronteriza en crisis, que permite planificar y adoptar estrategias de resolución oportunas, es primordial y puede prevenir efectos adversos indebidos en la economía financiera y real entre países. Las secuelas de la crisis también demostraron que es sumamente importante que las estrategias de resolución de los grupos bancarios multinacionales se coordinen para contener el impacto transfronterizo y el contagio. Medidas unilaterales y no cooperativas aumentaron los costos fiscales totales durante y después de la crisis y, en algunos casos, comprometieron una resolución bancaria eficiente. </w:t>
      </w:r>
    </w:p>
    <w:p w:rsidR="005F718A" w:rsidRPr="001E169D" w:rsidRDefault="005F718A" w:rsidP="00DD2779">
      <w:pPr>
        <w:pStyle w:val="BodyText"/>
        <w:spacing w:before="120" w:after="120"/>
        <w:ind w:hanging="86"/>
        <w:jc w:val="both"/>
        <w:rPr>
          <w:rFonts w:ascii="Arial" w:eastAsia="SimSun" w:hAnsi="Arial" w:cs="Arial"/>
          <w:sz w:val="22"/>
          <w:szCs w:val="22"/>
          <w:lang w:val="es-ES_tradnl"/>
        </w:rPr>
      </w:pPr>
      <w:r w:rsidRPr="001E169D">
        <w:rPr>
          <w:rFonts w:ascii="Arial" w:eastAsia="SimSun" w:hAnsi="Arial" w:cs="Arial"/>
          <w:sz w:val="22"/>
          <w:szCs w:val="22"/>
          <w:lang w:val="es-ES_tradnl"/>
        </w:rPr>
        <w:t xml:space="preserve">Como consecuencia de estos acontecimientos, la resolución y la gestión de crisis han sido prioridades en la reforma reglamentaria mundial, expresados en las directrices de los Atributos Principales de los Regímenes de Resolución Efectivos del </w:t>
      </w:r>
      <w:r w:rsidRPr="001E169D">
        <w:rPr>
          <w:rFonts w:ascii="Arial" w:eastAsia="SimSun" w:hAnsi="Arial" w:cs="Arial"/>
          <w:i/>
          <w:sz w:val="22"/>
          <w:szCs w:val="22"/>
          <w:lang w:val="es-ES_tradnl"/>
        </w:rPr>
        <w:t>Financial Stability Board</w:t>
      </w:r>
      <w:r w:rsidRPr="001E169D">
        <w:rPr>
          <w:rFonts w:ascii="Arial" w:eastAsia="SimSun" w:hAnsi="Arial" w:cs="Arial"/>
          <w:sz w:val="22"/>
          <w:szCs w:val="22"/>
          <w:lang w:val="es-ES_tradnl"/>
        </w:rPr>
        <w:t xml:space="preserve"> (FSB), así como en los Principios Básicos para la supervisión bancaria efectiva del Banco de Pagos Internacionales (BIS). </w:t>
      </w:r>
    </w:p>
    <w:p w:rsidR="005F718A" w:rsidRPr="001E169D" w:rsidRDefault="005F718A" w:rsidP="00DD2779">
      <w:pPr>
        <w:pStyle w:val="BodyText"/>
        <w:spacing w:before="120" w:after="120"/>
        <w:ind w:hanging="86"/>
        <w:jc w:val="both"/>
        <w:rPr>
          <w:rFonts w:ascii="Arial" w:eastAsia="SimSun" w:hAnsi="Arial" w:cs="Arial"/>
          <w:sz w:val="22"/>
          <w:szCs w:val="22"/>
          <w:lang w:val="es-ES_tradnl"/>
        </w:rPr>
      </w:pPr>
      <w:r w:rsidRPr="001E169D">
        <w:rPr>
          <w:rFonts w:ascii="Arial" w:eastAsia="SimSun" w:hAnsi="Arial" w:cs="Arial"/>
          <w:sz w:val="22"/>
          <w:szCs w:val="22"/>
          <w:lang w:val="es-ES_tradnl"/>
        </w:rPr>
        <w:t xml:space="preserve">Para aprovechar este desarrollo de mecanismos de resolución y gestión de crisis resultante del aprendizaje durante la crisis de 2008, esta propuesta de proyecto busca desarrollar las herramientas necesarias para que os países involucrados coordinen las estrategias de resolución y de gestión de crisis, considerando las particularidades de la cultura, estructura judiciaria y experiencia acumulada en resolución de las autoridades de los países de la región. La producción de conocimiento compartido, de procesos de trabajo y de documentación de los esfuerzos de colaboración son objetivos de la propuesta. Reconocemos que el mantenimiento de un sistema multilateral de colaboración entre los países para la aplicación de estrategias de resolución coordinadas no es una cuestión trivial y habrá que realizar un análisis significativo debido a que los marcos de resolución en nuestros países aún no están coordinados (y, en algunos países, está pasando por ajustes). </w:t>
      </w:r>
    </w:p>
    <w:p w:rsidR="00E13800" w:rsidRPr="001E169D" w:rsidRDefault="00E13800" w:rsidP="00253D5A">
      <w:pPr>
        <w:jc w:val="both"/>
        <w:rPr>
          <w:rFonts w:ascii="Arial" w:eastAsia="SimSun" w:hAnsi="Arial" w:cs="Arial"/>
          <w:b/>
          <w:sz w:val="22"/>
          <w:szCs w:val="22"/>
          <w:lang w:val="es-ES_tradnl"/>
        </w:rPr>
      </w:pPr>
    </w:p>
    <w:p w:rsidR="00587B6A" w:rsidRPr="001E169D" w:rsidRDefault="00D956AD" w:rsidP="00253D5A">
      <w:pPr>
        <w:jc w:val="both"/>
        <w:rPr>
          <w:rFonts w:ascii="Arial" w:eastAsia="SimSun" w:hAnsi="Arial" w:cs="Arial"/>
          <w:sz w:val="22"/>
          <w:szCs w:val="22"/>
          <w:lang w:val="es-ES_tradnl"/>
        </w:rPr>
      </w:pPr>
      <w:r w:rsidRPr="001E169D">
        <w:rPr>
          <w:rFonts w:ascii="Arial" w:eastAsia="SimSun" w:hAnsi="Arial" w:cs="Arial"/>
          <w:b/>
          <w:sz w:val="22"/>
          <w:szCs w:val="22"/>
          <w:lang w:val="es-ES_tradnl"/>
        </w:rPr>
        <w:t>O</w:t>
      </w:r>
      <w:r w:rsidR="00381358" w:rsidRPr="001E169D">
        <w:rPr>
          <w:rFonts w:ascii="Arial" w:eastAsia="SimSun" w:hAnsi="Arial" w:cs="Arial"/>
          <w:b/>
          <w:sz w:val="22"/>
          <w:szCs w:val="22"/>
          <w:lang w:val="es-ES_tradnl"/>
        </w:rPr>
        <w:t>bjetivo(s) de la Consultoría</w:t>
      </w:r>
      <w:r w:rsidR="00381358" w:rsidRPr="001E169D">
        <w:rPr>
          <w:rFonts w:ascii="Arial" w:eastAsia="SimSun" w:hAnsi="Arial" w:cs="Arial"/>
          <w:sz w:val="22"/>
          <w:szCs w:val="22"/>
          <w:lang w:val="es-ES_tradnl"/>
        </w:rPr>
        <w:t>:</w:t>
      </w:r>
    </w:p>
    <w:p w:rsidR="00587B6A" w:rsidRPr="001E169D" w:rsidRDefault="00587B6A" w:rsidP="00253D5A">
      <w:pPr>
        <w:jc w:val="both"/>
        <w:rPr>
          <w:rFonts w:ascii="Arial" w:eastAsia="SimSun" w:hAnsi="Arial" w:cs="Arial"/>
          <w:sz w:val="22"/>
          <w:szCs w:val="22"/>
          <w:lang w:val="es-ES_tradnl"/>
        </w:rPr>
      </w:pPr>
    </w:p>
    <w:p w:rsidR="00436175" w:rsidRPr="001E169D" w:rsidRDefault="005F718A" w:rsidP="00DD2779">
      <w:pPr>
        <w:pStyle w:val="BodyText"/>
        <w:spacing w:before="120" w:after="120"/>
        <w:jc w:val="both"/>
        <w:rPr>
          <w:rFonts w:ascii="Arial" w:eastAsia="SimSun" w:hAnsi="Arial" w:cs="Arial"/>
          <w:sz w:val="22"/>
          <w:szCs w:val="22"/>
          <w:lang w:val="es-ES_tradnl"/>
        </w:rPr>
      </w:pPr>
      <w:r w:rsidRPr="001E169D">
        <w:rPr>
          <w:rFonts w:ascii="Arial" w:eastAsia="SimSun" w:hAnsi="Arial" w:cs="Arial"/>
          <w:sz w:val="22"/>
          <w:szCs w:val="22"/>
          <w:lang w:val="es-ES_tradnl"/>
        </w:rPr>
        <w:t xml:space="preserve">El objetivo de este Programa Regional es alinear la comprensión de los diferentes procesos de resolución e implementar un </w:t>
      </w:r>
      <w:r w:rsidR="00436175" w:rsidRPr="001E169D">
        <w:rPr>
          <w:rFonts w:ascii="Arial" w:eastAsia="SimSun" w:hAnsi="Arial" w:cs="Arial"/>
          <w:sz w:val="22"/>
          <w:szCs w:val="22"/>
          <w:lang w:val="es-ES_tradnl"/>
        </w:rPr>
        <w:t>fórum</w:t>
      </w:r>
      <w:r w:rsidRPr="001E169D">
        <w:rPr>
          <w:rFonts w:ascii="Arial" w:eastAsia="SimSun" w:hAnsi="Arial" w:cs="Arial"/>
          <w:sz w:val="22"/>
          <w:szCs w:val="22"/>
          <w:lang w:val="es-ES_tradnl"/>
        </w:rPr>
        <w:t xml:space="preserve"> de cooperación para los regímenes de </w:t>
      </w:r>
      <w:r w:rsidRPr="001E169D">
        <w:rPr>
          <w:rFonts w:ascii="Arial" w:eastAsia="SimSun" w:hAnsi="Arial" w:cs="Arial"/>
          <w:sz w:val="22"/>
          <w:szCs w:val="22"/>
          <w:lang w:val="es-ES_tradnl"/>
        </w:rPr>
        <w:lastRenderedPageBreak/>
        <w:t>resolución que respeten los marcos legales de cada país. Buscamos desarrollar prácticas comunes que permitan el desarrollo de conocimientos compartidos sobre el tema.</w:t>
      </w:r>
    </w:p>
    <w:p w:rsidR="00436175" w:rsidRPr="001E169D" w:rsidRDefault="00436175" w:rsidP="00DD2779">
      <w:pPr>
        <w:pStyle w:val="BodyText"/>
        <w:spacing w:before="120" w:after="120"/>
        <w:jc w:val="both"/>
        <w:rPr>
          <w:rFonts w:ascii="Arial" w:eastAsia="SimSun" w:hAnsi="Arial" w:cs="Arial"/>
          <w:sz w:val="22"/>
          <w:szCs w:val="22"/>
          <w:lang w:val="es-ES_tradnl"/>
        </w:rPr>
      </w:pPr>
      <w:r w:rsidRPr="001E169D">
        <w:rPr>
          <w:rFonts w:ascii="Arial" w:eastAsia="SimSun" w:hAnsi="Arial" w:cs="Arial"/>
          <w:sz w:val="22"/>
          <w:szCs w:val="22"/>
          <w:lang w:val="es-ES_tradnl"/>
        </w:rPr>
        <w:t>Este proyecto desarrollará un Marco de Resolución para la prevención, coordinación e intervención en situaciones de crisis financieras regionales. El proyecto considerará el establecimiento de procesos y protocolos de intercambio de informaciones, la definición de un Foro de cooperación permanente que facilite la colaboración y el intercambio de informaciones y el desarrollo de instrumentos y procesos que permitan la armonización de los marcos regulatorios y el desarrollo de estrategias de resolución y gestión comunes. El Foro de cooperación permanente complementará a los mecanismos bilaterales ya existentes de cooperación en supervisión de instituciones financieras y establecerá estrategias que serán adoptadas de forma coordinada.</w:t>
      </w:r>
    </w:p>
    <w:p w:rsidR="005F718A" w:rsidRPr="001E169D" w:rsidRDefault="005F718A" w:rsidP="00DD2779">
      <w:pPr>
        <w:pStyle w:val="BodyText"/>
        <w:spacing w:before="120" w:after="120"/>
        <w:jc w:val="both"/>
        <w:rPr>
          <w:rFonts w:ascii="Arial" w:eastAsia="SimSun" w:hAnsi="Arial" w:cs="Arial"/>
          <w:sz w:val="22"/>
          <w:szCs w:val="22"/>
          <w:lang w:val="es-ES_tradnl"/>
        </w:rPr>
      </w:pPr>
      <w:r w:rsidRPr="001E169D">
        <w:rPr>
          <w:rFonts w:ascii="Arial" w:eastAsia="SimSun" w:hAnsi="Arial" w:cs="Arial"/>
          <w:sz w:val="22"/>
          <w:szCs w:val="22"/>
          <w:lang w:val="es-ES_tradnl"/>
        </w:rPr>
        <w:t>Este comité/a</w:t>
      </w:r>
      <w:bookmarkStart w:id="1" w:name="_GoBack"/>
      <w:bookmarkEnd w:id="1"/>
      <w:r w:rsidRPr="001E169D">
        <w:rPr>
          <w:rFonts w:ascii="Arial" w:eastAsia="SimSun" w:hAnsi="Arial" w:cs="Arial"/>
          <w:sz w:val="22"/>
          <w:szCs w:val="22"/>
          <w:lang w:val="es-ES_tradnl"/>
        </w:rPr>
        <w:t>sociación se reunirá regularmente y será responsable por debatir estrategias sólidas de resolución que podrían ser implementadas para enfrentar el fracaso de una o más de las instituciones financieras más grandes con actividades extensas en nuestras respectivas jurisdicciones.</w:t>
      </w:r>
    </w:p>
    <w:p w:rsidR="0006457D" w:rsidRPr="001E169D" w:rsidRDefault="0006457D" w:rsidP="00DD2779">
      <w:pPr>
        <w:pStyle w:val="BodyText"/>
        <w:spacing w:before="120" w:after="120"/>
        <w:jc w:val="both"/>
        <w:rPr>
          <w:rFonts w:ascii="Arial" w:eastAsia="SimSun" w:hAnsi="Arial" w:cs="Arial"/>
          <w:sz w:val="22"/>
          <w:szCs w:val="22"/>
          <w:lang w:val="es-ES_tradnl"/>
        </w:rPr>
      </w:pPr>
      <w:r w:rsidRPr="001E169D">
        <w:rPr>
          <w:rFonts w:ascii="Arial" w:eastAsia="SimSun" w:hAnsi="Arial" w:cs="Arial"/>
          <w:sz w:val="22"/>
          <w:szCs w:val="22"/>
          <w:lang w:val="es-ES_tradnl"/>
        </w:rPr>
        <w:t>Esta coordinación dentro del Marco de Resolución permitirá que los países construyan una red común de seguridad que fortalezca la estabilidad financiera de la región. Además, existe la externalidad positiva de que proceso de elaboración del Marco de Resolución ayudará a fortalecer los sistema</w:t>
      </w:r>
      <w:r w:rsidR="00DD2779" w:rsidRPr="001E169D">
        <w:rPr>
          <w:rFonts w:ascii="Arial" w:eastAsia="SimSun" w:hAnsi="Arial" w:cs="Arial"/>
          <w:sz w:val="22"/>
          <w:szCs w:val="22"/>
          <w:lang w:val="es-ES_tradnl"/>
        </w:rPr>
        <w:t>s</w:t>
      </w:r>
      <w:r w:rsidRPr="001E169D">
        <w:rPr>
          <w:rFonts w:ascii="Arial" w:eastAsia="SimSun" w:hAnsi="Arial" w:cs="Arial"/>
          <w:sz w:val="22"/>
          <w:szCs w:val="22"/>
          <w:lang w:val="es-ES_tradnl"/>
        </w:rPr>
        <w:t xml:space="preserve"> locales de cada país, permitiendo que las entidades regulatorias pueda</w:t>
      </w:r>
      <w:r w:rsidR="00DD2779" w:rsidRPr="001E169D">
        <w:rPr>
          <w:rFonts w:ascii="Arial" w:eastAsia="SimSun" w:hAnsi="Arial" w:cs="Arial"/>
          <w:sz w:val="22"/>
          <w:szCs w:val="22"/>
          <w:lang w:val="es-ES_tradnl"/>
        </w:rPr>
        <w:t>n</w:t>
      </w:r>
      <w:r w:rsidRPr="001E169D">
        <w:rPr>
          <w:rFonts w:ascii="Arial" w:eastAsia="SimSun" w:hAnsi="Arial" w:cs="Arial"/>
          <w:sz w:val="22"/>
          <w:szCs w:val="22"/>
          <w:lang w:val="es-ES_tradnl"/>
        </w:rPr>
        <w:t xml:space="preserve"> lidiar mejor con crisis en todo el espectro del sistema financiero, independientemente de su tamaño o área de actuación.</w:t>
      </w:r>
    </w:p>
    <w:p w:rsidR="00E13800" w:rsidRPr="001E169D" w:rsidRDefault="00E13800" w:rsidP="005A6C53">
      <w:pPr>
        <w:autoSpaceDE w:val="0"/>
        <w:autoSpaceDN w:val="0"/>
        <w:adjustRightInd w:val="0"/>
        <w:rPr>
          <w:rFonts w:ascii="Arial" w:eastAsia="SimSun" w:hAnsi="Arial" w:cs="Arial"/>
          <w:sz w:val="22"/>
          <w:szCs w:val="22"/>
          <w:lang w:val="es-ES_tradnl"/>
        </w:rPr>
      </w:pPr>
    </w:p>
    <w:p w:rsidR="009E3A88" w:rsidRPr="001E169D" w:rsidRDefault="009E3A88" w:rsidP="00253D5A">
      <w:pPr>
        <w:jc w:val="both"/>
        <w:rPr>
          <w:rFonts w:ascii="Arial" w:eastAsia="SimSun" w:hAnsi="Arial" w:cs="Arial"/>
          <w:sz w:val="22"/>
          <w:szCs w:val="22"/>
          <w:lang w:val="es-ES_tradnl"/>
        </w:rPr>
      </w:pPr>
    </w:p>
    <w:p w:rsidR="003C6E41" w:rsidRPr="001E169D" w:rsidRDefault="00381358" w:rsidP="00253D5A">
      <w:pPr>
        <w:jc w:val="both"/>
        <w:rPr>
          <w:rFonts w:ascii="Arial" w:eastAsia="SimSun" w:hAnsi="Arial" w:cs="Arial"/>
          <w:b/>
          <w:sz w:val="22"/>
          <w:szCs w:val="22"/>
          <w:lang w:val="es-ES_tradnl"/>
        </w:rPr>
      </w:pPr>
      <w:r w:rsidRPr="001E169D">
        <w:rPr>
          <w:rFonts w:ascii="Arial" w:eastAsia="SimSun" w:hAnsi="Arial" w:cs="Arial"/>
          <w:b/>
          <w:sz w:val="22"/>
          <w:szCs w:val="22"/>
          <w:lang w:val="es-ES_tradnl"/>
        </w:rPr>
        <w:t xml:space="preserve">Actividades Principales: </w:t>
      </w:r>
    </w:p>
    <w:p w:rsidR="00F91877" w:rsidRPr="001E169D" w:rsidRDefault="00F91877" w:rsidP="00253D5A">
      <w:pPr>
        <w:jc w:val="both"/>
        <w:rPr>
          <w:rFonts w:ascii="Arial" w:hAnsi="Arial" w:cs="Arial"/>
          <w:b/>
          <w:bCs/>
          <w:sz w:val="22"/>
          <w:szCs w:val="22"/>
          <w:lang w:val="es-ES_tradnl"/>
        </w:rPr>
      </w:pPr>
    </w:p>
    <w:p w:rsidR="00F91877" w:rsidRPr="001E169D" w:rsidRDefault="00F91877" w:rsidP="00DD2779">
      <w:pPr>
        <w:pStyle w:val="BodyText"/>
        <w:numPr>
          <w:ilvl w:val="0"/>
          <w:numId w:val="19"/>
        </w:numPr>
        <w:spacing w:before="120" w:after="120"/>
        <w:jc w:val="both"/>
        <w:rPr>
          <w:rFonts w:ascii="Arial" w:hAnsi="Arial" w:cs="Arial"/>
          <w:b/>
          <w:bCs/>
          <w:sz w:val="22"/>
          <w:szCs w:val="22"/>
          <w:lang w:val="es-ES_tradnl"/>
        </w:rPr>
      </w:pPr>
      <w:r w:rsidRPr="001E169D">
        <w:rPr>
          <w:rFonts w:ascii="Arial" w:eastAsia="SimSun" w:hAnsi="Arial" w:cs="Arial"/>
          <w:sz w:val="22"/>
          <w:szCs w:val="22"/>
          <w:lang w:val="es-ES_tradnl"/>
        </w:rPr>
        <w:t xml:space="preserve">Definir los principales lineamientos del Marco de Resolución y desarrollar un </w:t>
      </w:r>
      <w:r w:rsidR="004B6A7D" w:rsidRPr="001E169D">
        <w:rPr>
          <w:rFonts w:ascii="Arial" w:eastAsia="SimSun" w:hAnsi="Arial" w:cs="Arial"/>
          <w:sz w:val="22"/>
          <w:szCs w:val="22"/>
          <w:lang w:val="es-ES_tradnl"/>
        </w:rPr>
        <w:t>mecanismo integrado de intercambio de informaciones</w:t>
      </w:r>
      <w:r w:rsidRPr="001E169D">
        <w:rPr>
          <w:rFonts w:ascii="Arial" w:eastAsia="SimSun" w:hAnsi="Arial" w:cs="Arial"/>
          <w:sz w:val="22"/>
          <w:szCs w:val="22"/>
          <w:lang w:val="es-ES_tradnl"/>
        </w:rPr>
        <w:t xml:space="preserve"> que ayude a los bancos centrales y entidades reguladoras en la identificación preventiva de situaciones de crisis financiera regional y en la resolución de estos casos cuando ocurran.</w:t>
      </w:r>
    </w:p>
    <w:p w:rsidR="00F91877" w:rsidRPr="001E169D" w:rsidRDefault="00F91877" w:rsidP="00DD2779">
      <w:pPr>
        <w:pStyle w:val="BodyText"/>
        <w:numPr>
          <w:ilvl w:val="0"/>
          <w:numId w:val="19"/>
        </w:numPr>
        <w:spacing w:before="120" w:after="120"/>
        <w:jc w:val="both"/>
        <w:rPr>
          <w:rFonts w:ascii="Arial" w:eastAsia="SimSun" w:hAnsi="Arial" w:cs="Arial"/>
          <w:sz w:val="22"/>
          <w:szCs w:val="22"/>
          <w:lang w:val="es-ES_tradnl"/>
        </w:rPr>
      </w:pPr>
      <w:r w:rsidRPr="001E169D">
        <w:rPr>
          <w:rFonts w:ascii="Arial" w:eastAsia="SimSun" w:hAnsi="Arial" w:cs="Arial"/>
          <w:sz w:val="22"/>
          <w:szCs w:val="22"/>
          <w:lang w:val="es-ES_tradnl"/>
        </w:rPr>
        <w:t>La armonización del entendimiento en las acciones de resolución y gestión de crisis disponibles en cada país, además del entendimiento del papel de cada agente en la red de seguridad del sistema financiero local. Los estudios permitirán identificar las vulnerabilidades existentes que puedan perjudicar acciones coordinadas entre los países y el proyecto desarrollará mecanismos que permitan la colaboración temprana (proceso decisorio inmediato) teniendo en cuenta choques en indicadores o la percepción (elevación de riesgo) de probable materialización de un escenario.</w:t>
      </w:r>
    </w:p>
    <w:p w:rsidR="00F91877" w:rsidRPr="001E169D" w:rsidRDefault="00F91877" w:rsidP="00DD2779">
      <w:pPr>
        <w:pStyle w:val="BodyText"/>
        <w:spacing w:before="120" w:after="120"/>
        <w:jc w:val="both"/>
        <w:rPr>
          <w:rFonts w:ascii="Arial" w:eastAsia="SimSun" w:hAnsi="Arial" w:cs="Arial"/>
          <w:sz w:val="22"/>
          <w:szCs w:val="22"/>
          <w:lang w:val="es-ES_tradnl"/>
        </w:rPr>
      </w:pPr>
    </w:p>
    <w:p w:rsidR="00F91877" w:rsidRPr="001E169D" w:rsidRDefault="00F91877" w:rsidP="00DD2779">
      <w:pPr>
        <w:pStyle w:val="BodyText"/>
        <w:numPr>
          <w:ilvl w:val="0"/>
          <w:numId w:val="19"/>
        </w:numPr>
        <w:spacing w:before="120" w:after="120"/>
        <w:jc w:val="both"/>
        <w:rPr>
          <w:rFonts w:ascii="Arial" w:eastAsia="SimSun" w:hAnsi="Arial" w:cs="Arial"/>
          <w:sz w:val="22"/>
          <w:szCs w:val="22"/>
          <w:lang w:val="es-ES_tradnl"/>
        </w:rPr>
      </w:pPr>
      <w:r w:rsidRPr="001E169D">
        <w:rPr>
          <w:rFonts w:ascii="Arial" w:eastAsia="SimSun" w:hAnsi="Arial" w:cs="Arial"/>
          <w:sz w:val="22"/>
          <w:szCs w:val="22"/>
          <w:lang w:val="es-ES_tradnl"/>
        </w:rPr>
        <w:t>Desarrollo de indicadores de exposición regional de manera que los países puedan eval</w:t>
      </w:r>
      <w:r w:rsidR="00700536" w:rsidRPr="001E169D">
        <w:rPr>
          <w:rFonts w:ascii="Arial" w:eastAsia="SimSun" w:hAnsi="Arial" w:cs="Arial"/>
          <w:sz w:val="22"/>
          <w:szCs w:val="22"/>
          <w:lang w:val="es-ES_tradnl"/>
        </w:rPr>
        <w:t>uar</w:t>
      </w:r>
      <w:r w:rsidRPr="001E169D">
        <w:rPr>
          <w:rFonts w:ascii="Arial" w:eastAsia="SimSun" w:hAnsi="Arial" w:cs="Arial"/>
          <w:sz w:val="22"/>
          <w:szCs w:val="22"/>
          <w:lang w:val="es-ES_tradnl"/>
        </w:rPr>
        <w:t xml:space="preserve"> el grado de exposición de los sistemas financieros nacionales a bancos y a otras instituciones financieras transfronterizas, y adopten estrategias de contingencia adecuadas a cada nivel de severidad de los choques. El Sistema considerará la integración de indicadores básicos de supervisión financiera (liquidez, capital y solvencia) e indicadores relacionados con el impacto de situaciones específicas de stress, en casos concretos de cambio drástico de la </w:t>
      </w:r>
      <w:r w:rsidRPr="001E169D">
        <w:rPr>
          <w:rFonts w:ascii="Arial" w:eastAsia="SimSun" w:hAnsi="Arial" w:cs="Arial"/>
          <w:sz w:val="22"/>
          <w:szCs w:val="22"/>
          <w:lang w:val="es-ES_tradnl"/>
        </w:rPr>
        <w:lastRenderedPageBreak/>
        <w:t>percepción de riesgo financiero y operativo, incluidos el de riesgo de imagen (</w:t>
      </w:r>
      <w:r w:rsidRPr="001E169D">
        <w:rPr>
          <w:rFonts w:ascii="Arial" w:eastAsia="SimSun" w:hAnsi="Arial" w:cs="Arial"/>
          <w:i/>
          <w:sz w:val="22"/>
          <w:szCs w:val="22"/>
          <w:lang w:val="es-ES_tradnl"/>
        </w:rPr>
        <w:t>failing or likely to fail indicators and triggers for resolution</w:t>
      </w:r>
      <w:r w:rsidRPr="001E169D">
        <w:rPr>
          <w:rFonts w:ascii="Arial" w:eastAsia="SimSun" w:hAnsi="Arial" w:cs="Arial"/>
          <w:sz w:val="22"/>
          <w:szCs w:val="22"/>
          <w:vertAlign w:val="superscript"/>
          <w:lang w:val="es-ES_tradnl"/>
        </w:rPr>
        <w:footnoteReference w:id="1"/>
      </w:r>
      <w:r w:rsidRPr="001E169D">
        <w:rPr>
          <w:rFonts w:ascii="Arial" w:eastAsia="SimSun" w:hAnsi="Arial" w:cs="Arial"/>
          <w:sz w:val="22"/>
          <w:szCs w:val="22"/>
          <w:lang w:val="es-ES_tradnl"/>
        </w:rPr>
        <w:t xml:space="preserve">).  </w:t>
      </w:r>
      <w:r w:rsidR="00DD2779" w:rsidRPr="001E169D">
        <w:rPr>
          <w:rFonts w:ascii="Arial" w:eastAsia="SimSun" w:hAnsi="Arial" w:cs="Arial"/>
          <w:sz w:val="22"/>
          <w:szCs w:val="22"/>
          <w:lang w:val="es-ES_tradnl"/>
        </w:rPr>
        <w:tab/>
      </w:r>
    </w:p>
    <w:p w:rsidR="00F91877" w:rsidRPr="001E169D" w:rsidRDefault="004648A5" w:rsidP="00DD2779">
      <w:pPr>
        <w:pStyle w:val="BodyText"/>
        <w:numPr>
          <w:ilvl w:val="0"/>
          <w:numId w:val="19"/>
        </w:numPr>
        <w:ind w:left="792"/>
        <w:jc w:val="both"/>
        <w:rPr>
          <w:rFonts w:ascii="Arial" w:eastAsia="SimSun" w:hAnsi="Arial" w:cs="Arial"/>
          <w:sz w:val="22"/>
          <w:szCs w:val="22"/>
          <w:lang w:val="es-ES_tradnl"/>
        </w:rPr>
      </w:pPr>
      <w:r w:rsidRPr="001E169D">
        <w:rPr>
          <w:rFonts w:ascii="Arial" w:eastAsia="SimSun" w:hAnsi="Arial" w:cs="Arial"/>
          <w:sz w:val="22"/>
          <w:szCs w:val="22"/>
          <w:lang w:val="es-ES_tradnl"/>
        </w:rPr>
        <w:t>C</w:t>
      </w:r>
      <w:r w:rsidR="00A8690D" w:rsidRPr="001E169D">
        <w:rPr>
          <w:rFonts w:ascii="Arial" w:eastAsia="SimSun" w:hAnsi="Arial" w:cs="Arial"/>
          <w:sz w:val="22"/>
          <w:szCs w:val="22"/>
          <w:lang w:val="es-ES_tradnl"/>
        </w:rPr>
        <w:t>rea</w:t>
      </w:r>
      <w:r w:rsidR="00B041C8" w:rsidRPr="001E169D">
        <w:rPr>
          <w:rFonts w:ascii="Arial" w:eastAsia="SimSun" w:hAnsi="Arial" w:cs="Arial"/>
          <w:sz w:val="22"/>
          <w:szCs w:val="22"/>
          <w:lang w:val="es-ES_tradnl"/>
        </w:rPr>
        <w:t xml:space="preserve">ción de </w:t>
      </w:r>
      <w:r w:rsidR="00A8690D" w:rsidRPr="001E169D">
        <w:rPr>
          <w:rFonts w:ascii="Arial" w:eastAsia="SimSun" w:hAnsi="Arial" w:cs="Arial"/>
          <w:sz w:val="22"/>
          <w:szCs w:val="22"/>
          <w:lang w:val="es-ES_tradnl"/>
        </w:rPr>
        <w:t xml:space="preserve">instrumentos de dialogo adecuados para avanzar en la implementación del Marco de Resolución y del Foro de cooperación permanente. </w:t>
      </w:r>
    </w:p>
    <w:p w:rsidR="00A531F7" w:rsidRPr="001E169D" w:rsidRDefault="00A531F7" w:rsidP="00DD2779">
      <w:pPr>
        <w:pStyle w:val="BodyText"/>
        <w:ind w:left="792"/>
        <w:jc w:val="both"/>
        <w:rPr>
          <w:rFonts w:ascii="Arial" w:eastAsia="SimSun" w:hAnsi="Arial" w:cs="Arial"/>
          <w:sz w:val="22"/>
          <w:szCs w:val="22"/>
          <w:lang w:val="es-ES_tradnl"/>
        </w:rPr>
      </w:pPr>
    </w:p>
    <w:p w:rsidR="00A8690D" w:rsidRPr="001E169D" w:rsidRDefault="00A8690D" w:rsidP="00DD2779">
      <w:pPr>
        <w:pStyle w:val="BodyText"/>
        <w:numPr>
          <w:ilvl w:val="0"/>
          <w:numId w:val="19"/>
        </w:numPr>
        <w:ind w:left="792"/>
        <w:jc w:val="both"/>
        <w:rPr>
          <w:rFonts w:ascii="Arial" w:eastAsia="SimSun" w:hAnsi="Arial" w:cs="Arial"/>
          <w:sz w:val="22"/>
          <w:szCs w:val="22"/>
          <w:lang w:val="es-ES_tradnl"/>
        </w:rPr>
      </w:pPr>
      <w:r w:rsidRPr="001E169D">
        <w:rPr>
          <w:rFonts w:ascii="Arial" w:eastAsia="SimSun" w:hAnsi="Arial" w:cs="Arial"/>
          <w:sz w:val="22"/>
          <w:szCs w:val="22"/>
          <w:lang w:val="es-ES_tradnl"/>
        </w:rPr>
        <w:t>Diseminación de buenas prácticas y resultados</w:t>
      </w:r>
      <w:r w:rsidRPr="001E169D">
        <w:rPr>
          <w:rFonts w:ascii="Arial" w:eastAsia="SimSun" w:hAnsi="Arial" w:cs="Arial"/>
          <w:b/>
          <w:sz w:val="22"/>
          <w:szCs w:val="22"/>
          <w:lang w:val="es-ES_tradnl"/>
        </w:rPr>
        <w:t xml:space="preserve">. </w:t>
      </w:r>
      <w:r w:rsidR="007F0B77" w:rsidRPr="001E169D">
        <w:rPr>
          <w:rFonts w:ascii="Arial" w:hAnsi="Arial" w:cs="Arial"/>
          <w:sz w:val="22"/>
          <w:szCs w:val="22"/>
          <w:lang w:val="es-ES_tradnl"/>
        </w:rPr>
        <w:t>Este</w:t>
      </w:r>
      <w:r w:rsidRPr="001E169D">
        <w:rPr>
          <w:rFonts w:ascii="Arial" w:hAnsi="Arial" w:cs="Arial"/>
          <w:sz w:val="22"/>
          <w:szCs w:val="22"/>
          <w:lang w:val="es-ES_tradnl"/>
        </w:rPr>
        <w:t xml:space="preserve"> componente está centrado en el desarrollo de acciones de evaluación y diseminación de la CT. </w:t>
      </w:r>
    </w:p>
    <w:p w:rsidR="00F91877" w:rsidRPr="001E169D" w:rsidRDefault="00F91877" w:rsidP="00F91877">
      <w:pPr>
        <w:pStyle w:val="ListParagraph"/>
        <w:jc w:val="both"/>
        <w:rPr>
          <w:rFonts w:ascii="Arial" w:hAnsi="Arial" w:cs="Arial"/>
          <w:b/>
          <w:bCs/>
          <w:sz w:val="22"/>
          <w:szCs w:val="22"/>
          <w:lang w:val="es-ES_tradnl"/>
        </w:rPr>
      </w:pPr>
    </w:p>
    <w:p w:rsidR="00AE2BDA" w:rsidRPr="001E169D" w:rsidRDefault="00086701" w:rsidP="00253D5A">
      <w:pPr>
        <w:jc w:val="both"/>
        <w:rPr>
          <w:rFonts w:ascii="Arial" w:eastAsia="SimSun" w:hAnsi="Arial" w:cs="Arial"/>
          <w:b/>
          <w:sz w:val="22"/>
          <w:szCs w:val="22"/>
          <w:lang w:val="es-ES_tradnl"/>
        </w:rPr>
      </w:pPr>
      <w:r w:rsidRPr="001E169D">
        <w:rPr>
          <w:rFonts w:ascii="Arial" w:eastAsia="SimSun" w:hAnsi="Arial" w:cs="Arial"/>
          <w:b/>
          <w:sz w:val="22"/>
          <w:szCs w:val="22"/>
          <w:lang w:val="es-ES_tradnl"/>
        </w:rPr>
        <w:t>I</w:t>
      </w:r>
      <w:r w:rsidR="00381358" w:rsidRPr="001E169D">
        <w:rPr>
          <w:rFonts w:ascii="Arial" w:eastAsia="SimSun" w:hAnsi="Arial" w:cs="Arial"/>
          <w:b/>
          <w:sz w:val="22"/>
          <w:szCs w:val="22"/>
          <w:lang w:val="es-ES_tradnl"/>
        </w:rPr>
        <w:t>nformes/ Entregables:</w:t>
      </w:r>
    </w:p>
    <w:p w:rsidR="00F91877" w:rsidRPr="001E169D" w:rsidRDefault="00F91877" w:rsidP="00253D5A">
      <w:pPr>
        <w:jc w:val="both"/>
        <w:rPr>
          <w:rFonts w:ascii="Arial" w:hAnsi="Arial" w:cs="Arial"/>
          <w:b/>
          <w:bCs/>
          <w:sz w:val="22"/>
          <w:szCs w:val="22"/>
          <w:lang w:val="es-ES_tradnl"/>
        </w:rPr>
      </w:pPr>
    </w:p>
    <w:p w:rsidR="00F91877" w:rsidRPr="001E169D" w:rsidRDefault="007F2F02" w:rsidP="00DD2779">
      <w:pPr>
        <w:pStyle w:val="BodyText"/>
        <w:numPr>
          <w:ilvl w:val="0"/>
          <w:numId w:val="20"/>
        </w:numPr>
        <w:spacing w:before="120" w:after="120"/>
        <w:jc w:val="both"/>
        <w:rPr>
          <w:rFonts w:ascii="Arial" w:eastAsia="SimSun" w:hAnsi="Arial" w:cs="Arial"/>
          <w:sz w:val="22"/>
          <w:szCs w:val="22"/>
          <w:lang w:val="es-ES_tradnl"/>
        </w:rPr>
      </w:pPr>
      <w:r w:rsidRPr="001E169D">
        <w:rPr>
          <w:rFonts w:ascii="Arial" w:eastAsia="SimSun" w:hAnsi="Arial" w:cs="Arial"/>
          <w:sz w:val="22"/>
          <w:szCs w:val="22"/>
          <w:lang w:val="es-ES_tradnl"/>
        </w:rPr>
        <w:t>D</w:t>
      </w:r>
      <w:r w:rsidR="00F91877" w:rsidRPr="001E169D">
        <w:rPr>
          <w:rFonts w:ascii="Arial" w:eastAsia="SimSun" w:hAnsi="Arial" w:cs="Arial"/>
          <w:sz w:val="22"/>
          <w:szCs w:val="22"/>
          <w:lang w:val="es-ES_tradnl"/>
        </w:rPr>
        <w:t>iagnóstico y análisis de vulnerabilidades en los sistemas de identificación y seguimiento de crisis bancarias en cada país que requieren cambios legales</w:t>
      </w:r>
      <w:r w:rsidR="008B5933" w:rsidRPr="001E169D">
        <w:rPr>
          <w:rFonts w:ascii="Arial" w:eastAsia="SimSun" w:hAnsi="Arial" w:cs="Arial"/>
          <w:sz w:val="22"/>
          <w:szCs w:val="22"/>
          <w:lang w:val="es-ES_tradnl"/>
        </w:rPr>
        <w:t xml:space="preserve">, </w:t>
      </w:r>
      <w:r w:rsidR="00F91877" w:rsidRPr="001E169D">
        <w:rPr>
          <w:rFonts w:ascii="Arial" w:eastAsia="SimSun" w:hAnsi="Arial" w:cs="Arial"/>
          <w:sz w:val="22"/>
          <w:szCs w:val="22"/>
          <w:lang w:val="es-ES_tradnl"/>
        </w:rPr>
        <w:t>regulatorios</w:t>
      </w:r>
      <w:r w:rsidR="008B5933" w:rsidRPr="001E169D">
        <w:rPr>
          <w:rFonts w:ascii="Arial" w:eastAsia="SimSun" w:hAnsi="Arial" w:cs="Arial"/>
          <w:sz w:val="22"/>
          <w:szCs w:val="22"/>
          <w:lang w:val="es-ES_tradnl"/>
        </w:rPr>
        <w:t xml:space="preserve"> y administrativos</w:t>
      </w:r>
      <w:r w:rsidRPr="001E169D">
        <w:rPr>
          <w:rFonts w:ascii="Arial" w:eastAsia="SimSun" w:hAnsi="Arial" w:cs="Arial"/>
          <w:sz w:val="22"/>
          <w:szCs w:val="22"/>
          <w:lang w:val="es-ES_tradnl"/>
        </w:rPr>
        <w:t>. Definición de un plan de acción para alcanzar el objetivo de creación de un marco de cooperación regional para manejo de crisis.</w:t>
      </w:r>
    </w:p>
    <w:p w:rsidR="00F91877" w:rsidRPr="001E169D" w:rsidRDefault="007F2F02" w:rsidP="00DD2779">
      <w:pPr>
        <w:pStyle w:val="BodyText"/>
        <w:numPr>
          <w:ilvl w:val="0"/>
          <w:numId w:val="20"/>
        </w:numPr>
        <w:spacing w:before="120" w:after="120"/>
        <w:jc w:val="both"/>
        <w:rPr>
          <w:rFonts w:ascii="Arial" w:eastAsia="SimSun" w:hAnsi="Arial" w:cs="Arial"/>
          <w:sz w:val="22"/>
          <w:szCs w:val="22"/>
          <w:lang w:val="es-ES_tradnl"/>
        </w:rPr>
      </w:pPr>
      <w:r w:rsidRPr="001E169D">
        <w:rPr>
          <w:rFonts w:ascii="Arial" w:eastAsia="SimSun" w:hAnsi="Arial" w:cs="Arial"/>
          <w:sz w:val="22"/>
          <w:szCs w:val="22"/>
          <w:lang w:val="es-ES_tradnl"/>
        </w:rPr>
        <w:t>R</w:t>
      </w:r>
      <w:r w:rsidR="00F91877" w:rsidRPr="001E169D">
        <w:rPr>
          <w:rFonts w:ascii="Arial" w:eastAsia="SimSun" w:hAnsi="Arial" w:cs="Arial"/>
          <w:sz w:val="22"/>
          <w:szCs w:val="22"/>
          <w:lang w:val="es-ES_tradnl"/>
        </w:rPr>
        <w:t>euniones de coordinación entre las entidades de regulación de los países</w:t>
      </w:r>
      <w:r w:rsidRPr="001E169D">
        <w:rPr>
          <w:rFonts w:ascii="Arial" w:eastAsia="SimSun" w:hAnsi="Arial" w:cs="Arial"/>
          <w:sz w:val="22"/>
          <w:szCs w:val="22"/>
          <w:lang w:val="es-ES_tradnl"/>
        </w:rPr>
        <w:t>. W</w:t>
      </w:r>
      <w:r w:rsidR="00F91877" w:rsidRPr="001E169D">
        <w:rPr>
          <w:rFonts w:ascii="Arial" w:eastAsia="SimSun" w:hAnsi="Arial" w:cs="Arial"/>
          <w:sz w:val="22"/>
          <w:szCs w:val="22"/>
          <w:lang w:val="es-ES_tradnl"/>
        </w:rPr>
        <w:t>orkshops focalizados para grupos temáticos específicos relacionados con el proyecto</w:t>
      </w:r>
      <w:r w:rsidR="006E0AFE" w:rsidRPr="001E169D">
        <w:rPr>
          <w:rFonts w:ascii="Arial" w:eastAsia="SimSun" w:hAnsi="Arial" w:cs="Arial"/>
          <w:sz w:val="22"/>
          <w:szCs w:val="22"/>
          <w:lang w:val="es-ES_tradnl"/>
        </w:rPr>
        <w:t>;</w:t>
      </w:r>
    </w:p>
    <w:p w:rsidR="007F0B77" w:rsidRPr="001E169D" w:rsidRDefault="007F0B77" w:rsidP="00DD2779">
      <w:pPr>
        <w:pStyle w:val="BodyText"/>
        <w:numPr>
          <w:ilvl w:val="0"/>
          <w:numId w:val="20"/>
        </w:numPr>
        <w:spacing w:before="120" w:after="120"/>
        <w:jc w:val="both"/>
        <w:rPr>
          <w:rFonts w:ascii="Arial" w:eastAsia="SimSun" w:hAnsi="Arial" w:cs="Arial"/>
          <w:sz w:val="22"/>
          <w:szCs w:val="22"/>
          <w:lang w:val="es-ES_tradnl"/>
        </w:rPr>
      </w:pPr>
      <w:r w:rsidRPr="001E169D">
        <w:rPr>
          <w:rFonts w:ascii="Arial" w:eastAsia="SimSun" w:hAnsi="Arial" w:cs="Arial"/>
          <w:sz w:val="22"/>
          <w:szCs w:val="22"/>
          <w:lang w:val="es-ES_tradnl"/>
        </w:rPr>
        <w:t>Indicadores de exposición regional y la integración de indicadores básicos de supervisión financiera (liquidez, capital y solvencia), indicadores relacionados con el impacto de situaciones específicas de stress, en casos concretos de cambio drástico de la percepción de riesgo financiero y operativo, incluidos el de riesgo de imagen</w:t>
      </w:r>
      <w:r w:rsidR="006E0AFE" w:rsidRPr="001E169D">
        <w:rPr>
          <w:rFonts w:ascii="Arial" w:eastAsia="SimSun" w:hAnsi="Arial" w:cs="Arial"/>
          <w:sz w:val="22"/>
          <w:szCs w:val="22"/>
          <w:lang w:val="es-ES_tradnl"/>
        </w:rPr>
        <w:t>;</w:t>
      </w:r>
    </w:p>
    <w:p w:rsidR="007B3E6F" w:rsidRPr="001E169D" w:rsidRDefault="007B3E6F" w:rsidP="00DD2779">
      <w:pPr>
        <w:pStyle w:val="BodyText"/>
        <w:numPr>
          <w:ilvl w:val="0"/>
          <w:numId w:val="20"/>
        </w:numPr>
        <w:jc w:val="both"/>
        <w:rPr>
          <w:rFonts w:ascii="Arial" w:eastAsia="SimSun" w:hAnsi="Arial" w:cs="Arial"/>
          <w:sz w:val="22"/>
          <w:szCs w:val="22"/>
          <w:lang w:val="es-ES_tradnl"/>
        </w:rPr>
      </w:pPr>
      <w:r w:rsidRPr="001E169D">
        <w:rPr>
          <w:rFonts w:ascii="Arial" w:eastAsia="SimSun" w:hAnsi="Arial" w:cs="Arial"/>
          <w:sz w:val="22"/>
          <w:szCs w:val="22"/>
          <w:lang w:val="es-ES_tradnl"/>
        </w:rPr>
        <w:t>Definición de la estructura, cuadr</w:t>
      </w:r>
      <w:r w:rsidR="008B5933" w:rsidRPr="001E169D">
        <w:rPr>
          <w:rFonts w:ascii="Arial" w:eastAsia="SimSun" w:hAnsi="Arial" w:cs="Arial"/>
          <w:sz w:val="22"/>
          <w:szCs w:val="22"/>
          <w:lang w:val="es-ES_tradnl"/>
        </w:rPr>
        <w:t xml:space="preserve">os técnicos y procesos formales </w:t>
      </w:r>
      <w:r w:rsidRPr="001E169D">
        <w:rPr>
          <w:rFonts w:ascii="Arial" w:eastAsia="SimSun" w:hAnsi="Arial" w:cs="Arial"/>
          <w:sz w:val="22"/>
          <w:szCs w:val="22"/>
          <w:lang w:val="es-ES_tradnl"/>
        </w:rPr>
        <w:t>que posibilite la creación de un Foro de coordinación permanente constituido dentro del ámbito del Marco de Resolución;</w:t>
      </w:r>
    </w:p>
    <w:p w:rsidR="007F0B77" w:rsidRPr="001E169D" w:rsidRDefault="008B5933" w:rsidP="00DD2779">
      <w:pPr>
        <w:pStyle w:val="BodyText"/>
        <w:numPr>
          <w:ilvl w:val="0"/>
          <w:numId w:val="20"/>
        </w:numPr>
        <w:spacing w:before="120" w:after="120"/>
        <w:jc w:val="both"/>
        <w:rPr>
          <w:rFonts w:ascii="Arial" w:eastAsia="SimSun" w:hAnsi="Arial" w:cs="Arial"/>
          <w:sz w:val="22"/>
          <w:szCs w:val="22"/>
          <w:lang w:val="es-ES_tradnl"/>
        </w:rPr>
      </w:pPr>
      <w:r w:rsidRPr="001E169D">
        <w:rPr>
          <w:rFonts w:ascii="Arial" w:eastAsia="SimSun" w:hAnsi="Arial" w:cs="Arial"/>
          <w:sz w:val="22"/>
          <w:szCs w:val="22"/>
          <w:lang w:val="es-ES_tradnl"/>
        </w:rPr>
        <w:t>Implantación</w:t>
      </w:r>
      <w:r w:rsidR="007F0B77" w:rsidRPr="001E169D">
        <w:rPr>
          <w:rFonts w:ascii="Arial" w:eastAsia="SimSun" w:hAnsi="Arial" w:cs="Arial"/>
          <w:sz w:val="22"/>
          <w:szCs w:val="22"/>
          <w:lang w:val="es-ES_tradnl"/>
        </w:rPr>
        <w:t xml:space="preserve"> </w:t>
      </w:r>
      <w:r w:rsidR="00A22595" w:rsidRPr="001E169D">
        <w:rPr>
          <w:rFonts w:ascii="Arial" w:eastAsia="SimSun" w:hAnsi="Arial" w:cs="Arial"/>
          <w:sz w:val="22"/>
          <w:szCs w:val="22"/>
          <w:lang w:val="es-ES_tradnl"/>
        </w:rPr>
        <w:t>del Marco de Resolución para la prevención, coordinación e intervención en situaciones de crisis financieras regionales</w:t>
      </w:r>
      <w:r w:rsidRPr="001E169D">
        <w:rPr>
          <w:rFonts w:ascii="Arial" w:eastAsia="SimSun" w:hAnsi="Arial" w:cs="Arial"/>
          <w:sz w:val="22"/>
          <w:szCs w:val="22"/>
          <w:lang w:val="es-ES_tradnl"/>
        </w:rPr>
        <w:t>;</w:t>
      </w:r>
    </w:p>
    <w:p w:rsidR="006E0AFE" w:rsidRPr="001E169D" w:rsidRDefault="007B3E6F" w:rsidP="00DD2779">
      <w:pPr>
        <w:pStyle w:val="BodyText"/>
        <w:numPr>
          <w:ilvl w:val="0"/>
          <w:numId w:val="20"/>
        </w:numPr>
        <w:spacing w:before="120" w:after="120"/>
        <w:jc w:val="both"/>
        <w:rPr>
          <w:rFonts w:ascii="Arial" w:eastAsia="SimSun" w:hAnsi="Arial" w:cs="Arial"/>
          <w:sz w:val="22"/>
          <w:szCs w:val="22"/>
          <w:lang w:val="es-ES_tradnl"/>
        </w:rPr>
      </w:pPr>
      <w:r w:rsidRPr="001E169D">
        <w:rPr>
          <w:rFonts w:ascii="Arial" w:hAnsi="Arial" w:cs="Arial"/>
          <w:sz w:val="22"/>
          <w:szCs w:val="22"/>
          <w:lang w:val="es-ES_tradnl"/>
        </w:rPr>
        <w:t>A</w:t>
      </w:r>
      <w:r w:rsidR="006E0AFE" w:rsidRPr="001E169D">
        <w:rPr>
          <w:rFonts w:ascii="Arial" w:hAnsi="Arial" w:cs="Arial"/>
          <w:sz w:val="22"/>
          <w:szCs w:val="22"/>
          <w:lang w:val="es-ES_tradnl"/>
        </w:rPr>
        <w:t>ctividades de diseminación de los resultados del proyecto y un informe final que evalúe los resultados alcanzados y desarrolle recomendaciones sobre como continuar avanzando en la agenda de cooperación financiera regional.</w:t>
      </w:r>
    </w:p>
    <w:p w:rsidR="00F91877" w:rsidRPr="001E169D" w:rsidRDefault="00F91877" w:rsidP="00253D5A">
      <w:pPr>
        <w:jc w:val="both"/>
        <w:rPr>
          <w:rFonts w:ascii="Arial" w:hAnsi="Arial" w:cs="Arial"/>
          <w:b/>
          <w:bCs/>
          <w:sz w:val="22"/>
          <w:szCs w:val="22"/>
          <w:lang w:val="es-ES_tradnl"/>
        </w:rPr>
      </w:pPr>
    </w:p>
    <w:p w:rsidR="00752A29" w:rsidRPr="001E169D" w:rsidRDefault="00752A29" w:rsidP="00253D5A">
      <w:pPr>
        <w:pStyle w:val="BodyText"/>
        <w:jc w:val="both"/>
        <w:rPr>
          <w:rFonts w:ascii="Arial" w:hAnsi="Arial" w:cs="Arial"/>
          <w:sz w:val="22"/>
          <w:szCs w:val="22"/>
          <w:lang w:val="es-ES_tradnl"/>
        </w:rPr>
      </w:pPr>
    </w:p>
    <w:p w:rsidR="00752A29" w:rsidRPr="001E169D" w:rsidRDefault="00086701" w:rsidP="00253D5A">
      <w:pPr>
        <w:jc w:val="both"/>
        <w:rPr>
          <w:rFonts w:ascii="Arial" w:eastAsia="SimSun" w:hAnsi="Arial" w:cs="Arial"/>
          <w:b/>
          <w:sz w:val="22"/>
          <w:szCs w:val="22"/>
          <w:lang w:val="es-ES_tradnl"/>
        </w:rPr>
      </w:pPr>
      <w:r w:rsidRPr="001E169D">
        <w:rPr>
          <w:rFonts w:ascii="Arial" w:eastAsia="SimSun" w:hAnsi="Arial" w:cs="Arial"/>
          <w:b/>
          <w:sz w:val="22"/>
          <w:szCs w:val="22"/>
          <w:lang w:val="es-ES_tradnl"/>
        </w:rPr>
        <w:t>C</w:t>
      </w:r>
      <w:r w:rsidR="00381358" w:rsidRPr="001E169D">
        <w:rPr>
          <w:rFonts w:ascii="Arial" w:eastAsia="SimSun" w:hAnsi="Arial" w:cs="Arial"/>
          <w:b/>
          <w:sz w:val="22"/>
          <w:szCs w:val="22"/>
          <w:lang w:val="es-ES_tradnl"/>
        </w:rPr>
        <w:t xml:space="preserve">ronograma de Pagos: </w:t>
      </w:r>
    </w:p>
    <w:p w:rsidR="00B77C8B" w:rsidRPr="001E169D" w:rsidRDefault="00B77C8B" w:rsidP="00253D5A">
      <w:pPr>
        <w:jc w:val="both"/>
        <w:rPr>
          <w:rFonts w:ascii="Arial" w:eastAsia="SimSun" w:hAnsi="Arial" w:cs="Arial"/>
          <w:b/>
          <w:sz w:val="22"/>
          <w:szCs w:val="22"/>
          <w:lang w:val="es-ES_tradnl"/>
        </w:rPr>
      </w:pPr>
    </w:p>
    <w:p w:rsidR="00E30160" w:rsidRPr="001E169D" w:rsidRDefault="00656AA6" w:rsidP="002B290E">
      <w:pPr>
        <w:pStyle w:val="ListParagraph"/>
        <w:numPr>
          <w:ilvl w:val="0"/>
          <w:numId w:val="9"/>
        </w:numPr>
        <w:spacing w:after="120"/>
        <w:ind w:left="714" w:hanging="357"/>
        <w:jc w:val="both"/>
        <w:rPr>
          <w:rFonts w:ascii="Arial" w:hAnsi="Arial" w:cs="Arial"/>
          <w:sz w:val="22"/>
          <w:szCs w:val="22"/>
          <w:lang w:val="es-ES_tradnl"/>
        </w:rPr>
      </w:pPr>
      <w:r w:rsidRPr="001E169D">
        <w:rPr>
          <w:rFonts w:ascii="Arial" w:hAnsi="Arial" w:cs="Arial"/>
          <w:sz w:val="22"/>
          <w:szCs w:val="22"/>
          <w:lang w:val="es-ES_tradnl"/>
        </w:rPr>
        <w:t>Luego de un primer pago por la firma del contrato (de un máximo de 20% del monto global), los pagos</w:t>
      </w:r>
      <w:r w:rsidR="00C602EE" w:rsidRPr="001E169D">
        <w:rPr>
          <w:rFonts w:ascii="Arial" w:hAnsi="Arial" w:cs="Arial"/>
          <w:sz w:val="22"/>
          <w:szCs w:val="22"/>
          <w:lang w:val="es-ES_tradnl"/>
        </w:rPr>
        <w:t xml:space="preserve"> siguientes</w:t>
      </w:r>
      <w:r w:rsidRPr="001E169D">
        <w:rPr>
          <w:rFonts w:ascii="Arial" w:hAnsi="Arial" w:cs="Arial"/>
          <w:sz w:val="22"/>
          <w:szCs w:val="22"/>
          <w:lang w:val="es-ES_tradnl"/>
        </w:rPr>
        <w:t xml:space="preserve"> se </w:t>
      </w:r>
      <w:r w:rsidR="00A72423" w:rsidRPr="001E169D">
        <w:rPr>
          <w:rFonts w:ascii="Arial" w:hAnsi="Arial" w:cs="Arial"/>
          <w:sz w:val="22"/>
          <w:szCs w:val="22"/>
          <w:lang w:val="es-ES_tradnl"/>
        </w:rPr>
        <w:t xml:space="preserve">harán contra entrega de los </w:t>
      </w:r>
      <w:r w:rsidR="008918DC" w:rsidRPr="001E169D">
        <w:rPr>
          <w:rFonts w:ascii="Arial" w:hAnsi="Arial" w:cs="Arial"/>
          <w:sz w:val="22"/>
          <w:szCs w:val="22"/>
          <w:lang w:val="es-ES_tradnl"/>
        </w:rPr>
        <w:t xml:space="preserve">cinco </w:t>
      </w:r>
      <w:r w:rsidRPr="001E169D">
        <w:rPr>
          <w:rFonts w:ascii="Arial" w:hAnsi="Arial" w:cs="Arial"/>
          <w:sz w:val="22"/>
          <w:szCs w:val="22"/>
          <w:lang w:val="es-ES_tradnl"/>
        </w:rPr>
        <w:t>pre-informes. El pago final se hará contra entrega conforme del informe final y el anexo estadístico y no podrá ser inferior al 30% del monto global del contrato. Las cifras finales de los pagos, sujet</w:t>
      </w:r>
      <w:r w:rsidR="00C602EE" w:rsidRPr="001E169D">
        <w:rPr>
          <w:rFonts w:ascii="Arial" w:hAnsi="Arial" w:cs="Arial"/>
          <w:sz w:val="22"/>
          <w:szCs w:val="22"/>
          <w:lang w:val="es-ES_tradnl"/>
        </w:rPr>
        <w:t>a</w:t>
      </w:r>
      <w:r w:rsidRPr="001E169D">
        <w:rPr>
          <w:rFonts w:ascii="Arial" w:hAnsi="Arial" w:cs="Arial"/>
          <w:sz w:val="22"/>
          <w:szCs w:val="22"/>
          <w:lang w:val="es-ES_tradnl"/>
        </w:rPr>
        <w:t>s a las condiciones antes señaladas, serán propuestas por el consultor.</w:t>
      </w:r>
    </w:p>
    <w:p w:rsidR="00E357B9" w:rsidRPr="001E169D" w:rsidRDefault="00E357B9" w:rsidP="00253D5A">
      <w:pPr>
        <w:jc w:val="both"/>
        <w:rPr>
          <w:rFonts w:ascii="Arial" w:hAnsi="Arial" w:cs="Arial"/>
          <w:sz w:val="22"/>
          <w:szCs w:val="22"/>
          <w:lang w:val="es-ES_tradnl"/>
        </w:rPr>
      </w:pPr>
    </w:p>
    <w:p w:rsidR="009E3A88" w:rsidRPr="001E169D" w:rsidRDefault="00381358" w:rsidP="00253D5A">
      <w:pPr>
        <w:jc w:val="both"/>
        <w:rPr>
          <w:rFonts w:ascii="Arial" w:hAnsi="Arial" w:cs="Arial"/>
          <w:sz w:val="22"/>
          <w:szCs w:val="22"/>
          <w:lang w:val="es-ES_tradnl"/>
        </w:rPr>
      </w:pPr>
      <w:r w:rsidRPr="001E169D">
        <w:rPr>
          <w:rFonts w:ascii="Arial" w:hAnsi="Arial" w:cs="Arial"/>
          <w:sz w:val="22"/>
          <w:szCs w:val="22"/>
          <w:lang w:val="es-ES_tradnl"/>
        </w:rPr>
        <w:t xml:space="preserve">Características de la Consultoría: </w:t>
      </w:r>
    </w:p>
    <w:p w:rsidR="006A0B47" w:rsidRPr="001E169D" w:rsidRDefault="006A0B47" w:rsidP="00253D5A">
      <w:pPr>
        <w:jc w:val="both"/>
        <w:rPr>
          <w:rFonts w:ascii="Arial" w:hAnsi="Arial" w:cs="Arial"/>
          <w:sz w:val="22"/>
          <w:szCs w:val="22"/>
          <w:lang w:val="es-ES_tradnl"/>
        </w:rPr>
      </w:pPr>
    </w:p>
    <w:p w:rsidR="009E3A88" w:rsidRPr="001E169D" w:rsidRDefault="000A13F8" w:rsidP="006A0B47">
      <w:pPr>
        <w:pStyle w:val="ListParagraph"/>
        <w:numPr>
          <w:ilvl w:val="0"/>
          <w:numId w:val="9"/>
        </w:numPr>
        <w:spacing w:after="120"/>
        <w:ind w:left="714" w:hanging="357"/>
        <w:jc w:val="both"/>
        <w:rPr>
          <w:rFonts w:ascii="Arial" w:hAnsi="Arial" w:cs="Arial"/>
          <w:sz w:val="22"/>
          <w:szCs w:val="22"/>
          <w:lang w:val="es-ES_tradnl"/>
        </w:rPr>
      </w:pPr>
      <w:r w:rsidRPr="001E169D">
        <w:rPr>
          <w:rFonts w:ascii="Arial" w:hAnsi="Arial" w:cs="Arial"/>
          <w:sz w:val="22"/>
          <w:szCs w:val="22"/>
          <w:lang w:val="es-ES_tradnl"/>
        </w:rPr>
        <w:t>Categoría</w:t>
      </w:r>
      <w:r w:rsidR="00F35F75" w:rsidRPr="001E169D">
        <w:rPr>
          <w:rFonts w:ascii="Arial" w:hAnsi="Arial" w:cs="Arial"/>
          <w:sz w:val="22"/>
          <w:szCs w:val="22"/>
          <w:lang w:val="es-ES_tradnl"/>
        </w:rPr>
        <w:t xml:space="preserve"> y Modalidad de la </w:t>
      </w:r>
      <w:r w:rsidRPr="001E169D">
        <w:rPr>
          <w:rFonts w:ascii="Arial" w:hAnsi="Arial" w:cs="Arial"/>
          <w:sz w:val="22"/>
          <w:szCs w:val="22"/>
          <w:lang w:val="es-ES_tradnl"/>
        </w:rPr>
        <w:t>Consultoría</w:t>
      </w:r>
      <w:r w:rsidR="009E3A88" w:rsidRPr="001E169D">
        <w:rPr>
          <w:rFonts w:ascii="Arial" w:hAnsi="Arial" w:cs="Arial"/>
          <w:sz w:val="22"/>
          <w:szCs w:val="22"/>
          <w:lang w:val="es-ES_tradnl"/>
        </w:rPr>
        <w:t xml:space="preserve">: </w:t>
      </w:r>
      <w:r w:rsidR="00BC7308" w:rsidRPr="001E169D">
        <w:rPr>
          <w:rFonts w:ascii="Arial" w:hAnsi="Arial" w:cs="Arial"/>
          <w:sz w:val="22"/>
          <w:szCs w:val="22"/>
          <w:lang w:val="es-ES_tradnl"/>
        </w:rPr>
        <w:t>Contrato a título personal para el consultor principal</w:t>
      </w:r>
      <w:r w:rsidR="003F38BB" w:rsidRPr="001E169D">
        <w:rPr>
          <w:rFonts w:ascii="Arial" w:hAnsi="Arial" w:cs="Arial"/>
          <w:sz w:val="22"/>
          <w:szCs w:val="22"/>
          <w:lang w:val="es-ES_tradnl"/>
        </w:rPr>
        <w:t>, sobre la base de la calidad y reputación del consultor</w:t>
      </w:r>
      <w:r w:rsidR="008619B8" w:rsidRPr="001E169D">
        <w:rPr>
          <w:rFonts w:ascii="Arial" w:hAnsi="Arial" w:cs="Arial"/>
          <w:sz w:val="22"/>
          <w:szCs w:val="22"/>
          <w:lang w:val="es-ES_tradnl"/>
        </w:rPr>
        <w:t xml:space="preserve"> y de la </w:t>
      </w:r>
      <w:r w:rsidR="008619B8" w:rsidRPr="001E169D">
        <w:rPr>
          <w:rFonts w:ascii="Arial" w:hAnsi="Arial" w:cs="Arial"/>
          <w:sz w:val="22"/>
          <w:szCs w:val="22"/>
          <w:lang w:val="es-ES_tradnl"/>
        </w:rPr>
        <w:lastRenderedPageBreak/>
        <w:t xml:space="preserve">entidad profesional o universitaria a la </w:t>
      </w:r>
      <w:r w:rsidR="00A0384E" w:rsidRPr="001E169D">
        <w:rPr>
          <w:rFonts w:ascii="Arial" w:hAnsi="Arial" w:cs="Arial"/>
          <w:sz w:val="22"/>
          <w:szCs w:val="22"/>
          <w:lang w:val="es-ES_tradnl"/>
        </w:rPr>
        <w:t>cual pertenece</w:t>
      </w:r>
      <w:r w:rsidR="003F38BB" w:rsidRPr="001E169D">
        <w:rPr>
          <w:rFonts w:ascii="Arial" w:hAnsi="Arial" w:cs="Arial"/>
          <w:sz w:val="22"/>
          <w:szCs w:val="22"/>
          <w:lang w:val="es-ES_tradnl"/>
        </w:rPr>
        <w:t>. No obstante, se espera que acompañando al consultor principal haya consultores a cargo de temas específicos. La organización de estos será responsabilidad del consultor principal y todas la</w:t>
      </w:r>
      <w:r w:rsidR="00B77C8B" w:rsidRPr="001E169D">
        <w:rPr>
          <w:rFonts w:ascii="Arial" w:hAnsi="Arial" w:cs="Arial"/>
          <w:sz w:val="22"/>
          <w:szCs w:val="22"/>
          <w:lang w:val="es-ES_tradnl"/>
        </w:rPr>
        <w:t>s</w:t>
      </w:r>
      <w:r w:rsidR="003F38BB" w:rsidRPr="001E169D">
        <w:rPr>
          <w:rFonts w:ascii="Arial" w:hAnsi="Arial" w:cs="Arial"/>
          <w:sz w:val="22"/>
          <w:szCs w:val="22"/>
          <w:lang w:val="es-ES_tradnl"/>
        </w:rPr>
        <w:t xml:space="preserve"> obligaciones del presente contrato serán para éste último.</w:t>
      </w:r>
    </w:p>
    <w:p w:rsidR="009E3A88" w:rsidRPr="001E169D" w:rsidRDefault="000A13F8" w:rsidP="006A0B47">
      <w:pPr>
        <w:pStyle w:val="ListParagraph"/>
        <w:numPr>
          <w:ilvl w:val="0"/>
          <w:numId w:val="9"/>
        </w:numPr>
        <w:spacing w:after="120"/>
        <w:ind w:left="714" w:hanging="357"/>
        <w:jc w:val="both"/>
        <w:rPr>
          <w:rFonts w:ascii="Arial" w:hAnsi="Arial" w:cs="Arial"/>
          <w:sz w:val="22"/>
          <w:szCs w:val="22"/>
          <w:lang w:val="es-ES_tradnl"/>
        </w:rPr>
      </w:pPr>
      <w:r w:rsidRPr="001E169D">
        <w:rPr>
          <w:rFonts w:ascii="Arial" w:hAnsi="Arial" w:cs="Arial"/>
          <w:sz w:val="22"/>
          <w:szCs w:val="22"/>
          <w:lang w:val="es-ES_tradnl"/>
        </w:rPr>
        <w:t>Duración</w:t>
      </w:r>
      <w:r w:rsidR="00F35F75" w:rsidRPr="001E169D">
        <w:rPr>
          <w:rFonts w:ascii="Arial" w:hAnsi="Arial" w:cs="Arial"/>
          <w:sz w:val="22"/>
          <w:szCs w:val="22"/>
          <w:lang w:val="es-ES_tradnl"/>
        </w:rPr>
        <w:t xml:space="preserve"> del Contrato</w:t>
      </w:r>
      <w:r w:rsidR="00253D5A" w:rsidRPr="001E169D">
        <w:rPr>
          <w:rFonts w:ascii="Arial" w:hAnsi="Arial" w:cs="Arial"/>
          <w:sz w:val="22"/>
          <w:szCs w:val="22"/>
          <w:lang w:val="es-ES_tradnl"/>
        </w:rPr>
        <w:t xml:space="preserve">: </w:t>
      </w:r>
      <w:r w:rsidR="003F38BB" w:rsidRPr="001E169D">
        <w:rPr>
          <w:rFonts w:ascii="Arial" w:hAnsi="Arial" w:cs="Arial"/>
          <w:sz w:val="22"/>
          <w:szCs w:val="22"/>
          <w:lang w:val="es-ES_tradnl"/>
        </w:rPr>
        <w:t>La duración del contrato será por</w:t>
      </w:r>
      <w:r w:rsidR="00B77C8B" w:rsidRPr="001E169D">
        <w:rPr>
          <w:rFonts w:ascii="Arial" w:hAnsi="Arial" w:cs="Arial"/>
          <w:sz w:val="22"/>
          <w:szCs w:val="22"/>
          <w:lang w:val="es-ES_tradnl"/>
        </w:rPr>
        <w:t xml:space="preserve"> </w:t>
      </w:r>
      <w:r w:rsidR="006A1A2F" w:rsidRPr="001E169D">
        <w:rPr>
          <w:rFonts w:ascii="Arial" w:hAnsi="Arial" w:cs="Arial"/>
          <w:sz w:val="22"/>
          <w:szCs w:val="22"/>
          <w:lang w:val="es-ES_tradnl"/>
        </w:rPr>
        <w:t>36</w:t>
      </w:r>
      <w:r w:rsidR="00B77C8B" w:rsidRPr="001E169D">
        <w:rPr>
          <w:rFonts w:ascii="Arial" w:hAnsi="Arial" w:cs="Arial"/>
          <w:sz w:val="22"/>
          <w:szCs w:val="22"/>
          <w:lang w:val="es-ES_tradnl"/>
        </w:rPr>
        <w:t xml:space="preserve"> meses</w:t>
      </w:r>
      <w:r w:rsidR="003F38BB" w:rsidRPr="001E169D">
        <w:rPr>
          <w:rFonts w:ascii="Arial" w:hAnsi="Arial" w:cs="Arial"/>
          <w:sz w:val="22"/>
          <w:szCs w:val="22"/>
          <w:lang w:val="es-ES_tradnl"/>
        </w:rPr>
        <w:t>, con obligación de presentación de los pre-informes en función de lo establecido en el contrato por el propio consultor.</w:t>
      </w:r>
    </w:p>
    <w:p w:rsidR="009E3A88" w:rsidRPr="001E169D" w:rsidRDefault="00F35F75" w:rsidP="006A0B47">
      <w:pPr>
        <w:pStyle w:val="ListParagraph"/>
        <w:numPr>
          <w:ilvl w:val="0"/>
          <w:numId w:val="9"/>
        </w:numPr>
        <w:spacing w:after="120"/>
        <w:ind w:left="714" w:hanging="357"/>
        <w:jc w:val="both"/>
        <w:rPr>
          <w:rFonts w:ascii="Arial" w:hAnsi="Arial" w:cs="Arial"/>
          <w:sz w:val="22"/>
          <w:szCs w:val="22"/>
          <w:lang w:val="es-ES_tradnl"/>
        </w:rPr>
      </w:pPr>
      <w:r w:rsidRPr="001E169D">
        <w:rPr>
          <w:rFonts w:ascii="Arial" w:hAnsi="Arial" w:cs="Arial"/>
          <w:sz w:val="22"/>
          <w:szCs w:val="22"/>
          <w:lang w:val="es-ES_tradnl"/>
        </w:rPr>
        <w:t>Lugar(es) de trabajo</w:t>
      </w:r>
      <w:r w:rsidR="009E3A88" w:rsidRPr="001E169D">
        <w:rPr>
          <w:rFonts w:ascii="Arial" w:hAnsi="Arial" w:cs="Arial"/>
          <w:sz w:val="22"/>
          <w:szCs w:val="22"/>
          <w:lang w:val="es-ES_tradnl"/>
        </w:rPr>
        <w:t>:</w:t>
      </w:r>
      <w:r w:rsidR="003F38BB" w:rsidRPr="001E169D">
        <w:rPr>
          <w:rFonts w:ascii="Arial" w:hAnsi="Arial" w:cs="Arial"/>
          <w:sz w:val="22"/>
          <w:szCs w:val="22"/>
          <w:lang w:val="es-ES_tradnl"/>
        </w:rPr>
        <w:t xml:space="preserve"> Lugar de residencia del consultor</w:t>
      </w:r>
      <w:r w:rsidR="007D315D" w:rsidRPr="001E169D">
        <w:rPr>
          <w:rFonts w:ascii="Arial" w:hAnsi="Arial" w:cs="Arial"/>
          <w:sz w:val="22"/>
          <w:szCs w:val="22"/>
          <w:lang w:val="es-ES_tradnl"/>
        </w:rPr>
        <w:t>.</w:t>
      </w:r>
    </w:p>
    <w:p w:rsidR="009E3A88" w:rsidRPr="001E169D" w:rsidRDefault="009E3A88" w:rsidP="00253D5A">
      <w:pPr>
        <w:jc w:val="both"/>
        <w:rPr>
          <w:rFonts w:ascii="Arial" w:hAnsi="Arial" w:cs="Arial"/>
          <w:sz w:val="22"/>
          <w:szCs w:val="22"/>
          <w:lang w:val="es-ES_tradnl"/>
        </w:rPr>
      </w:pPr>
    </w:p>
    <w:p w:rsidR="00253D5A" w:rsidRPr="001E169D" w:rsidRDefault="00381358" w:rsidP="00253D5A">
      <w:pPr>
        <w:jc w:val="both"/>
        <w:rPr>
          <w:rFonts w:ascii="Arial" w:hAnsi="Arial" w:cs="Arial"/>
          <w:sz w:val="22"/>
          <w:szCs w:val="22"/>
          <w:lang w:val="es-ES_tradnl"/>
        </w:rPr>
      </w:pPr>
      <w:r w:rsidRPr="001E169D">
        <w:rPr>
          <w:rFonts w:ascii="Arial" w:hAnsi="Arial" w:cs="Arial"/>
          <w:sz w:val="22"/>
          <w:szCs w:val="22"/>
          <w:lang w:val="es-ES_tradnl"/>
        </w:rPr>
        <w:t xml:space="preserve">Requisitos Mínimos: </w:t>
      </w:r>
    </w:p>
    <w:p w:rsidR="00253D5A" w:rsidRPr="001E169D" w:rsidRDefault="00253D5A" w:rsidP="00253D5A">
      <w:pPr>
        <w:jc w:val="both"/>
        <w:rPr>
          <w:rFonts w:ascii="Arial" w:hAnsi="Arial" w:cs="Arial"/>
          <w:sz w:val="22"/>
          <w:szCs w:val="22"/>
          <w:lang w:val="es-ES_tradnl"/>
        </w:rPr>
      </w:pPr>
    </w:p>
    <w:p w:rsidR="00253D5A" w:rsidRPr="001E169D" w:rsidRDefault="000A13F8" w:rsidP="008F0CCA">
      <w:pPr>
        <w:pStyle w:val="ListParagraph"/>
        <w:numPr>
          <w:ilvl w:val="0"/>
          <w:numId w:val="8"/>
        </w:numPr>
        <w:jc w:val="both"/>
        <w:rPr>
          <w:rFonts w:ascii="Arial" w:hAnsi="Arial" w:cs="Arial"/>
          <w:sz w:val="22"/>
          <w:szCs w:val="22"/>
          <w:lang w:val="es-ES_tradnl"/>
        </w:rPr>
      </w:pPr>
      <w:r w:rsidRPr="001E169D">
        <w:rPr>
          <w:rFonts w:ascii="Arial" w:hAnsi="Arial" w:cs="Arial"/>
          <w:sz w:val="22"/>
          <w:szCs w:val="22"/>
          <w:lang w:val="es-ES_tradnl"/>
        </w:rPr>
        <w:t>Título</w:t>
      </w:r>
      <w:r w:rsidR="00F35F75" w:rsidRPr="001E169D">
        <w:rPr>
          <w:rFonts w:ascii="Arial" w:hAnsi="Arial" w:cs="Arial"/>
          <w:sz w:val="22"/>
          <w:szCs w:val="22"/>
          <w:lang w:val="es-ES_tradnl"/>
        </w:rPr>
        <w:t xml:space="preserve"> </w:t>
      </w:r>
      <w:r w:rsidRPr="001E169D">
        <w:rPr>
          <w:rFonts w:ascii="Arial" w:hAnsi="Arial" w:cs="Arial"/>
          <w:sz w:val="22"/>
          <w:szCs w:val="22"/>
          <w:lang w:val="es-ES_tradnl"/>
        </w:rPr>
        <w:t>Académico</w:t>
      </w:r>
      <w:r w:rsidR="00F35F75" w:rsidRPr="001E169D">
        <w:rPr>
          <w:rFonts w:ascii="Arial" w:hAnsi="Arial" w:cs="Arial"/>
          <w:sz w:val="22"/>
          <w:szCs w:val="22"/>
          <w:lang w:val="es-ES_tradnl"/>
        </w:rPr>
        <w:t xml:space="preserve">/Nivel, </w:t>
      </w:r>
      <w:r w:rsidR="00253D5A" w:rsidRPr="001E169D">
        <w:rPr>
          <w:rFonts w:ascii="Arial" w:hAnsi="Arial" w:cs="Arial"/>
          <w:sz w:val="22"/>
          <w:szCs w:val="22"/>
          <w:lang w:val="es-ES_tradnl"/>
        </w:rPr>
        <w:t>Años de experiencia profesional:</w:t>
      </w:r>
      <w:r w:rsidR="003F38BB" w:rsidRPr="001E169D">
        <w:rPr>
          <w:rFonts w:ascii="Arial" w:hAnsi="Arial" w:cs="Arial"/>
          <w:sz w:val="22"/>
          <w:szCs w:val="22"/>
          <w:lang w:val="es-ES_tradnl"/>
        </w:rPr>
        <w:t xml:space="preserve"> El consultor principal deberá tener de preferencia especialidad </w:t>
      </w:r>
      <w:r w:rsidR="008F0CCA" w:rsidRPr="001E169D">
        <w:rPr>
          <w:rFonts w:ascii="Arial" w:hAnsi="Arial" w:cs="Arial"/>
          <w:sz w:val="22"/>
          <w:szCs w:val="22"/>
          <w:lang w:val="es-ES_tradnl"/>
        </w:rPr>
        <w:t>en: economía; servicios financieros</w:t>
      </w:r>
      <w:r w:rsidR="00F72A18" w:rsidRPr="001E169D">
        <w:rPr>
          <w:rFonts w:ascii="Arial" w:hAnsi="Arial" w:cs="Arial"/>
          <w:sz w:val="22"/>
          <w:szCs w:val="22"/>
          <w:lang w:val="es-ES_tradnl"/>
        </w:rPr>
        <w:t>;</w:t>
      </w:r>
      <w:r w:rsidR="008F0CCA" w:rsidRPr="001E169D">
        <w:rPr>
          <w:rFonts w:ascii="Arial" w:hAnsi="Arial" w:cs="Arial"/>
          <w:sz w:val="22"/>
          <w:szCs w:val="22"/>
          <w:lang w:val="es-ES_tradnl"/>
        </w:rPr>
        <w:t xml:space="preserve"> regulación </w:t>
      </w:r>
      <w:r w:rsidR="00F72A18" w:rsidRPr="001E169D">
        <w:rPr>
          <w:rFonts w:ascii="Arial" w:hAnsi="Arial" w:cs="Arial"/>
          <w:sz w:val="22"/>
          <w:szCs w:val="22"/>
          <w:lang w:val="es-ES_tradnl"/>
        </w:rPr>
        <w:t xml:space="preserve">y supervisión </w:t>
      </w:r>
      <w:r w:rsidR="008F0CCA" w:rsidRPr="001E169D">
        <w:rPr>
          <w:rFonts w:ascii="Arial" w:hAnsi="Arial" w:cs="Arial"/>
          <w:sz w:val="22"/>
          <w:szCs w:val="22"/>
          <w:lang w:val="es-ES_tradnl"/>
        </w:rPr>
        <w:t xml:space="preserve">bancaria. Tener experiencia con la elaboración de planes de recuperación y de resolución de </w:t>
      </w:r>
      <w:r w:rsidR="00F72A18" w:rsidRPr="001E169D">
        <w:rPr>
          <w:rFonts w:ascii="Arial" w:hAnsi="Arial" w:cs="Arial"/>
          <w:sz w:val="22"/>
          <w:szCs w:val="22"/>
          <w:lang w:val="es-ES_tradnl"/>
        </w:rPr>
        <w:t>bancos</w:t>
      </w:r>
      <w:r w:rsidR="008F0CCA" w:rsidRPr="001E169D">
        <w:rPr>
          <w:rFonts w:ascii="Arial" w:hAnsi="Arial" w:cs="Arial"/>
          <w:sz w:val="22"/>
          <w:szCs w:val="22"/>
          <w:lang w:val="es-ES_tradnl"/>
        </w:rPr>
        <w:t xml:space="preserve">; actuación, directa o indirecta, en procesos de resolución bancaria; elaboración de análisis de resolubilidad </w:t>
      </w:r>
      <w:r w:rsidR="00F72A18" w:rsidRPr="001E169D">
        <w:rPr>
          <w:rFonts w:ascii="Arial" w:hAnsi="Arial" w:cs="Arial"/>
          <w:sz w:val="22"/>
          <w:szCs w:val="22"/>
          <w:lang w:val="es-ES_tradnl"/>
        </w:rPr>
        <w:t xml:space="preserve">de bancos </w:t>
      </w:r>
      <w:r w:rsidR="008F0CCA" w:rsidRPr="001E169D">
        <w:rPr>
          <w:rFonts w:ascii="Arial" w:hAnsi="Arial" w:cs="Arial"/>
          <w:sz w:val="22"/>
          <w:szCs w:val="22"/>
          <w:lang w:val="es-ES_tradnl"/>
        </w:rPr>
        <w:t>(</w:t>
      </w:r>
      <w:r w:rsidR="008F0CCA" w:rsidRPr="001E169D">
        <w:rPr>
          <w:rFonts w:ascii="Arial" w:hAnsi="Arial" w:cs="Arial"/>
          <w:i/>
          <w:sz w:val="22"/>
          <w:szCs w:val="22"/>
          <w:lang w:val="es-ES_tradnl"/>
        </w:rPr>
        <w:t>resolvability assessment</w:t>
      </w:r>
      <w:r w:rsidR="008F0CCA" w:rsidRPr="001E169D">
        <w:rPr>
          <w:rFonts w:ascii="Arial" w:hAnsi="Arial" w:cs="Arial"/>
          <w:sz w:val="22"/>
          <w:szCs w:val="22"/>
          <w:lang w:val="es-ES_tradnl"/>
        </w:rPr>
        <w:t>); elaboración de p</w:t>
      </w:r>
      <w:r w:rsidR="00F72A18" w:rsidRPr="001E169D">
        <w:rPr>
          <w:rFonts w:ascii="Arial" w:hAnsi="Arial" w:cs="Arial"/>
          <w:sz w:val="22"/>
          <w:szCs w:val="22"/>
          <w:lang w:val="es-ES_tradnl"/>
        </w:rPr>
        <w:t xml:space="preserve">lanes de contingencia de crisis </w:t>
      </w:r>
      <w:r w:rsidR="008F0CCA" w:rsidRPr="001E169D">
        <w:rPr>
          <w:rFonts w:ascii="Arial" w:hAnsi="Arial" w:cs="Arial"/>
          <w:sz w:val="22"/>
          <w:szCs w:val="22"/>
          <w:lang w:val="es-ES_tradnl"/>
        </w:rPr>
        <w:t>(</w:t>
      </w:r>
      <w:r w:rsidR="008F0CCA" w:rsidRPr="001E169D">
        <w:rPr>
          <w:rFonts w:ascii="Arial" w:hAnsi="Arial" w:cs="Arial"/>
          <w:i/>
          <w:sz w:val="22"/>
          <w:szCs w:val="22"/>
          <w:lang w:val="es-ES_tradnl"/>
        </w:rPr>
        <w:t>crisis preparedness</w:t>
      </w:r>
      <w:r w:rsidR="008F0CCA" w:rsidRPr="001E169D">
        <w:rPr>
          <w:rFonts w:ascii="Arial" w:hAnsi="Arial" w:cs="Arial"/>
          <w:sz w:val="22"/>
          <w:szCs w:val="22"/>
          <w:lang w:val="es-ES_tradnl"/>
        </w:rPr>
        <w:t>)</w:t>
      </w:r>
      <w:r w:rsidR="003F38BB" w:rsidRPr="001E169D">
        <w:rPr>
          <w:rFonts w:ascii="Arial" w:hAnsi="Arial" w:cs="Arial"/>
          <w:sz w:val="22"/>
          <w:szCs w:val="22"/>
          <w:lang w:val="es-ES_tradnl"/>
        </w:rPr>
        <w:t xml:space="preserve">. El consultor principal deberá acreditar por medio de publicaciones ya existentes su conocimiento </w:t>
      </w:r>
      <w:r w:rsidR="001C71D5" w:rsidRPr="001E169D">
        <w:rPr>
          <w:rFonts w:ascii="Arial" w:hAnsi="Arial" w:cs="Arial"/>
          <w:sz w:val="22"/>
          <w:szCs w:val="22"/>
          <w:lang w:val="es-ES_tradnl"/>
        </w:rPr>
        <w:t xml:space="preserve">en los temas. Los consultores secundarios deberán también acreditar publicaciones en el área respectiva. En cualquier caso, la experiencia mínima que deberá ser acreditada por el consultor principal es de 10 años. </w:t>
      </w:r>
    </w:p>
    <w:p w:rsidR="00253D5A" w:rsidRPr="001E169D" w:rsidRDefault="00253D5A" w:rsidP="00253D5A">
      <w:pPr>
        <w:pStyle w:val="ListParagraph"/>
        <w:numPr>
          <w:ilvl w:val="0"/>
          <w:numId w:val="8"/>
        </w:numPr>
        <w:jc w:val="both"/>
        <w:rPr>
          <w:rFonts w:ascii="Arial" w:hAnsi="Arial" w:cs="Arial"/>
          <w:sz w:val="22"/>
          <w:szCs w:val="22"/>
          <w:lang w:val="es-ES_tradnl"/>
        </w:rPr>
      </w:pPr>
      <w:r w:rsidRPr="001E169D">
        <w:rPr>
          <w:rFonts w:ascii="Arial" w:hAnsi="Arial" w:cs="Arial"/>
          <w:sz w:val="22"/>
          <w:szCs w:val="22"/>
          <w:lang w:val="es-ES_tradnl"/>
        </w:rPr>
        <w:t>Idiomas:</w:t>
      </w:r>
      <w:r w:rsidR="003F38BB" w:rsidRPr="001E169D">
        <w:rPr>
          <w:rFonts w:ascii="Arial" w:hAnsi="Arial" w:cs="Arial"/>
          <w:sz w:val="22"/>
          <w:szCs w:val="22"/>
          <w:lang w:val="es-ES_tradnl"/>
        </w:rPr>
        <w:t xml:space="preserve"> Español y Portugués</w:t>
      </w:r>
    </w:p>
    <w:p w:rsidR="00253D5A" w:rsidRPr="001E169D" w:rsidRDefault="00253D5A" w:rsidP="00B239EF">
      <w:pPr>
        <w:pStyle w:val="ListParagraph"/>
        <w:jc w:val="both"/>
        <w:rPr>
          <w:rFonts w:ascii="Arial" w:hAnsi="Arial" w:cs="Arial"/>
          <w:sz w:val="22"/>
          <w:szCs w:val="22"/>
          <w:lang w:val="es-ES_tradnl"/>
        </w:rPr>
      </w:pPr>
    </w:p>
    <w:p w:rsidR="00253D5A" w:rsidRPr="001E169D" w:rsidRDefault="00253D5A" w:rsidP="00253D5A">
      <w:pPr>
        <w:jc w:val="both"/>
        <w:rPr>
          <w:rFonts w:ascii="Arial" w:hAnsi="Arial" w:cs="Arial"/>
          <w:sz w:val="22"/>
          <w:szCs w:val="22"/>
          <w:lang w:val="es-ES_tradnl"/>
        </w:rPr>
      </w:pPr>
    </w:p>
    <w:sectPr w:rsidR="00253D5A" w:rsidRPr="001E169D" w:rsidSect="00381358">
      <w:headerReference w:type="default" r:id="rId8"/>
      <w:pgSz w:w="12240" w:h="15840"/>
      <w:pgMar w:top="1008" w:right="1800" w:bottom="1008" w:left="1728" w:header="720" w:footer="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54" w:rsidRDefault="00382A54">
      <w:r>
        <w:separator/>
      </w:r>
    </w:p>
  </w:endnote>
  <w:endnote w:type="continuationSeparator" w:id="0">
    <w:p w:rsidR="00382A54" w:rsidRDefault="0038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54" w:rsidRDefault="00382A54">
      <w:r>
        <w:separator/>
      </w:r>
    </w:p>
  </w:footnote>
  <w:footnote w:type="continuationSeparator" w:id="0">
    <w:p w:rsidR="00382A54" w:rsidRDefault="00382A54">
      <w:r>
        <w:continuationSeparator/>
      </w:r>
    </w:p>
  </w:footnote>
  <w:footnote w:id="1">
    <w:p w:rsidR="00F91877" w:rsidRPr="006D3C55" w:rsidRDefault="00F91877" w:rsidP="00DD2779">
      <w:pPr>
        <w:pStyle w:val="FootnoteText"/>
        <w:tabs>
          <w:tab w:val="left" w:pos="180"/>
        </w:tabs>
        <w:ind w:left="180" w:hanging="180"/>
        <w:jc w:val="both"/>
        <w:rPr>
          <w:lang w:val="en-US"/>
        </w:rPr>
      </w:pPr>
      <w:r>
        <w:rPr>
          <w:rStyle w:val="FootnoteReference"/>
        </w:rPr>
        <w:footnoteRef/>
      </w:r>
      <w:r w:rsidRPr="00C22F3D">
        <w:rPr>
          <w:b/>
          <w:lang w:val="en-US"/>
        </w:rPr>
        <w:t>European Banking Authority</w:t>
      </w:r>
      <w:r w:rsidRPr="00C22F3D">
        <w:rPr>
          <w:lang w:val="en-US"/>
        </w:rPr>
        <w:t xml:space="preserve">. </w:t>
      </w:r>
      <w:hyperlink r:id="rId1" w:history="1">
        <w:r w:rsidRPr="006D3C55">
          <w:rPr>
            <w:rStyle w:val="Hyperlink"/>
            <w:lang w:val="en-US"/>
          </w:rPr>
          <w:t>https://www.eba.europa.eu/regulation-and-policy/recovery-and-resolution/guidelines-on-failing-or-likely-to-fail/-/regulatory-activity/consultation-paper;jsessionid=4331E451AC5B573183B1E6565007B335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79" w:rsidRPr="001E169D" w:rsidRDefault="00DD2779" w:rsidP="00DD2779">
    <w:pPr>
      <w:pStyle w:val="Header"/>
      <w:jc w:val="right"/>
      <w:rPr>
        <w:rFonts w:ascii="Arial" w:hAnsi="Arial" w:cs="Arial"/>
        <w:sz w:val="18"/>
        <w:szCs w:val="18"/>
        <w:lang w:val="pt-BR"/>
      </w:rPr>
    </w:pPr>
    <w:r w:rsidRPr="001E169D">
      <w:rPr>
        <w:rFonts w:ascii="Arial" w:hAnsi="Arial" w:cs="Arial"/>
        <w:sz w:val="18"/>
        <w:szCs w:val="18"/>
        <w:lang w:val="pt-BR"/>
      </w:rPr>
      <w:t>Anexo III – RG-T3097</w:t>
    </w:r>
  </w:p>
  <w:p w:rsidR="00DD2779" w:rsidRPr="001E169D" w:rsidRDefault="00DD2779" w:rsidP="00DD2779">
    <w:pPr>
      <w:pStyle w:val="Header"/>
      <w:jc w:val="right"/>
      <w:rPr>
        <w:rFonts w:ascii="Arial" w:hAnsi="Arial" w:cs="Arial"/>
        <w:sz w:val="18"/>
        <w:szCs w:val="18"/>
        <w:lang w:val="pt-BR"/>
      </w:rPr>
    </w:pPr>
    <w:r w:rsidRPr="001E169D">
      <w:rPr>
        <w:rFonts w:ascii="Arial" w:hAnsi="Arial" w:cs="Arial"/>
        <w:sz w:val="18"/>
        <w:szCs w:val="18"/>
        <w:lang w:val="pt-BR"/>
      </w:rPr>
      <w:t xml:space="preserve">Página </w:t>
    </w:r>
    <w:r w:rsidRPr="00DD2779">
      <w:rPr>
        <w:rFonts w:ascii="Arial" w:hAnsi="Arial" w:cs="Arial"/>
        <w:bCs/>
        <w:sz w:val="18"/>
        <w:szCs w:val="18"/>
      </w:rPr>
      <w:fldChar w:fldCharType="begin"/>
    </w:r>
    <w:r w:rsidRPr="001E169D">
      <w:rPr>
        <w:rFonts w:ascii="Arial" w:hAnsi="Arial" w:cs="Arial"/>
        <w:bCs/>
        <w:sz w:val="18"/>
        <w:szCs w:val="18"/>
        <w:lang w:val="pt-BR"/>
      </w:rPr>
      <w:instrText xml:space="preserve"> PAGE  \* Arabic  \* MERGEFORMAT </w:instrText>
    </w:r>
    <w:r w:rsidRPr="00DD2779">
      <w:rPr>
        <w:rFonts w:ascii="Arial" w:hAnsi="Arial" w:cs="Arial"/>
        <w:bCs/>
        <w:sz w:val="18"/>
        <w:szCs w:val="18"/>
      </w:rPr>
      <w:fldChar w:fldCharType="separate"/>
    </w:r>
    <w:r w:rsidR="001E169D">
      <w:rPr>
        <w:rFonts w:ascii="Arial" w:hAnsi="Arial" w:cs="Arial"/>
        <w:bCs/>
        <w:noProof/>
        <w:sz w:val="18"/>
        <w:szCs w:val="18"/>
        <w:lang w:val="pt-BR"/>
      </w:rPr>
      <w:t>3</w:t>
    </w:r>
    <w:r w:rsidRPr="00DD2779">
      <w:rPr>
        <w:rFonts w:ascii="Arial" w:hAnsi="Arial" w:cs="Arial"/>
        <w:bCs/>
        <w:sz w:val="18"/>
        <w:szCs w:val="18"/>
      </w:rPr>
      <w:fldChar w:fldCharType="end"/>
    </w:r>
    <w:r w:rsidRPr="001E169D">
      <w:rPr>
        <w:rFonts w:ascii="Arial" w:hAnsi="Arial" w:cs="Arial"/>
        <w:sz w:val="18"/>
        <w:szCs w:val="18"/>
        <w:lang w:val="pt-BR"/>
      </w:rPr>
      <w:t xml:space="preserve"> de </w:t>
    </w:r>
    <w:r w:rsidRPr="00DD2779">
      <w:rPr>
        <w:rFonts w:ascii="Arial" w:hAnsi="Arial" w:cs="Arial"/>
        <w:bCs/>
        <w:sz w:val="18"/>
        <w:szCs w:val="18"/>
      </w:rPr>
      <w:fldChar w:fldCharType="begin"/>
    </w:r>
    <w:r w:rsidRPr="001E169D">
      <w:rPr>
        <w:rFonts w:ascii="Arial" w:hAnsi="Arial" w:cs="Arial"/>
        <w:bCs/>
        <w:sz w:val="18"/>
        <w:szCs w:val="18"/>
        <w:lang w:val="pt-BR"/>
      </w:rPr>
      <w:instrText xml:space="preserve"> NUMPAGES  \* Arabic  \* MERGEFORMAT </w:instrText>
    </w:r>
    <w:r w:rsidRPr="00DD2779">
      <w:rPr>
        <w:rFonts w:ascii="Arial" w:hAnsi="Arial" w:cs="Arial"/>
        <w:bCs/>
        <w:sz w:val="18"/>
        <w:szCs w:val="18"/>
      </w:rPr>
      <w:fldChar w:fldCharType="separate"/>
    </w:r>
    <w:r w:rsidR="001E169D">
      <w:rPr>
        <w:rFonts w:ascii="Arial" w:hAnsi="Arial" w:cs="Arial"/>
        <w:bCs/>
        <w:noProof/>
        <w:sz w:val="18"/>
        <w:szCs w:val="18"/>
        <w:lang w:val="pt-BR"/>
      </w:rPr>
      <w:t>4</w:t>
    </w:r>
    <w:r w:rsidRPr="00DD2779">
      <w:rPr>
        <w:rFonts w:ascii="Arial" w:hAnsi="Arial" w:cs="Arial"/>
        <w:bCs/>
        <w:sz w:val="18"/>
        <w:szCs w:val="18"/>
      </w:rPr>
      <w:fldChar w:fldCharType="end"/>
    </w:r>
  </w:p>
  <w:p w:rsidR="00DD2779" w:rsidRPr="001E169D" w:rsidRDefault="00DD2779">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0D7"/>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D8017A6"/>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CC43CA6"/>
    <w:multiLevelType w:val="hybridMultilevel"/>
    <w:tmpl w:val="C7C2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B3772"/>
    <w:multiLevelType w:val="multilevel"/>
    <w:tmpl w:val="147A098A"/>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471B08"/>
    <w:multiLevelType w:val="hybridMultilevel"/>
    <w:tmpl w:val="27D8E9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36C26D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6607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5455581"/>
    <w:multiLevelType w:val="hybridMultilevel"/>
    <w:tmpl w:val="C192BA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C943F17"/>
    <w:multiLevelType w:val="hybridMultilevel"/>
    <w:tmpl w:val="9B00C6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D6776E"/>
    <w:multiLevelType w:val="hybridMultilevel"/>
    <w:tmpl w:val="8A044A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3C116D3"/>
    <w:multiLevelType w:val="hybridMultilevel"/>
    <w:tmpl w:val="D1CE422A"/>
    <w:lvl w:ilvl="0" w:tplc="0416000F">
      <w:start w:val="1"/>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2" w15:restartNumberingAfterBreak="0">
    <w:nsid w:val="48B75CDA"/>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8864E68"/>
    <w:multiLevelType w:val="hybridMultilevel"/>
    <w:tmpl w:val="EB664D68"/>
    <w:lvl w:ilvl="0" w:tplc="0AACA7C8">
      <w:start w:val="1"/>
      <w:numFmt w:val="decimal"/>
      <w:lvlText w:val="%1."/>
      <w:lvlJc w:val="left"/>
      <w:pPr>
        <w:ind w:left="786" w:hanging="360"/>
      </w:pPr>
      <w:rPr>
        <w:rFonts w:hint="default"/>
        <w:b w:val="0"/>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5BA21E9D"/>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13D3F14"/>
    <w:multiLevelType w:val="hybridMultilevel"/>
    <w:tmpl w:val="671AA84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7462657"/>
    <w:multiLevelType w:val="hybridMultilevel"/>
    <w:tmpl w:val="17FA5B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82C2DB4"/>
    <w:multiLevelType w:val="hybridMultilevel"/>
    <w:tmpl w:val="E8465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3DA472B"/>
    <w:multiLevelType w:val="multilevel"/>
    <w:tmpl w:val="7068DA16"/>
    <w:lvl w:ilvl="0">
      <w:start w:val="1"/>
      <w:numFmt w:val="upperRoman"/>
      <w:lvlText w:val="%1."/>
      <w:lvlJc w:val="right"/>
      <w:pPr>
        <w:ind w:left="360" w:hanging="360"/>
      </w:pPr>
      <w:rPr>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F6937CE"/>
    <w:multiLevelType w:val="hybridMultilevel"/>
    <w:tmpl w:val="0C6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14"/>
  </w:num>
  <w:num w:numId="5">
    <w:abstractNumId w:val="7"/>
  </w:num>
  <w:num w:numId="6">
    <w:abstractNumId w:val="1"/>
  </w:num>
  <w:num w:numId="7">
    <w:abstractNumId w:val="0"/>
  </w:num>
  <w:num w:numId="8">
    <w:abstractNumId w:val="6"/>
  </w:num>
  <w:num w:numId="9">
    <w:abstractNumId w:val="19"/>
  </w:num>
  <w:num w:numId="10">
    <w:abstractNumId w:val="3"/>
  </w:num>
  <w:num w:numId="11">
    <w:abstractNumId w:val="4"/>
  </w:num>
  <w:num w:numId="12">
    <w:abstractNumId w:val="16"/>
  </w:num>
  <w:num w:numId="13">
    <w:abstractNumId w:val="8"/>
  </w:num>
  <w:num w:numId="14">
    <w:abstractNumId w:val="10"/>
  </w:num>
  <w:num w:numId="15">
    <w:abstractNumId w:val="17"/>
  </w:num>
  <w:num w:numId="16">
    <w:abstractNumId w:val="15"/>
  </w:num>
  <w:num w:numId="17">
    <w:abstractNumId w:val="18"/>
  </w:num>
  <w:num w:numId="18">
    <w:abstractNumId w:val="11"/>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25"/>
    <w:rsid w:val="0000336D"/>
    <w:rsid w:val="00003D6B"/>
    <w:rsid w:val="0006457D"/>
    <w:rsid w:val="00086701"/>
    <w:rsid w:val="000A13F8"/>
    <w:rsid w:val="000E5031"/>
    <w:rsid w:val="00105428"/>
    <w:rsid w:val="001077DB"/>
    <w:rsid w:val="0012532A"/>
    <w:rsid w:val="00137F3E"/>
    <w:rsid w:val="00162449"/>
    <w:rsid w:val="001638E8"/>
    <w:rsid w:val="00170CB6"/>
    <w:rsid w:val="00173297"/>
    <w:rsid w:val="001C71D5"/>
    <w:rsid w:val="001E169D"/>
    <w:rsid w:val="00207EF3"/>
    <w:rsid w:val="00210EAE"/>
    <w:rsid w:val="002242D4"/>
    <w:rsid w:val="00225DC5"/>
    <w:rsid w:val="0023573A"/>
    <w:rsid w:val="002372AA"/>
    <w:rsid w:val="00253D5A"/>
    <w:rsid w:val="00263584"/>
    <w:rsid w:val="002A4D48"/>
    <w:rsid w:val="002A69C7"/>
    <w:rsid w:val="002B290E"/>
    <w:rsid w:val="002B411D"/>
    <w:rsid w:val="002C0901"/>
    <w:rsid w:val="002E36C1"/>
    <w:rsid w:val="002F1096"/>
    <w:rsid w:val="00381358"/>
    <w:rsid w:val="00382A54"/>
    <w:rsid w:val="00384ABE"/>
    <w:rsid w:val="00387C6A"/>
    <w:rsid w:val="003C6E41"/>
    <w:rsid w:val="003F0CD5"/>
    <w:rsid w:val="003F38BB"/>
    <w:rsid w:val="003F4E81"/>
    <w:rsid w:val="00401C63"/>
    <w:rsid w:val="00410496"/>
    <w:rsid w:val="00436175"/>
    <w:rsid w:val="00452A7C"/>
    <w:rsid w:val="0045624B"/>
    <w:rsid w:val="004648A5"/>
    <w:rsid w:val="00481545"/>
    <w:rsid w:val="004B6A7D"/>
    <w:rsid w:val="004F2393"/>
    <w:rsid w:val="004F2CE3"/>
    <w:rsid w:val="00504D70"/>
    <w:rsid w:val="0051445A"/>
    <w:rsid w:val="00520B8E"/>
    <w:rsid w:val="0057365C"/>
    <w:rsid w:val="00587B6A"/>
    <w:rsid w:val="005907C2"/>
    <w:rsid w:val="005A6C53"/>
    <w:rsid w:val="005B7F25"/>
    <w:rsid w:val="005F718A"/>
    <w:rsid w:val="00620D13"/>
    <w:rsid w:val="00621CA7"/>
    <w:rsid w:val="006257D0"/>
    <w:rsid w:val="00656AA6"/>
    <w:rsid w:val="0066542B"/>
    <w:rsid w:val="0067330C"/>
    <w:rsid w:val="00680FF3"/>
    <w:rsid w:val="006A0B47"/>
    <w:rsid w:val="006A1A2F"/>
    <w:rsid w:val="006A32B7"/>
    <w:rsid w:val="006E0AFE"/>
    <w:rsid w:val="006F40E4"/>
    <w:rsid w:val="00700536"/>
    <w:rsid w:val="00702F04"/>
    <w:rsid w:val="0070464F"/>
    <w:rsid w:val="00741518"/>
    <w:rsid w:val="00752A29"/>
    <w:rsid w:val="007B3E6F"/>
    <w:rsid w:val="007D315D"/>
    <w:rsid w:val="007D6B6F"/>
    <w:rsid w:val="007D7B6B"/>
    <w:rsid w:val="007F0B77"/>
    <w:rsid w:val="007F2F02"/>
    <w:rsid w:val="0080397C"/>
    <w:rsid w:val="008301CF"/>
    <w:rsid w:val="008619B8"/>
    <w:rsid w:val="00861EA7"/>
    <w:rsid w:val="0087491E"/>
    <w:rsid w:val="008918DC"/>
    <w:rsid w:val="008A1EA7"/>
    <w:rsid w:val="008B5933"/>
    <w:rsid w:val="008D00A7"/>
    <w:rsid w:val="008F0CCA"/>
    <w:rsid w:val="008F5BBF"/>
    <w:rsid w:val="0091359C"/>
    <w:rsid w:val="00924F8A"/>
    <w:rsid w:val="00930ED1"/>
    <w:rsid w:val="00930FFF"/>
    <w:rsid w:val="00973E30"/>
    <w:rsid w:val="00980826"/>
    <w:rsid w:val="00991C79"/>
    <w:rsid w:val="00993F1D"/>
    <w:rsid w:val="009E3A88"/>
    <w:rsid w:val="00A0384E"/>
    <w:rsid w:val="00A03A43"/>
    <w:rsid w:val="00A066FE"/>
    <w:rsid w:val="00A12624"/>
    <w:rsid w:val="00A22595"/>
    <w:rsid w:val="00A531F7"/>
    <w:rsid w:val="00A67126"/>
    <w:rsid w:val="00A72423"/>
    <w:rsid w:val="00A72E26"/>
    <w:rsid w:val="00A76DF4"/>
    <w:rsid w:val="00A8690D"/>
    <w:rsid w:val="00A87CBF"/>
    <w:rsid w:val="00AA3F4B"/>
    <w:rsid w:val="00AC6FD5"/>
    <w:rsid w:val="00AE2BDA"/>
    <w:rsid w:val="00B041C8"/>
    <w:rsid w:val="00B0449F"/>
    <w:rsid w:val="00B10C07"/>
    <w:rsid w:val="00B239EF"/>
    <w:rsid w:val="00B77C8B"/>
    <w:rsid w:val="00BA5AEC"/>
    <w:rsid w:val="00BC7308"/>
    <w:rsid w:val="00BF1B38"/>
    <w:rsid w:val="00C102D9"/>
    <w:rsid w:val="00C21F73"/>
    <w:rsid w:val="00C37978"/>
    <w:rsid w:val="00C602EE"/>
    <w:rsid w:val="00C7617E"/>
    <w:rsid w:val="00CA19B6"/>
    <w:rsid w:val="00CD2544"/>
    <w:rsid w:val="00D002F6"/>
    <w:rsid w:val="00D035EA"/>
    <w:rsid w:val="00D10569"/>
    <w:rsid w:val="00D15119"/>
    <w:rsid w:val="00D4452D"/>
    <w:rsid w:val="00D956AD"/>
    <w:rsid w:val="00D96C3C"/>
    <w:rsid w:val="00DD2779"/>
    <w:rsid w:val="00DF4CD8"/>
    <w:rsid w:val="00E13800"/>
    <w:rsid w:val="00E23E15"/>
    <w:rsid w:val="00E30160"/>
    <w:rsid w:val="00E357B9"/>
    <w:rsid w:val="00E6401C"/>
    <w:rsid w:val="00E82F21"/>
    <w:rsid w:val="00EA2302"/>
    <w:rsid w:val="00EB3BB9"/>
    <w:rsid w:val="00EE6C7C"/>
    <w:rsid w:val="00EF35BA"/>
    <w:rsid w:val="00F35F75"/>
    <w:rsid w:val="00F36107"/>
    <w:rsid w:val="00F40ED5"/>
    <w:rsid w:val="00F72A18"/>
    <w:rsid w:val="00F91877"/>
    <w:rsid w:val="00FB4E5B"/>
    <w:rsid w:val="00FE77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C04D80-63AD-4461-8EC2-A277DB89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paragraph" w:styleId="DocumentMap">
    <w:name w:val="Document Map"/>
    <w:basedOn w:val="Normal"/>
    <w:link w:val="DocumentMapChar"/>
    <w:uiPriority w:val="99"/>
    <w:semiHidden/>
    <w:unhideWhenUsed/>
    <w:rsid w:val="00BF1B38"/>
    <w:rPr>
      <w:rFonts w:ascii="Lucida Grande" w:hAnsi="Lucida Grande"/>
      <w:sz w:val="24"/>
      <w:szCs w:val="24"/>
    </w:rPr>
  </w:style>
  <w:style w:type="character" w:customStyle="1" w:styleId="DocumentMapChar">
    <w:name w:val="Document Map Char"/>
    <w:basedOn w:val="DefaultParagraphFont"/>
    <w:link w:val="DocumentMap"/>
    <w:uiPriority w:val="99"/>
    <w:semiHidden/>
    <w:rsid w:val="00BF1B38"/>
    <w:rPr>
      <w:rFonts w:ascii="Lucida Grande" w:hAnsi="Lucida Grande"/>
      <w:sz w:val="24"/>
      <w:szCs w:val="24"/>
    </w:rPr>
  </w:style>
  <w:style w:type="table" w:styleId="TableGrid">
    <w:name w:val="Table Grid"/>
    <w:basedOn w:val="TableNormal"/>
    <w:uiPriority w:val="59"/>
    <w:rsid w:val="0023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1877"/>
    <w:rPr>
      <w:rFonts w:asciiTheme="minorHAnsi" w:eastAsiaTheme="minorHAnsi" w:hAnsiTheme="minorHAnsi" w:cstheme="minorBidi"/>
      <w:lang w:val="es-CL"/>
    </w:rPr>
  </w:style>
  <w:style w:type="character" w:customStyle="1" w:styleId="FootnoteTextChar">
    <w:name w:val="Footnote Text Char"/>
    <w:basedOn w:val="DefaultParagraphFont"/>
    <w:link w:val="FootnoteText"/>
    <w:uiPriority w:val="99"/>
    <w:semiHidden/>
    <w:rsid w:val="00F91877"/>
    <w:rPr>
      <w:rFonts w:asciiTheme="minorHAnsi" w:eastAsiaTheme="minorHAnsi" w:hAnsiTheme="minorHAnsi" w:cstheme="minorBidi"/>
      <w:lang w:val="es-CL"/>
    </w:rPr>
  </w:style>
  <w:style w:type="character" w:styleId="FootnoteReference">
    <w:name w:val="footnote reference"/>
    <w:unhideWhenUsed/>
    <w:rsid w:val="00F91877"/>
    <w:rPr>
      <w:vertAlign w:val="superscript"/>
    </w:rPr>
  </w:style>
  <w:style w:type="character" w:styleId="Hyperlink">
    <w:name w:val="Hyperlink"/>
    <w:basedOn w:val="DefaultParagraphFont"/>
    <w:uiPriority w:val="99"/>
    <w:unhideWhenUsed/>
    <w:rsid w:val="00F91877"/>
    <w:rPr>
      <w:color w:val="0000FF" w:themeColor="hyperlink"/>
      <w:u w:val="single"/>
    </w:rPr>
  </w:style>
  <w:style w:type="character" w:styleId="CommentReference">
    <w:name w:val="annotation reference"/>
    <w:basedOn w:val="DefaultParagraphFont"/>
    <w:uiPriority w:val="99"/>
    <w:semiHidden/>
    <w:unhideWhenUsed/>
    <w:rsid w:val="006A1A2F"/>
    <w:rPr>
      <w:sz w:val="16"/>
      <w:szCs w:val="16"/>
    </w:rPr>
  </w:style>
  <w:style w:type="paragraph" w:styleId="CommentText">
    <w:name w:val="annotation text"/>
    <w:basedOn w:val="Normal"/>
    <w:link w:val="CommentTextChar"/>
    <w:uiPriority w:val="99"/>
    <w:semiHidden/>
    <w:unhideWhenUsed/>
    <w:rsid w:val="006A1A2F"/>
  </w:style>
  <w:style w:type="character" w:customStyle="1" w:styleId="CommentTextChar">
    <w:name w:val="Comment Text Char"/>
    <w:basedOn w:val="DefaultParagraphFont"/>
    <w:link w:val="CommentText"/>
    <w:uiPriority w:val="99"/>
    <w:semiHidden/>
    <w:rsid w:val="006A1A2F"/>
  </w:style>
  <w:style w:type="paragraph" w:styleId="CommentSubject">
    <w:name w:val="annotation subject"/>
    <w:basedOn w:val="CommentText"/>
    <w:next w:val="CommentText"/>
    <w:link w:val="CommentSubjectChar"/>
    <w:uiPriority w:val="99"/>
    <w:semiHidden/>
    <w:unhideWhenUsed/>
    <w:rsid w:val="006A1A2F"/>
    <w:rPr>
      <w:b/>
      <w:bCs/>
    </w:rPr>
  </w:style>
  <w:style w:type="character" w:customStyle="1" w:styleId="CommentSubjectChar">
    <w:name w:val="Comment Subject Char"/>
    <w:basedOn w:val="CommentTextChar"/>
    <w:link w:val="CommentSubject"/>
    <w:uiPriority w:val="99"/>
    <w:semiHidden/>
    <w:rsid w:val="006A1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17" Type="http://schemas.openxmlformats.org/officeDocument/2006/relationships/customXml" Target="../customXml/item8.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www.eba.europa.eu/regulation-and-policy/recovery-and-resolution/guidelines-on-failing-or-likely-to-fail/-/regulatory-activity/consultation-paper;jsessionid=4331E451AC5B573183B1E6565007B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FCF941017BEF8C4994366149C8E4303A" ma:contentTypeVersion="800" ma:contentTypeDescription="The base project type from which other project content types inherit their information." ma:contentTypeScope="" ma:versionID="f86de117401134addc8358cc4a25e658">
  <xsd:schema xmlns:xsd="http://www.w3.org/2001/XMLSchema" xmlns:xs="http://www.w3.org/2001/XMLSchema" xmlns:p="http://schemas.microsoft.com/office/2006/metadata/properties" xmlns:ns2="cdc7663a-08f0-4737-9e8c-148ce897a09c" targetNamespace="http://schemas.microsoft.com/office/2006/metadata/properties" ma:root="true" ma:fieldsID="8c69fb315de11422443f10d28c540f1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RG-T3097"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8CE0F44F7E54214AB4EA74BF4643A181" ma:contentTypeVersion="800" ma:contentTypeDescription="A content type to manage public (operations) IDB documents" ma:contentTypeScope="" ma:versionID="d51482291fd2c9c3542862d13ef0360f">
  <xsd:schema xmlns:xsd="http://www.w3.org/2001/XMLSchema" xmlns:xs="http://www.w3.org/2001/XMLSchema" xmlns:p="http://schemas.microsoft.com/office/2006/metadata/properties" xmlns:ns2="cdc7663a-08f0-4737-9e8c-148ce897a09c" targetNamespace="http://schemas.microsoft.com/office/2006/metadata/properties" ma:root="true" ma:fieldsID="f6f6ac7aac88712ff518a70b4ae328b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097"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TC Document</TermName>
          <TermId xmlns="http://schemas.microsoft.com/office/infopath/2007/PartnerControls">63b8a4e6-03e6-4023-98b4-7f8f68683515</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ATN/OC-16502-RG;</Approval_x0020_Number>
    <Phase xmlns="cdc7663a-08f0-4737-9e8c-148ce897a09c" xsi:nil="true"/>
    <Document_x0020_Author xmlns="cdc7663a-08f0-4737-9e8c-148ce897a09c">Bernedo, Cecilia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FINANCIAL REGULATION AND SUPERVISION</TermName>
          <TermId xmlns="http://schemas.microsoft.com/office/infopath/2007/PartnerControls">cfed87c2-6f36-4f6b-9a83-5b88cea48148</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TaxCatchAll xmlns="cdc7663a-08f0-4737-9e8c-148ce897a09c">
      <Value>470</Value>
      <Value>44</Value>
      <Value>107</Value>
      <Value>54</Value>
      <Value>121</Value>
      <Value>1</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RG-T3097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Record_x0020_Number xmlns="cdc7663a-08f0-4737-9e8c-148ce897a09c">R0001335256</Record_x0020_Number>
    <_dlc_DocId xmlns="cdc7663a-08f0-4737-9e8c-148ce897a09c">EZSHARE-1801942872-5</_dlc_DocId>
    <_dlc_DocIdUrl xmlns="cdc7663a-08f0-4737-9e8c-148ce897a09c">
      <Url>https://idbg.sharepoint.com/teams/EZ-RG-TCP/RG-T3097/_layouts/15/DocIdRedir.aspx?ID=EZSHARE-1801942872-5</Url>
      <Description>EZSHARE-1801942872-5</Description>
    </_dlc_DocIdUrl>
    <Related_x0020_SisCor_x0020_Number xmlns="cdc7663a-08f0-4737-9e8c-148ce897a09c" xsi:nil="true"/>
    <Disclosure_x0020_Activity xmlns="cdc7663a-08f0-4737-9e8c-148ce897a09c">Approved 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Banking and Financial Services;Finance;Financial and Capital Markets;Financial Regulation and Oversight;Financial Risk Management;Financial Sector Development;</Webtopic>
    <Abstract xmlns="cdc7663a-08f0-4737-9e8c-148ce897a09c" xsi:nil="true"/>
    <Publishing_x0020_House xmlns="cdc7663a-08f0-4737-9e8c-148ce897a09c" xsi:nil="true"/>
  </documentManagement>
</p:properties>
</file>

<file path=customXml/item8.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24F6B491-F6A7-4EA0-BAB6-1D7FA9CD28BB}">
  <ds:schemaRefs>
    <ds:schemaRef ds:uri="http://schemas.openxmlformats.org/officeDocument/2006/bibliography"/>
  </ds:schemaRefs>
</ds:datastoreItem>
</file>

<file path=customXml/itemProps2.xml><?xml version="1.0" encoding="utf-8"?>
<ds:datastoreItem xmlns:ds="http://schemas.openxmlformats.org/officeDocument/2006/customXml" ds:itemID="{B892A618-F0BB-42D0-87BC-E127469DB902}"/>
</file>

<file path=customXml/itemProps3.xml><?xml version="1.0" encoding="utf-8"?>
<ds:datastoreItem xmlns:ds="http://schemas.openxmlformats.org/officeDocument/2006/customXml" ds:itemID="{56A14940-6E41-4C55-AB27-AFEE0ACFB190}"/>
</file>

<file path=customXml/itemProps4.xml><?xml version="1.0" encoding="utf-8"?>
<ds:datastoreItem xmlns:ds="http://schemas.openxmlformats.org/officeDocument/2006/customXml" ds:itemID="{0A55C1C7-51E6-4D13-9CFF-CC0667D90169}"/>
</file>

<file path=customXml/itemProps5.xml><?xml version="1.0" encoding="utf-8"?>
<ds:datastoreItem xmlns:ds="http://schemas.openxmlformats.org/officeDocument/2006/customXml" ds:itemID="{F0F9EDC8-3011-444C-A416-77C26B3BEF8F}"/>
</file>

<file path=customXml/itemProps6.xml><?xml version="1.0" encoding="utf-8"?>
<ds:datastoreItem xmlns:ds="http://schemas.openxmlformats.org/officeDocument/2006/customXml" ds:itemID="{40D56FCD-B65C-474D-A06E-7642822527D5}"/>
</file>

<file path=customXml/itemProps7.xml><?xml version="1.0" encoding="utf-8"?>
<ds:datastoreItem xmlns:ds="http://schemas.openxmlformats.org/officeDocument/2006/customXml" ds:itemID="{A2FC6984-035B-4DE5-A00B-3C620F1215F0}"/>
</file>

<file path=customXml/itemProps8.xml><?xml version="1.0" encoding="utf-8"?>
<ds:datastoreItem xmlns:ds="http://schemas.openxmlformats.org/officeDocument/2006/customXml" ds:itemID="{17278DA5-03BC-4330-87C3-5EF306B3FB7F}"/>
</file>

<file path=docProps/app.xml><?xml version="1.0" encoding="utf-8"?>
<Properties xmlns="http://schemas.openxmlformats.org/officeDocument/2006/extended-properties" xmlns:vt="http://schemas.openxmlformats.org/officeDocument/2006/docPropsVTypes">
  <Template>Normal.dotm</Template>
  <TotalTime>2</TotalTime>
  <Pages>4</Pages>
  <Words>1435</Words>
  <Characters>8182</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ANNEX A</vt:lpstr>
      <vt:lpstr>ANNEX A</vt:lpstr>
    </vt:vector>
  </TitlesOfParts>
  <Company>Inter-American Development Bank</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ITS/ITC</dc:creator>
  <cp:keywords/>
  <cp:lastModifiedBy>Bernedo, Cecilia</cp:lastModifiedBy>
  <cp:revision>3</cp:revision>
  <dcterms:created xsi:type="dcterms:W3CDTF">2017-10-26T22:51:00Z</dcterms:created>
  <dcterms:modified xsi:type="dcterms:W3CDTF">2017-10-31T14:15:00Z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470;#TC Document|63b8a4e6-03e6-4023-98b4-7f8f68683515</vt:lpwstr>
  </property>
  <property fmtid="{D5CDD505-2E9C-101B-9397-08002B2CF9AE}" pid="6" name="Sub-Sector">
    <vt:lpwstr>121;#FINANCIAL REGULATION AND SUPERVISION|cfed87c2-6f36-4f6b-9a83-5b88cea48148</vt:lpwstr>
  </property>
  <property fmtid="{D5CDD505-2E9C-101B-9397-08002B2CF9AE}" pid="7" name="Fund IDB">
    <vt:lpwstr>107;#TBD|d62f6e05-3e80-4abd-9bb4-5f10b4906ff6</vt:lpwstr>
  </property>
  <property fmtid="{D5CDD505-2E9C-101B-9397-08002B2CF9AE}" pid="8" name="Country">
    <vt:lpwstr>44;#Regional|2537a5b7-6d8e-482c-94dc-32c3cc44ff65</vt:lpwstr>
  </property>
  <property fmtid="{D5CDD505-2E9C-101B-9397-08002B2CF9AE}" pid="9" name="Sector IDB">
    <vt:lpwstr>54;#FINANCIAL MARKETS|75500f29-2419-473a-bcd8-84901ddc2aa7</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cf177a58-e9d1-4578-ac5b-c2e8c408620c</vt:lpwstr>
  </property>
  <property fmtid="{D5CDD505-2E9C-101B-9397-08002B2CF9AE}" pid="13" name="RecordStorageActiveId">
    <vt:lpwstr>5f290008-0aa1-4f86-a654-fe79f71064ed</vt:lpwstr>
  </property>
  <property fmtid="{D5CDD505-2E9C-101B-9397-08002B2CF9AE}" pid="14" name="Disclosure Activity">
    <vt:lpwstr>Approved TC document</vt:lpwstr>
  </property>
  <property fmtid="{D5CDD505-2E9C-101B-9397-08002B2CF9AE}" pid="15" name="ContentTypeId">
    <vt:lpwstr>0x0101001A458A224826124E8B45B1D613300CFC008CE0F44F7E54214AB4EA74BF4643A181</vt:lpwstr>
  </property>
</Properties>
</file>