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A2B13" w:rsidR="0027589F" w:rsidP="0027589F" w:rsidRDefault="0027589F" w14:paraId="0B358FCA" w14:textId="77777777">
      <w:pPr>
        <w:keepNext/>
        <w:tabs>
          <w:tab w:val="left" w:pos="1440"/>
          <w:tab w:val="left" w:pos="3060"/>
        </w:tabs>
        <w:spacing w:line="276" w:lineRule="auto"/>
        <w:jc w:val="center"/>
        <w:outlineLvl w:val="0"/>
        <w:rPr>
          <w:rFonts w:ascii="Arial" w:hAnsi="Arial" w:eastAsia="Times New Roman" w:cs="Arial"/>
          <w:smallCaps/>
          <w:lang w:val="es-ES"/>
        </w:rPr>
      </w:pPr>
      <w:bookmarkStart w:name="_Hlk51046878" w:id="0"/>
      <w:bookmarkEnd w:id="0"/>
      <w:r w:rsidRPr="004A2B13">
        <w:rPr>
          <w:rFonts w:ascii="Arial" w:hAnsi="Arial" w:eastAsia="Times New Roman" w:cs="Arial"/>
          <w:smallCaps/>
          <w:lang w:val="es-ES"/>
        </w:rPr>
        <w:t>Documento preparado para el Banco Interamericano de Desarrollo</w:t>
      </w:r>
    </w:p>
    <w:p w:rsidRPr="004A2B13" w:rsidR="0027589F" w:rsidP="0027589F" w:rsidRDefault="0027589F" w14:paraId="20D9EA83" w14:textId="77777777">
      <w:pPr>
        <w:keepNext/>
        <w:spacing w:line="276" w:lineRule="auto"/>
        <w:jc w:val="center"/>
        <w:rPr>
          <w:rFonts w:ascii="Arial" w:hAnsi="Arial" w:eastAsia="Times New Roman" w:cs="Arial"/>
          <w:b/>
          <w:smallCaps/>
          <w:lang w:val="es-ES"/>
        </w:rPr>
      </w:pPr>
    </w:p>
    <w:p w:rsidRPr="004A2B13" w:rsidR="0027589F" w:rsidP="0027589F" w:rsidRDefault="0027589F" w14:paraId="63066AEB" w14:textId="77777777">
      <w:pPr>
        <w:keepNext/>
        <w:spacing w:line="276" w:lineRule="auto"/>
        <w:jc w:val="center"/>
        <w:rPr>
          <w:rFonts w:ascii="Arial" w:hAnsi="Arial" w:eastAsia="Times New Roman" w:cs="Arial"/>
          <w:b/>
          <w:smallCaps/>
          <w:lang w:val="es-ES"/>
        </w:rPr>
      </w:pPr>
    </w:p>
    <w:p w:rsidRPr="004A2B13" w:rsidR="0027589F" w:rsidP="0027589F" w:rsidRDefault="0027589F" w14:paraId="0840B694" w14:textId="00FE49C6">
      <w:pPr>
        <w:keepNext/>
        <w:spacing w:line="276" w:lineRule="auto"/>
        <w:jc w:val="center"/>
        <w:rPr>
          <w:rFonts w:ascii="Arial" w:hAnsi="Arial" w:eastAsia="Times New Roman" w:cs="Arial"/>
          <w:b/>
          <w:smallCaps/>
          <w:lang w:val="es-ES"/>
        </w:rPr>
      </w:pPr>
    </w:p>
    <w:p w:rsidRPr="004A2B13" w:rsidR="0027589F" w:rsidP="00F16F4E" w:rsidRDefault="0027589F" w14:paraId="35A91340" w14:textId="77777777">
      <w:pPr>
        <w:keepNext/>
        <w:spacing w:line="276" w:lineRule="auto"/>
        <w:rPr>
          <w:rFonts w:ascii="Arial" w:hAnsi="Arial" w:eastAsia="Times New Roman" w:cs="Arial"/>
          <w:b/>
          <w:smallCaps/>
          <w:lang w:val="es-ES"/>
        </w:rPr>
      </w:pPr>
    </w:p>
    <w:p w:rsidRPr="004A2B13" w:rsidR="0027589F" w:rsidP="0027589F" w:rsidRDefault="0027589F" w14:paraId="64A82B5C" w14:textId="224997CD">
      <w:pPr>
        <w:keepNext/>
        <w:spacing w:line="276" w:lineRule="auto"/>
        <w:jc w:val="center"/>
        <w:rPr>
          <w:rFonts w:ascii="Arial" w:hAnsi="Arial" w:eastAsia="Times New Roman" w:cs="Arial"/>
          <w:b/>
          <w:smallCaps/>
          <w:lang w:val="es-ES"/>
        </w:rPr>
      </w:pPr>
    </w:p>
    <w:p w:rsidRPr="004A2B13" w:rsidR="00F85D35" w:rsidP="0027589F" w:rsidRDefault="00F85D35" w14:paraId="7C516A9C" w14:textId="5A73EC64">
      <w:pPr>
        <w:keepNext/>
        <w:spacing w:line="276" w:lineRule="auto"/>
        <w:jc w:val="center"/>
        <w:rPr>
          <w:rFonts w:ascii="Arial" w:hAnsi="Arial" w:eastAsia="Times New Roman" w:cs="Arial"/>
          <w:b/>
          <w:smallCaps/>
          <w:lang w:val="es-ES"/>
        </w:rPr>
      </w:pPr>
    </w:p>
    <w:p w:rsidRPr="004A2B13" w:rsidR="00F85D35" w:rsidP="0027589F" w:rsidRDefault="00F85D35" w14:paraId="2C408CC6" w14:textId="77777777">
      <w:pPr>
        <w:keepNext/>
        <w:spacing w:line="276" w:lineRule="auto"/>
        <w:jc w:val="center"/>
        <w:rPr>
          <w:rFonts w:ascii="Arial" w:hAnsi="Arial" w:eastAsia="Times New Roman" w:cs="Arial"/>
          <w:b/>
          <w:smallCaps/>
          <w:lang w:val="es-ES"/>
        </w:rPr>
      </w:pPr>
    </w:p>
    <w:p w:rsidRPr="004A2B13" w:rsidR="0027589F" w:rsidP="0027589F" w:rsidRDefault="0027589F" w14:paraId="630D916C" w14:textId="77777777">
      <w:pPr>
        <w:keepNext/>
        <w:spacing w:line="276" w:lineRule="auto"/>
        <w:rPr>
          <w:rFonts w:ascii="Arial" w:hAnsi="Arial" w:eastAsia="Times New Roman" w:cs="Arial"/>
          <w:b/>
          <w:smallCaps/>
          <w:lang w:val="es-ES"/>
        </w:rPr>
      </w:pPr>
    </w:p>
    <w:p w:rsidRPr="004A2B13" w:rsidR="00232D8A" w:rsidP="000C63FB" w:rsidRDefault="00973366" w14:paraId="55AEA46E" w14:textId="79F28743">
      <w:pPr>
        <w:keepNext/>
        <w:spacing w:line="276" w:lineRule="auto"/>
        <w:jc w:val="center"/>
        <w:rPr>
          <w:rFonts w:ascii="Arial" w:hAnsi="Arial" w:eastAsia="Times New Roman" w:cs="Arial"/>
          <w:b/>
          <w:smallCaps/>
          <w:lang w:val="es-ES"/>
        </w:rPr>
      </w:pPr>
      <w:r w:rsidRPr="004A2B13">
        <w:rPr>
          <w:rFonts w:ascii="Arial" w:hAnsi="Arial" w:eastAsia="Times New Roman" w:cs="Arial"/>
          <w:b/>
          <w:smallCaps/>
          <w:lang w:val="es-ES"/>
        </w:rPr>
        <w:t>Pro</w:t>
      </w:r>
      <w:r w:rsidRPr="004A2B13" w:rsidR="002724E4">
        <w:rPr>
          <w:rFonts w:ascii="Arial" w:hAnsi="Arial" w:eastAsia="Times New Roman" w:cs="Arial"/>
          <w:b/>
          <w:smallCaps/>
          <w:lang w:val="es-ES"/>
        </w:rPr>
        <w:t xml:space="preserve">grama </w:t>
      </w:r>
      <w:r w:rsidRPr="004A2B13" w:rsidR="000C63FB">
        <w:rPr>
          <w:rFonts w:ascii="Arial" w:hAnsi="Arial" w:eastAsia="Times New Roman" w:cs="Arial"/>
          <w:b/>
          <w:smallCaps/>
          <w:lang w:val="es-ES"/>
        </w:rPr>
        <w:t xml:space="preserve">para la consolidación de esquemas de participación privada en infraestructura </w:t>
      </w:r>
      <w:r w:rsidRPr="004A2B13" w:rsidR="001F7629">
        <w:rPr>
          <w:rFonts w:ascii="Arial" w:hAnsi="Arial" w:eastAsia="Times New Roman" w:cs="Arial"/>
          <w:b/>
          <w:smallCaps/>
          <w:lang w:val="es-ES"/>
        </w:rPr>
        <w:t>(CO-</w:t>
      </w:r>
      <w:bookmarkStart w:name="_Hlk49783450" w:id="1"/>
      <w:r w:rsidRPr="004A2B13" w:rsidR="001F7629">
        <w:rPr>
          <w:rFonts w:ascii="Arial" w:hAnsi="Arial" w:eastAsia="Times New Roman" w:cs="Arial"/>
          <w:b/>
          <w:smallCaps/>
          <w:lang w:val="es-ES"/>
        </w:rPr>
        <w:t>L126</w:t>
      </w:r>
      <w:bookmarkEnd w:id="1"/>
      <w:r w:rsidRPr="004A2B13" w:rsidR="000C63FB">
        <w:rPr>
          <w:rFonts w:ascii="Arial" w:hAnsi="Arial" w:eastAsia="Times New Roman" w:cs="Arial"/>
          <w:b/>
          <w:smallCaps/>
          <w:lang w:val="es-ES"/>
        </w:rPr>
        <w:t>5</w:t>
      </w:r>
      <w:r w:rsidRPr="004A2B13" w:rsidR="001F7629">
        <w:rPr>
          <w:rFonts w:ascii="Arial" w:hAnsi="Arial" w:eastAsia="Times New Roman" w:cs="Arial"/>
          <w:b/>
          <w:smallCaps/>
          <w:lang w:val="es-ES"/>
        </w:rPr>
        <w:t>)</w:t>
      </w:r>
    </w:p>
    <w:p w:rsidRPr="004A2B13" w:rsidR="00232D8A" w:rsidP="0027589F" w:rsidRDefault="00232D8A" w14:paraId="637B6E6C" w14:textId="77777777">
      <w:pPr>
        <w:keepNext/>
        <w:spacing w:line="276" w:lineRule="auto"/>
        <w:jc w:val="center"/>
        <w:rPr>
          <w:rFonts w:ascii="Arial" w:hAnsi="Arial" w:eastAsia="Times New Roman" w:cs="Arial"/>
          <w:b/>
          <w:smallCaps/>
          <w:lang w:val="es-ES"/>
        </w:rPr>
      </w:pPr>
    </w:p>
    <w:p w:rsidRPr="004A2B13" w:rsidR="0027589F" w:rsidP="00A83B23" w:rsidRDefault="0027589F" w14:paraId="0A99A9FC" w14:textId="4365569B">
      <w:pPr>
        <w:keepNext/>
        <w:spacing w:line="276" w:lineRule="auto"/>
        <w:rPr>
          <w:rFonts w:ascii="Arial" w:hAnsi="Arial" w:eastAsia="Times New Roman" w:cs="Arial"/>
          <w:b/>
          <w:smallCaps/>
          <w:lang w:val="es-ES"/>
        </w:rPr>
      </w:pPr>
    </w:p>
    <w:p w:rsidRPr="004A2B13" w:rsidR="00F85D35" w:rsidP="00A83B23" w:rsidRDefault="00F85D35" w14:paraId="21B84783" w14:textId="359C1FD7">
      <w:pPr>
        <w:keepNext/>
        <w:spacing w:line="276" w:lineRule="auto"/>
        <w:rPr>
          <w:rFonts w:ascii="Arial" w:hAnsi="Arial" w:eastAsia="Times New Roman" w:cs="Arial"/>
          <w:b/>
          <w:smallCaps/>
          <w:lang w:val="es-ES"/>
        </w:rPr>
      </w:pPr>
    </w:p>
    <w:p w:rsidRPr="004A2B13" w:rsidR="00F85D35" w:rsidP="00A83B23" w:rsidRDefault="00F85D35" w14:paraId="417E5E3C" w14:textId="77777777">
      <w:pPr>
        <w:keepNext/>
        <w:spacing w:line="276" w:lineRule="auto"/>
        <w:rPr>
          <w:rFonts w:ascii="Arial" w:hAnsi="Arial" w:eastAsia="Times New Roman" w:cs="Arial"/>
          <w:b/>
          <w:smallCaps/>
          <w:lang w:val="es-ES"/>
        </w:rPr>
      </w:pPr>
    </w:p>
    <w:p w:rsidRPr="004A2B13" w:rsidR="0027589F" w:rsidP="0027589F" w:rsidRDefault="0027589F" w14:paraId="441AE0E5" w14:textId="77777777">
      <w:pPr>
        <w:keepNext/>
        <w:spacing w:line="276" w:lineRule="auto"/>
        <w:jc w:val="center"/>
        <w:rPr>
          <w:rFonts w:ascii="Arial" w:hAnsi="Arial" w:eastAsia="Times New Roman" w:cs="Arial"/>
          <w:b/>
          <w:smallCaps/>
          <w:lang w:val="es-ES"/>
        </w:rPr>
      </w:pPr>
    </w:p>
    <w:p w:rsidRPr="004A2B13" w:rsidR="0027589F" w:rsidP="0027589F" w:rsidRDefault="0027589F" w14:paraId="56327B72" w14:textId="77777777">
      <w:pPr>
        <w:keepNext/>
        <w:spacing w:line="276" w:lineRule="auto"/>
        <w:jc w:val="center"/>
        <w:rPr>
          <w:rFonts w:ascii="Arial" w:hAnsi="Arial" w:eastAsia="Times New Roman" w:cs="Arial"/>
          <w:b/>
          <w:smallCaps/>
          <w:lang w:val="es-ES"/>
        </w:rPr>
      </w:pPr>
    </w:p>
    <w:p w:rsidRPr="004A2B13" w:rsidR="0027589F" w:rsidP="002462DC" w:rsidRDefault="0027589F" w14:paraId="1DEA94E6" w14:textId="77777777">
      <w:pPr>
        <w:keepNext/>
        <w:spacing w:line="276" w:lineRule="auto"/>
        <w:rPr>
          <w:rFonts w:ascii="Arial" w:hAnsi="Arial" w:eastAsia="Times New Roman" w:cs="Arial"/>
          <w:b/>
          <w:smallCaps/>
          <w:lang w:val="es-ES"/>
        </w:rPr>
      </w:pPr>
    </w:p>
    <w:p w:rsidRPr="004A2B13" w:rsidR="0027589F" w:rsidP="0027589F" w:rsidRDefault="0027589F" w14:paraId="4B5F0895" w14:textId="77777777">
      <w:pPr>
        <w:keepNext/>
        <w:spacing w:line="276" w:lineRule="auto"/>
        <w:jc w:val="center"/>
        <w:rPr>
          <w:rFonts w:ascii="Arial" w:hAnsi="Arial" w:eastAsia="Times New Roman" w:cs="Arial"/>
          <w:b/>
          <w:smallCaps/>
          <w:lang w:val="es-ES"/>
        </w:rPr>
      </w:pPr>
    </w:p>
    <w:p w:rsidRPr="004A2B13" w:rsidR="0027589F" w:rsidP="0027589F" w:rsidRDefault="006D63D6" w14:paraId="17D90B7B" w14:textId="63B5AE5C">
      <w:pPr>
        <w:keepNext/>
        <w:spacing w:line="276" w:lineRule="auto"/>
        <w:jc w:val="center"/>
        <w:rPr>
          <w:rFonts w:ascii="Arial" w:hAnsi="Arial" w:eastAsia="Times New Roman" w:cs="Arial"/>
          <w:b/>
          <w:smallCaps/>
          <w:lang w:val="es-ES"/>
        </w:rPr>
      </w:pPr>
      <w:bookmarkStart w:name="_Hlk7602350" w:id="2"/>
      <w:r w:rsidRPr="004A2B13">
        <w:rPr>
          <w:rFonts w:ascii="Arial" w:hAnsi="Arial" w:eastAsia="Times New Roman" w:cs="Arial"/>
          <w:b/>
          <w:smallCaps/>
          <w:lang w:val="es-ES"/>
        </w:rPr>
        <w:t>Análisis económico</w:t>
      </w:r>
      <w:r w:rsidRPr="004A2B13" w:rsidR="0070689C">
        <w:rPr>
          <w:rFonts w:ascii="Arial" w:hAnsi="Arial" w:eastAsia="Times New Roman" w:cs="Arial"/>
          <w:b/>
          <w:smallCaps/>
          <w:lang w:val="es-ES"/>
        </w:rPr>
        <w:t xml:space="preserve"> </w:t>
      </w:r>
      <w:r w:rsidRPr="004A2B13" w:rsidR="009D2528">
        <w:rPr>
          <w:rFonts w:ascii="Arial" w:hAnsi="Arial" w:eastAsia="Times New Roman" w:cs="Arial"/>
          <w:b/>
          <w:smallCaps/>
          <w:lang w:val="es-ES"/>
        </w:rPr>
        <w:t>del programa</w:t>
      </w:r>
    </w:p>
    <w:bookmarkEnd w:id="2"/>
    <w:p w:rsidRPr="004A2B13" w:rsidR="0027589F" w:rsidP="0027589F" w:rsidRDefault="0027589F" w14:paraId="7C9A2EDE" w14:textId="77777777">
      <w:pPr>
        <w:keepNext/>
        <w:spacing w:line="276" w:lineRule="auto"/>
        <w:jc w:val="center"/>
        <w:rPr>
          <w:rFonts w:ascii="Arial" w:hAnsi="Arial" w:eastAsia="Times New Roman" w:cs="Arial"/>
          <w:b/>
          <w:smallCaps/>
          <w:lang w:val="es-ES"/>
        </w:rPr>
      </w:pPr>
    </w:p>
    <w:p w:rsidRPr="004A2B13" w:rsidR="0027589F" w:rsidP="0027589F" w:rsidRDefault="0027589F" w14:paraId="54408D21" w14:textId="60E8BDCA">
      <w:pPr>
        <w:keepNext/>
        <w:spacing w:line="276" w:lineRule="auto"/>
        <w:jc w:val="center"/>
        <w:rPr>
          <w:rFonts w:ascii="Arial" w:hAnsi="Arial" w:eastAsia="Times New Roman" w:cs="Arial"/>
          <w:b/>
          <w:smallCaps/>
          <w:color w:val="4472C4" w:themeColor="accent1"/>
          <w:lang w:val="es-ES"/>
        </w:rPr>
      </w:pPr>
    </w:p>
    <w:p w:rsidRPr="004A2B13" w:rsidR="006D63D6" w:rsidP="0027589F" w:rsidRDefault="006D63D6" w14:paraId="5BC5E06C" w14:textId="77777777">
      <w:pPr>
        <w:keepNext/>
        <w:spacing w:line="276" w:lineRule="auto"/>
        <w:jc w:val="center"/>
        <w:rPr>
          <w:rFonts w:ascii="Arial" w:hAnsi="Arial" w:eastAsia="Times New Roman" w:cs="Arial"/>
          <w:b/>
          <w:smallCaps/>
          <w:lang w:val="es-ES"/>
        </w:rPr>
      </w:pPr>
    </w:p>
    <w:p w:rsidRPr="004A2B13" w:rsidR="00D114D0" w:rsidP="0027589F" w:rsidRDefault="00D114D0" w14:paraId="281A9119" w14:textId="1E3D4420">
      <w:pPr>
        <w:keepNext/>
        <w:spacing w:line="276" w:lineRule="auto"/>
        <w:jc w:val="center"/>
        <w:rPr>
          <w:rFonts w:ascii="Arial" w:hAnsi="Arial" w:eastAsia="Times New Roman" w:cs="Arial"/>
          <w:b/>
          <w:smallCaps/>
          <w:lang w:val="es-ES"/>
        </w:rPr>
      </w:pPr>
    </w:p>
    <w:p w:rsidRPr="004A2B13" w:rsidR="00D114D0" w:rsidP="0027589F" w:rsidRDefault="00D114D0" w14:paraId="2F6B4383" w14:textId="4109C1CC">
      <w:pPr>
        <w:keepNext/>
        <w:spacing w:line="276" w:lineRule="auto"/>
        <w:jc w:val="center"/>
        <w:rPr>
          <w:rFonts w:ascii="Arial" w:hAnsi="Arial" w:eastAsia="Times New Roman" w:cs="Arial"/>
          <w:b/>
          <w:smallCaps/>
          <w:lang w:val="es-ES"/>
        </w:rPr>
      </w:pPr>
    </w:p>
    <w:p w:rsidRPr="004A2B13" w:rsidR="00D114D0" w:rsidP="0027589F" w:rsidRDefault="00D114D0" w14:paraId="2E5C7458" w14:textId="77777777">
      <w:pPr>
        <w:keepNext/>
        <w:spacing w:line="276" w:lineRule="auto"/>
        <w:jc w:val="center"/>
        <w:rPr>
          <w:rFonts w:ascii="Arial" w:hAnsi="Arial" w:eastAsia="Times New Roman" w:cs="Arial"/>
          <w:b/>
          <w:smallCaps/>
          <w:lang w:val="es-ES"/>
        </w:rPr>
      </w:pPr>
    </w:p>
    <w:p w:rsidR="00F85D35" w:rsidP="0027589F" w:rsidRDefault="00F85D35" w14:paraId="69CD5805" w14:textId="10CEECFA">
      <w:pPr>
        <w:keepNext/>
        <w:spacing w:line="276" w:lineRule="auto"/>
        <w:rPr>
          <w:rFonts w:ascii="Arial" w:hAnsi="Arial" w:eastAsia="Times New Roman" w:cs="Arial"/>
          <w:b/>
          <w:smallCaps/>
          <w:lang w:val="es-ES"/>
        </w:rPr>
      </w:pPr>
    </w:p>
    <w:p w:rsidR="004A2B13" w:rsidP="0027589F" w:rsidRDefault="004A2B13" w14:paraId="6D65DDAD" w14:textId="77F63227">
      <w:pPr>
        <w:keepNext/>
        <w:spacing w:line="276" w:lineRule="auto"/>
        <w:rPr>
          <w:rFonts w:ascii="Arial" w:hAnsi="Arial" w:eastAsia="Times New Roman" w:cs="Arial"/>
          <w:b/>
          <w:smallCaps/>
          <w:lang w:val="es-ES"/>
        </w:rPr>
      </w:pPr>
    </w:p>
    <w:p w:rsidRPr="004A2B13" w:rsidR="004A2B13" w:rsidP="0027589F" w:rsidRDefault="004A2B13" w14:paraId="3AEEE932" w14:textId="77777777">
      <w:pPr>
        <w:keepNext/>
        <w:spacing w:line="276" w:lineRule="auto"/>
        <w:rPr>
          <w:rFonts w:ascii="Arial" w:hAnsi="Arial" w:eastAsia="Times New Roman" w:cs="Arial"/>
          <w:b/>
          <w:smallCaps/>
          <w:lang w:val="es-ES"/>
        </w:rPr>
      </w:pPr>
    </w:p>
    <w:p w:rsidR="00D114D0" w:rsidP="0027589F" w:rsidRDefault="00D114D0" w14:paraId="75166D93" w14:textId="70FC799B">
      <w:pPr>
        <w:keepNext/>
        <w:spacing w:line="276" w:lineRule="auto"/>
        <w:rPr>
          <w:rFonts w:ascii="Arial" w:hAnsi="Arial" w:eastAsia="Times New Roman" w:cs="Arial"/>
          <w:b/>
          <w:smallCaps/>
          <w:lang w:val="es-ES"/>
        </w:rPr>
      </w:pPr>
    </w:p>
    <w:p w:rsidR="00234519" w:rsidP="0027589F" w:rsidRDefault="00234519" w14:paraId="20D21B95" w14:textId="3778E8BD">
      <w:pPr>
        <w:keepNext/>
        <w:spacing w:line="276" w:lineRule="auto"/>
        <w:rPr>
          <w:rFonts w:ascii="Arial" w:hAnsi="Arial" w:eastAsia="Times New Roman" w:cs="Arial"/>
          <w:b/>
          <w:smallCaps/>
          <w:lang w:val="es-ES"/>
        </w:rPr>
      </w:pPr>
    </w:p>
    <w:p w:rsidR="00234519" w:rsidP="0027589F" w:rsidRDefault="00234519" w14:paraId="34856AAF" w14:textId="7D5A951C">
      <w:pPr>
        <w:keepNext/>
        <w:spacing w:line="276" w:lineRule="auto"/>
        <w:rPr>
          <w:rFonts w:ascii="Arial" w:hAnsi="Arial" w:eastAsia="Times New Roman" w:cs="Arial"/>
          <w:b/>
          <w:smallCaps/>
          <w:lang w:val="es-ES"/>
        </w:rPr>
      </w:pPr>
    </w:p>
    <w:p w:rsidRPr="004A2B13" w:rsidR="00234519" w:rsidP="0027589F" w:rsidRDefault="00234519" w14:paraId="171755B3" w14:textId="77777777">
      <w:pPr>
        <w:keepNext/>
        <w:spacing w:line="276" w:lineRule="auto"/>
        <w:rPr>
          <w:rFonts w:ascii="Arial" w:hAnsi="Arial" w:eastAsia="Times New Roman" w:cs="Arial"/>
          <w:b/>
          <w:smallCaps/>
          <w:lang w:val="es-ES"/>
        </w:rPr>
      </w:pPr>
    </w:p>
    <w:p w:rsidRPr="004A2B13" w:rsidR="0027589F" w:rsidP="0027589F" w:rsidRDefault="0027589F" w14:paraId="38EB6C9B" w14:textId="77777777">
      <w:pPr>
        <w:keepNext/>
        <w:spacing w:line="276" w:lineRule="auto"/>
        <w:jc w:val="center"/>
        <w:rPr>
          <w:rFonts w:ascii="Arial" w:hAnsi="Arial" w:eastAsia="Times New Roman" w:cs="Arial"/>
          <w:b/>
          <w:smallCaps/>
          <w:lang w:val="es-ES"/>
        </w:rPr>
      </w:pPr>
    </w:p>
    <w:p w:rsidRPr="004A2B13" w:rsidR="0027589F" w:rsidP="0027589F" w:rsidRDefault="00F74FB8" w14:paraId="3AB23C5E" w14:textId="2C0E575B">
      <w:pPr>
        <w:keepNext/>
        <w:spacing w:line="276" w:lineRule="auto"/>
        <w:jc w:val="center"/>
        <w:rPr>
          <w:rFonts w:ascii="Arial" w:hAnsi="Arial" w:eastAsia="Times New Roman" w:cs="Arial"/>
          <w:smallCaps/>
          <w:lang w:val="es-ES"/>
        </w:rPr>
      </w:pPr>
      <w:r w:rsidRPr="004A2B13">
        <w:rPr>
          <w:rFonts w:ascii="Arial" w:hAnsi="Arial" w:eastAsia="Times New Roman" w:cs="Arial"/>
          <w:smallCaps/>
          <w:lang w:val="es-ES"/>
        </w:rPr>
        <w:t>oc</w:t>
      </w:r>
      <w:r w:rsidRPr="004A2B13" w:rsidR="005F7B57">
        <w:rPr>
          <w:rFonts w:ascii="Arial" w:hAnsi="Arial" w:eastAsia="Times New Roman" w:cs="Arial"/>
          <w:smallCaps/>
          <w:lang w:val="es-ES"/>
        </w:rPr>
        <w:t>t</w:t>
      </w:r>
      <w:r w:rsidRPr="004A2B13">
        <w:rPr>
          <w:rFonts w:ascii="Arial" w:hAnsi="Arial" w:eastAsia="Times New Roman" w:cs="Arial"/>
          <w:smallCaps/>
          <w:lang w:val="es-ES"/>
        </w:rPr>
        <w:t>u</w:t>
      </w:r>
      <w:r w:rsidRPr="004A2B13" w:rsidR="005F7B57">
        <w:rPr>
          <w:rFonts w:ascii="Arial" w:hAnsi="Arial" w:eastAsia="Times New Roman" w:cs="Arial"/>
          <w:smallCaps/>
          <w:lang w:val="es-ES"/>
        </w:rPr>
        <w:t>bre</w:t>
      </w:r>
      <w:r w:rsidRPr="004A2B13" w:rsidR="0027589F">
        <w:rPr>
          <w:rFonts w:ascii="Arial" w:hAnsi="Arial" w:eastAsia="Times New Roman" w:cs="Arial"/>
          <w:smallCaps/>
          <w:lang w:val="es-ES"/>
        </w:rPr>
        <w:t xml:space="preserve"> de 20</w:t>
      </w:r>
      <w:r w:rsidRPr="004A2B13" w:rsidR="005F7B57">
        <w:rPr>
          <w:rFonts w:ascii="Arial" w:hAnsi="Arial" w:eastAsia="Times New Roman" w:cs="Arial"/>
          <w:smallCaps/>
          <w:lang w:val="es-ES"/>
        </w:rPr>
        <w:t>20</w:t>
      </w:r>
      <w:r w:rsidRPr="004A2B13" w:rsidR="0027589F">
        <w:rPr>
          <w:rFonts w:ascii="Arial" w:hAnsi="Arial" w:eastAsia="Times New Roman" w:cs="Arial"/>
          <w:smallCaps/>
          <w:lang w:val="es-ES"/>
        </w:rPr>
        <w:t xml:space="preserve"> </w:t>
      </w:r>
    </w:p>
    <w:p w:rsidRPr="004A2B13" w:rsidR="00553C65" w:rsidRDefault="00553C65" w14:paraId="62C2B59E" w14:textId="77777777">
      <w:pPr>
        <w:rPr>
          <w:rFonts w:ascii="Arial" w:hAnsi="Arial" w:cs="Arial"/>
          <w:lang w:val="es-ES"/>
        </w:rPr>
      </w:pPr>
    </w:p>
    <w:p w:rsidRPr="004A2B13" w:rsidR="0027589F" w:rsidRDefault="0027589F" w14:paraId="62BE5593" w14:textId="77777777">
      <w:pPr>
        <w:rPr>
          <w:rFonts w:ascii="Arial" w:hAnsi="Arial" w:cs="Arial"/>
          <w:lang w:val="es-ES"/>
        </w:rPr>
      </w:pPr>
    </w:p>
    <w:p w:rsidRPr="004A2B13" w:rsidR="0027589F" w:rsidRDefault="0027589F" w14:paraId="3AE5C6D0" w14:textId="77777777">
      <w:pPr>
        <w:rPr>
          <w:rFonts w:ascii="Arial" w:hAnsi="Arial" w:cs="Arial"/>
          <w:lang w:val="es-ES"/>
        </w:rPr>
      </w:pPr>
    </w:p>
    <w:p w:rsidRPr="004A2B13" w:rsidR="00303038" w:rsidRDefault="00303038" w14:paraId="1C08EE4F" w14:textId="77777777">
      <w:pPr>
        <w:rPr>
          <w:rFonts w:ascii="Arial" w:hAnsi="Arial" w:cs="Arial"/>
          <w:lang w:val="es-ES"/>
        </w:rPr>
      </w:pPr>
    </w:p>
    <w:p w:rsidRPr="004A2B13" w:rsidR="00303038" w:rsidP="00303038" w:rsidRDefault="005F7B57" w14:paraId="078DA388" w14:textId="2359C9F4">
      <w:pPr>
        <w:rPr>
          <w:rFonts w:ascii="Arial" w:hAnsi="Arial" w:cs="Arial"/>
          <w:lang w:val="es-ES"/>
        </w:rPr>
      </w:pPr>
      <w:r w:rsidRPr="004A2B13">
        <w:rPr>
          <w:rFonts w:ascii="Arial" w:hAnsi="Arial" w:cs="Arial"/>
          <w:lang w:val="es-ES"/>
        </w:rPr>
        <w:br w:type="page"/>
      </w:r>
    </w:p>
    <w:p w:rsidRPr="004A2B13" w:rsidR="00F85D35" w:rsidP="004A2B13" w:rsidRDefault="000C63FB" w14:paraId="24E89C1F" w14:textId="48E5D116">
      <w:pPr>
        <w:keepNext/>
        <w:spacing w:before="120" w:after="120"/>
        <w:jc w:val="center"/>
        <w:rPr>
          <w:rFonts w:ascii="Arial" w:hAnsi="Arial" w:eastAsia="Times New Roman" w:cs="Arial"/>
          <w:b/>
          <w:sz w:val="22"/>
          <w:szCs w:val="22"/>
          <w:lang w:val="es-ES"/>
        </w:rPr>
      </w:pPr>
      <w:r w:rsidRPr="00FE5C26">
        <w:rPr>
          <w:rFonts w:ascii="Arial" w:hAnsi="Arial" w:eastAsia="Times New Roman" w:cs="Arial"/>
          <w:b/>
          <w:lang w:val="es-ES"/>
        </w:rPr>
        <w:lastRenderedPageBreak/>
        <w:t xml:space="preserve">Programa para la consolidación de esquemas de participación privada en infraestructura (CO-L1265) </w:t>
      </w:r>
      <w:r w:rsidRPr="00FE5C26" w:rsidR="00F85D35">
        <w:rPr>
          <w:rFonts w:ascii="Arial" w:hAnsi="Arial" w:eastAsia="Times New Roman" w:cs="Arial"/>
          <w:b/>
          <w:lang w:val="es-ES"/>
        </w:rPr>
        <w:t>- Evaluación costo-beneficio del programa</w:t>
      </w:r>
      <w:r w:rsidRPr="004A2B13" w:rsidR="00F85D35">
        <w:rPr>
          <w:rStyle w:val="FootnoteReference"/>
          <w:rFonts w:ascii="Arial" w:hAnsi="Arial" w:eastAsia="Times New Roman" w:cs="Arial"/>
          <w:b/>
          <w:sz w:val="22"/>
          <w:szCs w:val="22"/>
          <w:lang w:val="es-ES"/>
        </w:rPr>
        <w:footnoteReference w:id="1"/>
      </w:r>
    </w:p>
    <w:p w:rsidRPr="004A2B13" w:rsidR="00EE3182" w:rsidP="004A2B13" w:rsidRDefault="008E1A2F" w14:paraId="6599C36C" w14:textId="4FD7671E">
      <w:pPr>
        <w:pStyle w:val="ListParagraph"/>
        <w:numPr>
          <w:ilvl w:val="0"/>
          <w:numId w:val="14"/>
        </w:numPr>
        <w:spacing w:before="120" w:after="120"/>
        <w:contextualSpacing w:val="0"/>
        <w:jc w:val="both"/>
        <w:rPr>
          <w:rFonts w:ascii="Arial" w:hAnsi="Arial" w:cs="Arial" w:eastAsiaTheme="minorEastAsia"/>
          <w:b/>
          <w:sz w:val="22"/>
          <w:szCs w:val="22"/>
          <w:lang w:val="es-CO"/>
        </w:rPr>
      </w:pPr>
      <w:r w:rsidRPr="004A2B13">
        <w:rPr>
          <w:rFonts w:ascii="Arial" w:hAnsi="Arial" w:cs="Arial" w:eastAsiaTheme="minorEastAsia"/>
          <w:b/>
          <w:sz w:val="22"/>
          <w:szCs w:val="22"/>
          <w:lang w:val="es-CO"/>
        </w:rPr>
        <w:t>Descripción del Programa</w:t>
      </w:r>
      <w:r w:rsidRPr="004A2B13" w:rsidR="00520D7C">
        <w:rPr>
          <w:rFonts w:ascii="Arial" w:hAnsi="Arial" w:cs="Arial" w:eastAsiaTheme="minorEastAsia"/>
          <w:b/>
          <w:sz w:val="22"/>
          <w:szCs w:val="22"/>
          <w:lang w:val="es-CO"/>
        </w:rPr>
        <w:t xml:space="preserve"> y resumen de resultados</w:t>
      </w:r>
    </w:p>
    <w:p w:rsidRPr="004A2B13" w:rsidR="008E1A2F" w:rsidP="004A2B13" w:rsidRDefault="00B81458" w14:paraId="08FA7552" w14:textId="28532BBA">
      <w:pPr>
        <w:pStyle w:val="ListParagraph"/>
        <w:numPr>
          <w:ilvl w:val="1"/>
          <w:numId w:val="47"/>
        </w:numPr>
        <w:spacing w:before="120" w:after="120"/>
        <w:contextualSpacing w:val="0"/>
        <w:jc w:val="both"/>
        <w:rPr>
          <w:rFonts w:ascii="Arial" w:hAnsi="Arial" w:cs="Arial"/>
          <w:b/>
          <w:bCs/>
          <w:sz w:val="22"/>
          <w:szCs w:val="22"/>
          <w:lang w:val="es-CO"/>
        </w:rPr>
      </w:pPr>
      <w:r w:rsidRPr="004A2B13">
        <w:rPr>
          <w:rFonts w:ascii="Arial" w:hAnsi="Arial" w:cs="Arial"/>
          <w:b/>
          <w:bCs/>
          <w:sz w:val="22"/>
          <w:szCs w:val="22"/>
          <w:lang w:val="es-CO"/>
        </w:rPr>
        <w:t>Descripción</w:t>
      </w:r>
    </w:p>
    <w:p w:rsidRPr="004A2B13" w:rsidR="00D236CD" w:rsidP="004A2B13" w:rsidRDefault="00D236CD" w14:paraId="64B933EC" w14:textId="6BBB3C05">
      <w:pPr>
        <w:spacing w:before="120" w:after="120"/>
        <w:jc w:val="both"/>
        <w:rPr>
          <w:rFonts w:ascii="Arial" w:hAnsi="Arial" w:cs="Arial"/>
          <w:sz w:val="22"/>
          <w:szCs w:val="22"/>
          <w:lang w:val="es-CO"/>
        </w:rPr>
      </w:pPr>
      <w:r w:rsidRPr="004A2B13">
        <w:rPr>
          <w:rFonts w:ascii="Arial" w:hAnsi="Arial" w:cs="Arial"/>
          <w:sz w:val="22"/>
          <w:szCs w:val="22"/>
          <w:lang w:val="es-CO"/>
        </w:rPr>
        <w:t xml:space="preserve">En los últimos años, Colombia ha tenido una evolución normativa e institucional que permitió posicionar al país en los puestos más altos de los </w:t>
      </w:r>
      <w:r w:rsidRPr="004930E6">
        <w:rPr>
          <w:rFonts w:ascii="Arial" w:hAnsi="Arial" w:cs="Arial"/>
          <w:i/>
          <w:iCs/>
          <w:sz w:val="22"/>
          <w:szCs w:val="22"/>
          <w:lang w:val="es-CO"/>
        </w:rPr>
        <w:t>rankings</w:t>
      </w:r>
      <w:r w:rsidRPr="004A2B13">
        <w:rPr>
          <w:rFonts w:ascii="Arial" w:hAnsi="Arial" w:cs="Arial"/>
          <w:sz w:val="22"/>
          <w:szCs w:val="22"/>
          <w:lang w:val="es-CO"/>
        </w:rPr>
        <w:t xml:space="preserve"> internacionales en cuanto a condiciones para desarrollar proyectos bajo este esquema. Los resultados con mayor impacto se ven en el sector transporte donde se creó la Agencia Nacional de Infraestructura (ANI) que ejecuta el programa de cuarta generación de concesiones viales (4G), con 31 proyectos contratados por US$23,8 billones. </w:t>
      </w:r>
    </w:p>
    <w:p w:rsidRPr="004A2B13" w:rsidR="007E163A" w:rsidP="004A2B13" w:rsidRDefault="00D236CD" w14:paraId="6E0E5696" w14:textId="5C6227E2">
      <w:pPr>
        <w:spacing w:before="120" w:after="120"/>
        <w:jc w:val="both"/>
        <w:rPr>
          <w:rFonts w:ascii="Arial" w:hAnsi="Arial" w:cs="Arial"/>
          <w:sz w:val="22"/>
          <w:szCs w:val="22"/>
          <w:lang w:val="es-CO"/>
        </w:rPr>
      </w:pPr>
      <w:r w:rsidRPr="004A2B13">
        <w:rPr>
          <w:rFonts w:ascii="Arial" w:hAnsi="Arial" w:cs="Arial"/>
          <w:sz w:val="22"/>
          <w:szCs w:val="22"/>
          <w:lang w:val="es-CO"/>
        </w:rPr>
        <w:t>Sin embargo, todavía hay espacio de mejora. La ANI se encuentra estructurando un nuevo programa de concesiones 5G</w:t>
      </w:r>
      <w:r w:rsidR="004930E6">
        <w:rPr>
          <w:rFonts w:ascii="Arial" w:hAnsi="Arial" w:cs="Arial"/>
          <w:sz w:val="22"/>
          <w:szCs w:val="22"/>
          <w:lang w:val="es-CO"/>
        </w:rPr>
        <w:t>,</w:t>
      </w:r>
      <w:r w:rsidRPr="004A2B13">
        <w:rPr>
          <w:rFonts w:ascii="Arial" w:hAnsi="Arial" w:cs="Arial"/>
          <w:sz w:val="22"/>
          <w:szCs w:val="22"/>
          <w:lang w:val="es-CO"/>
        </w:rPr>
        <w:t xml:space="preserve"> por medio del cual se busca darle un sello de sostenibilidad a los proyectos.</w:t>
      </w:r>
      <w:r w:rsidRPr="004A2B13" w:rsidR="008F18B4">
        <w:rPr>
          <w:rFonts w:ascii="Arial" w:hAnsi="Arial" w:cs="Arial"/>
          <w:sz w:val="22"/>
          <w:szCs w:val="22"/>
          <w:lang w:val="es-CO"/>
        </w:rPr>
        <w:t xml:space="preserve"> En los </w:t>
      </w:r>
      <w:r w:rsidRPr="004A2B13">
        <w:rPr>
          <w:rFonts w:ascii="Arial" w:hAnsi="Arial" w:cs="Arial"/>
          <w:sz w:val="22"/>
          <w:szCs w:val="22"/>
          <w:lang w:val="es-CO"/>
        </w:rPr>
        <w:t>sectores sociales, los resultados no han sido tan destacados, principalmente por falta de experiencia en APP, débil institucionalidad y criterios de priorización</w:t>
      </w:r>
      <w:r w:rsidRPr="004A2B13" w:rsidR="008F18B4">
        <w:rPr>
          <w:rFonts w:ascii="Arial" w:hAnsi="Arial" w:cs="Arial"/>
          <w:sz w:val="22"/>
          <w:szCs w:val="22"/>
          <w:lang w:val="es-CO"/>
        </w:rPr>
        <w:t xml:space="preserve"> </w:t>
      </w:r>
      <w:r w:rsidRPr="004A2B13">
        <w:rPr>
          <w:rFonts w:ascii="Arial" w:hAnsi="Arial" w:cs="Arial"/>
          <w:sz w:val="22"/>
          <w:szCs w:val="22"/>
          <w:lang w:val="es-CO"/>
        </w:rPr>
        <w:t xml:space="preserve">de proyectos que deben </w:t>
      </w:r>
      <w:r w:rsidRPr="004A2B13" w:rsidR="008F18B4">
        <w:rPr>
          <w:rFonts w:ascii="Arial" w:hAnsi="Arial" w:cs="Arial"/>
          <w:sz w:val="22"/>
          <w:szCs w:val="22"/>
          <w:lang w:val="es-CO"/>
        </w:rPr>
        <w:t>reforzarse</w:t>
      </w:r>
      <w:r w:rsidRPr="004A2B13">
        <w:rPr>
          <w:rFonts w:ascii="Arial" w:hAnsi="Arial" w:cs="Arial"/>
          <w:sz w:val="22"/>
          <w:szCs w:val="22"/>
          <w:lang w:val="es-CO"/>
        </w:rPr>
        <w:t xml:space="preserve">. Esto se refleja en proyectos de APP sociales rechazados y capacidad limitada del </w:t>
      </w:r>
      <w:r w:rsidR="002A166B">
        <w:rPr>
          <w:rFonts w:ascii="Arial" w:hAnsi="Arial" w:cs="Arial"/>
          <w:sz w:val="22"/>
          <w:szCs w:val="22"/>
          <w:lang w:val="es-CO"/>
        </w:rPr>
        <w:t>Gobierno de Colombia (</w:t>
      </w:r>
      <w:r w:rsidRPr="004A2B13">
        <w:rPr>
          <w:rFonts w:ascii="Arial" w:hAnsi="Arial" w:cs="Arial"/>
          <w:sz w:val="22"/>
          <w:szCs w:val="22"/>
          <w:lang w:val="es-CO"/>
        </w:rPr>
        <w:t>GdC</w:t>
      </w:r>
      <w:r w:rsidR="002A166B">
        <w:rPr>
          <w:rFonts w:ascii="Arial" w:hAnsi="Arial" w:cs="Arial"/>
          <w:sz w:val="22"/>
          <w:szCs w:val="22"/>
          <w:lang w:val="es-CO"/>
        </w:rPr>
        <w:t>)</w:t>
      </w:r>
      <w:r w:rsidRPr="004A2B13">
        <w:rPr>
          <w:rFonts w:ascii="Arial" w:hAnsi="Arial" w:cs="Arial"/>
          <w:sz w:val="22"/>
          <w:szCs w:val="22"/>
          <w:lang w:val="es-CO"/>
        </w:rPr>
        <w:t xml:space="preserve"> para optimizar su apoyo a entidades en estructuración, diseños y gestión.</w:t>
      </w:r>
      <w:r w:rsidRPr="004A2B13" w:rsidR="008F18B4">
        <w:rPr>
          <w:rFonts w:ascii="Arial" w:hAnsi="Arial" w:cs="Arial"/>
          <w:sz w:val="22"/>
          <w:szCs w:val="22"/>
          <w:lang w:val="es-CO"/>
        </w:rPr>
        <w:t xml:space="preserve"> </w:t>
      </w:r>
    </w:p>
    <w:p w:rsidRPr="004A2B13" w:rsidR="00417699" w:rsidP="004A2B13" w:rsidRDefault="00417699" w14:paraId="77B605BC" w14:textId="1758B663">
      <w:pPr>
        <w:spacing w:before="120" w:after="120"/>
        <w:jc w:val="both"/>
        <w:rPr>
          <w:rFonts w:ascii="Arial" w:hAnsi="Arial" w:cs="Arial"/>
          <w:sz w:val="22"/>
          <w:szCs w:val="22"/>
          <w:lang w:val="es-CO"/>
        </w:rPr>
      </w:pPr>
      <w:r w:rsidRPr="004A2B13">
        <w:rPr>
          <w:rFonts w:ascii="Arial" w:hAnsi="Arial" w:cs="Arial"/>
          <w:sz w:val="22"/>
          <w:szCs w:val="22"/>
          <w:lang w:val="es-CO"/>
        </w:rPr>
        <w:t xml:space="preserve">A pesar de los avances, el financiamiento continúa siendo uno de los principales retos particularmente a nivel subnacional. </w:t>
      </w:r>
      <w:r w:rsidRPr="004A2B13" w:rsidR="00DD2B12">
        <w:rPr>
          <w:rFonts w:ascii="Arial" w:hAnsi="Arial" w:cs="Arial"/>
          <w:sz w:val="22"/>
          <w:szCs w:val="22"/>
          <w:lang w:val="es-CO"/>
        </w:rPr>
        <w:t xml:space="preserve">La dificultad que han enfrentado los proyectos 4G para alcanzar su cierre financiero ponen de manifiesto que el programa de </w:t>
      </w:r>
      <w:r w:rsidR="00153120">
        <w:rPr>
          <w:rFonts w:ascii="Arial" w:hAnsi="Arial" w:cs="Arial"/>
          <w:sz w:val="22"/>
          <w:szCs w:val="22"/>
          <w:lang w:val="es-CO"/>
        </w:rPr>
        <w:t>Alianzas Público-Privadas (</w:t>
      </w:r>
      <w:r w:rsidRPr="004A2B13" w:rsidR="00DD2B12">
        <w:rPr>
          <w:rFonts w:ascii="Arial" w:hAnsi="Arial" w:cs="Arial"/>
          <w:sz w:val="22"/>
          <w:szCs w:val="22"/>
          <w:lang w:val="es-CO"/>
        </w:rPr>
        <w:t>APP</w:t>
      </w:r>
      <w:r w:rsidR="00153120">
        <w:rPr>
          <w:rFonts w:ascii="Arial" w:hAnsi="Arial" w:cs="Arial"/>
          <w:sz w:val="22"/>
          <w:szCs w:val="22"/>
          <w:lang w:val="es-CO"/>
        </w:rPr>
        <w:t>)</w:t>
      </w:r>
      <w:r w:rsidRPr="004A2B13" w:rsidR="00DD2B12">
        <w:rPr>
          <w:rFonts w:ascii="Arial" w:hAnsi="Arial" w:cs="Arial"/>
          <w:sz w:val="22"/>
          <w:szCs w:val="22"/>
          <w:lang w:val="es-CO"/>
        </w:rPr>
        <w:t xml:space="preserve"> todavía enfrenta restricciones importantes. La oferta de recursos de largo plazo ofrecida por la banca local es insuficiente; por lo cual, los principales desafíos en términos de financiación están asociados a la elevada concentración de las entidades financieras locales, la sobrexposición del sector bancario a activos de infraestructura, la baja profundidad del mercado de capitales, y la necesidad de desarrollar incentivos para atraer financiadores internacionales e inversores institucionales. </w:t>
      </w:r>
    </w:p>
    <w:p w:rsidRPr="004A2B13" w:rsidR="002D3AD9" w:rsidP="004A2B13" w:rsidRDefault="002D3AD9" w14:paraId="30BB7926" w14:textId="632A089C">
      <w:pPr>
        <w:spacing w:before="120" w:after="120"/>
        <w:jc w:val="both"/>
        <w:rPr>
          <w:rFonts w:ascii="Arial" w:hAnsi="Arial" w:cs="Arial"/>
          <w:sz w:val="22"/>
          <w:szCs w:val="22"/>
          <w:lang w:val="es-CO"/>
        </w:rPr>
      </w:pPr>
      <w:r w:rsidRPr="004A2B13">
        <w:rPr>
          <w:rFonts w:ascii="Arial" w:hAnsi="Arial" w:cs="Arial"/>
          <w:sz w:val="22"/>
          <w:szCs w:val="22"/>
          <w:lang w:val="es-CO"/>
        </w:rPr>
        <w:t>En sectores como salud y educación, uno de los mayores problemas es la identificación de fuentes de recursos y su vinculación como respaldo de vigencias futuras, por lo cual los proyectos licitados y en ejecución son escasos. Las discusiones principales se centran en la posibilidad o no de utilizar: (i) recursos propios, fuentes de ingresos con destinación específica o presupuesto de funcionamiento; y (ii) cofinanciamiento por parte de la nación, lo cual ayudaría en la correcta asignación de riesgos. Es necesario seguir mejorando la coordinación entre organismos gubernamentales durante la planificación; así como, continuar fortaleciendo las instituciones encargadas de la estructuración de proyectos y su monitoreo.</w:t>
      </w:r>
    </w:p>
    <w:p w:rsidRPr="004A2B13" w:rsidR="000F5AA6" w:rsidP="004A2B13" w:rsidRDefault="000F5AA6" w14:paraId="76C5E721" w14:textId="4D50B4FC">
      <w:pPr>
        <w:spacing w:before="120" w:after="120"/>
        <w:jc w:val="both"/>
        <w:rPr>
          <w:rFonts w:ascii="Arial" w:hAnsi="Arial" w:cs="Arial"/>
          <w:sz w:val="22"/>
          <w:szCs w:val="22"/>
          <w:lang w:val="es-CO"/>
        </w:rPr>
      </w:pPr>
      <w:r w:rsidRPr="004A2B13">
        <w:rPr>
          <w:rFonts w:ascii="Arial" w:hAnsi="Arial" w:cs="Arial"/>
          <w:sz w:val="22"/>
          <w:szCs w:val="22"/>
          <w:lang w:val="es-CO"/>
        </w:rPr>
        <w:t xml:space="preserve">El Programa </w:t>
      </w:r>
      <w:r w:rsidRPr="004A2B13" w:rsidR="00304731">
        <w:rPr>
          <w:rFonts w:ascii="Arial" w:hAnsi="Arial" w:cs="Arial"/>
          <w:sz w:val="22"/>
          <w:szCs w:val="22"/>
          <w:lang w:val="es-CO"/>
        </w:rPr>
        <w:t>CO-L1131</w:t>
      </w:r>
      <w:r w:rsidR="00DC031E">
        <w:rPr>
          <w:rFonts w:ascii="Arial" w:hAnsi="Arial" w:cs="Arial"/>
          <w:sz w:val="22"/>
          <w:szCs w:val="22"/>
          <w:lang w:val="es-CO"/>
        </w:rPr>
        <w:t xml:space="preserve">, </w:t>
      </w:r>
      <w:r w:rsidRPr="004A2B13" w:rsidR="00304731">
        <w:rPr>
          <w:rFonts w:ascii="Arial" w:hAnsi="Arial" w:cs="Arial"/>
          <w:sz w:val="22"/>
          <w:szCs w:val="22"/>
          <w:lang w:val="es-CO"/>
        </w:rPr>
        <w:t xml:space="preserve">que es el precedente de la presente operación, </w:t>
      </w:r>
      <w:r w:rsidRPr="004A2B13">
        <w:rPr>
          <w:rFonts w:ascii="Arial" w:hAnsi="Arial" w:cs="Arial"/>
          <w:sz w:val="22"/>
          <w:szCs w:val="22"/>
          <w:lang w:val="es-CO"/>
        </w:rPr>
        <w:t>apoya desde 2013 el fortalecimiento de los mecanismos técnicos y regulatorios que promueven la vinculación del sector privado en Colombia para enfrentar algunos de los factores críticos mencionados anteriormente. A la fecha</w:t>
      </w:r>
      <w:r w:rsidR="00DC031E">
        <w:rPr>
          <w:rFonts w:ascii="Arial" w:hAnsi="Arial" w:cs="Arial"/>
          <w:sz w:val="22"/>
          <w:szCs w:val="22"/>
          <w:lang w:val="es-CO"/>
        </w:rPr>
        <w:t>,</w:t>
      </w:r>
      <w:r w:rsidRPr="004A2B13">
        <w:rPr>
          <w:rFonts w:ascii="Arial" w:hAnsi="Arial" w:cs="Arial"/>
          <w:sz w:val="22"/>
          <w:szCs w:val="22"/>
          <w:lang w:val="es-CO"/>
        </w:rPr>
        <w:t xml:space="preserve"> tiene un avance del 72% en desembolsos y ha logrado comprometer el 82% de sus recursos</w:t>
      </w:r>
      <w:r w:rsidR="00DC031E">
        <w:rPr>
          <w:rFonts w:ascii="Arial" w:hAnsi="Arial" w:cs="Arial"/>
          <w:sz w:val="22"/>
          <w:szCs w:val="22"/>
          <w:lang w:val="es-CO"/>
        </w:rPr>
        <w:t>.</w:t>
      </w:r>
      <w:r w:rsidRPr="004A2B13">
        <w:rPr>
          <w:rFonts w:ascii="Arial" w:hAnsi="Arial" w:cs="Arial"/>
          <w:sz w:val="22"/>
          <w:szCs w:val="22"/>
          <w:lang w:val="es-CO"/>
        </w:rPr>
        <w:t xml:space="preserve"> </w:t>
      </w:r>
    </w:p>
    <w:p w:rsidRPr="004A2B13" w:rsidR="00EA2424" w:rsidP="004A2B13" w:rsidRDefault="00EA2424" w14:paraId="3C0724F4" w14:textId="19E59723">
      <w:pPr>
        <w:spacing w:before="120" w:after="120"/>
        <w:jc w:val="both"/>
        <w:rPr>
          <w:rFonts w:ascii="Arial" w:hAnsi="Arial" w:cs="Arial"/>
          <w:sz w:val="22"/>
          <w:szCs w:val="22"/>
          <w:lang w:val="es-CO"/>
        </w:rPr>
      </w:pPr>
      <w:r w:rsidRPr="004A2B13">
        <w:rPr>
          <w:rFonts w:ascii="Arial" w:hAnsi="Arial" w:cs="Arial"/>
          <w:sz w:val="22"/>
          <w:szCs w:val="22"/>
          <w:lang w:val="es-CO"/>
        </w:rPr>
        <w:t>Como respuesta a los problemas identificados</w:t>
      </w:r>
      <w:r w:rsidRPr="004A2B13" w:rsidR="00E03454">
        <w:rPr>
          <w:rFonts w:ascii="Arial" w:hAnsi="Arial" w:cs="Arial"/>
          <w:sz w:val="22"/>
          <w:szCs w:val="22"/>
          <w:lang w:val="es-CO"/>
        </w:rPr>
        <w:t>, el aprendizaje en APP en las dos décadas anteriores</w:t>
      </w:r>
      <w:r w:rsidRPr="004A2B13" w:rsidR="00B230D7">
        <w:rPr>
          <w:rFonts w:ascii="Arial" w:hAnsi="Arial" w:cs="Arial"/>
          <w:sz w:val="22"/>
          <w:szCs w:val="22"/>
          <w:lang w:val="es-CO"/>
        </w:rPr>
        <w:t xml:space="preserve"> y el nuevo escenario de limitaciones presupuestales y de financiamiento para la expansión de APP, la </w:t>
      </w:r>
      <w:r w:rsidRPr="004A2B13">
        <w:rPr>
          <w:rFonts w:ascii="Arial" w:hAnsi="Arial" w:cs="Arial"/>
          <w:sz w:val="22"/>
          <w:szCs w:val="22"/>
          <w:lang w:val="es-CO"/>
        </w:rPr>
        <w:t xml:space="preserve">operación </w:t>
      </w:r>
      <w:r w:rsidRPr="004A2B13" w:rsidR="00B230D7">
        <w:rPr>
          <w:rFonts w:ascii="Arial" w:hAnsi="Arial" w:cs="Arial"/>
          <w:sz w:val="22"/>
          <w:szCs w:val="22"/>
          <w:lang w:val="es-CO"/>
        </w:rPr>
        <w:t>CO-L</w:t>
      </w:r>
      <w:r w:rsidRPr="004A2B13" w:rsidR="00244C85">
        <w:rPr>
          <w:rFonts w:ascii="Arial" w:hAnsi="Arial" w:cs="Arial"/>
          <w:sz w:val="22"/>
          <w:szCs w:val="22"/>
          <w:lang w:val="es-CO"/>
        </w:rPr>
        <w:t xml:space="preserve">1265 </w:t>
      </w:r>
      <w:r w:rsidRPr="004A2B13">
        <w:rPr>
          <w:rFonts w:ascii="Arial" w:hAnsi="Arial" w:cs="Arial"/>
          <w:sz w:val="22"/>
          <w:szCs w:val="22"/>
          <w:lang w:val="es-CO"/>
        </w:rPr>
        <w:t xml:space="preserve">busca consolidar las capacidades del GdC para promover esquemas de participación privada dadas las brechas identificadas en infraestructura. El GdC ha solicitado el apoyo del Banco para consolidar el trabajo que se </w:t>
      </w:r>
      <w:r w:rsidRPr="004A2B13">
        <w:rPr>
          <w:rFonts w:ascii="Arial" w:hAnsi="Arial" w:cs="Arial"/>
          <w:sz w:val="22"/>
          <w:szCs w:val="22"/>
          <w:lang w:val="es-CO"/>
        </w:rPr>
        <w:lastRenderedPageBreak/>
        <w:t>ha venido brindando al país. El propósito es avanzar en los principales desafíos del desarrollo y financiamiento de proyectos; así como, poner especial foco en sectores de infraestructura social.</w:t>
      </w:r>
    </w:p>
    <w:p w:rsidR="009F7338" w:rsidP="004A2B13" w:rsidRDefault="009F7338" w14:paraId="1539A8A6" w14:textId="77777777">
      <w:pPr>
        <w:spacing w:before="120" w:after="120"/>
        <w:jc w:val="both"/>
        <w:rPr>
          <w:rFonts w:ascii="Arial" w:hAnsi="Arial" w:cs="Arial"/>
          <w:sz w:val="22"/>
          <w:szCs w:val="22"/>
          <w:lang w:val="es-ES"/>
        </w:rPr>
      </w:pPr>
      <w:r w:rsidRPr="00D50A02">
        <w:rPr>
          <w:rFonts w:ascii="Arial" w:hAnsi="Arial" w:cs="Arial"/>
          <w:sz w:val="22"/>
          <w:szCs w:val="22"/>
          <w:lang w:val="es-ES"/>
        </w:rPr>
        <w:t>El objetivo general de la operación es apoyar y promover la participación privada en el desarrollo de infraestructura pública y prestación de</w:t>
      </w:r>
      <w:r>
        <w:rPr>
          <w:rFonts w:ascii="Arial" w:hAnsi="Arial" w:cs="Arial"/>
          <w:sz w:val="22"/>
          <w:szCs w:val="22"/>
          <w:lang w:val="es-ES"/>
        </w:rPr>
        <w:t xml:space="preserve"> sus</w:t>
      </w:r>
      <w:r w:rsidRPr="00D50A02">
        <w:rPr>
          <w:rFonts w:ascii="Arial" w:hAnsi="Arial" w:cs="Arial"/>
          <w:sz w:val="22"/>
          <w:szCs w:val="22"/>
          <w:lang w:val="es-ES"/>
        </w:rPr>
        <w:t xml:space="preserve"> servicios asociados en el país.</w:t>
      </w:r>
    </w:p>
    <w:p w:rsidR="009F7338" w:rsidP="004A2B13" w:rsidRDefault="009F7338" w14:paraId="2F55D3D4" w14:textId="60079FD3">
      <w:pPr>
        <w:spacing w:before="120" w:after="120"/>
        <w:jc w:val="both"/>
        <w:rPr>
          <w:rFonts w:ascii="Arial" w:hAnsi="Arial" w:cs="Arial"/>
          <w:sz w:val="22"/>
          <w:szCs w:val="22"/>
          <w:lang w:val="es-ES"/>
        </w:rPr>
      </w:pPr>
      <w:r w:rsidRPr="00D50A02">
        <w:rPr>
          <w:rFonts w:ascii="Arial" w:hAnsi="Arial" w:cs="Arial"/>
          <w:sz w:val="22"/>
          <w:szCs w:val="22"/>
          <w:lang w:val="es-ES"/>
        </w:rPr>
        <w:t xml:space="preserve">Los objetivos específicos son: (i) reforzar el proceso de estructuración y financiamiento de proyectos de participación privada en las áreas de infraestructura económica y social; y </w:t>
      </w:r>
      <w:r>
        <w:rPr>
          <w:rFonts w:ascii="Arial" w:hAnsi="Arial" w:cs="Arial"/>
          <w:sz w:val="22"/>
          <w:szCs w:val="22"/>
          <w:lang w:val="es-ES"/>
        </w:rPr>
        <w:br/>
      </w:r>
      <w:r w:rsidRPr="00D50A02">
        <w:rPr>
          <w:rFonts w:ascii="Arial" w:hAnsi="Arial" w:cs="Arial"/>
          <w:sz w:val="22"/>
          <w:szCs w:val="22"/>
          <w:lang w:val="es-ES"/>
        </w:rPr>
        <w:t xml:space="preserve">(ii) fortalecer la institucionalidad en torno a la consolidación de los mecanismos de participación privada. </w:t>
      </w:r>
    </w:p>
    <w:p w:rsidRPr="004A2B13" w:rsidR="0009137E" w:rsidP="004A2B13" w:rsidRDefault="00DE6107" w14:paraId="459B87E0" w14:textId="3D2AD5B8">
      <w:pPr>
        <w:spacing w:before="120" w:after="120"/>
        <w:jc w:val="both"/>
        <w:rPr>
          <w:rFonts w:ascii="Arial" w:hAnsi="Arial" w:cs="Arial"/>
          <w:sz w:val="22"/>
          <w:szCs w:val="22"/>
          <w:lang w:val="es-ES"/>
        </w:rPr>
      </w:pPr>
      <w:r w:rsidRPr="004A2B13">
        <w:rPr>
          <w:rFonts w:ascii="Arial" w:hAnsi="Arial" w:cs="Arial"/>
          <w:sz w:val="22"/>
          <w:szCs w:val="22"/>
          <w:lang w:val="es-ES"/>
        </w:rPr>
        <w:t>L</w:t>
      </w:r>
      <w:r w:rsidRPr="004A2B13" w:rsidR="00CE1E1C">
        <w:rPr>
          <w:rFonts w:ascii="Arial" w:hAnsi="Arial" w:cs="Arial"/>
          <w:sz w:val="22"/>
          <w:szCs w:val="22"/>
          <w:lang w:val="es-ES"/>
        </w:rPr>
        <w:t>o</w:t>
      </w:r>
      <w:r w:rsidRPr="004A2B13">
        <w:rPr>
          <w:rFonts w:ascii="Arial" w:hAnsi="Arial" w:cs="Arial"/>
          <w:sz w:val="22"/>
          <w:szCs w:val="22"/>
          <w:lang w:val="es-ES"/>
        </w:rPr>
        <w:t>s</w:t>
      </w:r>
      <w:r w:rsidRPr="004A2B13" w:rsidR="00492CC0">
        <w:rPr>
          <w:rFonts w:ascii="Arial" w:hAnsi="Arial" w:cs="Arial"/>
          <w:sz w:val="22"/>
          <w:szCs w:val="22"/>
          <w:lang w:val="es-ES"/>
        </w:rPr>
        <w:t xml:space="preserve"> </w:t>
      </w:r>
      <w:r w:rsidRPr="004A2B13" w:rsidR="00CE1E1C">
        <w:rPr>
          <w:rFonts w:ascii="Arial" w:hAnsi="Arial" w:cs="Arial"/>
          <w:sz w:val="22"/>
          <w:szCs w:val="22"/>
          <w:lang w:val="es-ES"/>
        </w:rPr>
        <w:t xml:space="preserve">componentes </w:t>
      </w:r>
      <w:r w:rsidRPr="004A2B13" w:rsidR="0068768A">
        <w:rPr>
          <w:rFonts w:ascii="Arial" w:hAnsi="Arial" w:cs="Arial"/>
          <w:sz w:val="22"/>
          <w:szCs w:val="22"/>
          <w:lang w:val="es-ES"/>
        </w:rPr>
        <w:t>de la operación</w:t>
      </w:r>
      <w:r w:rsidRPr="004A2B13" w:rsidR="000C6682">
        <w:rPr>
          <w:rFonts w:ascii="Arial" w:hAnsi="Arial" w:cs="Arial"/>
          <w:sz w:val="22"/>
          <w:szCs w:val="22"/>
          <w:lang w:val="es-ES"/>
        </w:rPr>
        <w:t xml:space="preserve">, que </w:t>
      </w:r>
      <w:r w:rsidRPr="004A2B13" w:rsidR="00B76F01">
        <w:rPr>
          <w:rFonts w:ascii="Arial" w:hAnsi="Arial" w:cs="Arial"/>
          <w:sz w:val="22"/>
          <w:szCs w:val="22"/>
          <w:lang w:val="es-ES"/>
        </w:rPr>
        <w:t>suma</w:t>
      </w:r>
      <w:r w:rsidRPr="004A2B13" w:rsidR="004C2CBF">
        <w:rPr>
          <w:rFonts w:ascii="Arial" w:hAnsi="Arial" w:cs="Arial"/>
          <w:sz w:val="22"/>
          <w:szCs w:val="22"/>
          <w:lang w:val="es-ES"/>
        </w:rPr>
        <w:t>n</w:t>
      </w:r>
      <w:r w:rsidRPr="004A2B13" w:rsidR="00B76F01">
        <w:rPr>
          <w:rFonts w:ascii="Arial" w:hAnsi="Arial" w:cs="Arial"/>
          <w:sz w:val="22"/>
          <w:szCs w:val="22"/>
          <w:lang w:val="es-ES"/>
        </w:rPr>
        <w:t xml:space="preserve"> un total</w:t>
      </w:r>
      <w:r w:rsidRPr="004A2B13" w:rsidR="001D08B0">
        <w:rPr>
          <w:rFonts w:ascii="Arial" w:hAnsi="Arial" w:cs="Arial"/>
          <w:sz w:val="22"/>
          <w:szCs w:val="22"/>
          <w:lang w:val="es-ES"/>
        </w:rPr>
        <w:t xml:space="preserve"> de </w:t>
      </w:r>
      <w:r w:rsidRPr="004A2B13" w:rsidR="007C433E">
        <w:rPr>
          <w:rFonts w:ascii="Arial" w:hAnsi="Arial" w:cs="Arial"/>
          <w:sz w:val="22"/>
          <w:szCs w:val="22"/>
          <w:lang w:val="es-ES"/>
        </w:rPr>
        <w:t>US$ 15 millones</w:t>
      </w:r>
      <w:r w:rsidRPr="004A2B13" w:rsidR="000C6682">
        <w:rPr>
          <w:rFonts w:ascii="Arial" w:hAnsi="Arial" w:cs="Arial"/>
          <w:sz w:val="22"/>
          <w:szCs w:val="22"/>
          <w:lang w:val="es-ES"/>
        </w:rPr>
        <w:t>,</w:t>
      </w:r>
      <w:r w:rsidRPr="004A2B13" w:rsidR="006617A7">
        <w:rPr>
          <w:rFonts w:ascii="Arial" w:hAnsi="Arial" w:cs="Arial"/>
          <w:sz w:val="22"/>
          <w:szCs w:val="22"/>
          <w:lang w:val="es-ES"/>
        </w:rPr>
        <w:t xml:space="preserve"> son</w:t>
      </w:r>
      <w:r w:rsidRPr="004A2B13" w:rsidR="007C433E">
        <w:rPr>
          <w:rFonts w:ascii="Arial" w:hAnsi="Arial" w:cs="Arial"/>
          <w:sz w:val="22"/>
          <w:szCs w:val="22"/>
          <w:lang w:val="es-ES"/>
        </w:rPr>
        <w:t>:</w:t>
      </w:r>
    </w:p>
    <w:p w:rsidR="00707361" w:rsidP="00707361" w:rsidRDefault="0009137E" w14:paraId="54F13693" w14:textId="77777777">
      <w:pPr>
        <w:pStyle w:val="ListParagraph"/>
        <w:numPr>
          <w:ilvl w:val="0"/>
          <w:numId w:val="25"/>
        </w:numPr>
        <w:spacing w:before="120" w:after="120"/>
        <w:contextualSpacing w:val="0"/>
        <w:jc w:val="both"/>
        <w:rPr>
          <w:rFonts w:ascii="Arial" w:hAnsi="Arial" w:cs="Arial"/>
          <w:sz w:val="22"/>
          <w:szCs w:val="22"/>
          <w:lang w:val="es-ES"/>
        </w:rPr>
      </w:pPr>
      <w:r w:rsidRPr="004A2B13">
        <w:rPr>
          <w:rFonts w:ascii="Arial" w:hAnsi="Arial" w:cs="Arial"/>
          <w:b/>
          <w:bCs/>
          <w:sz w:val="22"/>
          <w:szCs w:val="22"/>
          <w:lang w:val="es-ES"/>
        </w:rPr>
        <w:t>Componente I</w:t>
      </w:r>
      <w:r w:rsidRPr="004A2B13">
        <w:rPr>
          <w:rFonts w:ascii="Arial" w:hAnsi="Arial" w:cs="Arial"/>
          <w:sz w:val="22"/>
          <w:szCs w:val="22"/>
          <w:lang w:val="es-ES"/>
        </w:rPr>
        <w:t xml:space="preserve">. </w:t>
      </w:r>
      <w:r w:rsidRPr="004A2B13">
        <w:rPr>
          <w:rFonts w:ascii="Arial" w:hAnsi="Arial" w:cs="Arial"/>
          <w:b/>
          <w:bCs/>
          <w:sz w:val="22"/>
          <w:szCs w:val="22"/>
          <w:lang w:val="es-ES"/>
        </w:rPr>
        <w:t>Fomento de la participación privada</w:t>
      </w:r>
      <w:r w:rsidRPr="004A2B13">
        <w:rPr>
          <w:rFonts w:ascii="Arial" w:hAnsi="Arial" w:cs="Arial"/>
          <w:sz w:val="22"/>
          <w:szCs w:val="22"/>
          <w:lang w:val="es-ES"/>
        </w:rPr>
        <w:t xml:space="preserve"> </w:t>
      </w:r>
      <w:r w:rsidRPr="00F46A99">
        <w:rPr>
          <w:rFonts w:ascii="Arial" w:hAnsi="Arial" w:cs="Arial"/>
          <w:b/>
          <w:bCs/>
          <w:sz w:val="22"/>
          <w:szCs w:val="22"/>
          <w:lang w:val="es-ES"/>
        </w:rPr>
        <w:t>(US$</w:t>
      </w:r>
      <w:r w:rsidRPr="00F46A99" w:rsidR="00F46A99">
        <w:rPr>
          <w:rFonts w:ascii="Arial" w:hAnsi="Arial" w:cs="Arial"/>
          <w:b/>
          <w:bCs/>
          <w:sz w:val="22"/>
          <w:szCs w:val="22"/>
          <w:lang w:val="es-ES"/>
        </w:rPr>
        <w:t>9</w:t>
      </w:r>
      <w:r w:rsidRPr="00F46A99">
        <w:rPr>
          <w:rFonts w:ascii="Arial" w:hAnsi="Arial" w:cs="Arial"/>
          <w:b/>
          <w:bCs/>
          <w:sz w:val="22"/>
          <w:szCs w:val="22"/>
          <w:lang w:val="es-ES"/>
        </w:rPr>
        <w:t>,</w:t>
      </w:r>
      <w:r w:rsidRPr="00F46A99" w:rsidR="00F46A99">
        <w:rPr>
          <w:rFonts w:ascii="Arial" w:hAnsi="Arial" w:cs="Arial"/>
          <w:b/>
          <w:bCs/>
          <w:sz w:val="22"/>
          <w:szCs w:val="22"/>
          <w:lang w:val="es-ES"/>
        </w:rPr>
        <w:t>3</w:t>
      </w:r>
      <w:r w:rsidRPr="00F46A99">
        <w:rPr>
          <w:rFonts w:ascii="Arial" w:hAnsi="Arial" w:cs="Arial"/>
          <w:b/>
          <w:bCs/>
          <w:sz w:val="22"/>
          <w:szCs w:val="22"/>
          <w:lang w:val="es-ES"/>
        </w:rPr>
        <w:t xml:space="preserve"> millones).</w:t>
      </w:r>
      <w:r w:rsidRPr="004A2B13">
        <w:rPr>
          <w:rFonts w:ascii="Arial" w:hAnsi="Arial" w:cs="Arial"/>
          <w:sz w:val="22"/>
          <w:szCs w:val="22"/>
          <w:lang w:val="es-ES"/>
        </w:rPr>
        <w:t xml:space="preserve"> </w:t>
      </w:r>
      <w:r w:rsidRPr="00D50A02" w:rsidR="00486614">
        <w:rPr>
          <w:rFonts w:ascii="Arial" w:hAnsi="Arial" w:cs="Arial"/>
          <w:sz w:val="22"/>
          <w:szCs w:val="22"/>
          <w:lang w:val="es-ES"/>
        </w:rPr>
        <w:t>Este componente financiará las actividades necesarias para incorporar aspectos de sostenibilidad financiera, ambiental, social e institucional en marcos regulatorios y los procesos de planificación y estructuración de participación privada en el país, incrementando la viabilidad de estas; así como, su impacto sobre el bienestar de la población. En particular, financiará: (i) estudios para formulación de políticas y marcos normativos y regulatorios, análisis de riesgos (incluyendo ambientales y cambio climático), e instrumentos orientados a mejorar las condiciones de financiamiento; (ii) ejercicios de priorización multisectorial de proyectos, que permitan valorar el diferente grado de desarrollo de los proyectos, y en qué medida responden a las prioridades establecidas y los objetivos de recuperación sostenible, optimizando de este modo la selección de proyectos de la cartera de infraestructura del país; y (iii) estudios de conceptualización, preinversión y estructuración de proyectos de participación privada.</w:t>
      </w:r>
    </w:p>
    <w:p w:rsidR="00F721CC" w:rsidP="00F721CC" w:rsidRDefault="009D772A" w14:paraId="7466F891" w14:textId="77777777">
      <w:pPr>
        <w:pStyle w:val="ListParagraph"/>
        <w:numPr>
          <w:ilvl w:val="0"/>
          <w:numId w:val="25"/>
        </w:numPr>
        <w:spacing w:before="120" w:after="120"/>
        <w:contextualSpacing w:val="0"/>
        <w:jc w:val="both"/>
        <w:rPr>
          <w:rFonts w:ascii="Arial" w:hAnsi="Arial" w:cs="Arial"/>
          <w:sz w:val="22"/>
          <w:szCs w:val="22"/>
          <w:lang w:val="es-ES"/>
        </w:rPr>
      </w:pPr>
      <w:r w:rsidRPr="00707361">
        <w:rPr>
          <w:rFonts w:ascii="Arial" w:hAnsi="Arial" w:cs="Arial"/>
          <w:b/>
          <w:bCs/>
          <w:sz w:val="22"/>
          <w:szCs w:val="22"/>
          <w:lang w:val="es-ES"/>
        </w:rPr>
        <w:t>Componente II</w:t>
      </w:r>
      <w:r w:rsidRPr="00707361">
        <w:rPr>
          <w:rFonts w:ascii="Arial" w:hAnsi="Arial" w:cs="Arial"/>
          <w:sz w:val="22"/>
          <w:szCs w:val="22"/>
          <w:lang w:val="es-ES"/>
        </w:rPr>
        <w:t xml:space="preserve">. </w:t>
      </w:r>
      <w:r w:rsidRPr="00707361">
        <w:rPr>
          <w:rFonts w:ascii="Arial" w:hAnsi="Arial" w:cs="Arial"/>
          <w:b/>
          <w:bCs/>
          <w:sz w:val="22"/>
          <w:szCs w:val="22"/>
          <w:lang w:val="es-ES"/>
        </w:rPr>
        <w:t>Fortalecimiento de entidades públicas potencialmente concedentes</w:t>
      </w:r>
      <w:r w:rsidRPr="00707361">
        <w:rPr>
          <w:rFonts w:ascii="Arial" w:hAnsi="Arial" w:cs="Arial"/>
          <w:sz w:val="22"/>
          <w:szCs w:val="22"/>
          <w:lang w:val="es-ES"/>
        </w:rPr>
        <w:t xml:space="preserve"> </w:t>
      </w:r>
      <w:r w:rsidRPr="00707361" w:rsidR="00474B17">
        <w:rPr>
          <w:rFonts w:ascii="Arial" w:hAnsi="Arial" w:cs="Arial"/>
          <w:b/>
          <w:bCs/>
          <w:sz w:val="22"/>
          <w:szCs w:val="22"/>
          <w:lang w:val="es-ES"/>
        </w:rPr>
        <w:t>(US$2,5 millones)</w:t>
      </w:r>
      <w:r w:rsidRPr="00707361" w:rsidR="00474B17">
        <w:rPr>
          <w:rFonts w:ascii="Arial" w:hAnsi="Arial" w:cs="Arial"/>
          <w:sz w:val="22"/>
          <w:szCs w:val="22"/>
          <w:lang w:val="es-ES"/>
        </w:rPr>
        <w:t xml:space="preserve">. </w:t>
      </w:r>
      <w:r w:rsidRPr="00707361" w:rsidR="00707361">
        <w:rPr>
          <w:rFonts w:ascii="Arial" w:hAnsi="Arial" w:cs="Arial"/>
          <w:sz w:val="22"/>
          <w:szCs w:val="22"/>
          <w:lang w:val="es-ES"/>
        </w:rPr>
        <w:t xml:space="preserve">Este componente financiará actividades dirigidas a asistir técnicamente y transferir conocimiento con el fin de promover la participación privada en proyectos de infraestructura con la inclusión de áreas transversales, financiando: (i) capacitación, asistencia técnica y transferencia de conocimiento a entidades nacionales y territoriales sobre esquemas de participación privada en infraestructura; (ii) evaluación y seguimiento de experiencias que contribuyan a fomentar la participación privada en distintos sectores; (iii) análisis y diseño de la estructura institucional requerida para promover la participación privada en los proyectos de infraestructura; (iv) desarrollo de herramientas, guías de buenas prácticas, manuales de estructuración, entre otros, que incluyan </w:t>
      </w:r>
      <w:r w:rsidRPr="00707361" w:rsidR="00707361">
        <w:rPr>
          <w:rFonts w:ascii="Arial" w:hAnsi="Arial" w:cs="Arial"/>
          <w:sz w:val="22"/>
          <w:szCs w:val="22"/>
          <w:lang w:val="es-CO"/>
        </w:rPr>
        <w:t>aspectos de género y diversidad, cambio climático, ambiental, social y predial en el desarrollo de proyectos</w:t>
      </w:r>
      <w:r w:rsidRPr="00707361" w:rsidR="00707361">
        <w:rPr>
          <w:rFonts w:ascii="Arial" w:hAnsi="Arial" w:cs="Arial"/>
          <w:sz w:val="22"/>
          <w:szCs w:val="22"/>
          <w:lang w:val="es-ES"/>
        </w:rPr>
        <w:t xml:space="preserve">; y </w:t>
      </w:r>
      <w:r w:rsidR="00707361">
        <w:rPr>
          <w:rFonts w:ascii="Arial" w:hAnsi="Arial" w:cs="Arial"/>
          <w:sz w:val="22"/>
          <w:szCs w:val="22"/>
          <w:lang w:val="es-ES"/>
        </w:rPr>
        <w:br/>
      </w:r>
      <w:r w:rsidRPr="00707361" w:rsidR="00707361">
        <w:rPr>
          <w:rFonts w:ascii="Arial" w:hAnsi="Arial" w:cs="Arial"/>
          <w:sz w:val="22"/>
          <w:szCs w:val="22"/>
          <w:lang w:val="es-ES"/>
        </w:rPr>
        <w:t>(v) estrategias de divulgación.</w:t>
      </w:r>
    </w:p>
    <w:p w:rsidRPr="00F721CC" w:rsidR="00AB32C1" w:rsidP="00F721CC" w:rsidRDefault="009F73A9" w14:paraId="2CB92AC6" w14:textId="211C3E28">
      <w:pPr>
        <w:pStyle w:val="ListParagraph"/>
        <w:numPr>
          <w:ilvl w:val="0"/>
          <w:numId w:val="25"/>
        </w:numPr>
        <w:spacing w:before="120" w:after="120"/>
        <w:contextualSpacing w:val="0"/>
        <w:jc w:val="both"/>
        <w:rPr>
          <w:rFonts w:ascii="Arial" w:hAnsi="Arial" w:cs="Arial"/>
          <w:sz w:val="22"/>
          <w:szCs w:val="22"/>
          <w:lang w:val="es-ES"/>
        </w:rPr>
      </w:pPr>
      <w:r w:rsidRPr="00F721CC">
        <w:rPr>
          <w:rFonts w:ascii="Arial" w:hAnsi="Arial" w:cs="Arial"/>
          <w:b/>
          <w:bCs/>
          <w:sz w:val="22"/>
          <w:szCs w:val="22"/>
          <w:lang w:val="es-ES"/>
        </w:rPr>
        <w:t xml:space="preserve">Componente III. Fortalecimiento técnico e institucional del </w:t>
      </w:r>
      <w:r w:rsidRPr="00F721CC" w:rsidR="00C55DA1">
        <w:rPr>
          <w:rFonts w:ascii="Arial" w:hAnsi="Arial" w:cs="Arial"/>
          <w:b/>
          <w:bCs/>
          <w:sz w:val="22"/>
          <w:szCs w:val="22"/>
          <w:lang w:val="es-ES"/>
        </w:rPr>
        <w:t>Departamento Nacional de Planeación (</w:t>
      </w:r>
      <w:r w:rsidRPr="00F721CC">
        <w:rPr>
          <w:rFonts w:ascii="Arial" w:hAnsi="Arial" w:cs="Arial"/>
          <w:b/>
          <w:bCs/>
          <w:sz w:val="22"/>
          <w:szCs w:val="22"/>
          <w:lang w:val="es-ES"/>
        </w:rPr>
        <w:t>DNP</w:t>
      </w:r>
      <w:r w:rsidRPr="00F721CC" w:rsidR="00C55DA1">
        <w:rPr>
          <w:rFonts w:ascii="Arial" w:hAnsi="Arial" w:cs="Arial"/>
          <w:b/>
          <w:bCs/>
          <w:sz w:val="22"/>
          <w:szCs w:val="22"/>
          <w:lang w:val="es-ES"/>
        </w:rPr>
        <w:t>)</w:t>
      </w:r>
      <w:r w:rsidRPr="00F721CC">
        <w:rPr>
          <w:rFonts w:ascii="Arial" w:hAnsi="Arial" w:cs="Arial"/>
          <w:b/>
          <w:bCs/>
          <w:sz w:val="22"/>
          <w:szCs w:val="22"/>
          <w:lang w:val="es-ES"/>
        </w:rPr>
        <w:t xml:space="preserve"> (US$2</w:t>
      </w:r>
      <w:r w:rsidRPr="00F721CC" w:rsidR="009676E2">
        <w:rPr>
          <w:rFonts w:ascii="Arial" w:hAnsi="Arial" w:cs="Arial"/>
          <w:b/>
          <w:bCs/>
          <w:sz w:val="22"/>
          <w:szCs w:val="22"/>
          <w:lang w:val="es-ES"/>
        </w:rPr>
        <w:t>,</w:t>
      </w:r>
      <w:r w:rsidRPr="00F721CC" w:rsidR="00474B17">
        <w:rPr>
          <w:rFonts w:ascii="Arial" w:hAnsi="Arial" w:cs="Arial"/>
          <w:b/>
          <w:bCs/>
          <w:sz w:val="22"/>
          <w:szCs w:val="22"/>
          <w:lang w:val="es-ES"/>
        </w:rPr>
        <w:t>1</w:t>
      </w:r>
      <w:r w:rsidRPr="00F721CC">
        <w:rPr>
          <w:rFonts w:ascii="Arial" w:hAnsi="Arial" w:cs="Arial"/>
          <w:b/>
          <w:bCs/>
          <w:sz w:val="22"/>
          <w:szCs w:val="22"/>
          <w:lang w:val="es-ES"/>
        </w:rPr>
        <w:t xml:space="preserve"> millones).</w:t>
      </w:r>
      <w:r w:rsidRPr="00F721CC">
        <w:rPr>
          <w:rFonts w:ascii="Arial" w:hAnsi="Arial" w:cs="Arial"/>
          <w:sz w:val="22"/>
          <w:szCs w:val="22"/>
          <w:lang w:val="es-ES"/>
        </w:rPr>
        <w:t xml:space="preserve"> </w:t>
      </w:r>
      <w:r w:rsidRPr="00F721CC" w:rsidR="00F721CC">
        <w:rPr>
          <w:rFonts w:ascii="Arial" w:hAnsi="Arial" w:cs="Arial"/>
          <w:sz w:val="22"/>
          <w:szCs w:val="22"/>
          <w:lang w:val="es-ES"/>
        </w:rPr>
        <w:t xml:space="preserve">Este componente financiará actividades para mejorar la promoción de APP desde el DNP, incluyendo: </w:t>
      </w:r>
      <w:r w:rsidR="00F721CC">
        <w:rPr>
          <w:rFonts w:ascii="Arial" w:hAnsi="Arial" w:cs="Arial"/>
          <w:sz w:val="22"/>
          <w:szCs w:val="22"/>
          <w:lang w:val="es-ES"/>
        </w:rPr>
        <w:br/>
      </w:r>
      <w:r w:rsidRPr="00F721CC" w:rsidR="00F721CC">
        <w:rPr>
          <w:rFonts w:ascii="Arial" w:hAnsi="Arial" w:cs="Arial"/>
          <w:sz w:val="22"/>
          <w:szCs w:val="22"/>
          <w:lang w:val="es-ES"/>
        </w:rPr>
        <w:t>(i) fortalecimiento de la capacidad institucional del DNP para promover esquemas de participación privada, tanto para la Fase 1 de estructuración como para la Fase 2 de aprobaciones; y (ii) atención de requerimientos y obligaciones normativas.</w:t>
      </w:r>
    </w:p>
    <w:p w:rsidRPr="004A2B13" w:rsidR="00CD71ED" w:rsidP="004A2B13" w:rsidRDefault="00CD71ED" w14:paraId="48417F0D" w14:textId="0BDC9EAC">
      <w:pPr>
        <w:pStyle w:val="ListParagraph"/>
        <w:numPr>
          <w:ilvl w:val="0"/>
          <w:numId w:val="25"/>
        </w:numPr>
        <w:spacing w:before="120" w:after="120"/>
        <w:contextualSpacing w:val="0"/>
        <w:jc w:val="both"/>
        <w:rPr>
          <w:rFonts w:ascii="Arial" w:hAnsi="Arial" w:cs="Arial"/>
          <w:sz w:val="22"/>
          <w:szCs w:val="22"/>
          <w:lang w:val="es-ES"/>
        </w:rPr>
      </w:pPr>
      <w:r w:rsidRPr="004A2B13">
        <w:rPr>
          <w:rFonts w:ascii="Arial" w:hAnsi="Arial" w:cs="Arial"/>
          <w:b/>
          <w:bCs/>
          <w:sz w:val="22"/>
          <w:szCs w:val="22"/>
          <w:lang w:val="es-ES"/>
        </w:rPr>
        <w:t>Otros costos</w:t>
      </w:r>
      <w:r w:rsidRPr="004A2B13">
        <w:rPr>
          <w:rFonts w:ascii="Arial" w:hAnsi="Arial" w:cs="Arial"/>
          <w:sz w:val="22"/>
          <w:szCs w:val="22"/>
          <w:lang w:val="es-ES"/>
        </w:rPr>
        <w:t xml:space="preserve"> </w:t>
      </w:r>
      <w:r w:rsidRPr="00474B17">
        <w:rPr>
          <w:rFonts w:ascii="Arial" w:hAnsi="Arial" w:cs="Arial"/>
          <w:b/>
          <w:bCs/>
          <w:sz w:val="22"/>
          <w:szCs w:val="22"/>
          <w:lang w:val="es-ES"/>
        </w:rPr>
        <w:t>(US$1,</w:t>
      </w:r>
      <w:r w:rsidRPr="00474B17" w:rsidR="00474B17">
        <w:rPr>
          <w:rFonts w:ascii="Arial" w:hAnsi="Arial" w:cs="Arial"/>
          <w:b/>
          <w:bCs/>
          <w:sz w:val="22"/>
          <w:szCs w:val="22"/>
          <w:lang w:val="es-ES"/>
        </w:rPr>
        <w:t>1</w:t>
      </w:r>
      <w:r w:rsidRPr="00474B17">
        <w:rPr>
          <w:rFonts w:ascii="Arial" w:hAnsi="Arial" w:cs="Arial"/>
          <w:b/>
          <w:bCs/>
          <w:sz w:val="22"/>
          <w:szCs w:val="22"/>
          <w:lang w:val="es-ES"/>
        </w:rPr>
        <w:t xml:space="preserve"> millones). </w:t>
      </w:r>
      <w:r w:rsidRPr="004A2B13">
        <w:rPr>
          <w:rFonts w:ascii="Arial" w:hAnsi="Arial" w:cs="Arial"/>
          <w:sz w:val="22"/>
          <w:szCs w:val="22"/>
          <w:lang w:val="es-ES"/>
        </w:rPr>
        <w:t>Gastos administrativos, auditoría y evaluación</w:t>
      </w:r>
      <w:r w:rsidRPr="004A2B13" w:rsidR="00881A5C">
        <w:rPr>
          <w:rFonts w:ascii="Arial" w:hAnsi="Arial" w:cs="Arial"/>
          <w:sz w:val="22"/>
          <w:szCs w:val="22"/>
          <w:lang w:val="es-ES"/>
        </w:rPr>
        <w:t xml:space="preserve">. </w:t>
      </w:r>
      <w:r w:rsidRPr="004A2B13">
        <w:rPr>
          <w:rFonts w:ascii="Arial" w:hAnsi="Arial" w:cs="Arial"/>
          <w:sz w:val="22"/>
          <w:szCs w:val="22"/>
          <w:lang w:val="es-ES"/>
        </w:rPr>
        <w:t xml:space="preserve"> </w:t>
      </w:r>
    </w:p>
    <w:p w:rsidR="007A2EC2" w:rsidP="004A2B13" w:rsidRDefault="007A2EC2" w14:paraId="338CA9DF" w14:textId="53895467">
      <w:pPr>
        <w:pStyle w:val="ListParagraph"/>
        <w:spacing w:before="120" w:after="120"/>
        <w:contextualSpacing w:val="0"/>
        <w:rPr>
          <w:rFonts w:ascii="Arial" w:hAnsi="Arial" w:cs="Arial"/>
          <w:sz w:val="22"/>
          <w:szCs w:val="22"/>
          <w:lang w:val="es-ES"/>
        </w:rPr>
      </w:pPr>
    </w:p>
    <w:p w:rsidR="00F721CC" w:rsidP="004A2B13" w:rsidRDefault="00F721CC" w14:paraId="5677E562" w14:textId="50A7C501">
      <w:pPr>
        <w:pStyle w:val="ListParagraph"/>
        <w:spacing w:before="120" w:after="120"/>
        <w:contextualSpacing w:val="0"/>
        <w:rPr>
          <w:rFonts w:ascii="Arial" w:hAnsi="Arial" w:cs="Arial"/>
          <w:sz w:val="22"/>
          <w:szCs w:val="22"/>
          <w:lang w:val="es-ES"/>
        </w:rPr>
      </w:pPr>
    </w:p>
    <w:p w:rsidRPr="004A2B13" w:rsidR="00F721CC" w:rsidP="004A2B13" w:rsidRDefault="00F721CC" w14:paraId="4F3DA07D" w14:textId="77777777">
      <w:pPr>
        <w:pStyle w:val="ListParagraph"/>
        <w:spacing w:before="120" w:after="120"/>
        <w:contextualSpacing w:val="0"/>
        <w:rPr>
          <w:rFonts w:ascii="Arial" w:hAnsi="Arial" w:cs="Arial"/>
          <w:sz w:val="22"/>
          <w:szCs w:val="22"/>
          <w:lang w:val="es-ES"/>
        </w:rPr>
      </w:pPr>
    </w:p>
    <w:p w:rsidRPr="004A2B13" w:rsidR="00B81458" w:rsidP="004A2B13" w:rsidRDefault="00B81458" w14:paraId="0F70D819" w14:textId="074FACF7">
      <w:pPr>
        <w:pStyle w:val="ListParagraph"/>
        <w:numPr>
          <w:ilvl w:val="1"/>
          <w:numId w:val="14"/>
        </w:numPr>
        <w:spacing w:before="120" w:after="120"/>
        <w:contextualSpacing w:val="0"/>
        <w:jc w:val="both"/>
        <w:rPr>
          <w:rFonts w:ascii="Arial" w:hAnsi="Arial" w:cs="Arial"/>
          <w:b/>
          <w:bCs/>
          <w:sz w:val="22"/>
          <w:szCs w:val="22"/>
          <w:lang w:val="es-ES"/>
        </w:rPr>
      </w:pPr>
      <w:r w:rsidRPr="004A2B13">
        <w:rPr>
          <w:rFonts w:ascii="Arial" w:hAnsi="Arial" w:cs="Arial"/>
          <w:b/>
          <w:bCs/>
          <w:sz w:val="22"/>
          <w:szCs w:val="22"/>
          <w:lang w:val="es-ES"/>
        </w:rPr>
        <w:lastRenderedPageBreak/>
        <w:t>Resumen de resultados</w:t>
      </w:r>
    </w:p>
    <w:p w:rsidRPr="004A2B13" w:rsidR="003B63EF" w:rsidP="004A2B13" w:rsidRDefault="00423BBA" w14:paraId="5A30BB8F" w14:textId="235CFB1E">
      <w:pPr>
        <w:spacing w:before="120" w:after="120"/>
        <w:jc w:val="both"/>
        <w:rPr>
          <w:rFonts w:ascii="Arial" w:hAnsi="Arial" w:cs="Arial"/>
          <w:sz w:val="22"/>
          <w:szCs w:val="22"/>
        </w:rPr>
      </w:pPr>
      <w:r w:rsidRPr="004A2B13">
        <w:rPr>
          <w:rFonts w:ascii="Arial" w:hAnsi="Arial" w:cs="Arial"/>
          <w:sz w:val="22"/>
          <w:szCs w:val="22"/>
          <w:lang w:val="es-ES"/>
        </w:rPr>
        <w:t xml:space="preserve"> </w:t>
      </w:r>
      <w:r w:rsidRPr="004A2B13" w:rsidR="003B63EF">
        <w:rPr>
          <w:rFonts w:ascii="Arial" w:hAnsi="Arial" w:cs="Arial"/>
          <w:b/>
          <w:bCs/>
          <w:sz w:val="22"/>
          <w:szCs w:val="22"/>
        </w:rPr>
        <w:t>Comparación 1</w:t>
      </w:r>
      <w:r w:rsidRPr="004A2B13" w:rsidR="003B63EF">
        <w:rPr>
          <w:rFonts w:ascii="Arial" w:hAnsi="Arial" w:cs="Arial"/>
          <w:sz w:val="22"/>
          <w:szCs w:val="22"/>
        </w:rPr>
        <w:t>. Valores absolutos</w:t>
      </w:r>
      <w:r w:rsidRPr="004A2B13" w:rsidR="004673BE">
        <w:rPr>
          <w:rFonts w:ascii="Arial" w:hAnsi="Arial" w:cs="Arial"/>
          <w:sz w:val="22"/>
          <w:szCs w:val="22"/>
        </w:rPr>
        <w:t>.</w:t>
      </w:r>
      <w:r w:rsidRPr="004A2B13" w:rsidR="007A2EC2">
        <w:rPr>
          <w:rStyle w:val="FootnoteReference"/>
          <w:rFonts w:ascii="Arial" w:hAnsi="Arial" w:cs="Arial"/>
          <w:sz w:val="22"/>
          <w:szCs w:val="22"/>
        </w:rPr>
        <w:footnoteReference w:id="2"/>
      </w:r>
      <w:r w:rsidRPr="004A2B13" w:rsidR="00550985">
        <w:rPr>
          <w:rFonts w:ascii="Arial" w:hAnsi="Arial" w:cs="Arial"/>
          <w:sz w:val="22"/>
          <w:szCs w:val="22"/>
        </w:rPr>
        <w:t xml:space="preserve"> </w:t>
      </w:r>
      <w:r w:rsidRPr="004A2B13" w:rsidR="004673BE">
        <w:rPr>
          <w:rFonts w:ascii="Arial" w:hAnsi="Arial" w:cs="Arial"/>
          <w:sz w:val="22"/>
          <w:szCs w:val="22"/>
        </w:rPr>
        <w:t xml:space="preserve"> </w:t>
      </w:r>
    </w:p>
    <w:p w:rsidRPr="004A2B13" w:rsidR="00A866A2" w:rsidP="004A2B13" w:rsidRDefault="00991671" w14:paraId="1F0B2A2D" w14:textId="748B199D">
      <w:pPr>
        <w:pStyle w:val="ListParagraph"/>
        <w:numPr>
          <w:ilvl w:val="0"/>
          <w:numId w:val="49"/>
        </w:numPr>
        <w:spacing w:before="120" w:after="120"/>
        <w:ind w:left="360"/>
        <w:contextualSpacing w:val="0"/>
        <w:jc w:val="both"/>
        <w:rPr>
          <w:rFonts w:ascii="Arial" w:hAnsi="Arial" w:cs="Arial"/>
          <w:sz w:val="22"/>
          <w:szCs w:val="22"/>
        </w:rPr>
      </w:pPr>
      <w:r w:rsidRPr="004A2B13">
        <w:rPr>
          <w:rFonts w:ascii="Arial" w:hAnsi="Arial" w:cs="Arial"/>
          <w:sz w:val="22"/>
          <w:szCs w:val="22"/>
        </w:rPr>
        <w:t xml:space="preserve">Dentro de Colombia. </w:t>
      </w:r>
      <w:r w:rsidRPr="004A2B13" w:rsidR="00E153B7">
        <w:rPr>
          <w:rFonts w:ascii="Arial" w:hAnsi="Arial" w:cs="Arial"/>
          <w:sz w:val="22"/>
          <w:szCs w:val="22"/>
        </w:rPr>
        <w:t>La operac</w:t>
      </w:r>
      <w:r w:rsidRPr="004A2B13" w:rsidR="00A20386">
        <w:rPr>
          <w:rFonts w:ascii="Arial" w:hAnsi="Arial" w:cs="Arial"/>
          <w:sz w:val="22"/>
          <w:szCs w:val="22"/>
        </w:rPr>
        <w:t xml:space="preserve">ión </w:t>
      </w:r>
      <w:r w:rsidRPr="004A2B13" w:rsidR="005A1EEE">
        <w:rPr>
          <w:rFonts w:ascii="Arial" w:hAnsi="Arial" w:cs="Arial"/>
          <w:sz w:val="22"/>
          <w:szCs w:val="22"/>
        </w:rPr>
        <w:t xml:space="preserve">CO-L1265 </w:t>
      </w:r>
      <w:r w:rsidRPr="004A2B13" w:rsidR="00116DE8">
        <w:rPr>
          <w:rFonts w:ascii="Arial" w:hAnsi="Arial" w:cs="Arial"/>
          <w:sz w:val="22"/>
          <w:szCs w:val="22"/>
        </w:rPr>
        <w:t>tiene un valor de US$15 millones</w:t>
      </w:r>
      <w:r w:rsidRPr="004A2B13" w:rsidR="0010535D">
        <w:rPr>
          <w:rFonts w:ascii="Arial" w:hAnsi="Arial" w:cs="Arial"/>
          <w:sz w:val="22"/>
          <w:szCs w:val="22"/>
        </w:rPr>
        <w:t>. La operación CO-L1131</w:t>
      </w:r>
      <w:r w:rsidRPr="004A2B13" w:rsidR="00FE14B6">
        <w:rPr>
          <w:rFonts w:ascii="Arial" w:hAnsi="Arial" w:cs="Arial"/>
          <w:sz w:val="22"/>
          <w:szCs w:val="22"/>
        </w:rPr>
        <w:t xml:space="preserve"> </w:t>
      </w:r>
      <w:r w:rsidRPr="004A2B13" w:rsidR="0079452E">
        <w:rPr>
          <w:rFonts w:ascii="Arial" w:hAnsi="Arial" w:cs="Arial"/>
          <w:sz w:val="22"/>
          <w:szCs w:val="22"/>
        </w:rPr>
        <w:t>fue la intervención precursora, con objetivos similares, y</w:t>
      </w:r>
      <w:r w:rsidRPr="004A2B13" w:rsidR="0010535D">
        <w:rPr>
          <w:rFonts w:ascii="Arial" w:hAnsi="Arial" w:cs="Arial"/>
          <w:sz w:val="22"/>
          <w:szCs w:val="22"/>
        </w:rPr>
        <w:t xml:space="preserve"> </w:t>
      </w:r>
      <w:r w:rsidRPr="004A2B13" w:rsidR="00C00596">
        <w:rPr>
          <w:rFonts w:ascii="Arial" w:hAnsi="Arial" w:cs="Arial"/>
          <w:sz w:val="22"/>
          <w:szCs w:val="22"/>
        </w:rPr>
        <w:t>tuvo un costo de US$ 25 millones de 2013, que equivalen a</w:t>
      </w:r>
      <w:r w:rsidRPr="004A2B13" w:rsidR="004C6F83">
        <w:rPr>
          <w:rFonts w:ascii="Arial" w:hAnsi="Arial" w:cs="Arial"/>
          <w:sz w:val="22"/>
          <w:szCs w:val="22"/>
        </w:rPr>
        <w:t xml:space="preserve"> US$</w:t>
      </w:r>
      <w:r w:rsidRPr="004A2B13" w:rsidR="00D46116">
        <w:rPr>
          <w:rFonts w:ascii="Arial" w:hAnsi="Arial" w:cs="Arial"/>
          <w:sz w:val="22"/>
          <w:szCs w:val="22"/>
        </w:rPr>
        <w:t>28,3 millones de 2020 (usando el deflactor del PIB en US$).</w:t>
      </w:r>
      <w:r w:rsidRPr="004A2B13" w:rsidR="00A866A2">
        <w:rPr>
          <w:rFonts w:ascii="Arial" w:hAnsi="Arial" w:cs="Arial"/>
          <w:sz w:val="22"/>
          <w:szCs w:val="22"/>
        </w:rPr>
        <w:t xml:space="preserve"> A lo largo del tiemp</w:t>
      </w:r>
      <w:r w:rsidRPr="004A2B13" w:rsidR="007A2EC2">
        <w:rPr>
          <w:rFonts w:ascii="Arial" w:hAnsi="Arial" w:cs="Arial"/>
          <w:sz w:val="22"/>
          <w:szCs w:val="22"/>
        </w:rPr>
        <w:t>o, Colombia requiere</w:t>
      </w:r>
      <w:r w:rsidRPr="004A2B13" w:rsidR="00D713DC">
        <w:rPr>
          <w:rFonts w:ascii="Arial" w:hAnsi="Arial" w:cs="Arial"/>
          <w:sz w:val="22"/>
          <w:szCs w:val="22"/>
        </w:rPr>
        <w:t xml:space="preserve"> cada vez menos recursos de apoyo al desarrollo de las APP.</w:t>
      </w:r>
    </w:p>
    <w:p w:rsidRPr="004A2B13" w:rsidR="00991671" w:rsidP="004A2B13" w:rsidRDefault="00991671" w14:paraId="031AFCB1" w14:textId="2430C134">
      <w:pPr>
        <w:pStyle w:val="ListParagraph"/>
        <w:numPr>
          <w:ilvl w:val="0"/>
          <w:numId w:val="49"/>
        </w:numPr>
        <w:spacing w:before="120" w:after="120"/>
        <w:ind w:left="360"/>
        <w:contextualSpacing w:val="0"/>
        <w:jc w:val="both"/>
        <w:rPr>
          <w:rFonts w:ascii="Arial" w:hAnsi="Arial" w:cs="Arial"/>
          <w:sz w:val="22"/>
          <w:szCs w:val="22"/>
        </w:rPr>
      </w:pPr>
      <w:r w:rsidRPr="004A2B13">
        <w:rPr>
          <w:rFonts w:ascii="Arial" w:hAnsi="Arial" w:cs="Arial"/>
          <w:sz w:val="22"/>
          <w:szCs w:val="22"/>
        </w:rPr>
        <w:t xml:space="preserve">En contraste con países </w:t>
      </w:r>
      <w:r w:rsidRPr="004A2B13" w:rsidR="00B07234">
        <w:rPr>
          <w:rFonts w:ascii="Arial" w:hAnsi="Arial" w:cs="Arial"/>
          <w:sz w:val="22"/>
          <w:szCs w:val="22"/>
        </w:rPr>
        <w:t xml:space="preserve">en menor estadio de desarrollo de las APP. </w:t>
      </w:r>
      <w:r w:rsidRPr="004A2B13" w:rsidR="001F235E">
        <w:rPr>
          <w:rFonts w:ascii="Arial" w:hAnsi="Arial" w:cs="Arial"/>
          <w:sz w:val="22"/>
          <w:szCs w:val="22"/>
        </w:rPr>
        <w:t xml:space="preserve">La operación </w:t>
      </w:r>
      <w:r w:rsidR="00F510F4">
        <w:rPr>
          <w:rFonts w:ascii="Arial" w:hAnsi="Arial" w:cs="Arial"/>
          <w:sz w:val="22"/>
          <w:szCs w:val="22"/>
        </w:rPr>
        <w:br/>
      </w:r>
      <w:r w:rsidRPr="004A2B13" w:rsidR="00EC479B">
        <w:rPr>
          <w:rFonts w:ascii="Arial" w:hAnsi="Arial" w:cs="Arial"/>
          <w:sz w:val="22"/>
          <w:szCs w:val="22"/>
        </w:rPr>
        <w:t xml:space="preserve">EC-L1230 de mejora de la capacidad fiscal para la inversión pública </w:t>
      </w:r>
      <w:r w:rsidRPr="004A2B13" w:rsidR="00D6473B">
        <w:rPr>
          <w:rFonts w:ascii="Arial" w:hAnsi="Arial" w:cs="Arial"/>
          <w:sz w:val="22"/>
          <w:szCs w:val="22"/>
        </w:rPr>
        <w:t xml:space="preserve">(2019) </w:t>
      </w:r>
      <w:r w:rsidRPr="004A2B13" w:rsidR="0003696B">
        <w:rPr>
          <w:rFonts w:ascii="Arial" w:hAnsi="Arial" w:cs="Arial"/>
          <w:sz w:val="22"/>
          <w:szCs w:val="22"/>
        </w:rPr>
        <w:t xml:space="preserve">es una primera operación de fortalecimiento </w:t>
      </w:r>
      <w:r w:rsidRPr="004A2B13" w:rsidR="00D6473B">
        <w:rPr>
          <w:rFonts w:ascii="Arial" w:hAnsi="Arial" w:cs="Arial"/>
          <w:sz w:val="22"/>
          <w:szCs w:val="22"/>
        </w:rPr>
        <w:t>en desarrollo de APP. Su costo aprobado fue de US$ 50 millones</w:t>
      </w:r>
      <w:r w:rsidRPr="004A2B13" w:rsidR="00A036EF">
        <w:rPr>
          <w:rFonts w:ascii="Arial" w:hAnsi="Arial" w:cs="Arial"/>
          <w:sz w:val="22"/>
          <w:szCs w:val="22"/>
        </w:rPr>
        <w:t xml:space="preserve"> de 2019. </w:t>
      </w:r>
      <w:r w:rsidRPr="004A2B13" w:rsidR="0023289C">
        <w:rPr>
          <w:rFonts w:ascii="Arial" w:hAnsi="Arial" w:cs="Arial"/>
          <w:sz w:val="22"/>
          <w:szCs w:val="22"/>
        </w:rPr>
        <w:t xml:space="preserve">En comparación con países que están empezando su senda de atracción de la inversión privada, Colombia requiere menos </w:t>
      </w:r>
      <w:r w:rsidRPr="004A2B13" w:rsidR="002D155B">
        <w:rPr>
          <w:rFonts w:ascii="Arial" w:hAnsi="Arial" w:cs="Arial"/>
          <w:sz w:val="22"/>
          <w:szCs w:val="22"/>
        </w:rPr>
        <w:t xml:space="preserve">recursos de apoyo al desarrollo de las APP. </w:t>
      </w:r>
    </w:p>
    <w:p w:rsidRPr="004A2B13" w:rsidR="003B63EF" w:rsidP="004A2B13" w:rsidRDefault="003B63EF" w14:paraId="563C2C79" w14:textId="64261E53">
      <w:pPr>
        <w:spacing w:before="120" w:after="120"/>
        <w:jc w:val="both"/>
        <w:rPr>
          <w:rFonts w:ascii="Arial" w:hAnsi="Arial" w:cs="Arial"/>
          <w:sz w:val="22"/>
          <w:szCs w:val="22"/>
        </w:rPr>
      </w:pPr>
      <w:r w:rsidRPr="004A2B13">
        <w:rPr>
          <w:rFonts w:ascii="Arial" w:hAnsi="Arial" w:cs="Arial"/>
          <w:b/>
          <w:bCs/>
          <w:sz w:val="22"/>
          <w:szCs w:val="22"/>
        </w:rPr>
        <w:t>Comparación 2</w:t>
      </w:r>
      <w:r w:rsidRPr="004A2B13">
        <w:rPr>
          <w:rFonts w:ascii="Arial" w:hAnsi="Arial" w:cs="Arial"/>
          <w:sz w:val="22"/>
          <w:szCs w:val="22"/>
        </w:rPr>
        <w:t xml:space="preserve">. </w:t>
      </w:r>
      <w:r w:rsidRPr="004A2B13" w:rsidR="004673BE">
        <w:rPr>
          <w:rFonts w:ascii="Arial" w:hAnsi="Arial" w:cs="Arial"/>
          <w:sz w:val="22"/>
          <w:szCs w:val="22"/>
        </w:rPr>
        <w:t xml:space="preserve">Proyectos individuales. </w:t>
      </w:r>
    </w:p>
    <w:p w:rsidRPr="004A2B13" w:rsidR="00DD2DCF" w:rsidP="004A2B13" w:rsidRDefault="00F44A36" w14:paraId="79A9766D" w14:textId="77777777">
      <w:pPr>
        <w:spacing w:before="120" w:after="120"/>
        <w:jc w:val="both"/>
        <w:rPr>
          <w:rFonts w:ascii="Arial" w:hAnsi="Arial" w:cs="Arial"/>
          <w:sz w:val="22"/>
          <w:szCs w:val="22"/>
        </w:rPr>
      </w:pPr>
      <w:r w:rsidRPr="004A2B13">
        <w:rPr>
          <w:rFonts w:ascii="Arial" w:hAnsi="Arial" w:cs="Arial"/>
          <w:sz w:val="22"/>
          <w:szCs w:val="22"/>
        </w:rPr>
        <w:t>Se comparan</w:t>
      </w:r>
      <w:r w:rsidRPr="004A2B13" w:rsidR="000E6896">
        <w:rPr>
          <w:rFonts w:ascii="Arial" w:hAnsi="Arial" w:cs="Arial"/>
          <w:sz w:val="22"/>
          <w:szCs w:val="22"/>
        </w:rPr>
        <w:t xml:space="preserve"> 10 de 23 intervenciones que incluyen las consultorías de mayor valor individual, con información de proyectos similares en objetivo, tamaño y cercanía en el tiempo. El </w:t>
      </w:r>
      <w:r w:rsidRPr="004A2B13" w:rsidR="00B1415B">
        <w:rPr>
          <w:rFonts w:ascii="Arial" w:hAnsi="Arial" w:cs="Arial"/>
          <w:sz w:val="22"/>
          <w:szCs w:val="22"/>
        </w:rPr>
        <w:t xml:space="preserve">resultado </w:t>
      </w:r>
      <w:r w:rsidRPr="004A2B13" w:rsidR="00321E4C">
        <w:rPr>
          <w:rFonts w:ascii="Arial" w:hAnsi="Arial" w:cs="Arial"/>
          <w:sz w:val="22"/>
          <w:szCs w:val="22"/>
        </w:rPr>
        <w:t>se presenta en la Tabla 1.1. Salvo en un caso, donde no se detecta</w:t>
      </w:r>
      <w:r w:rsidRPr="004A2B13" w:rsidR="00F379AA">
        <w:rPr>
          <w:rFonts w:ascii="Arial" w:hAnsi="Arial" w:cs="Arial"/>
          <w:sz w:val="22"/>
          <w:szCs w:val="22"/>
        </w:rPr>
        <w:t>n</w:t>
      </w:r>
      <w:r w:rsidRPr="004A2B13" w:rsidR="00321E4C">
        <w:rPr>
          <w:rFonts w:ascii="Arial" w:hAnsi="Arial" w:cs="Arial"/>
          <w:sz w:val="22"/>
          <w:szCs w:val="22"/>
        </w:rPr>
        <w:t xml:space="preserve"> </w:t>
      </w:r>
      <w:r w:rsidRPr="004A2B13" w:rsidR="00A44F9C">
        <w:rPr>
          <w:rFonts w:ascii="Arial" w:hAnsi="Arial" w:cs="Arial"/>
          <w:sz w:val="22"/>
          <w:szCs w:val="22"/>
        </w:rPr>
        <w:t>diferencias de costos, todos los proyectos tienen diferencias altas o leves contra el grupo de control</w:t>
      </w:r>
      <w:r w:rsidRPr="004A2B13" w:rsidR="00285F12">
        <w:rPr>
          <w:rFonts w:ascii="Arial" w:hAnsi="Arial" w:cs="Arial"/>
          <w:sz w:val="22"/>
          <w:szCs w:val="22"/>
        </w:rPr>
        <w:t>.</w:t>
      </w:r>
      <w:r w:rsidRPr="004A2B13" w:rsidR="000F3810">
        <w:rPr>
          <w:rFonts w:ascii="Arial" w:hAnsi="Arial" w:cs="Arial"/>
          <w:sz w:val="22"/>
          <w:szCs w:val="22"/>
        </w:rPr>
        <w:t xml:space="preserve"> </w:t>
      </w:r>
    </w:p>
    <w:p w:rsidRPr="004A2B13" w:rsidR="00DD2DCF" w:rsidP="004A2B13" w:rsidRDefault="000F3810" w14:paraId="3E3EC727" w14:textId="77777777">
      <w:pPr>
        <w:spacing w:before="120" w:after="120"/>
        <w:jc w:val="both"/>
        <w:rPr>
          <w:rFonts w:ascii="Arial" w:hAnsi="Arial" w:cs="Arial"/>
          <w:sz w:val="22"/>
          <w:szCs w:val="22"/>
        </w:rPr>
      </w:pPr>
      <w:r w:rsidRPr="004A2B13">
        <w:rPr>
          <w:rFonts w:ascii="Arial" w:hAnsi="Arial" w:cs="Arial"/>
          <w:sz w:val="22"/>
          <w:szCs w:val="22"/>
        </w:rPr>
        <w:t xml:space="preserve">Salvo el proyecto de </w:t>
      </w:r>
      <w:r w:rsidRPr="004A2B13" w:rsidR="002E1EB4">
        <w:rPr>
          <w:rFonts w:ascii="Arial" w:hAnsi="Arial" w:cs="Arial"/>
          <w:sz w:val="22"/>
          <w:szCs w:val="22"/>
        </w:rPr>
        <w:t xml:space="preserve">residuos sólidos, todos los proyectos </w:t>
      </w:r>
      <w:r w:rsidRPr="004A2B13" w:rsidR="0032288E">
        <w:rPr>
          <w:rFonts w:ascii="Arial" w:hAnsi="Arial" w:cs="Arial"/>
          <w:sz w:val="22"/>
          <w:szCs w:val="22"/>
        </w:rPr>
        <w:t xml:space="preserve">de control </w:t>
      </w:r>
      <w:r w:rsidRPr="004A2B13" w:rsidR="002E1EB4">
        <w:rPr>
          <w:rFonts w:ascii="Arial" w:hAnsi="Arial" w:cs="Arial"/>
          <w:sz w:val="22"/>
          <w:szCs w:val="22"/>
        </w:rPr>
        <w:t xml:space="preserve">del Componente I y el Componente II </w:t>
      </w:r>
      <w:r w:rsidRPr="004A2B13" w:rsidR="0032288E">
        <w:rPr>
          <w:rFonts w:ascii="Arial" w:hAnsi="Arial" w:cs="Arial"/>
          <w:sz w:val="22"/>
          <w:szCs w:val="22"/>
        </w:rPr>
        <w:t>están enmarcados en la atracción de capital privado.</w:t>
      </w:r>
      <w:r w:rsidRPr="004A2B13" w:rsidR="002E1EB4">
        <w:rPr>
          <w:rFonts w:ascii="Arial" w:hAnsi="Arial" w:cs="Arial"/>
          <w:sz w:val="22"/>
          <w:szCs w:val="22"/>
        </w:rPr>
        <w:t xml:space="preserve"> </w:t>
      </w:r>
    </w:p>
    <w:p w:rsidR="00DD2DCF" w:rsidP="004A2B13" w:rsidRDefault="00DD2DCF" w14:paraId="083CC38A" w14:textId="51ACC3C5">
      <w:pPr>
        <w:spacing w:before="120" w:after="120"/>
        <w:jc w:val="both"/>
        <w:rPr>
          <w:rFonts w:ascii="Arial" w:hAnsi="Arial" w:cs="Arial"/>
          <w:sz w:val="22"/>
          <w:szCs w:val="22"/>
        </w:rPr>
      </w:pPr>
      <w:r w:rsidRPr="004A2B13">
        <w:rPr>
          <w:rFonts w:ascii="Arial" w:hAnsi="Arial" w:cs="Arial"/>
          <w:sz w:val="22"/>
          <w:szCs w:val="22"/>
        </w:rPr>
        <w:t xml:space="preserve">El valor total de los proyectos para comparar suma US$ 5,8 millones, que es el 61,2% del total presupuestado. </w:t>
      </w:r>
    </w:p>
    <w:p w:rsidRPr="004A2B13" w:rsidR="004712FF" w:rsidP="004A2B13" w:rsidRDefault="004712FF" w14:paraId="6BDF4218" w14:textId="77777777">
      <w:pPr>
        <w:spacing w:before="120" w:after="120"/>
        <w:jc w:val="both"/>
        <w:rPr>
          <w:rFonts w:ascii="Arial" w:hAnsi="Arial" w:cs="Arial"/>
          <w:sz w:val="22"/>
          <w:szCs w:val="22"/>
        </w:rPr>
      </w:pPr>
    </w:p>
    <w:p w:rsidRPr="00C96F60" w:rsidR="00321E4C" w:rsidP="004A2B13" w:rsidRDefault="00321E4C" w14:paraId="31B1BBFA" w14:textId="30BAF449">
      <w:pPr>
        <w:spacing w:before="120" w:after="120"/>
        <w:jc w:val="center"/>
        <w:rPr>
          <w:rFonts w:ascii="Arial" w:hAnsi="Arial" w:cs="Arial"/>
          <w:sz w:val="20"/>
          <w:szCs w:val="20"/>
        </w:rPr>
      </w:pPr>
      <w:r w:rsidRPr="00C96F60">
        <w:rPr>
          <w:rFonts w:ascii="Arial" w:hAnsi="Arial" w:cs="Arial"/>
          <w:sz w:val="20"/>
          <w:szCs w:val="20"/>
        </w:rPr>
        <w:t xml:space="preserve">Tabla 1.1. Comparación de costos </w:t>
      </w:r>
      <w:r w:rsidRPr="00C96F60" w:rsidR="004125C2">
        <w:rPr>
          <w:rFonts w:ascii="Arial" w:hAnsi="Arial" w:cs="Arial"/>
          <w:sz w:val="20"/>
          <w:szCs w:val="20"/>
        </w:rPr>
        <w:t xml:space="preserve">de intervenciones individuales </w:t>
      </w:r>
      <w:r w:rsidRPr="00C96F60">
        <w:rPr>
          <w:rFonts w:ascii="Arial" w:hAnsi="Arial" w:cs="Arial"/>
          <w:sz w:val="20"/>
          <w:szCs w:val="20"/>
        </w:rPr>
        <w:t>del Programa con costos de control (US$ 2020)</w:t>
      </w:r>
      <w:r w:rsidRPr="00C96F60" w:rsidR="00E35B6E">
        <w:rPr>
          <w:rFonts w:ascii="Arial" w:hAnsi="Arial" w:cs="Arial"/>
          <w:sz w:val="20"/>
          <w:szCs w:val="20"/>
        </w:rPr>
        <w:t xml:space="preserve"> </w:t>
      </w:r>
      <w:r w:rsidRPr="00C96F60">
        <w:rPr>
          <w:rFonts w:ascii="Arial" w:hAnsi="Arial" w:cs="Arial"/>
          <w:sz w:val="20"/>
          <w:szCs w:val="20"/>
        </w:rPr>
        <w:t xml:space="preserve"> </w:t>
      </w:r>
    </w:p>
    <w:tbl>
      <w:tblPr>
        <w:tblStyle w:val="TableGrid"/>
        <w:tblW w:w="0" w:type="auto"/>
        <w:tblLook w:val="04A0" w:firstRow="1" w:lastRow="0" w:firstColumn="1" w:lastColumn="0" w:noHBand="0" w:noVBand="1"/>
      </w:tblPr>
      <w:tblGrid>
        <w:gridCol w:w="2207"/>
        <w:gridCol w:w="2207"/>
        <w:gridCol w:w="2207"/>
        <w:gridCol w:w="2207"/>
      </w:tblGrid>
      <w:tr w:rsidRPr="00C96F60" w:rsidR="00321E4C" w:rsidTr="001E2116" w14:paraId="04518A2E" w14:textId="77777777">
        <w:tc>
          <w:tcPr>
            <w:tcW w:w="8828" w:type="dxa"/>
            <w:gridSpan w:val="4"/>
            <w:shd w:val="clear" w:color="auto" w:fill="E7E6E6" w:themeFill="background2"/>
            <w:vAlign w:val="center"/>
          </w:tcPr>
          <w:p w:rsidRPr="00C96F60" w:rsidR="00321E4C" w:rsidP="00C96F60" w:rsidRDefault="00321E4C" w14:paraId="30533CD5" w14:textId="77777777">
            <w:pPr>
              <w:jc w:val="center"/>
              <w:rPr>
                <w:rFonts w:ascii="Arial" w:hAnsi="Arial" w:cs="Arial"/>
                <w:b/>
                <w:bCs/>
                <w:sz w:val="20"/>
                <w:szCs w:val="20"/>
              </w:rPr>
            </w:pPr>
            <w:r w:rsidRPr="00C96F60">
              <w:rPr>
                <w:rFonts w:ascii="Arial" w:hAnsi="Arial" w:cs="Arial"/>
                <w:b/>
                <w:bCs/>
                <w:sz w:val="20"/>
                <w:szCs w:val="20"/>
              </w:rPr>
              <w:t>Componente I</w:t>
            </w:r>
          </w:p>
        </w:tc>
      </w:tr>
      <w:tr w:rsidRPr="00C96F60" w:rsidR="00321E4C" w:rsidTr="001E2116" w14:paraId="64AFE03A" w14:textId="77777777">
        <w:tc>
          <w:tcPr>
            <w:tcW w:w="2207" w:type="dxa"/>
            <w:vAlign w:val="center"/>
          </w:tcPr>
          <w:p w:rsidRPr="00C96F60" w:rsidR="00321E4C" w:rsidP="00C96F60" w:rsidRDefault="00321E4C" w14:paraId="472EAF2C" w14:textId="77777777">
            <w:pPr>
              <w:jc w:val="center"/>
              <w:rPr>
                <w:rFonts w:ascii="Arial" w:hAnsi="Arial" w:cs="Arial"/>
                <w:b/>
                <w:bCs/>
                <w:sz w:val="20"/>
                <w:szCs w:val="20"/>
              </w:rPr>
            </w:pPr>
            <w:r w:rsidRPr="00C96F60">
              <w:rPr>
                <w:rFonts w:ascii="Arial" w:hAnsi="Arial" w:cs="Arial"/>
                <w:b/>
                <w:bCs/>
                <w:sz w:val="20"/>
                <w:szCs w:val="20"/>
              </w:rPr>
              <w:t>Proyecto</w:t>
            </w:r>
          </w:p>
        </w:tc>
        <w:tc>
          <w:tcPr>
            <w:tcW w:w="2207" w:type="dxa"/>
            <w:vAlign w:val="center"/>
          </w:tcPr>
          <w:p w:rsidRPr="00C96F60" w:rsidR="00FE794A" w:rsidP="00C96F60" w:rsidRDefault="00321E4C" w14:paraId="7E60E4D6" w14:textId="35022AC9">
            <w:pPr>
              <w:jc w:val="center"/>
              <w:rPr>
                <w:rFonts w:ascii="Arial" w:hAnsi="Arial" w:cs="Arial"/>
                <w:b/>
                <w:bCs/>
                <w:sz w:val="20"/>
                <w:szCs w:val="20"/>
              </w:rPr>
            </w:pPr>
            <w:r w:rsidRPr="00C96F60">
              <w:rPr>
                <w:rFonts w:ascii="Arial" w:hAnsi="Arial" w:cs="Arial"/>
                <w:b/>
                <w:bCs/>
                <w:sz w:val="20"/>
                <w:szCs w:val="20"/>
              </w:rPr>
              <w:t xml:space="preserve">Costo Programa </w:t>
            </w:r>
          </w:p>
          <w:p w:rsidRPr="00C96F60" w:rsidR="00321E4C" w:rsidP="00C96F60" w:rsidRDefault="00321E4C" w14:paraId="405B5EA2" w14:textId="77777777">
            <w:pPr>
              <w:jc w:val="center"/>
              <w:rPr>
                <w:rFonts w:ascii="Arial" w:hAnsi="Arial" w:cs="Arial"/>
                <w:b/>
                <w:bCs/>
                <w:sz w:val="20"/>
                <w:szCs w:val="20"/>
              </w:rPr>
            </w:pPr>
            <w:r w:rsidRPr="00C96F60">
              <w:rPr>
                <w:rFonts w:ascii="Arial" w:hAnsi="Arial" w:cs="Arial"/>
                <w:b/>
                <w:bCs/>
                <w:sz w:val="20"/>
                <w:szCs w:val="20"/>
              </w:rPr>
              <w:t>U: unitario; T: total</w:t>
            </w:r>
          </w:p>
        </w:tc>
        <w:tc>
          <w:tcPr>
            <w:tcW w:w="2207" w:type="dxa"/>
            <w:vAlign w:val="center"/>
          </w:tcPr>
          <w:p w:rsidRPr="00C96F60" w:rsidR="00321E4C" w:rsidP="00C96F60" w:rsidRDefault="00321E4C" w14:paraId="0C4A50BC" w14:textId="77777777">
            <w:pPr>
              <w:jc w:val="center"/>
              <w:rPr>
                <w:rFonts w:ascii="Arial" w:hAnsi="Arial" w:cs="Arial"/>
                <w:b/>
                <w:bCs/>
                <w:sz w:val="20"/>
                <w:szCs w:val="20"/>
              </w:rPr>
            </w:pPr>
            <w:r w:rsidRPr="00C96F60">
              <w:rPr>
                <w:rFonts w:ascii="Arial" w:hAnsi="Arial" w:cs="Arial"/>
                <w:b/>
                <w:bCs/>
                <w:sz w:val="20"/>
                <w:szCs w:val="20"/>
              </w:rPr>
              <w:t xml:space="preserve">Costo Control </w:t>
            </w:r>
          </w:p>
          <w:p w:rsidRPr="00C96F60" w:rsidR="00321E4C" w:rsidP="00C96F60" w:rsidRDefault="00321E4C" w14:paraId="1A07F4A5" w14:textId="77777777">
            <w:pPr>
              <w:jc w:val="center"/>
              <w:rPr>
                <w:rFonts w:ascii="Arial" w:hAnsi="Arial" w:cs="Arial"/>
                <w:b/>
                <w:bCs/>
                <w:sz w:val="20"/>
                <w:szCs w:val="20"/>
              </w:rPr>
            </w:pPr>
            <w:r w:rsidRPr="00C96F60">
              <w:rPr>
                <w:rFonts w:ascii="Arial" w:hAnsi="Arial" w:cs="Arial"/>
                <w:b/>
                <w:bCs/>
                <w:sz w:val="20"/>
                <w:szCs w:val="20"/>
              </w:rPr>
              <w:t>U: unitario; T: total</w:t>
            </w:r>
          </w:p>
        </w:tc>
        <w:tc>
          <w:tcPr>
            <w:tcW w:w="2207" w:type="dxa"/>
            <w:vAlign w:val="center"/>
          </w:tcPr>
          <w:p w:rsidRPr="00C96F60" w:rsidR="00321E4C" w:rsidP="00C96F60" w:rsidRDefault="00321E4C" w14:paraId="3E412832" w14:textId="77777777">
            <w:pPr>
              <w:jc w:val="center"/>
              <w:rPr>
                <w:rFonts w:ascii="Arial" w:hAnsi="Arial" w:cs="Arial"/>
                <w:b/>
                <w:bCs/>
                <w:sz w:val="20"/>
                <w:szCs w:val="20"/>
              </w:rPr>
            </w:pPr>
            <w:r w:rsidRPr="00C96F60">
              <w:rPr>
                <w:rFonts w:ascii="Arial" w:hAnsi="Arial" w:cs="Arial"/>
                <w:b/>
                <w:bCs/>
                <w:sz w:val="20"/>
                <w:szCs w:val="20"/>
              </w:rPr>
              <w:t>Diferencia a favor del Programa</w:t>
            </w:r>
          </w:p>
        </w:tc>
      </w:tr>
      <w:tr w:rsidRPr="00C96F60" w:rsidR="00321E4C" w:rsidTr="001E2116" w14:paraId="178FDACD" w14:textId="77777777">
        <w:tc>
          <w:tcPr>
            <w:tcW w:w="2207" w:type="dxa"/>
            <w:vAlign w:val="center"/>
          </w:tcPr>
          <w:p w:rsidRPr="00C96F60" w:rsidR="00321E4C" w:rsidP="00C96F60" w:rsidRDefault="00321E4C" w14:paraId="4A39F7A6" w14:textId="5C69E688">
            <w:pPr>
              <w:rPr>
                <w:rFonts w:ascii="Arial" w:hAnsi="Arial" w:cs="Arial"/>
                <w:sz w:val="20"/>
                <w:szCs w:val="20"/>
              </w:rPr>
            </w:pPr>
            <w:r w:rsidRPr="00C96F60">
              <w:rPr>
                <w:rFonts w:ascii="Arial" w:hAnsi="Arial" w:cs="Arial"/>
                <w:sz w:val="20"/>
                <w:szCs w:val="20"/>
              </w:rPr>
              <w:t>Estudio sector férreo</w:t>
            </w:r>
          </w:p>
        </w:tc>
        <w:tc>
          <w:tcPr>
            <w:tcW w:w="2207" w:type="dxa"/>
            <w:vAlign w:val="center"/>
          </w:tcPr>
          <w:p w:rsidRPr="00C96F60" w:rsidR="00321E4C" w:rsidP="00C96F60" w:rsidRDefault="00321E4C" w14:paraId="2CDE6855" w14:textId="77777777">
            <w:pPr>
              <w:jc w:val="center"/>
              <w:rPr>
                <w:rFonts w:ascii="Arial" w:hAnsi="Arial" w:cs="Arial"/>
                <w:sz w:val="20"/>
                <w:szCs w:val="20"/>
              </w:rPr>
            </w:pPr>
            <w:r w:rsidRPr="00C96F60">
              <w:rPr>
                <w:rFonts w:ascii="Arial" w:hAnsi="Arial" w:cs="Arial"/>
                <w:sz w:val="20"/>
                <w:szCs w:val="20"/>
              </w:rPr>
              <w:t>T: 550 mil</w:t>
            </w:r>
          </w:p>
        </w:tc>
        <w:tc>
          <w:tcPr>
            <w:tcW w:w="2207" w:type="dxa"/>
            <w:vAlign w:val="center"/>
          </w:tcPr>
          <w:p w:rsidRPr="00C96F60" w:rsidR="00321E4C" w:rsidP="00C96F60" w:rsidRDefault="00321E4C" w14:paraId="6B55543A" w14:textId="77777777">
            <w:pPr>
              <w:jc w:val="center"/>
              <w:rPr>
                <w:rFonts w:ascii="Arial" w:hAnsi="Arial" w:cs="Arial"/>
                <w:sz w:val="20"/>
                <w:szCs w:val="20"/>
              </w:rPr>
            </w:pPr>
            <w:r w:rsidRPr="00C96F60">
              <w:rPr>
                <w:rFonts w:ascii="Arial" w:hAnsi="Arial" w:cs="Arial"/>
                <w:sz w:val="20"/>
                <w:szCs w:val="20"/>
              </w:rPr>
              <w:t>T: 680 mil</w:t>
            </w:r>
          </w:p>
        </w:tc>
        <w:tc>
          <w:tcPr>
            <w:tcW w:w="2207" w:type="dxa"/>
            <w:vAlign w:val="center"/>
          </w:tcPr>
          <w:p w:rsidRPr="00C96F60" w:rsidR="00321E4C" w:rsidP="00C96F60" w:rsidRDefault="00321E4C" w14:paraId="438D1C9F" w14:textId="77777777">
            <w:pPr>
              <w:jc w:val="center"/>
              <w:rPr>
                <w:rFonts w:ascii="Arial" w:hAnsi="Arial" w:cs="Arial"/>
                <w:sz w:val="20"/>
                <w:szCs w:val="20"/>
              </w:rPr>
            </w:pPr>
            <w:r w:rsidRPr="00C96F60">
              <w:rPr>
                <w:rFonts w:ascii="Arial" w:hAnsi="Arial" w:cs="Arial"/>
                <w:sz w:val="20"/>
                <w:szCs w:val="20"/>
              </w:rPr>
              <w:t>++</w:t>
            </w:r>
          </w:p>
        </w:tc>
      </w:tr>
      <w:tr w:rsidRPr="00C96F60" w:rsidR="00321E4C" w:rsidTr="001E2116" w14:paraId="5865AF27" w14:textId="77777777">
        <w:tc>
          <w:tcPr>
            <w:tcW w:w="2207" w:type="dxa"/>
            <w:vAlign w:val="center"/>
          </w:tcPr>
          <w:p w:rsidRPr="006A3715" w:rsidR="00321E4C" w:rsidP="00C96F60" w:rsidRDefault="00321E4C" w14:paraId="04C9B88D" w14:textId="6F85B9E6">
            <w:pPr>
              <w:rPr>
                <w:rFonts w:ascii="Arial" w:hAnsi="Arial" w:cs="Arial"/>
                <w:sz w:val="20"/>
                <w:szCs w:val="20"/>
              </w:rPr>
            </w:pPr>
            <w:r w:rsidRPr="006A3715">
              <w:rPr>
                <w:rFonts w:ascii="Arial" w:hAnsi="Arial" w:cs="Arial"/>
                <w:sz w:val="20"/>
                <w:szCs w:val="20"/>
              </w:rPr>
              <w:t>Estructuración Regiotram del Norte</w:t>
            </w:r>
          </w:p>
        </w:tc>
        <w:tc>
          <w:tcPr>
            <w:tcW w:w="2207" w:type="dxa"/>
            <w:vAlign w:val="center"/>
          </w:tcPr>
          <w:p w:rsidRPr="006A3715" w:rsidR="00321E4C" w:rsidP="00C96F60" w:rsidRDefault="00321E4C" w14:paraId="49B9B70A" w14:textId="3156799F">
            <w:pPr>
              <w:jc w:val="center"/>
              <w:rPr>
                <w:rFonts w:ascii="Arial" w:hAnsi="Arial" w:cs="Arial"/>
                <w:sz w:val="20"/>
                <w:szCs w:val="20"/>
              </w:rPr>
            </w:pPr>
            <w:r w:rsidRPr="006A3715">
              <w:rPr>
                <w:rFonts w:ascii="Arial" w:hAnsi="Arial" w:cs="Arial"/>
                <w:sz w:val="20"/>
                <w:szCs w:val="20"/>
              </w:rPr>
              <w:t>U: 9,38 mil</w:t>
            </w:r>
            <w:r w:rsidRPr="006A3715" w:rsidR="0062425C">
              <w:rPr>
                <w:rFonts w:ascii="Arial" w:hAnsi="Arial" w:cs="Arial"/>
                <w:sz w:val="20"/>
                <w:szCs w:val="20"/>
              </w:rPr>
              <w:t>/km</w:t>
            </w:r>
          </w:p>
        </w:tc>
        <w:tc>
          <w:tcPr>
            <w:tcW w:w="2207" w:type="dxa"/>
            <w:vAlign w:val="center"/>
          </w:tcPr>
          <w:p w:rsidRPr="006A3715" w:rsidR="00321E4C" w:rsidP="00C96F60" w:rsidRDefault="00321E4C" w14:paraId="74AFCED9" w14:textId="27CE4082">
            <w:pPr>
              <w:jc w:val="center"/>
              <w:rPr>
                <w:rFonts w:ascii="Arial" w:hAnsi="Arial" w:cs="Arial"/>
                <w:sz w:val="20"/>
                <w:szCs w:val="20"/>
              </w:rPr>
            </w:pPr>
            <w:r w:rsidRPr="006A3715">
              <w:rPr>
                <w:rFonts w:ascii="Arial" w:hAnsi="Arial" w:cs="Arial"/>
                <w:sz w:val="20"/>
                <w:szCs w:val="20"/>
              </w:rPr>
              <w:t>U: 10,14 mil</w:t>
            </w:r>
            <w:r w:rsidRPr="006A3715" w:rsidR="0062425C">
              <w:rPr>
                <w:rFonts w:ascii="Arial" w:hAnsi="Arial" w:cs="Arial"/>
                <w:sz w:val="20"/>
                <w:szCs w:val="20"/>
              </w:rPr>
              <w:t>/km</w:t>
            </w:r>
          </w:p>
        </w:tc>
        <w:tc>
          <w:tcPr>
            <w:tcW w:w="2207" w:type="dxa"/>
            <w:vAlign w:val="center"/>
          </w:tcPr>
          <w:p w:rsidRPr="006A3715" w:rsidR="00321E4C" w:rsidP="00C96F60" w:rsidRDefault="00321E4C" w14:paraId="179F6155" w14:textId="77777777">
            <w:pPr>
              <w:jc w:val="center"/>
              <w:rPr>
                <w:rFonts w:ascii="Arial" w:hAnsi="Arial" w:cs="Arial"/>
                <w:sz w:val="20"/>
                <w:szCs w:val="20"/>
              </w:rPr>
            </w:pPr>
            <w:r w:rsidRPr="006A3715">
              <w:rPr>
                <w:rFonts w:ascii="Arial" w:hAnsi="Arial" w:cs="Arial"/>
                <w:sz w:val="20"/>
                <w:szCs w:val="20"/>
              </w:rPr>
              <w:t>+</w:t>
            </w:r>
          </w:p>
        </w:tc>
      </w:tr>
      <w:tr w:rsidRPr="00C96F60" w:rsidR="0075021A" w:rsidTr="001E2116" w14:paraId="3FAAEEF9" w14:textId="77777777">
        <w:tc>
          <w:tcPr>
            <w:tcW w:w="2207" w:type="dxa"/>
            <w:vAlign w:val="center"/>
          </w:tcPr>
          <w:p w:rsidRPr="006A3715" w:rsidR="0075021A" w:rsidP="0075021A" w:rsidRDefault="0075021A" w14:paraId="0F9DC2CF" w14:textId="567F06B4">
            <w:pPr>
              <w:rPr>
                <w:rFonts w:ascii="Arial" w:hAnsi="Arial" w:cs="Arial"/>
                <w:sz w:val="20"/>
                <w:szCs w:val="20"/>
              </w:rPr>
            </w:pPr>
            <w:r w:rsidRPr="006A3715">
              <w:rPr>
                <w:rFonts w:ascii="Arial" w:hAnsi="Arial" w:cs="Arial"/>
                <w:sz w:val="20"/>
                <w:szCs w:val="20"/>
              </w:rPr>
              <w:t>Estructuración energía renovable y suministro</w:t>
            </w:r>
          </w:p>
        </w:tc>
        <w:tc>
          <w:tcPr>
            <w:tcW w:w="2207" w:type="dxa"/>
            <w:vAlign w:val="center"/>
          </w:tcPr>
          <w:p w:rsidRPr="006A3715" w:rsidR="0075021A" w:rsidP="0075021A" w:rsidRDefault="0075021A" w14:paraId="32474987" w14:textId="41569D08">
            <w:pPr>
              <w:jc w:val="center"/>
              <w:rPr>
                <w:rFonts w:ascii="Arial" w:hAnsi="Arial" w:cs="Arial"/>
                <w:sz w:val="20"/>
                <w:szCs w:val="20"/>
              </w:rPr>
            </w:pPr>
            <w:r w:rsidRPr="006A3715">
              <w:rPr>
                <w:rFonts w:ascii="Arial" w:hAnsi="Arial" w:cs="Arial"/>
                <w:sz w:val="20"/>
                <w:szCs w:val="20"/>
              </w:rPr>
              <w:t>T: 1 millón</w:t>
            </w:r>
          </w:p>
        </w:tc>
        <w:tc>
          <w:tcPr>
            <w:tcW w:w="2207" w:type="dxa"/>
            <w:vAlign w:val="center"/>
          </w:tcPr>
          <w:p w:rsidRPr="006A3715" w:rsidR="0075021A" w:rsidP="0075021A" w:rsidRDefault="0075021A" w14:paraId="73DCA113" w14:textId="32D3155F">
            <w:pPr>
              <w:jc w:val="center"/>
              <w:rPr>
                <w:rFonts w:ascii="Arial" w:hAnsi="Arial" w:cs="Arial"/>
                <w:sz w:val="20"/>
                <w:szCs w:val="20"/>
              </w:rPr>
            </w:pPr>
            <w:r w:rsidRPr="006A3715">
              <w:rPr>
                <w:rFonts w:ascii="Arial" w:hAnsi="Arial" w:cs="Arial"/>
                <w:sz w:val="20"/>
                <w:szCs w:val="20"/>
              </w:rPr>
              <w:t>T: 1,10 millones</w:t>
            </w:r>
          </w:p>
        </w:tc>
        <w:tc>
          <w:tcPr>
            <w:tcW w:w="2207" w:type="dxa"/>
            <w:vAlign w:val="center"/>
          </w:tcPr>
          <w:p w:rsidRPr="006A3715" w:rsidR="0075021A" w:rsidP="0075021A" w:rsidRDefault="0075021A" w14:paraId="721C385B" w14:textId="66E7B2B4">
            <w:pPr>
              <w:jc w:val="center"/>
              <w:rPr>
                <w:rFonts w:ascii="Arial" w:hAnsi="Arial" w:cs="Arial"/>
                <w:sz w:val="20"/>
                <w:szCs w:val="20"/>
              </w:rPr>
            </w:pPr>
            <w:r w:rsidRPr="006A3715">
              <w:rPr>
                <w:rFonts w:ascii="Arial" w:hAnsi="Arial" w:cs="Arial"/>
                <w:sz w:val="20"/>
                <w:szCs w:val="20"/>
              </w:rPr>
              <w:t>+</w:t>
            </w:r>
          </w:p>
        </w:tc>
      </w:tr>
      <w:tr w:rsidRPr="00C96F60" w:rsidR="00321E4C" w:rsidTr="001E2116" w14:paraId="12236138" w14:textId="77777777">
        <w:tc>
          <w:tcPr>
            <w:tcW w:w="2207" w:type="dxa"/>
            <w:vAlign w:val="center"/>
          </w:tcPr>
          <w:p w:rsidRPr="006A3715" w:rsidR="00321E4C" w:rsidP="00C96F60" w:rsidRDefault="00321E4C" w14:paraId="08D6C9B7" w14:textId="14A13E29">
            <w:pPr>
              <w:rPr>
                <w:rFonts w:ascii="Arial" w:hAnsi="Arial" w:cs="Arial"/>
                <w:sz w:val="20"/>
                <w:szCs w:val="20"/>
              </w:rPr>
            </w:pPr>
            <w:r w:rsidRPr="006A3715">
              <w:rPr>
                <w:rFonts w:ascii="Arial" w:hAnsi="Arial" w:cs="Arial"/>
                <w:sz w:val="20"/>
                <w:szCs w:val="20"/>
              </w:rPr>
              <w:t>Estructuración residuos sólidos Cali</w:t>
            </w:r>
          </w:p>
        </w:tc>
        <w:tc>
          <w:tcPr>
            <w:tcW w:w="2207" w:type="dxa"/>
            <w:vAlign w:val="center"/>
          </w:tcPr>
          <w:p w:rsidRPr="006A3715" w:rsidR="00321E4C" w:rsidP="00C96F60" w:rsidRDefault="00321E4C" w14:paraId="33051AEB" w14:textId="77777777">
            <w:pPr>
              <w:jc w:val="center"/>
              <w:rPr>
                <w:rFonts w:ascii="Arial" w:hAnsi="Arial" w:cs="Arial"/>
                <w:sz w:val="20"/>
                <w:szCs w:val="20"/>
              </w:rPr>
            </w:pPr>
            <w:r w:rsidRPr="006A3715">
              <w:rPr>
                <w:rFonts w:ascii="Arial" w:hAnsi="Arial" w:cs="Arial"/>
                <w:sz w:val="20"/>
                <w:szCs w:val="20"/>
              </w:rPr>
              <w:t>U: 0,34/hab</w:t>
            </w:r>
          </w:p>
        </w:tc>
        <w:tc>
          <w:tcPr>
            <w:tcW w:w="2207" w:type="dxa"/>
            <w:vAlign w:val="center"/>
          </w:tcPr>
          <w:p w:rsidRPr="006A3715" w:rsidR="00321E4C" w:rsidP="00C96F60" w:rsidRDefault="00321E4C" w14:paraId="65E66E01" w14:textId="77777777">
            <w:pPr>
              <w:jc w:val="center"/>
              <w:rPr>
                <w:rFonts w:ascii="Arial" w:hAnsi="Arial" w:cs="Arial"/>
                <w:sz w:val="20"/>
                <w:szCs w:val="20"/>
              </w:rPr>
            </w:pPr>
            <w:r w:rsidRPr="006A3715">
              <w:rPr>
                <w:rFonts w:ascii="Arial" w:hAnsi="Arial" w:cs="Arial"/>
                <w:sz w:val="20"/>
                <w:szCs w:val="20"/>
              </w:rPr>
              <w:t>U: 0,34/hab</w:t>
            </w:r>
          </w:p>
        </w:tc>
        <w:tc>
          <w:tcPr>
            <w:tcW w:w="2207" w:type="dxa"/>
            <w:vAlign w:val="center"/>
          </w:tcPr>
          <w:p w:rsidRPr="006A3715" w:rsidR="00321E4C" w:rsidP="00C96F60" w:rsidRDefault="00321E4C" w14:paraId="541704E3" w14:textId="77777777">
            <w:pPr>
              <w:jc w:val="center"/>
              <w:rPr>
                <w:rFonts w:ascii="Arial" w:hAnsi="Arial" w:cs="Arial"/>
                <w:sz w:val="20"/>
                <w:szCs w:val="20"/>
              </w:rPr>
            </w:pPr>
            <w:r w:rsidRPr="006A3715">
              <w:rPr>
                <w:rFonts w:ascii="Arial" w:hAnsi="Arial" w:cs="Arial"/>
                <w:sz w:val="20"/>
                <w:szCs w:val="20"/>
              </w:rPr>
              <w:t>ND</w:t>
            </w:r>
          </w:p>
        </w:tc>
      </w:tr>
      <w:tr w:rsidRPr="00C96F60" w:rsidR="00321E4C" w:rsidTr="001E2116" w14:paraId="1F02719A" w14:textId="77777777">
        <w:tc>
          <w:tcPr>
            <w:tcW w:w="2207" w:type="dxa"/>
            <w:vAlign w:val="center"/>
          </w:tcPr>
          <w:p w:rsidRPr="00C96F60" w:rsidR="00321E4C" w:rsidP="00C96F60" w:rsidRDefault="00321E4C" w14:paraId="72555245" w14:textId="1763B380">
            <w:pPr>
              <w:rPr>
                <w:rFonts w:ascii="Arial" w:hAnsi="Arial" w:cs="Arial"/>
                <w:sz w:val="20"/>
                <w:szCs w:val="20"/>
              </w:rPr>
            </w:pPr>
            <w:r w:rsidRPr="00C96F60">
              <w:rPr>
                <w:rFonts w:ascii="Arial" w:hAnsi="Arial" w:cs="Arial"/>
                <w:sz w:val="20"/>
                <w:szCs w:val="20"/>
              </w:rPr>
              <w:t>Estructuración aguas residuales Bucaramanga</w:t>
            </w:r>
          </w:p>
        </w:tc>
        <w:tc>
          <w:tcPr>
            <w:tcW w:w="2207" w:type="dxa"/>
            <w:vAlign w:val="center"/>
          </w:tcPr>
          <w:p w:rsidRPr="00C96F60" w:rsidR="00321E4C" w:rsidP="00C96F60" w:rsidRDefault="00321E4C" w14:paraId="4E42125C" w14:textId="77777777">
            <w:pPr>
              <w:jc w:val="center"/>
              <w:rPr>
                <w:rFonts w:ascii="Arial" w:hAnsi="Arial" w:cs="Arial"/>
                <w:sz w:val="20"/>
                <w:szCs w:val="20"/>
              </w:rPr>
            </w:pPr>
            <w:r w:rsidRPr="00C96F60">
              <w:rPr>
                <w:rFonts w:ascii="Arial" w:hAnsi="Arial" w:cs="Arial"/>
                <w:sz w:val="20"/>
                <w:szCs w:val="20"/>
              </w:rPr>
              <w:t>U: 0,74/hab</w:t>
            </w:r>
          </w:p>
        </w:tc>
        <w:tc>
          <w:tcPr>
            <w:tcW w:w="2207" w:type="dxa"/>
            <w:vAlign w:val="center"/>
          </w:tcPr>
          <w:p w:rsidRPr="00C96F60" w:rsidR="00321E4C" w:rsidP="00C96F60" w:rsidRDefault="00321E4C" w14:paraId="57C71F79" w14:textId="77777777">
            <w:pPr>
              <w:jc w:val="center"/>
              <w:rPr>
                <w:rFonts w:ascii="Arial" w:hAnsi="Arial" w:cs="Arial"/>
                <w:sz w:val="20"/>
                <w:szCs w:val="20"/>
              </w:rPr>
            </w:pPr>
            <w:r w:rsidRPr="00C96F60">
              <w:rPr>
                <w:rFonts w:ascii="Arial" w:hAnsi="Arial" w:cs="Arial"/>
                <w:sz w:val="20"/>
                <w:szCs w:val="20"/>
              </w:rPr>
              <w:t>U: 1,90/hab</w:t>
            </w:r>
          </w:p>
        </w:tc>
        <w:tc>
          <w:tcPr>
            <w:tcW w:w="2207" w:type="dxa"/>
            <w:vAlign w:val="center"/>
          </w:tcPr>
          <w:p w:rsidRPr="00C96F60" w:rsidR="00321E4C" w:rsidP="00C96F60" w:rsidRDefault="00321E4C" w14:paraId="0D0F4CD0" w14:textId="77777777">
            <w:pPr>
              <w:jc w:val="center"/>
              <w:rPr>
                <w:rFonts w:ascii="Arial" w:hAnsi="Arial" w:cs="Arial"/>
                <w:sz w:val="20"/>
                <w:szCs w:val="20"/>
              </w:rPr>
            </w:pPr>
            <w:r w:rsidRPr="00C96F60">
              <w:rPr>
                <w:rFonts w:ascii="Arial" w:hAnsi="Arial" w:cs="Arial"/>
                <w:sz w:val="20"/>
                <w:szCs w:val="20"/>
              </w:rPr>
              <w:t>++</w:t>
            </w:r>
          </w:p>
        </w:tc>
      </w:tr>
      <w:tr w:rsidRPr="00C96F60" w:rsidR="00321E4C" w:rsidTr="001E2116" w14:paraId="6D7A470C" w14:textId="77777777">
        <w:tc>
          <w:tcPr>
            <w:tcW w:w="2207" w:type="dxa"/>
            <w:vAlign w:val="center"/>
          </w:tcPr>
          <w:p w:rsidRPr="00C96F60" w:rsidR="00321E4C" w:rsidP="00C96F60" w:rsidRDefault="00321E4C" w14:paraId="3BCCD09A" w14:textId="61268548">
            <w:pPr>
              <w:rPr>
                <w:rFonts w:ascii="Arial" w:hAnsi="Arial" w:cs="Arial"/>
                <w:sz w:val="20"/>
                <w:szCs w:val="20"/>
              </w:rPr>
            </w:pPr>
            <w:r w:rsidRPr="00C96F60">
              <w:rPr>
                <w:rFonts w:ascii="Arial" w:hAnsi="Arial" w:cs="Arial"/>
                <w:sz w:val="20"/>
                <w:szCs w:val="20"/>
              </w:rPr>
              <w:lastRenderedPageBreak/>
              <w:t>Estructuración centro atención primaria + hospital regional (</w:t>
            </w:r>
            <w:r w:rsidRPr="00C96F60">
              <w:rPr>
                <w:rFonts w:ascii="Arial" w:hAnsi="Arial" w:cs="Arial"/>
                <w:b/>
                <w:bCs/>
                <w:sz w:val="20"/>
                <w:szCs w:val="20"/>
              </w:rPr>
              <w:t>2</w:t>
            </w:r>
            <w:r w:rsidRPr="00C96F60">
              <w:rPr>
                <w:rFonts w:ascii="Arial" w:hAnsi="Arial" w:cs="Arial"/>
                <w:sz w:val="20"/>
                <w:szCs w:val="20"/>
              </w:rPr>
              <w:t xml:space="preserve"> intervenciones)</w:t>
            </w:r>
          </w:p>
        </w:tc>
        <w:tc>
          <w:tcPr>
            <w:tcW w:w="2207" w:type="dxa"/>
            <w:vAlign w:val="center"/>
          </w:tcPr>
          <w:p w:rsidRPr="00C96F60" w:rsidR="00321E4C" w:rsidP="00C96F60" w:rsidRDefault="00321E4C" w14:paraId="3B6B6B81" w14:textId="77777777">
            <w:pPr>
              <w:jc w:val="center"/>
              <w:rPr>
                <w:rFonts w:ascii="Arial" w:hAnsi="Arial" w:cs="Arial"/>
                <w:sz w:val="20"/>
                <w:szCs w:val="20"/>
              </w:rPr>
            </w:pPr>
            <w:r w:rsidRPr="00C96F60">
              <w:rPr>
                <w:rFonts w:ascii="Arial" w:hAnsi="Arial" w:cs="Arial"/>
                <w:sz w:val="20"/>
                <w:szCs w:val="20"/>
              </w:rPr>
              <w:t>T: 2 millones</w:t>
            </w:r>
          </w:p>
        </w:tc>
        <w:tc>
          <w:tcPr>
            <w:tcW w:w="2207" w:type="dxa"/>
            <w:vAlign w:val="center"/>
          </w:tcPr>
          <w:p w:rsidRPr="00C96F60" w:rsidR="00321E4C" w:rsidP="00C96F60" w:rsidRDefault="00321E4C" w14:paraId="2307F940" w14:textId="77777777">
            <w:pPr>
              <w:jc w:val="center"/>
              <w:rPr>
                <w:rFonts w:ascii="Arial" w:hAnsi="Arial" w:cs="Arial"/>
                <w:sz w:val="20"/>
                <w:szCs w:val="20"/>
              </w:rPr>
            </w:pPr>
            <w:r w:rsidRPr="00C96F60">
              <w:rPr>
                <w:rFonts w:ascii="Arial" w:hAnsi="Arial" w:cs="Arial"/>
                <w:sz w:val="20"/>
                <w:szCs w:val="20"/>
              </w:rPr>
              <w:t>T: 2,7 millones</w:t>
            </w:r>
          </w:p>
        </w:tc>
        <w:tc>
          <w:tcPr>
            <w:tcW w:w="2207" w:type="dxa"/>
            <w:vAlign w:val="center"/>
          </w:tcPr>
          <w:p w:rsidRPr="00C96F60" w:rsidR="00321E4C" w:rsidP="00C96F60" w:rsidRDefault="00321E4C" w14:paraId="03F1C75F" w14:textId="08B8995F">
            <w:pPr>
              <w:jc w:val="center"/>
              <w:rPr>
                <w:rFonts w:ascii="Arial" w:hAnsi="Arial" w:cs="Arial"/>
                <w:sz w:val="20"/>
                <w:szCs w:val="20"/>
              </w:rPr>
            </w:pPr>
            <w:r w:rsidRPr="00C96F60">
              <w:rPr>
                <w:rFonts w:ascii="Arial" w:hAnsi="Arial" w:cs="Arial"/>
                <w:sz w:val="20"/>
                <w:szCs w:val="20"/>
              </w:rPr>
              <w:t>+</w:t>
            </w:r>
            <w:r w:rsidRPr="00C96F60" w:rsidR="0027704A">
              <w:rPr>
                <w:rFonts w:ascii="Arial" w:hAnsi="Arial" w:cs="Arial"/>
                <w:sz w:val="20"/>
                <w:szCs w:val="20"/>
              </w:rPr>
              <w:t>+</w:t>
            </w:r>
          </w:p>
        </w:tc>
      </w:tr>
      <w:tr w:rsidRPr="00C96F60" w:rsidR="00321E4C" w:rsidTr="001E2116" w14:paraId="56653EFD" w14:textId="77777777">
        <w:tc>
          <w:tcPr>
            <w:tcW w:w="8828" w:type="dxa"/>
            <w:gridSpan w:val="4"/>
            <w:shd w:val="clear" w:color="auto" w:fill="E7E6E6" w:themeFill="background2"/>
          </w:tcPr>
          <w:p w:rsidRPr="00C96F60" w:rsidR="00321E4C" w:rsidP="00C96F60" w:rsidRDefault="00321E4C" w14:paraId="070498C4" w14:textId="77777777">
            <w:pPr>
              <w:jc w:val="center"/>
              <w:rPr>
                <w:rFonts w:ascii="Arial" w:hAnsi="Arial" w:cs="Arial"/>
                <w:b/>
                <w:bCs/>
                <w:sz w:val="20"/>
                <w:szCs w:val="20"/>
              </w:rPr>
            </w:pPr>
            <w:r w:rsidRPr="00C96F60">
              <w:rPr>
                <w:rFonts w:ascii="Arial" w:hAnsi="Arial" w:cs="Arial"/>
                <w:b/>
                <w:bCs/>
                <w:sz w:val="20"/>
                <w:szCs w:val="20"/>
              </w:rPr>
              <w:t>Componente II</w:t>
            </w:r>
          </w:p>
        </w:tc>
      </w:tr>
      <w:tr w:rsidRPr="00C96F60" w:rsidR="00321E4C" w:rsidTr="001E2116" w14:paraId="0DED1AB0" w14:textId="77777777">
        <w:tc>
          <w:tcPr>
            <w:tcW w:w="2207" w:type="dxa"/>
            <w:vAlign w:val="center"/>
          </w:tcPr>
          <w:p w:rsidRPr="00C96F60" w:rsidR="00321E4C" w:rsidP="00C96F60" w:rsidRDefault="00321E4C" w14:paraId="052E5B10" w14:textId="1C6C921D">
            <w:pPr>
              <w:rPr>
                <w:rFonts w:ascii="Arial" w:hAnsi="Arial" w:cs="Arial"/>
                <w:sz w:val="20"/>
                <w:szCs w:val="20"/>
              </w:rPr>
            </w:pPr>
            <w:r w:rsidRPr="00C96F60">
              <w:rPr>
                <w:rFonts w:ascii="Arial" w:hAnsi="Arial" w:cs="Arial"/>
                <w:sz w:val="20"/>
                <w:szCs w:val="20"/>
              </w:rPr>
              <w:t xml:space="preserve">Paquete de </w:t>
            </w:r>
            <w:r w:rsidRPr="00C96F60">
              <w:rPr>
                <w:rFonts w:ascii="Arial" w:hAnsi="Arial" w:cs="Arial"/>
                <w:b/>
                <w:bCs/>
                <w:sz w:val="20"/>
                <w:szCs w:val="20"/>
              </w:rPr>
              <w:t>3</w:t>
            </w:r>
            <w:r w:rsidRPr="00C96F60">
              <w:rPr>
                <w:rFonts w:ascii="Arial" w:hAnsi="Arial" w:cs="Arial"/>
                <w:sz w:val="20"/>
                <w:szCs w:val="20"/>
              </w:rPr>
              <w:t xml:space="preserve"> intervenciones de fortalecimiento </w:t>
            </w:r>
          </w:p>
        </w:tc>
        <w:tc>
          <w:tcPr>
            <w:tcW w:w="2207" w:type="dxa"/>
            <w:vAlign w:val="center"/>
          </w:tcPr>
          <w:p w:rsidRPr="00C96F60" w:rsidR="00321E4C" w:rsidP="00C96F60" w:rsidRDefault="00321E4C" w14:paraId="5E681E8C" w14:textId="77777777">
            <w:pPr>
              <w:jc w:val="center"/>
              <w:rPr>
                <w:rFonts w:ascii="Arial" w:hAnsi="Arial" w:cs="Arial"/>
                <w:sz w:val="20"/>
                <w:szCs w:val="20"/>
              </w:rPr>
            </w:pPr>
            <w:r w:rsidRPr="00C96F60">
              <w:rPr>
                <w:rFonts w:ascii="Arial" w:hAnsi="Arial" w:cs="Arial"/>
                <w:sz w:val="20"/>
                <w:szCs w:val="20"/>
              </w:rPr>
              <w:t>T: 500 mil</w:t>
            </w:r>
          </w:p>
        </w:tc>
        <w:tc>
          <w:tcPr>
            <w:tcW w:w="2207" w:type="dxa"/>
            <w:vAlign w:val="center"/>
          </w:tcPr>
          <w:p w:rsidRPr="00C96F60" w:rsidR="00321E4C" w:rsidP="00C96F60" w:rsidRDefault="00321E4C" w14:paraId="5B68C15E" w14:textId="77777777">
            <w:pPr>
              <w:jc w:val="center"/>
              <w:rPr>
                <w:rFonts w:ascii="Arial" w:hAnsi="Arial" w:cs="Arial"/>
                <w:sz w:val="20"/>
                <w:szCs w:val="20"/>
              </w:rPr>
            </w:pPr>
            <w:r w:rsidRPr="00C96F60">
              <w:rPr>
                <w:rFonts w:ascii="Arial" w:hAnsi="Arial" w:cs="Arial"/>
                <w:sz w:val="20"/>
                <w:szCs w:val="20"/>
              </w:rPr>
              <w:t>T: 1.07</w:t>
            </w:r>
          </w:p>
        </w:tc>
        <w:tc>
          <w:tcPr>
            <w:tcW w:w="2207" w:type="dxa"/>
            <w:vAlign w:val="center"/>
          </w:tcPr>
          <w:p w:rsidRPr="00C96F60" w:rsidR="00321E4C" w:rsidP="00C96F60" w:rsidRDefault="00321E4C" w14:paraId="5CCF0B30" w14:textId="77777777">
            <w:pPr>
              <w:jc w:val="center"/>
              <w:rPr>
                <w:rFonts w:ascii="Arial" w:hAnsi="Arial" w:cs="Arial"/>
                <w:sz w:val="20"/>
                <w:szCs w:val="20"/>
              </w:rPr>
            </w:pPr>
            <w:r w:rsidRPr="00C96F60">
              <w:rPr>
                <w:rFonts w:ascii="Arial" w:hAnsi="Arial" w:cs="Arial"/>
                <w:sz w:val="20"/>
                <w:szCs w:val="20"/>
              </w:rPr>
              <w:t>++</w:t>
            </w:r>
          </w:p>
        </w:tc>
      </w:tr>
    </w:tbl>
    <w:p w:rsidRPr="0095634B" w:rsidR="00321E4C" w:rsidP="004A2B13" w:rsidRDefault="00321E4C" w14:paraId="29BD9FAD" w14:textId="120F5442">
      <w:pPr>
        <w:spacing w:before="120" w:after="120"/>
        <w:jc w:val="center"/>
        <w:rPr>
          <w:rFonts w:ascii="Arial" w:hAnsi="Arial" w:cs="Arial"/>
          <w:sz w:val="20"/>
          <w:szCs w:val="20"/>
        </w:rPr>
      </w:pPr>
      <w:r w:rsidRPr="0095634B">
        <w:rPr>
          <w:rFonts w:ascii="Arial" w:hAnsi="Arial" w:cs="Arial"/>
          <w:sz w:val="20"/>
          <w:szCs w:val="20"/>
        </w:rPr>
        <w:t>Fuente: elaboración propia. (+): leve;( ++): alta; (ND): no detectable; (-): negativa</w:t>
      </w:r>
      <w:r w:rsidRPr="0095634B" w:rsidR="00285F12">
        <w:rPr>
          <w:rFonts w:ascii="Arial" w:hAnsi="Arial" w:cs="Arial"/>
          <w:sz w:val="20"/>
          <w:szCs w:val="20"/>
        </w:rPr>
        <w:t xml:space="preserve"> </w:t>
      </w:r>
    </w:p>
    <w:p w:rsidRPr="004A2B13" w:rsidR="004B6696" w:rsidP="004A2B13" w:rsidRDefault="004B6696" w14:paraId="1C221773" w14:textId="2A16B6B8">
      <w:pPr>
        <w:spacing w:before="120" w:after="120"/>
        <w:jc w:val="both"/>
        <w:rPr>
          <w:rFonts w:ascii="Arial" w:hAnsi="Arial" w:cs="Arial"/>
          <w:sz w:val="22"/>
          <w:szCs w:val="22"/>
        </w:rPr>
      </w:pPr>
      <w:r w:rsidRPr="004A2B13">
        <w:rPr>
          <w:rFonts w:ascii="Arial" w:hAnsi="Arial" w:cs="Arial"/>
          <w:b/>
          <w:bCs/>
          <w:sz w:val="22"/>
          <w:szCs w:val="22"/>
        </w:rPr>
        <w:t>Comparación 3</w:t>
      </w:r>
      <w:r w:rsidRPr="004A2B13">
        <w:rPr>
          <w:rFonts w:ascii="Arial" w:hAnsi="Arial" w:cs="Arial"/>
          <w:sz w:val="22"/>
          <w:szCs w:val="22"/>
        </w:rPr>
        <w:t>. Eficiencia relativa</w:t>
      </w:r>
      <w:r w:rsidRPr="004A2B13" w:rsidR="005F76DB">
        <w:rPr>
          <w:rFonts w:ascii="Arial" w:hAnsi="Arial" w:cs="Arial"/>
          <w:sz w:val="22"/>
          <w:szCs w:val="22"/>
        </w:rPr>
        <w:t xml:space="preserve"> de Programa</w:t>
      </w:r>
      <w:r w:rsidRPr="004A2B13">
        <w:rPr>
          <w:rFonts w:ascii="Arial" w:hAnsi="Arial" w:cs="Arial"/>
          <w:sz w:val="22"/>
          <w:szCs w:val="22"/>
        </w:rPr>
        <w:t xml:space="preserve">. </w:t>
      </w:r>
    </w:p>
    <w:p w:rsidRPr="004A2B13" w:rsidR="001E5812" w:rsidP="004A2B13" w:rsidRDefault="001E5812" w14:paraId="5ADB7C87" w14:textId="78416AD6">
      <w:pPr>
        <w:spacing w:before="120" w:after="120"/>
        <w:jc w:val="both"/>
        <w:rPr>
          <w:rFonts w:ascii="Arial" w:hAnsi="Arial" w:cs="Arial"/>
          <w:sz w:val="22"/>
          <w:szCs w:val="22"/>
        </w:rPr>
      </w:pPr>
      <w:r w:rsidRPr="004A2B13">
        <w:rPr>
          <w:rFonts w:ascii="Arial" w:hAnsi="Arial" w:cs="Arial"/>
          <w:sz w:val="22"/>
          <w:szCs w:val="22"/>
        </w:rPr>
        <w:t xml:space="preserve">La Tabla 1.2 muestra el cociente entre costo total de la operación y el costo de intervenciones similares del Componente I y del Componente II del Programa CO-L1265, y el cociente de la operación EC-L1230, que tienen objetivos similares con respecto a fortalecimiento y estructuración, pero difieren en la madurez de país con respecto al uso de APP. </w:t>
      </w:r>
    </w:p>
    <w:p w:rsidRPr="00AC11F9" w:rsidR="001E5812" w:rsidP="004A2B13" w:rsidRDefault="001E5812" w14:paraId="2BFDBA8F" w14:textId="7070D53C">
      <w:pPr>
        <w:spacing w:before="120" w:after="120"/>
        <w:jc w:val="center"/>
        <w:rPr>
          <w:rFonts w:ascii="Arial" w:hAnsi="Arial" w:cs="Arial"/>
          <w:sz w:val="20"/>
          <w:szCs w:val="20"/>
        </w:rPr>
      </w:pPr>
      <w:r w:rsidRPr="00AC11F9">
        <w:rPr>
          <w:rFonts w:ascii="Arial" w:hAnsi="Arial" w:cs="Arial"/>
          <w:sz w:val="20"/>
          <w:szCs w:val="20"/>
        </w:rPr>
        <w:t>Tabla 1.2. Comparación de eficiencia relativa de Programa</w:t>
      </w:r>
    </w:p>
    <w:tbl>
      <w:tblPr>
        <w:tblStyle w:val="TableGrid"/>
        <w:tblW w:w="0" w:type="auto"/>
        <w:tblLook w:val="04A0" w:firstRow="1" w:lastRow="0" w:firstColumn="1" w:lastColumn="0" w:noHBand="0" w:noVBand="1"/>
      </w:tblPr>
      <w:tblGrid>
        <w:gridCol w:w="1838"/>
        <w:gridCol w:w="3544"/>
        <w:gridCol w:w="3446"/>
      </w:tblGrid>
      <w:tr w:rsidRPr="005C56BA" w:rsidR="001E5812" w:rsidTr="75C3974D" w14:paraId="53EBE659" w14:textId="77777777">
        <w:tc>
          <w:tcPr>
            <w:tcW w:w="8828" w:type="dxa"/>
            <w:gridSpan w:val="3"/>
            <w:shd w:val="clear" w:color="auto" w:fill="E7E6E6" w:themeFill="background2"/>
            <w:tcMar/>
            <w:vAlign w:val="center"/>
          </w:tcPr>
          <w:p w:rsidRPr="005C56BA" w:rsidR="001E5812" w:rsidP="005C56BA" w:rsidRDefault="001E5812" w14:paraId="2EE2F55E" w14:textId="77777777">
            <w:pPr>
              <w:jc w:val="center"/>
              <w:rPr>
                <w:rFonts w:ascii="Arial" w:hAnsi="Arial" w:cs="Arial"/>
                <w:b/>
                <w:bCs/>
                <w:sz w:val="20"/>
                <w:szCs w:val="20"/>
              </w:rPr>
            </w:pPr>
            <w:r w:rsidRPr="005C56BA">
              <w:rPr>
                <w:rFonts w:ascii="Arial" w:hAnsi="Arial" w:cs="Arial"/>
                <w:b/>
                <w:bCs/>
                <w:sz w:val="20"/>
                <w:szCs w:val="20"/>
              </w:rPr>
              <w:t>Componente I</w:t>
            </w:r>
          </w:p>
        </w:tc>
      </w:tr>
      <w:tr w:rsidRPr="005C56BA" w:rsidR="001E5812" w:rsidTr="75C3974D" w14:paraId="1DBC17D8" w14:textId="77777777">
        <w:trPr>
          <w:trHeight w:val="427"/>
        </w:trPr>
        <w:tc>
          <w:tcPr>
            <w:tcW w:w="1838" w:type="dxa"/>
            <w:tcMar/>
            <w:vAlign w:val="center"/>
          </w:tcPr>
          <w:p w:rsidRPr="005C56BA" w:rsidR="001E5812" w:rsidP="005C56BA" w:rsidRDefault="001E5812" w14:paraId="1BF0BDF3" w14:textId="77777777">
            <w:pPr>
              <w:jc w:val="center"/>
              <w:rPr>
                <w:rFonts w:ascii="Arial" w:hAnsi="Arial" w:cs="Arial"/>
                <w:sz w:val="20"/>
                <w:szCs w:val="20"/>
              </w:rPr>
            </w:pPr>
            <w:r w:rsidRPr="005C56BA">
              <w:rPr>
                <w:rFonts w:ascii="Arial" w:hAnsi="Arial" w:cs="Arial"/>
                <w:sz w:val="20"/>
                <w:szCs w:val="20"/>
              </w:rPr>
              <w:t>Proyecto</w:t>
            </w:r>
          </w:p>
        </w:tc>
        <w:tc>
          <w:tcPr>
            <w:tcW w:w="3544" w:type="dxa"/>
            <w:tcMar/>
            <w:vAlign w:val="center"/>
          </w:tcPr>
          <w:p w:rsidRPr="005C56BA" w:rsidR="001E5812" w:rsidP="005C56BA" w:rsidRDefault="001E5812" w14:paraId="76411BBF" w14:textId="77777777">
            <w:pPr>
              <w:jc w:val="center"/>
              <w:rPr>
                <w:rFonts w:ascii="Arial" w:hAnsi="Arial" w:cs="Arial"/>
                <w:sz w:val="20"/>
                <w:szCs w:val="20"/>
              </w:rPr>
            </w:pPr>
            <w:r w:rsidRPr="005C56BA">
              <w:rPr>
                <w:rFonts w:ascii="Arial" w:hAnsi="Arial" w:cs="Arial"/>
                <w:sz w:val="20"/>
                <w:szCs w:val="20"/>
              </w:rPr>
              <w:t>Costo relativo</w:t>
            </w:r>
          </w:p>
          <w:p w:rsidRPr="005C56BA" w:rsidR="001E5812" w:rsidP="005C56BA" w:rsidRDefault="001E5812" w14:paraId="34067E54" w14:textId="0330D4B4">
            <w:pPr>
              <w:jc w:val="center"/>
              <w:rPr>
                <w:rFonts w:ascii="Arial" w:hAnsi="Arial" w:cs="Arial"/>
                <w:sz w:val="20"/>
                <w:szCs w:val="20"/>
              </w:rPr>
            </w:pPr>
            <w:r w:rsidRPr="005C56BA">
              <w:rPr>
                <w:rFonts w:ascii="Arial" w:hAnsi="Arial" w:cs="Arial"/>
                <w:sz w:val="20"/>
                <w:szCs w:val="20"/>
              </w:rPr>
              <w:t>Programa</w:t>
            </w:r>
          </w:p>
        </w:tc>
        <w:tc>
          <w:tcPr>
            <w:tcW w:w="3446" w:type="dxa"/>
            <w:tcMar/>
            <w:vAlign w:val="center"/>
          </w:tcPr>
          <w:p w:rsidRPr="005C56BA" w:rsidR="001E5812" w:rsidP="005C56BA" w:rsidRDefault="001E5812" w14:paraId="61562460" w14:textId="77777777">
            <w:pPr>
              <w:jc w:val="center"/>
              <w:rPr>
                <w:rFonts w:ascii="Arial" w:hAnsi="Arial" w:cs="Arial"/>
                <w:sz w:val="20"/>
                <w:szCs w:val="20"/>
              </w:rPr>
            </w:pPr>
            <w:r w:rsidRPr="005C56BA">
              <w:rPr>
                <w:rFonts w:ascii="Arial" w:hAnsi="Arial" w:cs="Arial"/>
                <w:sz w:val="20"/>
                <w:szCs w:val="20"/>
              </w:rPr>
              <w:t>Costo relativo</w:t>
            </w:r>
          </w:p>
          <w:p w:rsidRPr="005C56BA" w:rsidR="001E5812" w:rsidP="005C56BA" w:rsidRDefault="001E5812" w14:paraId="608D09C1" w14:textId="4F1D39E1">
            <w:pPr>
              <w:jc w:val="center"/>
              <w:rPr>
                <w:rFonts w:ascii="Arial" w:hAnsi="Arial" w:cs="Arial"/>
                <w:sz w:val="20"/>
                <w:szCs w:val="20"/>
              </w:rPr>
            </w:pPr>
            <w:r w:rsidRPr="005C56BA">
              <w:rPr>
                <w:rFonts w:ascii="Arial" w:hAnsi="Arial" w:cs="Arial"/>
                <w:sz w:val="20"/>
                <w:szCs w:val="20"/>
              </w:rPr>
              <w:t>Control</w:t>
            </w:r>
          </w:p>
        </w:tc>
      </w:tr>
      <w:tr w:rsidRPr="005C56BA" w:rsidR="001E5812" w:rsidTr="75C3974D" w14:paraId="423AE98A" w14:textId="77777777">
        <w:tc>
          <w:tcPr>
            <w:tcW w:w="1838" w:type="dxa"/>
            <w:tcMar/>
            <w:vAlign w:val="center"/>
          </w:tcPr>
          <w:p w:rsidRPr="005C56BA" w:rsidR="001E5812" w:rsidP="005C56BA" w:rsidRDefault="001E5812" w14:paraId="53EB6E11" w14:textId="017CA6D6">
            <w:pPr>
              <w:rPr>
                <w:rFonts w:ascii="Arial" w:hAnsi="Arial" w:cs="Arial"/>
                <w:sz w:val="20"/>
                <w:szCs w:val="20"/>
              </w:rPr>
            </w:pPr>
            <w:r w:rsidRPr="005C56BA">
              <w:rPr>
                <w:rFonts w:ascii="Arial" w:hAnsi="Arial" w:cs="Arial"/>
                <w:sz w:val="20"/>
                <w:szCs w:val="20"/>
              </w:rPr>
              <w:t>Estructuración aguas residuales</w:t>
            </w:r>
          </w:p>
        </w:tc>
        <w:tc>
          <w:tcPr>
            <w:tcW w:w="3544" w:type="dxa"/>
            <w:tcMar/>
            <w:vAlign w:val="center"/>
          </w:tcPr>
          <w:p w:rsidRPr="005C56BA" w:rsidR="001E5812" w:rsidP="005C56BA" w:rsidRDefault="001E5812" w14:paraId="01C9F53F" w14:textId="77777777">
            <w:pPr>
              <w:jc w:val="center"/>
              <w:rPr>
                <w:rFonts w:ascii="Arial" w:hAnsi="Arial" w:cs="Arial"/>
                <w:sz w:val="20"/>
                <w:szCs w:val="20"/>
                <w:lang w:val="en-US"/>
              </w:rPr>
            </w:pPr>
            <w:r w:rsidRPr="005C56BA">
              <w:rPr>
                <w:rFonts w:ascii="Arial" w:hAnsi="Arial" w:cs="Arial"/>
                <w:sz w:val="20"/>
                <w:szCs w:val="20"/>
                <w:lang w:val="en-US"/>
              </w:rPr>
              <w:t>(US$ 15 millones) / (US$ 0,74/hab) =</w:t>
            </w:r>
          </w:p>
          <w:p w:rsidRPr="005C56BA" w:rsidR="001E5812" w:rsidP="005C56BA" w:rsidRDefault="001E5812" w14:paraId="3BD21F5E" w14:textId="77777777">
            <w:pPr>
              <w:jc w:val="center"/>
              <w:rPr>
                <w:rFonts w:ascii="Arial" w:hAnsi="Arial" w:cs="Arial"/>
                <w:sz w:val="20"/>
                <w:szCs w:val="20"/>
                <w:lang w:val="en-US"/>
              </w:rPr>
            </w:pPr>
            <w:r w:rsidRPr="005C56BA">
              <w:rPr>
                <w:rFonts w:ascii="Arial" w:hAnsi="Arial" w:cs="Arial"/>
                <w:sz w:val="20"/>
                <w:szCs w:val="20"/>
                <w:lang w:val="en-US"/>
              </w:rPr>
              <w:t>20,3</w:t>
            </w:r>
          </w:p>
          <w:p w:rsidRPr="005C56BA" w:rsidR="001E5812" w:rsidP="005C56BA" w:rsidRDefault="00302E5B" w14:paraId="070A3CCF" w14:textId="20FACD1D">
            <w:pPr>
              <w:jc w:val="center"/>
              <w:rPr>
                <w:rFonts w:ascii="Arial" w:hAnsi="Arial" w:cs="Arial"/>
                <w:sz w:val="20"/>
                <w:szCs w:val="20"/>
                <w:lang w:val="en-US"/>
              </w:rPr>
            </w:pPr>
            <w:r w:rsidRPr="005C56BA">
              <w:rPr>
                <w:rFonts w:ascii="Arial" w:hAnsi="Arial" w:cs="Arial"/>
                <w:sz w:val="20"/>
                <w:szCs w:val="20"/>
                <w:lang w:val="en-US"/>
              </w:rPr>
              <w:t>Bucaramanga</w:t>
            </w:r>
          </w:p>
        </w:tc>
        <w:tc>
          <w:tcPr>
            <w:tcW w:w="3446" w:type="dxa"/>
            <w:tcMar/>
            <w:vAlign w:val="center"/>
          </w:tcPr>
          <w:p w:rsidRPr="005C56BA" w:rsidR="001E5812" w:rsidP="005C56BA" w:rsidRDefault="001E5812" w14:paraId="2ECB8BA5" w14:textId="4D9608E1">
            <w:pPr>
              <w:jc w:val="center"/>
              <w:rPr>
                <w:rFonts w:ascii="Arial" w:hAnsi="Arial" w:cs="Arial"/>
                <w:sz w:val="20"/>
                <w:szCs w:val="20"/>
                <w:lang w:val="es-419"/>
              </w:rPr>
            </w:pPr>
            <w:r w:rsidRPr="005C56BA">
              <w:rPr>
                <w:rFonts w:ascii="Arial" w:hAnsi="Arial" w:cs="Arial"/>
                <w:sz w:val="20"/>
                <w:szCs w:val="20"/>
                <w:lang w:val="es-419"/>
              </w:rPr>
              <w:t>(US$ 50 millones / (US$ 1,90/hab) =</w:t>
            </w:r>
          </w:p>
          <w:p w:rsidRPr="005C56BA" w:rsidR="001E5812" w:rsidP="005C56BA" w:rsidRDefault="001E5812" w14:paraId="416BAF3D" w14:textId="77777777">
            <w:pPr>
              <w:jc w:val="center"/>
              <w:rPr>
                <w:rFonts w:ascii="Arial" w:hAnsi="Arial" w:cs="Arial"/>
                <w:sz w:val="20"/>
                <w:szCs w:val="20"/>
                <w:lang w:val="es-419"/>
              </w:rPr>
            </w:pPr>
            <w:r w:rsidRPr="005C56BA">
              <w:rPr>
                <w:rFonts w:ascii="Arial" w:hAnsi="Arial" w:cs="Arial"/>
                <w:sz w:val="20"/>
                <w:szCs w:val="20"/>
                <w:lang w:val="es-419"/>
              </w:rPr>
              <w:t>26,3</w:t>
            </w:r>
          </w:p>
          <w:p w:rsidRPr="005C56BA" w:rsidR="004E601F" w:rsidP="005C56BA" w:rsidRDefault="004E601F" w14:paraId="51B9067E" w14:textId="4D122EB1">
            <w:pPr>
              <w:jc w:val="center"/>
              <w:rPr>
                <w:rFonts w:ascii="Arial" w:hAnsi="Arial" w:cs="Arial"/>
                <w:sz w:val="20"/>
                <w:szCs w:val="20"/>
                <w:lang w:val="es-419"/>
              </w:rPr>
            </w:pPr>
            <w:r w:rsidRPr="005C56BA">
              <w:rPr>
                <w:rFonts w:ascii="Arial" w:hAnsi="Arial" w:cs="Arial"/>
                <w:sz w:val="20"/>
                <w:szCs w:val="20"/>
                <w:lang w:val="es-419"/>
              </w:rPr>
              <w:t>Cuenca</w:t>
            </w:r>
          </w:p>
        </w:tc>
      </w:tr>
      <w:tr w:rsidRPr="005C56BA" w:rsidR="001E5812" w:rsidTr="75C3974D" w14:paraId="436B7841" w14:textId="77777777">
        <w:tc>
          <w:tcPr>
            <w:tcW w:w="8828" w:type="dxa"/>
            <w:gridSpan w:val="3"/>
            <w:shd w:val="clear" w:color="auto" w:fill="E7E6E6" w:themeFill="background2"/>
            <w:tcMar/>
          </w:tcPr>
          <w:p w:rsidRPr="005C56BA" w:rsidR="001E5812" w:rsidP="005C56BA" w:rsidRDefault="001E5812" w14:paraId="691E1DD6" w14:textId="77777777">
            <w:pPr>
              <w:jc w:val="center"/>
              <w:rPr>
                <w:rFonts w:ascii="Arial" w:hAnsi="Arial" w:cs="Arial"/>
                <w:b/>
                <w:bCs/>
                <w:sz w:val="20"/>
                <w:szCs w:val="20"/>
              </w:rPr>
            </w:pPr>
            <w:r w:rsidRPr="005C56BA">
              <w:rPr>
                <w:rFonts w:ascii="Arial" w:hAnsi="Arial" w:cs="Arial"/>
                <w:b/>
                <w:bCs/>
                <w:sz w:val="20"/>
                <w:szCs w:val="20"/>
              </w:rPr>
              <w:t>Componente II</w:t>
            </w:r>
          </w:p>
        </w:tc>
      </w:tr>
      <w:tr w:rsidRPr="005C56BA" w:rsidR="001E5812" w:rsidTr="75C3974D" w14:paraId="3D4B067C" w14:textId="77777777">
        <w:tc>
          <w:tcPr>
            <w:tcW w:w="1838" w:type="dxa"/>
            <w:tcMar/>
            <w:vAlign w:val="center"/>
          </w:tcPr>
          <w:p w:rsidRPr="005C56BA" w:rsidR="001E5812" w:rsidP="005C56BA" w:rsidRDefault="001E5812" w14:paraId="0CF12378" w14:textId="77777777">
            <w:pPr>
              <w:rPr>
                <w:rFonts w:ascii="Arial" w:hAnsi="Arial" w:cs="Arial"/>
                <w:sz w:val="20"/>
                <w:szCs w:val="20"/>
              </w:rPr>
            </w:pPr>
            <w:r w:rsidRPr="005C56BA">
              <w:rPr>
                <w:rFonts w:ascii="Arial" w:hAnsi="Arial" w:cs="Arial"/>
                <w:sz w:val="20"/>
                <w:szCs w:val="20"/>
              </w:rPr>
              <w:t xml:space="preserve">Paquete de </w:t>
            </w:r>
            <w:r w:rsidRPr="005C56BA">
              <w:rPr>
                <w:rFonts w:ascii="Arial" w:hAnsi="Arial" w:cs="Arial"/>
                <w:b/>
                <w:bCs/>
                <w:sz w:val="20"/>
                <w:szCs w:val="20"/>
              </w:rPr>
              <w:t>3</w:t>
            </w:r>
            <w:r w:rsidRPr="005C56BA">
              <w:rPr>
                <w:rFonts w:ascii="Arial" w:hAnsi="Arial" w:cs="Arial"/>
                <w:sz w:val="20"/>
                <w:szCs w:val="20"/>
              </w:rPr>
              <w:t xml:space="preserve"> intervenciones de fortalecimiento </w:t>
            </w:r>
          </w:p>
        </w:tc>
        <w:tc>
          <w:tcPr>
            <w:tcW w:w="3544" w:type="dxa"/>
            <w:tcMar/>
            <w:vAlign w:val="center"/>
          </w:tcPr>
          <w:p w:rsidRPr="005C56BA" w:rsidR="001E5812" w:rsidP="005C56BA" w:rsidRDefault="001E5812" w14:paraId="19EA5B82" w14:textId="77777777">
            <w:pPr>
              <w:jc w:val="center"/>
              <w:rPr>
                <w:rFonts w:ascii="Arial" w:hAnsi="Arial" w:cs="Arial"/>
                <w:sz w:val="20"/>
                <w:szCs w:val="20"/>
              </w:rPr>
            </w:pPr>
            <w:r w:rsidRPr="005C56BA">
              <w:rPr>
                <w:rFonts w:ascii="Arial" w:hAnsi="Arial" w:cs="Arial"/>
                <w:sz w:val="20"/>
                <w:szCs w:val="20"/>
              </w:rPr>
              <w:t>(US$ 15 mill) / (US$ 0,5 mill)</w:t>
            </w:r>
          </w:p>
          <w:p w:rsidRPr="005C56BA" w:rsidR="001E5812" w:rsidP="005C56BA" w:rsidRDefault="001E5812" w14:paraId="4EC54472" w14:textId="77777777">
            <w:pPr>
              <w:jc w:val="center"/>
              <w:rPr>
                <w:rFonts w:ascii="Arial" w:hAnsi="Arial" w:cs="Arial"/>
                <w:sz w:val="20"/>
                <w:szCs w:val="20"/>
              </w:rPr>
            </w:pPr>
            <w:r w:rsidRPr="005C56BA">
              <w:rPr>
                <w:rFonts w:ascii="Arial" w:hAnsi="Arial" w:cs="Arial"/>
                <w:sz w:val="20"/>
                <w:szCs w:val="20"/>
              </w:rPr>
              <w:t>=</w:t>
            </w:r>
          </w:p>
          <w:p w:rsidRPr="005C56BA" w:rsidR="001E5812" w:rsidP="005C56BA" w:rsidRDefault="001E5812" w14:paraId="00DFA86D" w14:textId="77777777">
            <w:pPr>
              <w:jc w:val="center"/>
              <w:rPr>
                <w:rFonts w:ascii="Arial" w:hAnsi="Arial" w:cs="Arial"/>
                <w:sz w:val="20"/>
                <w:szCs w:val="20"/>
              </w:rPr>
            </w:pPr>
            <w:r w:rsidRPr="005C56BA">
              <w:rPr>
                <w:rFonts w:ascii="Arial" w:hAnsi="Arial" w:cs="Arial"/>
                <w:sz w:val="20"/>
                <w:szCs w:val="20"/>
              </w:rPr>
              <w:t>30,0</w:t>
            </w:r>
          </w:p>
        </w:tc>
        <w:tc>
          <w:tcPr>
            <w:tcW w:w="3446" w:type="dxa"/>
            <w:tcMar/>
          </w:tcPr>
          <w:p w:rsidRPr="005C56BA" w:rsidR="001E5812" w:rsidP="005C56BA" w:rsidRDefault="001E5812" w14:paraId="1F4D1D5D" w14:textId="77777777">
            <w:pPr>
              <w:jc w:val="center"/>
              <w:rPr>
                <w:rFonts w:ascii="Arial" w:hAnsi="Arial" w:cs="Arial"/>
                <w:sz w:val="20"/>
                <w:szCs w:val="20"/>
              </w:rPr>
            </w:pPr>
            <w:r w:rsidRPr="005C56BA">
              <w:rPr>
                <w:rFonts w:ascii="Arial" w:hAnsi="Arial" w:cs="Arial"/>
                <w:sz w:val="20"/>
                <w:szCs w:val="20"/>
              </w:rPr>
              <w:t>(US$ 50 millones) / (US$ 1.07 mill)</w:t>
            </w:r>
          </w:p>
          <w:p w:rsidRPr="005C56BA" w:rsidR="001E5812" w:rsidP="005C56BA" w:rsidRDefault="001E5812" w14:paraId="6C6C425D" w14:textId="77777777">
            <w:pPr>
              <w:jc w:val="center"/>
              <w:rPr>
                <w:rFonts w:ascii="Arial" w:hAnsi="Arial" w:cs="Arial"/>
                <w:sz w:val="20"/>
                <w:szCs w:val="20"/>
              </w:rPr>
            </w:pPr>
            <w:r w:rsidRPr="005C56BA">
              <w:rPr>
                <w:rFonts w:ascii="Arial" w:hAnsi="Arial" w:cs="Arial"/>
                <w:sz w:val="20"/>
                <w:szCs w:val="20"/>
              </w:rPr>
              <w:t>=</w:t>
            </w:r>
          </w:p>
          <w:p w:rsidRPr="005C56BA" w:rsidR="001E5812" w:rsidP="005C56BA" w:rsidRDefault="001E5812" w14:paraId="103ADD5E" w14:textId="77777777">
            <w:pPr>
              <w:jc w:val="center"/>
              <w:rPr>
                <w:rFonts w:ascii="Arial" w:hAnsi="Arial" w:cs="Arial"/>
                <w:sz w:val="20"/>
                <w:szCs w:val="20"/>
              </w:rPr>
            </w:pPr>
            <w:r w:rsidRPr="005C56BA">
              <w:rPr>
                <w:rFonts w:ascii="Arial" w:hAnsi="Arial" w:cs="Arial"/>
                <w:sz w:val="20"/>
                <w:szCs w:val="20"/>
              </w:rPr>
              <w:t>46,7</w:t>
            </w:r>
          </w:p>
        </w:tc>
      </w:tr>
    </w:tbl>
    <w:p w:rsidR="75C3974D" w:rsidRDefault="75C3974D" w14:paraId="55EF9272" w14:textId="20954B65"/>
    <w:p w:rsidRPr="005C56BA" w:rsidR="001E5812" w:rsidP="004A2B13" w:rsidRDefault="001E5812" w14:paraId="1F574A37" w14:textId="77777777">
      <w:pPr>
        <w:spacing w:before="120" w:after="120"/>
        <w:jc w:val="center"/>
        <w:rPr>
          <w:rFonts w:ascii="Arial" w:hAnsi="Arial" w:cs="Arial"/>
          <w:sz w:val="20"/>
          <w:szCs w:val="20"/>
        </w:rPr>
      </w:pPr>
      <w:r w:rsidRPr="005C56BA">
        <w:rPr>
          <w:rFonts w:ascii="Arial" w:hAnsi="Arial" w:cs="Arial"/>
          <w:sz w:val="20"/>
          <w:szCs w:val="20"/>
        </w:rPr>
        <w:t>Fuente: elaboración propia</w:t>
      </w:r>
    </w:p>
    <w:p w:rsidRPr="004A2B13" w:rsidR="001E5812" w:rsidP="004A2B13" w:rsidRDefault="001E5812" w14:paraId="72C6D7E0" w14:textId="77777777">
      <w:pPr>
        <w:spacing w:before="120" w:after="120"/>
        <w:jc w:val="both"/>
        <w:rPr>
          <w:rFonts w:ascii="Arial" w:hAnsi="Arial" w:cs="Arial"/>
          <w:sz w:val="22"/>
          <w:szCs w:val="22"/>
        </w:rPr>
      </w:pPr>
    </w:p>
    <w:p w:rsidRPr="004A2B13" w:rsidR="000E0B54" w:rsidP="004A2B13" w:rsidRDefault="000E0B54" w14:paraId="73B9B8C1" w14:textId="77777777">
      <w:pPr>
        <w:spacing w:before="120" w:after="120"/>
        <w:jc w:val="both"/>
        <w:rPr>
          <w:rFonts w:ascii="Arial" w:hAnsi="Arial" w:cs="Arial"/>
          <w:sz w:val="22"/>
          <w:szCs w:val="22"/>
        </w:rPr>
      </w:pPr>
      <w:r w:rsidRPr="004A2B13">
        <w:rPr>
          <w:rFonts w:ascii="Arial" w:hAnsi="Arial" w:cs="Arial"/>
          <w:sz w:val="22"/>
          <w:szCs w:val="22"/>
        </w:rPr>
        <w:t xml:space="preserve">Se comprueba la mayor eficacia relativa de los recursos usados en el Programa CO-L1265. </w:t>
      </w:r>
    </w:p>
    <w:p w:rsidRPr="004A2B13" w:rsidR="00B81458" w:rsidP="004A2B13" w:rsidRDefault="00B81458" w14:paraId="40D28A2F" w14:textId="07B1C281">
      <w:pPr>
        <w:spacing w:before="120" w:after="120"/>
        <w:rPr>
          <w:rFonts w:ascii="Arial" w:hAnsi="Arial" w:cs="Arial"/>
          <w:sz w:val="22"/>
          <w:szCs w:val="22"/>
        </w:rPr>
      </w:pPr>
      <w:r w:rsidRPr="004A2B13">
        <w:rPr>
          <w:rFonts w:ascii="Arial" w:hAnsi="Arial" w:cs="Arial"/>
          <w:sz w:val="22"/>
          <w:szCs w:val="22"/>
        </w:rPr>
        <w:br w:type="page"/>
      </w:r>
    </w:p>
    <w:p w:rsidRPr="004A2B13" w:rsidR="00503665" w:rsidP="004A2B13" w:rsidRDefault="00771ADF" w14:paraId="3A0C5F78" w14:textId="4BB3284B">
      <w:pPr>
        <w:pStyle w:val="ListParagraph"/>
        <w:numPr>
          <w:ilvl w:val="0"/>
          <w:numId w:val="14"/>
        </w:numPr>
        <w:spacing w:before="120" w:after="120"/>
        <w:contextualSpacing w:val="0"/>
        <w:jc w:val="both"/>
        <w:rPr>
          <w:rFonts w:ascii="Arial" w:hAnsi="Arial" w:cs="Arial"/>
          <w:b/>
          <w:bCs/>
          <w:sz w:val="22"/>
          <w:szCs w:val="22"/>
          <w:lang w:val="es-ES"/>
        </w:rPr>
      </w:pPr>
      <w:r w:rsidRPr="004A2B13">
        <w:rPr>
          <w:rFonts w:ascii="Arial" w:hAnsi="Arial" w:cs="Arial"/>
          <w:b/>
          <w:bCs/>
          <w:sz w:val="22"/>
          <w:szCs w:val="22"/>
          <w:lang w:val="es-ES"/>
        </w:rPr>
        <w:lastRenderedPageBreak/>
        <w:t>Contexto</w:t>
      </w:r>
      <w:r w:rsidRPr="004A2B13" w:rsidR="005D4295">
        <w:rPr>
          <w:rFonts w:ascii="Arial" w:hAnsi="Arial" w:cs="Arial"/>
          <w:b/>
          <w:bCs/>
          <w:sz w:val="22"/>
          <w:szCs w:val="22"/>
          <w:lang w:val="es-ES"/>
        </w:rPr>
        <w:t xml:space="preserve"> de la evaluación</w:t>
      </w:r>
    </w:p>
    <w:p w:rsidRPr="004A2B13" w:rsidR="00503665" w:rsidP="004A2B13" w:rsidRDefault="00503665" w14:paraId="07B75208" w14:textId="2C9A89D7">
      <w:pPr>
        <w:spacing w:before="120" w:after="120"/>
        <w:jc w:val="both"/>
        <w:rPr>
          <w:rFonts w:ascii="Arial" w:hAnsi="Arial" w:cs="Arial"/>
          <w:sz w:val="22"/>
          <w:szCs w:val="22"/>
        </w:rPr>
      </w:pPr>
      <w:r w:rsidRPr="004A2B13">
        <w:rPr>
          <w:rFonts w:ascii="Arial" w:hAnsi="Arial" w:cs="Arial"/>
          <w:sz w:val="22"/>
          <w:szCs w:val="22"/>
        </w:rPr>
        <w:t>La operación se plantea en el siguiente contexto</w:t>
      </w:r>
      <w:r w:rsidRPr="004A2B13" w:rsidR="007C1650">
        <w:rPr>
          <w:rFonts w:ascii="Arial" w:hAnsi="Arial" w:cs="Arial"/>
          <w:sz w:val="22"/>
          <w:szCs w:val="22"/>
        </w:rPr>
        <w:t xml:space="preserve"> de evaluación</w:t>
      </w:r>
      <w:r w:rsidRPr="004A2B13">
        <w:rPr>
          <w:rFonts w:ascii="Arial" w:hAnsi="Arial" w:cs="Arial"/>
          <w:sz w:val="22"/>
          <w:szCs w:val="22"/>
        </w:rPr>
        <w:t xml:space="preserve">: </w:t>
      </w:r>
    </w:p>
    <w:p w:rsidRPr="004A2B13" w:rsidR="00900225" w:rsidP="004A2B13" w:rsidRDefault="005870C2" w14:paraId="163D0318" w14:textId="6AEA07CB">
      <w:pPr>
        <w:pStyle w:val="ListParagraph"/>
        <w:numPr>
          <w:ilvl w:val="0"/>
          <w:numId w:val="26"/>
        </w:numPr>
        <w:spacing w:before="120" w:after="120"/>
        <w:contextualSpacing w:val="0"/>
        <w:jc w:val="both"/>
        <w:rPr>
          <w:rFonts w:ascii="Arial" w:hAnsi="Arial" w:cs="Arial"/>
          <w:sz w:val="22"/>
          <w:szCs w:val="22"/>
        </w:rPr>
      </w:pPr>
      <w:r w:rsidRPr="004A2B13">
        <w:rPr>
          <w:rFonts w:ascii="Arial" w:hAnsi="Arial" w:cs="Arial"/>
          <w:sz w:val="22"/>
          <w:szCs w:val="22"/>
        </w:rPr>
        <w:t xml:space="preserve">Se financiarán estudios transversales, y </w:t>
      </w:r>
      <w:r w:rsidRPr="004A2B13" w:rsidR="00900225">
        <w:rPr>
          <w:rFonts w:ascii="Arial" w:hAnsi="Arial" w:cs="Arial"/>
          <w:sz w:val="22"/>
          <w:szCs w:val="22"/>
        </w:rPr>
        <w:t xml:space="preserve">estructuraciones de APP en transporte y logística, transporte urbano, minas y energía, agua y saneamiento, y salud. </w:t>
      </w:r>
      <w:r w:rsidRPr="004A2B13" w:rsidR="009671D3">
        <w:rPr>
          <w:rFonts w:ascii="Arial" w:hAnsi="Arial" w:cs="Arial"/>
          <w:sz w:val="22"/>
          <w:szCs w:val="22"/>
        </w:rPr>
        <w:t xml:space="preserve">Las estructuraciones </w:t>
      </w:r>
      <w:r w:rsidRPr="004A2B13" w:rsidR="00FD5C94">
        <w:rPr>
          <w:rFonts w:ascii="Arial" w:hAnsi="Arial" w:cs="Arial"/>
          <w:sz w:val="22"/>
          <w:szCs w:val="22"/>
        </w:rPr>
        <w:t>identifican</w:t>
      </w:r>
      <w:r w:rsidRPr="004A2B13" w:rsidR="00382A03">
        <w:rPr>
          <w:rFonts w:ascii="Arial" w:hAnsi="Arial" w:cs="Arial"/>
          <w:sz w:val="22"/>
          <w:szCs w:val="22"/>
        </w:rPr>
        <w:t xml:space="preserve"> </w:t>
      </w:r>
      <w:r w:rsidRPr="004A2B13" w:rsidR="00FD5C94">
        <w:rPr>
          <w:rFonts w:ascii="Arial" w:hAnsi="Arial" w:cs="Arial"/>
          <w:sz w:val="22"/>
          <w:szCs w:val="22"/>
        </w:rPr>
        <w:t>proyecto</w:t>
      </w:r>
      <w:r w:rsidRPr="004A2B13" w:rsidR="00382A03">
        <w:rPr>
          <w:rFonts w:ascii="Arial" w:hAnsi="Arial" w:cs="Arial"/>
          <w:sz w:val="22"/>
          <w:szCs w:val="22"/>
        </w:rPr>
        <w:t>s</w:t>
      </w:r>
      <w:r w:rsidRPr="004A2B13" w:rsidR="00FD5C94">
        <w:rPr>
          <w:rFonts w:ascii="Arial" w:hAnsi="Arial" w:cs="Arial"/>
          <w:sz w:val="22"/>
          <w:szCs w:val="22"/>
        </w:rPr>
        <w:t xml:space="preserve"> (</w:t>
      </w:r>
      <w:r w:rsidRPr="004A2B13" w:rsidR="00F17D2D">
        <w:rPr>
          <w:rFonts w:ascii="Arial" w:hAnsi="Arial" w:cs="Arial"/>
          <w:sz w:val="22"/>
          <w:szCs w:val="22"/>
        </w:rPr>
        <w:t xml:space="preserve">pero no mencionan </w:t>
      </w:r>
      <w:r w:rsidRPr="004A2B13" w:rsidR="00154804">
        <w:rPr>
          <w:rFonts w:ascii="Arial" w:hAnsi="Arial" w:cs="Arial"/>
          <w:sz w:val="22"/>
          <w:szCs w:val="22"/>
        </w:rPr>
        <w:t xml:space="preserve">niveles </w:t>
      </w:r>
      <w:r w:rsidRPr="004A2B13" w:rsidR="00F17D2D">
        <w:rPr>
          <w:rFonts w:ascii="Arial" w:hAnsi="Arial" w:cs="Arial"/>
          <w:sz w:val="22"/>
          <w:szCs w:val="22"/>
        </w:rPr>
        <w:t>de inversión</w:t>
      </w:r>
      <w:r w:rsidRPr="004A2B13" w:rsidR="00154804">
        <w:rPr>
          <w:rFonts w:ascii="Arial" w:hAnsi="Arial" w:cs="Arial"/>
          <w:sz w:val="22"/>
          <w:szCs w:val="22"/>
        </w:rPr>
        <w:t xml:space="preserve">, que se infieren en los casos </w:t>
      </w:r>
      <w:r w:rsidRPr="004A2B13" w:rsidR="00382EAA">
        <w:rPr>
          <w:rFonts w:ascii="Arial" w:hAnsi="Arial" w:cs="Arial"/>
          <w:sz w:val="22"/>
          <w:szCs w:val="22"/>
        </w:rPr>
        <w:t>más cercanos a inversión</w:t>
      </w:r>
      <w:r w:rsidRPr="004A2B13" w:rsidR="00FD5C94">
        <w:rPr>
          <w:rFonts w:ascii="Arial" w:hAnsi="Arial" w:cs="Arial"/>
          <w:sz w:val="22"/>
          <w:szCs w:val="22"/>
        </w:rPr>
        <w:t>)</w:t>
      </w:r>
      <w:r w:rsidRPr="004A2B13" w:rsidR="009671D3">
        <w:rPr>
          <w:rFonts w:ascii="Arial" w:hAnsi="Arial" w:cs="Arial"/>
          <w:sz w:val="22"/>
          <w:szCs w:val="22"/>
        </w:rPr>
        <w:t xml:space="preserve">. </w:t>
      </w:r>
      <w:r w:rsidRPr="004A2B13" w:rsidR="00356115">
        <w:rPr>
          <w:rFonts w:ascii="Arial" w:hAnsi="Arial" w:cs="Arial"/>
          <w:sz w:val="22"/>
          <w:szCs w:val="22"/>
        </w:rPr>
        <w:t xml:space="preserve">Todos los </w:t>
      </w:r>
      <w:r w:rsidRPr="004A2B13" w:rsidR="00F16C98">
        <w:rPr>
          <w:rFonts w:ascii="Arial" w:hAnsi="Arial" w:cs="Arial"/>
          <w:sz w:val="22"/>
          <w:szCs w:val="22"/>
        </w:rPr>
        <w:t xml:space="preserve">proyectos pertenecen al Componente I, mientras que los Componentes II y III </w:t>
      </w:r>
      <w:r w:rsidRPr="004A2B13" w:rsidR="003D259E">
        <w:rPr>
          <w:rFonts w:ascii="Arial" w:hAnsi="Arial" w:cs="Arial"/>
          <w:sz w:val="22"/>
          <w:szCs w:val="22"/>
        </w:rPr>
        <w:t xml:space="preserve">representan </w:t>
      </w:r>
      <w:r w:rsidRPr="004A2B13" w:rsidR="00923410">
        <w:rPr>
          <w:rFonts w:ascii="Arial" w:hAnsi="Arial" w:cs="Arial"/>
          <w:sz w:val="22"/>
          <w:szCs w:val="22"/>
        </w:rPr>
        <w:t xml:space="preserve">fortalecimiento de capacidades técnicas </w:t>
      </w:r>
      <w:r w:rsidRPr="004A2B13" w:rsidR="00C55DA1">
        <w:rPr>
          <w:rFonts w:ascii="Arial" w:hAnsi="Arial" w:cs="Arial"/>
          <w:sz w:val="22"/>
          <w:szCs w:val="22"/>
        </w:rPr>
        <w:t>de entidades potencialmente concedentes</w:t>
      </w:r>
      <w:r w:rsidRPr="004A2B13" w:rsidR="009676E2">
        <w:rPr>
          <w:rFonts w:ascii="Arial" w:hAnsi="Arial" w:cs="Arial"/>
          <w:sz w:val="22"/>
          <w:szCs w:val="22"/>
        </w:rPr>
        <w:t xml:space="preserve"> y del DNP</w:t>
      </w:r>
      <w:r w:rsidRPr="004A2B13" w:rsidR="00C55DA1">
        <w:rPr>
          <w:rFonts w:ascii="Arial" w:hAnsi="Arial" w:cs="Arial"/>
          <w:sz w:val="22"/>
          <w:szCs w:val="22"/>
        </w:rPr>
        <w:t xml:space="preserve">. </w:t>
      </w:r>
    </w:p>
    <w:p w:rsidRPr="004A2B13" w:rsidR="00BA78EA" w:rsidP="004A2B13" w:rsidRDefault="002C2140" w14:paraId="119D6EB5" w14:textId="50703353">
      <w:pPr>
        <w:pStyle w:val="ListParagraph"/>
        <w:numPr>
          <w:ilvl w:val="0"/>
          <w:numId w:val="26"/>
        </w:numPr>
        <w:spacing w:before="120" w:after="120"/>
        <w:contextualSpacing w:val="0"/>
        <w:jc w:val="both"/>
        <w:rPr>
          <w:rFonts w:ascii="Arial" w:hAnsi="Arial" w:cs="Arial"/>
          <w:sz w:val="22"/>
          <w:szCs w:val="22"/>
        </w:rPr>
      </w:pPr>
      <w:r w:rsidRPr="004A2B13">
        <w:rPr>
          <w:rFonts w:ascii="Arial" w:hAnsi="Arial" w:cs="Arial"/>
          <w:sz w:val="22"/>
          <w:szCs w:val="22"/>
        </w:rPr>
        <w:t>L</w:t>
      </w:r>
      <w:r w:rsidRPr="004A2B13" w:rsidR="00BD57CA">
        <w:rPr>
          <w:rFonts w:ascii="Arial" w:hAnsi="Arial" w:cs="Arial"/>
          <w:sz w:val="22"/>
          <w:szCs w:val="22"/>
        </w:rPr>
        <w:t xml:space="preserve">os estudios </w:t>
      </w:r>
      <w:r w:rsidRPr="004A2B13" w:rsidR="00A07C28">
        <w:rPr>
          <w:rFonts w:ascii="Arial" w:hAnsi="Arial" w:cs="Arial"/>
          <w:sz w:val="22"/>
          <w:szCs w:val="22"/>
        </w:rPr>
        <w:t xml:space="preserve">de consultoría </w:t>
      </w:r>
      <w:r w:rsidRPr="004A2B13" w:rsidR="00BD57CA">
        <w:rPr>
          <w:rFonts w:ascii="Arial" w:hAnsi="Arial" w:cs="Arial"/>
          <w:sz w:val="22"/>
          <w:szCs w:val="22"/>
        </w:rPr>
        <w:t xml:space="preserve">del Programa son </w:t>
      </w:r>
      <w:r w:rsidRPr="004A2B13" w:rsidR="00BF2B07">
        <w:rPr>
          <w:rFonts w:ascii="Arial" w:hAnsi="Arial" w:cs="Arial"/>
          <w:sz w:val="22"/>
          <w:szCs w:val="22"/>
        </w:rPr>
        <w:t xml:space="preserve">de </w:t>
      </w:r>
      <w:r w:rsidRPr="004A2B13" w:rsidR="003E539A">
        <w:rPr>
          <w:rFonts w:ascii="Arial" w:hAnsi="Arial" w:cs="Arial"/>
          <w:sz w:val="22"/>
          <w:szCs w:val="22"/>
        </w:rPr>
        <w:t>alta</w:t>
      </w:r>
      <w:r w:rsidRPr="004A2B13" w:rsidR="00F26B57">
        <w:rPr>
          <w:rFonts w:ascii="Arial" w:hAnsi="Arial" w:cs="Arial"/>
          <w:sz w:val="22"/>
          <w:szCs w:val="22"/>
        </w:rPr>
        <w:t xml:space="preserve"> especialización y complejidad</w:t>
      </w:r>
      <w:r w:rsidRPr="004A2B13" w:rsidR="003E539A">
        <w:rPr>
          <w:rFonts w:ascii="Arial" w:hAnsi="Arial" w:cs="Arial"/>
          <w:sz w:val="22"/>
          <w:szCs w:val="22"/>
        </w:rPr>
        <w:t xml:space="preserve"> y suman un total de </w:t>
      </w:r>
      <w:r w:rsidRPr="004A2B13" w:rsidR="00D96DE8">
        <w:rPr>
          <w:rFonts w:ascii="Arial" w:hAnsi="Arial" w:cs="Arial"/>
          <w:sz w:val="22"/>
          <w:szCs w:val="22"/>
        </w:rPr>
        <w:t>US$ 9,745 millones</w:t>
      </w:r>
      <w:r w:rsidRPr="004A2B13" w:rsidR="00A07C28">
        <w:rPr>
          <w:rFonts w:ascii="Arial" w:hAnsi="Arial" w:cs="Arial"/>
          <w:sz w:val="22"/>
          <w:szCs w:val="22"/>
        </w:rPr>
        <w:t>.</w:t>
      </w:r>
      <w:r w:rsidRPr="004A2B13" w:rsidR="00722445">
        <w:rPr>
          <w:rFonts w:ascii="Arial" w:hAnsi="Arial" w:cs="Arial"/>
          <w:sz w:val="22"/>
          <w:szCs w:val="22"/>
        </w:rPr>
        <w:t xml:space="preserve"> </w:t>
      </w:r>
      <w:r w:rsidRPr="004A2B13" w:rsidR="006A2385">
        <w:rPr>
          <w:rFonts w:ascii="Arial" w:hAnsi="Arial" w:cs="Arial"/>
          <w:sz w:val="22"/>
          <w:szCs w:val="22"/>
        </w:rPr>
        <w:t>Los estudios</w:t>
      </w:r>
      <w:r w:rsidRPr="004A2B13" w:rsidR="00573830">
        <w:rPr>
          <w:rFonts w:ascii="Arial" w:hAnsi="Arial" w:cs="Arial"/>
          <w:sz w:val="22"/>
          <w:szCs w:val="22"/>
        </w:rPr>
        <w:t xml:space="preserve"> </w:t>
      </w:r>
      <w:r w:rsidRPr="004A2B13" w:rsidR="006A2385">
        <w:rPr>
          <w:rFonts w:ascii="Arial" w:hAnsi="Arial" w:cs="Arial"/>
          <w:sz w:val="22"/>
          <w:szCs w:val="22"/>
        </w:rPr>
        <w:t xml:space="preserve">se </w:t>
      </w:r>
      <w:r w:rsidRPr="004A2B13" w:rsidR="00537E7F">
        <w:rPr>
          <w:rFonts w:ascii="Arial" w:hAnsi="Arial" w:cs="Arial"/>
          <w:sz w:val="22"/>
          <w:szCs w:val="22"/>
        </w:rPr>
        <w:t xml:space="preserve">clasifican por </w:t>
      </w:r>
      <w:r w:rsidRPr="004A2B13" w:rsidR="00263543">
        <w:rPr>
          <w:rFonts w:ascii="Arial" w:hAnsi="Arial" w:cs="Arial"/>
          <w:sz w:val="22"/>
          <w:szCs w:val="22"/>
        </w:rPr>
        <w:t xml:space="preserve">componente y monto </w:t>
      </w:r>
      <w:r w:rsidRPr="004A2B13" w:rsidR="00537E7F">
        <w:rPr>
          <w:rFonts w:ascii="Arial" w:hAnsi="Arial" w:cs="Arial"/>
          <w:sz w:val="22"/>
          <w:szCs w:val="22"/>
        </w:rPr>
        <w:t>de la siguiente manera:</w:t>
      </w:r>
    </w:p>
    <w:p w:rsidRPr="00FC3DBB" w:rsidR="00537E7F" w:rsidP="004A2B13" w:rsidRDefault="008D4796" w14:paraId="64F3F92F" w14:textId="497D23B6">
      <w:pPr>
        <w:pStyle w:val="ListParagraph"/>
        <w:spacing w:before="120" w:after="120"/>
        <w:ind w:left="360"/>
        <w:contextualSpacing w:val="0"/>
        <w:jc w:val="center"/>
        <w:rPr>
          <w:rFonts w:ascii="Arial" w:hAnsi="Arial" w:cs="Arial"/>
          <w:sz w:val="20"/>
          <w:szCs w:val="20"/>
        </w:rPr>
      </w:pPr>
      <w:r w:rsidRPr="00FC3DBB">
        <w:rPr>
          <w:rFonts w:ascii="Arial" w:hAnsi="Arial" w:cs="Arial"/>
          <w:sz w:val="20"/>
          <w:szCs w:val="20"/>
        </w:rPr>
        <w:t>Tabla 2.1.</w:t>
      </w:r>
      <w:r w:rsidRPr="00FC3DBB" w:rsidR="00471DF1">
        <w:rPr>
          <w:rFonts w:ascii="Arial" w:hAnsi="Arial" w:cs="Arial"/>
          <w:sz w:val="20"/>
          <w:szCs w:val="20"/>
        </w:rPr>
        <w:t xml:space="preserve"> Consultorías por </w:t>
      </w:r>
      <w:r w:rsidRPr="00FC3DBB" w:rsidR="00263543">
        <w:rPr>
          <w:rFonts w:ascii="Arial" w:hAnsi="Arial" w:cs="Arial"/>
          <w:sz w:val="20"/>
          <w:szCs w:val="20"/>
        </w:rPr>
        <w:t xml:space="preserve">componente y </w:t>
      </w:r>
      <w:r w:rsidRPr="00FC3DBB" w:rsidR="00471DF1">
        <w:rPr>
          <w:rFonts w:ascii="Arial" w:hAnsi="Arial" w:cs="Arial"/>
          <w:sz w:val="20"/>
          <w:szCs w:val="20"/>
        </w:rPr>
        <w:t>monto asignado</w:t>
      </w:r>
    </w:p>
    <w:tbl>
      <w:tblPr>
        <w:tblStyle w:val="TableGrid"/>
        <w:tblW w:w="0" w:type="auto"/>
        <w:tblInd w:w="360" w:type="dxa"/>
        <w:tblLook w:val="04A0" w:firstRow="1" w:lastRow="0" w:firstColumn="1" w:lastColumn="0" w:noHBand="0" w:noVBand="1"/>
      </w:tblPr>
      <w:tblGrid>
        <w:gridCol w:w="1476"/>
        <w:gridCol w:w="1310"/>
        <w:gridCol w:w="1129"/>
        <w:gridCol w:w="1127"/>
        <w:gridCol w:w="1130"/>
        <w:gridCol w:w="1127"/>
        <w:gridCol w:w="1169"/>
      </w:tblGrid>
      <w:tr w:rsidRPr="00FC3DBB" w:rsidR="009D7D5C" w:rsidTr="00FC3DBB" w14:paraId="189551A7" w14:textId="77777777">
        <w:tc>
          <w:tcPr>
            <w:tcW w:w="1476" w:type="dxa"/>
            <w:vMerge w:val="restart"/>
            <w:vAlign w:val="center"/>
          </w:tcPr>
          <w:p w:rsidRPr="00FC3DBB" w:rsidR="009D7D5C" w:rsidP="00FC3DBB" w:rsidRDefault="009D7D5C" w14:paraId="52EE46A3" w14:textId="39287179">
            <w:pPr>
              <w:pStyle w:val="ListParagraph"/>
              <w:ind w:left="0"/>
              <w:contextualSpacing w:val="0"/>
              <w:jc w:val="center"/>
              <w:rPr>
                <w:rFonts w:ascii="Arial" w:hAnsi="Arial" w:cs="Arial"/>
                <w:sz w:val="20"/>
                <w:szCs w:val="20"/>
              </w:rPr>
            </w:pPr>
            <w:r w:rsidRPr="00FC3DBB">
              <w:rPr>
                <w:rFonts w:ascii="Arial" w:hAnsi="Arial" w:cs="Arial"/>
                <w:sz w:val="20"/>
                <w:szCs w:val="20"/>
              </w:rPr>
              <w:t>Componente</w:t>
            </w:r>
          </w:p>
        </w:tc>
        <w:tc>
          <w:tcPr>
            <w:tcW w:w="1310" w:type="dxa"/>
            <w:vMerge w:val="restart"/>
            <w:vAlign w:val="center"/>
          </w:tcPr>
          <w:p w:rsidRPr="00FC3DBB" w:rsidR="009D7D5C" w:rsidP="00FC3DBB" w:rsidRDefault="004664D0" w14:paraId="1A18CC22" w14:textId="527AA5DE">
            <w:pPr>
              <w:pStyle w:val="ListParagraph"/>
              <w:ind w:left="0"/>
              <w:contextualSpacing w:val="0"/>
              <w:jc w:val="center"/>
              <w:rPr>
                <w:rFonts w:ascii="Arial" w:hAnsi="Arial" w:cs="Arial"/>
                <w:sz w:val="20"/>
                <w:szCs w:val="20"/>
              </w:rPr>
            </w:pPr>
            <w:r w:rsidRPr="00FC3DBB">
              <w:rPr>
                <w:rFonts w:ascii="Arial" w:hAnsi="Arial" w:cs="Arial"/>
                <w:sz w:val="20"/>
                <w:szCs w:val="20"/>
              </w:rPr>
              <w:t>Sector</w:t>
            </w:r>
          </w:p>
        </w:tc>
        <w:tc>
          <w:tcPr>
            <w:tcW w:w="2256" w:type="dxa"/>
            <w:gridSpan w:val="2"/>
            <w:vAlign w:val="center"/>
          </w:tcPr>
          <w:p w:rsidRPr="00FC3DBB" w:rsidR="009D7D5C" w:rsidP="00FC3DBB" w:rsidRDefault="009D7D5C" w14:paraId="190F7131" w14:textId="2BB37BC0">
            <w:pPr>
              <w:pStyle w:val="ListParagraph"/>
              <w:ind w:left="0"/>
              <w:contextualSpacing w:val="0"/>
              <w:jc w:val="center"/>
              <w:rPr>
                <w:rFonts w:ascii="Arial" w:hAnsi="Arial" w:cs="Arial"/>
                <w:sz w:val="20"/>
                <w:szCs w:val="20"/>
              </w:rPr>
            </w:pPr>
            <w:r w:rsidRPr="00FC3DBB">
              <w:rPr>
                <w:rFonts w:ascii="Arial" w:hAnsi="Arial" w:cs="Arial"/>
                <w:sz w:val="20"/>
                <w:szCs w:val="20"/>
              </w:rPr>
              <w:t>&lt; US$ 200 k</w:t>
            </w:r>
          </w:p>
        </w:tc>
        <w:tc>
          <w:tcPr>
            <w:tcW w:w="2257" w:type="dxa"/>
            <w:gridSpan w:val="2"/>
            <w:vAlign w:val="center"/>
          </w:tcPr>
          <w:p w:rsidRPr="00FC3DBB" w:rsidR="009D7D5C" w:rsidP="00FC3DBB" w:rsidRDefault="009D7D5C" w14:paraId="519BDEC7" w14:textId="2A75C8B3">
            <w:pPr>
              <w:pStyle w:val="ListParagraph"/>
              <w:ind w:left="0"/>
              <w:contextualSpacing w:val="0"/>
              <w:jc w:val="center"/>
              <w:rPr>
                <w:rFonts w:ascii="Arial" w:hAnsi="Arial" w:cs="Arial"/>
                <w:sz w:val="20"/>
                <w:szCs w:val="20"/>
              </w:rPr>
            </w:pPr>
            <w:r w:rsidRPr="00FC3DBB">
              <w:rPr>
                <w:rFonts w:ascii="Arial" w:hAnsi="Arial" w:cs="Arial"/>
                <w:sz w:val="20"/>
                <w:szCs w:val="20"/>
              </w:rPr>
              <w:t>≥ US$ 200 k</w:t>
            </w:r>
          </w:p>
        </w:tc>
        <w:tc>
          <w:tcPr>
            <w:tcW w:w="1169" w:type="dxa"/>
            <w:vMerge w:val="restart"/>
            <w:vAlign w:val="center"/>
          </w:tcPr>
          <w:p w:rsidRPr="00FC3DBB" w:rsidR="009D7D5C" w:rsidP="00FC3DBB" w:rsidRDefault="009D7D5C" w14:paraId="007BB11F" w14:textId="77777777">
            <w:pPr>
              <w:pStyle w:val="ListParagraph"/>
              <w:ind w:left="0"/>
              <w:contextualSpacing w:val="0"/>
              <w:jc w:val="center"/>
              <w:rPr>
                <w:rFonts w:ascii="Arial" w:hAnsi="Arial" w:cs="Arial"/>
                <w:sz w:val="20"/>
                <w:szCs w:val="20"/>
              </w:rPr>
            </w:pPr>
            <w:r w:rsidRPr="00FC3DBB">
              <w:rPr>
                <w:rFonts w:ascii="Arial" w:hAnsi="Arial" w:cs="Arial"/>
                <w:sz w:val="20"/>
                <w:szCs w:val="20"/>
              </w:rPr>
              <w:t>Total</w:t>
            </w:r>
          </w:p>
          <w:p w:rsidRPr="00FC3DBB" w:rsidR="009D7D5C" w:rsidP="00FC3DBB" w:rsidRDefault="009D7D5C" w14:paraId="63BE5A26" w14:textId="2F1A6B85">
            <w:pPr>
              <w:pStyle w:val="ListParagraph"/>
              <w:ind w:left="0"/>
              <w:contextualSpacing w:val="0"/>
              <w:jc w:val="center"/>
              <w:rPr>
                <w:rFonts w:ascii="Arial" w:hAnsi="Arial" w:cs="Arial"/>
                <w:sz w:val="20"/>
                <w:szCs w:val="20"/>
              </w:rPr>
            </w:pPr>
            <w:r w:rsidRPr="00FC3DBB">
              <w:rPr>
                <w:rFonts w:ascii="Arial" w:hAnsi="Arial" w:cs="Arial"/>
                <w:sz w:val="20"/>
                <w:szCs w:val="20"/>
              </w:rPr>
              <w:t>USD$ k</w:t>
            </w:r>
          </w:p>
        </w:tc>
      </w:tr>
      <w:tr w:rsidRPr="00FC3DBB" w:rsidR="009D7D5C" w:rsidTr="00FC3DBB" w14:paraId="222A6D37" w14:textId="77777777">
        <w:tc>
          <w:tcPr>
            <w:tcW w:w="1476" w:type="dxa"/>
            <w:vMerge/>
            <w:vAlign w:val="center"/>
          </w:tcPr>
          <w:p w:rsidRPr="00FC3DBB" w:rsidR="009D7D5C" w:rsidP="00FC3DBB" w:rsidRDefault="009D7D5C" w14:paraId="336A3216" w14:textId="1F3F1991">
            <w:pPr>
              <w:pStyle w:val="ListParagraph"/>
              <w:ind w:left="0"/>
              <w:contextualSpacing w:val="0"/>
              <w:jc w:val="center"/>
              <w:rPr>
                <w:rFonts w:ascii="Arial" w:hAnsi="Arial" w:cs="Arial"/>
                <w:sz w:val="20"/>
                <w:szCs w:val="20"/>
              </w:rPr>
            </w:pPr>
          </w:p>
        </w:tc>
        <w:tc>
          <w:tcPr>
            <w:tcW w:w="1310" w:type="dxa"/>
            <w:vMerge/>
            <w:vAlign w:val="center"/>
          </w:tcPr>
          <w:p w:rsidRPr="00FC3DBB" w:rsidR="009D7D5C" w:rsidP="00FC3DBB" w:rsidRDefault="009D7D5C" w14:paraId="0C10353C" w14:textId="5D8A572C">
            <w:pPr>
              <w:pStyle w:val="ListParagraph"/>
              <w:ind w:left="0"/>
              <w:contextualSpacing w:val="0"/>
              <w:jc w:val="center"/>
              <w:rPr>
                <w:rFonts w:ascii="Arial" w:hAnsi="Arial" w:cs="Arial"/>
                <w:sz w:val="20"/>
                <w:szCs w:val="20"/>
              </w:rPr>
            </w:pPr>
          </w:p>
        </w:tc>
        <w:tc>
          <w:tcPr>
            <w:tcW w:w="1129" w:type="dxa"/>
            <w:vAlign w:val="center"/>
          </w:tcPr>
          <w:p w:rsidRPr="00FC3DBB" w:rsidR="009D7D5C" w:rsidP="00FC3DBB" w:rsidRDefault="009D7D5C" w14:paraId="64D6FDF6" w14:textId="0B9C1822">
            <w:pPr>
              <w:pStyle w:val="ListParagraph"/>
              <w:ind w:left="0"/>
              <w:contextualSpacing w:val="0"/>
              <w:jc w:val="center"/>
              <w:rPr>
                <w:rFonts w:ascii="Arial" w:hAnsi="Arial" w:cs="Arial"/>
                <w:sz w:val="20"/>
                <w:szCs w:val="20"/>
              </w:rPr>
            </w:pPr>
            <w:r w:rsidRPr="00FC3DBB">
              <w:rPr>
                <w:rFonts w:ascii="Arial" w:hAnsi="Arial" w:cs="Arial"/>
                <w:sz w:val="20"/>
                <w:szCs w:val="20"/>
              </w:rPr>
              <w:t>#</w:t>
            </w:r>
          </w:p>
        </w:tc>
        <w:tc>
          <w:tcPr>
            <w:tcW w:w="1127" w:type="dxa"/>
            <w:vAlign w:val="center"/>
          </w:tcPr>
          <w:p w:rsidRPr="00FC3DBB" w:rsidR="009D7D5C" w:rsidP="00FC3DBB" w:rsidRDefault="009D7D5C" w14:paraId="26D9A4EE" w14:textId="2E6E40D1">
            <w:pPr>
              <w:pStyle w:val="ListParagraph"/>
              <w:ind w:left="0"/>
              <w:contextualSpacing w:val="0"/>
              <w:jc w:val="center"/>
              <w:rPr>
                <w:rFonts w:ascii="Arial" w:hAnsi="Arial" w:cs="Arial"/>
                <w:sz w:val="20"/>
                <w:szCs w:val="20"/>
              </w:rPr>
            </w:pPr>
            <w:r w:rsidRPr="00FC3DBB">
              <w:rPr>
                <w:rFonts w:ascii="Arial" w:hAnsi="Arial" w:cs="Arial"/>
                <w:sz w:val="20"/>
                <w:szCs w:val="20"/>
              </w:rPr>
              <w:t>Total US$ k</w:t>
            </w:r>
          </w:p>
        </w:tc>
        <w:tc>
          <w:tcPr>
            <w:tcW w:w="1130" w:type="dxa"/>
            <w:vAlign w:val="center"/>
          </w:tcPr>
          <w:p w:rsidRPr="00FC3DBB" w:rsidR="009D7D5C" w:rsidP="00FC3DBB" w:rsidRDefault="009D7D5C" w14:paraId="0698FAC8" w14:textId="07470B2D">
            <w:pPr>
              <w:pStyle w:val="ListParagraph"/>
              <w:ind w:left="0"/>
              <w:contextualSpacing w:val="0"/>
              <w:jc w:val="center"/>
              <w:rPr>
                <w:rFonts w:ascii="Arial" w:hAnsi="Arial" w:cs="Arial"/>
                <w:sz w:val="20"/>
                <w:szCs w:val="20"/>
              </w:rPr>
            </w:pPr>
            <w:r w:rsidRPr="00FC3DBB">
              <w:rPr>
                <w:rFonts w:ascii="Arial" w:hAnsi="Arial" w:cs="Arial"/>
                <w:sz w:val="20"/>
                <w:szCs w:val="20"/>
              </w:rPr>
              <w:t>#</w:t>
            </w:r>
          </w:p>
        </w:tc>
        <w:tc>
          <w:tcPr>
            <w:tcW w:w="1127" w:type="dxa"/>
            <w:vAlign w:val="center"/>
          </w:tcPr>
          <w:p w:rsidRPr="00FC3DBB" w:rsidR="009D7D5C" w:rsidP="00FC3DBB" w:rsidRDefault="009D7D5C" w14:paraId="35D9869A" w14:textId="4B8468F5">
            <w:pPr>
              <w:pStyle w:val="ListParagraph"/>
              <w:ind w:left="0"/>
              <w:contextualSpacing w:val="0"/>
              <w:jc w:val="center"/>
              <w:rPr>
                <w:rFonts w:ascii="Arial" w:hAnsi="Arial" w:cs="Arial"/>
                <w:sz w:val="20"/>
                <w:szCs w:val="20"/>
              </w:rPr>
            </w:pPr>
            <w:r w:rsidRPr="00FC3DBB">
              <w:rPr>
                <w:rFonts w:ascii="Arial" w:hAnsi="Arial" w:cs="Arial"/>
                <w:sz w:val="20"/>
                <w:szCs w:val="20"/>
              </w:rPr>
              <w:t>Total US$ k</w:t>
            </w:r>
          </w:p>
        </w:tc>
        <w:tc>
          <w:tcPr>
            <w:tcW w:w="1169" w:type="dxa"/>
            <w:vMerge/>
            <w:vAlign w:val="center"/>
          </w:tcPr>
          <w:p w:rsidRPr="00FC3DBB" w:rsidR="009D7D5C" w:rsidP="00FC3DBB" w:rsidRDefault="009D7D5C" w14:paraId="750D8168" w14:textId="77777777">
            <w:pPr>
              <w:pStyle w:val="ListParagraph"/>
              <w:ind w:left="0"/>
              <w:contextualSpacing w:val="0"/>
              <w:jc w:val="center"/>
              <w:rPr>
                <w:rFonts w:ascii="Arial" w:hAnsi="Arial" w:cs="Arial"/>
                <w:sz w:val="20"/>
                <w:szCs w:val="20"/>
              </w:rPr>
            </w:pPr>
          </w:p>
        </w:tc>
      </w:tr>
      <w:tr w:rsidRPr="00FC3DBB" w:rsidR="005905B3" w:rsidTr="00FC3DBB" w14:paraId="181DA57A" w14:textId="77777777">
        <w:tc>
          <w:tcPr>
            <w:tcW w:w="1476" w:type="dxa"/>
            <w:vMerge w:val="restart"/>
            <w:vAlign w:val="center"/>
          </w:tcPr>
          <w:p w:rsidRPr="00FC3DBB" w:rsidR="005905B3" w:rsidP="00FC3DBB" w:rsidRDefault="005905B3" w14:paraId="70B5CD22" w14:textId="164D14C8">
            <w:pPr>
              <w:pStyle w:val="ListParagraph"/>
              <w:ind w:left="0"/>
              <w:contextualSpacing w:val="0"/>
              <w:jc w:val="center"/>
              <w:rPr>
                <w:rFonts w:ascii="Arial" w:hAnsi="Arial" w:cs="Arial"/>
                <w:sz w:val="20"/>
                <w:szCs w:val="20"/>
              </w:rPr>
            </w:pPr>
            <w:r w:rsidRPr="00FC3DBB">
              <w:rPr>
                <w:rFonts w:ascii="Arial" w:hAnsi="Arial" w:cs="Arial"/>
                <w:sz w:val="20"/>
                <w:szCs w:val="20"/>
              </w:rPr>
              <w:t>I</w:t>
            </w:r>
          </w:p>
        </w:tc>
        <w:tc>
          <w:tcPr>
            <w:tcW w:w="1310" w:type="dxa"/>
          </w:tcPr>
          <w:p w:rsidRPr="00FC3DBB" w:rsidR="005905B3" w:rsidP="00FC3DBB" w:rsidRDefault="005905B3" w14:paraId="098B7430" w14:textId="7ACEEAE6">
            <w:pPr>
              <w:pStyle w:val="ListParagraph"/>
              <w:ind w:left="0"/>
              <w:contextualSpacing w:val="0"/>
              <w:jc w:val="center"/>
              <w:rPr>
                <w:rFonts w:ascii="Arial" w:hAnsi="Arial" w:cs="Arial"/>
                <w:b/>
                <w:bCs/>
                <w:color w:val="4472C4" w:themeColor="accent1"/>
                <w:sz w:val="20"/>
                <w:szCs w:val="20"/>
              </w:rPr>
            </w:pPr>
            <w:r w:rsidRPr="00FC3DBB">
              <w:rPr>
                <w:rFonts w:ascii="Arial" w:hAnsi="Arial" w:cs="Arial"/>
                <w:b/>
                <w:bCs/>
                <w:color w:val="4472C4" w:themeColor="accent1"/>
                <w:sz w:val="20"/>
                <w:szCs w:val="20"/>
              </w:rPr>
              <w:t>TR</w:t>
            </w:r>
          </w:p>
        </w:tc>
        <w:tc>
          <w:tcPr>
            <w:tcW w:w="1129" w:type="dxa"/>
          </w:tcPr>
          <w:p w:rsidRPr="00FC3DBB" w:rsidR="005905B3" w:rsidP="00FC3DBB" w:rsidRDefault="005905B3" w14:paraId="45F4F907" w14:textId="67176C2C">
            <w:pPr>
              <w:pStyle w:val="ListParagraph"/>
              <w:ind w:left="0"/>
              <w:contextualSpacing w:val="0"/>
              <w:jc w:val="center"/>
              <w:rPr>
                <w:rFonts w:ascii="Arial" w:hAnsi="Arial" w:cs="Arial"/>
                <w:sz w:val="20"/>
                <w:szCs w:val="20"/>
              </w:rPr>
            </w:pPr>
            <w:r w:rsidRPr="00FC3DBB">
              <w:rPr>
                <w:rFonts w:ascii="Arial" w:hAnsi="Arial" w:cs="Arial"/>
                <w:sz w:val="20"/>
                <w:szCs w:val="20"/>
              </w:rPr>
              <w:t>2</w:t>
            </w:r>
          </w:p>
        </w:tc>
        <w:tc>
          <w:tcPr>
            <w:tcW w:w="1127" w:type="dxa"/>
          </w:tcPr>
          <w:p w:rsidRPr="00FC3DBB" w:rsidR="005905B3" w:rsidP="00FC3DBB" w:rsidRDefault="005905B3" w14:paraId="62026618" w14:textId="5632DE07">
            <w:pPr>
              <w:pStyle w:val="ListParagraph"/>
              <w:ind w:left="0"/>
              <w:contextualSpacing w:val="0"/>
              <w:jc w:val="center"/>
              <w:rPr>
                <w:rFonts w:ascii="Arial" w:hAnsi="Arial" w:cs="Arial"/>
                <w:sz w:val="20"/>
                <w:szCs w:val="20"/>
              </w:rPr>
            </w:pPr>
            <w:r w:rsidRPr="00FC3DBB">
              <w:rPr>
                <w:rFonts w:ascii="Arial" w:hAnsi="Arial" w:cs="Arial"/>
                <w:sz w:val="20"/>
                <w:szCs w:val="20"/>
              </w:rPr>
              <w:t>250</w:t>
            </w:r>
          </w:p>
        </w:tc>
        <w:tc>
          <w:tcPr>
            <w:tcW w:w="1130" w:type="dxa"/>
          </w:tcPr>
          <w:p w:rsidRPr="00FC3DBB" w:rsidR="005905B3" w:rsidP="00FC3DBB" w:rsidRDefault="005905B3" w14:paraId="11139DC8" w14:textId="787C955F">
            <w:pPr>
              <w:pStyle w:val="ListParagraph"/>
              <w:ind w:left="0"/>
              <w:contextualSpacing w:val="0"/>
              <w:jc w:val="center"/>
              <w:rPr>
                <w:rFonts w:ascii="Arial" w:hAnsi="Arial" w:cs="Arial"/>
                <w:sz w:val="20"/>
                <w:szCs w:val="20"/>
              </w:rPr>
            </w:pPr>
            <w:r w:rsidRPr="00FC3DBB">
              <w:rPr>
                <w:rFonts w:ascii="Arial" w:hAnsi="Arial" w:cs="Arial"/>
                <w:sz w:val="20"/>
                <w:szCs w:val="20"/>
              </w:rPr>
              <w:t>2</w:t>
            </w:r>
          </w:p>
        </w:tc>
        <w:tc>
          <w:tcPr>
            <w:tcW w:w="1127" w:type="dxa"/>
          </w:tcPr>
          <w:p w:rsidRPr="00FC3DBB" w:rsidR="005905B3" w:rsidP="00FC3DBB" w:rsidRDefault="005905B3" w14:paraId="3898CD2F" w14:textId="56D9E196">
            <w:pPr>
              <w:pStyle w:val="ListParagraph"/>
              <w:ind w:left="0"/>
              <w:contextualSpacing w:val="0"/>
              <w:jc w:val="center"/>
              <w:rPr>
                <w:rFonts w:ascii="Arial" w:hAnsi="Arial" w:cs="Arial"/>
                <w:sz w:val="20"/>
                <w:szCs w:val="20"/>
              </w:rPr>
            </w:pPr>
            <w:r w:rsidRPr="00FC3DBB">
              <w:rPr>
                <w:rFonts w:ascii="Arial" w:hAnsi="Arial" w:cs="Arial"/>
                <w:sz w:val="20"/>
                <w:szCs w:val="20"/>
              </w:rPr>
              <w:t>400</w:t>
            </w:r>
          </w:p>
        </w:tc>
        <w:tc>
          <w:tcPr>
            <w:tcW w:w="1169" w:type="dxa"/>
          </w:tcPr>
          <w:p w:rsidRPr="00FC3DBB" w:rsidR="005905B3" w:rsidP="00FC3DBB" w:rsidRDefault="005905B3" w14:paraId="59046182" w14:textId="67F21F16">
            <w:pPr>
              <w:pStyle w:val="ListParagraph"/>
              <w:ind w:left="0"/>
              <w:contextualSpacing w:val="0"/>
              <w:jc w:val="center"/>
              <w:rPr>
                <w:rFonts w:ascii="Arial" w:hAnsi="Arial" w:cs="Arial"/>
                <w:sz w:val="20"/>
                <w:szCs w:val="20"/>
              </w:rPr>
            </w:pPr>
            <w:r w:rsidRPr="00FC3DBB">
              <w:rPr>
                <w:rFonts w:ascii="Arial" w:hAnsi="Arial" w:cs="Arial"/>
                <w:sz w:val="20"/>
                <w:szCs w:val="20"/>
              </w:rPr>
              <w:t>650</w:t>
            </w:r>
          </w:p>
        </w:tc>
      </w:tr>
      <w:tr w:rsidRPr="00FC3DBB" w:rsidR="005905B3" w:rsidTr="00FC3DBB" w14:paraId="7B8BF052" w14:textId="77777777">
        <w:tc>
          <w:tcPr>
            <w:tcW w:w="1476" w:type="dxa"/>
            <w:vMerge/>
            <w:vAlign w:val="center"/>
          </w:tcPr>
          <w:p w:rsidRPr="00FC3DBB" w:rsidR="005905B3" w:rsidP="00FC3DBB" w:rsidRDefault="005905B3" w14:paraId="50ACA953" w14:textId="1961522C">
            <w:pPr>
              <w:pStyle w:val="ListParagraph"/>
              <w:ind w:left="0"/>
              <w:contextualSpacing w:val="0"/>
              <w:jc w:val="center"/>
              <w:rPr>
                <w:rFonts w:ascii="Arial" w:hAnsi="Arial" w:cs="Arial"/>
                <w:sz w:val="20"/>
                <w:szCs w:val="20"/>
              </w:rPr>
            </w:pPr>
          </w:p>
        </w:tc>
        <w:tc>
          <w:tcPr>
            <w:tcW w:w="1310" w:type="dxa"/>
          </w:tcPr>
          <w:p w:rsidRPr="00FC3DBB" w:rsidR="005905B3" w:rsidP="00FC3DBB" w:rsidRDefault="005905B3" w14:paraId="0AE8C6E6" w14:textId="0C25BE82">
            <w:pPr>
              <w:pStyle w:val="ListParagraph"/>
              <w:ind w:left="0"/>
              <w:contextualSpacing w:val="0"/>
              <w:jc w:val="center"/>
              <w:rPr>
                <w:rFonts w:ascii="Arial" w:hAnsi="Arial" w:cs="Arial"/>
                <w:b/>
                <w:bCs/>
                <w:color w:val="4472C4" w:themeColor="accent1"/>
                <w:sz w:val="20"/>
                <w:szCs w:val="20"/>
              </w:rPr>
            </w:pPr>
            <w:r w:rsidRPr="00FC3DBB">
              <w:rPr>
                <w:rFonts w:ascii="Arial" w:hAnsi="Arial" w:cs="Arial"/>
                <w:b/>
                <w:bCs/>
                <w:color w:val="4472C4" w:themeColor="accent1"/>
                <w:sz w:val="20"/>
                <w:szCs w:val="20"/>
              </w:rPr>
              <w:t>TL</w:t>
            </w:r>
          </w:p>
        </w:tc>
        <w:tc>
          <w:tcPr>
            <w:tcW w:w="1129" w:type="dxa"/>
          </w:tcPr>
          <w:p w:rsidRPr="00FC3DBB" w:rsidR="005905B3" w:rsidP="00FC3DBB" w:rsidRDefault="005905B3" w14:paraId="1F230EB1" w14:textId="4E9F8408">
            <w:pPr>
              <w:pStyle w:val="ListParagraph"/>
              <w:ind w:left="0"/>
              <w:contextualSpacing w:val="0"/>
              <w:jc w:val="center"/>
              <w:rPr>
                <w:rFonts w:ascii="Arial" w:hAnsi="Arial" w:cs="Arial"/>
                <w:sz w:val="20"/>
                <w:szCs w:val="20"/>
              </w:rPr>
            </w:pPr>
            <w:r w:rsidRPr="00FC3DBB">
              <w:rPr>
                <w:rFonts w:ascii="Arial" w:hAnsi="Arial" w:cs="Arial"/>
                <w:sz w:val="20"/>
                <w:szCs w:val="20"/>
              </w:rPr>
              <w:t>0</w:t>
            </w:r>
          </w:p>
        </w:tc>
        <w:tc>
          <w:tcPr>
            <w:tcW w:w="1127" w:type="dxa"/>
          </w:tcPr>
          <w:p w:rsidRPr="00FC3DBB" w:rsidR="005905B3" w:rsidP="00FC3DBB" w:rsidRDefault="005905B3" w14:paraId="1EF76B6D" w14:textId="67883D32">
            <w:pPr>
              <w:pStyle w:val="ListParagraph"/>
              <w:ind w:left="0"/>
              <w:contextualSpacing w:val="0"/>
              <w:jc w:val="center"/>
              <w:rPr>
                <w:rFonts w:ascii="Arial" w:hAnsi="Arial" w:cs="Arial"/>
                <w:sz w:val="20"/>
                <w:szCs w:val="20"/>
              </w:rPr>
            </w:pPr>
            <w:r w:rsidRPr="00FC3DBB">
              <w:rPr>
                <w:rFonts w:ascii="Arial" w:hAnsi="Arial" w:cs="Arial"/>
                <w:sz w:val="20"/>
                <w:szCs w:val="20"/>
              </w:rPr>
              <w:t>0</w:t>
            </w:r>
          </w:p>
        </w:tc>
        <w:tc>
          <w:tcPr>
            <w:tcW w:w="1130" w:type="dxa"/>
          </w:tcPr>
          <w:p w:rsidRPr="00FC3DBB" w:rsidR="005905B3" w:rsidP="00FC3DBB" w:rsidRDefault="005905B3" w14:paraId="14E1073F" w14:textId="7C926D37">
            <w:pPr>
              <w:pStyle w:val="ListParagraph"/>
              <w:ind w:left="0"/>
              <w:contextualSpacing w:val="0"/>
              <w:jc w:val="center"/>
              <w:rPr>
                <w:rFonts w:ascii="Arial" w:hAnsi="Arial" w:cs="Arial"/>
                <w:sz w:val="20"/>
                <w:szCs w:val="20"/>
              </w:rPr>
            </w:pPr>
            <w:r w:rsidRPr="00FC3DBB">
              <w:rPr>
                <w:rFonts w:ascii="Arial" w:hAnsi="Arial" w:cs="Arial"/>
                <w:sz w:val="20"/>
                <w:szCs w:val="20"/>
              </w:rPr>
              <w:t>2</w:t>
            </w:r>
          </w:p>
        </w:tc>
        <w:tc>
          <w:tcPr>
            <w:tcW w:w="1127" w:type="dxa"/>
          </w:tcPr>
          <w:p w:rsidRPr="00FC3DBB" w:rsidR="005905B3" w:rsidP="00FC3DBB" w:rsidRDefault="005905B3" w14:paraId="17DFBCC7" w14:textId="39F753E3">
            <w:pPr>
              <w:pStyle w:val="ListParagraph"/>
              <w:ind w:left="0"/>
              <w:contextualSpacing w:val="0"/>
              <w:jc w:val="center"/>
              <w:rPr>
                <w:rFonts w:ascii="Arial" w:hAnsi="Arial" w:cs="Arial"/>
                <w:sz w:val="20"/>
                <w:szCs w:val="20"/>
              </w:rPr>
            </w:pPr>
            <w:r w:rsidRPr="00FC3DBB">
              <w:rPr>
                <w:rFonts w:ascii="Arial" w:hAnsi="Arial" w:cs="Arial"/>
                <w:sz w:val="20"/>
                <w:szCs w:val="20"/>
              </w:rPr>
              <w:t>750</w:t>
            </w:r>
          </w:p>
        </w:tc>
        <w:tc>
          <w:tcPr>
            <w:tcW w:w="1169" w:type="dxa"/>
          </w:tcPr>
          <w:p w:rsidRPr="00FC3DBB" w:rsidR="005905B3" w:rsidP="00FC3DBB" w:rsidRDefault="005905B3" w14:paraId="7D59DD4E" w14:textId="469C92FC">
            <w:pPr>
              <w:pStyle w:val="ListParagraph"/>
              <w:ind w:left="0"/>
              <w:contextualSpacing w:val="0"/>
              <w:jc w:val="center"/>
              <w:rPr>
                <w:rFonts w:ascii="Arial" w:hAnsi="Arial" w:cs="Arial"/>
                <w:sz w:val="20"/>
                <w:szCs w:val="20"/>
              </w:rPr>
            </w:pPr>
            <w:r w:rsidRPr="00FC3DBB">
              <w:rPr>
                <w:rFonts w:ascii="Arial" w:hAnsi="Arial" w:cs="Arial"/>
                <w:sz w:val="20"/>
                <w:szCs w:val="20"/>
              </w:rPr>
              <w:t>750</w:t>
            </w:r>
          </w:p>
        </w:tc>
      </w:tr>
      <w:tr w:rsidRPr="00FC3DBB" w:rsidR="005905B3" w:rsidTr="00FC3DBB" w14:paraId="790B7B62" w14:textId="77777777">
        <w:tc>
          <w:tcPr>
            <w:tcW w:w="1476" w:type="dxa"/>
            <w:vMerge/>
          </w:tcPr>
          <w:p w:rsidRPr="00FC3DBB" w:rsidR="005905B3" w:rsidP="00FC3DBB" w:rsidRDefault="005905B3" w14:paraId="428F64B6" w14:textId="77777777">
            <w:pPr>
              <w:pStyle w:val="ListParagraph"/>
              <w:ind w:left="0"/>
              <w:contextualSpacing w:val="0"/>
              <w:jc w:val="center"/>
              <w:rPr>
                <w:rFonts w:ascii="Arial" w:hAnsi="Arial" w:cs="Arial"/>
                <w:sz w:val="20"/>
                <w:szCs w:val="20"/>
              </w:rPr>
            </w:pPr>
          </w:p>
        </w:tc>
        <w:tc>
          <w:tcPr>
            <w:tcW w:w="1310" w:type="dxa"/>
          </w:tcPr>
          <w:p w:rsidRPr="006A3715" w:rsidR="005905B3" w:rsidP="00FC3DBB" w:rsidRDefault="005905B3" w14:paraId="12177BC0" w14:textId="637287A2">
            <w:pPr>
              <w:pStyle w:val="ListParagraph"/>
              <w:ind w:left="0"/>
              <w:contextualSpacing w:val="0"/>
              <w:jc w:val="center"/>
              <w:rPr>
                <w:rFonts w:ascii="Arial" w:hAnsi="Arial" w:cs="Arial"/>
                <w:b/>
                <w:bCs/>
                <w:color w:val="4472C4" w:themeColor="accent1"/>
                <w:sz w:val="20"/>
                <w:szCs w:val="20"/>
              </w:rPr>
            </w:pPr>
            <w:r w:rsidRPr="006A3715">
              <w:rPr>
                <w:rFonts w:ascii="Arial" w:hAnsi="Arial" w:cs="Arial"/>
                <w:b/>
                <w:bCs/>
                <w:color w:val="4472C4" w:themeColor="accent1"/>
                <w:sz w:val="20"/>
                <w:szCs w:val="20"/>
              </w:rPr>
              <w:t>TU</w:t>
            </w:r>
          </w:p>
        </w:tc>
        <w:tc>
          <w:tcPr>
            <w:tcW w:w="1129" w:type="dxa"/>
          </w:tcPr>
          <w:p w:rsidRPr="006A3715" w:rsidR="005905B3" w:rsidP="00FC3DBB" w:rsidRDefault="005905B3" w14:paraId="29F3423A" w14:textId="0BABCAD2">
            <w:pPr>
              <w:pStyle w:val="ListParagraph"/>
              <w:ind w:left="0"/>
              <w:contextualSpacing w:val="0"/>
              <w:jc w:val="center"/>
              <w:rPr>
                <w:rFonts w:ascii="Arial" w:hAnsi="Arial" w:cs="Arial"/>
                <w:sz w:val="20"/>
                <w:szCs w:val="20"/>
              </w:rPr>
            </w:pPr>
            <w:r w:rsidRPr="006A3715">
              <w:rPr>
                <w:rFonts w:ascii="Arial" w:hAnsi="Arial" w:cs="Arial"/>
                <w:sz w:val="20"/>
                <w:szCs w:val="20"/>
              </w:rPr>
              <w:t>1</w:t>
            </w:r>
          </w:p>
        </w:tc>
        <w:tc>
          <w:tcPr>
            <w:tcW w:w="1127" w:type="dxa"/>
          </w:tcPr>
          <w:p w:rsidRPr="006A3715" w:rsidR="005905B3" w:rsidP="00FC3DBB" w:rsidRDefault="005905B3" w14:paraId="74407DDD" w14:textId="68CF9B11">
            <w:pPr>
              <w:pStyle w:val="ListParagraph"/>
              <w:ind w:left="0"/>
              <w:contextualSpacing w:val="0"/>
              <w:jc w:val="center"/>
              <w:rPr>
                <w:rFonts w:ascii="Arial" w:hAnsi="Arial" w:cs="Arial"/>
                <w:sz w:val="20"/>
                <w:szCs w:val="20"/>
              </w:rPr>
            </w:pPr>
            <w:r w:rsidRPr="006A3715">
              <w:rPr>
                <w:rFonts w:ascii="Arial" w:hAnsi="Arial" w:cs="Arial"/>
                <w:sz w:val="20"/>
                <w:szCs w:val="20"/>
              </w:rPr>
              <w:t>170</w:t>
            </w:r>
          </w:p>
        </w:tc>
        <w:tc>
          <w:tcPr>
            <w:tcW w:w="1130" w:type="dxa"/>
          </w:tcPr>
          <w:p w:rsidRPr="006A3715" w:rsidR="005905B3" w:rsidP="00FC3DBB" w:rsidRDefault="005905B3" w14:paraId="69297C79" w14:textId="5FF9D984">
            <w:pPr>
              <w:pStyle w:val="ListParagraph"/>
              <w:ind w:left="0"/>
              <w:contextualSpacing w:val="0"/>
              <w:jc w:val="center"/>
              <w:rPr>
                <w:rFonts w:ascii="Arial" w:hAnsi="Arial" w:cs="Arial"/>
                <w:sz w:val="20"/>
                <w:szCs w:val="20"/>
              </w:rPr>
            </w:pPr>
            <w:r w:rsidRPr="006A3715">
              <w:rPr>
                <w:rFonts w:ascii="Arial" w:hAnsi="Arial" w:cs="Arial"/>
                <w:sz w:val="20"/>
                <w:szCs w:val="20"/>
              </w:rPr>
              <w:t>2</w:t>
            </w:r>
          </w:p>
        </w:tc>
        <w:tc>
          <w:tcPr>
            <w:tcW w:w="1127" w:type="dxa"/>
          </w:tcPr>
          <w:p w:rsidRPr="006A3715" w:rsidR="005905B3" w:rsidP="00FC3DBB" w:rsidRDefault="005905B3" w14:paraId="77990B17" w14:textId="2D4B851F">
            <w:pPr>
              <w:pStyle w:val="ListParagraph"/>
              <w:ind w:left="0"/>
              <w:contextualSpacing w:val="0"/>
              <w:jc w:val="center"/>
              <w:rPr>
                <w:rFonts w:ascii="Arial" w:hAnsi="Arial" w:cs="Arial"/>
                <w:sz w:val="20"/>
                <w:szCs w:val="20"/>
              </w:rPr>
            </w:pPr>
            <w:r w:rsidRPr="006A3715">
              <w:rPr>
                <w:rFonts w:ascii="Arial" w:hAnsi="Arial" w:cs="Arial"/>
                <w:sz w:val="20"/>
                <w:szCs w:val="20"/>
              </w:rPr>
              <w:t>680</w:t>
            </w:r>
          </w:p>
        </w:tc>
        <w:tc>
          <w:tcPr>
            <w:tcW w:w="1169" w:type="dxa"/>
          </w:tcPr>
          <w:p w:rsidRPr="006A3715" w:rsidR="005905B3" w:rsidP="00FC3DBB" w:rsidRDefault="005905B3" w14:paraId="454B6917" w14:textId="08752C78">
            <w:pPr>
              <w:pStyle w:val="ListParagraph"/>
              <w:ind w:left="0"/>
              <w:contextualSpacing w:val="0"/>
              <w:jc w:val="center"/>
              <w:rPr>
                <w:rFonts w:ascii="Arial" w:hAnsi="Arial" w:cs="Arial"/>
                <w:sz w:val="20"/>
                <w:szCs w:val="20"/>
              </w:rPr>
            </w:pPr>
            <w:r w:rsidRPr="006A3715">
              <w:rPr>
                <w:rFonts w:ascii="Arial" w:hAnsi="Arial" w:cs="Arial"/>
                <w:sz w:val="20"/>
                <w:szCs w:val="20"/>
              </w:rPr>
              <w:t>850</w:t>
            </w:r>
          </w:p>
        </w:tc>
      </w:tr>
      <w:tr w:rsidRPr="00FC3DBB" w:rsidR="00AE46A5" w:rsidTr="00FC3DBB" w14:paraId="4D28F673" w14:textId="77777777">
        <w:tc>
          <w:tcPr>
            <w:tcW w:w="1476" w:type="dxa"/>
            <w:vMerge/>
          </w:tcPr>
          <w:p w:rsidRPr="00FC3DBB" w:rsidR="00AE46A5" w:rsidP="00AE46A5" w:rsidRDefault="00AE46A5" w14:paraId="2200B6B7" w14:textId="77777777">
            <w:pPr>
              <w:pStyle w:val="ListParagraph"/>
              <w:ind w:left="0"/>
              <w:contextualSpacing w:val="0"/>
              <w:jc w:val="center"/>
              <w:rPr>
                <w:rFonts w:ascii="Arial" w:hAnsi="Arial" w:cs="Arial"/>
                <w:sz w:val="20"/>
                <w:szCs w:val="20"/>
              </w:rPr>
            </w:pPr>
          </w:p>
        </w:tc>
        <w:tc>
          <w:tcPr>
            <w:tcW w:w="1310" w:type="dxa"/>
          </w:tcPr>
          <w:p w:rsidRPr="006A3715" w:rsidR="00AE46A5" w:rsidP="00AE46A5" w:rsidRDefault="00AE46A5" w14:paraId="106E5111" w14:textId="2D2FA77A">
            <w:pPr>
              <w:pStyle w:val="ListParagraph"/>
              <w:ind w:left="0"/>
              <w:contextualSpacing w:val="0"/>
              <w:jc w:val="center"/>
              <w:rPr>
                <w:rFonts w:ascii="Arial" w:hAnsi="Arial" w:cs="Arial"/>
                <w:b/>
                <w:bCs/>
                <w:color w:val="4472C4" w:themeColor="accent1"/>
                <w:sz w:val="20"/>
                <w:szCs w:val="20"/>
              </w:rPr>
            </w:pPr>
            <w:r w:rsidRPr="006A3715">
              <w:rPr>
                <w:rFonts w:ascii="Arial" w:hAnsi="Arial" w:cs="Arial"/>
                <w:b/>
                <w:bCs/>
                <w:color w:val="4472C4" w:themeColor="accent1"/>
                <w:sz w:val="20"/>
                <w:szCs w:val="20"/>
              </w:rPr>
              <w:t>ME</w:t>
            </w:r>
          </w:p>
        </w:tc>
        <w:tc>
          <w:tcPr>
            <w:tcW w:w="1129" w:type="dxa"/>
          </w:tcPr>
          <w:p w:rsidRPr="006A3715" w:rsidR="00AE46A5" w:rsidP="00AE46A5" w:rsidRDefault="00AE46A5" w14:paraId="7328B0B2" w14:textId="1838C8AB">
            <w:pPr>
              <w:pStyle w:val="ListParagraph"/>
              <w:ind w:left="0"/>
              <w:contextualSpacing w:val="0"/>
              <w:jc w:val="center"/>
              <w:rPr>
                <w:rFonts w:ascii="Arial" w:hAnsi="Arial" w:cs="Arial"/>
                <w:sz w:val="20"/>
                <w:szCs w:val="20"/>
              </w:rPr>
            </w:pPr>
            <w:r w:rsidRPr="006A3715">
              <w:rPr>
                <w:rFonts w:ascii="Arial" w:hAnsi="Arial" w:cs="Arial"/>
                <w:sz w:val="20"/>
                <w:szCs w:val="20"/>
              </w:rPr>
              <w:t>0</w:t>
            </w:r>
          </w:p>
        </w:tc>
        <w:tc>
          <w:tcPr>
            <w:tcW w:w="1127" w:type="dxa"/>
          </w:tcPr>
          <w:p w:rsidRPr="006A3715" w:rsidR="00AE46A5" w:rsidP="00AE46A5" w:rsidRDefault="00AE46A5" w14:paraId="7B0F8D5A" w14:textId="5576F753">
            <w:pPr>
              <w:pStyle w:val="ListParagraph"/>
              <w:ind w:left="0"/>
              <w:contextualSpacing w:val="0"/>
              <w:jc w:val="center"/>
              <w:rPr>
                <w:rFonts w:ascii="Arial" w:hAnsi="Arial" w:cs="Arial"/>
                <w:sz w:val="20"/>
                <w:szCs w:val="20"/>
              </w:rPr>
            </w:pPr>
            <w:r w:rsidRPr="006A3715">
              <w:rPr>
                <w:rFonts w:ascii="Arial" w:hAnsi="Arial" w:cs="Arial"/>
                <w:sz w:val="20"/>
                <w:szCs w:val="20"/>
              </w:rPr>
              <w:t>0</w:t>
            </w:r>
          </w:p>
        </w:tc>
        <w:tc>
          <w:tcPr>
            <w:tcW w:w="1130" w:type="dxa"/>
          </w:tcPr>
          <w:p w:rsidRPr="006A3715" w:rsidR="00AE46A5" w:rsidP="00AE46A5" w:rsidRDefault="00AE46A5" w14:paraId="1EAEBD18" w14:textId="4FFB15A0">
            <w:pPr>
              <w:pStyle w:val="ListParagraph"/>
              <w:ind w:left="0"/>
              <w:contextualSpacing w:val="0"/>
              <w:jc w:val="center"/>
              <w:rPr>
                <w:rFonts w:ascii="Arial" w:hAnsi="Arial" w:cs="Arial"/>
                <w:sz w:val="20"/>
                <w:szCs w:val="20"/>
              </w:rPr>
            </w:pPr>
            <w:r w:rsidRPr="006A3715">
              <w:rPr>
                <w:rFonts w:ascii="Arial" w:hAnsi="Arial" w:cs="Arial"/>
                <w:sz w:val="20"/>
                <w:szCs w:val="20"/>
              </w:rPr>
              <w:t>1</w:t>
            </w:r>
          </w:p>
        </w:tc>
        <w:tc>
          <w:tcPr>
            <w:tcW w:w="1127" w:type="dxa"/>
          </w:tcPr>
          <w:p w:rsidRPr="006A3715" w:rsidR="00AE46A5" w:rsidP="00AE46A5" w:rsidRDefault="00AE46A5" w14:paraId="3098FDE3" w14:textId="6E79793C">
            <w:pPr>
              <w:pStyle w:val="ListParagraph"/>
              <w:ind w:left="0"/>
              <w:contextualSpacing w:val="0"/>
              <w:jc w:val="center"/>
              <w:rPr>
                <w:rFonts w:ascii="Arial" w:hAnsi="Arial" w:cs="Arial"/>
                <w:sz w:val="20"/>
                <w:szCs w:val="20"/>
              </w:rPr>
            </w:pPr>
            <w:r w:rsidRPr="006A3715">
              <w:rPr>
                <w:rFonts w:ascii="Arial" w:hAnsi="Arial" w:cs="Arial"/>
                <w:sz w:val="20"/>
                <w:szCs w:val="20"/>
              </w:rPr>
              <w:t>800</w:t>
            </w:r>
          </w:p>
        </w:tc>
        <w:tc>
          <w:tcPr>
            <w:tcW w:w="1169" w:type="dxa"/>
          </w:tcPr>
          <w:p w:rsidRPr="006A3715" w:rsidR="00AE46A5" w:rsidP="00AE46A5" w:rsidRDefault="00AE46A5" w14:paraId="7850C1D5" w14:textId="452CD208">
            <w:pPr>
              <w:pStyle w:val="ListParagraph"/>
              <w:ind w:left="0"/>
              <w:contextualSpacing w:val="0"/>
              <w:jc w:val="center"/>
              <w:rPr>
                <w:rFonts w:ascii="Arial" w:hAnsi="Arial" w:cs="Arial"/>
                <w:sz w:val="20"/>
                <w:szCs w:val="20"/>
              </w:rPr>
            </w:pPr>
            <w:r w:rsidRPr="006A3715">
              <w:rPr>
                <w:rFonts w:ascii="Arial" w:hAnsi="Arial" w:cs="Arial"/>
                <w:sz w:val="20"/>
                <w:szCs w:val="20"/>
              </w:rPr>
              <w:t>800</w:t>
            </w:r>
          </w:p>
        </w:tc>
      </w:tr>
      <w:tr w:rsidRPr="00FC3DBB" w:rsidR="005905B3" w:rsidTr="00FC3DBB" w14:paraId="49D59764" w14:textId="77777777">
        <w:tc>
          <w:tcPr>
            <w:tcW w:w="1476" w:type="dxa"/>
            <w:vMerge/>
          </w:tcPr>
          <w:p w:rsidRPr="00FC3DBB" w:rsidR="005905B3" w:rsidP="00FC3DBB" w:rsidRDefault="005905B3" w14:paraId="09BAAE7C" w14:textId="77777777">
            <w:pPr>
              <w:pStyle w:val="ListParagraph"/>
              <w:ind w:left="0"/>
              <w:contextualSpacing w:val="0"/>
              <w:jc w:val="center"/>
              <w:rPr>
                <w:rFonts w:ascii="Arial" w:hAnsi="Arial" w:cs="Arial"/>
                <w:sz w:val="20"/>
                <w:szCs w:val="20"/>
              </w:rPr>
            </w:pPr>
          </w:p>
        </w:tc>
        <w:tc>
          <w:tcPr>
            <w:tcW w:w="1310" w:type="dxa"/>
          </w:tcPr>
          <w:p w:rsidRPr="006A3715" w:rsidR="005905B3" w:rsidP="00FC3DBB" w:rsidRDefault="005905B3" w14:paraId="59C492FA" w14:textId="62F5476B">
            <w:pPr>
              <w:pStyle w:val="ListParagraph"/>
              <w:ind w:left="0"/>
              <w:contextualSpacing w:val="0"/>
              <w:jc w:val="center"/>
              <w:rPr>
                <w:rFonts w:ascii="Arial" w:hAnsi="Arial" w:cs="Arial"/>
                <w:b/>
                <w:bCs/>
                <w:color w:val="4472C4" w:themeColor="accent1"/>
                <w:sz w:val="20"/>
                <w:szCs w:val="20"/>
              </w:rPr>
            </w:pPr>
            <w:r w:rsidRPr="006A3715">
              <w:rPr>
                <w:rFonts w:ascii="Arial" w:hAnsi="Arial" w:cs="Arial"/>
                <w:b/>
                <w:bCs/>
                <w:color w:val="4472C4" w:themeColor="accent1"/>
                <w:sz w:val="20"/>
                <w:szCs w:val="20"/>
              </w:rPr>
              <w:t>AS</w:t>
            </w:r>
          </w:p>
        </w:tc>
        <w:tc>
          <w:tcPr>
            <w:tcW w:w="1129" w:type="dxa"/>
          </w:tcPr>
          <w:p w:rsidRPr="006A3715" w:rsidR="005905B3" w:rsidP="00FC3DBB" w:rsidRDefault="005905B3" w14:paraId="6547690B" w14:textId="5E342BC9">
            <w:pPr>
              <w:pStyle w:val="ListParagraph"/>
              <w:ind w:left="0"/>
              <w:contextualSpacing w:val="0"/>
              <w:jc w:val="center"/>
              <w:rPr>
                <w:rFonts w:ascii="Arial" w:hAnsi="Arial" w:cs="Arial"/>
                <w:sz w:val="20"/>
                <w:szCs w:val="20"/>
              </w:rPr>
            </w:pPr>
            <w:r w:rsidRPr="006A3715">
              <w:rPr>
                <w:rFonts w:ascii="Arial" w:hAnsi="Arial" w:cs="Arial"/>
                <w:sz w:val="20"/>
                <w:szCs w:val="20"/>
              </w:rPr>
              <w:t>0</w:t>
            </w:r>
          </w:p>
        </w:tc>
        <w:tc>
          <w:tcPr>
            <w:tcW w:w="1127" w:type="dxa"/>
          </w:tcPr>
          <w:p w:rsidRPr="006A3715" w:rsidR="005905B3" w:rsidP="00FC3DBB" w:rsidRDefault="005905B3" w14:paraId="7F95BE3B" w14:textId="69AACBF7">
            <w:pPr>
              <w:pStyle w:val="ListParagraph"/>
              <w:ind w:left="0"/>
              <w:contextualSpacing w:val="0"/>
              <w:jc w:val="center"/>
              <w:rPr>
                <w:rFonts w:ascii="Arial" w:hAnsi="Arial" w:cs="Arial"/>
                <w:sz w:val="20"/>
                <w:szCs w:val="20"/>
              </w:rPr>
            </w:pPr>
            <w:r w:rsidRPr="006A3715">
              <w:rPr>
                <w:rFonts w:ascii="Arial" w:hAnsi="Arial" w:cs="Arial"/>
                <w:sz w:val="20"/>
                <w:szCs w:val="20"/>
              </w:rPr>
              <w:t>0</w:t>
            </w:r>
          </w:p>
        </w:tc>
        <w:tc>
          <w:tcPr>
            <w:tcW w:w="1130" w:type="dxa"/>
          </w:tcPr>
          <w:p w:rsidRPr="006A3715" w:rsidR="005905B3" w:rsidP="00FC3DBB" w:rsidRDefault="005905B3" w14:paraId="2EAFEB93" w14:textId="12809397">
            <w:pPr>
              <w:pStyle w:val="ListParagraph"/>
              <w:ind w:left="0"/>
              <w:contextualSpacing w:val="0"/>
              <w:jc w:val="center"/>
              <w:rPr>
                <w:rFonts w:ascii="Arial" w:hAnsi="Arial" w:cs="Arial"/>
                <w:sz w:val="20"/>
                <w:szCs w:val="20"/>
              </w:rPr>
            </w:pPr>
            <w:r w:rsidRPr="006A3715">
              <w:rPr>
                <w:rFonts w:ascii="Arial" w:hAnsi="Arial" w:cs="Arial"/>
                <w:sz w:val="20"/>
                <w:szCs w:val="20"/>
              </w:rPr>
              <w:t>2</w:t>
            </w:r>
          </w:p>
        </w:tc>
        <w:tc>
          <w:tcPr>
            <w:tcW w:w="1127" w:type="dxa"/>
          </w:tcPr>
          <w:p w:rsidRPr="006A3715" w:rsidR="005905B3" w:rsidP="00FC3DBB" w:rsidRDefault="005905B3" w14:paraId="2DED2FE9" w14:textId="5B8B3CC7">
            <w:pPr>
              <w:pStyle w:val="ListParagraph"/>
              <w:ind w:left="0"/>
              <w:contextualSpacing w:val="0"/>
              <w:jc w:val="center"/>
              <w:rPr>
                <w:rFonts w:ascii="Arial" w:hAnsi="Arial" w:cs="Arial"/>
                <w:sz w:val="20"/>
                <w:szCs w:val="20"/>
              </w:rPr>
            </w:pPr>
            <w:r w:rsidRPr="006A3715">
              <w:rPr>
                <w:rFonts w:ascii="Arial" w:hAnsi="Arial" w:cs="Arial"/>
                <w:sz w:val="20"/>
                <w:szCs w:val="20"/>
              </w:rPr>
              <w:t>2</w:t>
            </w:r>
            <w:r w:rsidRPr="006A3715" w:rsidR="008407F1">
              <w:rPr>
                <w:rFonts w:ascii="Arial" w:hAnsi="Arial" w:cs="Arial"/>
                <w:sz w:val="20"/>
                <w:szCs w:val="20"/>
              </w:rPr>
              <w:t>,</w:t>
            </w:r>
            <w:r w:rsidRPr="006A3715">
              <w:rPr>
                <w:rFonts w:ascii="Arial" w:hAnsi="Arial" w:cs="Arial"/>
                <w:sz w:val="20"/>
                <w:szCs w:val="20"/>
              </w:rPr>
              <w:t>000</w:t>
            </w:r>
          </w:p>
        </w:tc>
        <w:tc>
          <w:tcPr>
            <w:tcW w:w="1169" w:type="dxa"/>
          </w:tcPr>
          <w:p w:rsidRPr="006A3715" w:rsidR="005905B3" w:rsidP="00FC3DBB" w:rsidRDefault="005905B3" w14:paraId="7F53B863" w14:textId="42E2F20B">
            <w:pPr>
              <w:pStyle w:val="ListParagraph"/>
              <w:ind w:left="0"/>
              <w:contextualSpacing w:val="0"/>
              <w:jc w:val="center"/>
              <w:rPr>
                <w:rFonts w:ascii="Arial" w:hAnsi="Arial" w:cs="Arial"/>
                <w:sz w:val="20"/>
                <w:szCs w:val="20"/>
              </w:rPr>
            </w:pPr>
            <w:r w:rsidRPr="006A3715">
              <w:rPr>
                <w:rFonts w:ascii="Arial" w:hAnsi="Arial" w:cs="Arial"/>
                <w:sz w:val="20"/>
                <w:szCs w:val="20"/>
              </w:rPr>
              <w:t>2</w:t>
            </w:r>
            <w:r w:rsidRPr="006A3715" w:rsidR="008407F1">
              <w:rPr>
                <w:rFonts w:ascii="Arial" w:hAnsi="Arial" w:cs="Arial"/>
                <w:sz w:val="20"/>
                <w:szCs w:val="20"/>
              </w:rPr>
              <w:t>,</w:t>
            </w:r>
            <w:r w:rsidRPr="006A3715">
              <w:rPr>
                <w:rFonts w:ascii="Arial" w:hAnsi="Arial" w:cs="Arial"/>
                <w:sz w:val="20"/>
                <w:szCs w:val="20"/>
              </w:rPr>
              <w:t>000</w:t>
            </w:r>
          </w:p>
        </w:tc>
      </w:tr>
      <w:tr w:rsidRPr="00FC3DBB" w:rsidR="005905B3" w:rsidTr="00FC3DBB" w14:paraId="47191F97" w14:textId="77777777">
        <w:tc>
          <w:tcPr>
            <w:tcW w:w="1476" w:type="dxa"/>
            <w:vMerge/>
          </w:tcPr>
          <w:p w:rsidRPr="00FC3DBB" w:rsidR="005905B3" w:rsidP="00FC3DBB" w:rsidRDefault="005905B3" w14:paraId="221DA0AF" w14:textId="77777777">
            <w:pPr>
              <w:pStyle w:val="ListParagraph"/>
              <w:ind w:left="0"/>
              <w:contextualSpacing w:val="0"/>
              <w:jc w:val="center"/>
              <w:rPr>
                <w:rFonts w:ascii="Arial" w:hAnsi="Arial" w:cs="Arial"/>
                <w:sz w:val="20"/>
                <w:szCs w:val="20"/>
              </w:rPr>
            </w:pPr>
          </w:p>
        </w:tc>
        <w:tc>
          <w:tcPr>
            <w:tcW w:w="1310" w:type="dxa"/>
          </w:tcPr>
          <w:p w:rsidRPr="006A3715" w:rsidR="005905B3" w:rsidP="00FC3DBB" w:rsidRDefault="005905B3" w14:paraId="65AA2CBE" w14:textId="0467B4C9">
            <w:pPr>
              <w:pStyle w:val="ListParagraph"/>
              <w:ind w:left="0"/>
              <w:contextualSpacing w:val="0"/>
              <w:jc w:val="center"/>
              <w:rPr>
                <w:rFonts w:ascii="Arial" w:hAnsi="Arial" w:cs="Arial"/>
                <w:b/>
                <w:bCs/>
                <w:color w:val="4472C4" w:themeColor="accent1"/>
                <w:sz w:val="20"/>
                <w:szCs w:val="20"/>
              </w:rPr>
            </w:pPr>
            <w:r w:rsidRPr="006A3715">
              <w:rPr>
                <w:rFonts w:ascii="Arial" w:hAnsi="Arial" w:cs="Arial"/>
                <w:b/>
                <w:bCs/>
                <w:color w:val="4472C4" w:themeColor="accent1"/>
                <w:sz w:val="20"/>
                <w:szCs w:val="20"/>
              </w:rPr>
              <w:t>SA</w:t>
            </w:r>
          </w:p>
        </w:tc>
        <w:tc>
          <w:tcPr>
            <w:tcW w:w="1129" w:type="dxa"/>
          </w:tcPr>
          <w:p w:rsidRPr="006A3715" w:rsidR="005905B3" w:rsidP="00FC3DBB" w:rsidRDefault="005905B3" w14:paraId="4C8366B0" w14:textId="05A62947">
            <w:pPr>
              <w:pStyle w:val="ListParagraph"/>
              <w:ind w:left="0"/>
              <w:contextualSpacing w:val="0"/>
              <w:jc w:val="center"/>
              <w:rPr>
                <w:rFonts w:ascii="Arial" w:hAnsi="Arial" w:cs="Arial"/>
                <w:sz w:val="20"/>
                <w:szCs w:val="20"/>
              </w:rPr>
            </w:pPr>
            <w:r w:rsidRPr="006A3715">
              <w:rPr>
                <w:rFonts w:ascii="Arial" w:hAnsi="Arial" w:cs="Arial"/>
                <w:sz w:val="20"/>
                <w:szCs w:val="20"/>
              </w:rPr>
              <w:t>0</w:t>
            </w:r>
          </w:p>
        </w:tc>
        <w:tc>
          <w:tcPr>
            <w:tcW w:w="1127" w:type="dxa"/>
          </w:tcPr>
          <w:p w:rsidRPr="006A3715" w:rsidR="005905B3" w:rsidP="00FC3DBB" w:rsidRDefault="005905B3" w14:paraId="68075CD4" w14:textId="528A4F60">
            <w:pPr>
              <w:pStyle w:val="ListParagraph"/>
              <w:ind w:left="0"/>
              <w:contextualSpacing w:val="0"/>
              <w:jc w:val="center"/>
              <w:rPr>
                <w:rFonts w:ascii="Arial" w:hAnsi="Arial" w:cs="Arial"/>
                <w:sz w:val="20"/>
                <w:szCs w:val="20"/>
              </w:rPr>
            </w:pPr>
            <w:r w:rsidRPr="006A3715">
              <w:rPr>
                <w:rFonts w:ascii="Arial" w:hAnsi="Arial" w:cs="Arial"/>
                <w:sz w:val="20"/>
                <w:szCs w:val="20"/>
              </w:rPr>
              <w:t>0</w:t>
            </w:r>
          </w:p>
        </w:tc>
        <w:tc>
          <w:tcPr>
            <w:tcW w:w="1130" w:type="dxa"/>
          </w:tcPr>
          <w:p w:rsidRPr="006A3715" w:rsidR="005905B3" w:rsidP="00FC3DBB" w:rsidRDefault="005905B3" w14:paraId="7D812A9F" w14:textId="1F13F3C3">
            <w:pPr>
              <w:pStyle w:val="ListParagraph"/>
              <w:ind w:left="0"/>
              <w:contextualSpacing w:val="0"/>
              <w:jc w:val="center"/>
              <w:rPr>
                <w:rFonts w:ascii="Arial" w:hAnsi="Arial" w:cs="Arial"/>
                <w:sz w:val="20"/>
                <w:szCs w:val="20"/>
              </w:rPr>
            </w:pPr>
            <w:r w:rsidRPr="006A3715">
              <w:rPr>
                <w:rFonts w:ascii="Arial" w:hAnsi="Arial" w:cs="Arial"/>
                <w:sz w:val="20"/>
                <w:szCs w:val="20"/>
              </w:rPr>
              <w:t>4</w:t>
            </w:r>
          </w:p>
        </w:tc>
        <w:tc>
          <w:tcPr>
            <w:tcW w:w="1127" w:type="dxa"/>
          </w:tcPr>
          <w:p w:rsidRPr="006A3715" w:rsidR="005905B3" w:rsidP="00FC3DBB" w:rsidRDefault="005905B3" w14:paraId="5F4D0E65" w14:textId="07A793EF">
            <w:pPr>
              <w:pStyle w:val="ListParagraph"/>
              <w:ind w:left="0"/>
              <w:contextualSpacing w:val="0"/>
              <w:jc w:val="center"/>
              <w:rPr>
                <w:rFonts w:ascii="Arial" w:hAnsi="Arial" w:cs="Arial"/>
                <w:sz w:val="20"/>
                <w:szCs w:val="20"/>
              </w:rPr>
            </w:pPr>
            <w:r w:rsidRPr="006A3715">
              <w:rPr>
                <w:rFonts w:ascii="Arial" w:hAnsi="Arial" w:cs="Arial"/>
                <w:sz w:val="20"/>
                <w:szCs w:val="20"/>
              </w:rPr>
              <w:t>2</w:t>
            </w:r>
            <w:r w:rsidRPr="006A3715" w:rsidR="008407F1">
              <w:rPr>
                <w:rFonts w:ascii="Arial" w:hAnsi="Arial" w:cs="Arial"/>
                <w:sz w:val="20"/>
                <w:szCs w:val="20"/>
              </w:rPr>
              <w:t>,</w:t>
            </w:r>
            <w:r w:rsidRPr="006A3715">
              <w:rPr>
                <w:rFonts w:ascii="Arial" w:hAnsi="Arial" w:cs="Arial"/>
                <w:sz w:val="20"/>
                <w:szCs w:val="20"/>
              </w:rPr>
              <w:t>850</w:t>
            </w:r>
          </w:p>
        </w:tc>
        <w:tc>
          <w:tcPr>
            <w:tcW w:w="1169" w:type="dxa"/>
          </w:tcPr>
          <w:p w:rsidRPr="006A3715" w:rsidR="005905B3" w:rsidP="00FC3DBB" w:rsidRDefault="005905B3" w14:paraId="2A2E239E" w14:textId="273CBCBA">
            <w:pPr>
              <w:pStyle w:val="ListParagraph"/>
              <w:ind w:left="0"/>
              <w:contextualSpacing w:val="0"/>
              <w:jc w:val="center"/>
              <w:rPr>
                <w:rFonts w:ascii="Arial" w:hAnsi="Arial" w:cs="Arial"/>
                <w:sz w:val="20"/>
                <w:szCs w:val="20"/>
              </w:rPr>
            </w:pPr>
            <w:r w:rsidRPr="006A3715">
              <w:rPr>
                <w:rFonts w:ascii="Arial" w:hAnsi="Arial" w:cs="Arial"/>
                <w:sz w:val="20"/>
                <w:szCs w:val="20"/>
              </w:rPr>
              <w:t>2</w:t>
            </w:r>
            <w:r w:rsidRPr="006A3715" w:rsidR="00715A6F">
              <w:rPr>
                <w:rFonts w:ascii="Arial" w:hAnsi="Arial" w:cs="Arial"/>
                <w:sz w:val="20"/>
                <w:szCs w:val="20"/>
              </w:rPr>
              <w:t>,</w:t>
            </w:r>
            <w:r w:rsidRPr="006A3715">
              <w:rPr>
                <w:rFonts w:ascii="Arial" w:hAnsi="Arial" w:cs="Arial"/>
                <w:sz w:val="20"/>
                <w:szCs w:val="20"/>
              </w:rPr>
              <w:t>850</w:t>
            </w:r>
          </w:p>
        </w:tc>
      </w:tr>
      <w:tr w:rsidRPr="00FC3DBB" w:rsidR="005905B3" w:rsidTr="00FC3DBB" w14:paraId="31DB1868" w14:textId="77777777">
        <w:tc>
          <w:tcPr>
            <w:tcW w:w="1476" w:type="dxa"/>
            <w:vMerge/>
          </w:tcPr>
          <w:p w:rsidRPr="00FC3DBB" w:rsidR="005905B3" w:rsidP="00FC3DBB" w:rsidRDefault="005905B3" w14:paraId="289D6C3C" w14:textId="77777777">
            <w:pPr>
              <w:pStyle w:val="ListParagraph"/>
              <w:ind w:left="0"/>
              <w:contextualSpacing w:val="0"/>
              <w:jc w:val="center"/>
              <w:rPr>
                <w:rFonts w:ascii="Arial" w:hAnsi="Arial" w:cs="Arial"/>
                <w:sz w:val="20"/>
                <w:szCs w:val="20"/>
              </w:rPr>
            </w:pPr>
          </w:p>
        </w:tc>
        <w:tc>
          <w:tcPr>
            <w:tcW w:w="1310" w:type="dxa"/>
            <w:shd w:val="clear" w:color="auto" w:fill="E7E6E6" w:themeFill="background2"/>
          </w:tcPr>
          <w:p w:rsidRPr="00FC3DBB" w:rsidR="005905B3" w:rsidP="00FC3DBB" w:rsidRDefault="005905B3" w14:paraId="3A4DEF5F" w14:textId="08C4ECB7">
            <w:pPr>
              <w:pStyle w:val="ListParagraph"/>
              <w:ind w:left="0"/>
              <w:contextualSpacing w:val="0"/>
              <w:jc w:val="center"/>
              <w:rPr>
                <w:rFonts w:ascii="Arial" w:hAnsi="Arial" w:cs="Arial"/>
                <w:sz w:val="20"/>
                <w:szCs w:val="20"/>
              </w:rPr>
            </w:pPr>
            <w:r w:rsidRPr="00FC3DBB">
              <w:rPr>
                <w:rFonts w:ascii="Arial" w:hAnsi="Arial" w:cs="Arial"/>
                <w:sz w:val="20"/>
                <w:szCs w:val="20"/>
              </w:rPr>
              <w:t xml:space="preserve">Total </w:t>
            </w:r>
            <w:r w:rsidRPr="00FC3DBB" w:rsidR="00573830">
              <w:rPr>
                <w:rFonts w:ascii="Arial" w:hAnsi="Arial" w:cs="Arial"/>
                <w:sz w:val="20"/>
                <w:szCs w:val="20"/>
              </w:rPr>
              <w:t>I</w:t>
            </w:r>
          </w:p>
        </w:tc>
        <w:tc>
          <w:tcPr>
            <w:tcW w:w="1129" w:type="dxa"/>
            <w:shd w:val="clear" w:color="auto" w:fill="E7E6E6" w:themeFill="background2"/>
          </w:tcPr>
          <w:p w:rsidRPr="00FC3DBB" w:rsidR="005905B3" w:rsidP="00FC3DBB" w:rsidRDefault="005905B3" w14:paraId="5AE4E47B" w14:textId="4EA0F3F2">
            <w:pPr>
              <w:pStyle w:val="ListParagraph"/>
              <w:ind w:left="0"/>
              <w:contextualSpacing w:val="0"/>
              <w:jc w:val="center"/>
              <w:rPr>
                <w:rFonts w:ascii="Arial" w:hAnsi="Arial" w:cs="Arial"/>
                <w:sz w:val="20"/>
                <w:szCs w:val="20"/>
              </w:rPr>
            </w:pPr>
            <w:r w:rsidRPr="00FC3DBB">
              <w:rPr>
                <w:rFonts w:ascii="Arial" w:hAnsi="Arial" w:cs="Arial"/>
                <w:sz w:val="20"/>
                <w:szCs w:val="20"/>
              </w:rPr>
              <w:t>3</w:t>
            </w:r>
          </w:p>
        </w:tc>
        <w:tc>
          <w:tcPr>
            <w:tcW w:w="1127" w:type="dxa"/>
            <w:shd w:val="clear" w:color="auto" w:fill="E7E6E6" w:themeFill="background2"/>
          </w:tcPr>
          <w:p w:rsidRPr="00FC3DBB" w:rsidR="005905B3" w:rsidP="00FC3DBB" w:rsidRDefault="003E024D" w14:paraId="1A1E1BC7" w14:textId="2CCC8493">
            <w:pPr>
              <w:pStyle w:val="ListParagraph"/>
              <w:ind w:left="0"/>
              <w:contextualSpacing w:val="0"/>
              <w:jc w:val="center"/>
              <w:rPr>
                <w:rFonts w:ascii="Arial" w:hAnsi="Arial" w:cs="Arial"/>
                <w:sz w:val="20"/>
                <w:szCs w:val="20"/>
              </w:rPr>
            </w:pPr>
            <w:r w:rsidRPr="00FC3DBB">
              <w:rPr>
                <w:rFonts w:ascii="Arial" w:hAnsi="Arial" w:cs="Arial"/>
                <w:sz w:val="20"/>
                <w:szCs w:val="20"/>
              </w:rPr>
              <w:t>420</w:t>
            </w:r>
          </w:p>
        </w:tc>
        <w:tc>
          <w:tcPr>
            <w:tcW w:w="1130" w:type="dxa"/>
            <w:shd w:val="clear" w:color="auto" w:fill="E7E6E6" w:themeFill="background2"/>
          </w:tcPr>
          <w:p w:rsidRPr="00FC3DBB" w:rsidR="005905B3" w:rsidP="00FC3DBB" w:rsidRDefault="003E024D" w14:paraId="101C53A6" w14:textId="48DF2C54">
            <w:pPr>
              <w:pStyle w:val="ListParagraph"/>
              <w:ind w:left="0"/>
              <w:contextualSpacing w:val="0"/>
              <w:jc w:val="center"/>
              <w:rPr>
                <w:rFonts w:ascii="Arial" w:hAnsi="Arial" w:cs="Arial"/>
                <w:sz w:val="20"/>
                <w:szCs w:val="20"/>
              </w:rPr>
            </w:pPr>
            <w:r w:rsidRPr="00FC3DBB">
              <w:rPr>
                <w:rFonts w:ascii="Arial" w:hAnsi="Arial" w:cs="Arial"/>
                <w:sz w:val="20"/>
                <w:szCs w:val="20"/>
              </w:rPr>
              <w:t>14</w:t>
            </w:r>
          </w:p>
        </w:tc>
        <w:tc>
          <w:tcPr>
            <w:tcW w:w="1127" w:type="dxa"/>
            <w:shd w:val="clear" w:color="auto" w:fill="E7E6E6" w:themeFill="background2"/>
          </w:tcPr>
          <w:p w:rsidRPr="00FC3DBB" w:rsidR="005905B3" w:rsidP="00FC3DBB" w:rsidRDefault="001D3ACA" w14:paraId="29C1BD2E" w14:textId="31E7A03A">
            <w:pPr>
              <w:pStyle w:val="ListParagraph"/>
              <w:ind w:left="0"/>
              <w:contextualSpacing w:val="0"/>
              <w:jc w:val="center"/>
              <w:rPr>
                <w:rFonts w:ascii="Arial" w:hAnsi="Arial" w:cs="Arial"/>
                <w:sz w:val="20"/>
                <w:szCs w:val="20"/>
              </w:rPr>
            </w:pPr>
            <w:r w:rsidRPr="00FC3DBB">
              <w:rPr>
                <w:rFonts w:ascii="Arial" w:hAnsi="Arial" w:cs="Arial"/>
                <w:sz w:val="20"/>
                <w:szCs w:val="20"/>
              </w:rPr>
              <w:t>8</w:t>
            </w:r>
            <w:r w:rsidRPr="00FC3DBB" w:rsidR="0070628E">
              <w:rPr>
                <w:rFonts w:ascii="Arial" w:hAnsi="Arial" w:cs="Arial"/>
                <w:sz w:val="20"/>
                <w:szCs w:val="20"/>
              </w:rPr>
              <w:t>,</w:t>
            </w:r>
            <w:r w:rsidRPr="00FC3DBB">
              <w:rPr>
                <w:rFonts w:ascii="Arial" w:hAnsi="Arial" w:cs="Arial"/>
                <w:sz w:val="20"/>
                <w:szCs w:val="20"/>
              </w:rPr>
              <w:t>180</w:t>
            </w:r>
          </w:p>
        </w:tc>
        <w:tc>
          <w:tcPr>
            <w:tcW w:w="1169" w:type="dxa"/>
            <w:shd w:val="clear" w:color="auto" w:fill="E7E6E6" w:themeFill="background2"/>
          </w:tcPr>
          <w:p w:rsidRPr="00FC3DBB" w:rsidR="005905B3" w:rsidP="00FC3DBB" w:rsidRDefault="00C35823" w14:paraId="08835832" w14:textId="6020FB84">
            <w:pPr>
              <w:pStyle w:val="ListParagraph"/>
              <w:ind w:left="0"/>
              <w:contextualSpacing w:val="0"/>
              <w:jc w:val="center"/>
              <w:rPr>
                <w:rFonts w:ascii="Arial" w:hAnsi="Arial" w:cs="Arial"/>
                <w:sz w:val="20"/>
                <w:szCs w:val="20"/>
              </w:rPr>
            </w:pPr>
            <w:r w:rsidRPr="00FC3DBB">
              <w:rPr>
                <w:rFonts w:ascii="Arial" w:hAnsi="Arial" w:cs="Arial"/>
                <w:sz w:val="20"/>
                <w:szCs w:val="20"/>
              </w:rPr>
              <w:t>8</w:t>
            </w:r>
            <w:r w:rsidRPr="00FC3DBB" w:rsidR="00715A6F">
              <w:rPr>
                <w:rFonts w:ascii="Arial" w:hAnsi="Arial" w:cs="Arial"/>
                <w:sz w:val="20"/>
                <w:szCs w:val="20"/>
              </w:rPr>
              <w:t>,</w:t>
            </w:r>
            <w:r w:rsidRPr="00FC3DBB">
              <w:rPr>
                <w:rFonts w:ascii="Arial" w:hAnsi="Arial" w:cs="Arial"/>
                <w:sz w:val="20"/>
                <w:szCs w:val="20"/>
              </w:rPr>
              <w:t>600</w:t>
            </w:r>
          </w:p>
        </w:tc>
      </w:tr>
      <w:tr w:rsidRPr="00FC3DBB" w:rsidR="00C35823" w:rsidTr="00FC3DBB" w14:paraId="62091020" w14:textId="77777777">
        <w:tc>
          <w:tcPr>
            <w:tcW w:w="1476" w:type="dxa"/>
            <w:vMerge w:val="restart"/>
            <w:vAlign w:val="center"/>
          </w:tcPr>
          <w:p w:rsidRPr="00FC3DBB" w:rsidR="00C35823" w:rsidP="00FC3DBB" w:rsidRDefault="00C35823" w14:paraId="4DACC596" w14:textId="3A359FD6">
            <w:pPr>
              <w:pStyle w:val="ListParagraph"/>
              <w:ind w:left="0"/>
              <w:contextualSpacing w:val="0"/>
              <w:jc w:val="center"/>
              <w:rPr>
                <w:rFonts w:ascii="Arial" w:hAnsi="Arial" w:cs="Arial"/>
                <w:sz w:val="20"/>
                <w:szCs w:val="20"/>
              </w:rPr>
            </w:pPr>
            <w:r w:rsidRPr="00FC3DBB">
              <w:rPr>
                <w:rFonts w:ascii="Arial" w:hAnsi="Arial" w:cs="Arial"/>
                <w:sz w:val="20"/>
                <w:szCs w:val="20"/>
              </w:rPr>
              <w:t>II</w:t>
            </w:r>
          </w:p>
        </w:tc>
        <w:tc>
          <w:tcPr>
            <w:tcW w:w="1310" w:type="dxa"/>
            <w:shd w:val="clear" w:color="auto" w:fill="auto"/>
          </w:tcPr>
          <w:p w:rsidRPr="00FC3DBB" w:rsidR="00C35823" w:rsidP="00FC3DBB" w:rsidRDefault="00C35823" w14:paraId="7824E301" w14:textId="4D974A39">
            <w:pPr>
              <w:pStyle w:val="ListParagraph"/>
              <w:ind w:left="0"/>
              <w:contextualSpacing w:val="0"/>
              <w:jc w:val="center"/>
              <w:rPr>
                <w:rFonts w:ascii="Arial" w:hAnsi="Arial" w:cs="Arial"/>
                <w:b/>
                <w:bCs/>
                <w:sz w:val="20"/>
                <w:szCs w:val="20"/>
              </w:rPr>
            </w:pPr>
            <w:r w:rsidRPr="00FC3DBB">
              <w:rPr>
                <w:rFonts w:ascii="Arial" w:hAnsi="Arial" w:cs="Arial"/>
                <w:b/>
                <w:bCs/>
                <w:color w:val="4472C4" w:themeColor="accent1"/>
                <w:sz w:val="20"/>
                <w:szCs w:val="20"/>
              </w:rPr>
              <w:t>TR</w:t>
            </w:r>
          </w:p>
        </w:tc>
        <w:tc>
          <w:tcPr>
            <w:tcW w:w="1129" w:type="dxa"/>
            <w:shd w:val="clear" w:color="auto" w:fill="auto"/>
          </w:tcPr>
          <w:p w:rsidRPr="00FC3DBB" w:rsidR="00C35823" w:rsidP="00FC3DBB" w:rsidRDefault="00C35823" w14:paraId="3A25A38F" w14:textId="7B2E870B">
            <w:pPr>
              <w:pStyle w:val="ListParagraph"/>
              <w:ind w:left="0"/>
              <w:contextualSpacing w:val="0"/>
              <w:jc w:val="center"/>
              <w:rPr>
                <w:rFonts w:ascii="Arial" w:hAnsi="Arial" w:cs="Arial"/>
                <w:sz w:val="20"/>
                <w:szCs w:val="20"/>
              </w:rPr>
            </w:pPr>
            <w:r w:rsidRPr="00FC3DBB">
              <w:rPr>
                <w:rFonts w:ascii="Arial" w:hAnsi="Arial" w:cs="Arial"/>
                <w:sz w:val="20"/>
                <w:szCs w:val="20"/>
              </w:rPr>
              <w:t>4</w:t>
            </w:r>
          </w:p>
        </w:tc>
        <w:tc>
          <w:tcPr>
            <w:tcW w:w="1127" w:type="dxa"/>
            <w:shd w:val="clear" w:color="auto" w:fill="auto"/>
          </w:tcPr>
          <w:p w:rsidRPr="00FC3DBB" w:rsidR="00C35823" w:rsidP="00FC3DBB" w:rsidRDefault="00C35823" w14:paraId="51008B13" w14:textId="19D22DD2">
            <w:pPr>
              <w:pStyle w:val="ListParagraph"/>
              <w:ind w:left="0"/>
              <w:contextualSpacing w:val="0"/>
              <w:jc w:val="center"/>
              <w:rPr>
                <w:rFonts w:ascii="Arial" w:hAnsi="Arial" w:cs="Arial"/>
                <w:sz w:val="20"/>
                <w:szCs w:val="20"/>
              </w:rPr>
            </w:pPr>
            <w:r w:rsidRPr="00FC3DBB">
              <w:rPr>
                <w:rFonts w:ascii="Arial" w:hAnsi="Arial" w:cs="Arial"/>
                <w:sz w:val="20"/>
                <w:szCs w:val="20"/>
              </w:rPr>
              <w:t>425</w:t>
            </w:r>
          </w:p>
        </w:tc>
        <w:tc>
          <w:tcPr>
            <w:tcW w:w="1130" w:type="dxa"/>
            <w:shd w:val="clear" w:color="auto" w:fill="auto"/>
          </w:tcPr>
          <w:p w:rsidRPr="00FC3DBB" w:rsidR="00C35823" w:rsidP="00FC3DBB" w:rsidRDefault="00C35823" w14:paraId="1CE447D9" w14:textId="6669ED3F">
            <w:pPr>
              <w:pStyle w:val="ListParagraph"/>
              <w:ind w:left="0"/>
              <w:contextualSpacing w:val="0"/>
              <w:jc w:val="center"/>
              <w:rPr>
                <w:rFonts w:ascii="Arial" w:hAnsi="Arial" w:cs="Arial"/>
                <w:sz w:val="20"/>
                <w:szCs w:val="20"/>
              </w:rPr>
            </w:pPr>
            <w:r w:rsidRPr="00FC3DBB">
              <w:rPr>
                <w:rFonts w:ascii="Arial" w:hAnsi="Arial" w:cs="Arial"/>
                <w:sz w:val="20"/>
                <w:szCs w:val="20"/>
              </w:rPr>
              <w:t>2</w:t>
            </w:r>
          </w:p>
        </w:tc>
        <w:tc>
          <w:tcPr>
            <w:tcW w:w="1127" w:type="dxa"/>
            <w:shd w:val="clear" w:color="auto" w:fill="auto"/>
          </w:tcPr>
          <w:p w:rsidRPr="00FC3DBB" w:rsidR="00C35823" w:rsidP="00FC3DBB" w:rsidRDefault="00C35823" w14:paraId="7CA5118A" w14:textId="2AD30997">
            <w:pPr>
              <w:pStyle w:val="ListParagraph"/>
              <w:ind w:left="0"/>
              <w:contextualSpacing w:val="0"/>
              <w:jc w:val="center"/>
              <w:rPr>
                <w:rFonts w:ascii="Arial" w:hAnsi="Arial" w:cs="Arial"/>
                <w:sz w:val="20"/>
                <w:szCs w:val="20"/>
              </w:rPr>
            </w:pPr>
            <w:r w:rsidRPr="00FC3DBB">
              <w:rPr>
                <w:rFonts w:ascii="Arial" w:hAnsi="Arial" w:cs="Arial"/>
                <w:sz w:val="20"/>
                <w:szCs w:val="20"/>
              </w:rPr>
              <w:t>450</w:t>
            </w:r>
          </w:p>
        </w:tc>
        <w:tc>
          <w:tcPr>
            <w:tcW w:w="1169" w:type="dxa"/>
            <w:shd w:val="clear" w:color="auto" w:fill="auto"/>
          </w:tcPr>
          <w:p w:rsidRPr="00FC3DBB" w:rsidR="00C35823" w:rsidP="00FC3DBB" w:rsidRDefault="00C35823" w14:paraId="639EE6CC" w14:textId="7BB6EE35">
            <w:pPr>
              <w:pStyle w:val="ListParagraph"/>
              <w:ind w:left="0"/>
              <w:contextualSpacing w:val="0"/>
              <w:jc w:val="center"/>
              <w:rPr>
                <w:rFonts w:ascii="Arial" w:hAnsi="Arial" w:cs="Arial"/>
                <w:sz w:val="20"/>
                <w:szCs w:val="20"/>
              </w:rPr>
            </w:pPr>
            <w:r w:rsidRPr="00FC3DBB">
              <w:rPr>
                <w:rFonts w:ascii="Arial" w:hAnsi="Arial" w:cs="Arial"/>
                <w:sz w:val="20"/>
                <w:szCs w:val="20"/>
              </w:rPr>
              <w:t>875</w:t>
            </w:r>
          </w:p>
        </w:tc>
      </w:tr>
      <w:tr w:rsidRPr="00FC3DBB" w:rsidR="00C35823" w:rsidTr="00FC3DBB" w14:paraId="0B383D8E" w14:textId="77777777">
        <w:tc>
          <w:tcPr>
            <w:tcW w:w="1476" w:type="dxa"/>
            <w:vMerge/>
          </w:tcPr>
          <w:p w:rsidRPr="00FC3DBB" w:rsidR="00C35823" w:rsidP="00FC3DBB" w:rsidRDefault="00C35823" w14:paraId="29DDD0BA" w14:textId="77777777">
            <w:pPr>
              <w:pStyle w:val="ListParagraph"/>
              <w:ind w:left="0"/>
              <w:contextualSpacing w:val="0"/>
              <w:jc w:val="center"/>
              <w:rPr>
                <w:rFonts w:ascii="Arial" w:hAnsi="Arial" w:cs="Arial"/>
                <w:sz w:val="20"/>
                <w:szCs w:val="20"/>
              </w:rPr>
            </w:pPr>
          </w:p>
        </w:tc>
        <w:tc>
          <w:tcPr>
            <w:tcW w:w="1310" w:type="dxa"/>
            <w:shd w:val="clear" w:color="auto" w:fill="E7E6E6" w:themeFill="background2"/>
          </w:tcPr>
          <w:p w:rsidRPr="00FC3DBB" w:rsidR="00C35823" w:rsidP="00FC3DBB" w:rsidRDefault="00C35823" w14:paraId="3D9D467D" w14:textId="05B9CDE0">
            <w:pPr>
              <w:pStyle w:val="ListParagraph"/>
              <w:ind w:left="0"/>
              <w:contextualSpacing w:val="0"/>
              <w:jc w:val="center"/>
              <w:rPr>
                <w:rFonts w:ascii="Arial" w:hAnsi="Arial" w:cs="Arial"/>
                <w:sz w:val="20"/>
                <w:szCs w:val="20"/>
              </w:rPr>
            </w:pPr>
            <w:r w:rsidRPr="00FC3DBB">
              <w:rPr>
                <w:rFonts w:ascii="Arial" w:hAnsi="Arial" w:cs="Arial"/>
                <w:sz w:val="20"/>
                <w:szCs w:val="20"/>
              </w:rPr>
              <w:t>Total II</w:t>
            </w:r>
          </w:p>
        </w:tc>
        <w:tc>
          <w:tcPr>
            <w:tcW w:w="1129" w:type="dxa"/>
            <w:shd w:val="clear" w:color="auto" w:fill="E7E6E6" w:themeFill="background2"/>
          </w:tcPr>
          <w:p w:rsidRPr="00FC3DBB" w:rsidR="00C35823" w:rsidP="00FC3DBB" w:rsidRDefault="00C35823" w14:paraId="55A5F7DC" w14:textId="01B99E0B">
            <w:pPr>
              <w:pStyle w:val="ListParagraph"/>
              <w:ind w:left="0"/>
              <w:contextualSpacing w:val="0"/>
              <w:jc w:val="center"/>
              <w:rPr>
                <w:rFonts w:ascii="Arial" w:hAnsi="Arial" w:cs="Arial"/>
                <w:sz w:val="20"/>
                <w:szCs w:val="20"/>
              </w:rPr>
            </w:pPr>
            <w:r w:rsidRPr="00FC3DBB">
              <w:rPr>
                <w:rFonts w:ascii="Arial" w:hAnsi="Arial" w:cs="Arial"/>
                <w:sz w:val="20"/>
                <w:szCs w:val="20"/>
              </w:rPr>
              <w:t>4</w:t>
            </w:r>
          </w:p>
        </w:tc>
        <w:tc>
          <w:tcPr>
            <w:tcW w:w="1127" w:type="dxa"/>
            <w:shd w:val="clear" w:color="auto" w:fill="E7E6E6" w:themeFill="background2"/>
          </w:tcPr>
          <w:p w:rsidRPr="00FC3DBB" w:rsidR="00C35823" w:rsidP="00FC3DBB" w:rsidRDefault="00C35823" w14:paraId="5B229394" w14:textId="0E784DB7">
            <w:pPr>
              <w:pStyle w:val="ListParagraph"/>
              <w:ind w:left="0"/>
              <w:contextualSpacing w:val="0"/>
              <w:jc w:val="center"/>
              <w:rPr>
                <w:rFonts w:ascii="Arial" w:hAnsi="Arial" w:cs="Arial"/>
                <w:sz w:val="20"/>
                <w:szCs w:val="20"/>
              </w:rPr>
            </w:pPr>
            <w:r w:rsidRPr="00FC3DBB">
              <w:rPr>
                <w:rFonts w:ascii="Arial" w:hAnsi="Arial" w:cs="Arial"/>
                <w:sz w:val="20"/>
                <w:szCs w:val="20"/>
              </w:rPr>
              <w:t>425</w:t>
            </w:r>
          </w:p>
        </w:tc>
        <w:tc>
          <w:tcPr>
            <w:tcW w:w="1130" w:type="dxa"/>
            <w:shd w:val="clear" w:color="auto" w:fill="E7E6E6" w:themeFill="background2"/>
          </w:tcPr>
          <w:p w:rsidRPr="00FC3DBB" w:rsidR="00C35823" w:rsidP="00FC3DBB" w:rsidRDefault="004B4F11" w14:paraId="58847ABE" w14:textId="720C4ECE">
            <w:pPr>
              <w:pStyle w:val="ListParagraph"/>
              <w:ind w:left="0"/>
              <w:contextualSpacing w:val="0"/>
              <w:jc w:val="center"/>
              <w:rPr>
                <w:rFonts w:ascii="Arial" w:hAnsi="Arial" w:cs="Arial"/>
                <w:sz w:val="20"/>
                <w:szCs w:val="20"/>
              </w:rPr>
            </w:pPr>
            <w:r w:rsidRPr="00FC3DBB">
              <w:rPr>
                <w:rFonts w:ascii="Arial" w:hAnsi="Arial" w:cs="Arial"/>
                <w:sz w:val="20"/>
                <w:szCs w:val="20"/>
              </w:rPr>
              <w:t>2</w:t>
            </w:r>
          </w:p>
        </w:tc>
        <w:tc>
          <w:tcPr>
            <w:tcW w:w="1127" w:type="dxa"/>
            <w:shd w:val="clear" w:color="auto" w:fill="E7E6E6" w:themeFill="background2"/>
          </w:tcPr>
          <w:p w:rsidRPr="00FC3DBB" w:rsidR="00C35823" w:rsidP="00FC3DBB" w:rsidRDefault="004B4F11" w14:paraId="6D65AD07" w14:textId="1D419BDE">
            <w:pPr>
              <w:pStyle w:val="ListParagraph"/>
              <w:ind w:left="0"/>
              <w:contextualSpacing w:val="0"/>
              <w:jc w:val="center"/>
              <w:rPr>
                <w:rFonts w:ascii="Arial" w:hAnsi="Arial" w:cs="Arial"/>
                <w:sz w:val="20"/>
                <w:szCs w:val="20"/>
              </w:rPr>
            </w:pPr>
            <w:r w:rsidRPr="00FC3DBB">
              <w:rPr>
                <w:rFonts w:ascii="Arial" w:hAnsi="Arial" w:cs="Arial"/>
                <w:sz w:val="20"/>
                <w:szCs w:val="20"/>
              </w:rPr>
              <w:t>450</w:t>
            </w:r>
          </w:p>
        </w:tc>
        <w:tc>
          <w:tcPr>
            <w:tcW w:w="1169" w:type="dxa"/>
            <w:shd w:val="clear" w:color="auto" w:fill="E7E6E6" w:themeFill="background2"/>
          </w:tcPr>
          <w:p w:rsidRPr="00FC3DBB" w:rsidR="00C35823" w:rsidP="00FC3DBB" w:rsidRDefault="004B4F11" w14:paraId="70ABD5DC" w14:textId="3C94BEA4">
            <w:pPr>
              <w:pStyle w:val="ListParagraph"/>
              <w:ind w:left="0"/>
              <w:contextualSpacing w:val="0"/>
              <w:jc w:val="center"/>
              <w:rPr>
                <w:rFonts w:ascii="Arial" w:hAnsi="Arial" w:cs="Arial"/>
                <w:sz w:val="20"/>
                <w:szCs w:val="20"/>
              </w:rPr>
            </w:pPr>
            <w:r w:rsidRPr="00FC3DBB">
              <w:rPr>
                <w:rFonts w:ascii="Arial" w:hAnsi="Arial" w:cs="Arial"/>
                <w:sz w:val="20"/>
                <w:szCs w:val="20"/>
              </w:rPr>
              <w:t>875</w:t>
            </w:r>
          </w:p>
        </w:tc>
      </w:tr>
      <w:tr w:rsidRPr="00FC3DBB" w:rsidR="004A6B1A" w:rsidTr="00AF6415" w14:paraId="7AD934EF" w14:textId="77777777">
        <w:tc>
          <w:tcPr>
            <w:tcW w:w="2786" w:type="dxa"/>
            <w:gridSpan w:val="2"/>
            <w:shd w:val="clear" w:color="auto" w:fill="E7E6E6" w:themeFill="background2"/>
          </w:tcPr>
          <w:p w:rsidRPr="00FC3DBB" w:rsidR="004A6B1A" w:rsidP="004A6B1A" w:rsidRDefault="004A6B1A" w14:paraId="2DA92E73" w14:textId="31D4F191">
            <w:pPr>
              <w:pStyle w:val="ListParagraph"/>
              <w:ind w:left="0"/>
              <w:contextualSpacing w:val="0"/>
              <w:jc w:val="center"/>
              <w:rPr>
                <w:rFonts w:ascii="Arial" w:hAnsi="Arial" w:cs="Arial"/>
                <w:sz w:val="20"/>
                <w:szCs w:val="20"/>
              </w:rPr>
            </w:pPr>
            <w:r w:rsidRPr="00FC3DBB">
              <w:rPr>
                <w:rFonts w:ascii="Arial" w:hAnsi="Arial" w:cs="Arial"/>
                <w:sz w:val="20"/>
                <w:szCs w:val="20"/>
              </w:rPr>
              <w:t>Total Programa</w:t>
            </w:r>
          </w:p>
        </w:tc>
        <w:tc>
          <w:tcPr>
            <w:tcW w:w="1129" w:type="dxa"/>
            <w:shd w:val="clear" w:color="auto" w:fill="E7E6E6" w:themeFill="background2"/>
          </w:tcPr>
          <w:p w:rsidRPr="00FC3DBB" w:rsidR="004A6B1A" w:rsidP="004A6B1A" w:rsidRDefault="004A6B1A" w14:paraId="4E67AFE4" w14:textId="554EE2BB">
            <w:pPr>
              <w:pStyle w:val="ListParagraph"/>
              <w:ind w:left="0"/>
              <w:contextualSpacing w:val="0"/>
              <w:jc w:val="center"/>
              <w:rPr>
                <w:rFonts w:ascii="Arial" w:hAnsi="Arial" w:cs="Arial"/>
                <w:b/>
                <w:bCs/>
                <w:sz w:val="20"/>
                <w:szCs w:val="20"/>
              </w:rPr>
            </w:pPr>
            <w:r>
              <w:rPr>
                <w:rFonts w:asciiTheme="majorHAnsi" w:hAnsiTheme="majorHAnsi" w:cstheme="majorHAnsi"/>
                <w:b/>
                <w:bCs/>
                <w:sz w:val="22"/>
                <w:szCs w:val="22"/>
              </w:rPr>
              <w:t>7</w:t>
            </w:r>
          </w:p>
        </w:tc>
        <w:tc>
          <w:tcPr>
            <w:tcW w:w="1127" w:type="dxa"/>
            <w:shd w:val="clear" w:color="auto" w:fill="E7E6E6" w:themeFill="background2"/>
          </w:tcPr>
          <w:p w:rsidRPr="00FC3DBB" w:rsidR="004A6B1A" w:rsidP="004A6B1A" w:rsidRDefault="004A6B1A" w14:paraId="7AD3ADEB" w14:textId="614E426F">
            <w:pPr>
              <w:pStyle w:val="ListParagraph"/>
              <w:ind w:left="0"/>
              <w:contextualSpacing w:val="0"/>
              <w:jc w:val="center"/>
              <w:rPr>
                <w:rFonts w:ascii="Arial" w:hAnsi="Arial" w:cs="Arial"/>
                <w:b/>
                <w:bCs/>
                <w:sz w:val="20"/>
                <w:szCs w:val="20"/>
              </w:rPr>
            </w:pPr>
            <w:r>
              <w:rPr>
                <w:rFonts w:asciiTheme="majorHAnsi" w:hAnsiTheme="majorHAnsi" w:cstheme="majorHAnsi"/>
                <w:b/>
                <w:bCs/>
                <w:sz w:val="22"/>
                <w:szCs w:val="22"/>
              </w:rPr>
              <w:t>845</w:t>
            </w:r>
          </w:p>
        </w:tc>
        <w:tc>
          <w:tcPr>
            <w:tcW w:w="1130" w:type="dxa"/>
            <w:shd w:val="clear" w:color="auto" w:fill="E7E6E6" w:themeFill="background2"/>
          </w:tcPr>
          <w:p w:rsidRPr="00FC3DBB" w:rsidR="004A6B1A" w:rsidP="004A6B1A" w:rsidRDefault="004A6B1A" w14:paraId="25C40663" w14:textId="4395F5D0">
            <w:pPr>
              <w:pStyle w:val="ListParagraph"/>
              <w:ind w:left="0"/>
              <w:contextualSpacing w:val="0"/>
              <w:jc w:val="center"/>
              <w:rPr>
                <w:rFonts w:ascii="Arial" w:hAnsi="Arial" w:cs="Arial"/>
                <w:b/>
                <w:bCs/>
                <w:sz w:val="20"/>
                <w:szCs w:val="20"/>
              </w:rPr>
            </w:pPr>
            <w:r>
              <w:rPr>
                <w:rFonts w:asciiTheme="majorHAnsi" w:hAnsiTheme="majorHAnsi" w:cstheme="majorHAnsi"/>
                <w:b/>
                <w:bCs/>
                <w:sz w:val="22"/>
                <w:szCs w:val="22"/>
              </w:rPr>
              <w:t>16</w:t>
            </w:r>
          </w:p>
        </w:tc>
        <w:tc>
          <w:tcPr>
            <w:tcW w:w="1127" w:type="dxa"/>
            <w:shd w:val="clear" w:color="auto" w:fill="E7E6E6" w:themeFill="background2"/>
          </w:tcPr>
          <w:p w:rsidRPr="00FC3DBB" w:rsidR="004A6B1A" w:rsidP="004A6B1A" w:rsidRDefault="004A6B1A" w14:paraId="6C35BABC" w14:textId="155F449E">
            <w:pPr>
              <w:pStyle w:val="ListParagraph"/>
              <w:ind w:left="0"/>
              <w:contextualSpacing w:val="0"/>
              <w:jc w:val="center"/>
              <w:rPr>
                <w:rFonts w:ascii="Arial" w:hAnsi="Arial" w:cs="Arial"/>
                <w:b/>
                <w:bCs/>
                <w:sz w:val="20"/>
                <w:szCs w:val="20"/>
              </w:rPr>
            </w:pPr>
            <w:r>
              <w:rPr>
                <w:rFonts w:asciiTheme="majorHAnsi" w:hAnsiTheme="majorHAnsi" w:cstheme="majorHAnsi"/>
                <w:b/>
                <w:bCs/>
                <w:sz w:val="22"/>
                <w:szCs w:val="22"/>
              </w:rPr>
              <w:t>8,630</w:t>
            </w:r>
          </w:p>
        </w:tc>
        <w:tc>
          <w:tcPr>
            <w:tcW w:w="1169" w:type="dxa"/>
            <w:shd w:val="clear" w:color="auto" w:fill="E7E6E6" w:themeFill="background2"/>
          </w:tcPr>
          <w:p w:rsidRPr="00FC3DBB" w:rsidR="004A6B1A" w:rsidP="004A6B1A" w:rsidRDefault="004A6B1A" w14:paraId="6449B608" w14:textId="384F13E8">
            <w:pPr>
              <w:pStyle w:val="ListParagraph"/>
              <w:ind w:left="0"/>
              <w:contextualSpacing w:val="0"/>
              <w:jc w:val="center"/>
              <w:rPr>
                <w:rFonts w:ascii="Arial" w:hAnsi="Arial" w:cs="Arial"/>
                <w:b/>
                <w:bCs/>
                <w:sz w:val="20"/>
                <w:szCs w:val="20"/>
              </w:rPr>
            </w:pPr>
            <w:r>
              <w:rPr>
                <w:rFonts w:asciiTheme="majorHAnsi" w:hAnsiTheme="majorHAnsi" w:cstheme="majorHAnsi"/>
                <w:b/>
                <w:bCs/>
                <w:sz w:val="22"/>
                <w:szCs w:val="22"/>
              </w:rPr>
              <w:t>9,475</w:t>
            </w:r>
          </w:p>
        </w:tc>
      </w:tr>
    </w:tbl>
    <w:p w:rsidRPr="00FC3DBB" w:rsidR="00471DF1" w:rsidP="004A2B13" w:rsidRDefault="00471DF1" w14:paraId="24052FCF" w14:textId="12B98497">
      <w:pPr>
        <w:pStyle w:val="ListParagraph"/>
        <w:spacing w:before="120" w:after="120"/>
        <w:ind w:left="360"/>
        <w:contextualSpacing w:val="0"/>
        <w:jc w:val="center"/>
        <w:rPr>
          <w:rFonts w:ascii="Arial" w:hAnsi="Arial" w:cs="Arial"/>
          <w:sz w:val="20"/>
          <w:szCs w:val="20"/>
        </w:rPr>
      </w:pPr>
      <w:r w:rsidRPr="00FC3DBB">
        <w:rPr>
          <w:rFonts w:ascii="Arial" w:hAnsi="Arial" w:cs="Arial"/>
          <w:sz w:val="20"/>
          <w:szCs w:val="20"/>
        </w:rPr>
        <w:t xml:space="preserve">Fuente: </w:t>
      </w:r>
      <w:r w:rsidRPr="00FC3DBB" w:rsidR="009E63E6">
        <w:rPr>
          <w:rFonts w:ascii="Arial" w:hAnsi="Arial" w:cs="Arial"/>
          <w:sz w:val="20"/>
          <w:szCs w:val="20"/>
        </w:rPr>
        <w:t>Perfil de Proyecto</w:t>
      </w:r>
      <w:r w:rsidRPr="00FC3DBB" w:rsidR="00AF61DD">
        <w:rPr>
          <w:rFonts w:ascii="Arial" w:hAnsi="Arial" w:cs="Arial"/>
          <w:sz w:val="20"/>
          <w:szCs w:val="20"/>
        </w:rPr>
        <w:t xml:space="preserve">. </w:t>
      </w:r>
      <w:r w:rsidRPr="00FC3DBB" w:rsidR="00573830">
        <w:rPr>
          <w:rFonts w:ascii="Arial" w:hAnsi="Arial" w:cs="Arial"/>
          <w:sz w:val="20"/>
          <w:szCs w:val="20"/>
        </w:rPr>
        <w:t xml:space="preserve">TR: transversal; </w:t>
      </w:r>
      <w:r w:rsidRPr="00FC3DBB" w:rsidR="00AF61DD">
        <w:rPr>
          <w:rFonts w:ascii="Arial" w:hAnsi="Arial" w:cs="Arial"/>
          <w:sz w:val="20"/>
          <w:szCs w:val="20"/>
        </w:rPr>
        <w:t xml:space="preserve">TL: transporte y logística; </w:t>
      </w:r>
      <w:r w:rsidRPr="00FC3DBB" w:rsidR="00662B59">
        <w:rPr>
          <w:rFonts w:ascii="Arial" w:hAnsi="Arial" w:cs="Arial"/>
          <w:sz w:val="20"/>
          <w:szCs w:val="20"/>
        </w:rPr>
        <w:t xml:space="preserve">TU: transporte urbano; ME: minas y energía; AS: agua y saneamiento; </w:t>
      </w:r>
      <w:r w:rsidRPr="00FC3DBB" w:rsidR="00F76444">
        <w:rPr>
          <w:rFonts w:ascii="Arial" w:hAnsi="Arial" w:cs="Arial"/>
          <w:sz w:val="20"/>
          <w:szCs w:val="20"/>
        </w:rPr>
        <w:t>SA: salud</w:t>
      </w:r>
    </w:p>
    <w:p w:rsidRPr="004A2B13" w:rsidR="00B531E7" w:rsidP="004A2B13" w:rsidRDefault="006366D1" w14:paraId="7AA830A9" w14:textId="48A7EB60">
      <w:pPr>
        <w:pStyle w:val="ListParagraph"/>
        <w:numPr>
          <w:ilvl w:val="0"/>
          <w:numId w:val="14"/>
        </w:numPr>
        <w:spacing w:before="120" w:after="120"/>
        <w:contextualSpacing w:val="0"/>
        <w:jc w:val="both"/>
        <w:rPr>
          <w:rFonts w:ascii="Arial" w:hAnsi="Arial" w:cs="Arial"/>
          <w:b/>
          <w:bCs/>
          <w:sz w:val="22"/>
          <w:szCs w:val="22"/>
        </w:rPr>
      </w:pPr>
      <w:r w:rsidRPr="004A2B13">
        <w:rPr>
          <w:rFonts w:ascii="Arial" w:hAnsi="Arial" w:cs="Arial"/>
          <w:b/>
          <w:bCs/>
          <w:sz w:val="22"/>
          <w:szCs w:val="22"/>
        </w:rPr>
        <w:t>Costos</w:t>
      </w:r>
      <w:r w:rsidRPr="004A2B13" w:rsidR="00B734C6">
        <w:rPr>
          <w:rFonts w:ascii="Arial" w:hAnsi="Arial" w:cs="Arial"/>
          <w:b/>
          <w:bCs/>
          <w:sz w:val="22"/>
          <w:szCs w:val="22"/>
        </w:rPr>
        <w:t xml:space="preserve"> </w:t>
      </w:r>
      <w:r w:rsidRPr="004A2B13" w:rsidR="005218B5">
        <w:rPr>
          <w:rFonts w:ascii="Arial" w:hAnsi="Arial" w:cs="Arial"/>
          <w:b/>
          <w:bCs/>
          <w:sz w:val="22"/>
          <w:szCs w:val="22"/>
        </w:rPr>
        <w:t xml:space="preserve">de control </w:t>
      </w:r>
      <w:r w:rsidRPr="004A2B13" w:rsidR="00B734C6">
        <w:rPr>
          <w:rFonts w:ascii="Arial" w:hAnsi="Arial" w:cs="Arial"/>
          <w:b/>
          <w:bCs/>
          <w:sz w:val="22"/>
          <w:szCs w:val="22"/>
        </w:rPr>
        <w:t>de consultoría</w:t>
      </w:r>
      <w:r w:rsidRPr="004A2B13" w:rsidR="00897DF8">
        <w:rPr>
          <w:rFonts w:ascii="Arial" w:hAnsi="Arial" w:cs="Arial"/>
          <w:b/>
          <w:bCs/>
          <w:sz w:val="22"/>
          <w:szCs w:val="22"/>
        </w:rPr>
        <w:t>: justificación y cálculo</w:t>
      </w:r>
    </w:p>
    <w:p w:rsidRPr="004A2B13" w:rsidR="001A4036" w:rsidP="004A2B13" w:rsidRDefault="001A4036" w14:paraId="1C40F457" w14:textId="72990D46">
      <w:pPr>
        <w:spacing w:before="120" w:after="120"/>
        <w:jc w:val="both"/>
        <w:rPr>
          <w:rFonts w:ascii="Arial" w:hAnsi="Arial" w:cs="Arial"/>
          <w:b/>
          <w:bCs/>
          <w:sz w:val="22"/>
          <w:szCs w:val="22"/>
        </w:rPr>
      </w:pPr>
      <w:r w:rsidRPr="004A2B13">
        <w:rPr>
          <w:rFonts w:ascii="Arial" w:hAnsi="Arial" w:cs="Arial"/>
          <w:b/>
          <w:bCs/>
          <w:sz w:val="22"/>
          <w:szCs w:val="22"/>
        </w:rPr>
        <w:t xml:space="preserve">3.1. </w:t>
      </w:r>
      <w:r w:rsidRPr="004A2B13" w:rsidR="00643031">
        <w:rPr>
          <w:rFonts w:ascii="Arial" w:hAnsi="Arial" w:cs="Arial"/>
          <w:b/>
          <w:bCs/>
          <w:sz w:val="22"/>
          <w:szCs w:val="22"/>
        </w:rPr>
        <w:t xml:space="preserve">  I</w:t>
      </w:r>
      <w:r w:rsidRPr="004A2B13" w:rsidR="006366D1">
        <w:rPr>
          <w:rFonts w:ascii="Arial" w:hAnsi="Arial" w:cs="Arial"/>
          <w:b/>
          <w:bCs/>
          <w:sz w:val="22"/>
          <w:szCs w:val="22"/>
        </w:rPr>
        <w:t xml:space="preserve">nformación </w:t>
      </w:r>
      <w:r w:rsidRPr="004A2B13" w:rsidR="001B22F9">
        <w:rPr>
          <w:rFonts w:ascii="Arial" w:hAnsi="Arial" w:cs="Arial"/>
          <w:b/>
          <w:bCs/>
          <w:sz w:val="22"/>
          <w:szCs w:val="22"/>
        </w:rPr>
        <w:t>revisada</w:t>
      </w:r>
    </w:p>
    <w:p w:rsidRPr="004A2B13" w:rsidR="006115D6" w:rsidP="004A2B13" w:rsidRDefault="00601B20" w14:paraId="168B6DCE" w14:textId="6D81C693">
      <w:pPr>
        <w:spacing w:before="120" w:after="120"/>
        <w:jc w:val="both"/>
        <w:rPr>
          <w:rFonts w:ascii="Arial" w:hAnsi="Arial" w:cs="Arial"/>
          <w:sz w:val="22"/>
          <w:szCs w:val="22"/>
        </w:rPr>
      </w:pPr>
      <w:r w:rsidRPr="004A2B13">
        <w:rPr>
          <w:rFonts w:ascii="Arial" w:hAnsi="Arial" w:cs="Arial"/>
          <w:sz w:val="22"/>
          <w:szCs w:val="22"/>
        </w:rPr>
        <w:t xml:space="preserve">El universo </w:t>
      </w:r>
      <w:r w:rsidRPr="004A2B13" w:rsidR="003E510E">
        <w:rPr>
          <w:rFonts w:ascii="Arial" w:hAnsi="Arial" w:cs="Arial"/>
          <w:sz w:val="22"/>
          <w:szCs w:val="22"/>
        </w:rPr>
        <w:t xml:space="preserve">de </w:t>
      </w:r>
      <w:r w:rsidRPr="004A2B13" w:rsidR="00643031">
        <w:rPr>
          <w:rFonts w:ascii="Arial" w:hAnsi="Arial" w:cs="Arial"/>
          <w:sz w:val="22"/>
          <w:szCs w:val="22"/>
        </w:rPr>
        <w:t>c</w:t>
      </w:r>
      <w:r w:rsidRPr="004A2B13" w:rsidR="00A41B74">
        <w:rPr>
          <w:rFonts w:ascii="Arial" w:hAnsi="Arial" w:cs="Arial"/>
          <w:sz w:val="22"/>
          <w:szCs w:val="22"/>
        </w:rPr>
        <w:t>ontrol</w:t>
      </w:r>
      <w:r w:rsidRPr="004A2B13" w:rsidR="00643031">
        <w:rPr>
          <w:rFonts w:ascii="Arial" w:hAnsi="Arial" w:cs="Arial"/>
          <w:sz w:val="22"/>
          <w:szCs w:val="22"/>
        </w:rPr>
        <w:t xml:space="preserve"> de </w:t>
      </w:r>
      <w:r w:rsidRPr="004A2B13" w:rsidR="003E510E">
        <w:rPr>
          <w:rFonts w:ascii="Arial" w:hAnsi="Arial" w:cs="Arial"/>
          <w:sz w:val="22"/>
          <w:szCs w:val="22"/>
        </w:rPr>
        <w:t>consultorías especializadas</w:t>
      </w:r>
      <w:r w:rsidRPr="004A2B13" w:rsidR="00195099">
        <w:rPr>
          <w:rFonts w:ascii="Arial" w:hAnsi="Arial" w:cs="Arial"/>
          <w:sz w:val="22"/>
          <w:szCs w:val="22"/>
        </w:rPr>
        <w:t xml:space="preserve"> </w:t>
      </w:r>
      <w:r w:rsidRPr="004A2B13" w:rsidR="00E45D3D">
        <w:rPr>
          <w:rFonts w:ascii="Arial" w:hAnsi="Arial" w:cs="Arial"/>
          <w:sz w:val="22"/>
          <w:szCs w:val="22"/>
        </w:rPr>
        <w:t>en los sectores del Programa</w:t>
      </w:r>
      <w:r w:rsidRPr="004A2B13" w:rsidR="00CF5227">
        <w:rPr>
          <w:rFonts w:ascii="Arial" w:hAnsi="Arial" w:cs="Arial"/>
          <w:sz w:val="22"/>
          <w:szCs w:val="22"/>
        </w:rPr>
        <w:t xml:space="preserve"> </w:t>
      </w:r>
      <w:r w:rsidRPr="004A2B13" w:rsidR="000E596A">
        <w:rPr>
          <w:rFonts w:ascii="Arial" w:hAnsi="Arial" w:cs="Arial"/>
          <w:sz w:val="22"/>
          <w:szCs w:val="22"/>
        </w:rPr>
        <w:t xml:space="preserve">que han sido aprobados por el BID </w:t>
      </w:r>
      <w:r w:rsidRPr="004A2B13" w:rsidR="00CA74AE">
        <w:rPr>
          <w:rFonts w:ascii="Arial" w:hAnsi="Arial" w:cs="Arial"/>
          <w:sz w:val="22"/>
          <w:szCs w:val="22"/>
        </w:rPr>
        <w:t xml:space="preserve">contiene </w:t>
      </w:r>
      <w:r w:rsidRPr="004A2B13" w:rsidR="00A22D39">
        <w:rPr>
          <w:rFonts w:ascii="Arial" w:hAnsi="Arial" w:cs="Arial"/>
          <w:sz w:val="22"/>
          <w:szCs w:val="22"/>
        </w:rPr>
        <w:t xml:space="preserve">información útil para comparar </w:t>
      </w:r>
      <w:r w:rsidRPr="004A2B13" w:rsidR="007C7A1A">
        <w:rPr>
          <w:rFonts w:ascii="Arial" w:hAnsi="Arial" w:cs="Arial"/>
          <w:sz w:val="22"/>
          <w:szCs w:val="22"/>
        </w:rPr>
        <w:t>algunas intervenciones del Programa</w:t>
      </w:r>
      <w:r w:rsidRPr="004A2B13" w:rsidR="006366D1">
        <w:rPr>
          <w:rFonts w:ascii="Arial" w:hAnsi="Arial" w:cs="Arial"/>
          <w:sz w:val="22"/>
          <w:szCs w:val="22"/>
        </w:rPr>
        <w:t xml:space="preserve">. </w:t>
      </w:r>
      <w:r w:rsidRPr="004A2B13" w:rsidR="00643031">
        <w:rPr>
          <w:rFonts w:ascii="Arial" w:hAnsi="Arial" w:cs="Arial"/>
          <w:sz w:val="22"/>
          <w:szCs w:val="22"/>
        </w:rPr>
        <w:t xml:space="preserve">La </w:t>
      </w:r>
      <w:r w:rsidRPr="004A2B13" w:rsidR="006366D1">
        <w:rPr>
          <w:rFonts w:ascii="Arial" w:hAnsi="Arial" w:cs="Arial"/>
          <w:sz w:val="22"/>
          <w:szCs w:val="22"/>
        </w:rPr>
        <w:t xml:space="preserve">información disponible </w:t>
      </w:r>
      <w:r w:rsidRPr="004A2B13" w:rsidR="00400C95">
        <w:rPr>
          <w:rFonts w:ascii="Arial" w:hAnsi="Arial" w:cs="Arial"/>
          <w:sz w:val="22"/>
          <w:szCs w:val="22"/>
        </w:rPr>
        <w:t xml:space="preserve">no </w:t>
      </w:r>
      <w:r w:rsidRPr="004A2B13" w:rsidR="0048229F">
        <w:rPr>
          <w:rFonts w:ascii="Arial" w:hAnsi="Arial" w:cs="Arial"/>
          <w:sz w:val="22"/>
          <w:szCs w:val="22"/>
        </w:rPr>
        <w:t xml:space="preserve">está estructurada </w:t>
      </w:r>
      <w:r w:rsidRPr="004A2B13" w:rsidR="00A02DB4">
        <w:rPr>
          <w:rFonts w:ascii="Arial" w:hAnsi="Arial" w:cs="Arial"/>
          <w:sz w:val="22"/>
          <w:szCs w:val="22"/>
        </w:rPr>
        <w:t xml:space="preserve">para </w:t>
      </w:r>
      <w:r w:rsidRPr="004A2B13" w:rsidR="00400C95">
        <w:rPr>
          <w:rFonts w:ascii="Arial" w:hAnsi="Arial" w:cs="Arial"/>
          <w:sz w:val="22"/>
          <w:szCs w:val="22"/>
        </w:rPr>
        <w:t>usar los</w:t>
      </w:r>
      <w:r w:rsidRPr="004A2B13">
        <w:rPr>
          <w:rFonts w:ascii="Arial" w:hAnsi="Arial" w:cs="Arial"/>
          <w:sz w:val="22"/>
          <w:szCs w:val="22"/>
        </w:rPr>
        <w:t xml:space="preserve"> </w:t>
      </w:r>
      <w:r w:rsidRPr="004A2B13" w:rsidR="00F5021B">
        <w:rPr>
          <w:rFonts w:ascii="Arial" w:hAnsi="Arial" w:cs="Arial"/>
          <w:sz w:val="22"/>
          <w:szCs w:val="22"/>
        </w:rPr>
        <w:t>tratamientos estadísticos</w:t>
      </w:r>
      <w:r w:rsidRPr="004A2B13" w:rsidR="00E45D3D">
        <w:rPr>
          <w:rFonts w:ascii="Arial" w:hAnsi="Arial" w:cs="Arial"/>
          <w:sz w:val="22"/>
          <w:szCs w:val="22"/>
        </w:rPr>
        <w:t xml:space="preserve"> </w:t>
      </w:r>
      <w:r w:rsidRPr="004A2B13">
        <w:rPr>
          <w:rFonts w:ascii="Arial" w:hAnsi="Arial" w:cs="Arial"/>
          <w:sz w:val="22"/>
          <w:szCs w:val="22"/>
        </w:rPr>
        <w:t xml:space="preserve">usualmente aplicados en comparación de costos </w:t>
      </w:r>
      <w:r w:rsidRPr="004A2B13" w:rsidR="00E45D3D">
        <w:rPr>
          <w:rFonts w:ascii="Arial" w:hAnsi="Arial" w:cs="Arial"/>
          <w:sz w:val="22"/>
          <w:szCs w:val="22"/>
        </w:rPr>
        <w:t xml:space="preserve">(i.e. </w:t>
      </w:r>
      <w:r w:rsidRPr="00AD3D50" w:rsidR="008D601C">
        <w:rPr>
          <w:rFonts w:ascii="Arial" w:hAnsi="Arial" w:cs="Arial"/>
          <w:i/>
          <w:iCs/>
          <w:sz w:val="22"/>
          <w:szCs w:val="22"/>
        </w:rPr>
        <w:t>Data Envelopment Analysis</w:t>
      </w:r>
      <w:r w:rsidRPr="004A2B13" w:rsidR="008D601C">
        <w:rPr>
          <w:rFonts w:ascii="Arial" w:hAnsi="Arial" w:cs="Arial"/>
          <w:sz w:val="22"/>
          <w:szCs w:val="22"/>
        </w:rPr>
        <w:t xml:space="preserve"> </w:t>
      </w:r>
      <w:r w:rsidRPr="004A2B13" w:rsidR="00AC5E39">
        <w:rPr>
          <w:rFonts w:ascii="Arial" w:hAnsi="Arial" w:cs="Arial"/>
          <w:sz w:val="22"/>
          <w:szCs w:val="22"/>
        </w:rPr>
        <w:t>-</w:t>
      </w:r>
      <w:r w:rsidRPr="004A2B13" w:rsidR="00E45D3D">
        <w:rPr>
          <w:rFonts w:ascii="Arial" w:hAnsi="Arial" w:cs="Arial"/>
          <w:sz w:val="22"/>
          <w:szCs w:val="22"/>
        </w:rPr>
        <w:t>DEA</w:t>
      </w:r>
      <w:r w:rsidRPr="004A2B13" w:rsidR="00C536ED">
        <w:rPr>
          <w:rFonts w:ascii="Arial" w:hAnsi="Arial" w:cs="Arial"/>
          <w:sz w:val="22"/>
          <w:szCs w:val="22"/>
        </w:rPr>
        <w:t xml:space="preserve">- o </w:t>
      </w:r>
      <w:r w:rsidRPr="004A2B13" w:rsidR="00E45D3D">
        <w:rPr>
          <w:rFonts w:ascii="Arial" w:hAnsi="Arial" w:cs="Arial"/>
          <w:sz w:val="22"/>
          <w:szCs w:val="22"/>
        </w:rPr>
        <w:t>frontera estocástica)</w:t>
      </w:r>
      <w:r w:rsidRPr="004A2B13" w:rsidR="00A02DB4">
        <w:rPr>
          <w:rFonts w:ascii="Arial" w:hAnsi="Arial" w:cs="Arial"/>
          <w:sz w:val="22"/>
          <w:szCs w:val="22"/>
        </w:rPr>
        <w:t xml:space="preserve"> en el corto plazo</w:t>
      </w:r>
      <w:r w:rsidRPr="004A2B13" w:rsidR="00CB74F3">
        <w:rPr>
          <w:rFonts w:ascii="Arial" w:hAnsi="Arial" w:cs="Arial"/>
          <w:sz w:val="22"/>
          <w:szCs w:val="22"/>
        </w:rPr>
        <w:t>.</w:t>
      </w:r>
      <w:r w:rsidRPr="004A2B13" w:rsidR="002F13F0">
        <w:rPr>
          <w:rFonts w:ascii="Arial" w:hAnsi="Arial" w:cs="Arial"/>
          <w:sz w:val="22"/>
          <w:szCs w:val="22"/>
        </w:rPr>
        <w:t xml:space="preserve"> </w:t>
      </w:r>
      <w:r w:rsidRPr="004A2B13" w:rsidR="000066A5">
        <w:rPr>
          <w:rFonts w:ascii="Arial" w:hAnsi="Arial" w:cs="Arial"/>
          <w:sz w:val="22"/>
          <w:szCs w:val="22"/>
        </w:rPr>
        <w:t>Algunas</w:t>
      </w:r>
      <w:r w:rsidRPr="004A2B13" w:rsidR="002F13F0">
        <w:rPr>
          <w:rFonts w:ascii="Arial" w:hAnsi="Arial" w:cs="Arial"/>
          <w:sz w:val="22"/>
          <w:szCs w:val="22"/>
        </w:rPr>
        <w:t xml:space="preserve"> estructuraciones</w:t>
      </w:r>
      <w:r w:rsidRPr="004A2B13" w:rsidR="00B96240">
        <w:rPr>
          <w:rFonts w:ascii="Arial" w:hAnsi="Arial" w:cs="Arial"/>
          <w:sz w:val="22"/>
          <w:szCs w:val="22"/>
        </w:rPr>
        <w:t xml:space="preserve"> d</w:t>
      </w:r>
      <w:r w:rsidRPr="004A2B13" w:rsidR="002F13F0">
        <w:rPr>
          <w:rFonts w:ascii="Arial" w:hAnsi="Arial" w:cs="Arial"/>
          <w:sz w:val="22"/>
          <w:szCs w:val="22"/>
        </w:rPr>
        <w:t xml:space="preserve">el programa </w:t>
      </w:r>
      <w:r w:rsidRPr="004A2B13" w:rsidR="00A9714E">
        <w:rPr>
          <w:rFonts w:ascii="Arial" w:hAnsi="Arial" w:cs="Arial"/>
          <w:sz w:val="22"/>
          <w:szCs w:val="22"/>
        </w:rPr>
        <w:t xml:space="preserve">CO-L1265 son </w:t>
      </w:r>
      <w:r w:rsidRPr="004A2B13" w:rsidR="002A6E03">
        <w:rPr>
          <w:rFonts w:ascii="Arial" w:hAnsi="Arial" w:cs="Arial"/>
          <w:sz w:val="22"/>
          <w:szCs w:val="22"/>
        </w:rPr>
        <w:t xml:space="preserve">de tamaño considerable </w:t>
      </w:r>
      <w:r w:rsidRPr="004A2B13" w:rsidR="000066A5">
        <w:rPr>
          <w:rFonts w:ascii="Arial" w:hAnsi="Arial" w:cs="Arial"/>
          <w:sz w:val="22"/>
          <w:szCs w:val="22"/>
        </w:rPr>
        <w:t>y/</w:t>
      </w:r>
      <w:r w:rsidRPr="004A2B13" w:rsidR="007A0813">
        <w:rPr>
          <w:rFonts w:ascii="Arial" w:hAnsi="Arial" w:cs="Arial"/>
          <w:sz w:val="22"/>
          <w:szCs w:val="22"/>
        </w:rPr>
        <w:t>o, sin numerosos a</w:t>
      </w:r>
      <w:r w:rsidRPr="004A2B13" w:rsidR="002A6E03">
        <w:rPr>
          <w:rFonts w:ascii="Arial" w:hAnsi="Arial" w:cs="Arial"/>
          <w:sz w:val="22"/>
          <w:szCs w:val="22"/>
        </w:rPr>
        <w:t>ntecedentes</w:t>
      </w:r>
      <w:r w:rsidRPr="004A2B13" w:rsidR="000066A5">
        <w:rPr>
          <w:rFonts w:ascii="Arial" w:hAnsi="Arial" w:cs="Arial"/>
          <w:sz w:val="22"/>
          <w:szCs w:val="22"/>
        </w:rPr>
        <w:t xml:space="preserve"> similares </w:t>
      </w:r>
      <w:r w:rsidRPr="004A2B13" w:rsidR="007A0813">
        <w:rPr>
          <w:rFonts w:ascii="Arial" w:hAnsi="Arial" w:cs="Arial"/>
          <w:sz w:val="22"/>
          <w:szCs w:val="22"/>
        </w:rPr>
        <w:t xml:space="preserve">en la base de datos de proyectos </w:t>
      </w:r>
      <w:r w:rsidRPr="004A2B13" w:rsidR="00310528">
        <w:rPr>
          <w:rFonts w:ascii="Arial" w:hAnsi="Arial" w:cs="Arial"/>
          <w:sz w:val="22"/>
          <w:szCs w:val="22"/>
        </w:rPr>
        <w:t>financiados en el BID</w:t>
      </w:r>
      <w:r w:rsidRPr="004A2B13" w:rsidR="007A0813">
        <w:rPr>
          <w:rFonts w:ascii="Arial" w:hAnsi="Arial" w:cs="Arial"/>
          <w:sz w:val="22"/>
          <w:szCs w:val="22"/>
        </w:rPr>
        <w:t xml:space="preserve">. </w:t>
      </w:r>
      <w:r w:rsidRPr="004A2B13" w:rsidR="000066A5">
        <w:rPr>
          <w:rFonts w:ascii="Arial" w:hAnsi="Arial" w:cs="Arial"/>
          <w:sz w:val="22"/>
          <w:szCs w:val="22"/>
        </w:rPr>
        <w:t xml:space="preserve"> </w:t>
      </w:r>
    </w:p>
    <w:p w:rsidRPr="004A2B13" w:rsidR="00955A6F" w:rsidP="004A2B13" w:rsidRDefault="006115D6" w14:paraId="68B7FE64" w14:textId="718A3C1D">
      <w:pPr>
        <w:spacing w:before="120" w:after="120"/>
        <w:jc w:val="both"/>
        <w:rPr>
          <w:rFonts w:ascii="Arial" w:hAnsi="Arial" w:cs="Arial"/>
          <w:sz w:val="22"/>
          <w:szCs w:val="22"/>
        </w:rPr>
      </w:pPr>
      <w:r w:rsidRPr="004A2B13">
        <w:rPr>
          <w:rFonts w:ascii="Arial" w:hAnsi="Arial" w:cs="Arial"/>
          <w:sz w:val="22"/>
          <w:szCs w:val="22"/>
        </w:rPr>
        <w:t xml:space="preserve">Se </w:t>
      </w:r>
      <w:r w:rsidRPr="004A2B13" w:rsidR="00254BF4">
        <w:rPr>
          <w:rFonts w:ascii="Arial" w:hAnsi="Arial" w:cs="Arial"/>
          <w:sz w:val="22"/>
          <w:szCs w:val="22"/>
        </w:rPr>
        <w:t>efectúan comparaciones</w:t>
      </w:r>
      <w:r w:rsidRPr="004A2B13" w:rsidR="00E20117">
        <w:rPr>
          <w:rFonts w:ascii="Arial" w:hAnsi="Arial" w:cs="Arial"/>
          <w:sz w:val="22"/>
          <w:szCs w:val="22"/>
        </w:rPr>
        <w:t xml:space="preserve"> para </w:t>
      </w:r>
      <w:r w:rsidRPr="004A2B13" w:rsidR="008B2FFD">
        <w:rPr>
          <w:rFonts w:ascii="Arial" w:hAnsi="Arial" w:cs="Arial"/>
          <w:sz w:val="22"/>
          <w:szCs w:val="22"/>
        </w:rPr>
        <w:t>1</w:t>
      </w:r>
      <w:r w:rsidRPr="004A2B13" w:rsidR="00AA024C">
        <w:rPr>
          <w:rFonts w:ascii="Arial" w:hAnsi="Arial" w:cs="Arial"/>
          <w:sz w:val="22"/>
          <w:szCs w:val="22"/>
        </w:rPr>
        <w:t>0</w:t>
      </w:r>
      <w:r w:rsidRPr="004A2B13" w:rsidR="008B2FFD">
        <w:rPr>
          <w:rFonts w:ascii="Arial" w:hAnsi="Arial" w:cs="Arial"/>
          <w:sz w:val="22"/>
          <w:szCs w:val="22"/>
        </w:rPr>
        <w:t xml:space="preserve"> </w:t>
      </w:r>
      <w:r w:rsidRPr="004A2B13" w:rsidR="00E20117">
        <w:rPr>
          <w:rFonts w:ascii="Arial" w:hAnsi="Arial" w:cs="Arial"/>
          <w:sz w:val="22"/>
          <w:szCs w:val="22"/>
        </w:rPr>
        <w:t xml:space="preserve">de 23 </w:t>
      </w:r>
      <w:r w:rsidRPr="004A2B13" w:rsidR="008B2FFD">
        <w:rPr>
          <w:rFonts w:ascii="Arial" w:hAnsi="Arial" w:cs="Arial"/>
          <w:sz w:val="22"/>
          <w:szCs w:val="22"/>
        </w:rPr>
        <w:t>intervenciones</w:t>
      </w:r>
      <w:r w:rsidRPr="004A2B13" w:rsidR="00D57250">
        <w:rPr>
          <w:rFonts w:ascii="Arial" w:hAnsi="Arial" w:cs="Arial"/>
          <w:sz w:val="22"/>
          <w:szCs w:val="22"/>
        </w:rPr>
        <w:t xml:space="preserve">, que </w:t>
      </w:r>
      <w:r w:rsidRPr="004A2B13" w:rsidR="00872E5B">
        <w:rPr>
          <w:rFonts w:ascii="Arial" w:hAnsi="Arial" w:cs="Arial"/>
          <w:sz w:val="22"/>
          <w:szCs w:val="22"/>
        </w:rPr>
        <w:t>incluyen</w:t>
      </w:r>
      <w:r w:rsidRPr="004A2B13" w:rsidR="00D57250">
        <w:rPr>
          <w:rFonts w:ascii="Arial" w:hAnsi="Arial" w:cs="Arial"/>
          <w:sz w:val="22"/>
          <w:szCs w:val="22"/>
        </w:rPr>
        <w:t xml:space="preserve"> las consultorías de mayor valor</w:t>
      </w:r>
      <w:r w:rsidRPr="004A2B13" w:rsidR="00E20117">
        <w:rPr>
          <w:rFonts w:ascii="Arial" w:hAnsi="Arial" w:cs="Arial"/>
          <w:sz w:val="22"/>
          <w:szCs w:val="22"/>
        </w:rPr>
        <w:t xml:space="preserve"> individual</w:t>
      </w:r>
      <w:r w:rsidRPr="004A2B13" w:rsidR="00B71DF1">
        <w:rPr>
          <w:rFonts w:ascii="Arial" w:hAnsi="Arial" w:cs="Arial"/>
          <w:sz w:val="22"/>
          <w:szCs w:val="22"/>
        </w:rPr>
        <w:t>,</w:t>
      </w:r>
      <w:r w:rsidRPr="004A2B13" w:rsidR="008E3559">
        <w:rPr>
          <w:rFonts w:ascii="Arial" w:hAnsi="Arial" w:cs="Arial"/>
          <w:sz w:val="22"/>
          <w:szCs w:val="22"/>
        </w:rPr>
        <w:t xml:space="preserve"> </w:t>
      </w:r>
      <w:r w:rsidRPr="004A2B13" w:rsidR="00CA6E18">
        <w:rPr>
          <w:rFonts w:ascii="Arial" w:hAnsi="Arial" w:cs="Arial"/>
          <w:sz w:val="22"/>
          <w:szCs w:val="22"/>
        </w:rPr>
        <w:t xml:space="preserve">con la </w:t>
      </w:r>
      <w:r w:rsidRPr="004A2B13" w:rsidR="0015421A">
        <w:rPr>
          <w:rFonts w:ascii="Arial" w:hAnsi="Arial" w:cs="Arial"/>
          <w:sz w:val="22"/>
          <w:szCs w:val="22"/>
        </w:rPr>
        <w:t xml:space="preserve">información </w:t>
      </w:r>
      <w:r w:rsidRPr="004A2B13" w:rsidR="00656815">
        <w:rPr>
          <w:rFonts w:ascii="Arial" w:hAnsi="Arial" w:cs="Arial"/>
          <w:sz w:val="22"/>
          <w:szCs w:val="22"/>
        </w:rPr>
        <w:t xml:space="preserve">de proyectos similares en </w:t>
      </w:r>
      <w:r w:rsidRPr="004A2B13" w:rsidR="0018739C">
        <w:rPr>
          <w:rFonts w:ascii="Arial" w:hAnsi="Arial" w:cs="Arial"/>
          <w:sz w:val="22"/>
          <w:szCs w:val="22"/>
        </w:rPr>
        <w:t>objetivo</w:t>
      </w:r>
      <w:r w:rsidRPr="004A2B13" w:rsidR="00B71DF1">
        <w:rPr>
          <w:rFonts w:ascii="Arial" w:hAnsi="Arial" w:cs="Arial"/>
          <w:sz w:val="22"/>
          <w:szCs w:val="22"/>
        </w:rPr>
        <w:t xml:space="preserve">, </w:t>
      </w:r>
      <w:r w:rsidRPr="004A2B13" w:rsidR="00787B4B">
        <w:rPr>
          <w:rFonts w:ascii="Arial" w:hAnsi="Arial" w:cs="Arial"/>
          <w:sz w:val="22"/>
          <w:szCs w:val="22"/>
        </w:rPr>
        <w:t xml:space="preserve">tamaño </w:t>
      </w:r>
      <w:r w:rsidRPr="004A2B13" w:rsidR="00B71DF1">
        <w:rPr>
          <w:rFonts w:ascii="Arial" w:hAnsi="Arial" w:cs="Arial"/>
          <w:sz w:val="22"/>
          <w:szCs w:val="22"/>
        </w:rPr>
        <w:t>y</w:t>
      </w:r>
      <w:r w:rsidRPr="004A2B13" w:rsidR="007941E9">
        <w:rPr>
          <w:rFonts w:ascii="Arial" w:hAnsi="Arial" w:cs="Arial"/>
          <w:sz w:val="22"/>
          <w:szCs w:val="22"/>
        </w:rPr>
        <w:t xml:space="preserve"> </w:t>
      </w:r>
      <w:r w:rsidRPr="004A2B13" w:rsidR="00645C21">
        <w:rPr>
          <w:rFonts w:ascii="Arial" w:hAnsi="Arial" w:cs="Arial"/>
          <w:sz w:val="22"/>
          <w:szCs w:val="22"/>
        </w:rPr>
        <w:t>cercanía en el tiempo</w:t>
      </w:r>
      <w:r w:rsidRPr="004A2B13" w:rsidR="000970C1">
        <w:rPr>
          <w:rFonts w:ascii="Arial" w:hAnsi="Arial" w:cs="Arial"/>
          <w:sz w:val="22"/>
          <w:szCs w:val="22"/>
        </w:rPr>
        <w:t xml:space="preserve">. </w:t>
      </w:r>
      <w:r w:rsidRPr="004A2B13" w:rsidR="00872E5B">
        <w:rPr>
          <w:rFonts w:ascii="Arial" w:hAnsi="Arial" w:cs="Arial"/>
          <w:sz w:val="22"/>
          <w:szCs w:val="22"/>
        </w:rPr>
        <w:t>S</w:t>
      </w:r>
      <w:r w:rsidRPr="004A2B13" w:rsidR="00787B4B">
        <w:rPr>
          <w:rFonts w:ascii="Arial" w:hAnsi="Arial" w:cs="Arial"/>
          <w:sz w:val="22"/>
          <w:szCs w:val="22"/>
        </w:rPr>
        <w:t xml:space="preserve">u </w:t>
      </w:r>
      <w:r w:rsidRPr="004A2B13" w:rsidR="0084553C">
        <w:rPr>
          <w:rFonts w:ascii="Arial" w:hAnsi="Arial" w:cs="Arial"/>
          <w:sz w:val="22"/>
          <w:szCs w:val="22"/>
        </w:rPr>
        <w:t xml:space="preserve">justificación </w:t>
      </w:r>
      <w:r w:rsidRPr="004A2B13" w:rsidR="00872E5B">
        <w:rPr>
          <w:rFonts w:ascii="Arial" w:hAnsi="Arial" w:cs="Arial"/>
          <w:sz w:val="22"/>
          <w:szCs w:val="22"/>
        </w:rPr>
        <w:t xml:space="preserve">se </w:t>
      </w:r>
      <w:r w:rsidRPr="004A2B13" w:rsidR="0084553C">
        <w:rPr>
          <w:rFonts w:ascii="Arial" w:hAnsi="Arial" w:cs="Arial"/>
          <w:sz w:val="22"/>
          <w:szCs w:val="22"/>
        </w:rPr>
        <w:t>presenta</w:t>
      </w:r>
      <w:r w:rsidRPr="004A2B13" w:rsidR="00872E5B">
        <w:rPr>
          <w:rFonts w:ascii="Arial" w:hAnsi="Arial" w:cs="Arial"/>
          <w:sz w:val="22"/>
          <w:szCs w:val="22"/>
        </w:rPr>
        <w:t xml:space="preserve"> en la sección 3.</w:t>
      </w:r>
      <w:r w:rsidRPr="004A2B13" w:rsidR="0084553C">
        <w:rPr>
          <w:rFonts w:ascii="Arial" w:hAnsi="Arial" w:cs="Arial"/>
          <w:sz w:val="22"/>
          <w:szCs w:val="22"/>
        </w:rPr>
        <w:t>2</w:t>
      </w:r>
      <w:r w:rsidRPr="004A2B13" w:rsidR="0015421A">
        <w:rPr>
          <w:rFonts w:ascii="Arial" w:hAnsi="Arial" w:cs="Arial"/>
          <w:sz w:val="22"/>
          <w:szCs w:val="22"/>
        </w:rPr>
        <w:t>.</w:t>
      </w:r>
      <w:r w:rsidRPr="004A2B13" w:rsidR="00D26AB6">
        <w:rPr>
          <w:rFonts w:ascii="Arial" w:hAnsi="Arial" w:cs="Arial"/>
          <w:sz w:val="22"/>
          <w:szCs w:val="22"/>
        </w:rPr>
        <w:t xml:space="preserve"> </w:t>
      </w:r>
    </w:p>
    <w:p w:rsidRPr="004A2B13" w:rsidR="003E510E" w:rsidP="004A2B13" w:rsidRDefault="007837A0" w14:paraId="3E354BCF" w14:textId="75A73B1C">
      <w:pPr>
        <w:spacing w:before="120" w:after="120"/>
        <w:jc w:val="both"/>
        <w:rPr>
          <w:rFonts w:ascii="Arial" w:hAnsi="Arial" w:cs="Arial"/>
          <w:sz w:val="22"/>
          <w:szCs w:val="22"/>
        </w:rPr>
      </w:pPr>
      <w:r w:rsidRPr="004A2B13">
        <w:rPr>
          <w:rFonts w:ascii="Arial" w:hAnsi="Arial" w:cs="Arial"/>
          <w:sz w:val="22"/>
          <w:szCs w:val="22"/>
        </w:rPr>
        <w:t>S</w:t>
      </w:r>
      <w:r w:rsidRPr="004A2B13" w:rsidR="00CB74F3">
        <w:rPr>
          <w:rFonts w:ascii="Arial" w:hAnsi="Arial" w:cs="Arial"/>
          <w:sz w:val="22"/>
          <w:szCs w:val="22"/>
        </w:rPr>
        <w:t xml:space="preserve">e </w:t>
      </w:r>
      <w:r w:rsidRPr="004A2B13" w:rsidR="00ED12C4">
        <w:rPr>
          <w:rFonts w:ascii="Arial" w:hAnsi="Arial" w:cs="Arial"/>
          <w:sz w:val="22"/>
          <w:szCs w:val="22"/>
        </w:rPr>
        <w:t xml:space="preserve">examinaron, entre otras, </w:t>
      </w:r>
      <w:r w:rsidRPr="004A2B13">
        <w:rPr>
          <w:rFonts w:ascii="Arial" w:hAnsi="Arial" w:cs="Arial"/>
          <w:sz w:val="22"/>
          <w:szCs w:val="22"/>
        </w:rPr>
        <w:t>c</w:t>
      </w:r>
      <w:r w:rsidRPr="004A2B13" w:rsidR="000970C1">
        <w:rPr>
          <w:rFonts w:ascii="Arial" w:hAnsi="Arial" w:cs="Arial"/>
          <w:sz w:val="22"/>
          <w:szCs w:val="22"/>
        </w:rPr>
        <w:t>inc</w:t>
      </w:r>
      <w:r w:rsidRPr="004A2B13">
        <w:rPr>
          <w:rFonts w:ascii="Arial" w:hAnsi="Arial" w:cs="Arial"/>
          <w:sz w:val="22"/>
          <w:szCs w:val="22"/>
        </w:rPr>
        <w:t>o fuentes de información</w:t>
      </w:r>
      <w:r w:rsidRPr="004A2B13" w:rsidR="00CB74F3">
        <w:rPr>
          <w:rFonts w:ascii="Arial" w:hAnsi="Arial" w:cs="Arial"/>
          <w:sz w:val="22"/>
          <w:szCs w:val="22"/>
        </w:rPr>
        <w:t>:</w:t>
      </w:r>
      <w:r w:rsidRPr="004A2B13" w:rsidR="00A27E09">
        <w:rPr>
          <w:rFonts w:ascii="Arial" w:hAnsi="Arial" w:cs="Arial"/>
          <w:sz w:val="22"/>
          <w:szCs w:val="22"/>
        </w:rPr>
        <w:t xml:space="preserve"> </w:t>
      </w:r>
    </w:p>
    <w:p w:rsidRPr="004A2B13" w:rsidR="007837A0" w:rsidP="004A2B13" w:rsidRDefault="007837A0" w14:paraId="413D7BA1" w14:textId="77777777">
      <w:pPr>
        <w:spacing w:before="120" w:after="120"/>
        <w:jc w:val="both"/>
        <w:rPr>
          <w:rFonts w:ascii="Arial" w:hAnsi="Arial" w:cs="Arial"/>
          <w:sz w:val="22"/>
          <w:szCs w:val="22"/>
        </w:rPr>
      </w:pPr>
    </w:p>
    <w:p w:rsidRPr="004A2B13" w:rsidR="008E6246" w:rsidP="004A2B13" w:rsidRDefault="008E6246" w14:paraId="47674262" w14:textId="59B0FDCC">
      <w:pPr>
        <w:pStyle w:val="ListParagraph"/>
        <w:numPr>
          <w:ilvl w:val="0"/>
          <w:numId w:val="42"/>
        </w:numPr>
        <w:spacing w:before="120" w:after="120"/>
        <w:contextualSpacing w:val="0"/>
        <w:jc w:val="both"/>
        <w:rPr>
          <w:rFonts w:ascii="Arial" w:hAnsi="Arial" w:cs="Arial"/>
          <w:sz w:val="22"/>
          <w:szCs w:val="22"/>
        </w:rPr>
      </w:pPr>
      <w:r w:rsidRPr="004A2B13">
        <w:rPr>
          <w:rFonts w:ascii="Arial" w:hAnsi="Arial" w:cs="Arial"/>
          <w:sz w:val="22"/>
          <w:szCs w:val="22"/>
        </w:rPr>
        <w:lastRenderedPageBreak/>
        <w:t>L</w:t>
      </w:r>
      <w:r w:rsidRPr="004A2B13" w:rsidR="00B47C13">
        <w:rPr>
          <w:rFonts w:ascii="Arial" w:hAnsi="Arial" w:cs="Arial"/>
          <w:sz w:val="22"/>
          <w:szCs w:val="22"/>
        </w:rPr>
        <w:t>a base de proyectos de</w:t>
      </w:r>
      <w:r w:rsidRPr="004A2B13" w:rsidR="008A2D3C">
        <w:rPr>
          <w:rFonts w:ascii="Arial" w:hAnsi="Arial" w:cs="Arial"/>
          <w:sz w:val="22"/>
          <w:szCs w:val="22"/>
        </w:rPr>
        <w:t>l</w:t>
      </w:r>
      <w:r w:rsidRPr="004A2B13" w:rsidR="00B47C13">
        <w:rPr>
          <w:rFonts w:ascii="Arial" w:hAnsi="Arial" w:cs="Arial"/>
          <w:sz w:val="22"/>
          <w:szCs w:val="22"/>
        </w:rPr>
        <w:t xml:space="preserve"> Programa de Apoyo a la Participación Privada – PAPP</w:t>
      </w:r>
      <w:r w:rsidR="00AC6E11">
        <w:rPr>
          <w:rFonts w:ascii="Arial" w:hAnsi="Arial" w:cs="Arial"/>
          <w:sz w:val="22"/>
          <w:szCs w:val="22"/>
        </w:rPr>
        <w:br/>
      </w:r>
      <w:r w:rsidRPr="004A2B13" w:rsidR="00B47C13">
        <w:rPr>
          <w:rFonts w:ascii="Arial" w:hAnsi="Arial" w:cs="Arial"/>
          <w:sz w:val="22"/>
          <w:szCs w:val="22"/>
        </w:rPr>
        <w:t xml:space="preserve"> (CO-L1131) en Infraestructura, </w:t>
      </w:r>
      <w:r w:rsidRPr="004A2B13" w:rsidR="00100D8F">
        <w:rPr>
          <w:rFonts w:ascii="Arial" w:hAnsi="Arial" w:cs="Arial"/>
          <w:sz w:val="22"/>
          <w:szCs w:val="22"/>
        </w:rPr>
        <w:t>que tuvo un costo de US$ 25 millones</w:t>
      </w:r>
      <w:r w:rsidRPr="004A2B13" w:rsidR="00922050">
        <w:rPr>
          <w:rFonts w:ascii="Arial" w:hAnsi="Arial" w:cs="Arial"/>
          <w:sz w:val="22"/>
          <w:szCs w:val="22"/>
        </w:rPr>
        <w:t xml:space="preserve"> de 2013</w:t>
      </w:r>
      <w:r w:rsidRPr="004A2B13" w:rsidR="00100D8F">
        <w:rPr>
          <w:rFonts w:ascii="Arial" w:hAnsi="Arial" w:cs="Arial"/>
          <w:sz w:val="22"/>
          <w:szCs w:val="22"/>
        </w:rPr>
        <w:t xml:space="preserve">, </w:t>
      </w:r>
      <w:r w:rsidRPr="004A2B13" w:rsidR="00922050">
        <w:rPr>
          <w:rFonts w:ascii="Arial" w:hAnsi="Arial" w:cs="Arial"/>
          <w:sz w:val="22"/>
          <w:szCs w:val="22"/>
        </w:rPr>
        <w:t xml:space="preserve">y </w:t>
      </w:r>
      <w:r w:rsidRPr="004A2B13" w:rsidR="00B47C13">
        <w:rPr>
          <w:rFonts w:ascii="Arial" w:hAnsi="Arial" w:cs="Arial"/>
          <w:sz w:val="22"/>
          <w:szCs w:val="22"/>
        </w:rPr>
        <w:t>que es el antecedente inmediato de la presente operación</w:t>
      </w:r>
      <w:r w:rsidRPr="004A2B13" w:rsidR="008C0516">
        <w:rPr>
          <w:rFonts w:ascii="Arial" w:hAnsi="Arial" w:cs="Arial"/>
          <w:sz w:val="22"/>
          <w:szCs w:val="22"/>
        </w:rPr>
        <w:t>.</w:t>
      </w:r>
      <w:r w:rsidRPr="004A2B13" w:rsidR="00F81EEB">
        <w:rPr>
          <w:rStyle w:val="FootnoteReference"/>
          <w:rFonts w:ascii="Arial" w:hAnsi="Arial" w:cs="Arial"/>
          <w:sz w:val="22"/>
          <w:szCs w:val="22"/>
        </w:rPr>
        <w:footnoteReference w:id="3"/>
      </w:r>
      <w:r w:rsidRPr="004A2B13" w:rsidR="003C7F3E">
        <w:rPr>
          <w:rFonts w:ascii="Arial" w:hAnsi="Arial" w:cs="Arial"/>
          <w:sz w:val="22"/>
          <w:szCs w:val="22"/>
        </w:rPr>
        <w:t xml:space="preserve"> </w:t>
      </w:r>
    </w:p>
    <w:p w:rsidRPr="004A2B13" w:rsidR="008E6246" w:rsidP="004A2B13" w:rsidRDefault="008E6246" w14:paraId="3978FA3C" w14:textId="6798E413">
      <w:pPr>
        <w:pStyle w:val="ListParagraph"/>
        <w:numPr>
          <w:ilvl w:val="0"/>
          <w:numId w:val="42"/>
        </w:numPr>
        <w:spacing w:before="120" w:after="120"/>
        <w:contextualSpacing w:val="0"/>
        <w:jc w:val="both"/>
        <w:rPr>
          <w:rFonts w:ascii="Arial" w:hAnsi="Arial" w:cs="Arial"/>
          <w:sz w:val="22"/>
          <w:szCs w:val="22"/>
        </w:rPr>
      </w:pPr>
      <w:r w:rsidRPr="004A2B13">
        <w:rPr>
          <w:rFonts w:ascii="Arial" w:hAnsi="Arial" w:cs="Arial"/>
          <w:sz w:val="22"/>
          <w:szCs w:val="22"/>
        </w:rPr>
        <w:t>L</w:t>
      </w:r>
      <w:r w:rsidRPr="004A2B13" w:rsidR="00B47C13">
        <w:rPr>
          <w:rFonts w:ascii="Arial" w:hAnsi="Arial" w:cs="Arial"/>
          <w:sz w:val="22"/>
          <w:szCs w:val="22"/>
        </w:rPr>
        <w:t xml:space="preserve">os planes de adquisición en </w:t>
      </w:r>
      <w:r w:rsidRPr="004A2B13" w:rsidR="00640BFE">
        <w:rPr>
          <w:rFonts w:ascii="Arial" w:hAnsi="Arial" w:cs="Arial"/>
          <w:sz w:val="22"/>
          <w:szCs w:val="22"/>
        </w:rPr>
        <w:t>proyecto</w:t>
      </w:r>
      <w:r w:rsidRPr="004A2B13" w:rsidR="004B04A7">
        <w:rPr>
          <w:rFonts w:ascii="Arial" w:hAnsi="Arial" w:cs="Arial"/>
          <w:sz w:val="22"/>
          <w:szCs w:val="22"/>
        </w:rPr>
        <w:t>s</w:t>
      </w:r>
      <w:r w:rsidRPr="004A2B13" w:rsidR="00B47C13">
        <w:rPr>
          <w:rFonts w:ascii="Arial" w:hAnsi="Arial" w:cs="Arial"/>
          <w:sz w:val="22"/>
          <w:szCs w:val="22"/>
        </w:rPr>
        <w:t xml:space="preserve"> </w:t>
      </w:r>
      <w:r w:rsidRPr="004A2B13" w:rsidR="008A2D3C">
        <w:rPr>
          <w:rFonts w:ascii="Arial" w:hAnsi="Arial" w:cs="Arial"/>
          <w:sz w:val="22"/>
          <w:szCs w:val="22"/>
        </w:rPr>
        <w:t xml:space="preserve">similares </w:t>
      </w:r>
      <w:r w:rsidRPr="004A2B13" w:rsidR="004B04A7">
        <w:rPr>
          <w:rFonts w:ascii="Arial" w:hAnsi="Arial" w:cs="Arial"/>
          <w:sz w:val="22"/>
          <w:szCs w:val="22"/>
        </w:rPr>
        <w:t xml:space="preserve">del BID </w:t>
      </w:r>
      <w:r w:rsidRPr="004A2B13" w:rsidR="00B47C13">
        <w:rPr>
          <w:rFonts w:ascii="Arial" w:hAnsi="Arial" w:cs="Arial"/>
          <w:sz w:val="22"/>
          <w:szCs w:val="22"/>
        </w:rPr>
        <w:t>en otros países</w:t>
      </w:r>
      <w:r w:rsidRPr="004A2B13" w:rsidR="008C0516">
        <w:rPr>
          <w:rFonts w:ascii="Arial" w:hAnsi="Arial" w:cs="Arial"/>
          <w:sz w:val="22"/>
          <w:szCs w:val="22"/>
        </w:rPr>
        <w:t>.</w:t>
      </w:r>
    </w:p>
    <w:p w:rsidRPr="004A2B13" w:rsidR="004B04A7" w:rsidP="004A2B13" w:rsidRDefault="004B04A7" w14:paraId="461266EA" w14:textId="77E5AB05">
      <w:pPr>
        <w:pStyle w:val="ListParagraph"/>
        <w:numPr>
          <w:ilvl w:val="0"/>
          <w:numId w:val="42"/>
        </w:numPr>
        <w:spacing w:before="120" w:after="120"/>
        <w:contextualSpacing w:val="0"/>
        <w:jc w:val="both"/>
        <w:rPr>
          <w:rFonts w:ascii="Arial" w:hAnsi="Arial" w:cs="Arial"/>
          <w:sz w:val="22"/>
          <w:szCs w:val="22"/>
        </w:rPr>
      </w:pPr>
      <w:r w:rsidRPr="004A2B13">
        <w:rPr>
          <w:rFonts w:ascii="Arial" w:hAnsi="Arial" w:cs="Arial"/>
          <w:sz w:val="22"/>
          <w:szCs w:val="22"/>
        </w:rPr>
        <w:t>Costos de adquisición de consultorías similares por entidades públicas</w:t>
      </w:r>
      <w:r w:rsidRPr="004A2B13" w:rsidR="003C7F3E">
        <w:rPr>
          <w:rFonts w:ascii="Arial" w:hAnsi="Arial" w:cs="Arial"/>
          <w:sz w:val="22"/>
          <w:szCs w:val="22"/>
        </w:rPr>
        <w:t xml:space="preserve"> </w:t>
      </w:r>
      <w:r w:rsidRPr="004A2B13" w:rsidR="00396BC8">
        <w:rPr>
          <w:rFonts w:ascii="Arial" w:hAnsi="Arial" w:cs="Arial"/>
          <w:sz w:val="22"/>
          <w:szCs w:val="22"/>
        </w:rPr>
        <w:t xml:space="preserve">o agencias </w:t>
      </w:r>
      <w:r w:rsidRPr="004A2B13" w:rsidR="003C7F3E">
        <w:rPr>
          <w:rFonts w:ascii="Arial" w:hAnsi="Arial" w:cs="Arial"/>
          <w:sz w:val="22"/>
          <w:szCs w:val="22"/>
        </w:rPr>
        <w:t xml:space="preserve">de </w:t>
      </w:r>
      <w:r w:rsidRPr="004A2B13" w:rsidR="00396BC8">
        <w:rPr>
          <w:rFonts w:ascii="Arial" w:hAnsi="Arial" w:cs="Arial"/>
          <w:sz w:val="22"/>
          <w:szCs w:val="22"/>
        </w:rPr>
        <w:t xml:space="preserve">desarrollo en </w:t>
      </w:r>
      <w:r w:rsidRPr="004A2B13" w:rsidR="003C7F3E">
        <w:rPr>
          <w:rFonts w:ascii="Arial" w:hAnsi="Arial" w:cs="Arial"/>
          <w:sz w:val="22"/>
          <w:szCs w:val="22"/>
        </w:rPr>
        <w:t>Colombia</w:t>
      </w:r>
      <w:r w:rsidRPr="004A2B13" w:rsidR="008C0516">
        <w:rPr>
          <w:rFonts w:ascii="Arial" w:hAnsi="Arial" w:cs="Arial"/>
          <w:sz w:val="22"/>
          <w:szCs w:val="22"/>
        </w:rPr>
        <w:t>.</w:t>
      </w:r>
    </w:p>
    <w:p w:rsidRPr="004A2B13" w:rsidR="005D03A0" w:rsidP="004A2B13" w:rsidRDefault="005D03A0" w14:paraId="5BC70328" w14:textId="7EEAA1CF">
      <w:pPr>
        <w:pStyle w:val="ListParagraph"/>
        <w:numPr>
          <w:ilvl w:val="0"/>
          <w:numId w:val="42"/>
        </w:numPr>
        <w:spacing w:before="120" w:after="120"/>
        <w:contextualSpacing w:val="0"/>
        <w:jc w:val="both"/>
        <w:rPr>
          <w:rFonts w:ascii="Arial" w:hAnsi="Arial" w:cs="Arial"/>
          <w:sz w:val="22"/>
          <w:szCs w:val="22"/>
        </w:rPr>
      </w:pPr>
      <w:r w:rsidRPr="004A2B13">
        <w:rPr>
          <w:rFonts w:ascii="Arial" w:hAnsi="Arial" w:cs="Arial"/>
          <w:sz w:val="22"/>
          <w:szCs w:val="22"/>
        </w:rPr>
        <w:t xml:space="preserve">Costos de adquisición de consultorías similares </w:t>
      </w:r>
      <w:r w:rsidRPr="004A2B13" w:rsidR="00396BC8">
        <w:rPr>
          <w:rFonts w:ascii="Arial" w:hAnsi="Arial" w:cs="Arial"/>
          <w:sz w:val="22"/>
          <w:szCs w:val="22"/>
        </w:rPr>
        <w:t xml:space="preserve">por entidades públicas o agencias </w:t>
      </w:r>
      <w:r w:rsidRPr="004A2B13" w:rsidR="00190E9D">
        <w:rPr>
          <w:rFonts w:ascii="Arial" w:hAnsi="Arial" w:cs="Arial"/>
          <w:sz w:val="22"/>
          <w:szCs w:val="22"/>
        </w:rPr>
        <w:t>de desarrollo</w:t>
      </w:r>
      <w:r w:rsidRPr="004A2B13" w:rsidR="00396BC8">
        <w:rPr>
          <w:rFonts w:ascii="Arial" w:hAnsi="Arial" w:cs="Arial"/>
          <w:sz w:val="22"/>
          <w:szCs w:val="22"/>
        </w:rPr>
        <w:t xml:space="preserve"> en otros países de la región</w:t>
      </w:r>
      <w:r w:rsidRPr="004A2B13" w:rsidR="00190E9D">
        <w:rPr>
          <w:rFonts w:ascii="Arial" w:hAnsi="Arial" w:cs="Arial"/>
          <w:sz w:val="22"/>
          <w:szCs w:val="22"/>
        </w:rPr>
        <w:t xml:space="preserve">. </w:t>
      </w:r>
    </w:p>
    <w:p w:rsidRPr="004A2B13" w:rsidR="001A42D8" w:rsidP="004A2B13" w:rsidRDefault="004B04A7" w14:paraId="23216E33" w14:textId="0A101580">
      <w:pPr>
        <w:pStyle w:val="ListParagraph"/>
        <w:numPr>
          <w:ilvl w:val="0"/>
          <w:numId w:val="42"/>
        </w:numPr>
        <w:spacing w:before="120" w:after="120"/>
        <w:contextualSpacing w:val="0"/>
        <w:jc w:val="both"/>
        <w:rPr>
          <w:rFonts w:ascii="Arial" w:hAnsi="Arial" w:cs="Arial"/>
          <w:sz w:val="22"/>
          <w:szCs w:val="22"/>
        </w:rPr>
      </w:pPr>
      <w:r w:rsidRPr="004A2B13">
        <w:rPr>
          <w:rFonts w:ascii="Arial" w:hAnsi="Arial" w:cs="Arial"/>
          <w:sz w:val="22"/>
          <w:szCs w:val="22"/>
        </w:rPr>
        <w:t>Información de mercado de proponentes</w:t>
      </w:r>
      <w:r w:rsidRPr="004A2B13" w:rsidR="00D1380D">
        <w:rPr>
          <w:rFonts w:ascii="Arial" w:hAnsi="Arial" w:cs="Arial"/>
          <w:sz w:val="22"/>
          <w:szCs w:val="22"/>
        </w:rPr>
        <w:t xml:space="preserve"> (costos promedio de estructuración y costos</w:t>
      </w:r>
      <w:r w:rsidRPr="004A2B13" w:rsidR="008C0516">
        <w:rPr>
          <w:rFonts w:ascii="Arial" w:hAnsi="Arial" w:cs="Arial"/>
          <w:sz w:val="22"/>
          <w:szCs w:val="22"/>
        </w:rPr>
        <w:t>.</w:t>
      </w:r>
      <w:r w:rsidRPr="004A2B13" w:rsidR="00D1380D">
        <w:rPr>
          <w:rFonts w:ascii="Arial" w:hAnsi="Arial" w:cs="Arial"/>
          <w:sz w:val="22"/>
          <w:szCs w:val="22"/>
        </w:rPr>
        <w:t xml:space="preserve"> de referencia en consultoría de servicios de ingeniería)</w:t>
      </w:r>
      <w:r w:rsidRPr="004A2B13" w:rsidR="000C1252">
        <w:rPr>
          <w:rFonts w:ascii="Arial" w:hAnsi="Arial" w:cs="Arial"/>
          <w:sz w:val="22"/>
          <w:szCs w:val="22"/>
        </w:rPr>
        <w:t xml:space="preserve"> en Colombia</w:t>
      </w:r>
      <w:r w:rsidRPr="004A2B13" w:rsidR="008C0516">
        <w:rPr>
          <w:rFonts w:ascii="Arial" w:hAnsi="Arial" w:cs="Arial"/>
          <w:sz w:val="22"/>
          <w:szCs w:val="22"/>
        </w:rPr>
        <w:t xml:space="preserve">. </w:t>
      </w:r>
    </w:p>
    <w:p w:rsidRPr="004A2B13" w:rsidR="00897DF8" w:rsidP="004A2B13" w:rsidRDefault="001B22F9" w14:paraId="44AD86FA" w14:textId="2FDEFC7A">
      <w:pPr>
        <w:spacing w:before="120" w:after="120"/>
        <w:jc w:val="both"/>
        <w:rPr>
          <w:rFonts w:ascii="Arial" w:hAnsi="Arial" w:cs="Arial"/>
          <w:sz w:val="22"/>
          <w:szCs w:val="22"/>
        </w:rPr>
      </w:pPr>
      <w:r w:rsidRPr="004A2B13">
        <w:rPr>
          <w:rFonts w:ascii="Arial" w:hAnsi="Arial" w:cs="Arial"/>
          <w:b/>
          <w:bCs/>
          <w:sz w:val="22"/>
          <w:szCs w:val="22"/>
        </w:rPr>
        <w:t>3.2.</w:t>
      </w:r>
      <w:r w:rsidRPr="004A2B13">
        <w:rPr>
          <w:rFonts w:ascii="Arial" w:hAnsi="Arial" w:cs="Arial"/>
          <w:sz w:val="22"/>
          <w:szCs w:val="22"/>
        </w:rPr>
        <w:t xml:space="preserve"> </w:t>
      </w:r>
      <w:r w:rsidRPr="004A2B13">
        <w:rPr>
          <w:rFonts w:ascii="Arial" w:hAnsi="Arial" w:cs="Arial"/>
          <w:b/>
          <w:bCs/>
          <w:sz w:val="22"/>
          <w:szCs w:val="22"/>
        </w:rPr>
        <w:t>Justificación</w:t>
      </w:r>
      <w:r w:rsidRPr="004A2B13" w:rsidR="00897DF8">
        <w:rPr>
          <w:rFonts w:ascii="Arial" w:hAnsi="Arial" w:cs="Arial"/>
          <w:b/>
          <w:bCs/>
          <w:sz w:val="22"/>
          <w:szCs w:val="22"/>
        </w:rPr>
        <w:t xml:space="preserve"> de los controles</w:t>
      </w:r>
      <w:r w:rsidRPr="004A2B13">
        <w:rPr>
          <w:rFonts w:ascii="Arial" w:hAnsi="Arial" w:cs="Arial"/>
          <w:b/>
          <w:bCs/>
          <w:sz w:val="22"/>
          <w:szCs w:val="22"/>
        </w:rPr>
        <w:t xml:space="preserve"> seleccionados</w:t>
      </w:r>
      <w:r w:rsidRPr="004A2B13" w:rsidR="00897DF8">
        <w:rPr>
          <w:rFonts w:ascii="Arial" w:hAnsi="Arial" w:cs="Arial"/>
          <w:b/>
          <w:bCs/>
          <w:sz w:val="22"/>
          <w:szCs w:val="22"/>
        </w:rPr>
        <w:t xml:space="preserve">  </w:t>
      </w:r>
    </w:p>
    <w:p w:rsidRPr="004A2B13" w:rsidR="00897DF8" w:rsidP="004A2B13" w:rsidRDefault="00897DF8" w14:paraId="771A63D2" w14:textId="122048D5">
      <w:pPr>
        <w:spacing w:before="120" w:after="120"/>
        <w:jc w:val="both"/>
        <w:rPr>
          <w:rFonts w:ascii="Arial" w:hAnsi="Arial" w:cs="Arial"/>
          <w:sz w:val="22"/>
          <w:szCs w:val="22"/>
        </w:rPr>
      </w:pPr>
      <w:r w:rsidRPr="004A2B13">
        <w:rPr>
          <w:rFonts w:ascii="Arial" w:hAnsi="Arial" w:cs="Arial"/>
          <w:sz w:val="22"/>
          <w:szCs w:val="22"/>
        </w:rPr>
        <w:t>La Operación CO-L1131 tuvo un gran peso en capacidades y proyectos asociados al transporte vial. No incluyó operaciones en los sectores del presente Programa, que buscan llegar a otros</w:t>
      </w:r>
      <w:r w:rsidRPr="004A2B13" w:rsidR="00924BF5">
        <w:rPr>
          <w:rFonts w:ascii="Arial" w:hAnsi="Arial" w:cs="Arial"/>
          <w:sz w:val="22"/>
          <w:szCs w:val="22"/>
        </w:rPr>
        <w:t xml:space="preserve"> sectores</w:t>
      </w:r>
      <w:r w:rsidRPr="004A2B13">
        <w:rPr>
          <w:rFonts w:ascii="Arial" w:hAnsi="Arial" w:cs="Arial"/>
          <w:sz w:val="22"/>
          <w:szCs w:val="22"/>
        </w:rPr>
        <w:t xml:space="preserve"> y a entidades nuevas</w:t>
      </w:r>
      <w:r w:rsidRPr="004A2B13" w:rsidR="00924BF5">
        <w:rPr>
          <w:rFonts w:ascii="Arial" w:hAnsi="Arial" w:cs="Arial"/>
          <w:sz w:val="22"/>
          <w:szCs w:val="22"/>
        </w:rPr>
        <w:t xml:space="preserve"> del orden territorial o nacional</w:t>
      </w:r>
      <w:r w:rsidRPr="004A2B13">
        <w:rPr>
          <w:rFonts w:ascii="Arial" w:hAnsi="Arial" w:cs="Arial"/>
          <w:sz w:val="22"/>
          <w:szCs w:val="22"/>
        </w:rPr>
        <w:t xml:space="preserve">. </w:t>
      </w:r>
    </w:p>
    <w:p w:rsidRPr="004A2B13" w:rsidR="00897DF8" w:rsidP="004A2B13" w:rsidRDefault="00897DF8" w14:paraId="6FBDC854" w14:textId="655EC7E3">
      <w:pPr>
        <w:spacing w:before="120" w:after="120"/>
        <w:jc w:val="both"/>
        <w:rPr>
          <w:rFonts w:ascii="Arial" w:hAnsi="Arial" w:cs="Arial"/>
          <w:sz w:val="22"/>
          <w:szCs w:val="22"/>
        </w:rPr>
      </w:pPr>
      <w:r w:rsidRPr="004A2B13">
        <w:rPr>
          <w:rFonts w:ascii="Arial" w:hAnsi="Arial" w:cs="Arial"/>
          <w:sz w:val="22"/>
          <w:szCs w:val="22"/>
        </w:rPr>
        <w:t xml:space="preserve">Cada vez que fue posible, se eligió información de estructuración con base en proyectos similares y recientes </w:t>
      </w:r>
      <w:r w:rsidRPr="004A2B13" w:rsidR="0032288E">
        <w:rPr>
          <w:rFonts w:ascii="Arial" w:hAnsi="Arial" w:cs="Arial"/>
          <w:sz w:val="22"/>
          <w:szCs w:val="22"/>
        </w:rPr>
        <w:t xml:space="preserve">de atracción al capital privado </w:t>
      </w:r>
      <w:r w:rsidRPr="004A2B13">
        <w:rPr>
          <w:rFonts w:ascii="Arial" w:hAnsi="Arial" w:cs="Arial"/>
          <w:sz w:val="22"/>
          <w:szCs w:val="22"/>
        </w:rPr>
        <w:t xml:space="preserve">que pasaron por métodos de adquisición competitiva en Colombia. Esto fue posible en los proyectos de estructuración férrea y en salud. </w:t>
      </w:r>
    </w:p>
    <w:p w:rsidRPr="004A2B13" w:rsidR="00897DF8" w:rsidP="004A2B13" w:rsidRDefault="00897DF8" w14:paraId="4E81E01D" w14:textId="17A61A0A">
      <w:pPr>
        <w:spacing w:before="120" w:after="120"/>
        <w:jc w:val="both"/>
        <w:rPr>
          <w:rFonts w:ascii="Arial" w:hAnsi="Arial" w:cs="Arial"/>
          <w:sz w:val="22"/>
          <w:szCs w:val="22"/>
        </w:rPr>
      </w:pPr>
      <w:r w:rsidRPr="004A2B13">
        <w:rPr>
          <w:rFonts w:ascii="Arial" w:hAnsi="Arial" w:cs="Arial"/>
          <w:sz w:val="22"/>
          <w:szCs w:val="22"/>
        </w:rPr>
        <w:t xml:space="preserve">La estructuración </w:t>
      </w:r>
      <w:r w:rsidRPr="004A2B13" w:rsidR="00665839">
        <w:rPr>
          <w:rFonts w:ascii="Arial" w:hAnsi="Arial" w:cs="Arial"/>
          <w:sz w:val="22"/>
          <w:szCs w:val="22"/>
        </w:rPr>
        <w:t>de</w:t>
      </w:r>
      <w:r w:rsidRPr="004A2B13">
        <w:rPr>
          <w:rFonts w:ascii="Arial" w:hAnsi="Arial" w:cs="Arial"/>
          <w:sz w:val="22"/>
          <w:szCs w:val="22"/>
        </w:rPr>
        <w:t xml:space="preserve"> granjas solares </w:t>
      </w:r>
      <w:r w:rsidRPr="004A2B13" w:rsidR="00665839">
        <w:rPr>
          <w:rFonts w:ascii="Arial" w:hAnsi="Arial" w:cs="Arial"/>
          <w:sz w:val="22"/>
          <w:szCs w:val="22"/>
        </w:rPr>
        <w:t xml:space="preserve">de </w:t>
      </w:r>
      <w:r w:rsidRPr="004A2B13" w:rsidR="009A732D">
        <w:rPr>
          <w:rFonts w:ascii="Arial" w:hAnsi="Arial" w:cs="Arial"/>
          <w:sz w:val="22"/>
          <w:szCs w:val="22"/>
        </w:rPr>
        <w:t xml:space="preserve">más de 20 MW </w:t>
      </w:r>
      <w:r w:rsidRPr="004A2B13" w:rsidR="00665839">
        <w:rPr>
          <w:rFonts w:ascii="Arial" w:hAnsi="Arial" w:cs="Arial"/>
          <w:sz w:val="22"/>
          <w:szCs w:val="22"/>
        </w:rPr>
        <w:t xml:space="preserve">como APP </w:t>
      </w:r>
      <w:r w:rsidRPr="004A2B13">
        <w:rPr>
          <w:rFonts w:ascii="Arial" w:hAnsi="Arial" w:cs="Arial"/>
          <w:sz w:val="22"/>
          <w:szCs w:val="22"/>
        </w:rPr>
        <w:t>es inexistente en Colombia</w:t>
      </w:r>
      <w:r w:rsidRPr="004A2B13" w:rsidR="009A732D">
        <w:rPr>
          <w:rFonts w:ascii="Arial" w:hAnsi="Arial" w:cs="Arial"/>
          <w:sz w:val="22"/>
          <w:szCs w:val="22"/>
        </w:rPr>
        <w:t xml:space="preserve">. Estos proyectos se realizan por </w:t>
      </w:r>
      <w:r w:rsidRPr="004A2B13" w:rsidR="00F76A89">
        <w:rPr>
          <w:rFonts w:ascii="Arial" w:hAnsi="Arial" w:cs="Arial"/>
          <w:sz w:val="22"/>
          <w:szCs w:val="22"/>
        </w:rPr>
        <w:t xml:space="preserve">actores registrados como generadores en </w:t>
      </w:r>
      <w:r w:rsidRPr="004A2B13" w:rsidR="00B21BCA">
        <w:rPr>
          <w:rFonts w:ascii="Arial" w:hAnsi="Arial" w:cs="Arial"/>
          <w:sz w:val="22"/>
          <w:szCs w:val="22"/>
        </w:rPr>
        <w:t xml:space="preserve">el mercado mayorista de electricidad. </w:t>
      </w:r>
      <w:r w:rsidRPr="004A2B13" w:rsidR="00F76A89">
        <w:rPr>
          <w:rFonts w:ascii="Arial" w:hAnsi="Arial" w:cs="Arial"/>
          <w:sz w:val="22"/>
          <w:szCs w:val="22"/>
        </w:rPr>
        <w:t>E</w:t>
      </w:r>
      <w:r w:rsidRPr="004A2B13">
        <w:rPr>
          <w:rFonts w:ascii="Arial" w:hAnsi="Arial" w:cs="Arial"/>
          <w:sz w:val="22"/>
          <w:szCs w:val="22"/>
        </w:rPr>
        <w:t xml:space="preserve">xiste información pública sobre los costos de estructuración que cobran los agregadores, que operan en un mercado competido. </w:t>
      </w:r>
    </w:p>
    <w:p w:rsidRPr="004A2B13" w:rsidR="00897DF8" w:rsidP="004A2B13" w:rsidRDefault="00897DF8" w14:paraId="23B4E355" w14:textId="3CF065E5">
      <w:pPr>
        <w:spacing w:before="120" w:after="120"/>
        <w:jc w:val="both"/>
        <w:rPr>
          <w:rFonts w:ascii="Arial" w:hAnsi="Arial" w:cs="Arial"/>
          <w:sz w:val="22"/>
          <w:szCs w:val="22"/>
        </w:rPr>
      </w:pPr>
      <w:r w:rsidRPr="004A2B13">
        <w:rPr>
          <w:rFonts w:ascii="Arial" w:hAnsi="Arial" w:cs="Arial"/>
          <w:sz w:val="22"/>
          <w:szCs w:val="22"/>
        </w:rPr>
        <w:t xml:space="preserve">El estudio de mayor comparabilidad </w:t>
      </w:r>
      <w:r w:rsidRPr="004A2B13" w:rsidR="006A58A6">
        <w:rPr>
          <w:rFonts w:ascii="Arial" w:hAnsi="Arial" w:cs="Arial"/>
          <w:sz w:val="22"/>
          <w:szCs w:val="22"/>
        </w:rPr>
        <w:t xml:space="preserve">en el caso del modo férreo </w:t>
      </w:r>
      <w:r w:rsidRPr="004A2B13">
        <w:rPr>
          <w:rFonts w:ascii="Arial" w:hAnsi="Arial" w:cs="Arial"/>
          <w:sz w:val="22"/>
          <w:szCs w:val="22"/>
        </w:rPr>
        <w:t xml:space="preserve">es la Fase I del Plan Maestro de Transporte Intermodal (PMTI) de Colombia, </w:t>
      </w:r>
      <w:r w:rsidRPr="004A2B13" w:rsidR="00E7445A">
        <w:rPr>
          <w:rFonts w:ascii="Arial" w:hAnsi="Arial" w:cs="Arial"/>
          <w:sz w:val="22"/>
          <w:szCs w:val="22"/>
        </w:rPr>
        <w:t xml:space="preserve">puesto que realizó </w:t>
      </w:r>
      <w:r w:rsidRPr="004A2B13">
        <w:rPr>
          <w:rFonts w:ascii="Arial" w:hAnsi="Arial" w:cs="Arial"/>
          <w:sz w:val="22"/>
          <w:szCs w:val="22"/>
        </w:rPr>
        <w:t>ava</w:t>
      </w:r>
      <w:r w:rsidRPr="004A2B13" w:rsidR="006A58A6">
        <w:rPr>
          <w:rFonts w:ascii="Arial" w:hAnsi="Arial" w:cs="Arial"/>
          <w:sz w:val="22"/>
          <w:szCs w:val="22"/>
        </w:rPr>
        <w:t xml:space="preserve">nces similares en proyección de demanda, priorización y socialización </w:t>
      </w:r>
      <w:r w:rsidRPr="004A2B13">
        <w:rPr>
          <w:rFonts w:ascii="Arial" w:hAnsi="Arial" w:cs="Arial"/>
          <w:sz w:val="22"/>
          <w:szCs w:val="22"/>
        </w:rPr>
        <w:t xml:space="preserve">en un modo (carretero).  </w:t>
      </w:r>
    </w:p>
    <w:p w:rsidRPr="004A2B13" w:rsidR="00897DF8" w:rsidP="004A2B13" w:rsidRDefault="00897DF8" w14:paraId="311E7FF9" w14:textId="38FF4DFA">
      <w:pPr>
        <w:spacing w:before="120" w:after="120"/>
        <w:jc w:val="both"/>
        <w:rPr>
          <w:rFonts w:ascii="Arial" w:hAnsi="Arial" w:cs="Arial"/>
          <w:sz w:val="22"/>
          <w:szCs w:val="22"/>
        </w:rPr>
      </w:pPr>
      <w:r w:rsidRPr="004A2B13">
        <w:rPr>
          <w:rFonts w:ascii="Arial" w:hAnsi="Arial" w:cs="Arial"/>
          <w:sz w:val="22"/>
          <w:szCs w:val="22"/>
        </w:rPr>
        <w:t xml:space="preserve">El Programa BID EC-L1230 de mejora de la capacidad fiscal para la inversión pública en Ecuador es reciente y tiene una lógica orientada al uso de APP para el estado ecuatoriano. </w:t>
      </w:r>
      <w:r w:rsidRPr="004A2B13" w:rsidR="00922050">
        <w:rPr>
          <w:rFonts w:ascii="Arial" w:hAnsi="Arial" w:cs="Arial"/>
          <w:sz w:val="22"/>
          <w:szCs w:val="22"/>
        </w:rPr>
        <w:t xml:space="preserve">El monto prestado por el BID ascendió a US$ 50 millones de 2019. </w:t>
      </w:r>
      <w:r w:rsidRPr="004A2B13">
        <w:rPr>
          <w:rFonts w:ascii="Arial" w:hAnsi="Arial" w:cs="Arial"/>
          <w:sz w:val="22"/>
          <w:szCs w:val="22"/>
        </w:rPr>
        <w:t xml:space="preserve">Permite la comparación </w:t>
      </w:r>
      <w:r w:rsidRPr="004A2B13" w:rsidR="00176994">
        <w:rPr>
          <w:rFonts w:ascii="Arial" w:hAnsi="Arial" w:cs="Arial"/>
          <w:sz w:val="22"/>
          <w:szCs w:val="22"/>
        </w:rPr>
        <w:t xml:space="preserve">de Colombia, que tiene liderazgo en institucionalidad </w:t>
      </w:r>
      <w:r w:rsidRPr="004A2B13" w:rsidR="003F2593">
        <w:rPr>
          <w:rFonts w:ascii="Arial" w:hAnsi="Arial" w:cs="Arial"/>
          <w:sz w:val="22"/>
          <w:szCs w:val="22"/>
        </w:rPr>
        <w:t xml:space="preserve">en APP, </w:t>
      </w:r>
      <w:r w:rsidRPr="004A2B13">
        <w:rPr>
          <w:rFonts w:ascii="Arial" w:hAnsi="Arial" w:cs="Arial"/>
          <w:sz w:val="22"/>
          <w:szCs w:val="22"/>
        </w:rPr>
        <w:t xml:space="preserve">con </w:t>
      </w:r>
      <w:r w:rsidRPr="004A2B13" w:rsidR="003F2593">
        <w:rPr>
          <w:rFonts w:ascii="Arial" w:hAnsi="Arial" w:cs="Arial"/>
          <w:sz w:val="22"/>
          <w:szCs w:val="22"/>
        </w:rPr>
        <w:t>un país similar en otras características</w:t>
      </w:r>
      <w:r w:rsidRPr="004A2B13">
        <w:rPr>
          <w:rFonts w:ascii="Arial" w:hAnsi="Arial" w:cs="Arial"/>
          <w:sz w:val="22"/>
          <w:szCs w:val="22"/>
        </w:rPr>
        <w:t xml:space="preserve">. </w:t>
      </w:r>
      <w:r w:rsidRPr="004A2B13" w:rsidR="002C277D">
        <w:rPr>
          <w:rFonts w:ascii="Arial" w:hAnsi="Arial" w:cs="Arial"/>
          <w:sz w:val="22"/>
          <w:szCs w:val="22"/>
        </w:rPr>
        <w:t xml:space="preserve">Este Programa también </w:t>
      </w:r>
      <w:r w:rsidRPr="004A2B13">
        <w:rPr>
          <w:rFonts w:ascii="Arial" w:hAnsi="Arial" w:cs="Arial"/>
          <w:sz w:val="22"/>
          <w:szCs w:val="22"/>
        </w:rPr>
        <w:t xml:space="preserve">permitió seleccionar la estructuración de una APP en aguas residuales para una ciudad grande </w:t>
      </w:r>
      <w:r w:rsidRPr="004A2B13" w:rsidR="00F0144F">
        <w:rPr>
          <w:rFonts w:ascii="Arial" w:hAnsi="Arial" w:cs="Arial"/>
          <w:sz w:val="22"/>
          <w:szCs w:val="22"/>
        </w:rPr>
        <w:t xml:space="preserve">(Cuenca) </w:t>
      </w:r>
      <w:r w:rsidRPr="004A2B13">
        <w:rPr>
          <w:rFonts w:ascii="Arial" w:hAnsi="Arial" w:cs="Arial"/>
          <w:sz w:val="22"/>
          <w:szCs w:val="22"/>
        </w:rPr>
        <w:t>con lógica actual y valores recientes</w:t>
      </w:r>
      <w:r w:rsidRPr="004A2B13" w:rsidR="00F50087">
        <w:rPr>
          <w:rFonts w:ascii="Arial" w:hAnsi="Arial" w:cs="Arial"/>
          <w:sz w:val="22"/>
          <w:szCs w:val="22"/>
        </w:rPr>
        <w:t xml:space="preserve">, para su comparación con </w:t>
      </w:r>
      <w:r w:rsidRPr="004A2B13" w:rsidR="00BE30E7">
        <w:rPr>
          <w:rFonts w:ascii="Arial" w:hAnsi="Arial" w:cs="Arial"/>
          <w:sz w:val="22"/>
          <w:szCs w:val="22"/>
        </w:rPr>
        <w:t>la estructuración en el Área Metropolitana de Bucaramanga</w:t>
      </w:r>
      <w:r w:rsidRPr="004A2B13" w:rsidR="00456090">
        <w:rPr>
          <w:rFonts w:ascii="Arial" w:hAnsi="Arial" w:cs="Arial"/>
          <w:sz w:val="22"/>
          <w:szCs w:val="22"/>
        </w:rPr>
        <w:t xml:space="preserve"> (más de 1 millón de habitantes)</w:t>
      </w:r>
      <w:r w:rsidRPr="004A2B13" w:rsidR="00BE30E7">
        <w:rPr>
          <w:rFonts w:ascii="Arial" w:hAnsi="Arial" w:cs="Arial"/>
          <w:sz w:val="22"/>
          <w:szCs w:val="22"/>
        </w:rPr>
        <w:t xml:space="preserve">. </w:t>
      </w:r>
    </w:p>
    <w:p w:rsidRPr="004A2B13" w:rsidR="00155DD6" w:rsidP="004A2B13" w:rsidRDefault="00897DF8" w14:paraId="2E51CF3B" w14:textId="059A61A3">
      <w:pPr>
        <w:spacing w:before="120" w:after="120"/>
        <w:jc w:val="both"/>
        <w:rPr>
          <w:rFonts w:ascii="Arial" w:hAnsi="Arial" w:cs="Arial"/>
          <w:sz w:val="22"/>
          <w:szCs w:val="22"/>
        </w:rPr>
      </w:pPr>
      <w:r w:rsidRPr="004A2B13">
        <w:rPr>
          <w:rFonts w:ascii="Arial" w:hAnsi="Arial" w:cs="Arial"/>
          <w:sz w:val="22"/>
          <w:szCs w:val="22"/>
        </w:rPr>
        <w:t>La comparación para el caso de residuos sólidos se logró con un proyecto del BID en la Municipalidad Central de Honduras, que tiene una población similar a la del Área Metropolitana de Cali</w:t>
      </w:r>
      <w:r w:rsidRPr="004A2B13" w:rsidR="00456090">
        <w:rPr>
          <w:rFonts w:ascii="Arial" w:hAnsi="Arial" w:cs="Arial"/>
          <w:sz w:val="22"/>
          <w:szCs w:val="22"/>
        </w:rPr>
        <w:t xml:space="preserve"> (más de 2 millones de habitantes)</w:t>
      </w:r>
      <w:r w:rsidRPr="004A2B13">
        <w:rPr>
          <w:rFonts w:ascii="Arial" w:hAnsi="Arial" w:cs="Arial"/>
          <w:sz w:val="22"/>
          <w:szCs w:val="22"/>
        </w:rPr>
        <w:t>, donde se ejecutaría la consultoría</w:t>
      </w:r>
      <w:r w:rsidRPr="004A2B13" w:rsidR="00EF245B">
        <w:rPr>
          <w:rFonts w:ascii="Arial" w:hAnsi="Arial" w:cs="Arial"/>
          <w:sz w:val="22"/>
          <w:szCs w:val="22"/>
        </w:rPr>
        <w:t xml:space="preserve"> respectiva</w:t>
      </w:r>
      <w:r w:rsidRPr="004A2B13">
        <w:rPr>
          <w:rFonts w:ascii="Arial" w:hAnsi="Arial" w:cs="Arial"/>
          <w:sz w:val="22"/>
          <w:szCs w:val="22"/>
        </w:rPr>
        <w:t xml:space="preserve"> del Programa. </w:t>
      </w:r>
    </w:p>
    <w:p w:rsidRPr="004A2B13" w:rsidR="00F9480A" w:rsidP="004A2B13" w:rsidRDefault="00F9480A" w14:paraId="46024199" w14:textId="019AC6AE">
      <w:pPr>
        <w:spacing w:before="120" w:after="120"/>
        <w:jc w:val="both"/>
        <w:rPr>
          <w:rFonts w:ascii="Arial" w:hAnsi="Arial" w:cs="Arial"/>
          <w:b/>
          <w:bCs/>
          <w:sz w:val="22"/>
          <w:szCs w:val="22"/>
        </w:rPr>
      </w:pPr>
      <w:r w:rsidRPr="004A2B13">
        <w:rPr>
          <w:rFonts w:ascii="Arial" w:hAnsi="Arial" w:cs="Arial"/>
          <w:b/>
          <w:bCs/>
          <w:sz w:val="22"/>
          <w:szCs w:val="22"/>
        </w:rPr>
        <w:t>3.</w:t>
      </w:r>
      <w:r w:rsidRPr="004A2B13" w:rsidR="00426FFA">
        <w:rPr>
          <w:rFonts w:ascii="Arial" w:hAnsi="Arial" w:cs="Arial"/>
          <w:b/>
          <w:bCs/>
          <w:sz w:val="22"/>
          <w:szCs w:val="22"/>
        </w:rPr>
        <w:t>3</w:t>
      </w:r>
      <w:r w:rsidRPr="004A2B13">
        <w:rPr>
          <w:rFonts w:ascii="Arial" w:hAnsi="Arial" w:cs="Arial"/>
          <w:b/>
          <w:bCs/>
          <w:sz w:val="22"/>
          <w:szCs w:val="22"/>
        </w:rPr>
        <w:t xml:space="preserve">. Costos de los proyectos </w:t>
      </w:r>
      <w:r w:rsidRPr="004A2B13" w:rsidR="00426FFA">
        <w:rPr>
          <w:rFonts w:ascii="Arial" w:hAnsi="Arial" w:cs="Arial"/>
          <w:b/>
          <w:bCs/>
          <w:sz w:val="22"/>
          <w:szCs w:val="22"/>
        </w:rPr>
        <w:t>del Programa</w:t>
      </w:r>
    </w:p>
    <w:p w:rsidRPr="000164D8" w:rsidR="00123116" w:rsidP="004A2B13" w:rsidRDefault="00123116" w14:paraId="4A0687D8" w14:textId="5E0C677A">
      <w:pPr>
        <w:spacing w:before="120" w:after="120"/>
        <w:jc w:val="both"/>
        <w:rPr>
          <w:rFonts w:ascii="Arial" w:hAnsi="Arial" w:cs="Arial"/>
          <w:sz w:val="22"/>
          <w:szCs w:val="22"/>
        </w:rPr>
      </w:pPr>
      <w:r w:rsidRPr="000164D8">
        <w:rPr>
          <w:rFonts w:ascii="Arial" w:hAnsi="Arial" w:cs="Arial"/>
          <w:sz w:val="22"/>
          <w:szCs w:val="22"/>
        </w:rPr>
        <w:t>Los costos totales de proyectos</w:t>
      </w:r>
      <w:r w:rsidRPr="000164D8" w:rsidR="00873661">
        <w:rPr>
          <w:rFonts w:ascii="Arial" w:hAnsi="Arial" w:cs="Arial"/>
          <w:sz w:val="22"/>
          <w:szCs w:val="22"/>
        </w:rPr>
        <w:t xml:space="preserve"> individuales </w:t>
      </w:r>
      <w:r w:rsidRPr="000164D8" w:rsidR="009A33B1">
        <w:rPr>
          <w:rFonts w:ascii="Arial" w:hAnsi="Arial" w:cs="Arial"/>
          <w:sz w:val="22"/>
          <w:szCs w:val="22"/>
        </w:rPr>
        <w:t>que se van a comparar</w:t>
      </w:r>
      <w:r w:rsidRPr="000164D8" w:rsidR="00651E4A">
        <w:rPr>
          <w:rFonts w:ascii="Arial" w:hAnsi="Arial" w:cs="Arial"/>
          <w:sz w:val="22"/>
          <w:szCs w:val="22"/>
        </w:rPr>
        <w:t xml:space="preserve"> son</w:t>
      </w:r>
      <w:r w:rsidRPr="000164D8">
        <w:rPr>
          <w:rFonts w:ascii="Arial" w:hAnsi="Arial" w:cs="Arial"/>
          <w:sz w:val="22"/>
          <w:szCs w:val="22"/>
        </w:rPr>
        <w:t>:</w:t>
      </w:r>
    </w:p>
    <w:p w:rsidRPr="004A2B13" w:rsidR="00123116" w:rsidP="004A2B13" w:rsidRDefault="00123116" w14:paraId="012F4EDC" w14:textId="0EF0FDBB">
      <w:pPr>
        <w:spacing w:before="120" w:after="120"/>
        <w:jc w:val="both"/>
        <w:rPr>
          <w:rFonts w:ascii="Arial" w:hAnsi="Arial" w:cs="Arial"/>
          <w:sz w:val="22"/>
          <w:szCs w:val="22"/>
        </w:rPr>
      </w:pPr>
    </w:p>
    <w:p w:rsidRPr="004A2B13" w:rsidR="000C6F0D" w:rsidP="004A2B13" w:rsidRDefault="000C6F0D" w14:paraId="4D4E0CE3" w14:textId="6BDB18B6">
      <w:pPr>
        <w:spacing w:before="120" w:after="120"/>
        <w:jc w:val="both"/>
        <w:rPr>
          <w:rFonts w:ascii="Arial" w:hAnsi="Arial" w:cs="Arial"/>
          <w:b/>
          <w:bCs/>
          <w:sz w:val="22"/>
          <w:szCs w:val="22"/>
        </w:rPr>
      </w:pPr>
      <w:r w:rsidRPr="004A2B13">
        <w:rPr>
          <w:rFonts w:ascii="Arial" w:hAnsi="Arial" w:cs="Arial"/>
          <w:b/>
          <w:bCs/>
          <w:sz w:val="22"/>
          <w:szCs w:val="22"/>
        </w:rPr>
        <w:lastRenderedPageBreak/>
        <w:t>Componente I</w:t>
      </w:r>
      <w:r w:rsidRPr="004A2B13" w:rsidR="00BF7912">
        <w:rPr>
          <w:rStyle w:val="FootnoteReference"/>
          <w:rFonts w:ascii="Arial" w:hAnsi="Arial" w:cs="Arial"/>
          <w:b/>
          <w:bCs/>
          <w:sz w:val="22"/>
          <w:szCs w:val="22"/>
        </w:rPr>
        <w:footnoteReference w:id="4"/>
      </w:r>
    </w:p>
    <w:p w:rsidRPr="004A2B13" w:rsidR="00123116" w:rsidP="004A2B13" w:rsidRDefault="00643DC8" w14:paraId="4E429E10" w14:textId="7CAAE9E3">
      <w:pPr>
        <w:spacing w:before="120" w:after="120"/>
        <w:jc w:val="both"/>
        <w:rPr>
          <w:rFonts w:ascii="Arial" w:hAnsi="Arial" w:cs="Arial"/>
          <w:sz w:val="22"/>
          <w:szCs w:val="22"/>
        </w:rPr>
      </w:pPr>
      <w:r w:rsidRPr="004A2B13">
        <w:rPr>
          <w:rFonts w:ascii="Arial" w:hAnsi="Arial" w:cs="Arial"/>
          <w:b/>
          <w:bCs/>
          <w:color w:val="4472C4" w:themeColor="accent1"/>
          <w:sz w:val="22"/>
          <w:szCs w:val="22"/>
        </w:rPr>
        <w:t>TL</w:t>
      </w:r>
      <w:r w:rsidRPr="004A2B13">
        <w:rPr>
          <w:rFonts w:ascii="Arial" w:hAnsi="Arial" w:cs="Arial"/>
          <w:sz w:val="22"/>
          <w:szCs w:val="22"/>
        </w:rPr>
        <w:t xml:space="preserve">. Estudio sector férreo (demanda, mercado, priorización y socialización): </w:t>
      </w:r>
      <w:r w:rsidRPr="004A2B13" w:rsidR="009A33B1">
        <w:rPr>
          <w:rFonts w:ascii="Arial" w:hAnsi="Arial" w:cs="Arial"/>
          <w:b/>
          <w:bCs/>
          <w:sz w:val="22"/>
          <w:szCs w:val="22"/>
        </w:rPr>
        <w:t>US$550 mil</w:t>
      </w:r>
      <w:r w:rsidRPr="004A2B13" w:rsidR="009A33B1">
        <w:rPr>
          <w:rFonts w:ascii="Arial" w:hAnsi="Arial" w:cs="Arial"/>
          <w:sz w:val="22"/>
          <w:szCs w:val="22"/>
        </w:rPr>
        <w:t>.</w:t>
      </w:r>
    </w:p>
    <w:p w:rsidR="009A33B1" w:rsidP="004A2B13" w:rsidRDefault="009A33B1" w14:paraId="6FE882D1" w14:textId="2A0ED140">
      <w:pPr>
        <w:spacing w:before="120" w:after="120"/>
        <w:jc w:val="both"/>
        <w:rPr>
          <w:rFonts w:ascii="Arial" w:hAnsi="Arial" w:cs="Arial"/>
          <w:sz w:val="22"/>
          <w:szCs w:val="22"/>
        </w:rPr>
      </w:pPr>
      <w:r w:rsidRPr="004A2B13">
        <w:rPr>
          <w:rFonts w:ascii="Arial" w:hAnsi="Arial" w:cs="Arial"/>
          <w:b/>
          <w:bCs/>
          <w:color w:val="4472C4" w:themeColor="accent1"/>
          <w:sz w:val="22"/>
          <w:szCs w:val="22"/>
        </w:rPr>
        <w:t>TU</w:t>
      </w:r>
      <w:r w:rsidRPr="004A2B13">
        <w:rPr>
          <w:rFonts w:ascii="Arial" w:hAnsi="Arial" w:cs="Arial"/>
          <w:b/>
          <w:bCs/>
          <w:sz w:val="22"/>
          <w:szCs w:val="22"/>
        </w:rPr>
        <w:t xml:space="preserve">. </w:t>
      </w:r>
      <w:r w:rsidRPr="004A2B13">
        <w:rPr>
          <w:rFonts w:ascii="Arial" w:hAnsi="Arial" w:cs="Arial"/>
          <w:sz w:val="22"/>
          <w:szCs w:val="22"/>
        </w:rPr>
        <w:t xml:space="preserve">Estructuración de prefactibilidad proyecto férreo de pasajeros: </w:t>
      </w:r>
      <w:r w:rsidRPr="004A2B13">
        <w:rPr>
          <w:rFonts w:ascii="Arial" w:hAnsi="Arial" w:cs="Arial"/>
          <w:b/>
          <w:bCs/>
          <w:sz w:val="22"/>
          <w:szCs w:val="22"/>
        </w:rPr>
        <w:t>US$</w:t>
      </w:r>
      <w:r w:rsidRPr="004A2B13" w:rsidR="00080CDC">
        <w:rPr>
          <w:rFonts w:ascii="Arial" w:hAnsi="Arial" w:cs="Arial"/>
          <w:b/>
          <w:bCs/>
          <w:sz w:val="22"/>
          <w:szCs w:val="22"/>
        </w:rPr>
        <w:t>450 mil</w:t>
      </w:r>
      <w:r w:rsidRPr="004A2B13" w:rsidR="00080CDC">
        <w:rPr>
          <w:rFonts w:ascii="Arial" w:hAnsi="Arial" w:cs="Arial"/>
          <w:sz w:val="22"/>
          <w:szCs w:val="22"/>
        </w:rPr>
        <w:t>.</w:t>
      </w:r>
    </w:p>
    <w:p w:rsidRPr="00136E49" w:rsidR="007D5002" w:rsidP="007D5002" w:rsidRDefault="007D5002" w14:paraId="267CC056" w14:textId="79361293">
      <w:pPr>
        <w:spacing w:line="276" w:lineRule="auto"/>
        <w:jc w:val="both"/>
        <w:rPr>
          <w:rFonts w:ascii="Arial" w:hAnsi="Arial" w:cs="Arial"/>
          <w:sz w:val="22"/>
          <w:szCs w:val="22"/>
        </w:rPr>
      </w:pPr>
      <w:r w:rsidRPr="00136E49">
        <w:rPr>
          <w:rFonts w:ascii="Arial" w:hAnsi="Arial" w:cs="Arial"/>
          <w:b/>
          <w:bCs/>
          <w:color w:val="4472C4" w:themeColor="accent1"/>
          <w:sz w:val="22"/>
          <w:szCs w:val="22"/>
        </w:rPr>
        <w:t>ME</w:t>
      </w:r>
      <w:r w:rsidRPr="00136E49">
        <w:rPr>
          <w:rFonts w:ascii="Arial" w:hAnsi="Arial" w:cs="Arial"/>
          <w:sz w:val="22"/>
          <w:szCs w:val="22"/>
        </w:rPr>
        <w:t xml:space="preserve">. Estructuración de una instalación eléctrica para el suministro mixto de energía que incorpore fuentes renovables: </w:t>
      </w:r>
      <w:r w:rsidRPr="00136E49">
        <w:rPr>
          <w:rFonts w:ascii="Arial" w:hAnsi="Arial" w:cs="Arial"/>
          <w:b/>
          <w:bCs/>
          <w:sz w:val="22"/>
          <w:szCs w:val="22"/>
        </w:rPr>
        <w:t>US$ 800 mil</w:t>
      </w:r>
      <w:r w:rsidRPr="00136E49">
        <w:rPr>
          <w:rFonts w:ascii="Arial" w:hAnsi="Arial" w:cs="Arial"/>
          <w:sz w:val="22"/>
          <w:szCs w:val="22"/>
        </w:rPr>
        <w:t>.</w:t>
      </w:r>
    </w:p>
    <w:p w:rsidRPr="004A2B13" w:rsidR="00A8078A" w:rsidP="004A2B13" w:rsidRDefault="00A8078A" w14:paraId="66561826" w14:textId="578418EE">
      <w:pPr>
        <w:spacing w:before="120" w:after="120"/>
        <w:jc w:val="both"/>
        <w:rPr>
          <w:rFonts w:ascii="Arial" w:hAnsi="Arial" w:cs="Arial"/>
          <w:sz w:val="22"/>
          <w:szCs w:val="22"/>
        </w:rPr>
      </w:pPr>
      <w:r w:rsidRPr="004A2B13">
        <w:rPr>
          <w:rFonts w:ascii="Arial" w:hAnsi="Arial" w:cs="Arial"/>
          <w:b/>
          <w:bCs/>
          <w:color w:val="4472C4" w:themeColor="accent1"/>
          <w:sz w:val="22"/>
          <w:szCs w:val="22"/>
        </w:rPr>
        <w:t>AS</w:t>
      </w:r>
      <w:r w:rsidRPr="004A2B13">
        <w:rPr>
          <w:rFonts w:ascii="Arial" w:hAnsi="Arial" w:cs="Arial"/>
          <w:sz w:val="22"/>
          <w:szCs w:val="22"/>
        </w:rPr>
        <w:t xml:space="preserve">. Estructuración de un proyecto de disposición de residuos sólidos para una ciudad de más de 2 millones de habitantes: </w:t>
      </w:r>
      <w:r w:rsidRPr="004A2B13" w:rsidR="00FD5F02">
        <w:rPr>
          <w:rFonts w:ascii="Arial" w:hAnsi="Arial" w:cs="Arial"/>
          <w:b/>
          <w:bCs/>
          <w:sz w:val="22"/>
          <w:szCs w:val="22"/>
        </w:rPr>
        <w:t>US$1 millón</w:t>
      </w:r>
      <w:r w:rsidRPr="004A2B13" w:rsidR="00FD5F02">
        <w:rPr>
          <w:rFonts w:ascii="Arial" w:hAnsi="Arial" w:cs="Arial"/>
          <w:sz w:val="22"/>
          <w:szCs w:val="22"/>
        </w:rPr>
        <w:t>.</w:t>
      </w:r>
    </w:p>
    <w:p w:rsidRPr="004A2B13" w:rsidR="0032555B" w:rsidP="004A2B13" w:rsidRDefault="0032555B" w14:paraId="1C118243" w14:textId="01BD533B">
      <w:pPr>
        <w:spacing w:before="120" w:after="120"/>
        <w:jc w:val="both"/>
        <w:rPr>
          <w:rFonts w:ascii="Arial" w:hAnsi="Arial" w:cs="Arial"/>
          <w:sz w:val="22"/>
          <w:szCs w:val="22"/>
        </w:rPr>
      </w:pPr>
      <w:r w:rsidRPr="004A2B13">
        <w:rPr>
          <w:rFonts w:ascii="Arial" w:hAnsi="Arial" w:cs="Arial"/>
          <w:b/>
          <w:bCs/>
          <w:color w:val="4472C4" w:themeColor="accent1"/>
          <w:sz w:val="22"/>
          <w:szCs w:val="22"/>
        </w:rPr>
        <w:t>AS</w:t>
      </w:r>
      <w:r w:rsidRPr="004A2B13">
        <w:rPr>
          <w:rFonts w:ascii="Arial" w:hAnsi="Arial" w:cs="Arial"/>
          <w:sz w:val="22"/>
          <w:szCs w:val="22"/>
        </w:rPr>
        <w:t xml:space="preserve">. Estructuración de un proyecto de planta de tratamiento de aguas residuales en Bucaramanga y Área Metropolitana: </w:t>
      </w:r>
      <w:r w:rsidRPr="004A2B13" w:rsidR="00C40206">
        <w:rPr>
          <w:rFonts w:ascii="Arial" w:hAnsi="Arial" w:cs="Arial"/>
          <w:b/>
          <w:bCs/>
          <w:sz w:val="22"/>
          <w:szCs w:val="22"/>
        </w:rPr>
        <w:t>US$1 millón</w:t>
      </w:r>
      <w:r w:rsidRPr="004A2B13" w:rsidR="00C40206">
        <w:rPr>
          <w:rFonts w:ascii="Arial" w:hAnsi="Arial" w:cs="Arial"/>
          <w:sz w:val="22"/>
          <w:szCs w:val="22"/>
        </w:rPr>
        <w:t xml:space="preserve">. </w:t>
      </w:r>
    </w:p>
    <w:p w:rsidRPr="004A2B13" w:rsidR="00FD5F02" w:rsidP="004A2B13" w:rsidRDefault="00FD5F02" w14:paraId="77C47094" w14:textId="017FB967">
      <w:pPr>
        <w:spacing w:before="120" w:after="120"/>
        <w:jc w:val="both"/>
        <w:rPr>
          <w:rFonts w:ascii="Arial" w:hAnsi="Arial" w:cs="Arial"/>
          <w:sz w:val="22"/>
          <w:szCs w:val="22"/>
        </w:rPr>
      </w:pPr>
      <w:r w:rsidRPr="004A2B13">
        <w:rPr>
          <w:rFonts w:ascii="Arial" w:hAnsi="Arial" w:cs="Arial"/>
          <w:b/>
          <w:bCs/>
          <w:color w:val="4472C4" w:themeColor="accent1"/>
          <w:sz w:val="22"/>
          <w:szCs w:val="22"/>
        </w:rPr>
        <w:t>SA</w:t>
      </w:r>
      <w:r w:rsidRPr="004A2B13">
        <w:rPr>
          <w:rFonts w:ascii="Arial" w:hAnsi="Arial" w:cs="Arial"/>
          <w:sz w:val="22"/>
          <w:szCs w:val="22"/>
        </w:rPr>
        <w:t xml:space="preserve">. Agrupación de 2 intervenciones: Estructuración de centros de atención primarios en redes de prestación de servicios de salud bajo esquemas APP (primer proyecto) + estructuración de un proyecto de infraestructura hospitalaria en una entidad territorial, que incluya tanto infraestructura tradicional como modelos de atención pública basados en telesalud (segundo proyecto): </w:t>
      </w:r>
      <w:r w:rsidRPr="004A2B13">
        <w:rPr>
          <w:rFonts w:ascii="Arial" w:hAnsi="Arial" w:cs="Arial"/>
          <w:b/>
          <w:bCs/>
          <w:sz w:val="22"/>
          <w:szCs w:val="22"/>
        </w:rPr>
        <w:t>US$ 2 millones</w:t>
      </w:r>
      <w:r w:rsidRPr="004A2B13" w:rsidR="00651E4A">
        <w:rPr>
          <w:rFonts w:ascii="Arial" w:hAnsi="Arial" w:cs="Arial"/>
          <w:sz w:val="22"/>
          <w:szCs w:val="22"/>
        </w:rPr>
        <w:t>.</w:t>
      </w:r>
    </w:p>
    <w:p w:rsidRPr="004A2B13" w:rsidR="000C6221" w:rsidP="004A2B13" w:rsidRDefault="000C6F0D" w14:paraId="2FE56334" w14:textId="4B87894E">
      <w:pPr>
        <w:spacing w:before="120" w:after="120"/>
        <w:jc w:val="both"/>
        <w:rPr>
          <w:rFonts w:ascii="Arial" w:hAnsi="Arial" w:cs="Arial"/>
          <w:b/>
          <w:bCs/>
          <w:sz w:val="22"/>
          <w:szCs w:val="22"/>
        </w:rPr>
      </w:pPr>
      <w:r w:rsidRPr="004A2B13">
        <w:rPr>
          <w:rFonts w:ascii="Arial" w:hAnsi="Arial" w:cs="Arial"/>
          <w:b/>
          <w:bCs/>
          <w:sz w:val="22"/>
          <w:szCs w:val="22"/>
        </w:rPr>
        <w:t>Componente II</w:t>
      </w:r>
    </w:p>
    <w:p w:rsidRPr="00E51D5C" w:rsidR="00123116" w:rsidP="004A2B13" w:rsidRDefault="000C6F0D" w14:paraId="582E5B90" w14:textId="5F8BE50B">
      <w:pPr>
        <w:spacing w:before="120" w:after="120"/>
        <w:jc w:val="both"/>
        <w:rPr>
          <w:rFonts w:ascii="Arial" w:hAnsi="Arial" w:cs="Arial"/>
          <w:sz w:val="22"/>
          <w:szCs w:val="22"/>
        </w:rPr>
      </w:pPr>
      <w:r w:rsidRPr="004A2B13">
        <w:rPr>
          <w:rFonts w:ascii="Arial" w:hAnsi="Arial" w:cs="Arial"/>
          <w:b/>
          <w:bCs/>
          <w:color w:val="4472C4" w:themeColor="accent1"/>
          <w:sz w:val="22"/>
          <w:szCs w:val="22"/>
        </w:rPr>
        <w:t>TR</w:t>
      </w:r>
      <w:r w:rsidRPr="004A2B13">
        <w:rPr>
          <w:rFonts w:ascii="Arial" w:hAnsi="Arial" w:cs="Arial"/>
          <w:sz w:val="22"/>
          <w:szCs w:val="22"/>
        </w:rPr>
        <w:t xml:space="preserve">. Agrupación de 3 intervenciones: Desarrollo de guías de gestión contractual de APP + Guía sobre alcance técnico de estructuraciones + </w:t>
      </w:r>
      <w:r w:rsidRPr="00E51D5C">
        <w:rPr>
          <w:rFonts w:ascii="Arial" w:hAnsi="Arial" w:cs="Arial"/>
          <w:sz w:val="22"/>
          <w:szCs w:val="22"/>
        </w:rPr>
        <w:t xml:space="preserve">análisis experiencias internacionales de participación privada y adaptación a Colombia: </w:t>
      </w:r>
      <w:r w:rsidRPr="00E51D5C">
        <w:rPr>
          <w:rFonts w:ascii="Arial" w:hAnsi="Arial" w:cs="Arial"/>
          <w:b/>
          <w:bCs/>
          <w:sz w:val="22"/>
          <w:szCs w:val="22"/>
        </w:rPr>
        <w:t>US$</w:t>
      </w:r>
      <w:r w:rsidRPr="00E51D5C" w:rsidR="00B93121">
        <w:rPr>
          <w:rFonts w:ascii="Arial" w:hAnsi="Arial" w:cs="Arial"/>
          <w:b/>
          <w:bCs/>
          <w:sz w:val="22"/>
          <w:szCs w:val="22"/>
        </w:rPr>
        <w:t>500 mil</w:t>
      </w:r>
      <w:r w:rsidRPr="00E51D5C" w:rsidR="00B93121">
        <w:rPr>
          <w:rFonts w:ascii="Arial" w:hAnsi="Arial" w:cs="Arial"/>
          <w:sz w:val="22"/>
          <w:szCs w:val="22"/>
        </w:rPr>
        <w:t xml:space="preserve">. </w:t>
      </w:r>
    </w:p>
    <w:p w:rsidRPr="00E51D5C" w:rsidR="00F9480A" w:rsidP="004A2B13" w:rsidRDefault="00F9480A" w14:paraId="69623E25" w14:textId="248E68F8">
      <w:pPr>
        <w:spacing w:before="120" w:after="120"/>
        <w:jc w:val="both"/>
        <w:rPr>
          <w:rFonts w:ascii="Arial" w:hAnsi="Arial" w:cs="Arial"/>
          <w:sz w:val="22"/>
          <w:szCs w:val="22"/>
        </w:rPr>
      </w:pPr>
      <w:r w:rsidRPr="00E51D5C">
        <w:rPr>
          <w:rFonts w:ascii="Arial" w:hAnsi="Arial" w:cs="Arial"/>
          <w:sz w:val="22"/>
          <w:szCs w:val="22"/>
        </w:rPr>
        <w:t xml:space="preserve">Los proyectos del Programa que se comparan por costos unitarios </w:t>
      </w:r>
      <w:r w:rsidRPr="00E51D5C" w:rsidR="007F26C0">
        <w:rPr>
          <w:rFonts w:ascii="Arial" w:hAnsi="Arial" w:cs="Arial"/>
          <w:sz w:val="22"/>
          <w:szCs w:val="22"/>
        </w:rPr>
        <w:t xml:space="preserve">(por km o por habitante) </w:t>
      </w:r>
      <w:r w:rsidRPr="00E51D5C">
        <w:rPr>
          <w:rFonts w:ascii="Arial" w:hAnsi="Arial" w:cs="Arial"/>
          <w:sz w:val="22"/>
          <w:szCs w:val="22"/>
        </w:rPr>
        <w:t>son:</w:t>
      </w:r>
    </w:p>
    <w:p w:rsidRPr="004A2B13" w:rsidR="00F9480A" w:rsidP="004A2B13" w:rsidRDefault="00F9480A" w14:paraId="3425B566" w14:textId="6EFD402C">
      <w:pPr>
        <w:spacing w:before="120" w:after="120"/>
        <w:jc w:val="both"/>
        <w:rPr>
          <w:rFonts w:ascii="Arial" w:hAnsi="Arial" w:cs="Arial"/>
          <w:sz w:val="22"/>
          <w:szCs w:val="22"/>
        </w:rPr>
      </w:pPr>
      <w:r w:rsidRPr="004A2B13">
        <w:rPr>
          <w:rFonts w:ascii="Arial" w:hAnsi="Arial" w:cs="Arial"/>
          <w:b/>
          <w:bCs/>
          <w:color w:val="4472C4" w:themeColor="accent1"/>
          <w:sz w:val="22"/>
          <w:szCs w:val="22"/>
        </w:rPr>
        <w:t>TU</w:t>
      </w:r>
      <w:r w:rsidRPr="004A2B13">
        <w:rPr>
          <w:rFonts w:ascii="Arial" w:hAnsi="Arial" w:cs="Arial"/>
          <w:sz w:val="22"/>
          <w:szCs w:val="22"/>
        </w:rPr>
        <w:t>. El proyecto de Regiotram del Norte (trayecto Calle 26 – Zipaquirá) en el Área Metropolitana de Bogotá, que tiene una longitud de 48 km y 15 estaciones. Este proyecto es una prioridad de las administraciones de Bogotá y municipios vecinos. El costo unitario de la consultoría en el Programa es de 450</w:t>
      </w:r>
      <w:r w:rsidR="00E51D5C">
        <w:rPr>
          <w:rFonts w:ascii="Arial" w:hAnsi="Arial" w:cs="Arial"/>
          <w:sz w:val="22"/>
          <w:szCs w:val="22"/>
        </w:rPr>
        <w:t>.</w:t>
      </w:r>
      <w:r w:rsidRPr="004A2B13">
        <w:rPr>
          <w:rFonts w:ascii="Arial" w:hAnsi="Arial" w:cs="Arial"/>
          <w:sz w:val="22"/>
          <w:szCs w:val="22"/>
        </w:rPr>
        <w:t xml:space="preserve">000/48 = </w:t>
      </w:r>
      <w:r w:rsidRPr="004A2B13">
        <w:rPr>
          <w:rFonts w:ascii="Arial" w:hAnsi="Arial" w:cs="Arial"/>
          <w:b/>
          <w:bCs/>
          <w:sz w:val="22"/>
          <w:szCs w:val="22"/>
        </w:rPr>
        <w:t>9,38 US$/km</w:t>
      </w:r>
      <w:r w:rsidRPr="004A2B13">
        <w:rPr>
          <w:rFonts w:ascii="Arial" w:hAnsi="Arial" w:cs="Arial"/>
          <w:sz w:val="22"/>
          <w:szCs w:val="22"/>
        </w:rPr>
        <w:t>.</w:t>
      </w:r>
    </w:p>
    <w:p w:rsidRPr="004A2B13" w:rsidR="00F9480A" w:rsidP="004A2B13" w:rsidRDefault="00F9480A" w14:paraId="71AD3C85" w14:textId="3EF531FF">
      <w:pPr>
        <w:spacing w:before="120" w:after="120"/>
        <w:jc w:val="both"/>
        <w:rPr>
          <w:rFonts w:ascii="Arial" w:hAnsi="Arial" w:cs="Arial"/>
          <w:sz w:val="22"/>
          <w:szCs w:val="22"/>
        </w:rPr>
      </w:pPr>
      <w:r w:rsidRPr="004A2B13">
        <w:rPr>
          <w:rFonts w:ascii="Arial" w:hAnsi="Arial" w:cs="Arial"/>
          <w:b/>
          <w:bCs/>
          <w:color w:val="4472C4" w:themeColor="accent1"/>
          <w:sz w:val="22"/>
          <w:szCs w:val="22"/>
        </w:rPr>
        <w:t>AS</w:t>
      </w:r>
      <w:r w:rsidRPr="004A2B13">
        <w:rPr>
          <w:rFonts w:ascii="Arial" w:hAnsi="Arial" w:cs="Arial"/>
          <w:sz w:val="22"/>
          <w:szCs w:val="22"/>
        </w:rPr>
        <w:t xml:space="preserve">. El proyecto de disposición de residuos sólidos del Área Metropolitana de Cali (que reúne Cali, Candelaria, Jamundí, Palmira y Yumbo), con una población total de </w:t>
      </w:r>
      <w:r w:rsidR="002A063D">
        <w:rPr>
          <w:rFonts w:ascii="Arial" w:hAnsi="Arial" w:cs="Arial"/>
          <w:sz w:val="22"/>
          <w:szCs w:val="22"/>
        </w:rPr>
        <w:br/>
      </w:r>
      <w:r w:rsidRPr="004A2B13">
        <w:rPr>
          <w:rFonts w:ascii="Arial" w:hAnsi="Arial" w:cs="Arial"/>
          <w:sz w:val="22"/>
          <w:szCs w:val="22"/>
        </w:rPr>
        <w:t>2,93 millones de habitantes en 2020. Este proyecto ha sido identificado desde hace más de 10 años</w:t>
      </w:r>
      <w:r w:rsidRPr="004A2B13" w:rsidR="00A13254">
        <w:rPr>
          <w:rFonts w:ascii="Arial" w:hAnsi="Arial" w:cs="Arial"/>
          <w:sz w:val="22"/>
          <w:szCs w:val="22"/>
        </w:rPr>
        <w:t xml:space="preserve"> con el apoyo de </w:t>
      </w:r>
      <w:r w:rsidRPr="004A2B13" w:rsidR="00190AC7">
        <w:rPr>
          <w:rFonts w:ascii="Arial" w:hAnsi="Arial" w:cs="Arial"/>
          <w:sz w:val="22"/>
          <w:szCs w:val="22"/>
        </w:rPr>
        <w:t>Center for Clean Air Policy (CCAP)</w:t>
      </w:r>
      <w:r w:rsidRPr="004A2B13">
        <w:rPr>
          <w:rFonts w:ascii="Arial" w:hAnsi="Arial" w:cs="Arial"/>
          <w:sz w:val="22"/>
          <w:szCs w:val="22"/>
        </w:rPr>
        <w:t>. El costo unitario de la consultoría en el Programa es 1</w:t>
      </w:r>
      <w:r w:rsidR="00E51D5C">
        <w:rPr>
          <w:rFonts w:ascii="Arial" w:hAnsi="Arial" w:cs="Arial"/>
          <w:sz w:val="22"/>
          <w:szCs w:val="22"/>
        </w:rPr>
        <w:t>.</w:t>
      </w:r>
      <w:r w:rsidRPr="004A2B13">
        <w:rPr>
          <w:rFonts w:ascii="Arial" w:hAnsi="Arial" w:cs="Arial"/>
          <w:sz w:val="22"/>
          <w:szCs w:val="22"/>
        </w:rPr>
        <w:t>000</w:t>
      </w:r>
      <w:r w:rsidR="00E51D5C">
        <w:rPr>
          <w:rFonts w:ascii="Arial" w:hAnsi="Arial" w:cs="Arial"/>
          <w:sz w:val="22"/>
          <w:szCs w:val="22"/>
        </w:rPr>
        <w:t>.</w:t>
      </w:r>
      <w:r w:rsidRPr="004A2B13">
        <w:rPr>
          <w:rFonts w:ascii="Arial" w:hAnsi="Arial" w:cs="Arial"/>
          <w:sz w:val="22"/>
          <w:szCs w:val="22"/>
        </w:rPr>
        <w:t>000/2</w:t>
      </w:r>
      <w:r w:rsidR="00E51D5C">
        <w:rPr>
          <w:rFonts w:ascii="Arial" w:hAnsi="Arial" w:cs="Arial"/>
          <w:sz w:val="22"/>
          <w:szCs w:val="22"/>
        </w:rPr>
        <w:t>.</w:t>
      </w:r>
      <w:r w:rsidRPr="004A2B13">
        <w:rPr>
          <w:rFonts w:ascii="Arial" w:hAnsi="Arial" w:cs="Arial"/>
          <w:sz w:val="22"/>
          <w:szCs w:val="22"/>
        </w:rPr>
        <w:t>930</w:t>
      </w:r>
      <w:r w:rsidR="00E51D5C">
        <w:rPr>
          <w:rFonts w:ascii="Arial" w:hAnsi="Arial" w:cs="Arial"/>
          <w:sz w:val="22"/>
          <w:szCs w:val="22"/>
        </w:rPr>
        <w:t>.</w:t>
      </w:r>
      <w:r w:rsidRPr="004A2B13">
        <w:rPr>
          <w:rFonts w:ascii="Arial" w:hAnsi="Arial" w:cs="Arial"/>
          <w:sz w:val="22"/>
          <w:szCs w:val="22"/>
        </w:rPr>
        <w:t xml:space="preserve">000 = </w:t>
      </w:r>
      <w:r w:rsidRPr="004A2B13">
        <w:rPr>
          <w:rFonts w:ascii="Arial" w:hAnsi="Arial" w:cs="Arial"/>
          <w:b/>
          <w:bCs/>
          <w:sz w:val="22"/>
          <w:szCs w:val="22"/>
        </w:rPr>
        <w:t>0,34 US$/hab</w:t>
      </w:r>
      <w:r w:rsidRPr="004A2B13">
        <w:rPr>
          <w:rFonts w:ascii="Arial" w:hAnsi="Arial" w:cs="Arial"/>
          <w:sz w:val="22"/>
          <w:szCs w:val="22"/>
        </w:rPr>
        <w:t>.</w:t>
      </w:r>
      <w:r w:rsidRPr="004A2B13" w:rsidR="00190AC7">
        <w:rPr>
          <w:rFonts w:ascii="Arial" w:hAnsi="Arial" w:cs="Arial"/>
          <w:sz w:val="22"/>
          <w:szCs w:val="22"/>
        </w:rPr>
        <w:t xml:space="preserve"> </w:t>
      </w:r>
    </w:p>
    <w:p w:rsidRPr="004A2B13" w:rsidR="00F9480A" w:rsidP="004A2B13" w:rsidRDefault="00F9480A" w14:paraId="5F699675" w14:textId="3D068A52">
      <w:pPr>
        <w:spacing w:before="120" w:after="120"/>
        <w:jc w:val="both"/>
        <w:rPr>
          <w:rFonts w:ascii="Arial" w:hAnsi="Arial" w:cs="Arial"/>
          <w:b/>
          <w:bCs/>
          <w:sz w:val="22"/>
          <w:szCs w:val="22"/>
        </w:rPr>
      </w:pPr>
      <w:r w:rsidRPr="004A2B13">
        <w:rPr>
          <w:rFonts w:ascii="Arial" w:hAnsi="Arial" w:cs="Arial"/>
          <w:b/>
          <w:bCs/>
          <w:color w:val="4472C4" w:themeColor="accent1"/>
          <w:sz w:val="22"/>
          <w:szCs w:val="22"/>
        </w:rPr>
        <w:t>AS</w:t>
      </w:r>
      <w:r w:rsidRPr="004A2B13">
        <w:rPr>
          <w:rFonts w:ascii="Arial" w:hAnsi="Arial" w:cs="Arial"/>
          <w:sz w:val="22"/>
          <w:szCs w:val="22"/>
        </w:rPr>
        <w:t>. El proyecto de tratamiento de aguas residuales en Bucaramanga y Área Metropolitana. Priorizado con DNP. El Área Metropolitana reúne los municipios de Bucaramanga, Girón, Piedecuesta y Floridablanca. La población total es 1,34 millones de habitantes en El costo unitario de la consultoría en el Programa es 1</w:t>
      </w:r>
      <w:r w:rsidR="00E51D5C">
        <w:rPr>
          <w:rFonts w:ascii="Arial" w:hAnsi="Arial" w:cs="Arial"/>
          <w:sz w:val="22"/>
          <w:szCs w:val="22"/>
        </w:rPr>
        <w:t>.</w:t>
      </w:r>
      <w:r w:rsidRPr="004A2B13">
        <w:rPr>
          <w:rFonts w:ascii="Arial" w:hAnsi="Arial" w:cs="Arial"/>
          <w:sz w:val="22"/>
          <w:szCs w:val="22"/>
        </w:rPr>
        <w:t>000</w:t>
      </w:r>
      <w:r w:rsidR="00E51D5C">
        <w:rPr>
          <w:rFonts w:ascii="Arial" w:hAnsi="Arial" w:cs="Arial"/>
          <w:sz w:val="22"/>
          <w:szCs w:val="22"/>
        </w:rPr>
        <w:t>.</w:t>
      </w:r>
      <w:r w:rsidRPr="004A2B13">
        <w:rPr>
          <w:rFonts w:ascii="Arial" w:hAnsi="Arial" w:cs="Arial"/>
          <w:sz w:val="22"/>
          <w:szCs w:val="22"/>
        </w:rPr>
        <w:t>000/1</w:t>
      </w:r>
      <w:r w:rsidR="00E51D5C">
        <w:rPr>
          <w:rFonts w:ascii="Arial" w:hAnsi="Arial" w:cs="Arial"/>
          <w:sz w:val="22"/>
          <w:szCs w:val="22"/>
        </w:rPr>
        <w:t>.</w:t>
      </w:r>
      <w:r w:rsidRPr="004A2B13">
        <w:rPr>
          <w:rFonts w:ascii="Arial" w:hAnsi="Arial" w:cs="Arial"/>
          <w:sz w:val="22"/>
          <w:szCs w:val="22"/>
        </w:rPr>
        <w:t>340</w:t>
      </w:r>
      <w:r w:rsidR="00E51D5C">
        <w:rPr>
          <w:rFonts w:ascii="Arial" w:hAnsi="Arial" w:cs="Arial"/>
          <w:sz w:val="22"/>
          <w:szCs w:val="22"/>
        </w:rPr>
        <w:t>.</w:t>
      </w:r>
      <w:r w:rsidRPr="004A2B13">
        <w:rPr>
          <w:rFonts w:ascii="Arial" w:hAnsi="Arial" w:cs="Arial"/>
          <w:sz w:val="22"/>
          <w:szCs w:val="22"/>
        </w:rPr>
        <w:t xml:space="preserve">000 habitantes = </w:t>
      </w:r>
      <w:r w:rsidR="00E51D5C">
        <w:rPr>
          <w:rFonts w:ascii="Arial" w:hAnsi="Arial" w:cs="Arial"/>
          <w:sz w:val="22"/>
          <w:szCs w:val="22"/>
        </w:rPr>
        <w:br/>
      </w:r>
      <w:r w:rsidRPr="004A2B13">
        <w:rPr>
          <w:rFonts w:ascii="Arial" w:hAnsi="Arial" w:cs="Arial"/>
          <w:b/>
          <w:bCs/>
          <w:sz w:val="22"/>
          <w:szCs w:val="22"/>
        </w:rPr>
        <w:t>0,74 US$/hab</w:t>
      </w:r>
      <w:r w:rsidRPr="004A2B13">
        <w:rPr>
          <w:rFonts w:ascii="Arial" w:hAnsi="Arial" w:cs="Arial"/>
          <w:sz w:val="22"/>
          <w:szCs w:val="22"/>
        </w:rPr>
        <w:t>.</w:t>
      </w:r>
    </w:p>
    <w:p w:rsidRPr="004A2B13" w:rsidR="00EF2FFA" w:rsidP="004A2B13" w:rsidRDefault="00EF2FFA" w14:paraId="4EAF4053" w14:textId="1182BCDC">
      <w:pPr>
        <w:spacing w:before="120" w:after="120"/>
        <w:jc w:val="both"/>
        <w:rPr>
          <w:rFonts w:ascii="Arial" w:hAnsi="Arial" w:cs="Arial"/>
          <w:sz w:val="22"/>
          <w:szCs w:val="22"/>
        </w:rPr>
      </w:pPr>
      <w:r w:rsidRPr="004A2B13">
        <w:rPr>
          <w:rFonts w:ascii="Arial" w:hAnsi="Arial" w:cs="Arial"/>
          <w:sz w:val="22"/>
          <w:szCs w:val="22"/>
        </w:rPr>
        <w:t>E</w:t>
      </w:r>
      <w:r w:rsidRPr="004A2B13" w:rsidR="00E20117">
        <w:rPr>
          <w:rFonts w:ascii="Arial" w:hAnsi="Arial" w:cs="Arial"/>
          <w:sz w:val="22"/>
          <w:szCs w:val="22"/>
        </w:rPr>
        <w:t>l</w:t>
      </w:r>
      <w:r w:rsidRPr="004A2B13">
        <w:rPr>
          <w:rFonts w:ascii="Arial" w:hAnsi="Arial" w:cs="Arial"/>
          <w:sz w:val="22"/>
          <w:szCs w:val="22"/>
        </w:rPr>
        <w:t xml:space="preserve"> valor total de los proyectos para comparar suma US$5,8 millones, que es el 61,2% del total presupuestado</w:t>
      </w:r>
      <w:r w:rsidRPr="004A2B13" w:rsidR="00E20117">
        <w:rPr>
          <w:rFonts w:ascii="Arial" w:hAnsi="Arial" w:cs="Arial"/>
          <w:sz w:val="22"/>
          <w:szCs w:val="22"/>
        </w:rPr>
        <w:t xml:space="preserve">. </w:t>
      </w:r>
    </w:p>
    <w:p w:rsidRPr="004A2B13" w:rsidR="00D1380D" w:rsidP="004A2B13" w:rsidRDefault="000D5251" w14:paraId="0CD92ECA" w14:textId="2C72B7C4">
      <w:pPr>
        <w:pStyle w:val="ListParagraph"/>
        <w:numPr>
          <w:ilvl w:val="1"/>
          <w:numId w:val="48"/>
        </w:numPr>
        <w:spacing w:before="120" w:after="120"/>
        <w:contextualSpacing w:val="0"/>
        <w:jc w:val="both"/>
        <w:rPr>
          <w:rFonts w:ascii="Arial" w:hAnsi="Arial" w:cs="Arial"/>
          <w:b/>
          <w:bCs/>
          <w:sz w:val="22"/>
          <w:szCs w:val="22"/>
        </w:rPr>
      </w:pPr>
      <w:r w:rsidRPr="004A2B13">
        <w:rPr>
          <w:rFonts w:ascii="Arial" w:hAnsi="Arial" w:cs="Arial"/>
          <w:b/>
          <w:bCs/>
          <w:sz w:val="22"/>
          <w:szCs w:val="22"/>
        </w:rPr>
        <w:t>Costo de c</w:t>
      </w:r>
      <w:r w:rsidRPr="004A2B13" w:rsidR="00751719">
        <w:rPr>
          <w:rFonts w:ascii="Arial" w:hAnsi="Arial" w:cs="Arial"/>
          <w:b/>
          <w:bCs/>
          <w:sz w:val="22"/>
          <w:szCs w:val="22"/>
        </w:rPr>
        <w:t xml:space="preserve">omparadores </w:t>
      </w:r>
      <w:r w:rsidRPr="004A2B13" w:rsidR="00643031">
        <w:rPr>
          <w:rFonts w:ascii="Arial" w:hAnsi="Arial" w:cs="Arial"/>
          <w:b/>
          <w:bCs/>
          <w:sz w:val="22"/>
          <w:szCs w:val="22"/>
        </w:rPr>
        <w:t>Componente I</w:t>
      </w:r>
    </w:p>
    <w:p w:rsidRPr="004A2B13" w:rsidR="001118DD" w:rsidP="004A2B13" w:rsidRDefault="00630B9C" w14:paraId="3D27C840" w14:textId="0A5A15E4">
      <w:pPr>
        <w:spacing w:before="120" w:after="120"/>
        <w:jc w:val="both"/>
        <w:rPr>
          <w:rFonts w:ascii="Arial" w:hAnsi="Arial" w:cs="Arial"/>
          <w:sz w:val="22"/>
          <w:szCs w:val="22"/>
        </w:rPr>
      </w:pPr>
      <w:r w:rsidRPr="004A2B13">
        <w:rPr>
          <w:rFonts w:ascii="Arial" w:hAnsi="Arial" w:cs="Arial"/>
          <w:b/>
          <w:bCs/>
          <w:sz w:val="22"/>
          <w:szCs w:val="22"/>
        </w:rPr>
        <w:t>1</w:t>
      </w:r>
      <w:r w:rsidRPr="004A2B13" w:rsidR="00A3182E">
        <w:rPr>
          <w:rFonts w:ascii="Arial" w:hAnsi="Arial" w:cs="Arial"/>
          <w:b/>
          <w:bCs/>
          <w:sz w:val="22"/>
          <w:szCs w:val="22"/>
        </w:rPr>
        <w:t>.</w:t>
      </w:r>
      <w:r w:rsidRPr="004A2B13">
        <w:rPr>
          <w:rFonts w:ascii="Arial" w:hAnsi="Arial" w:cs="Arial"/>
          <w:b/>
          <w:bCs/>
          <w:sz w:val="22"/>
          <w:szCs w:val="22"/>
        </w:rPr>
        <w:t xml:space="preserve"> </w:t>
      </w:r>
      <w:r w:rsidRPr="004A2B13" w:rsidR="00484365">
        <w:rPr>
          <w:rFonts w:ascii="Arial" w:hAnsi="Arial" w:cs="Arial"/>
          <w:b/>
          <w:bCs/>
          <w:color w:val="4472C4" w:themeColor="accent1"/>
          <w:sz w:val="22"/>
          <w:szCs w:val="22"/>
        </w:rPr>
        <w:t>TL</w:t>
      </w:r>
      <w:r w:rsidRPr="004A2B13" w:rsidR="00484365">
        <w:rPr>
          <w:rFonts w:ascii="Arial" w:hAnsi="Arial" w:cs="Arial"/>
          <w:b/>
          <w:bCs/>
          <w:sz w:val="22"/>
          <w:szCs w:val="22"/>
        </w:rPr>
        <w:t xml:space="preserve">. </w:t>
      </w:r>
      <w:r w:rsidRPr="004A2B13" w:rsidR="00C9771A">
        <w:rPr>
          <w:rFonts w:ascii="Arial" w:hAnsi="Arial" w:cs="Arial"/>
          <w:sz w:val="22"/>
          <w:szCs w:val="22"/>
        </w:rPr>
        <w:t xml:space="preserve">Estudio sector </w:t>
      </w:r>
      <w:r w:rsidRPr="004A2B13" w:rsidR="00A9025F">
        <w:rPr>
          <w:rFonts w:ascii="Arial" w:hAnsi="Arial" w:cs="Arial"/>
          <w:sz w:val="22"/>
          <w:szCs w:val="22"/>
        </w:rPr>
        <w:t>férreo</w:t>
      </w:r>
      <w:r w:rsidRPr="004A2B13" w:rsidR="000834F8">
        <w:rPr>
          <w:rFonts w:ascii="Arial" w:hAnsi="Arial" w:cs="Arial"/>
          <w:sz w:val="22"/>
          <w:szCs w:val="22"/>
        </w:rPr>
        <w:t xml:space="preserve"> (demanda, mercado, </w:t>
      </w:r>
      <w:r w:rsidRPr="004A2B13" w:rsidR="000469FD">
        <w:rPr>
          <w:rFonts w:ascii="Arial" w:hAnsi="Arial" w:cs="Arial"/>
          <w:sz w:val="22"/>
          <w:szCs w:val="22"/>
        </w:rPr>
        <w:t>priorización y socialización)</w:t>
      </w:r>
      <w:r w:rsidRPr="004A2B13" w:rsidR="00A9025F">
        <w:rPr>
          <w:rFonts w:ascii="Arial" w:hAnsi="Arial" w:cs="Arial"/>
          <w:sz w:val="22"/>
          <w:szCs w:val="22"/>
        </w:rPr>
        <w:t>.</w:t>
      </w:r>
      <w:r w:rsidRPr="004A2B13" w:rsidR="001118DD">
        <w:rPr>
          <w:rFonts w:ascii="Arial" w:hAnsi="Arial" w:cs="Arial"/>
          <w:sz w:val="22"/>
          <w:szCs w:val="22"/>
        </w:rPr>
        <w:t xml:space="preserve"> </w:t>
      </w:r>
      <w:r w:rsidRPr="004A2B13" w:rsidR="009B6435">
        <w:rPr>
          <w:rFonts w:ascii="Arial" w:hAnsi="Arial" w:cs="Arial"/>
          <w:sz w:val="22"/>
          <w:szCs w:val="22"/>
        </w:rPr>
        <w:t xml:space="preserve">Comparador: </w:t>
      </w:r>
      <w:r w:rsidRPr="004A2B13" w:rsidR="00227C82">
        <w:rPr>
          <w:rFonts w:ascii="Arial" w:hAnsi="Arial" w:cs="Arial"/>
          <w:sz w:val="22"/>
          <w:szCs w:val="22"/>
        </w:rPr>
        <w:t xml:space="preserve">Plan Maestro de Transporte Intermodal (PMTI) fase 1. </w:t>
      </w:r>
      <w:r w:rsidRPr="004A2B13" w:rsidR="009C4457">
        <w:rPr>
          <w:rFonts w:ascii="Arial" w:hAnsi="Arial" w:cs="Arial"/>
          <w:sz w:val="22"/>
          <w:szCs w:val="22"/>
        </w:rPr>
        <w:t xml:space="preserve">Realizó proyección de demanda detallada en un </w:t>
      </w:r>
      <w:r w:rsidRPr="004A2B13" w:rsidR="00496621">
        <w:rPr>
          <w:rFonts w:ascii="Arial" w:hAnsi="Arial" w:cs="Arial"/>
          <w:sz w:val="22"/>
          <w:szCs w:val="22"/>
        </w:rPr>
        <w:t xml:space="preserve">solo </w:t>
      </w:r>
      <w:r w:rsidRPr="004A2B13" w:rsidR="009C4457">
        <w:rPr>
          <w:rFonts w:ascii="Arial" w:hAnsi="Arial" w:cs="Arial"/>
          <w:sz w:val="22"/>
          <w:szCs w:val="22"/>
        </w:rPr>
        <w:t>modo (vial)</w:t>
      </w:r>
      <w:r w:rsidRPr="004A2B13" w:rsidR="000834F8">
        <w:rPr>
          <w:rFonts w:ascii="Arial" w:hAnsi="Arial" w:cs="Arial"/>
          <w:sz w:val="22"/>
          <w:szCs w:val="22"/>
        </w:rPr>
        <w:t xml:space="preserve">, </w:t>
      </w:r>
      <w:r w:rsidRPr="004A2B13" w:rsidR="007044CB">
        <w:rPr>
          <w:rFonts w:ascii="Arial" w:hAnsi="Arial" w:cs="Arial"/>
          <w:sz w:val="22"/>
          <w:szCs w:val="22"/>
        </w:rPr>
        <w:t xml:space="preserve">priorizó </w:t>
      </w:r>
      <w:r w:rsidRPr="004A2B13" w:rsidR="00496621">
        <w:rPr>
          <w:rFonts w:ascii="Arial" w:hAnsi="Arial" w:cs="Arial"/>
          <w:sz w:val="22"/>
          <w:szCs w:val="22"/>
        </w:rPr>
        <w:t xml:space="preserve">la cartera de proyectos </w:t>
      </w:r>
      <w:r w:rsidRPr="004A2B13" w:rsidR="007044CB">
        <w:rPr>
          <w:rFonts w:ascii="Arial" w:hAnsi="Arial" w:cs="Arial"/>
          <w:sz w:val="22"/>
          <w:szCs w:val="22"/>
        </w:rPr>
        <w:t xml:space="preserve">y llevó a cabo socialización. </w:t>
      </w:r>
      <w:r w:rsidRPr="004A2B13" w:rsidR="009F7CFC">
        <w:rPr>
          <w:rFonts w:ascii="Arial" w:hAnsi="Arial" w:cs="Arial"/>
          <w:sz w:val="22"/>
          <w:szCs w:val="22"/>
        </w:rPr>
        <w:lastRenderedPageBreak/>
        <w:t xml:space="preserve">El costo </w:t>
      </w:r>
      <w:r w:rsidRPr="004A2B13" w:rsidR="00313942">
        <w:rPr>
          <w:rFonts w:ascii="Arial" w:hAnsi="Arial" w:cs="Arial"/>
          <w:sz w:val="22"/>
          <w:szCs w:val="22"/>
        </w:rPr>
        <w:t xml:space="preserve">de las consultorías </w:t>
      </w:r>
      <w:r w:rsidRPr="004A2B13" w:rsidR="009F7CFC">
        <w:rPr>
          <w:rFonts w:ascii="Arial" w:hAnsi="Arial" w:cs="Arial"/>
          <w:sz w:val="22"/>
          <w:szCs w:val="22"/>
        </w:rPr>
        <w:t>fue de COP$</w:t>
      </w:r>
      <w:r w:rsidRPr="004A2B13" w:rsidR="00E2590E">
        <w:rPr>
          <w:rFonts w:ascii="Arial" w:hAnsi="Arial" w:cs="Arial"/>
          <w:sz w:val="22"/>
          <w:szCs w:val="22"/>
        </w:rPr>
        <w:t xml:space="preserve">1,383 millones de </w:t>
      </w:r>
      <w:r w:rsidRPr="004A2B13" w:rsidR="00B57F09">
        <w:rPr>
          <w:rFonts w:ascii="Arial" w:hAnsi="Arial" w:cs="Arial"/>
          <w:sz w:val="22"/>
          <w:szCs w:val="22"/>
        </w:rPr>
        <w:t>2015</w:t>
      </w:r>
      <w:r w:rsidRPr="004A2B13" w:rsidR="005F222F">
        <w:rPr>
          <w:rFonts w:ascii="Arial" w:hAnsi="Arial" w:cs="Arial"/>
          <w:sz w:val="22"/>
          <w:szCs w:val="22"/>
        </w:rPr>
        <w:t xml:space="preserve"> (</w:t>
      </w:r>
      <w:r w:rsidRPr="004A2B13" w:rsidR="00A06062">
        <w:rPr>
          <w:rFonts w:ascii="Arial" w:hAnsi="Arial" w:cs="Arial"/>
          <w:sz w:val="22"/>
          <w:szCs w:val="22"/>
        </w:rPr>
        <w:t xml:space="preserve">costo de los servicios de </w:t>
      </w:r>
      <w:r w:rsidRPr="004A2B13" w:rsidR="005F222F">
        <w:rPr>
          <w:rFonts w:ascii="Arial" w:hAnsi="Arial" w:cs="Arial"/>
          <w:sz w:val="22"/>
          <w:szCs w:val="22"/>
        </w:rPr>
        <w:t>Fedesarrollo + Steer Davies Gleave</w:t>
      </w:r>
      <w:r w:rsidRPr="004A2B13" w:rsidR="00496621">
        <w:rPr>
          <w:rFonts w:ascii="Arial" w:hAnsi="Arial" w:cs="Arial"/>
          <w:sz w:val="22"/>
          <w:szCs w:val="22"/>
        </w:rPr>
        <w:t>; incluye IVA</w:t>
      </w:r>
      <w:r w:rsidRPr="004A2B13" w:rsidR="005F222F">
        <w:rPr>
          <w:rFonts w:ascii="Arial" w:hAnsi="Arial" w:cs="Arial"/>
          <w:sz w:val="22"/>
          <w:szCs w:val="22"/>
        </w:rPr>
        <w:t>)</w:t>
      </w:r>
      <w:r w:rsidRPr="004A2B13" w:rsidR="00313942">
        <w:rPr>
          <w:rFonts w:ascii="Arial" w:hAnsi="Arial" w:cs="Arial"/>
          <w:sz w:val="22"/>
          <w:szCs w:val="22"/>
        </w:rPr>
        <w:t xml:space="preserve">. </w:t>
      </w:r>
      <w:r w:rsidRPr="004A2B13" w:rsidR="00326E27">
        <w:rPr>
          <w:rFonts w:ascii="Arial" w:hAnsi="Arial" w:cs="Arial"/>
          <w:sz w:val="22"/>
          <w:szCs w:val="22"/>
        </w:rPr>
        <w:t>Para asegurar la comparabilidad</w:t>
      </w:r>
      <w:r w:rsidRPr="004A2B13" w:rsidR="00521CF5">
        <w:rPr>
          <w:rFonts w:ascii="Arial" w:hAnsi="Arial" w:cs="Arial"/>
          <w:sz w:val="22"/>
          <w:szCs w:val="22"/>
        </w:rPr>
        <w:t xml:space="preserve"> con el proyecto</w:t>
      </w:r>
      <w:r w:rsidRPr="004A2B13" w:rsidR="00326E27">
        <w:rPr>
          <w:rFonts w:ascii="Arial" w:hAnsi="Arial" w:cs="Arial"/>
          <w:sz w:val="22"/>
          <w:szCs w:val="22"/>
        </w:rPr>
        <w:t xml:space="preserve">, </w:t>
      </w:r>
      <w:r w:rsidRPr="004A2B13" w:rsidR="00313942">
        <w:rPr>
          <w:rFonts w:ascii="Arial" w:hAnsi="Arial" w:cs="Arial"/>
          <w:sz w:val="22"/>
          <w:szCs w:val="22"/>
        </w:rPr>
        <w:t xml:space="preserve">se deben sumar los costos de </w:t>
      </w:r>
      <w:r w:rsidRPr="004A2B13" w:rsidR="00C769E7">
        <w:rPr>
          <w:rFonts w:ascii="Arial" w:hAnsi="Arial" w:cs="Arial"/>
          <w:sz w:val="22"/>
          <w:szCs w:val="22"/>
        </w:rPr>
        <w:t>levan</w:t>
      </w:r>
      <w:r w:rsidRPr="004A2B13" w:rsidR="005936A2">
        <w:rPr>
          <w:rFonts w:ascii="Arial" w:hAnsi="Arial" w:cs="Arial"/>
          <w:sz w:val="22"/>
          <w:szCs w:val="22"/>
        </w:rPr>
        <w:t xml:space="preserve">tamiento de información primaria (COP$600 millones de 2015), para un total de </w:t>
      </w:r>
      <w:r w:rsidRPr="004A2B13" w:rsidR="00802726">
        <w:rPr>
          <w:rFonts w:ascii="Arial" w:hAnsi="Arial" w:cs="Arial"/>
          <w:sz w:val="22"/>
          <w:szCs w:val="22"/>
        </w:rPr>
        <w:t>COP$1,</w:t>
      </w:r>
      <w:r w:rsidRPr="004A2B13" w:rsidR="00EA53AE">
        <w:rPr>
          <w:rFonts w:ascii="Arial" w:hAnsi="Arial" w:cs="Arial"/>
          <w:sz w:val="22"/>
          <w:szCs w:val="22"/>
        </w:rPr>
        <w:t>984</w:t>
      </w:r>
      <w:r w:rsidRPr="004A2B13" w:rsidR="00802726">
        <w:rPr>
          <w:rFonts w:ascii="Arial" w:hAnsi="Arial" w:cs="Arial"/>
          <w:sz w:val="22"/>
          <w:szCs w:val="22"/>
        </w:rPr>
        <w:t xml:space="preserve"> millones de 2015. Esto equivale a</w:t>
      </w:r>
      <w:r w:rsidRPr="004A2B13" w:rsidR="00F05B12">
        <w:rPr>
          <w:rFonts w:ascii="Arial" w:hAnsi="Arial" w:cs="Arial"/>
          <w:sz w:val="22"/>
          <w:szCs w:val="22"/>
        </w:rPr>
        <w:t xml:space="preserve"> </w:t>
      </w:r>
      <w:r w:rsidRPr="004A2B13" w:rsidR="007B5177">
        <w:rPr>
          <w:rFonts w:ascii="Arial" w:hAnsi="Arial" w:cs="Arial"/>
          <w:sz w:val="22"/>
          <w:szCs w:val="22"/>
        </w:rPr>
        <w:t xml:space="preserve">un </w:t>
      </w:r>
      <w:r w:rsidRPr="004A2B13" w:rsidR="007B5177">
        <w:rPr>
          <w:rFonts w:ascii="Arial" w:hAnsi="Arial" w:cs="Arial"/>
          <w:b/>
          <w:bCs/>
          <w:sz w:val="22"/>
          <w:szCs w:val="22"/>
        </w:rPr>
        <w:t xml:space="preserve">costo total de </w:t>
      </w:r>
      <w:r w:rsidRPr="004A2B13" w:rsidR="00F05B12">
        <w:rPr>
          <w:rFonts w:ascii="Arial" w:hAnsi="Arial" w:cs="Arial"/>
          <w:b/>
          <w:bCs/>
          <w:sz w:val="22"/>
          <w:szCs w:val="22"/>
        </w:rPr>
        <w:t>US</w:t>
      </w:r>
      <w:r w:rsidRPr="004A2B13" w:rsidR="00AE11FB">
        <w:rPr>
          <w:rFonts w:ascii="Arial" w:hAnsi="Arial" w:cs="Arial"/>
          <w:b/>
          <w:bCs/>
          <w:sz w:val="22"/>
          <w:szCs w:val="22"/>
        </w:rPr>
        <w:t>$</w:t>
      </w:r>
      <w:r w:rsidRPr="004A2B13" w:rsidR="008F77E7">
        <w:rPr>
          <w:rFonts w:ascii="Arial" w:hAnsi="Arial" w:cs="Arial"/>
          <w:b/>
          <w:bCs/>
          <w:sz w:val="22"/>
          <w:szCs w:val="22"/>
        </w:rPr>
        <w:t>680 mil</w:t>
      </w:r>
      <w:r w:rsidRPr="004A2B13" w:rsidR="008F77E7">
        <w:rPr>
          <w:rFonts w:ascii="Arial" w:hAnsi="Arial" w:cs="Arial"/>
          <w:sz w:val="22"/>
          <w:szCs w:val="22"/>
        </w:rPr>
        <w:t xml:space="preserve"> de 2020</w:t>
      </w:r>
      <w:r w:rsidRPr="004A2B13" w:rsidR="005D4B43">
        <w:rPr>
          <w:rFonts w:ascii="Arial" w:hAnsi="Arial" w:cs="Arial"/>
          <w:sz w:val="22"/>
          <w:szCs w:val="22"/>
        </w:rPr>
        <w:t xml:space="preserve">. </w:t>
      </w:r>
      <w:bookmarkStart w:name="_Hlk53245442" w:id="3"/>
      <w:r w:rsidRPr="004A2B13" w:rsidR="005D4B43">
        <w:rPr>
          <w:rFonts w:ascii="Arial" w:hAnsi="Arial" w:cs="Arial"/>
          <w:sz w:val="22"/>
          <w:szCs w:val="22"/>
        </w:rPr>
        <w:t xml:space="preserve">Para llegar a este monto se </w:t>
      </w:r>
      <w:r w:rsidRPr="004A2B13" w:rsidR="008F77E7">
        <w:rPr>
          <w:rFonts w:ascii="Arial" w:hAnsi="Arial" w:cs="Arial"/>
          <w:sz w:val="22"/>
          <w:szCs w:val="22"/>
        </w:rPr>
        <w:t>convi</w:t>
      </w:r>
      <w:r w:rsidRPr="004A2B13" w:rsidR="005D4B43">
        <w:rPr>
          <w:rFonts w:ascii="Arial" w:hAnsi="Arial" w:cs="Arial"/>
          <w:sz w:val="22"/>
          <w:szCs w:val="22"/>
        </w:rPr>
        <w:t>erte</w:t>
      </w:r>
      <w:r w:rsidRPr="004A2B13" w:rsidR="008F77E7">
        <w:rPr>
          <w:rFonts w:ascii="Arial" w:hAnsi="Arial" w:cs="Arial"/>
          <w:sz w:val="22"/>
          <w:szCs w:val="22"/>
        </w:rPr>
        <w:t xml:space="preserve"> l</w:t>
      </w:r>
      <w:r w:rsidRPr="004A2B13" w:rsidR="00240E07">
        <w:rPr>
          <w:rFonts w:ascii="Arial" w:hAnsi="Arial" w:cs="Arial"/>
          <w:sz w:val="22"/>
          <w:szCs w:val="22"/>
        </w:rPr>
        <w:t xml:space="preserve">a inversión a US$ de 2015 con la tasa de </w:t>
      </w:r>
      <w:r w:rsidRPr="004A2B13" w:rsidR="002B5174">
        <w:rPr>
          <w:rFonts w:ascii="Arial" w:hAnsi="Arial" w:cs="Arial"/>
          <w:sz w:val="22"/>
          <w:szCs w:val="22"/>
        </w:rPr>
        <w:t>cam</w:t>
      </w:r>
      <w:r w:rsidRPr="004A2B13" w:rsidR="009764AF">
        <w:rPr>
          <w:rFonts w:ascii="Arial" w:hAnsi="Arial" w:cs="Arial"/>
          <w:sz w:val="22"/>
          <w:szCs w:val="22"/>
        </w:rPr>
        <w:t>bi</w:t>
      </w:r>
      <w:r w:rsidRPr="004A2B13" w:rsidR="002B5174">
        <w:rPr>
          <w:rFonts w:ascii="Arial" w:hAnsi="Arial" w:cs="Arial"/>
          <w:sz w:val="22"/>
          <w:szCs w:val="22"/>
        </w:rPr>
        <w:t xml:space="preserve">o de </w:t>
      </w:r>
      <w:r w:rsidRPr="004A2B13" w:rsidR="00240E07">
        <w:rPr>
          <w:rFonts w:ascii="Arial" w:hAnsi="Arial" w:cs="Arial"/>
          <w:sz w:val="22"/>
          <w:szCs w:val="22"/>
        </w:rPr>
        <w:t xml:space="preserve">diciembre de 2015 </w:t>
      </w:r>
      <w:r w:rsidRPr="004A2B13" w:rsidR="002B5174">
        <w:rPr>
          <w:rFonts w:ascii="Arial" w:hAnsi="Arial" w:cs="Arial"/>
          <w:sz w:val="22"/>
          <w:szCs w:val="22"/>
        </w:rPr>
        <w:t>(</w:t>
      </w:r>
      <w:r w:rsidRPr="004A2B13" w:rsidR="00214328">
        <w:rPr>
          <w:rFonts w:ascii="Arial" w:hAnsi="Arial" w:cs="Arial"/>
          <w:sz w:val="22"/>
          <w:szCs w:val="22"/>
        </w:rPr>
        <w:t>3</w:t>
      </w:r>
      <w:r w:rsidR="00644DC3">
        <w:rPr>
          <w:rFonts w:ascii="Arial" w:hAnsi="Arial" w:cs="Arial"/>
          <w:sz w:val="22"/>
          <w:szCs w:val="22"/>
        </w:rPr>
        <w:t>.</w:t>
      </w:r>
      <w:r w:rsidRPr="004A2B13" w:rsidR="00214328">
        <w:rPr>
          <w:rFonts w:ascii="Arial" w:hAnsi="Arial" w:cs="Arial"/>
          <w:sz w:val="22"/>
          <w:szCs w:val="22"/>
        </w:rPr>
        <w:t>149</w:t>
      </w:r>
      <w:r w:rsidR="00644DC3">
        <w:rPr>
          <w:rFonts w:ascii="Arial" w:hAnsi="Arial" w:cs="Arial"/>
          <w:sz w:val="22"/>
          <w:szCs w:val="22"/>
        </w:rPr>
        <w:t>.</w:t>
      </w:r>
      <w:r w:rsidRPr="004A2B13" w:rsidR="00214328">
        <w:rPr>
          <w:rFonts w:ascii="Arial" w:hAnsi="Arial" w:cs="Arial"/>
          <w:sz w:val="22"/>
          <w:szCs w:val="22"/>
        </w:rPr>
        <w:t>47 COP$/US$</w:t>
      </w:r>
      <w:r w:rsidRPr="004A2B13" w:rsidR="002B5174">
        <w:rPr>
          <w:rFonts w:ascii="Arial" w:hAnsi="Arial" w:cs="Arial"/>
          <w:sz w:val="22"/>
          <w:szCs w:val="22"/>
        </w:rPr>
        <w:t>) y luego se</w:t>
      </w:r>
      <w:r w:rsidRPr="004A2B13" w:rsidR="00214328">
        <w:rPr>
          <w:rFonts w:ascii="Arial" w:hAnsi="Arial" w:cs="Arial"/>
          <w:sz w:val="22"/>
          <w:szCs w:val="22"/>
        </w:rPr>
        <w:t xml:space="preserve"> </w:t>
      </w:r>
      <w:r w:rsidRPr="004A2B13" w:rsidR="002B5174">
        <w:rPr>
          <w:rFonts w:ascii="Arial" w:hAnsi="Arial" w:cs="Arial"/>
          <w:sz w:val="22"/>
          <w:szCs w:val="22"/>
        </w:rPr>
        <w:t>aplica</w:t>
      </w:r>
      <w:r w:rsidRPr="004A2B13" w:rsidR="00E86E83">
        <w:rPr>
          <w:rFonts w:ascii="Arial" w:hAnsi="Arial" w:cs="Arial"/>
          <w:sz w:val="22"/>
          <w:szCs w:val="22"/>
        </w:rPr>
        <w:t xml:space="preserve"> el deflactor del PIB en dólares entre 2015 y 2020 (1,08)</w:t>
      </w:r>
      <w:r w:rsidRPr="004A2B13" w:rsidR="00D20ACF">
        <w:rPr>
          <w:rFonts w:ascii="Arial" w:hAnsi="Arial" w:cs="Arial"/>
          <w:sz w:val="22"/>
          <w:szCs w:val="22"/>
        </w:rPr>
        <w:t xml:space="preserve">. </w:t>
      </w:r>
      <w:bookmarkEnd w:id="3"/>
    </w:p>
    <w:p w:rsidR="00E41B99" w:rsidP="00555442" w:rsidRDefault="00630B9C" w14:paraId="22E7BA6E" w14:textId="4D1D32CB">
      <w:pPr>
        <w:spacing w:before="120" w:after="120"/>
        <w:jc w:val="both"/>
        <w:rPr>
          <w:rFonts w:ascii="Arial" w:hAnsi="Arial" w:cs="Arial"/>
          <w:sz w:val="22"/>
          <w:szCs w:val="22"/>
        </w:rPr>
      </w:pPr>
      <w:r w:rsidRPr="004A2B13">
        <w:rPr>
          <w:rFonts w:ascii="Arial" w:hAnsi="Arial" w:cs="Arial"/>
          <w:b/>
          <w:bCs/>
          <w:sz w:val="22"/>
          <w:szCs w:val="22"/>
        </w:rPr>
        <w:t>2</w:t>
      </w:r>
      <w:r w:rsidRPr="004A2B13" w:rsidR="00A3182E">
        <w:rPr>
          <w:rFonts w:ascii="Arial" w:hAnsi="Arial" w:cs="Arial"/>
          <w:b/>
          <w:bCs/>
          <w:sz w:val="22"/>
          <w:szCs w:val="22"/>
        </w:rPr>
        <w:t>.</w:t>
      </w:r>
      <w:r w:rsidRPr="004A2B13">
        <w:rPr>
          <w:rFonts w:ascii="Arial" w:hAnsi="Arial" w:cs="Arial"/>
          <w:b/>
          <w:bCs/>
          <w:sz w:val="22"/>
          <w:szCs w:val="22"/>
        </w:rPr>
        <w:t xml:space="preserve"> </w:t>
      </w:r>
      <w:r w:rsidRPr="004A2B13" w:rsidR="00F577D5">
        <w:rPr>
          <w:rFonts w:ascii="Arial" w:hAnsi="Arial" w:cs="Arial"/>
          <w:b/>
          <w:bCs/>
          <w:color w:val="4472C4" w:themeColor="accent1"/>
          <w:sz w:val="22"/>
          <w:szCs w:val="22"/>
        </w:rPr>
        <w:t>TU</w:t>
      </w:r>
      <w:r w:rsidRPr="004A2B13" w:rsidR="00F577D5">
        <w:rPr>
          <w:rFonts w:ascii="Arial" w:hAnsi="Arial" w:cs="Arial"/>
          <w:b/>
          <w:bCs/>
          <w:sz w:val="22"/>
          <w:szCs w:val="22"/>
        </w:rPr>
        <w:t xml:space="preserve">. </w:t>
      </w:r>
      <w:r w:rsidRPr="004A2B13" w:rsidR="00871218">
        <w:rPr>
          <w:rFonts w:ascii="Arial" w:hAnsi="Arial" w:cs="Arial"/>
          <w:sz w:val="22"/>
          <w:szCs w:val="22"/>
        </w:rPr>
        <w:t xml:space="preserve">Estructuración de </w:t>
      </w:r>
      <w:r w:rsidRPr="004A2B13" w:rsidR="00151EC9">
        <w:rPr>
          <w:rFonts w:ascii="Arial" w:hAnsi="Arial" w:cs="Arial"/>
          <w:sz w:val="22"/>
          <w:szCs w:val="22"/>
        </w:rPr>
        <w:t xml:space="preserve">prefactibilidad proyecto férreo de pasajeros. </w:t>
      </w:r>
      <w:r w:rsidRPr="004A2B13" w:rsidR="009B6435">
        <w:rPr>
          <w:rFonts w:ascii="Arial" w:hAnsi="Arial" w:cs="Arial"/>
          <w:sz w:val="22"/>
          <w:szCs w:val="22"/>
        </w:rPr>
        <w:t xml:space="preserve">Comparador: </w:t>
      </w:r>
      <w:r w:rsidRPr="004A2B13" w:rsidR="00875516">
        <w:rPr>
          <w:rFonts w:ascii="Arial" w:hAnsi="Arial" w:cs="Arial"/>
          <w:sz w:val="22"/>
          <w:szCs w:val="22"/>
        </w:rPr>
        <w:t>Estudio</w:t>
      </w:r>
      <w:r w:rsidRPr="004A2B13" w:rsidR="004F1174">
        <w:rPr>
          <w:rFonts w:ascii="Arial" w:hAnsi="Arial" w:cs="Arial"/>
          <w:sz w:val="22"/>
          <w:szCs w:val="22"/>
        </w:rPr>
        <w:t>s</w:t>
      </w:r>
      <w:r w:rsidRPr="004A2B13" w:rsidR="00875516">
        <w:rPr>
          <w:rFonts w:ascii="Arial" w:hAnsi="Arial" w:cs="Arial"/>
          <w:sz w:val="22"/>
          <w:szCs w:val="22"/>
        </w:rPr>
        <w:t xml:space="preserve"> para </w:t>
      </w:r>
      <w:r w:rsidRPr="004A2B13" w:rsidR="004F1174">
        <w:rPr>
          <w:rFonts w:ascii="Arial" w:hAnsi="Arial" w:cs="Arial"/>
          <w:sz w:val="22"/>
          <w:szCs w:val="22"/>
        </w:rPr>
        <w:t>la selección de la alternativa de la construcción del Tren Regional del Caribe</w:t>
      </w:r>
      <w:r w:rsidRPr="004A2B13" w:rsidR="003C5C86">
        <w:rPr>
          <w:rFonts w:ascii="Arial" w:hAnsi="Arial" w:cs="Arial"/>
          <w:sz w:val="22"/>
          <w:szCs w:val="22"/>
        </w:rPr>
        <w:t>, entre los departamentos de Bolívar, Atlántico y Magdalena</w:t>
      </w:r>
      <w:r w:rsidRPr="004A2B13" w:rsidR="00521CF5">
        <w:rPr>
          <w:rFonts w:ascii="Arial" w:hAnsi="Arial" w:cs="Arial"/>
          <w:sz w:val="22"/>
          <w:szCs w:val="22"/>
        </w:rPr>
        <w:t xml:space="preserve">. Proceso </w:t>
      </w:r>
      <w:r w:rsidRPr="004A2B13" w:rsidR="005E0A5B">
        <w:rPr>
          <w:rFonts w:ascii="Arial" w:hAnsi="Arial" w:cs="Arial"/>
          <w:sz w:val="22"/>
          <w:szCs w:val="22"/>
        </w:rPr>
        <w:t>SGR C-016-2020.</w:t>
      </w:r>
      <w:r w:rsidRPr="004A2B13" w:rsidR="00A12F78">
        <w:rPr>
          <w:rStyle w:val="FootnoteReference"/>
          <w:rFonts w:ascii="Arial" w:hAnsi="Arial" w:cs="Arial"/>
          <w:sz w:val="22"/>
          <w:szCs w:val="22"/>
        </w:rPr>
        <w:footnoteReference w:id="5"/>
      </w:r>
      <w:r w:rsidRPr="004A2B13" w:rsidR="005E0A5B">
        <w:rPr>
          <w:rFonts w:ascii="Arial" w:hAnsi="Arial" w:cs="Arial"/>
          <w:sz w:val="22"/>
          <w:szCs w:val="22"/>
        </w:rPr>
        <w:t xml:space="preserve"> Esta consultoría especializada </w:t>
      </w:r>
      <w:r w:rsidRPr="004A2B13" w:rsidR="00726667">
        <w:rPr>
          <w:rFonts w:ascii="Arial" w:hAnsi="Arial" w:cs="Arial"/>
          <w:sz w:val="22"/>
          <w:szCs w:val="22"/>
        </w:rPr>
        <w:t>está en proceso de adjudicación en octubre de 2020.</w:t>
      </w:r>
      <w:r w:rsidRPr="004A2B13" w:rsidR="000559C3">
        <w:rPr>
          <w:rFonts w:ascii="Arial" w:hAnsi="Arial" w:cs="Arial"/>
          <w:sz w:val="22"/>
          <w:szCs w:val="22"/>
        </w:rPr>
        <w:t xml:space="preserve"> </w:t>
      </w:r>
      <w:r w:rsidRPr="004A2B13" w:rsidR="00EC149E">
        <w:rPr>
          <w:rFonts w:ascii="Arial" w:hAnsi="Arial" w:cs="Arial"/>
          <w:sz w:val="22"/>
          <w:szCs w:val="22"/>
        </w:rPr>
        <w:t xml:space="preserve">Es un tren de cercanías para </w:t>
      </w:r>
      <w:r w:rsidRPr="004A2B13" w:rsidR="002939F1">
        <w:rPr>
          <w:rFonts w:ascii="Arial" w:hAnsi="Arial" w:cs="Arial"/>
          <w:sz w:val="22"/>
          <w:szCs w:val="22"/>
        </w:rPr>
        <w:t xml:space="preserve">viajar entre Cartagena y Santa Marta en </w:t>
      </w:r>
      <w:r w:rsidRPr="004A2B13" w:rsidR="00125687">
        <w:rPr>
          <w:rFonts w:ascii="Arial" w:hAnsi="Arial" w:cs="Arial"/>
          <w:sz w:val="22"/>
          <w:szCs w:val="22"/>
        </w:rPr>
        <w:t>1</w:t>
      </w:r>
      <w:r w:rsidRPr="004A2B13" w:rsidR="002939F1">
        <w:rPr>
          <w:rFonts w:ascii="Arial" w:hAnsi="Arial" w:cs="Arial"/>
          <w:sz w:val="22"/>
          <w:szCs w:val="22"/>
        </w:rPr>
        <w:t xml:space="preserve"> hora. Tienen una longitud aproximada de </w:t>
      </w:r>
      <w:r w:rsidRPr="004A2B13" w:rsidR="00125687">
        <w:rPr>
          <w:rFonts w:ascii="Arial" w:hAnsi="Arial" w:cs="Arial"/>
          <w:sz w:val="22"/>
          <w:szCs w:val="22"/>
        </w:rPr>
        <w:t xml:space="preserve">140 </w:t>
      </w:r>
      <w:r w:rsidRPr="004A2B13" w:rsidR="002939F1">
        <w:rPr>
          <w:rFonts w:ascii="Arial" w:hAnsi="Arial" w:cs="Arial"/>
          <w:sz w:val="22"/>
          <w:szCs w:val="22"/>
        </w:rPr>
        <w:t xml:space="preserve">km. </w:t>
      </w:r>
      <w:r w:rsidRPr="004A2B13" w:rsidR="0015162E">
        <w:rPr>
          <w:rFonts w:ascii="Arial" w:hAnsi="Arial" w:cs="Arial"/>
          <w:sz w:val="22"/>
          <w:szCs w:val="22"/>
        </w:rPr>
        <w:t>El orden de magnitud de la inversión es de US$ 2,3</w:t>
      </w:r>
      <w:r w:rsidRPr="004A2B13" w:rsidR="00D97188">
        <w:rPr>
          <w:rFonts w:ascii="Arial" w:hAnsi="Arial" w:cs="Arial"/>
          <w:sz w:val="22"/>
          <w:szCs w:val="22"/>
        </w:rPr>
        <w:t xml:space="preserve"> mil millones. </w:t>
      </w:r>
      <w:r w:rsidRPr="004A2B13" w:rsidR="00500BC1">
        <w:rPr>
          <w:rFonts w:ascii="Arial" w:hAnsi="Arial" w:cs="Arial"/>
          <w:sz w:val="22"/>
          <w:szCs w:val="22"/>
        </w:rPr>
        <w:t xml:space="preserve">El estudio </w:t>
      </w:r>
      <w:r w:rsidRPr="004A2B13" w:rsidR="003F2650">
        <w:rPr>
          <w:rFonts w:ascii="Arial" w:hAnsi="Arial" w:cs="Arial"/>
          <w:sz w:val="22"/>
          <w:szCs w:val="22"/>
        </w:rPr>
        <w:t>tiene un costo de COP</w:t>
      </w:r>
      <w:r w:rsidRPr="004A2B13" w:rsidR="00D564E9">
        <w:rPr>
          <w:rFonts w:ascii="Arial" w:hAnsi="Arial" w:cs="Arial"/>
          <w:sz w:val="22"/>
          <w:szCs w:val="22"/>
        </w:rPr>
        <w:t>$4</w:t>
      </w:r>
      <w:r w:rsidR="00644DC3">
        <w:rPr>
          <w:rFonts w:ascii="Arial" w:hAnsi="Arial" w:cs="Arial"/>
          <w:sz w:val="22"/>
          <w:szCs w:val="22"/>
        </w:rPr>
        <w:t>.</w:t>
      </w:r>
      <w:r w:rsidRPr="004A2B13" w:rsidR="00D564E9">
        <w:rPr>
          <w:rFonts w:ascii="Arial" w:hAnsi="Arial" w:cs="Arial"/>
          <w:sz w:val="22"/>
          <w:szCs w:val="22"/>
        </w:rPr>
        <w:t>814</w:t>
      </w:r>
      <w:r w:rsidR="00644DC3">
        <w:rPr>
          <w:rFonts w:ascii="Arial" w:hAnsi="Arial" w:cs="Arial"/>
          <w:sz w:val="22"/>
          <w:szCs w:val="22"/>
        </w:rPr>
        <w:t>,</w:t>
      </w:r>
      <w:r w:rsidRPr="004A2B13" w:rsidR="00797617">
        <w:rPr>
          <w:rFonts w:ascii="Arial" w:hAnsi="Arial" w:cs="Arial"/>
          <w:sz w:val="22"/>
          <w:szCs w:val="22"/>
        </w:rPr>
        <w:t>7 millones. Esto equivale a US</w:t>
      </w:r>
      <w:r w:rsidR="005A3AB1">
        <w:rPr>
          <w:rFonts w:ascii="Arial" w:hAnsi="Arial" w:cs="Arial"/>
          <w:sz w:val="22"/>
          <w:szCs w:val="22"/>
        </w:rPr>
        <w:t>$</w:t>
      </w:r>
      <w:r w:rsidRPr="004A2B13" w:rsidR="00325210">
        <w:rPr>
          <w:rFonts w:ascii="Arial" w:hAnsi="Arial" w:cs="Arial"/>
          <w:sz w:val="22"/>
          <w:szCs w:val="22"/>
        </w:rPr>
        <w:t xml:space="preserve">1,42 millones </w:t>
      </w:r>
      <w:r w:rsidRPr="004A2B13" w:rsidR="00E41B99">
        <w:rPr>
          <w:rFonts w:ascii="Arial" w:hAnsi="Arial" w:cs="Arial"/>
          <w:sz w:val="22"/>
          <w:szCs w:val="22"/>
        </w:rPr>
        <w:t xml:space="preserve">de 2020, </w:t>
      </w:r>
      <w:r w:rsidRPr="004A2B13" w:rsidR="00325210">
        <w:rPr>
          <w:rFonts w:ascii="Arial" w:hAnsi="Arial" w:cs="Arial"/>
          <w:sz w:val="22"/>
          <w:szCs w:val="22"/>
        </w:rPr>
        <w:t xml:space="preserve">con la tasa de cambio promedio esperada </w:t>
      </w:r>
      <w:r w:rsidRPr="004A2B13" w:rsidR="00E41B99">
        <w:rPr>
          <w:rFonts w:ascii="Arial" w:hAnsi="Arial" w:cs="Arial"/>
          <w:sz w:val="22"/>
          <w:szCs w:val="22"/>
        </w:rPr>
        <w:t>al final de 2020 (3</w:t>
      </w:r>
      <w:r w:rsidR="00644DC3">
        <w:rPr>
          <w:rFonts w:ascii="Arial" w:hAnsi="Arial" w:cs="Arial"/>
          <w:sz w:val="22"/>
          <w:szCs w:val="22"/>
        </w:rPr>
        <w:t>.</w:t>
      </w:r>
      <w:r w:rsidRPr="004A2B13" w:rsidR="00E41B99">
        <w:rPr>
          <w:rFonts w:ascii="Arial" w:hAnsi="Arial" w:cs="Arial"/>
          <w:sz w:val="22"/>
          <w:szCs w:val="22"/>
        </w:rPr>
        <w:t>400 US$ / US$</w:t>
      </w:r>
      <w:r w:rsidR="00A70B8D">
        <w:rPr>
          <w:rFonts w:ascii="Arial" w:hAnsi="Arial" w:cs="Arial"/>
          <w:sz w:val="22"/>
          <w:szCs w:val="22"/>
        </w:rPr>
        <w:t>)</w:t>
      </w:r>
      <w:r w:rsidRPr="004A2B13" w:rsidR="00E41B99">
        <w:rPr>
          <w:rFonts w:ascii="Arial" w:hAnsi="Arial" w:cs="Arial"/>
          <w:sz w:val="22"/>
          <w:szCs w:val="22"/>
        </w:rPr>
        <w:t xml:space="preserve">. </w:t>
      </w:r>
      <w:r w:rsidRPr="004A2B13" w:rsidR="00AE77B7">
        <w:rPr>
          <w:rFonts w:ascii="Arial" w:hAnsi="Arial" w:cs="Arial"/>
          <w:b/>
          <w:bCs/>
          <w:sz w:val="22"/>
          <w:szCs w:val="22"/>
        </w:rPr>
        <w:t xml:space="preserve">El costo </w:t>
      </w:r>
      <w:r w:rsidRPr="004A2B13" w:rsidR="00D045F0">
        <w:rPr>
          <w:rFonts w:ascii="Arial" w:hAnsi="Arial" w:cs="Arial"/>
          <w:b/>
          <w:bCs/>
          <w:sz w:val="22"/>
          <w:szCs w:val="22"/>
        </w:rPr>
        <w:t>unitario es de</w:t>
      </w:r>
      <w:r w:rsidRPr="004A2B13" w:rsidR="00DB261B">
        <w:rPr>
          <w:rFonts w:ascii="Arial" w:hAnsi="Arial" w:cs="Arial"/>
          <w:b/>
          <w:bCs/>
          <w:sz w:val="22"/>
          <w:szCs w:val="22"/>
        </w:rPr>
        <w:t xml:space="preserve"> 10</w:t>
      </w:r>
      <w:r w:rsidRPr="004A2B13" w:rsidR="00250BEE">
        <w:rPr>
          <w:rFonts w:ascii="Arial" w:hAnsi="Arial" w:cs="Arial"/>
          <w:b/>
          <w:bCs/>
          <w:sz w:val="22"/>
          <w:szCs w:val="22"/>
        </w:rPr>
        <w:t>,1</w:t>
      </w:r>
      <w:r w:rsidRPr="004A2B13" w:rsidR="00DB261B">
        <w:rPr>
          <w:rFonts w:ascii="Arial" w:hAnsi="Arial" w:cs="Arial"/>
          <w:b/>
          <w:bCs/>
          <w:sz w:val="22"/>
          <w:szCs w:val="22"/>
        </w:rPr>
        <w:t xml:space="preserve">4 </w:t>
      </w:r>
      <w:r w:rsidRPr="004A2B13" w:rsidR="00250BEE">
        <w:rPr>
          <w:rFonts w:ascii="Arial" w:hAnsi="Arial" w:cs="Arial"/>
          <w:b/>
          <w:bCs/>
          <w:sz w:val="22"/>
          <w:szCs w:val="22"/>
        </w:rPr>
        <w:t xml:space="preserve">mil </w:t>
      </w:r>
      <w:r w:rsidRPr="004A2B13" w:rsidR="00DB261B">
        <w:rPr>
          <w:rFonts w:ascii="Arial" w:hAnsi="Arial" w:cs="Arial"/>
          <w:b/>
          <w:bCs/>
          <w:sz w:val="22"/>
          <w:szCs w:val="22"/>
        </w:rPr>
        <w:t>US$/</w:t>
      </w:r>
      <w:r w:rsidRPr="004A2B13" w:rsidR="00AE77B7">
        <w:rPr>
          <w:rFonts w:ascii="Arial" w:hAnsi="Arial" w:cs="Arial"/>
          <w:b/>
          <w:bCs/>
          <w:sz w:val="22"/>
          <w:szCs w:val="22"/>
        </w:rPr>
        <w:t>km</w:t>
      </w:r>
      <w:r w:rsidRPr="004A2B13" w:rsidR="00DB261B">
        <w:rPr>
          <w:rFonts w:ascii="Arial" w:hAnsi="Arial" w:cs="Arial"/>
          <w:sz w:val="22"/>
          <w:szCs w:val="22"/>
        </w:rPr>
        <w:t>.</w:t>
      </w:r>
    </w:p>
    <w:p w:rsidRPr="005A6850" w:rsidR="00DB2864" w:rsidP="00555442" w:rsidRDefault="00DB2864" w14:paraId="13FAE066" w14:textId="7F301D2E">
      <w:pPr>
        <w:spacing w:before="120" w:after="120"/>
        <w:jc w:val="both"/>
        <w:rPr>
          <w:rFonts w:ascii="Arial" w:hAnsi="Arial" w:cs="Arial"/>
          <w:sz w:val="22"/>
          <w:szCs w:val="22"/>
        </w:rPr>
      </w:pPr>
      <w:r w:rsidRPr="005A6850">
        <w:rPr>
          <w:rFonts w:ascii="Arial" w:hAnsi="Arial" w:cs="Arial"/>
          <w:b/>
          <w:bCs/>
          <w:sz w:val="22"/>
          <w:szCs w:val="22"/>
        </w:rPr>
        <w:t xml:space="preserve">3. </w:t>
      </w:r>
      <w:r w:rsidRPr="005A6850">
        <w:rPr>
          <w:rFonts w:ascii="Arial" w:hAnsi="Arial" w:cs="Arial"/>
          <w:b/>
          <w:bCs/>
          <w:color w:val="4472C4" w:themeColor="accent1"/>
          <w:sz w:val="22"/>
          <w:szCs w:val="22"/>
        </w:rPr>
        <w:t>ME</w:t>
      </w:r>
      <w:r w:rsidRPr="005A6850">
        <w:rPr>
          <w:rFonts w:ascii="Arial" w:hAnsi="Arial" w:cs="Arial"/>
          <w:b/>
          <w:bCs/>
          <w:sz w:val="22"/>
          <w:szCs w:val="22"/>
        </w:rPr>
        <w:t xml:space="preserve">. </w:t>
      </w:r>
      <w:r w:rsidRPr="005A6850">
        <w:rPr>
          <w:rFonts w:ascii="Arial" w:hAnsi="Arial" w:cs="Arial"/>
          <w:sz w:val="22"/>
          <w:szCs w:val="22"/>
        </w:rPr>
        <w:t>Estructuración de una instalación eléctrica para el suministro mixto de energía que incorpore fuentes renovables. Comparador: Costos promedio de mercado de desarrolladores, suministrados por la Asociación Colombiana de Energías Renovables (ACER). Con una instalación de 25 MW en granjas solares se cubrirá un tercio de su demanda total.</w:t>
      </w:r>
      <w:r w:rsidRPr="005A6850">
        <w:rPr>
          <w:rStyle w:val="FootnoteReference"/>
          <w:rFonts w:ascii="Arial" w:hAnsi="Arial" w:cs="Arial"/>
          <w:sz w:val="22"/>
          <w:szCs w:val="22"/>
        </w:rPr>
        <w:footnoteReference w:id="6"/>
      </w:r>
      <w:r w:rsidRPr="005A6850">
        <w:rPr>
          <w:rFonts w:ascii="Arial" w:hAnsi="Arial" w:cs="Arial"/>
          <w:sz w:val="22"/>
          <w:szCs w:val="22"/>
        </w:rPr>
        <w:t xml:space="preserve"> Esta inversión cuesta US 25 millones. Los desarrolladores de proyectos de este tipo (que aseguran diseños de detalle, negociación punto de entrega y trámites y gestión ante el mercado mayorista) cobran US$ 45 mil/MW en promedio. Esto equivale a un </w:t>
      </w:r>
      <w:r w:rsidRPr="005A6850">
        <w:rPr>
          <w:rFonts w:ascii="Arial" w:hAnsi="Arial" w:cs="Arial"/>
          <w:b/>
          <w:bCs/>
          <w:sz w:val="22"/>
          <w:szCs w:val="22"/>
        </w:rPr>
        <w:t>costo total de</w:t>
      </w:r>
      <w:r w:rsidRPr="005A6850">
        <w:rPr>
          <w:rFonts w:ascii="Arial" w:hAnsi="Arial" w:cs="Arial"/>
          <w:sz w:val="22"/>
          <w:szCs w:val="22"/>
        </w:rPr>
        <w:t xml:space="preserve"> </w:t>
      </w:r>
      <w:r w:rsidRPr="005A6850">
        <w:rPr>
          <w:rFonts w:ascii="Arial" w:hAnsi="Arial" w:cs="Arial"/>
          <w:b/>
          <w:bCs/>
          <w:sz w:val="22"/>
          <w:szCs w:val="22"/>
        </w:rPr>
        <w:t xml:space="preserve">US$ 1,10 millones </w:t>
      </w:r>
      <w:r w:rsidRPr="005A6850">
        <w:rPr>
          <w:rFonts w:ascii="Arial" w:hAnsi="Arial" w:cs="Arial"/>
          <w:sz w:val="22"/>
          <w:szCs w:val="22"/>
        </w:rPr>
        <w:t xml:space="preserve">de 2020. </w:t>
      </w:r>
    </w:p>
    <w:p w:rsidRPr="004A2B13" w:rsidR="00F56FFF" w:rsidP="004A2B13" w:rsidRDefault="00DB2864" w14:paraId="09326D05" w14:textId="056FD464">
      <w:pPr>
        <w:spacing w:before="120" w:after="120"/>
        <w:jc w:val="both"/>
        <w:rPr>
          <w:rFonts w:ascii="Arial" w:hAnsi="Arial" w:cs="Arial"/>
          <w:sz w:val="22"/>
          <w:szCs w:val="22"/>
        </w:rPr>
      </w:pPr>
      <w:r>
        <w:rPr>
          <w:rFonts w:ascii="Arial" w:hAnsi="Arial" w:cs="Arial"/>
          <w:b/>
          <w:bCs/>
          <w:sz w:val="22"/>
          <w:szCs w:val="22"/>
        </w:rPr>
        <w:t>4</w:t>
      </w:r>
      <w:r w:rsidRPr="004A2B13" w:rsidR="00A3182E">
        <w:rPr>
          <w:rFonts w:ascii="Arial" w:hAnsi="Arial" w:cs="Arial"/>
          <w:b/>
          <w:bCs/>
          <w:sz w:val="22"/>
          <w:szCs w:val="22"/>
        </w:rPr>
        <w:t>.</w:t>
      </w:r>
      <w:r w:rsidRPr="004A2B13" w:rsidR="00630B9C">
        <w:rPr>
          <w:rFonts w:ascii="Arial" w:hAnsi="Arial" w:cs="Arial"/>
          <w:b/>
          <w:bCs/>
          <w:sz w:val="22"/>
          <w:szCs w:val="22"/>
        </w:rPr>
        <w:t xml:space="preserve"> </w:t>
      </w:r>
      <w:r w:rsidRPr="004A2B13" w:rsidR="00B43ED7">
        <w:rPr>
          <w:rFonts w:ascii="Arial" w:hAnsi="Arial" w:cs="Arial"/>
          <w:b/>
          <w:bCs/>
          <w:color w:val="4472C4" w:themeColor="accent1"/>
          <w:sz w:val="22"/>
          <w:szCs w:val="22"/>
        </w:rPr>
        <w:t>AS</w:t>
      </w:r>
      <w:r w:rsidRPr="004A2B13" w:rsidR="00B43ED7">
        <w:rPr>
          <w:rFonts w:ascii="Arial" w:hAnsi="Arial" w:cs="Arial"/>
          <w:b/>
          <w:bCs/>
          <w:sz w:val="22"/>
          <w:szCs w:val="22"/>
        </w:rPr>
        <w:t xml:space="preserve">. </w:t>
      </w:r>
      <w:r w:rsidRPr="004A2B13" w:rsidR="001A42D8">
        <w:rPr>
          <w:rFonts w:ascii="Arial" w:hAnsi="Arial" w:cs="Arial"/>
          <w:sz w:val="22"/>
          <w:szCs w:val="22"/>
        </w:rPr>
        <w:t xml:space="preserve">Estructuración de </w:t>
      </w:r>
      <w:r w:rsidRPr="004A2B13" w:rsidR="009A6D66">
        <w:rPr>
          <w:rFonts w:ascii="Arial" w:hAnsi="Arial" w:cs="Arial"/>
          <w:sz w:val="22"/>
          <w:szCs w:val="22"/>
        </w:rPr>
        <w:t xml:space="preserve">un proyecto de </w:t>
      </w:r>
      <w:r w:rsidRPr="004A2B13" w:rsidR="00E13C04">
        <w:rPr>
          <w:rFonts w:ascii="Arial" w:hAnsi="Arial" w:cs="Arial"/>
          <w:sz w:val="22"/>
          <w:szCs w:val="22"/>
        </w:rPr>
        <w:t>disposición de residuos sólidos</w:t>
      </w:r>
      <w:r w:rsidRPr="004A2B13" w:rsidR="003C5255">
        <w:rPr>
          <w:rFonts w:ascii="Arial" w:hAnsi="Arial" w:cs="Arial"/>
          <w:sz w:val="22"/>
          <w:szCs w:val="22"/>
        </w:rPr>
        <w:t xml:space="preserve"> para una ciudad de más de 2 millones de habitantes. Comparador:</w:t>
      </w:r>
      <w:r w:rsidRPr="004A2B13" w:rsidR="00233E95">
        <w:rPr>
          <w:rFonts w:ascii="Arial" w:hAnsi="Arial" w:cs="Arial"/>
          <w:sz w:val="22"/>
          <w:szCs w:val="22"/>
        </w:rPr>
        <w:t xml:space="preserve"> </w:t>
      </w:r>
      <w:r w:rsidRPr="004A2B13" w:rsidR="00E21336">
        <w:rPr>
          <w:rFonts w:ascii="Arial" w:hAnsi="Arial" w:cs="Arial"/>
          <w:sz w:val="22"/>
          <w:szCs w:val="22"/>
        </w:rPr>
        <w:t xml:space="preserve">Apoyo a la </w:t>
      </w:r>
      <w:r w:rsidRPr="004A2B13" w:rsidR="006628BD">
        <w:rPr>
          <w:rFonts w:ascii="Arial" w:hAnsi="Arial" w:cs="Arial"/>
          <w:sz w:val="22"/>
          <w:szCs w:val="22"/>
        </w:rPr>
        <w:t>gestión integral del sector de residuos sólidos urbanos</w:t>
      </w:r>
      <w:r w:rsidRPr="004A2B13" w:rsidR="00BD2E5A">
        <w:rPr>
          <w:rFonts w:ascii="Arial" w:hAnsi="Arial" w:cs="Arial"/>
          <w:sz w:val="22"/>
          <w:szCs w:val="22"/>
        </w:rPr>
        <w:t xml:space="preserve"> en Honduras. </w:t>
      </w:r>
      <w:r w:rsidRPr="004A2B13" w:rsidR="00745DF4">
        <w:rPr>
          <w:rFonts w:ascii="Arial" w:hAnsi="Arial" w:cs="Arial"/>
          <w:sz w:val="22"/>
          <w:szCs w:val="22"/>
        </w:rPr>
        <w:t>Programa BID HO-</w:t>
      </w:r>
      <w:r w:rsidRPr="004A2B13" w:rsidR="00012BD1">
        <w:rPr>
          <w:rFonts w:ascii="Arial" w:hAnsi="Arial" w:cs="Arial"/>
          <w:sz w:val="22"/>
          <w:szCs w:val="22"/>
        </w:rPr>
        <w:t xml:space="preserve">T1173. </w:t>
      </w:r>
      <w:r w:rsidRPr="004A2B13" w:rsidR="00E160A3">
        <w:rPr>
          <w:rFonts w:ascii="Arial" w:hAnsi="Arial" w:cs="Arial"/>
          <w:sz w:val="22"/>
          <w:szCs w:val="22"/>
        </w:rPr>
        <w:t>Este documento comprende un diagnóstico y un plan de Acción (DPA)</w:t>
      </w:r>
      <w:r w:rsidRPr="004A2B13" w:rsidR="000D42DD">
        <w:rPr>
          <w:rFonts w:ascii="Arial" w:hAnsi="Arial" w:cs="Arial"/>
          <w:sz w:val="22"/>
          <w:szCs w:val="22"/>
        </w:rPr>
        <w:t xml:space="preserve"> y fue realizado en </w:t>
      </w:r>
      <w:r w:rsidRPr="004A2B13" w:rsidR="00E5191E">
        <w:rPr>
          <w:rFonts w:ascii="Arial" w:hAnsi="Arial" w:cs="Arial"/>
          <w:sz w:val="22"/>
          <w:szCs w:val="22"/>
        </w:rPr>
        <w:t>2014</w:t>
      </w:r>
      <w:r w:rsidRPr="004A2B13" w:rsidR="00E160A3">
        <w:rPr>
          <w:rFonts w:ascii="Arial" w:hAnsi="Arial" w:cs="Arial"/>
          <w:sz w:val="22"/>
          <w:szCs w:val="22"/>
        </w:rPr>
        <w:t xml:space="preserve">. </w:t>
      </w:r>
      <w:r w:rsidRPr="004A2B13" w:rsidR="009E005C">
        <w:rPr>
          <w:rFonts w:ascii="Arial" w:hAnsi="Arial" w:cs="Arial"/>
          <w:sz w:val="22"/>
          <w:szCs w:val="22"/>
        </w:rPr>
        <w:t>El costo de</w:t>
      </w:r>
      <w:r w:rsidRPr="004A2B13" w:rsidR="00052676">
        <w:rPr>
          <w:rFonts w:ascii="Arial" w:hAnsi="Arial" w:cs="Arial"/>
          <w:sz w:val="22"/>
          <w:szCs w:val="22"/>
        </w:rPr>
        <w:t xml:space="preserve"> la cooperación técnica fue de US$250</w:t>
      </w:r>
      <w:r w:rsidRPr="004A2B13" w:rsidR="00C75304">
        <w:rPr>
          <w:rFonts w:ascii="Arial" w:hAnsi="Arial" w:cs="Arial"/>
          <w:sz w:val="22"/>
          <w:szCs w:val="22"/>
        </w:rPr>
        <w:t xml:space="preserve"> mil</w:t>
      </w:r>
      <w:r w:rsidRPr="004A2B13" w:rsidR="00052676">
        <w:rPr>
          <w:rFonts w:ascii="Arial" w:hAnsi="Arial" w:cs="Arial"/>
          <w:sz w:val="22"/>
          <w:szCs w:val="22"/>
        </w:rPr>
        <w:t xml:space="preserve">. </w:t>
      </w:r>
      <w:r w:rsidRPr="004A2B13" w:rsidR="006A2813">
        <w:rPr>
          <w:rFonts w:ascii="Arial" w:hAnsi="Arial" w:cs="Arial"/>
          <w:sz w:val="22"/>
          <w:szCs w:val="22"/>
        </w:rPr>
        <w:t xml:space="preserve">El estudio cubre las municipalidades de </w:t>
      </w:r>
      <w:r w:rsidRPr="004A2B13" w:rsidR="0069359C">
        <w:rPr>
          <w:rFonts w:ascii="Arial" w:hAnsi="Arial" w:cs="Arial"/>
          <w:sz w:val="22"/>
          <w:szCs w:val="22"/>
        </w:rPr>
        <w:t xml:space="preserve">Tegucigalpa y Comayagüela, que suman </w:t>
      </w:r>
      <w:r w:rsidRPr="004A2B13" w:rsidR="00F66886">
        <w:rPr>
          <w:rFonts w:ascii="Arial" w:hAnsi="Arial" w:cs="Arial"/>
          <w:sz w:val="22"/>
          <w:szCs w:val="22"/>
        </w:rPr>
        <w:t>2,</w:t>
      </w:r>
      <w:r w:rsidRPr="004A2B13" w:rsidR="00A53C80">
        <w:rPr>
          <w:rFonts w:ascii="Arial" w:hAnsi="Arial" w:cs="Arial"/>
          <w:sz w:val="22"/>
          <w:szCs w:val="22"/>
        </w:rPr>
        <w:t>3 millones de habitantes en 2020</w:t>
      </w:r>
      <w:r w:rsidRPr="004A2B13" w:rsidR="00FB0F0C">
        <w:rPr>
          <w:rFonts w:ascii="Arial" w:hAnsi="Arial" w:cs="Arial"/>
          <w:sz w:val="22"/>
          <w:szCs w:val="22"/>
        </w:rPr>
        <w:t xml:space="preserve"> (Municipalidad Central)</w:t>
      </w:r>
      <w:r w:rsidRPr="004A2B13" w:rsidR="00A53C80">
        <w:rPr>
          <w:rFonts w:ascii="Arial" w:hAnsi="Arial" w:cs="Arial"/>
          <w:sz w:val="22"/>
          <w:szCs w:val="22"/>
        </w:rPr>
        <w:t xml:space="preserve">. </w:t>
      </w:r>
      <w:r w:rsidRPr="004A2B13" w:rsidR="00D756F0">
        <w:rPr>
          <w:rFonts w:ascii="Arial" w:hAnsi="Arial" w:cs="Arial"/>
          <w:sz w:val="22"/>
          <w:szCs w:val="22"/>
        </w:rPr>
        <w:t xml:space="preserve">Para </w:t>
      </w:r>
      <w:r w:rsidRPr="004A2B13" w:rsidR="00367D0B">
        <w:rPr>
          <w:rFonts w:ascii="Arial" w:hAnsi="Arial" w:cs="Arial"/>
          <w:sz w:val="22"/>
          <w:szCs w:val="22"/>
        </w:rPr>
        <w:t>llegar al costo de</w:t>
      </w:r>
      <w:r w:rsidRPr="004A2B13" w:rsidR="00D756F0">
        <w:rPr>
          <w:rFonts w:ascii="Arial" w:hAnsi="Arial" w:cs="Arial"/>
          <w:sz w:val="22"/>
          <w:szCs w:val="22"/>
        </w:rPr>
        <w:t xml:space="preserve"> un estudio de estructuración, se usa el cociente entre </w:t>
      </w:r>
      <w:r w:rsidRPr="004A2B13" w:rsidR="00874EDB">
        <w:rPr>
          <w:rFonts w:ascii="Arial" w:hAnsi="Arial" w:cs="Arial"/>
          <w:sz w:val="22"/>
          <w:szCs w:val="22"/>
        </w:rPr>
        <w:t xml:space="preserve">costos de estructuración y costos de </w:t>
      </w:r>
      <w:r w:rsidRPr="004A2B13" w:rsidR="00A36142">
        <w:rPr>
          <w:rFonts w:ascii="Arial" w:hAnsi="Arial" w:cs="Arial"/>
          <w:sz w:val="22"/>
          <w:szCs w:val="22"/>
        </w:rPr>
        <w:t xml:space="preserve">factibilidad (51/18 = </w:t>
      </w:r>
      <w:r w:rsidRPr="004A2B13" w:rsidR="00011697">
        <w:rPr>
          <w:rFonts w:ascii="Arial" w:hAnsi="Arial" w:cs="Arial"/>
          <w:sz w:val="22"/>
          <w:szCs w:val="22"/>
        </w:rPr>
        <w:t>2,83)</w:t>
      </w:r>
      <w:r w:rsidRPr="004A2B13" w:rsidR="00052676">
        <w:rPr>
          <w:rFonts w:ascii="Arial" w:hAnsi="Arial" w:cs="Arial"/>
          <w:sz w:val="22"/>
          <w:szCs w:val="22"/>
        </w:rPr>
        <w:t>,</w:t>
      </w:r>
      <w:r w:rsidRPr="004A2B13" w:rsidR="00E81CEE">
        <w:rPr>
          <w:rStyle w:val="FootnoteReference"/>
          <w:rFonts w:ascii="Arial" w:hAnsi="Arial" w:cs="Arial"/>
          <w:sz w:val="22"/>
          <w:szCs w:val="22"/>
        </w:rPr>
        <w:footnoteReference w:id="7"/>
      </w:r>
      <w:r w:rsidRPr="004A2B13" w:rsidR="00052676">
        <w:rPr>
          <w:rFonts w:ascii="Arial" w:hAnsi="Arial" w:cs="Arial"/>
          <w:sz w:val="22"/>
          <w:szCs w:val="22"/>
        </w:rPr>
        <w:t xml:space="preserve"> lo que resulta en un costo de </w:t>
      </w:r>
      <w:r w:rsidRPr="004A2B13" w:rsidR="00910472">
        <w:rPr>
          <w:rFonts w:ascii="Arial" w:hAnsi="Arial" w:cs="Arial"/>
          <w:sz w:val="22"/>
          <w:szCs w:val="22"/>
        </w:rPr>
        <w:t>US$708</w:t>
      </w:r>
      <w:r w:rsidRPr="004A2B13" w:rsidR="00C75304">
        <w:rPr>
          <w:rFonts w:ascii="Arial" w:hAnsi="Arial" w:cs="Arial"/>
          <w:sz w:val="22"/>
          <w:szCs w:val="22"/>
        </w:rPr>
        <w:t xml:space="preserve"> mil</w:t>
      </w:r>
      <w:r w:rsidRPr="004A2B13" w:rsidR="00910472">
        <w:rPr>
          <w:rFonts w:ascii="Arial" w:hAnsi="Arial" w:cs="Arial"/>
          <w:sz w:val="22"/>
          <w:szCs w:val="22"/>
        </w:rPr>
        <w:t xml:space="preserve"> de 2014. Se </w:t>
      </w:r>
      <w:r w:rsidRPr="004A2B13" w:rsidR="008C74F6">
        <w:rPr>
          <w:rFonts w:ascii="Arial" w:hAnsi="Arial" w:cs="Arial"/>
          <w:sz w:val="22"/>
          <w:szCs w:val="22"/>
        </w:rPr>
        <w:t>aplica el deflactor del PIB</w:t>
      </w:r>
      <w:r w:rsidRPr="004A2B13" w:rsidR="001E1582">
        <w:rPr>
          <w:rFonts w:ascii="Arial" w:hAnsi="Arial" w:cs="Arial"/>
          <w:sz w:val="22"/>
          <w:szCs w:val="22"/>
        </w:rPr>
        <w:t xml:space="preserve"> en dólares</w:t>
      </w:r>
      <w:r w:rsidRPr="004A2B13" w:rsidR="008C74F6">
        <w:rPr>
          <w:rFonts w:ascii="Arial" w:hAnsi="Arial" w:cs="Arial"/>
          <w:sz w:val="22"/>
          <w:szCs w:val="22"/>
        </w:rPr>
        <w:t xml:space="preserve"> entre 2014 y 2020 </w:t>
      </w:r>
      <w:r w:rsidRPr="004A2B13" w:rsidR="00A01AE8">
        <w:rPr>
          <w:rFonts w:ascii="Arial" w:hAnsi="Arial" w:cs="Arial"/>
          <w:sz w:val="22"/>
          <w:szCs w:val="22"/>
        </w:rPr>
        <w:t xml:space="preserve">(1,09) </w:t>
      </w:r>
      <w:r w:rsidRPr="004A2B13" w:rsidR="008C74F6">
        <w:rPr>
          <w:rFonts w:ascii="Arial" w:hAnsi="Arial" w:cs="Arial"/>
          <w:sz w:val="22"/>
          <w:szCs w:val="22"/>
        </w:rPr>
        <w:t xml:space="preserve">para llegar a un </w:t>
      </w:r>
      <w:r w:rsidRPr="004A2B13" w:rsidR="00E23DE6">
        <w:rPr>
          <w:rFonts w:ascii="Arial" w:hAnsi="Arial" w:cs="Arial"/>
          <w:sz w:val="22"/>
          <w:szCs w:val="22"/>
        </w:rPr>
        <w:t>costo de US$</w:t>
      </w:r>
      <w:r w:rsidRPr="004A2B13" w:rsidR="00C75304">
        <w:rPr>
          <w:rFonts w:ascii="Arial" w:hAnsi="Arial" w:cs="Arial"/>
          <w:sz w:val="22"/>
          <w:szCs w:val="22"/>
        </w:rPr>
        <w:t xml:space="preserve">772 mil de 2020. </w:t>
      </w:r>
      <w:r w:rsidRPr="004A2B13" w:rsidR="00FF1F0E">
        <w:rPr>
          <w:rFonts w:ascii="Arial" w:hAnsi="Arial" w:cs="Arial"/>
          <w:b/>
          <w:bCs/>
          <w:sz w:val="22"/>
          <w:szCs w:val="22"/>
        </w:rPr>
        <w:t>El costo unitario es</w:t>
      </w:r>
      <w:r w:rsidRPr="004A2B13" w:rsidR="00FF1F0E">
        <w:rPr>
          <w:rFonts w:ascii="Arial" w:hAnsi="Arial" w:cs="Arial"/>
          <w:sz w:val="22"/>
          <w:szCs w:val="22"/>
        </w:rPr>
        <w:t xml:space="preserve"> </w:t>
      </w:r>
      <w:r w:rsidRPr="004A2B13" w:rsidR="00A7595D">
        <w:rPr>
          <w:rFonts w:ascii="Arial" w:hAnsi="Arial" w:cs="Arial"/>
          <w:b/>
          <w:bCs/>
          <w:sz w:val="22"/>
          <w:szCs w:val="22"/>
        </w:rPr>
        <w:t>0,</w:t>
      </w:r>
      <w:r w:rsidRPr="004A2B13" w:rsidR="00105048">
        <w:rPr>
          <w:rFonts w:ascii="Arial" w:hAnsi="Arial" w:cs="Arial"/>
          <w:b/>
          <w:bCs/>
          <w:sz w:val="22"/>
          <w:szCs w:val="22"/>
        </w:rPr>
        <w:t>34 US$/hab</w:t>
      </w:r>
      <w:r w:rsidRPr="004A2B13" w:rsidR="00105048">
        <w:rPr>
          <w:rFonts w:ascii="Arial" w:hAnsi="Arial" w:cs="Arial"/>
          <w:sz w:val="22"/>
          <w:szCs w:val="22"/>
        </w:rPr>
        <w:t>.</w:t>
      </w:r>
    </w:p>
    <w:p w:rsidRPr="004A2B13" w:rsidR="00B95740" w:rsidP="004A2B13" w:rsidRDefault="00DB2864" w14:paraId="6A2EB165" w14:textId="12E71C18">
      <w:pPr>
        <w:spacing w:before="120" w:after="120"/>
        <w:jc w:val="both"/>
        <w:rPr>
          <w:rFonts w:ascii="Arial" w:hAnsi="Arial" w:cs="Arial"/>
          <w:sz w:val="22"/>
          <w:szCs w:val="22"/>
        </w:rPr>
      </w:pPr>
      <w:r>
        <w:rPr>
          <w:rFonts w:ascii="Arial" w:hAnsi="Arial" w:cs="Arial"/>
          <w:b/>
          <w:bCs/>
          <w:sz w:val="22"/>
          <w:szCs w:val="22"/>
        </w:rPr>
        <w:t>5</w:t>
      </w:r>
      <w:r w:rsidRPr="005A3AB1" w:rsidR="005A3AB1">
        <w:rPr>
          <w:rFonts w:ascii="Arial" w:hAnsi="Arial" w:cs="Arial"/>
          <w:b/>
          <w:bCs/>
          <w:sz w:val="22"/>
          <w:szCs w:val="22"/>
        </w:rPr>
        <w:t>.</w:t>
      </w:r>
      <w:r w:rsidRPr="004A2B13" w:rsidR="00630B9C">
        <w:rPr>
          <w:rFonts w:ascii="Arial" w:hAnsi="Arial" w:cs="Arial"/>
          <w:b/>
          <w:bCs/>
          <w:sz w:val="22"/>
          <w:szCs w:val="22"/>
        </w:rPr>
        <w:t xml:space="preserve"> </w:t>
      </w:r>
      <w:r w:rsidRPr="004A2B13" w:rsidR="00B43ED7">
        <w:rPr>
          <w:rFonts w:ascii="Arial" w:hAnsi="Arial" w:cs="Arial"/>
          <w:b/>
          <w:bCs/>
          <w:color w:val="4472C4" w:themeColor="accent1"/>
          <w:sz w:val="22"/>
          <w:szCs w:val="22"/>
        </w:rPr>
        <w:t>AS</w:t>
      </w:r>
      <w:r w:rsidRPr="004A2B13" w:rsidR="00B43ED7">
        <w:rPr>
          <w:rFonts w:ascii="Arial" w:hAnsi="Arial" w:cs="Arial"/>
          <w:b/>
          <w:bCs/>
          <w:sz w:val="22"/>
          <w:szCs w:val="22"/>
        </w:rPr>
        <w:t xml:space="preserve">. </w:t>
      </w:r>
      <w:r w:rsidRPr="004A2B13" w:rsidR="00F56FFF">
        <w:rPr>
          <w:rFonts w:ascii="Arial" w:hAnsi="Arial" w:cs="Arial"/>
          <w:sz w:val="22"/>
          <w:szCs w:val="22"/>
        </w:rPr>
        <w:t xml:space="preserve">Estructuración de </w:t>
      </w:r>
      <w:r w:rsidRPr="004A2B13" w:rsidR="00FC2883">
        <w:rPr>
          <w:rFonts w:ascii="Arial" w:hAnsi="Arial" w:cs="Arial"/>
          <w:sz w:val="22"/>
          <w:szCs w:val="22"/>
        </w:rPr>
        <w:t xml:space="preserve">un proyecto de </w:t>
      </w:r>
      <w:r w:rsidRPr="004A2B13" w:rsidR="00B95046">
        <w:rPr>
          <w:rFonts w:ascii="Arial" w:hAnsi="Arial" w:cs="Arial"/>
          <w:sz w:val="22"/>
          <w:szCs w:val="22"/>
        </w:rPr>
        <w:t xml:space="preserve">planta de tratamiento de aguas residuales en Bucaramanga y Área Metropolitana. </w:t>
      </w:r>
      <w:r w:rsidRPr="004A2B13" w:rsidR="00DA4BA9">
        <w:rPr>
          <w:rFonts w:ascii="Arial" w:hAnsi="Arial" w:cs="Arial"/>
          <w:sz w:val="22"/>
          <w:szCs w:val="22"/>
        </w:rPr>
        <w:t xml:space="preserve">Comparador: </w:t>
      </w:r>
      <w:r w:rsidRPr="004A2B13" w:rsidR="00286501">
        <w:rPr>
          <w:rFonts w:ascii="Arial" w:hAnsi="Arial" w:cs="Arial"/>
          <w:sz w:val="22"/>
          <w:szCs w:val="22"/>
        </w:rPr>
        <w:t>Planta de tratamiento de aguas residuales</w:t>
      </w:r>
      <w:r w:rsidRPr="004A2B13" w:rsidR="00457FA8">
        <w:rPr>
          <w:rFonts w:ascii="Arial" w:hAnsi="Arial" w:cs="Arial"/>
          <w:sz w:val="22"/>
          <w:szCs w:val="22"/>
        </w:rPr>
        <w:t xml:space="preserve"> de Guangarcucho</w:t>
      </w:r>
      <w:r w:rsidRPr="004A2B13" w:rsidR="006653CB">
        <w:rPr>
          <w:rFonts w:ascii="Arial" w:hAnsi="Arial" w:cs="Arial"/>
          <w:sz w:val="22"/>
          <w:szCs w:val="22"/>
        </w:rPr>
        <w:t xml:space="preserve"> (Cuenca, Ecuador)</w:t>
      </w:r>
      <w:r w:rsidRPr="004A2B13" w:rsidR="008C3BC1">
        <w:rPr>
          <w:rFonts w:ascii="Arial" w:hAnsi="Arial" w:cs="Arial"/>
          <w:sz w:val="22"/>
          <w:szCs w:val="22"/>
        </w:rPr>
        <w:t>. Estudio</w:t>
      </w:r>
      <w:r w:rsidRPr="004A2B13" w:rsidR="00E819D0">
        <w:rPr>
          <w:rFonts w:ascii="Arial" w:hAnsi="Arial" w:cs="Arial"/>
          <w:sz w:val="22"/>
          <w:szCs w:val="22"/>
        </w:rPr>
        <w:t xml:space="preserve"> de prestructuración y estructuración de proyectos de inversión pública </w:t>
      </w:r>
      <w:r w:rsidRPr="004A2B13" w:rsidR="008A5DF2">
        <w:rPr>
          <w:rFonts w:ascii="Arial" w:hAnsi="Arial" w:cs="Arial"/>
          <w:sz w:val="22"/>
          <w:szCs w:val="22"/>
        </w:rPr>
        <w:t xml:space="preserve">bajo APP elaborados. </w:t>
      </w:r>
      <w:r w:rsidRPr="004A2B13" w:rsidR="008E1133">
        <w:rPr>
          <w:rFonts w:ascii="Arial" w:hAnsi="Arial" w:cs="Arial"/>
          <w:sz w:val="22"/>
          <w:szCs w:val="22"/>
        </w:rPr>
        <w:t xml:space="preserve">Programa BID </w:t>
      </w:r>
      <w:bookmarkStart w:name="_Hlk53247042" w:id="4"/>
      <w:r w:rsidR="00C738CA">
        <w:rPr>
          <w:rFonts w:ascii="Arial" w:hAnsi="Arial" w:cs="Arial"/>
          <w:sz w:val="22"/>
          <w:szCs w:val="22"/>
        </w:rPr>
        <w:br/>
      </w:r>
      <w:r w:rsidRPr="004A2B13" w:rsidR="008E1133">
        <w:rPr>
          <w:rFonts w:ascii="Arial" w:hAnsi="Arial" w:cs="Arial"/>
          <w:sz w:val="22"/>
          <w:szCs w:val="22"/>
        </w:rPr>
        <w:t xml:space="preserve">EC-L1230 de </w:t>
      </w:r>
      <w:r w:rsidRPr="004A2B13" w:rsidR="00DD5C50">
        <w:rPr>
          <w:rFonts w:ascii="Arial" w:hAnsi="Arial" w:cs="Arial"/>
          <w:sz w:val="22"/>
          <w:szCs w:val="22"/>
        </w:rPr>
        <w:t>mejora de la capacidad fiscal para la inversión pública (2019</w:t>
      </w:r>
      <w:r w:rsidRPr="004A2B13" w:rsidR="004F4820">
        <w:rPr>
          <w:rFonts w:ascii="Arial" w:hAnsi="Arial" w:cs="Arial"/>
          <w:sz w:val="22"/>
          <w:szCs w:val="22"/>
        </w:rPr>
        <w:t>)</w:t>
      </w:r>
      <w:bookmarkEnd w:id="4"/>
      <w:r w:rsidRPr="004A2B13" w:rsidR="004F4820">
        <w:rPr>
          <w:rFonts w:ascii="Arial" w:hAnsi="Arial" w:cs="Arial"/>
          <w:sz w:val="22"/>
          <w:szCs w:val="22"/>
        </w:rPr>
        <w:t xml:space="preserve">. </w:t>
      </w:r>
      <w:r w:rsidRPr="004A2B13" w:rsidR="006A26F2">
        <w:rPr>
          <w:rFonts w:ascii="Arial" w:hAnsi="Arial" w:cs="Arial"/>
          <w:sz w:val="22"/>
          <w:szCs w:val="22"/>
        </w:rPr>
        <w:t xml:space="preserve">La ciudad de Cuenca </w:t>
      </w:r>
      <w:r w:rsidRPr="004A2B13" w:rsidR="00472F5D">
        <w:rPr>
          <w:rFonts w:ascii="Arial" w:hAnsi="Arial" w:cs="Arial"/>
          <w:sz w:val="22"/>
          <w:szCs w:val="22"/>
        </w:rPr>
        <w:t xml:space="preserve">tiene </w:t>
      </w:r>
      <w:r w:rsidRPr="004A2B13" w:rsidR="00BB11AF">
        <w:rPr>
          <w:rFonts w:ascii="Arial" w:hAnsi="Arial" w:cs="Arial"/>
          <w:sz w:val="22"/>
          <w:szCs w:val="22"/>
        </w:rPr>
        <w:t>614</w:t>
      </w:r>
      <w:r w:rsidR="00C738CA">
        <w:rPr>
          <w:rFonts w:ascii="Arial" w:hAnsi="Arial" w:cs="Arial"/>
          <w:sz w:val="22"/>
          <w:szCs w:val="22"/>
        </w:rPr>
        <w:t>.</w:t>
      </w:r>
      <w:r w:rsidRPr="004A2B13" w:rsidR="00BB11AF">
        <w:rPr>
          <w:rFonts w:ascii="Arial" w:hAnsi="Arial" w:cs="Arial"/>
          <w:sz w:val="22"/>
          <w:szCs w:val="22"/>
        </w:rPr>
        <w:t xml:space="preserve">539 en 2020. El </w:t>
      </w:r>
      <w:r w:rsidRPr="004A2B13" w:rsidR="00875833">
        <w:rPr>
          <w:rFonts w:ascii="Arial" w:hAnsi="Arial" w:cs="Arial"/>
          <w:sz w:val="22"/>
          <w:szCs w:val="22"/>
        </w:rPr>
        <w:t xml:space="preserve">costo de la consultoría </w:t>
      </w:r>
      <w:r w:rsidRPr="004A2B13" w:rsidR="001E1582">
        <w:rPr>
          <w:rFonts w:ascii="Arial" w:hAnsi="Arial" w:cs="Arial"/>
          <w:sz w:val="22"/>
          <w:szCs w:val="22"/>
        </w:rPr>
        <w:t>fue</w:t>
      </w:r>
      <w:r w:rsidRPr="004A2B13" w:rsidR="00875833">
        <w:rPr>
          <w:rFonts w:ascii="Arial" w:hAnsi="Arial" w:cs="Arial"/>
          <w:sz w:val="22"/>
          <w:szCs w:val="22"/>
        </w:rPr>
        <w:t xml:space="preserve"> US$</w:t>
      </w:r>
      <w:r w:rsidRPr="004A2B13" w:rsidR="00CE7EC2">
        <w:rPr>
          <w:rFonts w:ascii="Arial" w:hAnsi="Arial" w:cs="Arial"/>
          <w:sz w:val="22"/>
          <w:szCs w:val="22"/>
        </w:rPr>
        <w:t>1,17</w:t>
      </w:r>
      <w:r w:rsidRPr="004A2B13" w:rsidR="00A04BB5">
        <w:rPr>
          <w:rFonts w:ascii="Arial" w:hAnsi="Arial" w:cs="Arial"/>
          <w:sz w:val="22"/>
          <w:szCs w:val="22"/>
        </w:rPr>
        <w:t xml:space="preserve"> millones de 2019, </w:t>
      </w:r>
      <w:r w:rsidRPr="004A2B13" w:rsidR="00A04BB5">
        <w:rPr>
          <w:rFonts w:ascii="Arial" w:hAnsi="Arial" w:cs="Arial"/>
          <w:sz w:val="22"/>
          <w:szCs w:val="22"/>
        </w:rPr>
        <w:lastRenderedPageBreak/>
        <w:t>que equivalen a US$</w:t>
      </w:r>
      <w:r w:rsidRPr="004A2B13" w:rsidR="00153F84">
        <w:rPr>
          <w:rFonts w:ascii="Arial" w:hAnsi="Arial" w:cs="Arial"/>
          <w:sz w:val="22"/>
          <w:szCs w:val="22"/>
        </w:rPr>
        <w:t xml:space="preserve">1,18 millones de 2020 </w:t>
      </w:r>
      <w:r w:rsidRPr="004A2B13" w:rsidR="0058004A">
        <w:rPr>
          <w:rFonts w:ascii="Arial" w:hAnsi="Arial" w:cs="Arial"/>
          <w:sz w:val="22"/>
          <w:szCs w:val="22"/>
        </w:rPr>
        <w:t xml:space="preserve">(valor calculado con el deflactor </w:t>
      </w:r>
      <w:r w:rsidRPr="004A2B13" w:rsidR="00B95740">
        <w:rPr>
          <w:rFonts w:ascii="Arial" w:hAnsi="Arial" w:cs="Arial"/>
          <w:sz w:val="22"/>
          <w:szCs w:val="22"/>
        </w:rPr>
        <w:t xml:space="preserve">del PIB </w:t>
      </w:r>
      <w:r w:rsidRPr="004A2B13" w:rsidR="001E1582">
        <w:rPr>
          <w:rFonts w:ascii="Arial" w:hAnsi="Arial" w:cs="Arial"/>
          <w:sz w:val="22"/>
          <w:szCs w:val="22"/>
        </w:rPr>
        <w:t xml:space="preserve">en dólares </w:t>
      </w:r>
      <w:r w:rsidRPr="004A2B13" w:rsidR="00B95740">
        <w:rPr>
          <w:rFonts w:ascii="Arial" w:hAnsi="Arial" w:cs="Arial"/>
          <w:sz w:val="22"/>
          <w:szCs w:val="22"/>
        </w:rPr>
        <w:t>en</w:t>
      </w:r>
      <w:r w:rsidRPr="004A2B13" w:rsidR="001E1582">
        <w:rPr>
          <w:rFonts w:ascii="Arial" w:hAnsi="Arial" w:cs="Arial"/>
          <w:sz w:val="22"/>
          <w:szCs w:val="22"/>
        </w:rPr>
        <w:t>tre 2019 y 2020</w:t>
      </w:r>
      <w:r w:rsidRPr="004A2B13" w:rsidR="00B95740">
        <w:rPr>
          <w:rFonts w:ascii="Arial" w:hAnsi="Arial" w:cs="Arial"/>
          <w:sz w:val="22"/>
          <w:szCs w:val="22"/>
        </w:rPr>
        <w:t>, que es 1,01).</w:t>
      </w:r>
      <w:r w:rsidRPr="004A2B13" w:rsidR="00CF7961">
        <w:rPr>
          <w:rFonts w:ascii="Arial" w:hAnsi="Arial" w:cs="Arial"/>
          <w:sz w:val="22"/>
          <w:szCs w:val="22"/>
        </w:rPr>
        <w:t xml:space="preserve"> </w:t>
      </w:r>
      <w:r w:rsidRPr="004A2B13" w:rsidR="001735FD">
        <w:rPr>
          <w:rFonts w:ascii="Arial" w:hAnsi="Arial" w:cs="Arial"/>
          <w:b/>
          <w:bCs/>
          <w:sz w:val="22"/>
          <w:szCs w:val="22"/>
        </w:rPr>
        <w:t>El costo unitario es</w:t>
      </w:r>
      <w:r w:rsidRPr="004A2B13" w:rsidR="001735FD">
        <w:rPr>
          <w:rFonts w:ascii="Arial" w:hAnsi="Arial" w:cs="Arial"/>
          <w:sz w:val="22"/>
          <w:szCs w:val="22"/>
        </w:rPr>
        <w:t xml:space="preserve"> </w:t>
      </w:r>
      <w:r w:rsidRPr="004A2B13" w:rsidR="00012E34">
        <w:rPr>
          <w:rFonts w:ascii="Arial" w:hAnsi="Arial" w:cs="Arial"/>
          <w:b/>
          <w:bCs/>
          <w:sz w:val="22"/>
          <w:szCs w:val="22"/>
        </w:rPr>
        <w:t>1,</w:t>
      </w:r>
      <w:r w:rsidRPr="004A2B13" w:rsidR="000C5CF1">
        <w:rPr>
          <w:rFonts w:ascii="Arial" w:hAnsi="Arial" w:cs="Arial"/>
          <w:b/>
          <w:bCs/>
          <w:sz w:val="22"/>
          <w:szCs w:val="22"/>
        </w:rPr>
        <w:t>90 US$/hab</w:t>
      </w:r>
      <w:r w:rsidRPr="004A2B13" w:rsidR="000C5CF1">
        <w:rPr>
          <w:rFonts w:ascii="Arial" w:hAnsi="Arial" w:cs="Arial"/>
          <w:sz w:val="22"/>
          <w:szCs w:val="22"/>
        </w:rPr>
        <w:t xml:space="preserve">. </w:t>
      </w:r>
    </w:p>
    <w:p w:rsidRPr="004A2B13" w:rsidR="00D376A5" w:rsidP="004A2B13" w:rsidRDefault="00DB2864" w14:paraId="440030C0" w14:textId="37A5199C">
      <w:pPr>
        <w:spacing w:before="120" w:after="120"/>
        <w:jc w:val="both"/>
        <w:rPr>
          <w:rFonts w:ascii="Arial" w:hAnsi="Arial" w:cs="Arial"/>
          <w:sz w:val="22"/>
          <w:szCs w:val="22"/>
        </w:rPr>
      </w:pPr>
      <w:r>
        <w:rPr>
          <w:rFonts w:ascii="Arial" w:hAnsi="Arial" w:cs="Arial"/>
          <w:b/>
          <w:bCs/>
          <w:sz w:val="22"/>
          <w:szCs w:val="22"/>
        </w:rPr>
        <w:t>6</w:t>
      </w:r>
      <w:r w:rsidRPr="004A2B13" w:rsidR="00000BCD">
        <w:rPr>
          <w:rFonts w:ascii="Arial" w:hAnsi="Arial" w:cs="Arial"/>
          <w:b/>
          <w:bCs/>
          <w:sz w:val="22"/>
          <w:szCs w:val="22"/>
        </w:rPr>
        <w:t>.</w:t>
      </w:r>
      <w:r w:rsidRPr="004A2B13" w:rsidR="00630B9C">
        <w:rPr>
          <w:rFonts w:ascii="Arial" w:hAnsi="Arial" w:cs="Arial"/>
          <w:b/>
          <w:bCs/>
          <w:sz w:val="22"/>
          <w:szCs w:val="22"/>
        </w:rPr>
        <w:t xml:space="preserve"> </w:t>
      </w:r>
      <w:r w:rsidRPr="004A2B13" w:rsidR="00B43ED7">
        <w:rPr>
          <w:rFonts w:ascii="Arial" w:hAnsi="Arial" w:cs="Arial"/>
          <w:b/>
          <w:bCs/>
          <w:color w:val="4472C4" w:themeColor="accent1"/>
          <w:sz w:val="22"/>
          <w:szCs w:val="22"/>
        </w:rPr>
        <w:t>SA</w:t>
      </w:r>
      <w:r w:rsidRPr="004A2B13" w:rsidR="00B43ED7">
        <w:rPr>
          <w:rFonts w:ascii="Arial" w:hAnsi="Arial" w:cs="Arial"/>
          <w:b/>
          <w:bCs/>
          <w:sz w:val="22"/>
          <w:szCs w:val="22"/>
        </w:rPr>
        <w:t xml:space="preserve">. </w:t>
      </w:r>
      <w:r w:rsidRPr="004A2B13" w:rsidR="008E3559">
        <w:rPr>
          <w:rFonts w:ascii="Arial" w:hAnsi="Arial" w:cs="Arial"/>
          <w:sz w:val="22"/>
          <w:szCs w:val="22"/>
        </w:rPr>
        <w:t xml:space="preserve">Agrupación de 2 intervenciones: </w:t>
      </w:r>
      <w:r w:rsidRPr="004A2B13" w:rsidR="00F55C35">
        <w:rPr>
          <w:rFonts w:ascii="Arial" w:hAnsi="Arial" w:cs="Arial"/>
          <w:sz w:val="22"/>
          <w:szCs w:val="22"/>
        </w:rPr>
        <w:t xml:space="preserve">Estructuración de centros </w:t>
      </w:r>
      <w:r w:rsidRPr="004A2B13" w:rsidR="00B734C6">
        <w:rPr>
          <w:rFonts w:ascii="Arial" w:hAnsi="Arial" w:cs="Arial"/>
          <w:sz w:val="22"/>
          <w:szCs w:val="22"/>
        </w:rPr>
        <w:t>de atención primarios en redes de prestación de servicios de salud bajo esquemas APP</w:t>
      </w:r>
      <w:r w:rsidRPr="004A2B13" w:rsidR="003731F9">
        <w:rPr>
          <w:rFonts w:ascii="Arial" w:hAnsi="Arial" w:cs="Arial"/>
          <w:sz w:val="22"/>
          <w:szCs w:val="22"/>
        </w:rPr>
        <w:t xml:space="preserve"> (primer proyecto)</w:t>
      </w:r>
      <w:r w:rsidRPr="004A2B13" w:rsidR="00E95D50">
        <w:rPr>
          <w:rFonts w:ascii="Arial" w:hAnsi="Arial" w:cs="Arial"/>
          <w:sz w:val="22"/>
          <w:szCs w:val="22"/>
        </w:rPr>
        <w:t xml:space="preserve"> + </w:t>
      </w:r>
      <w:r w:rsidRPr="004A2B13" w:rsidR="00E92379">
        <w:rPr>
          <w:rFonts w:ascii="Arial" w:hAnsi="Arial" w:cs="Arial"/>
          <w:sz w:val="22"/>
          <w:szCs w:val="22"/>
        </w:rPr>
        <w:t xml:space="preserve">estructuración de un proyecto de infraestructura hospitalaria en </w:t>
      </w:r>
      <w:r w:rsidRPr="004A2B13" w:rsidR="005D05C0">
        <w:rPr>
          <w:rFonts w:ascii="Arial" w:hAnsi="Arial" w:cs="Arial"/>
          <w:sz w:val="22"/>
          <w:szCs w:val="22"/>
        </w:rPr>
        <w:t>una entidad territorial, que incluya tanto inf</w:t>
      </w:r>
      <w:r w:rsidRPr="004A2B13" w:rsidR="002B4E97">
        <w:rPr>
          <w:rFonts w:ascii="Arial" w:hAnsi="Arial" w:cs="Arial"/>
          <w:sz w:val="22"/>
          <w:szCs w:val="22"/>
        </w:rPr>
        <w:t>raestructura tradicional como modelos de atención pública basados en telesalud</w:t>
      </w:r>
      <w:r w:rsidRPr="004A2B13" w:rsidR="003731F9">
        <w:rPr>
          <w:rFonts w:ascii="Arial" w:hAnsi="Arial" w:cs="Arial"/>
          <w:sz w:val="22"/>
          <w:szCs w:val="22"/>
        </w:rPr>
        <w:t xml:space="preserve"> (segundo proyecto)</w:t>
      </w:r>
      <w:r w:rsidRPr="004A2B13" w:rsidR="002B4E97">
        <w:rPr>
          <w:rFonts w:ascii="Arial" w:hAnsi="Arial" w:cs="Arial"/>
          <w:sz w:val="22"/>
          <w:szCs w:val="22"/>
        </w:rPr>
        <w:t xml:space="preserve">. Comparador: </w:t>
      </w:r>
      <w:r w:rsidRPr="004A2B13" w:rsidR="00726707">
        <w:rPr>
          <w:rFonts w:ascii="Arial" w:hAnsi="Arial" w:cs="Arial"/>
          <w:sz w:val="22"/>
          <w:szCs w:val="22"/>
        </w:rPr>
        <w:t xml:space="preserve">Estructuración </w:t>
      </w:r>
      <w:r w:rsidRPr="004A2B13" w:rsidR="00A90C65">
        <w:rPr>
          <w:rFonts w:ascii="Arial" w:hAnsi="Arial" w:cs="Arial"/>
          <w:sz w:val="22"/>
          <w:szCs w:val="22"/>
        </w:rPr>
        <w:t>técnica</w:t>
      </w:r>
      <w:r w:rsidRPr="004A2B13" w:rsidR="00731CEF">
        <w:rPr>
          <w:rFonts w:ascii="Arial" w:hAnsi="Arial" w:cs="Arial"/>
          <w:sz w:val="22"/>
          <w:szCs w:val="22"/>
        </w:rPr>
        <w:t>, legal y financiera de asociación público</w:t>
      </w:r>
      <w:r w:rsidRPr="004A2B13" w:rsidR="00190128">
        <w:rPr>
          <w:rFonts w:ascii="Arial" w:hAnsi="Arial" w:cs="Arial"/>
          <w:sz w:val="22"/>
          <w:szCs w:val="22"/>
        </w:rPr>
        <w:t>-</w:t>
      </w:r>
      <w:r w:rsidRPr="004A2B13" w:rsidR="00731CEF">
        <w:rPr>
          <w:rFonts w:ascii="Arial" w:hAnsi="Arial" w:cs="Arial"/>
          <w:sz w:val="22"/>
          <w:szCs w:val="22"/>
        </w:rPr>
        <w:t xml:space="preserve">privada en </w:t>
      </w:r>
      <w:r w:rsidRPr="004A2B13" w:rsidR="009572C0">
        <w:rPr>
          <w:rFonts w:ascii="Arial" w:hAnsi="Arial" w:cs="Arial"/>
          <w:sz w:val="22"/>
          <w:szCs w:val="22"/>
        </w:rPr>
        <w:t xml:space="preserve">salud y asesorar el proceso contractual hasta la adjudicación de los proyectos. </w:t>
      </w:r>
      <w:r w:rsidRPr="004A2B13" w:rsidR="00F8692F">
        <w:rPr>
          <w:rFonts w:ascii="Arial" w:hAnsi="Arial" w:cs="Arial"/>
          <w:sz w:val="22"/>
          <w:szCs w:val="22"/>
        </w:rPr>
        <w:t xml:space="preserve">Convenio interadministrativo </w:t>
      </w:r>
      <w:r w:rsidRPr="004A2B13" w:rsidR="00234748">
        <w:rPr>
          <w:rFonts w:ascii="Arial" w:hAnsi="Arial" w:cs="Arial"/>
          <w:sz w:val="22"/>
          <w:szCs w:val="22"/>
        </w:rPr>
        <w:t xml:space="preserve">1796 </w:t>
      </w:r>
      <w:r w:rsidRPr="004A2B13" w:rsidR="00F8692F">
        <w:rPr>
          <w:rFonts w:ascii="Arial" w:hAnsi="Arial" w:cs="Arial"/>
          <w:sz w:val="22"/>
          <w:szCs w:val="22"/>
        </w:rPr>
        <w:t xml:space="preserve">entre la Financiera de Desarrollo Nacional (FDN) y </w:t>
      </w:r>
      <w:r w:rsidRPr="004A2B13" w:rsidR="00234748">
        <w:rPr>
          <w:rFonts w:ascii="Arial" w:hAnsi="Arial" w:cs="Arial"/>
          <w:sz w:val="22"/>
          <w:szCs w:val="22"/>
        </w:rPr>
        <w:t xml:space="preserve">el Fondo Financiero Distrital de Salud. </w:t>
      </w:r>
      <w:r w:rsidRPr="004A2B13" w:rsidR="00190128">
        <w:rPr>
          <w:rFonts w:ascii="Arial" w:hAnsi="Arial" w:cs="Arial"/>
          <w:sz w:val="22"/>
          <w:szCs w:val="22"/>
        </w:rPr>
        <w:t xml:space="preserve">Bogotá (Colombia). </w:t>
      </w:r>
      <w:r w:rsidRPr="004A2B13" w:rsidR="00650C24">
        <w:rPr>
          <w:rFonts w:ascii="Arial" w:hAnsi="Arial" w:cs="Arial"/>
          <w:sz w:val="22"/>
          <w:szCs w:val="22"/>
        </w:rPr>
        <w:t>Finalizado en 201</w:t>
      </w:r>
      <w:r w:rsidRPr="004A2B13" w:rsidR="00741327">
        <w:rPr>
          <w:rFonts w:ascii="Arial" w:hAnsi="Arial" w:cs="Arial"/>
          <w:sz w:val="22"/>
          <w:szCs w:val="22"/>
        </w:rPr>
        <w:t>7</w:t>
      </w:r>
      <w:r w:rsidRPr="004A2B13" w:rsidR="00650C24">
        <w:rPr>
          <w:rFonts w:ascii="Arial" w:hAnsi="Arial" w:cs="Arial"/>
          <w:sz w:val="22"/>
          <w:szCs w:val="22"/>
        </w:rPr>
        <w:t xml:space="preserve">. </w:t>
      </w:r>
      <w:r w:rsidRPr="004A2B13" w:rsidR="00536BB5">
        <w:rPr>
          <w:rFonts w:ascii="Arial" w:hAnsi="Arial" w:cs="Arial"/>
          <w:sz w:val="22"/>
          <w:szCs w:val="22"/>
        </w:rPr>
        <w:t xml:space="preserve">Estructuró </w:t>
      </w:r>
      <w:r w:rsidRPr="004A2B13" w:rsidR="009B5637">
        <w:rPr>
          <w:rFonts w:ascii="Arial" w:hAnsi="Arial" w:cs="Arial"/>
          <w:sz w:val="22"/>
          <w:szCs w:val="22"/>
        </w:rPr>
        <w:t>6 nuevos hospitales p</w:t>
      </w:r>
      <w:r w:rsidRPr="004A2B13" w:rsidR="00224DF6">
        <w:rPr>
          <w:rFonts w:ascii="Arial" w:hAnsi="Arial" w:cs="Arial"/>
          <w:sz w:val="22"/>
          <w:szCs w:val="22"/>
        </w:rPr>
        <w:t>or el mecanismo de APP</w:t>
      </w:r>
      <w:r w:rsidRPr="004A2B13" w:rsidR="001047EB">
        <w:rPr>
          <w:rFonts w:ascii="Arial" w:hAnsi="Arial" w:cs="Arial"/>
          <w:sz w:val="22"/>
          <w:szCs w:val="22"/>
        </w:rPr>
        <w:t xml:space="preserve"> (4 de ellos </w:t>
      </w:r>
      <w:r w:rsidRPr="004A2B13" w:rsidR="0010550D">
        <w:rPr>
          <w:rFonts w:ascii="Arial" w:hAnsi="Arial" w:cs="Arial"/>
          <w:sz w:val="22"/>
          <w:szCs w:val="22"/>
        </w:rPr>
        <w:t>niveles II y III)</w:t>
      </w:r>
      <w:r w:rsidRPr="004A2B13" w:rsidR="00224DF6">
        <w:rPr>
          <w:rFonts w:ascii="Arial" w:hAnsi="Arial" w:cs="Arial"/>
          <w:sz w:val="22"/>
          <w:szCs w:val="22"/>
        </w:rPr>
        <w:t xml:space="preserve">. </w:t>
      </w:r>
      <w:r w:rsidRPr="004A2B13" w:rsidR="00741327">
        <w:rPr>
          <w:rFonts w:ascii="Arial" w:hAnsi="Arial" w:cs="Arial"/>
          <w:sz w:val="22"/>
          <w:szCs w:val="22"/>
        </w:rPr>
        <w:t xml:space="preserve">El costo de las consultorías fue de </w:t>
      </w:r>
      <w:r w:rsidRPr="004A2B13" w:rsidR="007B5F02">
        <w:rPr>
          <w:rFonts w:ascii="Arial" w:hAnsi="Arial" w:cs="Arial"/>
          <w:sz w:val="22"/>
          <w:szCs w:val="22"/>
        </w:rPr>
        <w:t>COP$15,4 mil millones</w:t>
      </w:r>
      <w:r w:rsidRPr="004A2B13" w:rsidR="00210924">
        <w:rPr>
          <w:rFonts w:ascii="Arial" w:hAnsi="Arial" w:cs="Arial"/>
          <w:sz w:val="22"/>
          <w:szCs w:val="22"/>
        </w:rPr>
        <w:t xml:space="preserve"> de 2017. </w:t>
      </w:r>
      <w:r w:rsidRPr="004A2B13" w:rsidR="006E6E39">
        <w:rPr>
          <w:rFonts w:ascii="Arial" w:hAnsi="Arial" w:cs="Arial"/>
          <w:sz w:val="22"/>
          <w:szCs w:val="22"/>
        </w:rPr>
        <w:t xml:space="preserve">Esto equivale a </w:t>
      </w:r>
      <w:r w:rsidR="00EF3F37">
        <w:rPr>
          <w:rFonts w:ascii="Arial" w:hAnsi="Arial" w:cs="Arial"/>
          <w:sz w:val="22"/>
          <w:szCs w:val="22"/>
        </w:rPr>
        <w:br/>
      </w:r>
      <w:r w:rsidRPr="004A2B13" w:rsidR="00042A29">
        <w:rPr>
          <w:rFonts w:ascii="Arial" w:hAnsi="Arial" w:cs="Arial"/>
          <w:sz w:val="22"/>
          <w:szCs w:val="22"/>
        </w:rPr>
        <w:t>US$5,4 millones de 2020</w:t>
      </w:r>
      <w:r w:rsidRPr="004A2B13" w:rsidR="006E6E39">
        <w:rPr>
          <w:rFonts w:ascii="Arial" w:hAnsi="Arial" w:cs="Arial"/>
          <w:sz w:val="22"/>
          <w:szCs w:val="22"/>
        </w:rPr>
        <w:t>. Para llegar a este monto se convierte la inversión a US$ de 2017 con la tasa de cam</w:t>
      </w:r>
      <w:r w:rsidRPr="004A2B13" w:rsidR="009764AF">
        <w:rPr>
          <w:rFonts w:ascii="Arial" w:hAnsi="Arial" w:cs="Arial"/>
          <w:sz w:val="22"/>
          <w:szCs w:val="22"/>
        </w:rPr>
        <w:t>bi</w:t>
      </w:r>
      <w:r w:rsidRPr="004A2B13" w:rsidR="006E6E39">
        <w:rPr>
          <w:rFonts w:ascii="Arial" w:hAnsi="Arial" w:cs="Arial"/>
          <w:sz w:val="22"/>
          <w:szCs w:val="22"/>
        </w:rPr>
        <w:t>o de diciembre de 201</w:t>
      </w:r>
      <w:r w:rsidRPr="004A2B13" w:rsidR="009764AF">
        <w:rPr>
          <w:rFonts w:ascii="Arial" w:hAnsi="Arial" w:cs="Arial"/>
          <w:sz w:val="22"/>
          <w:szCs w:val="22"/>
        </w:rPr>
        <w:t>7</w:t>
      </w:r>
      <w:r w:rsidRPr="004A2B13" w:rsidR="006E6E39">
        <w:rPr>
          <w:rFonts w:ascii="Arial" w:hAnsi="Arial" w:cs="Arial"/>
          <w:sz w:val="22"/>
          <w:szCs w:val="22"/>
        </w:rPr>
        <w:t xml:space="preserve"> (</w:t>
      </w:r>
      <w:r w:rsidRPr="004A2B13" w:rsidR="005A2A2F">
        <w:rPr>
          <w:rFonts w:ascii="Arial" w:hAnsi="Arial" w:cs="Arial"/>
          <w:sz w:val="22"/>
          <w:szCs w:val="22"/>
        </w:rPr>
        <w:t>2</w:t>
      </w:r>
      <w:r w:rsidR="00C738CA">
        <w:rPr>
          <w:rFonts w:ascii="Arial" w:hAnsi="Arial" w:cs="Arial"/>
          <w:sz w:val="22"/>
          <w:szCs w:val="22"/>
        </w:rPr>
        <w:t>.</w:t>
      </w:r>
      <w:r w:rsidRPr="004A2B13" w:rsidR="005A2A2F">
        <w:rPr>
          <w:rFonts w:ascii="Arial" w:hAnsi="Arial" w:cs="Arial"/>
          <w:sz w:val="22"/>
          <w:szCs w:val="22"/>
        </w:rPr>
        <w:t>984</w:t>
      </w:r>
      <w:r w:rsidR="00C738CA">
        <w:rPr>
          <w:rFonts w:ascii="Arial" w:hAnsi="Arial" w:cs="Arial"/>
          <w:sz w:val="22"/>
          <w:szCs w:val="22"/>
        </w:rPr>
        <w:t>.</w:t>
      </w:r>
      <w:r w:rsidRPr="004A2B13" w:rsidR="005A2A2F">
        <w:rPr>
          <w:rFonts w:ascii="Arial" w:hAnsi="Arial" w:cs="Arial"/>
          <w:sz w:val="22"/>
          <w:szCs w:val="22"/>
        </w:rPr>
        <w:t>00</w:t>
      </w:r>
      <w:r w:rsidRPr="004A2B13" w:rsidR="006E6E39">
        <w:rPr>
          <w:rFonts w:ascii="Arial" w:hAnsi="Arial" w:cs="Arial"/>
          <w:sz w:val="22"/>
          <w:szCs w:val="22"/>
        </w:rPr>
        <w:t xml:space="preserve"> COP$/US$) y luego se aplica el deflactor del PIB en dólares entre 201</w:t>
      </w:r>
      <w:r w:rsidRPr="004A2B13" w:rsidR="009764AF">
        <w:rPr>
          <w:rFonts w:ascii="Arial" w:hAnsi="Arial" w:cs="Arial"/>
          <w:sz w:val="22"/>
          <w:szCs w:val="22"/>
        </w:rPr>
        <w:t>7</w:t>
      </w:r>
      <w:r w:rsidRPr="004A2B13" w:rsidR="006E6E39">
        <w:rPr>
          <w:rFonts w:ascii="Arial" w:hAnsi="Arial" w:cs="Arial"/>
          <w:sz w:val="22"/>
          <w:szCs w:val="22"/>
        </w:rPr>
        <w:t xml:space="preserve"> y 2020 (1,0</w:t>
      </w:r>
      <w:r w:rsidRPr="004A2B13" w:rsidR="002B44DB">
        <w:rPr>
          <w:rFonts w:ascii="Arial" w:hAnsi="Arial" w:cs="Arial"/>
          <w:sz w:val="22"/>
          <w:szCs w:val="22"/>
        </w:rPr>
        <w:t>5</w:t>
      </w:r>
      <w:r w:rsidRPr="004A2B13" w:rsidR="006E6E39">
        <w:rPr>
          <w:rFonts w:ascii="Arial" w:hAnsi="Arial" w:cs="Arial"/>
          <w:sz w:val="22"/>
          <w:szCs w:val="22"/>
        </w:rPr>
        <w:t>).</w:t>
      </w:r>
      <w:r w:rsidRPr="004A2B13" w:rsidR="00122AC5">
        <w:rPr>
          <w:rFonts w:ascii="Arial" w:hAnsi="Arial" w:cs="Arial"/>
          <w:sz w:val="22"/>
          <w:szCs w:val="22"/>
        </w:rPr>
        <w:t xml:space="preserve"> </w:t>
      </w:r>
      <w:r w:rsidRPr="004A2B13" w:rsidR="001762A2">
        <w:rPr>
          <w:rFonts w:ascii="Arial" w:hAnsi="Arial" w:cs="Arial"/>
          <w:sz w:val="22"/>
          <w:szCs w:val="22"/>
        </w:rPr>
        <w:t>Para asegurar la comparabilidad, esta cifra se</w:t>
      </w:r>
      <w:r w:rsidRPr="004A2B13" w:rsidR="0035328C">
        <w:rPr>
          <w:rFonts w:ascii="Arial" w:hAnsi="Arial" w:cs="Arial"/>
          <w:sz w:val="22"/>
          <w:szCs w:val="22"/>
        </w:rPr>
        <w:t xml:space="preserve"> multiplica por </w:t>
      </w:r>
      <w:r w:rsidRPr="004A2B13" w:rsidR="00B96A8C">
        <w:rPr>
          <w:rFonts w:ascii="Arial" w:hAnsi="Arial" w:cs="Arial"/>
          <w:sz w:val="22"/>
          <w:szCs w:val="22"/>
        </w:rPr>
        <w:t>0,</w:t>
      </w:r>
      <w:r w:rsidRPr="004A2B13" w:rsidR="00140B5F">
        <w:rPr>
          <w:rFonts w:ascii="Arial" w:hAnsi="Arial" w:cs="Arial"/>
          <w:sz w:val="22"/>
          <w:szCs w:val="22"/>
        </w:rPr>
        <w:t xml:space="preserve">5 (cociente entre número de </w:t>
      </w:r>
      <w:r w:rsidRPr="004A2B13" w:rsidR="00DB32D3">
        <w:rPr>
          <w:rFonts w:ascii="Arial" w:hAnsi="Arial" w:cs="Arial"/>
          <w:sz w:val="22"/>
          <w:szCs w:val="22"/>
        </w:rPr>
        <w:t>instalaciones clínicas</w:t>
      </w:r>
      <w:r w:rsidRPr="004A2B13" w:rsidR="00140B5F">
        <w:rPr>
          <w:rFonts w:ascii="Arial" w:hAnsi="Arial" w:cs="Arial"/>
          <w:sz w:val="22"/>
          <w:szCs w:val="22"/>
        </w:rPr>
        <w:t xml:space="preserve"> </w:t>
      </w:r>
      <w:r w:rsidRPr="004A2B13" w:rsidR="00082B74">
        <w:rPr>
          <w:rFonts w:ascii="Arial" w:hAnsi="Arial" w:cs="Arial"/>
          <w:sz w:val="22"/>
          <w:szCs w:val="22"/>
        </w:rPr>
        <w:t xml:space="preserve">del mismo tipo </w:t>
      </w:r>
      <w:r w:rsidRPr="004A2B13" w:rsidR="00140B5F">
        <w:rPr>
          <w:rFonts w:ascii="Arial" w:hAnsi="Arial" w:cs="Arial"/>
          <w:sz w:val="22"/>
          <w:szCs w:val="22"/>
        </w:rPr>
        <w:t>que se estructuran en esta operación</w:t>
      </w:r>
      <w:r w:rsidRPr="004A2B13" w:rsidR="005631CB">
        <w:rPr>
          <w:rFonts w:ascii="Arial" w:hAnsi="Arial" w:cs="Arial"/>
          <w:sz w:val="22"/>
          <w:szCs w:val="22"/>
        </w:rPr>
        <w:t xml:space="preserve"> y en la estructuración del comparador</w:t>
      </w:r>
      <w:r w:rsidRPr="004A2B13" w:rsidR="00082B74">
        <w:rPr>
          <w:rFonts w:ascii="Arial" w:hAnsi="Arial" w:cs="Arial"/>
          <w:sz w:val="22"/>
          <w:szCs w:val="22"/>
        </w:rPr>
        <w:t>)</w:t>
      </w:r>
      <w:r w:rsidRPr="004A2B13" w:rsidR="005631CB">
        <w:rPr>
          <w:rFonts w:ascii="Arial" w:hAnsi="Arial" w:cs="Arial"/>
          <w:sz w:val="22"/>
          <w:szCs w:val="22"/>
        </w:rPr>
        <w:t xml:space="preserve">. Esto equivale a un </w:t>
      </w:r>
      <w:r w:rsidRPr="004A2B13" w:rsidR="005631CB">
        <w:rPr>
          <w:rFonts w:ascii="Arial" w:hAnsi="Arial" w:cs="Arial"/>
          <w:b/>
          <w:bCs/>
          <w:sz w:val="22"/>
          <w:szCs w:val="22"/>
        </w:rPr>
        <w:t xml:space="preserve">costo </w:t>
      </w:r>
      <w:r w:rsidRPr="004A2B13" w:rsidR="00182AE4">
        <w:rPr>
          <w:rFonts w:ascii="Arial" w:hAnsi="Arial" w:cs="Arial"/>
          <w:b/>
          <w:bCs/>
          <w:sz w:val="22"/>
          <w:szCs w:val="22"/>
        </w:rPr>
        <w:t xml:space="preserve">total </w:t>
      </w:r>
      <w:r w:rsidRPr="004A2B13" w:rsidR="005631CB">
        <w:rPr>
          <w:rFonts w:ascii="Arial" w:hAnsi="Arial" w:cs="Arial"/>
          <w:b/>
          <w:bCs/>
          <w:sz w:val="22"/>
          <w:szCs w:val="22"/>
        </w:rPr>
        <w:t>de</w:t>
      </w:r>
      <w:r w:rsidRPr="004A2B13" w:rsidR="005631CB">
        <w:rPr>
          <w:rFonts w:ascii="Arial" w:hAnsi="Arial" w:cs="Arial"/>
          <w:sz w:val="22"/>
          <w:szCs w:val="22"/>
        </w:rPr>
        <w:t xml:space="preserve"> </w:t>
      </w:r>
      <w:r w:rsidRPr="004A2B13" w:rsidR="005631CB">
        <w:rPr>
          <w:rFonts w:ascii="Arial" w:hAnsi="Arial" w:cs="Arial"/>
          <w:b/>
          <w:bCs/>
          <w:sz w:val="22"/>
          <w:szCs w:val="22"/>
        </w:rPr>
        <w:t>US$2,7 millones</w:t>
      </w:r>
      <w:r w:rsidRPr="004A2B13" w:rsidR="005631CB">
        <w:rPr>
          <w:rFonts w:ascii="Arial" w:hAnsi="Arial" w:cs="Arial"/>
          <w:sz w:val="22"/>
          <w:szCs w:val="22"/>
        </w:rPr>
        <w:t xml:space="preserve"> de 2020. </w:t>
      </w:r>
    </w:p>
    <w:p w:rsidRPr="004A2B13" w:rsidR="00082B74" w:rsidP="004A2B13" w:rsidRDefault="00B734C6" w14:paraId="3C358501" w14:textId="009DC18E">
      <w:pPr>
        <w:spacing w:before="120" w:after="120"/>
        <w:jc w:val="both"/>
        <w:rPr>
          <w:rFonts w:ascii="Arial" w:hAnsi="Arial" w:cs="Arial"/>
          <w:b/>
          <w:bCs/>
          <w:sz w:val="22"/>
          <w:szCs w:val="22"/>
        </w:rPr>
      </w:pPr>
      <w:r w:rsidRPr="004A2B13">
        <w:rPr>
          <w:rFonts w:ascii="Arial" w:hAnsi="Arial" w:cs="Arial"/>
          <w:b/>
          <w:bCs/>
          <w:sz w:val="22"/>
          <w:szCs w:val="22"/>
        </w:rPr>
        <w:t>3.</w:t>
      </w:r>
      <w:r w:rsidRPr="004A2B13" w:rsidR="000D5251">
        <w:rPr>
          <w:rFonts w:ascii="Arial" w:hAnsi="Arial" w:cs="Arial"/>
          <w:b/>
          <w:bCs/>
          <w:sz w:val="22"/>
          <w:szCs w:val="22"/>
        </w:rPr>
        <w:t>5</w:t>
      </w:r>
      <w:r w:rsidRPr="004A2B13" w:rsidR="00176E1C">
        <w:rPr>
          <w:rFonts w:ascii="Arial" w:hAnsi="Arial" w:cs="Arial"/>
          <w:b/>
          <w:bCs/>
          <w:sz w:val="22"/>
          <w:szCs w:val="22"/>
        </w:rPr>
        <w:t>.</w:t>
      </w:r>
      <w:r w:rsidRPr="004A2B13">
        <w:rPr>
          <w:rFonts w:ascii="Arial" w:hAnsi="Arial" w:cs="Arial"/>
          <w:b/>
          <w:bCs/>
          <w:sz w:val="22"/>
          <w:szCs w:val="22"/>
        </w:rPr>
        <w:t xml:space="preserve"> </w:t>
      </w:r>
      <w:r w:rsidRPr="004A2B13" w:rsidR="000D5251">
        <w:rPr>
          <w:rFonts w:ascii="Arial" w:hAnsi="Arial" w:cs="Arial"/>
          <w:b/>
          <w:bCs/>
          <w:sz w:val="22"/>
          <w:szCs w:val="22"/>
        </w:rPr>
        <w:t>Costo de c</w:t>
      </w:r>
      <w:r w:rsidRPr="004A2B13">
        <w:rPr>
          <w:rFonts w:ascii="Arial" w:hAnsi="Arial" w:cs="Arial"/>
          <w:b/>
          <w:bCs/>
          <w:sz w:val="22"/>
          <w:szCs w:val="22"/>
        </w:rPr>
        <w:t xml:space="preserve">omparadores </w:t>
      </w:r>
      <w:r w:rsidRPr="004A2B13" w:rsidR="007C24D7">
        <w:rPr>
          <w:rFonts w:ascii="Arial" w:hAnsi="Arial" w:cs="Arial"/>
          <w:b/>
          <w:bCs/>
          <w:sz w:val="22"/>
          <w:szCs w:val="22"/>
        </w:rPr>
        <w:t>Componente II</w:t>
      </w:r>
    </w:p>
    <w:p w:rsidRPr="004A2B13" w:rsidR="009B71B6" w:rsidP="004A2B13" w:rsidRDefault="00B44F67" w14:paraId="31F1FAB2" w14:textId="5B6F2951">
      <w:pPr>
        <w:spacing w:before="120" w:after="120"/>
        <w:jc w:val="both"/>
        <w:rPr>
          <w:rFonts w:ascii="Arial" w:hAnsi="Arial" w:cs="Arial"/>
          <w:sz w:val="22"/>
          <w:szCs w:val="22"/>
        </w:rPr>
      </w:pPr>
      <w:r w:rsidRPr="004A2B13">
        <w:rPr>
          <w:rFonts w:ascii="Arial" w:hAnsi="Arial" w:cs="Arial"/>
          <w:b/>
          <w:bCs/>
          <w:sz w:val="22"/>
          <w:szCs w:val="22"/>
        </w:rPr>
        <w:t xml:space="preserve">7. </w:t>
      </w:r>
      <w:bookmarkStart w:name="_Hlk53302362" w:id="5"/>
      <w:r w:rsidRPr="004A2B13" w:rsidR="000A3327">
        <w:rPr>
          <w:rFonts w:ascii="Arial" w:hAnsi="Arial" w:cs="Arial"/>
          <w:b/>
          <w:bCs/>
          <w:color w:val="4472C4" w:themeColor="accent1"/>
          <w:sz w:val="22"/>
          <w:szCs w:val="22"/>
        </w:rPr>
        <w:t>TR</w:t>
      </w:r>
      <w:r w:rsidRPr="004A2B13" w:rsidR="000A3327">
        <w:rPr>
          <w:rFonts w:ascii="Arial" w:hAnsi="Arial" w:cs="Arial"/>
          <w:b/>
          <w:bCs/>
          <w:sz w:val="22"/>
          <w:szCs w:val="22"/>
        </w:rPr>
        <w:t xml:space="preserve">. </w:t>
      </w:r>
      <w:r w:rsidRPr="004A2B13" w:rsidR="00AA024C">
        <w:rPr>
          <w:rFonts w:ascii="Arial" w:hAnsi="Arial" w:cs="Arial"/>
          <w:sz w:val="22"/>
          <w:szCs w:val="22"/>
        </w:rPr>
        <w:t xml:space="preserve">Agrupación de 3 intervenciones: </w:t>
      </w:r>
      <w:r w:rsidRPr="004A2B13" w:rsidR="00E607B7">
        <w:rPr>
          <w:rFonts w:ascii="Arial" w:hAnsi="Arial" w:cs="Arial"/>
          <w:sz w:val="22"/>
          <w:szCs w:val="22"/>
        </w:rPr>
        <w:t xml:space="preserve">Desarrollo de guías de gestión contractual de APP + </w:t>
      </w:r>
      <w:r w:rsidRPr="004A2B13" w:rsidR="00BD7FAE">
        <w:rPr>
          <w:rFonts w:ascii="Arial" w:hAnsi="Arial" w:cs="Arial"/>
          <w:sz w:val="22"/>
          <w:szCs w:val="22"/>
        </w:rPr>
        <w:t xml:space="preserve">Guía sobre alcance técnico de estructuraciones + </w:t>
      </w:r>
      <w:r w:rsidRPr="004A2B13" w:rsidR="00B71303">
        <w:rPr>
          <w:rFonts w:ascii="Arial" w:hAnsi="Arial" w:cs="Arial"/>
          <w:sz w:val="22"/>
          <w:szCs w:val="22"/>
        </w:rPr>
        <w:t xml:space="preserve">análisis experiencias internacionales </w:t>
      </w:r>
      <w:r w:rsidRPr="004A2B13" w:rsidR="00F73925">
        <w:rPr>
          <w:rFonts w:ascii="Arial" w:hAnsi="Arial" w:cs="Arial"/>
          <w:sz w:val="22"/>
          <w:szCs w:val="22"/>
        </w:rPr>
        <w:t>de participación privada y adaptación a Colombia</w:t>
      </w:r>
      <w:bookmarkEnd w:id="5"/>
      <w:r w:rsidRPr="004A2B13" w:rsidR="00F73925">
        <w:rPr>
          <w:rFonts w:ascii="Arial" w:hAnsi="Arial" w:cs="Arial"/>
          <w:sz w:val="22"/>
          <w:szCs w:val="22"/>
        </w:rPr>
        <w:t xml:space="preserve">. Comparador: </w:t>
      </w:r>
      <w:r w:rsidRPr="004A2B13" w:rsidR="0037409F">
        <w:rPr>
          <w:rFonts w:ascii="Arial" w:hAnsi="Arial" w:cs="Arial"/>
          <w:sz w:val="22"/>
          <w:szCs w:val="22"/>
        </w:rPr>
        <w:t>Componente 1. Creación y fortalecimiento de los instrumentos de gestión fiscal responsable de la inversión pública a través de APP del Program</w:t>
      </w:r>
      <w:r w:rsidRPr="004A2B13" w:rsidR="00224E05">
        <w:rPr>
          <w:rFonts w:ascii="Arial" w:hAnsi="Arial" w:cs="Arial"/>
          <w:sz w:val="22"/>
          <w:szCs w:val="22"/>
        </w:rPr>
        <w:t>a BID EC-L1230 de mejora de la capacidad fiscal para la inversión pública e</w:t>
      </w:r>
      <w:r w:rsidRPr="004A2B13" w:rsidR="005B0580">
        <w:rPr>
          <w:rFonts w:ascii="Arial" w:hAnsi="Arial" w:cs="Arial"/>
          <w:sz w:val="22"/>
          <w:szCs w:val="22"/>
        </w:rPr>
        <w:t>n</w:t>
      </w:r>
      <w:r w:rsidRPr="004A2B13" w:rsidR="00224E05">
        <w:rPr>
          <w:rFonts w:ascii="Arial" w:hAnsi="Arial" w:cs="Arial"/>
          <w:sz w:val="22"/>
          <w:szCs w:val="22"/>
        </w:rPr>
        <w:t xml:space="preserve"> Ecuador (2019)</w:t>
      </w:r>
      <w:r w:rsidRPr="004A2B13" w:rsidR="005B0580">
        <w:rPr>
          <w:rFonts w:ascii="Arial" w:hAnsi="Arial" w:cs="Arial"/>
          <w:sz w:val="22"/>
          <w:szCs w:val="22"/>
        </w:rPr>
        <w:t xml:space="preserve">. </w:t>
      </w:r>
      <w:r w:rsidRPr="004A2B13" w:rsidR="00B526A9">
        <w:rPr>
          <w:rFonts w:ascii="Arial" w:hAnsi="Arial" w:cs="Arial"/>
          <w:sz w:val="22"/>
          <w:szCs w:val="22"/>
        </w:rPr>
        <w:t>El costo de este componente es de US$</w:t>
      </w:r>
      <w:r w:rsidRPr="004A2B13" w:rsidR="00981EA8">
        <w:rPr>
          <w:rFonts w:ascii="Arial" w:hAnsi="Arial" w:cs="Arial"/>
          <w:sz w:val="22"/>
          <w:szCs w:val="22"/>
        </w:rPr>
        <w:t>2</w:t>
      </w:r>
      <w:r w:rsidR="00EF3F37">
        <w:rPr>
          <w:rFonts w:ascii="Arial" w:hAnsi="Arial" w:cs="Arial"/>
          <w:sz w:val="22"/>
          <w:szCs w:val="22"/>
        </w:rPr>
        <w:t>,</w:t>
      </w:r>
      <w:r w:rsidRPr="004A2B13" w:rsidR="00981EA8">
        <w:rPr>
          <w:rFonts w:ascii="Arial" w:hAnsi="Arial" w:cs="Arial"/>
          <w:sz w:val="22"/>
          <w:szCs w:val="22"/>
        </w:rPr>
        <w:t>1 millones</w:t>
      </w:r>
      <w:r w:rsidRPr="004A2B13" w:rsidR="0014769F">
        <w:rPr>
          <w:rFonts w:ascii="Arial" w:hAnsi="Arial" w:cs="Arial"/>
          <w:sz w:val="22"/>
          <w:szCs w:val="22"/>
        </w:rPr>
        <w:t xml:space="preserve">. Para asegurar comparabilidad, se deben restar los rubros de </w:t>
      </w:r>
      <w:r w:rsidRPr="004A2B13" w:rsidR="00A156AC">
        <w:rPr>
          <w:rFonts w:ascii="Arial" w:hAnsi="Arial" w:cs="Arial"/>
          <w:sz w:val="22"/>
          <w:szCs w:val="22"/>
        </w:rPr>
        <w:t>capacitación de funcionarios en APP (US$</w:t>
      </w:r>
      <w:r w:rsidRPr="004A2B13" w:rsidR="00E46B96">
        <w:rPr>
          <w:rFonts w:ascii="Arial" w:hAnsi="Arial" w:cs="Arial"/>
          <w:sz w:val="22"/>
          <w:szCs w:val="22"/>
        </w:rPr>
        <w:t xml:space="preserve">929 mil) </w:t>
      </w:r>
      <w:r w:rsidRPr="004A2B13" w:rsidR="00295FD5">
        <w:rPr>
          <w:rFonts w:ascii="Arial" w:hAnsi="Arial" w:cs="Arial"/>
          <w:sz w:val="22"/>
          <w:szCs w:val="22"/>
        </w:rPr>
        <w:t xml:space="preserve">y del </w:t>
      </w:r>
      <w:r w:rsidRPr="004A2B13" w:rsidR="00115468">
        <w:rPr>
          <w:rFonts w:ascii="Arial" w:hAnsi="Arial" w:cs="Arial"/>
          <w:sz w:val="22"/>
          <w:szCs w:val="22"/>
        </w:rPr>
        <w:t>modelo optimizado de análisis de disponibilidad presupuestaria</w:t>
      </w:r>
      <w:r w:rsidRPr="004A2B13" w:rsidR="00FA714E">
        <w:rPr>
          <w:rFonts w:ascii="Arial" w:hAnsi="Arial" w:cs="Arial"/>
          <w:sz w:val="22"/>
          <w:szCs w:val="22"/>
        </w:rPr>
        <w:t xml:space="preserve"> (US$135 mil). El costo</w:t>
      </w:r>
      <w:r w:rsidRPr="004A2B13" w:rsidR="00D53B8E">
        <w:rPr>
          <w:rFonts w:ascii="Arial" w:hAnsi="Arial" w:cs="Arial"/>
          <w:sz w:val="22"/>
          <w:szCs w:val="22"/>
        </w:rPr>
        <w:t xml:space="preserve"> </w:t>
      </w:r>
      <w:r w:rsidRPr="004A2B13" w:rsidR="000A0A44">
        <w:rPr>
          <w:rFonts w:ascii="Arial" w:hAnsi="Arial" w:cs="Arial"/>
          <w:sz w:val="22"/>
          <w:szCs w:val="22"/>
        </w:rPr>
        <w:t>es US$</w:t>
      </w:r>
      <w:r w:rsidRPr="004A2B13" w:rsidR="00A25D5E">
        <w:rPr>
          <w:rFonts w:ascii="Arial" w:hAnsi="Arial" w:cs="Arial"/>
          <w:sz w:val="22"/>
          <w:szCs w:val="22"/>
        </w:rPr>
        <w:t>1,</w:t>
      </w:r>
      <w:r w:rsidRPr="004A2B13" w:rsidR="00FF33C0">
        <w:rPr>
          <w:rFonts w:ascii="Arial" w:hAnsi="Arial" w:cs="Arial"/>
          <w:sz w:val="22"/>
          <w:szCs w:val="22"/>
        </w:rPr>
        <w:t>06 millones de 2019, que equivalen a</w:t>
      </w:r>
      <w:r w:rsidRPr="004A2B13" w:rsidR="00182AE4">
        <w:rPr>
          <w:rFonts w:ascii="Arial" w:hAnsi="Arial" w:cs="Arial"/>
          <w:sz w:val="22"/>
          <w:szCs w:val="22"/>
        </w:rPr>
        <w:t xml:space="preserve"> un </w:t>
      </w:r>
      <w:r w:rsidRPr="004A2B13" w:rsidR="00182AE4">
        <w:rPr>
          <w:rFonts w:ascii="Arial" w:hAnsi="Arial" w:cs="Arial"/>
          <w:b/>
          <w:bCs/>
          <w:sz w:val="22"/>
          <w:szCs w:val="22"/>
        </w:rPr>
        <w:t>costo total de</w:t>
      </w:r>
      <w:r w:rsidRPr="004A2B13" w:rsidR="00FF33C0">
        <w:rPr>
          <w:rFonts w:ascii="Arial" w:hAnsi="Arial" w:cs="Arial"/>
          <w:b/>
          <w:bCs/>
          <w:sz w:val="22"/>
          <w:szCs w:val="22"/>
        </w:rPr>
        <w:t xml:space="preserve"> </w:t>
      </w:r>
      <w:r w:rsidRPr="004A2B13" w:rsidR="00267609">
        <w:rPr>
          <w:rFonts w:ascii="Arial" w:hAnsi="Arial" w:cs="Arial"/>
          <w:b/>
          <w:bCs/>
          <w:sz w:val="22"/>
          <w:szCs w:val="22"/>
        </w:rPr>
        <w:t>US$</w:t>
      </w:r>
      <w:r w:rsidRPr="004A2B13" w:rsidR="00267609">
        <w:rPr>
          <w:rFonts w:ascii="Arial" w:hAnsi="Arial" w:cs="Arial"/>
          <w:sz w:val="22"/>
          <w:szCs w:val="22"/>
        </w:rPr>
        <w:t xml:space="preserve"> </w:t>
      </w:r>
      <w:r w:rsidRPr="004A2B13" w:rsidR="00267609">
        <w:rPr>
          <w:rFonts w:ascii="Arial" w:hAnsi="Arial" w:cs="Arial"/>
          <w:b/>
          <w:bCs/>
          <w:sz w:val="22"/>
          <w:szCs w:val="22"/>
        </w:rPr>
        <w:t>1,07 millones</w:t>
      </w:r>
      <w:r w:rsidRPr="004A2B13" w:rsidR="00267609">
        <w:rPr>
          <w:rFonts w:ascii="Arial" w:hAnsi="Arial" w:cs="Arial"/>
          <w:sz w:val="22"/>
          <w:szCs w:val="22"/>
        </w:rPr>
        <w:t xml:space="preserve"> de 2020. </w:t>
      </w:r>
    </w:p>
    <w:p w:rsidRPr="004A2B13" w:rsidR="00CC3CC1" w:rsidP="004A2B13" w:rsidRDefault="00CC3CC1" w14:paraId="6D31A88C" w14:textId="1340EB67">
      <w:pPr>
        <w:spacing w:before="120" w:after="120"/>
        <w:jc w:val="both"/>
        <w:rPr>
          <w:rFonts w:ascii="Arial" w:hAnsi="Arial" w:cs="Arial"/>
          <w:b/>
          <w:bCs/>
          <w:sz w:val="22"/>
          <w:szCs w:val="22"/>
        </w:rPr>
      </w:pPr>
      <w:r w:rsidRPr="004A2B13">
        <w:rPr>
          <w:rFonts w:ascii="Arial" w:hAnsi="Arial" w:cs="Arial"/>
          <w:b/>
          <w:bCs/>
          <w:sz w:val="22"/>
          <w:szCs w:val="22"/>
        </w:rPr>
        <w:t>4. Comparación de costos</w:t>
      </w:r>
    </w:p>
    <w:p w:rsidRPr="004A2B13" w:rsidR="008A2B2B" w:rsidP="004A2B13" w:rsidRDefault="005E555B" w14:paraId="5784AD3F" w14:textId="6DEAAF23">
      <w:pPr>
        <w:spacing w:before="120" w:after="120"/>
        <w:jc w:val="both"/>
        <w:rPr>
          <w:rFonts w:ascii="Arial" w:hAnsi="Arial" w:cs="Arial"/>
          <w:b/>
          <w:bCs/>
          <w:sz w:val="22"/>
          <w:szCs w:val="22"/>
        </w:rPr>
      </w:pPr>
      <w:r w:rsidRPr="004A2B13">
        <w:rPr>
          <w:rFonts w:ascii="Arial" w:hAnsi="Arial" w:cs="Arial"/>
          <w:b/>
          <w:bCs/>
          <w:sz w:val="22"/>
          <w:szCs w:val="22"/>
        </w:rPr>
        <w:t xml:space="preserve"> </w:t>
      </w:r>
      <w:r w:rsidRPr="004A2B13" w:rsidR="008A2B2B">
        <w:rPr>
          <w:rFonts w:ascii="Arial" w:hAnsi="Arial" w:cs="Arial"/>
          <w:b/>
          <w:bCs/>
          <w:sz w:val="22"/>
          <w:szCs w:val="22"/>
        </w:rPr>
        <w:t xml:space="preserve">4.1. </w:t>
      </w:r>
      <w:r w:rsidRPr="004A2B13" w:rsidR="00C82183">
        <w:rPr>
          <w:rFonts w:ascii="Arial" w:hAnsi="Arial" w:cs="Arial"/>
          <w:b/>
          <w:bCs/>
          <w:sz w:val="22"/>
          <w:szCs w:val="22"/>
        </w:rPr>
        <w:t>E</w:t>
      </w:r>
      <w:r w:rsidRPr="004A2B13" w:rsidR="00073722">
        <w:rPr>
          <w:rFonts w:ascii="Arial" w:hAnsi="Arial" w:cs="Arial"/>
          <w:b/>
          <w:bCs/>
          <w:sz w:val="22"/>
          <w:szCs w:val="22"/>
        </w:rPr>
        <w:t>scenario Básico</w:t>
      </w:r>
    </w:p>
    <w:p w:rsidRPr="004A2B13" w:rsidR="00134A66" w:rsidP="004A2B13" w:rsidRDefault="00134A66" w14:paraId="61A13407" w14:textId="77946AEC">
      <w:pPr>
        <w:spacing w:before="120" w:after="120"/>
        <w:jc w:val="both"/>
        <w:rPr>
          <w:rFonts w:ascii="Arial" w:hAnsi="Arial" w:cs="Arial"/>
          <w:sz w:val="22"/>
          <w:szCs w:val="22"/>
        </w:rPr>
      </w:pPr>
      <w:r w:rsidRPr="004A2B13">
        <w:rPr>
          <w:rFonts w:ascii="Arial" w:hAnsi="Arial" w:cs="Arial"/>
          <w:b/>
          <w:bCs/>
          <w:sz w:val="22"/>
          <w:szCs w:val="22"/>
        </w:rPr>
        <w:t>Comparación 1</w:t>
      </w:r>
      <w:r w:rsidRPr="004A2B13">
        <w:rPr>
          <w:rFonts w:ascii="Arial" w:hAnsi="Arial" w:cs="Arial"/>
          <w:sz w:val="22"/>
          <w:szCs w:val="22"/>
        </w:rPr>
        <w:t xml:space="preserve">. Valores absolutos.  </w:t>
      </w:r>
    </w:p>
    <w:p w:rsidRPr="004A2B13" w:rsidR="00134A66" w:rsidP="004A2B13" w:rsidRDefault="00134A66" w14:paraId="79B73B70" w14:textId="274498F2">
      <w:pPr>
        <w:pStyle w:val="ListParagraph"/>
        <w:numPr>
          <w:ilvl w:val="0"/>
          <w:numId w:val="49"/>
        </w:numPr>
        <w:spacing w:before="120" w:after="120"/>
        <w:ind w:left="360"/>
        <w:contextualSpacing w:val="0"/>
        <w:jc w:val="both"/>
        <w:rPr>
          <w:rFonts w:ascii="Arial" w:hAnsi="Arial" w:cs="Arial"/>
          <w:sz w:val="22"/>
          <w:szCs w:val="22"/>
        </w:rPr>
      </w:pPr>
      <w:r w:rsidRPr="004A2B13">
        <w:rPr>
          <w:rFonts w:ascii="Arial" w:hAnsi="Arial" w:cs="Arial"/>
          <w:sz w:val="22"/>
          <w:szCs w:val="22"/>
        </w:rPr>
        <w:t>Dentro de Colombia. La operación CO-L1265 tiene un valor de US$15 millones. La operación CO-L1131 fue la intervención precursora, con objetivos similares, y tuvo un costo de US$25 millones de 2013, que equivalen a US$28,3 millones de 2020 (usando el deflactor del PIB en US$). A lo largo del tiempo, Colombia requiere cada vez menos recursos de apoyo al desarrollo de las APP.</w:t>
      </w:r>
    </w:p>
    <w:p w:rsidRPr="004A2B13" w:rsidR="00134A66" w:rsidP="004A2B13" w:rsidRDefault="00134A66" w14:paraId="3C8D4C6E" w14:textId="35F94E76">
      <w:pPr>
        <w:pStyle w:val="ListParagraph"/>
        <w:numPr>
          <w:ilvl w:val="0"/>
          <w:numId w:val="49"/>
        </w:numPr>
        <w:spacing w:before="120" w:after="120"/>
        <w:ind w:left="360"/>
        <w:contextualSpacing w:val="0"/>
        <w:jc w:val="both"/>
        <w:rPr>
          <w:rFonts w:ascii="Arial" w:hAnsi="Arial" w:cs="Arial"/>
          <w:sz w:val="22"/>
          <w:szCs w:val="22"/>
        </w:rPr>
      </w:pPr>
      <w:r w:rsidRPr="004A2B13">
        <w:rPr>
          <w:rFonts w:ascii="Arial" w:hAnsi="Arial" w:cs="Arial"/>
          <w:sz w:val="22"/>
          <w:szCs w:val="22"/>
        </w:rPr>
        <w:t xml:space="preserve">En contraste con países en menor estadio de desarrollo de las APP. La operación </w:t>
      </w:r>
      <w:r w:rsidR="00AC4EA5">
        <w:rPr>
          <w:rFonts w:ascii="Arial" w:hAnsi="Arial" w:cs="Arial"/>
          <w:sz w:val="22"/>
          <w:szCs w:val="22"/>
        </w:rPr>
        <w:br/>
      </w:r>
      <w:r w:rsidRPr="004A2B13">
        <w:rPr>
          <w:rFonts w:ascii="Arial" w:hAnsi="Arial" w:cs="Arial"/>
          <w:sz w:val="22"/>
          <w:szCs w:val="22"/>
        </w:rPr>
        <w:t xml:space="preserve">EC-L1230 de mejora de la capacidad fiscal para la inversión pública (2019) es una primera operación de fortalecimiento en desarrollo de APP. Su costo aprobado fue de US$50 millones de 2019. En comparación con países que están empezando su senda de atracción de la inversión privada, Colombia requiere menos recursos de apoyo al desarrollo de las APP. </w:t>
      </w:r>
    </w:p>
    <w:p w:rsidRPr="004A2B13" w:rsidR="00134A66" w:rsidP="004A2B13" w:rsidRDefault="00134A66" w14:paraId="02314D48" w14:textId="7C949772">
      <w:pPr>
        <w:spacing w:before="120" w:after="120"/>
        <w:jc w:val="both"/>
        <w:rPr>
          <w:rFonts w:ascii="Arial" w:hAnsi="Arial" w:cs="Arial"/>
          <w:sz w:val="22"/>
          <w:szCs w:val="22"/>
        </w:rPr>
      </w:pPr>
      <w:r w:rsidRPr="004A2B13">
        <w:rPr>
          <w:rFonts w:ascii="Arial" w:hAnsi="Arial" w:cs="Arial"/>
          <w:b/>
          <w:bCs/>
          <w:sz w:val="22"/>
          <w:szCs w:val="22"/>
        </w:rPr>
        <w:t>Comparación 2</w:t>
      </w:r>
      <w:r w:rsidRPr="004A2B13">
        <w:rPr>
          <w:rFonts w:ascii="Arial" w:hAnsi="Arial" w:cs="Arial"/>
          <w:sz w:val="22"/>
          <w:szCs w:val="22"/>
        </w:rPr>
        <w:t>. Proyectos individuales.</w:t>
      </w:r>
    </w:p>
    <w:p w:rsidRPr="004A2B13" w:rsidR="00176E1C" w:rsidP="004A2B13" w:rsidRDefault="00646D38" w14:paraId="4426F997" w14:textId="69C2794A">
      <w:pPr>
        <w:spacing w:before="120" w:after="120"/>
        <w:jc w:val="both"/>
        <w:rPr>
          <w:rFonts w:ascii="Arial" w:hAnsi="Arial" w:cs="Arial"/>
          <w:sz w:val="22"/>
          <w:szCs w:val="22"/>
        </w:rPr>
      </w:pPr>
      <w:r w:rsidRPr="004A2B13">
        <w:rPr>
          <w:rFonts w:ascii="Arial" w:hAnsi="Arial" w:cs="Arial"/>
          <w:sz w:val="22"/>
          <w:szCs w:val="22"/>
        </w:rPr>
        <w:t xml:space="preserve">La Tabla </w:t>
      </w:r>
      <w:r w:rsidRPr="004A2B13" w:rsidR="00077AC5">
        <w:rPr>
          <w:rFonts w:ascii="Arial" w:hAnsi="Arial" w:cs="Arial"/>
          <w:sz w:val="22"/>
          <w:szCs w:val="22"/>
        </w:rPr>
        <w:t>4</w:t>
      </w:r>
      <w:r w:rsidRPr="004A2B13">
        <w:rPr>
          <w:rFonts w:ascii="Arial" w:hAnsi="Arial" w:cs="Arial"/>
          <w:sz w:val="22"/>
          <w:szCs w:val="22"/>
        </w:rPr>
        <w:t>.1. muestra los resultados de la comparación</w:t>
      </w:r>
      <w:r w:rsidRPr="004A2B13" w:rsidR="00B8047F">
        <w:rPr>
          <w:rFonts w:ascii="Arial" w:hAnsi="Arial" w:cs="Arial"/>
          <w:sz w:val="22"/>
          <w:szCs w:val="22"/>
        </w:rPr>
        <w:t xml:space="preserve"> de proyectos individuales</w:t>
      </w:r>
      <w:r w:rsidRPr="004A2B13" w:rsidR="002C4FFA">
        <w:rPr>
          <w:rFonts w:ascii="Arial" w:hAnsi="Arial" w:cs="Arial"/>
          <w:sz w:val="22"/>
          <w:szCs w:val="22"/>
        </w:rPr>
        <w:t xml:space="preserve">, que integra la información </w:t>
      </w:r>
      <w:r w:rsidRPr="004A2B13" w:rsidR="00077AC5">
        <w:rPr>
          <w:rFonts w:ascii="Arial" w:hAnsi="Arial" w:cs="Arial"/>
          <w:sz w:val="22"/>
          <w:szCs w:val="22"/>
        </w:rPr>
        <w:t>de la sección 3</w:t>
      </w:r>
      <w:r w:rsidRPr="004A2B13" w:rsidR="00E67EBB">
        <w:rPr>
          <w:rFonts w:ascii="Arial" w:hAnsi="Arial" w:cs="Arial"/>
          <w:sz w:val="22"/>
          <w:szCs w:val="22"/>
        </w:rPr>
        <w:t xml:space="preserve">. </w:t>
      </w:r>
      <w:r w:rsidRPr="004A2B13" w:rsidR="00736263">
        <w:rPr>
          <w:rFonts w:ascii="Arial" w:hAnsi="Arial" w:cs="Arial"/>
          <w:sz w:val="22"/>
          <w:szCs w:val="22"/>
        </w:rPr>
        <w:t>Salvo en el proyecto de residuos s</w:t>
      </w:r>
      <w:r w:rsidRPr="004A2B13" w:rsidR="00F379AA">
        <w:rPr>
          <w:rFonts w:ascii="Arial" w:hAnsi="Arial" w:cs="Arial"/>
          <w:sz w:val="22"/>
          <w:szCs w:val="22"/>
        </w:rPr>
        <w:t>ó</w:t>
      </w:r>
      <w:r w:rsidRPr="004A2B13" w:rsidR="00736263">
        <w:rPr>
          <w:rFonts w:ascii="Arial" w:hAnsi="Arial" w:cs="Arial"/>
          <w:sz w:val="22"/>
          <w:szCs w:val="22"/>
        </w:rPr>
        <w:t xml:space="preserve">lidos, donde no </w:t>
      </w:r>
      <w:r w:rsidRPr="004A2B13" w:rsidR="00736263">
        <w:rPr>
          <w:rFonts w:ascii="Arial" w:hAnsi="Arial" w:cs="Arial"/>
          <w:sz w:val="22"/>
          <w:szCs w:val="22"/>
        </w:rPr>
        <w:lastRenderedPageBreak/>
        <w:t>se detecta</w:t>
      </w:r>
      <w:r w:rsidRPr="004A2B13" w:rsidR="00F379AA">
        <w:rPr>
          <w:rFonts w:ascii="Arial" w:hAnsi="Arial" w:cs="Arial"/>
          <w:sz w:val="22"/>
          <w:szCs w:val="22"/>
        </w:rPr>
        <w:t>n</w:t>
      </w:r>
      <w:r w:rsidRPr="004A2B13" w:rsidR="00736263">
        <w:rPr>
          <w:rFonts w:ascii="Arial" w:hAnsi="Arial" w:cs="Arial"/>
          <w:sz w:val="22"/>
          <w:szCs w:val="22"/>
        </w:rPr>
        <w:t xml:space="preserve"> diferencias de costos, todos los proyectos tienen diferencias altas o leves contra el grupo de control.</w:t>
      </w:r>
    </w:p>
    <w:p w:rsidRPr="00AC4EA5" w:rsidR="00000BCD" w:rsidP="004A2B13" w:rsidRDefault="00000BCD" w14:paraId="79528C46" w14:textId="26398A7D">
      <w:pPr>
        <w:spacing w:before="120" w:after="120"/>
        <w:jc w:val="center"/>
        <w:rPr>
          <w:rFonts w:ascii="Arial" w:hAnsi="Arial" w:cs="Arial"/>
          <w:sz w:val="20"/>
          <w:szCs w:val="20"/>
        </w:rPr>
      </w:pPr>
      <w:r w:rsidRPr="00AC4EA5">
        <w:rPr>
          <w:rFonts w:ascii="Arial" w:hAnsi="Arial" w:cs="Arial"/>
          <w:sz w:val="20"/>
          <w:szCs w:val="20"/>
        </w:rPr>
        <w:t xml:space="preserve">Tabla </w:t>
      </w:r>
      <w:r w:rsidRPr="00AC4EA5" w:rsidR="00077AC5">
        <w:rPr>
          <w:rFonts w:ascii="Arial" w:hAnsi="Arial" w:cs="Arial"/>
          <w:sz w:val="20"/>
          <w:szCs w:val="20"/>
        </w:rPr>
        <w:t>4</w:t>
      </w:r>
      <w:r w:rsidRPr="00AC4EA5">
        <w:rPr>
          <w:rFonts w:ascii="Arial" w:hAnsi="Arial" w:cs="Arial"/>
          <w:sz w:val="20"/>
          <w:szCs w:val="20"/>
        </w:rPr>
        <w:t>.1. Comparació</w:t>
      </w:r>
      <w:r w:rsidRPr="00AC4EA5" w:rsidR="004168E8">
        <w:rPr>
          <w:rFonts w:ascii="Arial" w:hAnsi="Arial" w:cs="Arial"/>
          <w:sz w:val="20"/>
          <w:szCs w:val="20"/>
        </w:rPr>
        <w:t xml:space="preserve">n </w:t>
      </w:r>
      <w:r w:rsidRPr="00AC4EA5" w:rsidR="00422535">
        <w:rPr>
          <w:rFonts w:ascii="Arial" w:hAnsi="Arial" w:cs="Arial"/>
          <w:sz w:val="20"/>
          <w:szCs w:val="20"/>
        </w:rPr>
        <w:t>de</w:t>
      </w:r>
      <w:r w:rsidRPr="00AC4EA5">
        <w:rPr>
          <w:rFonts w:ascii="Arial" w:hAnsi="Arial" w:cs="Arial"/>
          <w:sz w:val="20"/>
          <w:szCs w:val="20"/>
        </w:rPr>
        <w:t xml:space="preserve"> costos </w:t>
      </w:r>
      <w:r w:rsidRPr="00AC4EA5" w:rsidR="004125C2">
        <w:rPr>
          <w:rFonts w:ascii="Arial" w:hAnsi="Arial" w:cs="Arial"/>
          <w:sz w:val="20"/>
          <w:szCs w:val="20"/>
        </w:rPr>
        <w:t xml:space="preserve">individuales </w:t>
      </w:r>
      <w:r w:rsidRPr="00AC4EA5">
        <w:rPr>
          <w:rFonts w:ascii="Arial" w:hAnsi="Arial" w:cs="Arial"/>
          <w:sz w:val="20"/>
          <w:szCs w:val="20"/>
        </w:rPr>
        <w:t xml:space="preserve">del Programa con costos </w:t>
      </w:r>
      <w:r w:rsidRPr="00AC4EA5" w:rsidR="00E75BB8">
        <w:rPr>
          <w:rFonts w:ascii="Arial" w:hAnsi="Arial" w:cs="Arial"/>
          <w:sz w:val="20"/>
          <w:szCs w:val="20"/>
        </w:rPr>
        <w:t>de control</w:t>
      </w:r>
      <w:r w:rsidRPr="00AC4EA5" w:rsidR="00EC48D8">
        <w:rPr>
          <w:rFonts w:ascii="Arial" w:hAnsi="Arial" w:cs="Arial"/>
          <w:sz w:val="20"/>
          <w:szCs w:val="20"/>
        </w:rPr>
        <w:t xml:space="preserve"> (US$ 2020)</w:t>
      </w:r>
      <w:r w:rsidRPr="00AC4EA5" w:rsidR="00906E20">
        <w:rPr>
          <w:rFonts w:ascii="Arial" w:hAnsi="Arial" w:cs="Arial"/>
          <w:sz w:val="20"/>
          <w:szCs w:val="20"/>
        </w:rPr>
        <w:t xml:space="preserve"> para 10 intervenciones</w:t>
      </w:r>
      <w:r w:rsidRPr="00AC4EA5" w:rsidR="00E35B6E">
        <w:rPr>
          <w:rFonts w:ascii="Arial" w:hAnsi="Arial" w:cs="Arial"/>
          <w:sz w:val="20"/>
          <w:szCs w:val="20"/>
        </w:rPr>
        <w:t xml:space="preserve"> – Escenario Básico</w:t>
      </w:r>
    </w:p>
    <w:tbl>
      <w:tblPr>
        <w:tblStyle w:val="TableGrid"/>
        <w:tblW w:w="0" w:type="auto"/>
        <w:tblLook w:val="04A0" w:firstRow="1" w:lastRow="0" w:firstColumn="1" w:lastColumn="0" w:noHBand="0" w:noVBand="1"/>
      </w:tblPr>
      <w:tblGrid>
        <w:gridCol w:w="2207"/>
        <w:gridCol w:w="2207"/>
        <w:gridCol w:w="2207"/>
        <w:gridCol w:w="2207"/>
      </w:tblGrid>
      <w:tr w:rsidRPr="004A2B13" w:rsidR="00DE1DD3" w:rsidTr="005734E2" w14:paraId="38E778C1" w14:textId="77777777">
        <w:tc>
          <w:tcPr>
            <w:tcW w:w="8828" w:type="dxa"/>
            <w:gridSpan w:val="4"/>
            <w:shd w:val="clear" w:color="auto" w:fill="E7E6E6" w:themeFill="background2"/>
            <w:vAlign w:val="center"/>
          </w:tcPr>
          <w:p w:rsidRPr="004A2B13" w:rsidR="00DE1DD3" w:rsidP="00AC4EA5" w:rsidRDefault="00C81648" w14:paraId="693F352A" w14:textId="09E8F45D">
            <w:pPr>
              <w:jc w:val="center"/>
              <w:rPr>
                <w:rFonts w:ascii="Arial" w:hAnsi="Arial" w:cs="Arial"/>
                <w:b/>
                <w:bCs/>
                <w:sz w:val="22"/>
                <w:szCs w:val="22"/>
              </w:rPr>
            </w:pPr>
            <w:r w:rsidRPr="004A2B13">
              <w:rPr>
                <w:rFonts w:ascii="Arial" w:hAnsi="Arial" w:cs="Arial"/>
                <w:b/>
                <w:bCs/>
                <w:sz w:val="22"/>
                <w:szCs w:val="22"/>
              </w:rPr>
              <w:t>Componente I</w:t>
            </w:r>
          </w:p>
        </w:tc>
      </w:tr>
      <w:tr w:rsidRPr="004A2B13" w:rsidR="00DE1DD3" w:rsidTr="00163367" w14:paraId="2404E9DB" w14:textId="77777777">
        <w:tc>
          <w:tcPr>
            <w:tcW w:w="2207" w:type="dxa"/>
            <w:vAlign w:val="center"/>
          </w:tcPr>
          <w:p w:rsidRPr="004A2B13" w:rsidR="00DE1DD3" w:rsidP="00AC4EA5" w:rsidRDefault="00C81648" w14:paraId="23105E8E" w14:textId="68EC0CA2">
            <w:pPr>
              <w:jc w:val="center"/>
              <w:rPr>
                <w:rFonts w:ascii="Arial" w:hAnsi="Arial" w:cs="Arial"/>
                <w:sz w:val="22"/>
                <w:szCs w:val="22"/>
              </w:rPr>
            </w:pPr>
            <w:r w:rsidRPr="004A2B13">
              <w:rPr>
                <w:rFonts w:ascii="Arial" w:hAnsi="Arial" w:cs="Arial"/>
                <w:sz w:val="22"/>
                <w:szCs w:val="22"/>
              </w:rPr>
              <w:t>Proyecto</w:t>
            </w:r>
          </w:p>
        </w:tc>
        <w:tc>
          <w:tcPr>
            <w:tcW w:w="2207" w:type="dxa"/>
            <w:vAlign w:val="center"/>
          </w:tcPr>
          <w:p w:rsidRPr="004A2B13" w:rsidR="000935D7" w:rsidP="00AC4EA5" w:rsidRDefault="00C81648" w14:paraId="048616D9" w14:textId="77777777">
            <w:pPr>
              <w:jc w:val="center"/>
              <w:rPr>
                <w:rFonts w:ascii="Arial" w:hAnsi="Arial" w:cs="Arial"/>
                <w:sz w:val="22"/>
                <w:szCs w:val="22"/>
              </w:rPr>
            </w:pPr>
            <w:r w:rsidRPr="004A2B13">
              <w:rPr>
                <w:rFonts w:ascii="Arial" w:hAnsi="Arial" w:cs="Arial"/>
                <w:sz w:val="22"/>
                <w:szCs w:val="22"/>
              </w:rPr>
              <w:t>Costo Programa</w:t>
            </w:r>
            <w:r w:rsidRPr="004A2B13" w:rsidR="00163367">
              <w:rPr>
                <w:rFonts w:ascii="Arial" w:hAnsi="Arial" w:cs="Arial"/>
                <w:sz w:val="22"/>
                <w:szCs w:val="22"/>
              </w:rPr>
              <w:t xml:space="preserve"> </w:t>
            </w:r>
          </w:p>
          <w:p w:rsidRPr="004A2B13" w:rsidR="00DE1DD3" w:rsidP="00AC4EA5" w:rsidRDefault="00163367" w14:paraId="46082A47" w14:textId="39AB87D0">
            <w:pPr>
              <w:jc w:val="center"/>
              <w:rPr>
                <w:rFonts w:ascii="Arial" w:hAnsi="Arial" w:cs="Arial"/>
                <w:sz w:val="22"/>
                <w:szCs w:val="22"/>
              </w:rPr>
            </w:pPr>
            <w:r w:rsidRPr="004A2B13">
              <w:rPr>
                <w:rFonts w:ascii="Arial" w:hAnsi="Arial" w:cs="Arial"/>
                <w:sz w:val="22"/>
                <w:szCs w:val="22"/>
              </w:rPr>
              <w:t>U: unitario; T: total</w:t>
            </w:r>
          </w:p>
        </w:tc>
        <w:tc>
          <w:tcPr>
            <w:tcW w:w="2207" w:type="dxa"/>
            <w:vAlign w:val="center"/>
          </w:tcPr>
          <w:p w:rsidRPr="004A2B13" w:rsidR="000935D7" w:rsidP="00AC4EA5" w:rsidRDefault="00C81648" w14:paraId="28B40B58" w14:textId="77777777">
            <w:pPr>
              <w:jc w:val="center"/>
              <w:rPr>
                <w:rFonts w:ascii="Arial" w:hAnsi="Arial" w:cs="Arial"/>
                <w:sz w:val="22"/>
                <w:szCs w:val="22"/>
              </w:rPr>
            </w:pPr>
            <w:r w:rsidRPr="004A2B13">
              <w:rPr>
                <w:rFonts w:ascii="Arial" w:hAnsi="Arial" w:cs="Arial"/>
                <w:sz w:val="22"/>
                <w:szCs w:val="22"/>
              </w:rPr>
              <w:t>Costo Control</w:t>
            </w:r>
            <w:r w:rsidRPr="004A2B13" w:rsidR="00163367">
              <w:rPr>
                <w:rFonts w:ascii="Arial" w:hAnsi="Arial" w:cs="Arial"/>
                <w:sz w:val="22"/>
                <w:szCs w:val="22"/>
              </w:rPr>
              <w:t xml:space="preserve"> </w:t>
            </w:r>
          </w:p>
          <w:p w:rsidRPr="004A2B13" w:rsidR="00DE1DD3" w:rsidP="00AC4EA5" w:rsidRDefault="00163367" w14:paraId="424AC494" w14:textId="33505FEB">
            <w:pPr>
              <w:jc w:val="center"/>
              <w:rPr>
                <w:rFonts w:ascii="Arial" w:hAnsi="Arial" w:cs="Arial"/>
                <w:sz w:val="22"/>
                <w:szCs w:val="22"/>
              </w:rPr>
            </w:pPr>
            <w:r w:rsidRPr="004A2B13">
              <w:rPr>
                <w:rFonts w:ascii="Arial" w:hAnsi="Arial" w:cs="Arial"/>
                <w:sz w:val="22"/>
                <w:szCs w:val="22"/>
              </w:rPr>
              <w:t>U</w:t>
            </w:r>
            <w:r w:rsidRPr="004A2B13" w:rsidR="000935D7">
              <w:rPr>
                <w:rFonts w:ascii="Arial" w:hAnsi="Arial" w:cs="Arial"/>
                <w:sz w:val="22"/>
                <w:szCs w:val="22"/>
              </w:rPr>
              <w:t>: unitario; T: total</w:t>
            </w:r>
          </w:p>
        </w:tc>
        <w:tc>
          <w:tcPr>
            <w:tcW w:w="2207" w:type="dxa"/>
            <w:vAlign w:val="center"/>
          </w:tcPr>
          <w:p w:rsidRPr="004A2B13" w:rsidR="00DE1DD3" w:rsidP="00AC4EA5" w:rsidRDefault="00826970" w14:paraId="496432FD" w14:textId="328ADB35">
            <w:pPr>
              <w:jc w:val="center"/>
              <w:rPr>
                <w:rFonts w:ascii="Arial" w:hAnsi="Arial" w:cs="Arial"/>
                <w:sz w:val="22"/>
                <w:szCs w:val="22"/>
              </w:rPr>
            </w:pPr>
            <w:r w:rsidRPr="004A2B13">
              <w:rPr>
                <w:rFonts w:ascii="Arial" w:hAnsi="Arial" w:cs="Arial"/>
                <w:sz w:val="22"/>
                <w:szCs w:val="22"/>
              </w:rPr>
              <w:t>Diferencia</w:t>
            </w:r>
            <w:r w:rsidRPr="004A2B13" w:rsidR="00B40775">
              <w:rPr>
                <w:rFonts w:ascii="Arial" w:hAnsi="Arial" w:cs="Arial"/>
                <w:sz w:val="22"/>
                <w:szCs w:val="22"/>
              </w:rPr>
              <w:t xml:space="preserve"> a favor del Programa</w:t>
            </w:r>
          </w:p>
        </w:tc>
      </w:tr>
      <w:tr w:rsidRPr="004A2B13" w:rsidR="00DE1DD3" w:rsidTr="006900F1" w14:paraId="6688C261" w14:textId="77777777">
        <w:tc>
          <w:tcPr>
            <w:tcW w:w="2207" w:type="dxa"/>
            <w:vAlign w:val="center"/>
          </w:tcPr>
          <w:p w:rsidRPr="004A2B13" w:rsidR="00DE1DD3" w:rsidP="00AC4EA5" w:rsidRDefault="00C81648" w14:paraId="6B8C3725" w14:textId="7AB219BC">
            <w:pPr>
              <w:rPr>
                <w:rFonts w:ascii="Arial" w:hAnsi="Arial" w:cs="Arial"/>
                <w:sz w:val="22"/>
                <w:szCs w:val="22"/>
              </w:rPr>
            </w:pPr>
            <w:r w:rsidRPr="004A2B13">
              <w:rPr>
                <w:rFonts w:ascii="Arial" w:hAnsi="Arial" w:cs="Arial"/>
                <w:sz w:val="22"/>
                <w:szCs w:val="22"/>
              </w:rPr>
              <w:t>1</w:t>
            </w:r>
            <w:r w:rsidRPr="004A2B13" w:rsidR="00017D39">
              <w:rPr>
                <w:rFonts w:ascii="Arial" w:hAnsi="Arial" w:cs="Arial"/>
                <w:sz w:val="22"/>
                <w:szCs w:val="22"/>
              </w:rPr>
              <w:t>.</w:t>
            </w:r>
            <w:r w:rsidRPr="004A2B13">
              <w:rPr>
                <w:rFonts w:ascii="Arial" w:hAnsi="Arial" w:cs="Arial"/>
                <w:sz w:val="22"/>
                <w:szCs w:val="22"/>
              </w:rPr>
              <w:t xml:space="preserve"> </w:t>
            </w:r>
            <w:r w:rsidRPr="004A2B13" w:rsidR="000820EB">
              <w:rPr>
                <w:rFonts w:ascii="Arial" w:hAnsi="Arial" w:cs="Arial"/>
                <w:b/>
                <w:bCs/>
                <w:color w:val="4472C4" w:themeColor="accent1"/>
                <w:sz w:val="22"/>
                <w:szCs w:val="22"/>
              </w:rPr>
              <w:t>TL</w:t>
            </w:r>
            <w:r w:rsidRPr="004A2B13" w:rsidR="000820EB">
              <w:rPr>
                <w:rFonts w:ascii="Arial" w:hAnsi="Arial" w:cs="Arial"/>
                <w:sz w:val="22"/>
                <w:szCs w:val="22"/>
              </w:rPr>
              <w:t xml:space="preserve">. </w:t>
            </w:r>
            <w:r w:rsidRPr="004A2B13">
              <w:rPr>
                <w:rFonts w:ascii="Arial" w:hAnsi="Arial" w:cs="Arial"/>
                <w:sz w:val="22"/>
                <w:szCs w:val="22"/>
              </w:rPr>
              <w:t>Estudio sector f</w:t>
            </w:r>
            <w:r w:rsidRPr="004A2B13" w:rsidR="000935D7">
              <w:rPr>
                <w:rFonts w:ascii="Arial" w:hAnsi="Arial" w:cs="Arial"/>
                <w:sz w:val="22"/>
                <w:szCs w:val="22"/>
              </w:rPr>
              <w:t>é</w:t>
            </w:r>
            <w:r w:rsidRPr="004A2B13" w:rsidR="00163367">
              <w:rPr>
                <w:rFonts w:ascii="Arial" w:hAnsi="Arial" w:cs="Arial"/>
                <w:sz w:val="22"/>
                <w:szCs w:val="22"/>
              </w:rPr>
              <w:t>rreo</w:t>
            </w:r>
          </w:p>
        </w:tc>
        <w:tc>
          <w:tcPr>
            <w:tcW w:w="2207" w:type="dxa"/>
            <w:vAlign w:val="center"/>
          </w:tcPr>
          <w:p w:rsidRPr="004A2B13" w:rsidR="00DE1DD3" w:rsidP="00AC4EA5" w:rsidRDefault="00A33CFC" w14:paraId="7D2C764E" w14:textId="610ACB59">
            <w:pPr>
              <w:jc w:val="center"/>
              <w:rPr>
                <w:rFonts w:ascii="Arial" w:hAnsi="Arial" w:cs="Arial"/>
                <w:sz w:val="22"/>
                <w:szCs w:val="22"/>
              </w:rPr>
            </w:pPr>
            <w:r w:rsidRPr="004A2B13">
              <w:rPr>
                <w:rFonts w:ascii="Arial" w:hAnsi="Arial" w:cs="Arial"/>
                <w:sz w:val="22"/>
                <w:szCs w:val="22"/>
              </w:rPr>
              <w:t>T: 550 mil</w:t>
            </w:r>
          </w:p>
        </w:tc>
        <w:tc>
          <w:tcPr>
            <w:tcW w:w="2207" w:type="dxa"/>
            <w:vAlign w:val="center"/>
          </w:tcPr>
          <w:p w:rsidRPr="004A2B13" w:rsidR="00DE1DD3" w:rsidP="00AC4EA5" w:rsidRDefault="00447EA8" w14:paraId="2DC395E2" w14:textId="028F14C3">
            <w:pPr>
              <w:jc w:val="center"/>
              <w:rPr>
                <w:rFonts w:ascii="Arial" w:hAnsi="Arial" w:cs="Arial"/>
                <w:sz w:val="22"/>
                <w:szCs w:val="22"/>
              </w:rPr>
            </w:pPr>
            <w:r w:rsidRPr="004A2B13">
              <w:rPr>
                <w:rFonts w:ascii="Arial" w:hAnsi="Arial" w:cs="Arial"/>
                <w:sz w:val="22"/>
                <w:szCs w:val="22"/>
              </w:rPr>
              <w:t>T</w:t>
            </w:r>
            <w:r w:rsidRPr="004A2B13" w:rsidR="00B34AC9">
              <w:rPr>
                <w:rFonts w:ascii="Arial" w:hAnsi="Arial" w:cs="Arial"/>
                <w:sz w:val="22"/>
                <w:szCs w:val="22"/>
              </w:rPr>
              <w:t xml:space="preserve">: </w:t>
            </w:r>
            <w:r w:rsidRPr="004A2B13">
              <w:rPr>
                <w:rFonts w:ascii="Arial" w:hAnsi="Arial" w:cs="Arial"/>
                <w:sz w:val="22"/>
                <w:szCs w:val="22"/>
              </w:rPr>
              <w:t>680 mil</w:t>
            </w:r>
          </w:p>
        </w:tc>
        <w:tc>
          <w:tcPr>
            <w:tcW w:w="2207" w:type="dxa"/>
            <w:vAlign w:val="center"/>
          </w:tcPr>
          <w:p w:rsidRPr="004A2B13" w:rsidR="00DE1DD3" w:rsidP="00AC4EA5" w:rsidRDefault="008D30A2" w14:paraId="4359C935" w14:textId="1A443449">
            <w:pPr>
              <w:jc w:val="center"/>
              <w:rPr>
                <w:rFonts w:ascii="Arial" w:hAnsi="Arial" w:cs="Arial"/>
                <w:sz w:val="22"/>
                <w:szCs w:val="22"/>
              </w:rPr>
            </w:pPr>
            <w:r w:rsidRPr="004A2B13">
              <w:rPr>
                <w:rFonts w:ascii="Arial" w:hAnsi="Arial" w:cs="Arial"/>
                <w:sz w:val="22"/>
                <w:szCs w:val="22"/>
              </w:rPr>
              <w:t>++</w:t>
            </w:r>
          </w:p>
        </w:tc>
      </w:tr>
      <w:tr w:rsidRPr="004A2B13" w:rsidR="00DE1DD3" w:rsidTr="006900F1" w14:paraId="0A0C6759" w14:textId="77777777">
        <w:tc>
          <w:tcPr>
            <w:tcW w:w="2207" w:type="dxa"/>
            <w:vAlign w:val="center"/>
          </w:tcPr>
          <w:p w:rsidRPr="008C0FDF" w:rsidR="00DE1DD3" w:rsidP="00AC4EA5" w:rsidRDefault="000935D7" w14:paraId="2795F20F" w14:textId="314CA22F">
            <w:pPr>
              <w:rPr>
                <w:rFonts w:ascii="Arial" w:hAnsi="Arial" w:cs="Arial"/>
                <w:sz w:val="22"/>
                <w:szCs w:val="22"/>
              </w:rPr>
            </w:pPr>
            <w:r w:rsidRPr="008C0FDF">
              <w:rPr>
                <w:rFonts w:ascii="Arial" w:hAnsi="Arial" w:cs="Arial"/>
                <w:sz w:val="22"/>
                <w:szCs w:val="22"/>
              </w:rPr>
              <w:t>2</w:t>
            </w:r>
            <w:r w:rsidRPr="008C0FDF" w:rsidR="00017D39">
              <w:rPr>
                <w:rFonts w:ascii="Arial" w:hAnsi="Arial" w:cs="Arial"/>
                <w:sz w:val="22"/>
                <w:szCs w:val="22"/>
              </w:rPr>
              <w:t>.</w:t>
            </w:r>
            <w:r w:rsidRPr="008C0FDF">
              <w:rPr>
                <w:rFonts w:ascii="Arial" w:hAnsi="Arial" w:cs="Arial"/>
                <w:sz w:val="22"/>
                <w:szCs w:val="22"/>
              </w:rPr>
              <w:t xml:space="preserve"> </w:t>
            </w:r>
            <w:r w:rsidRPr="008C0FDF" w:rsidR="000820EB">
              <w:rPr>
                <w:rFonts w:ascii="Arial" w:hAnsi="Arial" w:cs="Arial"/>
                <w:b/>
                <w:bCs/>
                <w:color w:val="4472C4" w:themeColor="accent1"/>
                <w:sz w:val="22"/>
                <w:szCs w:val="22"/>
              </w:rPr>
              <w:t>TU</w:t>
            </w:r>
            <w:r w:rsidRPr="008C0FDF" w:rsidR="000820EB">
              <w:rPr>
                <w:rFonts w:ascii="Arial" w:hAnsi="Arial" w:cs="Arial"/>
                <w:sz w:val="22"/>
                <w:szCs w:val="22"/>
              </w:rPr>
              <w:t xml:space="preserve">. </w:t>
            </w:r>
            <w:r w:rsidRPr="008C0FDF">
              <w:rPr>
                <w:rFonts w:ascii="Arial" w:hAnsi="Arial" w:cs="Arial"/>
                <w:sz w:val="22"/>
                <w:szCs w:val="22"/>
              </w:rPr>
              <w:t>Estructura</w:t>
            </w:r>
            <w:r w:rsidRPr="008C0FDF" w:rsidR="00017D39">
              <w:rPr>
                <w:rFonts w:ascii="Arial" w:hAnsi="Arial" w:cs="Arial"/>
                <w:sz w:val="22"/>
                <w:szCs w:val="22"/>
              </w:rPr>
              <w:t>ción Regiotram del Norte</w:t>
            </w:r>
          </w:p>
        </w:tc>
        <w:tc>
          <w:tcPr>
            <w:tcW w:w="2207" w:type="dxa"/>
            <w:vAlign w:val="center"/>
          </w:tcPr>
          <w:p w:rsidRPr="008C0FDF" w:rsidR="00DE1DD3" w:rsidP="00AC4EA5" w:rsidRDefault="005F7FF2" w14:paraId="3E73F5BA" w14:textId="3EA14D83">
            <w:pPr>
              <w:jc w:val="center"/>
              <w:rPr>
                <w:rFonts w:ascii="Arial" w:hAnsi="Arial" w:cs="Arial"/>
                <w:sz w:val="22"/>
                <w:szCs w:val="22"/>
              </w:rPr>
            </w:pPr>
            <w:r w:rsidRPr="008C0FDF">
              <w:rPr>
                <w:rFonts w:ascii="Arial" w:hAnsi="Arial" w:cs="Arial"/>
                <w:sz w:val="22"/>
                <w:szCs w:val="22"/>
              </w:rPr>
              <w:t xml:space="preserve">U: </w:t>
            </w:r>
            <w:r w:rsidRPr="008C0FDF" w:rsidR="00DF1E0C">
              <w:rPr>
                <w:rFonts w:ascii="Arial" w:hAnsi="Arial" w:cs="Arial"/>
                <w:sz w:val="22"/>
                <w:szCs w:val="22"/>
              </w:rPr>
              <w:t>9,38 mil</w:t>
            </w:r>
            <w:r w:rsidRPr="008C0FDF" w:rsidR="00FF69F6">
              <w:rPr>
                <w:rFonts w:ascii="Arial" w:hAnsi="Arial" w:cs="Arial"/>
                <w:sz w:val="22"/>
                <w:szCs w:val="22"/>
              </w:rPr>
              <w:t>/km</w:t>
            </w:r>
          </w:p>
        </w:tc>
        <w:tc>
          <w:tcPr>
            <w:tcW w:w="2207" w:type="dxa"/>
            <w:vAlign w:val="center"/>
          </w:tcPr>
          <w:p w:rsidRPr="008C0FDF" w:rsidR="00DE1DD3" w:rsidP="00AC4EA5" w:rsidRDefault="00447EA8" w14:paraId="01A6B6F7" w14:textId="6D0BAADF">
            <w:pPr>
              <w:jc w:val="center"/>
              <w:rPr>
                <w:rFonts w:ascii="Arial" w:hAnsi="Arial" w:cs="Arial"/>
                <w:sz w:val="22"/>
                <w:szCs w:val="22"/>
              </w:rPr>
            </w:pPr>
            <w:r w:rsidRPr="008C0FDF">
              <w:rPr>
                <w:rFonts w:ascii="Arial" w:hAnsi="Arial" w:cs="Arial"/>
                <w:sz w:val="22"/>
                <w:szCs w:val="22"/>
              </w:rPr>
              <w:t xml:space="preserve">U: </w:t>
            </w:r>
            <w:r w:rsidRPr="008C0FDF" w:rsidR="00333EB8">
              <w:rPr>
                <w:rFonts w:ascii="Arial" w:hAnsi="Arial" w:cs="Arial"/>
                <w:sz w:val="22"/>
                <w:szCs w:val="22"/>
              </w:rPr>
              <w:t>10,14 mil</w:t>
            </w:r>
            <w:r w:rsidRPr="008C0FDF" w:rsidR="00FF69F6">
              <w:rPr>
                <w:rFonts w:ascii="Arial" w:hAnsi="Arial" w:cs="Arial"/>
                <w:sz w:val="22"/>
                <w:szCs w:val="22"/>
              </w:rPr>
              <w:t>/km</w:t>
            </w:r>
          </w:p>
        </w:tc>
        <w:tc>
          <w:tcPr>
            <w:tcW w:w="2207" w:type="dxa"/>
            <w:vAlign w:val="center"/>
          </w:tcPr>
          <w:p w:rsidRPr="008C0FDF" w:rsidR="00DE1DD3" w:rsidP="00AC4EA5" w:rsidRDefault="008D30A2" w14:paraId="73C5E5C3" w14:textId="351B7CA1">
            <w:pPr>
              <w:jc w:val="center"/>
              <w:rPr>
                <w:rFonts w:ascii="Arial" w:hAnsi="Arial" w:cs="Arial"/>
                <w:sz w:val="22"/>
                <w:szCs w:val="22"/>
              </w:rPr>
            </w:pPr>
            <w:r w:rsidRPr="008C0FDF">
              <w:rPr>
                <w:rFonts w:ascii="Arial" w:hAnsi="Arial" w:cs="Arial"/>
                <w:sz w:val="22"/>
                <w:szCs w:val="22"/>
              </w:rPr>
              <w:t>+</w:t>
            </w:r>
          </w:p>
        </w:tc>
      </w:tr>
      <w:tr w:rsidRPr="004A2B13" w:rsidR="008C0FDF" w:rsidTr="006900F1" w14:paraId="363F1F37" w14:textId="77777777">
        <w:tc>
          <w:tcPr>
            <w:tcW w:w="2207" w:type="dxa"/>
            <w:vAlign w:val="center"/>
          </w:tcPr>
          <w:p w:rsidRPr="008C0FDF" w:rsidR="008C0FDF" w:rsidP="008C0FDF" w:rsidRDefault="008C0FDF" w14:paraId="159D0462" w14:textId="5C3AF6A3">
            <w:pPr>
              <w:rPr>
                <w:rFonts w:ascii="Arial" w:hAnsi="Arial" w:cs="Arial"/>
                <w:sz w:val="22"/>
                <w:szCs w:val="22"/>
              </w:rPr>
            </w:pPr>
            <w:r w:rsidRPr="008C0FDF">
              <w:rPr>
                <w:rFonts w:ascii="Arial" w:hAnsi="Arial" w:cs="Arial"/>
                <w:sz w:val="22"/>
                <w:szCs w:val="22"/>
              </w:rPr>
              <w:t xml:space="preserve">3. </w:t>
            </w:r>
            <w:r w:rsidRPr="008C0FDF">
              <w:rPr>
                <w:rFonts w:ascii="Arial" w:hAnsi="Arial" w:cs="Arial"/>
                <w:b/>
                <w:bCs/>
                <w:color w:val="4472C4" w:themeColor="accent1"/>
                <w:sz w:val="22"/>
                <w:szCs w:val="22"/>
              </w:rPr>
              <w:t>ME</w:t>
            </w:r>
            <w:r w:rsidRPr="008C0FDF">
              <w:rPr>
                <w:rFonts w:ascii="Arial" w:hAnsi="Arial" w:cs="Arial"/>
                <w:sz w:val="22"/>
                <w:szCs w:val="22"/>
              </w:rPr>
              <w:t>. Estructuración energía renovable y suministro</w:t>
            </w:r>
          </w:p>
        </w:tc>
        <w:tc>
          <w:tcPr>
            <w:tcW w:w="2207" w:type="dxa"/>
            <w:vAlign w:val="center"/>
          </w:tcPr>
          <w:p w:rsidRPr="008C0FDF" w:rsidR="008C0FDF" w:rsidP="008C0FDF" w:rsidRDefault="008C0FDF" w14:paraId="43BDDD12" w14:textId="23436F31">
            <w:pPr>
              <w:jc w:val="center"/>
              <w:rPr>
                <w:rFonts w:ascii="Arial" w:hAnsi="Arial" w:cs="Arial"/>
                <w:sz w:val="22"/>
                <w:szCs w:val="22"/>
              </w:rPr>
            </w:pPr>
            <w:r w:rsidRPr="008C0FDF">
              <w:rPr>
                <w:rFonts w:ascii="Arial" w:hAnsi="Arial" w:cs="Arial"/>
                <w:sz w:val="22"/>
                <w:szCs w:val="22"/>
              </w:rPr>
              <w:t>T: 1 millón</w:t>
            </w:r>
          </w:p>
        </w:tc>
        <w:tc>
          <w:tcPr>
            <w:tcW w:w="2207" w:type="dxa"/>
            <w:vAlign w:val="center"/>
          </w:tcPr>
          <w:p w:rsidRPr="008C0FDF" w:rsidR="008C0FDF" w:rsidP="008C0FDF" w:rsidRDefault="008C0FDF" w14:paraId="65D6E197" w14:textId="38D78E12">
            <w:pPr>
              <w:jc w:val="center"/>
              <w:rPr>
                <w:rFonts w:ascii="Arial" w:hAnsi="Arial" w:cs="Arial"/>
                <w:sz w:val="22"/>
                <w:szCs w:val="22"/>
              </w:rPr>
            </w:pPr>
            <w:r w:rsidRPr="008C0FDF">
              <w:rPr>
                <w:rFonts w:ascii="Arial" w:hAnsi="Arial" w:cs="Arial"/>
                <w:sz w:val="22"/>
                <w:szCs w:val="22"/>
              </w:rPr>
              <w:t>T: 1,10 millones</w:t>
            </w:r>
          </w:p>
        </w:tc>
        <w:tc>
          <w:tcPr>
            <w:tcW w:w="2207" w:type="dxa"/>
            <w:vAlign w:val="center"/>
          </w:tcPr>
          <w:p w:rsidRPr="008C0FDF" w:rsidR="008C0FDF" w:rsidP="008C0FDF" w:rsidRDefault="008C0FDF" w14:paraId="7F9946D4" w14:textId="77416207">
            <w:pPr>
              <w:jc w:val="center"/>
              <w:rPr>
                <w:rFonts w:ascii="Arial" w:hAnsi="Arial" w:cs="Arial"/>
                <w:sz w:val="22"/>
                <w:szCs w:val="22"/>
              </w:rPr>
            </w:pPr>
            <w:r w:rsidRPr="008C0FDF">
              <w:rPr>
                <w:rFonts w:ascii="Arial" w:hAnsi="Arial" w:cs="Arial"/>
                <w:sz w:val="22"/>
                <w:szCs w:val="22"/>
              </w:rPr>
              <w:t>+</w:t>
            </w:r>
          </w:p>
        </w:tc>
      </w:tr>
      <w:tr w:rsidRPr="004A2B13" w:rsidR="00DE1DD3" w:rsidTr="006900F1" w14:paraId="622CAA1B" w14:textId="77777777">
        <w:tc>
          <w:tcPr>
            <w:tcW w:w="2207" w:type="dxa"/>
            <w:vAlign w:val="center"/>
          </w:tcPr>
          <w:p w:rsidRPr="008C0FDF" w:rsidR="00DE1DD3" w:rsidP="00AC4EA5" w:rsidRDefault="006155DB" w14:paraId="1FEE9000" w14:textId="0098F5AC">
            <w:pPr>
              <w:rPr>
                <w:rFonts w:ascii="Arial" w:hAnsi="Arial" w:cs="Arial"/>
                <w:sz w:val="22"/>
                <w:szCs w:val="22"/>
              </w:rPr>
            </w:pPr>
            <w:r w:rsidRPr="008C0FDF">
              <w:rPr>
                <w:rFonts w:ascii="Arial" w:hAnsi="Arial" w:cs="Arial"/>
                <w:sz w:val="22"/>
                <w:szCs w:val="22"/>
              </w:rPr>
              <w:t>4</w:t>
            </w:r>
            <w:r w:rsidRPr="008C0FDF" w:rsidR="0015151B">
              <w:rPr>
                <w:rFonts w:ascii="Arial" w:hAnsi="Arial" w:cs="Arial"/>
                <w:sz w:val="22"/>
                <w:szCs w:val="22"/>
              </w:rPr>
              <w:t>.</w:t>
            </w:r>
            <w:r w:rsidRPr="008C0FDF" w:rsidR="00A3182E">
              <w:rPr>
                <w:rFonts w:ascii="Arial" w:hAnsi="Arial" w:cs="Arial"/>
                <w:sz w:val="22"/>
                <w:szCs w:val="22"/>
              </w:rPr>
              <w:t xml:space="preserve"> </w:t>
            </w:r>
            <w:r w:rsidRPr="008C0FDF" w:rsidR="000820EB">
              <w:rPr>
                <w:rFonts w:ascii="Arial" w:hAnsi="Arial" w:cs="Arial"/>
                <w:b/>
                <w:bCs/>
                <w:color w:val="4472C4" w:themeColor="accent1"/>
                <w:sz w:val="22"/>
                <w:szCs w:val="22"/>
              </w:rPr>
              <w:t>AS</w:t>
            </w:r>
            <w:r w:rsidRPr="008C0FDF" w:rsidR="000820EB">
              <w:rPr>
                <w:rFonts w:ascii="Arial" w:hAnsi="Arial" w:cs="Arial"/>
                <w:sz w:val="22"/>
                <w:szCs w:val="22"/>
              </w:rPr>
              <w:t xml:space="preserve">. </w:t>
            </w:r>
            <w:r w:rsidRPr="008C0FDF" w:rsidR="00B07E7B">
              <w:rPr>
                <w:rFonts w:ascii="Arial" w:hAnsi="Arial" w:cs="Arial"/>
                <w:sz w:val="22"/>
                <w:szCs w:val="22"/>
              </w:rPr>
              <w:t xml:space="preserve">Estructuración </w:t>
            </w:r>
            <w:r w:rsidRPr="008C0FDF" w:rsidR="0015151B">
              <w:rPr>
                <w:rFonts w:ascii="Arial" w:hAnsi="Arial" w:cs="Arial"/>
                <w:sz w:val="22"/>
                <w:szCs w:val="22"/>
              </w:rPr>
              <w:t>residuos sólidos Cali</w:t>
            </w:r>
          </w:p>
        </w:tc>
        <w:tc>
          <w:tcPr>
            <w:tcW w:w="2207" w:type="dxa"/>
            <w:vAlign w:val="center"/>
          </w:tcPr>
          <w:p w:rsidRPr="008C0FDF" w:rsidR="00DE1DD3" w:rsidP="00AC4EA5" w:rsidRDefault="00DF1E0C" w14:paraId="1E171FF3" w14:textId="6194F3A4">
            <w:pPr>
              <w:jc w:val="center"/>
              <w:rPr>
                <w:rFonts w:ascii="Arial" w:hAnsi="Arial" w:cs="Arial"/>
                <w:sz w:val="22"/>
                <w:szCs w:val="22"/>
              </w:rPr>
            </w:pPr>
            <w:r w:rsidRPr="008C0FDF">
              <w:rPr>
                <w:rFonts w:ascii="Arial" w:hAnsi="Arial" w:cs="Arial"/>
                <w:sz w:val="22"/>
                <w:szCs w:val="22"/>
              </w:rPr>
              <w:t xml:space="preserve">U: </w:t>
            </w:r>
            <w:r w:rsidRPr="008C0FDF" w:rsidR="000C3D72">
              <w:rPr>
                <w:rFonts w:ascii="Arial" w:hAnsi="Arial" w:cs="Arial"/>
                <w:sz w:val="22"/>
                <w:szCs w:val="22"/>
              </w:rPr>
              <w:t>0,34/hab</w:t>
            </w:r>
          </w:p>
        </w:tc>
        <w:tc>
          <w:tcPr>
            <w:tcW w:w="2207" w:type="dxa"/>
            <w:vAlign w:val="center"/>
          </w:tcPr>
          <w:p w:rsidRPr="008C0FDF" w:rsidR="00DE1DD3" w:rsidP="00AC4EA5" w:rsidRDefault="007B2DF3" w14:paraId="78317FD8" w14:textId="47BD40CD">
            <w:pPr>
              <w:jc w:val="center"/>
              <w:rPr>
                <w:rFonts w:ascii="Arial" w:hAnsi="Arial" w:cs="Arial"/>
                <w:sz w:val="22"/>
                <w:szCs w:val="22"/>
              </w:rPr>
            </w:pPr>
            <w:r w:rsidRPr="008C0FDF">
              <w:rPr>
                <w:rFonts w:ascii="Arial" w:hAnsi="Arial" w:cs="Arial"/>
                <w:sz w:val="22"/>
                <w:szCs w:val="22"/>
              </w:rPr>
              <w:t>U: 0,34/hab</w:t>
            </w:r>
          </w:p>
        </w:tc>
        <w:tc>
          <w:tcPr>
            <w:tcW w:w="2207" w:type="dxa"/>
            <w:vAlign w:val="center"/>
          </w:tcPr>
          <w:p w:rsidRPr="008C0FDF" w:rsidR="00DE1DD3" w:rsidP="00AC4EA5" w:rsidRDefault="00731C5F" w14:paraId="1E02881E" w14:textId="3C2BE837">
            <w:pPr>
              <w:jc w:val="center"/>
              <w:rPr>
                <w:rFonts w:ascii="Arial" w:hAnsi="Arial" w:cs="Arial"/>
                <w:sz w:val="22"/>
                <w:szCs w:val="22"/>
              </w:rPr>
            </w:pPr>
            <w:r w:rsidRPr="008C0FDF">
              <w:rPr>
                <w:rFonts w:ascii="Arial" w:hAnsi="Arial" w:cs="Arial"/>
                <w:sz w:val="22"/>
                <w:szCs w:val="22"/>
              </w:rPr>
              <w:t>ND</w:t>
            </w:r>
          </w:p>
        </w:tc>
      </w:tr>
      <w:tr w:rsidRPr="004A2B13" w:rsidR="00DE1DD3" w:rsidTr="006900F1" w14:paraId="3328423C" w14:textId="77777777">
        <w:tc>
          <w:tcPr>
            <w:tcW w:w="2207" w:type="dxa"/>
            <w:vAlign w:val="center"/>
          </w:tcPr>
          <w:p w:rsidRPr="004A2B13" w:rsidR="00DE1DD3" w:rsidP="00AC4EA5" w:rsidRDefault="006155DB" w14:paraId="6686CB63" w14:textId="7D5BBCA7">
            <w:pPr>
              <w:rPr>
                <w:rFonts w:ascii="Arial" w:hAnsi="Arial" w:cs="Arial"/>
                <w:sz w:val="22"/>
                <w:szCs w:val="22"/>
              </w:rPr>
            </w:pPr>
            <w:r>
              <w:rPr>
                <w:rFonts w:ascii="Arial" w:hAnsi="Arial" w:cs="Arial"/>
                <w:sz w:val="22"/>
                <w:szCs w:val="22"/>
              </w:rPr>
              <w:t>5</w:t>
            </w:r>
            <w:r w:rsidRPr="004A2B13" w:rsidR="00000BCD">
              <w:rPr>
                <w:rFonts w:ascii="Arial" w:hAnsi="Arial" w:cs="Arial"/>
                <w:sz w:val="22"/>
                <w:szCs w:val="22"/>
              </w:rPr>
              <w:t xml:space="preserve">. </w:t>
            </w:r>
            <w:r w:rsidRPr="004A2B13" w:rsidR="000820EB">
              <w:rPr>
                <w:rFonts w:ascii="Arial" w:hAnsi="Arial" w:cs="Arial"/>
                <w:b/>
                <w:bCs/>
                <w:color w:val="4472C4" w:themeColor="accent1"/>
                <w:sz w:val="22"/>
                <w:szCs w:val="22"/>
              </w:rPr>
              <w:t>AS</w:t>
            </w:r>
            <w:r w:rsidRPr="004A2B13" w:rsidR="000820EB">
              <w:rPr>
                <w:rFonts w:ascii="Arial" w:hAnsi="Arial" w:cs="Arial"/>
                <w:sz w:val="22"/>
                <w:szCs w:val="22"/>
              </w:rPr>
              <w:t xml:space="preserve">. </w:t>
            </w:r>
            <w:r w:rsidRPr="004A2B13" w:rsidR="00000BCD">
              <w:rPr>
                <w:rFonts w:ascii="Arial" w:hAnsi="Arial" w:cs="Arial"/>
                <w:sz w:val="22"/>
                <w:szCs w:val="22"/>
              </w:rPr>
              <w:t>Estructuración aguas residuales Bucaramanga</w:t>
            </w:r>
          </w:p>
        </w:tc>
        <w:tc>
          <w:tcPr>
            <w:tcW w:w="2207" w:type="dxa"/>
            <w:vAlign w:val="center"/>
          </w:tcPr>
          <w:p w:rsidRPr="004A2B13" w:rsidR="00DE1DD3" w:rsidP="00AC4EA5" w:rsidRDefault="000C3D72" w14:paraId="5C357F49" w14:textId="7200E302">
            <w:pPr>
              <w:jc w:val="center"/>
              <w:rPr>
                <w:rFonts w:ascii="Arial" w:hAnsi="Arial" w:cs="Arial"/>
                <w:sz w:val="22"/>
                <w:szCs w:val="22"/>
              </w:rPr>
            </w:pPr>
            <w:r w:rsidRPr="004A2B13">
              <w:rPr>
                <w:rFonts w:ascii="Arial" w:hAnsi="Arial" w:cs="Arial"/>
                <w:sz w:val="22"/>
                <w:szCs w:val="22"/>
              </w:rPr>
              <w:t>U: 0,74/hab</w:t>
            </w:r>
          </w:p>
        </w:tc>
        <w:tc>
          <w:tcPr>
            <w:tcW w:w="2207" w:type="dxa"/>
            <w:vAlign w:val="center"/>
          </w:tcPr>
          <w:p w:rsidRPr="004A2B13" w:rsidR="00DE1DD3" w:rsidP="00AC4EA5" w:rsidRDefault="007B2DF3" w14:paraId="0B610A0F" w14:textId="13B8E945">
            <w:pPr>
              <w:jc w:val="center"/>
              <w:rPr>
                <w:rFonts w:ascii="Arial" w:hAnsi="Arial" w:cs="Arial"/>
                <w:sz w:val="22"/>
                <w:szCs w:val="22"/>
              </w:rPr>
            </w:pPr>
            <w:r w:rsidRPr="004A2B13">
              <w:rPr>
                <w:rFonts w:ascii="Arial" w:hAnsi="Arial" w:cs="Arial"/>
                <w:sz w:val="22"/>
                <w:szCs w:val="22"/>
              </w:rPr>
              <w:t>U: 1,90/hab</w:t>
            </w:r>
          </w:p>
        </w:tc>
        <w:tc>
          <w:tcPr>
            <w:tcW w:w="2207" w:type="dxa"/>
            <w:vAlign w:val="center"/>
          </w:tcPr>
          <w:p w:rsidRPr="004A2B13" w:rsidR="00DE1DD3" w:rsidP="00AC4EA5" w:rsidRDefault="008D30A2" w14:paraId="24CBA290" w14:textId="7A303B9B">
            <w:pPr>
              <w:jc w:val="center"/>
              <w:rPr>
                <w:rFonts w:ascii="Arial" w:hAnsi="Arial" w:cs="Arial"/>
                <w:sz w:val="22"/>
                <w:szCs w:val="22"/>
              </w:rPr>
            </w:pPr>
            <w:r w:rsidRPr="004A2B13">
              <w:rPr>
                <w:rFonts w:ascii="Arial" w:hAnsi="Arial" w:cs="Arial"/>
                <w:sz w:val="22"/>
                <w:szCs w:val="22"/>
              </w:rPr>
              <w:t>++</w:t>
            </w:r>
          </w:p>
        </w:tc>
      </w:tr>
      <w:tr w:rsidRPr="004A2B13" w:rsidR="00DE1DD3" w:rsidTr="006900F1" w14:paraId="6896BF80" w14:textId="77777777">
        <w:tc>
          <w:tcPr>
            <w:tcW w:w="2207" w:type="dxa"/>
            <w:vAlign w:val="center"/>
          </w:tcPr>
          <w:p w:rsidRPr="004A2B13" w:rsidR="00DE1DD3" w:rsidP="00AC4EA5" w:rsidRDefault="006155DB" w14:paraId="2A81BC0F" w14:textId="0428AFA1">
            <w:pPr>
              <w:rPr>
                <w:rFonts w:ascii="Arial" w:hAnsi="Arial" w:cs="Arial"/>
                <w:sz w:val="22"/>
                <w:szCs w:val="22"/>
              </w:rPr>
            </w:pPr>
            <w:r>
              <w:rPr>
                <w:rFonts w:ascii="Arial" w:hAnsi="Arial" w:cs="Arial"/>
                <w:sz w:val="22"/>
                <w:szCs w:val="22"/>
              </w:rPr>
              <w:t>6</w:t>
            </w:r>
            <w:r w:rsidRPr="004A2B13" w:rsidR="005734E2">
              <w:rPr>
                <w:rFonts w:ascii="Arial" w:hAnsi="Arial" w:cs="Arial"/>
                <w:sz w:val="22"/>
                <w:szCs w:val="22"/>
              </w:rPr>
              <w:t>.</w:t>
            </w:r>
            <w:r w:rsidRPr="004A2B13" w:rsidR="00000BCD">
              <w:rPr>
                <w:rFonts w:ascii="Arial" w:hAnsi="Arial" w:cs="Arial"/>
                <w:sz w:val="22"/>
                <w:szCs w:val="22"/>
              </w:rPr>
              <w:t xml:space="preserve"> </w:t>
            </w:r>
            <w:r w:rsidRPr="004A2B13" w:rsidR="000820EB">
              <w:rPr>
                <w:rFonts w:ascii="Arial" w:hAnsi="Arial" w:cs="Arial"/>
                <w:b/>
                <w:bCs/>
                <w:color w:val="4472C4" w:themeColor="accent1"/>
                <w:sz w:val="22"/>
                <w:szCs w:val="22"/>
              </w:rPr>
              <w:t>SA</w:t>
            </w:r>
            <w:r w:rsidRPr="004A2B13" w:rsidR="000820EB">
              <w:rPr>
                <w:rFonts w:ascii="Arial" w:hAnsi="Arial" w:cs="Arial"/>
                <w:sz w:val="22"/>
                <w:szCs w:val="22"/>
              </w:rPr>
              <w:t xml:space="preserve">. </w:t>
            </w:r>
            <w:r w:rsidRPr="004A2B13" w:rsidR="00000BCD">
              <w:rPr>
                <w:rFonts w:ascii="Arial" w:hAnsi="Arial" w:cs="Arial"/>
                <w:sz w:val="22"/>
                <w:szCs w:val="22"/>
              </w:rPr>
              <w:t xml:space="preserve">Estructuración </w:t>
            </w:r>
            <w:r w:rsidRPr="004A2B13" w:rsidR="00B4599B">
              <w:rPr>
                <w:rFonts w:ascii="Arial" w:hAnsi="Arial" w:cs="Arial"/>
                <w:sz w:val="22"/>
                <w:szCs w:val="22"/>
              </w:rPr>
              <w:t>centro atención primaria +</w:t>
            </w:r>
            <w:r w:rsidRPr="004A2B13" w:rsidR="00000BCD">
              <w:rPr>
                <w:rFonts w:ascii="Arial" w:hAnsi="Arial" w:cs="Arial"/>
                <w:sz w:val="22"/>
                <w:szCs w:val="22"/>
              </w:rPr>
              <w:t xml:space="preserve"> </w:t>
            </w:r>
            <w:r w:rsidRPr="004A2B13" w:rsidR="005734E2">
              <w:rPr>
                <w:rFonts w:ascii="Arial" w:hAnsi="Arial" w:cs="Arial"/>
                <w:sz w:val="22"/>
                <w:szCs w:val="22"/>
              </w:rPr>
              <w:t>hospital</w:t>
            </w:r>
            <w:r w:rsidRPr="004A2B13" w:rsidR="00DB32D3">
              <w:rPr>
                <w:rFonts w:ascii="Arial" w:hAnsi="Arial" w:cs="Arial"/>
                <w:sz w:val="22"/>
                <w:szCs w:val="22"/>
              </w:rPr>
              <w:t xml:space="preserve"> regional (</w:t>
            </w:r>
            <w:r w:rsidRPr="004A2B13" w:rsidR="00DB32D3">
              <w:rPr>
                <w:rFonts w:ascii="Arial" w:hAnsi="Arial" w:cs="Arial"/>
                <w:b/>
                <w:bCs/>
                <w:sz w:val="22"/>
                <w:szCs w:val="22"/>
              </w:rPr>
              <w:t>2</w:t>
            </w:r>
            <w:r w:rsidRPr="004A2B13" w:rsidR="00DB32D3">
              <w:rPr>
                <w:rFonts w:ascii="Arial" w:hAnsi="Arial" w:cs="Arial"/>
                <w:sz w:val="22"/>
                <w:szCs w:val="22"/>
              </w:rPr>
              <w:t xml:space="preserve"> intervenciones)</w:t>
            </w:r>
          </w:p>
        </w:tc>
        <w:tc>
          <w:tcPr>
            <w:tcW w:w="2207" w:type="dxa"/>
            <w:vAlign w:val="center"/>
          </w:tcPr>
          <w:p w:rsidRPr="004A2B13" w:rsidR="00DE1DD3" w:rsidP="00AC4EA5" w:rsidRDefault="00DB32D3" w14:paraId="4E185122" w14:textId="7772FB20">
            <w:pPr>
              <w:jc w:val="center"/>
              <w:rPr>
                <w:rFonts w:ascii="Arial" w:hAnsi="Arial" w:cs="Arial"/>
                <w:sz w:val="22"/>
                <w:szCs w:val="22"/>
              </w:rPr>
            </w:pPr>
            <w:r w:rsidRPr="004A2B13">
              <w:rPr>
                <w:rFonts w:ascii="Arial" w:hAnsi="Arial" w:cs="Arial"/>
                <w:sz w:val="22"/>
                <w:szCs w:val="22"/>
              </w:rPr>
              <w:t>T: 2 millones</w:t>
            </w:r>
          </w:p>
        </w:tc>
        <w:tc>
          <w:tcPr>
            <w:tcW w:w="2207" w:type="dxa"/>
            <w:vAlign w:val="center"/>
          </w:tcPr>
          <w:p w:rsidRPr="004A2B13" w:rsidR="00DE1DD3" w:rsidP="00AC4EA5" w:rsidRDefault="007B2DF3" w14:paraId="15ED5C59" w14:textId="7CD16BF0">
            <w:pPr>
              <w:jc w:val="center"/>
              <w:rPr>
                <w:rFonts w:ascii="Arial" w:hAnsi="Arial" w:cs="Arial"/>
                <w:sz w:val="22"/>
                <w:szCs w:val="22"/>
              </w:rPr>
            </w:pPr>
            <w:r w:rsidRPr="004A2B13">
              <w:rPr>
                <w:rFonts w:ascii="Arial" w:hAnsi="Arial" w:cs="Arial"/>
                <w:sz w:val="22"/>
                <w:szCs w:val="22"/>
              </w:rPr>
              <w:t>T: 2,7 millones</w:t>
            </w:r>
          </w:p>
        </w:tc>
        <w:tc>
          <w:tcPr>
            <w:tcW w:w="2207" w:type="dxa"/>
            <w:vAlign w:val="center"/>
          </w:tcPr>
          <w:p w:rsidRPr="004A2B13" w:rsidR="00DE1DD3" w:rsidP="00AC4EA5" w:rsidRDefault="008D30A2" w14:paraId="4DFC7163" w14:textId="51101232">
            <w:pPr>
              <w:jc w:val="center"/>
              <w:rPr>
                <w:rFonts w:ascii="Arial" w:hAnsi="Arial" w:cs="Arial"/>
                <w:sz w:val="22"/>
                <w:szCs w:val="22"/>
              </w:rPr>
            </w:pPr>
            <w:r w:rsidRPr="004A2B13">
              <w:rPr>
                <w:rFonts w:ascii="Arial" w:hAnsi="Arial" w:cs="Arial"/>
                <w:sz w:val="22"/>
                <w:szCs w:val="22"/>
              </w:rPr>
              <w:t>+</w:t>
            </w:r>
            <w:r w:rsidRPr="004A2B13" w:rsidR="005C4668">
              <w:rPr>
                <w:rFonts w:ascii="Arial" w:hAnsi="Arial" w:cs="Arial"/>
                <w:sz w:val="22"/>
                <w:szCs w:val="22"/>
              </w:rPr>
              <w:t>+</w:t>
            </w:r>
          </w:p>
        </w:tc>
      </w:tr>
      <w:tr w:rsidRPr="004A2B13" w:rsidR="005734E2" w:rsidTr="005734E2" w14:paraId="5B2D367A" w14:textId="77777777">
        <w:tc>
          <w:tcPr>
            <w:tcW w:w="8828" w:type="dxa"/>
            <w:gridSpan w:val="4"/>
            <w:shd w:val="clear" w:color="auto" w:fill="E7E6E6" w:themeFill="background2"/>
          </w:tcPr>
          <w:p w:rsidRPr="004A2B13" w:rsidR="005734E2" w:rsidP="00AC4EA5" w:rsidRDefault="005734E2" w14:paraId="2F39E5AF" w14:textId="4622A3AE">
            <w:pPr>
              <w:jc w:val="center"/>
              <w:rPr>
                <w:rFonts w:ascii="Arial" w:hAnsi="Arial" w:cs="Arial"/>
                <w:b/>
                <w:bCs/>
                <w:sz w:val="22"/>
                <w:szCs w:val="22"/>
              </w:rPr>
            </w:pPr>
            <w:r w:rsidRPr="004A2B13">
              <w:rPr>
                <w:rFonts w:ascii="Arial" w:hAnsi="Arial" w:cs="Arial"/>
                <w:b/>
                <w:bCs/>
                <w:sz w:val="22"/>
                <w:szCs w:val="22"/>
              </w:rPr>
              <w:t>Componente II</w:t>
            </w:r>
          </w:p>
        </w:tc>
      </w:tr>
      <w:tr w:rsidRPr="004A2B13" w:rsidR="00DE1DD3" w:rsidTr="006900F1" w14:paraId="688C6AC5" w14:textId="77777777">
        <w:tc>
          <w:tcPr>
            <w:tcW w:w="2207" w:type="dxa"/>
            <w:vAlign w:val="center"/>
          </w:tcPr>
          <w:p w:rsidRPr="004A2B13" w:rsidR="00DE1DD3" w:rsidP="00AC4EA5" w:rsidRDefault="006A46E8" w14:paraId="4287F095" w14:textId="7316EF9E">
            <w:pPr>
              <w:rPr>
                <w:rFonts w:ascii="Arial" w:hAnsi="Arial" w:cs="Arial"/>
                <w:sz w:val="22"/>
                <w:szCs w:val="22"/>
              </w:rPr>
            </w:pPr>
            <w:r w:rsidRPr="004A2B13">
              <w:rPr>
                <w:rFonts w:ascii="Arial" w:hAnsi="Arial" w:cs="Arial"/>
                <w:b/>
                <w:bCs/>
                <w:color w:val="4472C4" w:themeColor="accent1"/>
                <w:sz w:val="22"/>
                <w:szCs w:val="22"/>
              </w:rPr>
              <w:t>TR</w:t>
            </w:r>
            <w:r w:rsidRPr="004A2B13">
              <w:rPr>
                <w:rFonts w:ascii="Arial" w:hAnsi="Arial" w:cs="Arial"/>
                <w:sz w:val="22"/>
                <w:szCs w:val="22"/>
              </w:rPr>
              <w:t xml:space="preserve">. </w:t>
            </w:r>
            <w:r w:rsidRPr="004A2B13" w:rsidR="005734E2">
              <w:rPr>
                <w:rFonts w:ascii="Arial" w:hAnsi="Arial" w:cs="Arial"/>
                <w:sz w:val="22"/>
                <w:szCs w:val="22"/>
              </w:rPr>
              <w:t xml:space="preserve">Paquete </w:t>
            </w:r>
            <w:r w:rsidRPr="004A2B13" w:rsidR="006900F1">
              <w:rPr>
                <w:rFonts w:ascii="Arial" w:hAnsi="Arial" w:cs="Arial"/>
                <w:sz w:val="22"/>
                <w:szCs w:val="22"/>
              </w:rPr>
              <w:t xml:space="preserve">de </w:t>
            </w:r>
            <w:r w:rsidRPr="004A2B13" w:rsidR="00906E20">
              <w:rPr>
                <w:rFonts w:ascii="Arial" w:hAnsi="Arial" w:cs="Arial"/>
                <w:b/>
                <w:bCs/>
                <w:sz w:val="22"/>
                <w:szCs w:val="22"/>
              </w:rPr>
              <w:t>3</w:t>
            </w:r>
            <w:r w:rsidRPr="004A2B13" w:rsidR="006900F1">
              <w:rPr>
                <w:rFonts w:ascii="Arial" w:hAnsi="Arial" w:cs="Arial"/>
                <w:sz w:val="22"/>
                <w:szCs w:val="22"/>
              </w:rPr>
              <w:t xml:space="preserve"> intervenciones de fortalecimiento </w:t>
            </w:r>
          </w:p>
        </w:tc>
        <w:tc>
          <w:tcPr>
            <w:tcW w:w="2207" w:type="dxa"/>
            <w:vAlign w:val="center"/>
          </w:tcPr>
          <w:p w:rsidRPr="004A2B13" w:rsidR="00DE1DD3" w:rsidP="00AC4EA5" w:rsidRDefault="00EB49B8" w14:paraId="742549CF" w14:textId="6EEB50FE">
            <w:pPr>
              <w:jc w:val="center"/>
              <w:rPr>
                <w:rFonts w:ascii="Arial" w:hAnsi="Arial" w:cs="Arial"/>
                <w:sz w:val="22"/>
                <w:szCs w:val="22"/>
              </w:rPr>
            </w:pPr>
            <w:r w:rsidRPr="004A2B13">
              <w:rPr>
                <w:rFonts w:ascii="Arial" w:hAnsi="Arial" w:cs="Arial"/>
                <w:sz w:val="22"/>
                <w:szCs w:val="22"/>
              </w:rPr>
              <w:t xml:space="preserve">T: </w:t>
            </w:r>
            <w:r w:rsidRPr="004A2B13" w:rsidR="00AD085D">
              <w:rPr>
                <w:rFonts w:ascii="Arial" w:hAnsi="Arial" w:cs="Arial"/>
                <w:sz w:val="22"/>
                <w:szCs w:val="22"/>
              </w:rPr>
              <w:t>500 mil</w:t>
            </w:r>
          </w:p>
        </w:tc>
        <w:tc>
          <w:tcPr>
            <w:tcW w:w="2207" w:type="dxa"/>
            <w:vAlign w:val="center"/>
          </w:tcPr>
          <w:p w:rsidRPr="004A2B13" w:rsidR="00DE1DD3" w:rsidP="00AC4EA5" w:rsidRDefault="00AD085D" w14:paraId="558D878E" w14:textId="288ADB6B">
            <w:pPr>
              <w:jc w:val="center"/>
              <w:rPr>
                <w:rFonts w:ascii="Arial" w:hAnsi="Arial" w:cs="Arial"/>
                <w:sz w:val="22"/>
                <w:szCs w:val="22"/>
              </w:rPr>
            </w:pPr>
            <w:r w:rsidRPr="004A2B13">
              <w:rPr>
                <w:rFonts w:ascii="Arial" w:hAnsi="Arial" w:cs="Arial"/>
                <w:sz w:val="22"/>
                <w:szCs w:val="22"/>
              </w:rPr>
              <w:t>T: 1.07</w:t>
            </w:r>
          </w:p>
        </w:tc>
        <w:tc>
          <w:tcPr>
            <w:tcW w:w="2207" w:type="dxa"/>
            <w:vAlign w:val="center"/>
          </w:tcPr>
          <w:p w:rsidRPr="004A2B13" w:rsidR="00DE1DD3" w:rsidP="00AC4EA5" w:rsidRDefault="00AD085D" w14:paraId="31962815" w14:textId="7B06EEE0">
            <w:pPr>
              <w:jc w:val="center"/>
              <w:rPr>
                <w:rFonts w:ascii="Arial" w:hAnsi="Arial" w:cs="Arial"/>
                <w:sz w:val="22"/>
                <w:szCs w:val="22"/>
              </w:rPr>
            </w:pPr>
            <w:r w:rsidRPr="004A2B13">
              <w:rPr>
                <w:rFonts w:ascii="Arial" w:hAnsi="Arial" w:cs="Arial"/>
                <w:sz w:val="22"/>
                <w:szCs w:val="22"/>
              </w:rPr>
              <w:t>++</w:t>
            </w:r>
          </w:p>
        </w:tc>
      </w:tr>
    </w:tbl>
    <w:p w:rsidRPr="00057C12" w:rsidR="009C5017" w:rsidP="004A2B13" w:rsidRDefault="009C5017" w14:paraId="2B5CC7A7" w14:textId="3EAA5F5D">
      <w:pPr>
        <w:spacing w:before="120" w:after="120"/>
        <w:jc w:val="center"/>
        <w:rPr>
          <w:rFonts w:ascii="Arial" w:hAnsi="Arial" w:cs="Arial"/>
          <w:sz w:val="20"/>
          <w:szCs w:val="20"/>
        </w:rPr>
      </w:pPr>
      <w:r w:rsidRPr="00057C12">
        <w:rPr>
          <w:rFonts w:ascii="Arial" w:hAnsi="Arial" w:cs="Arial"/>
          <w:sz w:val="20"/>
          <w:szCs w:val="20"/>
        </w:rPr>
        <w:t>Fuente: elaboración propia</w:t>
      </w:r>
      <w:r w:rsidRPr="00057C12" w:rsidR="008D30A2">
        <w:rPr>
          <w:rFonts w:ascii="Arial" w:hAnsi="Arial" w:cs="Arial"/>
          <w:sz w:val="20"/>
          <w:szCs w:val="20"/>
        </w:rPr>
        <w:t xml:space="preserve">. </w:t>
      </w:r>
      <w:r w:rsidRPr="00057C12" w:rsidR="005A5428">
        <w:rPr>
          <w:rFonts w:ascii="Arial" w:hAnsi="Arial" w:cs="Arial"/>
          <w:sz w:val="20"/>
          <w:szCs w:val="20"/>
        </w:rPr>
        <w:t>(</w:t>
      </w:r>
      <w:r w:rsidRPr="00057C12" w:rsidR="008D30A2">
        <w:rPr>
          <w:rFonts w:ascii="Arial" w:hAnsi="Arial" w:cs="Arial"/>
          <w:sz w:val="20"/>
          <w:szCs w:val="20"/>
        </w:rPr>
        <w:t>+</w:t>
      </w:r>
      <w:r w:rsidRPr="00057C12" w:rsidR="005A5428">
        <w:rPr>
          <w:rFonts w:ascii="Arial" w:hAnsi="Arial" w:cs="Arial"/>
          <w:sz w:val="20"/>
          <w:szCs w:val="20"/>
        </w:rPr>
        <w:t>)</w:t>
      </w:r>
      <w:r w:rsidRPr="00057C12" w:rsidR="008D30A2">
        <w:rPr>
          <w:rFonts w:ascii="Arial" w:hAnsi="Arial" w:cs="Arial"/>
          <w:sz w:val="20"/>
          <w:szCs w:val="20"/>
        </w:rPr>
        <w:t xml:space="preserve">: </w:t>
      </w:r>
      <w:r w:rsidRPr="00057C12" w:rsidR="005A5428">
        <w:rPr>
          <w:rFonts w:ascii="Arial" w:hAnsi="Arial" w:cs="Arial"/>
          <w:sz w:val="20"/>
          <w:szCs w:val="20"/>
        </w:rPr>
        <w:t>leve;( ++): alt</w:t>
      </w:r>
      <w:r w:rsidRPr="00057C12" w:rsidR="00B40775">
        <w:rPr>
          <w:rFonts w:ascii="Arial" w:hAnsi="Arial" w:cs="Arial"/>
          <w:sz w:val="20"/>
          <w:szCs w:val="20"/>
        </w:rPr>
        <w:t>a</w:t>
      </w:r>
      <w:r w:rsidRPr="00057C12" w:rsidR="005A5428">
        <w:rPr>
          <w:rFonts w:ascii="Arial" w:hAnsi="Arial" w:cs="Arial"/>
          <w:sz w:val="20"/>
          <w:szCs w:val="20"/>
        </w:rPr>
        <w:t>; (</w:t>
      </w:r>
      <w:r w:rsidRPr="00057C12" w:rsidR="00731C5F">
        <w:rPr>
          <w:rFonts w:ascii="Arial" w:hAnsi="Arial" w:cs="Arial"/>
          <w:sz w:val="20"/>
          <w:szCs w:val="20"/>
        </w:rPr>
        <w:t>ND</w:t>
      </w:r>
      <w:r w:rsidRPr="00057C12" w:rsidR="005A5428">
        <w:rPr>
          <w:rFonts w:ascii="Arial" w:hAnsi="Arial" w:cs="Arial"/>
          <w:sz w:val="20"/>
          <w:szCs w:val="20"/>
        </w:rPr>
        <w:t>): no detectable</w:t>
      </w:r>
      <w:r w:rsidRPr="00057C12" w:rsidR="00731C5F">
        <w:rPr>
          <w:rFonts w:ascii="Arial" w:hAnsi="Arial" w:cs="Arial"/>
          <w:sz w:val="20"/>
          <w:szCs w:val="20"/>
        </w:rPr>
        <w:t>; (</w:t>
      </w:r>
      <w:r w:rsidRPr="00057C12" w:rsidR="00D601FB">
        <w:rPr>
          <w:rFonts w:ascii="Arial" w:hAnsi="Arial" w:cs="Arial"/>
          <w:sz w:val="20"/>
          <w:szCs w:val="20"/>
        </w:rPr>
        <w:t>-): negativa</w:t>
      </w:r>
    </w:p>
    <w:p w:rsidRPr="004A2B13" w:rsidR="0085047C" w:rsidP="004A2B13" w:rsidRDefault="0085047C" w14:paraId="291959D0" w14:textId="4C975109">
      <w:pPr>
        <w:spacing w:before="120" w:after="120"/>
        <w:jc w:val="center"/>
        <w:rPr>
          <w:rFonts w:ascii="Arial" w:hAnsi="Arial" w:cs="Arial"/>
          <w:sz w:val="22"/>
          <w:szCs w:val="22"/>
        </w:rPr>
      </w:pPr>
    </w:p>
    <w:p w:rsidRPr="004A2B13" w:rsidR="0085047C" w:rsidP="004A2B13" w:rsidRDefault="0085047C" w14:paraId="640CA341" w14:textId="7F06B3E4">
      <w:pPr>
        <w:spacing w:before="120" w:after="120"/>
        <w:jc w:val="both"/>
        <w:rPr>
          <w:rFonts w:ascii="Arial" w:hAnsi="Arial" w:cs="Arial"/>
          <w:sz w:val="22"/>
          <w:szCs w:val="22"/>
        </w:rPr>
      </w:pPr>
      <w:r w:rsidRPr="004A2B13">
        <w:rPr>
          <w:rFonts w:ascii="Arial" w:hAnsi="Arial" w:cs="Arial"/>
          <w:b/>
          <w:bCs/>
          <w:sz w:val="22"/>
          <w:szCs w:val="22"/>
        </w:rPr>
        <w:t xml:space="preserve">Comparación </w:t>
      </w:r>
      <w:r w:rsidRPr="004A2B13" w:rsidR="00726418">
        <w:rPr>
          <w:rFonts w:ascii="Arial" w:hAnsi="Arial" w:cs="Arial"/>
          <w:b/>
          <w:bCs/>
          <w:sz w:val="22"/>
          <w:szCs w:val="22"/>
        </w:rPr>
        <w:t>3</w:t>
      </w:r>
      <w:r w:rsidRPr="004A2B13" w:rsidR="00726418">
        <w:rPr>
          <w:rFonts w:ascii="Arial" w:hAnsi="Arial" w:cs="Arial"/>
          <w:sz w:val="22"/>
          <w:szCs w:val="22"/>
        </w:rPr>
        <w:t xml:space="preserve">. </w:t>
      </w:r>
      <w:r w:rsidRPr="004A2B13" w:rsidR="00CB32B9">
        <w:rPr>
          <w:rFonts w:ascii="Arial" w:hAnsi="Arial" w:cs="Arial"/>
          <w:sz w:val="22"/>
          <w:szCs w:val="22"/>
        </w:rPr>
        <w:t xml:space="preserve">Eficiencia </w:t>
      </w:r>
      <w:r w:rsidRPr="004A2B13" w:rsidR="005F76DB">
        <w:rPr>
          <w:rFonts w:ascii="Arial" w:hAnsi="Arial" w:cs="Arial"/>
          <w:sz w:val="22"/>
          <w:szCs w:val="22"/>
        </w:rPr>
        <w:t>relativa de Programa</w:t>
      </w:r>
      <w:r w:rsidRPr="004A2B13" w:rsidR="00CB32B9">
        <w:rPr>
          <w:rFonts w:ascii="Arial" w:hAnsi="Arial" w:cs="Arial"/>
          <w:sz w:val="22"/>
          <w:szCs w:val="22"/>
        </w:rPr>
        <w:t>.</w:t>
      </w:r>
    </w:p>
    <w:p w:rsidR="0073043D" w:rsidP="004A2B13" w:rsidRDefault="002F07AB" w14:paraId="0B509C69" w14:textId="7001C17B">
      <w:pPr>
        <w:spacing w:before="120" w:after="120"/>
        <w:jc w:val="both"/>
        <w:rPr>
          <w:rFonts w:ascii="Arial" w:hAnsi="Arial" w:cs="Arial"/>
          <w:sz w:val="22"/>
          <w:szCs w:val="22"/>
        </w:rPr>
      </w:pPr>
      <w:r w:rsidRPr="004A2B13">
        <w:rPr>
          <w:rFonts w:ascii="Arial" w:hAnsi="Arial" w:cs="Arial"/>
          <w:sz w:val="22"/>
          <w:szCs w:val="22"/>
        </w:rPr>
        <w:t xml:space="preserve">La Tabla 4.2 muestra </w:t>
      </w:r>
      <w:r w:rsidRPr="004A2B13" w:rsidR="00137457">
        <w:rPr>
          <w:rFonts w:ascii="Arial" w:hAnsi="Arial" w:cs="Arial"/>
          <w:sz w:val="22"/>
          <w:szCs w:val="22"/>
        </w:rPr>
        <w:t xml:space="preserve">el cociente </w:t>
      </w:r>
      <w:r w:rsidRPr="004A2B13" w:rsidR="004F1945">
        <w:rPr>
          <w:rFonts w:ascii="Arial" w:hAnsi="Arial" w:cs="Arial"/>
          <w:sz w:val="22"/>
          <w:szCs w:val="22"/>
        </w:rPr>
        <w:t>entre</w:t>
      </w:r>
      <w:r w:rsidRPr="004A2B13" w:rsidR="00811AFB">
        <w:rPr>
          <w:rFonts w:ascii="Arial" w:hAnsi="Arial" w:cs="Arial"/>
          <w:sz w:val="22"/>
          <w:szCs w:val="22"/>
        </w:rPr>
        <w:t xml:space="preserve"> costo total de la operación y el costo de intervenciones similares </w:t>
      </w:r>
      <w:r w:rsidRPr="004A2B13" w:rsidR="00DD0692">
        <w:rPr>
          <w:rFonts w:ascii="Arial" w:hAnsi="Arial" w:cs="Arial"/>
          <w:sz w:val="22"/>
          <w:szCs w:val="22"/>
        </w:rPr>
        <w:t>del Componente I y del Componente II</w:t>
      </w:r>
      <w:r w:rsidRPr="004A2B13" w:rsidR="00137457">
        <w:rPr>
          <w:rFonts w:ascii="Arial" w:hAnsi="Arial" w:cs="Arial"/>
          <w:sz w:val="22"/>
          <w:szCs w:val="22"/>
        </w:rPr>
        <w:t xml:space="preserve"> del Programa CO-L1265, y el </w:t>
      </w:r>
      <w:r w:rsidRPr="004A2B13" w:rsidR="00CF5180">
        <w:rPr>
          <w:rFonts w:ascii="Arial" w:hAnsi="Arial" w:cs="Arial"/>
          <w:sz w:val="22"/>
          <w:szCs w:val="22"/>
        </w:rPr>
        <w:t>cociente de la operación EC-L1230, que tienen objetivos similares con respecto a fortalecimiento y estructuración</w:t>
      </w:r>
      <w:r w:rsidRPr="004A2B13" w:rsidR="00221D8B">
        <w:rPr>
          <w:rFonts w:ascii="Arial" w:hAnsi="Arial" w:cs="Arial"/>
          <w:sz w:val="22"/>
          <w:szCs w:val="22"/>
        </w:rPr>
        <w:t>, pero difieren en la madurez de país con respecto al uso de APP.</w:t>
      </w:r>
      <w:r w:rsidRPr="004A2B13" w:rsidR="004240C4">
        <w:rPr>
          <w:rFonts w:ascii="Arial" w:hAnsi="Arial" w:cs="Arial"/>
          <w:sz w:val="22"/>
          <w:szCs w:val="22"/>
        </w:rPr>
        <w:t xml:space="preserve"> </w:t>
      </w:r>
    </w:p>
    <w:p w:rsidR="00555442" w:rsidP="004A2B13" w:rsidRDefault="00555442" w14:paraId="0E68904F" w14:textId="5C74EDA8">
      <w:pPr>
        <w:spacing w:before="120" w:after="120"/>
        <w:jc w:val="both"/>
        <w:rPr>
          <w:rFonts w:ascii="Arial" w:hAnsi="Arial" w:cs="Arial"/>
          <w:sz w:val="22"/>
          <w:szCs w:val="22"/>
        </w:rPr>
      </w:pPr>
    </w:p>
    <w:p w:rsidR="00555442" w:rsidP="004A2B13" w:rsidRDefault="00555442" w14:paraId="0CCE2066" w14:textId="5ABD9EC7">
      <w:pPr>
        <w:spacing w:before="120" w:after="120"/>
        <w:jc w:val="both"/>
        <w:rPr>
          <w:rFonts w:ascii="Arial" w:hAnsi="Arial" w:cs="Arial"/>
          <w:sz w:val="22"/>
          <w:szCs w:val="22"/>
        </w:rPr>
      </w:pPr>
    </w:p>
    <w:p w:rsidR="00555442" w:rsidP="004A2B13" w:rsidRDefault="00555442" w14:paraId="37811B33" w14:textId="6EFD445F">
      <w:pPr>
        <w:spacing w:before="120" w:after="120"/>
        <w:jc w:val="both"/>
        <w:rPr>
          <w:rFonts w:ascii="Arial" w:hAnsi="Arial" w:cs="Arial"/>
          <w:sz w:val="22"/>
          <w:szCs w:val="22"/>
        </w:rPr>
      </w:pPr>
    </w:p>
    <w:p w:rsidRPr="004A2B13" w:rsidR="00555442" w:rsidP="004A2B13" w:rsidRDefault="00555442" w14:paraId="0534F058" w14:textId="77777777">
      <w:pPr>
        <w:spacing w:before="120" w:after="120"/>
        <w:jc w:val="both"/>
        <w:rPr>
          <w:rFonts w:ascii="Arial" w:hAnsi="Arial" w:cs="Arial"/>
          <w:sz w:val="22"/>
          <w:szCs w:val="22"/>
        </w:rPr>
      </w:pPr>
    </w:p>
    <w:p w:rsidRPr="00A84F69" w:rsidR="00221D8B" w:rsidP="004A2B13" w:rsidRDefault="00221D8B" w14:paraId="3401F42D" w14:textId="2CCF8BDB">
      <w:pPr>
        <w:spacing w:before="120" w:after="120"/>
        <w:jc w:val="center"/>
        <w:rPr>
          <w:rFonts w:ascii="Arial" w:hAnsi="Arial" w:cs="Arial"/>
          <w:sz w:val="20"/>
          <w:szCs w:val="20"/>
        </w:rPr>
      </w:pPr>
      <w:r w:rsidRPr="00A84F69">
        <w:rPr>
          <w:rFonts w:ascii="Arial" w:hAnsi="Arial" w:cs="Arial"/>
          <w:sz w:val="20"/>
          <w:szCs w:val="20"/>
        </w:rPr>
        <w:lastRenderedPageBreak/>
        <w:t>Tabla 4.2. Comparación de eficiencia relativa de Programa</w:t>
      </w:r>
    </w:p>
    <w:tbl>
      <w:tblPr>
        <w:tblStyle w:val="TableGrid"/>
        <w:tblW w:w="0" w:type="auto"/>
        <w:tblLook w:val="04A0" w:firstRow="1" w:lastRow="0" w:firstColumn="1" w:lastColumn="0" w:noHBand="0" w:noVBand="1"/>
      </w:tblPr>
      <w:tblGrid>
        <w:gridCol w:w="1838"/>
        <w:gridCol w:w="3544"/>
        <w:gridCol w:w="3446"/>
      </w:tblGrid>
      <w:tr w:rsidRPr="00A84F69" w:rsidR="005168F4" w:rsidTr="00C150FD" w14:paraId="555FBA2C" w14:textId="77777777">
        <w:tc>
          <w:tcPr>
            <w:tcW w:w="8828" w:type="dxa"/>
            <w:gridSpan w:val="3"/>
            <w:shd w:val="clear" w:color="auto" w:fill="E7E6E6" w:themeFill="background2"/>
            <w:vAlign w:val="center"/>
          </w:tcPr>
          <w:p w:rsidRPr="00A84F69" w:rsidR="005168F4" w:rsidP="00A84F69" w:rsidRDefault="005168F4" w14:paraId="6AEE5C81" w14:textId="77777777">
            <w:pPr>
              <w:jc w:val="center"/>
              <w:rPr>
                <w:rFonts w:ascii="Arial" w:hAnsi="Arial" w:cs="Arial"/>
                <w:b/>
                <w:bCs/>
                <w:sz w:val="20"/>
                <w:szCs w:val="20"/>
              </w:rPr>
            </w:pPr>
            <w:r w:rsidRPr="00A84F69">
              <w:rPr>
                <w:rFonts w:ascii="Arial" w:hAnsi="Arial" w:cs="Arial"/>
                <w:b/>
                <w:bCs/>
                <w:sz w:val="20"/>
                <w:szCs w:val="20"/>
              </w:rPr>
              <w:t>Componente I</w:t>
            </w:r>
          </w:p>
        </w:tc>
      </w:tr>
      <w:tr w:rsidRPr="00A84F69" w:rsidR="00755A64" w:rsidTr="00AA2199" w14:paraId="2A51DE08" w14:textId="77777777">
        <w:tc>
          <w:tcPr>
            <w:tcW w:w="1838" w:type="dxa"/>
            <w:vAlign w:val="center"/>
          </w:tcPr>
          <w:p w:rsidRPr="00A84F69" w:rsidR="00755A64" w:rsidP="00A84F69" w:rsidRDefault="00755A64" w14:paraId="547606D2" w14:textId="77777777">
            <w:pPr>
              <w:jc w:val="center"/>
              <w:rPr>
                <w:rFonts w:ascii="Arial" w:hAnsi="Arial" w:cs="Arial"/>
                <w:sz w:val="20"/>
                <w:szCs w:val="20"/>
              </w:rPr>
            </w:pPr>
            <w:r w:rsidRPr="00A84F69">
              <w:rPr>
                <w:rFonts w:ascii="Arial" w:hAnsi="Arial" w:cs="Arial"/>
                <w:sz w:val="20"/>
                <w:szCs w:val="20"/>
              </w:rPr>
              <w:t>Proyecto</w:t>
            </w:r>
          </w:p>
        </w:tc>
        <w:tc>
          <w:tcPr>
            <w:tcW w:w="3544" w:type="dxa"/>
            <w:vAlign w:val="center"/>
          </w:tcPr>
          <w:p w:rsidRPr="00A84F69" w:rsidR="00755A64" w:rsidP="00A84F69" w:rsidRDefault="00755A64" w14:paraId="4EF08227" w14:textId="5FE8F79F">
            <w:pPr>
              <w:jc w:val="center"/>
              <w:rPr>
                <w:rFonts w:ascii="Arial" w:hAnsi="Arial" w:cs="Arial"/>
                <w:sz w:val="20"/>
                <w:szCs w:val="20"/>
              </w:rPr>
            </w:pPr>
            <w:r w:rsidRPr="00A84F69">
              <w:rPr>
                <w:rFonts w:ascii="Arial" w:hAnsi="Arial" w:cs="Arial"/>
                <w:sz w:val="20"/>
                <w:szCs w:val="20"/>
              </w:rPr>
              <w:t>Costo relativo</w:t>
            </w:r>
          </w:p>
          <w:p w:rsidRPr="00A84F69" w:rsidR="00755A64" w:rsidP="00A84F69" w:rsidRDefault="00755A64" w14:paraId="7BBDE02A" w14:textId="4F3BCC1D">
            <w:pPr>
              <w:jc w:val="center"/>
              <w:rPr>
                <w:rFonts w:ascii="Arial" w:hAnsi="Arial" w:cs="Arial"/>
                <w:sz w:val="20"/>
                <w:szCs w:val="20"/>
              </w:rPr>
            </w:pPr>
            <w:r w:rsidRPr="00A84F69">
              <w:rPr>
                <w:rFonts w:ascii="Arial" w:hAnsi="Arial" w:cs="Arial"/>
                <w:sz w:val="20"/>
                <w:szCs w:val="20"/>
              </w:rPr>
              <w:t>Programa</w:t>
            </w:r>
          </w:p>
        </w:tc>
        <w:tc>
          <w:tcPr>
            <w:tcW w:w="3446" w:type="dxa"/>
            <w:vAlign w:val="center"/>
          </w:tcPr>
          <w:p w:rsidRPr="00A84F69" w:rsidR="00755A64" w:rsidP="00A84F69" w:rsidRDefault="00755A64" w14:paraId="474D4A97" w14:textId="77777777">
            <w:pPr>
              <w:jc w:val="center"/>
              <w:rPr>
                <w:rFonts w:ascii="Arial" w:hAnsi="Arial" w:cs="Arial"/>
                <w:sz w:val="20"/>
                <w:szCs w:val="20"/>
              </w:rPr>
            </w:pPr>
            <w:r w:rsidRPr="00A84F69">
              <w:rPr>
                <w:rFonts w:ascii="Arial" w:hAnsi="Arial" w:cs="Arial"/>
                <w:sz w:val="20"/>
                <w:szCs w:val="20"/>
              </w:rPr>
              <w:t>Costo relativo</w:t>
            </w:r>
          </w:p>
          <w:p w:rsidRPr="00A84F69" w:rsidR="00755A64" w:rsidP="00A84F69" w:rsidRDefault="00755A64" w14:paraId="35D0E79A" w14:textId="48A00830">
            <w:pPr>
              <w:jc w:val="center"/>
              <w:rPr>
                <w:rFonts w:ascii="Arial" w:hAnsi="Arial" w:cs="Arial"/>
                <w:sz w:val="20"/>
                <w:szCs w:val="20"/>
              </w:rPr>
            </w:pPr>
            <w:r w:rsidRPr="00A84F69">
              <w:rPr>
                <w:rFonts w:ascii="Arial" w:hAnsi="Arial" w:cs="Arial"/>
                <w:sz w:val="20"/>
                <w:szCs w:val="20"/>
              </w:rPr>
              <w:t>Control</w:t>
            </w:r>
          </w:p>
        </w:tc>
      </w:tr>
      <w:tr w:rsidRPr="00A84F69" w:rsidR="00755A64" w:rsidTr="00AA2199" w14:paraId="6A03B32C" w14:textId="77777777">
        <w:tc>
          <w:tcPr>
            <w:tcW w:w="1838" w:type="dxa"/>
            <w:vAlign w:val="center"/>
          </w:tcPr>
          <w:p w:rsidRPr="00A84F69" w:rsidR="00755A64" w:rsidP="00A84F69" w:rsidRDefault="00755A64" w14:paraId="7D310E99" w14:textId="703BB728">
            <w:pPr>
              <w:rPr>
                <w:rFonts w:ascii="Arial" w:hAnsi="Arial" w:cs="Arial"/>
                <w:sz w:val="20"/>
                <w:szCs w:val="20"/>
              </w:rPr>
            </w:pPr>
            <w:r w:rsidRPr="00A84F69">
              <w:rPr>
                <w:rFonts w:ascii="Arial" w:hAnsi="Arial" w:cs="Arial"/>
                <w:sz w:val="20"/>
                <w:szCs w:val="20"/>
              </w:rPr>
              <w:t>Estructuración aguas residuales Bucaramanga</w:t>
            </w:r>
          </w:p>
        </w:tc>
        <w:tc>
          <w:tcPr>
            <w:tcW w:w="3544" w:type="dxa"/>
            <w:vAlign w:val="center"/>
          </w:tcPr>
          <w:p w:rsidRPr="00A84F69" w:rsidR="00755A64" w:rsidP="00A84F69" w:rsidRDefault="00755A64" w14:paraId="6457ACF5" w14:textId="77777777">
            <w:pPr>
              <w:jc w:val="center"/>
              <w:rPr>
                <w:rFonts w:ascii="Arial" w:hAnsi="Arial" w:cs="Arial"/>
                <w:sz w:val="20"/>
                <w:szCs w:val="20"/>
              </w:rPr>
            </w:pPr>
          </w:p>
          <w:p w:rsidRPr="00A84F69" w:rsidR="00755A64" w:rsidP="00A84F69" w:rsidRDefault="00755A64" w14:paraId="3CC814AA" w14:textId="416FE8A1">
            <w:pPr>
              <w:jc w:val="center"/>
              <w:rPr>
                <w:rFonts w:ascii="Arial" w:hAnsi="Arial" w:cs="Arial"/>
                <w:sz w:val="20"/>
                <w:szCs w:val="20"/>
              </w:rPr>
            </w:pPr>
            <w:r w:rsidRPr="00A84F69">
              <w:rPr>
                <w:rFonts w:ascii="Arial" w:hAnsi="Arial" w:cs="Arial"/>
                <w:sz w:val="20"/>
                <w:szCs w:val="20"/>
              </w:rPr>
              <w:t>(US$ 15 millones) / (US$ 0,74/hab) =</w:t>
            </w:r>
          </w:p>
          <w:p w:rsidRPr="00A84F69" w:rsidR="00755A64" w:rsidP="00A84F69" w:rsidRDefault="00755A64" w14:paraId="7D3C2CD2" w14:textId="1E9A585A">
            <w:pPr>
              <w:jc w:val="center"/>
              <w:rPr>
                <w:rFonts w:ascii="Arial" w:hAnsi="Arial" w:cs="Arial"/>
                <w:sz w:val="20"/>
                <w:szCs w:val="20"/>
              </w:rPr>
            </w:pPr>
            <w:r w:rsidRPr="00A84F69">
              <w:rPr>
                <w:rFonts w:ascii="Arial" w:hAnsi="Arial" w:cs="Arial"/>
                <w:sz w:val="20"/>
                <w:szCs w:val="20"/>
              </w:rPr>
              <w:t>20,3</w:t>
            </w:r>
          </w:p>
          <w:p w:rsidRPr="00A84F69" w:rsidR="00755A64" w:rsidP="00A84F69" w:rsidRDefault="00755A64" w14:paraId="5E09F552" w14:textId="1267601E">
            <w:pPr>
              <w:jc w:val="center"/>
              <w:rPr>
                <w:rFonts w:ascii="Arial" w:hAnsi="Arial" w:cs="Arial"/>
                <w:sz w:val="20"/>
                <w:szCs w:val="20"/>
              </w:rPr>
            </w:pPr>
          </w:p>
        </w:tc>
        <w:tc>
          <w:tcPr>
            <w:tcW w:w="3446" w:type="dxa"/>
            <w:vAlign w:val="center"/>
          </w:tcPr>
          <w:p w:rsidRPr="00A84F69" w:rsidR="00755A64" w:rsidP="00A84F69" w:rsidRDefault="00755A64" w14:paraId="1D3A60A9" w14:textId="77777777">
            <w:pPr>
              <w:jc w:val="center"/>
              <w:rPr>
                <w:rFonts w:ascii="Arial" w:hAnsi="Arial" w:cs="Arial"/>
                <w:sz w:val="20"/>
                <w:szCs w:val="20"/>
                <w:lang w:val="en-US"/>
              </w:rPr>
            </w:pPr>
            <w:r w:rsidRPr="00A84F69">
              <w:rPr>
                <w:rFonts w:ascii="Arial" w:hAnsi="Arial" w:cs="Arial"/>
                <w:sz w:val="20"/>
                <w:szCs w:val="20"/>
                <w:lang w:val="en-US"/>
              </w:rPr>
              <w:t>(US$ 50 millones / (US$ 1,90/hab) =</w:t>
            </w:r>
          </w:p>
          <w:p w:rsidRPr="00A84F69" w:rsidR="00755A64" w:rsidP="00A84F69" w:rsidRDefault="00755A64" w14:paraId="2D63D589" w14:textId="6A9AF872">
            <w:pPr>
              <w:jc w:val="center"/>
              <w:rPr>
                <w:rFonts w:ascii="Arial" w:hAnsi="Arial" w:cs="Arial"/>
                <w:sz w:val="20"/>
                <w:szCs w:val="20"/>
                <w:lang w:val="en-US"/>
              </w:rPr>
            </w:pPr>
            <w:r w:rsidRPr="00A84F69">
              <w:rPr>
                <w:rFonts w:ascii="Arial" w:hAnsi="Arial" w:cs="Arial"/>
                <w:sz w:val="20"/>
                <w:szCs w:val="20"/>
                <w:lang w:val="en-US"/>
              </w:rPr>
              <w:t>26,3</w:t>
            </w:r>
          </w:p>
        </w:tc>
      </w:tr>
      <w:tr w:rsidRPr="00A84F69" w:rsidR="005168F4" w:rsidTr="00C150FD" w14:paraId="18B0220C" w14:textId="77777777">
        <w:tc>
          <w:tcPr>
            <w:tcW w:w="8828" w:type="dxa"/>
            <w:gridSpan w:val="3"/>
            <w:shd w:val="clear" w:color="auto" w:fill="E7E6E6" w:themeFill="background2"/>
          </w:tcPr>
          <w:p w:rsidRPr="00A84F69" w:rsidR="005168F4" w:rsidP="00A84F69" w:rsidRDefault="005168F4" w14:paraId="74A929A9" w14:textId="77777777">
            <w:pPr>
              <w:jc w:val="center"/>
              <w:rPr>
                <w:rFonts w:ascii="Arial" w:hAnsi="Arial" w:cs="Arial"/>
                <w:b/>
                <w:bCs/>
                <w:sz w:val="20"/>
                <w:szCs w:val="20"/>
              </w:rPr>
            </w:pPr>
            <w:r w:rsidRPr="00A84F69">
              <w:rPr>
                <w:rFonts w:ascii="Arial" w:hAnsi="Arial" w:cs="Arial"/>
                <w:b/>
                <w:bCs/>
                <w:sz w:val="20"/>
                <w:szCs w:val="20"/>
              </w:rPr>
              <w:t>Componente II</w:t>
            </w:r>
          </w:p>
        </w:tc>
      </w:tr>
      <w:tr w:rsidRPr="00A84F69" w:rsidR="00755A64" w:rsidTr="00AA2199" w14:paraId="6013BA8C" w14:textId="77777777">
        <w:tc>
          <w:tcPr>
            <w:tcW w:w="1838" w:type="dxa"/>
            <w:vAlign w:val="center"/>
          </w:tcPr>
          <w:p w:rsidRPr="00A84F69" w:rsidR="00755A64" w:rsidP="00A84F69" w:rsidRDefault="00755A64" w14:paraId="3816DE55" w14:textId="5B7A9261">
            <w:pPr>
              <w:rPr>
                <w:rFonts w:ascii="Arial" w:hAnsi="Arial" w:cs="Arial"/>
                <w:sz w:val="20"/>
                <w:szCs w:val="20"/>
              </w:rPr>
            </w:pPr>
            <w:r w:rsidRPr="00A84F69">
              <w:rPr>
                <w:rFonts w:ascii="Arial" w:hAnsi="Arial" w:cs="Arial"/>
                <w:sz w:val="20"/>
                <w:szCs w:val="20"/>
              </w:rPr>
              <w:t xml:space="preserve">Paquete de </w:t>
            </w:r>
            <w:r w:rsidRPr="00A84F69">
              <w:rPr>
                <w:rFonts w:ascii="Arial" w:hAnsi="Arial" w:cs="Arial"/>
                <w:b/>
                <w:bCs/>
                <w:sz w:val="20"/>
                <w:szCs w:val="20"/>
              </w:rPr>
              <w:t>3</w:t>
            </w:r>
            <w:r w:rsidRPr="00A84F69">
              <w:rPr>
                <w:rFonts w:ascii="Arial" w:hAnsi="Arial" w:cs="Arial"/>
                <w:sz w:val="20"/>
                <w:szCs w:val="20"/>
              </w:rPr>
              <w:t xml:space="preserve"> intervenciones de fortalecimiento </w:t>
            </w:r>
          </w:p>
        </w:tc>
        <w:tc>
          <w:tcPr>
            <w:tcW w:w="3544" w:type="dxa"/>
            <w:vAlign w:val="center"/>
          </w:tcPr>
          <w:p w:rsidRPr="00A84F69" w:rsidR="00755A64" w:rsidP="00A84F69" w:rsidRDefault="002A439D" w14:paraId="267DA765" w14:textId="70474B78">
            <w:pPr>
              <w:jc w:val="center"/>
              <w:rPr>
                <w:rFonts w:ascii="Arial" w:hAnsi="Arial" w:cs="Arial"/>
                <w:sz w:val="20"/>
                <w:szCs w:val="20"/>
              </w:rPr>
            </w:pPr>
            <w:r w:rsidRPr="00A84F69">
              <w:rPr>
                <w:rFonts w:ascii="Arial" w:hAnsi="Arial" w:cs="Arial"/>
                <w:sz w:val="20"/>
                <w:szCs w:val="20"/>
              </w:rPr>
              <w:t xml:space="preserve">(US$ 15 mill) / (US$ </w:t>
            </w:r>
            <w:r w:rsidRPr="00A84F69" w:rsidR="00AA2199">
              <w:rPr>
                <w:rFonts w:ascii="Arial" w:hAnsi="Arial" w:cs="Arial"/>
                <w:sz w:val="20"/>
                <w:szCs w:val="20"/>
              </w:rPr>
              <w:t xml:space="preserve">0,5 </w:t>
            </w:r>
            <w:r w:rsidRPr="00A84F69" w:rsidR="00755A64">
              <w:rPr>
                <w:rFonts w:ascii="Arial" w:hAnsi="Arial" w:cs="Arial"/>
                <w:sz w:val="20"/>
                <w:szCs w:val="20"/>
              </w:rPr>
              <w:t>mil</w:t>
            </w:r>
            <w:r w:rsidRPr="00A84F69" w:rsidR="00AA2199">
              <w:rPr>
                <w:rFonts w:ascii="Arial" w:hAnsi="Arial" w:cs="Arial"/>
                <w:sz w:val="20"/>
                <w:szCs w:val="20"/>
              </w:rPr>
              <w:t>l</w:t>
            </w:r>
            <w:r w:rsidRPr="00A84F69">
              <w:rPr>
                <w:rFonts w:ascii="Arial" w:hAnsi="Arial" w:cs="Arial"/>
                <w:sz w:val="20"/>
                <w:szCs w:val="20"/>
              </w:rPr>
              <w:t>)</w:t>
            </w:r>
          </w:p>
          <w:p w:rsidRPr="00A84F69" w:rsidR="002A439D" w:rsidP="00A84F69" w:rsidRDefault="002F3F2D" w14:paraId="11D1D0CD" w14:textId="77777777">
            <w:pPr>
              <w:jc w:val="center"/>
              <w:rPr>
                <w:rFonts w:ascii="Arial" w:hAnsi="Arial" w:cs="Arial"/>
                <w:sz w:val="20"/>
                <w:szCs w:val="20"/>
              </w:rPr>
            </w:pPr>
            <w:r w:rsidRPr="00A84F69">
              <w:rPr>
                <w:rFonts w:ascii="Arial" w:hAnsi="Arial" w:cs="Arial"/>
                <w:sz w:val="20"/>
                <w:szCs w:val="20"/>
              </w:rPr>
              <w:t>=</w:t>
            </w:r>
          </w:p>
          <w:p w:rsidRPr="00A84F69" w:rsidR="002F3F2D" w:rsidP="00A84F69" w:rsidRDefault="009B119A" w14:paraId="605C30A7" w14:textId="4872A73C">
            <w:pPr>
              <w:jc w:val="center"/>
              <w:rPr>
                <w:rFonts w:ascii="Arial" w:hAnsi="Arial" w:cs="Arial"/>
                <w:sz w:val="20"/>
                <w:szCs w:val="20"/>
              </w:rPr>
            </w:pPr>
            <w:r w:rsidRPr="00A84F69">
              <w:rPr>
                <w:rFonts w:ascii="Arial" w:hAnsi="Arial" w:cs="Arial"/>
                <w:sz w:val="20"/>
                <w:szCs w:val="20"/>
              </w:rPr>
              <w:t>30</w:t>
            </w:r>
            <w:r w:rsidRPr="00A84F69" w:rsidR="00C90B19">
              <w:rPr>
                <w:rFonts w:ascii="Arial" w:hAnsi="Arial" w:cs="Arial"/>
                <w:sz w:val="20"/>
                <w:szCs w:val="20"/>
              </w:rPr>
              <w:t>,0</w:t>
            </w:r>
          </w:p>
        </w:tc>
        <w:tc>
          <w:tcPr>
            <w:tcW w:w="3446" w:type="dxa"/>
          </w:tcPr>
          <w:p w:rsidRPr="00A84F69" w:rsidR="00755A64" w:rsidP="00A84F69" w:rsidRDefault="002F3F2D" w14:paraId="5ABE7D74" w14:textId="77777777">
            <w:pPr>
              <w:jc w:val="center"/>
              <w:rPr>
                <w:rFonts w:ascii="Arial" w:hAnsi="Arial" w:cs="Arial"/>
                <w:sz w:val="20"/>
                <w:szCs w:val="20"/>
              </w:rPr>
            </w:pPr>
            <w:r w:rsidRPr="00A84F69">
              <w:rPr>
                <w:rFonts w:ascii="Arial" w:hAnsi="Arial" w:cs="Arial"/>
                <w:sz w:val="20"/>
                <w:szCs w:val="20"/>
              </w:rPr>
              <w:t xml:space="preserve">(US$ 50 millones) / (US$ </w:t>
            </w:r>
            <w:r w:rsidRPr="00A84F69" w:rsidR="00755A64">
              <w:rPr>
                <w:rFonts w:ascii="Arial" w:hAnsi="Arial" w:cs="Arial"/>
                <w:sz w:val="20"/>
                <w:szCs w:val="20"/>
              </w:rPr>
              <w:t>1.0</w:t>
            </w:r>
            <w:r w:rsidRPr="00A84F69" w:rsidR="009B119A">
              <w:rPr>
                <w:rFonts w:ascii="Arial" w:hAnsi="Arial" w:cs="Arial"/>
                <w:sz w:val="20"/>
                <w:szCs w:val="20"/>
              </w:rPr>
              <w:t xml:space="preserve">7 </w:t>
            </w:r>
            <w:r w:rsidRPr="00A84F69">
              <w:rPr>
                <w:rFonts w:ascii="Arial" w:hAnsi="Arial" w:cs="Arial"/>
                <w:sz w:val="20"/>
                <w:szCs w:val="20"/>
              </w:rPr>
              <w:t>mill</w:t>
            </w:r>
            <w:r w:rsidRPr="00A84F69" w:rsidR="009B119A">
              <w:rPr>
                <w:rFonts w:ascii="Arial" w:hAnsi="Arial" w:cs="Arial"/>
                <w:sz w:val="20"/>
                <w:szCs w:val="20"/>
              </w:rPr>
              <w:t>)</w:t>
            </w:r>
          </w:p>
          <w:p w:rsidRPr="00A84F69" w:rsidR="009B119A" w:rsidP="00A84F69" w:rsidRDefault="009B119A" w14:paraId="3A280ECC" w14:textId="77777777">
            <w:pPr>
              <w:jc w:val="center"/>
              <w:rPr>
                <w:rFonts w:ascii="Arial" w:hAnsi="Arial" w:cs="Arial"/>
                <w:sz w:val="20"/>
                <w:szCs w:val="20"/>
              </w:rPr>
            </w:pPr>
            <w:r w:rsidRPr="00A84F69">
              <w:rPr>
                <w:rFonts w:ascii="Arial" w:hAnsi="Arial" w:cs="Arial"/>
                <w:sz w:val="20"/>
                <w:szCs w:val="20"/>
              </w:rPr>
              <w:t>=</w:t>
            </w:r>
          </w:p>
          <w:p w:rsidRPr="00A84F69" w:rsidR="009B119A" w:rsidP="00A84F69" w:rsidRDefault="00C90B19" w14:paraId="221378F3" w14:textId="7D3494EF">
            <w:pPr>
              <w:jc w:val="center"/>
              <w:rPr>
                <w:rFonts w:ascii="Arial" w:hAnsi="Arial" w:cs="Arial"/>
                <w:sz w:val="20"/>
                <w:szCs w:val="20"/>
              </w:rPr>
            </w:pPr>
            <w:r w:rsidRPr="00A84F69">
              <w:rPr>
                <w:rFonts w:ascii="Arial" w:hAnsi="Arial" w:cs="Arial"/>
                <w:sz w:val="20"/>
                <w:szCs w:val="20"/>
              </w:rPr>
              <w:t>46,7</w:t>
            </w:r>
          </w:p>
        </w:tc>
      </w:tr>
    </w:tbl>
    <w:p w:rsidRPr="00A84F69" w:rsidR="00221D8B" w:rsidP="004A2B13" w:rsidRDefault="00221D8B" w14:paraId="7A98EC14" w14:textId="1C284342">
      <w:pPr>
        <w:spacing w:before="120" w:after="120"/>
        <w:jc w:val="center"/>
        <w:rPr>
          <w:rFonts w:ascii="Arial" w:hAnsi="Arial" w:cs="Arial"/>
          <w:sz w:val="20"/>
          <w:szCs w:val="20"/>
        </w:rPr>
      </w:pPr>
      <w:r w:rsidRPr="00A84F69">
        <w:rPr>
          <w:rFonts w:ascii="Arial" w:hAnsi="Arial" w:cs="Arial"/>
          <w:sz w:val="20"/>
          <w:szCs w:val="20"/>
        </w:rPr>
        <w:t>Fuente: elaboración propia</w:t>
      </w:r>
    </w:p>
    <w:p w:rsidRPr="004A2B13" w:rsidR="00221D8B" w:rsidP="004A2B13" w:rsidRDefault="000E0B54" w14:paraId="65764929" w14:textId="6A013103">
      <w:pPr>
        <w:spacing w:before="120" w:after="120"/>
        <w:jc w:val="both"/>
        <w:rPr>
          <w:rFonts w:ascii="Arial" w:hAnsi="Arial" w:cs="Arial"/>
          <w:sz w:val="22"/>
          <w:szCs w:val="22"/>
        </w:rPr>
      </w:pPr>
      <w:r w:rsidRPr="004A2B13">
        <w:rPr>
          <w:rFonts w:ascii="Arial" w:hAnsi="Arial" w:cs="Arial"/>
          <w:sz w:val="22"/>
          <w:szCs w:val="22"/>
        </w:rPr>
        <w:t xml:space="preserve">Se comprueba la mayor eficacia relativa de los recursos usados en el Programa CO-L1265. </w:t>
      </w:r>
    </w:p>
    <w:p w:rsidRPr="004A2B13" w:rsidR="00296DFA" w:rsidP="004A2B13" w:rsidRDefault="00C15890" w14:paraId="73DA7D38" w14:textId="2137997F">
      <w:pPr>
        <w:spacing w:before="120" w:after="120"/>
        <w:jc w:val="both"/>
        <w:rPr>
          <w:rFonts w:ascii="Arial" w:hAnsi="Arial" w:cs="Arial"/>
          <w:b/>
          <w:bCs/>
          <w:sz w:val="22"/>
          <w:szCs w:val="22"/>
        </w:rPr>
      </w:pPr>
      <w:r w:rsidRPr="004A2B13">
        <w:rPr>
          <w:rFonts w:ascii="Arial" w:hAnsi="Arial" w:cs="Arial"/>
          <w:b/>
          <w:bCs/>
          <w:sz w:val="22"/>
          <w:szCs w:val="22"/>
        </w:rPr>
        <w:t>4.2. Análisis de sensibilidad</w:t>
      </w:r>
    </w:p>
    <w:p w:rsidRPr="004A2B13" w:rsidR="00B80BD3" w:rsidP="004A2B13" w:rsidRDefault="00282B04" w14:paraId="3AD46A65" w14:textId="38E53374">
      <w:pPr>
        <w:spacing w:before="120" w:after="120"/>
        <w:jc w:val="both"/>
        <w:rPr>
          <w:rFonts w:ascii="Arial" w:hAnsi="Arial" w:cs="Arial"/>
          <w:sz w:val="22"/>
          <w:szCs w:val="22"/>
        </w:rPr>
      </w:pPr>
      <w:r w:rsidRPr="004A2B13">
        <w:rPr>
          <w:rFonts w:ascii="Arial" w:hAnsi="Arial" w:cs="Arial"/>
          <w:sz w:val="22"/>
          <w:szCs w:val="22"/>
        </w:rPr>
        <w:t xml:space="preserve">Los escenarios </w:t>
      </w:r>
      <w:r w:rsidRPr="004A2B13" w:rsidR="0079192D">
        <w:rPr>
          <w:rFonts w:ascii="Arial" w:hAnsi="Arial" w:cs="Arial"/>
          <w:sz w:val="22"/>
          <w:szCs w:val="22"/>
        </w:rPr>
        <w:t xml:space="preserve">de sensibilidad </w:t>
      </w:r>
      <w:r w:rsidRPr="004A2B13">
        <w:rPr>
          <w:rFonts w:ascii="Arial" w:hAnsi="Arial" w:cs="Arial"/>
          <w:sz w:val="22"/>
          <w:szCs w:val="22"/>
        </w:rPr>
        <w:t xml:space="preserve">reflejan </w:t>
      </w:r>
      <w:r w:rsidRPr="004A2B13" w:rsidR="000D2F11">
        <w:rPr>
          <w:rFonts w:ascii="Arial" w:hAnsi="Arial" w:cs="Arial"/>
          <w:sz w:val="22"/>
          <w:szCs w:val="22"/>
        </w:rPr>
        <w:t xml:space="preserve">un choque de eficiencia </w:t>
      </w:r>
      <w:r w:rsidRPr="004A2B13" w:rsidR="00472C47">
        <w:rPr>
          <w:rFonts w:ascii="Arial" w:hAnsi="Arial" w:cs="Arial"/>
          <w:sz w:val="22"/>
          <w:szCs w:val="22"/>
        </w:rPr>
        <w:t xml:space="preserve">transversal </w:t>
      </w:r>
      <w:r w:rsidRPr="004A2B13" w:rsidR="003E6483">
        <w:rPr>
          <w:rFonts w:ascii="Arial" w:hAnsi="Arial" w:cs="Arial"/>
          <w:sz w:val="22"/>
          <w:szCs w:val="22"/>
        </w:rPr>
        <w:t xml:space="preserve">en los </w:t>
      </w:r>
      <w:r w:rsidRPr="004A2B13" w:rsidR="00A525C6">
        <w:rPr>
          <w:rFonts w:ascii="Arial" w:hAnsi="Arial" w:cs="Arial"/>
          <w:sz w:val="22"/>
          <w:szCs w:val="22"/>
        </w:rPr>
        <w:t>costos</w:t>
      </w:r>
      <w:r w:rsidRPr="004A2B13" w:rsidR="00FE0902">
        <w:rPr>
          <w:rFonts w:ascii="Arial" w:hAnsi="Arial" w:cs="Arial"/>
          <w:sz w:val="22"/>
          <w:szCs w:val="22"/>
        </w:rPr>
        <w:t xml:space="preserve"> individuales</w:t>
      </w:r>
      <w:r w:rsidRPr="004A2B13" w:rsidR="00A525C6">
        <w:rPr>
          <w:rFonts w:ascii="Arial" w:hAnsi="Arial" w:cs="Arial"/>
          <w:sz w:val="22"/>
          <w:szCs w:val="22"/>
        </w:rPr>
        <w:t xml:space="preserve"> </w:t>
      </w:r>
      <w:r w:rsidRPr="004A2B13" w:rsidR="003E6483">
        <w:rPr>
          <w:rFonts w:ascii="Arial" w:hAnsi="Arial" w:cs="Arial"/>
          <w:sz w:val="22"/>
          <w:szCs w:val="22"/>
        </w:rPr>
        <w:t>del Componente I</w:t>
      </w:r>
      <w:r w:rsidRPr="004A2B13" w:rsidR="002F5CB7">
        <w:rPr>
          <w:rFonts w:ascii="Arial" w:hAnsi="Arial" w:cs="Arial"/>
          <w:sz w:val="22"/>
          <w:szCs w:val="22"/>
        </w:rPr>
        <w:t>, gracias</w:t>
      </w:r>
      <w:r w:rsidRPr="004A2B13" w:rsidR="00472C47">
        <w:rPr>
          <w:rFonts w:ascii="Arial" w:hAnsi="Arial" w:cs="Arial"/>
          <w:sz w:val="22"/>
          <w:szCs w:val="22"/>
        </w:rPr>
        <w:t xml:space="preserve"> al </w:t>
      </w:r>
      <w:r w:rsidRPr="004A2B13" w:rsidR="002F5CB7">
        <w:rPr>
          <w:rFonts w:ascii="Arial" w:hAnsi="Arial" w:cs="Arial"/>
          <w:sz w:val="22"/>
          <w:szCs w:val="22"/>
        </w:rPr>
        <w:t xml:space="preserve">Componente II y </w:t>
      </w:r>
      <w:r w:rsidRPr="004A2B13" w:rsidR="00472C47">
        <w:rPr>
          <w:rFonts w:ascii="Arial" w:hAnsi="Arial" w:cs="Arial"/>
          <w:sz w:val="22"/>
          <w:szCs w:val="22"/>
        </w:rPr>
        <w:t xml:space="preserve">al uso de </w:t>
      </w:r>
      <w:r w:rsidRPr="004A2B13" w:rsidR="002F5CB7">
        <w:rPr>
          <w:rFonts w:ascii="Arial" w:hAnsi="Arial" w:cs="Arial"/>
          <w:sz w:val="22"/>
          <w:szCs w:val="22"/>
        </w:rPr>
        <w:t>las prácticas de contratación de consultores del BID.</w:t>
      </w:r>
      <w:r w:rsidRPr="004A2B13" w:rsidR="00A525C6">
        <w:rPr>
          <w:rFonts w:ascii="Arial" w:hAnsi="Arial" w:cs="Arial"/>
          <w:sz w:val="22"/>
          <w:szCs w:val="22"/>
        </w:rPr>
        <w:t xml:space="preserve"> </w:t>
      </w:r>
      <w:r w:rsidRPr="004A2B13" w:rsidR="002F5CB7">
        <w:rPr>
          <w:rFonts w:ascii="Arial" w:hAnsi="Arial" w:cs="Arial"/>
          <w:sz w:val="22"/>
          <w:szCs w:val="22"/>
        </w:rPr>
        <w:t>En</w:t>
      </w:r>
      <w:r w:rsidRPr="004A2B13" w:rsidR="0079192D">
        <w:rPr>
          <w:rFonts w:ascii="Arial" w:hAnsi="Arial" w:cs="Arial"/>
          <w:sz w:val="22"/>
          <w:szCs w:val="22"/>
        </w:rPr>
        <w:t xml:space="preserve"> el Escenario Alto, se modela una </w:t>
      </w:r>
      <w:r w:rsidRPr="004A2B13" w:rsidR="0079192D">
        <w:rPr>
          <w:rFonts w:ascii="Arial" w:hAnsi="Arial" w:cs="Arial"/>
          <w:i/>
          <w:iCs/>
          <w:sz w:val="22"/>
          <w:szCs w:val="22"/>
        </w:rPr>
        <w:t>reducción</w:t>
      </w:r>
      <w:r w:rsidRPr="004A2B13" w:rsidR="0079192D">
        <w:rPr>
          <w:rFonts w:ascii="Arial" w:hAnsi="Arial" w:cs="Arial"/>
          <w:sz w:val="22"/>
          <w:szCs w:val="22"/>
        </w:rPr>
        <w:t xml:space="preserve"> de costos del </w:t>
      </w:r>
      <w:r w:rsidRPr="004A2B13" w:rsidR="00276CCF">
        <w:rPr>
          <w:rFonts w:ascii="Arial" w:hAnsi="Arial" w:cs="Arial"/>
          <w:sz w:val="22"/>
          <w:szCs w:val="22"/>
        </w:rPr>
        <w:t xml:space="preserve">-10%. En el Escenario Bajo, se modela un </w:t>
      </w:r>
      <w:r w:rsidRPr="004A2B13" w:rsidR="00276CCF">
        <w:rPr>
          <w:rFonts w:ascii="Arial" w:hAnsi="Arial" w:cs="Arial"/>
          <w:i/>
          <w:iCs/>
          <w:sz w:val="22"/>
          <w:szCs w:val="22"/>
        </w:rPr>
        <w:t>aumento</w:t>
      </w:r>
      <w:r w:rsidRPr="004A2B13" w:rsidR="00276CCF">
        <w:rPr>
          <w:rFonts w:ascii="Arial" w:hAnsi="Arial" w:cs="Arial"/>
          <w:sz w:val="22"/>
          <w:szCs w:val="22"/>
        </w:rPr>
        <w:t xml:space="preserve"> de costos del +10%. </w:t>
      </w:r>
      <w:r w:rsidRPr="004A2B13" w:rsidR="00082DCB">
        <w:rPr>
          <w:rFonts w:ascii="Arial" w:hAnsi="Arial" w:cs="Arial"/>
          <w:sz w:val="22"/>
          <w:szCs w:val="22"/>
        </w:rPr>
        <w:t>El valor absoluto de e</w:t>
      </w:r>
      <w:r w:rsidRPr="004A2B13" w:rsidR="000A3F9D">
        <w:rPr>
          <w:rFonts w:ascii="Arial" w:hAnsi="Arial" w:cs="Arial"/>
          <w:sz w:val="22"/>
          <w:szCs w:val="22"/>
        </w:rPr>
        <w:t xml:space="preserve">stas variaciones </w:t>
      </w:r>
      <w:r w:rsidRPr="004A2B13" w:rsidR="00082DCB">
        <w:rPr>
          <w:rFonts w:ascii="Arial" w:hAnsi="Arial" w:cs="Arial"/>
          <w:sz w:val="22"/>
          <w:szCs w:val="22"/>
        </w:rPr>
        <w:t xml:space="preserve">es aproximadamente </w:t>
      </w:r>
      <w:r w:rsidRPr="004A2B13" w:rsidR="00472C47">
        <w:rPr>
          <w:rFonts w:ascii="Arial" w:hAnsi="Arial" w:cs="Arial"/>
          <w:sz w:val="22"/>
          <w:szCs w:val="22"/>
        </w:rPr>
        <w:t>la</w:t>
      </w:r>
      <w:r w:rsidRPr="004A2B13" w:rsidR="000A3F9D">
        <w:rPr>
          <w:rFonts w:ascii="Arial" w:hAnsi="Arial" w:cs="Arial"/>
          <w:sz w:val="22"/>
          <w:szCs w:val="22"/>
        </w:rPr>
        <w:t xml:space="preserve"> mitad de las </w:t>
      </w:r>
      <w:r w:rsidRPr="004A2B13" w:rsidR="00082DCB">
        <w:rPr>
          <w:rFonts w:ascii="Arial" w:hAnsi="Arial" w:cs="Arial"/>
          <w:sz w:val="22"/>
          <w:szCs w:val="22"/>
        </w:rPr>
        <w:t>reducciones de costo</w:t>
      </w:r>
      <w:r w:rsidRPr="004A2B13" w:rsidR="0055469C">
        <w:rPr>
          <w:rFonts w:ascii="Arial" w:hAnsi="Arial" w:cs="Arial"/>
          <w:sz w:val="22"/>
          <w:szCs w:val="22"/>
        </w:rPr>
        <w:t>s</w:t>
      </w:r>
      <w:r w:rsidRPr="004A2B13" w:rsidR="00082DCB">
        <w:rPr>
          <w:rFonts w:ascii="Arial" w:hAnsi="Arial" w:cs="Arial"/>
          <w:sz w:val="22"/>
          <w:szCs w:val="22"/>
        </w:rPr>
        <w:t xml:space="preserve"> qu</w:t>
      </w:r>
      <w:r w:rsidRPr="004A2B13" w:rsidR="0085459C">
        <w:rPr>
          <w:rFonts w:ascii="Arial" w:hAnsi="Arial" w:cs="Arial"/>
          <w:sz w:val="22"/>
          <w:szCs w:val="22"/>
        </w:rPr>
        <w:t xml:space="preserve">e podrían lograr en los </w:t>
      </w:r>
      <w:r w:rsidRPr="004A2B13" w:rsidR="000A3F9D">
        <w:rPr>
          <w:rFonts w:ascii="Arial" w:hAnsi="Arial" w:cs="Arial"/>
          <w:sz w:val="22"/>
          <w:szCs w:val="22"/>
        </w:rPr>
        <w:t>procesos de adquisición pública.</w:t>
      </w:r>
      <w:r w:rsidRPr="004A2B13" w:rsidR="00B80BD3">
        <w:rPr>
          <w:rStyle w:val="FootnoteReference"/>
          <w:rFonts w:ascii="Arial" w:hAnsi="Arial" w:cs="Arial"/>
          <w:sz w:val="22"/>
          <w:szCs w:val="22"/>
        </w:rPr>
        <w:footnoteReference w:id="8"/>
      </w:r>
      <w:r w:rsidRPr="004A2B13" w:rsidR="000A3F9D">
        <w:rPr>
          <w:rFonts w:ascii="Arial" w:hAnsi="Arial" w:cs="Arial"/>
          <w:sz w:val="22"/>
          <w:szCs w:val="22"/>
        </w:rPr>
        <w:t xml:space="preserve"> </w:t>
      </w:r>
      <w:r w:rsidRPr="004A2B13" w:rsidR="00B80BD3">
        <w:rPr>
          <w:rFonts w:ascii="Arial" w:hAnsi="Arial" w:cs="Arial"/>
          <w:sz w:val="22"/>
          <w:szCs w:val="22"/>
        </w:rPr>
        <w:t>Los resultados se presentan en las Tablas 4.</w:t>
      </w:r>
      <w:r w:rsidRPr="004A2B13" w:rsidR="00FE0902">
        <w:rPr>
          <w:rFonts w:ascii="Arial" w:hAnsi="Arial" w:cs="Arial"/>
          <w:sz w:val="22"/>
          <w:szCs w:val="22"/>
        </w:rPr>
        <w:t>3</w:t>
      </w:r>
      <w:r w:rsidRPr="004A2B13" w:rsidR="00B80BD3">
        <w:rPr>
          <w:rFonts w:ascii="Arial" w:hAnsi="Arial" w:cs="Arial"/>
          <w:sz w:val="22"/>
          <w:szCs w:val="22"/>
        </w:rPr>
        <w:t xml:space="preserve"> y 4.3.</w:t>
      </w:r>
    </w:p>
    <w:p w:rsidRPr="002D18A1" w:rsidR="00A525C6" w:rsidP="004A2B13" w:rsidRDefault="00A525C6" w14:paraId="4272CCEE" w14:textId="0C0376CC">
      <w:pPr>
        <w:spacing w:before="120" w:after="120"/>
        <w:jc w:val="center"/>
        <w:rPr>
          <w:rFonts w:ascii="Arial" w:hAnsi="Arial" w:cs="Arial"/>
          <w:sz w:val="20"/>
          <w:szCs w:val="20"/>
        </w:rPr>
      </w:pPr>
      <w:r w:rsidRPr="002D18A1">
        <w:rPr>
          <w:rFonts w:ascii="Arial" w:hAnsi="Arial" w:cs="Arial"/>
          <w:sz w:val="20"/>
          <w:szCs w:val="20"/>
        </w:rPr>
        <w:t>Tabla 4.</w:t>
      </w:r>
      <w:r w:rsidRPr="002D18A1" w:rsidR="00FE0902">
        <w:rPr>
          <w:rFonts w:ascii="Arial" w:hAnsi="Arial" w:cs="Arial"/>
          <w:sz w:val="20"/>
          <w:szCs w:val="20"/>
        </w:rPr>
        <w:t>3</w:t>
      </w:r>
      <w:r w:rsidRPr="002D18A1">
        <w:rPr>
          <w:rFonts w:ascii="Arial" w:hAnsi="Arial" w:cs="Arial"/>
          <w:sz w:val="20"/>
          <w:szCs w:val="20"/>
        </w:rPr>
        <w:t>. Análisis de sensibilidad</w:t>
      </w:r>
      <w:r w:rsidRPr="002D18A1" w:rsidR="00BB3F81">
        <w:rPr>
          <w:rFonts w:ascii="Arial" w:hAnsi="Arial" w:cs="Arial"/>
          <w:sz w:val="20"/>
          <w:szCs w:val="20"/>
        </w:rPr>
        <w:t xml:space="preserve"> proyectos individuales</w:t>
      </w:r>
      <w:r w:rsidRPr="002D18A1">
        <w:rPr>
          <w:rFonts w:ascii="Arial" w:hAnsi="Arial" w:cs="Arial"/>
          <w:sz w:val="20"/>
          <w:szCs w:val="20"/>
        </w:rPr>
        <w:t>. Escenario Alto</w:t>
      </w:r>
    </w:p>
    <w:tbl>
      <w:tblPr>
        <w:tblStyle w:val="TableGrid"/>
        <w:tblW w:w="0" w:type="auto"/>
        <w:tblLook w:val="04A0" w:firstRow="1" w:lastRow="0" w:firstColumn="1" w:lastColumn="0" w:noHBand="0" w:noVBand="1"/>
      </w:tblPr>
      <w:tblGrid>
        <w:gridCol w:w="2207"/>
        <w:gridCol w:w="2207"/>
        <w:gridCol w:w="2207"/>
        <w:gridCol w:w="2207"/>
      </w:tblGrid>
      <w:tr w:rsidRPr="002D18A1" w:rsidR="00A525C6" w:rsidTr="001E2116" w14:paraId="0C345BFC" w14:textId="77777777">
        <w:tc>
          <w:tcPr>
            <w:tcW w:w="8828" w:type="dxa"/>
            <w:gridSpan w:val="4"/>
            <w:shd w:val="clear" w:color="auto" w:fill="E7E6E6" w:themeFill="background2"/>
            <w:vAlign w:val="center"/>
          </w:tcPr>
          <w:p w:rsidRPr="002D18A1" w:rsidR="00A525C6" w:rsidP="002D18A1" w:rsidRDefault="00A525C6" w14:paraId="4DD55540" w14:textId="77777777">
            <w:pPr>
              <w:jc w:val="center"/>
              <w:rPr>
                <w:rFonts w:ascii="Arial" w:hAnsi="Arial" w:cs="Arial"/>
                <w:b/>
                <w:bCs/>
                <w:sz w:val="20"/>
                <w:szCs w:val="20"/>
              </w:rPr>
            </w:pPr>
            <w:r w:rsidRPr="002D18A1">
              <w:rPr>
                <w:rFonts w:ascii="Arial" w:hAnsi="Arial" w:cs="Arial"/>
                <w:b/>
                <w:bCs/>
                <w:sz w:val="20"/>
                <w:szCs w:val="20"/>
              </w:rPr>
              <w:t>Componente I</w:t>
            </w:r>
          </w:p>
        </w:tc>
      </w:tr>
      <w:tr w:rsidRPr="002D18A1" w:rsidR="00A525C6" w:rsidTr="001E2116" w14:paraId="6E252C24" w14:textId="77777777">
        <w:tc>
          <w:tcPr>
            <w:tcW w:w="2207" w:type="dxa"/>
            <w:vAlign w:val="center"/>
          </w:tcPr>
          <w:p w:rsidRPr="002D18A1" w:rsidR="00A525C6" w:rsidP="002D18A1" w:rsidRDefault="00A525C6" w14:paraId="4FB97CF5" w14:textId="77777777">
            <w:pPr>
              <w:jc w:val="center"/>
              <w:rPr>
                <w:rFonts w:ascii="Arial" w:hAnsi="Arial" w:cs="Arial"/>
                <w:sz w:val="20"/>
                <w:szCs w:val="20"/>
              </w:rPr>
            </w:pPr>
            <w:r w:rsidRPr="002D18A1">
              <w:rPr>
                <w:rFonts w:ascii="Arial" w:hAnsi="Arial" w:cs="Arial"/>
                <w:sz w:val="20"/>
                <w:szCs w:val="20"/>
              </w:rPr>
              <w:t>Proyecto</w:t>
            </w:r>
          </w:p>
        </w:tc>
        <w:tc>
          <w:tcPr>
            <w:tcW w:w="2207" w:type="dxa"/>
            <w:vAlign w:val="center"/>
          </w:tcPr>
          <w:p w:rsidRPr="002D18A1" w:rsidR="00A525C6" w:rsidP="002D18A1" w:rsidRDefault="00A525C6" w14:paraId="19FB9581" w14:textId="77777777">
            <w:pPr>
              <w:jc w:val="center"/>
              <w:rPr>
                <w:rFonts w:ascii="Arial" w:hAnsi="Arial" w:cs="Arial"/>
                <w:sz w:val="20"/>
                <w:szCs w:val="20"/>
              </w:rPr>
            </w:pPr>
            <w:r w:rsidRPr="002D18A1">
              <w:rPr>
                <w:rFonts w:ascii="Arial" w:hAnsi="Arial" w:cs="Arial"/>
                <w:sz w:val="20"/>
                <w:szCs w:val="20"/>
              </w:rPr>
              <w:t xml:space="preserve">Costo Programa </w:t>
            </w:r>
          </w:p>
          <w:p w:rsidRPr="002D18A1" w:rsidR="00A525C6" w:rsidP="002D18A1" w:rsidRDefault="00A525C6" w14:paraId="63A328D0" w14:textId="77777777">
            <w:pPr>
              <w:jc w:val="center"/>
              <w:rPr>
                <w:rFonts w:ascii="Arial" w:hAnsi="Arial" w:cs="Arial"/>
                <w:sz w:val="20"/>
                <w:szCs w:val="20"/>
              </w:rPr>
            </w:pPr>
            <w:r w:rsidRPr="002D18A1">
              <w:rPr>
                <w:rFonts w:ascii="Arial" w:hAnsi="Arial" w:cs="Arial"/>
                <w:sz w:val="20"/>
                <w:szCs w:val="20"/>
              </w:rPr>
              <w:t>U: unitario; T: total</w:t>
            </w:r>
          </w:p>
        </w:tc>
        <w:tc>
          <w:tcPr>
            <w:tcW w:w="2207" w:type="dxa"/>
            <w:vAlign w:val="center"/>
          </w:tcPr>
          <w:p w:rsidRPr="002D18A1" w:rsidR="00A525C6" w:rsidP="002D18A1" w:rsidRDefault="00A525C6" w14:paraId="0561A130" w14:textId="77777777">
            <w:pPr>
              <w:jc w:val="center"/>
              <w:rPr>
                <w:rFonts w:ascii="Arial" w:hAnsi="Arial" w:cs="Arial"/>
                <w:sz w:val="20"/>
                <w:szCs w:val="20"/>
              </w:rPr>
            </w:pPr>
            <w:r w:rsidRPr="002D18A1">
              <w:rPr>
                <w:rFonts w:ascii="Arial" w:hAnsi="Arial" w:cs="Arial"/>
                <w:sz w:val="20"/>
                <w:szCs w:val="20"/>
              </w:rPr>
              <w:t xml:space="preserve">Costo Control </w:t>
            </w:r>
          </w:p>
          <w:p w:rsidRPr="002D18A1" w:rsidR="00A525C6" w:rsidP="002D18A1" w:rsidRDefault="00A525C6" w14:paraId="0D7157F4" w14:textId="77777777">
            <w:pPr>
              <w:jc w:val="center"/>
              <w:rPr>
                <w:rFonts w:ascii="Arial" w:hAnsi="Arial" w:cs="Arial"/>
                <w:sz w:val="20"/>
                <w:szCs w:val="20"/>
              </w:rPr>
            </w:pPr>
            <w:r w:rsidRPr="002D18A1">
              <w:rPr>
                <w:rFonts w:ascii="Arial" w:hAnsi="Arial" w:cs="Arial"/>
                <w:sz w:val="20"/>
                <w:szCs w:val="20"/>
              </w:rPr>
              <w:t>U: unitario; T: total</w:t>
            </w:r>
          </w:p>
        </w:tc>
        <w:tc>
          <w:tcPr>
            <w:tcW w:w="2207" w:type="dxa"/>
            <w:vAlign w:val="center"/>
          </w:tcPr>
          <w:p w:rsidRPr="002D18A1" w:rsidR="00A525C6" w:rsidP="002D18A1" w:rsidRDefault="00A525C6" w14:paraId="5047D0E1" w14:textId="77777777">
            <w:pPr>
              <w:jc w:val="center"/>
              <w:rPr>
                <w:rFonts w:ascii="Arial" w:hAnsi="Arial" w:cs="Arial"/>
                <w:sz w:val="20"/>
                <w:szCs w:val="20"/>
              </w:rPr>
            </w:pPr>
            <w:r w:rsidRPr="002D18A1">
              <w:rPr>
                <w:rFonts w:ascii="Arial" w:hAnsi="Arial" w:cs="Arial"/>
                <w:sz w:val="20"/>
                <w:szCs w:val="20"/>
              </w:rPr>
              <w:t>Diferencia a favor del Programa</w:t>
            </w:r>
          </w:p>
        </w:tc>
      </w:tr>
      <w:tr w:rsidRPr="002D18A1" w:rsidR="00A525C6" w:rsidTr="001E2116" w14:paraId="649BE51B" w14:textId="77777777">
        <w:tc>
          <w:tcPr>
            <w:tcW w:w="2207" w:type="dxa"/>
            <w:vAlign w:val="center"/>
          </w:tcPr>
          <w:p w:rsidRPr="002D18A1" w:rsidR="00A525C6" w:rsidP="002D18A1" w:rsidRDefault="00A525C6" w14:paraId="231B4A34" w14:textId="77777777">
            <w:pPr>
              <w:rPr>
                <w:rFonts w:ascii="Arial" w:hAnsi="Arial" w:cs="Arial"/>
                <w:sz w:val="20"/>
                <w:szCs w:val="20"/>
              </w:rPr>
            </w:pPr>
            <w:r w:rsidRPr="002D18A1">
              <w:rPr>
                <w:rFonts w:ascii="Arial" w:hAnsi="Arial" w:cs="Arial"/>
                <w:sz w:val="20"/>
                <w:szCs w:val="20"/>
              </w:rPr>
              <w:t xml:space="preserve">1. </w:t>
            </w:r>
            <w:r w:rsidRPr="002D18A1">
              <w:rPr>
                <w:rFonts w:ascii="Arial" w:hAnsi="Arial" w:cs="Arial"/>
                <w:b/>
                <w:bCs/>
                <w:color w:val="4472C4" w:themeColor="accent1"/>
                <w:sz w:val="20"/>
                <w:szCs w:val="20"/>
              </w:rPr>
              <w:t>TL</w:t>
            </w:r>
            <w:r w:rsidRPr="002D18A1">
              <w:rPr>
                <w:rFonts w:ascii="Arial" w:hAnsi="Arial" w:cs="Arial"/>
                <w:sz w:val="20"/>
                <w:szCs w:val="20"/>
              </w:rPr>
              <w:t>. Estudio sector férreo</w:t>
            </w:r>
          </w:p>
        </w:tc>
        <w:tc>
          <w:tcPr>
            <w:tcW w:w="2207" w:type="dxa"/>
            <w:vAlign w:val="center"/>
          </w:tcPr>
          <w:p w:rsidRPr="002D18A1" w:rsidR="00A525C6" w:rsidP="002D18A1" w:rsidRDefault="00A525C6" w14:paraId="68FA80BC" w14:textId="6F29967F">
            <w:pPr>
              <w:jc w:val="center"/>
              <w:rPr>
                <w:rFonts w:ascii="Arial" w:hAnsi="Arial" w:cs="Arial"/>
                <w:sz w:val="20"/>
                <w:szCs w:val="20"/>
              </w:rPr>
            </w:pPr>
            <w:r w:rsidRPr="002D18A1">
              <w:rPr>
                <w:rFonts w:ascii="Arial" w:hAnsi="Arial" w:cs="Arial"/>
                <w:sz w:val="20"/>
                <w:szCs w:val="20"/>
              </w:rPr>
              <w:t xml:space="preserve">T: </w:t>
            </w:r>
            <w:r w:rsidRPr="002D18A1" w:rsidR="00376CA4">
              <w:rPr>
                <w:rFonts w:ascii="Arial" w:hAnsi="Arial" w:cs="Arial"/>
                <w:sz w:val="20"/>
                <w:szCs w:val="20"/>
              </w:rPr>
              <w:t>495</w:t>
            </w:r>
            <w:r w:rsidRPr="002D18A1">
              <w:rPr>
                <w:rFonts w:ascii="Arial" w:hAnsi="Arial" w:cs="Arial"/>
                <w:sz w:val="20"/>
                <w:szCs w:val="20"/>
              </w:rPr>
              <w:t xml:space="preserve"> mil</w:t>
            </w:r>
          </w:p>
        </w:tc>
        <w:tc>
          <w:tcPr>
            <w:tcW w:w="2207" w:type="dxa"/>
            <w:vAlign w:val="center"/>
          </w:tcPr>
          <w:p w:rsidRPr="002D18A1" w:rsidR="00A525C6" w:rsidP="002D18A1" w:rsidRDefault="00A525C6" w14:paraId="6D298FF3" w14:textId="77777777">
            <w:pPr>
              <w:jc w:val="center"/>
              <w:rPr>
                <w:rFonts w:ascii="Arial" w:hAnsi="Arial" w:cs="Arial"/>
                <w:sz w:val="20"/>
                <w:szCs w:val="20"/>
              </w:rPr>
            </w:pPr>
            <w:r w:rsidRPr="002D18A1">
              <w:rPr>
                <w:rFonts w:ascii="Arial" w:hAnsi="Arial" w:cs="Arial"/>
                <w:sz w:val="20"/>
                <w:szCs w:val="20"/>
              </w:rPr>
              <w:t>T: 680 mil</w:t>
            </w:r>
          </w:p>
        </w:tc>
        <w:tc>
          <w:tcPr>
            <w:tcW w:w="2207" w:type="dxa"/>
            <w:vAlign w:val="center"/>
          </w:tcPr>
          <w:p w:rsidRPr="002D18A1" w:rsidR="00A525C6" w:rsidP="002D18A1" w:rsidRDefault="00A525C6" w14:paraId="6E844D71" w14:textId="77777777">
            <w:pPr>
              <w:jc w:val="center"/>
              <w:rPr>
                <w:rFonts w:ascii="Arial" w:hAnsi="Arial" w:cs="Arial"/>
                <w:sz w:val="20"/>
                <w:szCs w:val="20"/>
              </w:rPr>
            </w:pPr>
            <w:r w:rsidRPr="002D18A1">
              <w:rPr>
                <w:rFonts w:ascii="Arial" w:hAnsi="Arial" w:cs="Arial"/>
                <w:sz w:val="20"/>
                <w:szCs w:val="20"/>
              </w:rPr>
              <w:t>++</w:t>
            </w:r>
          </w:p>
        </w:tc>
      </w:tr>
      <w:tr w:rsidRPr="002D18A1" w:rsidR="00A525C6" w:rsidTr="001E2116" w14:paraId="034992A2" w14:textId="77777777">
        <w:tc>
          <w:tcPr>
            <w:tcW w:w="2207" w:type="dxa"/>
            <w:vAlign w:val="center"/>
          </w:tcPr>
          <w:p w:rsidRPr="002D18A1" w:rsidR="00A525C6" w:rsidP="002D18A1" w:rsidRDefault="00A525C6" w14:paraId="4BB11CCB" w14:textId="77777777">
            <w:pPr>
              <w:rPr>
                <w:rFonts w:ascii="Arial" w:hAnsi="Arial" w:cs="Arial"/>
                <w:sz w:val="20"/>
                <w:szCs w:val="20"/>
              </w:rPr>
            </w:pPr>
            <w:r w:rsidRPr="002D18A1">
              <w:rPr>
                <w:rFonts w:ascii="Arial" w:hAnsi="Arial" w:cs="Arial"/>
                <w:sz w:val="20"/>
                <w:szCs w:val="20"/>
              </w:rPr>
              <w:t xml:space="preserve">2. </w:t>
            </w:r>
            <w:r w:rsidRPr="002D18A1">
              <w:rPr>
                <w:rFonts w:ascii="Arial" w:hAnsi="Arial" w:cs="Arial"/>
                <w:b/>
                <w:bCs/>
                <w:color w:val="4472C4" w:themeColor="accent1"/>
                <w:sz w:val="20"/>
                <w:szCs w:val="20"/>
              </w:rPr>
              <w:t>TU</w:t>
            </w:r>
            <w:r w:rsidRPr="002D18A1">
              <w:rPr>
                <w:rFonts w:ascii="Arial" w:hAnsi="Arial" w:cs="Arial"/>
                <w:sz w:val="20"/>
                <w:szCs w:val="20"/>
              </w:rPr>
              <w:t>. Estructuración Regiotram del Norte</w:t>
            </w:r>
          </w:p>
        </w:tc>
        <w:tc>
          <w:tcPr>
            <w:tcW w:w="2207" w:type="dxa"/>
            <w:vAlign w:val="center"/>
          </w:tcPr>
          <w:p w:rsidRPr="002D18A1" w:rsidR="00A525C6" w:rsidP="002D18A1" w:rsidRDefault="00A525C6" w14:paraId="64AA655F" w14:textId="468CB8F5">
            <w:pPr>
              <w:jc w:val="center"/>
              <w:rPr>
                <w:rFonts w:ascii="Arial" w:hAnsi="Arial" w:cs="Arial"/>
                <w:sz w:val="20"/>
                <w:szCs w:val="20"/>
              </w:rPr>
            </w:pPr>
            <w:r w:rsidRPr="002D18A1">
              <w:rPr>
                <w:rFonts w:ascii="Arial" w:hAnsi="Arial" w:cs="Arial"/>
                <w:sz w:val="20"/>
                <w:szCs w:val="20"/>
              </w:rPr>
              <w:t xml:space="preserve">U: </w:t>
            </w:r>
            <w:r w:rsidRPr="002D18A1" w:rsidR="00F02F53">
              <w:rPr>
                <w:rFonts w:ascii="Arial" w:hAnsi="Arial" w:cs="Arial"/>
                <w:sz w:val="20"/>
                <w:szCs w:val="20"/>
              </w:rPr>
              <w:t>8</w:t>
            </w:r>
            <w:r w:rsidRPr="002D18A1">
              <w:rPr>
                <w:rFonts w:ascii="Arial" w:hAnsi="Arial" w:cs="Arial"/>
                <w:sz w:val="20"/>
                <w:szCs w:val="20"/>
              </w:rPr>
              <w:t>,</w:t>
            </w:r>
            <w:r w:rsidRPr="002D18A1" w:rsidR="00F02F53">
              <w:rPr>
                <w:rFonts w:ascii="Arial" w:hAnsi="Arial" w:cs="Arial"/>
                <w:sz w:val="20"/>
                <w:szCs w:val="20"/>
              </w:rPr>
              <w:t>44</w:t>
            </w:r>
            <w:r w:rsidRPr="002D18A1">
              <w:rPr>
                <w:rFonts w:ascii="Arial" w:hAnsi="Arial" w:cs="Arial"/>
                <w:sz w:val="20"/>
                <w:szCs w:val="20"/>
              </w:rPr>
              <w:t xml:space="preserve"> mil</w:t>
            </w:r>
            <w:r w:rsidRPr="002D18A1" w:rsidR="00FF69F6">
              <w:rPr>
                <w:rFonts w:ascii="Arial" w:hAnsi="Arial" w:cs="Arial"/>
                <w:sz w:val="20"/>
                <w:szCs w:val="20"/>
              </w:rPr>
              <w:t>/km</w:t>
            </w:r>
          </w:p>
        </w:tc>
        <w:tc>
          <w:tcPr>
            <w:tcW w:w="2207" w:type="dxa"/>
            <w:vAlign w:val="center"/>
          </w:tcPr>
          <w:p w:rsidRPr="002D18A1" w:rsidR="00A525C6" w:rsidP="002D18A1" w:rsidRDefault="00A525C6" w14:paraId="77FFCE3E" w14:textId="47E67002">
            <w:pPr>
              <w:jc w:val="center"/>
              <w:rPr>
                <w:rFonts w:ascii="Arial" w:hAnsi="Arial" w:cs="Arial"/>
                <w:sz w:val="20"/>
                <w:szCs w:val="20"/>
              </w:rPr>
            </w:pPr>
            <w:r w:rsidRPr="002D18A1">
              <w:rPr>
                <w:rFonts w:ascii="Arial" w:hAnsi="Arial" w:cs="Arial"/>
                <w:sz w:val="20"/>
                <w:szCs w:val="20"/>
              </w:rPr>
              <w:t>U: 10,14 mil</w:t>
            </w:r>
            <w:r w:rsidRPr="002D18A1" w:rsidR="00FF69F6">
              <w:rPr>
                <w:rFonts w:ascii="Arial" w:hAnsi="Arial" w:cs="Arial"/>
                <w:sz w:val="20"/>
                <w:szCs w:val="20"/>
              </w:rPr>
              <w:t>/km</w:t>
            </w:r>
          </w:p>
        </w:tc>
        <w:tc>
          <w:tcPr>
            <w:tcW w:w="2207" w:type="dxa"/>
            <w:vAlign w:val="center"/>
          </w:tcPr>
          <w:p w:rsidRPr="002D18A1" w:rsidR="00A525C6" w:rsidP="002D18A1" w:rsidRDefault="00A525C6" w14:paraId="2B980D79" w14:textId="77777777">
            <w:pPr>
              <w:jc w:val="center"/>
              <w:rPr>
                <w:rFonts w:ascii="Arial" w:hAnsi="Arial" w:cs="Arial"/>
                <w:sz w:val="20"/>
                <w:szCs w:val="20"/>
              </w:rPr>
            </w:pPr>
            <w:r w:rsidRPr="002D18A1">
              <w:rPr>
                <w:rFonts w:ascii="Arial" w:hAnsi="Arial" w:cs="Arial"/>
                <w:sz w:val="20"/>
                <w:szCs w:val="20"/>
              </w:rPr>
              <w:t>+</w:t>
            </w:r>
          </w:p>
        </w:tc>
      </w:tr>
      <w:tr w:rsidRPr="002D18A1" w:rsidR="003D641A" w:rsidTr="001E2116" w14:paraId="1E2E4A2C" w14:textId="77777777">
        <w:tc>
          <w:tcPr>
            <w:tcW w:w="2207" w:type="dxa"/>
            <w:vAlign w:val="center"/>
          </w:tcPr>
          <w:p w:rsidRPr="003D641A" w:rsidR="003D641A" w:rsidP="003D641A" w:rsidRDefault="003D641A" w14:paraId="557195B2" w14:textId="5E5EC246">
            <w:pPr>
              <w:rPr>
                <w:rFonts w:ascii="Arial" w:hAnsi="Arial" w:cs="Arial"/>
                <w:sz w:val="20"/>
                <w:szCs w:val="20"/>
              </w:rPr>
            </w:pPr>
            <w:r w:rsidRPr="003D641A">
              <w:rPr>
                <w:rFonts w:ascii="Arial" w:hAnsi="Arial" w:cs="Arial"/>
                <w:sz w:val="20"/>
                <w:szCs w:val="20"/>
              </w:rPr>
              <w:t xml:space="preserve">3. </w:t>
            </w:r>
            <w:r w:rsidRPr="003D641A">
              <w:rPr>
                <w:rFonts w:ascii="Arial" w:hAnsi="Arial" w:cs="Arial"/>
                <w:b/>
                <w:bCs/>
                <w:color w:val="4472C4" w:themeColor="accent1"/>
                <w:sz w:val="20"/>
                <w:szCs w:val="20"/>
              </w:rPr>
              <w:t>ME</w:t>
            </w:r>
            <w:r w:rsidRPr="003D641A">
              <w:rPr>
                <w:rFonts w:ascii="Arial" w:hAnsi="Arial" w:cs="Arial"/>
                <w:sz w:val="20"/>
                <w:szCs w:val="20"/>
              </w:rPr>
              <w:t>. Estructuración energía renovable y suministro</w:t>
            </w:r>
          </w:p>
        </w:tc>
        <w:tc>
          <w:tcPr>
            <w:tcW w:w="2207" w:type="dxa"/>
            <w:vAlign w:val="center"/>
          </w:tcPr>
          <w:p w:rsidRPr="003D641A" w:rsidR="003D641A" w:rsidP="003D641A" w:rsidRDefault="003D641A" w14:paraId="0188B55E" w14:textId="10CA9F56">
            <w:pPr>
              <w:jc w:val="center"/>
              <w:rPr>
                <w:rFonts w:ascii="Arial" w:hAnsi="Arial" w:cs="Arial"/>
                <w:sz w:val="20"/>
                <w:szCs w:val="20"/>
              </w:rPr>
            </w:pPr>
            <w:r w:rsidRPr="003D641A">
              <w:rPr>
                <w:rFonts w:ascii="Arial" w:hAnsi="Arial" w:cs="Arial"/>
                <w:sz w:val="20"/>
                <w:szCs w:val="20"/>
              </w:rPr>
              <w:t>T: 0.90 millón</w:t>
            </w:r>
          </w:p>
        </w:tc>
        <w:tc>
          <w:tcPr>
            <w:tcW w:w="2207" w:type="dxa"/>
            <w:vAlign w:val="center"/>
          </w:tcPr>
          <w:p w:rsidRPr="003D641A" w:rsidR="003D641A" w:rsidP="003D641A" w:rsidRDefault="003D641A" w14:paraId="74A2999B" w14:textId="484F52C0">
            <w:pPr>
              <w:jc w:val="center"/>
              <w:rPr>
                <w:rFonts w:ascii="Arial" w:hAnsi="Arial" w:cs="Arial"/>
                <w:sz w:val="20"/>
                <w:szCs w:val="20"/>
              </w:rPr>
            </w:pPr>
            <w:r w:rsidRPr="003D641A">
              <w:rPr>
                <w:rFonts w:ascii="Arial" w:hAnsi="Arial" w:cs="Arial"/>
                <w:sz w:val="20"/>
                <w:szCs w:val="20"/>
              </w:rPr>
              <w:t>T: 1,10 millones</w:t>
            </w:r>
          </w:p>
        </w:tc>
        <w:tc>
          <w:tcPr>
            <w:tcW w:w="2207" w:type="dxa"/>
            <w:vAlign w:val="center"/>
          </w:tcPr>
          <w:p w:rsidRPr="003D641A" w:rsidR="003D641A" w:rsidP="003D641A" w:rsidRDefault="003D641A" w14:paraId="1CEBD3EF" w14:textId="2626658B">
            <w:pPr>
              <w:jc w:val="center"/>
              <w:rPr>
                <w:rFonts w:ascii="Arial" w:hAnsi="Arial" w:cs="Arial"/>
                <w:sz w:val="20"/>
                <w:szCs w:val="20"/>
              </w:rPr>
            </w:pPr>
            <w:r w:rsidRPr="003D641A">
              <w:rPr>
                <w:rFonts w:ascii="Arial" w:hAnsi="Arial" w:cs="Arial"/>
                <w:sz w:val="20"/>
                <w:szCs w:val="20"/>
              </w:rPr>
              <w:t>+</w:t>
            </w:r>
          </w:p>
        </w:tc>
      </w:tr>
      <w:tr w:rsidRPr="002D18A1" w:rsidR="00A525C6" w:rsidTr="001E2116" w14:paraId="2330739B" w14:textId="77777777">
        <w:tc>
          <w:tcPr>
            <w:tcW w:w="2207" w:type="dxa"/>
            <w:vAlign w:val="center"/>
          </w:tcPr>
          <w:p w:rsidRPr="003D641A" w:rsidR="00A525C6" w:rsidP="002D18A1" w:rsidRDefault="003D641A" w14:paraId="167557FD" w14:textId="694F4647">
            <w:pPr>
              <w:rPr>
                <w:rFonts w:ascii="Arial" w:hAnsi="Arial" w:cs="Arial"/>
                <w:sz w:val="20"/>
                <w:szCs w:val="20"/>
              </w:rPr>
            </w:pPr>
            <w:r w:rsidRPr="003D641A">
              <w:rPr>
                <w:rFonts w:ascii="Arial" w:hAnsi="Arial" w:cs="Arial"/>
                <w:sz w:val="20"/>
                <w:szCs w:val="20"/>
              </w:rPr>
              <w:t>4</w:t>
            </w:r>
            <w:r w:rsidRPr="003D641A" w:rsidR="00A525C6">
              <w:rPr>
                <w:rFonts w:ascii="Arial" w:hAnsi="Arial" w:cs="Arial"/>
                <w:sz w:val="20"/>
                <w:szCs w:val="20"/>
              </w:rPr>
              <w:t xml:space="preserve">. </w:t>
            </w:r>
            <w:r w:rsidRPr="003D641A" w:rsidR="00A525C6">
              <w:rPr>
                <w:rFonts w:ascii="Arial" w:hAnsi="Arial" w:cs="Arial"/>
                <w:b/>
                <w:bCs/>
                <w:color w:val="4472C4" w:themeColor="accent1"/>
                <w:sz w:val="20"/>
                <w:szCs w:val="20"/>
              </w:rPr>
              <w:t>AS</w:t>
            </w:r>
            <w:r w:rsidRPr="003D641A" w:rsidR="00A525C6">
              <w:rPr>
                <w:rFonts w:ascii="Arial" w:hAnsi="Arial" w:cs="Arial"/>
                <w:sz w:val="20"/>
                <w:szCs w:val="20"/>
              </w:rPr>
              <w:t>. Estructuración residuos sólidos Cali</w:t>
            </w:r>
          </w:p>
        </w:tc>
        <w:tc>
          <w:tcPr>
            <w:tcW w:w="2207" w:type="dxa"/>
            <w:vAlign w:val="center"/>
          </w:tcPr>
          <w:p w:rsidRPr="003D641A" w:rsidR="00A525C6" w:rsidP="002D18A1" w:rsidRDefault="00A525C6" w14:paraId="2EBD377D" w14:textId="042F0912">
            <w:pPr>
              <w:jc w:val="center"/>
              <w:rPr>
                <w:rFonts w:ascii="Arial" w:hAnsi="Arial" w:cs="Arial"/>
                <w:sz w:val="20"/>
                <w:szCs w:val="20"/>
              </w:rPr>
            </w:pPr>
            <w:r w:rsidRPr="003D641A">
              <w:rPr>
                <w:rFonts w:ascii="Arial" w:hAnsi="Arial" w:cs="Arial"/>
                <w:sz w:val="20"/>
                <w:szCs w:val="20"/>
              </w:rPr>
              <w:t>U: 0,3</w:t>
            </w:r>
            <w:r w:rsidRPr="003D641A" w:rsidR="00F02F53">
              <w:rPr>
                <w:rFonts w:ascii="Arial" w:hAnsi="Arial" w:cs="Arial"/>
                <w:sz w:val="20"/>
                <w:szCs w:val="20"/>
              </w:rPr>
              <w:t>1</w:t>
            </w:r>
            <w:r w:rsidRPr="003D641A">
              <w:rPr>
                <w:rFonts w:ascii="Arial" w:hAnsi="Arial" w:cs="Arial"/>
                <w:sz w:val="20"/>
                <w:szCs w:val="20"/>
              </w:rPr>
              <w:t>/hab</w:t>
            </w:r>
          </w:p>
        </w:tc>
        <w:tc>
          <w:tcPr>
            <w:tcW w:w="2207" w:type="dxa"/>
            <w:vAlign w:val="center"/>
          </w:tcPr>
          <w:p w:rsidRPr="003D641A" w:rsidR="00A525C6" w:rsidP="002D18A1" w:rsidRDefault="00A525C6" w14:paraId="2C068F8F" w14:textId="77777777">
            <w:pPr>
              <w:jc w:val="center"/>
              <w:rPr>
                <w:rFonts w:ascii="Arial" w:hAnsi="Arial" w:cs="Arial"/>
                <w:sz w:val="20"/>
                <w:szCs w:val="20"/>
              </w:rPr>
            </w:pPr>
            <w:r w:rsidRPr="003D641A">
              <w:rPr>
                <w:rFonts w:ascii="Arial" w:hAnsi="Arial" w:cs="Arial"/>
                <w:sz w:val="20"/>
                <w:szCs w:val="20"/>
              </w:rPr>
              <w:t>U: 0,34/hab</w:t>
            </w:r>
          </w:p>
        </w:tc>
        <w:tc>
          <w:tcPr>
            <w:tcW w:w="2207" w:type="dxa"/>
            <w:vAlign w:val="center"/>
          </w:tcPr>
          <w:p w:rsidRPr="003D641A" w:rsidR="00A525C6" w:rsidP="002D18A1" w:rsidRDefault="002F29F1" w14:paraId="12BE2224" w14:textId="3900DCD7">
            <w:pPr>
              <w:jc w:val="center"/>
              <w:rPr>
                <w:rFonts w:ascii="Arial" w:hAnsi="Arial" w:cs="Arial"/>
                <w:sz w:val="20"/>
                <w:szCs w:val="20"/>
              </w:rPr>
            </w:pPr>
            <w:r w:rsidRPr="003D641A">
              <w:rPr>
                <w:rFonts w:ascii="Arial" w:hAnsi="Arial" w:cs="Arial"/>
                <w:sz w:val="20"/>
                <w:szCs w:val="20"/>
              </w:rPr>
              <w:t>+</w:t>
            </w:r>
          </w:p>
        </w:tc>
      </w:tr>
      <w:tr w:rsidRPr="002D18A1" w:rsidR="00A525C6" w:rsidTr="001E2116" w14:paraId="6571FEA8" w14:textId="77777777">
        <w:tc>
          <w:tcPr>
            <w:tcW w:w="2207" w:type="dxa"/>
            <w:vAlign w:val="center"/>
          </w:tcPr>
          <w:p w:rsidRPr="002D18A1" w:rsidR="00A525C6" w:rsidP="002D18A1" w:rsidRDefault="003D641A" w14:paraId="14CFC173" w14:textId="626ED1C2">
            <w:pPr>
              <w:rPr>
                <w:rFonts w:ascii="Arial" w:hAnsi="Arial" w:cs="Arial"/>
                <w:sz w:val="20"/>
                <w:szCs w:val="20"/>
              </w:rPr>
            </w:pPr>
            <w:r>
              <w:rPr>
                <w:rFonts w:ascii="Arial" w:hAnsi="Arial" w:cs="Arial"/>
                <w:sz w:val="20"/>
                <w:szCs w:val="20"/>
              </w:rPr>
              <w:t>5</w:t>
            </w:r>
            <w:r w:rsidRPr="002D18A1" w:rsidR="00A525C6">
              <w:rPr>
                <w:rFonts w:ascii="Arial" w:hAnsi="Arial" w:cs="Arial"/>
                <w:sz w:val="20"/>
                <w:szCs w:val="20"/>
              </w:rPr>
              <w:t xml:space="preserve">. </w:t>
            </w:r>
            <w:r w:rsidRPr="002D18A1" w:rsidR="00A525C6">
              <w:rPr>
                <w:rFonts w:ascii="Arial" w:hAnsi="Arial" w:cs="Arial"/>
                <w:b/>
                <w:bCs/>
                <w:color w:val="4472C4" w:themeColor="accent1"/>
                <w:sz w:val="20"/>
                <w:szCs w:val="20"/>
              </w:rPr>
              <w:t>AS</w:t>
            </w:r>
            <w:r w:rsidRPr="002D18A1" w:rsidR="00A525C6">
              <w:rPr>
                <w:rFonts w:ascii="Arial" w:hAnsi="Arial" w:cs="Arial"/>
                <w:sz w:val="20"/>
                <w:szCs w:val="20"/>
              </w:rPr>
              <w:t>. Estructuración aguas residuales Bucaramanga</w:t>
            </w:r>
          </w:p>
        </w:tc>
        <w:tc>
          <w:tcPr>
            <w:tcW w:w="2207" w:type="dxa"/>
            <w:vAlign w:val="center"/>
          </w:tcPr>
          <w:p w:rsidRPr="002D18A1" w:rsidR="00A525C6" w:rsidP="002D18A1" w:rsidRDefault="00A525C6" w14:paraId="013D1ED7" w14:textId="4E057CB0">
            <w:pPr>
              <w:jc w:val="center"/>
              <w:rPr>
                <w:rFonts w:ascii="Arial" w:hAnsi="Arial" w:cs="Arial"/>
                <w:sz w:val="20"/>
                <w:szCs w:val="20"/>
              </w:rPr>
            </w:pPr>
            <w:r w:rsidRPr="002D18A1">
              <w:rPr>
                <w:rFonts w:ascii="Arial" w:hAnsi="Arial" w:cs="Arial"/>
                <w:sz w:val="20"/>
                <w:szCs w:val="20"/>
              </w:rPr>
              <w:t>U: 0,</w:t>
            </w:r>
            <w:r w:rsidRPr="002D18A1" w:rsidR="00800EEE">
              <w:rPr>
                <w:rFonts w:ascii="Arial" w:hAnsi="Arial" w:cs="Arial"/>
                <w:sz w:val="20"/>
                <w:szCs w:val="20"/>
              </w:rPr>
              <w:t>67</w:t>
            </w:r>
            <w:r w:rsidRPr="002D18A1">
              <w:rPr>
                <w:rFonts w:ascii="Arial" w:hAnsi="Arial" w:cs="Arial"/>
                <w:sz w:val="20"/>
                <w:szCs w:val="20"/>
              </w:rPr>
              <w:t>/hab</w:t>
            </w:r>
          </w:p>
        </w:tc>
        <w:tc>
          <w:tcPr>
            <w:tcW w:w="2207" w:type="dxa"/>
            <w:vAlign w:val="center"/>
          </w:tcPr>
          <w:p w:rsidRPr="002D18A1" w:rsidR="00A525C6" w:rsidP="002D18A1" w:rsidRDefault="00A525C6" w14:paraId="20D4CB37" w14:textId="77777777">
            <w:pPr>
              <w:jc w:val="center"/>
              <w:rPr>
                <w:rFonts w:ascii="Arial" w:hAnsi="Arial" w:cs="Arial"/>
                <w:sz w:val="20"/>
                <w:szCs w:val="20"/>
              </w:rPr>
            </w:pPr>
            <w:r w:rsidRPr="002D18A1">
              <w:rPr>
                <w:rFonts w:ascii="Arial" w:hAnsi="Arial" w:cs="Arial"/>
                <w:sz w:val="20"/>
                <w:szCs w:val="20"/>
              </w:rPr>
              <w:t>U: 1,90/hab</w:t>
            </w:r>
          </w:p>
        </w:tc>
        <w:tc>
          <w:tcPr>
            <w:tcW w:w="2207" w:type="dxa"/>
            <w:vAlign w:val="center"/>
          </w:tcPr>
          <w:p w:rsidRPr="002D18A1" w:rsidR="00A525C6" w:rsidP="002D18A1" w:rsidRDefault="00A525C6" w14:paraId="1E84BDCC" w14:textId="77777777">
            <w:pPr>
              <w:jc w:val="center"/>
              <w:rPr>
                <w:rFonts w:ascii="Arial" w:hAnsi="Arial" w:cs="Arial"/>
                <w:sz w:val="20"/>
                <w:szCs w:val="20"/>
              </w:rPr>
            </w:pPr>
            <w:r w:rsidRPr="002D18A1">
              <w:rPr>
                <w:rFonts w:ascii="Arial" w:hAnsi="Arial" w:cs="Arial"/>
                <w:sz w:val="20"/>
                <w:szCs w:val="20"/>
              </w:rPr>
              <w:t>++</w:t>
            </w:r>
          </w:p>
        </w:tc>
      </w:tr>
      <w:tr w:rsidRPr="002D18A1" w:rsidR="00A525C6" w:rsidTr="001E2116" w14:paraId="1E581547" w14:textId="77777777">
        <w:tc>
          <w:tcPr>
            <w:tcW w:w="2207" w:type="dxa"/>
            <w:vAlign w:val="center"/>
          </w:tcPr>
          <w:p w:rsidRPr="002D18A1" w:rsidR="00A525C6" w:rsidP="002D18A1" w:rsidRDefault="003D641A" w14:paraId="6143566C" w14:textId="3E3CE0F9">
            <w:pPr>
              <w:rPr>
                <w:rFonts w:ascii="Arial" w:hAnsi="Arial" w:cs="Arial"/>
                <w:sz w:val="20"/>
                <w:szCs w:val="20"/>
              </w:rPr>
            </w:pPr>
            <w:r>
              <w:rPr>
                <w:rFonts w:ascii="Arial" w:hAnsi="Arial" w:cs="Arial"/>
                <w:sz w:val="20"/>
                <w:szCs w:val="20"/>
              </w:rPr>
              <w:t>6</w:t>
            </w:r>
            <w:r w:rsidRPr="002D18A1" w:rsidR="00A525C6">
              <w:rPr>
                <w:rFonts w:ascii="Arial" w:hAnsi="Arial" w:cs="Arial"/>
                <w:sz w:val="20"/>
                <w:szCs w:val="20"/>
              </w:rPr>
              <w:t xml:space="preserve">. </w:t>
            </w:r>
            <w:r w:rsidRPr="002D18A1" w:rsidR="00A525C6">
              <w:rPr>
                <w:rFonts w:ascii="Arial" w:hAnsi="Arial" w:cs="Arial"/>
                <w:b/>
                <w:bCs/>
                <w:color w:val="4472C4" w:themeColor="accent1"/>
                <w:sz w:val="20"/>
                <w:szCs w:val="20"/>
              </w:rPr>
              <w:t>SA</w:t>
            </w:r>
            <w:r w:rsidRPr="002D18A1" w:rsidR="00A525C6">
              <w:rPr>
                <w:rFonts w:ascii="Arial" w:hAnsi="Arial" w:cs="Arial"/>
                <w:sz w:val="20"/>
                <w:szCs w:val="20"/>
              </w:rPr>
              <w:t>. Estructuración centro atención primaria + hospital regional (</w:t>
            </w:r>
            <w:r w:rsidRPr="002D18A1" w:rsidR="00A525C6">
              <w:rPr>
                <w:rFonts w:ascii="Arial" w:hAnsi="Arial" w:cs="Arial"/>
                <w:b/>
                <w:bCs/>
                <w:sz w:val="20"/>
                <w:szCs w:val="20"/>
              </w:rPr>
              <w:t>2</w:t>
            </w:r>
            <w:r w:rsidRPr="002D18A1" w:rsidR="00A525C6">
              <w:rPr>
                <w:rFonts w:ascii="Arial" w:hAnsi="Arial" w:cs="Arial"/>
                <w:sz w:val="20"/>
                <w:szCs w:val="20"/>
              </w:rPr>
              <w:t xml:space="preserve"> intervenciones)</w:t>
            </w:r>
          </w:p>
        </w:tc>
        <w:tc>
          <w:tcPr>
            <w:tcW w:w="2207" w:type="dxa"/>
            <w:vAlign w:val="center"/>
          </w:tcPr>
          <w:p w:rsidRPr="002D18A1" w:rsidR="00A525C6" w:rsidP="002D18A1" w:rsidRDefault="00A525C6" w14:paraId="6F57583B" w14:textId="58B9291D">
            <w:pPr>
              <w:jc w:val="center"/>
              <w:rPr>
                <w:rFonts w:ascii="Arial" w:hAnsi="Arial" w:cs="Arial"/>
                <w:sz w:val="20"/>
                <w:szCs w:val="20"/>
              </w:rPr>
            </w:pPr>
            <w:r w:rsidRPr="002D18A1">
              <w:rPr>
                <w:rFonts w:ascii="Arial" w:hAnsi="Arial" w:cs="Arial"/>
                <w:sz w:val="20"/>
                <w:szCs w:val="20"/>
              </w:rPr>
              <w:t xml:space="preserve">T: </w:t>
            </w:r>
            <w:r w:rsidRPr="002D18A1" w:rsidR="00800EEE">
              <w:rPr>
                <w:rFonts w:ascii="Arial" w:hAnsi="Arial" w:cs="Arial"/>
                <w:sz w:val="20"/>
                <w:szCs w:val="20"/>
              </w:rPr>
              <w:t xml:space="preserve">1,80 </w:t>
            </w:r>
            <w:r w:rsidRPr="002D18A1">
              <w:rPr>
                <w:rFonts w:ascii="Arial" w:hAnsi="Arial" w:cs="Arial"/>
                <w:sz w:val="20"/>
                <w:szCs w:val="20"/>
              </w:rPr>
              <w:t>millones</w:t>
            </w:r>
          </w:p>
        </w:tc>
        <w:tc>
          <w:tcPr>
            <w:tcW w:w="2207" w:type="dxa"/>
            <w:vAlign w:val="center"/>
          </w:tcPr>
          <w:p w:rsidRPr="002D18A1" w:rsidR="00A525C6" w:rsidP="002D18A1" w:rsidRDefault="00A525C6" w14:paraId="04E0B7F6" w14:textId="77777777">
            <w:pPr>
              <w:jc w:val="center"/>
              <w:rPr>
                <w:rFonts w:ascii="Arial" w:hAnsi="Arial" w:cs="Arial"/>
                <w:sz w:val="20"/>
                <w:szCs w:val="20"/>
              </w:rPr>
            </w:pPr>
            <w:r w:rsidRPr="002D18A1">
              <w:rPr>
                <w:rFonts w:ascii="Arial" w:hAnsi="Arial" w:cs="Arial"/>
                <w:sz w:val="20"/>
                <w:szCs w:val="20"/>
              </w:rPr>
              <w:t>T: 2,7 millones</w:t>
            </w:r>
          </w:p>
        </w:tc>
        <w:tc>
          <w:tcPr>
            <w:tcW w:w="2207" w:type="dxa"/>
            <w:vAlign w:val="center"/>
          </w:tcPr>
          <w:p w:rsidRPr="002D18A1" w:rsidR="00A525C6" w:rsidP="002D18A1" w:rsidRDefault="00A525C6" w14:paraId="3BFE1AD4" w14:textId="77777777">
            <w:pPr>
              <w:jc w:val="center"/>
              <w:rPr>
                <w:rFonts w:ascii="Arial" w:hAnsi="Arial" w:cs="Arial"/>
                <w:sz w:val="20"/>
                <w:szCs w:val="20"/>
              </w:rPr>
            </w:pPr>
            <w:r w:rsidRPr="002D18A1">
              <w:rPr>
                <w:rFonts w:ascii="Arial" w:hAnsi="Arial" w:cs="Arial"/>
                <w:sz w:val="20"/>
                <w:szCs w:val="20"/>
              </w:rPr>
              <w:t>++</w:t>
            </w:r>
          </w:p>
        </w:tc>
      </w:tr>
    </w:tbl>
    <w:p w:rsidRPr="001E545A" w:rsidR="00A525C6" w:rsidP="004A2B13" w:rsidRDefault="00A525C6" w14:paraId="7C709AF8" w14:textId="3FF57774">
      <w:pPr>
        <w:spacing w:before="120" w:after="120"/>
        <w:jc w:val="center"/>
        <w:rPr>
          <w:rFonts w:ascii="Arial" w:hAnsi="Arial" w:cs="Arial"/>
          <w:sz w:val="20"/>
          <w:szCs w:val="20"/>
        </w:rPr>
      </w:pPr>
      <w:r w:rsidRPr="001E545A">
        <w:rPr>
          <w:rFonts w:ascii="Arial" w:hAnsi="Arial" w:cs="Arial"/>
          <w:sz w:val="20"/>
          <w:szCs w:val="20"/>
        </w:rPr>
        <w:t>Fuente: elaboración propia. (+): leve;( ++): alta; (ND): no detectable; (-): negativa</w:t>
      </w:r>
    </w:p>
    <w:p w:rsidRPr="004A2B13" w:rsidR="002049CB" w:rsidP="004A2B13" w:rsidRDefault="002049CB" w14:paraId="29D4FD32" w14:textId="77777777">
      <w:pPr>
        <w:spacing w:before="120" w:after="120"/>
        <w:jc w:val="center"/>
        <w:rPr>
          <w:rFonts w:ascii="Arial" w:hAnsi="Arial" w:cs="Arial"/>
          <w:sz w:val="22"/>
          <w:szCs w:val="22"/>
        </w:rPr>
      </w:pPr>
    </w:p>
    <w:p w:rsidRPr="001E545A" w:rsidR="00A07188" w:rsidP="004A2B13" w:rsidRDefault="00A07188" w14:paraId="0C5E3A19" w14:textId="2492D6F2">
      <w:pPr>
        <w:spacing w:before="120" w:after="120"/>
        <w:jc w:val="center"/>
        <w:rPr>
          <w:rFonts w:ascii="Arial" w:hAnsi="Arial" w:cs="Arial"/>
          <w:sz w:val="20"/>
          <w:szCs w:val="20"/>
        </w:rPr>
      </w:pPr>
      <w:r w:rsidRPr="001E545A">
        <w:rPr>
          <w:rFonts w:ascii="Arial" w:hAnsi="Arial" w:cs="Arial"/>
          <w:sz w:val="20"/>
          <w:szCs w:val="20"/>
        </w:rPr>
        <w:lastRenderedPageBreak/>
        <w:t>Tabla 4.</w:t>
      </w:r>
      <w:r w:rsidRPr="001E545A" w:rsidR="00FE0902">
        <w:rPr>
          <w:rFonts w:ascii="Arial" w:hAnsi="Arial" w:cs="Arial"/>
          <w:sz w:val="20"/>
          <w:szCs w:val="20"/>
        </w:rPr>
        <w:t>4</w:t>
      </w:r>
      <w:r w:rsidRPr="001E545A">
        <w:rPr>
          <w:rFonts w:ascii="Arial" w:hAnsi="Arial" w:cs="Arial"/>
          <w:sz w:val="20"/>
          <w:szCs w:val="20"/>
        </w:rPr>
        <w:t>. Análisis de sensibilidad</w:t>
      </w:r>
      <w:r w:rsidRPr="001E545A" w:rsidR="00BB3F81">
        <w:rPr>
          <w:rFonts w:ascii="Arial" w:hAnsi="Arial" w:cs="Arial"/>
          <w:sz w:val="20"/>
          <w:szCs w:val="20"/>
        </w:rPr>
        <w:t xml:space="preserve"> proyectos individuales</w:t>
      </w:r>
      <w:r w:rsidRPr="001E545A">
        <w:rPr>
          <w:rFonts w:ascii="Arial" w:hAnsi="Arial" w:cs="Arial"/>
          <w:sz w:val="20"/>
          <w:szCs w:val="20"/>
        </w:rPr>
        <w:t>. Escenario Bajo</w:t>
      </w:r>
    </w:p>
    <w:tbl>
      <w:tblPr>
        <w:tblStyle w:val="TableGrid"/>
        <w:tblW w:w="0" w:type="auto"/>
        <w:tblLook w:val="04A0" w:firstRow="1" w:lastRow="0" w:firstColumn="1" w:lastColumn="0" w:noHBand="0" w:noVBand="1"/>
      </w:tblPr>
      <w:tblGrid>
        <w:gridCol w:w="2207"/>
        <w:gridCol w:w="2207"/>
        <w:gridCol w:w="2207"/>
        <w:gridCol w:w="2207"/>
      </w:tblGrid>
      <w:tr w:rsidRPr="001E545A" w:rsidR="00A07188" w:rsidTr="001E2116" w14:paraId="17B4D96E" w14:textId="77777777">
        <w:tc>
          <w:tcPr>
            <w:tcW w:w="8828" w:type="dxa"/>
            <w:gridSpan w:val="4"/>
            <w:shd w:val="clear" w:color="auto" w:fill="E7E6E6" w:themeFill="background2"/>
            <w:vAlign w:val="center"/>
          </w:tcPr>
          <w:p w:rsidRPr="001E545A" w:rsidR="00A07188" w:rsidP="001E545A" w:rsidRDefault="00A07188" w14:paraId="6C0F080D" w14:textId="77777777">
            <w:pPr>
              <w:jc w:val="center"/>
              <w:rPr>
                <w:rFonts w:ascii="Arial" w:hAnsi="Arial" w:cs="Arial"/>
                <w:b/>
                <w:bCs/>
                <w:sz w:val="20"/>
                <w:szCs w:val="20"/>
              </w:rPr>
            </w:pPr>
            <w:r w:rsidRPr="001E545A">
              <w:rPr>
                <w:rFonts w:ascii="Arial" w:hAnsi="Arial" w:cs="Arial"/>
                <w:b/>
                <w:bCs/>
                <w:sz w:val="20"/>
                <w:szCs w:val="20"/>
              </w:rPr>
              <w:t>Componente I</w:t>
            </w:r>
          </w:p>
        </w:tc>
      </w:tr>
      <w:tr w:rsidRPr="001E545A" w:rsidR="00A07188" w:rsidTr="001E2116" w14:paraId="24B083B1" w14:textId="77777777">
        <w:tc>
          <w:tcPr>
            <w:tcW w:w="2207" w:type="dxa"/>
            <w:vAlign w:val="center"/>
          </w:tcPr>
          <w:p w:rsidRPr="001E545A" w:rsidR="00A07188" w:rsidP="001E545A" w:rsidRDefault="00A07188" w14:paraId="10060A6F" w14:textId="77777777">
            <w:pPr>
              <w:jc w:val="center"/>
              <w:rPr>
                <w:rFonts w:ascii="Arial" w:hAnsi="Arial" w:cs="Arial"/>
                <w:sz w:val="20"/>
                <w:szCs w:val="20"/>
              </w:rPr>
            </w:pPr>
            <w:r w:rsidRPr="001E545A">
              <w:rPr>
                <w:rFonts w:ascii="Arial" w:hAnsi="Arial" w:cs="Arial"/>
                <w:sz w:val="20"/>
                <w:szCs w:val="20"/>
              </w:rPr>
              <w:t>Proyecto</w:t>
            </w:r>
          </w:p>
        </w:tc>
        <w:tc>
          <w:tcPr>
            <w:tcW w:w="2207" w:type="dxa"/>
            <w:vAlign w:val="center"/>
          </w:tcPr>
          <w:p w:rsidRPr="001E545A" w:rsidR="00A07188" w:rsidP="001E545A" w:rsidRDefault="00A07188" w14:paraId="52CB0403" w14:textId="77777777">
            <w:pPr>
              <w:jc w:val="center"/>
              <w:rPr>
                <w:rFonts w:ascii="Arial" w:hAnsi="Arial" w:cs="Arial"/>
                <w:sz w:val="20"/>
                <w:szCs w:val="20"/>
              </w:rPr>
            </w:pPr>
            <w:r w:rsidRPr="001E545A">
              <w:rPr>
                <w:rFonts w:ascii="Arial" w:hAnsi="Arial" w:cs="Arial"/>
                <w:sz w:val="20"/>
                <w:szCs w:val="20"/>
              </w:rPr>
              <w:t xml:space="preserve">Costo Programa </w:t>
            </w:r>
          </w:p>
          <w:p w:rsidRPr="001E545A" w:rsidR="00A07188" w:rsidP="001E545A" w:rsidRDefault="00A07188" w14:paraId="5165D010" w14:textId="77777777">
            <w:pPr>
              <w:jc w:val="center"/>
              <w:rPr>
                <w:rFonts w:ascii="Arial" w:hAnsi="Arial" w:cs="Arial"/>
                <w:sz w:val="20"/>
                <w:szCs w:val="20"/>
              </w:rPr>
            </w:pPr>
            <w:r w:rsidRPr="001E545A">
              <w:rPr>
                <w:rFonts w:ascii="Arial" w:hAnsi="Arial" w:cs="Arial"/>
                <w:sz w:val="20"/>
                <w:szCs w:val="20"/>
              </w:rPr>
              <w:t>U: unitario; T: total</w:t>
            </w:r>
          </w:p>
        </w:tc>
        <w:tc>
          <w:tcPr>
            <w:tcW w:w="2207" w:type="dxa"/>
            <w:vAlign w:val="center"/>
          </w:tcPr>
          <w:p w:rsidRPr="001E545A" w:rsidR="00A07188" w:rsidP="001E545A" w:rsidRDefault="00A07188" w14:paraId="49EBE202" w14:textId="77777777">
            <w:pPr>
              <w:jc w:val="center"/>
              <w:rPr>
                <w:rFonts w:ascii="Arial" w:hAnsi="Arial" w:cs="Arial"/>
                <w:sz w:val="20"/>
                <w:szCs w:val="20"/>
              </w:rPr>
            </w:pPr>
            <w:r w:rsidRPr="001E545A">
              <w:rPr>
                <w:rFonts w:ascii="Arial" w:hAnsi="Arial" w:cs="Arial"/>
                <w:sz w:val="20"/>
                <w:szCs w:val="20"/>
              </w:rPr>
              <w:t xml:space="preserve">Costo Control </w:t>
            </w:r>
          </w:p>
          <w:p w:rsidRPr="001E545A" w:rsidR="00A07188" w:rsidP="001E545A" w:rsidRDefault="00A07188" w14:paraId="794A4BA7" w14:textId="77777777">
            <w:pPr>
              <w:jc w:val="center"/>
              <w:rPr>
                <w:rFonts w:ascii="Arial" w:hAnsi="Arial" w:cs="Arial"/>
                <w:sz w:val="20"/>
                <w:szCs w:val="20"/>
              </w:rPr>
            </w:pPr>
            <w:r w:rsidRPr="001E545A">
              <w:rPr>
                <w:rFonts w:ascii="Arial" w:hAnsi="Arial" w:cs="Arial"/>
                <w:sz w:val="20"/>
                <w:szCs w:val="20"/>
              </w:rPr>
              <w:t>U: unitario; T: total</w:t>
            </w:r>
          </w:p>
        </w:tc>
        <w:tc>
          <w:tcPr>
            <w:tcW w:w="2207" w:type="dxa"/>
            <w:vAlign w:val="center"/>
          </w:tcPr>
          <w:p w:rsidRPr="001E545A" w:rsidR="00A07188" w:rsidP="001E545A" w:rsidRDefault="00A07188" w14:paraId="32453935" w14:textId="77777777">
            <w:pPr>
              <w:jc w:val="center"/>
              <w:rPr>
                <w:rFonts w:ascii="Arial" w:hAnsi="Arial" w:cs="Arial"/>
                <w:sz w:val="20"/>
                <w:szCs w:val="20"/>
              </w:rPr>
            </w:pPr>
            <w:r w:rsidRPr="001E545A">
              <w:rPr>
                <w:rFonts w:ascii="Arial" w:hAnsi="Arial" w:cs="Arial"/>
                <w:sz w:val="20"/>
                <w:szCs w:val="20"/>
              </w:rPr>
              <w:t>Diferencia a favor del Programa</w:t>
            </w:r>
          </w:p>
        </w:tc>
      </w:tr>
      <w:tr w:rsidRPr="001E545A" w:rsidR="00A07188" w:rsidTr="001E2116" w14:paraId="2E50B6BC" w14:textId="77777777">
        <w:tc>
          <w:tcPr>
            <w:tcW w:w="2207" w:type="dxa"/>
            <w:vAlign w:val="center"/>
          </w:tcPr>
          <w:p w:rsidRPr="001E545A" w:rsidR="00A07188" w:rsidP="001E545A" w:rsidRDefault="00A07188" w14:paraId="22B8E42F" w14:textId="77777777">
            <w:pPr>
              <w:rPr>
                <w:rFonts w:ascii="Arial" w:hAnsi="Arial" w:cs="Arial"/>
                <w:sz w:val="20"/>
                <w:szCs w:val="20"/>
              </w:rPr>
            </w:pPr>
            <w:r w:rsidRPr="001E545A">
              <w:rPr>
                <w:rFonts w:ascii="Arial" w:hAnsi="Arial" w:cs="Arial"/>
                <w:sz w:val="20"/>
                <w:szCs w:val="20"/>
              </w:rPr>
              <w:t xml:space="preserve">1. </w:t>
            </w:r>
            <w:r w:rsidRPr="001E545A">
              <w:rPr>
                <w:rFonts w:ascii="Arial" w:hAnsi="Arial" w:cs="Arial"/>
                <w:b/>
                <w:bCs/>
                <w:color w:val="4472C4" w:themeColor="accent1"/>
                <w:sz w:val="20"/>
                <w:szCs w:val="20"/>
              </w:rPr>
              <w:t>TL</w:t>
            </w:r>
            <w:r w:rsidRPr="001E545A">
              <w:rPr>
                <w:rFonts w:ascii="Arial" w:hAnsi="Arial" w:cs="Arial"/>
                <w:sz w:val="20"/>
                <w:szCs w:val="20"/>
              </w:rPr>
              <w:t>. Estudio sector férreo</w:t>
            </w:r>
          </w:p>
        </w:tc>
        <w:tc>
          <w:tcPr>
            <w:tcW w:w="2207" w:type="dxa"/>
            <w:vAlign w:val="center"/>
          </w:tcPr>
          <w:p w:rsidRPr="001E545A" w:rsidR="00A07188" w:rsidP="001E545A" w:rsidRDefault="00A07188" w14:paraId="2A16B279" w14:textId="46542B9D">
            <w:pPr>
              <w:jc w:val="center"/>
              <w:rPr>
                <w:rFonts w:ascii="Arial" w:hAnsi="Arial" w:cs="Arial"/>
                <w:sz w:val="20"/>
                <w:szCs w:val="20"/>
              </w:rPr>
            </w:pPr>
            <w:r w:rsidRPr="001E545A">
              <w:rPr>
                <w:rFonts w:ascii="Arial" w:hAnsi="Arial" w:cs="Arial"/>
                <w:sz w:val="20"/>
                <w:szCs w:val="20"/>
              </w:rPr>
              <w:t xml:space="preserve">T: </w:t>
            </w:r>
            <w:r w:rsidRPr="001E545A" w:rsidR="009E5C8F">
              <w:rPr>
                <w:rFonts w:ascii="Arial" w:hAnsi="Arial" w:cs="Arial"/>
                <w:sz w:val="20"/>
                <w:szCs w:val="20"/>
              </w:rPr>
              <w:t>605</w:t>
            </w:r>
            <w:r w:rsidRPr="001E545A">
              <w:rPr>
                <w:rFonts w:ascii="Arial" w:hAnsi="Arial" w:cs="Arial"/>
                <w:sz w:val="20"/>
                <w:szCs w:val="20"/>
              </w:rPr>
              <w:t xml:space="preserve"> mil</w:t>
            </w:r>
          </w:p>
        </w:tc>
        <w:tc>
          <w:tcPr>
            <w:tcW w:w="2207" w:type="dxa"/>
            <w:vAlign w:val="center"/>
          </w:tcPr>
          <w:p w:rsidRPr="001E545A" w:rsidR="00A07188" w:rsidP="001E545A" w:rsidRDefault="00A07188" w14:paraId="43C985CD" w14:textId="77777777">
            <w:pPr>
              <w:jc w:val="center"/>
              <w:rPr>
                <w:rFonts w:ascii="Arial" w:hAnsi="Arial" w:cs="Arial"/>
                <w:sz w:val="20"/>
                <w:szCs w:val="20"/>
              </w:rPr>
            </w:pPr>
            <w:r w:rsidRPr="001E545A">
              <w:rPr>
                <w:rFonts w:ascii="Arial" w:hAnsi="Arial" w:cs="Arial"/>
                <w:sz w:val="20"/>
                <w:szCs w:val="20"/>
              </w:rPr>
              <w:t>T: 680 mil</w:t>
            </w:r>
          </w:p>
        </w:tc>
        <w:tc>
          <w:tcPr>
            <w:tcW w:w="2207" w:type="dxa"/>
            <w:vAlign w:val="center"/>
          </w:tcPr>
          <w:p w:rsidRPr="001E545A" w:rsidR="00A07188" w:rsidP="001E545A" w:rsidRDefault="00A07188" w14:paraId="251EEC01" w14:textId="77777777">
            <w:pPr>
              <w:jc w:val="center"/>
              <w:rPr>
                <w:rFonts w:ascii="Arial" w:hAnsi="Arial" w:cs="Arial"/>
                <w:sz w:val="20"/>
                <w:szCs w:val="20"/>
              </w:rPr>
            </w:pPr>
            <w:r w:rsidRPr="001E545A">
              <w:rPr>
                <w:rFonts w:ascii="Arial" w:hAnsi="Arial" w:cs="Arial"/>
                <w:sz w:val="20"/>
                <w:szCs w:val="20"/>
              </w:rPr>
              <w:t>++</w:t>
            </w:r>
          </w:p>
        </w:tc>
      </w:tr>
      <w:tr w:rsidRPr="001E545A" w:rsidR="00A07188" w:rsidTr="001E2116" w14:paraId="027F4D21" w14:textId="77777777">
        <w:tc>
          <w:tcPr>
            <w:tcW w:w="2207" w:type="dxa"/>
            <w:vAlign w:val="center"/>
          </w:tcPr>
          <w:p w:rsidRPr="001E545A" w:rsidR="00A07188" w:rsidP="001E545A" w:rsidRDefault="00A07188" w14:paraId="697F1200" w14:textId="77777777">
            <w:pPr>
              <w:rPr>
                <w:rFonts w:ascii="Arial" w:hAnsi="Arial" w:cs="Arial"/>
                <w:sz w:val="20"/>
                <w:szCs w:val="20"/>
              </w:rPr>
            </w:pPr>
            <w:r w:rsidRPr="001E545A">
              <w:rPr>
                <w:rFonts w:ascii="Arial" w:hAnsi="Arial" w:cs="Arial"/>
                <w:sz w:val="20"/>
                <w:szCs w:val="20"/>
              </w:rPr>
              <w:t xml:space="preserve">2. </w:t>
            </w:r>
            <w:r w:rsidRPr="001E545A">
              <w:rPr>
                <w:rFonts w:ascii="Arial" w:hAnsi="Arial" w:cs="Arial"/>
                <w:b/>
                <w:bCs/>
                <w:color w:val="4472C4" w:themeColor="accent1"/>
                <w:sz w:val="20"/>
                <w:szCs w:val="20"/>
              </w:rPr>
              <w:t>TU</w:t>
            </w:r>
            <w:r w:rsidRPr="001E545A">
              <w:rPr>
                <w:rFonts w:ascii="Arial" w:hAnsi="Arial" w:cs="Arial"/>
                <w:sz w:val="20"/>
                <w:szCs w:val="20"/>
              </w:rPr>
              <w:t>. Estructuración Regiotram del Norte</w:t>
            </w:r>
          </w:p>
        </w:tc>
        <w:tc>
          <w:tcPr>
            <w:tcW w:w="2207" w:type="dxa"/>
            <w:vAlign w:val="center"/>
          </w:tcPr>
          <w:p w:rsidRPr="001E545A" w:rsidR="00A07188" w:rsidP="001E545A" w:rsidRDefault="00A07188" w14:paraId="4AE283AF" w14:textId="504B5CEB">
            <w:pPr>
              <w:jc w:val="center"/>
              <w:rPr>
                <w:rFonts w:ascii="Arial" w:hAnsi="Arial" w:cs="Arial"/>
                <w:sz w:val="20"/>
                <w:szCs w:val="20"/>
              </w:rPr>
            </w:pPr>
            <w:r w:rsidRPr="001E545A">
              <w:rPr>
                <w:rFonts w:ascii="Arial" w:hAnsi="Arial" w:cs="Arial"/>
                <w:sz w:val="20"/>
                <w:szCs w:val="20"/>
              </w:rPr>
              <w:t xml:space="preserve">U: </w:t>
            </w:r>
            <w:r w:rsidRPr="001E545A" w:rsidR="009E5C8F">
              <w:rPr>
                <w:rFonts w:ascii="Arial" w:hAnsi="Arial" w:cs="Arial"/>
                <w:sz w:val="20"/>
                <w:szCs w:val="20"/>
              </w:rPr>
              <w:t>10</w:t>
            </w:r>
            <w:r w:rsidRPr="001E545A">
              <w:rPr>
                <w:rFonts w:ascii="Arial" w:hAnsi="Arial" w:cs="Arial"/>
                <w:sz w:val="20"/>
                <w:szCs w:val="20"/>
              </w:rPr>
              <w:t>,</w:t>
            </w:r>
            <w:r w:rsidRPr="001E545A" w:rsidR="009E5C8F">
              <w:rPr>
                <w:rFonts w:ascii="Arial" w:hAnsi="Arial" w:cs="Arial"/>
                <w:sz w:val="20"/>
                <w:szCs w:val="20"/>
              </w:rPr>
              <w:t>32</w:t>
            </w:r>
            <w:r w:rsidRPr="001E545A">
              <w:rPr>
                <w:rFonts w:ascii="Arial" w:hAnsi="Arial" w:cs="Arial"/>
                <w:sz w:val="20"/>
                <w:szCs w:val="20"/>
              </w:rPr>
              <w:t xml:space="preserve"> mil</w:t>
            </w:r>
          </w:p>
        </w:tc>
        <w:tc>
          <w:tcPr>
            <w:tcW w:w="2207" w:type="dxa"/>
            <w:vAlign w:val="center"/>
          </w:tcPr>
          <w:p w:rsidRPr="001E545A" w:rsidR="00A07188" w:rsidP="001E545A" w:rsidRDefault="00A07188" w14:paraId="6EE2A9D0" w14:textId="77777777">
            <w:pPr>
              <w:jc w:val="center"/>
              <w:rPr>
                <w:rFonts w:ascii="Arial" w:hAnsi="Arial" w:cs="Arial"/>
                <w:sz w:val="20"/>
                <w:szCs w:val="20"/>
              </w:rPr>
            </w:pPr>
            <w:r w:rsidRPr="001E545A">
              <w:rPr>
                <w:rFonts w:ascii="Arial" w:hAnsi="Arial" w:cs="Arial"/>
                <w:sz w:val="20"/>
                <w:szCs w:val="20"/>
              </w:rPr>
              <w:t>U: 10,14 mil</w:t>
            </w:r>
          </w:p>
        </w:tc>
        <w:tc>
          <w:tcPr>
            <w:tcW w:w="2207" w:type="dxa"/>
            <w:vAlign w:val="center"/>
          </w:tcPr>
          <w:p w:rsidRPr="001E545A" w:rsidR="00A07188" w:rsidP="001E545A" w:rsidRDefault="009E5C8F" w14:paraId="08997738" w14:textId="40DE05FF">
            <w:pPr>
              <w:jc w:val="center"/>
              <w:rPr>
                <w:rFonts w:ascii="Arial" w:hAnsi="Arial" w:cs="Arial"/>
                <w:sz w:val="20"/>
                <w:szCs w:val="20"/>
              </w:rPr>
            </w:pPr>
            <w:r w:rsidRPr="001E545A">
              <w:rPr>
                <w:rFonts w:ascii="Arial" w:hAnsi="Arial" w:cs="Arial"/>
                <w:sz w:val="20"/>
                <w:szCs w:val="20"/>
              </w:rPr>
              <w:t>ND</w:t>
            </w:r>
          </w:p>
        </w:tc>
      </w:tr>
      <w:tr w:rsidRPr="001E545A" w:rsidR="00515406" w:rsidTr="001E2116" w14:paraId="5ACB94A6" w14:textId="77777777">
        <w:tc>
          <w:tcPr>
            <w:tcW w:w="2207" w:type="dxa"/>
            <w:vAlign w:val="center"/>
          </w:tcPr>
          <w:p w:rsidRPr="00515406" w:rsidR="00515406" w:rsidP="00515406" w:rsidRDefault="00515406" w14:paraId="27EAEF03" w14:textId="723AB9F2">
            <w:pPr>
              <w:rPr>
                <w:rFonts w:ascii="Arial" w:hAnsi="Arial" w:cs="Arial"/>
                <w:sz w:val="20"/>
                <w:szCs w:val="20"/>
              </w:rPr>
            </w:pPr>
            <w:r w:rsidRPr="00515406">
              <w:rPr>
                <w:rFonts w:ascii="Arial" w:hAnsi="Arial" w:cs="Arial"/>
                <w:sz w:val="20"/>
                <w:szCs w:val="20"/>
              </w:rPr>
              <w:t xml:space="preserve">3. </w:t>
            </w:r>
            <w:r w:rsidRPr="00515406">
              <w:rPr>
                <w:rFonts w:ascii="Arial" w:hAnsi="Arial" w:cs="Arial"/>
                <w:b/>
                <w:bCs/>
                <w:color w:val="4472C4" w:themeColor="accent1"/>
                <w:sz w:val="20"/>
                <w:szCs w:val="20"/>
              </w:rPr>
              <w:t>ME</w:t>
            </w:r>
            <w:r w:rsidRPr="00515406">
              <w:rPr>
                <w:rFonts w:ascii="Arial" w:hAnsi="Arial" w:cs="Arial"/>
                <w:sz w:val="20"/>
                <w:szCs w:val="20"/>
              </w:rPr>
              <w:t>. Estructuración energía renovable y suministro</w:t>
            </w:r>
          </w:p>
        </w:tc>
        <w:tc>
          <w:tcPr>
            <w:tcW w:w="2207" w:type="dxa"/>
            <w:vAlign w:val="center"/>
          </w:tcPr>
          <w:p w:rsidRPr="00515406" w:rsidR="00515406" w:rsidP="00515406" w:rsidRDefault="00515406" w14:paraId="7AE00BD8" w14:textId="08BCC4A1">
            <w:pPr>
              <w:jc w:val="center"/>
              <w:rPr>
                <w:rFonts w:ascii="Arial" w:hAnsi="Arial" w:cs="Arial"/>
                <w:sz w:val="20"/>
                <w:szCs w:val="20"/>
              </w:rPr>
            </w:pPr>
            <w:r w:rsidRPr="00515406">
              <w:rPr>
                <w:rFonts w:ascii="Arial" w:hAnsi="Arial" w:cs="Arial"/>
                <w:sz w:val="20"/>
                <w:szCs w:val="20"/>
              </w:rPr>
              <w:t>T: 1,10 millón</w:t>
            </w:r>
          </w:p>
        </w:tc>
        <w:tc>
          <w:tcPr>
            <w:tcW w:w="2207" w:type="dxa"/>
            <w:vAlign w:val="center"/>
          </w:tcPr>
          <w:p w:rsidRPr="00515406" w:rsidR="00515406" w:rsidP="00515406" w:rsidRDefault="00515406" w14:paraId="003361CC" w14:textId="4CD010E1">
            <w:pPr>
              <w:jc w:val="center"/>
              <w:rPr>
                <w:rFonts w:ascii="Arial" w:hAnsi="Arial" w:cs="Arial"/>
                <w:sz w:val="20"/>
                <w:szCs w:val="20"/>
              </w:rPr>
            </w:pPr>
            <w:r w:rsidRPr="00515406">
              <w:rPr>
                <w:rFonts w:ascii="Arial" w:hAnsi="Arial" w:cs="Arial"/>
                <w:sz w:val="20"/>
                <w:szCs w:val="20"/>
              </w:rPr>
              <w:t>T: 1,10 millones</w:t>
            </w:r>
          </w:p>
        </w:tc>
        <w:tc>
          <w:tcPr>
            <w:tcW w:w="2207" w:type="dxa"/>
            <w:vAlign w:val="center"/>
          </w:tcPr>
          <w:p w:rsidRPr="00515406" w:rsidR="00515406" w:rsidP="00515406" w:rsidRDefault="00515406" w14:paraId="4E3B7A31" w14:textId="65247103">
            <w:pPr>
              <w:jc w:val="center"/>
              <w:rPr>
                <w:rFonts w:ascii="Arial" w:hAnsi="Arial" w:cs="Arial"/>
                <w:sz w:val="20"/>
                <w:szCs w:val="20"/>
              </w:rPr>
            </w:pPr>
            <w:r w:rsidRPr="00515406">
              <w:rPr>
                <w:rFonts w:ascii="Arial" w:hAnsi="Arial" w:cs="Arial"/>
                <w:sz w:val="20"/>
                <w:szCs w:val="20"/>
              </w:rPr>
              <w:t>ND</w:t>
            </w:r>
          </w:p>
        </w:tc>
      </w:tr>
      <w:tr w:rsidRPr="001E545A" w:rsidR="00A07188" w:rsidTr="001E2116" w14:paraId="2D328EF5" w14:textId="77777777">
        <w:tc>
          <w:tcPr>
            <w:tcW w:w="2207" w:type="dxa"/>
            <w:vAlign w:val="center"/>
          </w:tcPr>
          <w:p w:rsidRPr="001E545A" w:rsidR="00A07188" w:rsidP="001E545A" w:rsidRDefault="00A07188" w14:paraId="154B2B07" w14:textId="77777777">
            <w:pPr>
              <w:rPr>
                <w:rFonts w:ascii="Arial" w:hAnsi="Arial" w:cs="Arial"/>
                <w:sz w:val="20"/>
                <w:szCs w:val="20"/>
              </w:rPr>
            </w:pPr>
            <w:r w:rsidRPr="001E545A">
              <w:rPr>
                <w:rFonts w:ascii="Arial" w:hAnsi="Arial" w:cs="Arial"/>
                <w:sz w:val="20"/>
                <w:szCs w:val="20"/>
              </w:rPr>
              <w:t xml:space="preserve">4. </w:t>
            </w:r>
            <w:r w:rsidRPr="001E545A">
              <w:rPr>
                <w:rFonts w:ascii="Arial" w:hAnsi="Arial" w:cs="Arial"/>
                <w:b/>
                <w:bCs/>
                <w:color w:val="4472C4" w:themeColor="accent1"/>
                <w:sz w:val="20"/>
                <w:szCs w:val="20"/>
              </w:rPr>
              <w:t>AS</w:t>
            </w:r>
            <w:r w:rsidRPr="001E545A">
              <w:rPr>
                <w:rFonts w:ascii="Arial" w:hAnsi="Arial" w:cs="Arial"/>
                <w:sz w:val="20"/>
                <w:szCs w:val="20"/>
              </w:rPr>
              <w:t>. Estructuración residuos sólidos Cali</w:t>
            </w:r>
          </w:p>
        </w:tc>
        <w:tc>
          <w:tcPr>
            <w:tcW w:w="2207" w:type="dxa"/>
            <w:vAlign w:val="center"/>
          </w:tcPr>
          <w:p w:rsidRPr="001E545A" w:rsidR="00A07188" w:rsidP="001E545A" w:rsidRDefault="00A07188" w14:paraId="7FBE70D9" w14:textId="69DE9D40">
            <w:pPr>
              <w:jc w:val="center"/>
              <w:rPr>
                <w:rFonts w:ascii="Arial" w:hAnsi="Arial" w:cs="Arial"/>
                <w:sz w:val="20"/>
                <w:szCs w:val="20"/>
              </w:rPr>
            </w:pPr>
            <w:r w:rsidRPr="001E545A">
              <w:rPr>
                <w:rFonts w:ascii="Arial" w:hAnsi="Arial" w:cs="Arial"/>
                <w:sz w:val="20"/>
                <w:szCs w:val="20"/>
              </w:rPr>
              <w:t>U: 0,3</w:t>
            </w:r>
            <w:r w:rsidRPr="001E545A" w:rsidR="00000296">
              <w:rPr>
                <w:rFonts w:ascii="Arial" w:hAnsi="Arial" w:cs="Arial"/>
                <w:sz w:val="20"/>
                <w:szCs w:val="20"/>
              </w:rPr>
              <w:t>7</w:t>
            </w:r>
            <w:r w:rsidRPr="001E545A">
              <w:rPr>
                <w:rFonts w:ascii="Arial" w:hAnsi="Arial" w:cs="Arial"/>
                <w:sz w:val="20"/>
                <w:szCs w:val="20"/>
              </w:rPr>
              <w:t>/hab</w:t>
            </w:r>
          </w:p>
        </w:tc>
        <w:tc>
          <w:tcPr>
            <w:tcW w:w="2207" w:type="dxa"/>
            <w:vAlign w:val="center"/>
          </w:tcPr>
          <w:p w:rsidRPr="001E545A" w:rsidR="00A07188" w:rsidP="001E545A" w:rsidRDefault="00A07188" w14:paraId="47FC35B5" w14:textId="77777777">
            <w:pPr>
              <w:jc w:val="center"/>
              <w:rPr>
                <w:rFonts w:ascii="Arial" w:hAnsi="Arial" w:cs="Arial"/>
                <w:sz w:val="20"/>
                <w:szCs w:val="20"/>
              </w:rPr>
            </w:pPr>
            <w:r w:rsidRPr="001E545A">
              <w:rPr>
                <w:rFonts w:ascii="Arial" w:hAnsi="Arial" w:cs="Arial"/>
                <w:sz w:val="20"/>
                <w:szCs w:val="20"/>
              </w:rPr>
              <w:t>U: 0,34/hab</w:t>
            </w:r>
          </w:p>
        </w:tc>
        <w:tc>
          <w:tcPr>
            <w:tcW w:w="2207" w:type="dxa"/>
            <w:vAlign w:val="center"/>
          </w:tcPr>
          <w:p w:rsidRPr="001E545A" w:rsidR="00A07188" w:rsidP="001E545A" w:rsidRDefault="00CE24E0" w14:paraId="31A54AC7" w14:textId="25C4E0CC">
            <w:pPr>
              <w:jc w:val="center"/>
              <w:rPr>
                <w:rFonts w:ascii="Arial" w:hAnsi="Arial" w:cs="Arial"/>
                <w:sz w:val="20"/>
                <w:szCs w:val="20"/>
              </w:rPr>
            </w:pPr>
            <w:r w:rsidRPr="001E545A">
              <w:rPr>
                <w:rFonts w:ascii="Arial" w:hAnsi="Arial" w:cs="Arial"/>
                <w:sz w:val="20"/>
                <w:szCs w:val="20"/>
              </w:rPr>
              <w:t>-</w:t>
            </w:r>
          </w:p>
        </w:tc>
      </w:tr>
      <w:tr w:rsidRPr="001E545A" w:rsidR="00A07188" w:rsidTr="001E2116" w14:paraId="2F0B6274" w14:textId="77777777">
        <w:tc>
          <w:tcPr>
            <w:tcW w:w="2207" w:type="dxa"/>
            <w:vAlign w:val="center"/>
          </w:tcPr>
          <w:p w:rsidRPr="001E545A" w:rsidR="00A07188" w:rsidP="001E545A" w:rsidRDefault="00A07188" w14:paraId="07A31E9B" w14:textId="77777777">
            <w:pPr>
              <w:rPr>
                <w:rFonts w:ascii="Arial" w:hAnsi="Arial" w:cs="Arial"/>
                <w:sz w:val="20"/>
                <w:szCs w:val="20"/>
              </w:rPr>
            </w:pPr>
            <w:r w:rsidRPr="001E545A">
              <w:rPr>
                <w:rFonts w:ascii="Arial" w:hAnsi="Arial" w:cs="Arial"/>
                <w:sz w:val="20"/>
                <w:szCs w:val="20"/>
              </w:rPr>
              <w:t xml:space="preserve">5. </w:t>
            </w:r>
            <w:r w:rsidRPr="001E545A">
              <w:rPr>
                <w:rFonts w:ascii="Arial" w:hAnsi="Arial" w:cs="Arial"/>
                <w:b/>
                <w:bCs/>
                <w:color w:val="4472C4" w:themeColor="accent1"/>
                <w:sz w:val="20"/>
                <w:szCs w:val="20"/>
              </w:rPr>
              <w:t>AS</w:t>
            </w:r>
            <w:r w:rsidRPr="001E545A">
              <w:rPr>
                <w:rFonts w:ascii="Arial" w:hAnsi="Arial" w:cs="Arial"/>
                <w:sz w:val="20"/>
                <w:szCs w:val="20"/>
              </w:rPr>
              <w:t>. Estructuración aguas residuales Bucaramanga</w:t>
            </w:r>
          </w:p>
        </w:tc>
        <w:tc>
          <w:tcPr>
            <w:tcW w:w="2207" w:type="dxa"/>
            <w:vAlign w:val="center"/>
          </w:tcPr>
          <w:p w:rsidRPr="001E545A" w:rsidR="00A07188" w:rsidP="001E545A" w:rsidRDefault="00A07188" w14:paraId="17D9CC5F" w14:textId="200C9F75">
            <w:pPr>
              <w:jc w:val="center"/>
              <w:rPr>
                <w:rFonts w:ascii="Arial" w:hAnsi="Arial" w:cs="Arial"/>
                <w:sz w:val="20"/>
                <w:szCs w:val="20"/>
              </w:rPr>
            </w:pPr>
            <w:r w:rsidRPr="001E545A">
              <w:rPr>
                <w:rFonts w:ascii="Arial" w:hAnsi="Arial" w:cs="Arial"/>
                <w:sz w:val="20"/>
                <w:szCs w:val="20"/>
              </w:rPr>
              <w:t>U: 0,</w:t>
            </w:r>
            <w:r w:rsidRPr="001E545A" w:rsidR="00CE24E0">
              <w:rPr>
                <w:rFonts w:ascii="Arial" w:hAnsi="Arial" w:cs="Arial"/>
                <w:sz w:val="20"/>
                <w:szCs w:val="20"/>
              </w:rPr>
              <w:t>81</w:t>
            </w:r>
            <w:r w:rsidRPr="001E545A">
              <w:rPr>
                <w:rFonts w:ascii="Arial" w:hAnsi="Arial" w:cs="Arial"/>
                <w:sz w:val="20"/>
                <w:szCs w:val="20"/>
              </w:rPr>
              <w:t>/hab</w:t>
            </w:r>
          </w:p>
        </w:tc>
        <w:tc>
          <w:tcPr>
            <w:tcW w:w="2207" w:type="dxa"/>
            <w:vAlign w:val="center"/>
          </w:tcPr>
          <w:p w:rsidRPr="001E545A" w:rsidR="00A07188" w:rsidP="001E545A" w:rsidRDefault="00A07188" w14:paraId="1982047F" w14:textId="77777777">
            <w:pPr>
              <w:jc w:val="center"/>
              <w:rPr>
                <w:rFonts w:ascii="Arial" w:hAnsi="Arial" w:cs="Arial"/>
                <w:sz w:val="20"/>
                <w:szCs w:val="20"/>
              </w:rPr>
            </w:pPr>
            <w:r w:rsidRPr="001E545A">
              <w:rPr>
                <w:rFonts w:ascii="Arial" w:hAnsi="Arial" w:cs="Arial"/>
                <w:sz w:val="20"/>
                <w:szCs w:val="20"/>
              </w:rPr>
              <w:t>U: 1,90/hab</w:t>
            </w:r>
          </w:p>
        </w:tc>
        <w:tc>
          <w:tcPr>
            <w:tcW w:w="2207" w:type="dxa"/>
            <w:vAlign w:val="center"/>
          </w:tcPr>
          <w:p w:rsidRPr="001E545A" w:rsidR="00A07188" w:rsidP="001E545A" w:rsidRDefault="00A07188" w14:paraId="2BF34784" w14:textId="77777777">
            <w:pPr>
              <w:jc w:val="center"/>
              <w:rPr>
                <w:rFonts w:ascii="Arial" w:hAnsi="Arial" w:cs="Arial"/>
                <w:sz w:val="20"/>
                <w:szCs w:val="20"/>
              </w:rPr>
            </w:pPr>
            <w:r w:rsidRPr="001E545A">
              <w:rPr>
                <w:rFonts w:ascii="Arial" w:hAnsi="Arial" w:cs="Arial"/>
                <w:sz w:val="20"/>
                <w:szCs w:val="20"/>
              </w:rPr>
              <w:t>++</w:t>
            </w:r>
          </w:p>
        </w:tc>
      </w:tr>
      <w:tr w:rsidRPr="001E545A" w:rsidR="00A07188" w:rsidTr="001E2116" w14:paraId="44AEAFD9" w14:textId="77777777">
        <w:tc>
          <w:tcPr>
            <w:tcW w:w="2207" w:type="dxa"/>
            <w:vAlign w:val="center"/>
          </w:tcPr>
          <w:p w:rsidRPr="001E545A" w:rsidR="00A07188" w:rsidP="001E545A" w:rsidRDefault="00A07188" w14:paraId="62CCCB43" w14:textId="77777777">
            <w:pPr>
              <w:rPr>
                <w:rFonts w:ascii="Arial" w:hAnsi="Arial" w:cs="Arial"/>
                <w:sz w:val="20"/>
                <w:szCs w:val="20"/>
              </w:rPr>
            </w:pPr>
            <w:r w:rsidRPr="001E545A">
              <w:rPr>
                <w:rFonts w:ascii="Arial" w:hAnsi="Arial" w:cs="Arial"/>
                <w:sz w:val="20"/>
                <w:szCs w:val="20"/>
              </w:rPr>
              <w:t xml:space="preserve">6. </w:t>
            </w:r>
            <w:r w:rsidRPr="001E545A">
              <w:rPr>
                <w:rFonts w:ascii="Arial" w:hAnsi="Arial" w:cs="Arial"/>
                <w:b/>
                <w:bCs/>
                <w:color w:val="4472C4" w:themeColor="accent1"/>
                <w:sz w:val="20"/>
                <w:szCs w:val="20"/>
              </w:rPr>
              <w:t>SA</w:t>
            </w:r>
            <w:r w:rsidRPr="001E545A">
              <w:rPr>
                <w:rFonts w:ascii="Arial" w:hAnsi="Arial" w:cs="Arial"/>
                <w:sz w:val="20"/>
                <w:szCs w:val="20"/>
              </w:rPr>
              <w:t>. Estructuración centro atención primaria + hospital regional (</w:t>
            </w:r>
            <w:r w:rsidRPr="001E545A">
              <w:rPr>
                <w:rFonts w:ascii="Arial" w:hAnsi="Arial" w:cs="Arial"/>
                <w:b/>
                <w:bCs/>
                <w:sz w:val="20"/>
                <w:szCs w:val="20"/>
              </w:rPr>
              <w:t>2</w:t>
            </w:r>
            <w:r w:rsidRPr="001E545A">
              <w:rPr>
                <w:rFonts w:ascii="Arial" w:hAnsi="Arial" w:cs="Arial"/>
                <w:sz w:val="20"/>
                <w:szCs w:val="20"/>
              </w:rPr>
              <w:t xml:space="preserve"> intervenciones)</w:t>
            </w:r>
          </w:p>
        </w:tc>
        <w:tc>
          <w:tcPr>
            <w:tcW w:w="2207" w:type="dxa"/>
            <w:vAlign w:val="center"/>
          </w:tcPr>
          <w:p w:rsidRPr="001E545A" w:rsidR="00A07188" w:rsidP="001E545A" w:rsidRDefault="00A07188" w14:paraId="659EC259" w14:textId="1CE879E7">
            <w:pPr>
              <w:jc w:val="center"/>
              <w:rPr>
                <w:rFonts w:ascii="Arial" w:hAnsi="Arial" w:cs="Arial"/>
                <w:sz w:val="20"/>
                <w:szCs w:val="20"/>
              </w:rPr>
            </w:pPr>
            <w:r w:rsidRPr="001E545A">
              <w:rPr>
                <w:rFonts w:ascii="Arial" w:hAnsi="Arial" w:cs="Arial"/>
                <w:sz w:val="20"/>
                <w:szCs w:val="20"/>
              </w:rPr>
              <w:t>T: 2</w:t>
            </w:r>
            <w:r w:rsidRPr="001E545A" w:rsidR="00CE24E0">
              <w:rPr>
                <w:rFonts w:ascii="Arial" w:hAnsi="Arial" w:cs="Arial"/>
                <w:sz w:val="20"/>
                <w:szCs w:val="20"/>
              </w:rPr>
              <w:t>,20</w:t>
            </w:r>
            <w:r w:rsidRPr="001E545A">
              <w:rPr>
                <w:rFonts w:ascii="Arial" w:hAnsi="Arial" w:cs="Arial"/>
                <w:sz w:val="20"/>
                <w:szCs w:val="20"/>
              </w:rPr>
              <w:t xml:space="preserve"> millones</w:t>
            </w:r>
          </w:p>
        </w:tc>
        <w:tc>
          <w:tcPr>
            <w:tcW w:w="2207" w:type="dxa"/>
            <w:vAlign w:val="center"/>
          </w:tcPr>
          <w:p w:rsidRPr="001E545A" w:rsidR="00A07188" w:rsidP="001E545A" w:rsidRDefault="00A07188" w14:paraId="1692B796" w14:textId="77777777">
            <w:pPr>
              <w:jc w:val="center"/>
              <w:rPr>
                <w:rFonts w:ascii="Arial" w:hAnsi="Arial" w:cs="Arial"/>
                <w:sz w:val="20"/>
                <w:szCs w:val="20"/>
              </w:rPr>
            </w:pPr>
            <w:r w:rsidRPr="001E545A">
              <w:rPr>
                <w:rFonts w:ascii="Arial" w:hAnsi="Arial" w:cs="Arial"/>
                <w:sz w:val="20"/>
                <w:szCs w:val="20"/>
              </w:rPr>
              <w:t>T: 2,7 millones</w:t>
            </w:r>
          </w:p>
        </w:tc>
        <w:tc>
          <w:tcPr>
            <w:tcW w:w="2207" w:type="dxa"/>
            <w:vAlign w:val="center"/>
          </w:tcPr>
          <w:p w:rsidRPr="001E545A" w:rsidR="00A07188" w:rsidP="001E545A" w:rsidRDefault="00A07188" w14:paraId="1599B483" w14:textId="77777777">
            <w:pPr>
              <w:jc w:val="center"/>
              <w:rPr>
                <w:rFonts w:ascii="Arial" w:hAnsi="Arial" w:cs="Arial"/>
                <w:sz w:val="20"/>
                <w:szCs w:val="20"/>
              </w:rPr>
            </w:pPr>
            <w:r w:rsidRPr="001E545A">
              <w:rPr>
                <w:rFonts w:ascii="Arial" w:hAnsi="Arial" w:cs="Arial"/>
                <w:sz w:val="20"/>
                <w:szCs w:val="20"/>
              </w:rPr>
              <w:t>++</w:t>
            </w:r>
          </w:p>
        </w:tc>
      </w:tr>
    </w:tbl>
    <w:p w:rsidRPr="001E545A" w:rsidR="00A07188" w:rsidP="004A2B13" w:rsidRDefault="00A07188" w14:paraId="242B6E34" w14:textId="105EF12F">
      <w:pPr>
        <w:spacing w:before="120" w:after="120"/>
        <w:jc w:val="center"/>
        <w:rPr>
          <w:rFonts w:ascii="Arial" w:hAnsi="Arial" w:cs="Arial"/>
          <w:sz w:val="20"/>
          <w:szCs w:val="20"/>
        </w:rPr>
      </w:pPr>
      <w:r w:rsidRPr="001E545A">
        <w:rPr>
          <w:rFonts w:ascii="Arial" w:hAnsi="Arial" w:cs="Arial"/>
          <w:sz w:val="20"/>
          <w:szCs w:val="20"/>
        </w:rPr>
        <w:t>Fuente: elaboración propia. (+): leve;( ++): alta; (ND): no detectable; (-): negativa</w:t>
      </w:r>
    </w:p>
    <w:p w:rsidRPr="004A2B13" w:rsidR="00BE2D00" w:rsidP="004A2B13" w:rsidRDefault="00BE2D00" w14:paraId="25F6B7A0" w14:textId="0F61E4A8">
      <w:pPr>
        <w:spacing w:before="120" w:after="120"/>
        <w:jc w:val="both"/>
        <w:rPr>
          <w:rFonts w:ascii="Arial" w:hAnsi="Arial" w:cs="Arial"/>
          <w:sz w:val="22"/>
          <w:szCs w:val="22"/>
        </w:rPr>
      </w:pPr>
      <w:r w:rsidRPr="004A2B13">
        <w:rPr>
          <w:rFonts w:ascii="Arial" w:hAnsi="Arial" w:cs="Arial"/>
          <w:sz w:val="22"/>
          <w:szCs w:val="22"/>
        </w:rPr>
        <w:t xml:space="preserve">En el </w:t>
      </w:r>
      <w:r w:rsidRPr="004A2B13" w:rsidR="000F4138">
        <w:rPr>
          <w:rFonts w:ascii="Arial" w:hAnsi="Arial" w:cs="Arial"/>
          <w:sz w:val="22"/>
          <w:szCs w:val="22"/>
        </w:rPr>
        <w:t xml:space="preserve">Escenario Alto, </w:t>
      </w:r>
      <w:r w:rsidRPr="004A2B13" w:rsidR="005E6489">
        <w:rPr>
          <w:rFonts w:ascii="Arial" w:hAnsi="Arial" w:cs="Arial"/>
          <w:sz w:val="22"/>
          <w:szCs w:val="22"/>
        </w:rPr>
        <w:t xml:space="preserve">el único cambio consiste en que la diferencia a favor del </w:t>
      </w:r>
      <w:r w:rsidRPr="004A2B13" w:rsidR="00171CD4">
        <w:rPr>
          <w:rFonts w:ascii="Arial" w:hAnsi="Arial" w:cs="Arial"/>
          <w:sz w:val="22"/>
          <w:szCs w:val="22"/>
        </w:rPr>
        <w:t>proyecto de residuos sólidos pasa de no detectable a levemente positiva.</w:t>
      </w:r>
    </w:p>
    <w:p w:rsidRPr="004A2B13" w:rsidR="00171CD4" w:rsidP="004A2B13" w:rsidRDefault="00171CD4" w14:paraId="5E450FD9" w14:textId="322F1847">
      <w:pPr>
        <w:spacing w:before="120" w:after="120"/>
        <w:jc w:val="both"/>
        <w:rPr>
          <w:rFonts w:ascii="Arial" w:hAnsi="Arial" w:cs="Arial"/>
          <w:sz w:val="22"/>
          <w:szCs w:val="22"/>
        </w:rPr>
      </w:pPr>
      <w:r w:rsidRPr="004A2B13">
        <w:rPr>
          <w:rFonts w:ascii="Arial" w:hAnsi="Arial" w:cs="Arial"/>
          <w:sz w:val="22"/>
          <w:szCs w:val="22"/>
        </w:rPr>
        <w:t xml:space="preserve">En el Escenario Bajo, </w:t>
      </w:r>
      <w:r w:rsidRPr="004A2B13" w:rsidR="00AF309D">
        <w:rPr>
          <w:rFonts w:ascii="Arial" w:hAnsi="Arial" w:cs="Arial"/>
          <w:sz w:val="22"/>
          <w:szCs w:val="22"/>
        </w:rPr>
        <w:t>la diferencia a fa</w:t>
      </w:r>
      <w:r w:rsidRPr="004A2B13" w:rsidR="003916E2">
        <w:rPr>
          <w:rFonts w:ascii="Arial" w:hAnsi="Arial" w:cs="Arial"/>
          <w:sz w:val="22"/>
          <w:szCs w:val="22"/>
        </w:rPr>
        <w:t xml:space="preserve">vor de </w:t>
      </w:r>
      <w:r w:rsidRPr="004A2B13" w:rsidR="003E2550">
        <w:rPr>
          <w:rFonts w:ascii="Arial" w:hAnsi="Arial" w:cs="Arial"/>
          <w:sz w:val="22"/>
          <w:szCs w:val="22"/>
        </w:rPr>
        <w:t>los proyectos de estructuración del RegioTram</w:t>
      </w:r>
      <w:r w:rsidRPr="004A2B13" w:rsidR="003916E2">
        <w:rPr>
          <w:rFonts w:ascii="Arial" w:hAnsi="Arial" w:cs="Arial"/>
          <w:sz w:val="22"/>
          <w:szCs w:val="22"/>
        </w:rPr>
        <w:t xml:space="preserve">; y </w:t>
      </w:r>
      <w:r w:rsidRPr="004A2B13" w:rsidR="00AF35CB">
        <w:rPr>
          <w:rFonts w:ascii="Arial" w:hAnsi="Arial" w:cs="Arial"/>
          <w:sz w:val="22"/>
          <w:szCs w:val="22"/>
        </w:rPr>
        <w:t xml:space="preserve">pasa de </w:t>
      </w:r>
      <w:r w:rsidRPr="004A2B13" w:rsidR="005B0898">
        <w:rPr>
          <w:rFonts w:ascii="Arial" w:hAnsi="Arial" w:cs="Arial"/>
          <w:sz w:val="22"/>
          <w:szCs w:val="22"/>
        </w:rPr>
        <w:t xml:space="preserve">no detectable a negativa, en el caso del proyecto de estructuración de residuos sólidos. </w:t>
      </w:r>
    </w:p>
    <w:p w:rsidRPr="004A2B13" w:rsidR="005B0898" w:rsidP="004A2B13" w:rsidRDefault="005B0898" w14:paraId="2C7CB87F" w14:textId="478EAEDB">
      <w:pPr>
        <w:spacing w:before="120" w:after="120"/>
        <w:jc w:val="both"/>
        <w:rPr>
          <w:rFonts w:ascii="Arial" w:hAnsi="Arial" w:cs="Arial"/>
          <w:sz w:val="22"/>
          <w:szCs w:val="22"/>
        </w:rPr>
      </w:pPr>
      <w:r w:rsidRPr="004A2B13">
        <w:rPr>
          <w:rFonts w:ascii="Arial" w:hAnsi="Arial" w:cs="Arial"/>
          <w:sz w:val="22"/>
          <w:szCs w:val="22"/>
        </w:rPr>
        <w:t xml:space="preserve">El resultado de la sensibilidad enfatiza la importancia de </w:t>
      </w:r>
      <w:r w:rsidRPr="004A2B13" w:rsidR="00E54327">
        <w:rPr>
          <w:rFonts w:ascii="Arial" w:hAnsi="Arial" w:cs="Arial"/>
          <w:sz w:val="22"/>
          <w:szCs w:val="22"/>
        </w:rPr>
        <w:t>la competencia y la reducción de costos de preparación.</w:t>
      </w:r>
    </w:p>
    <w:sectPr w:rsidRPr="004A2B13" w:rsidR="005B0898" w:rsidSect="00894F4A">
      <w:footerReference w:type="default" r:id="rId11"/>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5716" w:rsidP="00303038" w:rsidRDefault="00DC5716" w14:paraId="6859F5BA" w14:textId="77777777">
      <w:r>
        <w:separator/>
      </w:r>
    </w:p>
  </w:endnote>
  <w:endnote w:type="continuationSeparator" w:id="0">
    <w:p w:rsidR="00DC5716" w:rsidP="00303038" w:rsidRDefault="00DC5716" w14:paraId="2B9A74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105174"/>
      <w:docPartObj>
        <w:docPartGallery w:val="Page Numbers (Bottom of Page)"/>
        <w:docPartUnique/>
      </w:docPartObj>
    </w:sdtPr>
    <w:sdtEndPr>
      <w:rPr>
        <w:rFonts w:ascii="Cambria" w:hAnsi="Cambria"/>
        <w:b/>
        <w:color w:val="808080"/>
        <w:sz w:val="20"/>
        <w:szCs w:val="20"/>
      </w:rPr>
    </w:sdtEndPr>
    <w:sdtContent>
      <w:p w:rsidRPr="00DD0A41" w:rsidR="00BE2440" w:rsidP="00A53FE0" w:rsidRDefault="00BE2440" w14:paraId="328CD5D4" w14:textId="11495F02">
        <w:pPr>
          <w:pStyle w:val="Footer"/>
          <w:jc w:val="center"/>
          <w:rPr>
            <w:rFonts w:ascii="Cambria" w:hAnsi="Cambria"/>
            <w:b/>
            <w:color w:val="808080"/>
            <w:sz w:val="20"/>
            <w:szCs w:val="20"/>
          </w:rPr>
        </w:pPr>
        <w:r w:rsidRPr="00196AB1">
          <w:rPr>
            <w:rFonts w:ascii="Calibri Light" w:hAnsi="Calibri Light"/>
            <w:b/>
            <w:color w:val="808080"/>
            <w:sz w:val="20"/>
            <w:szCs w:val="20"/>
          </w:rPr>
          <w:fldChar w:fldCharType="begin"/>
        </w:r>
        <w:r w:rsidRPr="00196AB1">
          <w:rPr>
            <w:rFonts w:ascii="Calibri Light" w:hAnsi="Calibri Light"/>
            <w:b/>
            <w:color w:val="808080"/>
            <w:sz w:val="20"/>
            <w:szCs w:val="20"/>
          </w:rPr>
          <w:instrText>PAGE   \* MERGEFORMAT</w:instrText>
        </w:r>
        <w:r w:rsidRPr="00196AB1">
          <w:rPr>
            <w:rFonts w:ascii="Calibri Light" w:hAnsi="Calibri Light"/>
            <w:b/>
            <w:color w:val="808080"/>
            <w:sz w:val="20"/>
            <w:szCs w:val="20"/>
          </w:rPr>
          <w:fldChar w:fldCharType="separate"/>
        </w:r>
        <w:r>
          <w:rPr>
            <w:rFonts w:ascii="Calibri Light" w:hAnsi="Calibri Light"/>
            <w:b/>
            <w:noProof/>
            <w:color w:val="808080"/>
            <w:sz w:val="20"/>
            <w:szCs w:val="20"/>
          </w:rPr>
          <w:t>5</w:t>
        </w:r>
        <w:r w:rsidRPr="00196AB1">
          <w:rPr>
            <w:rFonts w:ascii="Calibri Light" w:hAnsi="Calibri Light"/>
            <w:b/>
            <w:color w:val="808080"/>
            <w:sz w:val="20"/>
            <w:szCs w:val="20"/>
          </w:rPr>
          <w:fldChar w:fldCharType="end"/>
        </w:r>
        <w:r w:rsidRPr="00196AB1">
          <w:rPr>
            <w:rFonts w:ascii="Calibri Light" w:hAnsi="Calibri Light"/>
            <w:b/>
            <w:color w:val="808080"/>
            <w:sz w:val="20"/>
            <w:szCs w:val="20"/>
          </w:rPr>
          <w:t xml:space="preserve">   </w:t>
        </w:r>
      </w:p>
    </w:sdtContent>
  </w:sdt>
  <w:p w:rsidR="00BE2440" w:rsidRDefault="00BE2440" w14:paraId="5FF3F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5716" w:rsidP="00303038" w:rsidRDefault="00DC5716" w14:paraId="2E8908D3" w14:textId="77777777">
      <w:r>
        <w:separator/>
      </w:r>
    </w:p>
  </w:footnote>
  <w:footnote w:type="continuationSeparator" w:id="0">
    <w:p w:rsidR="00DC5716" w:rsidP="00303038" w:rsidRDefault="00DC5716" w14:paraId="3F3DA2F7" w14:textId="77777777">
      <w:r>
        <w:continuationSeparator/>
      </w:r>
    </w:p>
  </w:footnote>
  <w:footnote w:id="1">
    <w:p w:rsidRPr="000164D8" w:rsidR="00BE2440" w:rsidP="000164D8" w:rsidRDefault="00BE2440" w14:paraId="23AEAB64" w14:textId="002ACF0C">
      <w:pPr>
        <w:pStyle w:val="FootnoteText"/>
        <w:ind w:left="426" w:hanging="426"/>
        <w:jc w:val="both"/>
        <w:rPr>
          <w:rFonts w:ascii="Arial" w:hAnsi="Arial" w:cs="Arial"/>
          <w:sz w:val="18"/>
          <w:szCs w:val="18"/>
        </w:rPr>
      </w:pPr>
      <w:r w:rsidRPr="000164D8">
        <w:rPr>
          <w:rStyle w:val="FootnoteReference"/>
          <w:rFonts w:ascii="Arial" w:hAnsi="Arial" w:cs="Arial"/>
          <w:sz w:val="18"/>
          <w:szCs w:val="18"/>
        </w:rPr>
        <w:footnoteRef/>
      </w:r>
      <w:r w:rsidRPr="000164D8">
        <w:rPr>
          <w:rFonts w:ascii="Arial" w:hAnsi="Arial" w:cs="Arial"/>
          <w:sz w:val="18"/>
          <w:szCs w:val="18"/>
        </w:rPr>
        <w:t xml:space="preserve"> </w:t>
      </w:r>
      <w:r w:rsidRPr="000164D8" w:rsidR="004F6DEF">
        <w:rPr>
          <w:rFonts w:ascii="Arial" w:hAnsi="Arial" w:cs="Arial"/>
          <w:sz w:val="18"/>
          <w:szCs w:val="18"/>
        </w:rPr>
        <w:tab/>
      </w:r>
      <w:r w:rsidRPr="000164D8">
        <w:rPr>
          <w:rFonts w:ascii="Arial" w:hAnsi="Arial" w:cs="Arial"/>
          <w:sz w:val="18"/>
          <w:szCs w:val="18"/>
        </w:rPr>
        <w:t xml:space="preserve">Documento elaborado por Juan Benavides (consultor). </w:t>
      </w:r>
    </w:p>
  </w:footnote>
  <w:footnote w:id="2">
    <w:p w:rsidRPr="000164D8" w:rsidR="007A2EC2" w:rsidP="000164D8" w:rsidRDefault="007A2EC2" w14:paraId="384E1368" w14:textId="0D2ED5A9">
      <w:pPr>
        <w:pStyle w:val="FootnoteText"/>
        <w:ind w:left="426" w:hanging="426"/>
        <w:jc w:val="both"/>
        <w:rPr>
          <w:rFonts w:ascii="Arial" w:hAnsi="Arial" w:cs="Arial"/>
          <w:sz w:val="18"/>
          <w:szCs w:val="18"/>
        </w:rPr>
      </w:pPr>
      <w:r w:rsidRPr="000164D8">
        <w:rPr>
          <w:rStyle w:val="FootnoteReference"/>
          <w:rFonts w:ascii="Arial" w:hAnsi="Arial" w:cs="Arial"/>
          <w:sz w:val="18"/>
          <w:szCs w:val="18"/>
        </w:rPr>
        <w:footnoteRef/>
      </w:r>
      <w:r w:rsidRPr="000164D8">
        <w:rPr>
          <w:rFonts w:ascii="Arial" w:hAnsi="Arial" w:cs="Arial"/>
          <w:sz w:val="18"/>
          <w:szCs w:val="18"/>
        </w:rPr>
        <w:t xml:space="preserve"> </w:t>
      </w:r>
      <w:r w:rsidRPr="000164D8" w:rsidR="0095634B">
        <w:rPr>
          <w:rFonts w:ascii="Arial" w:hAnsi="Arial" w:cs="Arial"/>
          <w:sz w:val="18"/>
          <w:szCs w:val="18"/>
        </w:rPr>
        <w:tab/>
      </w:r>
      <w:r w:rsidRPr="000164D8">
        <w:rPr>
          <w:rFonts w:ascii="Arial" w:hAnsi="Arial" w:cs="Arial"/>
          <w:sz w:val="18"/>
          <w:szCs w:val="18"/>
        </w:rPr>
        <w:t xml:space="preserve">Colombia tiene reconocimiento internacional por sus avances en APP. Colombia ocupó el primer lugar a nivel latinoamericano y del Caribe en 2018, y el segundo en 2019 en el puntaje general de </w:t>
      </w:r>
      <w:r w:rsidRPr="000164D8">
        <w:rPr>
          <w:rFonts w:ascii="Arial" w:hAnsi="Arial" w:cs="Arial"/>
          <w:i/>
          <w:iCs/>
          <w:sz w:val="18"/>
          <w:szCs w:val="18"/>
        </w:rPr>
        <w:t>Infrascopio</w:t>
      </w:r>
      <w:r w:rsidRPr="000164D8">
        <w:rPr>
          <w:rFonts w:ascii="Arial" w:hAnsi="Arial" w:cs="Arial"/>
          <w:sz w:val="18"/>
          <w:szCs w:val="18"/>
        </w:rPr>
        <w:t>, herramienta que evalúa la capacidad de los países de América Latina y el Caribe para desarrollar APP en infraestructuras sostenibles. Y, en paralelo, en el ranking del Banco Mundial, Colombia ocupó el tercer puesto a nivel mundial en 2018. El Banco Mundial destaca que los avances son consecuencia directa del avance institucional con la creación de la Agencia Nacional de Infraestructura (ANI)</w:t>
      </w:r>
      <w:r w:rsidRPr="000164D8" w:rsidR="001B0AA0">
        <w:rPr>
          <w:rFonts w:ascii="Arial" w:hAnsi="Arial" w:cs="Arial"/>
          <w:sz w:val="18"/>
          <w:szCs w:val="18"/>
        </w:rPr>
        <w:t xml:space="preserve"> y </w:t>
      </w:r>
      <w:r w:rsidRPr="000164D8">
        <w:rPr>
          <w:rFonts w:ascii="Arial" w:hAnsi="Arial" w:cs="Arial"/>
          <w:sz w:val="18"/>
          <w:szCs w:val="18"/>
        </w:rPr>
        <w:t>la Financiera de Desarrollo Nacional (FDN)</w:t>
      </w:r>
      <w:r w:rsidRPr="000164D8" w:rsidR="001B0AA0">
        <w:rPr>
          <w:rFonts w:ascii="Arial" w:hAnsi="Arial" w:cs="Arial"/>
          <w:sz w:val="18"/>
          <w:szCs w:val="18"/>
        </w:rPr>
        <w:t xml:space="preserve">. </w:t>
      </w:r>
    </w:p>
  </w:footnote>
  <w:footnote w:id="3">
    <w:p w:rsidRPr="000164D8" w:rsidR="00F81EEB" w:rsidP="000164D8" w:rsidRDefault="00F81EEB" w14:paraId="344EC877" w14:textId="1625C173">
      <w:pPr>
        <w:pStyle w:val="FootnoteText"/>
        <w:ind w:left="426" w:hanging="426"/>
        <w:jc w:val="both"/>
        <w:rPr>
          <w:rFonts w:ascii="Arial" w:hAnsi="Arial" w:cs="Arial"/>
          <w:sz w:val="18"/>
          <w:szCs w:val="18"/>
        </w:rPr>
      </w:pPr>
      <w:r w:rsidRPr="000164D8">
        <w:rPr>
          <w:rStyle w:val="FootnoteReference"/>
          <w:rFonts w:ascii="Arial" w:hAnsi="Arial" w:cs="Arial"/>
          <w:sz w:val="18"/>
          <w:szCs w:val="18"/>
        </w:rPr>
        <w:footnoteRef/>
      </w:r>
      <w:r w:rsidRPr="000164D8">
        <w:rPr>
          <w:rFonts w:ascii="Arial" w:hAnsi="Arial" w:cs="Arial"/>
          <w:sz w:val="18"/>
          <w:szCs w:val="18"/>
        </w:rPr>
        <w:t xml:space="preserve"> </w:t>
      </w:r>
      <w:r w:rsidR="000164D8">
        <w:rPr>
          <w:rFonts w:ascii="Arial" w:hAnsi="Arial" w:cs="Arial"/>
          <w:sz w:val="18"/>
          <w:szCs w:val="18"/>
        </w:rPr>
        <w:tab/>
      </w:r>
      <w:r w:rsidRPr="000164D8" w:rsidR="00BB57FC">
        <w:rPr>
          <w:rFonts w:ascii="Arial" w:hAnsi="Arial" w:cs="Arial"/>
          <w:sz w:val="18"/>
          <w:szCs w:val="18"/>
        </w:rPr>
        <w:t xml:space="preserve">Esta operación </w:t>
      </w:r>
      <w:r w:rsidRPr="000164D8" w:rsidR="00CB5EAD">
        <w:rPr>
          <w:rFonts w:ascii="Arial" w:hAnsi="Arial" w:cs="Arial"/>
          <w:sz w:val="18"/>
          <w:szCs w:val="18"/>
        </w:rPr>
        <w:t xml:space="preserve">lleva </w:t>
      </w:r>
      <w:r w:rsidRPr="000164D8" w:rsidR="00BB57FC">
        <w:rPr>
          <w:rFonts w:ascii="Arial" w:hAnsi="Arial" w:cs="Arial"/>
          <w:sz w:val="18"/>
          <w:szCs w:val="18"/>
        </w:rPr>
        <w:t xml:space="preserve">14 proyectos estructurados, 18 acompañados, 794 registrados, 7 marcos regulatorios aprobados, 4 manuales implementados, y 77 procesos de evaluación y estructuración robustecidos. </w:t>
      </w:r>
    </w:p>
  </w:footnote>
  <w:footnote w:id="4">
    <w:p w:rsidRPr="000164D8" w:rsidR="00BF7912" w:rsidP="000164D8" w:rsidRDefault="00BF7912" w14:paraId="4F4FF2A1" w14:textId="408558BF">
      <w:pPr>
        <w:pStyle w:val="FootnoteText"/>
        <w:ind w:left="426" w:hanging="426"/>
        <w:jc w:val="both"/>
        <w:rPr>
          <w:rFonts w:ascii="Arial" w:hAnsi="Arial" w:cs="Arial"/>
          <w:sz w:val="18"/>
          <w:szCs w:val="18"/>
        </w:rPr>
      </w:pPr>
      <w:r w:rsidRPr="000164D8">
        <w:rPr>
          <w:rStyle w:val="FootnoteReference"/>
          <w:rFonts w:ascii="Arial" w:hAnsi="Arial" w:cs="Arial"/>
          <w:sz w:val="18"/>
          <w:szCs w:val="18"/>
        </w:rPr>
        <w:footnoteRef/>
      </w:r>
      <w:r w:rsidRPr="000164D8">
        <w:rPr>
          <w:rFonts w:ascii="Arial" w:hAnsi="Arial" w:cs="Arial"/>
          <w:sz w:val="18"/>
          <w:szCs w:val="18"/>
        </w:rPr>
        <w:t xml:space="preserve"> </w:t>
      </w:r>
      <w:r w:rsidR="00644DC3">
        <w:rPr>
          <w:rFonts w:ascii="Arial" w:hAnsi="Arial" w:cs="Arial"/>
          <w:sz w:val="18"/>
          <w:szCs w:val="18"/>
        </w:rPr>
        <w:tab/>
      </w:r>
      <w:r w:rsidRPr="000164D8">
        <w:rPr>
          <w:rFonts w:ascii="Arial" w:hAnsi="Arial" w:cs="Arial"/>
          <w:sz w:val="18"/>
          <w:szCs w:val="18"/>
        </w:rPr>
        <w:t xml:space="preserve">Los proyectos que se proponen para estructuración son aquellos que tienen mayor posibilidad de implementación. Podrían variar, de acuerdo con los análisis de priorización y la disponibilidad presupuestal de las entidades responsables. </w:t>
      </w:r>
    </w:p>
  </w:footnote>
  <w:footnote w:id="5">
    <w:p w:rsidRPr="000164D8" w:rsidR="001B4433" w:rsidP="000164D8" w:rsidRDefault="00A12F78" w14:paraId="5F3A87BD" w14:textId="094AA345">
      <w:pPr>
        <w:pStyle w:val="FootnoteText"/>
        <w:ind w:left="426" w:hanging="426"/>
        <w:jc w:val="both"/>
        <w:rPr>
          <w:rFonts w:ascii="Arial" w:hAnsi="Arial" w:cs="Arial"/>
          <w:sz w:val="18"/>
          <w:szCs w:val="18"/>
        </w:rPr>
      </w:pPr>
      <w:r w:rsidRPr="000164D8">
        <w:rPr>
          <w:rStyle w:val="FootnoteReference"/>
          <w:rFonts w:ascii="Arial" w:hAnsi="Arial" w:cs="Arial"/>
          <w:sz w:val="18"/>
          <w:szCs w:val="18"/>
        </w:rPr>
        <w:footnoteRef/>
      </w:r>
      <w:r w:rsidRPr="000164D8">
        <w:rPr>
          <w:rFonts w:ascii="Arial" w:hAnsi="Arial" w:cs="Arial"/>
          <w:sz w:val="18"/>
          <w:szCs w:val="18"/>
        </w:rPr>
        <w:t xml:space="preserve"> </w:t>
      </w:r>
      <w:r w:rsidR="00EF3F37">
        <w:rPr>
          <w:rFonts w:ascii="Arial" w:hAnsi="Arial" w:cs="Arial"/>
          <w:sz w:val="18"/>
          <w:szCs w:val="18"/>
        </w:rPr>
        <w:tab/>
      </w:r>
      <w:r w:rsidRPr="000164D8">
        <w:rPr>
          <w:rFonts w:ascii="Arial" w:hAnsi="Arial" w:cs="Arial"/>
          <w:sz w:val="18"/>
          <w:szCs w:val="18"/>
        </w:rPr>
        <w:t>Ver la información del proceso en</w:t>
      </w:r>
      <w:r w:rsidRPr="000164D8" w:rsidR="00F13110">
        <w:rPr>
          <w:rFonts w:ascii="Arial" w:hAnsi="Arial" w:cs="Arial"/>
          <w:sz w:val="18"/>
          <w:szCs w:val="18"/>
        </w:rPr>
        <w:t>:</w:t>
      </w:r>
    </w:p>
    <w:p w:rsidRPr="000164D8" w:rsidR="00A12F78" w:rsidP="000164D8" w:rsidRDefault="00A12F78" w14:paraId="4CFD3DB8" w14:textId="527CD7A9">
      <w:pPr>
        <w:pStyle w:val="FootnoteText"/>
        <w:ind w:left="426" w:hanging="426"/>
        <w:jc w:val="both"/>
        <w:rPr>
          <w:rFonts w:ascii="Arial" w:hAnsi="Arial" w:cs="Arial"/>
          <w:sz w:val="18"/>
          <w:szCs w:val="18"/>
        </w:rPr>
      </w:pPr>
      <w:r w:rsidRPr="000164D8">
        <w:rPr>
          <w:rFonts w:ascii="Arial" w:hAnsi="Arial" w:cs="Arial"/>
          <w:sz w:val="18"/>
          <w:szCs w:val="18"/>
        </w:rPr>
        <w:t xml:space="preserve">  </w:t>
      </w:r>
      <w:r w:rsidR="00EF3F37">
        <w:rPr>
          <w:rFonts w:ascii="Arial" w:hAnsi="Arial" w:cs="Arial"/>
          <w:sz w:val="18"/>
          <w:szCs w:val="18"/>
        </w:rPr>
        <w:tab/>
      </w:r>
      <w:hyperlink w:history="1" r:id="rId1">
        <w:r w:rsidRPr="00C905A3" w:rsidR="00EF3F37">
          <w:rPr>
            <w:rStyle w:val="Hyperlink"/>
            <w:rFonts w:ascii="Arial" w:hAnsi="Arial" w:cs="Arial"/>
            <w:sz w:val="18"/>
            <w:szCs w:val="18"/>
          </w:rPr>
          <w:t>https://www.findeter.gov.co/loader.php?lServicio=Convocatoria&amp;lFuncion=info&amp;id=1736</w:t>
        </w:r>
      </w:hyperlink>
      <w:r w:rsidRPr="000164D8" w:rsidR="001B4433">
        <w:rPr>
          <w:rFonts w:ascii="Arial" w:hAnsi="Arial" w:cs="Arial"/>
          <w:sz w:val="18"/>
          <w:szCs w:val="18"/>
        </w:rPr>
        <w:t xml:space="preserve"> </w:t>
      </w:r>
    </w:p>
  </w:footnote>
  <w:footnote w:id="6">
    <w:p w:rsidR="00DB2864" w:rsidP="00357387" w:rsidRDefault="00DB2864" w14:paraId="1A7F624D" w14:textId="6008C174">
      <w:pPr>
        <w:pStyle w:val="FootnoteText"/>
        <w:ind w:left="426" w:hanging="426"/>
        <w:jc w:val="both"/>
        <w:rPr>
          <w:rFonts w:asciiTheme="majorHAnsi" w:hAnsiTheme="majorHAnsi" w:cstheme="majorHAnsi"/>
        </w:rPr>
      </w:pPr>
      <w:r>
        <w:rPr>
          <w:rStyle w:val="FootnoteReference"/>
          <w:rFonts w:asciiTheme="majorHAnsi" w:hAnsiTheme="majorHAnsi" w:cstheme="majorHAnsi"/>
        </w:rPr>
        <w:footnoteRef/>
      </w:r>
      <w:r>
        <w:rPr>
          <w:rFonts w:asciiTheme="majorHAnsi" w:hAnsiTheme="majorHAnsi" w:cstheme="majorHAnsi"/>
        </w:rPr>
        <w:t xml:space="preserve"> </w:t>
      </w:r>
      <w:r w:rsidR="00DC7612">
        <w:rPr>
          <w:rFonts w:asciiTheme="majorHAnsi" w:hAnsiTheme="majorHAnsi" w:cstheme="majorHAnsi"/>
        </w:rPr>
        <w:tab/>
      </w:r>
      <w:r w:rsidRPr="0036098D">
        <w:rPr>
          <w:rFonts w:ascii="Arial" w:hAnsi="Arial" w:cs="Arial"/>
          <w:sz w:val="18"/>
          <w:szCs w:val="18"/>
          <w:lang w:val="es-419"/>
        </w:rPr>
        <w:t xml:space="preserve">La granja solar más grande de Colombia (86,2 MW) instalada hasta el momento, construida por ENEL Green Power. entró en operación al comienzo de 2020, puede dar la energía </w:t>
      </w:r>
      <w:r w:rsidRPr="0036098D" w:rsidR="00B73B0F">
        <w:rPr>
          <w:rFonts w:ascii="Arial" w:hAnsi="Arial" w:cs="Arial"/>
          <w:sz w:val="18"/>
          <w:szCs w:val="18"/>
          <w:lang w:val="es-419"/>
        </w:rPr>
        <w:t>400 mil personas</w:t>
      </w:r>
      <w:r w:rsidRPr="0036098D">
        <w:rPr>
          <w:rFonts w:ascii="Arial" w:hAnsi="Arial" w:cs="Arial"/>
          <w:sz w:val="18"/>
          <w:szCs w:val="18"/>
          <w:lang w:val="es-419"/>
        </w:rPr>
        <w:t>.</w:t>
      </w:r>
      <w:r>
        <w:rPr>
          <w:rFonts w:asciiTheme="majorHAnsi" w:hAnsiTheme="majorHAnsi" w:cstheme="majorHAnsi"/>
        </w:rPr>
        <w:t xml:space="preserve"> </w:t>
      </w:r>
    </w:p>
  </w:footnote>
  <w:footnote w:id="7">
    <w:p w:rsidRPr="000164D8" w:rsidR="00F13110" w:rsidP="000164D8" w:rsidRDefault="00E81CEE" w14:paraId="4BC96C89" w14:textId="1E0FC167">
      <w:pPr>
        <w:pStyle w:val="FootnoteText"/>
        <w:ind w:left="426" w:hanging="426"/>
        <w:jc w:val="both"/>
        <w:rPr>
          <w:rFonts w:ascii="Arial" w:hAnsi="Arial" w:cs="Arial"/>
          <w:sz w:val="18"/>
          <w:szCs w:val="18"/>
        </w:rPr>
      </w:pPr>
      <w:r w:rsidRPr="000164D8">
        <w:rPr>
          <w:rStyle w:val="FootnoteReference"/>
          <w:rFonts w:ascii="Arial" w:hAnsi="Arial" w:cs="Arial"/>
          <w:sz w:val="18"/>
          <w:szCs w:val="18"/>
        </w:rPr>
        <w:footnoteRef/>
      </w:r>
      <w:r w:rsidRPr="000164D8">
        <w:rPr>
          <w:rFonts w:ascii="Arial" w:hAnsi="Arial" w:cs="Arial"/>
          <w:sz w:val="18"/>
          <w:szCs w:val="18"/>
          <w:lang w:val="en-US"/>
        </w:rPr>
        <w:t xml:space="preserve"> </w:t>
      </w:r>
      <w:r w:rsidR="00EF3F37">
        <w:rPr>
          <w:rFonts w:ascii="Arial" w:hAnsi="Arial" w:cs="Arial"/>
          <w:sz w:val="18"/>
          <w:szCs w:val="18"/>
          <w:lang w:val="en-US"/>
        </w:rPr>
        <w:tab/>
      </w:r>
      <w:r w:rsidRPr="000164D8">
        <w:rPr>
          <w:rFonts w:ascii="Arial" w:hAnsi="Arial" w:cs="Arial"/>
          <w:sz w:val="18"/>
          <w:szCs w:val="18"/>
          <w:lang w:val="en-US"/>
        </w:rPr>
        <w:t xml:space="preserve">Guidelines for Determining Architect/Engineer Fees for Public Works Building Projects (effective July 1, 2015). </w:t>
      </w:r>
      <w:r w:rsidRPr="000164D8" w:rsidR="00623ECD">
        <w:rPr>
          <w:rFonts w:ascii="Arial" w:hAnsi="Arial" w:cs="Arial"/>
          <w:sz w:val="18"/>
          <w:szCs w:val="18"/>
        </w:rPr>
        <w:t>Recoge el consenso de costeo</w:t>
      </w:r>
      <w:r w:rsidRPr="000164D8" w:rsidR="005C5283">
        <w:rPr>
          <w:rFonts w:ascii="Arial" w:hAnsi="Arial" w:cs="Arial"/>
          <w:sz w:val="18"/>
          <w:szCs w:val="18"/>
        </w:rPr>
        <w:t xml:space="preserve"> de los servicios de ingeniería </w:t>
      </w:r>
      <w:r w:rsidRPr="000164D8" w:rsidR="00055786">
        <w:rPr>
          <w:rFonts w:ascii="Arial" w:hAnsi="Arial" w:cs="Arial"/>
          <w:sz w:val="18"/>
          <w:szCs w:val="18"/>
        </w:rPr>
        <w:t>y arquitectura</w:t>
      </w:r>
      <w:r w:rsidRPr="000164D8" w:rsidR="00724D33">
        <w:rPr>
          <w:rFonts w:ascii="Arial" w:hAnsi="Arial" w:cs="Arial"/>
          <w:sz w:val="18"/>
          <w:szCs w:val="18"/>
        </w:rPr>
        <w:t xml:space="preserve"> en Estados Unidos</w:t>
      </w:r>
      <w:r w:rsidRPr="000164D8" w:rsidR="005C5283">
        <w:rPr>
          <w:rFonts w:ascii="Arial" w:hAnsi="Arial" w:cs="Arial"/>
          <w:sz w:val="18"/>
          <w:szCs w:val="18"/>
        </w:rPr>
        <w:t>. Ver la información en</w:t>
      </w:r>
      <w:r w:rsidRPr="000164D8" w:rsidR="00F13110">
        <w:rPr>
          <w:rFonts w:ascii="Arial" w:hAnsi="Arial" w:cs="Arial"/>
          <w:sz w:val="18"/>
          <w:szCs w:val="18"/>
        </w:rPr>
        <w:t>:</w:t>
      </w:r>
      <w:hyperlink w:history="1" r:id="rId2">
        <w:r w:rsidRPr="000164D8" w:rsidR="00ED5853">
          <w:rPr>
            <w:rStyle w:val="Hyperlink"/>
            <w:rFonts w:ascii="Arial" w:hAnsi="Arial" w:cs="Arial"/>
            <w:sz w:val="18"/>
            <w:szCs w:val="18"/>
          </w:rPr>
          <w:t>https://ofm.wa.gov/sites/default/files/public/legacy/budget/instructions/capinst/aeguidelines.pdf</w:t>
        </w:r>
      </w:hyperlink>
      <w:r w:rsidRPr="000164D8" w:rsidR="00055786">
        <w:rPr>
          <w:rFonts w:ascii="Arial" w:hAnsi="Arial" w:cs="Arial"/>
          <w:sz w:val="18"/>
          <w:szCs w:val="18"/>
        </w:rPr>
        <w:t xml:space="preserve"> </w:t>
      </w:r>
    </w:p>
  </w:footnote>
  <w:footnote w:id="8">
    <w:p w:rsidRPr="000164D8" w:rsidR="00B80BD3" w:rsidP="000164D8" w:rsidRDefault="00B80BD3" w14:paraId="59651890" w14:textId="0B0DDF84">
      <w:pPr>
        <w:pStyle w:val="FootnoteText"/>
        <w:ind w:left="426" w:hanging="426"/>
        <w:jc w:val="both"/>
        <w:rPr>
          <w:rFonts w:ascii="Arial" w:hAnsi="Arial" w:cs="Arial"/>
          <w:sz w:val="18"/>
          <w:szCs w:val="18"/>
          <w:lang w:val="en-US"/>
        </w:rPr>
      </w:pPr>
      <w:r w:rsidRPr="000164D8">
        <w:rPr>
          <w:rStyle w:val="FootnoteReference"/>
          <w:rFonts w:ascii="Arial" w:hAnsi="Arial" w:cs="Arial"/>
          <w:sz w:val="18"/>
          <w:szCs w:val="18"/>
        </w:rPr>
        <w:footnoteRef/>
      </w:r>
      <w:r w:rsidRPr="000164D8">
        <w:rPr>
          <w:rFonts w:ascii="Arial" w:hAnsi="Arial" w:cs="Arial"/>
          <w:sz w:val="18"/>
          <w:szCs w:val="18"/>
          <w:lang w:val="en-US"/>
        </w:rPr>
        <w:t xml:space="preserve"> </w:t>
      </w:r>
      <w:r w:rsidR="001E545A">
        <w:rPr>
          <w:rFonts w:ascii="Arial" w:hAnsi="Arial" w:cs="Arial"/>
          <w:sz w:val="18"/>
          <w:szCs w:val="18"/>
          <w:lang w:val="en-US"/>
        </w:rPr>
        <w:tab/>
      </w:r>
      <w:r w:rsidRPr="000164D8">
        <w:rPr>
          <w:rFonts w:ascii="Arial" w:hAnsi="Arial" w:cs="Arial"/>
          <w:sz w:val="18"/>
          <w:szCs w:val="18"/>
          <w:lang w:val="en-US"/>
        </w:rPr>
        <w:t>Deloitte. 2015. Economic benefits of better procurement practices. Ver:</w:t>
      </w:r>
    </w:p>
    <w:p w:rsidRPr="000164D8" w:rsidR="00B80BD3" w:rsidP="001E545A" w:rsidRDefault="0036098D" w14:paraId="04AC783E" w14:textId="42EA43B7">
      <w:pPr>
        <w:pStyle w:val="FootnoteText"/>
        <w:ind w:left="426"/>
        <w:jc w:val="both"/>
        <w:rPr>
          <w:rFonts w:ascii="Arial" w:hAnsi="Arial" w:cs="Arial"/>
          <w:sz w:val="18"/>
          <w:szCs w:val="18"/>
          <w:lang w:val="en-US"/>
        </w:rPr>
      </w:pPr>
      <w:hyperlink w:history="1" r:id="rId3">
        <w:r w:rsidRPr="00C905A3" w:rsidR="001E545A">
          <w:rPr>
            <w:rStyle w:val="Hyperlink"/>
            <w:rFonts w:ascii="Arial" w:hAnsi="Arial" w:cs="Arial"/>
            <w:sz w:val="18"/>
            <w:szCs w:val="18"/>
            <w:lang w:val="en-US"/>
          </w:rPr>
          <w:t>https://www2.deloitte.com/content/dam/Deloitte/au/Documents/Economics/deloitte-au-the-procurement-balancing-act-170215.pdf</w:t>
        </w:r>
      </w:hyperlink>
      <w:r w:rsidRPr="000164D8" w:rsidR="00B80BD3">
        <w:rPr>
          <w:rFonts w:ascii="Arial" w:hAnsi="Arial" w:cs="Arial"/>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1710"/>
    <w:multiLevelType w:val="hybridMultilevel"/>
    <w:tmpl w:val="D8F6092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99B270B"/>
    <w:multiLevelType w:val="hybridMultilevel"/>
    <w:tmpl w:val="0764ECC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0A9E7F7D"/>
    <w:multiLevelType w:val="hybridMultilevel"/>
    <w:tmpl w:val="43FEC026"/>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 w15:restartNumberingAfterBreak="0">
    <w:nsid w:val="0C676EBE"/>
    <w:multiLevelType w:val="hybridMultilevel"/>
    <w:tmpl w:val="65A4BD8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4" w15:restartNumberingAfterBreak="0">
    <w:nsid w:val="0E481C3A"/>
    <w:multiLevelType w:val="hybridMultilevel"/>
    <w:tmpl w:val="0F463F92"/>
    <w:lvl w:ilvl="0" w:tplc="240A0001">
      <w:start w:val="1"/>
      <w:numFmt w:val="bullet"/>
      <w:lvlText w:val=""/>
      <w:lvlJc w:val="left"/>
      <w:pPr>
        <w:ind w:left="3192" w:hanging="360"/>
      </w:pPr>
      <w:rPr>
        <w:rFonts w:hint="default" w:ascii="Symbol" w:hAnsi="Symbol"/>
      </w:rPr>
    </w:lvl>
    <w:lvl w:ilvl="1" w:tplc="240A0003" w:tentative="1">
      <w:start w:val="1"/>
      <w:numFmt w:val="bullet"/>
      <w:lvlText w:val="o"/>
      <w:lvlJc w:val="left"/>
      <w:pPr>
        <w:ind w:left="3912" w:hanging="360"/>
      </w:pPr>
      <w:rPr>
        <w:rFonts w:hint="default" w:ascii="Courier New" w:hAnsi="Courier New" w:cs="Courier New"/>
      </w:rPr>
    </w:lvl>
    <w:lvl w:ilvl="2" w:tplc="240A0005" w:tentative="1">
      <w:start w:val="1"/>
      <w:numFmt w:val="bullet"/>
      <w:lvlText w:val=""/>
      <w:lvlJc w:val="left"/>
      <w:pPr>
        <w:ind w:left="4632" w:hanging="360"/>
      </w:pPr>
      <w:rPr>
        <w:rFonts w:hint="default" w:ascii="Wingdings" w:hAnsi="Wingdings"/>
      </w:rPr>
    </w:lvl>
    <w:lvl w:ilvl="3" w:tplc="240A0001" w:tentative="1">
      <w:start w:val="1"/>
      <w:numFmt w:val="bullet"/>
      <w:lvlText w:val=""/>
      <w:lvlJc w:val="left"/>
      <w:pPr>
        <w:ind w:left="5352" w:hanging="360"/>
      </w:pPr>
      <w:rPr>
        <w:rFonts w:hint="default" w:ascii="Symbol" w:hAnsi="Symbol"/>
      </w:rPr>
    </w:lvl>
    <w:lvl w:ilvl="4" w:tplc="240A0003" w:tentative="1">
      <w:start w:val="1"/>
      <w:numFmt w:val="bullet"/>
      <w:lvlText w:val="o"/>
      <w:lvlJc w:val="left"/>
      <w:pPr>
        <w:ind w:left="6072" w:hanging="360"/>
      </w:pPr>
      <w:rPr>
        <w:rFonts w:hint="default" w:ascii="Courier New" w:hAnsi="Courier New" w:cs="Courier New"/>
      </w:rPr>
    </w:lvl>
    <w:lvl w:ilvl="5" w:tplc="240A0005" w:tentative="1">
      <w:start w:val="1"/>
      <w:numFmt w:val="bullet"/>
      <w:lvlText w:val=""/>
      <w:lvlJc w:val="left"/>
      <w:pPr>
        <w:ind w:left="6792" w:hanging="360"/>
      </w:pPr>
      <w:rPr>
        <w:rFonts w:hint="default" w:ascii="Wingdings" w:hAnsi="Wingdings"/>
      </w:rPr>
    </w:lvl>
    <w:lvl w:ilvl="6" w:tplc="240A0001" w:tentative="1">
      <w:start w:val="1"/>
      <w:numFmt w:val="bullet"/>
      <w:lvlText w:val=""/>
      <w:lvlJc w:val="left"/>
      <w:pPr>
        <w:ind w:left="7512" w:hanging="360"/>
      </w:pPr>
      <w:rPr>
        <w:rFonts w:hint="default" w:ascii="Symbol" w:hAnsi="Symbol"/>
      </w:rPr>
    </w:lvl>
    <w:lvl w:ilvl="7" w:tplc="240A0003" w:tentative="1">
      <w:start w:val="1"/>
      <w:numFmt w:val="bullet"/>
      <w:lvlText w:val="o"/>
      <w:lvlJc w:val="left"/>
      <w:pPr>
        <w:ind w:left="8232" w:hanging="360"/>
      </w:pPr>
      <w:rPr>
        <w:rFonts w:hint="default" w:ascii="Courier New" w:hAnsi="Courier New" w:cs="Courier New"/>
      </w:rPr>
    </w:lvl>
    <w:lvl w:ilvl="8" w:tplc="240A0005" w:tentative="1">
      <w:start w:val="1"/>
      <w:numFmt w:val="bullet"/>
      <w:lvlText w:val=""/>
      <w:lvlJc w:val="left"/>
      <w:pPr>
        <w:ind w:left="8952" w:hanging="360"/>
      </w:pPr>
      <w:rPr>
        <w:rFonts w:hint="default" w:ascii="Wingdings" w:hAnsi="Wingdings"/>
      </w:rPr>
    </w:lvl>
  </w:abstractNum>
  <w:abstractNum w:abstractNumId="5" w15:restartNumberingAfterBreak="0">
    <w:nsid w:val="0F01479C"/>
    <w:multiLevelType w:val="hybridMultilevel"/>
    <w:tmpl w:val="C370178E"/>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6" w15:restartNumberingAfterBreak="0">
    <w:nsid w:val="104A1802"/>
    <w:multiLevelType w:val="hybridMultilevel"/>
    <w:tmpl w:val="625CD18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7" w15:restartNumberingAfterBreak="0">
    <w:nsid w:val="180241F1"/>
    <w:multiLevelType w:val="hybridMultilevel"/>
    <w:tmpl w:val="F816FFFC"/>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8" w15:restartNumberingAfterBreak="0">
    <w:nsid w:val="19C1247E"/>
    <w:multiLevelType w:val="multilevel"/>
    <w:tmpl w:val="478C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CA075B"/>
    <w:multiLevelType w:val="hybridMultilevel"/>
    <w:tmpl w:val="A758553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23AF2FD7"/>
    <w:multiLevelType w:val="hybridMultilevel"/>
    <w:tmpl w:val="1932071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24A750EF"/>
    <w:multiLevelType w:val="hybridMultilevel"/>
    <w:tmpl w:val="3D28B72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2" w15:restartNumberingAfterBreak="0">
    <w:nsid w:val="24AD2CBA"/>
    <w:multiLevelType w:val="hybridMultilevel"/>
    <w:tmpl w:val="46FC8E7A"/>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3" w15:restartNumberingAfterBreak="0">
    <w:nsid w:val="261C2A26"/>
    <w:multiLevelType w:val="hybridMultilevel"/>
    <w:tmpl w:val="4AD095C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4" w15:restartNumberingAfterBreak="0">
    <w:nsid w:val="27175D11"/>
    <w:multiLevelType w:val="hybridMultilevel"/>
    <w:tmpl w:val="17BE44C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7EF2908"/>
    <w:multiLevelType w:val="hybridMultilevel"/>
    <w:tmpl w:val="1F705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0C69A3"/>
    <w:multiLevelType w:val="hybridMultilevel"/>
    <w:tmpl w:val="AEC2BD92"/>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7" w15:restartNumberingAfterBreak="0">
    <w:nsid w:val="2B046796"/>
    <w:multiLevelType w:val="hybridMultilevel"/>
    <w:tmpl w:val="59186A1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32D96BBD"/>
    <w:multiLevelType w:val="multilevel"/>
    <w:tmpl w:val="147E839A"/>
    <w:lvl w:ilvl="0">
      <w:start w:val="3"/>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E53447"/>
    <w:multiLevelType w:val="multilevel"/>
    <w:tmpl w:val="A97EC4F6"/>
    <w:lvl w:ilvl="0">
      <w:start w:val="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7F4E29"/>
    <w:multiLevelType w:val="hybridMultilevel"/>
    <w:tmpl w:val="C17E7E5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347405A9"/>
    <w:multiLevelType w:val="hybridMultilevel"/>
    <w:tmpl w:val="B7A6ECFA"/>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2" w15:restartNumberingAfterBreak="0">
    <w:nsid w:val="35523AA1"/>
    <w:multiLevelType w:val="hybridMultilevel"/>
    <w:tmpl w:val="D5666A88"/>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3" w15:restartNumberingAfterBreak="0">
    <w:nsid w:val="363B32BD"/>
    <w:multiLevelType w:val="hybridMultilevel"/>
    <w:tmpl w:val="9218304A"/>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4" w15:restartNumberingAfterBreak="0">
    <w:nsid w:val="37A33376"/>
    <w:multiLevelType w:val="hybridMultilevel"/>
    <w:tmpl w:val="F8C0605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434A1F36"/>
    <w:multiLevelType w:val="hybridMultilevel"/>
    <w:tmpl w:val="32CABAE6"/>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6" w15:restartNumberingAfterBreak="0">
    <w:nsid w:val="44594911"/>
    <w:multiLevelType w:val="hybridMultilevel"/>
    <w:tmpl w:val="A178102C"/>
    <w:lvl w:ilvl="0" w:tplc="ABD224E2">
      <w:start w:val="1"/>
      <w:numFmt w:val="decimal"/>
      <w:lvlText w:val="%1"/>
      <w:lvlJc w:val="left"/>
      <w:pPr>
        <w:ind w:left="360" w:hanging="360"/>
      </w:pPr>
      <w:rPr>
        <w:rFonts w:hint="default"/>
      </w:rPr>
    </w:lvl>
    <w:lvl w:ilvl="1" w:tplc="4960534C">
      <w:start w:val="1"/>
      <w:numFmt w:val="decimal"/>
      <w:lvlText w:val="%1.%2"/>
      <w:lvlJc w:val="left"/>
      <w:pPr>
        <w:ind w:left="360" w:hanging="360"/>
      </w:pPr>
      <w:rPr>
        <w:rFonts w:hint="default" w:ascii="Arial" w:hAnsi="Arial" w:cs="Arial"/>
        <w:b w:val="0"/>
        <w:sz w:val="22"/>
        <w:szCs w:val="22"/>
      </w:rPr>
    </w:lvl>
    <w:lvl w:ilvl="2" w:tplc="F7589184">
      <w:start w:val="1"/>
      <w:numFmt w:val="decimal"/>
      <w:lvlText w:val="%1.%2.%3"/>
      <w:lvlJc w:val="left"/>
      <w:pPr>
        <w:ind w:left="720" w:hanging="720"/>
      </w:pPr>
      <w:rPr>
        <w:rFonts w:hint="default"/>
      </w:rPr>
    </w:lvl>
    <w:lvl w:ilvl="3" w:tplc="EA30EB5C">
      <w:start w:val="1"/>
      <w:numFmt w:val="decimal"/>
      <w:lvlText w:val="%1.%2.%3.%4"/>
      <w:lvlJc w:val="left"/>
      <w:pPr>
        <w:ind w:left="720" w:hanging="720"/>
      </w:pPr>
      <w:rPr>
        <w:rFonts w:hint="default"/>
      </w:rPr>
    </w:lvl>
    <w:lvl w:ilvl="4" w:tplc="B89A9C94">
      <w:start w:val="1"/>
      <w:numFmt w:val="decimal"/>
      <w:lvlText w:val="%1.%2.%3.%4.%5"/>
      <w:lvlJc w:val="left"/>
      <w:pPr>
        <w:ind w:left="1080" w:hanging="1080"/>
      </w:pPr>
      <w:rPr>
        <w:rFonts w:hint="default"/>
      </w:rPr>
    </w:lvl>
    <w:lvl w:ilvl="5" w:tplc="669CD6B6">
      <w:start w:val="1"/>
      <w:numFmt w:val="decimal"/>
      <w:lvlText w:val="%1.%2.%3.%4.%5.%6"/>
      <w:lvlJc w:val="left"/>
      <w:pPr>
        <w:ind w:left="1080" w:hanging="1080"/>
      </w:pPr>
      <w:rPr>
        <w:rFonts w:hint="default"/>
      </w:rPr>
    </w:lvl>
    <w:lvl w:ilvl="6" w:tplc="7E6099DA">
      <w:start w:val="1"/>
      <w:numFmt w:val="decimal"/>
      <w:lvlText w:val="%1.%2.%3.%4.%5.%6.%7"/>
      <w:lvlJc w:val="left"/>
      <w:pPr>
        <w:ind w:left="1440" w:hanging="1440"/>
      </w:pPr>
      <w:rPr>
        <w:rFonts w:hint="default"/>
      </w:rPr>
    </w:lvl>
    <w:lvl w:ilvl="7" w:tplc="EF845A02">
      <w:start w:val="1"/>
      <w:numFmt w:val="decimal"/>
      <w:lvlText w:val="%1.%2.%3.%4.%5.%6.%7.%8"/>
      <w:lvlJc w:val="left"/>
      <w:pPr>
        <w:ind w:left="1440" w:hanging="1440"/>
      </w:pPr>
      <w:rPr>
        <w:rFonts w:hint="default"/>
      </w:rPr>
    </w:lvl>
    <w:lvl w:ilvl="8" w:tplc="63E81FE2">
      <w:start w:val="1"/>
      <w:numFmt w:val="decimal"/>
      <w:lvlText w:val="%1.%2.%3.%4.%5.%6.%7.%8.%9"/>
      <w:lvlJc w:val="left"/>
      <w:pPr>
        <w:ind w:left="1800" w:hanging="1800"/>
      </w:pPr>
      <w:rPr>
        <w:rFonts w:hint="default"/>
      </w:rPr>
    </w:lvl>
  </w:abstractNum>
  <w:abstractNum w:abstractNumId="27" w15:restartNumberingAfterBreak="0">
    <w:nsid w:val="45730865"/>
    <w:multiLevelType w:val="multilevel"/>
    <w:tmpl w:val="840E98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C092A16"/>
    <w:multiLevelType w:val="hybridMultilevel"/>
    <w:tmpl w:val="7932DE6A"/>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9" w15:restartNumberingAfterBreak="0">
    <w:nsid w:val="4FA77A10"/>
    <w:multiLevelType w:val="hybridMultilevel"/>
    <w:tmpl w:val="576AD5B0"/>
    <w:lvl w:ilvl="0" w:tplc="34703DC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612BED"/>
    <w:multiLevelType w:val="hybridMultilevel"/>
    <w:tmpl w:val="E0383E54"/>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1" w15:restartNumberingAfterBreak="0">
    <w:nsid w:val="53D964DE"/>
    <w:multiLevelType w:val="hybridMultilevel"/>
    <w:tmpl w:val="EC4CBFD0"/>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2" w15:restartNumberingAfterBreak="0">
    <w:nsid w:val="569905A8"/>
    <w:multiLevelType w:val="multilevel"/>
    <w:tmpl w:val="04940454"/>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lvlText w:val="%1.%2"/>
      <w:lvlJc w:val="left"/>
      <w:pPr>
        <w:tabs>
          <w:tab w:val="num" w:pos="1656"/>
        </w:tabs>
        <w:ind w:left="1656" w:hanging="1296"/>
      </w:pPr>
      <w:rPr>
        <w:b w:val="0"/>
        <w:i w:val="0"/>
      </w:r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33" w15:restartNumberingAfterBreak="0">
    <w:nsid w:val="58CB2738"/>
    <w:multiLevelType w:val="multilevel"/>
    <w:tmpl w:val="6CC6558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EF14FF"/>
    <w:multiLevelType w:val="multilevel"/>
    <w:tmpl w:val="57249516"/>
    <w:lvl w:ilvl="0">
      <w:start w:val="5"/>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0440B6"/>
    <w:multiLevelType w:val="multilevel"/>
    <w:tmpl w:val="6E8C609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FB19C7"/>
    <w:multiLevelType w:val="multilevel"/>
    <w:tmpl w:val="51582E22"/>
    <w:lvl w:ilvl="0">
      <w:start w:val="3"/>
      <w:numFmt w:val="decimal"/>
      <w:lvlText w:val="%1."/>
      <w:lvlJc w:val="left"/>
      <w:pPr>
        <w:ind w:left="390" w:hanging="390"/>
      </w:pPr>
      <w:rPr>
        <w:rFonts w:hint="default"/>
      </w:rPr>
    </w:lvl>
    <w:lvl w:ilvl="1">
      <w:start w:val="4"/>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3E77F5"/>
    <w:multiLevelType w:val="hybridMultilevel"/>
    <w:tmpl w:val="6456C97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8" w15:restartNumberingAfterBreak="0">
    <w:nsid w:val="6EBB58AF"/>
    <w:multiLevelType w:val="hybridMultilevel"/>
    <w:tmpl w:val="D98C4B1E"/>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9" w15:restartNumberingAfterBreak="0">
    <w:nsid w:val="70163D35"/>
    <w:multiLevelType w:val="multilevel"/>
    <w:tmpl w:val="D7907082"/>
    <w:lvl w:ilvl="0">
      <w:start w:val="3"/>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391866"/>
    <w:multiLevelType w:val="multilevel"/>
    <w:tmpl w:val="2A9E5FC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lang w:val="es-E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71774154"/>
    <w:multiLevelType w:val="hybridMultilevel"/>
    <w:tmpl w:val="F8102EF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2" w15:restartNumberingAfterBreak="0">
    <w:nsid w:val="73AC6C28"/>
    <w:multiLevelType w:val="hybridMultilevel"/>
    <w:tmpl w:val="3528BCE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3" w15:restartNumberingAfterBreak="0">
    <w:nsid w:val="74104B5D"/>
    <w:multiLevelType w:val="hybridMultilevel"/>
    <w:tmpl w:val="839C6B8C"/>
    <w:lvl w:ilvl="0" w:tplc="B2EEC38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83979A0"/>
    <w:multiLevelType w:val="hybridMultilevel"/>
    <w:tmpl w:val="9B92D6A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5" w15:restartNumberingAfterBreak="0">
    <w:nsid w:val="797009E3"/>
    <w:multiLevelType w:val="hybridMultilevel"/>
    <w:tmpl w:val="9264721C"/>
    <w:lvl w:ilvl="0" w:tplc="96BC3EF4">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7AF02947"/>
    <w:multiLevelType w:val="hybridMultilevel"/>
    <w:tmpl w:val="7790426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7" w15:restartNumberingAfterBreak="0">
    <w:nsid w:val="7BB94290"/>
    <w:multiLevelType w:val="hybridMultilevel"/>
    <w:tmpl w:val="C1F460DA"/>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48" w15:restartNumberingAfterBreak="0">
    <w:nsid w:val="7D7F3BA8"/>
    <w:multiLevelType w:val="hybridMultilevel"/>
    <w:tmpl w:val="B6DA6D3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49" w15:restartNumberingAfterBreak="0">
    <w:nsid w:val="7E8F16D4"/>
    <w:multiLevelType w:val="hybridMultilevel"/>
    <w:tmpl w:val="D36C6B42"/>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num w:numId="1">
    <w:abstractNumId w:val="14"/>
  </w:num>
  <w:num w:numId="2">
    <w:abstractNumId w:val="16"/>
  </w:num>
  <w:num w:numId="3">
    <w:abstractNumId w:val="17"/>
  </w:num>
  <w:num w:numId="4">
    <w:abstractNumId w:val="3"/>
  </w:num>
  <w:num w:numId="5">
    <w:abstractNumId w:val="20"/>
  </w:num>
  <w:num w:numId="6">
    <w:abstractNumId w:val="15"/>
  </w:num>
  <w:num w:numId="7">
    <w:abstractNumId w:val="27"/>
  </w:num>
  <w:num w:numId="8">
    <w:abstractNumId w:val="0"/>
  </w:num>
  <w:num w:numId="9">
    <w:abstractNumId w:val="10"/>
  </w:num>
  <w:num w:numId="10">
    <w:abstractNumId w:val="28"/>
  </w:num>
  <w:num w:numId="11">
    <w:abstractNumId w:val="32"/>
  </w:num>
  <w:num w:numId="12">
    <w:abstractNumId w:val="7"/>
  </w:num>
  <w:num w:numId="13">
    <w:abstractNumId w:val="30"/>
  </w:num>
  <w:num w:numId="14">
    <w:abstractNumId w:val="40"/>
  </w:num>
  <w:num w:numId="15">
    <w:abstractNumId w:val="43"/>
  </w:num>
  <w:num w:numId="16">
    <w:abstractNumId w:val="45"/>
  </w:num>
  <w:num w:numId="17">
    <w:abstractNumId w:val="29"/>
  </w:num>
  <w:num w:numId="18">
    <w:abstractNumId w:val="19"/>
  </w:num>
  <w:num w:numId="19">
    <w:abstractNumId w:val="1"/>
  </w:num>
  <w:num w:numId="20">
    <w:abstractNumId w:val="13"/>
  </w:num>
  <w:num w:numId="21">
    <w:abstractNumId w:val="34"/>
  </w:num>
  <w:num w:numId="22">
    <w:abstractNumId w:val="37"/>
  </w:num>
  <w:num w:numId="23">
    <w:abstractNumId w:val="42"/>
  </w:num>
  <w:num w:numId="24">
    <w:abstractNumId w:val="2"/>
  </w:num>
  <w:num w:numId="25">
    <w:abstractNumId w:val="21"/>
  </w:num>
  <w:num w:numId="26">
    <w:abstractNumId w:val="44"/>
  </w:num>
  <w:num w:numId="27">
    <w:abstractNumId w:val="24"/>
  </w:num>
  <w:num w:numId="28">
    <w:abstractNumId w:val="23"/>
  </w:num>
  <w:num w:numId="29">
    <w:abstractNumId w:val="46"/>
  </w:num>
  <w:num w:numId="30">
    <w:abstractNumId w:val="11"/>
  </w:num>
  <w:num w:numId="31">
    <w:abstractNumId w:val="9"/>
  </w:num>
  <w:num w:numId="32">
    <w:abstractNumId w:val="22"/>
  </w:num>
  <w:num w:numId="33">
    <w:abstractNumId w:val="6"/>
  </w:num>
  <w:num w:numId="34">
    <w:abstractNumId w:val="48"/>
  </w:num>
  <w:num w:numId="35">
    <w:abstractNumId w:val="12"/>
  </w:num>
  <w:num w:numId="36">
    <w:abstractNumId w:val="5"/>
  </w:num>
  <w:num w:numId="37">
    <w:abstractNumId w:val="25"/>
  </w:num>
  <w:num w:numId="38">
    <w:abstractNumId w:val="31"/>
  </w:num>
  <w:num w:numId="39">
    <w:abstractNumId w:val="4"/>
  </w:num>
  <w:num w:numId="40">
    <w:abstractNumId w:val="49"/>
  </w:num>
  <w:num w:numId="41">
    <w:abstractNumId w:val="47"/>
  </w:num>
  <w:num w:numId="42">
    <w:abstractNumId w:val="38"/>
  </w:num>
  <w:num w:numId="43">
    <w:abstractNumId w:val="36"/>
  </w:num>
  <w:num w:numId="44">
    <w:abstractNumId w:val="39"/>
  </w:num>
  <w:num w:numId="45">
    <w:abstractNumId w:val="35"/>
  </w:num>
  <w:num w:numId="46">
    <w:abstractNumId w:val="33"/>
  </w:num>
  <w:num w:numId="47">
    <w:abstractNumId w:val="8"/>
  </w:num>
  <w:num w:numId="48">
    <w:abstractNumId w:val="18"/>
  </w:num>
  <w:num w:numId="49">
    <w:abstractNumId w:val="4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65"/>
    <w:rsid w:val="00000296"/>
    <w:rsid w:val="00000452"/>
    <w:rsid w:val="000005C3"/>
    <w:rsid w:val="00000719"/>
    <w:rsid w:val="00000BCD"/>
    <w:rsid w:val="00000CB7"/>
    <w:rsid w:val="00001F72"/>
    <w:rsid w:val="00002044"/>
    <w:rsid w:val="00002759"/>
    <w:rsid w:val="00002DE6"/>
    <w:rsid w:val="000031F1"/>
    <w:rsid w:val="00003647"/>
    <w:rsid w:val="000036FA"/>
    <w:rsid w:val="00003732"/>
    <w:rsid w:val="00003AAD"/>
    <w:rsid w:val="00003B33"/>
    <w:rsid w:val="00003B9C"/>
    <w:rsid w:val="00003FCB"/>
    <w:rsid w:val="00005694"/>
    <w:rsid w:val="00006374"/>
    <w:rsid w:val="000066A5"/>
    <w:rsid w:val="00010D51"/>
    <w:rsid w:val="00011056"/>
    <w:rsid w:val="00011274"/>
    <w:rsid w:val="00011697"/>
    <w:rsid w:val="00012BD1"/>
    <w:rsid w:val="00012E34"/>
    <w:rsid w:val="00012F80"/>
    <w:rsid w:val="000131D6"/>
    <w:rsid w:val="0001340F"/>
    <w:rsid w:val="00013C33"/>
    <w:rsid w:val="000140F1"/>
    <w:rsid w:val="00014E17"/>
    <w:rsid w:val="00014E6E"/>
    <w:rsid w:val="000156CF"/>
    <w:rsid w:val="000156F5"/>
    <w:rsid w:val="000162CB"/>
    <w:rsid w:val="00016430"/>
    <w:rsid w:val="000164D8"/>
    <w:rsid w:val="00017A8D"/>
    <w:rsid w:val="00017D39"/>
    <w:rsid w:val="00017E2F"/>
    <w:rsid w:val="0002079C"/>
    <w:rsid w:val="00020E05"/>
    <w:rsid w:val="0002184E"/>
    <w:rsid w:val="00021ECD"/>
    <w:rsid w:val="0002241C"/>
    <w:rsid w:val="00022435"/>
    <w:rsid w:val="000224A8"/>
    <w:rsid w:val="00022536"/>
    <w:rsid w:val="00022677"/>
    <w:rsid w:val="000227C3"/>
    <w:rsid w:val="00022C80"/>
    <w:rsid w:val="00022E0F"/>
    <w:rsid w:val="0002372F"/>
    <w:rsid w:val="00023C59"/>
    <w:rsid w:val="000244A0"/>
    <w:rsid w:val="000245EB"/>
    <w:rsid w:val="000249E2"/>
    <w:rsid w:val="00025044"/>
    <w:rsid w:val="00025632"/>
    <w:rsid w:val="0002598D"/>
    <w:rsid w:val="000263D0"/>
    <w:rsid w:val="00026A0B"/>
    <w:rsid w:val="000301C2"/>
    <w:rsid w:val="000301E9"/>
    <w:rsid w:val="00030A92"/>
    <w:rsid w:val="00030BFD"/>
    <w:rsid w:val="00030C09"/>
    <w:rsid w:val="00030E37"/>
    <w:rsid w:val="00031033"/>
    <w:rsid w:val="00031067"/>
    <w:rsid w:val="0003136E"/>
    <w:rsid w:val="00031865"/>
    <w:rsid w:val="0003227A"/>
    <w:rsid w:val="000325BB"/>
    <w:rsid w:val="00032F74"/>
    <w:rsid w:val="00033521"/>
    <w:rsid w:val="0003379E"/>
    <w:rsid w:val="00033D7F"/>
    <w:rsid w:val="00034014"/>
    <w:rsid w:val="00034440"/>
    <w:rsid w:val="00034EB9"/>
    <w:rsid w:val="00034F9D"/>
    <w:rsid w:val="000350D0"/>
    <w:rsid w:val="0003696B"/>
    <w:rsid w:val="00037032"/>
    <w:rsid w:val="00037247"/>
    <w:rsid w:val="00042A29"/>
    <w:rsid w:val="00042D6A"/>
    <w:rsid w:val="0004320E"/>
    <w:rsid w:val="0004372D"/>
    <w:rsid w:val="00044813"/>
    <w:rsid w:val="00045B9D"/>
    <w:rsid w:val="00045D9D"/>
    <w:rsid w:val="000469FD"/>
    <w:rsid w:val="00046E18"/>
    <w:rsid w:val="0005021C"/>
    <w:rsid w:val="000503B6"/>
    <w:rsid w:val="000508B6"/>
    <w:rsid w:val="00050EE5"/>
    <w:rsid w:val="00050F71"/>
    <w:rsid w:val="00051149"/>
    <w:rsid w:val="00051663"/>
    <w:rsid w:val="00051AA6"/>
    <w:rsid w:val="00051CAC"/>
    <w:rsid w:val="00051FAF"/>
    <w:rsid w:val="000524BF"/>
    <w:rsid w:val="00052676"/>
    <w:rsid w:val="00052DBA"/>
    <w:rsid w:val="00052E65"/>
    <w:rsid w:val="00053D09"/>
    <w:rsid w:val="000540A3"/>
    <w:rsid w:val="000547B7"/>
    <w:rsid w:val="000548E6"/>
    <w:rsid w:val="00054EFA"/>
    <w:rsid w:val="00055786"/>
    <w:rsid w:val="000559C3"/>
    <w:rsid w:val="00055A2A"/>
    <w:rsid w:val="00055AF3"/>
    <w:rsid w:val="00056156"/>
    <w:rsid w:val="0005677F"/>
    <w:rsid w:val="00057575"/>
    <w:rsid w:val="00057C12"/>
    <w:rsid w:val="00057EBE"/>
    <w:rsid w:val="00060791"/>
    <w:rsid w:val="000617BD"/>
    <w:rsid w:val="0006215A"/>
    <w:rsid w:val="00062194"/>
    <w:rsid w:val="0006229B"/>
    <w:rsid w:val="00062B06"/>
    <w:rsid w:val="00062B38"/>
    <w:rsid w:val="00063441"/>
    <w:rsid w:val="00063842"/>
    <w:rsid w:val="00063B83"/>
    <w:rsid w:val="00063C3D"/>
    <w:rsid w:val="000640B3"/>
    <w:rsid w:val="000641E7"/>
    <w:rsid w:val="0006582C"/>
    <w:rsid w:val="0006675B"/>
    <w:rsid w:val="00066EE4"/>
    <w:rsid w:val="00067EB7"/>
    <w:rsid w:val="00070042"/>
    <w:rsid w:val="00070053"/>
    <w:rsid w:val="00070519"/>
    <w:rsid w:val="00070D24"/>
    <w:rsid w:val="00071785"/>
    <w:rsid w:val="0007229D"/>
    <w:rsid w:val="0007231F"/>
    <w:rsid w:val="0007294A"/>
    <w:rsid w:val="00072CB1"/>
    <w:rsid w:val="00073722"/>
    <w:rsid w:val="00074210"/>
    <w:rsid w:val="00075296"/>
    <w:rsid w:val="000752D4"/>
    <w:rsid w:val="000756E0"/>
    <w:rsid w:val="0007684C"/>
    <w:rsid w:val="00076C16"/>
    <w:rsid w:val="00076C25"/>
    <w:rsid w:val="00076FF1"/>
    <w:rsid w:val="000774F6"/>
    <w:rsid w:val="000779EA"/>
    <w:rsid w:val="00077AC5"/>
    <w:rsid w:val="00077CF0"/>
    <w:rsid w:val="00080361"/>
    <w:rsid w:val="000803E3"/>
    <w:rsid w:val="00080CDC"/>
    <w:rsid w:val="0008138D"/>
    <w:rsid w:val="000820EB"/>
    <w:rsid w:val="00082B74"/>
    <w:rsid w:val="00082DCB"/>
    <w:rsid w:val="000834F8"/>
    <w:rsid w:val="000837E1"/>
    <w:rsid w:val="00084323"/>
    <w:rsid w:val="00085539"/>
    <w:rsid w:val="00085854"/>
    <w:rsid w:val="00085856"/>
    <w:rsid w:val="00086299"/>
    <w:rsid w:val="0008692F"/>
    <w:rsid w:val="00086C4D"/>
    <w:rsid w:val="0008781A"/>
    <w:rsid w:val="00087A9F"/>
    <w:rsid w:val="00087CD6"/>
    <w:rsid w:val="000901BD"/>
    <w:rsid w:val="0009137E"/>
    <w:rsid w:val="0009231E"/>
    <w:rsid w:val="000928AB"/>
    <w:rsid w:val="000935D7"/>
    <w:rsid w:val="0009365D"/>
    <w:rsid w:val="000938E3"/>
    <w:rsid w:val="00093AF4"/>
    <w:rsid w:val="00093EB1"/>
    <w:rsid w:val="00093FDA"/>
    <w:rsid w:val="000958FE"/>
    <w:rsid w:val="000959BA"/>
    <w:rsid w:val="000961CD"/>
    <w:rsid w:val="00096C05"/>
    <w:rsid w:val="00096E69"/>
    <w:rsid w:val="000970C1"/>
    <w:rsid w:val="00097124"/>
    <w:rsid w:val="00097762"/>
    <w:rsid w:val="00097C1E"/>
    <w:rsid w:val="000A0A44"/>
    <w:rsid w:val="000A0D3B"/>
    <w:rsid w:val="000A1246"/>
    <w:rsid w:val="000A1948"/>
    <w:rsid w:val="000A1B20"/>
    <w:rsid w:val="000A1C84"/>
    <w:rsid w:val="000A20CE"/>
    <w:rsid w:val="000A24B6"/>
    <w:rsid w:val="000A2B41"/>
    <w:rsid w:val="000A2CAB"/>
    <w:rsid w:val="000A2F51"/>
    <w:rsid w:val="000A3327"/>
    <w:rsid w:val="000A3F9D"/>
    <w:rsid w:val="000A4696"/>
    <w:rsid w:val="000A49CD"/>
    <w:rsid w:val="000A4E6E"/>
    <w:rsid w:val="000A4E6F"/>
    <w:rsid w:val="000A4E9D"/>
    <w:rsid w:val="000A54E9"/>
    <w:rsid w:val="000A7229"/>
    <w:rsid w:val="000A7379"/>
    <w:rsid w:val="000A7457"/>
    <w:rsid w:val="000A7E23"/>
    <w:rsid w:val="000A7E56"/>
    <w:rsid w:val="000B00EA"/>
    <w:rsid w:val="000B01E4"/>
    <w:rsid w:val="000B02D2"/>
    <w:rsid w:val="000B03BC"/>
    <w:rsid w:val="000B06BD"/>
    <w:rsid w:val="000B0A5D"/>
    <w:rsid w:val="000B1477"/>
    <w:rsid w:val="000B1D34"/>
    <w:rsid w:val="000B22B1"/>
    <w:rsid w:val="000B31E9"/>
    <w:rsid w:val="000B3D77"/>
    <w:rsid w:val="000B3D8C"/>
    <w:rsid w:val="000B3DAB"/>
    <w:rsid w:val="000B481E"/>
    <w:rsid w:val="000B4890"/>
    <w:rsid w:val="000B4F76"/>
    <w:rsid w:val="000B5086"/>
    <w:rsid w:val="000B5413"/>
    <w:rsid w:val="000B5674"/>
    <w:rsid w:val="000B5D46"/>
    <w:rsid w:val="000B69AC"/>
    <w:rsid w:val="000B6ED2"/>
    <w:rsid w:val="000B7112"/>
    <w:rsid w:val="000C0EC0"/>
    <w:rsid w:val="000C0FAD"/>
    <w:rsid w:val="000C1252"/>
    <w:rsid w:val="000C18B7"/>
    <w:rsid w:val="000C2252"/>
    <w:rsid w:val="000C226E"/>
    <w:rsid w:val="000C2476"/>
    <w:rsid w:val="000C3D72"/>
    <w:rsid w:val="000C3E56"/>
    <w:rsid w:val="000C569A"/>
    <w:rsid w:val="000C569E"/>
    <w:rsid w:val="000C587C"/>
    <w:rsid w:val="000C5CF1"/>
    <w:rsid w:val="000C6221"/>
    <w:rsid w:val="000C63FB"/>
    <w:rsid w:val="000C655F"/>
    <w:rsid w:val="000C6682"/>
    <w:rsid w:val="000C66D9"/>
    <w:rsid w:val="000C6779"/>
    <w:rsid w:val="000C6D80"/>
    <w:rsid w:val="000C6E58"/>
    <w:rsid w:val="000C6F0D"/>
    <w:rsid w:val="000C7684"/>
    <w:rsid w:val="000D03F1"/>
    <w:rsid w:val="000D0BCA"/>
    <w:rsid w:val="000D1539"/>
    <w:rsid w:val="000D1E3F"/>
    <w:rsid w:val="000D1E5D"/>
    <w:rsid w:val="000D2B7D"/>
    <w:rsid w:val="000D2BA7"/>
    <w:rsid w:val="000D2C53"/>
    <w:rsid w:val="000D2F11"/>
    <w:rsid w:val="000D371C"/>
    <w:rsid w:val="000D38D9"/>
    <w:rsid w:val="000D42DD"/>
    <w:rsid w:val="000D49DD"/>
    <w:rsid w:val="000D507A"/>
    <w:rsid w:val="000D5251"/>
    <w:rsid w:val="000D5401"/>
    <w:rsid w:val="000D55C8"/>
    <w:rsid w:val="000D5AA4"/>
    <w:rsid w:val="000D5E39"/>
    <w:rsid w:val="000D65C2"/>
    <w:rsid w:val="000D69DF"/>
    <w:rsid w:val="000D6CF8"/>
    <w:rsid w:val="000D6E93"/>
    <w:rsid w:val="000D6F66"/>
    <w:rsid w:val="000D752D"/>
    <w:rsid w:val="000E014C"/>
    <w:rsid w:val="000E04EF"/>
    <w:rsid w:val="000E0842"/>
    <w:rsid w:val="000E0947"/>
    <w:rsid w:val="000E0B54"/>
    <w:rsid w:val="000E1142"/>
    <w:rsid w:val="000E305C"/>
    <w:rsid w:val="000E32B2"/>
    <w:rsid w:val="000E36AC"/>
    <w:rsid w:val="000E3CDD"/>
    <w:rsid w:val="000E40B6"/>
    <w:rsid w:val="000E4848"/>
    <w:rsid w:val="000E48AF"/>
    <w:rsid w:val="000E494C"/>
    <w:rsid w:val="000E4E4D"/>
    <w:rsid w:val="000E540E"/>
    <w:rsid w:val="000E5651"/>
    <w:rsid w:val="000E596A"/>
    <w:rsid w:val="000E5CC4"/>
    <w:rsid w:val="000E61CE"/>
    <w:rsid w:val="000E673E"/>
    <w:rsid w:val="000E6896"/>
    <w:rsid w:val="000F02E1"/>
    <w:rsid w:val="000F0982"/>
    <w:rsid w:val="000F1AB0"/>
    <w:rsid w:val="000F1B40"/>
    <w:rsid w:val="000F224C"/>
    <w:rsid w:val="000F2ACF"/>
    <w:rsid w:val="000F3810"/>
    <w:rsid w:val="000F3FE7"/>
    <w:rsid w:val="000F4138"/>
    <w:rsid w:val="000F4865"/>
    <w:rsid w:val="000F527B"/>
    <w:rsid w:val="000F5321"/>
    <w:rsid w:val="000F56F9"/>
    <w:rsid w:val="000F57CF"/>
    <w:rsid w:val="000F5AA6"/>
    <w:rsid w:val="000F5AF4"/>
    <w:rsid w:val="000F5BCB"/>
    <w:rsid w:val="000F6FF3"/>
    <w:rsid w:val="000F743A"/>
    <w:rsid w:val="000F75AA"/>
    <w:rsid w:val="000F791E"/>
    <w:rsid w:val="00100378"/>
    <w:rsid w:val="00100D8F"/>
    <w:rsid w:val="00101F74"/>
    <w:rsid w:val="0010225F"/>
    <w:rsid w:val="0010289C"/>
    <w:rsid w:val="00102CFA"/>
    <w:rsid w:val="00102D96"/>
    <w:rsid w:val="001033C6"/>
    <w:rsid w:val="0010361B"/>
    <w:rsid w:val="00103734"/>
    <w:rsid w:val="00103B88"/>
    <w:rsid w:val="001047EB"/>
    <w:rsid w:val="00105048"/>
    <w:rsid w:val="001051BD"/>
    <w:rsid w:val="0010535D"/>
    <w:rsid w:val="0010543D"/>
    <w:rsid w:val="0010550D"/>
    <w:rsid w:val="00105EE1"/>
    <w:rsid w:val="0010673A"/>
    <w:rsid w:val="001068F3"/>
    <w:rsid w:val="00106E1C"/>
    <w:rsid w:val="001073DC"/>
    <w:rsid w:val="001100FF"/>
    <w:rsid w:val="00110A34"/>
    <w:rsid w:val="00110D56"/>
    <w:rsid w:val="00110FAF"/>
    <w:rsid w:val="00111592"/>
    <w:rsid w:val="001118DD"/>
    <w:rsid w:val="001118F8"/>
    <w:rsid w:val="0011270E"/>
    <w:rsid w:val="001129BD"/>
    <w:rsid w:val="00112AE3"/>
    <w:rsid w:val="0011306B"/>
    <w:rsid w:val="00113D6C"/>
    <w:rsid w:val="001145A9"/>
    <w:rsid w:val="001149D4"/>
    <w:rsid w:val="00115468"/>
    <w:rsid w:val="0011556F"/>
    <w:rsid w:val="00115883"/>
    <w:rsid w:val="00116226"/>
    <w:rsid w:val="001163E3"/>
    <w:rsid w:val="001165E7"/>
    <w:rsid w:val="00116DE8"/>
    <w:rsid w:val="001177A3"/>
    <w:rsid w:val="0012061C"/>
    <w:rsid w:val="0012076A"/>
    <w:rsid w:val="001207A7"/>
    <w:rsid w:val="001211D6"/>
    <w:rsid w:val="0012179D"/>
    <w:rsid w:val="00121C3C"/>
    <w:rsid w:val="00122AC5"/>
    <w:rsid w:val="00122BF8"/>
    <w:rsid w:val="00123116"/>
    <w:rsid w:val="00123E01"/>
    <w:rsid w:val="00124A27"/>
    <w:rsid w:val="00125687"/>
    <w:rsid w:val="001260B1"/>
    <w:rsid w:val="001265C9"/>
    <w:rsid w:val="001269F2"/>
    <w:rsid w:val="00126EB2"/>
    <w:rsid w:val="00127FAC"/>
    <w:rsid w:val="00130699"/>
    <w:rsid w:val="00130772"/>
    <w:rsid w:val="00130B5D"/>
    <w:rsid w:val="001311F3"/>
    <w:rsid w:val="001327DF"/>
    <w:rsid w:val="00132F52"/>
    <w:rsid w:val="00133096"/>
    <w:rsid w:val="00133CBA"/>
    <w:rsid w:val="00134167"/>
    <w:rsid w:val="001348AC"/>
    <w:rsid w:val="00134A66"/>
    <w:rsid w:val="00135889"/>
    <w:rsid w:val="001359F0"/>
    <w:rsid w:val="00136943"/>
    <w:rsid w:val="00136E49"/>
    <w:rsid w:val="00136FD5"/>
    <w:rsid w:val="001371E6"/>
    <w:rsid w:val="00137457"/>
    <w:rsid w:val="00137D5A"/>
    <w:rsid w:val="00137F57"/>
    <w:rsid w:val="00140B5F"/>
    <w:rsid w:val="00140DEA"/>
    <w:rsid w:val="001413B9"/>
    <w:rsid w:val="0014142D"/>
    <w:rsid w:val="0014168B"/>
    <w:rsid w:val="0014185C"/>
    <w:rsid w:val="00141E42"/>
    <w:rsid w:val="00141FB0"/>
    <w:rsid w:val="00142078"/>
    <w:rsid w:val="001423FD"/>
    <w:rsid w:val="001426A9"/>
    <w:rsid w:val="00142D5A"/>
    <w:rsid w:val="00142D67"/>
    <w:rsid w:val="00142F7F"/>
    <w:rsid w:val="001443D2"/>
    <w:rsid w:val="00144694"/>
    <w:rsid w:val="00144AD1"/>
    <w:rsid w:val="00144CE6"/>
    <w:rsid w:val="0014524D"/>
    <w:rsid w:val="00145B77"/>
    <w:rsid w:val="00146876"/>
    <w:rsid w:val="00146C59"/>
    <w:rsid w:val="0014769F"/>
    <w:rsid w:val="001478B4"/>
    <w:rsid w:val="00147E26"/>
    <w:rsid w:val="00150186"/>
    <w:rsid w:val="00150613"/>
    <w:rsid w:val="00150785"/>
    <w:rsid w:val="00150873"/>
    <w:rsid w:val="00150DCE"/>
    <w:rsid w:val="00150FBB"/>
    <w:rsid w:val="0015151B"/>
    <w:rsid w:val="0015162E"/>
    <w:rsid w:val="00151DE8"/>
    <w:rsid w:val="00151EC9"/>
    <w:rsid w:val="0015297C"/>
    <w:rsid w:val="00152B9D"/>
    <w:rsid w:val="00153120"/>
    <w:rsid w:val="00153CBB"/>
    <w:rsid w:val="00153F84"/>
    <w:rsid w:val="0015421A"/>
    <w:rsid w:val="00154391"/>
    <w:rsid w:val="00154804"/>
    <w:rsid w:val="001548E2"/>
    <w:rsid w:val="00155AF1"/>
    <w:rsid w:val="00155DD6"/>
    <w:rsid w:val="00156B96"/>
    <w:rsid w:val="001611B2"/>
    <w:rsid w:val="0016141D"/>
    <w:rsid w:val="001629E9"/>
    <w:rsid w:val="00162E2E"/>
    <w:rsid w:val="00162EA3"/>
    <w:rsid w:val="001630AD"/>
    <w:rsid w:val="00163219"/>
    <w:rsid w:val="00163367"/>
    <w:rsid w:val="00163503"/>
    <w:rsid w:val="00163774"/>
    <w:rsid w:val="00163DE8"/>
    <w:rsid w:val="00164956"/>
    <w:rsid w:val="00165381"/>
    <w:rsid w:val="00165895"/>
    <w:rsid w:val="00165954"/>
    <w:rsid w:val="00166972"/>
    <w:rsid w:val="001672FD"/>
    <w:rsid w:val="00167DAE"/>
    <w:rsid w:val="00167F59"/>
    <w:rsid w:val="00170050"/>
    <w:rsid w:val="0017096C"/>
    <w:rsid w:val="001712FE"/>
    <w:rsid w:val="00171CD4"/>
    <w:rsid w:val="0017212A"/>
    <w:rsid w:val="00172EDB"/>
    <w:rsid w:val="00172F7F"/>
    <w:rsid w:val="00173589"/>
    <w:rsid w:val="001735FD"/>
    <w:rsid w:val="0017369A"/>
    <w:rsid w:val="00173CC2"/>
    <w:rsid w:val="0017429F"/>
    <w:rsid w:val="0017458B"/>
    <w:rsid w:val="00174BEC"/>
    <w:rsid w:val="00174EA4"/>
    <w:rsid w:val="00175EC6"/>
    <w:rsid w:val="00176054"/>
    <w:rsid w:val="001762A2"/>
    <w:rsid w:val="00176994"/>
    <w:rsid w:val="00176B23"/>
    <w:rsid w:val="00176E1C"/>
    <w:rsid w:val="0017702A"/>
    <w:rsid w:val="001771FE"/>
    <w:rsid w:val="001774F7"/>
    <w:rsid w:val="00177A27"/>
    <w:rsid w:val="00180E3C"/>
    <w:rsid w:val="00181020"/>
    <w:rsid w:val="00181A44"/>
    <w:rsid w:val="00181FA5"/>
    <w:rsid w:val="00182AE4"/>
    <w:rsid w:val="00183C3B"/>
    <w:rsid w:val="0018535C"/>
    <w:rsid w:val="0018574E"/>
    <w:rsid w:val="00185E0A"/>
    <w:rsid w:val="00185E8E"/>
    <w:rsid w:val="001860ED"/>
    <w:rsid w:val="00186181"/>
    <w:rsid w:val="001866FD"/>
    <w:rsid w:val="0018739C"/>
    <w:rsid w:val="00187B19"/>
    <w:rsid w:val="00190128"/>
    <w:rsid w:val="00190251"/>
    <w:rsid w:val="001904B6"/>
    <w:rsid w:val="00190AC7"/>
    <w:rsid w:val="00190E9D"/>
    <w:rsid w:val="00190FF4"/>
    <w:rsid w:val="00191417"/>
    <w:rsid w:val="00191ED7"/>
    <w:rsid w:val="001926F7"/>
    <w:rsid w:val="00192E59"/>
    <w:rsid w:val="00193053"/>
    <w:rsid w:val="001939EC"/>
    <w:rsid w:val="00193ED2"/>
    <w:rsid w:val="0019481A"/>
    <w:rsid w:val="00194936"/>
    <w:rsid w:val="00194C1D"/>
    <w:rsid w:val="00195099"/>
    <w:rsid w:val="00195225"/>
    <w:rsid w:val="001952D8"/>
    <w:rsid w:val="00195D2C"/>
    <w:rsid w:val="001965FE"/>
    <w:rsid w:val="00196AB1"/>
    <w:rsid w:val="001A06E8"/>
    <w:rsid w:val="001A06F4"/>
    <w:rsid w:val="001A0CE6"/>
    <w:rsid w:val="001A10C6"/>
    <w:rsid w:val="001A2528"/>
    <w:rsid w:val="001A3160"/>
    <w:rsid w:val="001A4036"/>
    <w:rsid w:val="001A423A"/>
    <w:rsid w:val="001A42CE"/>
    <w:rsid w:val="001A42D8"/>
    <w:rsid w:val="001A434E"/>
    <w:rsid w:val="001A5783"/>
    <w:rsid w:val="001A63FE"/>
    <w:rsid w:val="001A6CE6"/>
    <w:rsid w:val="001A6FB4"/>
    <w:rsid w:val="001A71E3"/>
    <w:rsid w:val="001B0484"/>
    <w:rsid w:val="001B0AA0"/>
    <w:rsid w:val="001B14CA"/>
    <w:rsid w:val="001B1643"/>
    <w:rsid w:val="001B22F9"/>
    <w:rsid w:val="001B254C"/>
    <w:rsid w:val="001B2789"/>
    <w:rsid w:val="001B3625"/>
    <w:rsid w:val="001B3890"/>
    <w:rsid w:val="001B3C63"/>
    <w:rsid w:val="001B4433"/>
    <w:rsid w:val="001B604A"/>
    <w:rsid w:val="001B6D79"/>
    <w:rsid w:val="001C0AFB"/>
    <w:rsid w:val="001C1775"/>
    <w:rsid w:val="001C185E"/>
    <w:rsid w:val="001C1AEB"/>
    <w:rsid w:val="001C1EC3"/>
    <w:rsid w:val="001C21BE"/>
    <w:rsid w:val="001C2955"/>
    <w:rsid w:val="001C2D92"/>
    <w:rsid w:val="001C32FE"/>
    <w:rsid w:val="001C4868"/>
    <w:rsid w:val="001C5921"/>
    <w:rsid w:val="001C592E"/>
    <w:rsid w:val="001C5ACE"/>
    <w:rsid w:val="001C63CE"/>
    <w:rsid w:val="001C7CAF"/>
    <w:rsid w:val="001D0252"/>
    <w:rsid w:val="001D08B0"/>
    <w:rsid w:val="001D0AAF"/>
    <w:rsid w:val="001D13B7"/>
    <w:rsid w:val="001D1681"/>
    <w:rsid w:val="001D19EE"/>
    <w:rsid w:val="001D23C6"/>
    <w:rsid w:val="001D282D"/>
    <w:rsid w:val="001D32FD"/>
    <w:rsid w:val="001D34A1"/>
    <w:rsid w:val="001D3899"/>
    <w:rsid w:val="001D3ACA"/>
    <w:rsid w:val="001D44D2"/>
    <w:rsid w:val="001D4BD3"/>
    <w:rsid w:val="001D5276"/>
    <w:rsid w:val="001D5A91"/>
    <w:rsid w:val="001D6A36"/>
    <w:rsid w:val="001D74C3"/>
    <w:rsid w:val="001D7B6A"/>
    <w:rsid w:val="001D7CDD"/>
    <w:rsid w:val="001D7D9B"/>
    <w:rsid w:val="001E0C2E"/>
    <w:rsid w:val="001E11A9"/>
    <w:rsid w:val="001E1355"/>
    <w:rsid w:val="001E1582"/>
    <w:rsid w:val="001E2147"/>
    <w:rsid w:val="001E2BDA"/>
    <w:rsid w:val="001E3290"/>
    <w:rsid w:val="001E3859"/>
    <w:rsid w:val="001E38FE"/>
    <w:rsid w:val="001E3999"/>
    <w:rsid w:val="001E39A6"/>
    <w:rsid w:val="001E433B"/>
    <w:rsid w:val="001E4BDA"/>
    <w:rsid w:val="001E4EBD"/>
    <w:rsid w:val="001E545A"/>
    <w:rsid w:val="001E5812"/>
    <w:rsid w:val="001E5C5B"/>
    <w:rsid w:val="001E6C18"/>
    <w:rsid w:val="001E7000"/>
    <w:rsid w:val="001E758D"/>
    <w:rsid w:val="001F0604"/>
    <w:rsid w:val="001F0912"/>
    <w:rsid w:val="001F0C5D"/>
    <w:rsid w:val="001F0E4E"/>
    <w:rsid w:val="001F105A"/>
    <w:rsid w:val="001F12AF"/>
    <w:rsid w:val="001F221F"/>
    <w:rsid w:val="001F235E"/>
    <w:rsid w:val="001F296C"/>
    <w:rsid w:val="001F2ABB"/>
    <w:rsid w:val="001F35C6"/>
    <w:rsid w:val="001F4238"/>
    <w:rsid w:val="001F42AA"/>
    <w:rsid w:val="001F4E0E"/>
    <w:rsid w:val="001F4E9C"/>
    <w:rsid w:val="001F5652"/>
    <w:rsid w:val="001F68DC"/>
    <w:rsid w:val="001F7629"/>
    <w:rsid w:val="00200019"/>
    <w:rsid w:val="00200527"/>
    <w:rsid w:val="00200EFA"/>
    <w:rsid w:val="00201132"/>
    <w:rsid w:val="00201B9C"/>
    <w:rsid w:val="00201D86"/>
    <w:rsid w:val="002020F4"/>
    <w:rsid w:val="00202777"/>
    <w:rsid w:val="002028A1"/>
    <w:rsid w:val="00203316"/>
    <w:rsid w:val="00203CFF"/>
    <w:rsid w:val="00203EBC"/>
    <w:rsid w:val="00204178"/>
    <w:rsid w:val="00204370"/>
    <w:rsid w:val="002043D2"/>
    <w:rsid w:val="002049CB"/>
    <w:rsid w:val="00204C8E"/>
    <w:rsid w:val="002059BC"/>
    <w:rsid w:val="00205CBB"/>
    <w:rsid w:val="00206433"/>
    <w:rsid w:val="00206561"/>
    <w:rsid w:val="00207151"/>
    <w:rsid w:val="00207B57"/>
    <w:rsid w:val="00207D75"/>
    <w:rsid w:val="00210243"/>
    <w:rsid w:val="002104D8"/>
    <w:rsid w:val="00210515"/>
    <w:rsid w:val="00210924"/>
    <w:rsid w:val="00210FDE"/>
    <w:rsid w:val="002113B9"/>
    <w:rsid w:val="00211B18"/>
    <w:rsid w:val="00211F25"/>
    <w:rsid w:val="00212D2D"/>
    <w:rsid w:val="00213079"/>
    <w:rsid w:val="00214315"/>
    <w:rsid w:val="00214328"/>
    <w:rsid w:val="00215C61"/>
    <w:rsid w:val="00215DA7"/>
    <w:rsid w:val="00216560"/>
    <w:rsid w:val="00217889"/>
    <w:rsid w:val="00217A52"/>
    <w:rsid w:val="00217C5E"/>
    <w:rsid w:val="00217ECB"/>
    <w:rsid w:val="00217EF7"/>
    <w:rsid w:val="00221D8B"/>
    <w:rsid w:val="00222BD4"/>
    <w:rsid w:val="00222C39"/>
    <w:rsid w:val="0022461B"/>
    <w:rsid w:val="00224DF6"/>
    <w:rsid w:val="00224E05"/>
    <w:rsid w:val="002251A2"/>
    <w:rsid w:val="00225695"/>
    <w:rsid w:val="00225E09"/>
    <w:rsid w:val="00225F5C"/>
    <w:rsid w:val="002265A6"/>
    <w:rsid w:val="00226850"/>
    <w:rsid w:val="00226D84"/>
    <w:rsid w:val="00226E42"/>
    <w:rsid w:val="00227063"/>
    <w:rsid w:val="00227246"/>
    <w:rsid w:val="0022743E"/>
    <w:rsid w:val="0022748C"/>
    <w:rsid w:val="00227844"/>
    <w:rsid w:val="00227C82"/>
    <w:rsid w:val="00230EDE"/>
    <w:rsid w:val="00231C00"/>
    <w:rsid w:val="00231C37"/>
    <w:rsid w:val="00232065"/>
    <w:rsid w:val="0023289C"/>
    <w:rsid w:val="00232AA3"/>
    <w:rsid w:val="00232B49"/>
    <w:rsid w:val="00232D8A"/>
    <w:rsid w:val="00233474"/>
    <w:rsid w:val="002339FC"/>
    <w:rsid w:val="00233E95"/>
    <w:rsid w:val="00233F1A"/>
    <w:rsid w:val="00234519"/>
    <w:rsid w:val="00234748"/>
    <w:rsid w:val="00234938"/>
    <w:rsid w:val="002358E1"/>
    <w:rsid w:val="002361CD"/>
    <w:rsid w:val="00236A31"/>
    <w:rsid w:val="00237080"/>
    <w:rsid w:val="0023790E"/>
    <w:rsid w:val="00237B18"/>
    <w:rsid w:val="002400C6"/>
    <w:rsid w:val="002407DE"/>
    <w:rsid w:val="00240CAA"/>
    <w:rsid w:val="00240E07"/>
    <w:rsid w:val="002414DF"/>
    <w:rsid w:val="00241AA7"/>
    <w:rsid w:val="00241BD0"/>
    <w:rsid w:val="00241F9C"/>
    <w:rsid w:val="00242746"/>
    <w:rsid w:val="002431CA"/>
    <w:rsid w:val="00243349"/>
    <w:rsid w:val="002435C9"/>
    <w:rsid w:val="0024423E"/>
    <w:rsid w:val="002442C4"/>
    <w:rsid w:val="00244892"/>
    <w:rsid w:val="00244C85"/>
    <w:rsid w:val="00244CE9"/>
    <w:rsid w:val="0024500C"/>
    <w:rsid w:val="00245015"/>
    <w:rsid w:val="00245252"/>
    <w:rsid w:val="00245562"/>
    <w:rsid w:val="0024569F"/>
    <w:rsid w:val="00245962"/>
    <w:rsid w:val="002462DC"/>
    <w:rsid w:val="002467A8"/>
    <w:rsid w:val="00246889"/>
    <w:rsid w:val="002469E7"/>
    <w:rsid w:val="002471CD"/>
    <w:rsid w:val="00247395"/>
    <w:rsid w:val="002474CD"/>
    <w:rsid w:val="00247A8F"/>
    <w:rsid w:val="00247F76"/>
    <w:rsid w:val="002502AE"/>
    <w:rsid w:val="0025086F"/>
    <w:rsid w:val="00250BEE"/>
    <w:rsid w:val="0025177B"/>
    <w:rsid w:val="00253269"/>
    <w:rsid w:val="00253F70"/>
    <w:rsid w:val="00254549"/>
    <w:rsid w:val="00254B0B"/>
    <w:rsid w:val="00254BD5"/>
    <w:rsid w:val="00254BF4"/>
    <w:rsid w:val="00254D39"/>
    <w:rsid w:val="0025651F"/>
    <w:rsid w:val="00256B98"/>
    <w:rsid w:val="00256E3F"/>
    <w:rsid w:val="00256E50"/>
    <w:rsid w:val="00256ED2"/>
    <w:rsid w:val="00257417"/>
    <w:rsid w:val="00257EDD"/>
    <w:rsid w:val="00260A6B"/>
    <w:rsid w:val="00260B8E"/>
    <w:rsid w:val="002618ED"/>
    <w:rsid w:val="00262A66"/>
    <w:rsid w:val="00263543"/>
    <w:rsid w:val="002635D0"/>
    <w:rsid w:val="0026368B"/>
    <w:rsid w:val="0026374F"/>
    <w:rsid w:val="002643B8"/>
    <w:rsid w:val="002649FA"/>
    <w:rsid w:val="00265134"/>
    <w:rsid w:val="002654D9"/>
    <w:rsid w:val="00267609"/>
    <w:rsid w:val="00267DB9"/>
    <w:rsid w:val="00270A6E"/>
    <w:rsid w:val="00270E1F"/>
    <w:rsid w:val="00271683"/>
    <w:rsid w:val="00271EB2"/>
    <w:rsid w:val="00272037"/>
    <w:rsid w:val="002724E4"/>
    <w:rsid w:val="00272501"/>
    <w:rsid w:val="00272BAC"/>
    <w:rsid w:val="002733AC"/>
    <w:rsid w:val="00273480"/>
    <w:rsid w:val="0027589F"/>
    <w:rsid w:val="00275D28"/>
    <w:rsid w:val="00275FE9"/>
    <w:rsid w:val="00276CCF"/>
    <w:rsid w:val="00276DD8"/>
    <w:rsid w:val="0027704A"/>
    <w:rsid w:val="0028006E"/>
    <w:rsid w:val="00280120"/>
    <w:rsid w:val="00281524"/>
    <w:rsid w:val="0028166A"/>
    <w:rsid w:val="00281696"/>
    <w:rsid w:val="00281B44"/>
    <w:rsid w:val="002821C2"/>
    <w:rsid w:val="00282294"/>
    <w:rsid w:val="0028276B"/>
    <w:rsid w:val="002828BF"/>
    <w:rsid w:val="002829E6"/>
    <w:rsid w:val="00282B04"/>
    <w:rsid w:val="00282C95"/>
    <w:rsid w:val="00283A03"/>
    <w:rsid w:val="00283CFE"/>
    <w:rsid w:val="002841B2"/>
    <w:rsid w:val="002841DE"/>
    <w:rsid w:val="002841EC"/>
    <w:rsid w:val="00284554"/>
    <w:rsid w:val="00284D0B"/>
    <w:rsid w:val="00284EEA"/>
    <w:rsid w:val="0028592F"/>
    <w:rsid w:val="00285F12"/>
    <w:rsid w:val="00286501"/>
    <w:rsid w:val="0028691D"/>
    <w:rsid w:val="00287356"/>
    <w:rsid w:val="00287526"/>
    <w:rsid w:val="0028799A"/>
    <w:rsid w:val="00290FAE"/>
    <w:rsid w:val="00291F2F"/>
    <w:rsid w:val="002925E6"/>
    <w:rsid w:val="0029292A"/>
    <w:rsid w:val="002939B8"/>
    <w:rsid w:val="002939F1"/>
    <w:rsid w:val="00293E76"/>
    <w:rsid w:val="00294116"/>
    <w:rsid w:val="0029428E"/>
    <w:rsid w:val="00294660"/>
    <w:rsid w:val="00294704"/>
    <w:rsid w:val="00294CA0"/>
    <w:rsid w:val="00294EBA"/>
    <w:rsid w:val="0029532E"/>
    <w:rsid w:val="0029545C"/>
    <w:rsid w:val="00295FD5"/>
    <w:rsid w:val="0029665E"/>
    <w:rsid w:val="00296DFA"/>
    <w:rsid w:val="002975C8"/>
    <w:rsid w:val="00297891"/>
    <w:rsid w:val="002A0104"/>
    <w:rsid w:val="002A0395"/>
    <w:rsid w:val="002A0613"/>
    <w:rsid w:val="002A063D"/>
    <w:rsid w:val="002A0A66"/>
    <w:rsid w:val="002A0BA6"/>
    <w:rsid w:val="002A1101"/>
    <w:rsid w:val="002A166B"/>
    <w:rsid w:val="002A170E"/>
    <w:rsid w:val="002A2019"/>
    <w:rsid w:val="002A226E"/>
    <w:rsid w:val="002A22DE"/>
    <w:rsid w:val="002A2747"/>
    <w:rsid w:val="002A2D39"/>
    <w:rsid w:val="002A2F61"/>
    <w:rsid w:val="002A307A"/>
    <w:rsid w:val="002A3312"/>
    <w:rsid w:val="002A3A5E"/>
    <w:rsid w:val="002A439D"/>
    <w:rsid w:val="002A4EE7"/>
    <w:rsid w:val="002A5AE7"/>
    <w:rsid w:val="002A65A4"/>
    <w:rsid w:val="002A67D9"/>
    <w:rsid w:val="002A6A17"/>
    <w:rsid w:val="002A6E03"/>
    <w:rsid w:val="002A7105"/>
    <w:rsid w:val="002A74FB"/>
    <w:rsid w:val="002A7719"/>
    <w:rsid w:val="002A78AE"/>
    <w:rsid w:val="002A78F5"/>
    <w:rsid w:val="002A7FC4"/>
    <w:rsid w:val="002B02AE"/>
    <w:rsid w:val="002B0653"/>
    <w:rsid w:val="002B1126"/>
    <w:rsid w:val="002B1FB9"/>
    <w:rsid w:val="002B2631"/>
    <w:rsid w:val="002B2A9D"/>
    <w:rsid w:val="002B2CEE"/>
    <w:rsid w:val="002B336A"/>
    <w:rsid w:val="002B3431"/>
    <w:rsid w:val="002B398B"/>
    <w:rsid w:val="002B3B4A"/>
    <w:rsid w:val="002B44DB"/>
    <w:rsid w:val="002B4E97"/>
    <w:rsid w:val="002B5174"/>
    <w:rsid w:val="002B52B2"/>
    <w:rsid w:val="002B61E0"/>
    <w:rsid w:val="002B6B3E"/>
    <w:rsid w:val="002B6BE2"/>
    <w:rsid w:val="002B6BFF"/>
    <w:rsid w:val="002B782D"/>
    <w:rsid w:val="002B7982"/>
    <w:rsid w:val="002B7A41"/>
    <w:rsid w:val="002C0394"/>
    <w:rsid w:val="002C0A7B"/>
    <w:rsid w:val="002C1616"/>
    <w:rsid w:val="002C1F2B"/>
    <w:rsid w:val="002C2140"/>
    <w:rsid w:val="002C277D"/>
    <w:rsid w:val="002C3063"/>
    <w:rsid w:val="002C3CA2"/>
    <w:rsid w:val="002C4A82"/>
    <w:rsid w:val="002C4FFA"/>
    <w:rsid w:val="002C5145"/>
    <w:rsid w:val="002C66C9"/>
    <w:rsid w:val="002C70AB"/>
    <w:rsid w:val="002D07CF"/>
    <w:rsid w:val="002D0A2E"/>
    <w:rsid w:val="002D155B"/>
    <w:rsid w:val="002D18A1"/>
    <w:rsid w:val="002D1C34"/>
    <w:rsid w:val="002D39F2"/>
    <w:rsid w:val="002D3AD9"/>
    <w:rsid w:val="002D3EBF"/>
    <w:rsid w:val="002D430A"/>
    <w:rsid w:val="002D4323"/>
    <w:rsid w:val="002D4CDF"/>
    <w:rsid w:val="002D4D58"/>
    <w:rsid w:val="002D5D88"/>
    <w:rsid w:val="002D5DAA"/>
    <w:rsid w:val="002D6437"/>
    <w:rsid w:val="002D6C39"/>
    <w:rsid w:val="002D77B6"/>
    <w:rsid w:val="002D7B80"/>
    <w:rsid w:val="002E0135"/>
    <w:rsid w:val="002E09EF"/>
    <w:rsid w:val="002E0FAC"/>
    <w:rsid w:val="002E178D"/>
    <w:rsid w:val="002E18DB"/>
    <w:rsid w:val="002E1A86"/>
    <w:rsid w:val="002E1E5F"/>
    <w:rsid w:val="002E1EB4"/>
    <w:rsid w:val="002E2BC8"/>
    <w:rsid w:val="002E347E"/>
    <w:rsid w:val="002E38E1"/>
    <w:rsid w:val="002E3DD0"/>
    <w:rsid w:val="002E4487"/>
    <w:rsid w:val="002E54B6"/>
    <w:rsid w:val="002E6204"/>
    <w:rsid w:val="002E6443"/>
    <w:rsid w:val="002F07AB"/>
    <w:rsid w:val="002F13F0"/>
    <w:rsid w:val="002F140C"/>
    <w:rsid w:val="002F14C4"/>
    <w:rsid w:val="002F1DAE"/>
    <w:rsid w:val="002F2244"/>
    <w:rsid w:val="002F231D"/>
    <w:rsid w:val="002F29F1"/>
    <w:rsid w:val="002F3645"/>
    <w:rsid w:val="002F3816"/>
    <w:rsid w:val="002F398D"/>
    <w:rsid w:val="002F3F2D"/>
    <w:rsid w:val="002F4198"/>
    <w:rsid w:val="002F4381"/>
    <w:rsid w:val="002F46D2"/>
    <w:rsid w:val="002F537D"/>
    <w:rsid w:val="002F5534"/>
    <w:rsid w:val="002F5721"/>
    <w:rsid w:val="002F577B"/>
    <w:rsid w:val="002F5CB7"/>
    <w:rsid w:val="002F61A4"/>
    <w:rsid w:val="002F64A1"/>
    <w:rsid w:val="002F701E"/>
    <w:rsid w:val="002F74D7"/>
    <w:rsid w:val="002F7D2D"/>
    <w:rsid w:val="0030033A"/>
    <w:rsid w:val="00300895"/>
    <w:rsid w:val="00300989"/>
    <w:rsid w:val="00300CE4"/>
    <w:rsid w:val="00300DBD"/>
    <w:rsid w:val="00301D8C"/>
    <w:rsid w:val="00301DAF"/>
    <w:rsid w:val="00301FB8"/>
    <w:rsid w:val="003028B8"/>
    <w:rsid w:val="00302B76"/>
    <w:rsid w:val="00302E5B"/>
    <w:rsid w:val="00303009"/>
    <w:rsid w:val="00303038"/>
    <w:rsid w:val="0030341A"/>
    <w:rsid w:val="00303DA8"/>
    <w:rsid w:val="00304731"/>
    <w:rsid w:val="003049DA"/>
    <w:rsid w:val="0030589D"/>
    <w:rsid w:val="00305A25"/>
    <w:rsid w:val="00305ADF"/>
    <w:rsid w:val="003061C7"/>
    <w:rsid w:val="0031049D"/>
    <w:rsid w:val="00310528"/>
    <w:rsid w:val="00310F92"/>
    <w:rsid w:val="00311708"/>
    <w:rsid w:val="00311983"/>
    <w:rsid w:val="003120B6"/>
    <w:rsid w:val="003124D3"/>
    <w:rsid w:val="00312E84"/>
    <w:rsid w:val="00312F39"/>
    <w:rsid w:val="0031369E"/>
    <w:rsid w:val="00313784"/>
    <w:rsid w:val="00313942"/>
    <w:rsid w:val="003143E0"/>
    <w:rsid w:val="0031452B"/>
    <w:rsid w:val="00314549"/>
    <w:rsid w:val="0031458F"/>
    <w:rsid w:val="00314B4B"/>
    <w:rsid w:val="00315608"/>
    <w:rsid w:val="00315898"/>
    <w:rsid w:val="00315A95"/>
    <w:rsid w:val="00317322"/>
    <w:rsid w:val="00317BB1"/>
    <w:rsid w:val="0032010B"/>
    <w:rsid w:val="0032115C"/>
    <w:rsid w:val="00321E4C"/>
    <w:rsid w:val="00321FF4"/>
    <w:rsid w:val="0032288E"/>
    <w:rsid w:val="003243C6"/>
    <w:rsid w:val="0032505A"/>
    <w:rsid w:val="00325210"/>
    <w:rsid w:val="0032555B"/>
    <w:rsid w:val="00325A25"/>
    <w:rsid w:val="00325CB5"/>
    <w:rsid w:val="00326784"/>
    <w:rsid w:val="00326828"/>
    <w:rsid w:val="00326E27"/>
    <w:rsid w:val="0032702D"/>
    <w:rsid w:val="00327597"/>
    <w:rsid w:val="00327696"/>
    <w:rsid w:val="00327BD9"/>
    <w:rsid w:val="003308BD"/>
    <w:rsid w:val="0033221E"/>
    <w:rsid w:val="00332387"/>
    <w:rsid w:val="003329DD"/>
    <w:rsid w:val="00332D75"/>
    <w:rsid w:val="00332F7D"/>
    <w:rsid w:val="003337D1"/>
    <w:rsid w:val="00333E9A"/>
    <w:rsid w:val="00333EB8"/>
    <w:rsid w:val="00334182"/>
    <w:rsid w:val="00334655"/>
    <w:rsid w:val="003358A8"/>
    <w:rsid w:val="00335A6F"/>
    <w:rsid w:val="00336517"/>
    <w:rsid w:val="00336579"/>
    <w:rsid w:val="0033660E"/>
    <w:rsid w:val="00336733"/>
    <w:rsid w:val="00336893"/>
    <w:rsid w:val="00337620"/>
    <w:rsid w:val="00337A21"/>
    <w:rsid w:val="00337A57"/>
    <w:rsid w:val="00337C28"/>
    <w:rsid w:val="00337F96"/>
    <w:rsid w:val="0034031D"/>
    <w:rsid w:val="00340AC8"/>
    <w:rsid w:val="00340D5E"/>
    <w:rsid w:val="00340F19"/>
    <w:rsid w:val="0034121C"/>
    <w:rsid w:val="0034169E"/>
    <w:rsid w:val="00341A21"/>
    <w:rsid w:val="00342666"/>
    <w:rsid w:val="003428AC"/>
    <w:rsid w:val="00342B25"/>
    <w:rsid w:val="003432EE"/>
    <w:rsid w:val="0034339B"/>
    <w:rsid w:val="0034399F"/>
    <w:rsid w:val="00343B2C"/>
    <w:rsid w:val="003452F8"/>
    <w:rsid w:val="00345C7F"/>
    <w:rsid w:val="00346CA9"/>
    <w:rsid w:val="00347704"/>
    <w:rsid w:val="003479CF"/>
    <w:rsid w:val="0035094C"/>
    <w:rsid w:val="00350B63"/>
    <w:rsid w:val="00350C44"/>
    <w:rsid w:val="00350E8E"/>
    <w:rsid w:val="00351359"/>
    <w:rsid w:val="0035163B"/>
    <w:rsid w:val="00351672"/>
    <w:rsid w:val="003519E8"/>
    <w:rsid w:val="00351B63"/>
    <w:rsid w:val="0035212A"/>
    <w:rsid w:val="00352366"/>
    <w:rsid w:val="003524B6"/>
    <w:rsid w:val="00352747"/>
    <w:rsid w:val="0035328C"/>
    <w:rsid w:val="00353363"/>
    <w:rsid w:val="00354220"/>
    <w:rsid w:val="00354E0F"/>
    <w:rsid w:val="00354EBC"/>
    <w:rsid w:val="00355074"/>
    <w:rsid w:val="00356115"/>
    <w:rsid w:val="00356A8F"/>
    <w:rsid w:val="00356ADA"/>
    <w:rsid w:val="00357387"/>
    <w:rsid w:val="00360724"/>
    <w:rsid w:val="0036098D"/>
    <w:rsid w:val="0036177C"/>
    <w:rsid w:val="00361CED"/>
    <w:rsid w:val="00361DA1"/>
    <w:rsid w:val="00362DBC"/>
    <w:rsid w:val="00362F1C"/>
    <w:rsid w:val="0036317E"/>
    <w:rsid w:val="00363B1A"/>
    <w:rsid w:val="00364539"/>
    <w:rsid w:val="00364E1C"/>
    <w:rsid w:val="003655B4"/>
    <w:rsid w:val="003659FE"/>
    <w:rsid w:val="00367D0B"/>
    <w:rsid w:val="003704B3"/>
    <w:rsid w:val="003713FE"/>
    <w:rsid w:val="003731EE"/>
    <w:rsid w:val="003731F9"/>
    <w:rsid w:val="0037376F"/>
    <w:rsid w:val="00373E7D"/>
    <w:rsid w:val="00373F48"/>
    <w:rsid w:val="0037409F"/>
    <w:rsid w:val="00374C02"/>
    <w:rsid w:val="00375B16"/>
    <w:rsid w:val="00375F34"/>
    <w:rsid w:val="00376A77"/>
    <w:rsid w:val="00376CA4"/>
    <w:rsid w:val="003772C8"/>
    <w:rsid w:val="003774BD"/>
    <w:rsid w:val="0037789B"/>
    <w:rsid w:val="00377E29"/>
    <w:rsid w:val="003801C1"/>
    <w:rsid w:val="00381600"/>
    <w:rsid w:val="0038183B"/>
    <w:rsid w:val="003820A3"/>
    <w:rsid w:val="003820F9"/>
    <w:rsid w:val="0038298A"/>
    <w:rsid w:val="00382A03"/>
    <w:rsid w:val="00382BE1"/>
    <w:rsid w:val="00382C85"/>
    <w:rsid w:val="00382EAA"/>
    <w:rsid w:val="00382FC6"/>
    <w:rsid w:val="00383604"/>
    <w:rsid w:val="0038420F"/>
    <w:rsid w:val="00384503"/>
    <w:rsid w:val="00384F4D"/>
    <w:rsid w:val="00384F9F"/>
    <w:rsid w:val="003861C7"/>
    <w:rsid w:val="00386CAC"/>
    <w:rsid w:val="00386F50"/>
    <w:rsid w:val="00387847"/>
    <w:rsid w:val="00387CE2"/>
    <w:rsid w:val="00390310"/>
    <w:rsid w:val="00390BBD"/>
    <w:rsid w:val="00390EA0"/>
    <w:rsid w:val="00391209"/>
    <w:rsid w:val="003916E2"/>
    <w:rsid w:val="003918AC"/>
    <w:rsid w:val="00391912"/>
    <w:rsid w:val="00391CC7"/>
    <w:rsid w:val="003920DA"/>
    <w:rsid w:val="0039213F"/>
    <w:rsid w:val="00392181"/>
    <w:rsid w:val="003921B2"/>
    <w:rsid w:val="00393195"/>
    <w:rsid w:val="00394AEF"/>
    <w:rsid w:val="003957BA"/>
    <w:rsid w:val="00396BC8"/>
    <w:rsid w:val="00396D1B"/>
    <w:rsid w:val="00397582"/>
    <w:rsid w:val="00397B3C"/>
    <w:rsid w:val="003A039E"/>
    <w:rsid w:val="003A04FC"/>
    <w:rsid w:val="003A103F"/>
    <w:rsid w:val="003A14F1"/>
    <w:rsid w:val="003A1AA2"/>
    <w:rsid w:val="003A1BF6"/>
    <w:rsid w:val="003A1C40"/>
    <w:rsid w:val="003A1D8E"/>
    <w:rsid w:val="003A279F"/>
    <w:rsid w:val="003A2B76"/>
    <w:rsid w:val="003A2BC5"/>
    <w:rsid w:val="003A30C4"/>
    <w:rsid w:val="003A3732"/>
    <w:rsid w:val="003A40D9"/>
    <w:rsid w:val="003A5B87"/>
    <w:rsid w:val="003A5C64"/>
    <w:rsid w:val="003A5E8D"/>
    <w:rsid w:val="003A6701"/>
    <w:rsid w:val="003A7135"/>
    <w:rsid w:val="003B0134"/>
    <w:rsid w:val="003B122E"/>
    <w:rsid w:val="003B1629"/>
    <w:rsid w:val="003B25EF"/>
    <w:rsid w:val="003B2F9E"/>
    <w:rsid w:val="003B3705"/>
    <w:rsid w:val="003B373A"/>
    <w:rsid w:val="003B4079"/>
    <w:rsid w:val="003B415C"/>
    <w:rsid w:val="003B4547"/>
    <w:rsid w:val="003B5115"/>
    <w:rsid w:val="003B538E"/>
    <w:rsid w:val="003B5829"/>
    <w:rsid w:val="003B5DEF"/>
    <w:rsid w:val="003B63EF"/>
    <w:rsid w:val="003B64E5"/>
    <w:rsid w:val="003B6566"/>
    <w:rsid w:val="003B69CC"/>
    <w:rsid w:val="003B706E"/>
    <w:rsid w:val="003B74FE"/>
    <w:rsid w:val="003B7685"/>
    <w:rsid w:val="003C05B0"/>
    <w:rsid w:val="003C2339"/>
    <w:rsid w:val="003C2F0E"/>
    <w:rsid w:val="003C3BB2"/>
    <w:rsid w:val="003C4931"/>
    <w:rsid w:val="003C4F59"/>
    <w:rsid w:val="003C5160"/>
    <w:rsid w:val="003C5255"/>
    <w:rsid w:val="003C53A1"/>
    <w:rsid w:val="003C5C86"/>
    <w:rsid w:val="003C5E68"/>
    <w:rsid w:val="003C6352"/>
    <w:rsid w:val="003C6F7C"/>
    <w:rsid w:val="003C6FF9"/>
    <w:rsid w:val="003C72AA"/>
    <w:rsid w:val="003C7D61"/>
    <w:rsid w:val="003C7F3E"/>
    <w:rsid w:val="003D078B"/>
    <w:rsid w:val="003D0A60"/>
    <w:rsid w:val="003D11B3"/>
    <w:rsid w:val="003D14B6"/>
    <w:rsid w:val="003D15F7"/>
    <w:rsid w:val="003D1F37"/>
    <w:rsid w:val="003D259E"/>
    <w:rsid w:val="003D359F"/>
    <w:rsid w:val="003D3D42"/>
    <w:rsid w:val="003D3D54"/>
    <w:rsid w:val="003D3E94"/>
    <w:rsid w:val="003D3FBF"/>
    <w:rsid w:val="003D45B2"/>
    <w:rsid w:val="003D4CDF"/>
    <w:rsid w:val="003D546A"/>
    <w:rsid w:val="003D641A"/>
    <w:rsid w:val="003D695B"/>
    <w:rsid w:val="003D70B0"/>
    <w:rsid w:val="003D7777"/>
    <w:rsid w:val="003D7C29"/>
    <w:rsid w:val="003E016A"/>
    <w:rsid w:val="003E024D"/>
    <w:rsid w:val="003E0937"/>
    <w:rsid w:val="003E0A92"/>
    <w:rsid w:val="003E1A01"/>
    <w:rsid w:val="003E1B01"/>
    <w:rsid w:val="003E1D86"/>
    <w:rsid w:val="003E1F32"/>
    <w:rsid w:val="003E2550"/>
    <w:rsid w:val="003E311B"/>
    <w:rsid w:val="003E3527"/>
    <w:rsid w:val="003E355E"/>
    <w:rsid w:val="003E510E"/>
    <w:rsid w:val="003E539A"/>
    <w:rsid w:val="003E5B8F"/>
    <w:rsid w:val="003E6483"/>
    <w:rsid w:val="003E6E7B"/>
    <w:rsid w:val="003E7793"/>
    <w:rsid w:val="003E7F20"/>
    <w:rsid w:val="003F0448"/>
    <w:rsid w:val="003F0A85"/>
    <w:rsid w:val="003F176C"/>
    <w:rsid w:val="003F1894"/>
    <w:rsid w:val="003F2593"/>
    <w:rsid w:val="003F25D3"/>
    <w:rsid w:val="003F2650"/>
    <w:rsid w:val="003F3281"/>
    <w:rsid w:val="003F3E3D"/>
    <w:rsid w:val="003F4151"/>
    <w:rsid w:val="003F4673"/>
    <w:rsid w:val="003F536C"/>
    <w:rsid w:val="003F5A38"/>
    <w:rsid w:val="003F5DFC"/>
    <w:rsid w:val="003F5E71"/>
    <w:rsid w:val="003F6467"/>
    <w:rsid w:val="003F6789"/>
    <w:rsid w:val="003F67CD"/>
    <w:rsid w:val="003F6978"/>
    <w:rsid w:val="003F6C25"/>
    <w:rsid w:val="003F796C"/>
    <w:rsid w:val="003F7F42"/>
    <w:rsid w:val="003F7F4D"/>
    <w:rsid w:val="00400111"/>
    <w:rsid w:val="00400C95"/>
    <w:rsid w:val="00401248"/>
    <w:rsid w:val="00401530"/>
    <w:rsid w:val="00401B72"/>
    <w:rsid w:val="00402305"/>
    <w:rsid w:val="0040416D"/>
    <w:rsid w:val="0040434C"/>
    <w:rsid w:val="0040459A"/>
    <w:rsid w:val="00404883"/>
    <w:rsid w:val="004049DB"/>
    <w:rsid w:val="00405AB8"/>
    <w:rsid w:val="0040659B"/>
    <w:rsid w:val="004066BF"/>
    <w:rsid w:val="00406AD9"/>
    <w:rsid w:val="00406B0C"/>
    <w:rsid w:val="00406B4E"/>
    <w:rsid w:val="00406C21"/>
    <w:rsid w:val="00407443"/>
    <w:rsid w:val="004079EE"/>
    <w:rsid w:val="004111CF"/>
    <w:rsid w:val="00411E7C"/>
    <w:rsid w:val="0041256C"/>
    <w:rsid w:val="004125C2"/>
    <w:rsid w:val="0041283C"/>
    <w:rsid w:val="00412C26"/>
    <w:rsid w:val="00412C44"/>
    <w:rsid w:val="00413FB3"/>
    <w:rsid w:val="004146BA"/>
    <w:rsid w:val="0041482A"/>
    <w:rsid w:val="00415240"/>
    <w:rsid w:val="00416872"/>
    <w:rsid w:val="004168E8"/>
    <w:rsid w:val="00417699"/>
    <w:rsid w:val="0042010E"/>
    <w:rsid w:val="0042049C"/>
    <w:rsid w:val="00420A60"/>
    <w:rsid w:val="00420D65"/>
    <w:rsid w:val="004215C1"/>
    <w:rsid w:val="004218E2"/>
    <w:rsid w:val="00421998"/>
    <w:rsid w:val="00421A8F"/>
    <w:rsid w:val="00421AF1"/>
    <w:rsid w:val="00422002"/>
    <w:rsid w:val="004223C5"/>
    <w:rsid w:val="00422535"/>
    <w:rsid w:val="00422662"/>
    <w:rsid w:val="0042267A"/>
    <w:rsid w:val="00422823"/>
    <w:rsid w:val="004229D0"/>
    <w:rsid w:val="00422F9E"/>
    <w:rsid w:val="00423392"/>
    <w:rsid w:val="00423538"/>
    <w:rsid w:val="00423BBA"/>
    <w:rsid w:val="00423E37"/>
    <w:rsid w:val="00423EE3"/>
    <w:rsid w:val="00423FA5"/>
    <w:rsid w:val="004240C4"/>
    <w:rsid w:val="00424330"/>
    <w:rsid w:val="00424C4D"/>
    <w:rsid w:val="00424E05"/>
    <w:rsid w:val="0042595C"/>
    <w:rsid w:val="00425B26"/>
    <w:rsid w:val="00425CCA"/>
    <w:rsid w:val="00425FA1"/>
    <w:rsid w:val="0042641F"/>
    <w:rsid w:val="00426444"/>
    <w:rsid w:val="0042651D"/>
    <w:rsid w:val="00426AE0"/>
    <w:rsid w:val="00426BF7"/>
    <w:rsid w:val="00426E0A"/>
    <w:rsid w:val="00426FFA"/>
    <w:rsid w:val="00427FAB"/>
    <w:rsid w:val="004303CD"/>
    <w:rsid w:val="00431A87"/>
    <w:rsid w:val="004321E9"/>
    <w:rsid w:val="004324E1"/>
    <w:rsid w:val="0043278C"/>
    <w:rsid w:val="00432A17"/>
    <w:rsid w:val="00433571"/>
    <w:rsid w:val="00433C1C"/>
    <w:rsid w:val="0043430E"/>
    <w:rsid w:val="004348CF"/>
    <w:rsid w:val="00435248"/>
    <w:rsid w:val="004357CB"/>
    <w:rsid w:val="00437667"/>
    <w:rsid w:val="00440694"/>
    <w:rsid w:val="00440A52"/>
    <w:rsid w:val="00440ADA"/>
    <w:rsid w:val="00440DDD"/>
    <w:rsid w:val="00441277"/>
    <w:rsid w:val="004412EF"/>
    <w:rsid w:val="00441DB5"/>
    <w:rsid w:val="00441E5A"/>
    <w:rsid w:val="00442337"/>
    <w:rsid w:val="00443655"/>
    <w:rsid w:val="00443667"/>
    <w:rsid w:val="00443B58"/>
    <w:rsid w:val="00443E24"/>
    <w:rsid w:val="004443CB"/>
    <w:rsid w:val="004445FC"/>
    <w:rsid w:val="00445FEC"/>
    <w:rsid w:val="00445FF8"/>
    <w:rsid w:val="0044721A"/>
    <w:rsid w:val="00447EA8"/>
    <w:rsid w:val="00450594"/>
    <w:rsid w:val="00450F62"/>
    <w:rsid w:val="0045130E"/>
    <w:rsid w:val="00451B9F"/>
    <w:rsid w:val="004530CF"/>
    <w:rsid w:val="00453E82"/>
    <w:rsid w:val="0045456B"/>
    <w:rsid w:val="00454629"/>
    <w:rsid w:val="00454632"/>
    <w:rsid w:val="00454D1B"/>
    <w:rsid w:val="00454E9E"/>
    <w:rsid w:val="00455591"/>
    <w:rsid w:val="00455683"/>
    <w:rsid w:val="00455C2B"/>
    <w:rsid w:val="00456090"/>
    <w:rsid w:val="0045673D"/>
    <w:rsid w:val="004578DD"/>
    <w:rsid w:val="00457A6B"/>
    <w:rsid w:val="00457C91"/>
    <w:rsid w:val="00457FA8"/>
    <w:rsid w:val="004601C4"/>
    <w:rsid w:val="00460729"/>
    <w:rsid w:val="00461BA2"/>
    <w:rsid w:val="00461E17"/>
    <w:rsid w:val="004620D1"/>
    <w:rsid w:val="00462115"/>
    <w:rsid w:val="004629EF"/>
    <w:rsid w:val="00463639"/>
    <w:rsid w:val="00463DEB"/>
    <w:rsid w:val="00463E93"/>
    <w:rsid w:val="00464A52"/>
    <w:rsid w:val="00464BD0"/>
    <w:rsid w:val="00464C93"/>
    <w:rsid w:val="00464DEB"/>
    <w:rsid w:val="00464FDB"/>
    <w:rsid w:val="0046573C"/>
    <w:rsid w:val="004658CD"/>
    <w:rsid w:val="004658E7"/>
    <w:rsid w:val="00465D51"/>
    <w:rsid w:val="004660EE"/>
    <w:rsid w:val="004664D0"/>
    <w:rsid w:val="00466724"/>
    <w:rsid w:val="00466B56"/>
    <w:rsid w:val="00466E39"/>
    <w:rsid w:val="00466E4B"/>
    <w:rsid w:val="00466EF7"/>
    <w:rsid w:val="00467002"/>
    <w:rsid w:val="00467386"/>
    <w:rsid w:val="004673BE"/>
    <w:rsid w:val="00467AB0"/>
    <w:rsid w:val="00467E83"/>
    <w:rsid w:val="00470A40"/>
    <w:rsid w:val="004712FF"/>
    <w:rsid w:val="00471CA8"/>
    <w:rsid w:val="00471DF1"/>
    <w:rsid w:val="00471E75"/>
    <w:rsid w:val="00472122"/>
    <w:rsid w:val="00472C47"/>
    <w:rsid w:val="00472F5D"/>
    <w:rsid w:val="00472FB8"/>
    <w:rsid w:val="0047338C"/>
    <w:rsid w:val="00473414"/>
    <w:rsid w:val="004734B5"/>
    <w:rsid w:val="004736E8"/>
    <w:rsid w:val="004738FD"/>
    <w:rsid w:val="00473BBC"/>
    <w:rsid w:val="0047494B"/>
    <w:rsid w:val="00474B17"/>
    <w:rsid w:val="00474B70"/>
    <w:rsid w:val="00474FFE"/>
    <w:rsid w:val="0047517F"/>
    <w:rsid w:val="004755E5"/>
    <w:rsid w:val="004760AF"/>
    <w:rsid w:val="004760EC"/>
    <w:rsid w:val="00476156"/>
    <w:rsid w:val="00476F2A"/>
    <w:rsid w:val="00477710"/>
    <w:rsid w:val="0047786C"/>
    <w:rsid w:val="00477B9F"/>
    <w:rsid w:val="00477C0C"/>
    <w:rsid w:val="00477F9E"/>
    <w:rsid w:val="00480608"/>
    <w:rsid w:val="00480700"/>
    <w:rsid w:val="00480BEB"/>
    <w:rsid w:val="00480DE9"/>
    <w:rsid w:val="00480E24"/>
    <w:rsid w:val="00480E4B"/>
    <w:rsid w:val="004816F9"/>
    <w:rsid w:val="0048229F"/>
    <w:rsid w:val="004827D3"/>
    <w:rsid w:val="004828A6"/>
    <w:rsid w:val="004834ED"/>
    <w:rsid w:val="004839C7"/>
    <w:rsid w:val="00484365"/>
    <w:rsid w:val="004848A6"/>
    <w:rsid w:val="00484F4C"/>
    <w:rsid w:val="00485074"/>
    <w:rsid w:val="00485638"/>
    <w:rsid w:val="00485741"/>
    <w:rsid w:val="00485E1D"/>
    <w:rsid w:val="00485EB3"/>
    <w:rsid w:val="004865D0"/>
    <w:rsid w:val="00486614"/>
    <w:rsid w:val="00487BE5"/>
    <w:rsid w:val="00487E0F"/>
    <w:rsid w:val="004927D8"/>
    <w:rsid w:val="004928AC"/>
    <w:rsid w:val="0049299C"/>
    <w:rsid w:val="00492BE3"/>
    <w:rsid w:val="00492CC0"/>
    <w:rsid w:val="004930E6"/>
    <w:rsid w:val="004939FB"/>
    <w:rsid w:val="00493A32"/>
    <w:rsid w:val="00493C12"/>
    <w:rsid w:val="00494169"/>
    <w:rsid w:val="00494817"/>
    <w:rsid w:val="0049508C"/>
    <w:rsid w:val="00495C41"/>
    <w:rsid w:val="00495C66"/>
    <w:rsid w:val="00496358"/>
    <w:rsid w:val="00496621"/>
    <w:rsid w:val="004967F6"/>
    <w:rsid w:val="0049706F"/>
    <w:rsid w:val="004975D7"/>
    <w:rsid w:val="004A0BB6"/>
    <w:rsid w:val="004A0CB5"/>
    <w:rsid w:val="004A1D91"/>
    <w:rsid w:val="004A1FA2"/>
    <w:rsid w:val="004A208C"/>
    <w:rsid w:val="004A23E6"/>
    <w:rsid w:val="004A2B13"/>
    <w:rsid w:val="004A2DDC"/>
    <w:rsid w:val="004A340D"/>
    <w:rsid w:val="004A3433"/>
    <w:rsid w:val="004A3D77"/>
    <w:rsid w:val="004A4A09"/>
    <w:rsid w:val="004A4A55"/>
    <w:rsid w:val="004A4A58"/>
    <w:rsid w:val="004A4B28"/>
    <w:rsid w:val="004A4DE8"/>
    <w:rsid w:val="004A5697"/>
    <w:rsid w:val="004A59CF"/>
    <w:rsid w:val="004A6090"/>
    <w:rsid w:val="004A62AB"/>
    <w:rsid w:val="004A6670"/>
    <w:rsid w:val="004A6841"/>
    <w:rsid w:val="004A6B1A"/>
    <w:rsid w:val="004A6B97"/>
    <w:rsid w:val="004A7CD6"/>
    <w:rsid w:val="004A7EB6"/>
    <w:rsid w:val="004B028F"/>
    <w:rsid w:val="004B0330"/>
    <w:rsid w:val="004B0458"/>
    <w:rsid w:val="004B04A7"/>
    <w:rsid w:val="004B0DEC"/>
    <w:rsid w:val="004B0EDB"/>
    <w:rsid w:val="004B15EB"/>
    <w:rsid w:val="004B1F2D"/>
    <w:rsid w:val="004B20C9"/>
    <w:rsid w:val="004B28FF"/>
    <w:rsid w:val="004B2C55"/>
    <w:rsid w:val="004B2D12"/>
    <w:rsid w:val="004B2D5A"/>
    <w:rsid w:val="004B4F11"/>
    <w:rsid w:val="004B5932"/>
    <w:rsid w:val="004B5C40"/>
    <w:rsid w:val="004B5CCB"/>
    <w:rsid w:val="004B5E62"/>
    <w:rsid w:val="004B6696"/>
    <w:rsid w:val="004B675A"/>
    <w:rsid w:val="004B698F"/>
    <w:rsid w:val="004B6EEB"/>
    <w:rsid w:val="004B708B"/>
    <w:rsid w:val="004B7216"/>
    <w:rsid w:val="004B7482"/>
    <w:rsid w:val="004B7498"/>
    <w:rsid w:val="004B7BDF"/>
    <w:rsid w:val="004C0CF6"/>
    <w:rsid w:val="004C0EBF"/>
    <w:rsid w:val="004C1809"/>
    <w:rsid w:val="004C194E"/>
    <w:rsid w:val="004C21FC"/>
    <w:rsid w:val="004C2849"/>
    <w:rsid w:val="004C2CBF"/>
    <w:rsid w:val="004C32F8"/>
    <w:rsid w:val="004C38EA"/>
    <w:rsid w:val="004C3DCA"/>
    <w:rsid w:val="004C4A0F"/>
    <w:rsid w:val="004C4D18"/>
    <w:rsid w:val="004C4D3F"/>
    <w:rsid w:val="004C611C"/>
    <w:rsid w:val="004C6B80"/>
    <w:rsid w:val="004C6ED3"/>
    <w:rsid w:val="004C6F83"/>
    <w:rsid w:val="004C72CD"/>
    <w:rsid w:val="004C7E50"/>
    <w:rsid w:val="004D02B8"/>
    <w:rsid w:val="004D0860"/>
    <w:rsid w:val="004D0A76"/>
    <w:rsid w:val="004D1DE5"/>
    <w:rsid w:val="004D2123"/>
    <w:rsid w:val="004D2634"/>
    <w:rsid w:val="004D2DB0"/>
    <w:rsid w:val="004D2FA9"/>
    <w:rsid w:val="004D30CD"/>
    <w:rsid w:val="004D35AB"/>
    <w:rsid w:val="004D3AE0"/>
    <w:rsid w:val="004D3DF6"/>
    <w:rsid w:val="004D3EB1"/>
    <w:rsid w:val="004D46BA"/>
    <w:rsid w:val="004D62CC"/>
    <w:rsid w:val="004D641C"/>
    <w:rsid w:val="004D6559"/>
    <w:rsid w:val="004D68D6"/>
    <w:rsid w:val="004D78B5"/>
    <w:rsid w:val="004D7FED"/>
    <w:rsid w:val="004E0C9A"/>
    <w:rsid w:val="004E0D1D"/>
    <w:rsid w:val="004E1877"/>
    <w:rsid w:val="004E1943"/>
    <w:rsid w:val="004E1F60"/>
    <w:rsid w:val="004E225A"/>
    <w:rsid w:val="004E33DC"/>
    <w:rsid w:val="004E4773"/>
    <w:rsid w:val="004E5616"/>
    <w:rsid w:val="004E583A"/>
    <w:rsid w:val="004E5A38"/>
    <w:rsid w:val="004E601F"/>
    <w:rsid w:val="004E6A20"/>
    <w:rsid w:val="004E732B"/>
    <w:rsid w:val="004E76B5"/>
    <w:rsid w:val="004E7AEE"/>
    <w:rsid w:val="004F00C1"/>
    <w:rsid w:val="004F077A"/>
    <w:rsid w:val="004F09A6"/>
    <w:rsid w:val="004F1118"/>
    <w:rsid w:val="004F1174"/>
    <w:rsid w:val="004F1945"/>
    <w:rsid w:val="004F21FA"/>
    <w:rsid w:val="004F2895"/>
    <w:rsid w:val="004F378B"/>
    <w:rsid w:val="004F3E14"/>
    <w:rsid w:val="004F3F72"/>
    <w:rsid w:val="004F45A7"/>
    <w:rsid w:val="004F4820"/>
    <w:rsid w:val="004F4BFD"/>
    <w:rsid w:val="004F6869"/>
    <w:rsid w:val="004F6AFF"/>
    <w:rsid w:val="004F6DEF"/>
    <w:rsid w:val="004F72BD"/>
    <w:rsid w:val="004F7B1F"/>
    <w:rsid w:val="00500719"/>
    <w:rsid w:val="005007F4"/>
    <w:rsid w:val="00500BC1"/>
    <w:rsid w:val="00501AB3"/>
    <w:rsid w:val="00501C8A"/>
    <w:rsid w:val="00502829"/>
    <w:rsid w:val="00502C67"/>
    <w:rsid w:val="0050349E"/>
    <w:rsid w:val="00503665"/>
    <w:rsid w:val="00503E34"/>
    <w:rsid w:val="00503FAB"/>
    <w:rsid w:val="00504322"/>
    <w:rsid w:val="00504940"/>
    <w:rsid w:val="00504E10"/>
    <w:rsid w:val="00505C77"/>
    <w:rsid w:val="0050617A"/>
    <w:rsid w:val="005062E3"/>
    <w:rsid w:val="00506AFA"/>
    <w:rsid w:val="00506B5A"/>
    <w:rsid w:val="00510178"/>
    <w:rsid w:val="00512024"/>
    <w:rsid w:val="00512749"/>
    <w:rsid w:val="0051280E"/>
    <w:rsid w:val="00512A58"/>
    <w:rsid w:val="0051328D"/>
    <w:rsid w:val="00513485"/>
    <w:rsid w:val="00513A31"/>
    <w:rsid w:val="00513F18"/>
    <w:rsid w:val="00514495"/>
    <w:rsid w:val="00514A7E"/>
    <w:rsid w:val="00514D2A"/>
    <w:rsid w:val="00514E76"/>
    <w:rsid w:val="00515406"/>
    <w:rsid w:val="0051565D"/>
    <w:rsid w:val="00515964"/>
    <w:rsid w:val="00515A17"/>
    <w:rsid w:val="00515A7B"/>
    <w:rsid w:val="00515C8B"/>
    <w:rsid w:val="00516378"/>
    <w:rsid w:val="00516446"/>
    <w:rsid w:val="005167AD"/>
    <w:rsid w:val="005168F4"/>
    <w:rsid w:val="00516CB6"/>
    <w:rsid w:val="00517126"/>
    <w:rsid w:val="00517C74"/>
    <w:rsid w:val="00520BA9"/>
    <w:rsid w:val="00520D7C"/>
    <w:rsid w:val="005218B5"/>
    <w:rsid w:val="00521CF5"/>
    <w:rsid w:val="00522A16"/>
    <w:rsid w:val="00522EE5"/>
    <w:rsid w:val="005239D7"/>
    <w:rsid w:val="00523CB2"/>
    <w:rsid w:val="00524140"/>
    <w:rsid w:val="00524936"/>
    <w:rsid w:val="00524D70"/>
    <w:rsid w:val="0052510B"/>
    <w:rsid w:val="00525154"/>
    <w:rsid w:val="00525622"/>
    <w:rsid w:val="00525783"/>
    <w:rsid w:val="00526836"/>
    <w:rsid w:val="00526EE7"/>
    <w:rsid w:val="005271B6"/>
    <w:rsid w:val="0052770C"/>
    <w:rsid w:val="005277EC"/>
    <w:rsid w:val="00527E76"/>
    <w:rsid w:val="00530260"/>
    <w:rsid w:val="00530393"/>
    <w:rsid w:val="005305C1"/>
    <w:rsid w:val="00530B2A"/>
    <w:rsid w:val="00530D2F"/>
    <w:rsid w:val="005315A3"/>
    <w:rsid w:val="00531B99"/>
    <w:rsid w:val="0053225C"/>
    <w:rsid w:val="00532667"/>
    <w:rsid w:val="00532F05"/>
    <w:rsid w:val="005331DE"/>
    <w:rsid w:val="005332FA"/>
    <w:rsid w:val="0053344B"/>
    <w:rsid w:val="005335CD"/>
    <w:rsid w:val="00533929"/>
    <w:rsid w:val="005342F5"/>
    <w:rsid w:val="0053465A"/>
    <w:rsid w:val="00534A95"/>
    <w:rsid w:val="0053528A"/>
    <w:rsid w:val="00535AA6"/>
    <w:rsid w:val="00536917"/>
    <w:rsid w:val="00536BB5"/>
    <w:rsid w:val="00536BCD"/>
    <w:rsid w:val="00537B77"/>
    <w:rsid w:val="00537E7F"/>
    <w:rsid w:val="005403D6"/>
    <w:rsid w:val="0054046E"/>
    <w:rsid w:val="005412BC"/>
    <w:rsid w:val="005415F6"/>
    <w:rsid w:val="00541BB2"/>
    <w:rsid w:val="00541F8B"/>
    <w:rsid w:val="005429CC"/>
    <w:rsid w:val="00542B6E"/>
    <w:rsid w:val="00542C3B"/>
    <w:rsid w:val="005440D7"/>
    <w:rsid w:val="005442E0"/>
    <w:rsid w:val="00544B36"/>
    <w:rsid w:val="00545AB6"/>
    <w:rsid w:val="00545B55"/>
    <w:rsid w:val="00545CB0"/>
    <w:rsid w:val="0054610A"/>
    <w:rsid w:val="00547852"/>
    <w:rsid w:val="005502CE"/>
    <w:rsid w:val="00550985"/>
    <w:rsid w:val="005512FA"/>
    <w:rsid w:val="00551B9C"/>
    <w:rsid w:val="00552265"/>
    <w:rsid w:val="0055240C"/>
    <w:rsid w:val="0055297A"/>
    <w:rsid w:val="00553291"/>
    <w:rsid w:val="00553807"/>
    <w:rsid w:val="00553C65"/>
    <w:rsid w:val="00554217"/>
    <w:rsid w:val="0055469C"/>
    <w:rsid w:val="00554EFD"/>
    <w:rsid w:val="00555442"/>
    <w:rsid w:val="005557B6"/>
    <w:rsid w:val="00556288"/>
    <w:rsid w:val="00556417"/>
    <w:rsid w:val="00556517"/>
    <w:rsid w:val="005566EE"/>
    <w:rsid w:val="005569AF"/>
    <w:rsid w:val="00556ECA"/>
    <w:rsid w:val="0055733E"/>
    <w:rsid w:val="005578DD"/>
    <w:rsid w:val="00557FAA"/>
    <w:rsid w:val="00560082"/>
    <w:rsid w:val="00560AD7"/>
    <w:rsid w:val="005617B4"/>
    <w:rsid w:val="00561C01"/>
    <w:rsid w:val="00562155"/>
    <w:rsid w:val="005622E0"/>
    <w:rsid w:val="005628C7"/>
    <w:rsid w:val="005631CB"/>
    <w:rsid w:val="005644FD"/>
    <w:rsid w:val="00565CD4"/>
    <w:rsid w:val="00565EEF"/>
    <w:rsid w:val="00566F93"/>
    <w:rsid w:val="00567295"/>
    <w:rsid w:val="005675A7"/>
    <w:rsid w:val="0056776C"/>
    <w:rsid w:val="005678F1"/>
    <w:rsid w:val="00570476"/>
    <w:rsid w:val="00570F97"/>
    <w:rsid w:val="00571F7A"/>
    <w:rsid w:val="00572E0E"/>
    <w:rsid w:val="00572FB1"/>
    <w:rsid w:val="005734E2"/>
    <w:rsid w:val="00573830"/>
    <w:rsid w:val="00573F11"/>
    <w:rsid w:val="005740B4"/>
    <w:rsid w:val="00574777"/>
    <w:rsid w:val="00574E84"/>
    <w:rsid w:val="00575750"/>
    <w:rsid w:val="00575E6F"/>
    <w:rsid w:val="005762BC"/>
    <w:rsid w:val="00577C3E"/>
    <w:rsid w:val="0058004A"/>
    <w:rsid w:val="0058059A"/>
    <w:rsid w:val="00580696"/>
    <w:rsid w:val="00580C47"/>
    <w:rsid w:val="00581256"/>
    <w:rsid w:val="00581DB5"/>
    <w:rsid w:val="00582CB8"/>
    <w:rsid w:val="00582F9D"/>
    <w:rsid w:val="005831A8"/>
    <w:rsid w:val="00583C33"/>
    <w:rsid w:val="00583D58"/>
    <w:rsid w:val="005842B0"/>
    <w:rsid w:val="00584561"/>
    <w:rsid w:val="00584D1D"/>
    <w:rsid w:val="00585104"/>
    <w:rsid w:val="00586074"/>
    <w:rsid w:val="00586802"/>
    <w:rsid w:val="005870C2"/>
    <w:rsid w:val="00587F1C"/>
    <w:rsid w:val="005905B3"/>
    <w:rsid w:val="005905F7"/>
    <w:rsid w:val="00590D56"/>
    <w:rsid w:val="00591091"/>
    <w:rsid w:val="00591584"/>
    <w:rsid w:val="00591EA1"/>
    <w:rsid w:val="005923E9"/>
    <w:rsid w:val="00592897"/>
    <w:rsid w:val="005936A2"/>
    <w:rsid w:val="005940B3"/>
    <w:rsid w:val="00594E41"/>
    <w:rsid w:val="00594FD6"/>
    <w:rsid w:val="0059504F"/>
    <w:rsid w:val="00595D3C"/>
    <w:rsid w:val="00595F4F"/>
    <w:rsid w:val="00597D97"/>
    <w:rsid w:val="005A0031"/>
    <w:rsid w:val="005A057A"/>
    <w:rsid w:val="005A0FB0"/>
    <w:rsid w:val="005A1EEE"/>
    <w:rsid w:val="005A2634"/>
    <w:rsid w:val="005A29CD"/>
    <w:rsid w:val="005A2A2F"/>
    <w:rsid w:val="005A2B92"/>
    <w:rsid w:val="005A2F6B"/>
    <w:rsid w:val="005A3AB1"/>
    <w:rsid w:val="005A42BB"/>
    <w:rsid w:val="005A5428"/>
    <w:rsid w:val="005A56F8"/>
    <w:rsid w:val="005A5D2C"/>
    <w:rsid w:val="005A6164"/>
    <w:rsid w:val="005A6850"/>
    <w:rsid w:val="005A69AD"/>
    <w:rsid w:val="005A746B"/>
    <w:rsid w:val="005A7867"/>
    <w:rsid w:val="005A7BB7"/>
    <w:rsid w:val="005B0580"/>
    <w:rsid w:val="005B0898"/>
    <w:rsid w:val="005B0984"/>
    <w:rsid w:val="005B099F"/>
    <w:rsid w:val="005B0D47"/>
    <w:rsid w:val="005B1A4D"/>
    <w:rsid w:val="005B1C03"/>
    <w:rsid w:val="005B1FD3"/>
    <w:rsid w:val="005B2DD2"/>
    <w:rsid w:val="005B30D5"/>
    <w:rsid w:val="005B32EC"/>
    <w:rsid w:val="005B3448"/>
    <w:rsid w:val="005B3581"/>
    <w:rsid w:val="005B3D15"/>
    <w:rsid w:val="005B4A08"/>
    <w:rsid w:val="005B506C"/>
    <w:rsid w:val="005B5A4A"/>
    <w:rsid w:val="005B5C29"/>
    <w:rsid w:val="005B5DB3"/>
    <w:rsid w:val="005B6A37"/>
    <w:rsid w:val="005B7CD9"/>
    <w:rsid w:val="005C0658"/>
    <w:rsid w:val="005C075B"/>
    <w:rsid w:val="005C184B"/>
    <w:rsid w:val="005C1B44"/>
    <w:rsid w:val="005C2067"/>
    <w:rsid w:val="005C2406"/>
    <w:rsid w:val="005C26E7"/>
    <w:rsid w:val="005C305B"/>
    <w:rsid w:val="005C3845"/>
    <w:rsid w:val="005C38BF"/>
    <w:rsid w:val="005C3F03"/>
    <w:rsid w:val="005C4145"/>
    <w:rsid w:val="005C4668"/>
    <w:rsid w:val="005C4960"/>
    <w:rsid w:val="005C4D83"/>
    <w:rsid w:val="005C5283"/>
    <w:rsid w:val="005C56BA"/>
    <w:rsid w:val="005C5AED"/>
    <w:rsid w:val="005C5B47"/>
    <w:rsid w:val="005C5F0D"/>
    <w:rsid w:val="005C5F73"/>
    <w:rsid w:val="005C61D1"/>
    <w:rsid w:val="005C62D0"/>
    <w:rsid w:val="005C65ED"/>
    <w:rsid w:val="005C7852"/>
    <w:rsid w:val="005D019C"/>
    <w:rsid w:val="005D03A0"/>
    <w:rsid w:val="005D05C0"/>
    <w:rsid w:val="005D1196"/>
    <w:rsid w:val="005D151F"/>
    <w:rsid w:val="005D1E0E"/>
    <w:rsid w:val="005D231B"/>
    <w:rsid w:val="005D2B67"/>
    <w:rsid w:val="005D4295"/>
    <w:rsid w:val="005D44AB"/>
    <w:rsid w:val="005D4B43"/>
    <w:rsid w:val="005D56D9"/>
    <w:rsid w:val="005D6264"/>
    <w:rsid w:val="005D6387"/>
    <w:rsid w:val="005D6785"/>
    <w:rsid w:val="005D7168"/>
    <w:rsid w:val="005D7F14"/>
    <w:rsid w:val="005D7FC0"/>
    <w:rsid w:val="005E0236"/>
    <w:rsid w:val="005E0A5B"/>
    <w:rsid w:val="005E0AE7"/>
    <w:rsid w:val="005E0F23"/>
    <w:rsid w:val="005E0F69"/>
    <w:rsid w:val="005E13C9"/>
    <w:rsid w:val="005E185A"/>
    <w:rsid w:val="005E1D4F"/>
    <w:rsid w:val="005E229E"/>
    <w:rsid w:val="005E25EE"/>
    <w:rsid w:val="005E3BBF"/>
    <w:rsid w:val="005E3BD2"/>
    <w:rsid w:val="005E431C"/>
    <w:rsid w:val="005E4669"/>
    <w:rsid w:val="005E542A"/>
    <w:rsid w:val="005E555B"/>
    <w:rsid w:val="005E58C8"/>
    <w:rsid w:val="005E6489"/>
    <w:rsid w:val="005E6C57"/>
    <w:rsid w:val="005E7542"/>
    <w:rsid w:val="005F03CF"/>
    <w:rsid w:val="005F06B4"/>
    <w:rsid w:val="005F0B9A"/>
    <w:rsid w:val="005F1F01"/>
    <w:rsid w:val="005F20EF"/>
    <w:rsid w:val="005F2187"/>
    <w:rsid w:val="005F222F"/>
    <w:rsid w:val="005F25EC"/>
    <w:rsid w:val="005F2D6D"/>
    <w:rsid w:val="005F3125"/>
    <w:rsid w:val="005F35E4"/>
    <w:rsid w:val="005F3979"/>
    <w:rsid w:val="005F3AE5"/>
    <w:rsid w:val="005F3B38"/>
    <w:rsid w:val="005F3C69"/>
    <w:rsid w:val="005F3D22"/>
    <w:rsid w:val="005F438F"/>
    <w:rsid w:val="005F458F"/>
    <w:rsid w:val="005F5DC1"/>
    <w:rsid w:val="005F5DE6"/>
    <w:rsid w:val="005F5E1D"/>
    <w:rsid w:val="005F64CC"/>
    <w:rsid w:val="005F76DB"/>
    <w:rsid w:val="005F7B57"/>
    <w:rsid w:val="005F7FF2"/>
    <w:rsid w:val="00600147"/>
    <w:rsid w:val="00600435"/>
    <w:rsid w:val="006004E8"/>
    <w:rsid w:val="006005EB"/>
    <w:rsid w:val="006007A0"/>
    <w:rsid w:val="00600C15"/>
    <w:rsid w:val="00601B20"/>
    <w:rsid w:val="006022FE"/>
    <w:rsid w:val="00602D6E"/>
    <w:rsid w:val="00604AB6"/>
    <w:rsid w:val="00604E2E"/>
    <w:rsid w:val="00605BE0"/>
    <w:rsid w:val="00605BEC"/>
    <w:rsid w:val="006068EF"/>
    <w:rsid w:val="00606B4A"/>
    <w:rsid w:val="00607217"/>
    <w:rsid w:val="006078FB"/>
    <w:rsid w:val="006115D6"/>
    <w:rsid w:val="0061202C"/>
    <w:rsid w:val="00612652"/>
    <w:rsid w:val="00612FBD"/>
    <w:rsid w:val="00613A39"/>
    <w:rsid w:val="00613C36"/>
    <w:rsid w:val="00614105"/>
    <w:rsid w:val="00614369"/>
    <w:rsid w:val="006143A3"/>
    <w:rsid w:val="006144C9"/>
    <w:rsid w:val="0061476E"/>
    <w:rsid w:val="006155DB"/>
    <w:rsid w:val="00616676"/>
    <w:rsid w:val="006166AE"/>
    <w:rsid w:val="00616974"/>
    <w:rsid w:val="00616FBA"/>
    <w:rsid w:val="0061727B"/>
    <w:rsid w:val="00617F93"/>
    <w:rsid w:val="00620482"/>
    <w:rsid w:val="00621223"/>
    <w:rsid w:val="00621E6E"/>
    <w:rsid w:val="006223CB"/>
    <w:rsid w:val="006227B4"/>
    <w:rsid w:val="00622B62"/>
    <w:rsid w:val="00622F84"/>
    <w:rsid w:val="00623920"/>
    <w:rsid w:val="00623ECD"/>
    <w:rsid w:val="00624104"/>
    <w:rsid w:val="0062425C"/>
    <w:rsid w:val="0062450B"/>
    <w:rsid w:val="006245EF"/>
    <w:rsid w:val="00625150"/>
    <w:rsid w:val="006253B0"/>
    <w:rsid w:val="00625869"/>
    <w:rsid w:val="00625D10"/>
    <w:rsid w:val="00626F5A"/>
    <w:rsid w:val="00627051"/>
    <w:rsid w:val="00627554"/>
    <w:rsid w:val="006275EC"/>
    <w:rsid w:val="00627853"/>
    <w:rsid w:val="0063014B"/>
    <w:rsid w:val="00630301"/>
    <w:rsid w:val="00630471"/>
    <w:rsid w:val="006304BC"/>
    <w:rsid w:val="00630502"/>
    <w:rsid w:val="006307FE"/>
    <w:rsid w:val="00630B9C"/>
    <w:rsid w:val="00631FD6"/>
    <w:rsid w:val="00632270"/>
    <w:rsid w:val="00632514"/>
    <w:rsid w:val="006327A6"/>
    <w:rsid w:val="00632A7A"/>
    <w:rsid w:val="00632B52"/>
    <w:rsid w:val="00632FB3"/>
    <w:rsid w:val="006347CB"/>
    <w:rsid w:val="006348FD"/>
    <w:rsid w:val="00634EC0"/>
    <w:rsid w:val="0063583B"/>
    <w:rsid w:val="00635DE8"/>
    <w:rsid w:val="00635EFB"/>
    <w:rsid w:val="00636669"/>
    <w:rsid w:val="006366D1"/>
    <w:rsid w:val="0063687D"/>
    <w:rsid w:val="00640BFE"/>
    <w:rsid w:val="00641D21"/>
    <w:rsid w:val="00642214"/>
    <w:rsid w:val="0064290C"/>
    <w:rsid w:val="00642933"/>
    <w:rsid w:val="00642DB9"/>
    <w:rsid w:val="00642E73"/>
    <w:rsid w:val="00643031"/>
    <w:rsid w:val="006431AE"/>
    <w:rsid w:val="006437C6"/>
    <w:rsid w:val="00643DC8"/>
    <w:rsid w:val="00643E0D"/>
    <w:rsid w:val="00644094"/>
    <w:rsid w:val="00644908"/>
    <w:rsid w:val="00644A4A"/>
    <w:rsid w:val="00644DC3"/>
    <w:rsid w:val="00644E74"/>
    <w:rsid w:val="00645C21"/>
    <w:rsid w:val="00645F8E"/>
    <w:rsid w:val="006461C5"/>
    <w:rsid w:val="00646396"/>
    <w:rsid w:val="00646D38"/>
    <w:rsid w:val="00647701"/>
    <w:rsid w:val="006477B1"/>
    <w:rsid w:val="00647AC8"/>
    <w:rsid w:val="00647B15"/>
    <w:rsid w:val="0065042D"/>
    <w:rsid w:val="0065095E"/>
    <w:rsid w:val="00650C24"/>
    <w:rsid w:val="00650DC6"/>
    <w:rsid w:val="00650EC9"/>
    <w:rsid w:val="00651456"/>
    <w:rsid w:val="00651CE2"/>
    <w:rsid w:val="00651E4A"/>
    <w:rsid w:val="00652650"/>
    <w:rsid w:val="0065288F"/>
    <w:rsid w:val="00653172"/>
    <w:rsid w:val="00653F4F"/>
    <w:rsid w:val="00655179"/>
    <w:rsid w:val="006558BF"/>
    <w:rsid w:val="00655FC4"/>
    <w:rsid w:val="006565D8"/>
    <w:rsid w:val="00656815"/>
    <w:rsid w:val="00656CE8"/>
    <w:rsid w:val="006573C0"/>
    <w:rsid w:val="006574B1"/>
    <w:rsid w:val="00660F00"/>
    <w:rsid w:val="006617A7"/>
    <w:rsid w:val="00661D8A"/>
    <w:rsid w:val="006628BD"/>
    <w:rsid w:val="00662B59"/>
    <w:rsid w:val="006630EE"/>
    <w:rsid w:val="00663C01"/>
    <w:rsid w:val="00664BC3"/>
    <w:rsid w:val="006652D0"/>
    <w:rsid w:val="006653CB"/>
    <w:rsid w:val="0066550F"/>
    <w:rsid w:val="00665839"/>
    <w:rsid w:val="00665C36"/>
    <w:rsid w:val="00665F1A"/>
    <w:rsid w:val="00666AA0"/>
    <w:rsid w:val="00666AFB"/>
    <w:rsid w:val="00666DC1"/>
    <w:rsid w:val="006672EB"/>
    <w:rsid w:val="0067011C"/>
    <w:rsid w:val="00671560"/>
    <w:rsid w:val="006719DA"/>
    <w:rsid w:val="00671D16"/>
    <w:rsid w:val="00672508"/>
    <w:rsid w:val="0067305F"/>
    <w:rsid w:val="006739BE"/>
    <w:rsid w:val="00673DFF"/>
    <w:rsid w:val="006744E0"/>
    <w:rsid w:val="0067460A"/>
    <w:rsid w:val="00675127"/>
    <w:rsid w:val="00675C3F"/>
    <w:rsid w:val="00676B99"/>
    <w:rsid w:val="006778E6"/>
    <w:rsid w:val="00680376"/>
    <w:rsid w:val="006803F5"/>
    <w:rsid w:val="006808B3"/>
    <w:rsid w:val="00680E22"/>
    <w:rsid w:val="00681772"/>
    <w:rsid w:val="006817C4"/>
    <w:rsid w:val="00681F40"/>
    <w:rsid w:val="006820E4"/>
    <w:rsid w:val="00682741"/>
    <w:rsid w:val="00682F73"/>
    <w:rsid w:val="00683010"/>
    <w:rsid w:val="00683900"/>
    <w:rsid w:val="00683AE3"/>
    <w:rsid w:val="00684FEF"/>
    <w:rsid w:val="00685221"/>
    <w:rsid w:val="00686283"/>
    <w:rsid w:val="0068665A"/>
    <w:rsid w:val="00686BF5"/>
    <w:rsid w:val="00686DF3"/>
    <w:rsid w:val="00686FE6"/>
    <w:rsid w:val="0068768A"/>
    <w:rsid w:val="00690038"/>
    <w:rsid w:val="006900F1"/>
    <w:rsid w:val="0069085F"/>
    <w:rsid w:val="00690ACE"/>
    <w:rsid w:val="006914BA"/>
    <w:rsid w:val="00691954"/>
    <w:rsid w:val="00691B35"/>
    <w:rsid w:val="00692C4D"/>
    <w:rsid w:val="006930E4"/>
    <w:rsid w:val="006933AB"/>
    <w:rsid w:val="00693488"/>
    <w:rsid w:val="0069359C"/>
    <w:rsid w:val="00693A9F"/>
    <w:rsid w:val="006941E0"/>
    <w:rsid w:val="00694BEA"/>
    <w:rsid w:val="0069549B"/>
    <w:rsid w:val="00697639"/>
    <w:rsid w:val="00697AE6"/>
    <w:rsid w:val="00697E1F"/>
    <w:rsid w:val="006A0907"/>
    <w:rsid w:val="006A1AAE"/>
    <w:rsid w:val="006A1B05"/>
    <w:rsid w:val="006A1B60"/>
    <w:rsid w:val="006A2385"/>
    <w:rsid w:val="006A26F2"/>
    <w:rsid w:val="006A2813"/>
    <w:rsid w:val="006A3715"/>
    <w:rsid w:val="006A46E8"/>
    <w:rsid w:val="006A504F"/>
    <w:rsid w:val="006A5352"/>
    <w:rsid w:val="006A58A6"/>
    <w:rsid w:val="006A5903"/>
    <w:rsid w:val="006A7039"/>
    <w:rsid w:val="006A75DB"/>
    <w:rsid w:val="006B108C"/>
    <w:rsid w:val="006B1100"/>
    <w:rsid w:val="006B1804"/>
    <w:rsid w:val="006B22EC"/>
    <w:rsid w:val="006B259F"/>
    <w:rsid w:val="006B2CCA"/>
    <w:rsid w:val="006B2FEC"/>
    <w:rsid w:val="006B34EF"/>
    <w:rsid w:val="006B4093"/>
    <w:rsid w:val="006B4198"/>
    <w:rsid w:val="006B43B1"/>
    <w:rsid w:val="006B442F"/>
    <w:rsid w:val="006B49DE"/>
    <w:rsid w:val="006B4F02"/>
    <w:rsid w:val="006B4F4A"/>
    <w:rsid w:val="006B5E33"/>
    <w:rsid w:val="006B6605"/>
    <w:rsid w:val="006B690F"/>
    <w:rsid w:val="006B741B"/>
    <w:rsid w:val="006B7F79"/>
    <w:rsid w:val="006C06A2"/>
    <w:rsid w:val="006C0DAB"/>
    <w:rsid w:val="006C0DAD"/>
    <w:rsid w:val="006C0E40"/>
    <w:rsid w:val="006C17A3"/>
    <w:rsid w:val="006C251B"/>
    <w:rsid w:val="006C26E3"/>
    <w:rsid w:val="006C2706"/>
    <w:rsid w:val="006C2793"/>
    <w:rsid w:val="006C39AD"/>
    <w:rsid w:val="006C3CD5"/>
    <w:rsid w:val="006C3DD9"/>
    <w:rsid w:val="006C4240"/>
    <w:rsid w:val="006C4436"/>
    <w:rsid w:val="006C453C"/>
    <w:rsid w:val="006C524A"/>
    <w:rsid w:val="006C5424"/>
    <w:rsid w:val="006C55AF"/>
    <w:rsid w:val="006C569A"/>
    <w:rsid w:val="006C70B0"/>
    <w:rsid w:val="006C765D"/>
    <w:rsid w:val="006C77A8"/>
    <w:rsid w:val="006C7C49"/>
    <w:rsid w:val="006C7C4D"/>
    <w:rsid w:val="006D01F8"/>
    <w:rsid w:val="006D0648"/>
    <w:rsid w:val="006D0E07"/>
    <w:rsid w:val="006D208B"/>
    <w:rsid w:val="006D454A"/>
    <w:rsid w:val="006D4D5C"/>
    <w:rsid w:val="006D5A65"/>
    <w:rsid w:val="006D63D6"/>
    <w:rsid w:val="006D64E6"/>
    <w:rsid w:val="006D6A6B"/>
    <w:rsid w:val="006D6FAF"/>
    <w:rsid w:val="006E0294"/>
    <w:rsid w:val="006E02A3"/>
    <w:rsid w:val="006E03F7"/>
    <w:rsid w:val="006E2938"/>
    <w:rsid w:val="006E2D15"/>
    <w:rsid w:val="006E3EED"/>
    <w:rsid w:val="006E3F29"/>
    <w:rsid w:val="006E4FBC"/>
    <w:rsid w:val="006E574B"/>
    <w:rsid w:val="006E57ED"/>
    <w:rsid w:val="006E58ED"/>
    <w:rsid w:val="006E5963"/>
    <w:rsid w:val="006E5A24"/>
    <w:rsid w:val="006E5B01"/>
    <w:rsid w:val="006E64A0"/>
    <w:rsid w:val="006E6E39"/>
    <w:rsid w:val="006E6E66"/>
    <w:rsid w:val="006E707E"/>
    <w:rsid w:val="006E76A9"/>
    <w:rsid w:val="006E7745"/>
    <w:rsid w:val="006E7852"/>
    <w:rsid w:val="006F136A"/>
    <w:rsid w:val="006F1503"/>
    <w:rsid w:val="006F1609"/>
    <w:rsid w:val="006F1EDB"/>
    <w:rsid w:val="006F1F88"/>
    <w:rsid w:val="006F2825"/>
    <w:rsid w:val="006F3A9C"/>
    <w:rsid w:val="006F3AD6"/>
    <w:rsid w:val="006F3BD9"/>
    <w:rsid w:val="006F47F0"/>
    <w:rsid w:val="006F4CD1"/>
    <w:rsid w:val="006F4DF6"/>
    <w:rsid w:val="006F55D6"/>
    <w:rsid w:val="006F5B16"/>
    <w:rsid w:val="006F5E19"/>
    <w:rsid w:val="006F64EE"/>
    <w:rsid w:val="006F6FA2"/>
    <w:rsid w:val="006F7558"/>
    <w:rsid w:val="006F7575"/>
    <w:rsid w:val="006F759D"/>
    <w:rsid w:val="00700B9C"/>
    <w:rsid w:val="00701371"/>
    <w:rsid w:val="00701C83"/>
    <w:rsid w:val="00702BF2"/>
    <w:rsid w:val="00702FE4"/>
    <w:rsid w:val="0070361E"/>
    <w:rsid w:val="00703C35"/>
    <w:rsid w:val="00703D97"/>
    <w:rsid w:val="00704437"/>
    <w:rsid w:val="007044CB"/>
    <w:rsid w:val="00704B10"/>
    <w:rsid w:val="00704B33"/>
    <w:rsid w:val="00705225"/>
    <w:rsid w:val="007058D4"/>
    <w:rsid w:val="00705AF6"/>
    <w:rsid w:val="0070628E"/>
    <w:rsid w:val="00706508"/>
    <w:rsid w:val="0070689C"/>
    <w:rsid w:val="0070694A"/>
    <w:rsid w:val="00707361"/>
    <w:rsid w:val="00707817"/>
    <w:rsid w:val="00707C25"/>
    <w:rsid w:val="00707DD7"/>
    <w:rsid w:val="0071024B"/>
    <w:rsid w:val="007105B2"/>
    <w:rsid w:val="00710B32"/>
    <w:rsid w:val="007116B7"/>
    <w:rsid w:val="007116F0"/>
    <w:rsid w:val="00711955"/>
    <w:rsid w:val="00711CCF"/>
    <w:rsid w:val="0071205D"/>
    <w:rsid w:val="007121DF"/>
    <w:rsid w:val="007132BB"/>
    <w:rsid w:val="00713C19"/>
    <w:rsid w:val="00713E55"/>
    <w:rsid w:val="007155DC"/>
    <w:rsid w:val="00715A6F"/>
    <w:rsid w:val="00716D76"/>
    <w:rsid w:val="00722017"/>
    <w:rsid w:val="00722445"/>
    <w:rsid w:val="0072244A"/>
    <w:rsid w:val="007231E6"/>
    <w:rsid w:val="0072378B"/>
    <w:rsid w:val="00724D33"/>
    <w:rsid w:val="007252EB"/>
    <w:rsid w:val="0072545E"/>
    <w:rsid w:val="007254D5"/>
    <w:rsid w:val="0072553F"/>
    <w:rsid w:val="007256C1"/>
    <w:rsid w:val="007257C7"/>
    <w:rsid w:val="0072595B"/>
    <w:rsid w:val="00726197"/>
    <w:rsid w:val="00726418"/>
    <w:rsid w:val="00726667"/>
    <w:rsid w:val="00726707"/>
    <w:rsid w:val="007267D6"/>
    <w:rsid w:val="00726F77"/>
    <w:rsid w:val="00727A7B"/>
    <w:rsid w:val="00727F3C"/>
    <w:rsid w:val="0073043D"/>
    <w:rsid w:val="00730503"/>
    <w:rsid w:val="007305D2"/>
    <w:rsid w:val="007309B1"/>
    <w:rsid w:val="00730B13"/>
    <w:rsid w:val="00730DBE"/>
    <w:rsid w:val="00731BBE"/>
    <w:rsid w:val="00731C5F"/>
    <w:rsid w:val="00731C82"/>
    <w:rsid w:val="00731CEF"/>
    <w:rsid w:val="0073271B"/>
    <w:rsid w:val="00732E48"/>
    <w:rsid w:val="00733187"/>
    <w:rsid w:val="007337E4"/>
    <w:rsid w:val="007338A2"/>
    <w:rsid w:val="007346B3"/>
    <w:rsid w:val="0073474B"/>
    <w:rsid w:val="00734C63"/>
    <w:rsid w:val="00735022"/>
    <w:rsid w:val="007355B9"/>
    <w:rsid w:val="00735829"/>
    <w:rsid w:val="00735DCF"/>
    <w:rsid w:val="00736263"/>
    <w:rsid w:val="0073638F"/>
    <w:rsid w:val="00737B74"/>
    <w:rsid w:val="0074011F"/>
    <w:rsid w:val="0074054A"/>
    <w:rsid w:val="00740876"/>
    <w:rsid w:val="0074097B"/>
    <w:rsid w:val="00740CF2"/>
    <w:rsid w:val="00740DA7"/>
    <w:rsid w:val="00741147"/>
    <w:rsid w:val="00741327"/>
    <w:rsid w:val="007417C1"/>
    <w:rsid w:val="0074216E"/>
    <w:rsid w:val="0074260A"/>
    <w:rsid w:val="0074350A"/>
    <w:rsid w:val="0074386A"/>
    <w:rsid w:val="0074399E"/>
    <w:rsid w:val="007446AF"/>
    <w:rsid w:val="00745058"/>
    <w:rsid w:val="007451CC"/>
    <w:rsid w:val="00745A86"/>
    <w:rsid w:val="00745DF4"/>
    <w:rsid w:val="007465B7"/>
    <w:rsid w:val="007466B6"/>
    <w:rsid w:val="00746CBE"/>
    <w:rsid w:val="00746DD9"/>
    <w:rsid w:val="007472D6"/>
    <w:rsid w:val="007476D2"/>
    <w:rsid w:val="00747851"/>
    <w:rsid w:val="00747AC5"/>
    <w:rsid w:val="0075019D"/>
    <w:rsid w:val="0075021A"/>
    <w:rsid w:val="00750259"/>
    <w:rsid w:val="00750DEE"/>
    <w:rsid w:val="00751719"/>
    <w:rsid w:val="00752288"/>
    <w:rsid w:val="00752598"/>
    <w:rsid w:val="007529D8"/>
    <w:rsid w:val="007536EA"/>
    <w:rsid w:val="00753D9B"/>
    <w:rsid w:val="00753F4D"/>
    <w:rsid w:val="0075415F"/>
    <w:rsid w:val="0075435A"/>
    <w:rsid w:val="007544FA"/>
    <w:rsid w:val="00754CB1"/>
    <w:rsid w:val="0075589E"/>
    <w:rsid w:val="00755A64"/>
    <w:rsid w:val="00755E3E"/>
    <w:rsid w:val="00756175"/>
    <w:rsid w:val="00756877"/>
    <w:rsid w:val="00756EBE"/>
    <w:rsid w:val="007574F8"/>
    <w:rsid w:val="007578BF"/>
    <w:rsid w:val="00757E9C"/>
    <w:rsid w:val="007601B2"/>
    <w:rsid w:val="00760634"/>
    <w:rsid w:val="00760865"/>
    <w:rsid w:val="00760AB9"/>
    <w:rsid w:val="00761FC6"/>
    <w:rsid w:val="00762366"/>
    <w:rsid w:val="00762372"/>
    <w:rsid w:val="00763009"/>
    <w:rsid w:val="0076361B"/>
    <w:rsid w:val="00763621"/>
    <w:rsid w:val="007636A7"/>
    <w:rsid w:val="00763A2B"/>
    <w:rsid w:val="00763C21"/>
    <w:rsid w:val="00764AAD"/>
    <w:rsid w:val="00764C35"/>
    <w:rsid w:val="007651F4"/>
    <w:rsid w:val="00765535"/>
    <w:rsid w:val="007659BF"/>
    <w:rsid w:val="00765AD9"/>
    <w:rsid w:val="00765C1D"/>
    <w:rsid w:val="00765CEC"/>
    <w:rsid w:val="0076645E"/>
    <w:rsid w:val="0076698D"/>
    <w:rsid w:val="00766ACB"/>
    <w:rsid w:val="0076739A"/>
    <w:rsid w:val="00767A58"/>
    <w:rsid w:val="00767BAB"/>
    <w:rsid w:val="00770B29"/>
    <w:rsid w:val="00770BD2"/>
    <w:rsid w:val="0077180C"/>
    <w:rsid w:val="00771ADF"/>
    <w:rsid w:val="00772B41"/>
    <w:rsid w:val="00772D24"/>
    <w:rsid w:val="00774482"/>
    <w:rsid w:val="007748B0"/>
    <w:rsid w:val="007766E2"/>
    <w:rsid w:val="007766F1"/>
    <w:rsid w:val="007771C0"/>
    <w:rsid w:val="007775F9"/>
    <w:rsid w:val="007778DD"/>
    <w:rsid w:val="007779A2"/>
    <w:rsid w:val="00777CCF"/>
    <w:rsid w:val="00781393"/>
    <w:rsid w:val="007814A4"/>
    <w:rsid w:val="00781696"/>
    <w:rsid w:val="007818D3"/>
    <w:rsid w:val="00781BC1"/>
    <w:rsid w:val="00781C0A"/>
    <w:rsid w:val="00781C8B"/>
    <w:rsid w:val="00781F06"/>
    <w:rsid w:val="00782B0A"/>
    <w:rsid w:val="00782BBF"/>
    <w:rsid w:val="00782C2D"/>
    <w:rsid w:val="00783648"/>
    <w:rsid w:val="007837A0"/>
    <w:rsid w:val="00783B82"/>
    <w:rsid w:val="00784825"/>
    <w:rsid w:val="00785145"/>
    <w:rsid w:val="007853F6"/>
    <w:rsid w:val="00785878"/>
    <w:rsid w:val="00785D2A"/>
    <w:rsid w:val="00786C04"/>
    <w:rsid w:val="00787B4B"/>
    <w:rsid w:val="00787C96"/>
    <w:rsid w:val="00790114"/>
    <w:rsid w:val="00790A1E"/>
    <w:rsid w:val="00790E75"/>
    <w:rsid w:val="00790FB2"/>
    <w:rsid w:val="0079192D"/>
    <w:rsid w:val="00791D89"/>
    <w:rsid w:val="00791EE4"/>
    <w:rsid w:val="00792A71"/>
    <w:rsid w:val="00792DF1"/>
    <w:rsid w:val="00792EDB"/>
    <w:rsid w:val="007930A3"/>
    <w:rsid w:val="007935C4"/>
    <w:rsid w:val="0079365C"/>
    <w:rsid w:val="0079382F"/>
    <w:rsid w:val="00793E31"/>
    <w:rsid w:val="007941E9"/>
    <w:rsid w:val="0079452E"/>
    <w:rsid w:val="00795726"/>
    <w:rsid w:val="007959C2"/>
    <w:rsid w:val="00795BA1"/>
    <w:rsid w:val="0079647E"/>
    <w:rsid w:val="00797044"/>
    <w:rsid w:val="007972B5"/>
    <w:rsid w:val="00797617"/>
    <w:rsid w:val="00797F64"/>
    <w:rsid w:val="007A02F8"/>
    <w:rsid w:val="007A058E"/>
    <w:rsid w:val="007A0813"/>
    <w:rsid w:val="007A113D"/>
    <w:rsid w:val="007A197B"/>
    <w:rsid w:val="007A1B20"/>
    <w:rsid w:val="007A295C"/>
    <w:rsid w:val="007A2B1D"/>
    <w:rsid w:val="007A2EC2"/>
    <w:rsid w:val="007A33F5"/>
    <w:rsid w:val="007A3817"/>
    <w:rsid w:val="007A3B29"/>
    <w:rsid w:val="007A4C5A"/>
    <w:rsid w:val="007A55E0"/>
    <w:rsid w:val="007A5683"/>
    <w:rsid w:val="007A5908"/>
    <w:rsid w:val="007A61DB"/>
    <w:rsid w:val="007A6AC6"/>
    <w:rsid w:val="007A77B4"/>
    <w:rsid w:val="007A7A20"/>
    <w:rsid w:val="007B03D6"/>
    <w:rsid w:val="007B0675"/>
    <w:rsid w:val="007B08BD"/>
    <w:rsid w:val="007B1B5A"/>
    <w:rsid w:val="007B1D3F"/>
    <w:rsid w:val="007B256B"/>
    <w:rsid w:val="007B27B0"/>
    <w:rsid w:val="007B296E"/>
    <w:rsid w:val="007B2AA7"/>
    <w:rsid w:val="007B2DF3"/>
    <w:rsid w:val="007B3567"/>
    <w:rsid w:val="007B368C"/>
    <w:rsid w:val="007B3ADF"/>
    <w:rsid w:val="007B4D13"/>
    <w:rsid w:val="007B5177"/>
    <w:rsid w:val="007B5264"/>
    <w:rsid w:val="007B5387"/>
    <w:rsid w:val="007B5DBD"/>
    <w:rsid w:val="007B5EF2"/>
    <w:rsid w:val="007B5F02"/>
    <w:rsid w:val="007B5F3C"/>
    <w:rsid w:val="007B63BE"/>
    <w:rsid w:val="007B73DE"/>
    <w:rsid w:val="007B78B9"/>
    <w:rsid w:val="007B7E6A"/>
    <w:rsid w:val="007C033D"/>
    <w:rsid w:val="007C0DDC"/>
    <w:rsid w:val="007C1650"/>
    <w:rsid w:val="007C1B30"/>
    <w:rsid w:val="007C23AE"/>
    <w:rsid w:val="007C24D7"/>
    <w:rsid w:val="007C26C1"/>
    <w:rsid w:val="007C2879"/>
    <w:rsid w:val="007C2917"/>
    <w:rsid w:val="007C2966"/>
    <w:rsid w:val="007C2CB5"/>
    <w:rsid w:val="007C2EC0"/>
    <w:rsid w:val="007C387F"/>
    <w:rsid w:val="007C433E"/>
    <w:rsid w:val="007C4384"/>
    <w:rsid w:val="007C4900"/>
    <w:rsid w:val="007C4CA8"/>
    <w:rsid w:val="007C4DD3"/>
    <w:rsid w:val="007C4F7B"/>
    <w:rsid w:val="007C5311"/>
    <w:rsid w:val="007C589E"/>
    <w:rsid w:val="007C5A78"/>
    <w:rsid w:val="007C5BB4"/>
    <w:rsid w:val="007C5EBE"/>
    <w:rsid w:val="007C645F"/>
    <w:rsid w:val="007C6704"/>
    <w:rsid w:val="007C6801"/>
    <w:rsid w:val="007C69C6"/>
    <w:rsid w:val="007C6D31"/>
    <w:rsid w:val="007C74EE"/>
    <w:rsid w:val="007C7A1A"/>
    <w:rsid w:val="007D00EC"/>
    <w:rsid w:val="007D030E"/>
    <w:rsid w:val="007D07C1"/>
    <w:rsid w:val="007D109F"/>
    <w:rsid w:val="007D10B7"/>
    <w:rsid w:val="007D154C"/>
    <w:rsid w:val="007D187E"/>
    <w:rsid w:val="007D1961"/>
    <w:rsid w:val="007D362E"/>
    <w:rsid w:val="007D4114"/>
    <w:rsid w:val="007D468E"/>
    <w:rsid w:val="007D496B"/>
    <w:rsid w:val="007D4BE3"/>
    <w:rsid w:val="007D4D0E"/>
    <w:rsid w:val="007D4D62"/>
    <w:rsid w:val="007D4E35"/>
    <w:rsid w:val="007D5002"/>
    <w:rsid w:val="007D5AF6"/>
    <w:rsid w:val="007D5BBF"/>
    <w:rsid w:val="007D684A"/>
    <w:rsid w:val="007D72E2"/>
    <w:rsid w:val="007E08A3"/>
    <w:rsid w:val="007E09B1"/>
    <w:rsid w:val="007E163A"/>
    <w:rsid w:val="007E1C32"/>
    <w:rsid w:val="007E273D"/>
    <w:rsid w:val="007E2912"/>
    <w:rsid w:val="007E31C4"/>
    <w:rsid w:val="007E3543"/>
    <w:rsid w:val="007E36A2"/>
    <w:rsid w:val="007E3717"/>
    <w:rsid w:val="007E3733"/>
    <w:rsid w:val="007E3917"/>
    <w:rsid w:val="007E4434"/>
    <w:rsid w:val="007E5538"/>
    <w:rsid w:val="007E5680"/>
    <w:rsid w:val="007E58DA"/>
    <w:rsid w:val="007E59C8"/>
    <w:rsid w:val="007E5C96"/>
    <w:rsid w:val="007E5D32"/>
    <w:rsid w:val="007E6696"/>
    <w:rsid w:val="007E6861"/>
    <w:rsid w:val="007E6A0E"/>
    <w:rsid w:val="007E6BD2"/>
    <w:rsid w:val="007E6FEF"/>
    <w:rsid w:val="007E7AD8"/>
    <w:rsid w:val="007E7B86"/>
    <w:rsid w:val="007E7E59"/>
    <w:rsid w:val="007F0467"/>
    <w:rsid w:val="007F0CF4"/>
    <w:rsid w:val="007F26C0"/>
    <w:rsid w:val="007F2881"/>
    <w:rsid w:val="007F2E29"/>
    <w:rsid w:val="007F301D"/>
    <w:rsid w:val="007F3CE8"/>
    <w:rsid w:val="007F4957"/>
    <w:rsid w:val="007F495C"/>
    <w:rsid w:val="007F55E7"/>
    <w:rsid w:val="007F5E0B"/>
    <w:rsid w:val="007F60BC"/>
    <w:rsid w:val="007F6399"/>
    <w:rsid w:val="007F644B"/>
    <w:rsid w:val="007F6A77"/>
    <w:rsid w:val="007F6B46"/>
    <w:rsid w:val="007F6E51"/>
    <w:rsid w:val="007F7516"/>
    <w:rsid w:val="00800476"/>
    <w:rsid w:val="0080062C"/>
    <w:rsid w:val="00800CF4"/>
    <w:rsid w:val="00800EEE"/>
    <w:rsid w:val="008012CA"/>
    <w:rsid w:val="00801CB5"/>
    <w:rsid w:val="00801E4A"/>
    <w:rsid w:val="00802726"/>
    <w:rsid w:val="008029DD"/>
    <w:rsid w:val="008029F9"/>
    <w:rsid w:val="00802AC1"/>
    <w:rsid w:val="008045E4"/>
    <w:rsid w:val="00804C34"/>
    <w:rsid w:val="00804C41"/>
    <w:rsid w:val="00804D35"/>
    <w:rsid w:val="00804EA2"/>
    <w:rsid w:val="008051F5"/>
    <w:rsid w:val="0080631E"/>
    <w:rsid w:val="00806FDA"/>
    <w:rsid w:val="008075E3"/>
    <w:rsid w:val="00810B3F"/>
    <w:rsid w:val="00811053"/>
    <w:rsid w:val="0081145D"/>
    <w:rsid w:val="00811AFB"/>
    <w:rsid w:val="00811D7A"/>
    <w:rsid w:val="00811F9C"/>
    <w:rsid w:val="00813838"/>
    <w:rsid w:val="0081383B"/>
    <w:rsid w:val="0081410D"/>
    <w:rsid w:val="00814222"/>
    <w:rsid w:val="008154FD"/>
    <w:rsid w:val="00815C3E"/>
    <w:rsid w:val="008165BC"/>
    <w:rsid w:val="00816747"/>
    <w:rsid w:val="00816969"/>
    <w:rsid w:val="00816F82"/>
    <w:rsid w:val="00817318"/>
    <w:rsid w:val="008174D0"/>
    <w:rsid w:val="00820569"/>
    <w:rsid w:val="008207BE"/>
    <w:rsid w:val="008208C6"/>
    <w:rsid w:val="00820B1A"/>
    <w:rsid w:val="00820E2B"/>
    <w:rsid w:val="008210EA"/>
    <w:rsid w:val="008211D9"/>
    <w:rsid w:val="00821844"/>
    <w:rsid w:val="00822BD0"/>
    <w:rsid w:val="00823CB2"/>
    <w:rsid w:val="00823D52"/>
    <w:rsid w:val="00823D9B"/>
    <w:rsid w:val="00824385"/>
    <w:rsid w:val="008244DB"/>
    <w:rsid w:val="008248A8"/>
    <w:rsid w:val="00824BC9"/>
    <w:rsid w:val="00825B23"/>
    <w:rsid w:val="00825B73"/>
    <w:rsid w:val="00826970"/>
    <w:rsid w:val="00826CDE"/>
    <w:rsid w:val="00827427"/>
    <w:rsid w:val="008275B8"/>
    <w:rsid w:val="008276CB"/>
    <w:rsid w:val="00827EDD"/>
    <w:rsid w:val="008301FC"/>
    <w:rsid w:val="00830D1A"/>
    <w:rsid w:val="00830E30"/>
    <w:rsid w:val="008312CC"/>
    <w:rsid w:val="0083148D"/>
    <w:rsid w:val="00831871"/>
    <w:rsid w:val="008318A5"/>
    <w:rsid w:val="0083256B"/>
    <w:rsid w:val="0083302F"/>
    <w:rsid w:val="008333BB"/>
    <w:rsid w:val="0083380F"/>
    <w:rsid w:val="00833938"/>
    <w:rsid w:val="008345D9"/>
    <w:rsid w:val="00834ADD"/>
    <w:rsid w:val="00834B4D"/>
    <w:rsid w:val="00835DC2"/>
    <w:rsid w:val="008363E8"/>
    <w:rsid w:val="0083662D"/>
    <w:rsid w:val="00836EDD"/>
    <w:rsid w:val="00837FC5"/>
    <w:rsid w:val="0084076C"/>
    <w:rsid w:val="008407F1"/>
    <w:rsid w:val="0084089B"/>
    <w:rsid w:val="00840C68"/>
    <w:rsid w:val="00841402"/>
    <w:rsid w:val="00841B6F"/>
    <w:rsid w:val="0084210F"/>
    <w:rsid w:val="0084230A"/>
    <w:rsid w:val="00842658"/>
    <w:rsid w:val="00842EA2"/>
    <w:rsid w:val="00843212"/>
    <w:rsid w:val="0084444D"/>
    <w:rsid w:val="0084483A"/>
    <w:rsid w:val="00844C31"/>
    <w:rsid w:val="00844E0D"/>
    <w:rsid w:val="0084518B"/>
    <w:rsid w:val="008452B0"/>
    <w:rsid w:val="0084553C"/>
    <w:rsid w:val="008456BF"/>
    <w:rsid w:val="00845A39"/>
    <w:rsid w:val="00845B98"/>
    <w:rsid w:val="00846C74"/>
    <w:rsid w:val="00847EC9"/>
    <w:rsid w:val="0085047C"/>
    <w:rsid w:val="00851CB2"/>
    <w:rsid w:val="00852845"/>
    <w:rsid w:val="008544FE"/>
    <w:rsid w:val="0085459C"/>
    <w:rsid w:val="008546CB"/>
    <w:rsid w:val="00854AE7"/>
    <w:rsid w:val="00855169"/>
    <w:rsid w:val="00855934"/>
    <w:rsid w:val="00856884"/>
    <w:rsid w:val="00856B72"/>
    <w:rsid w:val="00856C35"/>
    <w:rsid w:val="00856CFD"/>
    <w:rsid w:val="008574DE"/>
    <w:rsid w:val="00857CFE"/>
    <w:rsid w:val="00861F5B"/>
    <w:rsid w:val="00862359"/>
    <w:rsid w:val="00862B0D"/>
    <w:rsid w:val="008637CD"/>
    <w:rsid w:val="00863A99"/>
    <w:rsid w:val="00864074"/>
    <w:rsid w:val="008647D5"/>
    <w:rsid w:val="008649E5"/>
    <w:rsid w:val="008669C9"/>
    <w:rsid w:val="008673A0"/>
    <w:rsid w:val="008678A4"/>
    <w:rsid w:val="00867E53"/>
    <w:rsid w:val="008703B5"/>
    <w:rsid w:val="00870A4D"/>
    <w:rsid w:val="00871218"/>
    <w:rsid w:val="00871639"/>
    <w:rsid w:val="008727ED"/>
    <w:rsid w:val="00872E5B"/>
    <w:rsid w:val="00873661"/>
    <w:rsid w:val="00873862"/>
    <w:rsid w:val="00873FB7"/>
    <w:rsid w:val="008741B8"/>
    <w:rsid w:val="0087435F"/>
    <w:rsid w:val="00874EDB"/>
    <w:rsid w:val="00875499"/>
    <w:rsid w:val="00875516"/>
    <w:rsid w:val="00875833"/>
    <w:rsid w:val="008758CF"/>
    <w:rsid w:val="00875AC0"/>
    <w:rsid w:val="00875E54"/>
    <w:rsid w:val="00876575"/>
    <w:rsid w:val="008770B8"/>
    <w:rsid w:val="00877A18"/>
    <w:rsid w:val="00880820"/>
    <w:rsid w:val="00881A5C"/>
    <w:rsid w:val="008820EF"/>
    <w:rsid w:val="00882E51"/>
    <w:rsid w:val="00882EAF"/>
    <w:rsid w:val="00882F9F"/>
    <w:rsid w:val="00883074"/>
    <w:rsid w:val="00883325"/>
    <w:rsid w:val="00883AF1"/>
    <w:rsid w:val="00883CD8"/>
    <w:rsid w:val="00883F1E"/>
    <w:rsid w:val="00884004"/>
    <w:rsid w:val="00884726"/>
    <w:rsid w:val="00884AC5"/>
    <w:rsid w:val="00885174"/>
    <w:rsid w:val="008855A8"/>
    <w:rsid w:val="00885B52"/>
    <w:rsid w:val="00885EEF"/>
    <w:rsid w:val="0088619A"/>
    <w:rsid w:val="00887185"/>
    <w:rsid w:val="0088740E"/>
    <w:rsid w:val="00887CD7"/>
    <w:rsid w:val="00887DB5"/>
    <w:rsid w:val="00890D28"/>
    <w:rsid w:val="008910DE"/>
    <w:rsid w:val="00891239"/>
    <w:rsid w:val="0089188A"/>
    <w:rsid w:val="00891C6E"/>
    <w:rsid w:val="00891FAD"/>
    <w:rsid w:val="00892294"/>
    <w:rsid w:val="00892D33"/>
    <w:rsid w:val="0089328E"/>
    <w:rsid w:val="00894715"/>
    <w:rsid w:val="00894DEC"/>
    <w:rsid w:val="00894F4A"/>
    <w:rsid w:val="00895E90"/>
    <w:rsid w:val="00896348"/>
    <w:rsid w:val="008967D1"/>
    <w:rsid w:val="00896DAD"/>
    <w:rsid w:val="008976AE"/>
    <w:rsid w:val="008979C0"/>
    <w:rsid w:val="00897DF8"/>
    <w:rsid w:val="008A0190"/>
    <w:rsid w:val="008A1EE2"/>
    <w:rsid w:val="008A1EE7"/>
    <w:rsid w:val="008A2995"/>
    <w:rsid w:val="008A2B2B"/>
    <w:rsid w:val="008A2D3C"/>
    <w:rsid w:val="008A438F"/>
    <w:rsid w:val="008A5DF2"/>
    <w:rsid w:val="008A5FCC"/>
    <w:rsid w:val="008A6390"/>
    <w:rsid w:val="008A66A2"/>
    <w:rsid w:val="008A69A7"/>
    <w:rsid w:val="008A7541"/>
    <w:rsid w:val="008A79D8"/>
    <w:rsid w:val="008A7BB7"/>
    <w:rsid w:val="008A7E85"/>
    <w:rsid w:val="008B1620"/>
    <w:rsid w:val="008B1C8D"/>
    <w:rsid w:val="008B1E49"/>
    <w:rsid w:val="008B2839"/>
    <w:rsid w:val="008B2FFD"/>
    <w:rsid w:val="008B3D82"/>
    <w:rsid w:val="008B41D4"/>
    <w:rsid w:val="008B4433"/>
    <w:rsid w:val="008B49C8"/>
    <w:rsid w:val="008B5279"/>
    <w:rsid w:val="008B5653"/>
    <w:rsid w:val="008B57DF"/>
    <w:rsid w:val="008B6AB5"/>
    <w:rsid w:val="008B75EC"/>
    <w:rsid w:val="008B7C18"/>
    <w:rsid w:val="008C018E"/>
    <w:rsid w:val="008C0452"/>
    <w:rsid w:val="008C0516"/>
    <w:rsid w:val="008C0FCB"/>
    <w:rsid w:val="008C0FDF"/>
    <w:rsid w:val="008C13D8"/>
    <w:rsid w:val="008C164A"/>
    <w:rsid w:val="008C1FB0"/>
    <w:rsid w:val="008C226D"/>
    <w:rsid w:val="008C263E"/>
    <w:rsid w:val="008C27D5"/>
    <w:rsid w:val="008C2B18"/>
    <w:rsid w:val="008C3BC1"/>
    <w:rsid w:val="008C3DDF"/>
    <w:rsid w:val="008C436D"/>
    <w:rsid w:val="008C543A"/>
    <w:rsid w:val="008C5453"/>
    <w:rsid w:val="008C5D11"/>
    <w:rsid w:val="008C5D29"/>
    <w:rsid w:val="008C60F8"/>
    <w:rsid w:val="008C6381"/>
    <w:rsid w:val="008C7421"/>
    <w:rsid w:val="008C749E"/>
    <w:rsid w:val="008C74F6"/>
    <w:rsid w:val="008C7EA5"/>
    <w:rsid w:val="008D0057"/>
    <w:rsid w:val="008D0333"/>
    <w:rsid w:val="008D056E"/>
    <w:rsid w:val="008D077E"/>
    <w:rsid w:val="008D079B"/>
    <w:rsid w:val="008D19E0"/>
    <w:rsid w:val="008D1E82"/>
    <w:rsid w:val="008D1F22"/>
    <w:rsid w:val="008D23A3"/>
    <w:rsid w:val="008D2442"/>
    <w:rsid w:val="008D269D"/>
    <w:rsid w:val="008D29FF"/>
    <w:rsid w:val="008D2C8A"/>
    <w:rsid w:val="008D30A2"/>
    <w:rsid w:val="008D3764"/>
    <w:rsid w:val="008D429E"/>
    <w:rsid w:val="008D450A"/>
    <w:rsid w:val="008D4796"/>
    <w:rsid w:val="008D4C68"/>
    <w:rsid w:val="008D4CC9"/>
    <w:rsid w:val="008D5697"/>
    <w:rsid w:val="008D601C"/>
    <w:rsid w:val="008D62EB"/>
    <w:rsid w:val="008D645D"/>
    <w:rsid w:val="008D6A07"/>
    <w:rsid w:val="008D71E9"/>
    <w:rsid w:val="008D79C1"/>
    <w:rsid w:val="008D7AA3"/>
    <w:rsid w:val="008E06F3"/>
    <w:rsid w:val="008E1133"/>
    <w:rsid w:val="008E1451"/>
    <w:rsid w:val="008E1A2F"/>
    <w:rsid w:val="008E241E"/>
    <w:rsid w:val="008E2DA0"/>
    <w:rsid w:val="008E2DC2"/>
    <w:rsid w:val="008E3224"/>
    <w:rsid w:val="008E335C"/>
    <w:rsid w:val="008E3559"/>
    <w:rsid w:val="008E35C5"/>
    <w:rsid w:val="008E4C48"/>
    <w:rsid w:val="008E4CE9"/>
    <w:rsid w:val="008E5500"/>
    <w:rsid w:val="008E5712"/>
    <w:rsid w:val="008E6246"/>
    <w:rsid w:val="008E6568"/>
    <w:rsid w:val="008E666F"/>
    <w:rsid w:val="008F13EC"/>
    <w:rsid w:val="008F18B4"/>
    <w:rsid w:val="008F1A53"/>
    <w:rsid w:val="008F1C06"/>
    <w:rsid w:val="008F1F97"/>
    <w:rsid w:val="008F3144"/>
    <w:rsid w:val="008F39CA"/>
    <w:rsid w:val="008F4572"/>
    <w:rsid w:val="008F4E58"/>
    <w:rsid w:val="008F54DB"/>
    <w:rsid w:val="008F561C"/>
    <w:rsid w:val="008F60CB"/>
    <w:rsid w:val="008F66BE"/>
    <w:rsid w:val="008F77E7"/>
    <w:rsid w:val="008F7E05"/>
    <w:rsid w:val="00900225"/>
    <w:rsid w:val="0090025B"/>
    <w:rsid w:val="0090228D"/>
    <w:rsid w:val="00902FDB"/>
    <w:rsid w:val="00903761"/>
    <w:rsid w:val="0090389D"/>
    <w:rsid w:val="00903A43"/>
    <w:rsid w:val="00903FE1"/>
    <w:rsid w:val="00904E65"/>
    <w:rsid w:val="00905193"/>
    <w:rsid w:val="00905BBF"/>
    <w:rsid w:val="0090619E"/>
    <w:rsid w:val="00906BEB"/>
    <w:rsid w:val="00906E20"/>
    <w:rsid w:val="00907311"/>
    <w:rsid w:val="009077FC"/>
    <w:rsid w:val="00910375"/>
    <w:rsid w:val="00910472"/>
    <w:rsid w:val="00910909"/>
    <w:rsid w:val="00910C4F"/>
    <w:rsid w:val="00911213"/>
    <w:rsid w:val="00912038"/>
    <w:rsid w:val="00912D41"/>
    <w:rsid w:val="00912E48"/>
    <w:rsid w:val="009139DA"/>
    <w:rsid w:val="00913DDD"/>
    <w:rsid w:val="00913EA8"/>
    <w:rsid w:val="009149E6"/>
    <w:rsid w:val="00914FB3"/>
    <w:rsid w:val="0091565D"/>
    <w:rsid w:val="00915A5E"/>
    <w:rsid w:val="00915F79"/>
    <w:rsid w:val="009160A6"/>
    <w:rsid w:val="00916E32"/>
    <w:rsid w:val="00917614"/>
    <w:rsid w:val="009178BC"/>
    <w:rsid w:val="00920C10"/>
    <w:rsid w:val="00920E5F"/>
    <w:rsid w:val="00920F76"/>
    <w:rsid w:val="00921E40"/>
    <w:rsid w:val="00922050"/>
    <w:rsid w:val="00922117"/>
    <w:rsid w:val="009224F6"/>
    <w:rsid w:val="009224FB"/>
    <w:rsid w:val="00922A50"/>
    <w:rsid w:val="00923309"/>
    <w:rsid w:val="00923410"/>
    <w:rsid w:val="009234C7"/>
    <w:rsid w:val="00923647"/>
    <w:rsid w:val="00923684"/>
    <w:rsid w:val="00924BF5"/>
    <w:rsid w:val="00925D25"/>
    <w:rsid w:val="00926291"/>
    <w:rsid w:val="00926829"/>
    <w:rsid w:val="00926BF5"/>
    <w:rsid w:val="009273C6"/>
    <w:rsid w:val="00927471"/>
    <w:rsid w:val="00927C63"/>
    <w:rsid w:val="00930205"/>
    <w:rsid w:val="00930417"/>
    <w:rsid w:val="00930C51"/>
    <w:rsid w:val="00931220"/>
    <w:rsid w:val="0093146A"/>
    <w:rsid w:val="00931D62"/>
    <w:rsid w:val="00932285"/>
    <w:rsid w:val="00932BA4"/>
    <w:rsid w:val="00932FD0"/>
    <w:rsid w:val="009332DA"/>
    <w:rsid w:val="009339DC"/>
    <w:rsid w:val="00935D74"/>
    <w:rsid w:val="00936255"/>
    <w:rsid w:val="00936A6D"/>
    <w:rsid w:val="00937C9C"/>
    <w:rsid w:val="00940973"/>
    <w:rsid w:val="00941499"/>
    <w:rsid w:val="00941831"/>
    <w:rsid w:val="009419C4"/>
    <w:rsid w:val="00941C02"/>
    <w:rsid w:val="009420B8"/>
    <w:rsid w:val="009422EA"/>
    <w:rsid w:val="0094542B"/>
    <w:rsid w:val="00945F6E"/>
    <w:rsid w:val="00946459"/>
    <w:rsid w:val="0094785D"/>
    <w:rsid w:val="00947E7C"/>
    <w:rsid w:val="00947FA0"/>
    <w:rsid w:val="00950A55"/>
    <w:rsid w:val="00950B92"/>
    <w:rsid w:val="00950C1C"/>
    <w:rsid w:val="00951193"/>
    <w:rsid w:val="009519A9"/>
    <w:rsid w:val="00952310"/>
    <w:rsid w:val="009523BE"/>
    <w:rsid w:val="00952618"/>
    <w:rsid w:val="0095292D"/>
    <w:rsid w:val="00952E1A"/>
    <w:rsid w:val="00952E6F"/>
    <w:rsid w:val="00953C68"/>
    <w:rsid w:val="009540EA"/>
    <w:rsid w:val="00954349"/>
    <w:rsid w:val="0095499B"/>
    <w:rsid w:val="00954FB0"/>
    <w:rsid w:val="00955A6F"/>
    <w:rsid w:val="00956082"/>
    <w:rsid w:val="0095634B"/>
    <w:rsid w:val="00956D4B"/>
    <w:rsid w:val="00957049"/>
    <w:rsid w:val="009572C0"/>
    <w:rsid w:val="009576F9"/>
    <w:rsid w:val="009603C1"/>
    <w:rsid w:val="0096047F"/>
    <w:rsid w:val="009606CA"/>
    <w:rsid w:val="00960C24"/>
    <w:rsid w:val="009615C2"/>
    <w:rsid w:val="009627AE"/>
    <w:rsid w:val="00963949"/>
    <w:rsid w:val="0096478A"/>
    <w:rsid w:val="00965197"/>
    <w:rsid w:val="0096708F"/>
    <w:rsid w:val="009671D3"/>
    <w:rsid w:val="009674A4"/>
    <w:rsid w:val="009676E2"/>
    <w:rsid w:val="00967735"/>
    <w:rsid w:val="009677FE"/>
    <w:rsid w:val="00967A1B"/>
    <w:rsid w:val="00967F85"/>
    <w:rsid w:val="00971474"/>
    <w:rsid w:val="00972705"/>
    <w:rsid w:val="00972C32"/>
    <w:rsid w:val="00973366"/>
    <w:rsid w:val="00973C64"/>
    <w:rsid w:val="00973C81"/>
    <w:rsid w:val="00973E8C"/>
    <w:rsid w:val="009745E8"/>
    <w:rsid w:val="00975665"/>
    <w:rsid w:val="0097583E"/>
    <w:rsid w:val="00975CCE"/>
    <w:rsid w:val="009761A1"/>
    <w:rsid w:val="00976249"/>
    <w:rsid w:val="009764AF"/>
    <w:rsid w:val="0097658F"/>
    <w:rsid w:val="009767A9"/>
    <w:rsid w:val="009772E7"/>
    <w:rsid w:val="0097783D"/>
    <w:rsid w:val="00980651"/>
    <w:rsid w:val="00980A7B"/>
    <w:rsid w:val="00980F7A"/>
    <w:rsid w:val="0098196F"/>
    <w:rsid w:val="00981EA8"/>
    <w:rsid w:val="00983423"/>
    <w:rsid w:val="009835D6"/>
    <w:rsid w:val="0098459F"/>
    <w:rsid w:val="00985804"/>
    <w:rsid w:val="0098584E"/>
    <w:rsid w:val="00985999"/>
    <w:rsid w:val="009859FE"/>
    <w:rsid w:val="00986346"/>
    <w:rsid w:val="00986AE5"/>
    <w:rsid w:val="0098767C"/>
    <w:rsid w:val="00987730"/>
    <w:rsid w:val="00990AC1"/>
    <w:rsid w:val="00990B88"/>
    <w:rsid w:val="00990DC6"/>
    <w:rsid w:val="00991671"/>
    <w:rsid w:val="009918A6"/>
    <w:rsid w:val="00991F4C"/>
    <w:rsid w:val="009922EF"/>
    <w:rsid w:val="0099315B"/>
    <w:rsid w:val="0099385F"/>
    <w:rsid w:val="00994004"/>
    <w:rsid w:val="0099409F"/>
    <w:rsid w:val="009943CB"/>
    <w:rsid w:val="00994CDC"/>
    <w:rsid w:val="00995019"/>
    <w:rsid w:val="00995260"/>
    <w:rsid w:val="00995AE2"/>
    <w:rsid w:val="00996BC7"/>
    <w:rsid w:val="00996DD1"/>
    <w:rsid w:val="009970CE"/>
    <w:rsid w:val="00997806"/>
    <w:rsid w:val="00997CE8"/>
    <w:rsid w:val="009A00A7"/>
    <w:rsid w:val="009A0109"/>
    <w:rsid w:val="009A034F"/>
    <w:rsid w:val="009A0756"/>
    <w:rsid w:val="009A16A0"/>
    <w:rsid w:val="009A1909"/>
    <w:rsid w:val="009A24B1"/>
    <w:rsid w:val="009A25CA"/>
    <w:rsid w:val="009A33B1"/>
    <w:rsid w:val="009A3562"/>
    <w:rsid w:val="009A3B94"/>
    <w:rsid w:val="009A40C2"/>
    <w:rsid w:val="009A51C7"/>
    <w:rsid w:val="009A5731"/>
    <w:rsid w:val="009A6731"/>
    <w:rsid w:val="009A6931"/>
    <w:rsid w:val="009A6D66"/>
    <w:rsid w:val="009A7088"/>
    <w:rsid w:val="009A732D"/>
    <w:rsid w:val="009A7C5F"/>
    <w:rsid w:val="009B08C9"/>
    <w:rsid w:val="009B0D45"/>
    <w:rsid w:val="009B0D7E"/>
    <w:rsid w:val="009B0F5E"/>
    <w:rsid w:val="009B119A"/>
    <w:rsid w:val="009B1F10"/>
    <w:rsid w:val="009B2473"/>
    <w:rsid w:val="009B27D9"/>
    <w:rsid w:val="009B2829"/>
    <w:rsid w:val="009B2E73"/>
    <w:rsid w:val="009B4059"/>
    <w:rsid w:val="009B4541"/>
    <w:rsid w:val="009B5233"/>
    <w:rsid w:val="009B52A8"/>
    <w:rsid w:val="009B5637"/>
    <w:rsid w:val="009B5846"/>
    <w:rsid w:val="009B61D1"/>
    <w:rsid w:val="009B6427"/>
    <w:rsid w:val="009B6435"/>
    <w:rsid w:val="009B71B6"/>
    <w:rsid w:val="009B755A"/>
    <w:rsid w:val="009B7B8E"/>
    <w:rsid w:val="009C1403"/>
    <w:rsid w:val="009C1A5B"/>
    <w:rsid w:val="009C26BF"/>
    <w:rsid w:val="009C2F07"/>
    <w:rsid w:val="009C3C54"/>
    <w:rsid w:val="009C3DD1"/>
    <w:rsid w:val="009C4230"/>
    <w:rsid w:val="009C4457"/>
    <w:rsid w:val="009C5017"/>
    <w:rsid w:val="009C5C88"/>
    <w:rsid w:val="009C66E6"/>
    <w:rsid w:val="009C6990"/>
    <w:rsid w:val="009D0818"/>
    <w:rsid w:val="009D0867"/>
    <w:rsid w:val="009D14F4"/>
    <w:rsid w:val="009D1696"/>
    <w:rsid w:val="009D1B14"/>
    <w:rsid w:val="009D2528"/>
    <w:rsid w:val="009D2F83"/>
    <w:rsid w:val="009D378D"/>
    <w:rsid w:val="009D3D5F"/>
    <w:rsid w:val="009D3F69"/>
    <w:rsid w:val="009D49F6"/>
    <w:rsid w:val="009D55D8"/>
    <w:rsid w:val="009D5E9E"/>
    <w:rsid w:val="009D6181"/>
    <w:rsid w:val="009D74F9"/>
    <w:rsid w:val="009D772A"/>
    <w:rsid w:val="009D7B03"/>
    <w:rsid w:val="009D7D5C"/>
    <w:rsid w:val="009E005C"/>
    <w:rsid w:val="009E02D3"/>
    <w:rsid w:val="009E1600"/>
    <w:rsid w:val="009E1C23"/>
    <w:rsid w:val="009E1FE9"/>
    <w:rsid w:val="009E211D"/>
    <w:rsid w:val="009E2336"/>
    <w:rsid w:val="009E2954"/>
    <w:rsid w:val="009E2C71"/>
    <w:rsid w:val="009E2E27"/>
    <w:rsid w:val="009E3516"/>
    <w:rsid w:val="009E35C9"/>
    <w:rsid w:val="009E5826"/>
    <w:rsid w:val="009E5940"/>
    <w:rsid w:val="009E5C8F"/>
    <w:rsid w:val="009E63E6"/>
    <w:rsid w:val="009E65D2"/>
    <w:rsid w:val="009E66FE"/>
    <w:rsid w:val="009E6756"/>
    <w:rsid w:val="009E6FA7"/>
    <w:rsid w:val="009E73E8"/>
    <w:rsid w:val="009E755B"/>
    <w:rsid w:val="009E769C"/>
    <w:rsid w:val="009E7B2F"/>
    <w:rsid w:val="009F049E"/>
    <w:rsid w:val="009F06CC"/>
    <w:rsid w:val="009F0813"/>
    <w:rsid w:val="009F0CE2"/>
    <w:rsid w:val="009F1185"/>
    <w:rsid w:val="009F1266"/>
    <w:rsid w:val="009F18FE"/>
    <w:rsid w:val="009F19F2"/>
    <w:rsid w:val="009F33BC"/>
    <w:rsid w:val="009F50F2"/>
    <w:rsid w:val="009F51DC"/>
    <w:rsid w:val="009F5807"/>
    <w:rsid w:val="009F6665"/>
    <w:rsid w:val="009F68FC"/>
    <w:rsid w:val="009F6F5E"/>
    <w:rsid w:val="009F7338"/>
    <w:rsid w:val="009F73A9"/>
    <w:rsid w:val="009F757D"/>
    <w:rsid w:val="009F7CFC"/>
    <w:rsid w:val="00A00161"/>
    <w:rsid w:val="00A01AE8"/>
    <w:rsid w:val="00A0286B"/>
    <w:rsid w:val="00A02DB4"/>
    <w:rsid w:val="00A02E43"/>
    <w:rsid w:val="00A03301"/>
    <w:rsid w:val="00A03639"/>
    <w:rsid w:val="00A036EF"/>
    <w:rsid w:val="00A04024"/>
    <w:rsid w:val="00A04233"/>
    <w:rsid w:val="00A04B97"/>
    <w:rsid w:val="00A04BB5"/>
    <w:rsid w:val="00A05615"/>
    <w:rsid w:val="00A057D1"/>
    <w:rsid w:val="00A06062"/>
    <w:rsid w:val="00A06165"/>
    <w:rsid w:val="00A0670E"/>
    <w:rsid w:val="00A06E7D"/>
    <w:rsid w:val="00A0708B"/>
    <w:rsid w:val="00A07188"/>
    <w:rsid w:val="00A07847"/>
    <w:rsid w:val="00A07C28"/>
    <w:rsid w:val="00A103AB"/>
    <w:rsid w:val="00A105B7"/>
    <w:rsid w:val="00A10A2F"/>
    <w:rsid w:val="00A11573"/>
    <w:rsid w:val="00A12954"/>
    <w:rsid w:val="00A12BBF"/>
    <w:rsid w:val="00A12F78"/>
    <w:rsid w:val="00A13254"/>
    <w:rsid w:val="00A13AA1"/>
    <w:rsid w:val="00A1457C"/>
    <w:rsid w:val="00A14D98"/>
    <w:rsid w:val="00A15564"/>
    <w:rsid w:val="00A15660"/>
    <w:rsid w:val="00A156AC"/>
    <w:rsid w:val="00A15875"/>
    <w:rsid w:val="00A15A11"/>
    <w:rsid w:val="00A169ED"/>
    <w:rsid w:val="00A16CDF"/>
    <w:rsid w:val="00A170AD"/>
    <w:rsid w:val="00A176CC"/>
    <w:rsid w:val="00A17C17"/>
    <w:rsid w:val="00A20386"/>
    <w:rsid w:val="00A205C4"/>
    <w:rsid w:val="00A21BC9"/>
    <w:rsid w:val="00A21CC5"/>
    <w:rsid w:val="00A229E4"/>
    <w:rsid w:val="00A22D39"/>
    <w:rsid w:val="00A230E6"/>
    <w:rsid w:val="00A23793"/>
    <w:rsid w:val="00A23996"/>
    <w:rsid w:val="00A242BF"/>
    <w:rsid w:val="00A247C0"/>
    <w:rsid w:val="00A25D1F"/>
    <w:rsid w:val="00A25D5E"/>
    <w:rsid w:val="00A25E68"/>
    <w:rsid w:val="00A260C7"/>
    <w:rsid w:val="00A26C9A"/>
    <w:rsid w:val="00A2728D"/>
    <w:rsid w:val="00A27505"/>
    <w:rsid w:val="00A275E4"/>
    <w:rsid w:val="00A27E09"/>
    <w:rsid w:val="00A27ED9"/>
    <w:rsid w:val="00A30751"/>
    <w:rsid w:val="00A309F9"/>
    <w:rsid w:val="00A312D1"/>
    <w:rsid w:val="00A313ED"/>
    <w:rsid w:val="00A315F4"/>
    <w:rsid w:val="00A3182E"/>
    <w:rsid w:val="00A3246F"/>
    <w:rsid w:val="00A326F4"/>
    <w:rsid w:val="00A32721"/>
    <w:rsid w:val="00A32D42"/>
    <w:rsid w:val="00A33CFC"/>
    <w:rsid w:val="00A343F7"/>
    <w:rsid w:val="00A345DB"/>
    <w:rsid w:val="00A34729"/>
    <w:rsid w:val="00A34B28"/>
    <w:rsid w:val="00A34E15"/>
    <w:rsid w:val="00A3503A"/>
    <w:rsid w:val="00A36142"/>
    <w:rsid w:val="00A3669A"/>
    <w:rsid w:val="00A36749"/>
    <w:rsid w:val="00A37041"/>
    <w:rsid w:val="00A3759D"/>
    <w:rsid w:val="00A40EC4"/>
    <w:rsid w:val="00A40ED3"/>
    <w:rsid w:val="00A41B74"/>
    <w:rsid w:val="00A42267"/>
    <w:rsid w:val="00A4295F"/>
    <w:rsid w:val="00A42BDE"/>
    <w:rsid w:val="00A43718"/>
    <w:rsid w:val="00A43CBA"/>
    <w:rsid w:val="00A44F9C"/>
    <w:rsid w:val="00A45A90"/>
    <w:rsid w:val="00A46235"/>
    <w:rsid w:val="00A46626"/>
    <w:rsid w:val="00A46CD8"/>
    <w:rsid w:val="00A502FC"/>
    <w:rsid w:val="00A508D6"/>
    <w:rsid w:val="00A525C6"/>
    <w:rsid w:val="00A527BC"/>
    <w:rsid w:val="00A52C3D"/>
    <w:rsid w:val="00A531C5"/>
    <w:rsid w:val="00A53305"/>
    <w:rsid w:val="00A5350D"/>
    <w:rsid w:val="00A53C80"/>
    <w:rsid w:val="00A53F21"/>
    <w:rsid w:val="00A53FE0"/>
    <w:rsid w:val="00A540AC"/>
    <w:rsid w:val="00A544E8"/>
    <w:rsid w:val="00A548B9"/>
    <w:rsid w:val="00A54AA2"/>
    <w:rsid w:val="00A54AA7"/>
    <w:rsid w:val="00A55289"/>
    <w:rsid w:val="00A55E0A"/>
    <w:rsid w:val="00A57395"/>
    <w:rsid w:val="00A57522"/>
    <w:rsid w:val="00A5789D"/>
    <w:rsid w:val="00A57949"/>
    <w:rsid w:val="00A60AD2"/>
    <w:rsid w:val="00A60B21"/>
    <w:rsid w:val="00A61000"/>
    <w:rsid w:val="00A61B47"/>
    <w:rsid w:val="00A634DF"/>
    <w:rsid w:val="00A63F3B"/>
    <w:rsid w:val="00A6465D"/>
    <w:rsid w:val="00A64999"/>
    <w:rsid w:val="00A64E2F"/>
    <w:rsid w:val="00A64FD8"/>
    <w:rsid w:val="00A650BE"/>
    <w:rsid w:val="00A66378"/>
    <w:rsid w:val="00A67278"/>
    <w:rsid w:val="00A67357"/>
    <w:rsid w:val="00A6770D"/>
    <w:rsid w:val="00A67A80"/>
    <w:rsid w:val="00A70157"/>
    <w:rsid w:val="00A708F7"/>
    <w:rsid w:val="00A70B8D"/>
    <w:rsid w:val="00A7155B"/>
    <w:rsid w:val="00A71C4C"/>
    <w:rsid w:val="00A71E9D"/>
    <w:rsid w:val="00A725C8"/>
    <w:rsid w:val="00A73839"/>
    <w:rsid w:val="00A73BA4"/>
    <w:rsid w:val="00A73C8F"/>
    <w:rsid w:val="00A7475E"/>
    <w:rsid w:val="00A74812"/>
    <w:rsid w:val="00A754BF"/>
    <w:rsid w:val="00A758A3"/>
    <w:rsid w:val="00A7595D"/>
    <w:rsid w:val="00A765D7"/>
    <w:rsid w:val="00A801B5"/>
    <w:rsid w:val="00A8078A"/>
    <w:rsid w:val="00A80FD2"/>
    <w:rsid w:val="00A81207"/>
    <w:rsid w:val="00A81281"/>
    <w:rsid w:val="00A816B7"/>
    <w:rsid w:val="00A81BE7"/>
    <w:rsid w:val="00A81C84"/>
    <w:rsid w:val="00A821A5"/>
    <w:rsid w:val="00A837AB"/>
    <w:rsid w:val="00A83B23"/>
    <w:rsid w:val="00A845F8"/>
    <w:rsid w:val="00A84F69"/>
    <w:rsid w:val="00A84FE6"/>
    <w:rsid w:val="00A85855"/>
    <w:rsid w:val="00A866A2"/>
    <w:rsid w:val="00A8671C"/>
    <w:rsid w:val="00A86871"/>
    <w:rsid w:val="00A86A83"/>
    <w:rsid w:val="00A87AEC"/>
    <w:rsid w:val="00A9025F"/>
    <w:rsid w:val="00A90B5C"/>
    <w:rsid w:val="00A90C65"/>
    <w:rsid w:val="00A916C9"/>
    <w:rsid w:val="00A917AA"/>
    <w:rsid w:val="00A928DC"/>
    <w:rsid w:val="00A92F66"/>
    <w:rsid w:val="00A93909"/>
    <w:rsid w:val="00A94102"/>
    <w:rsid w:val="00A945EF"/>
    <w:rsid w:val="00A951B3"/>
    <w:rsid w:val="00A9562A"/>
    <w:rsid w:val="00A95AE5"/>
    <w:rsid w:val="00A96734"/>
    <w:rsid w:val="00A9714E"/>
    <w:rsid w:val="00A974AE"/>
    <w:rsid w:val="00A97782"/>
    <w:rsid w:val="00A979F9"/>
    <w:rsid w:val="00A97AF0"/>
    <w:rsid w:val="00AA024C"/>
    <w:rsid w:val="00AA02F2"/>
    <w:rsid w:val="00AA1722"/>
    <w:rsid w:val="00AA2199"/>
    <w:rsid w:val="00AA2811"/>
    <w:rsid w:val="00AA2A68"/>
    <w:rsid w:val="00AA2D6C"/>
    <w:rsid w:val="00AA2DF4"/>
    <w:rsid w:val="00AA2EBE"/>
    <w:rsid w:val="00AA2EE0"/>
    <w:rsid w:val="00AA3310"/>
    <w:rsid w:val="00AA3969"/>
    <w:rsid w:val="00AA3C19"/>
    <w:rsid w:val="00AA3C75"/>
    <w:rsid w:val="00AA3D12"/>
    <w:rsid w:val="00AA3D18"/>
    <w:rsid w:val="00AA3F61"/>
    <w:rsid w:val="00AA4137"/>
    <w:rsid w:val="00AA4820"/>
    <w:rsid w:val="00AA4A33"/>
    <w:rsid w:val="00AA4A9E"/>
    <w:rsid w:val="00AA4F41"/>
    <w:rsid w:val="00AA5249"/>
    <w:rsid w:val="00AA584D"/>
    <w:rsid w:val="00AA5EB3"/>
    <w:rsid w:val="00AA6164"/>
    <w:rsid w:val="00AA6D7C"/>
    <w:rsid w:val="00AA6E5B"/>
    <w:rsid w:val="00AB0147"/>
    <w:rsid w:val="00AB32C1"/>
    <w:rsid w:val="00AB3770"/>
    <w:rsid w:val="00AB3DB6"/>
    <w:rsid w:val="00AB4B9D"/>
    <w:rsid w:val="00AB4DCC"/>
    <w:rsid w:val="00AB5235"/>
    <w:rsid w:val="00AB5273"/>
    <w:rsid w:val="00AB6557"/>
    <w:rsid w:val="00AB6D31"/>
    <w:rsid w:val="00AB70E0"/>
    <w:rsid w:val="00AB7190"/>
    <w:rsid w:val="00AB7372"/>
    <w:rsid w:val="00AB7757"/>
    <w:rsid w:val="00AB79EE"/>
    <w:rsid w:val="00AC00FE"/>
    <w:rsid w:val="00AC02A2"/>
    <w:rsid w:val="00AC06A9"/>
    <w:rsid w:val="00AC0A28"/>
    <w:rsid w:val="00AC0D42"/>
    <w:rsid w:val="00AC11F9"/>
    <w:rsid w:val="00AC15BF"/>
    <w:rsid w:val="00AC2BB5"/>
    <w:rsid w:val="00AC35E3"/>
    <w:rsid w:val="00AC3EDF"/>
    <w:rsid w:val="00AC3F3D"/>
    <w:rsid w:val="00AC4EA5"/>
    <w:rsid w:val="00AC5136"/>
    <w:rsid w:val="00AC5326"/>
    <w:rsid w:val="00AC593B"/>
    <w:rsid w:val="00AC5E39"/>
    <w:rsid w:val="00AC6E11"/>
    <w:rsid w:val="00AC745F"/>
    <w:rsid w:val="00AC783A"/>
    <w:rsid w:val="00AC7C79"/>
    <w:rsid w:val="00AD0184"/>
    <w:rsid w:val="00AD085D"/>
    <w:rsid w:val="00AD1C47"/>
    <w:rsid w:val="00AD1EAF"/>
    <w:rsid w:val="00AD1EC1"/>
    <w:rsid w:val="00AD1F10"/>
    <w:rsid w:val="00AD20B1"/>
    <w:rsid w:val="00AD22BA"/>
    <w:rsid w:val="00AD2C0E"/>
    <w:rsid w:val="00AD2E45"/>
    <w:rsid w:val="00AD2F68"/>
    <w:rsid w:val="00AD3735"/>
    <w:rsid w:val="00AD397F"/>
    <w:rsid w:val="00AD3C46"/>
    <w:rsid w:val="00AD3D50"/>
    <w:rsid w:val="00AD4EB0"/>
    <w:rsid w:val="00AD5332"/>
    <w:rsid w:val="00AD5C30"/>
    <w:rsid w:val="00AD618E"/>
    <w:rsid w:val="00AD623F"/>
    <w:rsid w:val="00AD6470"/>
    <w:rsid w:val="00AD69D1"/>
    <w:rsid w:val="00AD719E"/>
    <w:rsid w:val="00AD7726"/>
    <w:rsid w:val="00AE006C"/>
    <w:rsid w:val="00AE016B"/>
    <w:rsid w:val="00AE023A"/>
    <w:rsid w:val="00AE0ED7"/>
    <w:rsid w:val="00AE11FB"/>
    <w:rsid w:val="00AE1474"/>
    <w:rsid w:val="00AE1712"/>
    <w:rsid w:val="00AE1F1C"/>
    <w:rsid w:val="00AE2761"/>
    <w:rsid w:val="00AE2F66"/>
    <w:rsid w:val="00AE3269"/>
    <w:rsid w:val="00AE46A5"/>
    <w:rsid w:val="00AE4775"/>
    <w:rsid w:val="00AE5534"/>
    <w:rsid w:val="00AE5BD5"/>
    <w:rsid w:val="00AE68A7"/>
    <w:rsid w:val="00AE77B7"/>
    <w:rsid w:val="00AE7DE9"/>
    <w:rsid w:val="00AF0EB1"/>
    <w:rsid w:val="00AF0F35"/>
    <w:rsid w:val="00AF1382"/>
    <w:rsid w:val="00AF13FB"/>
    <w:rsid w:val="00AF1BA5"/>
    <w:rsid w:val="00AF1CBA"/>
    <w:rsid w:val="00AF309D"/>
    <w:rsid w:val="00AF35CB"/>
    <w:rsid w:val="00AF3D1A"/>
    <w:rsid w:val="00AF414B"/>
    <w:rsid w:val="00AF61DD"/>
    <w:rsid w:val="00AF6415"/>
    <w:rsid w:val="00AF65B8"/>
    <w:rsid w:val="00AF6EC5"/>
    <w:rsid w:val="00AF70E3"/>
    <w:rsid w:val="00B0011B"/>
    <w:rsid w:val="00B00462"/>
    <w:rsid w:val="00B006E1"/>
    <w:rsid w:val="00B0091B"/>
    <w:rsid w:val="00B00BF5"/>
    <w:rsid w:val="00B00D34"/>
    <w:rsid w:val="00B00FB7"/>
    <w:rsid w:val="00B01D71"/>
    <w:rsid w:val="00B0218D"/>
    <w:rsid w:val="00B025B9"/>
    <w:rsid w:val="00B029A5"/>
    <w:rsid w:val="00B02E72"/>
    <w:rsid w:val="00B02F5A"/>
    <w:rsid w:val="00B0424F"/>
    <w:rsid w:val="00B0484E"/>
    <w:rsid w:val="00B0500A"/>
    <w:rsid w:val="00B052E3"/>
    <w:rsid w:val="00B05536"/>
    <w:rsid w:val="00B05F8C"/>
    <w:rsid w:val="00B066A9"/>
    <w:rsid w:val="00B06740"/>
    <w:rsid w:val="00B06EE3"/>
    <w:rsid w:val="00B070BF"/>
    <w:rsid w:val="00B07234"/>
    <w:rsid w:val="00B07668"/>
    <w:rsid w:val="00B0784C"/>
    <w:rsid w:val="00B07B27"/>
    <w:rsid w:val="00B07E7B"/>
    <w:rsid w:val="00B10623"/>
    <w:rsid w:val="00B10864"/>
    <w:rsid w:val="00B10D9B"/>
    <w:rsid w:val="00B110E7"/>
    <w:rsid w:val="00B1133A"/>
    <w:rsid w:val="00B11802"/>
    <w:rsid w:val="00B11F0B"/>
    <w:rsid w:val="00B120B8"/>
    <w:rsid w:val="00B12535"/>
    <w:rsid w:val="00B127AD"/>
    <w:rsid w:val="00B12C5E"/>
    <w:rsid w:val="00B12F93"/>
    <w:rsid w:val="00B13A84"/>
    <w:rsid w:val="00B1415B"/>
    <w:rsid w:val="00B143F2"/>
    <w:rsid w:val="00B14736"/>
    <w:rsid w:val="00B153F9"/>
    <w:rsid w:val="00B15935"/>
    <w:rsid w:val="00B16076"/>
    <w:rsid w:val="00B16137"/>
    <w:rsid w:val="00B16323"/>
    <w:rsid w:val="00B16DF4"/>
    <w:rsid w:val="00B177AD"/>
    <w:rsid w:val="00B21420"/>
    <w:rsid w:val="00B21435"/>
    <w:rsid w:val="00B21546"/>
    <w:rsid w:val="00B21BCA"/>
    <w:rsid w:val="00B21C68"/>
    <w:rsid w:val="00B22639"/>
    <w:rsid w:val="00B230D7"/>
    <w:rsid w:val="00B23CF9"/>
    <w:rsid w:val="00B2431A"/>
    <w:rsid w:val="00B24F95"/>
    <w:rsid w:val="00B257A5"/>
    <w:rsid w:val="00B25A99"/>
    <w:rsid w:val="00B27020"/>
    <w:rsid w:val="00B270D9"/>
    <w:rsid w:val="00B30CA6"/>
    <w:rsid w:val="00B31300"/>
    <w:rsid w:val="00B3145A"/>
    <w:rsid w:val="00B315BC"/>
    <w:rsid w:val="00B315D8"/>
    <w:rsid w:val="00B32934"/>
    <w:rsid w:val="00B32951"/>
    <w:rsid w:val="00B32A38"/>
    <w:rsid w:val="00B33642"/>
    <w:rsid w:val="00B33911"/>
    <w:rsid w:val="00B339C9"/>
    <w:rsid w:val="00B3412D"/>
    <w:rsid w:val="00B34A85"/>
    <w:rsid w:val="00B34AC9"/>
    <w:rsid w:val="00B34D49"/>
    <w:rsid w:val="00B35A10"/>
    <w:rsid w:val="00B35E23"/>
    <w:rsid w:val="00B3602B"/>
    <w:rsid w:val="00B36386"/>
    <w:rsid w:val="00B36729"/>
    <w:rsid w:val="00B3679D"/>
    <w:rsid w:val="00B40143"/>
    <w:rsid w:val="00B4062E"/>
    <w:rsid w:val="00B40775"/>
    <w:rsid w:val="00B408FF"/>
    <w:rsid w:val="00B41216"/>
    <w:rsid w:val="00B41352"/>
    <w:rsid w:val="00B42E98"/>
    <w:rsid w:val="00B42F0D"/>
    <w:rsid w:val="00B434D2"/>
    <w:rsid w:val="00B43B32"/>
    <w:rsid w:val="00B43ED7"/>
    <w:rsid w:val="00B44EEF"/>
    <w:rsid w:val="00B44F67"/>
    <w:rsid w:val="00B450AE"/>
    <w:rsid w:val="00B45579"/>
    <w:rsid w:val="00B4599B"/>
    <w:rsid w:val="00B45E15"/>
    <w:rsid w:val="00B46675"/>
    <w:rsid w:val="00B46715"/>
    <w:rsid w:val="00B46772"/>
    <w:rsid w:val="00B46BC4"/>
    <w:rsid w:val="00B46E28"/>
    <w:rsid w:val="00B476B1"/>
    <w:rsid w:val="00B47C13"/>
    <w:rsid w:val="00B47E3D"/>
    <w:rsid w:val="00B503B0"/>
    <w:rsid w:val="00B526A9"/>
    <w:rsid w:val="00B527A4"/>
    <w:rsid w:val="00B52881"/>
    <w:rsid w:val="00B5296A"/>
    <w:rsid w:val="00B52E14"/>
    <w:rsid w:val="00B531E7"/>
    <w:rsid w:val="00B538C7"/>
    <w:rsid w:val="00B53BE0"/>
    <w:rsid w:val="00B54306"/>
    <w:rsid w:val="00B544D0"/>
    <w:rsid w:val="00B54EC5"/>
    <w:rsid w:val="00B55A1F"/>
    <w:rsid w:val="00B55C49"/>
    <w:rsid w:val="00B55D90"/>
    <w:rsid w:val="00B56F69"/>
    <w:rsid w:val="00B574C4"/>
    <w:rsid w:val="00B57A90"/>
    <w:rsid w:val="00B57E06"/>
    <w:rsid w:val="00B57E86"/>
    <w:rsid w:val="00B57F09"/>
    <w:rsid w:val="00B61670"/>
    <w:rsid w:val="00B622D0"/>
    <w:rsid w:val="00B6275C"/>
    <w:rsid w:val="00B63388"/>
    <w:rsid w:val="00B63BBE"/>
    <w:rsid w:val="00B63F89"/>
    <w:rsid w:val="00B64062"/>
    <w:rsid w:val="00B64163"/>
    <w:rsid w:val="00B6419C"/>
    <w:rsid w:val="00B643CA"/>
    <w:rsid w:val="00B643DD"/>
    <w:rsid w:val="00B64895"/>
    <w:rsid w:val="00B64D24"/>
    <w:rsid w:val="00B65E2B"/>
    <w:rsid w:val="00B66594"/>
    <w:rsid w:val="00B66B5B"/>
    <w:rsid w:val="00B670D6"/>
    <w:rsid w:val="00B67545"/>
    <w:rsid w:val="00B67C79"/>
    <w:rsid w:val="00B700D4"/>
    <w:rsid w:val="00B70BDD"/>
    <w:rsid w:val="00B70C54"/>
    <w:rsid w:val="00B70EC1"/>
    <w:rsid w:val="00B71303"/>
    <w:rsid w:val="00B71719"/>
    <w:rsid w:val="00B717ED"/>
    <w:rsid w:val="00B719CB"/>
    <w:rsid w:val="00B71AB2"/>
    <w:rsid w:val="00B71DF1"/>
    <w:rsid w:val="00B722C7"/>
    <w:rsid w:val="00B731C3"/>
    <w:rsid w:val="00B73385"/>
    <w:rsid w:val="00B734C6"/>
    <w:rsid w:val="00B7381F"/>
    <w:rsid w:val="00B73B0F"/>
    <w:rsid w:val="00B73D4E"/>
    <w:rsid w:val="00B73D76"/>
    <w:rsid w:val="00B74155"/>
    <w:rsid w:val="00B755C2"/>
    <w:rsid w:val="00B75889"/>
    <w:rsid w:val="00B763E9"/>
    <w:rsid w:val="00B769A9"/>
    <w:rsid w:val="00B76F01"/>
    <w:rsid w:val="00B77459"/>
    <w:rsid w:val="00B77D75"/>
    <w:rsid w:val="00B80109"/>
    <w:rsid w:val="00B8047F"/>
    <w:rsid w:val="00B80BD3"/>
    <w:rsid w:val="00B813F5"/>
    <w:rsid w:val="00B81458"/>
    <w:rsid w:val="00B8184F"/>
    <w:rsid w:val="00B82817"/>
    <w:rsid w:val="00B828EC"/>
    <w:rsid w:val="00B82A34"/>
    <w:rsid w:val="00B82A51"/>
    <w:rsid w:val="00B83051"/>
    <w:rsid w:val="00B83659"/>
    <w:rsid w:val="00B83D45"/>
    <w:rsid w:val="00B83DFB"/>
    <w:rsid w:val="00B83E09"/>
    <w:rsid w:val="00B844D7"/>
    <w:rsid w:val="00B84844"/>
    <w:rsid w:val="00B84EA3"/>
    <w:rsid w:val="00B852FB"/>
    <w:rsid w:val="00B857DD"/>
    <w:rsid w:val="00B85F67"/>
    <w:rsid w:val="00B86414"/>
    <w:rsid w:val="00B875C9"/>
    <w:rsid w:val="00B87A4B"/>
    <w:rsid w:val="00B87D20"/>
    <w:rsid w:val="00B90557"/>
    <w:rsid w:val="00B90750"/>
    <w:rsid w:val="00B9090C"/>
    <w:rsid w:val="00B9093A"/>
    <w:rsid w:val="00B90DF6"/>
    <w:rsid w:val="00B91260"/>
    <w:rsid w:val="00B915F4"/>
    <w:rsid w:val="00B921DB"/>
    <w:rsid w:val="00B923C2"/>
    <w:rsid w:val="00B93121"/>
    <w:rsid w:val="00B93522"/>
    <w:rsid w:val="00B94690"/>
    <w:rsid w:val="00B94B17"/>
    <w:rsid w:val="00B95046"/>
    <w:rsid w:val="00B95740"/>
    <w:rsid w:val="00B95DE4"/>
    <w:rsid w:val="00B96240"/>
    <w:rsid w:val="00B96A8C"/>
    <w:rsid w:val="00B96B5F"/>
    <w:rsid w:val="00B96D8F"/>
    <w:rsid w:val="00B9702F"/>
    <w:rsid w:val="00B97574"/>
    <w:rsid w:val="00B97C12"/>
    <w:rsid w:val="00BA00F4"/>
    <w:rsid w:val="00BA063D"/>
    <w:rsid w:val="00BA06BB"/>
    <w:rsid w:val="00BA125D"/>
    <w:rsid w:val="00BA18A7"/>
    <w:rsid w:val="00BA2C45"/>
    <w:rsid w:val="00BA2F9F"/>
    <w:rsid w:val="00BA2FB2"/>
    <w:rsid w:val="00BA3016"/>
    <w:rsid w:val="00BA3413"/>
    <w:rsid w:val="00BA389F"/>
    <w:rsid w:val="00BA40E2"/>
    <w:rsid w:val="00BA4A69"/>
    <w:rsid w:val="00BA4FD4"/>
    <w:rsid w:val="00BA5CD5"/>
    <w:rsid w:val="00BA62EF"/>
    <w:rsid w:val="00BA6D86"/>
    <w:rsid w:val="00BA6DB1"/>
    <w:rsid w:val="00BA73ED"/>
    <w:rsid w:val="00BA7510"/>
    <w:rsid w:val="00BA78EA"/>
    <w:rsid w:val="00BB0A32"/>
    <w:rsid w:val="00BB11AF"/>
    <w:rsid w:val="00BB1860"/>
    <w:rsid w:val="00BB20C5"/>
    <w:rsid w:val="00BB228B"/>
    <w:rsid w:val="00BB3EE4"/>
    <w:rsid w:val="00BB3F81"/>
    <w:rsid w:val="00BB4107"/>
    <w:rsid w:val="00BB4493"/>
    <w:rsid w:val="00BB4498"/>
    <w:rsid w:val="00BB57FC"/>
    <w:rsid w:val="00BB5DE0"/>
    <w:rsid w:val="00BB6009"/>
    <w:rsid w:val="00BB726C"/>
    <w:rsid w:val="00BB7A15"/>
    <w:rsid w:val="00BB7DE3"/>
    <w:rsid w:val="00BC0115"/>
    <w:rsid w:val="00BC080F"/>
    <w:rsid w:val="00BC113B"/>
    <w:rsid w:val="00BC195B"/>
    <w:rsid w:val="00BC19F3"/>
    <w:rsid w:val="00BC1D20"/>
    <w:rsid w:val="00BC240E"/>
    <w:rsid w:val="00BC2462"/>
    <w:rsid w:val="00BC25DE"/>
    <w:rsid w:val="00BC2821"/>
    <w:rsid w:val="00BC2841"/>
    <w:rsid w:val="00BC2A7C"/>
    <w:rsid w:val="00BC3A7D"/>
    <w:rsid w:val="00BC43D5"/>
    <w:rsid w:val="00BC4964"/>
    <w:rsid w:val="00BC547C"/>
    <w:rsid w:val="00BC54CB"/>
    <w:rsid w:val="00BC5C51"/>
    <w:rsid w:val="00BC657D"/>
    <w:rsid w:val="00BC688C"/>
    <w:rsid w:val="00BC692E"/>
    <w:rsid w:val="00BC7FF1"/>
    <w:rsid w:val="00BD0461"/>
    <w:rsid w:val="00BD0A2F"/>
    <w:rsid w:val="00BD0EA4"/>
    <w:rsid w:val="00BD10A4"/>
    <w:rsid w:val="00BD1B49"/>
    <w:rsid w:val="00BD1E59"/>
    <w:rsid w:val="00BD22A7"/>
    <w:rsid w:val="00BD2E5A"/>
    <w:rsid w:val="00BD33F5"/>
    <w:rsid w:val="00BD3BAE"/>
    <w:rsid w:val="00BD3EB3"/>
    <w:rsid w:val="00BD495B"/>
    <w:rsid w:val="00BD4ABC"/>
    <w:rsid w:val="00BD57CA"/>
    <w:rsid w:val="00BD6684"/>
    <w:rsid w:val="00BD679B"/>
    <w:rsid w:val="00BD741A"/>
    <w:rsid w:val="00BD74C5"/>
    <w:rsid w:val="00BD74D2"/>
    <w:rsid w:val="00BD76A2"/>
    <w:rsid w:val="00BD7DE1"/>
    <w:rsid w:val="00BD7FAE"/>
    <w:rsid w:val="00BE04E1"/>
    <w:rsid w:val="00BE0686"/>
    <w:rsid w:val="00BE09DD"/>
    <w:rsid w:val="00BE0B05"/>
    <w:rsid w:val="00BE0CE1"/>
    <w:rsid w:val="00BE1D1C"/>
    <w:rsid w:val="00BE2440"/>
    <w:rsid w:val="00BE2D00"/>
    <w:rsid w:val="00BE2EF9"/>
    <w:rsid w:val="00BE30E7"/>
    <w:rsid w:val="00BE3620"/>
    <w:rsid w:val="00BE38C7"/>
    <w:rsid w:val="00BE395C"/>
    <w:rsid w:val="00BE4A21"/>
    <w:rsid w:val="00BE4B75"/>
    <w:rsid w:val="00BE4C0B"/>
    <w:rsid w:val="00BE5350"/>
    <w:rsid w:val="00BE54D4"/>
    <w:rsid w:val="00BE58EB"/>
    <w:rsid w:val="00BE5E0D"/>
    <w:rsid w:val="00BE5EDE"/>
    <w:rsid w:val="00BE64E1"/>
    <w:rsid w:val="00BE6F39"/>
    <w:rsid w:val="00BF125F"/>
    <w:rsid w:val="00BF1416"/>
    <w:rsid w:val="00BF2B07"/>
    <w:rsid w:val="00BF2BA5"/>
    <w:rsid w:val="00BF2DE5"/>
    <w:rsid w:val="00BF2E53"/>
    <w:rsid w:val="00BF2E88"/>
    <w:rsid w:val="00BF2F48"/>
    <w:rsid w:val="00BF4590"/>
    <w:rsid w:val="00BF4E92"/>
    <w:rsid w:val="00BF6206"/>
    <w:rsid w:val="00BF6281"/>
    <w:rsid w:val="00BF6AEC"/>
    <w:rsid w:val="00BF7912"/>
    <w:rsid w:val="00BF7BB6"/>
    <w:rsid w:val="00BF7D6C"/>
    <w:rsid w:val="00C0049D"/>
    <w:rsid w:val="00C00596"/>
    <w:rsid w:val="00C00AB4"/>
    <w:rsid w:val="00C017A5"/>
    <w:rsid w:val="00C01C4B"/>
    <w:rsid w:val="00C02616"/>
    <w:rsid w:val="00C02EB8"/>
    <w:rsid w:val="00C03293"/>
    <w:rsid w:val="00C033D4"/>
    <w:rsid w:val="00C0373D"/>
    <w:rsid w:val="00C041A8"/>
    <w:rsid w:val="00C041DE"/>
    <w:rsid w:val="00C042CD"/>
    <w:rsid w:val="00C04388"/>
    <w:rsid w:val="00C05F00"/>
    <w:rsid w:val="00C0654D"/>
    <w:rsid w:val="00C0657C"/>
    <w:rsid w:val="00C06A5C"/>
    <w:rsid w:val="00C06B19"/>
    <w:rsid w:val="00C072C8"/>
    <w:rsid w:val="00C07DB1"/>
    <w:rsid w:val="00C10FDA"/>
    <w:rsid w:val="00C10FE4"/>
    <w:rsid w:val="00C115D8"/>
    <w:rsid w:val="00C118E6"/>
    <w:rsid w:val="00C125B8"/>
    <w:rsid w:val="00C128DB"/>
    <w:rsid w:val="00C12BB8"/>
    <w:rsid w:val="00C1307E"/>
    <w:rsid w:val="00C13923"/>
    <w:rsid w:val="00C13CA8"/>
    <w:rsid w:val="00C13E1C"/>
    <w:rsid w:val="00C140DC"/>
    <w:rsid w:val="00C1460F"/>
    <w:rsid w:val="00C155F8"/>
    <w:rsid w:val="00C15890"/>
    <w:rsid w:val="00C15CDA"/>
    <w:rsid w:val="00C16B02"/>
    <w:rsid w:val="00C16F15"/>
    <w:rsid w:val="00C1728C"/>
    <w:rsid w:val="00C17AF2"/>
    <w:rsid w:val="00C210A9"/>
    <w:rsid w:val="00C2141E"/>
    <w:rsid w:val="00C232CA"/>
    <w:rsid w:val="00C237D2"/>
    <w:rsid w:val="00C23CEF"/>
    <w:rsid w:val="00C24360"/>
    <w:rsid w:val="00C24CB4"/>
    <w:rsid w:val="00C25540"/>
    <w:rsid w:val="00C2742B"/>
    <w:rsid w:val="00C2748E"/>
    <w:rsid w:val="00C2773D"/>
    <w:rsid w:val="00C27826"/>
    <w:rsid w:val="00C279EC"/>
    <w:rsid w:val="00C27FCF"/>
    <w:rsid w:val="00C303AA"/>
    <w:rsid w:val="00C30918"/>
    <w:rsid w:val="00C30D6B"/>
    <w:rsid w:val="00C31C8C"/>
    <w:rsid w:val="00C31E27"/>
    <w:rsid w:val="00C3236C"/>
    <w:rsid w:val="00C32A9B"/>
    <w:rsid w:val="00C341CA"/>
    <w:rsid w:val="00C341CC"/>
    <w:rsid w:val="00C34673"/>
    <w:rsid w:val="00C34F61"/>
    <w:rsid w:val="00C35823"/>
    <w:rsid w:val="00C36301"/>
    <w:rsid w:val="00C3645D"/>
    <w:rsid w:val="00C367AB"/>
    <w:rsid w:val="00C3790B"/>
    <w:rsid w:val="00C40206"/>
    <w:rsid w:val="00C40420"/>
    <w:rsid w:val="00C40A23"/>
    <w:rsid w:val="00C4101B"/>
    <w:rsid w:val="00C410E5"/>
    <w:rsid w:val="00C418CC"/>
    <w:rsid w:val="00C4242F"/>
    <w:rsid w:val="00C428B2"/>
    <w:rsid w:val="00C42AE3"/>
    <w:rsid w:val="00C43040"/>
    <w:rsid w:val="00C43718"/>
    <w:rsid w:val="00C43AA7"/>
    <w:rsid w:val="00C43B23"/>
    <w:rsid w:val="00C43CF6"/>
    <w:rsid w:val="00C4449F"/>
    <w:rsid w:val="00C447F5"/>
    <w:rsid w:val="00C44AA7"/>
    <w:rsid w:val="00C44EC7"/>
    <w:rsid w:val="00C453D0"/>
    <w:rsid w:val="00C45D74"/>
    <w:rsid w:val="00C4678A"/>
    <w:rsid w:val="00C46A1F"/>
    <w:rsid w:val="00C47935"/>
    <w:rsid w:val="00C47D8B"/>
    <w:rsid w:val="00C5124A"/>
    <w:rsid w:val="00C5206C"/>
    <w:rsid w:val="00C534F6"/>
    <w:rsid w:val="00C536ED"/>
    <w:rsid w:val="00C53FE5"/>
    <w:rsid w:val="00C54D20"/>
    <w:rsid w:val="00C54DDF"/>
    <w:rsid w:val="00C55306"/>
    <w:rsid w:val="00C55DA1"/>
    <w:rsid w:val="00C57210"/>
    <w:rsid w:val="00C57656"/>
    <w:rsid w:val="00C60172"/>
    <w:rsid w:val="00C610C9"/>
    <w:rsid w:val="00C6176B"/>
    <w:rsid w:val="00C61A39"/>
    <w:rsid w:val="00C62877"/>
    <w:rsid w:val="00C629DA"/>
    <w:rsid w:val="00C6324E"/>
    <w:rsid w:val="00C636CA"/>
    <w:rsid w:val="00C6490B"/>
    <w:rsid w:val="00C66282"/>
    <w:rsid w:val="00C66B0A"/>
    <w:rsid w:val="00C67560"/>
    <w:rsid w:val="00C67791"/>
    <w:rsid w:val="00C67912"/>
    <w:rsid w:val="00C7076D"/>
    <w:rsid w:val="00C70FC6"/>
    <w:rsid w:val="00C70FD9"/>
    <w:rsid w:val="00C7114F"/>
    <w:rsid w:val="00C71B77"/>
    <w:rsid w:val="00C71FF6"/>
    <w:rsid w:val="00C722DC"/>
    <w:rsid w:val="00C7268F"/>
    <w:rsid w:val="00C732C7"/>
    <w:rsid w:val="00C73682"/>
    <w:rsid w:val="00C738CA"/>
    <w:rsid w:val="00C7476A"/>
    <w:rsid w:val="00C74A9C"/>
    <w:rsid w:val="00C75128"/>
    <w:rsid w:val="00C75304"/>
    <w:rsid w:val="00C75DD4"/>
    <w:rsid w:val="00C76314"/>
    <w:rsid w:val="00C769E7"/>
    <w:rsid w:val="00C76B3E"/>
    <w:rsid w:val="00C7722D"/>
    <w:rsid w:val="00C77342"/>
    <w:rsid w:val="00C775F2"/>
    <w:rsid w:val="00C77D1D"/>
    <w:rsid w:val="00C80088"/>
    <w:rsid w:val="00C8057A"/>
    <w:rsid w:val="00C80FB1"/>
    <w:rsid w:val="00C81648"/>
    <w:rsid w:val="00C82183"/>
    <w:rsid w:val="00C822F2"/>
    <w:rsid w:val="00C82C9B"/>
    <w:rsid w:val="00C82D86"/>
    <w:rsid w:val="00C82E00"/>
    <w:rsid w:val="00C85AE3"/>
    <w:rsid w:val="00C86543"/>
    <w:rsid w:val="00C86A52"/>
    <w:rsid w:val="00C86A78"/>
    <w:rsid w:val="00C86B64"/>
    <w:rsid w:val="00C86DF7"/>
    <w:rsid w:val="00C901EC"/>
    <w:rsid w:val="00C90B19"/>
    <w:rsid w:val="00C90B84"/>
    <w:rsid w:val="00C90C56"/>
    <w:rsid w:val="00C90D26"/>
    <w:rsid w:val="00C9121F"/>
    <w:rsid w:val="00C91261"/>
    <w:rsid w:val="00C91385"/>
    <w:rsid w:val="00C915D1"/>
    <w:rsid w:val="00C918E2"/>
    <w:rsid w:val="00C91F0D"/>
    <w:rsid w:val="00C92183"/>
    <w:rsid w:val="00C9233B"/>
    <w:rsid w:val="00C9265C"/>
    <w:rsid w:val="00C92A81"/>
    <w:rsid w:val="00C92BC2"/>
    <w:rsid w:val="00C92CE6"/>
    <w:rsid w:val="00C936EC"/>
    <w:rsid w:val="00C93C00"/>
    <w:rsid w:val="00C945C4"/>
    <w:rsid w:val="00C94D66"/>
    <w:rsid w:val="00C95EAC"/>
    <w:rsid w:val="00C96004"/>
    <w:rsid w:val="00C96B69"/>
    <w:rsid w:val="00C96C4E"/>
    <w:rsid w:val="00C96F60"/>
    <w:rsid w:val="00C96F8B"/>
    <w:rsid w:val="00C97020"/>
    <w:rsid w:val="00C970A3"/>
    <w:rsid w:val="00C9716F"/>
    <w:rsid w:val="00C97314"/>
    <w:rsid w:val="00C97345"/>
    <w:rsid w:val="00C973E4"/>
    <w:rsid w:val="00C976F6"/>
    <w:rsid w:val="00C9771A"/>
    <w:rsid w:val="00C978D2"/>
    <w:rsid w:val="00C97CEA"/>
    <w:rsid w:val="00CA01EE"/>
    <w:rsid w:val="00CA0F7B"/>
    <w:rsid w:val="00CA0FBA"/>
    <w:rsid w:val="00CA1C5B"/>
    <w:rsid w:val="00CA1EF5"/>
    <w:rsid w:val="00CA2E0B"/>
    <w:rsid w:val="00CA32C3"/>
    <w:rsid w:val="00CA345A"/>
    <w:rsid w:val="00CA34C6"/>
    <w:rsid w:val="00CA391B"/>
    <w:rsid w:val="00CA3A1B"/>
    <w:rsid w:val="00CA3B08"/>
    <w:rsid w:val="00CA3FB8"/>
    <w:rsid w:val="00CA408A"/>
    <w:rsid w:val="00CA440C"/>
    <w:rsid w:val="00CA4761"/>
    <w:rsid w:val="00CA4FCC"/>
    <w:rsid w:val="00CA64BE"/>
    <w:rsid w:val="00CA6550"/>
    <w:rsid w:val="00CA6AE8"/>
    <w:rsid w:val="00CA6B68"/>
    <w:rsid w:val="00CA6E18"/>
    <w:rsid w:val="00CA74AE"/>
    <w:rsid w:val="00CA7F46"/>
    <w:rsid w:val="00CB0D7F"/>
    <w:rsid w:val="00CB10BF"/>
    <w:rsid w:val="00CB1200"/>
    <w:rsid w:val="00CB2272"/>
    <w:rsid w:val="00CB26E3"/>
    <w:rsid w:val="00CB275A"/>
    <w:rsid w:val="00CB2D40"/>
    <w:rsid w:val="00CB30D5"/>
    <w:rsid w:val="00CB32B9"/>
    <w:rsid w:val="00CB38AD"/>
    <w:rsid w:val="00CB3C08"/>
    <w:rsid w:val="00CB41AD"/>
    <w:rsid w:val="00CB4B05"/>
    <w:rsid w:val="00CB4C38"/>
    <w:rsid w:val="00CB5CD6"/>
    <w:rsid w:val="00CB5DA5"/>
    <w:rsid w:val="00CB5E2F"/>
    <w:rsid w:val="00CB5E49"/>
    <w:rsid w:val="00CB5EAD"/>
    <w:rsid w:val="00CB677E"/>
    <w:rsid w:val="00CB6780"/>
    <w:rsid w:val="00CB6A8C"/>
    <w:rsid w:val="00CB74F3"/>
    <w:rsid w:val="00CB7B05"/>
    <w:rsid w:val="00CB7E07"/>
    <w:rsid w:val="00CB7E0D"/>
    <w:rsid w:val="00CC0432"/>
    <w:rsid w:val="00CC1759"/>
    <w:rsid w:val="00CC20CD"/>
    <w:rsid w:val="00CC251E"/>
    <w:rsid w:val="00CC3607"/>
    <w:rsid w:val="00CC387C"/>
    <w:rsid w:val="00CC3CC1"/>
    <w:rsid w:val="00CC3F41"/>
    <w:rsid w:val="00CC47CC"/>
    <w:rsid w:val="00CC48C3"/>
    <w:rsid w:val="00CC50CF"/>
    <w:rsid w:val="00CC56FC"/>
    <w:rsid w:val="00CC6457"/>
    <w:rsid w:val="00CC66E8"/>
    <w:rsid w:val="00CC6D2C"/>
    <w:rsid w:val="00CC7159"/>
    <w:rsid w:val="00CC7A78"/>
    <w:rsid w:val="00CC7F93"/>
    <w:rsid w:val="00CD04D6"/>
    <w:rsid w:val="00CD058A"/>
    <w:rsid w:val="00CD085F"/>
    <w:rsid w:val="00CD0A34"/>
    <w:rsid w:val="00CD1529"/>
    <w:rsid w:val="00CD1710"/>
    <w:rsid w:val="00CD19C0"/>
    <w:rsid w:val="00CD19C1"/>
    <w:rsid w:val="00CD25E8"/>
    <w:rsid w:val="00CD33AE"/>
    <w:rsid w:val="00CD37D3"/>
    <w:rsid w:val="00CD3957"/>
    <w:rsid w:val="00CD4607"/>
    <w:rsid w:val="00CD465E"/>
    <w:rsid w:val="00CD4D0B"/>
    <w:rsid w:val="00CD5A2A"/>
    <w:rsid w:val="00CD5FA7"/>
    <w:rsid w:val="00CD688C"/>
    <w:rsid w:val="00CD6DD5"/>
    <w:rsid w:val="00CD71ED"/>
    <w:rsid w:val="00CD76C0"/>
    <w:rsid w:val="00CD7D7D"/>
    <w:rsid w:val="00CD7DA3"/>
    <w:rsid w:val="00CE06C1"/>
    <w:rsid w:val="00CE1221"/>
    <w:rsid w:val="00CE1290"/>
    <w:rsid w:val="00CE1479"/>
    <w:rsid w:val="00CE1E1C"/>
    <w:rsid w:val="00CE1F0A"/>
    <w:rsid w:val="00CE21FF"/>
    <w:rsid w:val="00CE24D3"/>
    <w:rsid w:val="00CE24E0"/>
    <w:rsid w:val="00CE2CB1"/>
    <w:rsid w:val="00CE2EE6"/>
    <w:rsid w:val="00CE38A1"/>
    <w:rsid w:val="00CE5330"/>
    <w:rsid w:val="00CE58A4"/>
    <w:rsid w:val="00CE5B40"/>
    <w:rsid w:val="00CE5BDD"/>
    <w:rsid w:val="00CE7090"/>
    <w:rsid w:val="00CE7EC2"/>
    <w:rsid w:val="00CE7FA1"/>
    <w:rsid w:val="00CF007F"/>
    <w:rsid w:val="00CF08E7"/>
    <w:rsid w:val="00CF10AE"/>
    <w:rsid w:val="00CF11A0"/>
    <w:rsid w:val="00CF1C03"/>
    <w:rsid w:val="00CF1F2F"/>
    <w:rsid w:val="00CF202C"/>
    <w:rsid w:val="00CF214E"/>
    <w:rsid w:val="00CF2241"/>
    <w:rsid w:val="00CF2CFF"/>
    <w:rsid w:val="00CF307E"/>
    <w:rsid w:val="00CF31A4"/>
    <w:rsid w:val="00CF3E8E"/>
    <w:rsid w:val="00CF411A"/>
    <w:rsid w:val="00CF4173"/>
    <w:rsid w:val="00CF4218"/>
    <w:rsid w:val="00CF43E3"/>
    <w:rsid w:val="00CF4549"/>
    <w:rsid w:val="00CF49B3"/>
    <w:rsid w:val="00CF5180"/>
    <w:rsid w:val="00CF5227"/>
    <w:rsid w:val="00CF6144"/>
    <w:rsid w:val="00CF6B56"/>
    <w:rsid w:val="00CF70E2"/>
    <w:rsid w:val="00CF7961"/>
    <w:rsid w:val="00D004DA"/>
    <w:rsid w:val="00D00826"/>
    <w:rsid w:val="00D00B45"/>
    <w:rsid w:val="00D00D06"/>
    <w:rsid w:val="00D015A1"/>
    <w:rsid w:val="00D01F98"/>
    <w:rsid w:val="00D0215D"/>
    <w:rsid w:val="00D0289B"/>
    <w:rsid w:val="00D02C95"/>
    <w:rsid w:val="00D02E7C"/>
    <w:rsid w:val="00D03179"/>
    <w:rsid w:val="00D033D8"/>
    <w:rsid w:val="00D035E5"/>
    <w:rsid w:val="00D03C2B"/>
    <w:rsid w:val="00D040E8"/>
    <w:rsid w:val="00D045F0"/>
    <w:rsid w:val="00D050B9"/>
    <w:rsid w:val="00D05B6F"/>
    <w:rsid w:val="00D06256"/>
    <w:rsid w:val="00D063BA"/>
    <w:rsid w:val="00D079A8"/>
    <w:rsid w:val="00D07A53"/>
    <w:rsid w:val="00D07DBC"/>
    <w:rsid w:val="00D114AD"/>
    <w:rsid w:val="00D114D0"/>
    <w:rsid w:val="00D11A62"/>
    <w:rsid w:val="00D12C8E"/>
    <w:rsid w:val="00D12D3A"/>
    <w:rsid w:val="00D12E5B"/>
    <w:rsid w:val="00D1306E"/>
    <w:rsid w:val="00D1380D"/>
    <w:rsid w:val="00D1396E"/>
    <w:rsid w:val="00D144B9"/>
    <w:rsid w:val="00D14A02"/>
    <w:rsid w:val="00D14C4F"/>
    <w:rsid w:val="00D14D97"/>
    <w:rsid w:val="00D15323"/>
    <w:rsid w:val="00D159E7"/>
    <w:rsid w:val="00D15A6D"/>
    <w:rsid w:val="00D169BF"/>
    <w:rsid w:val="00D17494"/>
    <w:rsid w:val="00D17CD5"/>
    <w:rsid w:val="00D17D03"/>
    <w:rsid w:val="00D2026E"/>
    <w:rsid w:val="00D20396"/>
    <w:rsid w:val="00D207BA"/>
    <w:rsid w:val="00D2083B"/>
    <w:rsid w:val="00D20ACF"/>
    <w:rsid w:val="00D2191C"/>
    <w:rsid w:val="00D22A95"/>
    <w:rsid w:val="00D22DFF"/>
    <w:rsid w:val="00D23607"/>
    <w:rsid w:val="00D236CD"/>
    <w:rsid w:val="00D24129"/>
    <w:rsid w:val="00D2516E"/>
    <w:rsid w:val="00D251B3"/>
    <w:rsid w:val="00D25B01"/>
    <w:rsid w:val="00D26AB6"/>
    <w:rsid w:val="00D26ED6"/>
    <w:rsid w:val="00D27333"/>
    <w:rsid w:val="00D273C6"/>
    <w:rsid w:val="00D27A1E"/>
    <w:rsid w:val="00D27AAD"/>
    <w:rsid w:val="00D300E3"/>
    <w:rsid w:val="00D317E9"/>
    <w:rsid w:val="00D32486"/>
    <w:rsid w:val="00D3298F"/>
    <w:rsid w:val="00D336DB"/>
    <w:rsid w:val="00D33717"/>
    <w:rsid w:val="00D33785"/>
    <w:rsid w:val="00D3422B"/>
    <w:rsid w:val="00D34C2C"/>
    <w:rsid w:val="00D35498"/>
    <w:rsid w:val="00D35879"/>
    <w:rsid w:val="00D35C9C"/>
    <w:rsid w:val="00D367A2"/>
    <w:rsid w:val="00D36975"/>
    <w:rsid w:val="00D3699B"/>
    <w:rsid w:val="00D36C0A"/>
    <w:rsid w:val="00D36F49"/>
    <w:rsid w:val="00D371D5"/>
    <w:rsid w:val="00D376A5"/>
    <w:rsid w:val="00D40356"/>
    <w:rsid w:val="00D40384"/>
    <w:rsid w:val="00D418A9"/>
    <w:rsid w:val="00D419D2"/>
    <w:rsid w:val="00D41D04"/>
    <w:rsid w:val="00D4231A"/>
    <w:rsid w:val="00D42DC6"/>
    <w:rsid w:val="00D437E2"/>
    <w:rsid w:val="00D438D6"/>
    <w:rsid w:val="00D43990"/>
    <w:rsid w:val="00D43CE2"/>
    <w:rsid w:val="00D445E9"/>
    <w:rsid w:val="00D44964"/>
    <w:rsid w:val="00D44DAC"/>
    <w:rsid w:val="00D44DF3"/>
    <w:rsid w:val="00D44EB2"/>
    <w:rsid w:val="00D44FDC"/>
    <w:rsid w:val="00D452D0"/>
    <w:rsid w:val="00D4558F"/>
    <w:rsid w:val="00D45924"/>
    <w:rsid w:val="00D45B6E"/>
    <w:rsid w:val="00D46116"/>
    <w:rsid w:val="00D467C8"/>
    <w:rsid w:val="00D46A18"/>
    <w:rsid w:val="00D46DEA"/>
    <w:rsid w:val="00D46ECB"/>
    <w:rsid w:val="00D47007"/>
    <w:rsid w:val="00D47649"/>
    <w:rsid w:val="00D504E4"/>
    <w:rsid w:val="00D5051B"/>
    <w:rsid w:val="00D50A97"/>
    <w:rsid w:val="00D50C86"/>
    <w:rsid w:val="00D50E8C"/>
    <w:rsid w:val="00D51ECA"/>
    <w:rsid w:val="00D52485"/>
    <w:rsid w:val="00D52B25"/>
    <w:rsid w:val="00D52D9C"/>
    <w:rsid w:val="00D52EF6"/>
    <w:rsid w:val="00D5339B"/>
    <w:rsid w:val="00D53B8E"/>
    <w:rsid w:val="00D54BDC"/>
    <w:rsid w:val="00D5558F"/>
    <w:rsid w:val="00D556A0"/>
    <w:rsid w:val="00D55900"/>
    <w:rsid w:val="00D5592C"/>
    <w:rsid w:val="00D55AA1"/>
    <w:rsid w:val="00D56236"/>
    <w:rsid w:val="00D564E9"/>
    <w:rsid w:val="00D568AA"/>
    <w:rsid w:val="00D57250"/>
    <w:rsid w:val="00D578A1"/>
    <w:rsid w:val="00D57958"/>
    <w:rsid w:val="00D601FB"/>
    <w:rsid w:val="00D60341"/>
    <w:rsid w:val="00D60DC9"/>
    <w:rsid w:val="00D60E79"/>
    <w:rsid w:val="00D60FFD"/>
    <w:rsid w:val="00D61DDB"/>
    <w:rsid w:val="00D61E66"/>
    <w:rsid w:val="00D629FB"/>
    <w:rsid w:val="00D62A5A"/>
    <w:rsid w:val="00D62B75"/>
    <w:rsid w:val="00D62C41"/>
    <w:rsid w:val="00D6308B"/>
    <w:rsid w:val="00D63EDD"/>
    <w:rsid w:val="00D64166"/>
    <w:rsid w:val="00D6473B"/>
    <w:rsid w:val="00D65562"/>
    <w:rsid w:val="00D6665E"/>
    <w:rsid w:val="00D66B91"/>
    <w:rsid w:val="00D67464"/>
    <w:rsid w:val="00D70288"/>
    <w:rsid w:val="00D713DC"/>
    <w:rsid w:val="00D717B0"/>
    <w:rsid w:val="00D71A88"/>
    <w:rsid w:val="00D72060"/>
    <w:rsid w:val="00D7210E"/>
    <w:rsid w:val="00D723D4"/>
    <w:rsid w:val="00D72965"/>
    <w:rsid w:val="00D73039"/>
    <w:rsid w:val="00D75087"/>
    <w:rsid w:val="00D751DF"/>
    <w:rsid w:val="00D75652"/>
    <w:rsid w:val="00D75655"/>
    <w:rsid w:val="00D756F0"/>
    <w:rsid w:val="00D75D5F"/>
    <w:rsid w:val="00D75E37"/>
    <w:rsid w:val="00D76873"/>
    <w:rsid w:val="00D768D3"/>
    <w:rsid w:val="00D77DB3"/>
    <w:rsid w:val="00D77E1F"/>
    <w:rsid w:val="00D802E8"/>
    <w:rsid w:val="00D81987"/>
    <w:rsid w:val="00D81B6D"/>
    <w:rsid w:val="00D828B6"/>
    <w:rsid w:val="00D82AAF"/>
    <w:rsid w:val="00D83B95"/>
    <w:rsid w:val="00D865D1"/>
    <w:rsid w:val="00D8667E"/>
    <w:rsid w:val="00D8697C"/>
    <w:rsid w:val="00D86DE4"/>
    <w:rsid w:val="00D8796D"/>
    <w:rsid w:val="00D9010E"/>
    <w:rsid w:val="00D902DA"/>
    <w:rsid w:val="00D90AAF"/>
    <w:rsid w:val="00D90FE1"/>
    <w:rsid w:val="00D914C9"/>
    <w:rsid w:val="00D92908"/>
    <w:rsid w:val="00D92B03"/>
    <w:rsid w:val="00D93A57"/>
    <w:rsid w:val="00D93B5A"/>
    <w:rsid w:val="00D942B2"/>
    <w:rsid w:val="00D94559"/>
    <w:rsid w:val="00D945AD"/>
    <w:rsid w:val="00D94D47"/>
    <w:rsid w:val="00D961AF"/>
    <w:rsid w:val="00D969F8"/>
    <w:rsid w:val="00D96B51"/>
    <w:rsid w:val="00D96DE8"/>
    <w:rsid w:val="00D97188"/>
    <w:rsid w:val="00D973DE"/>
    <w:rsid w:val="00D97563"/>
    <w:rsid w:val="00D97567"/>
    <w:rsid w:val="00DA0534"/>
    <w:rsid w:val="00DA0E77"/>
    <w:rsid w:val="00DA12D9"/>
    <w:rsid w:val="00DA18E9"/>
    <w:rsid w:val="00DA1F71"/>
    <w:rsid w:val="00DA239A"/>
    <w:rsid w:val="00DA282C"/>
    <w:rsid w:val="00DA2841"/>
    <w:rsid w:val="00DA2C2F"/>
    <w:rsid w:val="00DA34A3"/>
    <w:rsid w:val="00DA412F"/>
    <w:rsid w:val="00DA4264"/>
    <w:rsid w:val="00DA4BA9"/>
    <w:rsid w:val="00DA4CB3"/>
    <w:rsid w:val="00DA5219"/>
    <w:rsid w:val="00DA5997"/>
    <w:rsid w:val="00DA6B0E"/>
    <w:rsid w:val="00DA6D30"/>
    <w:rsid w:val="00DA6E7C"/>
    <w:rsid w:val="00DA7771"/>
    <w:rsid w:val="00DA78AE"/>
    <w:rsid w:val="00DA79D0"/>
    <w:rsid w:val="00DB06FB"/>
    <w:rsid w:val="00DB08E5"/>
    <w:rsid w:val="00DB0A23"/>
    <w:rsid w:val="00DB162D"/>
    <w:rsid w:val="00DB1C31"/>
    <w:rsid w:val="00DB261B"/>
    <w:rsid w:val="00DB2864"/>
    <w:rsid w:val="00DB32D3"/>
    <w:rsid w:val="00DB3F05"/>
    <w:rsid w:val="00DB44C8"/>
    <w:rsid w:val="00DB46F1"/>
    <w:rsid w:val="00DB5F4C"/>
    <w:rsid w:val="00DB6157"/>
    <w:rsid w:val="00DB657E"/>
    <w:rsid w:val="00DB65F9"/>
    <w:rsid w:val="00DB6749"/>
    <w:rsid w:val="00DB6B5A"/>
    <w:rsid w:val="00DB77A3"/>
    <w:rsid w:val="00DB77D3"/>
    <w:rsid w:val="00DB7EB6"/>
    <w:rsid w:val="00DC031E"/>
    <w:rsid w:val="00DC0B04"/>
    <w:rsid w:val="00DC112B"/>
    <w:rsid w:val="00DC115C"/>
    <w:rsid w:val="00DC2B80"/>
    <w:rsid w:val="00DC39C2"/>
    <w:rsid w:val="00DC3AE0"/>
    <w:rsid w:val="00DC3F4F"/>
    <w:rsid w:val="00DC42F3"/>
    <w:rsid w:val="00DC444F"/>
    <w:rsid w:val="00DC5716"/>
    <w:rsid w:val="00DC6CAD"/>
    <w:rsid w:val="00DC70E2"/>
    <w:rsid w:val="00DC7193"/>
    <w:rsid w:val="00DC7612"/>
    <w:rsid w:val="00DC7FFA"/>
    <w:rsid w:val="00DD0692"/>
    <w:rsid w:val="00DD0C0B"/>
    <w:rsid w:val="00DD0E7A"/>
    <w:rsid w:val="00DD1D57"/>
    <w:rsid w:val="00DD1D59"/>
    <w:rsid w:val="00DD2B12"/>
    <w:rsid w:val="00DD2DCF"/>
    <w:rsid w:val="00DD3541"/>
    <w:rsid w:val="00DD35F6"/>
    <w:rsid w:val="00DD4765"/>
    <w:rsid w:val="00DD4AFF"/>
    <w:rsid w:val="00DD5999"/>
    <w:rsid w:val="00DD5B2F"/>
    <w:rsid w:val="00DD5C50"/>
    <w:rsid w:val="00DD62D7"/>
    <w:rsid w:val="00DD64D8"/>
    <w:rsid w:val="00DD6CBB"/>
    <w:rsid w:val="00DD6D59"/>
    <w:rsid w:val="00DD6E39"/>
    <w:rsid w:val="00DD6F21"/>
    <w:rsid w:val="00DD7166"/>
    <w:rsid w:val="00DD7B50"/>
    <w:rsid w:val="00DE0ACB"/>
    <w:rsid w:val="00DE0C59"/>
    <w:rsid w:val="00DE0CF6"/>
    <w:rsid w:val="00DE1008"/>
    <w:rsid w:val="00DE1C27"/>
    <w:rsid w:val="00DE1C68"/>
    <w:rsid w:val="00DE1D2C"/>
    <w:rsid w:val="00DE1DC4"/>
    <w:rsid w:val="00DE1DD3"/>
    <w:rsid w:val="00DE2413"/>
    <w:rsid w:val="00DE2826"/>
    <w:rsid w:val="00DE3148"/>
    <w:rsid w:val="00DE3958"/>
    <w:rsid w:val="00DE3AEB"/>
    <w:rsid w:val="00DE409A"/>
    <w:rsid w:val="00DE4228"/>
    <w:rsid w:val="00DE47AE"/>
    <w:rsid w:val="00DE47D2"/>
    <w:rsid w:val="00DE57ED"/>
    <w:rsid w:val="00DE5CDA"/>
    <w:rsid w:val="00DE6107"/>
    <w:rsid w:val="00DE64B2"/>
    <w:rsid w:val="00DE6800"/>
    <w:rsid w:val="00DE69B2"/>
    <w:rsid w:val="00DE6C8F"/>
    <w:rsid w:val="00DE71D7"/>
    <w:rsid w:val="00DE7ACD"/>
    <w:rsid w:val="00DF025C"/>
    <w:rsid w:val="00DF1C46"/>
    <w:rsid w:val="00DF1E0C"/>
    <w:rsid w:val="00DF2B58"/>
    <w:rsid w:val="00DF2F84"/>
    <w:rsid w:val="00DF3230"/>
    <w:rsid w:val="00DF3794"/>
    <w:rsid w:val="00DF3AC7"/>
    <w:rsid w:val="00DF48F4"/>
    <w:rsid w:val="00DF4943"/>
    <w:rsid w:val="00DF5019"/>
    <w:rsid w:val="00DF5116"/>
    <w:rsid w:val="00DF5471"/>
    <w:rsid w:val="00DF6018"/>
    <w:rsid w:val="00DF638D"/>
    <w:rsid w:val="00DF69C5"/>
    <w:rsid w:val="00E00243"/>
    <w:rsid w:val="00E005E5"/>
    <w:rsid w:val="00E00B3D"/>
    <w:rsid w:val="00E01CD2"/>
    <w:rsid w:val="00E02180"/>
    <w:rsid w:val="00E02D20"/>
    <w:rsid w:val="00E03275"/>
    <w:rsid w:val="00E03454"/>
    <w:rsid w:val="00E036E6"/>
    <w:rsid w:val="00E03A1C"/>
    <w:rsid w:val="00E03EAE"/>
    <w:rsid w:val="00E03F16"/>
    <w:rsid w:val="00E0483C"/>
    <w:rsid w:val="00E04C2B"/>
    <w:rsid w:val="00E04E87"/>
    <w:rsid w:val="00E04FC5"/>
    <w:rsid w:val="00E05160"/>
    <w:rsid w:val="00E05424"/>
    <w:rsid w:val="00E05926"/>
    <w:rsid w:val="00E06650"/>
    <w:rsid w:val="00E06856"/>
    <w:rsid w:val="00E0754F"/>
    <w:rsid w:val="00E07B65"/>
    <w:rsid w:val="00E07E2A"/>
    <w:rsid w:val="00E101B5"/>
    <w:rsid w:val="00E1115C"/>
    <w:rsid w:val="00E1124E"/>
    <w:rsid w:val="00E11322"/>
    <w:rsid w:val="00E11B2B"/>
    <w:rsid w:val="00E11C7A"/>
    <w:rsid w:val="00E11D96"/>
    <w:rsid w:val="00E12053"/>
    <w:rsid w:val="00E128F3"/>
    <w:rsid w:val="00E12A92"/>
    <w:rsid w:val="00E138B5"/>
    <w:rsid w:val="00E13C04"/>
    <w:rsid w:val="00E13C07"/>
    <w:rsid w:val="00E13EF1"/>
    <w:rsid w:val="00E144B5"/>
    <w:rsid w:val="00E149FE"/>
    <w:rsid w:val="00E14B72"/>
    <w:rsid w:val="00E153B7"/>
    <w:rsid w:val="00E15A74"/>
    <w:rsid w:val="00E160A3"/>
    <w:rsid w:val="00E16117"/>
    <w:rsid w:val="00E169B0"/>
    <w:rsid w:val="00E16C22"/>
    <w:rsid w:val="00E16EA6"/>
    <w:rsid w:val="00E20117"/>
    <w:rsid w:val="00E203CF"/>
    <w:rsid w:val="00E20C0F"/>
    <w:rsid w:val="00E21336"/>
    <w:rsid w:val="00E213D1"/>
    <w:rsid w:val="00E219C2"/>
    <w:rsid w:val="00E21E4C"/>
    <w:rsid w:val="00E2246F"/>
    <w:rsid w:val="00E22503"/>
    <w:rsid w:val="00E22A4B"/>
    <w:rsid w:val="00E22AA5"/>
    <w:rsid w:val="00E22AB5"/>
    <w:rsid w:val="00E2381B"/>
    <w:rsid w:val="00E23DE6"/>
    <w:rsid w:val="00E24386"/>
    <w:rsid w:val="00E2477A"/>
    <w:rsid w:val="00E2494B"/>
    <w:rsid w:val="00E250FB"/>
    <w:rsid w:val="00E2590E"/>
    <w:rsid w:val="00E25BF0"/>
    <w:rsid w:val="00E25FBA"/>
    <w:rsid w:val="00E26E54"/>
    <w:rsid w:val="00E30171"/>
    <w:rsid w:val="00E306D7"/>
    <w:rsid w:val="00E307E7"/>
    <w:rsid w:val="00E314E0"/>
    <w:rsid w:val="00E32035"/>
    <w:rsid w:val="00E32B05"/>
    <w:rsid w:val="00E332B9"/>
    <w:rsid w:val="00E332D8"/>
    <w:rsid w:val="00E33DEE"/>
    <w:rsid w:val="00E346FB"/>
    <w:rsid w:val="00E34876"/>
    <w:rsid w:val="00E349C3"/>
    <w:rsid w:val="00E34E23"/>
    <w:rsid w:val="00E3535B"/>
    <w:rsid w:val="00E35471"/>
    <w:rsid w:val="00E35B6E"/>
    <w:rsid w:val="00E361F3"/>
    <w:rsid w:val="00E365CD"/>
    <w:rsid w:val="00E366DE"/>
    <w:rsid w:val="00E36AFE"/>
    <w:rsid w:val="00E377C2"/>
    <w:rsid w:val="00E37BA8"/>
    <w:rsid w:val="00E37F24"/>
    <w:rsid w:val="00E4042B"/>
    <w:rsid w:val="00E40A01"/>
    <w:rsid w:val="00E41216"/>
    <w:rsid w:val="00E41B99"/>
    <w:rsid w:val="00E424FE"/>
    <w:rsid w:val="00E42CEE"/>
    <w:rsid w:val="00E43AD8"/>
    <w:rsid w:val="00E44C72"/>
    <w:rsid w:val="00E456DA"/>
    <w:rsid w:val="00E45D3D"/>
    <w:rsid w:val="00E45DC4"/>
    <w:rsid w:val="00E45E6C"/>
    <w:rsid w:val="00E45EED"/>
    <w:rsid w:val="00E46A25"/>
    <w:rsid w:val="00E46B96"/>
    <w:rsid w:val="00E479AA"/>
    <w:rsid w:val="00E5045D"/>
    <w:rsid w:val="00E50729"/>
    <w:rsid w:val="00E510EE"/>
    <w:rsid w:val="00E518DD"/>
    <w:rsid w:val="00E5191E"/>
    <w:rsid w:val="00E51D5C"/>
    <w:rsid w:val="00E51D8E"/>
    <w:rsid w:val="00E52011"/>
    <w:rsid w:val="00E52423"/>
    <w:rsid w:val="00E52CEB"/>
    <w:rsid w:val="00E531C8"/>
    <w:rsid w:val="00E53335"/>
    <w:rsid w:val="00E5348B"/>
    <w:rsid w:val="00E53649"/>
    <w:rsid w:val="00E538BE"/>
    <w:rsid w:val="00E53947"/>
    <w:rsid w:val="00E53C11"/>
    <w:rsid w:val="00E54149"/>
    <w:rsid w:val="00E54182"/>
    <w:rsid w:val="00E54327"/>
    <w:rsid w:val="00E546E7"/>
    <w:rsid w:val="00E547F7"/>
    <w:rsid w:val="00E54827"/>
    <w:rsid w:val="00E55864"/>
    <w:rsid w:val="00E55F93"/>
    <w:rsid w:val="00E5600E"/>
    <w:rsid w:val="00E5660D"/>
    <w:rsid w:val="00E57DDD"/>
    <w:rsid w:val="00E6003B"/>
    <w:rsid w:val="00E607B7"/>
    <w:rsid w:val="00E611E1"/>
    <w:rsid w:val="00E6174A"/>
    <w:rsid w:val="00E6185D"/>
    <w:rsid w:val="00E62121"/>
    <w:rsid w:val="00E6217B"/>
    <w:rsid w:val="00E622AE"/>
    <w:rsid w:val="00E628A2"/>
    <w:rsid w:val="00E6404E"/>
    <w:rsid w:val="00E642B5"/>
    <w:rsid w:val="00E64A3B"/>
    <w:rsid w:val="00E655FD"/>
    <w:rsid w:val="00E65613"/>
    <w:rsid w:val="00E6566D"/>
    <w:rsid w:val="00E65CBF"/>
    <w:rsid w:val="00E65D92"/>
    <w:rsid w:val="00E66AE2"/>
    <w:rsid w:val="00E67134"/>
    <w:rsid w:val="00E67165"/>
    <w:rsid w:val="00E6722B"/>
    <w:rsid w:val="00E677E5"/>
    <w:rsid w:val="00E67DCB"/>
    <w:rsid w:val="00E67EBB"/>
    <w:rsid w:val="00E70806"/>
    <w:rsid w:val="00E70DE2"/>
    <w:rsid w:val="00E7125B"/>
    <w:rsid w:val="00E71378"/>
    <w:rsid w:val="00E71BAA"/>
    <w:rsid w:val="00E72414"/>
    <w:rsid w:val="00E72929"/>
    <w:rsid w:val="00E739F4"/>
    <w:rsid w:val="00E7445A"/>
    <w:rsid w:val="00E75BB8"/>
    <w:rsid w:val="00E7611E"/>
    <w:rsid w:val="00E7625D"/>
    <w:rsid w:val="00E7796B"/>
    <w:rsid w:val="00E77F65"/>
    <w:rsid w:val="00E808A7"/>
    <w:rsid w:val="00E809A3"/>
    <w:rsid w:val="00E81108"/>
    <w:rsid w:val="00E8115C"/>
    <w:rsid w:val="00E816D1"/>
    <w:rsid w:val="00E818DA"/>
    <w:rsid w:val="00E819D0"/>
    <w:rsid w:val="00E81B85"/>
    <w:rsid w:val="00E81CEE"/>
    <w:rsid w:val="00E8201F"/>
    <w:rsid w:val="00E82302"/>
    <w:rsid w:val="00E82D6E"/>
    <w:rsid w:val="00E82DEC"/>
    <w:rsid w:val="00E84A87"/>
    <w:rsid w:val="00E8513A"/>
    <w:rsid w:val="00E853BB"/>
    <w:rsid w:val="00E85E0C"/>
    <w:rsid w:val="00E86384"/>
    <w:rsid w:val="00E86E83"/>
    <w:rsid w:val="00E87571"/>
    <w:rsid w:val="00E8775B"/>
    <w:rsid w:val="00E87870"/>
    <w:rsid w:val="00E905A3"/>
    <w:rsid w:val="00E90D04"/>
    <w:rsid w:val="00E91055"/>
    <w:rsid w:val="00E9164F"/>
    <w:rsid w:val="00E91DF6"/>
    <w:rsid w:val="00E92379"/>
    <w:rsid w:val="00E92876"/>
    <w:rsid w:val="00E92B9D"/>
    <w:rsid w:val="00E931A8"/>
    <w:rsid w:val="00E948D9"/>
    <w:rsid w:val="00E9547D"/>
    <w:rsid w:val="00E95705"/>
    <w:rsid w:val="00E95CF8"/>
    <w:rsid w:val="00E95D50"/>
    <w:rsid w:val="00E95D55"/>
    <w:rsid w:val="00E96BF8"/>
    <w:rsid w:val="00E97107"/>
    <w:rsid w:val="00E974BB"/>
    <w:rsid w:val="00E97BAB"/>
    <w:rsid w:val="00E97EEE"/>
    <w:rsid w:val="00EA1971"/>
    <w:rsid w:val="00EA2249"/>
    <w:rsid w:val="00EA2424"/>
    <w:rsid w:val="00EA31FF"/>
    <w:rsid w:val="00EA3E03"/>
    <w:rsid w:val="00EA4A5F"/>
    <w:rsid w:val="00EA513A"/>
    <w:rsid w:val="00EA53AE"/>
    <w:rsid w:val="00EA5EB1"/>
    <w:rsid w:val="00EA6118"/>
    <w:rsid w:val="00EA6375"/>
    <w:rsid w:val="00EA63A8"/>
    <w:rsid w:val="00EA6462"/>
    <w:rsid w:val="00EA70C5"/>
    <w:rsid w:val="00EA7CB1"/>
    <w:rsid w:val="00EB12A1"/>
    <w:rsid w:val="00EB12D7"/>
    <w:rsid w:val="00EB17E8"/>
    <w:rsid w:val="00EB21AE"/>
    <w:rsid w:val="00EB38EA"/>
    <w:rsid w:val="00EB3CBB"/>
    <w:rsid w:val="00EB3F66"/>
    <w:rsid w:val="00EB49B8"/>
    <w:rsid w:val="00EB49DF"/>
    <w:rsid w:val="00EB4D93"/>
    <w:rsid w:val="00EB56E0"/>
    <w:rsid w:val="00EB6ABB"/>
    <w:rsid w:val="00EB7BA6"/>
    <w:rsid w:val="00EB7BBD"/>
    <w:rsid w:val="00EC0248"/>
    <w:rsid w:val="00EC0334"/>
    <w:rsid w:val="00EC0338"/>
    <w:rsid w:val="00EC04BB"/>
    <w:rsid w:val="00EC05D9"/>
    <w:rsid w:val="00EC149E"/>
    <w:rsid w:val="00EC2B0E"/>
    <w:rsid w:val="00EC3551"/>
    <w:rsid w:val="00EC3C04"/>
    <w:rsid w:val="00EC442D"/>
    <w:rsid w:val="00EC479B"/>
    <w:rsid w:val="00EC48D8"/>
    <w:rsid w:val="00EC4C09"/>
    <w:rsid w:val="00EC4C9A"/>
    <w:rsid w:val="00EC5D90"/>
    <w:rsid w:val="00EC5DE5"/>
    <w:rsid w:val="00EC6AAC"/>
    <w:rsid w:val="00ED0042"/>
    <w:rsid w:val="00ED0B1D"/>
    <w:rsid w:val="00ED0BFA"/>
    <w:rsid w:val="00ED12C4"/>
    <w:rsid w:val="00ED2018"/>
    <w:rsid w:val="00ED22E6"/>
    <w:rsid w:val="00ED281C"/>
    <w:rsid w:val="00ED2D81"/>
    <w:rsid w:val="00ED3925"/>
    <w:rsid w:val="00ED3B75"/>
    <w:rsid w:val="00ED44F4"/>
    <w:rsid w:val="00ED4F22"/>
    <w:rsid w:val="00ED50E9"/>
    <w:rsid w:val="00ED5269"/>
    <w:rsid w:val="00ED5853"/>
    <w:rsid w:val="00ED6E50"/>
    <w:rsid w:val="00ED70F7"/>
    <w:rsid w:val="00ED71B0"/>
    <w:rsid w:val="00ED7B33"/>
    <w:rsid w:val="00ED7FD6"/>
    <w:rsid w:val="00EE041C"/>
    <w:rsid w:val="00EE0623"/>
    <w:rsid w:val="00EE0D5C"/>
    <w:rsid w:val="00EE1635"/>
    <w:rsid w:val="00EE1813"/>
    <w:rsid w:val="00EE193E"/>
    <w:rsid w:val="00EE2538"/>
    <w:rsid w:val="00EE2A49"/>
    <w:rsid w:val="00EE3182"/>
    <w:rsid w:val="00EE3498"/>
    <w:rsid w:val="00EE376F"/>
    <w:rsid w:val="00EE37EB"/>
    <w:rsid w:val="00EE40A7"/>
    <w:rsid w:val="00EE451D"/>
    <w:rsid w:val="00EE4521"/>
    <w:rsid w:val="00EE4A6B"/>
    <w:rsid w:val="00EE4DFD"/>
    <w:rsid w:val="00EE4E60"/>
    <w:rsid w:val="00EE586D"/>
    <w:rsid w:val="00EE58F8"/>
    <w:rsid w:val="00EE6139"/>
    <w:rsid w:val="00EE6219"/>
    <w:rsid w:val="00EE662A"/>
    <w:rsid w:val="00EF02CF"/>
    <w:rsid w:val="00EF16B9"/>
    <w:rsid w:val="00EF1C37"/>
    <w:rsid w:val="00EF245B"/>
    <w:rsid w:val="00EF2FFA"/>
    <w:rsid w:val="00EF38AB"/>
    <w:rsid w:val="00EF3C06"/>
    <w:rsid w:val="00EF3F37"/>
    <w:rsid w:val="00EF4C79"/>
    <w:rsid w:val="00EF53DE"/>
    <w:rsid w:val="00EF54F4"/>
    <w:rsid w:val="00EF582D"/>
    <w:rsid w:val="00EF5A87"/>
    <w:rsid w:val="00EF631A"/>
    <w:rsid w:val="00EF64CF"/>
    <w:rsid w:val="00EF6D49"/>
    <w:rsid w:val="00EF6E4F"/>
    <w:rsid w:val="00F0041D"/>
    <w:rsid w:val="00F008C4"/>
    <w:rsid w:val="00F00B40"/>
    <w:rsid w:val="00F00EC3"/>
    <w:rsid w:val="00F0144F"/>
    <w:rsid w:val="00F018E1"/>
    <w:rsid w:val="00F01AD0"/>
    <w:rsid w:val="00F01F99"/>
    <w:rsid w:val="00F02788"/>
    <w:rsid w:val="00F02F53"/>
    <w:rsid w:val="00F03502"/>
    <w:rsid w:val="00F03552"/>
    <w:rsid w:val="00F0364F"/>
    <w:rsid w:val="00F036EE"/>
    <w:rsid w:val="00F0390E"/>
    <w:rsid w:val="00F03A2F"/>
    <w:rsid w:val="00F03F3A"/>
    <w:rsid w:val="00F044A2"/>
    <w:rsid w:val="00F04B63"/>
    <w:rsid w:val="00F054BC"/>
    <w:rsid w:val="00F0580D"/>
    <w:rsid w:val="00F05B12"/>
    <w:rsid w:val="00F05ED3"/>
    <w:rsid w:val="00F05FF1"/>
    <w:rsid w:val="00F06712"/>
    <w:rsid w:val="00F06799"/>
    <w:rsid w:val="00F068C2"/>
    <w:rsid w:val="00F06FFF"/>
    <w:rsid w:val="00F07039"/>
    <w:rsid w:val="00F0747D"/>
    <w:rsid w:val="00F07537"/>
    <w:rsid w:val="00F07CFB"/>
    <w:rsid w:val="00F07F40"/>
    <w:rsid w:val="00F10A89"/>
    <w:rsid w:val="00F10F82"/>
    <w:rsid w:val="00F123CE"/>
    <w:rsid w:val="00F12538"/>
    <w:rsid w:val="00F12613"/>
    <w:rsid w:val="00F1305F"/>
    <w:rsid w:val="00F13110"/>
    <w:rsid w:val="00F13AB0"/>
    <w:rsid w:val="00F13DFB"/>
    <w:rsid w:val="00F14B57"/>
    <w:rsid w:val="00F15C16"/>
    <w:rsid w:val="00F15C90"/>
    <w:rsid w:val="00F15CF2"/>
    <w:rsid w:val="00F15F7A"/>
    <w:rsid w:val="00F16480"/>
    <w:rsid w:val="00F1659D"/>
    <w:rsid w:val="00F16C98"/>
    <w:rsid w:val="00F16F4E"/>
    <w:rsid w:val="00F176E3"/>
    <w:rsid w:val="00F17D2D"/>
    <w:rsid w:val="00F2090F"/>
    <w:rsid w:val="00F20A31"/>
    <w:rsid w:val="00F20BE3"/>
    <w:rsid w:val="00F214D3"/>
    <w:rsid w:val="00F21D90"/>
    <w:rsid w:val="00F21FB3"/>
    <w:rsid w:val="00F22ADE"/>
    <w:rsid w:val="00F22D82"/>
    <w:rsid w:val="00F2319B"/>
    <w:rsid w:val="00F23642"/>
    <w:rsid w:val="00F23919"/>
    <w:rsid w:val="00F244C4"/>
    <w:rsid w:val="00F2453A"/>
    <w:rsid w:val="00F24712"/>
    <w:rsid w:val="00F247D1"/>
    <w:rsid w:val="00F25F51"/>
    <w:rsid w:val="00F262EC"/>
    <w:rsid w:val="00F263C7"/>
    <w:rsid w:val="00F26B57"/>
    <w:rsid w:val="00F27E81"/>
    <w:rsid w:val="00F30A24"/>
    <w:rsid w:val="00F310BC"/>
    <w:rsid w:val="00F310D0"/>
    <w:rsid w:val="00F31AAA"/>
    <w:rsid w:val="00F321C5"/>
    <w:rsid w:val="00F32B91"/>
    <w:rsid w:val="00F33619"/>
    <w:rsid w:val="00F343BB"/>
    <w:rsid w:val="00F345C1"/>
    <w:rsid w:val="00F34B03"/>
    <w:rsid w:val="00F36535"/>
    <w:rsid w:val="00F36FC6"/>
    <w:rsid w:val="00F379AA"/>
    <w:rsid w:val="00F40B4E"/>
    <w:rsid w:val="00F40DC2"/>
    <w:rsid w:val="00F41705"/>
    <w:rsid w:val="00F41905"/>
    <w:rsid w:val="00F41F34"/>
    <w:rsid w:val="00F41FB9"/>
    <w:rsid w:val="00F4233F"/>
    <w:rsid w:val="00F4365D"/>
    <w:rsid w:val="00F4368B"/>
    <w:rsid w:val="00F439AA"/>
    <w:rsid w:val="00F43E62"/>
    <w:rsid w:val="00F444BB"/>
    <w:rsid w:val="00F44A36"/>
    <w:rsid w:val="00F44BC5"/>
    <w:rsid w:val="00F4554D"/>
    <w:rsid w:val="00F4569A"/>
    <w:rsid w:val="00F4588B"/>
    <w:rsid w:val="00F46A99"/>
    <w:rsid w:val="00F471C2"/>
    <w:rsid w:val="00F4757A"/>
    <w:rsid w:val="00F47A84"/>
    <w:rsid w:val="00F47FA1"/>
    <w:rsid w:val="00F50087"/>
    <w:rsid w:val="00F5021B"/>
    <w:rsid w:val="00F509A0"/>
    <w:rsid w:val="00F510F4"/>
    <w:rsid w:val="00F51D48"/>
    <w:rsid w:val="00F52C3E"/>
    <w:rsid w:val="00F52DE0"/>
    <w:rsid w:val="00F53329"/>
    <w:rsid w:val="00F5338D"/>
    <w:rsid w:val="00F5347B"/>
    <w:rsid w:val="00F53871"/>
    <w:rsid w:val="00F54CF8"/>
    <w:rsid w:val="00F55210"/>
    <w:rsid w:val="00F55C35"/>
    <w:rsid w:val="00F5601B"/>
    <w:rsid w:val="00F56B5C"/>
    <w:rsid w:val="00F56C3A"/>
    <w:rsid w:val="00F56F22"/>
    <w:rsid w:val="00F56FFF"/>
    <w:rsid w:val="00F575AA"/>
    <w:rsid w:val="00F577D5"/>
    <w:rsid w:val="00F57F66"/>
    <w:rsid w:val="00F60E35"/>
    <w:rsid w:val="00F617F7"/>
    <w:rsid w:val="00F6181E"/>
    <w:rsid w:val="00F61E3F"/>
    <w:rsid w:val="00F62032"/>
    <w:rsid w:val="00F63212"/>
    <w:rsid w:val="00F63846"/>
    <w:rsid w:val="00F63F9D"/>
    <w:rsid w:val="00F6520B"/>
    <w:rsid w:val="00F652FB"/>
    <w:rsid w:val="00F65B32"/>
    <w:rsid w:val="00F66061"/>
    <w:rsid w:val="00F66886"/>
    <w:rsid w:val="00F66954"/>
    <w:rsid w:val="00F67107"/>
    <w:rsid w:val="00F676C0"/>
    <w:rsid w:val="00F67FFE"/>
    <w:rsid w:val="00F70E05"/>
    <w:rsid w:val="00F70E2F"/>
    <w:rsid w:val="00F721CC"/>
    <w:rsid w:val="00F72333"/>
    <w:rsid w:val="00F729B4"/>
    <w:rsid w:val="00F729C6"/>
    <w:rsid w:val="00F73383"/>
    <w:rsid w:val="00F73925"/>
    <w:rsid w:val="00F73979"/>
    <w:rsid w:val="00F74B3C"/>
    <w:rsid w:val="00F74FB8"/>
    <w:rsid w:val="00F76444"/>
    <w:rsid w:val="00F76754"/>
    <w:rsid w:val="00F76872"/>
    <w:rsid w:val="00F76A89"/>
    <w:rsid w:val="00F77A19"/>
    <w:rsid w:val="00F80F30"/>
    <w:rsid w:val="00F8150B"/>
    <w:rsid w:val="00F8151F"/>
    <w:rsid w:val="00F81EEB"/>
    <w:rsid w:val="00F827E6"/>
    <w:rsid w:val="00F834AC"/>
    <w:rsid w:val="00F8354B"/>
    <w:rsid w:val="00F83852"/>
    <w:rsid w:val="00F83A14"/>
    <w:rsid w:val="00F8484B"/>
    <w:rsid w:val="00F84D4E"/>
    <w:rsid w:val="00F84FFC"/>
    <w:rsid w:val="00F850E5"/>
    <w:rsid w:val="00F856F1"/>
    <w:rsid w:val="00F85C6B"/>
    <w:rsid w:val="00F85D35"/>
    <w:rsid w:val="00F8692F"/>
    <w:rsid w:val="00F86B39"/>
    <w:rsid w:val="00F86E06"/>
    <w:rsid w:val="00F87166"/>
    <w:rsid w:val="00F87ED7"/>
    <w:rsid w:val="00F87FC1"/>
    <w:rsid w:val="00F90BEE"/>
    <w:rsid w:val="00F90D3D"/>
    <w:rsid w:val="00F9144C"/>
    <w:rsid w:val="00F91C4B"/>
    <w:rsid w:val="00F91D64"/>
    <w:rsid w:val="00F934B9"/>
    <w:rsid w:val="00F94252"/>
    <w:rsid w:val="00F9480A"/>
    <w:rsid w:val="00F95623"/>
    <w:rsid w:val="00F96262"/>
    <w:rsid w:val="00F96405"/>
    <w:rsid w:val="00F96DE2"/>
    <w:rsid w:val="00F97B80"/>
    <w:rsid w:val="00FA08D1"/>
    <w:rsid w:val="00FA0DAF"/>
    <w:rsid w:val="00FA132A"/>
    <w:rsid w:val="00FA160D"/>
    <w:rsid w:val="00FA16E6"/>
    <w:rsid w:val="00FA1A6B"/>
    <w:rsid w:val="00FA2289"/>
    <w:rsid w:val="00FA29D6"/>
    <w:rsid w:val="00FA2DB2"/>
    <w:rsid w:val="00FA2DCC"/>
    <w:rsid w:val="00FA34A2"/>
    <w:rsid w:val="00FA351F"/>
    <w:rsid w:val="00FA358B"/>
    <w:rsid w:val="00FA4290"/>
    <w:rsid w:val="00FA4819"/>
    <w:rsid w:val="00FA4A4C"/>
    <w:rsid w:val="00FA5B27"/>
    <w:rsid w:val="00FA65A2"/>
    <w:rsid w:val="00FA6DD5"/>
    <w:rsid w:val="00FA714E"/>
    <w:rsid w:val="00FA72F7"/>
    <w:rsid w:val="00FA7585"/>
    <w:rsid w:val="00FA7F52"/>
    <w:rsid w:val="00FB0461"/>
    <w:rsid w:val="00FB085E"/>
    <w:rsid w:val="00FB08DE"/>
    <w:rsid w:val="00FB0F0C"/>
    <w:rsid w:val="00FB15AB"/>
    <w:rsid w:val="00FB1B4C"/>
    <w:rsid w:val="00FB1D0D"/>
    <w:rsid w:val="00FB2110"/>
    <w:rsid w:val="00FB2437"/>
    <w:rsid w:val="00FB253A"/>
    <w:rsid w:val="00FB35D7"/>
    <w:rsid w:val="00FB3BA9"/>
    <w:rsid w:val="00FB3BB6"/>
    <w:rsid w:val="00FB3F13"/>
    <w:rsid w:val="00FB4E5D"/>
    <w:rsid w:val="00FB56FD"/>
    <w:rsid w:val="00FB6216"/>
    <w:rsid w:val="00FB6A7D"/>
    <w:rsid w:val="00FB6B9A"/>
    <w:rsid w:val="00FB6E43"/>
    <w:rsid w:val="00FB714B"/>
    <w:rsid w:val="00FB7223"/>
    <w:rsid w:val="00FB7325"/>
    <w:rsid w:val="00FB74DF"/>
    <w:rsid w:val="00FB7F3B"/>
    <w:rsid w:val="00FC009D"/>
    <w:rsid w:val="00FC0D56"/>
    <w:rsid w:val="00FC1539"/>
    <w:rsid w:val="00FC1BDE"/>
    <w:rsid w:val="00FC2366"/>
    <w:rsid w:val="00FC2883"/>
    <w:rsid w:val="00FC34A5"/>
    <w:rsid w:val="00FC383A"/>
    <w:rsid w:val="00FC398C"/>
    <w:rsid w:val="00FC3C43"/>
    <w:rsid w:val="00FC3DBB"/>
    <w:rsid w:val="00FC4040"/>
    <w:rsid w:val="00FC443D"/>
    <w:rsid w:val="00FC46D3"/>
    <w:rsid w:val="00FC4BF5"/>
    <w:rsid w:val="00FC61BF"/>
    <w:rsid w:val="00FC64EA"/>
    <w:rsid w:val="00FC6A83"/>
    <w:rsid w:val="00FC732F"/>
    <w:rsid w:val="00FC7AE3"/>
    <w:rsid w:val="00FD013E"/>
    <w:rsid w:val="00FD04FE"/>
    <w:rsid w:val="00FD12D6"/>
    <w:rsid w:val="00FD1E1E"/>
    <w:rsid w:val="00FD2067"/>
    <w:rsid w:val="00FD2343"/>
    <w:rsid w:val="00FD24AA"/>
    <w:rsid w:val="00FD2908"/>
    <w:rsid w:val="00FD2ADD"/>
    <w:rsid w:val="00FD41A6"/>
    <w:rsid w:val="00FD4DA9"/>
    <w:rsid w:val="00FD5C94"/>
    <w:rsid w:val="00FD5F02"/>
    <w:rsid w:val="00FD6A46"/>
    <w:rsid w:val="00FD7774"/>
    <w:rsid w:val="00FD7DAB"/>
    <w:rsid w:val="00FE0902"/>
    <w:rsid w:val="00FE14B6"/>
    <w:rsid w:val="00FE243F"/>
    <w:rsid w:val="00FE2C69"/>
    <w:rsid w:val="00FE2D7C"/>
    <w:rsid w:val="00FE45CD"/>
    <w:rsid w:val="00FE4728"/>
    <w:rsid w:val="00FE475E"/>
    <w:rsid w:val="00FE4B11"/>
    <w:rsid w:val="00FE5C26"/>
    <w:rsid w:val="00FE5C6B"/>
    <w:rsid w:val="00FE6147"/>
    <w:rsid w:val="00FE718A"/>
    <w:rsid w:val="00FE7458"/>
    <w:rsid w:val="00FE794A"/>
    <w:rsid w:val="00FE7D79"/>
    <w:rsid w:val="00FF09D8"/>
    <w:rsid w:val="00FF1A1C"/>
    <w:rsid w:val="00FF1C1C"/>
    <w:rsid w:val="00FF1F0E"/>
    <w:rsid w:val="00FF207D"/>
    <w:rsid w:val="00FF2649"/>
    <w:rsid w:val="00FF2F38"/>
    <w:rsid w:val="00FF31DB"/>
    <w:rsid w:val="00FF3227"/>
    <w:rsid w:val="00FF336F"/>
    <w:rsid w:val="00FF33C0"/>
    <w:rsid w:val="00FF37BA"/>
    <w:rsid w:val="00FF3EA3"/>
    <w:rsid w:val="00FF400A"/>
    <w:rsid w:val="00FF41A0"/>
    <w:rsid w:val="00FF46EF"/>
    <w:rsid w:val="00FF4B46"/>
    <w:rsid w:val="00FF4BF3"/>
    <w:rsid w:val="00FF4F82"/>
    <w:rsid w:val="00FF50D5"/>
    <w:rsid w:val="00FF68CD"/>
    <w:rsid w:val="00FF69F6"/>
    <w:rsid w:val="00FF6E57"/>
    <w:rsid w:val="00FF711B"/>
    <w:rsid w:val="00FF7BB2"/>
    <w:rsid w:val="00FF7E2E"/>
    <w:rsid w:val="75C3974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FF97B"/>
  <w14:defaultImageDpi w14:val="32767"/>
  <w15:docId w15:val="{5D0FC3AF-571C-4C6E-9ABB-5147A4FE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3F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Numbered Paragraph,Segundo nivel de viñetas,List Paragraph1,Párrafo de lista1,Bullets,Bullet,titulo 3,Lista vistosa - Énfasis 11,HOJA,Bolita,Párrafo de lista4,BOLADEF,Párrafo de lista2,Párrafo de lista21,BOLA,Nivel 1 OS,DH1,l,Ha"/>
    <w:basedOn w:val="Normal"/>
    <w:link w:val="ListParagraphChar"/>
    <w:uiPriority w:val="34"/>
    <w:qFormat/>
    <w:rsid w:val="00553C65"/>
    <w:pPr>
      <w:ind w:left="720"/>
      <w:contextualSpacing/>
    </w:pPr>
  </w:style>
  <w:style w:type="paragraph" w:styleId="FootnoteText">
    <w:name w:val="footnote text"/>
    <w:aliases w:val="fn,FOOTNOTES,single space,footnote text,Footnote Text Char Char,footnote,Texto nota pie IIRSA,Texto de rodapé,nota_rodapé,nota de rodapé,texto de nota al pie,Texto nota pie Car Car Car Car Car Car Car Car,foottextfra,F,f,ADB,ft"/>
    <w:basedOn w:val="Normal"/>
    <w:link w:val="FootnoteTextChar"/>
    <w:uiPriority w:val="99"/>
    <w:unhideWhenUsed/>
    <w:qFormat/>
    <w:rsid w:val="00303038"/>
    <w:rPr>
      <w:sz w:val="20"/>
      <w:szCs w:val="20"/>
      <w:lang w:val="es-CO"/>
    </w:rPr>
  </w:style>
  <w:style w:type="character" w:styleId="FootnoteTextChar" w:customStyle="1">
    <w:name w:val="Footnote Text Char"/>
    <w:aliases w:val="fn Char,FOOTNOTES Char,single space Char,footnote text Char,Footnote Text Char Char Char,footnote Char,Texto nota pie IIRSA Char,Texto de rodapé Char,nota_rodapé Char,nota de rodapé Char,texto de nota al pie Char,foottextfra Char"/>
    <w:basedOn w:val="DefaultParagraphFont"/>
    <w:link w:val="FootnoteText"/>
    <w:uiPriority w:val="99"/>
    <w:rsid w:val="00303038"/>
    <w:rPr>
      <w:sz w:val="20"/>
      <w:szCs w:val="20"/>
      <w:lang w:val="es-CO"/>
    </w:rPr>
  </w:style>
  <w:style w:type="character" w:styleId="FootnoteReference">
    <w:name w:val="footnote reference"/>
    <w:aliases w:val="FC,referencia nota al pie,Stinking Styles11,Texto de nota al pie,Footnote symbol,Footnote,titulo 2,ftref,Style 24,pie pddes,Fußnotenzeichen DISS,Footnote Reference1,Ref,de nota al pie,16 Point,Superscript 6 Point,Знак сноски 1,BVI fn"/>
    <w:basedOn w:val="DefaultParagraphFont"/>
    <w:uiPriority w:val="99"/>
    <w:unhideWhenUsed/>
    <w:qFormat/>
    <w:rsid w:val="00303038"/>
    <w:rPr>
      <w:vertAlign w:val="superscript"/>
    </w:rPr>
  </w:style>
  <w:style w:type="paragraph" w:styleId="Header">
    <w:name w:val="header"/>
    <w:basedOn w:val="Normal"/>
    <w:link w:val="HeaderChar"/>
    <w:uiPriority w:val="99"/>
    <w:unhideWhenUsed/>
    <w:rsid w:val="00A53FE0"/>
    <w:pPr>
      <w:tabs>
        <w:tab w:val="center" w:pos="4419"/>
        <w:tab w:val="right" w:pos="8838"/>
      </w:tabs>
    </w:pPr>
  </w:style>
  <w:style w:type="character" w:styleId="HeaderChar" w:customStyle="1">
    <w:name w:val="Header Char"/>
    <w:basedOn w:val="DefaultParagraphFont"/>
    <w:link w:val="Header"/>
    <w:uiPriority w:val="99"/>
    <w:rsid w:val="00A53FE0"/>
  </w:style>
  <w:style w:type="paragraph" w:styleId="Footer">
    <w:name w:val="footer"/>
    <w:basedOn w:val="Normal"/>
    <w:link w:val="FooterChar"/>
    <w:uiPriority w:val="99"/>
    <w:unhideWhenUsed/>
    <w:rsid w:val="00A53FE0"/>
    <w:pPr>
      <w:tabs>
        <w:tab w:val="center" w:pos="4419"/>
        <w:tab w:val="right" w:pos="8838"/>
      </w:tabs>
    </w:pPr>
  </w:style>
  <w:style w:type="character" w:styleId="FooterChar" w:customStyle="1">
    <w:name w:val="Footer Char"/>
    <w:basedOn w:val="DefaultParagraphFont"/>
    <w:link w:val="Footer"/>
    <w:uiPriority w:val="99"/>
    <w:rsid w:val="00A53FE0"/>
  </w:style>
  <w:style w:type="paragraph" w:styleId="BalloonText">
    <w:name w:val="Balloon Text"/>
    <w:basedOn w:val="Normal"/>
    <w:link w:val="BalloonTextChar"/>
    <w:uiPriority w:val="99"/>
    <w:semiHidden/>
    <w:unhideWhenUsed/>
    <w:rsid w:val="00013C33"/>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13C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62A66"/>
    <w:rPr>
      <w:sz w:val="16"/>
      <w:szCs w:val="16"/>
    </w:rPr>
  </w:style>
  <w:style w:type="paragraph" w:styleId="CommentText">
    <w:name w:val="annotation text"/>
    <w:basedOn w:val="Normal"/>
    <w:link w:val="CommentTextChar"/>
    <w:uiPriority w:val="99"/>
    <w:semiHidden/>
    <w:unhideWhenUsed/>
    <w:rsid w:val="00262A66"/>
    <w:rPr>
      <w:sz w:val="20"/>
      <w:szCs w:val="20"/>
    </w:rPr>
  </w:style>
  <w:style w:type="character" w:styleId="CommentTextChar" w:customStyle="1">
    <w:name w:val="Comment Text Char"/>
    <w:basedOn w:val="DefaultParagraphFont"/>
    <w:link w:val="CommentText"/>
    <w:uiPriority w:val="99"/>
    <w:semiHidden/>
    <w:rsid w:val="00262A66"/>
    <w:rPr>
      <w:sz w:val="20"/>
      <w:szCs w:val="20"/>
    </w:rPr>
  </w:style>
  <w:style w:type="paragraph" w:styleId="CommentSubject">
    <w:name w:val="annotation subject"/>
    <w:basedOn w:val="CommentText"/>
    <w:next w:val="CommentText"/>
    <w:link w:val="CommentSubjectChar"/>
    <w:uiPriority w:val="99"/>
    <w:semiHidden/>
    <w:unhideWhenUsed/>
    <w:rsid w:val="00262A66"/>
    <w:rPr>
      <w:b/>
      <w:bCs/>
    </w:rPr>
  </w:style>
  <w:style w:type="character" w:styleId="CommentSubjectChar" w:customStyle="1">
    <w:name w:val="Comment Subject Char"/>
    <w:basedOn w:val="CommentTextChar"/>
    <w:link w:val="CommentSubject"/>
    <w:uiPriority w:val="99"/>
    <w:semiHidden/>
    <w:rsid w:val="00262A66"/>
    <w:rPr>
      <w:b/>
      <w:bCs/>
      <w:sz w:val="20"/>
      <w:szCs w:val="20"/>
    </w:rPr>
  </w:style>
  <w:style w:type="table" w:styleId="TableGrid">
    <w:name w:val="Table Grid"/>
    <w:basedOn w:val="TableNormal"/>
    <w:uiPriority w:val="39"/>
    <w:rsid w:val="001330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501C8A"/>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normal41" w:customStyle="1">
    <w:name w:val="Tabla normal 41"/>
    <w:basedOn w:val="TableNormal"/>
    <w:uiPriority w:val="44"/>
    <w:rsid w:val="00BA301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530B2A"/>
    <w:rPr>
      <w:b/>
      <w:bCs/>
    </w:rPr>
  </w:style>
  <w:style w:type="character" w:styleId="Hyperlink">
    <w:name w:val="Hyperlink"/>
    <w:basedOn w:val="DefaultParagraphFont"/>
    <w:uiPriority w:val="99"/>
    <w:unhideWhenUsed/>
    <w:rsid w:val="002502AE"/>
    <w:rPr>
      <w:color w:val="0000FF"/>
      <w:u w:val="single"/>
    </w:rPr>
  </w:style>
  <w:style w:type="table" w:styleId="Tabladelista1clara-nfasis11" w:customStyle="1">
    <w:name w:val="Tabla de lista 1 clara - Énfasis 11"/>
    <w:basedOn w:val="TableNormal"/>
    <w:uiPriority w:val="46"/>
    <w:rsid w:val="006F55D6"/>
    <w:tblPr>
      <w:tblStyleRowBandSize w:val="1"/>
      <w:tblStyleColBandSize w:val="1"/>
    </w:tblPr>
    <w:tblStylePr w:type="firstRow">
      <w:rPr>
        <w:b/>
        <w:bCs/>
      </w:rPr>
      <w:tblPr/>
      <w:tcPr>
        <w:tcBorders>
          <w:bottom w:val="single" w:color="8EAADB" w:themeColor="accent1" w:themeTint="99" w:sz="4" w:space="0"/>
        </w:tcBorders>
      </w:tcPr>
    </w:tblStylePr>
    <w:tblStylePr w:type="lastRow">
      <w:rPr>
        <w:b/>
        <w:bCs/>
      </w:rPr>
      <w:tblPr/>
      <w:tcPr>
        <w:tcBorders>
          <w:top w:val="sing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3-nfasis11" w:customStyle="1">
    <w:name w:val="Tabla de cuadrícula 3 - Énfasis 11"/>
    <w:basedOn w:val="TableNormal"/>
    <w:uiPriority w:val="48"/>
    <w:rsid w:val="00012F80"/>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Tabladecuadrcula1clara-nfasis51" w:customStyle="1">
    <w:name w:val="Tabla de cuadrícula 1 clara - Énfasis 51"/>
    <w:basedOn w:val="TableNormal"/>
    <w:uiPriority w:val="46"/>
    <w:rsid w:val="00012F80"/>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Tabladecuadrcula1clara-nfasis11" w:customStyle="1">
    <w:name w:val="Tabla de cuadrícula 1 clara - Énfasis 11"/>
    <w:basedOn w:val="TableNormal"/>
    <w:uiPriority w:val="46"/>
    <w:rsid w:val="00E1124E"/>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Tabladelista3-nfasis11" w:customStyle="1">
    <w:name w:val="Tabla de lista 3 - Énfasis 11"/>
    <w:basedOn w:val="TableNormal"/>
    <w:uiPriority w:val="48"/>
    <w:rsid w:val="00EF3C06"/>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table" w:styleId="Cuadrculadetablaclara1" w:customStyle="1">
    <w:name w:val="Cuadrícula de tabla clara1"/>
    <w:basedOn w:val="TableNormal"/>
    <w:uiPriority w:val="40"/>
    <w:rsid w:val="00062B06"/>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Accent1">
    <w:name w:val="Grid Table 1 Light Accent 1"/>
    <w:basedOn w:val="TableNormal"/>
    <w:uiPriority w:val="46"/>
    <w:rsid w:val="00923647"/>
    <w:rPr>
      <w:sz w:val="22"/>
      <w:szCs w:val="22"/>
      <w:lang w:val="en-US"/>
    </w:r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41BD0"/>
    <w:rPr>
      <w:color w:val="808080"/>
    </w:rPr>
  </w:style>
  <w:style w:type="paragraph" w:styleId="NoSpacing">
    <w:name w:val="No Spacing"/>
    <w:link w:val="NoSpacingChar"/>
    <w:uiPriority w:val="1"/>
    <w:qFormat/>
    <w:rsid w:val="003F6789"/>
  </w:style>
  <w:style w:type="character" w:styleId="Mencinsinresolver1" w:customStyle="1">
    <w:name w:val="Mención sin resolver1"/>
    <w:basedOn w:val="DefaultParagraphFont"/>
    <w:uiPriority w:val="99"/>
    <w:semiHidden/>
    <w:unhideWhenUsed/>
    <w:rsid w:val="00C16F15"/>
    <w:rPr>
      <w:color w:val="605E5C"/>
      <w:shd w:val="clear" w:color="auto" w:fill="E1DFDD"/>
    </w:rPr>
  </w:style>
  <w:style w:type="table" w:styleId="TableGridLight">
    <w:name w:val="Grid Table Light"/>
    <w:basedOn w:val="TableNormal"/>
    <w:uiPriority w:val="40"/>
    <w:rsid w:val="00F41FB9"/>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Caption">
    <w:name w:val="caption"/>
    <w:aliases w:val="CONPES título tablas y gráficos"/>
    <w:basedOn w:val="CONPESTexto"/>
    <w:next w:val="CONPESTexto"/>
    <w:uiPriority w:val="35"/>
    <w:rsid w:val="00E22503"/>
    <w:pPr>
      <w:ind w:firstLine="0"/>
    </w:pPr>
    <w:rPr>
      <w:b/>
      <w:iCs/>
      <w:color w:val="auto"/>
      <w:szCs w:val="18"/>
    </w:rPr>
  </w:style>
  <w:style w:type="paragraph" w:styleId="CONPESTexto" w:customStyle="1">
    <w:name w:val="CONPES Texto"/>
    <w:basedOn w:val="Normal"/>
    <w:qFormat/>
    <w:rsid w:val="00E22503"/>
    <w:pPr>
      <w:spacing w:before="120" w:after="120" w:line="276" w:lineRule="auto"/>
      <w:ind w:firstLine="567"/>
      <w:jc w:val="both"/>
    </w:pPr>
    <w:rPr>
      <w:rFonts w:ascii="Futura Std Book" w:hAnsi="Futura Std Book" w:eastAsia="Calibri" w:cs="Times New Roman"/>
      <w:color w:val="000000"/>
      <w:sz w:val="22"/>
      <w:lang w:val="es-CO"/>
    </w:rPr>
  </w:style>
  <w:style w:type="paragraph" w:styleId="CONPESfuentenotaobjetos" w:customStyle="1">
    <w:name w:val="CONPES fuente/nota objetos"/>
    <w:basedOn w:val="Normal"/>
    <w:qFormat/>
    <w:rsid w:val="00E22503"/>
    <w:pPr>
      <w:spacing w:before="60" w:after="240"/>
      <w:jc w:val="both"/>
    </w:pPr>
    <w:rPr>
      <w:rFonts w:ascii="Futura Std Book" w:hAnsi="Futura Std Book" w:eastAsia="Times New Roman" w:cs="Times New Roman"/>
      <w:sz w:val="18"/>
      <w:szCs w:val="20"/>
      <w:lang w:val="es-ES" w:eastAsia="es-ES"/>
    </w:rPr>
  </w:style>
  <w:style w:type="character" w:styleId="NoSpacingChar" w:customStyle="1">
    <w:name w:val="No Spacing Char"/>
    <w:basedOn w:val="DefaultParagraphFont"/>
    <w:link w:val="NoSpacing"/>
    <w:uiPriority w:val="1"/>
    <w:locked/>
    <w:rsid w:val="008C0452"/>
  </w:style>
  <w:style w:type="paragraph" w:styleId="Chapter" w:customStyle="1">
    <w:name w:val="Chapter"/>
    <w:basedOn w:val="Normal"/>
    <w:next w:val="Normal"/>
    <w:rsid w:val="00A343F7"/>
    <w:pPr>
      <w:numPr>
        <w:numId w:val="11"/>
      </w:numPr>
      <w:tabs>
        <w:tab w:val="left" w:pos="1440"/>
      </w:tabs>
      <w:spacing w:before="240" w:after="240"/>
      <w:jc w:val="center"/>
    </w:pPr>
    <w:rPr>
      <w:rFonts w:ascii="Times New Roman" w:hAnsi="Times New Roman" w:eastAsia="Times New Roman" w:cs="Times New Roman"/>
      <w:b/>
      <w:smallCaps/>
      <w:szCs w:val="20"/>
    </w:rPr>
  </w:style>
  <w:style w:type="paragraph" w:styleId="Paragraph" w:customStyle="1">
    <w:name w:val="Paragraph"/>
    <w:aliases w:val="paragraph,p,PARAGRAPH,PG,pa,at"/>
    <w:basedOn w:val="BodyTextIndent"/>
    <w:uiPriority w:val="99"/>
    <w:qFormat/>
    <w:rsid w:val="00A343F7"/>
    <w:pPr>
      <w:numPr>
        <w:ilvl w:val="1"/>
        <w:numId w:val="11"/>
      </w:numPr>
      <w:tabs>
        <w:tab w:val="clear" w:pos="1656"/>
        <w:tab w:val="num" w:pos="360"/>
        <w:tab w:val="num" w:pos="720"/>
      </w:tabs>
      <w:spacing w:before="120"/>
      <w:ind w:left="720" w:hanging="720"/>
      <w:jc w:val="both"/>
      <w:outlineLvl w:val="1"/>
    </w:pPr>
    <w:rPr>
      <w:rFonts w:ascii="Times New Roman" w:hAnsi="Times New Roman" w:eastAsia="Times New Roman" w:cs="Times New Roman"/>
      <w:szCs w:val="20"/>
    </w:rPr>
  </w:style>
  <w:style w:type="paragraph" w:styleId="subpar" w:customStyle="1">
    <w:name w:val="subpar"/>
    <w:basedOn w:val="BodyTextIndent3"/>
    <w:uiPriority w:val="99"/>
    <w:rsid w:val="00A343F7"/>
    <w:pPr>
      <w:numPr>
        <w:ilvl w:val="2"/>
        <w:numId w:val="11"/>
      </w:numPr>
      <w:tabs>
        <w:tab w:val="clear" w:pos="2304"/>
        <w:tab w:val="num" w:pos="360"/>
      </w:tabs>
      <w:spacing w:before="120"/>
      <w:ind w:left="864" w:firstLine="0"/>
      <w:jc w:val="both"/>
      <w:outlineLvl w:val="2"/>
    </w:pPr>
    <w:rPr>
      <w:rFonts w:ascii="Times New Roman" w:hAnsi="Times New Roman" w:eastAsia="Times New Roman" w:cs="Times New Roman"/>
      <w:sz w:val="24"/>
    </w:rPr>
  </w:style>
  <w:style w:type="paragraph" w:styleId="SubSubPar" w:customStyle="1">
    <w:name w:val="SubSubPar"/>
    <w:basedOn w:val="subpar"/>
    <w:uiPriority w:val="99"/>
    <w:rsid w:val="00A343F7"/>
    <w:pPr>
      <w:numPr>
        <w:ilvl w:val="3"/>
      </w:numPr>
      <w:tabs>
        <w:tab w:val="clear" w:pos="2736"/>
        <w:tab w:val="left" w:pos="0"/>
        <w:tab w:val="num" w:pos="360"/>
        <w:tab w:val="num" w:pos="1296"/>
      </w:tabs>
      <w:ind w:left="1296"/>
    </w:pPr>
  </w:style>
  <w:style w:type="paragraph" w:styleId="BodyTextIndent">
    <w:name w:val="Body Text Indent"/>
    <w:basedOn w:val="Normal"/>
    <w:link w:val="BodyTextIndentChar"/>
    <w:uiPriority w:val="99"/>
    <w:semiHidden/>
    <w:unhideWhenUsed/>
    <w:rsid w:val="00A343F7"/>
    <w:pPr>
      <w:spacing w:after="120"/>
      <w:ind w:left="283"/>
    </w:pPr>
  </w:style>
  <w:style w:type="character" w:styleId="BodyTextIndentChar" w:customStyle="1">
    <w:name w:val="Body Text Indent Char"/>
    <w:basedOn w:val="DefaultParagraphFont"/>
    <w:link w:val="BodyTextIndent"/>
    <w:uiPriority w:val="99"/>
    <w:semiHidden/>
    <w:rsid w:val="00A343F7"/>
  </w:style>
  <w:style w:type="paragraph" w:styleId="BodyTextIndent3">
    <w:name w:val="Body Text Indent 3"/>
    <w:basedOn w:val="Normal"/>
    <w:link w:val="BodyTextIndent3Char"/>
    <w:uiPriority w:val="99"/>
    <w:semiHidden/>
    <w:unhideWhenUsed/>
    <w:rsid w:val="00A343F7"/>
    <w:pPr>
      <w:spacing w:after="120"/>
      <w:ind w:left="283"/>
    </w:pPr>
    <w:rPr>
      <w:sz w:val="16"/>
      <w:szCs w:val="16"/>
    </w:rPr>
  </w:style>
  <w:style w:type="character" w:styleId="BodyTextIndent3Char" w:customStyle="1">
    <w:name w:val="Body Text Indent 3 Char"/>
    <w:basedOn w:val="DefaultParagraphFont"/>
    <w:link w:val="BodyTextIndent3"/>
    <w:uiPriority w:val="99"/>
    <w:semiHidden/>
    <w:rsid w:val="00A343F7"/>
    <w:rPr>
      <w:sz w:val="16"/>
      <w:szCs w:val="16"/>
    </w:rPr>
  </w:style>
  <w:style w:type="paragraph" w:styleId="NormalWeb">
    <w:name w:val="Normal (Web)"/>
    <w:basedOn w:val="Normal"/>
    <w:uiPriority w:val="99"/>
    <w:semiHidden/>
    <w:unhideWhenUsed/>
    <w:rsid w:val="004F4BFD"/>
    <w:pPr>
      <w:spacing w:before="100" w:beforeAutospacing="1" w:after="100" w:afterAutospacing="1"/>
    </w:pPr>
    <w:rPr>
      <w:rFonts w:ascii="Times New Roman" w:hAnsi="Times New Roman" w:eastAsia="Times New Roman" w:cs="Times New Roman"/>
      <w:lang w:val="es-CO" w:eastAsia="es-CO"/>
    </w:rPr>
  </w:style>
  <w:style w:type="paragraph" w:styleId="Default" w:customStyle="1">
    <w:name w:val="Default"/>
    <w:rsid w:val="007C387F"/>
    <w:pPr>
      <w:autoSpaceDE w:val="0"/>
      <w:autoSpaceDN w:val="0"/>
      <w:adjustRightInd w:val="0"/>
    </w:pPr>
    <w:rPr>
      <w:rFonts w:ascii="Calibri" w:hAnsi="Calibri" w:cs="Calibri"/>
      <w:color w:val="000000"/>
      <w:lang w:val="es-CO"/>
    </w:rPr>
  </w:style>
  <w:style w:type="character" w:styleId="UnresolvedMention">
    <w:name w:val="Unresolved Mention"/>
    <w:basedOn w:val="DefaultParagraphFont"/>
    <w:uiPriority w:val="99"/>
    <w:semiHidden/>
    <w:unhideWhenUsed/>
    <w:rsid w:val="00BD33F5"/>
    <w:rPr>
      <w:color w:val="605E5C"/>
      <w:shd w:val="clear" w:color="auto" w:fill="E1DFDD"/>
    </w:rPr>
  </w:style>
  <w:style w:type="character" w:styleId="ListParagraphChar" w:customStyle="1">
    <w:name w:val="List Paragraph Char"/>
    <w:aliases w:val="Numbered Paragraph Char,Segundo nivel de viñetas Char,List Paragraph1 Char,Párrafo de lista1 Char,Bullets Char,Bullet Char,titulo 3 Char,Lista vistosa - Énfasis 11 Char,HOJA Char,Bolita Char,Párrafo de lista4 Char,BOLADEF Char,l Char"/>
    <w:link w:val="ListParagraph"/>
    <w:uiPriority w:val="34"/>
    <w:locked/>
    <w:rsid w:val="00707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6355">
      <w:bodyDiv w:val="1"/>
      <w:marLeft w:val="0"/>
      <w:marRight w:val="0"/>
      <w:marTop w:val="0"/>
      <w:marBottom w:val="0"/>
      <w:divBdr>
        <w:top w:val="none" w:sz="0" w:space="0" w:color="auto"/>
        <w:left w:val="none" w:sz="0" w:space="0" w:color="auto"/>
        <w:bottom w:val="none" w:sz="0" w:space="0" w:color="auto"/>
        <w:right w:val="none" w:sz="0" w:space="0" w:color="auto"/>
      </w:divBdr>
    </w:div>
    <w:div w:id="75322363">
      <w:bodyDiv w:val="1"/>
      <w:marLeft w:val="0"/>
      <w:marRight w:val="0"/>
      <w:marTop w:val="0"/>
      <w:marBottom w:val="0"/>
      <w:divBdr>
        <w:top w:val="none" w:sz="0" w:space="0" w:color="auto"/>
        <w:left w:val="none" w:sz="0" w:space="0" w:color="auto"/>
        <w:bottom w:val="none" w:sz="0" w:space="0" w:color="auto"/>
        <w:right w:val="none" w:sz="0" w:space="0" w:color="auto"/>
      </w:divBdr>
    </w:div>
    <w:div w:id="123621865">
      <w:bodyDiv w:val="1"/>
      <w:marLeft w:val="0"/>
      <w:marRight w:val="0"/>
      <w:marTop w:val="0"/>
      <w:marBottom w:val="0"/>
      <w:divBdr>
        <w:top w:val="none" w:sz="0" w:space="0" w:color="auto"/>
        <w:left w:val="none" w:sz="0" w:space="0" w:color="auto"/>
        <w:bottom w:val="none" w:sz="0" w:space="0" w:color="auto"/>
        <w:right w:val="none" w:sz="0" w:space="0" w:color="auto"/>
      </w:divBdr>
    </w:div>
    <w:div w:id="128983821">
      <w:bodyDiv w:val="1"/>
      <w:marLeft w:val="0"/>
      <w:marRight w:val="0"/>
      <w:marTop w:val="0"/>
      <w:marBottom w:val="0"/>
      <w:divBdr>
        <w:top w:val="none" w:sz="0" w:space="0" w:color="auto"/>
        <w:left w:val="none" w:sz="0" w:space="0" w:color="auto"/>
        <w:bottom w:val="none" w:sz="0" w:space="0" w:color="auto"/>
        <w:right w:val="none" w:sz="0" w:space="0" w:color="auto"/>
      </w:divBdr>
    </w:div>
    <w:div w:id="516697532">
      <w:bodyDiv w:val="1"/>
      <w:marLeft w:val="0"/>
      <w:marRight w:val="0"/>
      <w:marTop w:val="0"/>
      <w:marBottom w:val="0"/>
      <w:divBdr>
        <w:top w:val="none" w:sz="0" w:space="0" w:color="auto"/>
        <w:left w:val="none" w:sz="0" w:space="0" w:color="auto"/>
        <w:bottom w:val="none" w:sz="0" w:space="0" w:color="auto"/>
        <w:right w:val="none" w:sz="0" w:space="0" w:color="auto"/>
      </w:divBdr>
    </w:div>
    <w:div w:id="586885409">
      <w:bodyDiv w:val="1"/>
      <w:marLeft w:val="0"/>
      <w:marRight w:val="0"/>
      <w:marTop w:val="0"/>
      <w:marBottom w:val="0"/>
      <w:divBdr>
        <w:top w:val="none" w:sz="0" w:space="0" w:color="auto"/>
        <w:left w:val="none" w:sz="0" w:space="0" w:color="auto"/>
        <w:bottom w:val="none" w:sz="0" w:space="0" w:color="auto"/>
        <w:right w:val="none" w:sz="0" w:space="0" w:color="auto"/>
      </w:divBdr>
    </w:div>
    <w:div w:id="780732871">
      <w:bodyDiv w:val="1"/>
      <w:marLeft w:val="0"/>
      <w:marRight w:val="0"/>
      <w:marTop w:val="0"/>
      <w:marBottom w:val="0"/>
      <w:divBdr>
        <w:top w:val="none" w:sz="0" w:space="0" w:color="auto"/>
        <w:left w:val="none" w:sz="0" w:space="0" w:color="auto"/>
        <w:bottom w:val="none" w:sz="0" w:space="0" w:color="auto"/>
        <w:right w:val="none" w:sz="0" w:space="0" w:color="auto"/>
      </w:divBdr>
    </w:div>
    <w:div w:id="1117405024">
      <w:bodyDiv w:val="1"/>
      <w:marLeft w:val="0"/>
      <w:marRight w:val="0"/>
      <w:marTop w:val="0"/>
      <w:marBottom w:val="0"/>
      <w:divBdr>
        <w:top w:val="none" w:sz="0" w:space="0" w:color="auto"/>
        <w:left w:val="none" w:sz="0" w:space="0" w:color="auto"/>
        <w:bottom w:val="none" w:sz="0" w:space="0" w:color="auto"/>
        <w:right w:val="none" w:sz="0" w:space="0" w:color="auto"/>
      </w:divBdr>
    </w:div>
    <w:div w:id="1394162498">
      <w:bodyDiv w:val="1"/>
      <w:marLeft w:val="0"/>
      <w:marRight w:val="0"/>
      <w:marTop w:val="0"/>
      <w:marBottom w:val="0"/>
      <w:divBdr>
        <w:top w:val="none" w:sz="0" w:space="0" w:color="auto"/>
        <w:left w:val="none" w:sz="0" w:space="0" w:color="auto"/>
        <w:bottom w:val="none" w:sz="0" w:space="0" w:color="auto"/>
        <w:right w:val="none" w:sz="0" w:space="0" w:color="auto"/>
      </w:divBdr>
    </w:div>
    <w:div w:id="1473446708">
      <w:bodyDiv w:val="1"/>
      <w:marLeft w:val="0"/>
      <w:marRight w:val="0"/>
      <w:marTop w:val="0"/>
      <w:marBottom w:val="0"/>
      <w:divBdr>
        <w:top w:val="none" w:sz="0" w:space="0" w:color="auto"/>
        <w:left w:val="none" w:sz="0" w:space="0" w:color="auto"/>
        <w:bottom w:val="none" w:sz="0" w:space="0" w:color="auto"/>
        <w:right w:val="none" w:sz="0" w:space="0" w:color="auto"/>
      </w:divBdr>
    </w:div>
    <w:div w:id="1570572295">
      <w:bodyDiv w:val="1"/>
      <w:marLeft w:val="0"/>
      <w:marRight w:val="0"/>
      <w:marTop w:val="0"/>
      <w:marBottom w:val="0"/>
      <w:divBdr>
        <w:top w:val="none" w:sz="0" w:space="0" w:color="auto"/>
        <w:left w:val="none" w:sz="0" w:space="0" w:color="auto"/>
        <w:bottom w:val="none" w:sz="0" w:space="0" w:color="auto"/>
        <w:right w:val="none" w:sz="0" w:space="0" w:color="auto"/>
      </w:divBdr>
    </w:div>
    <w:div w:id="1860394100">
      <w:bodyDiv w:val="1"/>
      <w:marLeft w:val="0"/>
      <w:marRight w:val="0"/>
      <w:marTop w:val="0"/>
      <w:marBottom w:val="0"/>
      <w:divBdr>
        <w:top w:val="none" w:sz="0" w:space="0" w:color="auto"/>
        <w:left w:val="none" w:sz="0" w:space="0" w:color="auto"/>
        <w:bottom w:val="none" w:sz="0" w:space="0" w:color="auto"/>
        <w:right w:val="none" w:sz="0" w:space="0" w:color="auto"/>
      </w:divBdr>
    </w:div>
    <w:div w:id="19592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5.xml" Id="rId18"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customXml" Target="../customXml/item3.xml" Id="rId16" /><Relationship Type="http://schemas.openxmlformats.org/officeDocument/2006/relationships/customXml" Target="../customXml/item7.xml" Id="rId20"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customXml" Target="../customXml/item2.xml" Id="rId15" /><Relationship Type="http://schemas.openxmlformats.org/officeDocument/2006/relationships/endnotes" Target="endnotes.xml" Id="rId10" /><Relationship Type="http://schemas.openxmlformats.org/officeDocument/2006/relationships/customXml" Target="../customXml/item6.xml" Id="rId19" /><Relationship Type="http://schemas.openxmlformats.org/officeDocument/2006/relationships/footnotes" Target="footnotes.xml" Id="rId9" /><Relationship Type="http://schemas.openxmlformats.org/officeDocument/2006/relationships/glossaryDocument" Target="/word/glossary/document.xml" Id="R61f2f84e068f4a5e" /></Relationships>
</file>

<file path=word/_rels/footnotes.xml.rels><?xml version="1.0" encoding="UTF-8" standalone="yes"?>
<Relationships xmlns="http://schemas.openxmlformats.org/package/2006/relationships"><Relationship Id="rId3" Type="http://schemas.openxmlformats.org/officeDocument/2006/relationships/hyperlink" Target="https://www2.deloitte.com/content/dam/Deloitte/au/Documents/Economics/deloitte-au-the-procurement-balancing-act-170215.pdf" TargetMode="External"/><Relationship Id="rId2" Type="http://schemas.openxmlformats.org/officeDocument/2006/relationships/hyperlink" Target="https://ofm.wa.gov/sites/default/files/public/legacy/budget/instructions/capinst/aeguidelines.pdf" TargetMode="External"/><Relationship Id="rId1" Type="http://schemas.openxmlformats.org/officeDocument/2006/relationships/hyperlink" Target="https://www.findeter.gov.co/loader.php?lServicio=Convocatoria&amp;lFuncion=info&amp;id=1736"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be6b46-e631-4392-8c8c-3874fe9e98e4}"/>
      </w:docPartPr>
      <w:docPartBody>
        <w:p w14:paraId="1E1B71F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8BF2F5755A606A4CA3D8AE8ACD48AFE7" ma:contentTypeVersion="0" ma:contentTypeDescription="The base project type from which other project content types inherit their information." ma:contentTypeScope="" ma:versionID="8afb1e8ed994481491a16e0c0bafb116">
  <xsd:schema xmlns:xsd="http://www.w3.org/2001/XMLSchema" xmlns:xs="http://www.w3.org/2001/XMLSchema" xmlns:p="http://schemas.microsoft.com/office/2006/metadata/properties" xmlns:ns2="cdc7663a-08f0-4737-9e8c-148ce897a09c" targetNamespace="http://schemas.microsoft.com/office/2006/metadata/properties" ma:root="true" ma:fieldsID="83fa442b09994533ff48e573afc111d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CO-L1265"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0C4A995E70D08D47A590581B9B257699" ma:contentTypeVersion="2426" ma:contentTypeDescription="A content type to manage public (operations) IDB documents" ma:contentTypeScope="" ma:versionID="353d142bd7e384125f15c4d45b9059b3">
  <xsd:schema xmlns:xsd="http://www.w3.org/2001/XMLSchema" xmlns:xs="http://www.w3.org/2001/XMLSchema" xmlns:p="http://schemas.microsoft.com/office/2006/metadata/properties" xmlns:ns2="cdc7663a-08f0-4737-9e8c-148ce897a09c" targetNamespace="http://schemas.microsoft.com/office/2006/metadata/properties" ma:root="true" ma:fieldsID="07f0f4631f7b7d991d706a82865cb677"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CO-L1265"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INE/TSP</Division_x0020_or_x0020_Unit>
    <_dlc_DocId xmlns="cdc7663a-08f0-4737-9e8c-148ce897a09c">EZSHARE-1794806022-14</_dlc_DocId>
    <Document_x0020_Author xmlns="cdc7663a-08f0-4737-9e8c-148ce897a09c">Noboa LopezNathaly Sofia</Document_x0020_Author>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ic46d7e087fd4a108fb86518ca413cc6>
    <b26cdb1da78c4bb4b1c1bac2f6ac5911 xmlns="cdc7663a-08f0-4737-9e8c-148ce897a09c">
      <Terms xmlns="http://schemas.microsoft.com/office/infopath/2007/PartnerControls"/>
    </b26cdb1da78c4bb4b1c1bac2f6ac5911>
    <Project_x0020_Number xmlns="cdc7663a-08f0-4737-9e8c-148ce897a09c">CO-L1265</Project_x0020_Number>
    <Migration_x0020_Info xmlns="cdc7663a-08f0-4737-9e8c-148ce897a09c" xsi:nil="true"/>
    <Package_x0020_Code xmlns="cdc7663a-08f0-4737-9e8c-148ce897a09c" xsi:nil="true"/>
    <Related_x0020_SisCor_x0020_Number xmlns="cdc7663a-08f0-4737-9e8c-148ce897a09c" xsi:nil="true"/>
    <Approval_x0020_Number xmlns="cdc7663a-08f0-4737-9e8c-148ce897a09c" xsi:nil="true"/>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nddeef1749674d76abdbe4b239a70bc6 xmlns="cdc7663a-08f0-4737-9e8c-148ce897a09c">
      <Terms xmlns="http://schemas.microsoft.com/office/infopath/2007/PartnerControls"/>
    </nddeef1749674d76abdbe4b239a70bc6>
    <_dlc_DocIdUrl xmlns="cdc7663a-08f0-4737-9e8c-148ce897a09c">
      <Url>https://idbg.sharepoint.com/teams/EZ-CO-LON/CO-L1265/_layouts/15/DocIdRedir.aspx?ID=EZSHARE-1794806022-14</Url>
      <Description>EZSHARE-1794806022-14</Description>
    </_dlc_DocIdUrl>
    <Phase xmlns="cdc7663a-08f0-4737-9e8c-148ce897a09c">ACTIVE</Phase>
    <Other_x0020_Author xmlns="cdc7663a-08f0-4737-9e8c-148ce897a09c" xsi:nil="true"/>
    <IDBDocs_x0020_Number xmlns="cdc7663a-08f0-4737-9e8c-148ce897a09c" xsi:nil="true"/>
    <TaxCatchAll xmlns="cdc7663a-08f0-4737-9e8c-148ce897a09c">
      <Value>1</Value>
      <Value>27</Value>
    </TaxCatchAll>
    <Fiscal_x0020_Year_x0020_IDB xmlns="cdc7663a-08f0-4737-9e8c-148ce897a09c">2020</Fiscal_x0020_Year_x0020_IDB>
    <Operation_x0020_Type xmlns="cdc7663a-08f0-4737-9e8c-148ce897a09c">LON</Operation_x0020_Type>
    <Extracted_x0020_Keywords xmlns="cdc7663a-08f0-4737-9e8c-148ce897a09c"/>
    <Disclosure_x0020_Activity xmlns="cdc7663a-08f0-4737-9e8c-148ce897a09c">Electronic Links</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7.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42610B0C-7450-4071-AA8F-F0C6A5D575E9}"/>
</file>

<file path=customXml/itemProps2.xml><?xml version="1.0" encoding="utf-8"?>
<ds:datastoreItem xmlns:ds="http://schemas.openxmlformats.org/officeDocument/2006/customXml" ds:itemID="{34A70FA3-0C47-4D78-9ABF-B69651F43767}"/>
</file>

<file path=customXml/itemProps3.xml><?xml version="1.0" encoding="utf-8"?>
<ds:datastoreItem xmlns:ds="http://schemas.openxmlformats.org/officeDocument/2006/customXml" ds:itemID="{B8910932-65D9-4ED4-8B6E-24E3102F8202}"/>
</file>

<file path=customXml/itemProps4.xml><?xml version="1.0" encoding="utf-8"?>
<ds:datastoreItem xmlns:ds="http://schemas.openxmlformats.org/officeDocument/2006/customXml" ds:itemID="{2CD30A57-1253-4247-AA3D-46C12FAFB750}"/>
</file>

<file path=customXml/itemProps5.xml><?xml version="1.0" encoding="utf-8"?>
<ds:datastoreItem xmlns:ds="http://schemas.openxmlformats.org/officeDocument/2006/customXml" ds:itemID="{79C5FDB1-02A2-46B9-8A33-71BC3C3D6569}"/>
</file>

<file path=customXml/itemProps6.xml><?xml version="1.0" encoding="utf-8"?>
<ds:datastoreItem xmlns:ds="http://schemas.openxmlformats.org/officeDocument/2006/customXml" ds:itemID="{6F2C7638-C655-460E-9F91-AC79A71F528C}"/>
</file>

<file path=customXml/itemProps7.xml><?xml version="1.0" encoding="utf-8"?>
<ds:datastoreItem xmlns:ds="http://schemas.openxmlformats.org/officeDocument/2006/customXml" ds:itemID="{45FC2969-33EE-4A0A-8FEF-E479038D3A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CLUB CBE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Carolina Ramirez Pineda</dc:creator>
  <cp:keywords/>
  <cp:lastModifiedBy>Ariza Donado, Natalia</cp:lastModifiedBy>
  <cp:revision>163</cp:revision>
  <cp:lastPrinted>2019-10-23T15:28:00Z</cp:lastPrinted>
  <dcterms:created xsi:type="dcterms:W3CDTF">2020-10-13T18:03:00Z</dcterms:created>
  <dcterms:modified xsi:type="dcterms:W3CDTF">2021-08-06T21:29:41Z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Function_x0020_Operations_x0020_IDB">
    <vt:lpwstr>1;#Project Preparation Planning and Design|29ca0c72-1fc4-435f-a09c-28585cb5eac9</vt:lpwstr>
  </property>
  <property fmtid="{D5CDD505-2E9C-101B-9397-08002B2CF9AE}" pid="6" name="TaxKeywordTaxHTField">
    <vt:lpwstr/>
  </property>
  <property fmtid="{D5CDD505-2E9C-101B-9397-08002B2CF9AE}" pid="8" name="Sub-Sector">
    <vt:lpwstr/>
  </property>
  <property fmtid="{D5CDD505-2E9C-101B-9397-08002B2CF9AE}" pid="9" name="Country">
    <vt:lpwstr>27;#Colombia|c7d386d6-75f3-4fc0-bde8-e021ccd68f5c</vt:lpwstr>
  </property>
  <property fmtid="{D5CDD505-2E9C-101B-9397-08002B2CF9AE}" pid="10" name="_dlc_DocIdItemGuid">
    <vt:lpwstr>aeb396d3-b200-46a0-bab4-2b19d36c68b5</vt:lpwstr>
  </property>
  <property fmtid="{D5CDD505-2E9C-101B-9397-08002B2CF9AE}" pid="11" name="Fund IDB">
    <vt:lpwstr/>
  </property>
  <property fmtid="{D5CDD505-2E9C-101B-9397-08002B2CF9AE}" pid="12" name="Fund_x0020_IDB">
    <vt:lpwstr/>
  </property>
  <property fmtid="{D5CDD505-2E9C-101B-9397-08002B2CF9AE}" pid="13" name="Series_x0020_Operations_x0020_IDB">
    <vt:lpwstr/>
  </property>
  <property fmtid="{D5CDD505-2E9C-101B-9397-08002B2CF9AE}" pid="14" name="Sector IDB">
    <vt:lpwstr/>
  </property>
  <property fmtid="{D5CDD505-2E9C-101B-9397-08002B2CF9AE}" pid="15" name="Function Operations IDB">
    <vt:lpwstr>1;#Project Preparation Planning and Design|29ca0c72-1fc4-435f-a09c-28585cb5eac9</vt:lpwstr>
  </property>
  <property fmtid="{D5CDD505-2E9C-101B-9397-08002B2CF9AE}" pid="16" name="Sector_x0020_IDB">
    <vt:lpwstr/>
  </property>
  <property fmtid="{D5CDD505-2E9C-101B-9397-08002B2CF9AE}" pid="18" name="Disclosure Activity">
    <vt:lpwstr>Electronic Links</vt:lpwstr>
  </property>
  <property fmtid="{D5CDD505-2E9C-101B-9397-08002B2CF9AE}" pid="27" name="Disclosed">
    <vt:bool>false</vt:bool>
  </property>
  <property fmtid="{D5CDD505-2E9C-101B-9397-08002B2CF9AE}" pid="29" name="ContentTypeId">
    <vt:lpwstr>0x0101001A458A224826124E8B45B1D613300CFC000C4A995E70D08D47A590581B9B257699</vt:lpwstr>
  </property>
  <property fmtid="{D5CDD505-2E9C-101B-9397-08002B2CF9AE}" pid="30" name="Series Operations IDB">
    <vt:lpwstr/>
  </property>
</Properties>
</file>