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olors1.xml" ContentType="application/vnd.ms-office.chartcolorstyle+xml"/>
  <Override PartName="/word/charts/chart2.xml" ContentType="application/vnd.openxmlformats-officedocument.drawingml.chart+xml"/>
  <Override PartName="/word/theme/theme1.xml" ContentType="application/vnd.openxmlformats-officedocument.theme+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6BF5" w14:textId="77777777" w:rsidR="00A608C0" w:rsidRPr="00576180" w:rsidRDefault="00A608C0" w:rsidP="008D007A">
      <w:pPr>
        <w:tabs>
          <w:tab w:val="left" w:pos="9000"/>
        </w:tabs>
        <w:jc w:val="both"/>
        <w:rPr>
          <w:smallCaps/>
          <w:sz w:val="28"/>
          <w:szCs w:val="28"/>
        </w:rPr>
      </w:pPr>
      <w:bookmarkStart w:id="0" w:name="_Toc501529193"/>
      <w:bookmarkStart w:id="1" w:name="_Toc500169657"/>
      <w:bookmarkStart w:id="2" w:name="_Toc506484924"/>
      <w:bookmarkStart w:id="3" w:name="_Toc506974989"/>
      <w:bookmarkStart w:id="4" w:name="_Toc507063068"/>
      <w:r w:rsidRPr="00576180">
        <w:rPr>
          <w:noProof/>
          <w:lang w:eastAsia="zh-CN"/>
        </w:rPr>
        <w:drawing>
          <wp:anchor distT="0" distB="0" distL="114300" distR="114300" simplePos="0" relativeHeight="251768832" behindDoc="1" locked="0" layoutInCell="1" allowOverlap="1" wp14:anchorId="10786912" wp14:editId="6672D2CC">
            <wp:simplePos x="0" y="0"/>
            <wp:positionH relativeFrom="column">
              <wp:posOffset>-123825</wp:posOffset>
            </wp:positionH>
            <wp:positionV relativeFrom="paragraph">
              <wp:posOffset>-86360</wp:posOffset>
            </wp:positionV>
            <wp:extent cx="6233160" cy="8582025"/>
            <wp:effectExtent l="0" t="0" r="0" b="9525"/>
            <wp:wrapNone/>
            <wp:docPr id="88" name="Picture 88" descr="fondo_vertical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_vertical5-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3160" cy="8582025"/>
                    </a:xfrm>
                    <a:prstGeom prst="rect">
                      <a:avLst/>
                    </a:prstGeom>
                    <a:noFill/>
                  </pic:spPr>
                </pic:pic>
              </a:graphicData>
            </a:graphic>
            <wp14:sizeRelH relativeFrom="page">
              <wp14:pctWidth>0</wp14:pctWidth>
            </wp14:sizeRelH>
            <wp14:sizeRelV relativeFrom="page">
              <wp14:pctHeight>0</wp14:pctHeight>
            </wp14:sizeRelV>
          </wp:anchor>
        </w:drawing>
      </w:r>
      <w:r w:rsidRPr="00576180">
        <w:rPr>
          <w:noProof/>
          <w:lang w:eastAsia="zh-CN"/>
        </w:rPr>
        <mc:AlternateContent>
          <mc:Choice Requires="wps">
            <w:drawing>
              <wp:anchor distT="0" distB="0" distL="114300" distR="114300" simplePos="0" relativeHeight="251771904" behindDoc="0" locked="0" layoutInCell="1" allowOverlap="1" wp14:anchorId="64126789" wp14:editId="5E0DC7C8">
                <wp:simplePos x="0" y="0"/>
                <wp:positionH relativeFrom="column">
                  <wp:posOffset>215900</wp:posOffset>
                </wp:positionH>
                <wp:positionV relativeFrom="paragraph">
                  <wp:posOffset>4366895</wp:posOffset>
                </wp:positionV>
                <wp:extent cx="2988310" cy="379095"/>
                <wp:effectExtent l="0" t="0" r="0" b="0"/>
                <wp:wrapNone/>
                <wp:docPr id="10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379095"/>
                        </a:xfrm>
                        <a:prstGeom prst="rect">
                          <a:avLst/>
                        </a:prstGeom>
                        <a:noFill/>
                        <a:ln w="9525">
                          <a:noFill/>
                          <a:miter lim="800000"/>
                          <a:headEnd/>
                          <a:tailEnd/>
                        </a:ln>
                      </wps:spPr>
                      <wps:txbx>
                        <w:txbxContent>
                          <w:p w14:paraId="3DC0E2C8" w14:textId="77777777" w:rsidR="00D87B95" w:rsidRDefault="00D87B95" w:rsidP="00A608C0">
                            <w:pPr>
                              <w:autoSpaceDE w:val="0"/>
                              <w:autoSpaceDN w:val="0"/>
                              <w:adjustRightInd w:val="0"/>
                              <w:jc w:val="center"/>
                              <w:rPr>
                                <w:rFonts w:ascii="Arial Black" w:hAnsi="Arial Black"/>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26789" id="_x0000_t202" coordsize="21600,21600" o:spt="202" path="m,l,21600r21600,l21600,xe">
                <v:stroke joinstyle="miter"/>
                <v:path gradientshapeok="t" o:connecttype="rect"/>
              </v:shapetype>
              <v:shape id="Text Box 26" o:spid="_x0000_s1026" type="#_x0000_t202" style="position:absolute;left:0;text-align:left;margin-left:17pt;margin-top:343.85pt;width:235.3pt;height:29.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gWDAIAAPUDAAAOAAAAZHJzL2Uyb0RvYy54bWysU9tu2zAMfR+wfxD0vthJkzYx4hRduw4D&#10;ugvQ7gMYWY6FSaImKbG7rx8lp2mwvQ3TgyCJ5CHPIbW+HoxmB+mDQlvz6aTkTFqBjbK7mn9/un+3&#10;5CxEsA1otLLmzzLw683bN+veVXKGHepGekYgNlS9q3kXo6uKIohOGggTdNKSsUVvINLV74rGQ0/o&#10;RhezsrwsevSN8yhkCPR6Nxr5JuO3rRTxa9sGGZmuOdUW8+7zvk17sVlDtfPgOiWOZcA/VGFAWUp6&#10;grqDCGzv1V9QRgmPAds4EWgKbFslZOZAbKblH2weO3AycyFxgjvJFP4frPhy+OaZaqh3JbXKgqEm&#10;Pckhsvc4sNllEqh3oSK/R0eecaB3cs5kg3tA8SMwi7cd2J288R77TkJDBU5TZHEWOuKEBLLtP2ND&#10;eWAfMQMNrTdJPdKDETo16vnUnFSLoMfZarm8mJJJkO3ialWuFjkFVC/Rzof4UaJh6VBzT83P6HB4&#10;CDFVA9WLS0pm8V5pnQdAW9bXfLWYLXLAmcWoSPOplan5skxrnJhE8oNtcnAEpcczJdD2yDoRHSnH&#10;YTuQY5Jii80z8fc4ziH9Gzp06H9x1tMM1jz83IOXnOlPljRcTefzNLT5Ml9czejizy3bcwtYQVA1&#10;j5yNx9uYB33kekNatyrL8FrJsVaarazO8R+k4T2/Z6/X37r5DQAA//8DAFBLAwQUAAYACAAAACEA&#10;CgkBCt4AAAAKAQAADwAAAGRycy9kb3ducmV2LnhtbEyPwU7DMBBE70j8g7VI3KgNuEkJ2VQIxBVE&#10;oZW4ufE2iYjXUew24e8xJziOZjTzplzPrhcnGkPnGeF6oUAQ19523CB8vD9frUCEaNia3jMhfFOA&#10;dXV+VprC+onf6LSJjUglHAqD0MY4FFKGuiVnwsIPxMk7+NGZmOTYSDuaKZW7Xt4olUlnOk4LrRno&#10;saX6a3N0CNuXw+dOq9fmyS2Hyc9KsruTiJcX88M9iEhz/AvDL35Chyox7f2RbRA9wq1OVyJCtspz&#10;ECmwVDoDsUfIda5BVqX8f6H6AQAA//8DAFBLAQItABQABgAIAAAAIQC2gziS/gAAAOEBAAATAAAA&#10;AAAAAAAAAAAAAAAAAABbQ29udGVudF9UeXBlc10ueG1sUEsBAi0AFAAGAAgAAAAhADj9If/WAAAA&#10;lAEAAAsAAAAAAAAAAAAAAAAALwEAAF9yZWxzLy5yZWxzUEsBAi0AFAAGAAgAAAAhAN5KeBYMAgAA&#10;9QMAAA4AAAAAAAAAAAAAAAAALgIAAGRycy9lMm9Eb2MueG1sUEsBAi0AFAAGAAgAAAAhAAoJAQre&#10;AAAACgEAAA8AAAAAAAAAAAAAAAAAZgQAAGRycy9kb3ducmV2LnhtbFBLBQYAAAAABAAEAPMAAABx&#10;BQAAAAA=&#10;" filled="f" stroked="f">
                <v:textbox>
                  <w:txbxContent>
                    <w:p w14:paraId="3DC0E2C8" w14:textId="77777777" w:rsidR="00D87B95" w:rsidRDefault="00D87B95" w:rsidP="00A608C0">
                      <w:pPr>
                        <w:autoSpaceDE w:val="0"/>
                        <w:autoSpaceDN w:val="0"/>
                        <w:adjustRightInd w:val="0"/>
                        <w:jc w:val="center"/>
                        <w:rPr>
                          <w:rFonts w:ascii="Arial Black" w:hAnsi="Arial Black"/>
                          <w:color w:val="FFFFFF" w:themeColor="background1"/>
                        </w:rPr>
                      </w:pPr>
                    </w:p>
                  </w:txbxContent>
                </v:textbox>
              </v:shape>
            </w:pict>
          </mc:Fallback>
        </mc:AlternateContent>
      </w:r>
      <w:r w:rsidRPr="00576180">
        <w:rPr>
          <w:noProof/>
          <w:lang w:eastAsia="zh-CN"/>
        </w:rPr>
        <w:drawing>
          <wp:anchor distT="0" distB="0" distL="114300" distR="114300" simplePos="0" relativeHeight="251772928" behindDoc="1" locked="0" layoutInCell="1" allowOverlap="1" wp14:anchorId="71021679" wp14:editId="51B61E2B">
            <wp:simplePos x="0" y="0"/>
            <wp:positionH relativeFrom="column">
              <wp:posOffset>-122555</wp:posOffset>
            </wp:positionH>
            <wp:positionV relativeFrom="paragraph">
              <wp:posOffset>-84455</wp:posOffset>
            </wp:positionV>
            <wp:extent cx="2171700" cy="1534795"/>
            <wp:effectExtent l="0" t="0" r="0" b="0"/>
            <wp:wrapNone/>
            <wp:docPr id="89" name="Picture 89" descr="bid_englis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d_english-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534795"/>
                    </a:xfrm>
                    <a:prstGeom prst="rect">
                      <a:avLst/>
                    </a:prstGeom>
                    <a:noFill/>
                  </pic:spPr>
                </pic:pic>
              </a:graphicData>
            </a:graphic>
            <wp14:sizeRelH relativeFrom="page">
              <wp14:pctWidth>0</wp14:pctWidth>
            </wp14:sizeRelH>
            <wp14:sizeRelV relativeFrom="page">
              <wp14:pctHeight>0</wp14:pctHeight>
            </wp14:sizeRelV>
          </wp:anchor>
        </w:drawing>
      </w:r>
      <w:r w:rsidRPr="00576180">
        <w:rPr>
          <w:noProof/>
          <w:lang w:eastAsia="zh-CN"/>
        </w:rPr>
        <w:drawing>
          <wp:anchor distT="0" distB="0" distL="114300" distR="114300" simplePos="0" relativeHeight="251773952" behindDoc="1" locked="0" layoutInCell="1" allowOverlap="1" wp14:anchorId="40E87251" wp14:editId="52B041A5">
            <wp:simplePos x="0" y="0"/>
            <wp:positionH relativeFrom="column">
              <wp:posOffset>-122555</wp:posOffset>
            </wp:positionH>
            <wp:positionV relativeFrom="paragraph">
              <wp:posOffset>-84455</wp:posOffset>
            </wp:positionV>
            <wp:extent cx="2171700" cy="1534795"/>
            <wp:effectExtent l="0" t="0" r="0" b="0"/>
            <wp:wrapNone/>
            <wp:docPr id="90" name="Picture 90" descr="bid_englis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d_english-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534795"/>
                    </a:xfrm>
                    <a:prstGeom prst="rect">
                      <a:avLst/>
                    </a:prstGeom>
                    <a:noFill/>
                  </pic:spPr>
                </pic:pic>
              </a:graphicData>
            </a:graphic>
            <wp14:sizeRelH relativeFrom="page">
              <wp14:pctWidth>0</wp14:pctWidth>
            </wp14:sizeRelH>
            <wp14:sizeRelV relativeFrom="page">
              <wp14:pctHeight>0</wp14:pctHeight>
            </wp14:sizeRelV>
          </wp:anchor>
        </w:drawing>
      </w:r>
    </w:p>
    <w:p w14:paraId="5A3475B0" w14:textId="77777777" w:rsidR="00A608C0" w:rsidRPr="00576180" w:rsidRDefault="00A608C0" w:rsidP="008D007A">
      <w:pPr>
        <w:tabs>
          <w:tab w:val="left" w:pos="9000"/>
        </w:tabs>
        <w:rPr>
          <w:smallCaps/>
          <w:sz w:val="28"/>
          <w:szCs w:val="28"/>
        </w:rPr>
      </w:pPr>
    </w:p>
    <w:p w14:paraId="2993B90E" w14:textId="206AF932" w:rsidR="00A608C0" w:rsidRPr="00576180" w:rsidRDefault="00A608C0" w:rsidP="008D007A">
      <w:pPr>
        <w:tabs>
          <w:tab w:val="left" w:pos="9000"/>
        </w:tabs>
        <w:rPr>
          <w:smallCaps/>
          <w:sz w:val="28"/>
          <w:szCs w:val="28"/>
        </w:rPr>
      </w:pPr>
    </w:p>
    <w:p w14:paraId="232F18F1" w14:textId="42E6AB5C" w:rsidR="00A608C0" w:rsidRPr="00576180" w:rsidRDefault="008B46EA" w:rsidP="008D007A">
      <w:pPr>
        <w:tabs>
          <w:tab w:val="left" w:pos="9000"/>
        </w:tabs>
        <w:rPr>
          <w:sz w:val="40"/>
        </w:rPr>
      </w:pPr>
      <w:r w:rsidRPr="00576180">
        <w:rPr>
          <w:noProof/>
          <w:lang w:eastAsia="zh-CN"/>
        </w:rPr>
        <mc:AlternateContent>
          <mc:Choice Requires="wps">
            <w:drawing>
              <wp:anchor distT="0" distB="0" distL="114300" distR="114300" simplePos="0" relativeHeight="251769856" behindDoc="0" locked="0" layoutInCell="1" allowOverlap="1" wp14:anchorId="4A5022C5" wp14:editId="7DFBE86A">
                <wp:simplePos x="0" y="0"/>
                <wp:positionH relativeFrom="margin">
                  <wp:posOffset>194310</wp:posOffset>
                </wp:positionH>
                <wp:positionV relativeFrom="paragraph">
                  <wp:posOffset>106680</wp:posOffset>
                </wp:positionV>
                <wp:extent cx="5615940" cy="3329940"/>
                <wp:effectExtent l="0" t="0" r="0" b="3810"/>
                <wp:wrapNone/>
                <wp:docPr id="10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329940"/>
                        </a:xfrm>
                        <a:prstGeom prst="rect">
                          <a:avLst/>
                        </a:prstGeom>
                        <a:noFill/>
                        <a:ln w="9525">
                          <a:noFill/>
                          <a:miter lim="800000"/>
                          <a:headEnd/>
                          <a:tailEnd/>
                        </a:ln>
                      </wps:spPr>
                      <wps:txbx>
                        <w:txbxContent>
                          <w:p w14:paraId="715E9086" w14:textId="3F014F65" w:rsidR="00D87B95" w:rsidRPr="00D17FF5" w:rsidRDefault="00D87B95" w:rsidP="00437FB0">
                            <w:pPr>
                              <w:spacing w:after="0" w:line="240" w:lineRule="auto"/>
                              <w:jc w:val="center"/>
                              <w:rPr>
                                <w:rFonts w:ascii="Arial Black" w:hAnsi="Arial Black" w:cs="Arial"/>
                                <w:b/>
                                <w:color w:val="FFFFFF" w:themeColor="background1"/>
                                <w:sz w:val="36"/>
                              </w:rPr>
                            </w:pPr>
                            <w:r w:rsidRPr="00D17FF5">
                              <w:rPr>
                                <w:rFonts w:ascii="Arial Black" w:hAnsi="Arial Black" w:cs="Arial"/>
                                <w:b/>
                                <w:color w:val="FFFFFF" w:themeColor="background1"/>
                                <w:sz w:val="36"/>
                              </w:rPr>
                              <w:t>Programa de Modernización del Sistema de Administración Financiera Pública para Mejorar la Programación, Ejecución y Rendición de Cuentas de los Recursos</w:t>
                            </w:r>
                          </w:p>
                          <w:p w14:paraId="53DB5260" w14:textId="77777777" w:rsidR="00D87B95" w:rsidRPr="00D17FF5" w:rsidRDefault="00D87B95" w:rsidP="00437FB0">
                            <w:pPr>
                              <w:spacing w:after="0" w:line="240" w:lineRule="auto"/>
                              <w:jc w:val="center"/>
                              <w:rPr>
                                <w:rFonts w:ascii="Arial Black" w:hAnsi="Arial Black" w:cs="Arial"/>
                                <w:b/>
                                <w:color w:val="FFFFFF" w:themeColor="background1"/>
                                <w:sz w:val="36"/>
                              </w:rPr>
                            </w:pPr>
                            <w:r w:rsidRPr="00D17FF5">
                              <w:rPr>
                                <w:rFonts w:ascii="Arial Black" w:hAnsi="Arial Black" w:cs="Arial"/>
                                <w:b/>
                                <w:color w:val="FFFFFF" w:themeColor="background1"/>
                                <w:sz w:val="36"/>
                              </w:rPr>
                              <w:t>Públicos</w:t>
                            </w:r>
                          </w:p>
                          <w:p w14:paraId="1FF403B8" w14:textId="7C97A69A" w:rsidR="00D87B95" w:rsidRPr="00D17FF5" w:rsidRDefault="00D87B95" w:rsidP="00437FB0">
                            <w:pPr>
                              <w:spacing w:after="0" w:line="240" w:lineRule="auto"/>
                              <w:jc w:val="center"/>
                              <w:rPr>
                                <w:rFonts w:ascii="Arial Black" w:hAnsi="Arial Black" w:cs="Arial"/>
                                <w:b/>
                                <w:color w:val="FFFFFF" w:themeColor="background1"/>
                                <w:sz w:val="36"/>
                                <w:lang w:val="es-ES"/>
                              </w:rPr>
                            </w:pPr>
                            <w:r w:rsidRPr="00D17FF5">
                              <w:rPr>
                                <w:rFonts w:ascii="Arial Black" w:hAnsi="Arial Black" w:cs="Arial"/>
                                <w:b/>
                                <w:color w:val="FFFFFF" w:themeColor="background1"/>
                                <w:sz w:val="36"/>
                                <w:lang w:val="es-ES"/>
                              </w:rPr>
                              <w:t>(PE-L1087 /</w:t>
                            </w:r>
                            <w:r w:rsidRPr="00D17FF5">
                              <w:rPr>
                                <w:rFonts w:ascii="Arial Black" w:hAnsi="Arial Black" w:cs="Arial"/>
                                <w:b/>
                              </w:rPr>
                              <w:t xml:space="preserve"> </w:t>
                            </w:r>
                            <w:r w:rsidRPr="00D17FF5">
                              <w:rPr>
                                <w:rFonts w:ascii="Arial Black" w:hAnsi="Arial Black" w:cs="Arial"/>
                                <w:b/>
                                <w:color w:val="FFFFFF" w:themeColor="background1"/>
                                <w:sz w:val="36"/>
                                <w:lang w:val="es-ES"/>
                              </w:rPr>
                              <w:t>2445/OC-PE)</w:t>
                            </w:r>
                          </w:p>
                          <w:p w14:paraId="6F53980A" w14:textId="77777777" w:rsidR="00D87B95" w:rsidRPr="00D17FF5" w:rsidRDefault="00D87B95" w:rsidP="00D17FF5">
                            <w:pPr>
                              <w:rPr>
                                <w:rFonts w:ascii="Arial Black" w:hAnsi="Arial Black" w:cs="Arial"/>
                                <w:b/>
                                <w:color w:val="FFFFFF" w:themeColor="background1"/>
                                <w:sz w:val="36"/>
                                <w:lang w:val="es-ES"/>
                              </w:rPr>
                            </w:pPr>
                          </w:p>
                          <w:p w14:paraId="6FEB61EE" w14:textId="77777777" w:rsidR="00D87B95" w:rsidRPr="00D17FF5" w:rsidRDefault="00D87B95" w:rsidP="00437FB0">
                            <w:pPr>
                              <w:spacing w:after="0" w:line="240" w:lineRule="auto"/>
                              <w:jc w:val="center"/>
                              <w:rPr>
                                <w:rFonts w:ascii="Arial Black" w:hAnsi="Arial Black" w:cs="Arial"/>
                                <w:b/>
                                <w:color w:val="FFFFFF" w:themeColor="background1"/>
                                <w:sz w:val="36"/>
                              </w:rPr>
                            </w:pPr>
                            <w:r w:rsidRPr="00D17FF5">
                              <w:rPr>
                                <w:rFonts w:ascii="Arial Black" w:hAnsi="Arial Black" w:cs="Arial"/>
                                <w:b/>
                                <w:color w:val="FFFFFF" w:themeColor="background1"/>
                                <w:sz w:val="36"/>
                              </w:rPr>
                              <w:t>Informe de Terminación de Proyecto</w:t>
                            </w:r>
                          </w:p>
                          <w:p w14:paraId="3418CD24" w14:textId="77777777" w:rsidR="00D87B95" w:rsidRPr="00D17FF5" w:rsidRDefault="00D87B95" w:rsidP="00437FB0">
                            <w:pPr>
                              <w:spacing w:after="0" w:line="240" w:lineRule="auto"/>
                              <w:jc w:val="center"/>
                              <w:rPr>
                                <w:rFonts w:ascii="Arial Black" w:hAnsi="Arial Black" w:cs="Arial"/>
                                <w:b/>
                                <w:color w:val="FFFFFF" w:themeColor="background1"/>
                                <w:sz w:val="36"/>
                              </w:rPr>
                            </w:pPr>
                            <w:r w:rsidRPr="00D17FF5">
                              <w:rPr>
                                <w:rFonts w:ascii="Arial Black" w:hAnsi="Arial Black" w:cs="Arial"/>
                                <w:b/>
                                <w:color w:val="FFFFFF" w:themeColor="background1"/>
                                <w:sz w:val="36"/>
                              </w:rPr>
                              <w:t>(PCR)</w:t>
                            </w:r>
                          </w:p>
                          <w:p w14:paraId="3682A449" w14:textId="77777777" w:rsidR="00D87B95" w:rsidRDefault="00D87B95" w:rsidP="009C0233">
                            <w:pPr>
                              <w:jc w:val="center"/>
                              <w:rPr>
                                <w:rFonts w:ascii="Arial Black" w:hAnsi="Arial Black"/>
                                <w:color w:val="FFFFFF" w:themeColor="background1"/>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022C5" id="Text Box 10" o:spid="_x0000_s1027" type="#_x0000_t202" style="position:absolute;margin-left:15.3pt;margin-top:8.4pt;width:442.2pt;height:262.2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geDQIAAP0DAAAOAAAAZHJzL2Uyb0RvYy54bWysU9tuGyEQfa/Uf0C813uJncQrr6M0aapK&#10;6UVK+gEsy3pRgaGAvet+fQfWcVbtW1UeEMPMHOacGTY3o1bkIJyXYGpaLHJKhOHQSrOr6ffnh3fX&#10;lPjATMsUGFHTo/D0Zvv2zWawlSihB9UKRxDE+GqwNe1DsFWWed4LzfwCrDDo7MBpFtB0u6x1bEB0&#10;rbIyzy+zAVxrHXDhPd7eT066TfhdJ3j42nVeBKJqirWFtLu0N3HPthtW7RyzveSnMtg/VKGZNPjo&#10;GeqeBUb2Tv4FpSV34KELCw46g66TXCQOyKbI/2Dz1DMrEhcUx9uzTP7/wfIvh2+OyBZ7l19RYpjG&#10;Jj2LMZD3MJIiCTRYX2Hck8XIMOI9Biey3j4C/+GJgbuemZ24dQ6GXrAWCyyitNksNbbEVz6CNMNn&#10;aPEdtg+QgMbO6age6kEQHRt1PDcn1sLxcnVZrNZLdHH0XVyU62jEN1j1km6dDx8FaBIPNXXY/QTP&#10;Do8+TKEvIfE1Aw9SqTQBypChputVuUoJM4+WAQdUSV3T6zyuaWQiyw+mTcmBSTWdsRZlTrQj04lz&#10;GJtxkjjmRhUaaI+og4NpHvH/4KEH94uSAWexpv7nnjlBifpkUMt1sYzEQzKWq6sSDTf3NHMPMxyh&#10;ahoomY53IQ38RPkWNe9kUuO1klPJOGNJz9N/iEM8t1PU66/d/gYAAP//AwBQSwMEFAAGAAgAAAAh&#10;AGLMeOHdAAAACQEAAA8AAABkcnMvZG93bnJldi54bWxMj8FOwzAQRO9I/IO1lbhRO6WJ2hCnQiCu&#10;IEpbiZsbb5Oo8TqK3Sb8PcsJjjszmp1XbCbXiSsOofWkIZkrEEiVty3VGnafr/crECEasqbzhBq+&#10;McCmvL0pTG79SB943cZacAmF3GhoYuxzKUPVoDNh7nsk9k5+cCbyOdTSDmbkctfJhVKZdKYl/tCY&#10;Hp8brM7bi9Owfzt9HZbqvX5xaT/6SUlya6n13Wx6egQRcYp/Yfidz9Oh5E1HfyEbRKfhQWWcZD1j&#10;AvbXScpsRw3pMlmALAv5n6D8AQAA//8DAFBLAQItABQABgAIAAAAIQC2gziS/gAAAOEBAAATAAAA&#10;AAAAAAAAAAAAAAAAAABbQ29udGVudF9UeXBlc10ueG1sUEsBAi0AFAAGAAgAAAAhADj9If/WAAAA&#10;lAEAAAsAAAAAAAAAAAAAAAAALwEAAF9yZWxzLy5yZWxzUEsBAi0AFAAGAAgAAAAhAK0R6B4NAgAA&#10;/QMAAA4AAAAAAAAAAAAAAAAALgIAAGRycy9lMm9Eb2MueG1sUEsBAi0AFAAGAAgAAAAhAGLMeOHd&#10;AAAACQEAAA8AAAAAAAAAAAAAAAAAZwQAAGRycy9kb3ducmV2LnhtbFBLBQYAAAAABAAEAPMAAABx&#10;BQAAAAA=&#10;" filled="f" stroked="f">
                <v:textbox>
                  <w:txbxContent>
                    <w:p w14:paraId="715E9086" w14:textId="3F014F65" w:rsidR="00D87B95" w:rsidRPr="00D17FF5" w:rsidRDefault="00D87B95" w:rsidP="00437FB0">
                      <w:pPr>
                        <w:spacing w:after="0" w:line="240" w:lineRule="auto"/>
                        <w:jc w:val="center"/>
                        <w:rPr>
                          <w:rFonts w:ascii="Arial Black" w:hAnsi="Arial Black" w:cs="Arial"/>
                          <w:b/>
                          <w:color w:val="FFFFFF" w:themeColor="background1"/>
                          <w:sz w:val="36"/>
                        </w:rPr>
                      </w:pPr>
                      <w:r w:rsidRPr="00D17FF5">
                        <w:rPr>
                          <w:rFonts w:ascii="Arial Black" w:hAnsi="Arial Black" w:cs="Arial"/>
                          <w:b/>
                          <w:color w:val="FFFFFF" w:themeColor="background1"/>
                          <w:sz w:val="36"/>
                        </w:rPr>
                        <w:t>Programa de Modernización del Sistema de Administración Financiera Pública para Mejorar la Programación, Ejecución y Rendición de Cuentas de los Recursos</w:t>
                      </w:r>
                    </w:p>
                    <w:p w14:paraId="53DB5260" w14:textId="77777777" w:rsidR="00D87B95" w:rsidRPr="00D17FF5" w:rsidRDefault="00D87B95" w:rsidP="00437FB0">
                      <w:pPr>
                        <w:spacing w:after="0" w:line="240" w:lineRule="auto"/>
                        <w:jc w:val="center"/>
                        <w:rPr>
                          <w:rFonts w:ascii="Arial Black" w:hAnsi="Arial Black" w:cs="Arial"/>
                          <w:b/>
                          <w:color w:val="FFFFFF" w:themeColor="background1"/>
                          <w:sz w:val="36"/>
                        </w:rPr>
                      </w:pPr>
                      <w:r w:rsidRPr="00D17FF5">
                        <w:rPr>
                          <w:rFonts w:ascii="Arial Black" w:hAnsi="Arial Black" w:cs="Arial"/>
                          <w:b/>
                          <w:color w:val="FFFFFF" w:themeColor="background1"/>
                          <w:sz w:val="36"/>
                        </w:rPr>
                        <w:t>Públicos</w:t>
                      </w:r>
                    </w:p>
                    <w:p w14:paraId="1FF403B8" w14:textId="7C97A69A" w:rsidR="00D87B95" w:rsidRPr="00D17FF5" w:rsidRDefault="00D87B95" w:rsidP="00437FB0">
                      <w:pPr>
                        <w:spacing w:after="0" w:line="240" w:lineRule="auto"/>
                        <w:jc w:val="center"/>
                        <w:rPr>
                          <w:rFonts w:ascii="Arial Black" w:hAnsi="Arial Black" w:cs="Arial"/>
                          <w:b/>
                          <w:color w:val="FFFFFF" w:themeColor="background1"/>
                          <w:sz w:val="36"/>
                          <w:lang w:val="es-ES"/>
                        </w:rPr>
                      </w:pPr>
                      <w:r w:rsidRPr="00D17FF5">
                        <w:rPr>
                          <w:rFonts w:ascii="Arial Black" w:hAnsi="Arial Black" w:cs="Arial"/>
                          <w:b/>
                          <w:color w:val="FFFFFF" w:themeColor="background1"/>
                          <w:sz w:val="36"/>
                          <w:lang w:val="es-ES"/>
                        </w:rPr>
                        <w:t>(PE-L1087 /</w:t>
                      </w:r>
                      <w:r w:rsidRPr="00D17FF5">
                        <w:rPr>
                          <w:rFonts w:ascii="Arial Black" w:hAnsi="Arial Black" w:cs="Arial"/>
                          <w:b/>
                        </w:rPr>
                        <w:t xml:space="preserve"> </w:t>
                      </w:r>
                      <w:r w:rsidRPr="00D17FF5">
                        <w:rPr>
                          <w:rFonts w:ascii="Arial Black" w:hAnsi="Arial Black" w:cs="Arial"/>
                          <w:b/>
                          <w:color w:val="FFFFFF" w:themeColor="background1"/>
                          <w:sz w:val="36"/>
                          <w:lang w:val="es-ES"/>
                        </w:rPr>
                        <w:t>2445/OC-PE)</w:t>
                      </w:r>
                    </w:p>
                    <w:p w14:paraId="6F53980A" w14:textId="77777777" w:rsidR="00D87B95" w:rsidRPr="00D17FF5" w:rsidRDefault="00D87B95" w:rsidP="00D17FF5">
                      <w:pPr>
                        <w:rPr>
                          <w:rFonts w:ascii="Arial Black" w:hAnsi="Arial Black" w:cs="Arial"/>
                          <w:b/>
                          <w:color w:val="FFFFFF" w:themeColor="background1"/>
                          <w:sz w:val="36"/>
                          <w:lang w:val="es-ES"/>
                        </w:rPr>
                      </w:pPr>
                    </w:p>
                    <w:p w14:paraId="6FEB61EE" w14:textId="77777777" w:rsidR="00D87B95" w:rsidRPr="00D17FF5" w:rsidRDefault="00D87B95" w:rsidP="00437FB0">
                      <w:pPr>
                        <w:spacing w:after="0" w:line="240" w:lineRule="auto"/>
                        <w:jc w:val="center"/>
                        <w:rPr>
                          <w:rFonts w:ascii="Arial Black" w:hAnsi="Arial Black" w:cs="Arial"/>
                          <w:b/>
                          <w:color w:val="FFFFFF" w:themeColor="background1"/>
                          <w:sz w:val="36"/>
                        </w:rPr>
                      </w:pPr>
                      <w:r w:rsidRPr="00D17FF5">
                        <w:rPr>
                          <w:rFonts w:ascii="Arial Black" w:hAnsi="Arial Black" w:cs="Arial"/>
                          <w:b/>
                          <w:color w:val="FFFFFF" w:themeColor="background1"/>
                          <w:sz w:val="36"/>
                        </w:rPr>
                        <w:t>Informe de Terminación de Proyecto</w:t>
                      </w:r>
                    </w:p>
                    <w:p w14:paraId="3418CD24" w14:textId="77777777" w:rsidR="00D87B95" w:rsidRPr="00D17FF5" w:rsidRDefault="00D87B95" w:rsidP="00437FB0">
                      <w:pPr>
                        <w:spacing w:after="0" w:line="240" w:lineRule="auto"/>
                        <w:jc w:val="center"/>
                        <w:rPr>
                          <w:rFonts w:ascii="Arial Black" w:hAnsi="Arial Black" w:cs="Arial"/>
                          <w:b/>
                          <w:color w:val="FFFFFF" w:themeColor="background1"/>
                          <w:sz w:val="36"/>
                        </w:rPr>
                      </w:pPr>
                      <w:r w:rsidRPr="00D17FF5">
                        <w:rPr>
                          <w:rFonts w:ascii="Arial Black" w:hAnsi="Arial Black" w:cs="Arial"/>
                          <w:b/>
                          <w:color w:val="FFFFFF" w:themeColor="background1"/>
                          <w:sz w:val="36"/>
                        </w:rPr>
                        <w:t>(PCR)</w:t>
                      </w:r>
                    </w:p>
                    <w:p w14:paraId="3682A449" w14:textId="77777777" w:rsidR="00D87B95" w:rsidRDefault="00D87B95" w:rsidP="009C0233">
                      <w:pPr>
                        <w:jc w:val="center"/>
                        <w:rPr>
                          <w:rFonts w:ascii="Arial Black" w:hAnsi="Arial Black"/>
                          <w:color w:val="FFFFFF" w:themeColor="background1"/>
                          <w:sz w:val="36"/>
                        </w:rPr>
                      </w:pPr>
                    </w:p>
                  </w:txbxContent>
                </v:textbox>
                <w10:wrap anchorx="margin"/>
              </v:shape>
            </w:pict>
          </mc:Fallback>
        </mc:AlternateContent>
      </w:r>
    </w:p>
    <w:p w14:paraId="60DC9AA2" w14:textId="77777777" w:rsidR="00A608C0" w:rsidRPr="00576180" w:rsidRDefault="00A608C0" w:rsidP="008D007A">
      <w:pPr>
        <w:tabs>
          <w:tab w:val="left" w:pos="9000"/>
        </w:tabs>
        <w:rPr>
          <w:color w:val="7F7F7F" w:themeColor="text1" w:themeTint="80"/>
          <w:sz w:val="28"/>
          <w:szCs w:val="28"/>
        </w:rPr>
        <w:sectPr w:rsidR="00A608C0" w:rsidRPr="00576180">
          <w:headerReference w:type="default" r:id="rId10"/>
          <w:footerReference w:type="default" r:id="rId11"/>
          <w:pgSz w:w="12240" w:h="15840"/>
          <w:pgMar w:top="1440" w:right="1440" w:bottom="1440" w:left="1440" w:header="720" w:footer="720" w:gutter="0"/>
          <w:pgNumType w:start="0"/>
          <w:cols w:space="720"/>
        </w:sectPr>
      </w:pPr>
      <w:r w:rsidRPr="00576180">
        <w:rPr>
          <w:noProof/>
          <w:lang w:eastAsia="zh-CN"/>
        </w:rPr>
        <mc:AlternateContent>
          <mc:Choice Requires="wps">
            <w:drawing>
              <wp:anchor distT="0" distB="0" distL="114300" distR="114300" simplePos="0" relativeHeight="251770880" behindDoc="0" locked="0" layoutInCell="1" allowOverlap="1" wp14:anchorId="24A8108F" wp14:editId="1722D8E9">
                <wp:simplePos x="0" y="0"/>
                <wp:positionH relativeFrom="margin">
                  <wp:posOffset>16510</wp:posOffset>
                </wp:positionH>
                <wp:positionV relativeFrom="paragraph">
                  <wp:posOffset>4431030</wp:posOffset>
                </wp:positionV>
                <wp:extent cx="5910326" cy="1895475"/>
                <wp:effectExtent l="0" t="0" r="0" b="0"/>
                <wp:wrapNone/>
                <wp:docPr id="10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326" cy="1895475"/>
                        </a:xfrm>
                        <a:prstGeom prst="rect">
                          <a:avLst/>
                        </a:prstGeom>
                        <a:noFill/>
                        <a:ln w="9525">
                          <a:noFill/>
                          <a:miter lim="800000"/>
                          <a:headEnd/>
                          <a:tailEnd/>
                        </a:ln>
                      </wps:spPr>
                      <wps:txbx>
                        <w:txbxContent>
                          <w:p w14:paraId="17841409" w14:textId="5BCC72BB" w:rsidR="00D87B95" w:rsidRDefault="00D87B95" w:rsidP="009C0233">
                            <w:pPr>
                              <w:spacing w:after="0" w:line="240" w:lineRule="auto"/>
                              <w:jc w:val="both"/>
                              <w:rPr>
                                <w:rFonts w:ascii="Arial" w:hAnsi="Arial" w:cs="Arial"/>
                                <w:b/>
                                <w:color w:val="FFFFFF" w:themeColor="background1"/>
                                <w:lang w:val="es-ES"/>
                              </w:rPr>
                            </w:pPr>
                            <w:r w:rsidRPr="009C0233">
                              <w:rPr>
                                <w:rFonts w:ascii="Arial" w:hAnsi="Arial" w:cs="Arial"/>
                                <w:b/>
                                <w:i/>
                                <w:color w:val="FFFFFF" w:themeColor="background1"/>
                                <w:lang w:val="es-ES"/>
                              </w:rPr>
                              <w:t xml:space="preserve">Equipo de </w:t>
                            </w:r>
                            <w:r>
                              <w:rPr>
                                <w:rFonts w:ascii="Arial" w:hAnsi="Arial" w:cs="Arial"/>
                                <w:b/>
                                <w:i/>
                                <w:color w:val="FFFFFF" w:themeColor="background1"/>
                                <w:lang w:val="es-ES"/>
                              </w:rPr>
                              <w:t>p</w:t>
                            </w:r>
                            <w:r w:rsidRPr="009C0233">
                              <w:rPr>
                                <w:rFonts w:ascii="Arial" w:hAnsi="Arial" w:cs="Arial"/>
                                <w:b/>
                                <w:i/>
                                <w:color w:val="FFFFFF" w:themeColor="background1"/>
                                <w:lang w:val="es-ES"/>
                              </w:rPr>
                              <w:t xml:space="preserve">royecto </w:t>
                            </w:r>
                            <w:r>
                              <w:rPr>
                                <w:rFonts w:ascii="Arial" w:hAnsi="Arial" w:cs="Arial"/>
                                <w:b/>
                                <w:i/>
                                <w:color w:val="FFFFFF" w:themeColor="background1"/>
                                <w:lang w:val="es-ES"/>
                              </w:rPr>
                              <w:t>o</w:t>
                            </w:r>
                            <w:r w:rsidRPr="009C0233">
                              <w:rPr>
                                <w:rFonts w:ascii="Arial" w:hAnsi="Arial" w:cs="Arial"/>
                                <w:b/>
                                <w:i/>
                                <w:color w:val="FFFFFF" w:themeColor="background1"/>
                                <w:lang w:val="es-ES"/>
                              </w:rPr>
                              <w:t>riginal:</w:t>
                            </w:r>
                            <w:r w:rsidRPr="00FB24EE">
                              <w:t xml:space="preserve"> </w:t>
                            </w:r>
                            <w:r w:rsidRPr="00FB24EE">
                              <w:rPr>
                                <w:rFonts w:ascii="Arial" w:hAnsi="Arial" w:cs="Arial"/>
                                <w:b/>
                                <w:i/>
                                <w:color w:val="FFFFFF" w:themeColor="background1"/>
                                <w:lang w:val="es-ES"/>
                              </w:rPr>
                              <w:t>Carlos Pimenta, Jefe de Equipo de Proyecto; Gonzalo Afcha</w:t>
                            </w:r>
                            <w:r>
                              <w:rPr>
                                <w:rFonts w:ascii="Arial" w:hAnsi="Arial" w:cs="Arial"/>
                                <w:b/>
                                <w:i/>
                                <w:color w:val="FFFFFF" w:themeColor="background1"/>
                                <w:lang w:val="es-ES"/>
                              </w:rPr>
                              <w:t>,</w:t>
                            </w:r>
                            <w:r w:rsidRPr="00FB24EE">
                              <w:rPr>
                                <w:rFonts w:ascii="Arial" w:hAnsi="Arial" w:cs="Arial"/>
                                <w:b/>
                                <w:i/>
                                <w:color w:val="FFFFFF" w:themeColor="background1"/>
                                <w:lang w:val="es-ES"/>
                              </w:rPr>
                              <w:t xml:space="preserve"> Valeria Wedolowski y Nathalie Hoffman (ICF/ICS); Marcio Cracel (ICF/FMM); Javier Urra (ICS/CPE); Axel Radics (FMM/CPE); German Zappani (PDP/CPE); V</w:t>
                            </w:r>
                            <w:r>
                              <w:rPr>
                                <w:rFonts w:ascii="Arial" w:hAnsi="Arial" w:cs="Arial"/>
                                <w:b/>
                                <w:i/>
                                <w:color w:val="FFFFFF" w:themeColor="background1"/>
                                <w:lang w:val="es-ES"/>
                              </w:rPr>
                              <w:t>í</w:t>
                            </w:r>
                            <w:r w:rsidRPr="00FB24EE">
                              <w:rPr>
                                <w:rFonts w:ascii="Arial" w:hAnsi="Arial" w:cs="Arial"/>
                                <w:b/>
                                <w:i/>
                                <w:color w:val="FFFFFF" w:themeColor="background1"/>
                                <w:lang w:val="es-ES"/>
                              </w:rPr>
                              <w:t>ctor Escala (PDP/CPE); Paola Arrunategui (CAN/CPE); Javier Jim</w:t>
                            </w:r>
                            <w:r>
                              <w:rPr>
                                <w:rFonts w:ascii="Arial" w:hAnsi="Arial" w:cs="Arial"/>
                                <w:b/>
                                <w:i/>
                                <w:color w:val="FFFFFF" w:themeColor="background1"/>
                                <w:lang w:val="es-ES"/>
                              </w:rPr>
                              <w:t>é</w:t>
                            </w:r>
                            <w:r w:rsidRPr="00FB24EE">
                              <w:rPr>
                                <w:rFonts w:ascii="Arial" w:hAnsi="Arial" w:cs="Arial"/>
                                <w:b/>
                                <w:i/>
                                <w:color w:val="FFFFFF" w:themeColor="background1"/>
                                <w:lang w:val="es-ES"/>
                              </w:rPr>
                              <w:t>nez Mosquera (LEG/SGO); y Silvio Solarte (Consultor).</w:t>
                            </w:r>
                          </w:p>
                          <w:p w14:paraId="41015611" w14:textId="77777777" w:rsidR="00D87B95" w:rsidRPr="009C0233" w:rsidRDefault="00D87B95" w:rsidP="009C0233">
                            <w:pPr>
                              <w:spacing w:after="0" w:line="240" w:lineRule="auto"/>
                              <w:jc w:val="both"/>
                              <w:rPr>
                                <w:rFonts w:ascii="Arial" w:hAnsi="Arial" w:cs="Arial"/>
                                <w:b/>
                                <w:i/>
                                <w:color w:val="FFFFFF" w:themeColor="background1"/>
                                <w:lang w:val="es-ES"/>
                              </w:rPr>
                            </w:pPr>
                          </w:p>
                          <w:p w14:paraId="6B4F97E0" w14:textId="63804B9C" w:rsidR="00D87B95" w:rsidRPr="002D4CB7" w:rsidRDefault="00D87B95" w:rsidP="009C0233">
                            <w:pPr>
                              <w:spacing w:after="0" w:line="240" w:lineRule="auto"/>
                              <w:jc w:val="both"/>
                              <w:rPr>
                                <w:rFonts w:ascii="Arial" w:hAnsi="Arial" w:cs="Arial"/>
                                <w:b/>
                                <w:i/>
                                <w:color w:val="FFFFFF" w:themeColor="background1"/>
                              </w:rPr>
                            </w:pPr>
                            <w:r w:rsidRPr="002D4CB7">
                              <w:rPr>
                                <w:rFonts w:ascii="Arial" w:hAnsi="Arial" w:cs="Arial"/>
                                <w:b/>
                                <w:i/>
                                <w:color w:val="FFFFFF" w:themeColor="background1"/>
                              </w:rPr>
                              <w:t xml:space="preserve">Equipo PCR: José Larios (FMM/CPE), Jefe de Equipo; </w:t>
                            </w:r>
                            <w:r w:rsidRPr="006412A6">
                              <w:rPr>
                                <w:rFonts w:ascii="Arial" w:hAnsi="Arial" w:cs="Arial"/>
                                <w:b/>
                                <w:i/>
                                <w:color w:val="FFFFFF" w:themeColor="background1"/>
                              </w:rPr>
                              <w:t>Ariel Zaltsman (IFD/FMM)</w:t>
                            </w:r>
                            <w:r>
                              <w:rPr>
                                <w:rFonts w:ascii="Arial" w:hAnsi="Arial" w:cs="Arial"/>
                                <w:b/>
                                <w:i/>
                                <w:color w:val="FFFFFF" w:themeColor="background1"/>
                              </w:rPr>
                              <w:t>;</w:t>
                            </w:r>
                            <w:r w:rsidRPr="006412A6">
                              <w:t xml:space="preserve"> </w:t>
                            </w:r>
                            <w:r w:rsidRPr="006412A6">
                              <w:rPr>
                                <w:rFonts w:ascii="Arial" w:hAnsi="Arial" w:cs="Arial"/>
                                <w:b/>
                                <w:i/>
                                <w:color w:val="FFFFFF" w:themeColor="background1"/>
                              </w:rPr>
                              <w:t>José Martinez (SPD/SDV)</w:t>
                            </w:r>
                            <w:r>
                              <w:rPr>
                                <w:rFonts w:ascii="Arial" w:hAnsi="Arial" w:cs="Arial"/>
                                <w:b/>
                                <w:i/>
                                <w:color w:val="FFFFFF" w:themeColor="background1"/>
                              </w:rPr>
                              <w:t xml:space="preserve">; </w:t>
                            </w:r>
                            <w:r w:rsidRPr="002D4CB7">
                              <w:rPr>
                                <w:rFonts w:ascii="Arial" w:hAnsi="Arial" w:cs="Arial"/>
                                <w:b/>
                                <w:i/>
                                <w:color w:val="FFFFFF" w:themeColor="background1"/>
                              </w:rPr>
                              <w:t xml:space="preserve">María José Schaeffer (FMM/CHO); </w:t>
                            </w:r>
                            <w:r w:rsidRPr="006412A6">
                              <w:rPr>
                                <w:rFonts w:ascii="Arial" w:hAnsi="Arial" w:cs="Arial"/>
                                <w:b/>
                                <w:i/>
                                <w:color w:val="FFFFFF" w:themeColor="background1"/>
                              </w:rPr>
                              <w:t>Javier Jimenez (LEG/SGO); Allizon Milicich, Gabrielle Del Monte y Freddy Andara (VPC/FMP)</w:t>
                            </w:r>
                            <w:r>
                              <w:rPr>
                                <w:rFonts w:ascii="Arial" w:hAnsi="Arial" w:cs="Arial"/>
                                <w:b/>
                                <w:i/>
                                <w:color w:val="FFFFFF" w:themeColor="background1"/>
                              </w:rPr>
                              <w:t>; Mariana Canillas</w:t>
                            </w:r>
                            <w:r w:rsidRPr="002D4CB7">
                              <w:rPr>
                                <w:rFonts w:ascii="Arial" w:hAnsi="Arial" w:cs="Arial"/>
                                <w:b/>
                                <w:i/>
                                <w:color w:val="FFFFFF" w:themeColor="background1"/>
                              </w:rPr>
                              <w:t xml:space="preserve"> (IFD/FMM); y Marcio Cracel (Consultor).</w:t>
                            </w:r>
                          </w:p>
                          <w:p w14:paraId="67825413" w14:textId="77777777" w:rsidR="00D87B95" w:rsidRPr="00545688" w:rsidRDefault="00D87B95" w:rsidP="009C0233">
                            <w:pPr>
                              <w:spacing w:after="0" w:line="240" w:lineRule="auto"/>
                              <w:rPr>
                                <w:rFonts w:ascii="Times New Roman" w:hAnsi="Times New Roman"/>
                                <w:b/>
                                <w:i/>
                                <w:color w:val="FFFFFF" w:themeColor="background1"/>
                              </w:rPr>
                            </w:pPr>
                          </w:p>
                          <w:p w14:paraId="0DE045BB" w14:textId="77777777" w:rsidR="00D87B95" w:rsidRPr="00545688" w:rsidRDefault="00D87B95" w:rsidP="009C0233">
                            <w:pPr>
                              <w:spacing w:after="0" w:line="240" w:lineRule="auto"/>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8108F" id="Text Box 12" o:spid="_x0000_s1028" type="#_x0000_t202" style="position:absolute;margin-left:1.3pt;margin-top:348.9pt;width:465.4pt;height:149.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9pDwIAAP0DAAAOAAAAZHJzL2Uyb0RvYy54bWysU9uO2yAQfa/Uf0C8N7403k2sOKvtbreq&#10;tL1Iu/0AjHGMCgwFEjv9+g44m0btW1UeEDAzZ+acGTY3k1bkIJyXYBpaLHJKhOHQSbNr6Lfnhzcr&#10;SnxgpmMKjGjoUXh6s339ajPaWpQwgOqEIwhifD3ahg4h2DrLPB+EZn4BVhg09uA0C3h1u6xzbER0&#10;rbIyz6+yEVxnHXDhPb7ez0a6Tfh9L3j40vdeBKIairWFtLu0t3HPthtW7xyzg+SnMtg/VKGZNJj0&#10;DHXPAiN7J/+C0pI78NCHBQedQd9LLhIHZFPkf7B5GpgViQuK4+1ZJv//YPnnw1dHZIe9y68oMUxj&#10;k57FFMg7mEhRRoFG62v0e7LoGSZ8R+dE1ttH4N89MXA3MLMTt87BOAjWYYFFjMwuQmccH0Ha8RN0&#10;mIftAySgqXc6qod6EETHRh3PzYm1cHys1kX+tsQaOdqK1bpaXlcpB6tfwq3z4YMATeKhoQ67n+DZ&#10;4dGHWA6rX1xiNgMPUqk0AcqQsaHrqqxSwIVFy4ADqqRu6CqPax6ZyPK96VJwYFLNZ0ygzIl2ZDpz&#10;DlM7JYnParbQHVEHB/M84v/BwwDuJyUjzmJD/Y89c4IS9dGglutiuYzDmy7L6rrEi7u0tJcWZjhC&#10;NTRQMh/vQhr4mfItat7LpEZszlzJqWScsSTS6T/EIb68J6/fv3b7CwAA//8DAFBLAwQUAAYACAAA&#10;ACEAqfiTN94AAAAJAQAADwAAAGRycy9kb3ducmV2LnhtbEyPwU7DMBBE70j9B2uReqM2TUlJiFMh&#10;Kq4gCkXi5sbbJGq8jmK3CX/PcoLbjmY0+6bYTK4TFxxC60nD7UKBQKq8banW8PH+fHMPIkRD1nSe&#10;UMM3BtiUs6vC5NaP9IaXXawFl1DIjYYmxj6XMlQNOhMWvkdi7+gHZyLLoZZ2MCOXu04ulUqlMy3x&#10;h8b0+NRgddqdnYb9y/Hrc6Ve662760c/KUkuk1rPr6fHBxARp/gXhl98RoeSmQ7+TDaITsMy5aCG&#10;NFvzAvazJFmBOPCRpQnIspD/F5Q/AAAA//8DAFBLAQItABQABgAIAAAAIQC2gziS/gAAAOEBAAAT&#10;AAAAAAAAAAAAAAAAAAAAAABbQ29udGVudF9UeXBlc10ueG1sUEsBAi0AFAAGAAgAAAAhADj9If/W&#10;AAAAlAEAAAsAAAAAAAAAAAAAAAAALwEAAF9yZWxzLy5yZWxzUEsBAi0AFAAGAAgAAAAhACJzj2kP&#10;AgAA/QMAAA4AAAAAAAAAAAAAAAAALgIAAGRycy9lMm9Eb2MueG1sUEsBAi0AFAAGAAgAAAAhAKn4&#10;kzfeAAAACQEAAA8AAAAAAAAAAAAAAAAAaQQAAGRycy9kb3ducmV2LnhtbFBLBQYAAAAABAAEAPMA&#10;AAB0BQAAAAA=&#10;" filled="f" stroked="f">
                <v:textbox>
                  <w:txbxContent>
                    <w:p w14:paraId="17841409" w14:textId="5BCC72BB" w:rsidR="00D87B95" w:rsidRDefault="00D87B95" w:rsidP="009C0233">
                      <w:pPr>
                        <w:spacing w:after="0" w:line="240" w:lineRule="auto"/>
                        <w:jc w:val="both"/>
                        <w:rPr>
                          <w:rFonts w:ascii="Arial" w:hAnsi="Arial" w:cs="Arial"/>
                          <w:b/>
                          <w:color w:val="FFFFFF" w:themeColor="background1"/>
                          <w:lang w:val="es-ES"/>
                        </w:rPr>
                      </w:pPr>
                      <w:r w:rsidRPr="009C0233">
                        <w:rPr>
                          <w:rFonts w:ascii="Arial" w:hAnsi="Arial" w:cs="Arial"/>
                          <w:b/>
                          <w:i/>
                          <w:color w:val="FFFFFF" w:themeColor="background1"/>
                          <w:lang w:val="es-ES"/>
                        </w:rPr>
                        <w:t xml:space="preserve">Equipo de </w:t>
                      </w:r>
                      <w:r>
                        <w:rPr>
                          <w:rFonts w:ascii="Arial" w:hAnsi="Arial" w:cs="Arial"/>
                          <w:b/>
                          <w:i/>
                          <w:color w:val="FFFFFF" w:themeColor="background1"/>
                          <w:lang w:val="es-ES"/>
                        </w:rPr>
                        <w:t>p</w:t>
                      </w:r>
                      <w:r w:rsidRPr="009C0233">
                        <w:rPr>
                          <w:rFonts w:ascii="Arial" w:hAnsi="Arial" w:cs="Arial"/>
                          <w:b/>
                          <w:i/>
                          <w:color w:val="FFFFFF" w:themeColor="background1"/>
                          <w:lang w:val="es-ES"/>
                        </w:rPr>
                        <w:t xml:space="preserve">royecto </w:t>
                      </w:r>
                      <w:r>
                        <w:rPr>
                          <w:rFonts w:ascii="Arial" w:hAnsi="Arial" w:cs="Arial"/>
                          <w:b/>
                          <w:i/>
                          <w:color w:val="FFFFFF" w:themeColor="background1"/>
                          <w:lang w:val="es-ES"/>
                        </w:rPr>
                        <w:t>o</w:t>
                      </w:r>
                      <w:r w:rsidRPr="009C0233">
                        <w:rPr>
                          <w:rFonts w:ascii="Arial" w:hAnsi="Arial" w:cs="Arial"/>
                          <w:b/>
                          <w:i/>
                          <w:color w:val="FFFFFF" w:themeColor="background1"/>
                          <w:lang w:val="es-ES"/>
                        </w:rPr>
                        <w:t>riginal:</w:t>
                      </w:r>
                      <w:r w:rsidRPr="00FB24EE">
                        <w:t xml:space="preserve"> </w:t>
                      </w:r>
                      <w:r w:rsidRPr="00FB24EE">
                        <w:rPr>
                          <w:rFonts w:ascii="Arial" w:hAnsi="Arial" w:cs="Arial"/>
                          <w:b/>
                          <w:i/>
                          <w:color w:val="FFFFFF" w:themeColor="background1"/>
                          <w:lang w:val="es-ES"/>
                        </w:rPr>
                        <w:t>Carlos Pimenta, Jefe de Equipo de Proyecto; Gonzalo Afcha</w:t>
                      </w:r>
                      <w:r>
                        <w:rPr>
                          <w:rFonts w:ascii="Arial" w:hAnsi="Arial" w:cs="Arial"/>
                          <w:b/>
                          <w:i/>
                          <w:color w:val="FFFFFF" w:themeColor="background1"/>
                          <w:lang w:val="es-ES"/>
                        </w:rPr>
                        <w:t>,</w:t>
                      </w:r>
                      <w:r w:rsidRPr="00FB24EE">
                        <w:rPr>
                          <w:rFonts w:ascii="Arial" w:hAnsi="Arial" w:cs="Arial"/>
                          <w:b/>
                          <w:i/>
                          <w:color w:val="FFFFFF" w:themeColor="background1"/>
                          <w:lang w:val="es-ES"/>
                        </w:rPr>
                        <w:t xml:space="preserve"> Valeria Wedolowski y Nathalie Hoffman (ICF/ICS); Marcio Cracel (ICF/FMM); Javier Urra (ICS/CPE); Axel Radics (FMM/CPE); German Zappani (PDP/CPE); V</w:t>
                      </w:r>
                      <w:r>
                        <w:rPr>
                          <w:rFonts w:ascii="Arial" w:hAnsi="Arial" w:cs="Arial"/>
                          <w:b/>
                          <w:i/>
                          <w:color w:val="FFFFFF" w:themeColor="background1"/>
                          <w:lang w:val="es-ES"/>
                        </w:rPr>
                        <w:t>í</w:t>
                      </w:r>
                      <w:r w:rsidRPr="00FB24EE">
                        <w:rPr>
                          <w:rFonts w:ascii="Arial" w:hAnsi="Arial" w:cs="Arial"/>
                          <w:b/>
                          <w:i/>
                          <w:color w:val="FFFFFF" w:themeColor="background1"/>
                          <w:lang w:val="es-ES"/>
                        </w:rPr>
                        <w:t>ctor Escala (PDP/CPE); Paola Arrunategui (CAN/CPE); Javier Jim</w:t>
                      </w:r>
                      <w:r>
                        <w:rPr>
                          <w:rFonts w:ascii="Arial" w:hAnsi="Arial" w:cs="Arial"/>
                          <w:b/>
                          <w:i/>
                          <w:color w:val="FFFFFF" w:themeColor="background1"/>
                          <w:lang w:val="es-ES"/>
                        </w:rPr>
                        <w:t>é</w:t>
                      </w:r>
                      <w:r w:rsidRPr="00FB24EE">
                        <w:rPr>
                          <w:rFonts w:ascii="Arial" w:hAnsi="Arial" w:cs="Arial"/>
                          <w:b/>
                          <w:i/>
                          <w:color w:val="FFFFFF" w:themeColor="background1"/>
                          <w:lang w:val="es-ES"/>
                        </w:rPr>
                        <w:t>nez Mosquera (LEG/SGO); y Silvio Solarte (Consultor).</w:t>
                      </w:r>
                    </w:p>
                    <w:p w14:paraId="41015611" w14:textId="77777777" w:rsidR="00D87B95" w:rsidRPr="009C0233" w:rsidRDefault="00D87B95" w:rsidP="009C0233">
                      <w:pPr>
                        <w:spacing w:after="0" w:line="240" w:lineRule="auto"/>
                        <w:jc w:val="both"/>
                        <w:rPr>
                          <w:rFonts w:ascii="Arial" w:hAnsi="Arial" w:cs="Arial"/>
                          <w:b/>
                          <w:i/>
                          <w:color w:val="FFFFFF" w:themeColor="background1"/>
                          <w:lang w:val="es-ES"/>
                        </w:rPr>
                      </w:pPr>
                    </w:p>
                    <w:p w14:paraId="6B4F97E0" w14:textId="63804B9C" w:rsidR="00D87B95" w:rsidRPr="002D4CB7" w:rsidRDefault="00D87B95" w:rsidP="009C0233">
                      <w:pPr>
                        <w:spacing w:after="0" w:line="240" w:lineRule="auto"/>
                        <w:jc w:val="both"/>
                        <w:rPr>
                          <w:rFonts w:ascii="Arial" w:hAnsi="Arial" w:cs="Arial"/>
                          <w:b/>
                          <w:i/>
                          <w:color w:val="FFFFFF" w:themeColor="background1"/>
                        </w:rPr>
                      </w:pPr>
                      <w:r w:rsidRPr="002D4CB7">
                        <w:rPr>
                          <w:rFonts w:ascii="Arial" w:hAnsi="Arial" w:cs="Arial"/>
                          <w:b/>
                          <w:i/>
                          <w:color w:val="FFFFFF" w:themeColor="background1"/>
                        </w:rPr>
                        <w:t xml:space="preserve">Equipo PCR: José Larios (FMM/CPE), Jefe de Equipo; </w:t>
                      </w:r>
                      <w:r w:rsidRPr="006412A6">
                        <w:rPr>
                          <w:rFonts w:ascii="Arial" w:hAnsi="Arial" w:cs="Arial"/>
                          <w:b/>
                          <w:i/>
                          <w:color w:val="FFFFFF" w:themeColor="background1"/>
                        </w:rPr>
                        <w:t>Ariel Zaltsman (IFD/FMM)</w:t>
                      </w:r>
                      <w:r>
                        <w:rPr>
                          <w:rFonts w:ascii="Arial" w:hAnsi="Arial" w:cs="Arial"/>
                          <w:b/>
                          <w:i/>
                          <w:color w:val="FFFFFF" w:themeColor="background1"/>
                        </w:rPr>
                        <w:t>;</w:t>
                      </w:r>
                      <w:r w:rsidRPr="006412A6">
                        <w:t xml:space="preserve"> </w:t>
                      </w:r>
                      <w:r w:rsidRPr="006412A6">
                        <w:rPr>
                          <w:rFonts w:ascii="Arial" w:hAnsi="Arial" w:cs="Arial"/>
                          <w:b/>
                          <w:i/>
                          <w:color w:val="FFFFFF" w:themeColor="background1"/>
                        </w:rPr>
                        <w:t>José Martinez (SPD/SDV)</w:t>
                      </w:r>
                      <w:r>
                        <w:rPr>
                          <w:rFonts w:ascii="Arial" w:hAnsi="Arial" w:cs="Arial"/>
                          <w:b/>
                          <w:i/>
                          <w:color w:val="FFFFFF" w:themeColor="background1"/>
                        </w:rPr>
                        <w:t xml:space="preserve">; </w:t>
                      </w:r>
                      <w:r w:rsidRPr="002D4CB7">
                        <w:rPr>
                          <w:rFonts w:ascii="Arial" w:hAnsi="Arial" w:cs="Arial"/>
                          <w:b/>
                          <w:i/>
                          <w:color w:val="FFFFFF" w:themeColor="background1"/>
                        </w:rPr>
                        <w:t xml:space="preserve">María José Schaeffer (FMM/CHO); </w:t>
                      </w:r>
                      <w:r w:rsidRPr="006412A6">
                        <w:rPr>
                          <w:rFonts w:ascii="Arial" w:hAnsi="Arial" w:cs="Arial"/>
                          <w:b/>
                          <w:i/>
                          <w:color w:val="FFFFFF" w:themeColor="background1"/>
                        </w:rPr>
                        <w:t>Javier Jimenez (LEG/SGO); Allizon Milicich, Gabrielle Del Monte y Freddy Andara (VPC/FMP)</w:t>
                      </w:r>
                      <w:r>
                        <w:rPr>
                          <w:rFonts w:ascii="Arial" w:hAnsi="Arial" w:cs="Arial"/>
                          <w:b/>
                          <w:i/>
                          <w:color w:val="FFFFFF" w:themeColor="background1"/>
                        </w:rPr>
                        <w:t>; Mariana Canillas</w:t>
                      </w:r>
                      <w:r w:rsidRPr="002D4CB7">
                        <w:rPr>
                          <w:rFonts w:ascii="Arial" w:hAnsi="Arial" w:cs="Arial"/>
                          <w:b/>
                          <w:i/>
                          <w:color w:val="FFFFFF" w:themeColor="background1"/>
                        </w:rPr>
                        <w:t xml:space="preserve"> (IFD/FMM); y Marcio Cracel (Consultor).</w:t>
                      </w:r>
                    </w:p>
                    <w:p w14:paraId="67825413" w14:textId="77777777" w:rsidR="00D87B95" w:rsidRPr="00545688" w:rsidRDefault="00D87B95" w:rsidP="009C0233">
                      <w:pPr>
                        <w:spacing w:after="0" w:line="240" w:lineRule="auto"/>
                        <w:rPr>
                          <w:rFonts w:ascii="Times New Roman" w:hAnsi="Times New Roman"/>
                          <w:b/>
                          <w:i/>
                          <w:color w:val="FFFFFF" w:themeColor="background1"/>
                        </w:rPr>
                      </w:pPr>
                    </w:p>
                    <w:p w14:paraId="0DE045BB" w14:textId="77777777" w:rsidR="00D87B95" w:rsidRPr="00545688" w:rsidRDefault="00D87B95" w:rsidP="009C0233">
                      <w:pPr>
                        <w:spacing w:after="0" w:line="240" w:lineRule="auto"/>
                        <w:rPr>
                          <w:color w:val="FFFFFF" w:themeColor="background1"/>
                        </w:rPr>
                      </w:pPr>
                    </w:p>
                  </w:txbxContent>
                </v:textbox>
                <w10:wrap anchorx="margin"/>
              </v:shape>
            </w:pict>
          </mc:Fallback>
        </mc:AlternateContent>
      </w:r>
    </w:p>
    <w:p w14:paraId="0A2524D4" w14:textId="77777777" w:rsidR="00D53D19" w:rsidRPr="00576180" w:rsidRDefault="00D53D19" w:rsidP="008D007A">
      <w:pPr>
        <w:pStyle w:val="TOCHeading"/>
        <w:tabs>
          <w:tab w:val="left" w:pos="9000"/>
        </w:tabs>
        <w:rPr>
          <w:b w:val="0"/>
          <w:smallCaps/>
        </w:rPr>
      </w:pPr>
      <w:bookmarkStart w:id="5" w:name="_Toc501529194"/>
      <w:bookmarkStart w:id="6" w:name="_Toc500169658"/>
      <w:bookmarkStart w:id="7" w:name="_Toc506484925"/>
      <w:bookmarkStart w:id="8" w:name="_Toc506974990"/>
      <w:bookmarkStart w:id="9" w:name="_Toc507063069"/>
      <w:bookmarkEnd w:id="0"/>
      <w:bookmarkEnd w:id="1"/>
      <w:bookmarkEnd w:id="2"/>
      <w:bookmarkEnd w:id="3"/>
      <w:bookmarkEnd w:id="4"/>
    </w:p>
    <w:sdt>
      <w:sdtPr>
        <w:rPr>
          <w:rFonts w:asciiTheme="minorHAnsi" w:eastAsiaTheme="minorHAnsi" w:hAnsiTheme="minorHAnsi" w:cs="Arial"/>
          <w:b w:val="0"/>
          <w:bCs w:val="0"/>
          <w:szCs w:val="22"/>
          <w:lang w:eastAsia="en-US"/>
        </w:rPr>
        <w:id w:val="-1150281611"/>
        <w:docPartObj>
          <w:docPartGallery w:val="Table of Contents"/>
          <w:docPartUnique/>
        </w:docPartObj>
      </w:sdtPr>
      <w:sdtEndPr/>
      <w:sdtContent>
        <w:p w14:paraId="4E0282AD" w14:textId="77777777" w:rsidR="00D53D19" w:rsidRPr="00576180" w:rsidRDefault="00D53D19" w:rsidP="00346EF4">
          <w:pPr>
            <w:pStyle w:val="TOCHeading"/>
            <w:tabs>
              <w:tab w:val="left" w:pos="9000"/>
            </w:tabs>
            <w:jc w:val="center"/>
            <w:rPr>
              <w:b w:val="0"/>
              <w:smallCaps/>
            </w:rPr>
          </w:pPr>
          <w:r w:rsidRPr="00576180">
            <w:rPr>
              <w:rFonts w:cs="Arial"/>
              <w:smallCaps/>
              <w:szCs w:val="22"/>
            </w:rPr>
            <w:t>Índice</w:t>
          </w:r>
        </w:p>
        <w:p w14:paraId="6F382092" w14:textId="2CB4B878" w:rsidR="00EB3963" w:rsidRDefault="00D53D19">
          <w:pPr>
            <w:pStyle w:val="TOC1"/>
            <w:rPr>
              <w:rFonts w:asciiTheme="minorHAnsi" w:eastAsiaTheme="minorEastAsia" w:hAnsiTheme="minorHAnsi"/>
              <w:noProof/>
              <w:lang w:val="en-US"/>
            </w:rPr>
          </w:pPr>
          <w:r w:rsidRPr="00576180">
            <w:rPr>
              <w:rFonts w:cs="Arial"/>
            </w:rPr>
            <w:fldChar w:fldCharType="begin"/>
          </w:r>
          <w:r w:rsidRPr="00576180">
            <w:rPr>
              <w:rFonts w:cs="Arial"/>
            </w:rPr>
            <w:instrText xml:space="preserve"> TOC \o "1-3" \h \z \u </w:instrText>
          </w:r>
          <w:r w:rsidRPr="00576180">
            <w:rPr>
              <w:rFonts w:cs="Arial"/>
            </w:rPr>
            <w:fldChar w:fldCharType="separate"/>
          </w:r>
          <w:hyperlink w:anchor="_Toc21017047" w:history="1">
            <w:r w:rsidR="00EB3963" w:rsidRPr="005968E8">
              <w:rPr>
                <w:rStyle w:val="Hyperlink"/>
                <w:rFonts w:cs="Arial"/>
                <w:noProof/>
              </w:rPr>
              <w:t>Links Electrónicos</w:t>
            </w:r>
            <w:r w:rsidR="00EB3963">
              <w:rPr>
                <w:noProof/>
                <w:webHidden/>
              </w:rPr>
              <w:tab/>
            </w:r>
            <w:r w:rsidR="00EB3963">
              <w:rPr>
                <w:noProof/>
                <w:webHidden/>
              </w:rPr>
              <w:fldChar w:fldCharType="begin"/>
            </w:r>
            <w:r w:rsidR="00EB3963">
              <w:rPr>
                <w:noProof/>
                <w:webHidden/>
              </w:rPr>
              <w:instrText xml:space="preserve"> PAGEREF _Toc21017047 \h </w:instrText>
            </w:r>
            <w:r w:rsidR="00EB3963">
              <w:rPr>
                <w:noProof/>
                <w:webHidden/>
              </w:rPr>
            </w:r>
            <w:r w:rsidR="00EB3963">
              <w:rPr>
                <w:noProof/>
                <w:webHidden/>
              </w:rPr>
              <w:fldChar w:fldCharType="separate"/>
            </w:r>
            <w:r w:rsidR="00D87B95">
              <w:rPr>
                <w:noProof/>
                <w:webHidden/>
              </w:rPr>
              <w:t>ii</w:t>
            </w:r>
            <w:r w:rsidR="00EB3963">
              <w:rPr>
                <w:noProof/>
                <w:webHidden/>
              </w:rPr>
              <w:fldChar w:fldCharType="end"/>
            </w:r>
          </w:hyperlink>
        </w:p>
        <w:p w14:paraId="574669F0" w14:textId="54AEE721" w:rsidR="00EB3963" w:rsidRDefault="00405D3E">
          <w:pPr>
            <w:pStyle w:val="TOC1"/>
            <w:rPr>
              <w:rFonts w:asciiTheme="minorHAnsi" w:eastAsiaTheme="minorEastAsia" w:hAnsiTheme="minorHAnsi"/>
              <w:noProof/>
              <w:lang w:val="en-US"/>
            </w:rPr>
          </w:pPr>
          <w:hyperlink w:anchor="_Toc21017048" w:history="1">
            <w:r w:rsidR="00EB3963" w:rsidRPr="005968E8">
              <w:rPr>
                <w:rStyle w:val="Hyperlink"/>
                <w:rFonts w:cs="Arial"/>
                <w:noProof/>
              </w:rPr>
              <w:t>Acrónimos y abreviaturas</w:t>
            </w:r>
            <w:r w:rsidR="00EB3963">
              <w:rPr>
                <w:noProof/>
                <w:webHidden/>
              </w:rPr>
              <w:tab/>
            </w:r>
            <w:r w:rsidR="00EB3963">
              <w:rPr>
                <w:noProof/>
                <w:webHidden/>
              </w:rPr>
              <w:fldChar w:fldCharType="begin"/>
            </w:r>
            <w:r w:rsidR="00EB3963">
              <w:rPr>
                <w:noProof/>
                <w:webHidden/>
              </w:rPr>
              <w:instrText xml:space="preserve"> PAGEREF _Toc21017048 \h </w:instrText>
            </w:r>
            <w:r w:rsidR="00EB3963">
              <w:rPr>
                <w:noProof/>
                <w:webHidden/>
              </w:rPr>
            </w:r>
            <w:r w:rsidR="00EB3963">
              <w:rPr>
                <w:noProof/>
                <w:webHidden/>
              </w:rPr>
              <w:fldChar w:fldCharType="separate"/>
            </w:r>
            <w:r w:rsidR="00D87B95">
              <w:rPr>
                <w:noProof/>
                <w:webHidden/>
              </w:rPr>
              <w:t>iii</w:t>
            </w:r>
            <w:r w:rsidR="00EB3963">
              <w:rPr>
                <w:noProof/>
                <w:webHidden/>
              </w:rPr>
              <w:fldChar w:fldCharType="end"/>
            </w:r>
          </w:hyperlink>
        </w:p>
        <w:p w14:paraId="435B016A" w14:textId="0D58A109" w:rsidR="00EB3963" w:rsidRDefault="00405D3E">
          <w:pPr>
            <w:pStyle w:val="TOC1"/>
            <w:rPr>
              <w:rFonts w:asciiTheme="minorHAnsi" w:eastAsiaTheme="minorEastAsia" w:hAnsiTheme="minorHAnsi"/>
              <w:noProof/>
              <w:lang w:val="en-US"/>
            </w:rPr>
          </w:pPr>
          <w:hyperlink w:anchor="_Toc21017049" w:history="1">
            <w:r w:rsidR="00EB3963" w:rsidRPr="005968E8">
              <w:rPr>
                <w:rStyle w:val="Hyperlink"/>
                <w:smallCaps/>
                <w:noProof/>
                <w:kern w:val="36"/>
              </w:rPr>
              <w:t>Información básica del proyecto</w:t>
            </w:r>
            <w:r w:rsidR="00EB3963">
              <w:rPr>
                <w:noProof/>
                <w:webHidden/>
              </w:rPr>
              <w:tab/>
            </w:r>
            <w:r w:rsidR="00EB3963">
              <w:rPr>
                <w:noProof/>
                <w:webHidden/>
              </w:rPr>
              <w:fldChar w:fldCharType="begin"/>
            </w:r>
            <w:r w:rsidR="00EB3963">
              <w:rPr>
                <w:noProof/>
                <w:webHidden/>
              </w:rPr>
              <w:instrText xml:space="preserve"> PAGEREF _Toc21017049 \h </w:instrText>
            </w:r>
            <w:r w:rsidR="00EB3963">
              <w:rPr>
                <w:noProof/>
                <w:webHidden/>
              </w:rPr>
            </w:r>
            <w:r w:rsidR="00EB3963">
              <w:rPr>
                <w:noProof/>
                <w:webHidden/>
              </w:rPr>
              <w:fldChar w:fldCharType="separate"/>
            </w:r>
            <w:r w:rsidR="00D87B95">
              <w:rPr>
                <w:noProof/>
                <w:webHidden/>
              </w:rPr>
              <w:t>iv</w:t>
            </w:r>
            <w:r w:rsidR="00EB3963">
              <w:rPr>
                <w:noProof/>
                <w:webHidden/>
              </w:rPr>
              <w:fldChar w:fldCharType="end"/>
            </w:r>
          </w:hyperlink>
        </w:p>
        <w:p w14:paraId="1552288F" w14:textId="0B8B0C91" w:rsidR="00EB3963" w:rsidRDefault="00405D3E">
          <w:pPr>
            <w:pStyle w:val="TOC1"/>
            <w:rPr>
              <w:rFonts w:asciiTheme="minorHAnsi" w:eastAsiaTheme="minorEastAsia" w:hAnsiTheme="minorHAnsi"/>
              <w:noProof/>
              <w:lang w:val="en-US"/>
            </w:rPr>
          </w:pPr>
          <w:hyperlink w:anchor="_Toc21017050" w:history="1">
            <w:r w:rsidR="00EB3963" w:rsidRPr="005968E8">
              <w:rPr>
                <w:rStyle w:val="Hyperlink"/>
                <w:rFonts w:cs="Arial"/>
                <w:smallCaps/>
                <w:noProof/>
              </w:rPr>
              <w:t>I.</w:t>
            </w:r>
            <w:r w:rsidR="00EB3963">
              <w:rPr>
                <w:rFonts w:asciiTheme="minorHAnsi" w:eastAsiaTheme="minorEastAsia" w:hAnsiTheme="minorHAnsi"/>
                <w:noProof/>
                <w:lang w:val="en-US"/>
              </w:rPr>
              <w:tab/>
            </w:r>
            <w:r w:rsidR="00EB3963" w:rsidRPr="005968E8">
              <w:rPr>
                <w:rStyle w:val="Hyperlink"/>
                <w:rFonts w:cs="Arial"/>
                <w:smallCaps/>
                <w:noProof/>
              </w:rPr>
              <w:t>Resumen ejecutivo</w:t>
            </w:r>
            <w:r w:rsidR="00EB3963">
              <w:rPr>
                <w:noProof/>
                <w:webHidden/>
              </w:rPr>
              <w:tab/>
            </w:r>
            <w:r w:rsidR="00EB3963">
              <w:rPr>
                <w:noProof/>
                <w:webHidden/>
              </w:rPr>
              <w:fldChar w:fldCharType="begin"/>
            </w:r>
            <w:r w:rsidR="00EB3963">
              <w:rPr>
                <w:noProof/>
                <w:webHidden/>
              </w:rPr>
              <w:instrText xml:space="preserve"> PAGEREF _Toc21017050 \h </w:instrText>
            </w:r>
            <w:r w:rsidR="00EB3963">
              <w:rPr>
                <w:noProof/>
                <w:webHidden/>
              </w:rPr>
            </w:r>
            <w:r w:rsidR="00EB3963">
              <w:rPr>
                <w:noProof/>
                <w:webHidden/>
              </w:rPr>
              <w:fldChar w:fldCharType="separate"/>
            </w:r>
            <w:r w:rsidR="00D87B95">
              <w:rPr>
                <w:noProof/>
                <w:webHidden/>
              </w:rPr>
              <w:t>6</w:t>
            </w:r>
            <w:r w:rsidR="00EB3963">
              <w:rPr>
                <w:noProof/>
                <w:webHidden/>
              </w:rPr>
              <w:fldChar w:fldCharType="end"/>
            </w:r>
          </w:hyperlink>
        </w:p>
        <w:p w14:paraId="0BEAC2C1" w14:textId="3D19A10D" w:rsidR="00EB3963" w:rsidRDefault="00405D3E">
          <w:pPr>
            <w:pStyle w:val="TOC1"/>
            <w:rPr>
              <w:rFonts w:asciiTheme="minorHAnsi" w:eastAsiaTheme="minorEastAsia" w:hAnsiTheme="minorHAnsi"/>
              <w:noProof/>
              <w:lang w:val="en-US"/>
            </w:rPr>
          </w:pPr>
          <w:hyperlink w:anchor="_Toc21017051" w:history="1">
            <w:r w:rsidR="00EB3963" w:rsidRPr="005968E8">
              <w:rPr>
                <w:rStyle w:val="Hyperlink"/>
                <w:smallCaps/>
                <w:noProof/>
              </w:rPr>
              <w:t>II.</w:t>
            </w:r>
            <w:r w:rsidR="00EB3963">
              <w:rPr>
                <w:rFonts w:asciiTheme="minorHAnsi" w:eastAsiaTheme="minorEastAsia" w:hAnsiTheme="minorHAnsi"/>
                <w:noProof/>
                <w:lang w:val="en-US"/>
              </w:rPr>
              <w:tab/>
            </w:r>
            <w:r w:rsidR="00EB3963" w:rsidRPr="005968E8">
              <w:rPr>
                <w:rStyle w:val="Hyperlink"/>
                <w:smallCaps/>
                <w:noProof/>
              </w:rPr>
              <w:t>Introducción</w:t>
            </w:r>
            <w:r w:rsidR="00EB3963">
              <w:rPr>
                <w:noProof/>
                <w:webHidden/>
              </w:rPr>
              <w:tab/>
            </w:r>
            <w:r w:rsidR="00EB3963">
              <w:rPr>
                <w:noProof/>
                <w:webHidden/>
              </w:rPr>
              <w:fldChar w:fldCharType="begin"/>
            </w:r>
            <w:r w:rsidR="00EB3963">
              <w:rPr>
                <w:noProof/>
                <w:webHidden/>
              </w:rPr>
              <w:instrText xml:space="preserve"> PAGEREF _Toc21017051 \h </w:instrText>
            </w:r>
            <w:r w:rsidR="00EB3963">
              <w:rPr>
                <w:noProof/>
                <w:webHidden/>
              </w:rPr>
            </w:r>
            <w:r w:rsidR="00EB3963">
              <w:rPr>
                <w:noProof/>
                <w:webHidden/>
              </w:rPr>
              <w:fldChar w:fldCharType="separate"/>
            </w:r>
            <w:r w:rsidR="00D87B95">
              <w:rPr>
                <w:noProof/>
                <w:webHidden/>
              </w:rPr>
              <w:t>8</w:t>
            </w:r>
            <w:r w:rsidR="00EB3963">
              <w:rPr>
                <w:noProof/>
                <w:webHidden/>
              </w:rPr>
              <w:fldChar w:fldCharType="end"/>
            </w:r>
          </w:hyperlink>
        </w:p>
        <w:p w14:paraId="483E208F" w14:textId="238804DA" w:rsidR="00EB3963" w:rsidRDefault="00405D3E">
          <w:pPr>
            <w:pStyle w:val="TOC1"/>
            <w:rPr>
              <w:rFonts w:asciiTheme="minorHAnsi" w:eastAsiaTheme="minorEastAsia" w:hAnsiTheme="minorHAnsi"/>
              <w:noProof/>
              <w:lang w:val="en-US"/>
            </w:rPr>
          </w:pPr>
          <w:hyperlink w:anchor="_Toc21017052" w:history="1">
            <w:r w:rsidR="00EB3963" w:rsidRPr="005968E8">
              <w:rPr>
                <w:rStyle w:val="Hyperlink"/>
                <w:smallCaps/>
                <w:noProof/>
              </w:rPr>
              <w:t>III.</w:t>
            </w:r>
            <w:r w:rsidR="00EB3963">
              <w:rPr>
                <w:rFonts w:asciiTheme="minorHAnsi" w:eastAsiaTheme="minorEastAsia" w:hAnsiTheme="minorHAnsi"/>
                <w:noProof/>
                <w:lang w:val="en-US"/>
              </w:rPr>
              <w:tab/>
            </w:r>
            <w:r w:rsidR="00EB3963" w:rsidRPr="005968E8">
              <w:rPr>
                <w:rStyle w:val="Hyperlink"/>
                <w:smallCaps/>
                <w:noProof/>
              </w:rPr>
              <w:t>Criterios centrales</w:t>
            </w:r>
            <w:r w:rsidR="00EB3963">
              <w:rPr>
                <w:noProof/>
                <w:webHidden/>
              </w:rPr>
              <w:tab/>
            </w:r>
            <w:r w:rsidR="00EB3963">
              <w:rPr>
                <w:noProof/>
                <w:webHidden/>
              </w:rPr>
              <w:fldChar w:fldCharType="begin"/>
            </w:r>
            <w:r w:rsidR="00EB3963">
              <w:rPr>
                <w:noProof/>
                <w:webHidden/>
              </w:rPr>
              <w:instrText xml:space="preserve"> PAGEREF _Toc21017052 \h </w:instrText>
            </w:r>
            <w:r w:rsidR="00EB3963">
              <w:rPr>
                <w:noProof/>
                <w:webHidden/>
              </w:rPr>
            </w:r>
            <w:r w:rsidR="00EB3963">
              <w:rPr>
                <w:noProof/>
                <w:webHidden/>
              </w:rPr>
              <w:fldChar w:fldCharType="separate"/>
            </w:r>
            <w:r w:rsidR="00D87B95">
              <w:rPr>
                <w:noProof/>
                <w:webHidden/>
              </w:rPr>
              <w:t>10</w:t>
            </w:r>
            <w:r w:rsidR="00EB3963">
              <w:rPr>
                <w:noProof/>
                <w:webHidden/>
              </w:rPr>
              <w:fldChar w:fldCharType="end"/>
            </w:r>
          </w:hyperlink>
        </w:p>
        <w:p w14:paraId="1273DB81" w14:textId="060C82DD" w:rsidR="00EB3963" w:rsidRDefault="00405D3E">
          <w:pPr>
            <w:pStyle w:val="TOC2"/>
            <w:rPr>
              <w:rFonts w:asciiTheme="minorHAnsi" w:eastAsiaTheme="minorEastAsia" w:hAnsiTheme="minorHAnsi" w:cstheme="minorBidi"/>
              <w:b w:val="0"/>
              <w:bCs w:val="0"/>
              <w:lang w:val="en-US"/>
            </w:rPr>
          </w:pPr>
          <w:hyperlink w:anchor="_Toc21017053" w:history="1">
            <w:r w:rsidR="00EB3963" w:rsidRPr="005968E8">
              <w:rPr>
                <w:rStyle w:val="Hyperlink"/>
              </w:rPr>
              <w:t>3.1</w:t>
            </w:r>
            <w:r w:rsidR="00EB3963">
              <w:rPr>
                <w:rFonts w:asciiTheme="minorHAnsi" w:eastAsiaTheme="minorEastAsia" w:hAnsiTheme="minorHAnsi" w:cstheme="minorBidi"/>
                <w:b w:val="0"/>
                <w:bCs w:val="0"/>
                <w:lang w:val="en-US"/>
              </w:rPr>
              <w:tab/>
            </w:r>
            <w:r w:rsidR="00EB3963" w:rsidRPr="005968E8">
              <w:rPr>
                <w:rStyle w:val="Hyperlink"/>
              </w:rPr>
              <w:t>Relevancia</w:t>
            </w:r>
            <w:r w:rsidR="00EB3963">
              <w:rPr>
                <w:webHidden/>
              </w:rPr>
              <w:tab/>
            </w:r>
            <w:r w:rsidR="00EB3963">
              <w:rPr>
                <w:webHidden/>
              </w:rPr>
              <w:fldChar w:fldCharType="begin"/>
            </w:r>
            <w:r w:rsidR="00EB3963">
              <w:rPr>
                <w:webHidden/>
              </w:rPr>
              <w:instrText xml:space="preserve"> PAGEREF _Toc21017053 \h </w:instrText>
            </w:r>
            <w:r w:rsidR="00EB3963">
              <w:rPr>
                <w:webHidden/>
              </w:rPr>
            </w:r>
            <w:r w:rsidR="00EB3963">
              <w:rPr>
                <w:webHidden/>
              </w:rPr>
              <w:fldChar w:fldCharType="separate"/>
            </w:r>
            <w:r w:rsidR="00D87B95">
              <w:rPr>
                <w:webHidden/>
              </w:rPr>
              <w:t>10</w:t>
            </w:r>
            <w:r w:rsidR="00EB3963">
              <w:rPr>
                <w:webHidden/>
              </w:rPr>
              <w:fldChar w:fldCharType="end"/>
            </w:r>
          </w:hyperlink>
        </w:p>
        <w:p w14:paraId="01B89745" w14:textId="41958A07" w:rsidR="00EB3963" w:rsidRDefault="00405D3E">
          <w:pPr>
            <w:pStyle w:val="TOC3"/>
            <w:rPr>
              <w:rFonts w:asciiTheme="minorHAnsi" w:eastAsiaTheme="minorEastAsia" w:hAnsiTheme="minorHAnsi"/>
              <w:noProof/>
              <w:lang w:val="en-US"/>
            </w:rPr>
          </w:pPr>
          <w:hyperlink w:anchor="_Toc21017054" w:history="1">
            <w:r w:rsidR="00EB3963" w:rsidRPr="005968E8">
              <w:rPr>
                <w:rStyle w:val="Hyperlink"/>
                <w:rFonts w:cs="Arial"/>
                <w:b/>
                <w:bCs/>
                <w:noProof/>
              </w:rPr>
              <w:t>a.</w:t>
            </w:r>
            <w:r w:rsidR="00EB3963">
              <w:rPr>
                <w:rFonts w:asciiTheme="minorHAnsi" w:eastAsiaTheme="minorEastAsia" w:hAnsiTheme="minorHAnsi"/>
                <w:noProof/>
                <w:lang w:val="en-US"/>
              </w:rPr>
              <w:tab/>
            </w:r>
            <w:r w:rsidR="00EB3963" w:rsidRPr="005968E8">
              <w:rPr>
                <w:rStyle w:val="Hyperlink"/>
                <w:rFonts w:cs="Arial"/>
                <w:b/>
                <w:bCs/>
                <w:noProof/>
              </w:rPr>
              <w:t>Alineación del Programa con las necesidades de desarrollo del país</w:t>
            </w:r>
            <w:r w:rsidR="00EB3963">
              <w:rPr>
                <w:noProof/>
                <w:webHidden/>
              </w:rPr>
              <w:tab/>
            </w:r>
            <w:r w:rsidR="00EB3963">
              <w:rPr>
                <w:noProof/>
                <w:webHidden/>
              </w:rPr>
              <w:fldChar w:fldCharType="begin"/>
            </w:r>
            <w:r w:rsidR="00EB3963">
              <w:rPr>
                <w:noProof/>
                <w:webHidden/>
              </w:rPr>
              <w:instrText xml:space="preserve"> PAGEREF _Toc21017054 \h </w:instrText>
            </w:r>
            <w:r w:rsidR="00EB3963">
              <w:rPr>
                <w:noProof/>
                <w:webHidden/>
              </w:rPr>
            </w:r>
            <w:r w:rsidR="00EB3963">
              <w:rPr>
                <w:noProof/>
                <w:webHidden/>
              </w:rPr>
              <w:fldChar w:fldCharType="separate"/>
            </w:r>
            <w:r w:rsidR="00D87B95">
              <w:rPr>
                <w:noProof/>
                <w:webHidden/>
              </w:rPr>
              <w:t>11</w:t>
            </w:r>
            <w:r w:rsidR="00EB3963">
              <w:rPr>
                <w:noProof/>
                <w:webHidden/>
              </w:rPr>
              <w:fldChar w:fldCharType="end"/>
            </w:r>
          </w:hyperlink>
        </w:p>
        <w:p w14:paraId="218FD669" w14:textId="5CFE8D99" w:rsidR="00EB3963" w:rsidRDefault="00405D3E">
          <w:pPr>
            <w:pStyle w:val="TOC3"/>
            <w:rPr>
              <w:rFonts w:asciiTheme="minorHAnsi" w:eastAsiaTheme="minorEastAsia" w:hAnsiTheme="minorHAnsi"/>
              <w:noProof/>
              <w:lang w:val="en-US"/>
            </w:rPr>
          </w:pPr>
          <w:hyperlink w:anchor="_Toc21017055" w:history="1">
            <w:r w:rsidR="00EB3963" w:rsidRPr="005968E8">
              <w:rPr>
                <w:rStyle w:val="Hyperlink"/>
                <w:rFonts w:cs="Arial"/>
                <w:b/>
                <w:bCs/>
                <w:noProof/>
              </w:rPr>
              <w:t>b.</w:t>
            </w:r>
            <w:r w:rsidR="00EB3963">
              <w:rPr>
                <w:rFonts w:asciiTheme="minorHAnsi" w:eastAsiaTheme="minorEastAsia" w:hAnsiTheme="minorHAnsi"/>
                <w:noProof/>
                <w:lang w:val="en-US"/>
              </w:rPr>
              <w:tab/>
            </w:r>
            <w:r w:rsidR="00EB3963" w:rsidRPr="005968E8">
              <w:rPr>
                <w:rStyle w:val="Hyperlink"/>
                <w:rFonts w:cs="Arial"/>
                <w:b/>
                <w:bCs/>
                <w:noProof/>
              </w:rPr>
              <w:t>Alineación estratégica</w:t>
            </w:r>
            <w:r w:rsidR="00EB3963">
              <w:rPr>
                <w:noProof/>
                <w:webHidden/>
              </w:rPr>
              <w:tab/>
            </w:r>
            <w:r w:rsidR="00EB3963">
              <w:rPr>
                <w:noProof/>
                <w:webHidden/>
              </w:rPr>
              <w:fldChar w:fldCharType="begin"/>
            </w:r>
            <w:r w:rsidR="00EB3963">
              <w:rPr>
                <w:noProof/>
                <w:webHidden/>
              </w:rPr>
              <w:instrText xml:space="preserve"> PAGEREF _Toc21017055 \h </w:instrText>
            </w:r>
            <w:r w:rsidR="00EB3963">
              <w:rPr>
                <w:noProof/>
                <w:webHidden/>
              </w:rPr>
            </w:r>
            <w:r w:rsidR="00EB3963">
              <w:rPr>
                <w:noProof/>
                <w:webHidden/>
              </w:rPr>
              <w:fldChar w:fldCharType="separate"/>
            </w:r>
            <w:r w:rsidR="00D87B95">
              <w:rPr>
                <w:noProof/>
                <w:webHidden/>
              </w:rPr>
              <w:t>13</w:t>
            </w:r>
            <w:r w:rsidR="00EB3963">
              <w:rPr>
                <w:noProof/>
                <w:webHidden/>
              </w:rPr>
              <w:fldChar w:fldCharType="end"/>
            </w:r>
          </w:hyperlink>
        </w:p>
        <w:p w14:paraId="2621314C" w14:textId="6B9C00E7" w:rsidR="00EB3963" w:rsidRDefault="00405D3E">
          <w:pPr>
            <w:pStyle w:val="TOC3"/>
            <w:rPr>
              <w:rFonts w:asciiTheme="minorHAnsi" w:eastAsiaTheme="minorEastAsia" w:hAnsiTheme="minorHAnsi"/>
              <w:noProof/>
              <w:lang w:val="en-US"/>
            </w:rPr>
          </w:pPr>
          <w:hyperlink w:anchor="_Toc21017056" w:history="1">
            <w:r w:rsidR="00EB3963" w:rsidRPr="005968E8">
              <w:rPr>
                <w:rStyle w:val="Hyperlink"/>
                <w:rFonts w:cs="Arial"/>
                <w:b/>
                <w:bCs/>
                <w:noProof/>
              </w:rPr>
              <w:t>c.</w:t>
            </w:r>
            <w:r w:rsidR="00EB3963">
              <w:rPr>
                <w:rFonts w:asciiTheme="minorHAnsi" w:eastAsiaTheme="minorEastAsia" w:hAnsiTheme="minorHAnsi"/>
                <w:noProof/>
                <w:lang w:val="en-US"/>
              </w:rPr>
              <w:tab/>
            </w:r>
            <w:r w:rsidR="00EB3963" w:rsidRPr="005968E8">
              <w:rPr>
                <w:rStyle w:val="Hyperlink"/>
                <w:rFonts w:cs="Arial"/>
                <w:b/>
                <w:bCs/>
                <w:noProof/>
              </w:rPr>
              <w:t>Relevancia del diseño</w:t>
            </w:r>
            <w:r w:rsidR="00EB3963">
              <w:rPr>
                <w:noProof/>
                <w:webHidden/>
              </w:rPr>
              <w:tab/>
            </w:r>
            <w:r w:rsidR="00EB3963">
              <w:rPr>
                <w:noProof/>
                <w:webHidden/>
              </w:rPr>
              <w:fldChar w:fldCharType="begin"/>
            </w:r>
            <w:r w:rsidR="00EB3963">
              <w:rPr>
                <w:noProof/>
                <w:webHidden/>
              </w:rPr>
              <w:instrText xml:space="preserve"> PAGEREF _Toc21017056 \h </w:instrText>
            </w:r>
            <w:r w:rsidR="00EB3963">
              <w:rPr>
                <w:noProof/>
                <w:webHidden/>
              </w:rPr>
            </w:r>
            <w:r w:rsidR="00EB3963">
              <w:rPr>
                <w:noProof/>
                <w:webHidden/>
              </w:rPr>
              <w:fldChar w:fldCharType="separate"/>
            </w:r>
            <w:r w:rsidR="00D87B95">
              <w:rPr>
                <w:noProof/>
                <w:webHidden/>
              </w:rPr>
              <w:t>14</w:t>
            </w:r>
            <w:r w:rsidR="00EB3963">
              <w:rPr>
                <w:noProof/>
                <w:webHidden/>
              </w:rPr>
              <w:fldChar w:fldCharType="end"/>
            </w:r>
          </w:hyperlink>
        </w:p>
        <w:p w14:paraId="626CEF19" w14:textId="363C9DC9" w:rsidR="00EB3963" w:rsidRDefault="00405D3E">
          <w:pPr>
            <w:pStyle w:val="TOC2"/>
            <w:rPr>
              <w:rFonts w:asciiTheme="minorHAnsi" w:eastAsiaTheme="minorEastAsia" w:hAnsiTheme="minorHAnsi" w:cstheme="minorBidi"/>
              <w:b w:val="0"/>
              <w:bCs w:val="0"/>
              <w:lang w:val="en-US"/>
            </w:rPr>
          </w:pPr>
          <w:hyperlink w:anchor="_Toc21017057" w:history="1">
            <w:r w:rsidR="00EB3963" w:rsidRPr="005968E8">
              <w:rPr>
                <w:rStyle w:val="Hyperlink"/>
                <w:rFonts w:cs="Arial"/>
              </w:rPr>
              <w:t>Gráfico 1 – Lógica vertical a nivel de resultados</w:t>
            </w:r>
            <w:r w:rsidR="00EB3963">
              <w:rPr>
                <w:webHidden/>
              </w:rPr>
              <w:tab/>
            </w:r>
            <w:r w:rsidR="00EB3963">
              <w:rPr>
                <w:webHidden/>
              </w:rPr>
              <w:fldChar w:fldCharType="begin"/>
            </w:r>
            <w:r w:rsidR="00EB3963">
              <w:rPr>
                <w:webHidden/>
              </w:rPr>
              <w:instrText xml:space="preserve"> PAGEREF _Toc21017057 \h </w:instrText>
            </w:r>
            <w:r w:rsidR="00EB3963">
              <w:rPr>
                <w:webHidden/>
              </w:rPr>
            </w:r>
            <w:r w:rsidR="00EB3963">
              <w:rPr>
                <w:webHidden/>
              </w:rPr>
              <w:fldChar w:fldCharType="separate"/>
            </w:r>
            <w:r w:rsidR="00D87B95">
              <w:rPr>
                <w:webHidden/>
              </w:rPr>
              <w:t>15</w:t>
            </w:r>
            <w:r w:rsidR="00EB3963">
              <w:rPr>
                <w:webHidden/>
              </w:rPr>
              <w:fldChar w:fldCharType="end"/>
            </w:r>
          </w:hyperlink>
        </w:p>
        <w:p w14:paraId="081D7EA8" w14:textId="520912E1" w:rsidR="00EB3963" w:rsidRDefault="00405D3E">
          <w:pPr>
            <w:pStyle w:val="TOC2"/>
            <w:rPr>
              <w:rFonts w:asciiTheme="minorHAnsi" w:eastAsiaTheme="minorEastAsia" w:hAnsiTheme="minorHAnsi" w:cstheme="minorBidi"/>
              <w:b w:val="0"/>
              <w:bCs w:val="0"/>
              <w:lang w:val="en-US"/>
            </w:rPr>
          </w:pPr>
          <w:hyperlink w:anchor="_Toc21017058" w:history="1">
            <w:r w:rsidR="00EB3963" w:rsidRPr="005968E8">
              <w:rPr>
                <w:rStyle w:val="Hyperlink"/>
              </w:rPr>
              <w:t>3.2</w:t>
            </w:r>
            <w:r w:rsidR="00EB3963">
              <w:rPr>
                <w:rFonts w:asciiTheme="minorHAnsi" w:eastAsiaTheme="minorEastAsia" w:hAnsiTheme="minorHAnsi" w:cstheme="minorBidi"/>
                <w:b w:val="0"/>
                <w:bCs w:val="0"/>
                <w:lang w:val="en-US"/>
              </w:rPr>
              <w:tab/>
            </w:r>
            <w:r w:rsidR="00EB3963" w:rsidRPr="005968E8">
              <w:rPr>
                <w:rStyle w:val="Hyperlink"/>
              </w:rPr>
              <w:t>Efectividad</w:t>
            </w:r>
            <w:r w:rsidR="00EB3963">
              <w:rPr>
                <w:webHidden/>
              </w:rPr>
              <w:tab/>
            </w:r>
            <w:r w:rsidR="00EB3963">
              <w:rPr>
                <w:webHidden/>
              </w:rPr>
              <w:fldChar w:fldCharType="begin"/>
            </w:r>
            <w:r w:rsidR="00EB3963">
              <w:rPr>
                <w:webHidden/>
              </w:rPr>
              <w:instrText xml:space="preserve"> PAGEREF _Toc21017058 \h </w:instrText>
            </w:r>
            <w:r w:rsidR="00EB3963">
              <w:rPr>
                <w:webHidden/>
              </w:rPr>
            </w:r>
            <w:r w:rsidR="00EB3963">
              <w:rPr>
                <w:webHidden/>
              </w:rPr>
              <w:fldChar w:fldCharType="separate"/>
            </w:r>
            <w:r w:rsidR="00D87B95">
              <w:rPr>
                <w:webHidden/>
              </w:rPr>
              <w:t>16</w:t>
            </w:r>
            <w:r w:rsidR="00EB3963">
              <w:rPr>
                <w:webHidden/>
              </w:rPr>
              <w:fldChar w:fldCharType="end"/>
            </w:r>
          </w:hyperlink>
        </w:p>
        <w:p w14:paraId="6E90AE12" w14:textId="6F1961A2" w:rsidR="00EB3963" w:rsidRDefault="00405D3E">
          <w:pPr>
            <w:pStyle w:val="TOC3"/>
            <w:rPr>
              <w:rFonts w:asciiTheme="minorHAnsi" w:eastAsiaTheme="minorEastAsia" w:hAnsiTheme="minorHAnsi"/>
              <w:noProof/>
              <w:lang w:val="en-US"/>
            </w:rPr>
          </w:pPr>
          <w:hyperlink w:anchor="_Toc21017059" w:history="1">
            <w:r w:rsidR="00EB3963" w:rsidRPr="005968E8">
              <w:rPr>
                <w:rStyle w:val="Hyperlink"/>
                <w:rFonts w:cs="Arial"/>
                <w:b/>
                <w:noProof/>
              </w:rPr>
              <w:t>a.</w:t>
            </w:r>
            <w:r w:rsidR="00EB3963">
              <w:rPr>
                <w:rFonts w:asciiTheme="minorHAnsi" w:eastAsiaTheme="minorEastAsia" w:hAnsiTheme="minorHAnsi"/>
                <w:noProof/>
                <w:lang w:val="en-US"/>
              </w:rPr>
              <w:tab/>
            </w:r>
            <w:r w:rsidR="00EB3963" w:rsidRPr="005968E8">
              <w:rPr>
                <w:rStyle w:val="Hyperlink"/>
                <w:rFonts w:cs="Arial"/>
                <w:b/>
                <w:noProof/>
              </w:rPr>
              <w:t>Descripción de los objetivos de desarrollo del Programa</w:t>
            </w:r>
            <w:r w:rsidR="00EB3963">
              <w:rPr>
                <w:noProof/>
                <w:webHidden/>
              </w:rPr>
              <w:tab/>
            </w:r>
            <w:r w:rsidR="00EB3963">
              <w:rPr>
                <w:noProof/>
                <w:webHidden/>
              </w:rPr>
              <w:fldChar w:fldCharType="begin"/>
            </w:r>
            <w:r w:rsidR="00EB3963">
              <w:rPr>
                <w:noProof/>
                <w:webHidden/>
              </w:rPr>
              <w:instrText xml:space="preserve"> PAGEREF _Toc21017059 \h </w:instrText>
            </w:r>
            <w:r w:rsidR="00EB3963">
              <w:rPr>
                <w:noProof/>
                <w:webHidden/>
              </w:rPr>
            </w:r>
            <w:r w:rsidR="00EB3963">
              <w:rPr>
                <w:noProof/>
                <w:webHidden/>
              </w:rPr>
              <w:fldChar w:fldCharType="separate"/>
            </w:r>
            <w:r w:rsidR="00D87B95">
              <w:rPr>
                <w:noProof/>
                <w:webHidden/>
              </w:rPr>
              <w:t>16</w:t>
            </w:r>
            <w:r w:rsidR="00EB3963">
              <w:rPr>
                <w:noProof/>
                <w:webHidden/>
              </w:rPr>
              <w:fldChar w:fldCharType="end"/>
            </w:r>
          </w:hyperlink>
        </w:p>
        <w:p w14:paraId="3F72EDD6" w14:textId="52F66990" w:rsidR="00EB3963" w:rsidRDefault="00405D3E">
          <w:pPr>
            <w:pStyle w:val="TOC3"/>
            <w:rPr>
              <w:rFonts w:asciiTheme="minorHAnsi" w:eastAsiaTheme="minorEastAsia" w:hAnsiTheme="minorHAnsi"/>
              <w:noProof/>
              <w:lang w:val="en-US"/>
            </w:rPr>
          </w:pPr>
          <w:hyperlink w:anchor="_Toc21017060" w:history="1">
            <w:r w:rsidR="00EB3963" w:rsidRPr="005968E8">
              <w:rPr>
                <w:rStyle w:val="Hyperlink"/>
                <w:rFonts w:cs="Arial"/>
                <w:b/>
                <w:noProof/>
              </w:rPr>
              <w:t>b.</w:t>
            </w:r>
            <w:r w:rsidR="00EB3963">
              <w:rPr>
                <w:rFonts w:asciiTheme="minorHAnsi" w:eastAsiaTheme="minorEastAsia" w:hAnsiTheme="minorHAnsi"/>
                <w:noProof/>
                <w:lang w:val="en-US"/>
              </w:rPr>
              <w:tab/>
            </w:r>
            <w:r w:rsidR="00EB3963" w:rsidRPr="005968E8">
              <w:rPr>
                <w:rStyle w:val="Hyperlink"/>
                <w:rFonts w:cs="Arial"/>
                <w:b/>
                <w:noProof/>
              </w:rPr>
              <w:t>Resultados alcanzados</w:t>
            </w:r>
            <w:r w:rsidR="00EB3963">
              <w:rPr>
                <w:noProof/>
                <w:webHidden/>
              </w:rPr>
              <w:tab/>
            </w:r>
            <w:r w:rsidR="00EB3963">
              <w:rPr>
                <w:noProof/>
                <w:webHidden/>
              </w:rPr>
              <w:fldChar w:fldCharType="begin"/>
            </w:r>
            <w:r w:rsidR="00EB3963">
              <w:rPr>
                <w:noProof/>
                <w:webHidden/>
              </w:rPr>
              <w:instrText xml:space="preserve"> PAGEREF _Toc21017060 \h </w:instrText>
            </w:r>
            <w:r w:rsidR="00EB3963">
              <w:rPr>
                <w:noProof/>
                <w:webHidden/>
              </w:rPr>
            </w:r>
            <w:r w:rsidR="00EB3963">
              <w:rPr>
                <w:noProof/>
                <w:webHidden/>
              </w:rPr>
              <w:fldChar w:fldCharType="separate"/>
            </w:r>
            <w:r w:rsidR="00D87B95">
              <w:rPr>
                <w:noProof/>
                <w:webHidden/>
              </w:rPr>
              <w:t>16</w:t>
            </w:r>
            <w:r w:rsidR="00EB3963">
              <w:rPr>
                <w:noProof/>
                <w:webHidden/>
              </w:rPr>
              <w:fldChar w:fldCharType="end"/>
            </w:r>
          </w:hyperlink>
        </w:p>
        <w:p w14:paraId="371B09FA" w14:textId="7C080CC1" w:rsidR="00EB3963" w:rsidRDefault="00405D3E">
          <w:pPr>
            <w:pStyle w:val="TOC3"/>
            <w:rPr>
              <w:rFonts w:asciiTheme="minorHAnsi" w:eastAsiaTheme="minorEastAsia" w:hAnsiTheme="minorHAnsi"/>
              <w:noProof/>
              <w:lang w:val="en-US"/>
            </w:rPr>
          </w:pPr>
          <w:hyperlink w:anchor="_Toc21017061" w:history="1">
            <w:r w:rsidR="00EB3963" w:rsidRPr="005968E8">
              <w:rPr>
                <w:rStyle w:val="Hyperlink"/>
                <w:rFonts w:cs="Arial"/>
                <w:b/>
                <w:noProof/>
              </w:rPr>
              <w:t>c.</w:t>
            </w:r>
            <w:r w:rsidR="00EB3963">
              <w:rPr>
                <w:rFonts w:asciiTheme="minorHAnsi" w:eastAsiaTheme="minorEastAsia" w:hAnsiTheme="minorHAnsi"/>
                <w:noProof/>
                <w:lang w:val="en-US"/>
              </w:rPr>
              <w:tab/>
            </w:r>
            <w:r w:rsidR="00EB3963" w:rsidRPr="005968E8">
              <w:rPr>
                <w:rStyle w:val="Hyperlink"/>
                <w:rFonts w:cs="Arial"/>
                <w:b/>
                <w:noProof/>
              </w:rPr>
              <w:t>Análisis contrafactual</w:t>
            </w:r>
            <w:r w:rsidR="00EB3963">
              <w:rPr>
                <w:noProof/>
                <w:webHidden/>
              </w:rPr>
              <w:tab/>
            </w:r>
            <w:r w:rsidR="00EB3963">
              <w:rPr>
                <w:noProof/>
                <w:webHidden/>
              </w:rPr>
              <w:fldChar w:fldCharType="begin"/>
            </w:r>
            <w:r w:rsidR="00EB3963">
              <w:rPr>
                <w:noProof/>
                <w:webHidden/>
              </w:rPr>
              <w:instrText xml:space="preserve"> PAGEREF _Toc21017061 \h </w:instrText>
            </w:r>
            <w:r w:rsidR="00EB3963">
              <w:rPr>
                <w:noProof/>
                <w:webHidden/>
              </w:rPr>
            </w:r>
            <w:r w:rsidR="00EB3963">
              <w:rPr>
                <w:noProof/>
                <w:webHidden/>
              </w:rPr>
              <w:fldChar w:fldCharType="separate"/>
            </w:r>
            <w:r w:rsidR="00D87B95">
              <w:rPr>
                <w:noProof/>
                <w:webHidden/>
              </w:rPr>
              <w:t>20</w:t>
            </w:r>
            <w:r w:rsidR="00EB3963">
              <w:rPr>
                <w:noProof/>
                <w:webHidden/>
              </w:rPr>
              <w:fldChar w:fldCharType="end"/>
            </w:r>
          </w:hyperlink>
        </w:p>
        <w:p w14:paraId="235A907E" w14:textId="79A2FBEE" w:rsidR="00EB3963" w:rsidRDefault="00405D3E">
          <w:pPr>
            <w:pStyle w:val="TOC3"/>
            <w:rPr>
              <w:rFonts w:asciiTheme="minorHAnsi" w:eastAsiaTheme="minorEastAsia" w:hAnsiTheme="minorHAnsi"/>
              <w:noProof/>
              <w:lang w:val="en-US"/>
            </w:rPr>
          </w:pPr>
          <w:hyperlink w:anchor="_Toc21017062" w:history="1">
            <w:r w:rsidR="00EB3963" w:rsidRPr="005968E8">
              <w:rPr>
                <w:rStyle w:val="Hyperlink"/>
                <w:rFonts w:cs="Arial"/>
                <w:b/>
                <w:noProof/>
              </w:rPr>
              <w:t>d.</w:t>
            </w:r>
            <w:r w:rsidR="00EB3963">
              <w:rPr>
                <w:rFonts w:asciiTheme="minorHAnsi" w:eastAsiaTheme="minorEastAsia" w:hAnsiTheme="minorHAnsi"/>
                <w:noProof/>
                <w:lang w:val="en-US"/>
              </w:rPr>
              <w:tab/>
            </w:r>
            <w:r w:rsidR="00EB3963" w:rsidRPr="005968E8">
              <w:rPr>
                <w:rStyle w:val="Hyperlink"/>
                <w:rFonts w:cs="Arial"/>
                <w:b/>
                <w:noProof/>
              </w:rPr>
              <w:t>Resultados imprevistos</w:t>
            </w:r>
            <w:r w:rsidR="00EB3963">
              <w:rPr>
                <w:noProof/>
                <w:webHidden/>
              </w:rPr>
              <w:tab/>
            </w:r>
            <w:r w:rsidR="00EB3963">
              <w:rPr>
                <w:noProof/>
                <w:webHidden/>
              </w:rPr>
              <w:fldChar w:fldCharType="begin"/>
            </w:r>
            <w:r w:rsidR="00EB3963">
              <w:rPr>
                <w:noProof/>
                <w:webHidden/>
              </w:rPr>
              <w:instrText xml:space="preserve"> PAGEREF _Toc21017062 \h </w:instrText>
            </w:r>
            <w:r w:rsidR="00EB3963">
              <w:rPr>
                <w:noProof/>
                <w:webHidden/>
              </w:rPr>
            </w:r>
            <w:r w:rsidR="00EB3963">
              <w:rPr>
                <w:noProof/>
                <w:webHidden/>
              </w:rPr>
              <w:fldChar w:fldCharType="separate"/>
            </w:r>
            <w:r w:rsidR="00D87B95">
              <w:rPr>
                <w:noProof/>
                <w:webHidden/>
              </w:rPr>
              <w:t>21</w:t>
            </w:r>
            <w:r w:rsidR="00EB3963">
              <w:rPr>
                <w:noProof/>
                <w:webHidden/>
              </w:rPr>
              <w:fldChar w:fldCharType="end"/>
            </w:r>
          </w:hyperlink>
        </w:p>
        <w:p w14:paraId="6465EEFD" w14:textId="4E75BF28" w:rsidR="00EB3963" w:rsidRDefault="00405D3E">
          <w:pPr>
            <w:pStyle w:val="TOC2"/>
            <w:rPr>
              <w:rFonts w:asciiTheme="minorHAnsi" w:eastAsiaTheme="minorEastAsia" w:hAnsiTheme="minorHAnsi" w:cstheme="minorBidi"/>
              <w:b w:val="0"/>
              <w:bCs w:val="0"/>
              <w:lang w:val="en-US"/>
            </w:rPr>
          </w:pPr>
          <w:hyperlink w:anchor="_Toc21017063" w:history="1">
            <w:r w:rsidR="00EB3963" w:rsidRPr="005968E8">
              <w:rPr>
                <w:rStyle w:val="Hyperlink"/>
              </w:rPr>
              <w:t>3.3</w:t>
            </w:r>
            <w:r w:rsidR="00EB3963">
              <w:rPr>
                <w:rFonts w:asciiTheme="minorHAnsi" w:eastAsiaTheme="minorEastAsia" w:hAnsiTheme="minorHAnsi" w:cstheme="minorBidi"/>
                <w:b w:val="0"/>
                <w:bCs w:val="0"/>
                <w:lang w:val="en-US"/>
              </w:rPr>
              <w:tab/>
            </w:r>
            <w:r w:rsidR="00EB3963" w:rsidRPr="005968E8">
              <w:rPr>
                <w:rStyle w:val="Hyperlink"/>
              </w:rPr>
              <w:t>Eficiencia</w:t>
            </w:r>
            <w:r w:rsidR="00EB3963">
              <w:rPr>
                <w:webHidden/>
              </w:rPr>
              <w:tab/>
            </w:r>
            <w:r w:rsidR="00EB3963">
              <w:rPr>
                <w:webHidden/>
              </w:rPr>
              <w:fldChar w:fldCharType="begin"/>
            </w:r>
            <w:r w:rsidR="00EB3963">
              <w:rPr>
                <w:webHidden/>
              </w:rPr>
              <w:instrText xml:space="preserve"> PAGEREF _Toc21017063 \h </w:instrText>
            </w:r>
            <w:r w:rsidR="00EB3963">
              <w:rPr>
                <w:webHidden/>
              </w:rPr>
            </w:r>
            <w:r w:rsidR="00EB3963">
              <w:rPr>
                <w:webHidden/>
              </w:rPr>
              <w:fldChar w:fldCharType="separate"/>
            </w:r>
            <w:r w:rsidR="00D87B95">
              <w:rPr>
                <w:webHidden/>
              </w:rPr>
              <w:t>21</w:t>
            </w:r>
            <w:r w:rsidR="00EB3963">
              <w:rPr>
                <w:webHidden/>
              </w:rPr>
              <w:fldChar w:fldCharType="end"/>
            </w:r>
          </w:hyperlink>
        </w:p>
        <w:p w14:paraId="358E491C" w14:textId="477671CE" w:rsidR="00EB3963" w:rsidRDefault="00405D3E">
          <w:pPr>
            <w:pStyle w:val="TOC2"/>
            <w:rPr>
              <w:rFonts w:asciiTheme="minorHAnsi" w:eastAsiaTheme="minorEastAsia" w:hAnsiTheme="minorHAnsi" w:cstheme="minorBidi"/>
              <w:b w:val="0"/>
              <w:bCs w:val="0"/>
              <w:lang w:val="en-US"/>
            </w:rPr>
          </w:pPr>
          <w:hyperlink w:anchor="_Toc21017064" w:history="1">
            <w:r w:rsidR="00EB3963" w:rsidRPr="005968E8">
              <w:rPr>
                <w:rStyle w:val="Hyperlink"/>
              </w:rPr>
              <w:t>3.4</w:t>
            </w:r>
            <w:r w:rsidR="00EB3963">
              <w:rPr>
                <w:rFonts w:asciiTheme="minorHAnsi" w:eastAsiaTheme="minorEastAsia" w:hAnsiTheme="minorHAnsi" w:cstheme="minorBidi"/>
                <w:b w:val="0"/>
                <w:bCs w:val="0"/>
                <w:lang w:val="en-US"/>
              </w:rPr>
              <w:tab/>
            </w:r>
            <w:r w:rsidR="00EB3963" w:rsidRPr="005968E8">
              <w:rPr>
                <w:rStyle w:val="Hyperlink"/>
              </w:rPr>
              <w:t>Sostenibilidad</w:t>
            </w:r>
            <w:r w:rsidR="00EB3963">
              <w:rPr>
                <w:webHidden/>
              </w:rPr>
              <w:tab/>
            </w:r>
            <w:r w:rsidR="00EB3963">
              <w:rPr>
                <w:webHidden/>
              </w:rPr>
              <w:fldChar w:fldCharType="begin"/>
            </w:r>
            <w:r w:rsidR="00EB3963">
              <w:rPr>
                <w:webHidden/>
              </w:rPr>
              <w:instrText xml:space="preserve"> PAGEREF _Toc21017064 \h </w:instrText>
            </w:r>
            <w:r w:rsidR="00EB3963">
              <w:rPr>
                <w:webHidden/>
              </w:rPr>
            </w:r>
            <w:r w:rsidR="00EB3963">
              <w:rPr>
                <w:webHidden/>
              </w:rPr>
              <w:fldChar w:fldCharType="separate"/>
            </w:r>
            <w:r w:rsidR="00D87B95">
              <w:rPr>
                <w:webHidden/>
              </w:rPr>
              <w:t>24</w:t>
            </w:r>
            <w:r w:rsidR="00EB3963">
              <w:rPr>
                <w:webHidden/>
              </w:rPr>
              <w:fldChar w:fldCharType="end"/>
            </w:r>
          </w:hyperlink>
        </w:p>
        <w:p w14:paraId="2E9791E9" w14:textId="51182E4C" w:rsidR="00EB3963" w:rsidRDefault="00405D3E">
          <w:pPr>
            <w:pStyle w:val="TOC3"/>
            <w:rPr>
              <w:rFonts w:asciiTheme="minorHAnsi" w:eastAsiaTheme="minorEastAsia" w:hAnsiTheme="minorHAnsi"/>
              <w:noProof/>
              <w:lang w:val="en-US"/>
            </w:rPr>
          </w:pPr>
          <w:hyperlink w:anchor="_Toc21017065" w:history="1">
            <w:r w:rsidR="00EB3963" w:rsidRPr="005968E8">
              <w:rPr>
                <w:rStyle w:val="Hyperlink"/>
                <w:rFonts w:cs="Arial"/>
                <w:b/>
                <w:noProof/>
              </w:rPr>
              <w:t>a.</w:t>
            </w:r>
            <w:r w:rsidR="00EB3963">
              <w:rPr>
                <w:rFonts w:asciiTheme="minorHAnsi" w:eastAsiaTheme="minorEastAsia" w:hAnsiTheme="minorHAnsi"/>
                <w:noProof/>
                <w:lang w:val="en-US"/>
              </w:rPr>
              <w:tab/>
            </w:r>
            <w:r w:rsidR="00EB3963" w:rsidRPr="005968E8">
              <w:rPr>
                <w:rStyle w:val="Hyperlink"/>
                <w:rFonts w:cs="Arial"/>
                <w:b/>
                <w:noProof/>
              </w:rPr>
              <w:t>Aspectos generales de la sostenibilidad</w:t>
            </w:r>
            <w:r w:rsidR="00EB3963">
              <w:rPr>
                <w:noProof/>
                <w:webHidden/>
              </w:rPr>
              <w:tab/>
            </w:r>
            <w:r w:rsidR="00EB3963">
              <w:rPr>
                <w:noProof/>
                <w:webHidden/>
              </w:rPr>
              <w:fldChar w:fldCharType="begin"/>
            </w:r>
            <w:r w:rsidR="00EB3963">
              <w:rPr>
                <w:noProof/>
                <w:webHidden/>
              </w:rPr>
              <w:instrText xml:space="preserve"> PAGEREF _Toc21017065 \h </w:instrText>
            </w:r>
            <w:r w:rsidR="00EB3963">
              <w:rPr>
                <w:noProof/>
                <w:webHidden/>
              </w:rPr>
            </w:r>
            <w:r w:rsidR="00EB3963">
              <w:rPr>
                <w:noProof/>
                <w:webHidden/>
              </w:rPr>
              <w:fldChar w:fldCharType="separate"/>
            </w:r>
            <w:r w:rsidR="00D87B95">
              <w:rPr>
                <w:noProof/>
                <w:webHidden/>
              </w:rPr>
              <w:t>24</w:t>
            </w:r>
            <w:r w:rsidR="00EB3963">
              <w:rPr>
                <w:noProof/>
                <w:webHidden/>
              </w:rPr>
              <w:fldChar w:fldCharType="end"/>
            </w:r>
          </w:hyperlink>
        </w:p>
        <w:p w14:paraId="07C57037" w14:textId="671CAFB8" w:rsidR="00EB3963" w:rsidRDefault="00405D3E">
          <w:pPr>
            <w:pStyle w:val="TOC3"/>
            <w:rPr>
              <w:rFonts w:asciiTheme="minorHAnsi" w:eastAsiaTheme="minorEastAsia" w:hAnsiTheme="minorHAnsi"/>
              <w:noProof/>
              <w:lang w:val="en-US"/>
            </w:rPr>
          </w:pPr>
          <w:hyperlink w:anchor="_Toc21017066" w:history="1">
            <w:r w:rsidR="00EB3963" w:rsidRPr="005968E8">
              <w:rPr>
                <w:rStyle w:val="Hyperlink"/>
                <w:rFonts w:cs="Arial"/>
                <w:b/>
                <w:noProof/>
              </w:rPr>
              <w:t>b.</w:t>
            </w:r>
            <w:r w:rsidR="00EB3963">
              <w:rPr>
                <w:rFonts w:asciiTheme="minorHAnsi" w:eastAsiaTheme="minorEastAsia" w:hAnsiTheme="minorHAnsi"/>
                <w:noProof/>
                <w:lang w:val="en-US"/>
              </w:rPr>
              <w:tab/>
            </w:r>
            <w:r w:rsidR="00EB3963" w:rsidRPr="005968E8">
              <w:rPr>
                <w:rStyle w:val="Hyperlink"/>
                <w:rFonts w:cs="Arial"/>
                <w:b/>
                <w:noProof/>
              </w:rPr>
              <w:t>Salvaguardias ambientales y sociales</w:t>
            </w:r>
            <w:r w:rsidR="00EB3963">
              <w:rPr>
                <w:noProof/>
                <w:webHidden/>
              </w:rPr>
              <w:tab/>
            </w:r>
            <w:r w:rsidR="00EB3963">
              <w:rPr>
                <w:noProof/>
                <w:webHidden/>
              </w:rPr>
              <w:fldChar w:fldCharType="begin"/>
            </w:r>
            <w:r w:rsidR="00EB3963">
              <w:rPr>
                <w:noProof/>
                <w:webHidden/>
              </w:rPr>
              <w:instrText xml:space="preserve"> PAGEREF _Toc21017066 \h </w:instrText>
            </w:r>
            <w:r w:rsidR="00EB3963">
              <w:rPr>
                <w:noProof/>
                <w:webHidden/>
              </w:rPr>
            </w:r>
            <w:r w:rsidR="00EB3963">
              <w:rPr>
                <w:noProof/>
                <w:webHidden/>
              </w:rPr>
              <w:fldChar w:fldCharType="separate"/>
            </w:r>
            <w:r w:rsidR="00D87B95">
              <w:rPr>
                <w:noProof/>
                <w:webHidden/>
              </w:rPr>
              <w:t>24</w:t>
            </w:r>
            <w:r w:rsidR="00EB3963">
              <w:rPr>
                <w:noProof/>
                <w:webHidden/>
              </w:rPr>
              <w:fldChar w:fldCharType="end"/>
            </w:r>
          </w:hyperlink>
        </w:p>
        <w:p w14:paraId="3C6E95EB" w14:textId="2F59CE6F" w:rsidR="00EB3963" w:rsidRDefault="00405D3E">
          <w:pPr>
            <w:pStyle w:val="TOC2"/>
            <w:rPr>
              <w:rFonts w:asciiTheme="minorHAnsi" w:eastAsiaTheme="minorEastAsia" w:hAnsiTheme="minorHAnsi" w:cstheme="minorBidi"/>
              <w:b w:val="0"/>
              <w:bCs w:val="0"/>
              <w:lang w:val="en-US"/>
            </w:rPr>
          </w:pPr>
          <w:hyperlink w:anchor="_Toc21017067" w:history="1">
            <w:r w:rsidR="00EB3963" w:rsidRPr="005968E8">
              <w:rPr>
                <w:rStyle w:val="Hyperlink"/>
              </w:rPr>
              <w:t>3.5</w:t>
            </w:r>
            <w:r w:rsidR="00EB3963">
              <w:rPr>
                <w:rFonts w:asciiTheme="minorHAnsi" w:eastAsiaTheme="minorEastAsia" w:hAnsiTheme="minorHAnsi" w:cstheme="minorBidi"/>
                <w:b w:val="0"/>
                <w:bCs w:val="0"/>
                <w:lang w:val="en-US"/>
              </w:rPr>
              <w:tab/>
            </w:r>
            <w:r w:rsidR="00EB3963" w:rsidRPr="005968E8">
              <w:rPr>
                <w:rStyle w:val="Hyperlink"/>
              </w:rPr>
              <w:t>Clasificación total</w:t>
            </w:r>
            <w:r w:rsidR="00EB3963">
              <w:rPr>
                <w:webHidden/>
              </w:rPr>
              <w:tab/>
            </w:r>
            <w:r w:rsidR="00EB3963">
              <w:rPr>
                <w:webHidden/>
              </w:rPr>
              <w:fldChar w:fldCharType="begin"/>
            </w:r>
            <w:r w:rsidR="00EB3963">
              <w:rPr>
                <w:webHidden/>
              </w:rPr>
              <w:instrText xml:space="preserve"> PAGEREF _Toc21017067 \h </w:instrText>
            </w:r>
            <w:r w:rsidR="00EB3963">
              <w:rPr>
                <w:webHidden/>
              </w:rPr>
            </w:r>
            <w:r w:rsidR="00EB3963">
              <w:rPr>
                <w:webHidden/>
              </w:rPr>
              <w:fldChar w:fldCharType="separate"/>
            </w:r>
            <w:r w:rsidR="00D87B95">
              <w:rPr>
                <w:webHidden/>
              </w:rPr>
              <w:t>24</w:t>
            </w:r>
            <w:r w:rsidR="00EB3963">
              <w:rPr>
                <w:webHidden/>
              </w:rPr>
              <w:fldChar w:fldCharType="end"/>
            </w:r>
          </w:hyperlink>
        </w:p>
        <w:p w14:paraId="797A2B17" w14:textId="7F4603E5" w:rsidR="00EB3963" w:rsidRDefault="00405D3E">
          <w:pPr>
            <w:pStyle w:val="TOC1"/>
            <w:rPr>
              <w:rFonts w:asciiTheme="minorHAnsi" w:eastAsiaTheme="minorEastAsia" w:hAnsiTheme="minorHAnsi"/>
              <w:noProof/>
              <w:lang w:val="en-US"/>
            </w:rPr>
          </w:pPr>
          <w:hyperlink w:anchor="_Toc21017068" w:history="1">
            <w:r w:rsidR="00EB3963" w:rsidRPr="005968E8">
              <w:rPr>
                <w:rStyle w:val="Hyperlink"/>
                <w:smallCaps/>
                <w:noProof/>
              </w:rPr>
              <w:t>IV.</w:t>
            </w:r>
            <w:r w:rsidR="00EB3963">
              <w:rPr>
                <w:rFonts w:asciiTheme="minorHAnsi" w:eastAsiaTheme="minorEastAsia" w:hAnsiTheme="minorHAnsi"/>
                <w:noProof/>
                <w:lang w:val="en-US"/>
              </w:rPr>
              <w:tab/>
            </w:r>
            <w:r w:rsidR="00EB3963" w:rsidRPr="005968E8">
              <w:rPr>
                <w:rStyle w:val="Hyperlink"/>
                <w:smallCaps/>
                <w:noProof/>
              </w:rPr>
              <w:t>Criterios no centrales</w:t>
            </w:r>
            <w:r w:rsidR="00EB3963">
              <w:rPr>
                <w:noProof/>
                <w:webHidden/>
              </w:rPr>
              <w:tab/>
            </w:r>
            <w:r w:rsidR="00EB3963">
              <w:rPr>
                <w:noProof/>
                <w:webHidden/>
              </w:rPr>
              <w:fldChar w:fldCharType="begin"/>
            </w:r>
            <w:r w:rsidR="00EB3963">
              <w:rPr>
                <w:noProof/>
                <w:webHidden/>
              </w:rPr>
              <w:instrText xml:space="preserve"> PAGEREF _Toc21017068 \h </w:instrText>
            </w:r>
            <w:r w:rsidR="00EB3963">
              <w:rPr>
                <w:noProof/>
                <w:webHidden/>
              </w:rPr>
            </w:r>
            <w:r w:rsidR="00EB3963">
              <w:rPr>
                <w:noProof/>
                <w:webHidden/>
              </w:rPr>
              <w:fldChar w:fldCharType="separate"/>
            </w:r>
            <w:r w:rsidR="00D87B95">
              <w:rPr>
                <w:noProof/>
                <w:webHidden/>
              </w:rPr>
              <w:t>25</w:t>
            </w:r>
            <w:r w:rsidR="00EB3963">
              <w:rPr>
                <w:noProof/>
                <w:webHidden/>
              </w:rPr>
              <w:fldChar w:fldCharType="end"/>
            </w:r>
          </w:hyperlink>
        </w:p>
        <w:p w14:paraId="5ED3FF93" w14:textId="5CCC7913" w:rsidR="00EB3963" w:rsidRDefault="00405D3E">
          <w:pPr>
            <w:pStyle w:val="TOC2"/>
            <w:rPr>
              <w:rFonts w:asciiTheme="minorHAnsi" w:eastAsiaTheme="minorEastAsia" w:hAnsiTheme="minorHAnsi" w:cstheme="minorBidi"/>
              <w:b w:val="0"/>
              <w:bCs w:val="0"/>
              <w:lang w:val="en-US"/>
            </w:rPr>
          </w:pPr>
          <w:hyperlink w:anchor="_Toc21017069" w:history="1">
            <w:r w:rsidR="00EB3963" w:rsidRPr="005968E8">
              <w:rPr>
                <w:rStyle w:val="Hyperlink"/>
                <w:rFonts w:cs="Arial"/>
              </w:rPr>
              <w:t>4.1</w:t>
            </w:r>
            <w:r w:rsidR="00EB3963">
              <w:rPr>
                <w:rFonts w:asciiTheme="minorHAnsi" w:eastAsiaTheme="minorEastAsia" w:hAnsiTheme="minorHAnsi" w:cstheme="minorBidi"/>
                <w:b w:val="0"/>
                <w:bCs w:val="0"/>
                <w:lang w:val="en-US"/>
              </w:rPr>
              <w:tab/>
            </w:r>
            <w:r w:rsidR="00EB3963" w:rsidRPr="005968E8">
              <w:rPr>
                <w:rStyle w:val="Hyperlink"/>
                <w:rFonts w:cs="Arial"/>
              </w:rPr>
              <w:t>Desempeño del Banco</w:t>
            </w:r>
            <w:r w:rsidR="00EB3963">
              <w:rPr>
                <w:webHidden/>
              </w:rPr>
              <w:tab/>
            </w:r>
            <w:r w:rsidR="00EB3963">
              <w:rPr>
                <w:webHidden/>
              </w:rPr>
              <w:fldChar w:fldCharType="begin"/>
            </w:r>
            <w:r w:rsidR="00EB3963">
              <w:rPr>
                <w:webHidden/>
              </w:rPr>
              <w:instrText xml:space="preserve"> PAGEREF _Toc21017069 \h </w:instrText>
            </w:r>
            <w:r w:rsidR="00EB3963">
              <w:rPr>
                <w:webHidden/>
              </w:rPr>
            </w:r>
            <w:r w:rsidR="00EB3963">
              <w:rPr>
                <w:webHidden/>
              </w:rPr>
              <w:fldChar w:fldCharType="separate"/>
            </w:r>
            <w:r w:rsidR="00D87B95">
              <w:rPr>
                <w:webHidden/>
              </w:rPr>
              <w:t>25</w:t>
            </w:r>
            <w:r w:rsidR="00EB3963">
              <w:rPr>
                <w:webHidden/>
              </w:rPr>
              <w:fldChar w:fldCharType="end"/>
            </w:r>
          </w:hyperlink>
        </w:p>
        <w:p w14:paraId="06008BBD" w14:textId="5F53BCBC" w:rsidR="00EB3963" w:rsidRDefault="00405D3E">
          <w:pPr>
            <w:pStyle w:val="TOC2"/>
            <w:rPr>
              <w:rFonts w:asciiTheme="minorHAnsi" w:eastAsiaTheme="minorEastAsia" w:hAnsiTheme="minorHAnsi" w:cstheme="minorBidi"/>
              <w:b w:val="0"/>
              <w:bCs w:val="0"/>
              <w:lang w:val="en-US"/>
            </w:rPr>
          </w:pPr>
          <w:hyperlink w:anchor="_Toc21017070" w:history="1">
            <w:r w:rsidR="00EB3963" w:rsidRPr="005968E8">
              <w:rPr>
                <w:rStyle w:val="Hyperlink"/>
                <w:rFonts w:cs="Arial"/>
              </w:rPr>
              <w:t>4.1</w:t>
            </w:r>
            <w:r w:rsidR="00EB3963">
              <w:rPr>
                <w:rFonts w:asciiTheme="minorHAnsi" w:eastAsiaTheme="minorEastAsia" w:hAnsiTheme="minorHAnsi" w:cstheme="minorBidi"/>
                <w:b w:val="0"/>
                <w:bCs w:val="0"/>
                <w:lang w:val="en-US"/>
              </w:rPr>
              <w:tab/>
            </w:r>
            <w:r w:rsidR="00EB3963" w:rsidRPr="005968E8">
              <w:rPr>
                <w:rStyle w:val="Hyperlink"/>
                <w:rFonts w:cs="Arial"/>
              </w:rPr>
              <w:t>Desempeño del Organismo Ejecutor</w:t>
            </w:r>
            <w:r w:rsidR="00EB3963">
              <w:rPr>
                <w:webHidden/>
              </w:rPr>
              <w:tab/>
            </w:r>
            <w:r w:rsidR="00EB3963">
              <w:rPr>
                <w:webHidden/>
              </w:rPr>
              <w:fldChar w:fldCharType="begin"/>
            </w:r>
            <w:r w:rsidR="00EB3963">
              <w:rPr>
                <w:webHidden/>
              </w:rPr>
              <w:instrText xml:space="preserve"> PAGEREF _Toc21017070 \h </w:instrText>
            </w:r>
            <w:r w:rsidR="00EB3963">
              <w:rPr>
                <w:webHidden/>
              </w:rPr>
            </w:r>
            <w:r w:rsidR="00EB3963">
              <w:rPr>
                <w:webHidden/>
              </w:rPr>
              <w:fldChar w:fldCharType="separate"/>
            </w:r>
            <w:r w:rsidR="00D87B95">
              <w:rPr>
                <w:webHidden/>
              </w:rPr>
              <w:t>26</w:t>
            </w:r>
            <w:r w:rsidR="00EB3963">
              <w:rPr>
                <w:webHidden/>
              </w:rPr>
              <w:fldChar w:fldCharType="end"/>
            </w:r>
          </w:hyperlink>
        </w:p>
        <w:p w14:paraId="5DFD8343" w14:textId="7FE06971" w:rsidR="00EB3963" w:rsidRDefault="00405D3E">
          <w:pPr>
            <w:pStyle w:val="TOC1"/>
            <w:rPr>
              <w:rFonts w:asciiTheme="minorHAnsi" w:eastAsiaTheme="minorEastAsia" w:hAnsiTheme="minorHAnsi"/>
              <w:noProof/>
              <w:lang w:val="en-US"/>
            </w:rPr>
          </w:pPr>
          <w:hyperlink w:anchor="_Toc21017071" w:history="1">
            <w:r w:rsidR="00EB3963" w:rsidRPr="005968E8">
              <w:rPr>
                <w:rStyle w:val="Hyperlink"/>
                <w:smallCaps/>
                <w:noProof/>
              </w:rPr>
              <w:t>V.</w:t>
            </w:r>
            <w:r w:rsidR="00EB3963">
              <w:rPr>
                <w:rFonts w:asciiTheme="minorHAnsi" w:eastAsiaTheme="minorEastAsia" w:hAnsiTheme="minorHAnsi"/>
                <w:noProof/>
                <w:lang w:val="en-US"/>
              </w:rPr>
              <w:tab/>
            </w:r>
            <w:r w:rsidR="00EB3963" w:rsidRPr="005968E8">
              <w:rPr>
                <w:rStyle w:val="Hyperlink"/>
                <w:smallCaps/>
                <w:noProof/>
              </w:rPr>
              <w:t>Hallazgos y recomendaciones</w:t>
            </w:r>
            <w:r w:rsidR="00EB3963">
              <w:rPr>
                <w:noProof/>
                <w:webHidden/>
              </w:rPr>
              <w:tab/>
            </w:r>
            <w:r w:rsidR="00EB3963">
              <w:rPr>
                <w:noProof/>
                <w:webHidden/>
              </w:rPr>
              <w:fldChar w:fldCharType="begin"/>
            </w:r>
            <w:r w:rsidR="00EB3963">
              <w:rPr>
                <w:noProof/>
                <w:webHidden/>
              </w:rPr>
              <w:instrText xml:space="preserve"> PAGEREF _Toc21017071 \h </w:instrText>
            </w:r>
            <w:r w:rsidR="00EB3963">
              <w:rPr>
                <w:noProof/>
                <w:webHidden/>
              </w:rPr>
            </w:r>
            <w:r w:rsidR="00EB3963">
              <w:rPr>
                <w:noProof/>
                <w:webHidden/>
              </w:rPr>
              <w:fldChar w:fldCharType="separate"/>
            </w:r>
            <w:r w:rsidR="00D87B95">
              <w:rPr>
                <w:noProof/>
                <w:webHidden/>
              </w:rPr>
              <w:t>26</w:t>
            </w:r>
            <w:r w:rsidR="00EB3963">
              <w:rPr>
                <w:noProof/>
                <w:webHidden/>
              </w:rPr>
              <w:fldChar w:fldCharType="end"/>
            </w:r>
          </w:hyperlink>
        </w:p>
        <w:p w14:paraId="61A1849E" w14:textId="51AC38D8" w:rsidR="00EB3963" w:rsidRDefault="00405D3E">
          <w:pPr>
            <w:pStyle w:val="TOC2"/>
            <w:rPr>
              <w:rFonts w:asciiTheme="minorHAnsi" w:eastAsiaTheme="minorEastAsia" w:hAnsiTheme="minorHAnsi" w:cstheme="minorBidi"/>
              <w:b w:val="0"/>
              <w:bCs w:val="0"/>
              <w:lang w:val="en-US"/>
            </w:rPr>
          </w:pPr>
          <w:hyperlink w:anchor="_Toc21017072" w:history="1">
            <w:r w:rsidR="00EB3963" w:rsidRPr="005968E8">
              <w:rPr>
                <w:rStyle w:val="Hyperlink"/>
                <w:rFonts w:cs="Arial"/>
              </w:rPr>
              <w:t>5.1</w:t>
            </w:r>
            <w:r w:rsidR="00EB3963">
              <w:rPr>
                <w:rFonts w:asciiTheme="minorHAnsi" w:eastAsiaTheme="minorEastAsia" w:hAnsiTheme="minorHAnsi" w:cstheme="minorBidi"/>
                <w:b w:val="0"/>
                <w:bCs w:val="0"/>
                <w:lang w:val="en-US"/>
              </w:rPr>
              <w:tab/>
            </w:r>
            <w:r w:rsidR="00EB3963" w:rsidRPr="005968E8">
              <w:rPr>
                <w:rStyle w:val="Hyperlink"/>
                <w:rFonts w:cs="Arial"/>
              </w:rPr>
              <w:t>Dimensiones 1 a 5</w:t>
            </w:r>
            <w:r w:rsidR="00EB3963">
              <w:rPr>
                <w:webHidden/>
              </w:rPr>
              <w:tab/>
            </w:r>
            <w:r w:rsidR="00EB3963">
              <w:rPr>
                <w:webHidden/>
              </w:rPr>
              <w:fldChar w:fldCharType="begin"/>
            </w:r>
            <w:r w:rsidR="00EB3963">
              <w:rPr>
                <w:webHidden/>
              </w:rPr>
              <w:instrText xml:space="preserve"> PAGEREF _Toc21017072 \h </w:instrText>
            </w:r>
            <w:r w:rsidR="00EB3963">
              <w:rPr>
                <w:webHidden/>
              </w:rPr>
            </w:r>
            <w:r w:rsidR="00EB3963">
              <w:rPr>
                <w:webHidden/>
              </w:rPr>
              <w:fldChar w:fldCharType="separate"/>
            </w:r>
            <w:r w:rsidR="00D87B95">
              <w:rPr>
                <w:webHidden/>
              </w:rPr>
              <w:t>26</w:t>
            </w:r>
            <w:r w:rsidR="00EB3963">
              <w:rPr>
                <w:webHidden/>
              </w:rPr>
              <w:fldChar w:fldCharType="end"/>
            </w:r>
          </w:hyperlink>
        </w:p>
        <w:p w14:paraId="5F39E600" w14:textId="499EE15A" w:rsidR="00D53D19" w:rsidRPr="00576180" w:rsidRDefault="00D53D19" w:rsidP="008D007A">
          <w:pPr>
            <w:tabs>
              <w:tab w:val="left" w:pos="9000"/>
            </w:tabs>
            <w:rPr>
              <w:rFonts w:cs="Arial"/>
              <w:bCs/>
            </w:rPr>
          </w:pPr>
          <w:r w:rsidRPr="00576180">
            <w:rPr>
              <w:rFonts w:cs="Arial"/>
              <w:bCs/>
            </w:rPr>
            <w:fldChar w:fldCharType="end"/>
          </w:r>
        </w:p>
      </w:sdtContent>
    </w:sdt>
    <w:p w14:paraId="4B3974CD" w14:textId="77777777" w:rsidR="00D53D19" w:rsidRPr="00576180" w:rsidRDefault="00D53D19" w:rsidP="008D007A">
      <w:pPr>
        <w:tabs>
          <w:tab w:val="left" w:pos="9000"/>
        </w:tabs>
        <w:rPr>
          <w:rFonts w:ascii="Arial" w:eastAsiaTheme="majorEastAsia" w:hAnsi="Arial" w:cstheme="majorBidi"/>
          <w:bCs/>
          <w:smallCaps/>
          <w:szCs w:val="28"/>
        </w:rPr>
      </w:pPr>
      <w:r w:rsidRPr="00576180">
        <w:rPr>
          <w:rFonts w:ascii="Arial" w:eastAsiaTheme="majorEastAsia" w:hAnsi="Arial" w:cstheme="majorBidi"/>
          <w:bCs/>
          <w:smallCaps/>
          <w:szCs w:val="28"/>
        </w:rPr>
        <w:br w:type="page"/>
      </w:r>
    </w:p>
    <w:p w14:paraId="7642BE67" w14:textId="77777777" w:rsidR="00145BCD" w:rsidRPr="00576180" w:rsidRDefault="00145BCD" w:rsidP="00145BCD">
      <w:pPr>
        <w:pStyle w:val="Heading1"/>
        <w:ind w:left="720" w:hanging="360"/>
        <w:jc w:val="center"/>
        <w:rPr>
          <w:rFonts w:cs="Arial"/>
          <w:color w:val="365F91" w:themeColor="accent1" w:themeShade="BF"/>
        </w:rPr>
      </w:pPr>
      <w:bookmarkStart w:id="10" w:name="_Toc508636021"/>
      <w:bookmarkStart w:id="11" w:name="_Toc531550476"/>
      <w:bookmarkStart w:id="12" w:name="_Toc533166428"/>
      <w:bookmarkStart w:id="13" w:name="_Toc20432451"/>
      <w:bookmarkStart w:id="14" w:name="_Toc21017047"/>
      <w:bookmarkStart w:id="15" w:name="_Toc502745261"/>
      <w:bookmarkStart w:id="16" w:name="_Toc501529188"/>
      <w:bookmarkStart w:id="17" w:name="_Toc506484919"/>
      <w:bookmarkStart w:id="18" w:name="_Toc506974984"/>
      <w:bookmarkStart w:id="19" w:name="_Toc507063063"/>
      <w:r w:rsidRPr="00576180">
        <w:rPr>
          <w:rFonts w:cs="Arial"/>
          <w:color w:val="365F91" w:themeColor="accent1" w:themeShade="BF"/>
        </w:rPr>
        <w:lastRenderedPageBreak/>
        <w:t>Links Electrónicos</w:t>
      </w:r>
      <w:bookmarkEnd w:id="10"/>
      <w:bookmarkEnd w:id="11"/>
      <w:bookmarkEnd w:id="12"/>
      <w:bookmarkEnd w:id="13"/>
      <w:bookmarkEnd w:id="14"/>
      <w:r w:rsidRPr="00576180">
        <w:rPr>
          <w:rFonts w:cs="Arial"/>
          <w:color w:val="365F91" w:themeColor="accent1" w:themeShade="BF"/>
        </w:rPr>
        <w:t xml:space="preserve"> </w:t>
      </w:r>
      <w:bookmarkEnd w:id="15"/>
    </w:p>
    <w:bookmarkEnd w:id="16"/>
    <w:bookmarkEnd w:id="17"/>
    <w:bookmarkEnd w:id="18"/>
    <w:bookmarkEnd w:id="19"/>
    <w:p w14:paraId="798F5EC4" w14:textId="77777777" w:rsidR="00D53D19" w:rsidRPr="00576180" w:rsidRDefault="00D53D19" w:rsidP="00351F3E">
      <w:pPr>
        <w:pStyle w:val="Heading1"/>
        <w:ind w:left="540"/>
        <w:rPr>
          <w:rFonts w:cs="Arial"/>
          <w:b w:val="0"/>
          <w:color w:val="000000" w:themeColor="text1"/>
        </w:rPr>
      </w:pPr>
      <w:r w:rsidRPr="00576180">
        <w:rPr>
          <w:rFonts w:eastAsia="Times New Roman" w:cs="Arial"/>
          <w:bCs w:val="0"/>
        </w:rPr>
        <w:t xml:space="preserve"> </w:t>
      </w:r>
    </w:p>
    <w:p w14:paraId="0C336E08" w14:textId="77777777" w:rsidR="00D53D19" w:rsidRPr="00576180" w:rsidRDefault="0057193C" w:rsidP="00D20A37">
      <w:pPr>
        <w:pStyle w:val="ListParagraph"/>
        <w:numPr>
          <w:ilvl w:val="0"/>
          <w:numId w:val="1"/>
        </w:numPr>
        <w:tabs>
          <w:tab w:val="left" w:pos="9000"/>
        </w:tabs>
        <w:jc w:val="both"/>
        <w:rPr>
          <w:rFonts w:cs="Arial"/>
        </w:rPr>
      </w:pPr>
      <w:r w:rsidRPr="00576180">
        <w:rPr>
          <w:rFonts w:ascii="Arial" w:hAnsi="Arial" w:cs="Arial"/>
        </w:rPr>
        <w:t>Matriz de Efectividad en el Desarrollo (DEM)</w:t>
      </w:r>
    </w:p>
    <w:p w14:paraId="1E8FE584" w14:textId="77777777" w:rsidR="00D53D19" w:rsidRPr="00576180" w:rsidRDefault="00D53D19" w:rsidP="00D20A37">
      <w:pPr>
        <w:pStyle w:val="ListParagraph"/>
        <w:numPr>
          <w:ilvl w:val="0"/>
          <w:numId w:val="1"/>
        </w:numPr>
        <w:tabs>
          <w:tab w:val="left" w:pos="9000"/>
        </w:tabs>
        <w:jc w:val="both"/>
        <w:rPr>
          <w:rFonts w:ascii="Arial" w:hAnsi="Arial" w:cs="Arial"/>
        </w:rPr>
      </w:pPr>
      <w:r w:rsidRPr="00576180">
        <w:rPr>
          <w:rFonts w:ascii="Arial" w:hAnsi="Arial" w:cs="Arial"/>
        </w:rPr>
        <w:t xml:space="preserve">Versión Final de Reporte de Progreso del Monitoreo (PMR) </w:t>
      </w:r>
    </w:p>
    <w:p w14:paraId="1164C143" w14:textId="77777777" w:rsidR="000D3F14" w:rsidRPr="00576180" w:rsidRDefault="00D53D19" w:rsidP="00D20A37">
      <w:pPr>
        <w:pStyle w:val="ListParagraph"/>
        <w:numPr>
          <w:ilvl w:val="0"/>
          <w:numId w:val="1"/>
        </w:numPr>
        <w:tabs>
          <w:tab w:val="left" w:pos="9000"/>
        </w:tabs>
        <w:spacing w:after="0" w:line="240" w:lineRule="auto"/>
        <w:jc w:val="both"/>
        <w:rPr>
          <w:rFonts w:ascii="Arial" w:hAnsi="Arial" w:cs="Arial"/>
        </w:rPr>
      </w:pPr>
      <w:proofErr w:type="spellStart"/>
      <w:r w:rsidRPr="00576180">
        <w:rPr>
          <w:rFonts w:ascii="Arial" w:hAnsi="Arial" w:cs="Arial"/>
        </w:rPr>
        <w:t>Checklist</w:t>
      </w:r>
      <w:proofErr w:type="spellEnd"/>
      <w:r w:rsidRPr="00576180">
        <w:rPr>
          <w:rFonts w:ascii="Arial" w:hAnsi="Arial" w:cs="Arial"/>
        </w:rPr>
        <w:t xml:space="preserve"> del PCR</w:t>
      </w:r>
    </w:p>
    <w:p w14:paraId="6156E5AE" w14:textId="77777777" w:rsidR="00CD16AE" w:rsidRPr="00576180" w:rsidRDefault="00CD16AE" w:rsidP="009C0233">
      <w:pPr>
        <w:tabs>
          <w:tab w:val="left" w:pos="9000"/>
        </w:tabs>
        <w:spacing w:after="0" w:line="240" w:lineRule="auto"/>
        <w:jc w:val="both"/>
        <w:rPr>
          <w:rFonts w:ascii="Arial" w:hAnsi="Arial" w:cs="Arial"/>
        </w:rPr>
      </w:pPr>
    </w:p>
    <w:p w14:paraId="1C4F3716" w14:textId="2363F178" w:rsidR="00CD16AE" w:rsidRPr="00576180" w:rsidRDefault="00CD16AE" w:rsidP="00346EF4">
      <w:pPr>
        <w:spacing w:after="0" w:line="240" w:lineRule="auto"/>
        <w:jc w:val="both"/>
        <w:rPr>
          <w:rFonts w:ascii="Arial" w:eastAsia="Arial,Times New Roman" w:hAnsi="Arial" w:cs="Arial"/>
        </w:rPr>
      </w:pPr>
    </w:p>
    <w:p w14:paraId="260106D5" w14:textId="77777777" w:rsidR="00CD16AE" w:rsidRPr="00576180" w:rsidRDefault="00CD16AE" w:rsidP="00CD16AE">
      <w:pPr>
        <w:spacing w:before="120" w:after="120"/>
        <w:ind w:left="360" w:hanging="360"/>
        <w:jc w:val="center"/>
        <w:outlineLvl w:val="0"/>
        <w:rPr>
          <w:rFonts w:ascii="Arial" w:eastAsia="Arial,Times New Roman" w:hAnsi="Arial" w:cs="Arial"/>
          <w:b/>
          <w:bCs/>
          <w:sz w:val="48"/>
          <w:szCs w:val="48"/>
        </w:rPr>
      </w:pPr>
    </w:p>
    <w:p w14:paraId="106FE9EE" w14:textId="77777777" w:rsidR="00CD16AE" w:rsidRPr="00576180" w:rsidRDefault="00CD16AE" w:rsidP="009C0233">
      <w:pPr>
        <w:tabs>
          <w:tab w:val="left" w:pos="9000"/>
        </w:tabs>
        <w:spacing w:after="0" w:line="240" w:lineRule="auto"/>
        <w:jc w:val="both"/>
        <w:rPr>
          <w:rFonts w:ascii="Arial" w:hAnsi="Arial" w:cs="Arial"/>
        </w:rPr>
      </w:pPr>
    </w:p>
    <w:p w14:paraId="306E0D0E" w14:textId="77777777" w:rsidR="000D3F14" w:rsidRPr="00576180" w:rsidRDefault="000D3F14" w:rsidP="009C0233">
      <w:pPr>
        <w:pStyle w:val="Heading1"/>
        <w:ind w:left="720" w:hanging="360"/>
        <w:jc w:val="center"/>
      </w:pPr>
      <w:r w:rsidRPr="00576180">
        <w:br w:type="page"/>
      </w:r>
    </w:p>
    <w:p w14:paraId="08F79167" w14:textId="11F308D8" w:rsidR="00F6766E" w:rsidRPr="00576180" w:rsidRDefault="00F6766E" w:rsidP="009C0233">
      <w:pPr>
        <w:pStyle w:val="Heading1"/>
        <w:ind w:left="720" w:hanging="360"/>
        <w:jc w:val="center"/>
        <w:rPr>
          <w:rFonts w:cs="Arial"/>
          <w:color w:val="365F91" w:themeColor="accent1" w:themeShade="BF"/>
        </w:rPr>
      </w:pPr>
      <w:bookmarkStart w:id="20" w:name="_Toc501529189"/>
      <w:bookmarkStart w:id="21" w:name="_Toc506484920"/>
      <w:bookmarkStart w:id="22" w:name="_Toc506974985"/>
      <w:bookmarkStart w:id="23" w:name="_Toc507063064"/>
      <w:bookmarkStart w:id="24" w:name="_Toc533166429"/>
      <w:bookmarkStart w:id="25" w:name="_Toc20432452"/>
      <w:bookmarkStart w:id="26" w:name="_Toc21017048"/>
      <w:r w:rsidRPr="00576180">
        <w:rPr>
          <w:rFonts w:cs="Arial"/>
          <w:color w:val="365F91" w:themeColor="accent1" w:themeShade="BF"/>
        </w:rPr>
        <w:lastRenderedPageBreak/>
        <w:t xml:space="preserve">Acrónimos y </w:t>
      </w:r>
      <w:r w:rsidR="00351F3E" w:rsidRPr="00576180">
        <w:rPr>
          <w:rFonts w:cs="Arial"/>
          <w:color w:val="365F91" w:themeColor="accent1" w:themeShade="BF"/>
        </w:rPr>
        <w:t>a</w:t>
      </w:r>
      <w:r w:rsidRPr="00576180">
        <w:rPr>
          <w:rFonts w:cs="Arial"/>
          <w:color w:val="365F91" w:themeColor="accent1" w:themeShade="BF"/>
        </w:rPr>
        <w:t>brevia</w:t>
      </w:r>
      <w:r w:rsidR="00485A14" w:rsidRPr="00576180">
        <w:rPr>
          <w:rFonts w:cs="Arial"/>
          <w:color w:val="365F91" w:themeColor="accent1" w:themeShade="BF"/>
        </w:rPr>
        <w:t>turas</w:t>
      </w:r>
      <w:bookmarkEnd w:id="20"/>
      <w:bookmarkEnd w:id="21"/>
      <w:bookmarkEnd w:id="22"/>
      <w:bookmarkEnd w:id="23"/>
      <w:bookmarkEnd w:id="24"/>
      <w:bookmarkEnd w:id="25"/>
      <w:bookmarkEnd w:id="26"/>
    </w:p>
    <w:p w14:paraId="33A7015D" w14:textId="77777777" w:rsidR="008C61F0" w:rsidRPr="00576180" w:rsidRDefault="008C61F0" w:rsidP="00D17FF5">
      <w:pPr>
        <w:ind w:left="720" w:hanging="360"/>
        <w:jc w:val="both"/>
      </w:pPr>
    </w:p>
    <w:tbl>
      <w:tblPr>
        <w:tblW w:w="9090" w:type="dxa"/>
        <w:jc w:val="center"/>
        <w:tblLayout w:type="fixed"/>
        <w:tblCellMar>
          <w:left w:w="0" w:type="dxa"/>
          <w:right w:w="0" w:type="dxa"/>
        </w:tblCellMar>
        <w:tblLook w:val="01E0" w:firstRow="1" w:lastRow="1" w:firstColumn="1" w:lastColumn="1" w:noHBand="0" w:noVBand="0"/>
      </w:tblPr>
      <w:tblGrid>
        <w:gridCol w:w="1311"/>
        <w:gridCol w:w="7779"/>
      </w:tblGrid>
      <w:tr w:rsidR="001620FE" w:rsidRPr="00576180" w14:paraId="3D20296E" w14:textId="77777777" w:rsidTr="00D17FF5">
        <w:trPr>
          <w:trHeight w:val="264"/>
          <w:jc w:val="center"/>
        </w:trPr>
        <w:tc>
          <w:tcPr>
            <w:tcW w:w="1311" w:type="dxa"/>
          </w:tcPr>
          <w:p w14:paraId="706E0212" w14:textId="77777777" w:rsidR="001620FE" w:rsidRPr="00576180" w:rsidRDefault="001620FE" w:rsidP="001620FE">
            <w:pPr>
              <w:pStyle w:val="TableParagraph"/>
              <w:spacing w:before="13"/>
              <w:rPr>
                <w:lang w:val="es-ES_tradnl"/>
              </w:rPr>
            </w:pPr>
            <w:r w:rsidRPr="00576180">
              <w:rPr>
                <w:bCs/>
                <w:lang w:val="es-ES_tradnl"/>
              </w:rPr>
              <w:t>BPM</w:t>
            </w:r>
          </w:p>
        </w:tc>
        <w:tc>
          <w:tcPr>
            <w:tcW w:w="7779" w:type="dxa"/>
          </w:tcPr>
          <w:p w14:paraId="475258A9" w14:textId="77777777" w:rsidR="001620FE" w:rsidRPr="00576180" w:rsidRDefault="001620FE" w:rsidP="001620FE">
            <w:pPr>
              <w:pStyle w:val="TableParagraph"/>
              <w:spacing w:before="13"/>
              <w:rPr>
                <w:lang w:val="es-ES_tradnl"/>
              </w:rPr>
            </w:pPr>
            <w:r w:rsidRPr="00576180">
              <w:rPr>
                <w:bCs/>
                <w:i/>
                <w:lang w:val="es-ES_tradnl"/>
              </w:rPr>
              <w:t xml:space="preserve">Business </w:t>
            </w:r>
            <w:proofErr w:type="spellStart"/>
            <w:r w:rsidRPr="00576180">
              <w:rPr>
                <w:bCs/>
                <w:i/>
                <w:lang w:val="es-ES_tradnl"/>
              </w:rPr>
              <w:t>Process</w:t>
            </w:r>
            <w:proofErr w:type="spellEnd"/>
            <w:r w:rsidRPr="00576180">
              <w:rPr>
                <w:bCs/>
                <w:i/>
                <w:lang w:val="es-ES_tradnl"/>
              </w:rPr>
              <w:t xml:space="preserve"> Management</w:t>
            </w:r>
          </w:p>
        </w:tc>
      </w:tr>
      <w:tr w:rsidR="001620FE" w:rsidRPr="00576180" w14:paraId="5E0A6120" w14:textId="77777777" w:rsidTr="00D17FF5">
        <w:trPr>
          <w:trHeight w:val="265"/>
          <w:jc w:val="center"/>
        </w:trPr>
        <w:tc>
          <w:tcPr>
            <w:tcW w:w="1311" w:type="dxa"/>
          </w:tcPr>
          <w:p w14:paraId="15E2393B" w14:textId="77777777" w:rsidR="001620FE" w:rsidRPr="00576180" w:rsidRDefault="001620FE" w:rsidP="001620FE">
            <w:pPr>
              <w:pStyle w:val="TableParagraph"/>
              <w:spacing w:before="13"/>
              <w:rPr>
                <w:lang w:val="es-ES_tradnl"/>
              </w:rPr>
            </w:pPr>
            <w:r w:rsidRPr="00576180">
              <w:rPr>
                <w:bCs/>
                <w:lang w:val="es-ES_tradnl"/>
              </w:rPr>
              <w:t>BID</w:t>
            </w:r>
          </w:p>
        </w:tc>
        <w:tc>
          <w:tcPr>
            <w:tcW w:w="7779" w:type="dxa"/>
          </w:tcPr>
          <w:p w14:paraId="22BA3EDD" w14:textId="77777777" w:rsidR="001620FE" w:rsidRPr="00576180" w:rsidRDefault="001620FE" w:rsidP="001620FE">
            <w:pPr>
              <w:pStyle w:val="TableParagraph"/>
              <w:spacing w:before="13"/>
              <w:rPr>
                <w:lang w:val="es-ES_tradnl"/>
              </w:rPr>
            </w:pPr>
            <w:r w:rsidRPr="00576180">
              <w:rPr>
                <w:bCs/>
                <w:lang w:val="es-ES_tradnl"/>
              </w:rPr>
              <w:t>Banco Interamericano de Desarrollo</w:t>
            </w:r>
          </w:p>
        </w:tc>
      </w:tr>
      <w:tr w:rsidR="001620FE" w:rsidRPr="00576180" w14:paraId="0D24E54E" w14:textId="77777777" w:rsidTr="00D17FF5">
        <w:trPr>
          <w:trHeight w:val="263"/>
          <w:jc w:val="center"/>
        </w:trPr>
        <w:tc>
          <w:tcPr>
            <w:tcW w:w="1311" w:type="dxa"/>
          </w:tcPr>
          <w:p w14:paraId="04B47DD5" w14:textId="77777777" w:rsidR="001620FE" w:rsidRPr="00576180" w:rsidRDefault="001620FE" w:rsidP="001620FE">
            <w:pPr>
              <w:pStyle w:val="TableParagraph"/>
              <w:spacing w:before="13"/>
              <w:rPr>
                <w:bCs/>
                <w:lang w:val="es-ES_tradnl"/>
              </w:rPr>
            </w:pPr>
            <w:r w:rsidRPr="00576180">
              <w:rPr>
                <w:bCs/>
                <w:lang w:val="es-ES_tradnl"/>
              </w:rPr>
              <w:t>CUT</w:t>
            </w:r>
          </w:p>
          <w:p w14:paraId="601E98BD" w14:textId="52668637" w:rsidR="00FB443E" w:rsidRPr="00576180" w:rsidRDefault="00FB443E" w:rsidP="001620FE">
            <w:pPr>
              <w:pStyle w:val="TableParagraph"/>
              <w:spacing w:before="13"/>
              <w:rPr>
                <w:lang w:val="es-ES_tradnl"/>
              </w:rPr>
            </w:pPr>
            <w:r w:rsidRPr="00576180">
              <w:rPr>
                <w:lang w:val="es-ES_tradnl"/>
              </w:rPr>
              <w:t>DEM</w:t>
            </w:r>
          </w:p>
        </w:tc>
        <w:tc>
          <w:tcPr>
            <w:tcW w:w="7779" w:type="dxa"/>
          </w:tcPr>
          <w:p w14:paraId="74617048" w14:textId="77777777" w:rsidR="001620FE" w:rsidRPr="00576180" w:rsidRDefault="001620FE" w:rsidP="001620FE">
            <w:pPr>
              <w:pStyle w:val="TableParagraph"/>
              <w:spacing w:before="13"/>
              <w:rPr>
                <w:bCs/>
                <w:lang w:val="es-ES_tradnl"/>
              </w:rPr>
            </w:pPr>
            <w:r w:rsidRPr="00576180">
              <w:rPr>
                <w:bCs/>
                <w:lang w:val="es-ES_tradnl"/>
              </w:rPr>
              <w:t>Cuenta Única del Tesoro</w:t>
            </w:r>
          </w:p>
          <w:p w14:paraId="10D66D1E" w14:textId="01C600AE" w:rsidR="00FB443E" w:rsidRPr="00576180" w:rsidRDefault="00FB443E" w:rsidP="001620FE">
            <w:pPr>
              <w:pStyle w:val="TableParagraph"/>
              <w:spacing w:before="13"/>
              <w:rPr>
                <w:lang w:val="es-ES_tradnl"/>
              </w:rPr>
            </w:pPr>
            <w:proofErr w:type="spellStart"/>
            <w:r w:rsidRPr="00576180">
              <w:rPr>
                <w:i/>
                <w:lang w:val="es-ES_tradnl"/>
              </w:rPr>
              <w:t>Development</w:t>
            </w:r>
            <w:proofErr w:type="spellEnd"/>
            <w:r w:rsidRPr="00576180">
              <w:rPr>
                <w:i/>
                <w:lang w:val="es-ES_tradnl"/>
              </w:rPr>
              <w:t xml:space="preserve"> </w:t>
            </w:r>
            <w:proofErr w:type="spellStart"/>
            <w:r w:rsidRPr="00576180">
              <w:rPr>
                <w:i/>
                <w:lang w:val="es-ES_tradnl"/>
              </w:rPr>
              <w:t>Effectiveness</w:t>
            </w:r>
            <w:proofErr w:type="spellEnd"/>
            <w:r w:rsidRPr="00576180">
              <w:rPr>
                <w:i/>
                <w:lang w:val="es-ES_tradnl"/>
              </w:rPr>
              <w:t xml:space="preserve"> Matrix</w:t>
            </w:r>
            <w:r w:rsidRPr="00576180">
              <w:rPr>
                <w:lang w:val="es-ES_tradnl"/>
              </w:rPr>
              <w:t xml:space="preserve"> (Matriz de efectividad en el desarrollo)</w:t>
            </w:r>
          </w:p>
        </w:tc>
      </w:tr>
      <w:tr w:rsidR="001620FE" w:rsidRPr="00576180" w14:paraId="6C0C9AA1" w14:textId="77777777" w:rsidTr="00D17FF5">
        <w:trPr>
          <w:trHeight w:val="264"/>
          <w:jc w:val="center"/>
        </w:trPr>
        <w:tc>
          <w:tcPr>
            <w:tcW w:w="1311" w:type="dxa"/>
          </w:tcPr>
          <w:p w14:paraId="5B7D86CC" w14:textId="77777777" w:rsidR="001620FE" w:rsidRPr="00576180" w:rsidRDefault="001620FE" w:rsidP="001620FE">
            <w:pPr>
              <w:pStyle w:val="TableParagraph"/>
              <w:spacing w:before="13"/>
              <w:rPr>
                <w:lang w:val="es-ES_tradnl"/>
              </w:rPr>
            </w:pPr>
            <w:r w:rsidRPr="00576180">
              <w:rPr>
                <w:bCs/>
                <w:lang w:val="es-ES_tradnl"/>
              </w:rPr>
              <w:t>DGPP</w:t>
            </w:r>
          </w:p>
        </w:tc>
        <w:tc>
          <w:tcPr>
            <w:tcW w:w="7779" w:type="dxa"/>
          </w:tcPr>
          <w:p w14:paraId="79A9396A" w14:textId="77777777" w:rsidR="001620FE" w:rsidRPr="00576180" w:rsidRDefault="001620FE" w:rsidP="001620FE">
            <w:pPr>
              <w:pStyle w:val="TableParagraph"/>
              <w:spacing w:before="13"/>
              <w:rPr>
                <w:lang w:val="es-ES_tradnl"/>
              </w:rPr>
            </w:pPr>
            <w:r w:rsidRPr="00576180">
              <w:rPr>
                <w:bCs/>
                <w:lang w:val="es-ES_tradnl"/>
              </w:rPr>
              <w:t>Dirección General del Presupuesto Público</w:t>
            </w:r>
          </w:p>
        </w:tc>
      </w:tr>
      <w:tr w:rsidR="001620FE" w:rsidRPr="00576180" w14:paraId="39244DB7" w14:textId="77777777" w:rsidTr="00D17FF5">
        <w:trPr>
          <w:trHeight w:val="266"/>
          <w:jc w:val="center"/>
        </w:trPr>
        <w:tc>
          <w:tcPr>
            <w:tcW w:w="1311" w:type="dxa"/>
          </w:tcPr>
          <w:p w14:paraId="3A950DE5" w14:textId="77777777" w:rsidR="001620FE" w:rsidRPr="00576180" w:rsidRDefault="001620FE" w:rsidP="001620FE">
            <w:pPr>
              <w:pStyle w:val="TableParagraph"/>
              <w:spacing w:before="16"/>
              <w:rPr>
                <w:lang w:val="es-ES_tradnl"/>
              </w:rPr>
            </w:pPr>
            <w:r w:rsidRPr="00576180">
              <w:rPr>
                <w:bCs/>
                <w:lang w:val="es-ES_tradnl"/>
              </w:rPr>
              <w:t>DGETP</w:t>
            </w:r>
          </w:p>
        </w:tc>
        <w:tc>
          <w:tcPr>
            <w:tcW w:w="7779" w:type="dxa"/>
          </w:tcPr>
          <w:p w14:paraId="0342EA54" w14:textId="77777777" w:rsidR="001620FE" w:rsidRPr="00576180" w:rsidRDefault="001620FE" w:rsidP="001620FE">
            <w:pPr>
              <w:pStyle w:val="TableParagraph"/>
              <w:spacing w:before="13"/>
              <w:rPr>
                <w:i/>
                <w:lang w:val="es-ES_tradnl"/>
              </w:rPr>
            </w:pPr>
            <w:r w:rsidRPr="00576180">
              <w:rPr>
                <w:bCs/>
                <w:lang w:val="es-ES_tradnl"/>
              </w:rPr>
              <w:t>Dirección General de Endeudamiento y Tesoro Público</w:t>
            </w:r>
          </w:p>
        </w:tc>
      </w:tr>
      <w:tr w:rsidR="001620FE" w:rsidRPr="00576180" w14:paraId="28E8D486" w14:textId="77777777" w:rsidTr="00D17FF5">
        <w:trPr>
          <w:trHeight w:val="264"/>
          <w:jc w:val="center"/>
        </w:trPr>
        <w:tc>
          <w:tcPr>
            <w:tcW w:w="1311" w:type="dxa"/>
          </w:tcPr>
          <w:p w14:paraId="1BB5E773" w14:textId="1D13B002" w:rsidR="00146BF4" w:rsidRPr="00576180" w:rsidRDefault="00146BF4" w:rsidP="001620FE">
            <w:pPr>
              <w:pStyle w:val="TableParagraph"/>
              <w:spacing w:before="13"/>
              <w:rPr>
                <w:bCs/>
                <w:lang w:val="es-ES_tradnl"/>
              </w:rPr>
            </w:pPr>
            <w:r w:rsidRPr="00576180">
              <w:rPr>
                <w:bCs/>
                <w:lang w:val="es-ES_tradnl"/>
              </w:rPr>
              <w:t>DGCP</w:t>
            </w:r>
          </w:p>
          <w:p w14:paraId="6D71AA86" w14:textId="77777777" w:rsidR="001620FE" w:rsidRPr="00576180" w:rsidRDefault="001620FE" w:rsidP="001620FE">
            <w:pPr>
              <w:pStyle w:val="TableParagraph"/>
              <w:spacing w:before="13"/>
              <w:rPr>
                <w:bCs/>
                <w:lang w:val="es-ES_tradnl"/>
              </w:rPr>
            </w:pPr>
            <w:r w:rsidRPr="00576180">
              <w:rPr>
                <w:bCs/>
                <w:lang w:val="es-ES_tradnl"/>
              </w:rPr>
              <w:t>DG</w:t>
            </w:r>
            <w:r w:rsidR="00146BF4" w:rsidRPr="00576180">
              <w:rPr>
                <w:bCs/>
                <w:lang w:val="es-ES_tradnl"/>
              </w:rPr>
              <w:t>T</w:t>
            </w:r>
            <w:r w:rsidRPr="00576180">
              <w:rPr>
                <w:bCs/>
                <w:lang w:val="es-ES_tradnl"/>
              </w:rPr>
              <w:t>P</w:t>
            </w:r>
            <w:r w:rsidR="00146BF4" w:rsidRPr="00576180">
              <w:rPr>
                <w:bCs/>
                <w:lang w:val="es-ES_tradnl"/>
              </w:rPr>
              <w:t xml:space="preserve">  </w:t>
            </w:r>
          </w:p>
          <w:p w14:paraId="40C63DF9" w14:textId="3F93649F" w:rsidR="00146BF4" w:rsidRPr="00576180" w:rsidRDefault="00146BF4" w:rsidP="001620FE">
            <w:pPr>
              <w:pStyle w:val="TableParagraph"/>
              <w:spacing w:before="13"/>
              <w:rPr>
                <w:lang w:val="es-ES_tradnl"/>
              </w:rPr>
            </w:pPr>
            <w:r w:rsidRPr="00576180">
              <w:rPr>
                <w:lang w:val="es-ES_tradnl"/>
              </w:rPr>
              <w:t>DPP</w:t>
            </w:r>
          </w:p>
        </w:tc>
        <w:tc>
          <w:tcPr>
            <w:tcW w:w="7779" w:type="dxa"/>
          </w:tcPr>
          <w:p w14:paraId="0466A9F1" w14:textId="77777777" w:rsidR="001620FE" w:rsidRPr="00576180" w:rsidRDefault="001620FE" w:rsidP="001620FE">
            <w:pPr>
              <w:pStyle w:val="TableParagraph"/>
              <w:spacing w:before="13"/>
              <w:rPr>
                <w:bCs/>
                <w:lang w:val="es-ES_tradnl"/>
              </w:rPr>
            </w:pPr>
            <w:r w:rsidRPr="00576180">
              <w:rPr>
                <w:bCs/>
                <w:lang w:val="es-ES_tradnl"/>
              </w:rPr>
              <w:t>Dirección General de Contabilidad Pública</w:t>
            </w:r>
          </w:p>
          <w:p w14:paraId="426CEEB3" w14:textId="77777777" w:rsidR="00146BF4" w:rsidRPr="00576180" w:rsidRDefault="00146BF4" w:rsidP="001620FE">
            <w:pPr>
              <w:pStyle w:val="TableParagraph"/>
              <w:spacing w:before="13"/>
              <w:rPr>
                <w:lang w:val="es-ES_tradnl"/>
              </w:rPr>
            </w:pPr>
            <w:r w:rsidRPr="00576180">
              <w:rPr>
                <w:lang w:val="es-ES_tradnl"/>
              </w:rPr>
              <w:t>Dirección General del Tesoro Público</w:t>
            </w:r>
          </w:p>
          <w:p w14:paraId="104457CC" w14:textId="57882E01" w:rsidR="00146BF4" w:rsidRPr="00576180" w:rsidRDefault="00146BF4" w:rsidP="001620FE">
            <w:pPr>
              <w:pStyle w:val="TableParagraph"/>
              <w:spacing w:before="13"/>
              <w:rPr>
                <w:lang w:val="es-ES_tradnl"/>
              </w:rPr>
            </w:pPr>
            <w:r w:rsidRPr="00576180">
              <w:rPr>
                <w:lang w:val="es-ES_tradnl"/>
              </w:rPr>
              <w:t>Documento de propuesta de préstamo</w:t>
            </w:r>
          </w:p>
        </w:tc>
      </w:tr>
      <w:tr w:rsidR="001620FE" w:rsidRPr="00576180" w14:paraId="2EEBFE1A" w14:textId="77777777" w:rsidTr="00D17FF5">
        <w:trPr>
          <w:trHeight w:val="264"/>
          <w:jc w:val="center"/>
        </w:trPr>
        <w:tc>
          <w:tcPr>
            <w:tcW w:w="1311" w:type="dxa"/>
          </w:tcPr>
          <w:p w14:paraId="07BFD7A9" w14:textId="77777777" w:rsidR="001620FE" w:rsidRPr="00576180" w:rsidRDefault="001620FE" w:rsidP="001620FE">
            <w:pPr>
              <w:pStyle w:val="TableParagraph"/>
              <w:spacing w:before="13"/>
              <w:rPr>
                <w:bCs/>
                <w:lang w:val="es-ES_tradnl"/>
              </w:rPr>
            </w:pPr>
            <w:r w:rsidRPr="00576180">
              <w:rPr>
                <w:bCs/>
                <w:lang w:val="es-ES_tradnl"/>
              </w:rPr>
              <w:t>EE</w:t>
            </w:r>
          </w:p>
          <w:p w14:paraId="7B6890BF" w14:textId="53799F42" w:rsidR="00FB443E" w:rsidRPr="00576180" w:rsidRDefault="00FB443E" w:rsidP="001620FE">
            <w:pPr>
              <w:pStyle w:val="TableParagraph"/>
              <w:spacing w:before="13"/>
              <w:rPr>
                <w:lang w:val="es-ES_tradnl"/>
              </w:rPr>
            </w:pPr>
            <w:r w:rsidRPr="00576180">
              <w:rPr>
                <w:lang w:val="es-ES_tradnl"/>
              </w:rPr>
              <w:t>EBP</w:t>
            </w:r>
          </w:p>
        </w:tc>
        <w:tc>
          <w:tcPr>
            <w:tcW w:w="7779" w:type="dxa"/>
          </w:tcPr>
          <w:p w14:paraId="479A2C64" w14:textId="77777777" w:rsidR="001620FE" w:rsidRPr="00576180" w:rsidRDefault="001620FE" w:rsidP="001620FE">
            <w:pPr>
              <w:pStyle w:val="TableParagraph"/>
              <w:spacing w:before="13"/>
              <w:rPr>
                <w:bCs/>
                <w:lang w:val="es-ES_tradnl"/>
              </w:rPr>
            </w:pPr>
            <w:r w:rsidRPr="00576180">
              <w:rPr>
                <w:bCs/>
                <w:lang w:val="es-ES_tradnl"/>
              </w:rPr>
              <w:t>Equipo Ejecutor</w:t>
            </w:r>
          </w:p>
          <w:p w14:paraId="7585F3EF" w14:textId="40C113B7" w:rsidR="00FB443E" w:rsidRPr="00576180" w:rsidRDefault="00FB443E" w:rsidP="001620FE">
            <w:pPr>
              <w:pStyle w:val="TableParagraph"/>
              <w:spacing w:before="13"/>
              <w:rPr>
                <w:lang w:val="es-ES_tradnl"/>
              </w:rPr>
            </w:pPr>
            <w:r w:rsidRPr="00576180">
              <w:rPr>
                <w:lang w:val="es-ES_tradnl"/>
              </w:rPr>
              <w:t>Estrategia del Banco con el País</w:t>
            </w:r>
          </w:p>
        </w:tc>
      </w:tr>
      <w:tr w:rsidR="001620FE" w:rsidRPr="00576180" w14:paraId="4E762F78" w14:textId="77777777" w:rsidTr="00D17FF5">
        <w:trPr>
          <w:trHeight w:val="265"/>
          <w:jc w:val="center"/>
        </w:trPr>
        <w:tc>
          <w:tcPr>
            <w:tcW w:w="1311" w:type="dxa"/>
          </w:tcPr>
          <w:p w14:paraId="2E80030A" w14:textId="77777777" w:rsidR="001620FE" w:rsidRPr="00576180" w:rsidRDefault="001620FE" w:rsidP="001620FE">
            <w:pPr>
              <w:pStyle w:val="TableParagraph"/>
              <w:spacing w:before="13"/>
              <w:rPr>
                <w:lang w:val="es-ES_tradnl"/>
              </w:rPr>
            </w:pPr>
            <w:r w:rsidRPr="00576180">
              <w:rPr>
                <w:bCs/>
                <w:lang w:val="es-ES_tradnl"/>
              </w:rPr>
              <w:t>FMI</w:t>
            </w:r>
          </w:p>
        </w:tc>
        <w:tc>
          <w:tcPr>
            <w:tcW w:w="7779" w:type="dxa"/>
          </w:tcPr>
          <w:p w14:paraId="00015713" w14:textId="77777777" w:rsidR="001620FE" w:rsidRPr="00576180" w:rsidRDefault="001620FE" w:rsidP="001620FE">
            <w:pPr>
              <w:pStyle w:val="TableParagraph"/>
              <w:spacing w:before="13"/>
              <w:rPr>
                <w:lang w:val="es-ES_tradnl"/>
              </w:rPr>
            </w:pPr>
            <w:r w:rsidRPr="00576180">
              <w:rPr>
                <w:bCs/>
                <w:lang w:val="es-ES_tradnl"/>
              </w:rPr>
              <w:t>Fondo Monetario Internacional</w:t>
            </w:r>
          </w:p>
        </w:tc>
      </w:tr>
      <w:tr w:rsidR="001620FE" w:rsidRPr="00576180" w14:paraId="14786679" w14:textId="77777777" w:rsidTr="00D17FF5">
        <w:trPr>
          <w:trHeight w:val="265"/>
          <w:jc w:val="center"/>
        </w:trPr>
        <w:tc>
          <w:tcPr>
            <w:tcW w:w="1311" w:type="dxa"/>
          </w:tcPr>
          <w:p w14:paraId="36677900" w14:textId="77777777" w:rsidR="001620FE" w:rsidRPr="00576180" w:rsidRDefault="001620FE" w:rsidP="001620FE">
            <w:pPr>
              <w:pStyle w:val="TableParagraph"/>
              <w:spacing w:before="14"/>
              <w:rPr>
                <w:bCs/>
                <w:lang w:val="es-ES_tradnl"/>
              </w:rPr>
            </w:pPr>
            <w:r w:rsidRPr="00576180">
              <w:rPr>
                <w:bCs/>
                <w:lang w:val="es-ES_tradnl"/>
              </w:rPr>
              <w:t>GCI</w:t>
            </w:r>
          </w:p>
          <w:p w14:paraId="2707F7F2" w14:textId="363B5FB5" w:rsidR="000E16A9" w:rsidRPr="00576180" w:rsidRDefault="000E16A9" w:rsidP="001620FE">
            <w:pPr>
              <w:pStyle w:val="TableParagraph"/>
              <w:spacing w:before="14"/>
              <w:rPr>
                <w:lang w:val="es-ES_tradnl"/>
              </w:rPr>
            </w:pPr>
            <w:r w:rsidRPr="00576180">
              <w:rPr>
                <w:lang w:val="es-ES_tradnl"/>
              </w:rPr>
              <w:t>GFS</w:t>
            </w:r>
          </w:p>
        </w:tc>
        <w:tc>
          <w:tcPr>
            <w:tcW w:w="7779" w:type="dxa"/>
          </w:tcPr>
          <w:p w14:paraId="301DDEE3" w14:textId="77777777" w:rsidR="001620FE" w:rsidRPr="00576180" w:rsidRDefault="001620FE" w:rsidP="001620FE">
            <w:pPr>
              <w:pStyle w:val="TableParagraph"/>
              <w:spacing w:before="14"/>
              <w:rPr>
                <w:bCs/>
                <w:lang w:val="es-ES_tradnl"/>
              </w:rPr>
            </w:pPr>
            <w:r w:rsidRPr="00576180">
              <w:rPr>
                <w:bCs/>
                <w:i/>
                <w:lang w:val="es-ES_tradnl"/>
              </w:rPr>
              <w:t xml:space="preserve">Global </w:t>
            </w:r>
            <w:proofErr w:type="spellStart"/>
            <w:r w:rsidRPr="00576180">
              <w:rPr>
                <w:bCs/>
                <w:i/>
                <w:lang w:val="es-ES_tradnl"/>
              </w:rPr>
              <w:t>Competitiveness</w:t>
            </w:r>
            <w:proofErr w:type="spellEnd"/>
            <w:r w:rsidRPr="00576180">
              <w:rPr>
                <w:bCs/>
                <w:i/>
                <w:lang w:val="es-ES_tradnl"/>
              </w:rPr>
              <w:t xml:space="preserve"> </w:t>
            </w:r>
            <w:proofErr w:type="spellStart"/>
            <w:r w:rsidRPr="00576180">
              <w:rPr>
                <w:bCs/>
                <w:i/>
                <w:lang w:val="es-ES_tradnl"/>
              </w:rPr>
              <w:t>Index</w:t>
            </w:r>
            <w:proofErr w:type="spellEnd"/>
            <w:r w:rsidRPr="00576180">
              <w:rPr>
                <w:bCs/>
                <w:lang w:val="es-ES_tradnl"/>
              </w:rPr>
              <w:t xml:space="preserve"> (Índice de Competitividad Global)</w:t>
            </w:r>
          </w:p>
          <w:p w14:paraId="77BFCF16" w14:textId="04FC7433" w:rsidR="000E16A9" w:rsidRPr="00576180" w:rsidRDefault="000E16A9" w:rsidP="001620FE">
            <w:pPr>
              <w:pStyle w:val="TableParagraph"/>
              <w:spacing w:before="14"/>
              <w:rPr>
                <w:lang w:val="es-ES_tradnl"/>
              </w:rPr>
            </w:pPr>
            <w:r w:rsidRPr="00576180">
              <w:rPr>
                <w:rFonts w:eastAsia="Times New Roman"/>
                <w:lang w:val="es-ES_tradnl"/>
              </w:rPr>
              <w:t>Estadísticas Financieras Gubernamentales</w:t>
            </w:r>
          </w:p>
        </w:tc>
      </w:tr>
      <w:tr w:rsidR="001620FE" w:rsidRPr="00576180" w14:paraId="59345800" w14:textId="77777777" w:rsidTr="00D17FF5">
        <w:trPr>
          <w:trHeight w:val="265"/>
          <w:jc w:val="center"/>
        </w:trPr>
        <w:tc>
          <w:tcPr>
            <w:tcW w:w="1311" w:type="dxa"/>
          </w:tcPr>
          <w:p w14:paraId="2DE42E36" w14:textId="77777777" w:rsidR="001620FE" w:rsidRPr="00576180" w:rsidRDefault="001620FE" w:rsidP="001620FE">
            <w:pPr>
              <w:pStyle w:val="TableParagraph"/>
              <w:spacing w:before="14"/>
              <w:rPr>
                <w:lang w:val="es-ES_tradnl"/>
              </w:rPr>
            </w:pPr>
            <w:r w:rsidRPr="00576180">
              <w:rPr>
                <w:bCs/>
                <w:lang w:val="es-ES_tradnl"/>
              </w:rPr>
              <w:t>MEF</w:t>
            </w:r>
          </w:p>
        </w:tc>
        <w:tc>
          <w:tcPr>
            <w:tcW w:w="7779" w:type="dxa"/>
          </w:tcPr>
          <w:p w14:paraId="25CD8A03" w14:textId="77777777" w:rsidR="001620FE" w:rsidRPr="00576180" w:rsidRDefault="001620FE" w:rsidP="001620FE">
            <w:pPr>
              <w:pStyle w:val="TableParagraph"/>
              <w:spacing w:before="14"/>
              <w:rPr>
                <w:lang w:val="es-ES_tradnl"/>
              </w:rPr>
            </w:pPr>
            <w:r w:rsidRPr="00576180">
              <w:rPr>
                <w:bCs/>
                <w:lang w:val="es-ES_tradnl"/>
              </w:rPr>
              <w:t>Ministerio de Economía y Finanzas</w:t>
            </w:r>
          </w:p>
        </w:tc>
      </w:tr>
      <w:tr w:rsidR="001620FE" w:rsidRPr="00576180" w14:paraId="2FCF7834" w14:textId="77777777" w:rsidTr="00D17FF5">
        <w:trPr>
          <w:trHeight w:val="264"/>
          <w:jc w:val="center"/>
        </w:trPr>
        <w:tc>
          <w:tcPr>
            <w:tcW w:w="1311" w:type="dxa"/>
          </w:tcPr>
          <w:p w14:paraId="7FF2B27E" w14:textId="77777777" w:rsidR="001620FE" w:rsidRPr="00576180" w:rsidRDefault="001620FE" w:rsidP="001620FE">
            <w:pPr>
              <w:pStyle w:val="TableParagraph"/>
              <w:spacing w:before="13"/>
              <w:rPr>
                <w:bCs/>
                <w:lang w:val="es-ES_tradnl"/>
              </w:rPr>
            </w:pPr>
            <w:r w:rsidRPr="00576180">
              <w:rPr>
                <w:bCs/>
                <w:lang w:val="es-ES_tradnl"/>
              </w:rPr>
              <w:t>OE</w:t>
            </w:r>
          </w:p>
          <w:p w14:paraId="4820D9B5" w14:textId="7012DE53" w:rsidR="00146BF4" w:rsidRPr="00576180" w:rsidRDefault="00146BF4" w:rsidP="001620FE">
            <w:pPr>
              <w:pStyle w:val="TableParagraph"/>
              <w:spacing w:before="13"/>
              <w:rPr>
                <w:lang w:val="es-ES_tradnl"/>
              </w:rPr>
            </w:pPr>
            <w:r w:rsidRPr="00576180">
              <w:rPr>
                <w:lang w:val="es-ES_tradnl"/>
              </w:rPr>
              <w:t>OGI</w:t>
            </w:r>
          </w:p>
        </w:tc>
        <w:tc>
          <w:tcPr>
            <w:tcW w:w="7779" w:type="dxa"/>
          </w:tcPr>
          <w:p w14:paraId="4891B419" w14:textId="77777777" w:rsidR="001620FE" w:rsidRPr="00576180" w:rsidRDefault="001620FE" w:rsidP="001620FE">
            <w:pPr>
              <w:pStyle w:val="TableParagraph"/>
              <w:spacing w:before="13"/>
              <w:rPr>
                <w:bCs/>
                <w:lang w:val="es-ES_tradnl"/>
              </w:rPr>
            </w:pPr>
            <w:r w:rsidRPr="00576180">
              <w:rPr>
                <w:bCs/>
                <w:lang w:val="es-ES_tradnl"/>
              </w:rPr>
              <w:t>Organismo Ejecutor</w:t>
            </w:r>
          </w:p>
          <w:p w14:paraId="2F4CC933" w14:textId="18B7064A" w:rsidR="00146BF4" w:rsidRPr="00576180" w:rsidRDefault="00146BF4" w:rsidP="001620FE">
            <w:pPr>
              <w:pStyle w:val="TableParagraph"/>
              <w:spacing w:before="13"/>
              <w:rPr>
                <w:lang w:val="es-ES_tradnl"/>
              </w:rPr>
            </w:pPr>
            <w:r w:rsidRPr="00576180">
              <w:rPr>
                <w:rFonts w:eastAsia="Times New Roman"/>
                <w:lang w:val="es-ES_tradnl"/>
              </w:rPr>
              <w:t>Oficina General de Informática y Estadística</w:t>
            </w:r>
          </w:p>
        </w:tc>
      </w:tr>
      <w:tr w:rsidR="001620FE" w:rsidRPr="00576180" w14:paraId="26EB8E3A" w14:textId="77777777" w:rsidTr="00D17FF5">
        <w:trPr>
          <w:trHeight w:val="263"/>
          <w:jc w:val="center"/>
        </w:trPr>
        <w:tc>
          <w:tcPr>
            <w:tcW w:w="1311" w:type="dxa"/>
          </w:tcPr>
          <w:p w14:paraId="45433217" w14:textId="77777777" w:rsidR="001620FE" w:rsidRPr="00576180" w:rsidRDefault="001620FE" w:rsidP="001620FE">
            <w:pPr>
              <w:pStyle w:val="TableParagraph"/>
              <w:spacing w:before="13"/>
              <w:rPr>
                <w:lang w:val="es-ES_tradnl"/>
              </w:rPr>
            </w:pPr>
            <w:r w:rsidRPr="00576180">
              <w:rPr>
                <w:bCs/>
                <w:lang w:val="es-ES_tradnl"/>
              </w:rPr>
              <w:t>OGTI</w:t>
            </w:r>
          </w:p>
        </w:tc>
        <w:tc>
          <w:tcPr>
            <w:tcW w:w="7779" w:type="dxa"/>
          </w:tcPr>
          <w:p w14:paraId="3DE575F8" w14:textId="77777777" w:rsidR="001620FE" w:rsidRPr="00576180" w:rsidRDefault="001620FE" w:rsidP="001620FE">
            <w:pPr>
              <w:pStyle w:val="TableParagraph"/>
              <w:spacing w:before="13"/>
              <w:rPr>
                <w:lang w:val="es-ES_tradnl"/>
              </w:rPr>
            </w:pPr>
            <w:r w:rsidRPr="00576180">
              <w:rPr>
                <w:bCs/>
                <w:lang w:val="es-ES_tradnl"/>
              </w:rPr>
              <w:t>Oficina General de Tecnologías de la Información</w:t>
            </w:r>
          </w:p>
        </w:tc>
      </w:tr>
      <w:tr w:rsidR="001620FE" w:rsidRPr="00576180" w14:paraId="76956568" w14:textId="77777777" w:rsidTr="00D17FF5">
        <w:trPr>
          <w:trHeight w:val="264"/>
          <w:jc w:val="center"/>
        </w:trPr>
        <w:tc>
          <w:tcPr>
            <w:tcW w:w="1311" w:type="dxa"/>
          </w:tcPr>
          <w:p w14:paraId="466C7A8D" w14:textId="77777777" w:rsidR="001620FE" w:rsidRPr="00576180" w:rsidRDefault="001620FE" w:rsidP="001620FE">
            <w:pPr>
              <w:pStyle w:val="TableParagraph"/>
              <w:spacing w:before="13"/>
              <w:rPr>
                <w:bCs/>
                <w:lang w:val="es-ES_tradnl"/>
              </w:rPr>
            </w:pPr>
            <w:proofErr w:type="spellStart"/>
            <w:r w:rsidRPr="00576180">
              <w:rPr>
                <w:bCs/>
                <w:lang w:val="es-ES_tradnl"/>
              </w:rPr>
              <w:t>ORs</w:t>
            </w:r>
            <w:proofErr w:type="spellEnd"/>
          </w:p>
          <w:p w14:paraId="35BC0676" w14:textId="42FE2FD9" w:rsidR="00FB443E" w:rsidRPr="00576180" w:rsidRDefault="00FB443E" w:rsidP="001620FE">
            <w:pPr>
              <w:pStyle w:val="TableParagraph"/>
              <w:spacing w:before="13"/>
              <w:rPr>
                <w:lang w:val="es-ES_tradnl"/>
              </w:rPr>
            </w:pPr>
            <w:r w:rsidRPr="00576180">
              <w:rPr>
                <w:lang w:val="es-ES_tradnl"/>
              </w:rPr>
              <w:t>PCR</w:t>
            </w:r>
          </w:p>
        </w:tc>
        <w:tc>
          <w:tcPr>
            <w:tcW w:w="7779" w:type="dxa"/>
          </w:tcPr>
          <w:p w14:paraId="0BEC8D5D" w14:textId="77777777" w:rsidR="001620FE" w:rsidRPr="00576180" w:rsidRDefault="001620FE" w:rsidP="001620FE">
            <w:pPr>
              <w:pStyle w:val="TableParagraph"/>
              <w:spacing w:before="13"/>
              <w:rPr>
                <w:bCs/>
                <w:lang w:val="es-ES_tradnl"/>
              </w:rPr>
            </w:pPr>
            <w:r w:rsidRPr="00576180">
              <w:rPr>
                <w:bCs/>
                <w:lang w:val="es-ES_tradnl"/>
              </w:rPr>
              <w:t>Órganos Rectores</w:t>
            </w:r>
          </w:p>
          <w:p w14:paraId="0950A9F9" w14:textId="1A7B323A" w:rsidR="00FB443E" w:rsidRPr="00576180" w:rsidRDefault="00FB443E" w:rsidP="001620FE">
            <w:pPr>
              <w:pStyle w:val="TableParagraph"/>
              <w:spacing w:before="13"/>
              <w:rPr>
                <w:lang w:val="es-ES_tradnl"/>
              </w:rPr>
            </w:pPr>
            <w:r w:rsidRPr="00576180">
              <w:rPr>
                <w:i/>
                <w:lang w:val="es-ES_tradnl"/>
              </w:rPr>
              <w:t xml:space="preserve">Project </w:t>
            </w:r>
            <w:proofErr w:type="spellStart"/>
            <w:r w:rsidRPr="00576180">
              <w:rPr>
                <w:i/>
                <w:lang w:val="es-ES_tradnl"/>
              </w:rPr>
              <w:t>completion</w:t>
            </w:r>
            <w:proofErr w:type="spellEnd"/>
            <w:r w:rsidRPr="00576180">
              <w:rPr>
                <w:i/>
                <w:lang w:val="es-ES_tradnl"/>
              </w:rPr>
              <w:t xml:space="preserve"> </w:t>
            </w:r>
            <w:proofErr w:type="spellStart"/>
            <w:r w:rsidRPr="00576180">
              <w:rPr>
                <w:i/>
                <w:lang w:val="es-ES_tradnl"/>
              </w:rPr>
              <w:t>report</w:t>
            </w:r>
            <w:proofErr w:type="spellEnd"/>
            <w:r w:rsidRPr="00576180">
              <w:rPr>
                <w:lang w:val="es-ES_tradnl"/>
              </w:rPr>
              <w:t xml:space="preserve"> (informe de terminación del proyecto)</w:t>
            </w:r>
          </w:p>
        </w:tc>
      </w:tr>
      <w:tr w:rsidR="001620FE" w:rsidRPr="00576180" w14:paraId="7710269B" w14:textId="77777777" w:rsidTr="00D17FF5">
        <w:trPr>
          <w:trHeight w:val="265"/>
          <w:jc w:val="center"/>
        </w:trPr>
        <w:tc>
          <w:tcPr>
            <w:tcW w:w="1311" w:type="dxa"/>
          </w:tcPr>
          <w:p w14:paraId="18FF68DB" w14:textId="77777777" w:rsidR="001620FE" w:rsidRPr="00576180" w:rsidRDefault="001620FE" w:rsidP="001620FE">
            <w:pPr>
              <w:pStyle w:val="TableParagraph"/>
              <w:spacing w:before="13"/>
              <w:rPr>
                <w:bCs/>
                <w:lang w:val="es-ES_tradnl"/>
              </w:rPr>
            </w:pPr>
            <w:r w:rsidRPr="00576180">
              <w:rPr>
                <w:bCs/>
                <w:lang w:val="es-ES_tradnl"/>
              </w:rPr>
              <w:t>PEFA</w:t>
            </w:r>
          </w:p>
          <w:p w14:paraId="0940AEEC" w14:textId="77777777" w:rsidR="00F43F16" w:rsidRPr="00576180" w:rsidRDefault="00F43F16" w:rsidP="001620FE">
            <w:pPr>
              <w:pStyle w:val="TableParagraph"/>
              <w:spacing w:before="13"/>
              <w:rPr>
                <w:lang w:val="es-ES_tradnl"/>
              </w:rPr>
            </w:pPr>
          </w:p>
          <w:p w14:paraId="5C605093" w14:textId="1FB33DF4" w:rsidR="00F43F16" w:rsidRPr="00576180" w:rsidRDefault="00F43F16" w:rsidP="001620FE">
            <w:pPr>
              <w:pStyle w:val="TableParagraph"/>
              <w:spacing w:before="13"/>
              <w:rPr>
                <w:lang w:val="es-ES_tradnl"/>
              </w:rPr>
            </w:pPr>
            <w:r w:rsidRPr="00576180">
              <w:rPr>
                <w:lang w:val="es-ES_tradnl"/>
              </w:rPr>
              <w:t>PIB</w:t>
            </w:r>
          </w:p>
        </w:tc>
        <w:tc>
          <w:tcPr>
            <w:tcW w:w="7779" w:type="dxa"/>
          </w:tcPr>
          <w:p w14:paraId="0B95B2BD" w14:textId="77777777" w:rsidR="001620FE" w:rsidRPr="00576180" w:rsidRDefault="001620FE" w:rsidP="001620FE">
            <w:pPr>
              <w:pStyle w:val="TableParagraph"/>
              <w:spacing w:before="13"/>
              <w:rPr>
                <w:bCs/>
                <w:lang w:val="es-ES_tradnl"/>
              </w:rPr>
            </w:pPr>
            <w:proofErr w:type="spellStart"/>
            <w:r w:rsidRPr="00576180">
              <w:rPr>
                <w:bCs/>
                <w:i/>
                <w:lang w:val="es-ES_tradnl"/>
              </w:rPr>
              <w:t>Public</w:t>
            </w:r>
            <w:proofErr w:type="spellEnd"/>
            <w:r w:rsidRPr="00576180">
              <w:rPr>
                <w:bCs/>
                <w:i/>
                <w:lang w:val="es-ES_tradnl"/>
              </w:rPr>
              <w:t xml:space="preserve"> </w:t>
            </w:r>
            <w:proofErr w:type="spellStart"/>
            <w:r w:rsidRPr="00576180">
              <w:rPr>
                <w:bCs/>
                <w:i/>
                <w:lang w:val="es-ES_tradnl"/>
              </w:rPr>
              <w:t>Expenditure</w:t>
            </w:r>
            <w:proofErr w:type="spellEnd"/>
            <w:r w:rsidRPr="00576180">
              <w:rPr>
                <w:bCs/>
                <w:i/>
                <w:lang w:val="es-ES_tradnl"/>
              </w:rPr>
              <w:t xml:space="preserve"> &amp; </w:t>
            </w:r>
            <w:proofErr w:type="spellStart"/>
            <w:r w:rsidRPr="00576180">
              <w:rPr>
                <w:bCs/>
                <w:i/>
                <w:lang w:val="es-ES_tradnl"/>
              </w:rPr>
              <w:t>Financial</w:t>
            </w:r>
            <w:proofErr w:type="spellEnd"/>
            <w:r w:rsidRPr="00576180">
              <w:rPr>
                <w:bCs/>
                <w:i/>
                <w:lang w:val="es-ES_tradnl"/>
              </w:rPr>
              <w:t xml:space="preserve"> </w:t>
            </w:r>
            <w:proofErr w:type="spellStart"/>
            <w:r w:rsidRPr="00576180">
              <w:rPr>
                <w:bCs/>
                <w:i/>
                <w:lang w:val="es-ES_tradnl"/>
              </w:rPr>
              <w:t>Accountability</w:t>
            </w:r>
            <w:proofErr w:type="spellEnd"/>
            <w:r w:rsidRPr="00576180">
              <w:rPr>
                <w:bCs/>
                <w:lang w:val="es-ES_tradnl"/>
              </w:rPr>
              <w:t xml:space="preserve"> - Informe de la</w:t>
            </w:r>
            <w:r w:rsidRPr="00576180">
              <w:rPr>
                <w:bCs/>
                <w:lang w:val="es-ES_tradnl"/>
              </w:rPr>
              <w:br/>
              <w:t>Gestión de las Finanzas Públicas</w:t>
            </w:r>
          </w:p>
          <w:p w14:paraId="75FFF2BD" w14:textId="169CFEE7" w:rsidR="00F43F16" w:rsidRPr="00576180" w:rsidRDefault="00F43F16" w:rsidP="001620FE">
            <w:pPr>
              <w:pStyle w:val="TableParagraph"/>
              <w:spacing w:before="13"/>
              <w:rPr>
                <w:lang w:val="es-ES_tradnl"/>
              </w:rPr>
            </w:pPr>
            <w:r w:rsidRPr="00576180">
              <w:rPr>
                <w:lang w:val="es-ES_tradnl"/>
              </w:rPr>
              <w:t>Producto interno bruto</w:t>
            </w:r>
          </w:p>
        </w:tc>
      </w:tr>
      <w:tr w:rsidR="001620FE" w:rsidRPr="00576180" w14:paraId="6838BB58" w14:textId="77777777" w:rsidTr="00D17FF5">
        <w:trPr>
          <w:trHeight w:val="265"/>
          <w:jc w:val="center"/>
        </w:trPr>
        <w:tc>
          <w:tcPr>
            <w:tcW w:w="1311" w:type="dxa"/>
          </w:tcPr>
          <w:p w14:paraId="41A60284" w14:textId="77777777" w:rsidR="001620FE" w:rsidRPr="00576180" w:rsidRDefault="001620FE" w:rsidP="001620FE">
            <w:pPr>
              <w:pStyle w:val="TableParagraph"/>
              <w:spacing w:before="15"/>
              <w:rPr>
                <w:lang w:val="es-ES_tradnl"/>
              </w:rPr>
            </w:pPr>
            <w:r w:rsidRPr="00576180">
              <w:rPr>
                <w:bCs/>
                <w:lang w:val="es-ES_tradnl"/>
              </w:rPr>
              <w:t>PMR</w:t>
            </w:r>
          </w:p>
        </w:tc>
        <w:tc>
          <w:tcPr>
            <w:tcW w:w="7779" w:type="dxa"/>
          </w:tcPr>
          <w:p w14:paraId="18BB65AF" w14:textId="77777777" w:rsidR="001620FE" w:rsidRPr="00576180" w:rsidRDefault="001620FE" w:rsidP="001620FE">
            <w:pPr>
              <w:pStyle w:val="TableParagraph"/>
              <w:spacing w:before="15"/>
              <w:rPr>
                <w:lang w:val="es-ES_tradnl"/>
              </w:rPr>
            </w:pPr>
            <w:r w:rsidRPr="00576180">
              <w:rPr>
                <w:bCs/>
                <w:lang w:val="es-ES_tradnl"/>
              </w:rPr>
              <w:t xml:space="preserve">Project Management </w:t>
            </w:r>
            <w:proofErr w:type="spellStart"/>
            <w:r w:rsidRPr="00576180">
              <w:rPr>
                <w:bCs/>
                <w:lang w:val="es-ES_tradnl"/>
              </w:rPr>
              <w:t>Report</w:t>
            </w:r>
            <w:proofErr w:type="spellEnd"/>
          </w:p>
        </w:tc>
      </w:tr>
      <w:tr w:rsidR="001620FE" w:rsidRPr="00576180" w14:paraId="0507F924" w14:textId="77777777" w:rsidTr="00D17FF5">
        <w:trPr>
          <w:trHeight w:val="264"/>
          <w:jc w:val="center"/>
        </w:trPr>
        <w:tc>
          <w:tcPr>
            <w:tcW w:w="1311" w:type="dxa"/>
          </w:tcPr>
          <w:p w14:paraId="7EB11280" w14:textId="77777777" w:rsidR="001620FE" w:rsidRPr="00576180" w:rsidRDefault="001620FE" w:rsidP="001620FE">
            <w:pPr>
              <w:pStyle w:val="TableParagraph"/>
              <w:spacing w:before="13"/>
              <w:rPr>
                <w:bCs/>
                <w:lang w:val="es-ES_tradnl"/>
              </w:rPr>
            </w:pPr>
            <w:r w:rsidRPr="00576180">
              <w:rPr>
                <w:bCs/>
                <w:lang w:val="es-ES_tradnl"/>
              </w:rPr>
              <w:t>POA</w:t>
            </w:r>
          </w:p>
          <w:p w14:paraId="637817D4" w14:textId="4EDAF6AA" w:rsidR="00146BF4" w:rsidRPr="00576180" w:rsidRDefault="00146BF4" w:rsidP="001620FE">
            <w:pPr>
              <w:pStyle w:val="TableParagraph"/>
              <w:spacing w:before="13"/>
              <w:rPr>
                <w:lang w:val="es-ES_tradnl"/>
              </w:rPr>
            </w:pPr>
            <w:proofErr w:type="spellStart"/>
            <w:r w:rsidRPr="00576180">
              <w:rPr>
                <w:lang w:val="es-ES_tradnl"/>
              </w:rPr>
              <w:t>PpR</w:t>
            </w:r>
            <w:proofErr w:type="spellEnd"/>
          </w:p>
        </w:tc>
        <w:tc>
          <w:tcPr>
            <w:tcW w:w="7779" w:type="dxa"/>
          </w:tcPr>
          <w:p w14:paraId="44F3805B" w14:textId="77777777" w:rsidR="001620FE" w:rsidRPr="00576180" w:rsidRDefault="001620FE" w:rsidP="001620FE">
            <w:pPr>
              <w:pStyle w:val="TableParagraph"/>
              <w:spacing w:before="13"/>
              <w:rPr>
                <w:bCs/>
                <w:lang w:val="es-ES_tradnl"/>
              </w:rPr>
            </w:pPr>
            <w:r w:rsidRPr="00576180">
              <w:rPr>
                <w:bCs/>
                <w:lang w:val="es-ES_tradnl"/>
              </w:rPr>
              <w:t>Plan Operativo Anual</w:t>
            </w:r>
          </w:p>
          <w:p w14:paraId="1136F955" w14:textId="0580AD8F" w:rsidR="00146BF4" w:rsidRPr="00576180" w:rsidRDefault="00146BF4" w:rsidP="001620FE">
            <w:pPr>
              <w:pStyle w:val="TableParagraph"/>
              <w:spacing w:before="13"/>
              <w:rPr>
                <w:lang w:val="es-ES_tradnl"/>
              </w:rPr>
            </w:pPr>
            <w:r w:rsidRPr="00576180">
              <w:rPr>
                <w:lang w:val="es-ES_tradnl"/>
              </w:rPr>
              <w:t>Presupuesto por resultados</w:t>
            </w:r>
          </w:p>
        </w:tc>
      </w:tr>
      <w:tr w:rsidR="001620FE" w:rsidRPr="00576180" w14:paraId="4F3783E8" w14:textId="77777777" w:rsidTr="00D17FF5">
        <w:trPr>
          <w:trHeight w:val="117"/>
          <w:jc w:val="center"/>
        </w:trPr>
        <w:tc>
          <w:tcPr>
            <w:tcW w:w="1311" w:type="dxa"/>
          </w:tcPr>
          <w:p w14:paraId="1DED8397" w14:textId="77777777" w:rsidR="001620FE" w:rsidRPr="00576180" w:rsidRDefault="001620FE" w:rsidP="001620FE">
            <w:pPr>
              <w:pStyle w:val="TableParagraph"/>
              <w:spacing w:before="34"/>
              <w:rPr>
                <w:lang w:val="es-ES_tradnl"/>
              </w:rPr>
            </w:pPr>
            <w:r w:rsidRPr="00576180">
              <w:rPr>
                <w:bCs/>
                <w:lang w:val="es-ES_tradnl"/>
              </w:rPr>
              <w:t>RRHH</w:t>
            </w:r>
          </w:p>
        </w:tc>
        <w:tc>
          <w:tcPr>
            <w:tcW w:w="7779" w:type="dxa"/>
          </w:tcPr>
          <w:p w14:paraId="3BDE0375" w14:textId="77777777" w:rsidR="001620FE" w:rsidRPr="00576180" w:rsidRDefault="001620FE" w:rsidP="001620FE">
            <w:pPr>
              <w:pStyle w:val="TableParagraph"/>
              <w:spacing w:before="34"/>
              <w:rPr>
                <w:lang w:val="es-ES_tradnl"/>
              </w:rPr>
            </w:pPr>
            <w:r w:rsidRPr="00576180">
              <w:rPr>
                <w:bCs/>
                <w:lang w:val="es-ES_tradnl"/>
              </w:rPr>
              <w:t>Recursos Humanos</w:t>
            </w:r>
          </w:p>
        </w:tc>
      </w:tr>
      <w:tr w:rsidR="001620FE" w:rsidRPr="00576180" w14:paraId="2D9F86E9" w14:textId="77777777" w:rsidTr="00D17FF5">
        <w:trPr>
          <w:trHeight w:val="68"/>
          <w:jc w:val="center"/>
        </w:trPr>
        <w:tc>
          <w:tcPr>
            <w:tcW w:w="1311" w:type="dxa"/>
          </w:tcPr>
          <w:p w14:paraId="1FCC4468" w14:textId="77777777" w:rsidR="001620FE" w:rsidRPr="00576180" w:rsidRDefault="001620FE" w:rsidP="001620FE">
            <w:pPr>
              <w:pStyle w:val="TableParagraph"/>
              <w:spacing w:before="37" w:line="229" w:lineRule="exact"/>
              <w:rPr>
                <w:lang w:val="es-ES_tradnl"/>
              </w:rPr>
            </w:pPr>
            <w:r w:rsidRPr="00576180">
              <w:rPr>
                <w:bCs/>
                <w:lang w:val="es-ES_tradnl"/>
              </w:rPr>
              <w:t>SAFI</w:t>
            </w:r>
          </w:p>
        </w:tc>
        <w:tc>
          <w:tcPr>
            <w:tcW w:w="7779" w:type="dxa"/>
          </w:tcPr>
          <w:p w14:paraId="7A691D8C" w14:textId="77777777" w:rsidR="001620FE" w:rsidRPr="00576180" w:rsidRDefault="001620FE" w:rsidP="001620FE">
            <w:pPr>
              <w:pStyle w:val="TableParagraph"/>
              <w:spacing w:before="37" w:line="229" w:lineRule="exact"/>
              <w:rPr>
                <w:lang w:val="es-ES_tradnl"/>
              </w:rPr>
            </w:pPr>
            <w:r w:rsidRPr="00576180">
              <w:rPr>
                <w:bCs/>
                <w:lang w:val="es-ES_tradnl"/>
              </w:rPr>
              <w:t>Comité de Coordinación de la Administración Financiera del Sector Público</w:t>
            </w:r>
          </w:p>
        </w:tc>
      </w:tr>
      <w:tr w:rsidR="001620FE" w:rsidRPr="00576180" w14:paraId="5E41A182" w14:textId="77777777" w:rsidTr="00D17FF5">
        <w:trPr>
          <w:trHeight w:val="265"/>
          <w:jc w:val="center"/>
        </w:trPr>
        <w:tc>
          <w:tcPr>
            <w:tcW w:w="1311" w:type="dxa"/>
          </w:tcPr>
          <w:p w14:paraId="5C0766A5" w14:textId="77777777" w:rsidR="001620FE" w:rsidRPr="00576180" w:rsidRDefault="001620FE" w:rsidP="001620FE">
            <w:pPr>
              <w:pStyle w:val="TableParagraph"/>
              <w:spacing w:before="14"/>
              <w:rPr>
                <w:lang w:val="es-ES_tradnl"/>
              </w:rPr>
            </w:pPr>
            <w:r w:rsidRPr="00576180">
              <w:rPr>
                <w:bCs/>
                <w:lang w:val="es-ES_tradnl"/>
              </w:rPr>
              <w:t>SIAF</w:t>
            </w:r>
          </w:p>
        </w:tc>
        <w:tc>
          <w:tcPr>
            <w:tcW w:w="7779" w:type="dxa"/>
          </w:tcPr>
          <w:p w14:paraId="22F9A528" w14:textId="77777777" w:rsidR="001620FE" w:rsidRPr="00576180" w:rsidRDefault="001620FE" w:rsidP="001620FE">
            <w:pPr>
              <w:pStyle w:val="TableParagraph"/>
              <w:spacing w:before="12"/>
              <w:rPr>
                <w:i/>
                <w:lang w:val="es-ES_tradnl"/>
              </w:rPr>
            </w:pPr>
            <w:r w:rsidRPr="00576180">
              <w:rPr>
                <w:bCs/>
                <w:lang w:val="es-ES_tradnl"/>
              </w:rPr>
              <w:t>Sistema Integrado de Administración Financiera</w:t>
            </w:r>
          </w:p>
        </w:tc>
      </w:tr>
      <w:tr w:rsidR="001620FE" w:rsidRPr="00576180" w14:paraId="257EB696" w14:textId="77777777" w:rsidTr="00D17FF5">
        <w:trPr>
          <w:trHeight w:val="263"/>
          <w:jc w:val="center"/>
        </w:trPr>
        <w:tc>
          <w:tcPr>
            <w:tcW w:w="1311" w:type="dxa"/>
          </w:tcPr>
          <w:p w14:paraId="16DDD7FD" w14:textId="77777777" w:rsidR="001620FE" w:rsidRPr="00576180" w:rsidRDefault="001620FE" w:rsidP="001620FE">
            <w:pPr>
              <w:pStyle w:val="TableParagraph"/>
              <w:spacing w:before="13"/>
              <w:rPr>
                <w:lang w:val="es-ES_tradnl"/>
              </w:rPr>
            </w:pPr>
            <w:r w:rsidRPr="00576180">
              <w:rPr>
                <w:bCs/>
                <w:lang w:val="es-ES_tradnl"/>
              </w:rPr>
              <w:t>SIAF-SP</w:t>
            </w:r>
          </w:p>
        </w:tc>
        <w:tc>
          <w:tcPr>
            <w:tcW w:w="7779" w:type="dxa"/>
          </w:tcPr>
          <w:p w14:paraId="57B3BDA1" w14:textId="77777777" w:rsidR="001620FE" w:rsidRPr="00576180" w:rsidRDefault="001620FE" w:rsidP="001620FE">
            <w:pPr>
              <w:pStyle w:val="TableParagraph"/>
              <w:spacing w:before="13"/>
              <w:rPr>
                <w:lang w:val="es-ES_tradnl"/>
              </w:rPr>
            </w:pPr>
            <w:r w:rsidRPr="00576180">
              <w:rPr>
                <w:bCs/>
                <w:lang w:val="es-ES_tradnl"/>
              </w:rPr>
              <w:t>Sistema Integrado de Administración Financiera del Sector Público</w:t>
            </w:r>
          </w:p>
        </w:tc>
      </w:tr>
      <w:tr w:rsidR="001620FE" w:rsidRPr="00576180" w14:paraId="5F18905A" w14:textId="77777777" w:rsidTr="00D17FF5">
        <w:trPr>
          <w:trHeight w:val="264"/>
          <w:jc w:val="center"/>
        </w:trPr>
        <w:tc>
          <w:tcPr>
            <w:tcW w:w="1311" w:type="dxa"/>
          </w:tcPr>
          <w:p w14:paraId="2FF2E323" w14:textId="77777777" w:rsidR="001620FE" w:rsidRPr="00576180" w:rsidRDefault="001620FE" w:rsidP="001620FE">
            <w:pPr>
              <w:pStyle w:val="TableParagraph"/>
              <w:spacing w:before="13"/>
              <w:rPr>
                <w:bCs/>
                <w:lang w:val="es-ES_tradnl"/>
              </w:rPr>
            </w:pPr>
            <w:r w:rsidRPr="00576180">
              <w:rPr>
                <w:bCs/>
                <w:lang w:val="es-ES_tradnl"/>
              </w:rPr>
              <w:t>SIGA</w:t>
            </w:r>
          </w:p>
          <w:p w14:paraId="092F5DF4" w14:textId="6B944359" w:rsidR="00F43F16" w:rsidRPr="00576180" w:rsidRDefault="00F43F16" w:rsidP="001620FE">
            <w:pPr>
              <w:pStyle w:val="TableParagraph"/>
              <w:spacing w:before="13"/>
              <w:rPr>
                <w:lang w:val="es-ES_tradnl"/>
              </w:rPr>
            </w:pPr>
            <w:r w:rsidRPr="00576180">
              <w:rPr>
                <w:lang w:val="es-ES_tradnl"/>
              </w:rPr>
              <w:t>TIR</w:t>
            </w:r>
          </w:p>
        </w:tc>
        <w:tc>
          <w:tcPr>
            <w:tcW w:w="7779" w:type="dxa"/>
          </w:tcPr>
          <w:p w14:paraId="460B75E1" w14:textId="77777777" w:rsidR="001620FE" w:rsidRPr="00576180" w:rsidRDefault="001620FE" w:rsidP="001620FE">
            <w:pPr>
              <w:pStyle w:val="TableParagraph"/>
              <w:spacing w:before="13"/>
              <w:rPr>
                <w:bCs/>
                <w:lang w:val="es-ES_tradnl"/>
              </w:rPr>
            </w:pPr>
            <w:r w:rsidRPr="00576180">
              <w:rPr>
                <w:bCs/>
                <w:lang w:val="es-ES_tradnl"/>
              </w:rPr>
              <w:t>Sistema Integrado de Gestión Administrativa</w:t>
            </w:r>
          </w:p>
          <w:p w14:paraId="79341BB9" w14:textId="68C2FA95" w:rsidR="00F43F16" w:rsidRPr="00576180" w:rsidRDefault="00F43F16" w:rsidP="001620FE">
            <w:pPr>
              <w:pStyle w:val="TableParagraph"/>
              <w:spacing w:before="13"/>
              <w:rPr>
                <w:lang w:val="es-ES_tradnl"/>
              </w:rPr>
            </w:pPr>
            <w:r w:rsidRPr="00576180">
              <w:rPr>
                <w:lang w:val="es-ES_tradnl"/>
              </w:rPr>
              <w:t>Tasa interna de retorno</w:t>
            </w:r>
          </w:p>
        </w:tc>
      </w:tr>
      <w:tr w:rsidR="001620FE" w:rsidRPr="00576180" w14:paraId="2D9894C8" w14:textId="77777777" w:rsidTr="00D17FF5">
        <w:trPr>
          <w:trHeight w:val="265"/>
          <w:jc w:val="center"/>
        </w:trPr>
        <w:tc>
          <w:tcPr>
            <w:tcW w:w="1311" w:type="dxa"/>
          </w:tcPr>
          <w:p w14:paraId="7DC368BC" w14:textId="77777777" w:rsidR="001620FE" w:rsidRPr="00576180" w:rsidRDefault="001620FE" w:rsidP="001620FE">
            <w:pPr>
              <w:pStyle w:val="TableParagraph"/>
              <w:spacing w:before="14"/>
              <w:rPr>
                <w:lang w:val="es-ES_tradnl"/>
              </w:rPr>
            </w:pPr>
            <w:r w:rsidRPr="00576180">
              <w:rPr>
                <w:bCs/>
                <w:lang w:val="es-ES_tradnl"/>
              </w:rPr>
              <w:t xml:space="preserve">UCPS </w:t>
            </w:r>
          </w:p>
        </w:tc>
        <w:tc>
          <w:tcPr>
            <w:tcW w:w="7779" w:type="dxa"/>
          </w:tcPr>
          <w:p w14:paraId="4C95E5AA" w14:textId="77777777" w:rsidR="001620FE" w:rsidRPr="00576180" w:rsidRDefault="001620FE" w:rsidP="001620FE">
            <w:pPr>
              <w:pStyle w:val="TableParagraph"/>
              <w:spacing w:before="14"/>
              <w:rPr>
                <w:lang w:val="es-ES_tradnl"/>
              </w:rPr>
            </w:pPr>
            <w:r w:rsidRPr="00576180">
              <w:rPr>
                <w:bCs/>
                <w:lang w:val="es-ES_tradnl"/>
              </w:rPr>
              <w:t>Unidad de Coordinación de Préstamos Sectoriales</w:t>
            </w:r>
          </w:p>
        </w:tc>
      </w:tr>
      <w:tr w:rsidR="001620FE" w:rsidRPr="00576180" w14:paraId="203E0663" w14:textId="77777777" w:rsidTr="00D17FF5">
        <w:trPr>
          <w:trHeight w:val="264"/>
          <w:jc w:val="center"/>
        </w:trPr>
        <w:tc>
          <w:tcPr>
            <w:tcW w:w="1311" w:type="dxa"/>
          </w:tcPr>
          <w:p w14:paraId="51909752" w14:textId="77777777" w:rsidR="001620FE" w:rsidRPr="00576180" w:rsidRDefault="001620FE" w:rsidP="001620FE">
            <w:pPr>
              <w:pStyle w:val="TableParagraph"/>
              <w:spacing w:before="13"/>
              <w:rPr>
                <w:lang w:val="es-ES_tradnl"/>
              </w:rPr>
            </w:pPr>
            <w:r w:rsidRPr="00576180">
              <w:rPr>
                <w:bCs/>
                <w:lang w:val="es-ES_tradnl"/>
              </w:rPr>
              <w:t>UE</w:t>
            </w:r>
          </w:p>
        </w:tc>
        <w:tc>
          <w:tcPr>
            <w:tcW w:w="7779" w:type="dxa"/>
          </w:tcPr>
          <w:p w14:paraId="3309F663" w14:textId="77777777" w:rsidR="001620FE" w:rsidRPr="00576180" w:rsidRDefault="001620FE" w:rsidP="001620FE">
            <w:pPr>
              <w:pStyle w:val="TableParagraph"/>
              <w:spacing w:before="13"/>
              <w:rPr>
                <w:lang w:val="es-ES_tradnl"/>
              </w:rPr>
            </w:pPr>
            <w:r w:rsidRPr="00576180">
              <w:rPr>
                <w:bCs/>
                <w:lang w:val="es-ES_tradnl"/>
              </w:rPr>
              <w:t>Unidades Ejecutoras</w:t>
            </w:r>
          </w:p>
        </w:tc>
      </w:tr>
      <w:tr w:rsidR="001620FE" w:rsidRPr="00576180" w14:paraId="34736C8D" w14:textId="77777777" w:rsidTr="00D17FF5">
        <w:trPr>
          <w:trHeight w:val="264"/>
          <w:jc w:val="center"/>
        </w:trPr>
        <w:tc>
          <w:tcPr>
            <w:tcW w:w="1311" w:type="dxa"/>
          </w:tcPr>
          <w:p w14:paraId="6B15CA54" w14:textId="77777777" w:rsidR="001620FE" w:rsidRPr="00576180" w:rsidRDefault="001620FE" w:rsidP="001620FE">
            <w:pPr>
              <w:pStyle w:val="TableParagraph"/>
              <w:spacing w:before="13"/>
              <w:rPr>
                <w:bCs/>
                <w:lang w:val="es-ES_tradnl"/>
              </w:rPr>
            </w:pPr>
            <w:r w:rsidRPr="00576180">
              <w:rPr>
                <w:bCs/>
                <w:lang w:val="es-ES_tradnl"/>
              </w:rPr>
              <w:t>VMH</w:t>
            </w:r>
          </w:p>
          <w:p w14:paraId="0687D651" w14:textId="19ECDC57" w:rsidR="00F43F16" w:rsidRPr="00576180" w:rsidRDefault="00F43F16" w:rsidP="001620FE">
            <w:pPr>
              <w:pStyle w:val="TableParagraph"/>
              <w:spacing w:before="13"/>
              <w:rPr>
                <w:lang w:val="es-ES_tradnl"/>
              </w:rPr>
            </w:pPr>
            <w:r w:rsidRPr="00576180">
              <w:rPr>
                <w:lang w:val="es-ES_tradnl"/>
              </w:rPr>
              <w:t>VPN</w:t>
            </w:r>
          </w:p>
        </w:tc>
        <w:tc>
          <w:tcPr>
            <w:tcW w:w="7779" w:type="dxa"/>
          </w:tcPr>
          <w:p w14:paraId="75813A19" w14:textId="77777777" w:rsidR="001620FE" w:rsidRPr="00576180" w:rsidRDefault="001620FE" w:rsidP="001620FE">
            <w:pPr>
              <w:pStyle w:val="TableParagraph"/>
              <w:spacing w:before="13"/>
              <w:rPr>
                <w:bCs/>
                <w:lang w:val="es-ES_tradnl"/>
              </w:rPr>
            </w:pPr>
            <w:r w:rsidRPr="00576180">
              <w:rPr>
                <w:bCs/>
                <w:lang w:val="es-ES_tradnl"/>
              </w:rPr>
              <w:t>Viceministerio de Hacienda</w:t>
            </w:r>
          </w:p>
          <w:p w14:paraId="24358671" w14:textId="19FE8CE9" w:rsidR="00146BF4" w:rsidRPr="00576180" w:rsidRDefault="00F43F16" w:rsidP="001620FE">
            <w:pPr>
              <w:pStyle w:val="TableParagraph"/>
              <w:spacing w:before="13"/>
              <w:rPr>
                <w:lang w:val="es-ES_tradnl"/>
              </w:rPr>
            </w:pPr>
            <w:r w:rsidRPr="00576180">
              <w:rPr>
                <w:lang w:val="es-ES_tradnl"/>
              </w:rPr>
              <w:t>Valor presente neto</w:t>
            </w:r>
          </w:p>
        </w:tc>
      </w:tr>
    </w:tbl>
    <w:p w14:paraId="3B880A30" w14:textId="77777777" w:rsidR="00B059C8" w:rsidRPr="00576180" w:rsidRDefault="00B059C8" w:rsidP="00B059C8"/>
    <w:p w14:paraId="6CFB949F" w14:textId="77777777" w:rsidR="00B059C8" w:rsidRPr="00576180" w:rsidRDefault="00B059C8">
      <w:r w:rsidRPr="00576180">
        <w:br w:type="page"/>
      </w:r>
    </w:p>
    <w:p w14:paraId="0A819904" w14:textId="77777777" w:rsidR="00F6766E" w:rsidRPr="00576180" w:rsidRDefault="00F6766E" w:rsidP="009C0233">
      <w:pPr>
        <w:pStyle w:val="Heading1"/>
        <w:jc w:val="center"/>
        <w:rPr>
          <w:rFonts w:cs="Arial"/>
          <w:szCs w:val="22"/>
        </w:rPr>
      </w:pPr>
      <w:bookmarkStart w:id="27" w:name="_Toc500169654"/>
      <w:bookmarkStart w:id="28" w:name="_Toc533166430"/>
      <w:bookmarkStart w:id="29" w:name="_Toc20432453"/>
      <w:bookmarkStart w:id="30" w:name="_Toc21017049"/>
      <w:bookmarkStart w:id="31" w:name="_Toc501529190"/>
      <w:bookmarkStart w:id="32" w:name="_Toc506484921"/>
      <w:bookmarkStart w:id="33" w:name="_Toc506974986"/>
      <w:bookmarkStart w:id="34" w:name="_Toc507063065"/>
      <w:r w:rsidRPr="00576180">
        <w:rPr>
          <w:bCs w:val="0"/>
          <w:smallCaps/>
          <w:kern w:val="36"/>
          <w:szCs w:val="22"/>
        </w:rPr>
        <w:lastRenderedPageBreak/>
        <w:t xml:space="preserve">Información </w:t>
      </w:r>
      <w:r w:rsidR="00C5076D" w:rsidRPr="00576180">
        <w:rPr>
          <w:bCs w:val="0"/>
          <w:smallCaps/>
          <w:kern w:val="36"/>
          <w:szCs w:val="22"/>
        </w:rPr>
        <w:t>b</w:t>
      </w:r>
      <w:r w:rsidRPr="00576180">
        <w:rPr>
          <w:bCs w:val="0"/>
          <w:smallCaps/>
          <w:kern w:val="36"/>
          <w:szCs w:val="22"/>
        </w:rPr>
        <w:t>ásica</w:t>
      </w:r>
      <w:bookmarkEnd w:id="27"/>
      <w:r w:rsidR="00203638" w:rsidRPr="00576180">
        <w:rPr>
          <w:bCs w:val="0"/>
          <w:smallCaps/>
          <w:kern w:val="36"/>
          <w:szCs w:val="22"/>
        </w:rPr>
        <w:t xml:space="preserve"> del proyecto</w:t>
      </w:r>
      <w:bookmarkEnd w:id="28"/>
      <w:bookmarkEnd w:id="29"/>
      <w:bookmarkEnd w:id="30"/>
      <w:r w:rsidRPr="00576180">
        <w:rPr>
          <w:rFonts w:cs="Arial"/>
          <w:szCs w:val="22"/>
        </w:rPr>
        <w:t xml:space="preserve"> </w:t>
      </w:r>
      <w:bookmarkEnd w:id="31"/>
      <w:bookmarkEnd w:id="32"/>
      <w:bookmarkEnd w:id="33"/>
      <w:bookmarkEnd w:id="34"/>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F6766E" w:rsidRPr="00576180" w14:paraId="7EEBE325" w14:textId="77777777" w:rsidTr="00314D85">
        <w:tc>
          <w:tcPr>
            <w:tcW w:w="9350" w:type="dxa"/>
            <w:tcBorders>
              <w:top w:val="single" w:sz="4" w:space="0" w:color="auto"/>
              <w:left w:val="single" w:sz="4" w:space="0" w:color="auto"/>
              <w:bottom w:val="nil"/>
              <w:right w:val="single" w:sz="4" w:space="0" w:color="auto"/>
            </w:tcBorders>
            <w:shd w:val="clear" w:color="auto" w:fill="DBE5F1" w:themeFill="accent1" w:themeFillTint="33"/>
            <w:hideMark/>
          </w:tcPr>
          <w:p w14:paraId="28D7EEAB" w14:textId="651D2134" w:rsidR="00F6766E" w:rsidRPr="00576180" w:rsidRDefault="00F6766E" w:rsidP="00AD6CD7">
            <w:pPr>
              <w:rPr>
                <w:rFonts w:ascii="Arial" w:hAnsi="Arial" w:cs="Arial"/>
                <w:sz w:val="20"/>
                <w:szCs w:val="20"/>
              </w:rPr>
            </w:pPr>
            <w:bookmarkStart w:id="35" w:name="_Hlk496100852"/>
            <w:r w:rsidRPr="00576180">
              <w:rPr>
                <w:rFonts w:ascii="Arial" w:hAnsi="Arial" w:cs="Arial"/>
                <w:sz w:val="20"/>
                <w:szCs w:val="20"/>
              </w:rPr>
              <w:t xml:space="preserve">Número de </w:t>
            </w:r>
            <w:r w:rsidR="00477E8E" w:rsidRPr="00576180">
              <w:rPr>
                <w:rFonts w:ascii="Arial" w:hAnsi="Arial" w:cs="Arial"/>
                <w:sz w:val="20"/>
                <w:szCs w:val="20"/>
              </w:rPr>
              <w:t>pro</w:t>
            </w:r>
            <w:r w:rsidR="002C0928" w:rsidRPr="00576180">
              <w:rPr>
                <w:rFonts w:ascii="Arial" w:hAnsi="Arial" w:cs="Arial"/>
                <w:sz w:val="20"/>
                <w:szCs w:val="20"/>
              </w:rPr>
              <w:t>y</w:t>
            </w:r>
            <w:r w:rsidR="00477E8E" w:rsidRPr="00576180">
              <w:rPr>
                <w:rFonts w:ascii="Arial" w:hAnsi="Arial" w:cs="Arial"/>
                <w:sz w:val="20"/>
                <w:szCs w:val="20"/>
              </w:rPr>
              <w:t>ecto</w:t>
            </w:r>
            <w:r w:rsidRPr="00576180">
              <w:rPr>
                <w:rFonts w:ascii="Arial" w:hAnsi="Arial" w:cs="Arial"/>
                <w:sz w:val="20"/>
                <w:szCs w:val="20"/>
              </w:rPr>
              <w:t xml:space="preserve">: </w:t>
            </w:r>
            <w:r w:rsidR="001D34B5" w:rsidRPr="00576180">
              <w:rPr>
                <w:rFonts w:ascii="Arial" w:hAnsi="Arial" w:cs="Arial"/>
                <w:sz w:val="20"/>
                <w:szCs w:val="20"/>
              </w:rPr>
              <w:t>PE-</w:t>
            </w:r>
            <w:r w:rsidR="002C0928" w:rsidRPr="00576180">
              <w:rPr>
                <w:rFonts w:ascii="Arial" w:hAnsi="Arial" w:cs="Arial"/>
                <w:sz w:val="20"/>
                <w:szCs w:val="20"/>
              </w:rPr>
              <w:t>L</w:t>
            </w:r>
            <w:r w:rsidR="001D34B5" w:rsidRPr="00576180">
              <w:rPr>
                <w:rFonts w:ascii="Arial" w:hAnsi="Arial" w:cs="Arial"/>
                <w:sz w:val="20"/>
                <w:szCs w:val="20"/>
              </w:rPr>
              <w:t>1087</w:t>
            </w:r>
          </w:p>
        </w:tc>
      </w:tr>
      <w:tr w:rsidR="00F6766E" w:rsidRPr="00576180" w14:paraId="5ABDD7CB"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3A75F828" w14:textId="77777777" w:rsidR="00F6766E" w:rsidRPr="00576180" w:rsidRDefault="00F6766E" w:rsidP="00AD6CD7">
            <w:pPr>
              <w:rPr>
                <w:rFonts w:ascii="Arial" w:hAnsi="Arial" w:cs="Arial"/>
                <w:sz w:val="20"/>
                <w:szCs w:val="20"/>
              </w:rPr>
            </w:pPr>
            <w:r w:rsidRPr="00576180">
              <w:rPr>
                <w:rFonts w:ascii="Arial" w:hAnsi="Arial" w:cs="Arial"/>
                <w:sz w:val="20"/>
                <w:szCs w:val="20"/>
              </w:rPr>
              <w:t xml:space="preserve">Título: </w:t>
            </w:r>
            <w:r w:rsidR="00050E7E" w:rsidRPr="00576180">
              <w:rPr>
                <w:rFonts w:ascii="Arial" w:hAnsi="Arial" w:cs="Arial"/>
                <w:sz w:val="20"/>
                <w:szCs w:val="20"/>
              </w:rPr>
              <w:t xml:space="preserve">Programa de </w:t>
            </w:r>
            <w:r w:rsidR="001D34B5" w:rsidRPr="00576180">
              <w:rPr>
                <w:rFonts w:ascii="Arial" w:hAnsi="Arial" w:cs="Arial"/>
                <w:sz w:val="20"/>
                <w:szCs w:val="20"/>
              </w:rPr>
              <w:t>Modernización del Sistema de Administración Financiera Pública para mejorar la Programación, Ejecución y Rendición de Cuentas de los Recursos Públicos</w:t>
            </w:r>
          </w:p>
        </w:tc>
      </w:tr>
      <w:tr w:rsidR="00F6766E" w:rsidRPr="00576180" w14:paraId="3715BE54"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400C689A" w14:textId="4415DF4F" w:rsidR="00F6766E" w:rsidRPr="00576180" w:rsidRDefault="00F6766E" w:rsidP="00AD6CD7">
            <w:pPr>
              <w:rPr>
                <w:rFonts w:ascii="Arial" w:hAnsi="Arial" w:cs="Arial"/>
                <w:sz w:val="20"/>
                <w:szCs w:val="20"/>
              </w:rPr>
            </w:pPr>
            <w:r w:rsidRPr="00576180">
              <w:rPr>
                <w:rFonts w:ascii="Arial" w:hAnsi="Arial" w:cs="Arial"/>
                <w:sz w:val="20"/>
                <w:szCs w:val="20"/>
              </w:rPr>
              <w:t xml:space="preserve">Instrumento de préstamo: </w:t>
            </w:r>
            <w:r w:rsidR="0034630B" w:rsidRPr="00576180">
              <w:rPr>
                <w:rFonts w:ascii="Arial" w:hAnsi="Arial" w:cs="Arial"/>
                <w:sz w:val="20"/>
                <w:szCs w:val="20"/>
              </w:rPr>
              <w:t>I</w:t>
            </w:r>
            <w:r w:rsidR="001D34B5" w:rsidRPr="00576180">
              <w:rPr>
                <w:rFonts w:ascii="Arial" w:hAnsi="Arial" w:cs="Arial"/>
                <w:sz w:val="20"/>
                <w:szCs w:val="20"/>
              </w:rPr>
              <w:t>nversión</w:t>
            </w:r>
          </w:p>
        </w:tc>
      </w:tr>
      <w:tr w:rsidR="00F6766E" w:rsidRPr="00576180" w14:paraId="4667D43A"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583362F2" w14:textId="77777777" w:rsidR="00F6766E" w:rsidRPr="00576180" w:rsidRDefault="00F6766E" w:rsidP="00AD6CD7">
            <w:pPr>
              <w:rPr>
                <w:rFonts w:ascii="Arial" w:hAnsi="Arial" w:cs="Arial"/>
                <w:sz w:val="20"/>
                <w:szCs w:val="20"/>
              </w:rPr>
            </w:pPr>
            <w:r w:rsidRPr="00576180">
              <w:rPr>
                <w:rFonts w:ascii="Arial" w:hAnsi="Arial" w:cs="Arial"/>
                <w:sz w:val="20"/>
                <w:szCs w:val="20"/>
              </w:rPr>
              <w:t xml:space="preserve">País: </w:t>
            </w:r>
            <w:r w:rsidR="001D34B5" w:rsidRPr="00576180">
              <w:rPr>
                <w:rFonts w:ascii="Arial" w:hAnsi="Arial" w:cs="Arial"/>
                <w:sz w:val="20"/>
                <w:szCs w:val="20"/>
              </w:rPr>
              <w:t>Perú</w:t>
            </w:r>
          </w:p>
        </w:tc>
      </w:tr>
      <w:tr w:rsidR="00F6766E" w:rsidRPr="00576180" w14:paraId="3E717EDD"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184587A5" w14:textId="0812F844" w:rsidR="00F6766E" w:rsidRPr="00576180" w:rsidRDefault="00F6766E" w:rsidP="00AD6CD7">
            <w:pPr>
              <w:rPr>
                <w:rFonts w:ascii="Arial" w:hAnsi="Arial" w:cs="Arial"/>
                <w:sz w:val="20"/>
                <w:szCs w:val="20"/>
              </w:rPr>
            </w:pPr>
            <w:r w:rsidRPr="00576180">
              <w:rPr>
                <w:rFonts w:ascii="Arial" w:hAnsi="Arial" w:cs="Arial"/>
                <w:sz w:val="20"/>
                <w:szCs w:val="20"/>
              </w:rPr>
              <w:t xml:space="preserve">Prestatario: </w:t>
            </w:r>
            <w:r w:rsidR="002C0928" w:rsidRPr="00576180">
              <w:rPr>
                <w:rFonts w:ascii="Arial" w:hAnsi="Arial" w:cs="Arial"/>
                <w:sz w:val="20"/>
                <w:szCs w:val="20"/>
              </w:rPr>
              <w:t>Ministerio de Economía y Finanzas (MEF)</w:t>
            </w:r>
          </w:p>
        </w:tc>
      </w:tr>
      <w:tr w:rsidR="00F6766E" w:rsidRPr="00576180" w14:paraId="1D4FAA7C"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231CA76C" w14:textId="77777777" w:rsidR="00F6766E" w:rsidRPr="00576180" w:rsidRDefault="00F6766E" w:rsidP="00AD6CD7">
            <w:pPr>
              <w:rPr>
                <w:rFonts w:ascii="Arial" w:hAnsi="Arial" w:cs="Arial"/>
                <w:sz w:val="20"/>
                <w:szCs w:val="20"/>
              </w:rPr>
            </w:pPr>
            <w:r w:rsidRPr="00576180">
              <w:rPr>
                <w:rFonts w:ascii="Arial" w:hAnsi="Arial" w:cs="Arial"/>
                <w:sz w:val="20"/>
                <w:szCs w:val="20"/>
              </w:rPr>
              <w:t xml:space="preserve">Préstamo: </w:t>
            </w:r>
            <w:r w:rsidR="001D34B5" w:rsidRPr="00576180">
              <w:rPr>
                <w:rFonts w:ascii="Arial" w:hAnsi="Arial" w:cs="Arial"/>
                <w:sz w:val="20"/>
                <w:szCs w:val="20"/>
              </w:rPr>
              <w:t>2445/OC-PE</w:t>
            </w:r>
          </w:p>
        </w:tc>
      </w:tr>
      <w:tr w:rsidR="00F6766E" w:rsidRPr="00576180" w14:paraId="475304C9"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144C1F22" w14:textId="2C7F8C75" w:rsidR="00F6766E" w:rsidRPr="00576180" w:rsidRDefault="00F6766E" w:rsidP="00AD6CD7">
            <w:pPr>
              <w:rPr>
                <w:rFonts w:ascii="Arial" w:hAnsi="Arial" w:cs="Arial"/>
                <w:sz w:val="20"/>
                <w:szCs w:val="20"/>
              </w:rPr>
            </w:pPr>
            <w:r w:rsidRPr="00576180">
              <w:rPr>
                <w:rFonts w:ascii="Arial" w:hAnsi="Arial" w:cs="Arial"/>
                <w:sz w:val="20"/>
                <w:szCs w:val="20"/>
              </w:rPr>
              <w:t>Sector/</w:t>
            </w:r>
            <w:r w:rsidR="002C0928" w:rsidRPr="00576180">
              <w:rPr>
                <w:rFonts w:ascii="Arial" w:hAnsi="Arial" w:cs="Arial"/>
                <w:sz w:val="20"/>
                <w:szCs w:val="20"/>
              </w:rPr>
              <w:t>s</w:t>
            </w:r>
            <w:r w:rsidRPr="00576180">
              <w:rPr>
                <w:rFonts w:ascii="Arial" w:hAnsi="Arial" w:cs="Arial"/>
                <w:sz w:val="20"/>
                <w:szCs w:val="20"/>
              </w:rPr>
              <w:t xml:space="preserve">ubsector: </w:t>
            </w:r>
            <w:r w:rsidR="002C0928" w:rsidRPr="00576180">
              <w:rPr>
                <w:rFonts w:ascii="Arial" w:hAnsi="Arial" w:cs="Arial"/>
                <w:sz w:val="20"/>
                <w:szCs w:val="20"/>
              </w:rPr>
              <w:t>g</w:t>
            </w:r>
            <w:r w:rsidR="00314D85" w:rsidRPr="00576180">
              <w:rPr>
                <w:rFonts w:ascii="Arial" w:hAnsi="Arial" w:cs="Arial"/>
                <w:sz w:val="20"/>
                <w:szCs w:val="20"/>
              </w:rPr>
              <w:t xml:space="preserve">estión </w:t>
            </w:r>
            <w:r w:rsidR="002C0928" w:rsidRPr="00576180">
              <w:rPr>
                <w:rFonts w:ascii="Arial" w:hAnsi="Arial" w:cs="Arial"/>
                <w:sz w:val="20"/>
                <w:szCs w:val="20"/>
              </w:rPr>
              <w:t>f</w:t>
            </w:r>
            <w:r w:rsidR="00314D85" w:rsidRPr="00576180">
              <w:rPr>
                <w:rFonts w:ascii="Arial" w:hAnsi="Arial" w:cs="Arial"/>
                <w:sz w:val="20"/>
                <w:szCs w:val="20"/>
              </w:rPr>
              <w:t>iscal</w:t>
            </w:r>
            <w:r w:rsidR="00B12731" w:rsidRPr="00576180">
              <w:rPr>
                <w:rFonts w:ascii="Arial" w:hAnsi="Arial" w:cs="Arial"/>
                <w:sz w:val="20"/>
                <w:szCs w:val="20"/>
              </w:rPr>
              <w:t xml:space="preserve"> / </w:t>
            </w:r>
            <w:r w:rsidR="002C0928" w:rsidRPr="00576180">
              <w:rPr>
                <w:rFonts w:ascii="Arial" w:hAnsi="Arial" w:cs="Arial"/>
                <w:sz w:val="20"/>
                <w:szCs w:val="20"/>
              </w:rPr>
              <w:t>p</w:t>
            </w:r>
            <w:r w:rsidR="00B12731" w:rsidRPr="00576180">
              <w:rPr>
                <w:rFonts w:ascii="Arial" w:hAnsi="Arial" w:cs="Arial"/>
                <w:sz w:val="20"/>
                <w:szCs w:val="20"/>
              </w:rPr>
              <w:t xml:space="preserve">olítica fiscal para la sostenibilidad y el </w:t>
            </w:r>
            <w:r w:rsidR="002C0928" w:rsidRPr="00576180">
              <w:rPr>
                <w:rFonts w:ascii="Arial" w:hAnsi="Arial" w:cs="Arial"/>
                <w:sz w:val="20"/>
                <w:szCs w:val="20"/>
              </w:rPr>
              <w:t>c</w:t>
            </w:r>
            <w:r w:rsidR="00B12731" w:rsidRPr="00576180">
              <w:rPr>
                <w:rFonts w:ascii="Arial" w:hAnsi="Arial" w:cs="Arial"/>
                <w:sz w:val="20"/>
                <w:szCs w:val="20"/>
              </w:rPr>
              <w:t>recimiento</w:t>
            </w:r>
          </w:p>
        </w:tc>
      </w:tr>
      <w:tr w:rsidR="002F6B3C" w:rsidRPr="00576180" w14:paraId="234E47FB" w14:textId="77777777" w:rsidTr="009C0233">
        <w:tc>
          <w:tcPr>
            <w:tcW w:w="9350" w:type="dxa"/>
            <w:tcBorders>
              <w:top w:val="nil"/>
              <w:left w:val="single" w:sz="4" w:space="0" w:color="auto"/>
              <w:bottom w:val="nil"/>
              <w:right w:val="single" w:sz="4" w:space="0" w:color="auto"/>
            </w:tcBorders>
            <w:shd w:val="clear" w:color="auto" w:fill="auto"/>
          </w:tcPr>
          <w:p w14:paraId="56EB7E04" w14:textId="77777777" w:rsidR="002F6B3C" w:rsidRPr="00576180" w:rsidRDefault="002F6B3C" w:rsidP="00BF775E">
            <w:pPr>
              <w:rPr>
                <w:rFonts w:ascii="Arial" w:hAnsi="Arial" w:cs="Arial"/>
                <w:smallCaps/>
                <w:sz w:val="20"/>
                <w:szCs w:val="20"/>
              </w:rPr>
            </w:pPr>
          </w:p>
        </w:tc>
      </w:tr>
      <w:tr w:rsidR="00BF775E" w:rsidRPr="00576180" w14:paraId="7269FA54" w14:textId="77777777" w:rsidTr="00314D85">
        <w:tc>
          <w:tcPr>
            <w:tcW w:w="9350" w:type="dxa"/>
            <w:tcBorders>
              <w:top w:val="nil"/>
              <w:left w:val="single" w:sz="4" w:space="0" w:color="auto"/>
              <w:bottom w:val="nil"/>
              <w:right w:val="single" w:sz="4" w:space="0" w:color="auto"/>
            </w:tcBorders>
            <w:shd w:val="clear" w:color="auto" w:fill="F2F2F2" w:themeFill="background1" w:themeFillShade="F2"/>
            <w:hideMark/>
          </w:tcPr>
          <w:p w14:paraId="0D2C2A93" w14:textId="5F91D4EA" w:rsidR="00BF775E" w:rsidRPr="00576180" w:rsidRDefault="002C0928" w:rsidP="002C0928">
            <w:pPr>
              <w:rPr>
                <w:rFonts w:ascii="Arial" w:hAnsi="Arial" w:cs="Arial"/>
                <w:sz w:val="20"/>
                <w:szCs w:val="20"/>
              </w:rPr>
            </w:pPr>
            <w:r w:rsidRPr="00576180">
              <w:rPr>
                <w:rFonts w:ascii="Arial" w:hAnsi="Arial" w:cs="Arial"/>
                <w:sz w:val="20"/>
                <w:szCs w:val="20"/>
              </w:rPr>
              <w:t>Fecha de aprobación del Directorio</w:t>
            </w:r>
            <w:r w:rsidR="00050E7E" w:rsidRPr="00576180">
              <w:rPr>
                <w:rFonts w:ascii="Arial" w:hAnsi="Arial" w:cs="Arial"/>
                <w:sz w:val="20"/>
                <w:szCs w:val="20"/>
              </w:rPr>
              <w:t xml:space="preserve">: </w:t>
            </w:r>
            <w:r w:rsidR="001D34B5" w:rsidRPr="00576180">
              <w:rPr>
                <w:rFonts w:ascii="Arial" w:hAnsi="Arial" w:cs="Arial"/>
                <w:sz w:val="20"/>
                <w:szCs w:val="20"/>
              </w:rPr>
              <w:t>3</w:t>
            </w:r>
            <w:r w:rsidR="00BF775E" w:rsidRPr="00576180">
              <w:rPr>
                <w:rFonts w:ascii="Arial" w:hAnsi="Arial" w:cs="Arial"/>
                <w:sz w:val="20"/>
                <w:szCs w:val="20"/>
              </w:rPr>
              <w:t xml:space="preserve"> de noviembre de 201</w:t>
            </w:r>
            <w:r w:rsidR="001D34B5" w:rsidRPr="00576180">
              <w:rPr>
                <w:rFonts w:ascii="Arial" w:hAnsi="Arial" w:cs="Arial"/>
                <w:sz w:val="20"/>
                <w:szCs w:val="20"/>
              </w:rPr>
              <w:t>0</w:t>
            </w:r>
          </w:p>
        </w:tc>
      </w:tr>
      <w:tr w:rsidR="00BF775E" w:rsidRPr="00576180" w14:paraId="56432640" w14:textId="77777777" w:rsidTr="00314D85">
        <w:tc>
          <w:tcPr>
            <w:tcW w:w="9350" w:type="dxa"/>
            <w:tcBorders>
              <w:top w:val="nil"/>
              <w:left w:val="single" w:sz="4" w:space="0" w:color="auto"/>
              <w:bottom w:val="nil"/>
              <w:right w:val="single" w:sz="4" w:space="0" w:color="auto"/>
            </w:tcBorders>
            <w:shd w:val="clear" w:color="auto" w:fill="F2F2F2" w:themeFill="background1" w:themeFillShade="F2"/>
            <w:hideMark/>
          </w:tcPr>
          <w:p w14:paraId="66B559CE" w14:textId="14A31E92" w:rsidR="00BF775E" w:rsidRPr="00576180" w:rsidRDefault="002C0928" w:rsidP="002C0928">
            <w:pPr>
              <w:rPr>
                <w:rFonts w:ascii="Arial" w:hAnsi="Arial" w:cs="Arial"/>
                <w:sz w:val="20"/>
                <w:szCs w:val="20"/>
              </w:rPr>
            </w:pPr>
            <w:r w:rsidRPr="00576180">
              <w:rPr>
                <w:rFonts w:ascii="Arial" w:hAnsi="Arial" w:cs="Arial"/>
                <w:sz w:val="20"/>
                <w:szCs w:val="20"/>
              </w:rPr>
              <w:t>Fecha de efectividad del contrato de préstamo</w:t>
            </w:r>
            <w:r w:rsidR="00050E7E" w:rsidRPr="00576180">
              <w:rPr>
                <w:rFonts w:ascii="Arial" w:hAnsi="Arial" w:cs="Arial"/>
                <w:sz w:val="20"/>
                <w:szCs w:val="20"/>
              </w:rPr>
              <w:t xml:space="preserve">: </w:t>
            </w:r>
            <w:r w:rsidR="001D34B5" w:rsidRPr="00576180">
              <w:rPr>
                <w:rFonts w:ascii="Arial" w:hAnsi="Arial" w:cs="Arial"/>
                <w:sz w:val="20"/>
                <w:szCs w:val="20"/>
              </w:rPr>
              <w:t>15</w:t>
            </w:r>
            <w:r w:rsidR="00BF775E" w:rsidRPr="00576180">
              <w:rPr>
                <w:rFonts w:ascii="Arial" w:hAnsi="Arial" w:cs="Arial"/>
                <w:sz w:val="20"/>
                <w:szCs w:val="20"/>
              </w:rPr>
              <w:t xml:space="preserve"> de </w:t>
            </w:r>
            <w:r w:rsidR="001D34B5" w:rsidRPr="00576180">
              <w:rPr>
                <w:rFonts w:ascii="Arial" w:hAnsi="Arial" w:cs="Arial"/>
                <w:sz w:val="20"/>
                <w:szCs w:val="20"/>
              </w:rPr>
              <w:t>abril</w:t>
            </w:r>
            <w:r w:rsidR="00BF775E" w:rsidRPr="00576180">
              <w:rPr>
                <w:rFonts w:ascii="Arial" w:hAnsi="Arial" w:cs="Arial"/>
                <w:sz w:val="20"/>
                <w:szCs w:val="20"/>
              </w:rPr>
              <w:t xml:space="preserve"> de 201</w:t>
            </w:r>
            <w:r w:rsidR="001D34B5" w:rsidRPr="00576180">
              <w:rPr>
                <w:rFonts w:ascii="Arial" w:hAnsi="Arial" w:cs="Arial"/>
                <w:sz w:val="20"/>
                <w:szCs w:val="20"/>
              </w:rPr>
              <w:t>1</w:t>
            </w:r>
          </w:p>
        </w:tc>
      </w:tr>
      <w:tr w:rsidR="00BF775E" w:rsidRPr="00576180" w14:paraId="70DDAED7" w14:textId="77777777" w:rsidTr="00314D85">
        <w:tc>
          <w:tcPr>
            <w:tcW w:w="9350" w:type="dxa"/>
            <w:tcBorders>
              <w:top w:val="nil"/>
              <w:left w:val="single" w:sz="4" w:space="0" w:color="auto"/>
              <w:bottom w:val="nil"/>
              <w:right w:val="single" w:sz="4" w:space="0" w:color="auto"/>
            </w:tcBorders>
            <w:shd w:val="clear" w:color="auto" w:fill="F2F2F2" w:themeFill="background1" w:themeFillShade="F2"/>
            <w:hideMark/>
          </w:tcPr>
          <w:p w14:paraId="691F4D19" w14:textId="0B038A76" w:rsidR="00BF775E" w:rsidRPr="00576180" w:rsidRDefault="002C0928" w:rsidP="002C0928">
            <w:pPr>
              <w:rPr>
                <w:rFonts w:ascii="Arial" w:hAnsi="Arial" w:cs="Arial"/>
                <w:sz w:val="20"/>
                <w:szCs w:val="20"/>
              </w:rPr>
            </w:pPr>
            <w:r w:rsidRPr="00576180">
              <w:rPr>
                <w:rFonts w:ascii="Arial" w:hAnsi="Arial" w:cs="Arial"/>
                <w:sz w:val="20"/>
                <w:szCs w:val="20"/>
              </w:rPr>
              <w:t>Fecha de elegibilidad del primer desembolso</w:t>
            </w:r>
            <w:r w:rsidR="00050E7E" w:rsidRPr="00576180">
              <w:rPr>
                <w:rFonts w:ascii="Arial" w:hAnsi="Arial" w:cs="Arial"/>
                <w:sz w:val="20"/>
                <w:szCs w:val="20"/>
              </w:rPr>
              <w:t xml:space="preserve">: </w:t>
            </w:r>
            <w:r w:rsidR="001D34B5" w:rsidRPr="00576180">
              <w:rPr>
                <w:rFonts w:ascii="Arial" w:hAnsi="Arial" w:cs="Arial"/>
                <w:sz w:val="20"/>
                <w:szCs w:val="20"/>
              </w:rPr>
              <w:t xml:space="preserve">25 </w:t>
            </w:r>
            <w:r w:rsidRPr="00576180">
              <w:rPr>
                <w:rFonts w:ascii="Arial" w:hAnsi="Arial" w:cs="Arial"/>
                <w:sz w:val="20"/>
                <w:szCs w:val="20"/>
              </w:rPr>
              <w:t>de abril de</w:t>
            </w:r>
            <w:r w:rsidR="001D34B5" w:rsidRPr="00576180">
              <w:rPr>
                <w:rFonts w:ascii="Arial" w:hAnsi="Arial" w:cs="Arial"/>
                <w:sz w:val="20"/>
                <w:szCs w:val="20"/>
              </w:rPr>
              <w:t xml:space="preserve"> 2011</w:t>
            </w:r>
          </w:p>
        </w:tc>
      </w:tr>
      <w:tr w:rsidR="002F6B3C" w:rsidRPr="00576180" w14:paraId="49C704F7" w14:textId="77777777" w:rsidTr="009C0233">
        <w:tc>
          <w:tcPr>
            <w:tcW w:w="9350" w:type="dxa"/>
            <w:tcBorders>
              <w:top w:val="nil"/>
              <w:left w:val="single" w:sz="4" w:space="0" w:color="auto"/>
              <w:bottom w:val="nil"/>
              <w:right w:val="single" w:sz="4" w:space="0" w:color="auto"/>
            </w:tcBorders>
            <w:shd w:val="clear" w:color="auto" w:fill="auto"/>
          </w:tcPr>
          <w:p w14:paraId="03896A7E" w14:textId="77777777" w:rsidR="002F6B3C" w:rsidRPr="00576180" w:rsidRDefault="002F6B3C" w:rsidP="00BF775E">
            <w:pPr>
              <w:rPr>
                <w:rFonts w:ascii="Arial" w:hAnsi="Arial" w:cs="Arial"/>
                <w:smallCaps/>
                <w:sz w:val="20"/>
                <w:szCs w:val="20"/>
              </w:rPr>
            </w:pPr>
          </w:p>
        </w:tc>
      </w:tr>
      <w:tr w:rsidR="00F6766E" w:rsidRPr="00576180" w14:paraId="3CF320CD"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73166379" w14:textId="35B1AC8D" w:rsidR="00F6766E" w:rsidRPr="00576180" w:rsidRDefault="00F6766E" w:rsidP="002C0928">
            <w:pPr>
              <w:rPr>
                <w:rFonts w:ascii="Arial" w:hAnsi="Arial" w:cs="Arial"/>
                <w:b/>
                <w:sz w:val="20"/>
                <w:szCs w:val="20"/>
              </w:rPr>
            </w:pPr>
            <w:r w:rsidRPr="00576180">
              <w:rPr>
                <w:rFonts w:ascii="Arial" w:hAnsi="Arial" w:cs="Arial"/>
                <w:b/>
                <w:sz w:val="20"/>
                <w:szCs w:val="20"/>
              </w:rPr>
              <w:t>Monto</w:t>
            </w:r>
            <w:r w:rsidR="002C0928" w:rsidRPr="00576180">
              <w:rPr>
                <w:rFonts w:ascii="Arial" w:hAnsi="Arial" w:cs="Arial"/>
                <w:b/>
                <w:sz w:val="20"/>
                <w:szCs w:val="20"/>
              </w:rPr>
              <w:t xml:space="preserve"> del</w:t>
            </w:r>
            <w:r w:rsidRPr="00576180">
              <w:rPr>
                <w:rFonts w:ascii="Arial" w:hAnsi="Arial" w:cs="Arial"/>
                <w:b/>
                <w:sz w:val="20"/>
                <w:szCs w:val="20"/>
              </w:rPr>
              <w:t xml:space="preserve"> préstamo</w:t>
            </w:r>
            <w:r w:rsidR="0019691F" w:rsidRPr="00576180">
              <w:rPr>
                <w:rFonts w:ascii="Arial" w:hAnsi="Arial" w:cs="Arial"/>
                <w:b/>
                <w:sz w:val="20"/>
                <w:szCs w:val="20"/>
              </w:rPr>
              <w:t xml:space="preserve"> (US$)</w:t>
            </w:r>
          </w:p>
        </w:tc>
      </w:tr>
      <w:tr w:rsidR="00F6766E" w:rsidRPr="00576180" w14:paraId="2CEEA3C9"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563E3E73" w14:textId="1705FDF5" w:rsidR="00F6766E" w:rsidRPr="00576180" w:rsidRDefault="002C0928" w:rsidP="002C0928">
            <w:pPr>
              <w:rPr>
                <w:rFonts w:ascii="Arial" w:hAnsi="Arial" w:cs="Arial"/>
                <w:sz w:val="20"/>
                <w:szCs w:val="20"/>
              </w:rPr>
            </w:pPr>
            <w:r w:rsidRPr="00576180">
              <w:rPr>
                <w:rFonts w:ascii="Arial" w:hAnsi="Arial" w:cs="Arial"/>
                <w:sz w:val="20"/>
                <w:szCs w:val="20"/>
              </w:rPr>
              <w:t>Monto original</w:t>
            </w:r>
            <w:r w:rsidR="0019691F" w:rsidRPr="00576180">
              <w:rPr>
                <w:rFonts w:ascii="Arial" w:hAnsi="Arial" w:cs="Arial"/>
                <w:sz w:val="20"/>
                <w:szCs w:val="20"/>
              </w:rPr>
              <w:t xml:space="preserve">: </w:t>
            </w:r>
            <w:r w:rsidR="00F6766E" w:rsidRPr="00576180">
              <w:rPr>
                <w:rFonts w:ascii="Arial" w:hAnsi="Arial" w:cs="Arial"/>
                <w:sz w:val="20"/>
                <w:szCs w:val="20"/>
              </w:rPr>
              <w:t>US$</w:t>
            </w:r>
            <w:r w:rsidR="008D451B" w:rsidRPr="00576180">
              <w:rPr>
                <w:rFonts w:ascii="Arial" w:hAnsi="Arial" w:cs="Arial"/>
                <w:sz w:val="20"/>
                <w:szCs w:val="20"/>
              </w:rPr>
              <w:t xml:space="preserve"> </w:t>
            </w:r>
            <w:r w:rsidR="001D34B5" w:rsidRPr="00576180">
              <w:rPr>
                <w:rFonts w:ascii="Arial" w:hAnsi="Arial" w:cs="Arial"/>
                <w:sz w:val="20"/>
                <w:szCs w:val="20"/>
              </w:rPr>
              <w:t>2</w:t>
            </w:r>
            <w:r w:rsidR="00F6766E" w:rsidRPr="00576180">
              <w:rPr>
                <w:rFonts w:ascii="Arial" w:hAnsi="Arial" w:cs="Arial"/>
                <w:sz w:val="20"/>
                <w:szCs w:val="20"/>
              </w:rPr>
              <w:t>0</w:t>
            </w:r>
            <w:r w:rsidR="00ED2EC0" w:rsidRPr="00576180">
              <w:rPr>
                <w:rFonts w:ascii="Arial" w:hAnsi="Arial" w:cs="Arial"/>
                <w:sz w:val="20"/>
                <w:szCs w:val="20"/>
              </w:rPr>
              <w:t>.</w:t>
            </w:r>
            <w:r w:rsidR="00F6766E" w:rsidRPr="00576180">
              <w:rPr>
                <w:rFonts w:ascii="Arial" w:hAnsi="Arial" w:cs="Arial"/>
                <w:sz w:val="20"/>
                <w:szCs w:val="20"/>
              </w:rPr>
              <w:t>000</w:t>
            </w:r>
            <w:r w:rsidR="00ED2EC0" w:rsidRPr="00576180">
              <w:rPr>
                <w:rFonts w:ascii="Arial" w:hAnsi="Arial" w:cs="Arial"/>
                <w:sz w:val="20"/>
                <w:szCs w:val="20"/>
              </w:rPr>
              <w:t>.</w:t>
            </w:r>
            <w:r w:rsidR="00F6766E" w:rsidRPr="00576180">
              <w:rPr>
                <w:rFonts w:ascii="Arial" w:hAnsi="Arial" w:cs="Arial"/>
                <w:sz w:val="20"/>
                <w:szCs w:val="20"/>
              </w:rPr>
              <w:t>000</w:t>
            </w:r>
          </w:p>
        </w:tc>
      </w:tr>
      <w:tr w:rsidR="00F6766E" w:rsidRPr="00576180" w14:paraId="6AED7802"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5A0E1FF9" w14:textId="5BEC5BCC" w:rsidR="00F6766E" w:rsidRPr="00576180" w:rsidRDefault="002C0928" w:rsidP="002C0928">
            <w:pPr>
              <w:rPr>
                <w:rFonts w:ascii="Arial" w:hAnsi="Arial" w:cs="Arial"/>
                <w:sz w:val="20"/>
                <w:szCs w:val="20"/>
              </w:rPr>
            </w:pPr>
            <w:r w:rsidRPr="00576180">
              <w:rPr>
                <w:rFonts w:ascii="Arial" w:hAnsi="Arial" w:cs="Arial"/>
                <w:sz w:val="20"/>
                <w:szCs w:val="20"/>
              </w:rPr>
              <w:t>Monto actual</w:t>
            </w:r>
            <w:r w:rsidR="0019691F" w:rsidRPr="00576180">
              <w:rPr>
                <w:rFonts w:ascii="Arial" w:hAnsi="Arial" w:cs="Arial"/>
                <w:sz w:val="20"/>
                <w:szCs w:val="20"/>
              </w:rPr>
              <w:t xml:space="preserve">: </w:t>
            </w:r>
            <w:r w:rsidR="00716F51" w:rsidRPr="00576180">
              <w:rPr>
                <w:rFonts w:ascii="Arial" w:hAnsi="Arial" w:cs="Arial"/>
                <w:sz w:val="20"/>
                <w:szCs w:val="20"/>
              </w:rPr>
              <w:t>U</w:t>
            </w:r>
            <w:r w:rsidR="00F6766E" w:rsidRPr="00576180">
              <w:rPr>
                <w:rFonts w:ascii="Arial" w:hAnsi="Arial" w:cs="Arial"/>
                <w:sz w:val="20"/>
                <w:szCs w:val="20"/>
              </w:rPr>
              <w:t>S$</w:t>
            </w:r>
            <w:r w:rsidR="00716F51" w:rsidRPr="00576180">
              <w:rPr>
                <w:rFonts w:ascii="Arial" w:hAnsi="Arial" w:cs="Arial"/>
                <w:sz w:val="20"/>
                <w:szCs w:val="20"/>
              </w:rPr>
              <w:t xml:space="preserve"> 16</w:t>
            </w:r>
            <w:r w:rsidR="00ED2EC0" w:rsidRPr="00576180">
              <w:rPr>
                <w:rFonts w:ascii="Arial" w:hAnsi="Arial" w:cs="Arial"/>
                <w:sz w:val="20"/>
                <w:szCs w:val="20"/>
              </w:rPr>
              <w:t>.</w:t>
            </w:r>
            <w:r w:rsidR="00C06B57" w:rsidRPr="00576180">
              <w:rPr>
                <w:rFonts w:ascii="Arial" w:hAnsi="Arial" w:cs="Arial"/>
                <w:sz w:val="20"/>
                <w:szCs w:val="20"/>
              </w:rPr>
              <w:t>496</w:t>
            </w:r>
            <w:r w:rsidR="00716F51" w:rsidRPr="00576180">
              <w:rPr>
                <w:rFonts w:ascii="Arial" w:hAnsi="Arial" w:cs="Arial"/>
                <w:sz w:val="20"/>
                <w:szCs w:val="20"/>
              </w:rPr>
              <w:t>,</w:t>
            </w:r>
            <w:r w:rsidR="00C06B57" w:rsidRPr="00576180">
              <w:rPr>
                <w:rFonts w:ascii="Arial" w:hAnsi="Arial" w:cs="Arial"/>
                <w:sz w:val="20"/>
                <w:szCs w:val="20"/>
              </w:rPr>
              <w:t>807.70</w:t>
            </w:r>
          </w:p>
        </w:tc>
      </w:tr>
      <w:tr w:rsidR="00F6766E" w:rsidRPr="00576180" w14:paraId="34F99FFD"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3321DBCA" w14:textId="158A7901" w:rsidR="00F6766E" w:rsidRPr="00576180" w:rsidRDefault="002C0928" w:rsidP="002C0928">
            <w:pPr>
              <w:rPr>
                <w:rFonts w:ascii="Arial" w:hAnsi="Arial" w:cs="Arial"/>
                <w:sz w:val="20"/>
                <w:szCs w:val="20"/>
              </w:rPr>
            </w:pPr>
            <w:proofErr w:type="spellStart"/>
            <w:r w:rsidRPr="00576180">
              <w:rPr>
                <w:rFonts w:ascii="Arial" w:hAnsi="Arial" w:cs="Arial"/>
                <w:sz w:val="20"/>
                <w:szCs w:val="20"/>
              </w:rPr>
              <w:t>Pari</w:t>
            </w:r>
            <w:proofErr w:type="spellEnd"/>
            <w:r w:rsidRPr="00576180">
              <w:rPr>
                <w:rFonts w:ascii="Arial" w:hAnsi="Arial" w:cs="Arial"/>
                <w:sz w:val="20"/>
                <w:szCs w:val="20"/>
              </w:rPr>
              <w:t xml:space="preserve"> </w:t>
            </w:r>
            <w:proofErr w:type="spellStart"/>
            <w:r w:rsidRPr="00576180">
              <w:rPr>
                <w:rFonts w:ascii="Arial" w:hAnsi="Arial" w:cs="Arial"/>
                <w:sz w:val="20"/>
                <w:szCs w:val="20"/>
              </w:rPr>
              <w:t>Pasu</w:t>
            </w:r>
            <w:proofErr w:type="spellEnd"/>
            <w:r w:rsidR="008111B1" w:rsidRPr="00576180">
              <w:rPr>
                <w:rFonts w:ascii="Arial" w:hAnsi="Arial" w:cs="Arial"/>
                <w:sz w:val="20"/>
                <w:szCs w:val="20"/>
              </w:rPr>
              <w:t xml:space="preserve"> original</w:t>
            </w:r>
            <w:r w:rsidR="0019691F" w:rsidRPr="00576180">
              <w:rPr>
                <w:rFonts w:ascii="Arial" w:hAnsi="Arial" w:cs="Arial"/>
                <w:sz w:val="20"/>
                <w:szCs w:val="20"/>
              </w:rPr>
              <w:t xml:space="preserve">: </w:t>
            </w:r>
            <w:r w:rsidR="001D34B5" w:rsidRPr="00576180">
              <w:rPr>
                <w:rFonts w:ascii="Arial" w:hAnsi="Arial" w:cs="Arial"/>
                <w:sz w:val="20"/>
                <w:szCs w:val="20"/>
              </w:rPr>
              <w:t>US$</w:t>
            </w:r>
            <w:r w:rsidR="008D451B" w:rsidRPr="00576180">
              <w:rPr>
                <w:rFonts w:ascii="Arial" w:hAnsi="Arial" w:cs="Arial"/>
                <w:sz w:val="20"/>
                <w:szCs w:val="20"/>
              </w:rPr>
              <w:t xml:space="preserve"> </w:t>
            </w:r>
            <w:r w:rsidR="00E54D4F" w:rsidRPr="00576180">
              <w:rPr>
                <w:rFonts w:ascii="Arial" w:hAnsi="Arial" w:cs="Arial"/>
                <w:sz w:val="20"/>
                <w:szCs w:val="20"/>
              </w:rPr>
              <w:t>2</w:t>
            </w:r>
            <w:r w:rsidR="00ED2EC0" w:rsidRPr="00576180">
              <w:rPr>
                <w:rFonts w:ascii="Arial" w:hAnsi="Arial" w:cs="Arial"/>
                <w:sz w:val="20"/>
                <w:szCs w:val="20"/>
              </w:rPr>
              <w:t>.</w:t>
            </w:r>
            <w:r w:rsidR="00E35F22" w:rsidRPr="00576180">
              <w:rPr>
                <w:rFonts w:ascii="Arial" w:hAnsi="Arial" w:cs="Arial"/>
                <w:sz w:val="20"/>
                <w:szCs w:val="20"/>
              </w:rPr>
              <w:t>244,000</w:t>
            </w:r>
          </w:p>
        </w:tc>
      </w:tr>
      <w:tr w:rsidR="008D451B" w:rsidRPr="00576180" w14:paraId="2541D98D" w14:textId="77777777" w:rsidTr="00314D85">
        <w:tc>
          <w:tcPr>
            <w:tcW w:w="9350" w:type="dxa"/>
            <w:tcBorders>
              <w:top w:val="nil"/>
              <w:left w:val="single" w:sz="4" w:space="0" w:color="auto"/>
              <w:bottom w:val="nil"/>
              <w:right w:val="single" w:sz="4" w:space="0" w:color="auto"/>
            </w:tcBorders>
            <w:shd w:val="clear" w:color="auto" w:fill="DBE5F1" w:themeFill="accent1" w:themeFillTint="33"/>
          </w:tcPr>
          <w:p w14:paraId="1588340F" w14:textId="56785526" w:rsidR="008D451B" w:rsidRPr="00576180" w:rsidRDefault="008D451B" w:rsidP="002C0928">
            <w:pPr>
              <w:rPr>
                <w:rFonts w:ascii="Arial" w:hAnsi="Arial" w:cs="Arial"/>
                <w:sz w:val="20"/>
                <w:szCs w:val="20"/>
              </w:rPr>
            </w:pPr>
            <w:proofErr w:type="spellStart"/>
            <w:r w:rsidRPr="00576180">
              <w:rPr>
                <w:rFonts w:ascii="Arial" w:hAnsi="Arial" w:cs="Arial"/>
                <w:sz w:val="20"/>
                <w:szCs w:val="20"/>
              </w:rPr>
              <w:t>Pari</w:t>
            </w:r>
            <w:proofErr w:type="spellEnd"/>
            <w:r w:rsidRPr="00576180">
              <w:rPr>
                <w:rFonts w:ascii="Arial" w:hAnsi="Arial" w:cs="Arial"/>
                <w:sz w:val="20"/>
                <w:szCs w:val="20"/>
              </w:rPr>
              <w:t xml:space="preserve"> </w:t>
            </w:r>
            <w:proofErr w:type="spellStart"/>
            <w:r w:rsidRPr="00576180">
              <w:rPr>
                <w:rFonts w:ascii="Arial" w:hAnsi="Arial" w:cs="Arial"/>
                <w:sz w:val="20"/>
                <w:szCs w:val="20"/>
              </w:rPr>
              <w:t>Pasu</w:t>
            </w:r>
            <w:proofErr w:type="spellEnd"/>
            <w:r w:rsidRPr="00576180">
              <w:rPr>
                <w:rFonts w:ascii="Arial" w:hAnsi="Arial" w:cs="Arial"/>
                <w:sz w:val="20"/>
                <w:szCs w:val="20"/>
              </w:rPr>
              <w:t xml:space="preserve"> </w:t>
            </w:r>
            <w:r w:rsidR="00303A2E" w:rsidRPr="00576180">
              <w:rPr>
                <w:rFonts w:ascii="Arial" w:hAnsi="Arial" w:cs="Arial"/>
                <w:sz w:val="20"/>
                <w:szCs w:val="20"/>
              </w:rPr>
              <w:t>final</w:t>
            </w:r>
            <w:r w:rsidRPr="00576180">
              <w:rPr>
                <w:rFonts w:ascii="Arial" w:hAnsi="Arial" w:cs="Arial"/>
                <w:sz w:val="20"/>
                <w:szCs w:val="20"/>
              </w:rPr>
              <w:t>: US$ 3</w:t>
            </w:r>
            <w:r w:rsidR="00ED2EC0" w:rsidRPr="00576180">
              <w:rPr>
                <w:rFonts w:ascii="Arial" w:hAnsi="Arial" w:cs="Arial"/>
                <w:sz w:val="20"/>
                <w:szCs w:val="20"/>
              </w:rPr>
              <w:t>.</w:t>
            </w:r>
            <w:r w:rsidRPr="00576180">
              <w:rPr>
                <w:rFonts w:ascii="Arial" w:hAnsi="Arial" w:cs="Arial"/>
                <w:sz w:val="20"/>
                <w:szCs w:val="20"/>
              </w:rPr>
              <w:t>866</w:t>
            </w:r>
            <w:r w:rsidR="00ED2EC0" w:rsidRPr="00576180">
              <w:rPr>
                <w:rFonts w:ascii="Arial" w:hAnsi="Arial" w:cs="Arial"/>
                <w:sz w:val="20"/>
                <w:szCs w:val="20"/>
              </w:rPr>
              <w:t>.</w:t>
            </w:r>
            <w:r w:rsidRPr="00576180">
              <w:rPr>
                <w:rFonts w:ascii="Arial" w:hAnsi="Arial" w:cs="Arial"/>
                <w:sz w:val="20"/>
                <w:szCs w:val="20"/>
              </w:rPr>
              <w:t>005</w:t>
            </w:r>
            <w:r w:rsidR="00ED2EC0" w:rsidRPr="00576180">
              <w:rPr>
                <w:rFonts w:ascii="Arial" w:hAnsi="Arial" w:cs="Arial"/>
                <w:sz w:val="20"/>
                <w:szCs w:val="20"/>
              </w:rPr>
              <w:t>,</w:t>
            </w:r>
            <w:r w:rsidRPr="00576180">
              <w:rPr>
                <w:rFonts w:ascii="Arial" w:hAnsi="Arial" w:cs="Arial"/>
                <w:sz w:val="20"/>
                <w:szCs w:val="20"/>
              </w:rPr>
              <w:t>99</w:t>
            </w:r>
          </w:p>
        </w:tc>
      </w:tr>
      <w:tr w:rsidR="00F6766E" w:rsidRPr="00576180" w14:paraId="04C2D568"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677B6AF3" w14:textId="51AE462A" w:rsidR="00F6766E" w:rsidRPr="00576180" w:rsidRDefault="002C0928" w:rsidP="002C0928">
            <w:pPr>
              <w:rPr>
                <w:rFonts w:ascii="Arial" w:hAnsi="Arial" w:cs="Arial"/>
                <w:sz w:val="20"/>
                <w:szCs w:val="20"/>
              </w:rPr>
            </w:pPr>
            <w:r w:rsidRPr="00576180">
              <w:rPr>
                <w:rFonts w:ascii="Arial" w:hAnsi="Arial" w:cs="Arial"/>
                <w:sz w:val="20"/>
                <w:szCs w:val="20"/>
              </w:rPr>
              <w:t>Costo total del proyecto</w:t>
            </w:r>
            <w:r w:rsidR="0019691F" w:rsidRPr="00576180">
              <w:rPr>
                <w:rFonts w:ascii="Arial" w:hAnsi="Arial" w:cs="Arial"/>
                <w:sz w:val="20"/>
                <w:szCs w:val="20"/>
              </w:rPr>
              <w:t xml:space="preserve">: </w:t>
            </w:r>
            <w:r w:rsidR="00F6766E" w:rsidRPr="00576180">
              <w:rPr>
                <w:rFonts w:ascii="Arial" w:hAnsi="Arial" w:cs="Arial"/>
                <w:sz w:val="20"/>
                <w:szCs w:val="20"/>
              </w:rPr>
              <w:t>US$</w:t>
            </w:r>
            <w:r w:rsidR="008D451B" w:rsidRPr="00576180">
              <w:rPr>
                <w:rFonts w:ascii="Arial" w:hAnsi="Arial" w:cs="Arial"/>
                <w:sz w:val="20"/>
                <w:szCs w:val="20"/>
              </w:rPr>
              <w:t xml:space="preserve"> </w:t>
            </w:r>
            <w:r w:rsidR="00C06B57" w:rsidRPr="00576180">
              <w:rPr>
                <w:rFonts w:ascii="Arial" w:hAnsi="Arial" w:cs="Arial"/>
                <w:sz w:val="20"/>
                <w:szCs w:val="20"/>
              </w:rPr>
              <w:t>18</w:t>
            </w:r>
            <w:r w:rsidR="00ED2EC0" w:rsidRPr="00576180">
              <w:rPr>
                <w:rFonts w:ascii="Arial" w:hAnsi="Arial" w:cs="Arial"/>
                <w:sz w:val="20"/>
                <w:szCs w:val="20"/>
              </w:rPr>
              <w:t>.</w:t>
            </w:r>
            <w:r w:rsidR="00C06B57" w:rsidRPr="00576180">
              <w:rPr>
                <w:rFonts w:ascii="Arial" w:hAnsi="Arial" w:cs="Arial"/>
                <w:sz w:val="20"/>
                <w:szCs w:val="20"/>
              </w:rPr>
              <w:t>740</w:t>
            </w:r>
            <w:r w:rsidR="00ED2EC0" w:rsidRPr="00576180">
              <w:rPr>
                <w:rFonts w:ascii="Arial" w:hAnsi="Arial" w:cs="Arial"/>
                <w:sz w:val="20"/>
                <w:szCs w:val="20"/>
              </w:rPr>
              <w:t>.</w:t>
            </w:r>
            <w:r w:rsidR="00A7221D" w:rsidRPr="00576180">
              <w:rPr>
                <w:rFonts w:ascii="Arial" w:hAnsi="Arial" w:cs="Arial"/>
                <w:sz w:val="20"/>
                <w:szCs w:val="20"/>
              </w:rPr>
              <w:t>8</w:t>
            </w:r>
            <w:r w:rsidR="00716F51" w:rsidRPr="00576180">
              <w:rPr>
                <w:rFonts w:ascii="Arial" w:hAnsi="Arial" w:cs="Arial"/>
                <w:sz w:val="20"/>
                <w:szCs w:val="20"/>
              </w:rPr>
              <w:t>0</w:t>
            </w:r>
            <w:r w:rsidR="00A7221D" w:rsidRPr="00576180">
              <w:rPr>
                <w:rFonts w:ascii="Arial" w:hAnsi="Arial" w:cs="Arial"/>
                <w:sz w:val="20"/>
                <w:szCs w:val="20"/>
              </w:rPr>
              <w:t>7</w:t>
            </w:r>
            <w:r w:rsidR="00ED2EC0" w:rsidRPr="00576180">
              <w:rPr>
                <w:rFonts w:ascii="Arial" w:hAnsi="Arial" w:cs="Arial"/>
                <w:sz w:val="20"/>
                <w:szCs w:val="20"/>
              </w:rPr>
              <w:t>,</w:t>
            </w:r>
            <w:r w:rsidR="00A7221D" w:rsidRPr="00576180">
              <w:rPr>
                <w:rFonts w:ascii="Arial" w:hAnsi="Arial" w:cs="Arial"/>
                <w:sz w:val="20"/>
                <w:szCs w:val="20"/>
              </w:rPr>
              <w:t>70</w:t>
            </w:r>
          </w:p>
        </w:tc>
      </w:tr>
      <w:tr w:rsidR="008D451B" w:rsidRPr="00576180" w14:paraId="087E4225" w14:textId="77777777" w:rsidTr="00314D85">
        <w:tc>
          <w:tcPr>
            <w:tcW w:w="9350" w:type="dxa"/>
            <w:tcBorders>
              <w:top w:val="nil"/>
              <w:left w:val="single" w:sz="4" w:space="0" w:color="auto"/>
              <w:bottom w:val="nil"/>
              <w:right w:val="single" w:sz="4" w:space="0" w:color="auto"/>
            </w:tcBorders>
            <w:shd w:val="clear" w:color="auto" w:fill="DBE5F1" w:themeFill="accent1" w:themeFillTint="33"/>
          </w:tcPr>
          <w:p w14:paraId="4CAC4921" w14:textId="5C2FA11F" w:rsidR="008D451B" w:rsidRPr="00576180" w:rsidRDefault="008D451B" w:rsidP="002C0928">
            <w:pPr>
              <w:rPr>
                <w:rFonts w:ascii="Arial" w:hAnsi="Arial" w:cs="Arial"/>
                <w:sz w:val="20"/>
                <w:szCs w:val="20"/>
              </w:rPr>
            </w:pPr>
            <w:r w:rsidRPr="00576180">
              <w:rPr>
                <w:rFonts w:ascii="Arial" w:hAnsi="Arial" w:cs="Arial"/>
                <w:sz w:val="20"/>
                <w:szCs w:val="20"/>
              </w:rPr>
              <w:t xml:space="preserve">Costo </w:t>
            </w:r>
            <w:r w:rsidR="008111B1" w:rsidRPr="00576180">
              <w:rPr>
                <w:rFonts w:ascii="Arial" w:hAnsi="Arial" w:cs="Arial"/>
                <w:sz w:val="20"/>
                <w:szCs w:val="20"/>
              </w:rPr>
              <w:t>final del</w:t>
            </w:r>
            <w:r w:rsidRPr="00576180">
              <w:rPr>
                <w:rFonts w:ascii="Arial" w:hAnsi="Arial" w:cs="Arial"/>
                <w:sz w:val="20"/>
                <w:szCs w:val="20"/>
              </w:rPr>
              <w:t xml:space="preserve"> proyecto</w:t>
            </w:r>
            <w:r w:rsidR="00A77905" w:rsidRPr="00576180">
              <w:rPr>
                <w:rFonts w:ascii="Arial" w:hAnsi="Arial" w:cs="Arial"/>
                <w:sz w:val="20"/>
                <w:szCs w:val="20"/>
              </w:rPr>
              <w:t xml:space="preserve"> (</w:t>
            </w:r>
            <w:r w:rsidR="00A7272F" w:rsidRPr="00576180">
              <w:rPr>
                <w:rFonts w:ascii="Arial" w:hAnsi="Arial" w:cs="Arial"/>
                <w:sz w:val="20"/>
                <w:szCs w:val="20"/>
              </w:rPr>
              <w:t xml:space="preserve">monto actual y </w:t>
            </w:r>
            <w:proofErr w:type="spellStart"/>
            <w:r w:rsidR="00A7272F" w:rsidRPr="00576180">
              <w:rPr>
                <w:rFonts w:ascii="Arial" w:hAnsi="Arial" w:cs="Arial"/>
                <w:sz w:val="20"/>
                <w:szCs w:val="20"/>
              </w:rPr>
              <w:t>Pari</w:t>
            </w:r>
            <w:proofErr w:type="spellEnd"/>
            <w:r w:rsidR="00A7272F" w:rsidRPr="00576180">
              <w:rPr>
                <w:rFonts w:ascii="Arial" w:hAnsi="Arial" w:cs="Arial"/>
                <w:sz w:val="20"/>
                <w:szCs w:val="20"/>
              </w:rPr>
              <w:t xml:space="preserve"> </w:t>
            </w:r>
            <w:proofErr w:type="spellStart"/>
            <w:r w:rsidR="00A7272F" w:rsidRPr="00576180">
              <w:rPr>
                <w:rFonts w:ascii="Arial" w:hAnsi="Arial" w:cs="Arial"/>
                <w:sz w:val="20"/>
                <w:szCs w:val="20"/>
              </w:rPr>
              <w:t>Pasu</w:t>
            </w:r>
            <w:proofErr w:type="spellEnd"/>
            <w:r w:rsidR="00A7272F" w:rsidRPr="00576180">
              <w:rPr>
                <w:rFonts w:ascii="Arial" w:hAnsi="Arial" w:cs="Arial"/>
                <w:sz w:val="20"/>
                <w:szCs w:val="20"/>
              </w:rPr>
              <w:t xml:space="preserve"> </w:t>
            </w:r>
            <w:r w:rsidR="00303A2E" w:rsidRPr="00576180">
              <w:rPr>
                <w:rFonts w:ascii="Arial" w:hAnsi="Arial" w:cs="Arial"/>
                <w:sz w:val="20"/>
                <w:szCs w:val="20"/>
              </w:rPr>
              <w:t>final</w:t>
            </w:r>
            <w:r w:rsidR="00A7272F" w:rsidRPr="00576180">
              <w:rPr>
                <w:rFonts w:ascii="Arial" w:hAnsi="Arial" w:cs="Arial"/>
                <w:sz w:val="20"/>
                <w:szCs w:val="20"/>
              </w:rPr>
              <w:t>)</w:t>
            </w:r>
            <w:r w:rsidRPr="00576180">
              <w:rPr>
                <w:rFonts w:ascii="Arial" w:hAnsi="Arial" w:cs="Arial"/>
                <w:sz w:val="20"/>
                <w:szCs w:val="20"/>
              </w:rPr>
              <w:t>: US$ 20</w:t>
            </w:r>
            <w:r w:rsidR="00745290" w:rsidRPr="00576180">
              <w:rPr>
                <w:rFonts w:ascii="Arial" w:hAnsi="Arial" w:cs="Arial"/>
                <w:sz w:val="20"/>
                <w:szCs w:val="20"/>
              </w:rPr>
              <w:t>.</w:t>
            </w:r>
            <w:r w:rsidRPr="00576180">
              <w:rPr>
                <w:rFonts w:ascii="Arial" w:hAnsi="Arial" w:cs="Arial"/>
                <w:sz w:val="20"/>
                <w:szCs w:val="20"/>
              </w:rPr>
              <w:t>362</w:t>
            </w:r>
            <w:r w:rsidR="00745290" w:rsidRPr="00576180">
              <w:rPr>
                <w:rFonts w:ascii="Arial" w:hAnsi="Arial" w:cs="Arial"/>
                <w:sz w:val="20"/>
                <w:szCs w:val="20"/>
              </w:rPr>
              <w:t>.</w:t>
            </w:r>
            <w:r w:rsidRPr="00576180">
              <w:rPr>
                <w:rFonts w:ascii="Arial" w:hAnsi="Arial" w:cs="Arial"/>
                <w:sz w:val="20"/>
                <w:szCs w:val="20"/>
              </w:rPr>
              <w:t>813</w:t>
            </w:r>
            <w:r w:rsidR="00745290" w:rsidRPr="00576180">
              <w:rPr>
                <w:rFonts w:ascii="Arial" w:hAnsi="Arial" w:cs="Arial"/>
                <w:sz w:val="20"/>
                <w:szCs w:val="20"/>
              </w:rPr>
              <w:t>,</w:t>
            </w:r>
            <w:r w:rsidRPr="00576180">
              <w:rPr>
                <w:rFonts w:ascii="Arial" w:hAnsi="Arial" w:cs="Arial"/>
                <w:sz w:val="20"/>
                <w:szCs w:val="20"/>
              </w:rPr>
              <w:t>69</w:t>
            </w:r>
          </w:p>
        </w:tc>
      </w:tr>
      <w:tr w:rsidR="002F6B3C" w:rsidRPr="00576180" w14:paraId="2584A220" w14:textId="77777777" w:rsidTr="009C0233">
        <w:tc>
          <w:tcPr>
            <w:tcW w:w="9350" w:type="dxa"/>
            <w:tcBorders>
              <w:top w:val="nil"/>
              <w:left w:val="single" w:sz="4" w:space="0" w:color="auto"/>
              <w:bottom w:val="nil"/>
              <w:right w:val="single" w:sz="4" w:space="0" w:color="auto"/>
            </w:tcBorders>
            <w:shd w:val="clear" w:color="auto" w:fill="auto"/>
          </w:tcPr>
          <w:p w14:paraId="4181A430" w14:textId="77777777" w:rsidR="002F6B3C" w:rsidRPr="00576180" w:rsidRDefault="002F6B3C" w:rsidP="008D007A">
            <w:pPr>
              <w:tabs>
                <w:tab w:val="left" w:pos="9000"/>
              </w:tabs>
              <w:rPr>
                <w:rFonts w:ascii="Arial" w:hAnsi="Arial" w:cs="Arial"/>
                <w:smallCaps/>
                <w:sz w:val="20"/>
                <w:szCs w:val="20"/>
                <w:u w:val="single"/>
              </w:rPr>
            </w:pPr>
          </w:p>
        </w:tc>
      </w:tr>
      <w:tr w:rsidR="00F6766E" w:rsidRPr="00576180" w14:paraId="4BF9BE77" w14:textId="77777777" w:rsidTr="00314D85">
        <w:tc>
          <w:tcPr>
            <w:tcW w:w="9350" w:type="dxa"/>
            <w:tcBorders>
              <w:top w:val="nil"/>
              <w:left w:val="single" w:sz="4" w:space="0" w:color="auto"/>
              <w:bottom w:val="nil"/>
              <w:right w:val="single" w:sz="4" w:space="0" w:color="auto"/>
            </w:tcBorders>
            <w:shd w:val="clear" w:color="auto" w:fill="F2F2F2" w:themeFill="background1" w:themeFillShade="F2"/>
            <w:hideMark/>
          </w:tcPr>
          <w:p w14:paraId="6C4C738C" w14:textId="77777777" w:rsidR="00F6766E" w:rsidRPr="00576180" w:rsidRDefault="00F6766E" w:rsidP="002C0928">
            <w:pPr>
              <w:rPr>
                <w:rFonts w:ascii="Arial" w:hAnsi="Arial" w:cs="Arial"/>
                <w:b/>
                <w:sz w:val="20"/>
                <w:szCs w:val="20"/>
              </w:rPr>
            </w:pPr>
            <w:r w:rsidRPr="00576180">
              <w:rPr>
                <w:rFonts w:ascii="Arial" w:hAnsi="Arial" w:cs="Arial"/>
                <w:b/>
                <w:sz w:val="20"/>
                <w:szCs w:val="20"/>
              </w:rPr>
              <w:t>Meses de ejecución</w:t>
            </w:r>
          </w:p>
        </w:tc>
      </w:tr>
      <w:tr w:rsidR="00BF775E" w:rsidRPr="00576180" w14:paraId="4DF2C08E" w14:textId="77777777" w:rsidTr="00314D85">
        <w:tc>
          <w:tcPr>
            <w:tcW w:w="9350" w:type="dxa"/>
            <w:tcBorders>
              <w:top w:val="nil"/>
              <w:left w:val="single" w:sz="4" w:space="0" w:color="auto"/>
              <w:bottom w:val="nil"/>
              <w:right w:val="single" w:sz="4" w:space="0" w:color="auto"/>
            </w:tcBorders>
            <w:shd w:val="clear" w:color="auto" w:fill="F2F2F2" w:themeFill="background1" w:themeFillShade="F2"/>
            <w:hideMark/>
          </w:tcPr>
          <w:p w14:paraId="470CB7C4" w14:textId="539C950E" w:rsidR="00BF775E" w:rsidRPr="00576180" w:rsidRDefault="002C0928" w:rsidP="002C0928">
            <w:pPr>
              <w:rPr>
                <w:rFonts w:ascii="Arial" w:hAnsi="Arial" w:cs="Arial"/>
                <w:sz w:val="20"/>
                <w:szCs w:val="20"/>
              </w:rPr>
            </w:pPr>
            <w:r w:rsidRPr="00576180">
              <w:rPr>
                <w:rFonts w:ascii="Arial" w:hAnsi="Arial" w:cs="Arial"/>
                <w:sz w:val="20"/>
                <w:szCs w:val="20"/>
              </w:rPr>
              <w:t>De aprobación</w:t>
            </w:r>
            <w:r w:rsidR="007F5B57" w:rsidRPr="00576180">
              <w:rPr>
                <w:rFonts w:ascii="Arial" w:hAnsi="Arial" w:cs="Arial"/>
                <w:sz w:val="20"/>
                <w:szCs w:val="20"/>
              </w:rPr>
              <w:t xml:space="preserve">: </w:t>
            </w:r>
            <w:r w:rsidR="001D34B5" w:rsidRPr="00576180">
              <w:rPr>
                <w:rFonts w:ascii="Arial" w:hAnsi="Arial" w:cs="Arial"/>
                <w:sz w:val="20"/>
                <w:szCs w:val="20"/>
              </w:rPr>
              <w:t>80</w:t>
            </w:r>
          </w:p>
        </w:tc>
      </w:tr>
      <w:tr w:rsidR="00BF775E" w:rsidRPr="00576180" w14:paraId="33741C41" w14:textId="77777777" w:rsidTr="00314D85">
        <w:tc>
          <w:tcPr>
            <w:tcW w:w="9350" w:type="dxa"/>
            <w:tcBorders>
              <w:top w:val="nil"/>
              <w:left w:val="single" w:sz="4" w:space="0" w:color="auto"/>
              <w:bottom w:val="nil"/>
              <w:right w:val="single" w:sz="4" w:space="0" w:color="auto"/>
            </w:tcBorders>
            <w:shd w:val="clear" w:color="auto" w:fill="F2F2F2" w:themeFill="background1" w:themeFillShade="F2"/>
            <w:hideMark/>
          </w:tcPr>
          <w:p w14:paraId="74D1E611" w14:textId="6C9A1E70" w:rsidR="00BF775E" w:rsidRPr="00576180" w:rsidRDefault="002C0928" w:rsidP="002C0928">
            <w:pPr>
              <w:rPr>
                <w:rFonts w:ascii="Arial" w:hAnsi="Arial" w:cs="Arial"/>
                <w:sz w:val="20"/>
                <w:szCs w:val="20"/>
              </w:rPr>
            </w:pPr>
            <w:r w:rsidRPr="00576180">
              <w:rPr>
                <w:rFonts w:ascii="Arial" w:hAnsi="Arial" w:cs="Arial"/>
                <w:sz w:val="20"/>
                <w:szCs w:val="20"/>
              </w:rPr>
              <w:t>De la efectividad del contrato</w:t>
            </w:r>
            <w:r w:rsidR="007F5B57" w:rsidRPr="00576180">
              <w:rPr>
                <w:rFonts w:ascii="Arial" w:hAnsi="Arial" w:cs="Arial"/>
                <w:sz w:val="20"/>
                <w:szCs w:val="20"/>
              </w:rPr>
              <w:t xml:space="preserve">: </w:t>
            </w:r>
            <w:r w:rsidR="001D34B5" w:rsidRPr="00576180">
              <w:rPr>
                <w:rFonts w:ascii="Arial" w:hAnsi="Arial" w:cs="Arial"/>
                <w:sz w:val="20"/>
                <w:szCs w:val="20"/>
              </w:rPr>
              <w:t>84</w:t>
            </w:r>
          </w:p>
        </w:tc>
      </w:tr>
      <w:tr w:rsidR="002F6B3C" w:rsidRPr="00576180" w14:paraId="4BB6374D" w14:textId="77777777" w:rsidTr="009C0233">
        <w:tc>
          <w:tcPr>
            <w:tcW w:w="9350" w:type="dxa"/>
            <w:tcBorders>
              <w:top w:val="nil"/>
              <w:left w:val="single" w:sz="4" w:space="0" w:color="auto"/>
              <w:bottom w:val="nil"/>
              <w:right w:val="single" w:sz="4" w:space="0" w:color="auto"/>
            </w:tcBorders>
            <w:shd w:val="clear" w:color="auto" w:fill="auto"/>
          </w:tcPr>
          <w:p w14:paraId="086CA9AE" w14:textId="77777777" w:rsidR="002F6B3C" w:rsidRPr="00576180" w:rsidRDefault="002F6B3C" w:rsidP="008D007A">
            <w:pPr>
              <w:tabs>
                <w:tab w:val="left" w:pos="9000"/>
              </w:tabs>
              <w:rPr>
                <w:rFonts w:ascii="Arial" w:hAnsi="Arial" w:cs="Arial"/>
                <w:smallCaps/>
                <w:sz w:val="20"/>
                <w:szCs w:val="20"/>
                <w:u w:val="single"/>
              </w:rPr>
            </w:pPr>
          </w:p>
        </w:tc>
      </w:tr>
      <w:tr w:rsidR="00F6766E" w:rsidRPr="00576180" w14:paraId="130FE71E"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28745C91" w14:textId="77777777" w:rsidR="00F6766E" w:rsidRPr="00576180" w:rsidRDefault="00F6766E" w:rsidP="002C0928">
            <w:pPr>
              <w:rPr>
                <w:rFonts w:ascii="Arial" w:hAnsi="Arial" w:cs="Arial"/>
                <w:b/>
                <w:sz w:val="20"/>
                <w:szCs w:val="20"/>
              </w:rPr>
            </w:pPr>
            <w:r w:rsidRPr="00576180">
              <w:rPr>
                <w:rFonts w:ascii="Arial" w:hAnsi="Arial" w:cs="Arial"/>
                <w:b/>
                <w:sz w:val="20"/>
                <w:szCs w:val="20"/>
              </w:rPr>
              <w:t>Periodos de desembolso</w:t>
            </w:r>
          </w:p>
        </w:tc>
      </w:tr>
      <w:tr w:rsidR="00BF775E" w:rsidRPr="00576180" w14:paraId="0D042F95"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64222577" w14:textId="7D9C87C5" w:rsidR="00BF775E" w:rsidRPr="00576180" w:rsidRDefault="002C0928" w:rsidP="002C0928">
            <w:pPr>
              <w:rPr>
                <w:rFonts w:ascii="Arial" w:hAnsi="Arial" w:cs="Arial"/>
                <w:sz w:val="20"/>
                <w:szCs w:val="20"/>
              </w:rPr>
            </w:pPr>
            <w:r w:rsidRPr="00576180">
              <w:rPr>
                <w:rFonts w:ascii="Arial" w:hAnsi="Arial" w:cs="Arial"/>
                <w:sz w:val="20"/>
                <w:szCs w:val="20"/>
              </w:rPr>
              <w:t>Fecha original de desembolso final</w:t>
            </w:r>
            <w:r w:rsidR="007B4FA5" w:rsidRPr="00576180">
              <w:rPr>
                <w:rFonts w:ascii="Arial" w:hAnsi="Arial" w:cs="Arial"/>
                <w:sz w:val="20"/>
                <w:szCs w:val="20"/>
              </w:rPr>
              <w:t xml:space="preserve">: </w:t>
            </w:r>
            <w:r w:rsidR="00BF775E" w:rsidRPr="00576180">
              <w:rPr>
                <w:rFonts w:ascii="Arial" w:hAnsi="Arial" w:cs="Arial"/>
                <w:sz w:val="20"/>
                <w:szCs w:val="20"/>
              </w:rPr>
              <w:t>2 de diciembre de 201</w:t>
            </w:r>
            <w:r w:rsidR="007215BB" w:rsidRPr="00576180">
              <w:rPr>
                <w:rFonts w:ascii="Arial" w:hAnsi="Arial" w:cs="Arial"/>
                <w:sz w:val="20"/>
                <w:szCs w:val="20"/>
              </w:rPr>
              <w:t>5</w:t>
            </w:r>
          </w:p>
        </w:tc>
      </w:tr>
      <w:tr w:rsidR="00BF775E" w:rsidRPr="00576180" w14:paraId="0C1CA461"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74A22970" w14:textId="7ED8E4F0" w:rsidR="00BF775E" w:rsidRPr="00576180" w:rsidRDefault="002C0928" w:rsidP="002C0928">
            <w:pPr>
              <w:rPr>
                <w:rFonts w:ascii="Arial" w:hAnsi="Arial" w:cs="Arial"/>
                <w:sz w:val="20"/>
                <w:szCs w:val="20"/>
              </w:rPr>
            </w:pPr>
            <w:r w:rsidRPr="00576180">
              <w:rPr>
                <w:rFonts w:ascii="Arial" w:hAnsi="Arial" w:cs="Arial"/>
                <w:sz w:val="20"/>
                <w:szCs w:val="20"/>
              </w:rPr>
              <w:t>Fecha actual de desembolso final</w:t>
            </w:r>
            <w:r w:rsidR="007B4FA5" w:rsidRPr="00576180">
              <w:rPr>
                <w:rFonts w:ascii="Arial" w:hAnsi="Arial" w:cs="Arial"/>
                <w:sz w:val="20"/>
                <w:szCs w:val="20"/>
              </w:rPr>
              <w:t xml:space="preserve">: </w:t>
            </w:r>
            <w:r w:rsidR="007215BB" w:rsidRPr="00576180">
              <w:rPr>
                <w:rFonts w:ascii="Arial" w:hAnsi="Arial" w:cs="Arial"/>
                <w:sz w:val="20"/>
                <w:szCs w:val="20"/>
              </w:rPr>
              <w:t>31</w:t>
            </w:r>
            <w:r w:rsidR="00BF775E" w:rsidRPr="00576180">
              <w:rPr>
                <w:rFonts w:ascii="Arial" w:hAnsi="Arial" w:cs="Arial"/>
                <w:sz w:val="20"/>
                <w:szCs w:val="20"/>
              </w:rPr>
              <w:t xml:space="preserve"> de diciembre de 201</w:t>
            </w:r>
            <w:r w:rsidR="007215BB" w:rsidRPr="00576180">
              <w:rPr>
                <w:rFonts w:ascii="Arial" w:hAnsi="Arial" w:cs="Arial"/>
                <w:sz w:val="20"/>
                <w:szCs w:val="20"/>
              </w:rPr>
              <w:t>7</w:t>
            </w:r>
          </w:p>
        </w:tc>
      </w:tr>
      <w:tr w:rsidR="00F6766E" w:rsidRPr="00576180" w14:paraId="00E7E0C8"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41DAC5ED" w14:textId="7C7130F6" w:rsidR="00F6766E" w:rsidRPr="00576180" w:rsidRDefault="002C0928" w:rsidP="002C0928">
            <w:pPr>
              <w:rPr>
                <w:rFonts w:ascii="Arial" w:hAnsi="Arial" w:cs="Arial"/>
                <w:sz w:val="20"/>
                <w:szCs w:val="20"/>
              </w:rPr>
            </w:pPr>
            <w:r w:rsidRPr="00576180">
              <w:rPr>
                <w:rFonts w:ascii="Arial" w:hAnsi="Arial" w:cs="Arial"/>
                <w:sz w:val="20"/>
                <w:szCs w:val="20"/>
              </w:rPr>
              <w:t>Extensión especial (meses)</w:t>
            </w:r>
            <w:r w:rsidR="007B4FA5" w:rsidRPr="00576180">
              <w:rPr>
                <w:rFonts w:ascii="Arial" w:hAnsi="Arial" w:cs="Arial"/>
                <w:sz w:val="20"/>
                <w:szCs w:val="20"/>
              </w:rPr>
              <w:t xml:space="preserve">: </w:t>
            </w:r>
            <w:r w:rsidR="007215BB" w:rsidRPr="00576180">
              <w:rPr>
                <w:rFonts w:ascii="Arial" w:hAnsi="Arial" w:cs="Arial"/>
                <w:sz w:val="20"/>
                <w:szCs w:val="20"/>
              </w:rPr>
              <w:t>25</w:t>
            </w:r>
          </w:p>
        </w:tc>
      </w:tr>
      <w:tr w:rsidR="00F6766E" w:rsidRPr="00576180" w14:paraId="526A29FA"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5AA6F74D" w14:textId="3E650444" w:rsidR="00F6766E" w:rsidRPr="00576180" w:rsidRDefault="002C0928" w:rsidP="002C0928">
            <w:pPr>
              <w:rPr>
                <w:rFonts w:ascii="Arial" w:hAnsi="Arial" w:cs="Arial"/>
                <w:sz w:val="20"/>
                <w:szCs w:val="20"/>
              </w:rPr>
            </w:pPr>
            <w:r w:rsidRPr="00576180">
              <w:rPr>
                <w:rFonts w:ascii="Arial" w:hAnsi="Arial" w:cs="Arial"/>
                <w:sz w:val="20"/>
                <w:szCs w:val="20"/>
              </w:rPr>
              <w:t>Desembolsos</w:t>
            </w:r>
          </w:p>
        </w:tc>
      </w:tr>
      <w:tr w:rsidR="00F6766E" w:rsidRPr="00576180" w14:paraId="21C9BC1C"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1EA18F19" w14:textId="017EC560" w:rsidR="00F6766E" w:rsidRPr="00576180" w:rsidRDefault="002C0928" w:rsidP="002C0928">
            <w:pPr>
              <w:rPr>
                <w:rFonts w:ascii="Arial" w:hAnsi="Arial" w:cs="Arial"/>
                <w:sz w:val="20"/>
                <w:szCs w:val="20"/>
              </w:rPr>
            </w:pPr>
            <w:r w:rsidRPr="00576180">
              <w:rPr>
                <w:rFonts w:ascii="Arial" w:hAnsi="Arial" w:cs="Arial"/>
                <w:sz w:val="20"/>
                <w:szCs w:val="20"/>
              </w:rPr>
              <w:t>Cantidad total de desembolsos a la fecha</w:t>
            </w:r>
            <w:r w:rsidR="002A619C" w:rsidRPr="00576180">
              <w:rPr>
                <w:rFonts w:ascii="Arial" w:hAnsi="Arial" w:cs="Arial"/>
                <w:sz w:val="20"/>
                <w:szCs w:val="20"/>
              </w:rPr>
              <w:t xml:space="preserve">: </w:t>
            </w:r>
            <w:r w:rsidR="00F6766E" w:rsidRPr="00576180">
              <w:rPr>
                <w:rFonts w:ascii="Arial" w:hAnsi="Arial" w:cs="Arial"/>
                <w:sz w:val="20"/>
                <w:szCs w:val="20"/>
              </w:rPr>
              <w:t>US$</w:t>
            </w:r>
            <w:r w:rsidR="008554FC" w:rsidRPr="00576180">
              <w:rPr>
                <w:rFonts w:ascii="Arial" w:hAnsi="Arial" w:cs="Arial"/>
                <w:sz w:val="20"/>
                <w:szCs w:val="20"/>
              </w:rPr>
              <w:t>16</w:t>
            </w:r>
            <w:r w:rsidR="005C2310" w:rsidRPr="00576180">
              <w:rPr>
                <w:rFonts w:ascii="Arial" w:hAnsi="Arial" w:cs="Arial"/>
                <w:sz w:val="20"/>
                <w:szCs w:val="20"/>
              </w:rPr>
              <w:t>.</w:t>
            </w:r>
            <w:r w:rsidR="008554FC" w:rsidRPr="00576180">
              <w:rPr>
                <w:rFonts w:ascii="Arial" w:hAnsi="Arial" w:cs="Arial"/>
                <w:sz w:val="20"/>
                <w:szCs w:val="20"/>
              </w:rPr>
              <w:t>496</w:t>
            </w:r>
            <w:r w:rsidR="005C2310" w:rsidRPr="00576180">
              <w:rPr>
                <w:rFonts w:ascii="Arial" w:hAnsi="Arial" w:cs="Arial"/>
                <w:sz w:val="20"/>
                <w:szCs w:val="20"/>
              </w:rPr>
              <w:t>.</w:t>
            </w:r>
            <w:r w:rsidR="008554FC" w:rsidRPr="00576180">
              <w:rPr>
                <w:rFonts w:ascii="Arial" w:hAnsi="Arial" w:cs="Arial"/>
                <w:sz w:val="20"/>
                <w:szCs w:val="20"/>
              </w:rPr>
              <w:t>807</w:t>
            </w:r>
            <w:r w:rsidR="005C2310" w:rsidRPr="00576180">
              <w:rPr>
                <w:rFonts w:ascii="Arial" w:hAnsi="Arial" w:cs="Arial"/>
                <w:sz w:val="20"/>
                <w:szCs w:val="20"/>
              </w:rPr>
              <w:t>,</w:t>
            </w:r>
            <w:r w:rsidR="008554FC" w:rsidRPr="00576180">
              <w:rPr>
                <w:rFonts w:ascii="Arial" w:hAnsi="Arial" w:cs="Arial"/>
                <w:sz w:val="20"/>
                <w:szCs w:val="20"/>
              </w:rPr>
              <w:t>70</w:t>
            </w:r>
          </w:p>
          <w:p w14:paraId="4DD93B6E" w14:textId="4AF11AE5" w:rsidR="002477B4" w:rsidRPr="00576180" w:rsidRDefault="002477B4" w:rsidP="002C0928">
            <w:pPr>
              <w:rPr>
                <w:rFonts w:ascii="Arial" w:hAnsi="Arial" w:cs="Arial"/>
                <w:sz w:val="20"/>
                <w:szCs w:val="20"/>
              </w:rPr>
            </w:pPr>
          </w:p>
        </w:tc>
      </w:tr>
      <w:tr w:rsidR="00D6599D" w:rsidRPr="00576180" w14:paraId="31966F84" w14:textId="77777777" w:rsidTr="00314D85">
        <w:tc>
          <w:tcPr>
            <w:tcW w:w="9350" w:type="dxa"/>
            <w:tcBorders>
              <w:top w:val="nil"/>
              <w:left w:val="single" w:sz="4" w:space="0" w:color="auto"/>
              <w:bottom w:val="nil"/>
              <w:right w:val="single" w:sz="4" w:space="0" w:color="auto"/>
            </w:tcBorders>
            <w:shd w:val="clear" w:color="auto" w:fill="DBE5F1" w:themeFill="accent1" w:themeFillTint="33"/>
          </w:tcPr>
          <w:p w14:paraId="0E36E6BD" w14:textId="4A463273" w:rsidR="00D6599D" w:rsidRPr="00576180" w:rsidRDefault="002C0928" w:rsidP="002477B4">
            <w:pPr>
              <w:jc w:val="center"/>
              <w:rPr>
                <w:rFonts w:ascii="Arial" w:hAnsi="Arial" w:cs="Arial"/>
                <w:b/>
                <w:sz w:val="20"/>
                <w:szCs w:val="20"/>
              </w:rPr>
            </w:pPr>
            <w:r w:rsidRPr="00576180">
              <w:rPr>
                <w:rFonts w:ascii="Arial" w:hAnsi="Arial" w:cs="Arial"/>
                <w:b/>
                <w:sz w:val="20"/>
                <w:szCs w:val="20"/>
              </w:rPr>
              <w:t>Gráfico de desembolsos</w:t>
            </w:r>
          </w:p>
          <w:p w14:paraId="53424D25" w14:textId="020B7FEA" w:rsidR="00D40B6B" w:rsidRPr="00576180" w:rsidDel="002A619C" w:rsidRDefault="00D40B6B" w:rsidP="002477B4">
            <w:pPr>
              <w:jc w:val="center"/>
              <w:rPr>
                <w:rFonts w:ascii="Arial" w:hAnsi="Arial" w:cs="Arial"/>
                <w:b/>
                <w:sz w:val="20"/>
                <w:szCs w:val="20"/>
              </w:rPr>
            </w:pPr>
          </w:p>
        </w:tc>
      </w:tr>
      <w:tr w:rsidR="00D212FA" w:rsidRPr="00576180" w14:paraId="280D881D" w14:textId="77777777" w:rsidTr="009C0233">
        <w:tc>
          <w:tcPr>
            <w:tcW w:w="9350" w:type="dxa"/>
            <w:tcBorders>
              <w:top w:val="nil"/>
              <w:left w:val="single" w:sz="4" w:space="0" w:color="auto"/>
              <w:bottom w:val="nil"/>
              <w:right w:val="single" w:sz="4" w:space="0" w:color="auto"/>
            </w:tcBorders>
            <w:shd w:val="clear" w:color="auto" w:fill="auto"/>
          </w:tcPr>
          <w:p w14:paraId="564AA2A1" w14:textId="522C503D" w:rsidR="00D212FA" w:rsidRPr="00576180" w:rsidRDefault="005611FA" w:rsidP="005611FA">
            <w:pPr>
              <w:tabs>
                <w:tab w:val="left" w:pos="9000"/>
              </w:tabs>
              <w:ind w:left="-115"/>
              <w:rPr>
                <w:rFonts w:ascii="Arial" w:hAnsi="Arial" w:cs="Arial"/>
                <w:smallCaps/>
                <w:sz w:val="20"/>
                <w:szCs w:val="20"/>
                <w:u w:val="single"/>
              </w:rPr>
            </w:pPr>
            <w:r>
              <w:rPr>
                <w:noProof/>
              </w:rPr>
              <w:drawing>
                <wp:inline distT="0" distB="0" distL="0" distR="0" wp14:anchorId="090F2395" wp14:editId="39F71661">
                  <wp:extent cx="5910580" cy="1802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2548" cy="1839318"/>
                          </a:xfrm>
                          <a:prstGeom prst="rect">
                            <a:avLst/>
                          </a:prstGeom>
                        </pic:spPr>
                      </pic:pic>
                    </a:graphicData>
                  </a:graphic>
                </wp:inline>
              </w:drawing>
            </w:r>
          </w:p>
          <w:p w14:paraId="751454FE" w14:textId="3DA74D3B" w:rsidR="008D451B" w:rsidRPr="00576180" w:rsidRDefault="008D451B" w:rsidP="008D007A">
            <w:pPr>
              <w:tabs>
                <w:tab w:val="left" w:pos="9000"/>
              </w:tabs>
              <w:rPr>
                <w:rFonts w:ascii="Arial" w:hAnsi="Arial" w:cs="Arial"/>
                <w:smallCaps/>
                <w:sz w:val="20"/>
                <w:szCs w:val="20"/>
                <w:u w:val="single"/>
              </w:rPr>
            </w:pPr>
          </w:p>
        </w:tc>
      </w:tr>
      <w:tr w:rsidR="00F6766E" w:rsidRPr="00576180" w14:paraId="64C5B271" w14:textId="77777777" w:rsidTr="00314D85">
        <w:tc>
          <w:tcPr>
            <w:tcW w:w="9350" w:type="dxa"/>
            <w:tcBorders>
              <w:top w:val="nil"/>
              <w:left w:val="single" w:sz="4" w:space="0" w:color="auto"/>
              <w:bottom w:val="nil"/>
              <w:right w:val="single" w:sz="4" w:space="0" w:color="auto"/>
            </w:tcBorders>
            <w:shd w:val="clear" w:color="auto" w:fill="F2F2F2" w:themeFill="background1" w:themeFillShade="F2"/>
            <w:hideMark/>
          </w:tcPr>
          <w:p w14:paraId="2A2B937C" w14:textId="5027184C" w:rsidR="00F6766E" w:rsidRPr="00576180" w:rsidRDefault="002477B4" w:rsidP="002477B4">
            <w:pPr>
              <w:rPr>
                <w:rFonts w:ascii="Arial" w:hAnsi="Arial" w:cs="Arial"/>
                <w:b/>
                <w:sz w:val="20"/>
                <w:szCs w:val="20"/>
              </w:rPr>
            </w:pPr>
            <w:r w:rsidRPr="00576180">
              <w:rPr>
                <w:rFonts w:ascii="Arial" w:hAnsi="Arial" w:cs="Arial"/>
                <w:b/>
                <w:sz w:val="20"/>
                <w:szCs w:val="20"/>
              </w:rPr>
              <w:t>Redireccionamiento</w:t>
            </w:r>
            <w:r w:rsidR="00F6766E" w:rsidRPr="00576180">
              <w:rPr>
                <w:rFonts w:ascii="Arial" w:hAnsi="Arial" w:cs="Arial"/>
                <w:b/>
                <w:sz w:val="20"/>
                <w:szCs w:val="20"/>
              </w:rPr>
              <w:t xml:space="preserve"> </w:t>
            </w:r>
          </w:p>
        </w:tc>
      </w:tr>
      <w:tr w:rsidR="00F6766E" w:rsidRPr="00576180" w14:paraId="47556CD2" w14:textId="77777777" w:rsidTr="00314D85">
        <w:tc>
          <w:tcPr>
            <w:tcW w:w="9350" w:type="dxa"/>
            <w:tcBorders>
              <w:top w:val="nil"/>
              <w:left w:val="single" w:sz="4" w:space="0" w:color="auto"/>
              <w:bottom w:val="nil"/>
              <w:right w:val="single" w:sz="4" w:space="0" w:color="auto"/>
            </w:tcBorders>
            <w:shd w:val="clear" w:color="auto" w:fill="F2F2F2" w:themeFill="background1" w:themeFillShade="F2"/>
            <w:hideMark/>
          </w:tcPr>
          <w:p w14:paraId="0F5B9450" w14:textId="697BF686" w:rsidR="00F6766E" w:rsidRPr="00576180" w:rsidRDefault="00D20497" w:rsidP="002477B4">
            <w:pPr>
              <w:rPr>
                <w:rFonts w:ascii="Arial" w:hAnsi="Arial" w:cs="Arial"/>
                <w:sz w:val="20"/>
                <w:szCs w:val="20"/>
              </w:rPr>
            </w:pPr>
            <w:r w:rsidRPr="00576180">
              <w:rPr>
                <w:rFonts w:ascii="Arial" w:hAnsi="Arial" w:cs="Arial"/>
                <w:sz w:val="20"/>
                <w:szCs w:val="20"/>
              </w:rPr>
              <w:t xml:space="preserve">Fondos recibidos de </w:t>
            </w:r>
            <w:r w:rsidR="00F6766E" w:rsidRPr="00576180">
              <w:rPr>
                <w:rFonts w:ascii="Arial" w:hAnsi="Arial" w:cs="Arial"/>
                <w:sz w:val="20"/>
                <w:szCs w:val="20"/>
              </w:rPr>
              <w:t>otro proyecto</w:t>
            </w:r>
            <w:r w:rsidRPr="00576180">
              <w:rPr>
                <w:rFonts w:ascii="Arial" w:hAnsi="Arial" w:cs="Arial"/>
                <w:sz w:val="20"/>
                <w:szCs w:val="20"/>
              </w:rPr>
              <w:t xml:space="preserve">: </w:t>
            </w:r>
            <w:r w:rsidR="002477B4" w:rsidRPr="00576180">
              <w:rPr>
                <w:rFonts w:ascii="Arial" w:hAnsi="Arial" w:cs="Arial"/>
                <w:sz w:val="20"/>
                <w:szCs w:val="20"/>
              </w:rPr>
              <w:t>n</w:t>
            </w:r>
            <w:r w:rsidR="00F6766E" w:rsidRPr="00576180">
              <w:rPr>
                <w:rFonts w:ascii="Arial" w:hAnsi="Arial" w:cs="Arial"/>
                <w:sz w:val="20"/>
                <w:szCs w:val="20"/>
              </w:rPr>
              <w:t xml:space="preserve">o </w:t>
            </w:r>
          </w:p>
        </w:tc>
      </w:tr>
      <w:tr w:rsidR="00F6766E" w:rsidRPr="00576180" w14:paraId="3598547D" w14:textId="77777777" w:rsidTr="00314D85">
        <w:tc>
          <w:tcPr>
            <w:tcW w:w="9350" w:type="dxa"/>
            <w:tcBorders>
              <w:top w:val="nil"/>
              <w:left w:val="single" w:sz="4" w:space="0" w:color="auto"/>
              <w:bottom w:val="nil"/>
              <w:right w:val="single" w:sz="4" w:space="0" w:color="auto"/>
            </w:tcBorders>
            <w:shd w:val="clear" w:color="auto" w:fill="F2F2F2" w:themeFill="background1" w:themeFillShade="F2"/>
            <w:hideMark/>
          </w:tcPr>
          <w:p w14:paraId="333C9120" w14:textId="2B0BD95A" w:rsidR="00F6766E" w:rsidRPr="00576180" w:rsidRDefault="00D20497" w:rsidP="002477B4">
            <w:pPr>
              <w:rPr>
                <w:rFonts w:ascii="Arial" w:hAnsi="Arial" w:cs="Arial"/>
                <w:sz w:val="20"/>
                <w:szCs w:val="20"/>
              </w:rPr>
            </w:pPr>
            <w:r w:rsidRPr="00576180">
              <w:rPr>
                <w:rFonts w:ascii="Arial" w:hAnsi="Arial" w:cs="Arial"/>
                <w:sz w:val="20"/>
                <w:szCs w:val="20"/>
              </w:rPr>
              <w:t xml:space="preserve">Fondos enviados </w:t>
            </w:r>
            <w:r w:rsidR="00F6766E" w:rsidRPr="00576180">
              <w:rPr>
                <w:rFonts w:ascii="Arial" w:hAnsi="Arial" w:cs="Arial"/>
                <w:sz w:val="20"/>
                <w:szCs w:val="20"/>
              </w:rPr>
              <w:t>a otro proyecto</w:t>
            </w:r>
            <w:r w:rsidRPr="00576180">
              <w:rPr>
                <w:rFonts w:ascii="Arial" w:hAnsi="Arial" w:cs="Arial"/>
                <w:sz w:val="20"/>
                <w:szCs w:val="20"/>
              </w:rPr>
              <w:t xml:space="preserve">: </w:t>
            </w:r>
            <w:r w:rsidR="002477B4" w:rsidRPr="00576180">
              <w:rPr>
                <w:rFonts w:ascii="Arial" w:hAnsi="Arial" w:cs="Arial"/>
                <w:sz w:val="20"/>
                <w:szCs w:val="20"/>
              </w:rPr>
              <w:t>n</w:t>
            </w:r>
            <w:r w:rsidR="00F6766E" w:rsidRPr="00576180">
              <w:rPr>
                <w:rFonts w:ascii="Arial" w:hAnsi="Arial" w:cs="Arial"/>
                <w:sz w:val="20"/>
                <w:szCs w:val="20"/>
              </w:rPr>
              <w:t xml:space="preserve">o     </w:t>
            </w:r>
          </w:p>
        </w:tc>
      </w:tr>
      <w:tr w:rsidR="0046445E" w:rsidRPr="00576180" w14:paraId="5A85525B" w14:textId="77777777" w:rsidTr="009C0233">
        <w:tc>
          <w:tcPr>
            <w:tcW w:w="9350" w:type="dxa"/>
            <w:tcBorders>
              <w:top w:val="nil"/>
              <w:left w:val="single" w:sz="4" w:space="0" w:color="auto"/>
              <w:bottom w:val="nil"/>
              <w:right w:val="single" w:sz="4" w:space="0" w:color="auto"/>
            </w:tcBorders>
            <w:shd w:val="clear" w:color="auto" w:fill="auto"/>
          </w:tcPr>
          <w:p w14:paraId="2FEE0D69" w14:textId="6041114A" w:rsidR="002477B4" w:rsidRPr="00576180" w:rsidRDefault="002477B4" w:rsidP="008D007A">
            <w:pPr>
              <w:tabs>
                <w:tab w:val="left" w:pos="9000"/>
              </w:tabs>
              <w:rPr>
                <w:rFonts w:ascii="Arial" w:hAnsi="Arial" w:cs="Arial"/>
                <w:smallCaps/>
                <w:sz w:val="20"/>
                <w:szCs w:val="20"/>
              </w:rPr>
            </w:pPr>
          </w:p>
        </w:tc>
      </w:tr>
      <w:tr w:rsidR="004D3A80" w:rsidRPr="00576180" w14:paraId="03B58087" w14:textId="77777777" w:rsidTr="00314D85">
        <w:tc>
          <w:tcPr>
            <w:tcW w:w="9350" w:type="dxa"/>
            <w:tcBorders>
              <w:top w:val="nil"/>
              <w:left w:val="single" w:sz="4" w:space="0" w:color="auto"/>
              <w:bottom w:val="nil"/>
              <w:right w:val="single" w:sz="4" w:space="0" w:color="auto"/>
            </w:tcBorders>
            <w:shd w:val="clear" w:color="auto" w:fill="DBE5F1" w:themeFill="accent1" w:themeFillTint="33"/>
          </w:tcPr>
          <w:p w14:paraId="103439D1" w14:textId="04C5592B" w:rsidR="004D3A80" w:rsidRPr="00576180" w:rsidRDefault="004D3A80" w:rsidP="002477B4">
            <w:pPr>
              <w:rPr>
                <w:rFonts w:ascii="Arial" w:hAnsi="Arial" w:cs="Arial"/>
                <w:b/>
                <w:sz w:val="20"/>
                <w:szCs w:val="20"/>
              </w:rPr>
            </w:pPr>
            <w:r w:rsidRPr="00576180">
              <w:rPr>
                <w:rFonts w:ascii="Arial" w:hAnsi="Arial" w:cs="Arial"/>
                <w:b/>
                <w:sz w:val="20"/>
                <w:szCs w:val="20"/>
              </w:rPr>
              <w:t>Calificaciones del desempeño del proyecto en los P</w:t>
            </w:r>
            <w:r w:rsidR="00F169AB" w:rsidRPr="00576180">
              <w:rPr>
                <w:rFonts w:ascii="Arial" w:hAnsi="Arial" w:cs="Arial"/>
                <w:b/>
                <w:sz w:val="20"/>
                <w:szCs w:val="20"/>
              </w:rPr>
              <w:t xml:space="preserve">roject </w:t>
            </w:r>
            <w:r w:rsidRPr="00576180">
              <w:rPr>
                <w:rFonts w:ascii="Arial" w:hAnsi="Arial" w:cs="Arial"/>
                <w:b/>
                <w:sz w:val="20"/>
                <w:szCs w:val="20"/>
              </w:rPr>
              <w:t>M</w:t>
            </w:r>
            <w:r w:rsidR="00F169AB" w:rsidRPr="00576180">
              <w:rPr>
                <w:rFonts w:ascii="Arial" w:hAnsi="Arial" w:cs="Arial"/>
                <w:b/>
                <w:sz w:val="20"/>
                <w:szCs w:val="20"/>
              </w:rPr>
              <w:t xml:space="preserve">anagement </w:t>
            </w:r>
            <w:proofErr w:type="spellStart"/>
            <w:r w:rsidRPr="00576180">
              <w:rPr>
                <w:rFonts w:ascii="Arial" w:hAnsi="Arial" w:cs="Arial"/>
                <w:b/>
                <w:sz w:val="20"/>
                <w:szCs w:val="20"/>
              </w:rPr>
              <w:t>R</w:t>
            </w:r>
            <w:r w:rsidR="00F169AB" w:rsidRPr="00576180">
              <w:rPr>
                <w:rFonts w:ascii="Arial" w:hAnsi="Arial" w:cs="Arial"/>
                <w:b/>
                <w:sz w:val="20"/>
                <w:szCs w:val="20"/>
              </w:rPr>
              <w:t>eport</w:t>
            </w:r>
            <w:proofErr w:type="spellEnd"/>
            <w:r w:rsidR="00F169AB" w:rsidRPr="00576180">
              <w:rPr>
                <w:rFonts w:ascii="Arial" w:hAnsi="Arial" w:cs="Arial"/>
                <w:b/>
                <w:sz w:val="20"/>
                <w:szCs w:val="20"/>
              </w:rPr>
              <w:t xml:space="preserve"> (PMR)</w:t>
            </w:r>
          </w:p>
          <w:tbl>
            <w:tblPr>
              <w:tblStyle w:val="TableGrid"/>
              <w:tblW w:w="0" w:type="auto"/>
              <w:tblLook w:val="04A0" w:firstRow="1" w:lastRow="0" w:firstColumn="1" w:lastColumn="0" w:noHBand="0" w:noVBand="1"/>
            </w:tblPr>
            <w:tblGrid>
              <w:gridCol w:w="600"/>
              <w:gridCol w:w="1884"/>
              <w:gridCol w:w="2946"/>
              <w:gridCol w:w="1450"/>
              <w:gridCol w:w="2244"/>
            </w:tblGrid>
            <w:tr w:rsidR="0062684D" w:rsidRPr="00576180" w14:paraId="187C358E" w14:textId="77777777" w:rsidTr="00AC4704">
              <w:trPr>
                <w:trHeight w:val="323"/>
              </w:trPr>
              <w:tc>
                <w:tcPr>
                  <w:tcW w:w="600" w:type="dxa"/>
                  <w:shd w:val="clear" w:color="auto" w:fill="D9D9D9" w:themeFill="background1" w:themeFillShade="D9"/>
                </w:tcPr>
                <w:p w14:paraId="3E9ABFA6" w14:textId="77777777" w:rsidR="0062684D" w:rsidRPr="00576180" w:rsidRDefault="0062684D" w:rsidP="00AC4704">
                  <w:pPr>
                    <w:jc w:val="center"/>
                    <w:rPr>
                      <w:rFonts w:ascii="Arial" w:hAnsi="Arial" w:cs="Arial"/>
                      <w:b/>
                      <w:sz w:val="20"/>
                      <w:szCs w:val="20"/>
                    </w:rPr>
                  </w:pPr>
                  <w:r w:rsidRPr="00576180">
                    <w:rPr>
                      <w:rFonts w:ascii="Arial" w:hAnsi="Arial" w:cs="Arial"/>
                      <w:b/>
                      <w:sz w:val="20"/>
                      <w:szCs w:val="20"/>
                    </w:rPr>
                    <w:t>No.</w:t>
                  </w:r>
                </w:p>
              </w:tc>
              <w:tc>
                <w:tcPr>
                  <w:tcW w:w="1897" w:type="dxa"/>
                  <w:shd w:val="clear" w:color="auto" w:fill="D9D9D9" w:themeFill="background1" w:themeFillShade="D9"/>
                </w:tcPr>
                <w:p w14:paraId="51B70A09" w14:textId="77777777" w:rsidR="0062684D" w:rsidRPr="00576180" w:rsidRDefault="0062684D" w:rsidP="00AC4704">
                  <w:pPr>
                    <w:jc w:val="center"/>
                    <w:rPr>
                      <w:rFonts w:ascii="Arial" w:hAnsi="Arial" w:cs="Arial"/>
                      <w:b/>
                      <w:sz w:val="20"/>
                      <w:szCs w:val="20"/>
                    </w:rPr>
                  </w:pPr>
                  <w:r w:rsidRPr="00576180">
                    <w:rPr>
                      <w:rFonts w:ascii="Arial" w:hAnsi="Arial" w:cs="Arial"/>
                      <w:b/>
                      <w:sz w:val="20"/>
                      <w:szCs w:val="20"/>
                    </w:rPr>
                    <w:t>PMR Fecha</w:t>
                  </w:r>
                </w:p>
              </w:tc>
              <w:tc>
                <w:tcPr>
                  <w:tcW w:w="2977" w:type="dxa"/>
                  <w:shd w:val="clear" w:color="auto" w:fill="D9D9D9" w:themeFill="background1" w:themeFillShade="D9"/>
                </w:tcPr>
                <w:p w14:paraId="7608E717" w14:textId="77777777" w:rsidR="0062684D" w:rsidRPr="00576180" w:rsidRDefault="0062684D" w:rsidP="00AC4704">
                  <w:pPr>
                    <w:jc w:val="center"/>
                    <w:rPr>
                      <w:rFonts w:ascii="Arial" w:hAnsi="Arial" w:cs="Arial"/>
                      <w:b/>
                      <w:sz w:val="20"/>
                      <w:szCs w:val="20"/>
                    </w:rPr>
                  </w:pPr>
                  <w:r w:rsidRPr="00576180">
                    <w:rPr>
                      <w:rFonts w:ascii="Arial" w:hAnsi="Arial" w:cs="Arial"/>
                      <w:b/>
                      <w:sz w:val="20"/>
                      <w:szCs w:val="20"/>
                    </w:rPr>
                    <w:t>Etapa de PMR</w:t>
                  </w:r>
                </w:p>
              </w:tc>
              <w:tc>
                <w:tcPr>
                  <w:tcW w:w="1336" w:type="dxa"/>
                  <w:shd w:val="clear" w:color="auto" w:fill="D9D9D9" w:themeFill="background1" w:themeFillShade="D9"/>
                </w:tcPr>
                <w:p w14:paraId="4E9645CE" w14:textId="419CFFE1" w:rsidR="0062684D" w:rsidRPr="00576180" w:rsidRDefault="00AC4704" w:rsidP="00AC4704">
                  <w:pPr>
                    <w:jc w:val="center"/>
                    <w:rPr>
                      <w:rFonts w:ascii="Arial" w:hAnsi="Arial" w:cs="Arial"/>
                      <w:b/>
                      <w:sz w:val="20"/>
                      <w:szCs w:val="20"/>
                    </w:rPr>
                  </w:pPr>
                  <w:r w:rsidRPr="00576180">
                    <w:rPr>
                      <w:rFonts w:ascii="Arial" w:hAnsi="Arial" w:cs="Arial"/>
                      <w:b/>
                      <w:sz w:val="20"/>
                      <w:szCs w:val="20"/>
                    </w:rPr>
                    <w:t>Clasificación</w:t>
                  </w:r>
                </w:p>
              </w:tc>
              <w:tc>
                <w:tcPr>
                  <w:tcW w:w="2250" w:type="dxa"/>
                  <w:shd w:val="clear" w:color="auto" w:fill="D9D9D9" w:themeFill="background1" w:themeFillShade="D9"/>
                </w:tcPr>
                <w:p w14:paraId="7600D1C4" w14:textId="725F7A18" w:rsidR="0062684D" w:rsidRPr="00576180" w:rsidRDefault="0062684D" w:rsidP="00AC4704">
                  <w:pPr>
                    <w:jc w:val="center"/>
                    <w:rPr>
                      <w:rFonts w:ascii="Arial" w:hAnsi="Arial" w:cs="Arial"/>
                      <w:b/>
                      <w:sz w:val="20"/>
                      <w:szCs w:val="20"/>
                    </w:rPr>
                  </w:pPr>
                  <w:r w:rsidRPr="00576180">
                    <w:rPr>
                      <w:rFonts w:ascii="Arial" w:hAnsi="Arial" w:cs="Arial"/>
                      <w:b/>
                      <w:sz w:val="20"/>
                      <w:szCs w:val="20"/>
                    </w:rPr>
                    <w:t>Desembolsos reales (USD)</w:t>
                  </w:r>
                </w:p>
              </w:tc>
            </w:tr>
            <w:tr w:rsidR="004D3A80" w:rsidRPr="00576180" w14:paraId="02059F68" w14:textId="77777777" w:rsidTr="00635231">
              <w:tc>
                <w:tcPr>
                  <w:tcW w:w="600" w:type="dxa"/>
                  <w:shd w:val="clear" w:color="auto" w:fill="auto"/>
                  <w:vAlign w:val="center"/>
                </w:tcPr>
                <w:p w14:paraId="701F4B0B" w14:textId="425940C3" w:rsidR="004D3A80" w:rsidRPr="00576180" w:rsidRDefault="009A0BE3" w:rsidP="002477B4">
                  <w:pPr>
                    <w:rPr>
                      <w:rFonts w:ascii="Arial" w:hAnsi="Arial" w:cs="Arial"/>
                      <w:sz w:val="20"/>
                      <w:szCs w:val="20"/>
                    </w:rPr>
                  </w:pPr>
                  <w:r w:rsidRPr="00576180">
                    <w:rPr>
                      <w:rFonts w:ascii="Arial" w:hAnsi="Arial" w:cs="Arial"/>
                      <w:sz w:val="20"/>
                      <w:szCs w:val="20"/>
                    </w:rPr>
                    <w:lastRenderedPageBreak/>
                    <w:t>15</w:t>
                  </w:r>
                </w:p>
              </w:tc>
              <w:tc>
                <w:tcPr>
                  <w:tcW w:w="1897" w:type="dxa"/>
                  <w:shd w:val="clear" w:color="auto" w:fill="auto"/>
                  <w:vAlign w:val="center"/>
                </w:tcPr>
                <w:p w14:paraId="7B8EE99E" w14:textId="56310A1E" w:rsidR="004D3A80" w:rsidRPr="00576180" w:rsidRDefault="00AC4704" w:rsidP="002477B4">
                  <w:pPr>
                    <w:rPr>
                      <w:rFonts w:ascii="Arial" w:hAnsi="Arial" w:cs="Arial"/>
                      <w:sz w:val="20"/>
                      <w:szCs w:val="20"/>
                    </w:rPr>
                  </w:pPr>
                  <w:r w:rsidRPr="00576180">
                    <w:rPr>
                      <w:rFonts w:ascii="Arial" w:hAnsi="Arial" w:cs="Arial"/>
                      <w:sz w:val="20"/>
                      <w:szCs w:val="20"/>
                    </w:rPr>
                    <w:t>Junio – diciembre 2017</w:t>
                  </w:r>
                </w:p>
              </w:tc>
              <w:tc>
                <w:tcPr>
                  <w:tcW w:w="2977" w:type="dxa"/>
                  <w:shd w:val="clear" w:color="auto" w:fill="auto"/>
                  <w:vAlign w:val="center"/>
                </w:tcPr>
                <w:p w14:paraId="34A53FB8" w14:textId="34DBFA8C" w:rsidR="004D3A80" w:rsidRPr="00576180" w:rsidRDefault="00AC4704" w:rsidP="002477B4">
                  <w:pPr>
                    <w:rPr>
                      <w:rFonts w:ascii="Arial" w:hAnsi="Arial" w:cs="Arial"/>
                      <w:sz w:val="20"/>
                      <w:szCs w:val="20"/>
                    </w:rPr>
                  </w:pPr>
                  <w:r w:rsidRPr="00576180">
                    <w:rPr>
                      <w:rFonts w:ascii="Arial" w:hAnsi="Arial" w:cs="Arial"/>
                      <w:sz w:val="20"/>
                      <w:szCs w:val="20"/>
                    </w:rPr>
                    <w:t>Segundo periodo</w:t>
                  </w:r>
                </w:p>
              </w:tc>
              <w:tc>
                <w:tcPr>
                  <w:tcW w:w="1336" w:type="dxa"/>
                  <w:shd w:val="clear" w:color="auto" w:fill="auto"/>
                  <w:vAlign w:val="center"/>
                </w:tcPr>
                <w:p w14:paraId="428A5048" w14:textId="0BBA4102" w:rsidR="004D3A80" w:rsidRPr="00576180" w:rsidRDefault="00AC4704" w:rsidP="002477B4">
                  <w:pPr>
                    <w:rPr>
                      <w:rFonts w:ascii="Arial" w:hAnsi="Arial" w:cs="Arial"/>
                      <w:sz w:val="20"/>
                      <w:szCs w:val="20"/>
                    </w:rPr>
                  </w:pPr>
                  <w:r w:rsidRPr="00576180">
                    <w:rPr>
                      <w:rFonts w:ascii="Arial" w:hAnsi="Arial" w:cs="Arial"/>
                      <w:sz w:val="20"/>
                      <w:szCs w:val="20"/>
                    </w:rPr>
                    <w:t>Satisfactorio</w:t>
                  </w:r>
                </w:p>
              </w:tc>
              <w:tc>
                <w:tcPr>
                  <w:tcW w:w="2250" w:type="dxa"/>
                  <w:shd w:val="clear" w:color="auto" w:fill="auto"/>
                  <w:vAlign w:val="center"/>
                </w:tcPr>
                <w:p w14:paraId="4F36BD36" w14:textId="6F92F96A" w:rsidR="004D3A80" w:rsidRPr="00576180" w:rsidRDefault="004D3A80" w:rsidP="002477B4">
                  <w:pPr>
                    <w:rPr>
                      <w:rFonts w:ascii="Arial" w:hAnsi="Arial" w:cs="Arial"/>
                      <w:sz w:val="20"/>
                      <w:szCs w:val="20"/>
                    </w:rPr>
                  </w:pPr>
                  <w:r w:rsidRPr="00576180">
                    <w:rPr>
                      <w:rFonts w:ascii="Arial" w:hAnsi="Arial" w:cs="Arial"/>
                      <w:sz w:val="20"/>
                      <w:szCs w:val="20"/>
                    </w:rPr>
                    <w:t>US$</w:t>
                  </w:r>
                  <w:r w:rsidR="008554FC" w:rsidRPr="00576180">
                    <w:rPr>
                      <w:rFonts w:ascii="Arial" w:hAnsi="Arial" w:cs="Arial"/>
                      <w:sz w:val="20"/>
                      <w:szCs w:val="20"/>
                    </w:rPr>
                    <w:t>16</w:t>
                  </w:r>
                  <w:r w:rsidR="002B2F11" w:rsidRPr="00576180">
                    <w:rPr>
                      <w:rFonts w:ascii="Arial" w:hAnsi="Arial" w:cs="Arial"/>
                      <w:sz w:val="20"/>
                      <w:szCs w:val="20"/>
                    </w:rPr>
                    <w:t>.</w:t>
                  </w:r>
                  <w:r w:rsidR="008554FC" w:rsidRPr="00576180">
                    <w:rPr>
                      <w:rFonts w:ascii="Arial" w:hAnsi="Arial" w:cs="Arial"/>
                      <w:sz w:val="20"/>
                      <w:szCs w:val="20"/>
                    </w:rPr>
                    <w:t>496</w:t>
                  </w:r>
                  <w:r w:rsidR="002B2F11" w:rsidRPr="00576180">
                    <w:rPr>
                      <w:rFonts w:ascii="Arial" w:hAnsi="Arial" w:cs="Arial"/>
                      <w:sz w:val="20"/>
                      <w:szCs w:val="20"/>
                    </w:rPr>
                    <w:t>.</w:t>
                  </w:r>
                  <w:r w:rsidR="008554FC" w:rsidRPr="00576180">
                    <w:rPr>
                      <w:rFonts w:ascii="Arial" w:hAnsi="Arial" w:cs="Arial"/>
                      <w:sz w:val="20"/>
                      <w:szCs w:val="20"/>
                    </w:rPr>
                    <w:t>807</w:t>
                  </w:r>
                  <w:r w:rsidR="002B2F11" w:rsidRPr="00576180">
                    <w:rPr>
                      <w:rFonts w:ascii="Arial" w:hAnsi="Arial" w:cs="Arial"/>
                      <w:sz w:val="20"/>
                      <w:szCs w:val="20"/>
                    </w:rPr>
                    <w:t>,</w:t>
                  </w:r>
                  <w:r w:rsidR="008554FC" w:rsidRPr="00576180">
                    <w:rPr>
                      <w:rFonts w:ascii="Arial" w:hAnsi="Arial" w:cs="Arial"/>
                      <w:sz w:val="20"/>
                      <w:szCs w:val="20"/>
                    </w:rPr>
                    <w:t>70</w:t>
                  </w:r>
                </w:p>
              </w:tc>
            </w:tr>
          </w:tbl>
          <w:p w14:paraId="2CC103A4" w14:textId="77777777" w:rsidR="004D3A80" w:rsidRPr="00576180" w:rsidRDefault="004D3A80" w:rsidP="002477B4">
            <w:pPr>
              <w:rPr>
                <w:rFonts w:ascii="Arial" w:hAnsi="Arial" w:cs="Arial"/>
                <w:smallCaps/>
                <w:sz w:val="20"/>
                <w:szCs w:val="20"/>
              </w:rPr>
            </w:pPr>
          </w:p>
        </w:tc>
      </w:tr>
      <w:tr w:rsidR="004D3A80" w:rsidRPr="00576180" w14:paraId="421679DE" w14:textId="77777777" w:rsidTr="00314D85">
        <w:tc>
          <w:tcPr>
            <w:tcW w:w="9350" w:type="dxa"/>
            <w:tcBorders>
              <w:top w:val="nil"/>
              <w:left w:val="single" w:sz="4" w:space="0" w:color="auto"/>
              <w:bottom w:val="nil"/>
              <w:right w:val="single" w:sz="4" w:space="0" w:color="auto"/>
            </w:tcBorders>
            <w:shd w:val="clear" w:color="auto" w:fill="DBE5F1" w:themeFill="accent1" w:themeFillTint="33"/>
          </w:tcPr>
          <w:p w14:paraId="65106C45" w14:textId="77777777" w:rsidR="004D3A80" w:rsidRPr="00576180" w:rsidRDefault="004D3A80" w:rsidP="002477B4">
            <w:pPr>
              <w:rPr>
                <w:rFonts w:ascii="Arial" w:hAnsi="Arial" w:cs="Arial"/>
                <w:smallCaps/>
                <w:sz w:val="20"/>
                <w:szCs w:val="20"/>
              </w:rPr>
            </w:pPr>
          </w:p>
        </w:tc>
      </w:tr>
      <w:tr w:rsidR="00596C29" w:rsidRPr="00576180" w14:paraId="1684E61E" w14:textId="77777777" w:rsidTr="002E5597">
        <w:trPr>
          <w:trHeight w:val="68"/>
        </w:trPr>
        <w:tc>
          <w:tcPr>
            <w:tcW w:w="9350" w:type="dxa"/>
            <w:tcBorders>
              <w:top w:val="nil"/>
              <w:left w:val="single" w:sz="4" w:space="0" w:color="auto"/>
              <w:bottom w:val="nil"/>
              <w:right w:val="single" w:sz="4" w:space="0" w:color="auto"/>
            </w:tcBorders>
            <w:shd w:val="clear" w:color="auto" w:fill="auto"/>
          </w:tcPr>
          <w:p w14:paraId="734E1B94" w14:textId="77777777" w:rsidR="00596C29" w:rsidRPr="00576180" w:rsidRDefault="00596C29" w:rsidP="002477B4">
            <w:pPr>
              <w:rPr>
                <w:rFonts w:ascii="Arial" w:hAnsi="Arial" w:cs="Arial"/>
                <w:smallCaps/>
                <w:sz w:val="20"/>
                <w:szCs w:val="20"/>
              </w:rPr>
            </w:pPr>
          </w:p>
        </w:tc>
      </w:tr>
      <w:tr w:rsidR="00F6766E" w:rsidRPr="00576180" w14:paraId="662BDAAE"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037CCF5D" w14:textId="03545974" w:rsidR="00F6766E" w:rsidRPr="00576180" w:rsidRDefault="00F6766E" w:rsidP="00AC4704">
            <w:pPr>
              <w:rPr>
                <w:rFonts w:ascii="Arial" w:hAnsi="Arial" w:cs="Arial"/>
                <w:sz w:val="20"/>
                <w:szCs w:val="20"/>
              </w:rPr>
            </w:pPr>
            <w:r w:rsidRPr="00576180">
              <w:rPr>
                <w:rFonts w:ascii="Arial" w:hAnsi="Arial" w:cs="Arial"/>
                <w:sz w:val="20"/>
                <w:szCs w:val="20"/>
              </w:rPr>
              <w:t>Metodología de análisis económico ex post:</w:t>
            </w:r>
            <w:r w:rsidR="0046032F" w:rsidRPr="00576180">
              <w:rPr>
                <w:rFonts w:ascii="Arial" w:hAnsi="Arial" w:cs="Arial"/>
                <w:sz w:val="20"/>
                <w:szCs w:val="20"/>
              </w:rPr>
              <w:t xml:space="preserve"> si</w:t>
            </w:r>
          </w:p>
        </w:tc>
      </w:tr>
      <w:tr w:rsidR="00F6766E" w:rsidRPr="00576180" w14:paraId="143C3EE0" w14:textId="77777777" w:rsidTr="00314D85">
        <w:tc>
          <w:tcPr>
            <w:tcW w:w="9350" w:type="dxa"/>
            <w:tcBorders>
              <w:top w:val="nil"/>
              <w:left w:val="single" w:sz="4" w:space="0" w:color="auto"/>
              <w:bottom w:val="nil"/>
              <w:right w:val="single" w:sz="4" w:space="0" w:color="auto"/>
            </w:tcBorders>
            <w:shd w:val="clear" w:color="auto" w:fill="DBE5F1" w:themeFill="accent1" w:themeFillTint="33"/>
            <w:hideMark/>
          </w:tcPr>
          <w:p w14:paraId="3B713262" w14:textId="217721A2" w:rsidR="00F6766E" w:rsidRPr="00576180" w:rsidRDefault="00F6766E" w:rsidP="00AC4704">
            <w:pPr>
              <w:rPr>
                <w:rFonts w:ascii="Arial" w:hAnsi="Arial" w:cs="Arial"/>
                <w:sz w:val="20"/>
                <w:szCs w:val="20"/>
              </w:rPr>
            </w:pPr>
            <w:r w:rsidRPr="00576180">
              <w:rPr>
                <w:rFonts w:ascii="Arial" w:hAnsi="Arial" w:cs="Arial"/>
                <w:sz w:val="20"/>
                <w:szCs w:val="20"/>
              </w:rPr>
              <w:t xml:space="preserve">Metodología de evaluación ex post: </w:t>
            </w:r>
            <w:r w:rsidR="00AC4704" w:rsidRPr="00576180">
              <w:rPr>
                <w:rFonts w:ascii="Arial" w:hAnsi="Arial" w:cs="Arial"/>
                <w:sz w:val="20"/>
                <w:szCs w:val="20"/>
              </w:rPr>
              <w:t>no</w:t>
            </w:r>
          </w:p>
          <w:p w14:paraId="00A6A608" w14:textId="77777777" w:rsidR="006D50E3" w:rsidRPr="00576180" w:rsidRDefault="006D50E3" w:rsidP="00AC4704">
            <w:pPr>
              <w:rPr>
                <w:rFonts w:ascii="Arial" w:hAnsi="Arial" w:cs="Arial"/>
                <w:sz w:val="20"/>
                <w:szCs w:val="20"/>
                <w:highlight w:val="cyan"/>
              </w:rPr>
            </w:pPr>
          </w:p>
        </w:tc>
      </w:tr>
      <w:tr w:rsidR="006D50E3" w:rsidRPr="00576180" w14:paraId="7965FC03" w14:textId="77777777" w:rsidTr="00314D85">
        <w:tc>
          <w:tcPr>
            <w:tcW w:w="9350" w:type="dxa"/>
            <w:tcBorders>
              <w:top w:val="nil"/>
              <w:left w:val="single" w:sz="4" w:space="0" w:color="auto"/>
              <w:bottom w:val="nil"/>
              <w:right w:val="single" w:sz="4" w:space="0" w:color="auto"/>
            </w:tcBorders>
            <w:shd w:val="clear" w:color="auto" w:fill="DBE5F1" w:themeFill="accent1" w:themeFillTint="33"/>
          </w:tcPr>
          <w:p w14:paraId="6644D32B" w14:textId="64F293BB" w:rsidR="006D50E3" w:rsidRPr="00576180" w:rsidRDefault="006D50E3" w:rsidP="00AC4704">
            <w:pPr>
              <w:rPr>
                <w:rFonts w:ascii="Arial" w:hAnsi="Arial" w:cs="Arial"/>
                <w:sz w:val="20"/>
                <w:szCs w:val="20"/>
              </w:rPr>
            </w:pPr>
            <w:r w:rsidRPr="00576180">
              <w:rPr>
                <w:rFonts w:ascii="Arial" w:hAnsi="Arial" w:cs="Arial"/>
                <w:sz w:val="20"/>
                <w:szCs w:val="20"/>
              </w:rPr>
              <w:t>Cl</w:t>
            </w:r>
            <w:r w:rsidR="008C7527" w:rsidRPr="00576180">
              <w:rPr>
                <w:rFonts w:ascii="Arial" w:hAnsi="Arial" w:cs="Arial"/>
                <w:sz w:val="20"/>
                <w:szCs w:val="20"/>
              </w:rPr>
              <w:t xml:space="preserve">asificación de </w:t>
            </w:r>
            <w:r w:rsidR="00AC4704" w:rsidRPr="00576180">
              <w:rPr>
                <w:rFonts w:ascii="Arial" w:hAnsi="Arial" w:cs="Arial"/>
                <w:sz w:val="20"/>
                <w:szCs w:val="20"/>
              </w:rPr>
              <w:t>e</w:t>
            </w:r>
            <w:r w:rsidR="008C7527" w:rsidRPr="00576180">
              <w:rPr>
                <w:rFonts w:ascii="Arial" w:hAnsi="Arial" w:cs="Arial"/>
                <w:sz w:val="20"/>
                <w:szCs w:val="20"/>
              </w:rPr>
              <w:t>fectividad de</w:t>
            </w:r>
            <w:r w:rsidRPr="00576180">
              <w:rPr>
                <w:rFonts w:ascii="Arial" w:hAnsi="Arial" w:cs="Arial"/>
                <w:sz w:val="20"/>
                <w:szCs w:val="20"/>
              </w:rPr>
              <w:t xml:space="preserve"> </w:t>
            </w:r>
            <w:r w:rsidR="00AC4704" w:rsidRPr="00576180">
              <w:rPr>
                <w:rFonts w:ascii="Arial" w:hAnsi="Arial" w:cs="Arial"/>
                <w:sz w:val="20"/>
                <w:szCs w:val="20"/>
              </w:rPr>
              <w:t>d</w:t>
            </w:r>
            <w:r w:rsidRPr="00576180">
              <w:rPr>
                <w:rFonts w:ascii="Arial" w:hAnsi="Arial" w:cs="Arial"/>
                <w:sz w:val="20"/>
                <w:szCs w:val="20"/>
              </w:rPr>
              <w:t xml:space="preserve">esarrollo: </w:t>
            </w:r>
            <w:r w:rsidR="0046032F" w:rsidRPr="00576180">
              <w:rPr>
                <w:rFonts w:ascii="Arial" w:hAnsi="Arial" w:cs="Arial"/>
                <w:sz w:val="20"/>
                <w:szCs w:val="20"/>
              </w:rPr>
              <w:t xml:space="preserve">parcialmente </w:t>
            </w:r>
            <w:r w:rsidR="003779D3">
              <w:rPr>
                <w:rFonts w:ascii="Arial" w:hAnsi="Arial" w:cs="Arial"/>
                <w:sz w:val="20"/>
                <w:szCs w:val="20"/>
              </w:rPr>
              <w:t xml:space="preserve">no </w:t>
            </w:r>
            <w:r w:rsidR="0046032F" w:rsidRPr="00576180">
              <w:rPr>
                <w:rFonts w:ascii="Arial" w:hAnsi="Arial" w:cs="Arial"/>
                <w:sz w:val="20"/>
                <w:szCs w:val="20"/>
              </w:rPr>
              <w:t>exitosa</w:t>
            </w:r>
          </w:p>
        </w:tc>
      </w:tr>
      <w:tr w:rsidR="006D50E3" w:rsidRPr="00576180" w14:paraId="0AFE3685" w14:textId="77777777" w:rsidTr="009C0233">
        <w:tc>
          <w:tcPr>
            <w:tcW w:w="9350" w:type="dxa"/>
            <w:tcBorders>
              <w:top w:val="nil"/>
              <w:left w:val="single" w:sz="4" w:space="0" w:color="auto"/>
              <w:bottom w:val="nil"/>
              <w:right w:val="single" w:sz="4" w:space="0" w:color="auto"/>
            </w:tcBorders>
            <w:shd w:val="clear" w:color="auto" w:fill="auto"/>
          </w:tcPr>
          <w:p w14:paraId="5881EA16" w14:textId="77777777" w:rsidR="006D50E3" w:rsidRPr="00576180" w:rsidRDefault="006D50E3" w:rsidP="002477B4">
            <w:pPr>
              <w:rPr>
                <w:rFonts w:ascii="Arial" w:hAnsi="Arial" w:cs="Arial"/>
                <w:smallCaps/>
                <w:sz w:val="20"/>
                <w:szCs w:val="20"/>
              </w:rPr>
            </w:pPr>
          </w:p>
        </w:tc>
      </w:tr>
      <w:tr w:rsidR="00F6766E" w:rsidRPr="00576180" w14:paraId="232CE403" w14:textId="77777777" w:rsidTr="00314D85">
        <w:trPr>
          <w:trHeight w:val="441"/>
        </w:trPr>
        <w:tc>
          <w:tcPr>
            <w:tcW w:w="9350" w:type="dxa"/>
            <w:tcBorders>
              <w:top w:val="nil"/>
              <w:left w:val="single" w:sz="4" w:space="0" w:color="auto"/>
              <w:bottom w:val="nil"/>
              <w:right w:val="single" w:sz="4" w:space="0" w:color="auto"/>
            </w:tcBorders>
            <w:shd w:val="clear" w:color="auto" w:fill="DBE5F1" w:themeFill="accent1" w:themeFillTint="33"/>
            <w:hideMark/>
          </w:tcPr>
          <w:p w14:paraId="699E26AE" w14:textId="4A50D455" w:rsidR="00F6766E" w:rsidRPr="00576180" w:rsidRDefault="009A0BE3" w:rsidP="009A0BE3">
            <w:pPr>
              <w:rPr>
                <w:rFonts w:ascii="Arial" w:hAnsi="Arial" w:cs="Arial"/>
                <w:b/>
                <w:sz w:val="20"/>
                <w:szCs w:val="20"/>
              </w:rPr>
            </w:pPr>
            <w:r w:rsidRPr="00576180">
              <w:rPr>
                <w:rFonts w:ascii="Arial" w:hAnsi="Arial" w:cs="Arial"/>
                <w:b/>
                <w:sz w:val="20"/>
                <w:szCs w:val="20"/>
              </w:rPr>
              <w:t>Personal del Banco</w:t>
            </w:r>
          </w:p>
          <w:tbl>
            <w:tblPr>
              <w:tblStyle w:val="TableGrid"/>
              <w:tblW w:w="9090" w:type="dxa"/>
              <w:tblInd w:w="55" w:type="dxa"/>
              <w:tblLook w:val="04A0" w:firstRow="1" w:lastRow="0" w:firstColumn="1" w:lastColumn="0" w:noHBand="0" w:noVBand="1"/>
            </w:tblPr>
            <w:tblGrid>
              <w:gridCol w:w="1907"/>
              <w:gridCol w:w="3853"/>
              <w:gridCol w:w="3330"/>
            </w:tblGrid>
            <w:tr w:rsidR="00F57C7E" w:rsidRPr="00576180" w14:paraId="6890FA30" w14:textId="77777777" w:rsidTr="00D17FF5">
              <w:trPr>
                <w:trHeight w:val="45"/>
              </w:trPr>
              <w:tc>
                <w:tcPr>
                  <w:tcW w:w="1907" w:type="dxa"/>
                  <w:shd w:val="clear" w:color="auto" w:fill="D9D9D9" w:themeFill="background1" w:themeFillShade="D9"/>
                </w:tcPr>
                <w:p w14:paraId="733ED280" w14:textId="77777777" w:rsidR="00F57C7E" w:rsidRPr="00576180" w:rsidRDefault="00F57C7E" w:rsidP="009A0BE3">
                  <w:pPr>
                    <w:jc w:val="center"/>
                    <w:rPr>
                      <w:rFonts w:ascii="Arial" w:hAnsi="Arial" w:cs="Arial"/>
                      <w:b/>
                      <w:sz w:val="20"/>
                      <w:szCs w:val="20"/>
                    </w:rPr>
                  </w:pPr>
                  <w:bookmarkStart w:id="36" w:name="_Hlk532888237"/>
                  <w:r w:rsidRPr="00576180">
                    <w:rPr>
                      <w:rFonts w:ascii="Arial" w:hAnsi="Arial" w:cs="Arial"/>
                      <w:b/>
                      <w:sz w:val="20"/>
                      <w:szCs w:val="20"/>
                    </w:rPr>
                    <w:t>Posiciones</w:t>
                  </w:r>
                </w:p>
              </w:tc>
              <w:tc>
                <w:tcPr>
                  <w:tcW w:w="3853" w:type="dxa"/>
                  <w:shd w:val="clear" w:color="auto" w:fill="D9D9D9" w:themeFill="background1" w:themeFillShade="D9"/>
                </w:tcPr>
                <w:p w14:paraId="4C1E6AEA" w14:textId="77777777" w:rsidR="00F57C7E" w:rsidRPr="00576180" w:rsidRDefault="00F57C7E" w:rsidP="009A0BE3">
                  <w:pPr>
                    <w:jc w:val="center"/>
                    <w:rPr>
                      <w:rFonts w:ascii="Arial" w:hAnsi="Arial" w:cs="Arial"/>
                      <w:b/>
                      <w:sz w:val="20"/>
                      <w:szCs w:val="20"/>
                    </w:rPr>
                  </w:pPr>
                  <w:r w:rsidRPr="00576180">
                    <w:rPr>
                      <w:rFonts w:ascii="Arial" w:hAnsi="Arial" w:cs="Arial"/>
                      <w:b/>
                      <w:sz w:val="20"/>
                      <w:szCs w:val="20"/>
                    </w:rPr>
                    <w:t>En PCR</w:t>
                  </w:r>
                </w:p>
              </w:tc>
              <w:tc>
                <w:tcPr>
                  <w:tcW w:w="3330" w:type="dxa"/>
                  <w:shd w:val="clear" w:color="auto" w:fill="D9D9D9" w:themeFill="background1" w:themeFillShade="D9"/>
                </w:tcPr>
                <w:p w14:paraId="45F87AEF" w14:textId="75D8EACD" w:rsidR="00F57C7E" w:rsidRPr="00576180" w:rsidRDefault="00F57C7E" w:rsidP="009A0BE3">
                  <w:pPr>
                    <w:jc w:val="center"/>
                    <w:rPr>
                      <w:rFonts w:ascii="Arial" w:hAnsi="Arial" w:cs="Arial"/>
                      <w:b/>
                      <w:sz w:val="20"/>
                      <w:szCs w:val="20"/>
                    </w:rPr>
                  </w:pPr>
                  <w:r w:rsidRPr="00576180">
                    <w:rPr>
                      <w:rFonts w:ascii="Arial" w:hAnsi="Arial" w:cs="Arial"/>
                      <w:b/>
                      <w:sz w:val="20"/>
                      <w:szCs w:val="20"/>
                    </w:rPr>
                    <w:t xml:space="preserve">En la </w:t>
                  </w:r>
                  <w:r w:rsidR="009A0BE3" w:rsidRPr="00576180">
                    <w:rPr>
                      <w:rFonts w:ascii="Arial" w:hAnsi="Arial" w:cs="Arial"/>
                      <w:b/>
                      <w:sz w:val="20"/>
                      <w:szCs w:val="20"/>
                    </w:rPr>
                    <w:t>a</w:t>
                  </w:r>
                  <w:r w:rsidRPr="00576180">
                    <w:rPr>
                      <w:rFonts w:ascii="Arial" w:hAnsi="Arial" w:cs="Arial"/>
                      <w:b/>
                      <w:sz w:val="20"/>
                      <w:szCs w:val="20"/>
                    </w:rPr>
                    <w:t>probación</w:t>
                  </w:r>
                </w:p>
              </w:tc>
            </w:tr>
            <w:tr w:rsidR="009A0BE3" w:rsidRPr="00576180" w14:paraId="53DF384F" w14:textId="77777777" w:rsidTr="00D17FF5">
              <w:tc>
                <w:tcPr>
                  <w:tcW w:w="1907" w:type="dxa"/>
                </w:tcPr>
                <w:p w14:paraId="1CDAFBB3" w14:textId="77777777" w:rsidR="009A0BE3" w:rsidRPr="00576180" w:rsidRDefault="009A0BE3" w:rsidP="009A0BE3">
                  <w:pPr>
                    <w:rPr>
                      <w:rFonts w:ascii="Arial" w:hAnsi="Arial" w:cs="Arial"/>
                      <w:sz w:val="20"/>
                      <w:szCs w:val="20"/>
                    </w:rPr>
                  </w:pPr>
                  <w:r w:rsidRPr="00576180">
                    <w:rPr>
                      <w:rFonts w:ascii="Arial" w:hAnsi="Arial" w:cs="Arial"/>
                      <w:sz w:val="20"/>
                      <w:szCs w:val="20"/>
                    </w:rPr>
                    <w:t>Vicepresidente VPS</w:t>
                  </w:r>
                </w:p>
              </w:tc>
              <w:tc>
                <w:tcPr>
                  <w:tcW w:w="3853" w:type="dxa"/>
                </w:tcPr>
                <w:p w14:paraId="17F6C9F6" w14:textId="6E8FFFE6" w:rsidR="009A0BE3" w:rsidRPr="00576180" w:rsidRDefault="009A0BE3" w:rsidP="005009C0">
                  <w:pPr>
                    <w:rPr>
                      <w:rFonts w:ascii="Arial" w:hAnsi="Arial" w:cs="Arial"/>
                      <w:sz w:val="20"/>
                      <w:szCs w:val="20"/>
                    </w:rPr>
                  </w:pPr>
                  <w:r w:rsidRPr="00576180">
                    <w:rPr>
                      <w:rFonts w:ascii="Arial" w:hAnsi="Arial" w:cs="Arial"/>
                      <w:sz w:val="20"/>
                      <w:szCs w:val="20"/>
                    </w:rPr>
                    <w:t xml:space="preserve">Ana María Rodríguez (VPS/VPS – </w:t>
                  </w:r>
                  <w:proofErr w:type="spellStart"/>
                  <w:r w:rsidRPr="00576180">
                    <w:rPr>
                      <w:rFonts w:ascii="Arial" w:hAnsi="Arial" w:cs="Arial"/>
                      <w:sz w:val="20"/>
                      <w:szCs w:val="20"/>
                    </w:rPr>
                    <w:t>a.i.</w:t>
                  </w:r>
                  <w:proofErr w:type="spellEnd"/>
                  <w:r w:rsidRPr="00576180">
                    <w:rPr>
                      <w:rFonts w:ascii="Arial" w:hAnsi="Arial" w:cs="Arial"/>
                      <w:sz w:val="20"/>
                      <w:szCs w:val="20"/>
                    </w:rPr>
                    <w:t>)</w:t>
                  </w:r>
                </w:p>
              </w:tc>
              <w:tc>
                <w:tcPr>
                  <w:tcW w:w="3330" w:type="dxa"/>
                </w:tcPr>
                <w:p w14:paraId="71AEA43A" w14:textId="77777777" w:rsidR="009A0BE3" w:rsidRPr="00576180" w:rsidRDefault="009A0BE3" w:rsidP="005009C0">
                  <w:pPr>
                    <w:rPr>
                      <w:rFonts w:ascii="Arial" w:hAnsi="Arial" w:cs="Arial"/>
                      <w:sz w:val="20"/>
                      <w:szCs w:val="20"/>
                    </w:rPr>
                  </w:pPr>
                  <w:r w:rsidRPr="00576180">
                    <w:rPr>
                      <w:rFonts w:ascii="Arial" w:hAnsi="Arial" w:cs="Arial"/>
                      <w:sz w:val="20"/>
                      <w:szCs w:val="20"/>
                    </w:rPr>
                    <w:t xml:space="preserve"> Santiago Levy (VPS/VPS)</w:t>
                  </w:r>
                </w:p>
              </w:tc>
            </w:tr>
            <w:tr w:rsidR="009A0BE3" w:rsidRPr="00576180" w14:paraId="56221C6A" w14:textId="77777777" w:rsidTr="00D17FF5">
              <w:tc>
                <w:tcPr>
                  <w:tcW w:w="1907" w:type="dxa"/>
                </w:tcPr>
                <w:p w14:paraId="358016A0" w14:textId="77777777" w:rsidR="009A0BE3" w:rsidRPr="00576180" w:rsidRDefault="009A0BE3" w:rsidP="009A0BE3">
                  <w:pPr>
                    <w:rPr>
                      <w:rFonts w:ascii="Arial" w:hAnsi="Arial" w:cs="Arial"/>
                      <w:sz w:val="20"/>
                      <w:szCs w:val="20"/>
                    </w:rPr>
                  </w:pPr>
                  <w:r w:rsidRPr="00576180">
                    <w:rPr>
                      <w:rFonts w:ascii="Arial" w:hAnsi="Arial" w:cs="Arial"/>
                      <w:sz w:val="20"/>
                      <w:szCs w:val="20"/>
                    </w:rPr>
                    <w:t>Vicepresidente VPC</w:t>
                  </w:r>
                </w:p>
              </w:tc>
              <w:tc>
                <w:tcPr>
                  <w:tcW w:w="3853" w:type="dxa"/>
                </w:tcPr>
                <w:p w14:paraId="0DF0CF7F" w14:textId="62622477" w:rsidR="009A0BE3" w:rsidRPr="000E0F28" w:rsidRDefault="009A0BE3" w:rsidP="005009C0">
                  <w:pPr>
                    <w:rPr>
                      <w:rFonts w:ascii="Arial" w:hAnsi="Arial" w:cs="Arial"/>
                      <w:sz w:val="20"/>
                      <w:szCs w:val="20"/>
                      <w:lang w:val="pt-BR"/>
                    </w:rPr>
                  </w:pPr>
                  <w:r w:rsidRPr="000E0F28">
                    <w:rPr>
                      <w:rFonts w:ascii="Arial" w:hAnsi="Arial" w:cs="Arial"/>
                      <w:noProof/>
                      <w:sz w:val="20"/>
                      <w:szCs w:val="20"/>
                      <w:lang w:val="pt-BR"/>
                    </w:rPr>
                    <w:t>Alexandre Meira da Rosa (VPC/VPC)</w:t>
                  </w:r>
                </w:p>
              </w:tc>
              <w:tc>
                <w:tcPr>
                  <w:tcW w:w="3330" w:type="dxa"/>
                </w:tcPr>
                <w:p w14:paraId="6A54E6AB" w14:textId="136D87A4" w:rsidR="009A0BE3" w:rsidRPr="00576180" w:rsidRDefault="00A7221D" w:rsidP="005009C0">
                  <w:pPr>
                    <w:rPr>
                      <w:rFonts w:ascii="Arial" w:hAnsi="Arial" w:cs="Arial"/>
                      <w:sz w:val="20"/>
                      <w:szCs w:val="20"/>
                    </w:rPr>
                  </w:pPr>
                  <w:r w:rsidRPr="00576180">
                    <w:rPr>
                      <w:rFonts w:ascii="Arial" w:hAnsi="Arial" w:cs="Arial"/>
                      <w:sz w:val="20"/>
                      <w:szCs w:val="20"/>
                    </w:rPr>
                    <w:t xml:space="preserve">Roberto </w:t>
                  </w:r>
                  <w:proofErr w:type="spellStart"/>
                  <w:r w:rsidRPr="00576180">
                    <w:rPr>
                      <w:rFonts w:ascii="Arial" w:hAnsi="Arial" w:cs="Arial"/>
                      <w:sz w:val="20"/>
                      <w:szCs w:val="20"/>
                    </w:rPr>
                    <w:t>Vellutini</w:t>
                  </w:r>
                  <w:proofErr w:type="spellEnd"/>
                  <w:r w:rsidR="009A0BE3" w:rsidRPr="00576180">
                    <w:rPr>
                      <w:rFonts w:ascii="Arial" w:hAnsi="Arial" w:cs="Arial"/>
                      <w:sz w:val="20"/>
                      <w:szCs w:val="20"/>
                    </w:rPr>
                    <w:t xml:space="preserve"> (VPC/VPC)</w:t>
                  </w:r>
                </w:p>
              </w:tc>
            </w:tr>
            <w:tr w:rsidR="009A0BE3" w:rsidRPr="00576180" w14:paraId="3E9C3416" w14:textId="77777777" w:rsidTr="00D17FF5">
              <w:tc>
                <w:tcPr>
                  <w:tcW w:w="1907" w:type="dxa"/>
                </w:tcPr>
                <w:p w14:paraId="75A8F6BB" w14:textId="77777777" w:rsidR="009A0BE3" w:rsidRPr="00576180" w:rsidRDefault="009A0BE3" w:rsidP="009A0BE3">
                  <w:pPr>
                    <w:rPr>
                      <w:rFonts w:ascii="Arial" w:hAnsi="Arial" w:cs="Arial"/>
                      <w:sz w:val="20"/>
                      <w:szCs w:val="20"/>
                    </w:rPr>
                  </w:pPr>
                  <w:r w:rsidRPr="00576180">
                    <w:rPr>
                      <w:rFonts w:ascii="Arial" w:hAnsi="Arial" w:cs="Arial"/>
                      <w:sz w:val="20"/>
                      <w:szCs w:val="20"/>
                    </w:rPr>
                    <w:t>Gerente de País</w:t>
                  </w:r>
                </w:p>
              </w:tc>
              <w:tc>
                <w:tcPr>
                  <w:tcW w:w="3853" w:type="dxa"/>
                </w:tcPr>
                <w:p w14:paraId="6E0E572C" w14:textId="4A37AEAC" w:rsidR="009A0BE3" w:rsidRPr="00576180" w:rsidRDefault="009A0BE3" w:rsidP="005009C0">
                  <w:pPr>
                    <w:rPr>
                      <w:rFonts w:ascii="Arial" w:hAnsi="Arial" w:cs="Arial"/>
                      <w:sz w:val="20"/>
                      <w:szCs w:val="20"/>
                    </w:rPr>
                  </w:pPr>
                  <w:r w:rsidRPr="00576180">
                    <w:rPr>
                      <w:rFonts w:ascii="Arial" w:hAnsi="Arial" w:cs="Arial"/>
                      <w:sz w:val="20"/>
                      <w:szCs w:val="20"/>
                    </w:rPr>
                    <w:t>Rafael de la Cruz (CAN/CAN)</w:t>
                  </w:r>
                </w:p>
              </w:tc>
              <w:tc>
                <w:tcPr>
                  <w:tcW w:w="3330" w:type="dxa"/>
                </w:tcPr>
                <w:p w14:paraId="37331AE9" w14:textId="55867400" w:rsidR="009A0BE3" w:rsidRPr="00576180" w:rsidRDefault="00F12BFB" w:rsidP="005009C0">
                  <w:pPr>
                    <w:rPr>
                      <w:rFonts w:ascii="Arial" w:hAnsi="Arial" w:cs="Arial"/>
                      <w:sz w:val="20"/>
                      <w:szCs w:val="20"/>
                    </w:rPr>
                  </w:pPr>
                  <w:r w:rsidRPr="00576180">
                    <w:rPr>
                      <w:rFonts w:ascii="Arial" w:hAnsi="Arial" w:cs="Arial"/>
                      <w:sz w:val="20"/>
                      <w:szCs w:val="20"/>
                    </w:rPr>
                    <w:t>Verónica Zavala</w:t>
                  </w:r>
                  <w:r w:rsidR="009A0BE3" w:rsidRPr="00576180">
                    <w:rPr>
                      <w:rFonts w:ascii="Arial" w:hAnsi="Arial" w:cs="Arial"/>
                      <w:sz w:val="20"/>
                      <w:szCs w:val="20"/>
                    </w:rPr>
                    <w:t xml:space="preserve"> (CAN/CAN)</w:t>
                  </w:r>
                </w:p>
              </w:tc>
            </w:tr>
            <w:tr w:rsidR="009A0BE3" w:rsidRPr="00576180" w14:paraId="712DC21F" w14:textId="77777777" w:rsidTr="00D17FF5">
              <w:tc>
                <w:tcPr>
                  <w:tcW w:w="1907" w:type="dxa"/>
                </w:tcPr>
                <w:p w14:paraId="098708DC" w14:textId="77777777" w:rsidR="009A0BE3" w:rsidRPr="00576180" w:rsidRDefault="009A0BE3" w:rsidP="009A0BE3">
                  <w:pPr>
                    <w:rPr>
                      <w:rFonts w:ascii="Arial" w:hAnsi="Arial" w:cs="Arial"/>
                      <w:sz w:val="20"/>
                      <w:szCs w:val="20"/>
                    </w:rPr>
                  </w:pPr>
                  <w:r w:rsidRPr="00576180">
                    <w:rPr>
                      <w:rFonts w:ascii="Arial" w:hAnsi="Arial" w:cs="Arial"/>
                      <w:sz w:val="20"/>
                      <w:szCs w:val="20"/>
                    </w:rPr>
                    <w:t>Gerente Sectorial</w:t>
                  </w:r>
                </w:p>
              </w:tc>
              <w:tc>
                <w:tcPr>
                  <w:tcW w:w="3853" w:type="dxa"/>
                </w:tcPr>
                <w:p w14:paraId="1C6BA3BC" w14:textId="690293BE" w:rsidR="009A0BE3" w:rsidRPr="000E0F28" w:rsidRDefault="009A0BE3" w:rsidP="005009C0">
                  <w:pPr>
                    <w:rPr>
                      <w:rFonts w:ascii="Arial" w:hAnsi="Arial" w:cs="Arial"/>
                      <w:sz w:val="20"/>
                      <w:szCs w:val="20"/>
                      <w:lang w:val="en-US"/>
                    </w:rPr>
                  </w:pPr>
                  <w:r w:rsidRPr="000E0F28">
                    <w:rPr>
                      <w:rFonts w:ascii="Arial" w:hAnsi="Arial" w:cs="Arial"/>
                      <w:sz w:val="20"/>
                      <w:szCs w:val="20"/>
                      <w:lang w:val="en-US"/>
                    </w:rPr>
                    <w:t xml:space="preserve">Juan Antonio Ketterer (IFD/IFD – </w:t>
                  </w:r>
                  <w:proofErr w:type="spellStart"/>
                  <w:r w:rsidRPr="000E0F28">
                    <w:rPr>
                      <w:rFonts w:ascii="Arial" w:hAnsi="Arial" w:cs="Arial"/>
                      <w:sz w:val="20"/>
                      <w:szCs w:val="20"/>
                      <w:lang w:val="en-US"/>
                    </w:rPr>
                    <w:t>a.i.</w:t>
                  </w:r>
                  <w:proofErr w:type="spellEnd"/>
                  <w:r w:rsidRPr="000E0F28">
                    <w:rPr>
                      <w:rFonts w:ascii="Arial" w:hAnsi="Arial" w:cs="Arial"/>
                      <w:sz w:val="20"/>
                      <w:szCs w:val="20"/>
                      <w:lang w:val="en-US"/>
                    </w:rPr>
                    <w:t>)</w:t>
                  </w:r>
                </w:p>
              </w:tc>
              <w:tc>
                <w:tcPr>
                  <w:tcW w:w="3330" w:type="dxa"/>
                </w:tcPr>
                <w:p w14:paraId="68752588" w14:textId="306A1825" w:rsidR="009A0BE3" w:rsidRPr="00576180" w:rsidRDefault="00A7221D" w:rsidP="005009C0">
                  <w:pPr>
                    <w:rPr>
                      <w:rFonts w:ascii="Arial" w:hAnsi="Arial" w:cs="Arial"/>
                      <w:sz w:val="20"/>
                      <w:szCs w:val="20"/>
                    </w:rPr>
                  </w:pPr>
                  <w:r w:rsidRPr="00576180">
                    <w:rPr>
                      <w:rFonts w:ascii="Arial" w:hAnsi="Arial" w:cs="Arial"/>
                      <w:sz w:val="20"/>
                      <w:szCs w:val="20"/>
                    </w:rPr>
                    <w:t>Mario Marcel</w:t>
                  </w:r>
                  <w:r w:rsidR="009A0BE3" w:rsidRPr="00576180">
                    <w:rPr>
                      <w:rFonts w:ascii="Arial" w:hAnsi="Arial" w:cs="Arial"/>
                      <w:sz w:val="20"/>
                      <w:szCs w:val="20"/>
                    </w:rPr>
                    <w:t xml:space="preserve"> (I</w:t>
                  </w:r>
                  <w:r w:rsidR="00E14BA7" w:rsidRPr="00576180">
                    <w:rPr>
                      <w:rFonts w:ascii="Arial" w:hAnsi="Arial" w:cs="Arial"/>
                      <w:sz w:val="20"/>
                      <w:szCs w:val="20"/>
                    </w:rPr>
                    <w:t>CF</w:t>
                  </w:r>
                  <w:r w:rsidR="009A0BE3" w:rsidRPr="00576180">
                    <w:rPr>
                      <w:rFonts w:ascii="Arial" w:hAnsi="Arial" w:cs="Arial"/>
                      <w:sz w:val="20"/>
                      <w:szCs w:val="20"/>
                    </w:rPr>
                    <w:t>/I</w:t>
                  </w:r>
                  <w:r w:rsidR="00E14BA7" w:rsidRPr="00576180">
                    <w:rPr>
                      <w:rFonts w:ascii="Arial" w:hAnsi="Arial" w:cs="Arial"/>
                      <w:sz w:val="20"/>
                      <w:szCs w:val="20"/>
                    </w:rPr>
                    <w:t>CF</w:t>
                  </w:r>
                  <w:r w:rsidR="009A0BE3" w:rsidRPr="00576180">
                    <w:rPr>
                      <w:rFonts w:ascii="Arial" w:hAnsi="Arial" w:cs="Arial"/>
                      <w:sz w:val="20"/>
                      <w:szCs w:val="20"/>
                    </w:rPr>
                    <w:t>)</w:t>
                  </w:r>
                </w:p>
              </w:tc>
            </w:tr>
            <w:tr w:rsidR="009A0BE3" w:rsidRPr="00576180" w14:paraId="624DC2CF" w14:textId="77777777" w:rsidTr="00D17FF5">
              <w:tc>
                <w:tcPr>
                  <w:tcW w:w="1907" w:type="dxa"/>
                </w:tcPr>
                <w:p w14:paraId="037D18CD" w14:textId="77777777" w:rsidR="009A0BE3" w:rsidRPr="00576180" w:rsidRDefault="009A0BE3" w:rsidP="009A0BE3">
                  <w:pPr>
                    <w:rPr>
                      <w:rFonts w:ascii="Arial" w:hAnsi="Arial" w:cs="Arial"/>
                      <w:sz w:val="20"/>
                      <w:szCs w:val="20"/>
                    </w:rPr>
                  </w:pPr>
                  <w:r w:rsidRPr="00576180">
                    <w:rPr>
                      <w:rFonts w:ascii="Arial" w:hAnsi="Arial" w:cs="Arial"/>
                      <w:sz w:val="20"/>
                      <w:szCs w:val="20"/>
                    </w:rPr>
                    <w:t>Jefe de División</w:t>
                  </w:r>
                </w:p>
              </w:tc>
              <w:tc>
                <w:tcPr>
                  <w:tcW w:w="3853" w:type="dxa"/>
                </w:tcPr>
                <w:p w14:paraId="712D158F" w14:textId="25CE9815" w:rsidR="009A0BE3" w:rsidRPr="00576180" w:rsidRDefault="009A0BE3" w:rsidP="005009C0">
                  <w:pPr>
                    <w:rPr>
                      <w:rFonts w:ascii="Arial" w:hAnsi="Arial" w:cs="Arial"/>
                      <w:sz w:val="20"/>
                      <w:szCs w:val="20"/>
                    </w:rPr>
                  </w:pPr>
                  <w:r w:rsidRPr="00576180">
                    <w:rPr>
                      <w:rFonts w:ascii="Arial" w:hAnsi="Arial" w:cs="Arial"/>
                      <w:sz w:val="20"/>
                      <w:szCs w:val="20"/>
                    </w:rPr>
                    <w:t>Vicente Fretes (IFD/FMM)</w:t>
                  </w:r>
                </w:p>
              </w:tc>
              <w:tc>
                <w:tcPr>
                  <w:tcW w:w="3330" w:type="dxa"/>
                </w:tcPr>
                <w:p w14:paraId="69A10BC7" w14:textId="224EA5B6" w:rsidR="009A0BE3" w:rsidRPr="00576180" w:rsidRDefault="005A1A58" w:rsidP="005009C0">
                  <w:pPr>
                    <w:rPr>
                      <w:rFonts w:ascii="Arial" w:hAnsi="Arial" w:cs="Arial"/>
                      <w:sz w:val="20"/>
                      <w:szCs w:val="20"/>
                    </w:rPr>
                  </w:pPr>
                  <w:r w:rsidRPr="00576180">
                    <w:rPr>
                      <w:rFonts w:ascii="Arial" w:hAnsi="Arial" w:cs="Arial"/>
                      <w:sz w:val="20"/>
                      <w:szCs w:val="20"/>
                    </w:rPr>
                    <w:t>Xavier Comas</w:t>
                  </w:r>
                  <w:r w:rsidR="009A0BE3" w:rsidRPr="00576180">
                    <w:rPr>
                      <w:rFonts w:ascii="Arial" w:hAnsi="Arial" w:cs="Arial"/>
                      <w:sz w:val="20"/>
                      <w:szCs w:val="20"/>
                    </w:rPr>
                    <w:t xml:space="preserve"> (</w:t>
                  </w:r>
                  <w:r w:rsidRPr="00576180">
                    <w:rPr>
                      <w:rFonts w:ascii="Arial" w:hAnsi="Arial" w:cs="Arial"/>
                      <w:sz w:val="20"/>
                      <w:szCs w:val="20"/>
                    </w:rPr>
                    <w:t>ICF</w:t>
                  </w:r>
                  <w:r w:rsidR="009A0BE3" w:rsidRPr="00576180">
                    <w:rPr>
                      <w:rFonts w:ascii="Arial" w:hAnsi="Arial" w:cs="Arial"/>
                      <w:sz w:val="20"/>
                      <w:szCs w:val="20"/>
                    </w:rPr>
                    <w:t>/</w:t>
                  </w:r>
                  <w:r w:rsidRPr="00576180">
                    <w:rPr>
                      <w:rFonts w:ascii="Arial" w:hAnsi="Arial" w:cs="Arial"/>
                      <w:sz w:val="20"/>
                      <w:szCs w:val="20"/>
                    </w:rPr>
                    <w:t>ICS</w:t>
                  </w:r>
                  <w:r w:rsidR="009A0BE3" w:rsidRPr="00576180">
                    <w:rPr>
                      <w:rFonts w:ascii="Arial" w:hAnsi="Arial" w:cs="Arial"/>
                      <w:sz w:val="20"/>
                      <w:szCs w:val="20"/>
                    </w:rPr>
                    <w:t>)</w:t>
                  </w:r>
                </w:p>
              </w:tc>
            </w:tr>
            <w:tr w:rsidR="009A0BE3" w:rsidRPr="00576180" w14:paraId="75618C0E" w14:textId="77777777" w:rsidTr="00D17FF5">
              <w:tc>
                <w:tcPr>
                  <w:tcW w:w="1907" w:type="dxa"/>
                </w:tcPr>
                <w:p w14:paraId="5C376028" w14:textId="77777777" w:rsidR="009A0BE3" w:rsidRPr="00576180" w:rsidRDefault="009A0BE3" w:rsidP="009A0BE3">
                  <w:pPr>
                    <w:rPr>
                      <w:rFonts w:ascii="Arial" w:hAnsi="Arial" w:cs="Arial"/>
                      <w:sz w:val="20"/>
                      <w:szCs w:val="20"/>
                    </w:rPr>
                  </w:pPr>
                  <w:r w:rsidRPr="00576180">
                    <w:rPr>
                      <w:rFonts w:ascii="Arial" w:hAnsi="Arial" w:cs="Arial"/>
                      <w:sz w:val="20"/>
                      <w:szCs w:val="20"/>
                    </w:rPr>
                    <w:t>Representante de país</w:t>
                  </w:r>
                </w:p>
              </w:tc>
              <w:tc>
                <w:tcPr>
                  <w:tcW w:w="3853" w:type="dxa"/>
                </w:tcPr>
                <w:p w14:paraId="5370BA05" w14:textId="4756FC8C" w:rsidR="009A0BE3" w:rsidRPr="00576180" w:rsidRDefault="005009C0" w:rsidP="005009C0">
                  <w:pPr>
                    <w:rPr>
                      <w:rFonts w:ascii="Arial" w:hAnsi="Arial" w:cs="Arial"/>
                      <w:sz w:val="20"/>
                      <w:szCs w:val="20"/>
                    </w:rPr>
                  </w:pPr>
                  <w:r w:rsidRPr="00576180">
                    <w:rPr>
                      <w:rFonts w:ascii="Arial" w:hAnsi="Arial" w:cs="Arial"/>
                      <w:sz w:val="20"/>
                      <w:szCs w:val="20"/>
                    </w:rPr>
                    <w:t>Elba Viviana Caro Hinojosa (CAN/CPE)</w:t>
                  </w:r>
                </w:p>
              </w:tc>
              <w:tc>
                <w:tcPr>
                  <w:tcW w:w="3330" w:type="dxa"/>
                </w:tcPr>
                <w:p w14:paraId="269D2357" w14:textId="5206B94D" w:rsidR="009A0BE3" w:rsidRPr="00576180" w:rsidRDefault="00F12BFB" w:rsidP="005009C0">
                  <w:pPr>
                    <w:rPr>
                      <w:rFonts w:ascii="Arial" w:hAnsi="Arial" w:cs="Arial"/>
                      <w:sz w:val="20"/>
                      <w:szCs w:val="20"/>
                    </w:rPr>
                  </w:pPr>
                  <w:r w:rsidRPr="00576180">
                    <w:rPr>
                      <w:rFonts w:ascii="Arial" w:hAnsi="Arial" w:cs="Arial"/>
                      <w:sz w:val="20"/>
                      <w:szCs w:val="20"/>
                    </w:rPr>
                    <w:t>Fidel Jaramillo</w:t>
                  </w:r>
                  <w:r w:rsidR="009A0BE3" w:rsidRPr="00576180">
                    <w:rPr>
                      <w:rFonts w:ascii="Arial" w:hAnsi="Arial" w:cs="Arial"/>
                      <w:sz w:val="20"/>
                      <w:szCs w:val="20"/>
                    </w:rPr>
                    <w:t xml:space="preserve"> (</w:t>
                  </w:r>
                  <w:r w:rsidR="005009C0" w:rsidRPr="00576180">
                    <w:rPr>
                      <w:rFonts w:ascii="Arial" w:hAnsi="Arial" w:cs="Arial"/>
                      <w:sz w:val="20"/>
                      <w:szCs w:val="20"/>
                    </w:rPr>
                    <w:t>CAN/CPE</w:t>
                  </w:r>
                  <w:r w:rsidR="009A0BE3" w:rsidRPr="00576180">
                    <w:rPr>
                      <w:rFonts w:ascii="Arial" w:hAnsi="Arial" w:cs="Arial"/>
                      <w:sz w:val="20"/>
                      <w:szCs w:val="20"/>
                    </w:rPr>
                    <w:t>)</w:t>
                  </w:r>
                </w:p>
              </w:tc>
            </w:tr>
            <w:tr w:rsidR="00F57C7E" w:rsidRPr="00576180" w14:paraId="555290B4" w14:textId="77777777" w:rsidTr="00D17FF5">
              <w:tc>
                <w:tcPr>
                  <w:tcW w:w="1907" w:type="dxa"/>
                </w:tcPr>
                <w:p w14:paraId="3A46F1EB" w14:textId="77777777" w:rsidR="00F57C7E" w:rsidRPr="00576180" w:rsidRDefault="00F57C7E" w:rsidP="009A0BE3">
                  <w:pPr>
                    <w:rPr>
                      <w:rFonts w:ascii="Arial" w:hAnsi="Arial" w:cs="Arial"/>
                      <w:sz w:val="20"/>
                      <w:szCs w:val="20"/>
                    </w:rPr>
                  </w:pPr>
                  <w:r w:rsidRPr="00576180">
                    <w:rPr>
                      <w:rFonts w:ascii="Arial" w:hAnsi="Arial" w:cs="Arial"/>
                      <w:sz w:val="20"/>
                      <w:szCs w:val="20"/>
                    </w:rPr>
                    <w:t>Jefe de Proyecto</w:t>
                  </w:r>
                </w:p>
              </w:tc>
              <w:tc>
                <w:tcPr>
                  <w:tcW w:w="3853" w:type="dxa"/>
                </w:tcPr>
                <w:p w14:paraId="4EBB8F86" w14:textId="77777777" w:rsidR="00F57C7E" w:rsidRPr="00576180" w:rsidRDefault="00D77F7E" w:rsidP="005009C0">
                  <w:pPr>
                    <w:rPr>
                      <w:rFonts w:ascii="Arial" w:hAnsi="Arial" w:cs="Arial"/>
                      <w:sz w:val="20"/>
                      <w:szCs w:val="20"/>
                    </w:rPr>
                  </w:pPr>
                  <w:r w:rsidRPr="00576180">
                    <w:rPr>
                      <w:rFonts w:ascii="Arial" w:hAnsi="Arial" w:cs="Arial"/>
                      <w:sz w:val="20"/>
                      <w:szCs w:val="20"/>
                    </w:rPr>
                    <w:t>José Larios</w:t>
                  </w:r>
                  <w:r w:rsidR="00F57C7E" w:rsidRPr="00576180">
                    <w:rPr>
                      <w:rFonts w:ascii="Arial" w:hAnsi="Arial" w:cs="Arial"/>
                      <w:sz w:val="20"/>
                      <w:szCs w:val="20"/>
                    </w:rPr>
                    <w:t xml:space="preserve"> (FMM/C</w:t>
                  </w:r>
                  <w:r w:rsidRPr="00576180">
                    <w:rPr>
                      <w:rFonts w:ascii="Arial" w:hAnsi="Arial" w:cs="Arial"/>
                      <w:sz w:val="20"/>
                      <w:szCs w:val="20"/>
                    </w:rPr>
                    <w:t>PE</w:t>
                  </w:r>
                  <w:r w:rsidR="00F57C7E" w:rsidRPr="00576180">
                    <w:rPr>
                      <w:rFonts w:ascii="Arial" w:hAnsi="Arial" w:cs="Arial"/>
                      <w:sz w:val="20"/>
                      <w:szCs w:val="20"/>
                    </w:rPr>
                    <w:t>)</w:t>
                  </w:r>
                </w:p>
              </w:tc>
              <w:tc>
                <w:tcPr>
                  <w:tcW w:w="3330" w:type="dxa"/>
                </w:tcPr>
                <w:p w14:paraId="0C7DE8A4" w14:textId="3E380558" w:rsidR="00F57C7E" w:rsidRPr="00576180" w:rsidRDefault="00D77F7E" w:rsidP="005009C0">
                  <w:pPr>
                    <w:rPr>
                      <w:rFonts w:ascii="Arial" w:hAnsi="Arial" w:cs="Arial"/>
                      <w:sz w:val="20"/>
                      <w:szCs w:val="20"/>
                    </w:rPr>
                  </w:pPr>
                  <w:r w:rsidRPr="00576180">
                    <w:rPr>
                      <w:rFonts w:ascii="Arial" w:hAnsi="Arial" w:cs="Arial"/>
                      <w:sz w:val="20"/>
                      <w:szCs w:val="20"/>
                    </w:rPr>
                    <w:t>Carlos Pimenta</w:t>
                  </w:r>
                  <w:r w:rsidR="00F57C7E" w:rsidRPr="00576180">
                    <w:rPr>
                      <w:rFonts w:ascii="Arial" w:hAnsi="Arial" w:cs="Arial"/>
                      <w:sz w:val="20"/>
                      <w:szCs w:val="20"/>
                    </w:rPr>
                    <w:t xml:space="preserve"> (</w:t>
                  </w:r>
                  <w:r w:rsidR="00E14BA7" w:rsidRPr="00576180">
                    <w:rPr>
                      <w:rFonts w:ascii="Arial" w:hAnsi="Arial" w:cs="Arial"/>
                      <w:sz w:val="20"/>
                      <w:szCs w:val="20"/>
                    </w:rPr>
                    <w:t>ICF/ICS</w:t>
                  </w:r>
                  <w:r w:rsidR="00F57C7E" w:rsidRPr="00576180">
                    <w:rPr>
                      <w:rFonts w:ascii="Arial" w:hAnsi="Arial" w:cs="Arial"/>
                      <w:sz w:val="20"/>
                      <w:szCs w:val="20"/>
                    </w:rPr>
                    <w:t>)</w:t>
                  </w:r>
                </w:p>
              </w:tc>
            </w:tr>
            <w:tr w:rsidR="00F57C7E" w:rsidRPr="00576180" w14:paraId="4ADC3D3F" w14:textId="77777777" w:rsidTr="00D17FF5">
              <w:tc>
                <w:tcPr>
                  <w:tcW w:w="1907" w:type="dxa"/>
                </w:tcPr>
                <w:p w14:paraId="5B861AE9" w14:textId="77777777" w:rsidR="00F57C7E" w:rsidRPr="00576180" w:rsidRDefault="00F57C7E" w:rsidP="009A0BE3">
                  <w:pPr>
                    <w:rPr>
                      <w:rFonts w:ascii="Arial" w:hAnsi="Arial" w:cs="Arial"/>
                      <w:sz w:val="20"/>
                      <w:szCs w:val="20"/>
                    </w:rPr>
                  </w:pPr>
                  <w:r w:rsidRPr="00576180">
                    <w:rPr>
                      <w:rFonts w:ascii="Arial" w:hAnsi="Arial" w:cs="Arial"/>
                      <w:sz w:val="20"/>
                      <w:szCs w:val="20"/>
                    </w:rPr>
                    <w:t>Jefe del PCR</w:t>
                  </w:r>
                </w:p>
              </w:tc>
              <w:tc>
                <w:tcPr>
                  <w:tcW w:w="3853" w:type="dxa"/>
                </w:tcPr>
                <w:p w14:paraId="42C34E76" w14:textId="77777777" w:rsidR="00F57C7E" w:rsidRPr="00576180" w:rsidRDefault="00D77F7E" w:rsidP="005009C0">
                  <w:pPr>
                    <w:rPr>
                      <w:rFonts w:ascii="Arial" w:hAnsi="Arial" w:cs="Arial"/>
                      <w:sz w:val="20"/>
                      <w:szCs w:val="20"/>
                    </w:rPr>
                  </w:pPr>
                  <w:r w:rsidRPr="00576180">
                    <w:rPr>
                      <w:rFonts w:ascii="Arial" w:hAnsi="Arial" w:cs="Arial"/>
                      <w:sz w:val="20"/>
                      <w:szCs w:val="20"/>
                    </w:rPr>
                    <w:t>José Larios (FMM/CPE)</w:t>
                  </w:r>
                </w:p>
              </w:tc>
              <w:tc>
                <w:tcPr>
                  <w:tcW w:w="3330" w:type="dxa"/>
                </w:tcPr>
                <w:p w14:paraId="59A5DB55" w14:textId="0631CCBA" w:rsidR="00F57C7E" w:rsidRPr="00576180" w:rsidRDefault="00D77F7E" w:rsidP="005009C0">
                  <w:pPr>
                    <w:rPr>
                      <w:rFonts w:ascii="Arial" w:hAnsi="Arial" w:cs="Arial"/>
                      <w:sz w:val="20"/>
                      <w:szCs w:val="20"/>
                    </w:rPr>
                  </w:pPr>
                  <w:r w:rsidRPr="00576180">
                    <w:rPr>
                      <w:rFonts w:ascii="Arial" w:hAnsi="Arial" w:cs="Arial"/>
                      <w:sz w:val="20"/>
                      <w:szCs w:val="20"/>
                    </w:rPr>
                    <w:t>Carlos Pimenta (</w:t>
                  </w:r>
                  <w:r w:rsidR="00E14BA7" w:rsidRPr="00576180">
                    <w:rPr>
                      <w:rFonts w:ascii="Arial" w:hAnsi="Arial" w:cs="Arial"/>
                      <w:sz w:val="20"/>
                      <w:szCs w:val="20"/>
                    </w:rPr>
                    <w:t>ICF/ICS</w:t>
                  </w:r>
                  <w:r w:rsidRPr="00576180">
                    <w:rPr>
                      <w:rFonts w:ascii="Arial" w:hAnsi="Arial" w:cs="Arial"/>
                      <w:sz w:val="20"/>
                      <w:szCs w:val="20"/>
                    </w:rPr>
                    <w:t>)</w:t>
                  </w:r>
                </w:p>
              </w:tc>
            </w:tr>
            <w:bookmarkEnd w:id="36"/>
          </w:tbl>
          <w:p w14:paraId="7E266CE7" w14:textId="77777777" w:rsidR="00F6766E" w:rsidRPr="00576180" w:rsidRDefault="00F6766E" w:rsidP="002477B4">
            <w:pPr>
              <w:rPr>
                <w:rFonts w:ascii="Arial" w:hAnsi="Arial" w:cs="Arial"/>
                <w:smallCaps/>
                <w:sz w:val="20"/>
                <w:szCs w:val="20"/>
              </w:rPr>
            </w:pPr>
          </w:p>
        </w:tc>
      </w:tr>
      <w:tr w:rsidR="00F6766E" w:rsidRPr="00576180" w14:paraId="3E6F20D7" w14:textId="77777777" w:rsidTr="00D77F7E">
        <w:tc>
          <w:tcPr>
            <w:tcW w:w="9350" w:type="dxa"/>
            <w:tcBorders>
              <w:top w:val="nil"/>
              <w:left w:val="single" w:sz="4" w:space="0" w:color="auto"/>
              <w:bottom w:val="single" w:sz="4" w:space="0" w:color="auto"/>
              <w:right w:val="single" w:sz="4" w:space="0" w:color="auto"/>
            </w:tcBorders>
            <w:shd w:val="clear" w:color="auto" w:fill="DBE5F1" w:themeFill="accent1" w:themeFillTint="33"/>
          </w:tcPr>
          <w:tbl>
            <w:tblPr>
              <w:tblStyle w:val="TableGrid"/>
              <w:tblW w:w="0" w:type="auto"/>
              <w:tblLook w:val="04A0" w:firstRow="1" w:lastRow="0" w:firstColumn="1" w:lastColumn="0" w:noHBand="0" w:noVBand="1"/>
            </w:tblPr>
            <w:tblGrid>
              <w:gridCol w:w="3041"/>
              <w:gridCol w:w="3041"/>
              <w:gridCol w:w="3042"/>
            </w:tblGrid>
            <w:tr w:rsidR="00891409" w:rsidRPr="00576180" w14:paraId="0D5037EC" w14:textId="77777777" w:rsidTr="009C0233">
              <w:tc>
                <w:tcPr>
                  <w:tcW w:w="3041" w:type="dxa"/>
                  <w:tcBorders>
                    <w:top w:val="nil"/>
                    <w:left w:val="nil"/>
                    <w:bottom w:val="nil"/>
                    <w:right w:val="nil"/>
                  </w:tcBorders>
                  <w:shd w:val="clear" w:color="auto" w:fill="auto"/>
                </w:tcPr>
                <w:p w14:paraId="0C3417F1" w14:textId="77777777" w:rsidR="00891409" w:rsidRPr="00576180" w:rsidRDefault="00891409" w:rsidP="002477B4">
                  <w:pPr>
                    <w:rPr>
                      <w:rFonts w:ascii="Arial" w:hAnsi="Arial" w:cs="Arial"/>
                      <w:sz w:val="20"/>
                      <w:szCs w:val="20"/>
                    </w:rPr>
                  </w:pPr>
                  <w:bookmarkStart w:id="37" w:name="_Hlk521050147"/>
                </w:p>
              </w:tc>
              <w:tc>
                <w:tcPr>
                  <w:tcW w:w="3041" w:type="dxa"/>
                  <w:tcBorders>
                    <w:top w:val="nil"/>
                    <w:left w:val="nil"/>
                    <w:bottom w:val="nil"/>
                    <w:right w:val="nil"/>
                  </w:tcBorders>
                </w:tcPr>
                <w:p w14:paraId="45872BA7" w14:textId="77777777" w:rsidR="00891409" w:rsidRPr="00576180" w:rsidRDefault="00891409" w:rsidP="002477B4">
                  <w:pPr>
                    <w:rPr>
                      <w:rFonts w:ascii="Arial" w:hAnsi="Arial" w:cs="Arial"/>
                      <w:sz w:val="20"/>
                      <w:szCs w:val="20"/>
                    </w:rPr>
                  </w:pPr>
                </w:p>
              </w:tc>
              <w:tc>
                <w:tcPr>
                  <w:tcW w:w="3042" w:type="dxa"/>
                  <w:tcBorders>
                    <w:top w:val="nil"/>
                    <w:left w:val="nil"/>
                    <w:bottom w:val="nil"/>
                    <w:right w:val="nil"/>
                  </w:tcBorders>
                </w:tcPr>
                <w:p w14:paraId="6DA27ADC" w14:textId="77777777" w:rsidR="00891409" w:rsidRPr="00576180" w:rsidRDefault="00891409" w:rsidP="002477B4">
                  <w:pPr>
                    <w:rPr>
                      <w:rFonts w:ascii="Arial" w:hAnsi="Arial" w:cs="Arial"/>
                      <w:sz w:val="20"/>
                      <w:szCs w:val="20"/>
                    </w:rPr>
                  </w:pPr>
                </w:p>
              </w:tc>
            </w:tr>
            <w:tr w:rsidR="007C4F2C" w:rsidRPr="00576180" w14:paraId="49978CF4" w14:textId="77777777" w:rsidTr="009C0233">
              <w:tc>
                <w:tcPr>
                  <w:tcW w:w="6082" w:type="dxa"/>
                  <w:gridSpan w:val="2"/>
                  <w:tcBorders>
                    <w:top w:val="nil"/>
                    <w:left w:val="nil"/>
                    <w:bottom w:val="single" w:sz="4" w:space="0" w:color="auto"/>
                    <w:right w:val="nil"/>
                  </w:tcBorders>
                  <w:shd w:val="clear" w:color="auto" w:fill="auto"/>
                </w:tcPr>
                <w:p w14:paraId="597DFEB9" w14:textId="77777777" w:rsidR="007C4F2C" w:rsidRPr="00576180" w:rsidRDefault="007C4F2C" w:rsidP="002477B4">
                  <w:pPr>
                    <w:rPr>
                      <w:rFonts w:ascii="Arial" w:hAnsi="Arial" w:cs="Arial"/>
                      <w:b/>
                      <w:sz w:val="20"/>
                      <w:szCs w:val="20"/>
                    </w:rPr>
                  </w:pPr>
                  <w:bookmarkStart w:id="38" w:name="_Hlk521050127"/>
                  <w:r w:rsidRPr="00576180">
                    <w:rPr>
                      <w:rFonts w:ascii="Arial" w:hAnsi="Arial" w:cs="Arial"/>
                      <w:b/>
                      <w:sz w:val="20"/>
                      <w:szCs w:val="20"/>
                    </w:rPr>
                    <w:t>Tiempo y costo (directo) del personal</w:t>
                  </w:r>
                </w:p>
              </w:tc>
              <w:tc>
                <w:tcPr>
                  <w:tcW w:w="3042" w:type="dxa"/>
                  <w:tcBorders>
                    <w:top w:val="nil"/>
                    <w:left w:val="nil"/>
                    <w:bottom w:val="single" w:sz="4" w:space="0" w:color="auto"/>
                    <w:right w:val="nil"/>
                  </w:tcBorders>
                </w:tcPr>
                <w:p w14:paraId="51A1DC91" w14:textId="77777777" w:rsidR="007C4F2C" w:rsidRPr="00576180" w:rsidRDefault="007C4F2C" w:rsidP="002477B4">
                  <w:pPr>
                    <w:rPr>
                      <w:rFonts w:ascii="Arial" w:hAnsi="Arial" w:cs="Arial"/>
                      <w:sz w:val="20"/>
                      <w:szCs w:val="20"/>
                    </w:rPr>
                  </w:pPr>
                </w:p>
              </w:tc>
            </w:tr>
            <w:tr w:rsidR="00F6766E" w:rsidRPr="00576180" w14:paraId="2884FDDE" w14:textId="77777777" w:rsidTr="00314D85">
              <w:tc>
                <w:tcPr>
                  <w:tcW w:w="3041" w:type="dxa"/>
                  <w:tcBorders>
                    <w:top w:val="single" w:sz="4" w:space="0" w:color="auto"/>
                  </w:tcBorders>
                  <w:shd w:val="clear" w:color="auto" w:fill="D9D9D9" w:themeFill="background1" w:themeFillShade="D9"/>
                  <w:vAlign w:val="center"/>
                </w:tcPr>
                <w:p w14:paraId="56074428" w14:textId="77777777" w:rsidR="00F6766E" w:rsidRPr="00576180" w:rsidRDefault="00F6766E" w:rsidP="002477B4">
                  <w:pPr>
                    <w:rPr>
                      <w:rFonts w:ascii="Arial" w:hAnsi="Arial" w:cs="Arial"/>
                      <w:b/>
                      <w:sz w:val="20"/>
                      <w:szCs w:val="20"/>
                    </w:rPr>
                  </w:pPr>
                  <w:r w:rsidRPr="00576180">
                    <w:rPr>
                      <w:rFonts w:ascii="Arial" w:hAnsi="Arial" w:cs="Arial"/>
                      <w:b/>
                      <w:sz w:val="20"/>
                      <w:szCs w:val="20"/>
                    </w:rPr>
                    <w:t>Fase del Ciclo de Proyecto</w:t>
                  </w:r>
                </w:p>
              </w:tc>
              <w:tc>
                <w:tcPr>
                  <w:tcW w:w="3041" w:type="dxa"/>
                  <w:tcBorders>
                    <w:top w:val="single" w:sz="4" w:space="0" w:color="auto"/>
                  </w:tcBorders>
                  <w:shd w:val="clear" w:color="auto" w:fill="D9D9D9" w:themeFill="background1" w:themeFillShade="D9"/>
                  <w:vAlign w:val="center"/>
                </w:tcPr>
                <w:p w14:paraId="6FCE925D" w14:textId="77777777" w:rsidR="00F6766E" w:rsidRPr="00576180" w:rsidRDefault="00F6766E" w:rsidP="002477B4">
                  <w:pPr>
                    <w:rPr>
                      <w:rFonts w:ascii="Arial" w:hAnsi="Arial" w:cs="Arial"/>
                      <w:b/>
                      <w:sz w:val="20"/>
                      <w:szCs w:val="20"/>
                    </w:rPr>
                  </w:pPr>
                  <w:r w:rsidRPr="00576180">
                    <w:rPr>
                      <w:rFonts w:ascii="Arial" w:hAnsi="Arial" w:cs="Arial"/>
                      <w:b/>
                      <w:sz w:val="20"/>
                      <w:szCs w:val="20"/>
                    </w:rPr>
                    <w:t xml:space="preserve"># </w:t>
                  </w:r>
                  <w:r w:rsidR="00CF1A5E" w:rsidRPr="00576180">
                    <w:rPr>
                      <w:rFonts w:ascii="Arial" w:hAnsi="Arial" w:cs="Arial"/>
                      <w:b/>
                      <w:sz w:val="20"/>
                      <w:szCs w:val="20"/>
                    </w:rPr>
                    <w:t xml:space="preserve">de </w:t>
                  </w:r>
                  <w:r w:rsidRPr="00576180">
                    <w:rPr>
                      <w:rFonts w:ascii="Arial" w:hAnsi="Arial" w:cs="Arial"/>
                      <w:b/>
                      <w:sz w:val="20"/>
                      <w:szCs w:val="20"/>
                    </w:rPr>
                    <w:t>semanas</w:t>
                  </w:r>
                  <w:r w:rsidR="00CF1A5E" w:rsidRPr="00576180">
                    <w:rPr>
                      <w:rFonts w:ascii="Arial" w:hAnsi="Arial" w:cs="Arial"/>
                      <w:b/>
                      <w:sz w:val="20"/>
                      <w:szCs w:val="20"/>
                    </w:rPr>
                    <w:t xml:space="preserve"> del personal</w:t>
                  </w:r>
                </w:p>
              </w:tc>
              <w:tc>
                <w:tcPr>
                  <w:tcW w:w="3042" w:type="dxa"/>
                  <w:tcBorders>
                    <w:top w:val="single" w:sz="4" w:space="0" w:color="auto"/>
                  </w:tcBorders>
                  <w:shd w:val="clear" w:color="auto" w:fill="D9D9D9" w:themeFill="background1" w:themeFillShade="D9"/>
                  <w:vAlign w:val="center"/>
                </w:tcPr>
                <w:p w14:paraId="62D1DFD6" w14:textId="77777777" w:rsidR="00F6766E" w:rsidRPr="00576180" w:rsidRDefault="00F6766E" w:rsidP="002477B4">
                  <w:pPr>
                    <w:rPr>
                      <w:rFonts w:ascii="Arial" w:hAnsi="Arial" w:cs="Arial"/>
                      <w:b/>
                      <w:sz w:val="20"/>
                      <w:szCs w:val="20"/>
                    </w:rPr>
                  </w:pPr>
                  <w:r w:rsidRPr="00576180">
                    <w:rPr>
                      <w:rFonts w:ascii="Arial" w:hAnsi="Arial" w:cs="Arial"/>
                      <w:b/>
                      <w:sz w:val="20"/>
                      <w:szCs w:val="20"/>
                    </w:rPr>
                    <w:t>US</w:t>
                  </w:r>
                  <w:r w:rsidR="00CF1A5E" w:rsidRPr="00576180">
                    <w:rPr>
                      <w:rFonts w:ascii="Arial" w:hAnsi="Arial" w:cs="Arial"/>
                      <w:b/>
                      <w:sz w:val="20"/>
                      <w:szCs w:val="20"/>
                    </w:rPr>
                    <w:t xml:space="preserve">D </w:t>
                  </w:r>
                  <w:r w:rsidRPr="00576180">
                    <w:rPr>
                      <w:rFonts w:ascii="Arial" w:hAnsi="Arial" w:cs="Arial"/>
                      <w:b/>
                      <w:sz w:val="20"/>
                      <w:szCs w:val="20"/>
                    </w:rPr>
                    <w:t xml:space="preserve">(incluyendo </w:t>
                  </w:r>
                  <w:r w:rsidR="00CF1A5E" w:rsidRPr="00576180">
                    <w:rPr>
                      <w:rFonts w:ascii="Arial" w:hAnsi="Arial" w:cs="Arial"/>
                      <w:b/>
                      <w:sz w:val="20"/>
                      <w:szCs w:val="20"/>
                    </w:rPr>
                    <w:t xml:space="preserve">los gastos de </w:t>
                  </w:r>
                  <w:r w:rsidRPr="00576180">
                    <w:rPr>
                      <w:rFonts w:ascii="Arial" w:hAnsi="Arial" w:cs="Arial"/>
                      <w:b/>
                      <w:sz w:val="20"/>
                      <w:szCs w:val="20"/>
                    </w:rPr>
                    <w:t xml:space="preserve">viajes y </w:t>
                  </w:r>
                  <w:r w:rsidR="00CF1A5E" w:rsidRPr="00576180">
                    <w:rPr>
                      <w:rFonts w:ascii="Arial" w:hAnsi="Arial" w:cs="Arial"/>
                      <w:b/>
                      <w:sz w:val="20"/>
                      <w:szCs w:val="20"/>
                    </w:rPr>
                    <w:t>asesoría</w:t>
                  </w:r>
                  <w:r w:rsidRPr="00576180">
                    <w:rPr>
                      <w:rFonts w:ascii="Arial" w:hAnsi="Arial" w:cs="Arial"/>
                      <w:b/>
                      <w:sz w:val="20"/>
                      <w:szCs w:val="20"/>
                    </w:rPr>
                    <w:t>)</w:t>
                  </w:r>
                </w:p>
              </w:tc>
            </w:tr>
            <w:tr w:rsidR="00F6766E" w:rsidRPr="00576180" w14:paraId="0E24A89F" w14:textId="77777777" w:rsidTr="00314D85">
              <w:tc>
                <w:tcPr>
                  <w:tcW w:w="3041" w:type="dxa"/>
                  <w:shd w:val="clear" w:color="auto" w:fill="auto"/>
                </w:tcPr>
                <w:p w14:paraId="110C016C" w14:textId="77777777" w:rsidR="00F6766E" w:rsidRPr="00576180" w:rsidRDefault="00F6766E" w:rsidP="002477B4">
                  <w:pPr>
                    <w:rPr>
                      <w:rFonts w:ascii="Arial" w:hAnsi="Arial" w:cs="Arial"/>
                      <w:b/>
                      <w:sz w:val="20"/>
                      <w:szCs w:val="20"/>
                    </w:rPr>
                  </w:pPr>
                  <w:r w:rsidRPr="00576180">
                    <w:rPr>
                      <w:rFonts w:ascii="Arial" w:hAnsi="Arial" w:cs="Arial"/>
                      <w:b/>
                      <w:sz w:val="20"/>
                      <w:szCs w:val="20"/>
                    </w:rPr>
                    <w:t>Preparación</w:t>
                  </w:r>
                </w:p>
              </w:tc>
              <w:tc>
                <w:tcPr>
                  <w:tcW w:w="3041" w:type="dxa"/>
                </w:tcPr>
                <w:p w14:paraId="149F428F" w14:textId="5FB151AB" w:rsidR="00F6766E" w:rsidRPr="00576180" w:rsidRDefault="00163E3D" w:rsidP="002477B4">
                  <w:pPr>
                    <w:rPr>
                      <w:rFonts w:ascii="Arial" w:hAnsi="Arial" w:cs="Arial"/>
                      <w:sz w:val="20"/>
                      <w:szCs w:val="20"/>
                    </w:rPr>
                  </w:pPr>
                  <w:r w:rsidRPr="00576180">
                    <w:rPr>
                      <w:rFonts w:ascii="Arial" w:hAnsi="Arial" w:cs="Arial"/>
                      <w:sz w:val="20"/>
                      <w:szCs w:val="20"/>
                    </w:rPr>
                    <w:t>10</w:t>
                  </w:r>
                  <w:r w:rsidR="00635231" w:rsidRPr="00576180">
                    <w:rPr>
                      <w:rFonts w:ascii="Arial" w:hAnsi="Arial" w:cs="Arial"/>
                      <w:sz w:val="20"/>
                      <w:szCs w:val="20"/>
                    </w:rPr>
                    <w:t xml:space="preserve"> semanas</w:t>
                  </w:r>
                </w:p>
              </w:tc>
              <w:tc>
                <w:tcPr>
                  <w:tcW w:w="3042" w:type="dxa"/>
                </w:tcPr>
                <w:p w14:paraId="3CC935E0" w14:textId="747743B4" w:rsidR="00F6766E" w:rsidRPr="00576180" w:rsidRDefault="007D4614" w:rsidP="002477B4">
                  <w:pPr>
                    <w:rPr>
                      <w:rFonts w:ascii="Arial" w:hAnsi="Arial" w:cs="Arial"/>
                      <w:sz w:val="20"/>
                      <w:szCs w:val="20"/>
                    </w:rPr>
                  </w:pPr>
                  <w:r w:rsidRPr="00576180">
                    <w:rPr>
                      <w:rFonts w:ascii="Arial" w:hAnsi="Arial" w:cs="Arial"/>
                      <w:sz w:val="20"/>
                      <w:szCs w:val="20"/>
                    </w:rPr>
                    <w:t xml:space="preserve">USD </w:t>
                  </w:r>
                  <w:r w:rsidR="00163E3D" w:rsidRPr="00576180">
                    <w:rPr>
                      <w:rFonts w:ascii="Arial" w:hAnsi="Arial" w:cs="Arial"/>
                      <w:sz w:val="20"/>
                      <w:szCs w:val="20"/>
                    </w:rPr>
                    <w:t>17</w:t>
                  </w:r>
                  <w:r w:rsidR="007C56D1" w:rsidRPr="00576180">
                    <w:rPr>
                      <w:rFonts w:ascii="Arial" w:hAnsi="Arial" w:cs="Arial"/>
                      <w:sz w:val="20"/>
                      <w:szCs w:val="20"/>
                    </w:rPr>
                    <w:t>.</w:t>
                  </w:r>
                  <w:r w:rsidR="00163E3D" w:rsidRPr="00576180">
                    <w:rPr>
                      <w:rFonts w:ascii="Arial" w:hAnsi="Arial" w:cs="Arial"/>
                      <w:sz w:val="20"/>
                      <w:szCs w:val="20"/>
                    </w:rPr>
                    <w:t>0</w:t>
                  </w:r>
                  <w:r w:rsidR="001C1AA8" w:rsidRPr="00576180">
                    <w:rPr>
                      <w:rFonts w:ascii="Arial" w:hAnsi="Arial" w:cs="Arial"/>
                      <w:sz w:val="20"/>
                      <w:szCs w:val="20"/>
                    </w:rPr>
                    <w:t>00</w:t>
                  </w:r>
                </w:p>
              </w:tc>
            </w:tr>
            <w:tr w:rsidR="007D4614" w:rsidRPr="00576180" w14:paraId="79C6A6E3" w14:textId="77777777" w:rsidTr="00314D85">
              <w:trPr>
                <w:trHeight w:val="62"/>
              </w:trPr>
              <w:tc>
                <w:tcPr>
                  <w:tcW w:w="3041" w:type="dxa"/>
                  <w:shd w:val="clear" w:color="auto" w:fill="auto"/>
                </w:tcPr>
                <w:p w14:paraId="2F6591DC" w14:textId="77777777" w:rsidR="007D4614" w:rsidRPr="00576180" w:rsidRDefault="007D4614" w:rsidP="002477B4">
                  <w:pPr>
                    <w:rPr>
                      <w:rFonts w:ascii="Arial" w:hAnsi="Arial" w:cs="Arial"/>
                      <w:b/>
                      <w:sz w:val="20"/>
                      <w:szCs w:val="20"/>
                    </w:rPr>
                  </w:pPr>
                  <w:r w:rsidRPr="00576180">
                    <w:rPr>
                      <w:rFonts w:ascii="Arial" w:hAnsi="Arial" w:cs="Arial"/>
                      <w:b/>
                      <w:sz w:val="20"/>
                      <w:szCs w:val="20"/>
                    </w:rPr>
                    <w:t>Supervisión</w:t>
                  </w:r>
                </w:p>
              </w:tc>
              <w:tc>
                <w:tcPr>
                  <w:tcW w:w="3041" w:type="dxa"/>
                </w:tcPr>
                <w:p w14:paraId="6699844E" w14:textId="2C714BA3" w:rsidR="007D4614" w:rsidRPr="00576180" w:rsidRDefault="00163E3D" w:rsidP="002477B4">
                  <w:pPr>
                    <w:rPr>
                      <w:rFonts w:ascii="Arial" w:hAnsi="Arial" w:cs="Arial"/>
                      <w:sz w:val="20"/>
                      <w:szCs w:val="20"/>
                    </w:rPr>
                  </w:pPr>
                  <w:r w:rsidRPr="00576180">
                    <w:rPr>
                      <w:rFonts w:ascii="Arial" w:hAnsi="Arial" w:cs="Arial"/>
                      <w:sz w:val="20"/>
                      <w:szCs w:val="20"/>
                    </w:rPr>
                    <w:t>4</w:t>
                  </w:r>
                  <w:r w:rsidR="007D4614" w:rsidRPr="00576180">
                    <w:rPr>
                      <w:rFonts w:ascii="Arial" w:hAnsi="Arial" w:cs="Arial"/>
                      <w:sz w:val="20"/>
                      <w:szCs w:val="20"/>
                    </w:rPr>
                    <w:t xml:space="preserve"> semanas</w:t>
                  </w:r>
                </w:p>
              </w:tc>
              <w:tc>
                <w:tcPr>
                  <w:tcW w:w="3042" w:type="dxa"/>
                </w:tcPr>
                <w:p w14:paraId="2A7586F1" w14:textId="1E6D3552" w:rsidR="007D4614" w:rsidRPr="00576180" w:rsidRDefault="007D4614" w:rsidP="002477B4">
                  <w:pPr>
                    <w:rPr>
                      <w:rFonts w:ascii="Arial" w:hAnsi="Arial" w:cs="Arial"/>
                      <w:sz w:val="20"/>
                      <w:szCs w:val="20"/>
                    </w:rPr>
                  </w:pPr>
                  <w:r w:rsidRPr="00576180">
                    <w:rPr>
                      <w:rFonts w:ascii="Arial" w:hAnsi="Arial" w:cs="Arial"/>
                      <w:sz w:val="20"/>
                      <w:szCs w:val="20"/>
                    </w:rPr>
                    <w:t xml:space="preserve">USD </w:t>
                  </w:r>
                  <w:r w:rsidR="00163E3D" w:rsidRPr="00576180">
                    <w:rPr>
                      <w:rFonts w:ascii="Arial" w:hAnsi="Arial" w:cs="Arial"/>
                      <w:sz w:val="20"/>
                      <w:szCs w:val="20"/>
                    </w:rPr>
                    <w:t>8</w:t>
                  </w:r>
                  <w:r w:rsidR="007C56D1" w:rsidRPr="00576180">
                    <w:rPr>
                      <w:rFonts w:ascii="Arial" w:hAnsi="Arial" w:cs="Arial"/>
                      <w:sz w:val="20"/>
                      <w:szCs w:val="20"/>
                    </w:rPr>
                    <w:t>.</w:t>
                  </w:r>
                  <w:r w:rsidR="009750E8" w:rsidRPr="00576180">
                    <w:rPr>
                      <w:rFonts w:ascii="Arial" w:hAnsi="Arial" w:cs="Arial"/>
                      <w:sz w:val="20"/>
                      <w:szCs w:val="20"/>
                    </w:rPr>
                    <w:t>000</w:t>
                  </w:r>
                </w:p>
              </w:tc>
            </w:tr>
            <w:tr w:rsidR="007D4614" w:rsidRPr="00576180" w14:paraId="17AA3881" w14:textId="77777777" w:rsidTr="00314D85">
              <w:trPr>
                <w:trHeight w:val="107"/>
              </w:trPr>
              <w:tc>
                <w:tcPr>
                  <w:tcW w:w="3041" w:type="dxa"/>
                  <w:shd w:val="clear" w:color="auto" w:fill="auto"/>
                </w:tcPr>
                <w:p w14:paraId="54FD3C6A" w14:textId="77777777" w:rsidR="007D4614" w:rsidRPr="00576180" w:rsidRDefault="007D4614" w:rsidP="002477B4">
                  <w:pPr>
                    <w:rPr>
                      <w:rFonts w:ascii="Arial" w:hAnsi="Arial" w:cs="Arial"/>
                      <w:b/>
                      <w:sz w:val="20"/>
                      <w:szCs w:val="20"/>
                    </w:rPr>
                  </w:pPr>
                  <w:r w:rsidRPr="00576180">
                    <w:rPr>
                      <w:rFonts w:ascii="Arial" w:hAnsi="Arial" w:cs="Arial"/>
                      <w:b/>
                      <w:sz w:val="20"/>
                      <w:szCs w:val="20"/>
                    </w:rPr>
                    <w:t>Total</w:t>
                  </w:r>
                </w:p>
              </w:tc>
              <w:tc>
                <w:tcPr>
                  <w:tcW w:w="3041" w:type="dxa"/>
                </w:tcPr>
                <w:p w14:paraId="1203825B" w14:textId="7E319BDC" w:rsidR="007D4614" w:rsidRPr="00576180" w:rsidRDefault="001C1AA8" w:rsidP="002477B4">
                  <w:pPr>
                    <w:rPr>
                      <w:rFonts w:ascii="Arial" w:hAnsi="Arial" w:cs="Arial"/>
                      <w:sz w:val="20"/>
                      <w:szCs w:val="20"/>
                    </w:rPr>
                  </w:pPr>
                  <w:r w:rsidRPr="00576180">
                    <w:rPr>
                      <w:rFonts w:ascii="Arial" w:hAnsi="Arial" w:cs="Arial"/>
                      <w:sz w:val="20"/>
                      <w:szCs w:val="20"/>
                    </w:rPr>
                    <w:t>1</w:t>
                  </w:r>
                  <w:r w:rsidR="00163E3D" w:rsidRPr="00576180">
                    <w:rPr>
                      <w:rFonts w:ascii="Arial" w:hAnsi="Arial" w:cs="Arial"/>
                      <w:sz w:val="20"/>
                      <w:szCs w:val="20"/>
                    </w:rPr>
                    <w:t>4</w:t>
                  </w:r>
                  <w:r w:rsidR="007D4614" w:rsidRPr="00576180">
                    <w:rPr>
                      <w:rFonts w:ascii="Arial" w:hAnsi="Arial" w:cs="Arial"/>
                      <w:sz w:val="20"/>
                      <w:szCs w:val="20"/>
                    </w:rPr>
                    <w:t xml:space="preserve"> semanas</w:t>
                  </w:r>
                </w:p>
              </w:tc>
              <w:tc>
                <w:tcPr>
                  <w:tcW w:w="3042" w:type="dxa"/>
                </w:tcPr>
                <w:p w14:paraId="2BAC9A5A" w14:textId="5EA3580A" w:rsidR="007D4614" w:rsidRPr="00576180" w:rsidRDefault="007D4614" w:rsidP="002477B4">
                  <w:pPr>
                    <w:rPr>
                      <w:rFonts w:ascii="Arial" w:hAnsi="Arial" w:cs="Arial"/>
                      <w:sz w:val="20"/>
                      <w:szCs w:val="20"/>
                    </w:rPr>
                  </w:pPr>
                  <w:r w:rsidRPr="00576180">
                    <w:rPr>
                      <w:rFonts w:ascii="Arial" w:hAnsi="Arial" w:cs="Arial"/>
                      <w:sz w:val="20"/>
                      <w:szCs w:val="20"/>
                    </w:rPr>
                    <w:t xml:space="preserve">USD </w:t>
                  </w:r>
                  <w:r w:rsidR="00163E3D" w:rsidRPr="00576180">
                    <w:rPr>
                      <w:rFonts w:ascii="Arial" w:hAnsi="Arial" w:cs="Arial"/>
                      <w:sz w:val="20"/>
                      <w:szCs w:val="20"/>
                    </w:rPr>
                    <w:t>25</w:t>
                  </w:r>
                  <w:r w:rsidR="007C56D1" w:rsidRPr="00576180">
                    <w:rPr>
                      <w:rFonts w:ascii="Arial" w:hAnsi="Arial" w:cs="Arial"/>
                      <w:sz w:val="20"/>
                      <w:szCs w:val="20"/>
                    </w:rPr>
                    <w:t>.</w:t>
                  </w:r>
                  <w:r w:rsidR="00163E3D" w:rsidRPr="00576180">
                    <w:rPr>
                      <w:rFonts w:ascii="Arial" w:hAnsi="Arial" w:cs="Arial"/>
                      <w:sz w:val="20"/>
                      <w:szCs w:val="20"/>
                    </w:rPr>
                    <w:t>000</w:t>
                  </w:r>
                </w:p>
              </w:tc>
            </w:tr>
            <w:bookmarkEnd w:id="38"/>
          </w:tbl>
          <w:p w14:paraId="78465D1D" w14:textId="77777777" w:rsidR="00F6766E" w:rsidRPr="00576180" w:rsidRDefault="00F6766E" w:rsidP="002477B4">
            <w:pPr>
              <w:rPr>
                <w:rFonts w:ascii="Arial" w:hAnsi="Arial" w:cs="Arial"/>
                <w:sz w:val="20"/>
                <w:szCs w:val="20"/>
              </w:rPr>
            </w:pPr>
          </w:p>
        </w:tc>
      </w:tr>
      <w:bookmarkEnd w:id="37"/>
      <w:tr w:rsidR="00543BEA" w:rsidRPr="00576180" w14:paraId="18B77C74" w14:textId="77777777" w:rsidTr="009C0233">
        <w:tc>
          <w:tcPr>
            <w:tcW w:w="9350" w:type="dxa"/>
            <w:tcBorders>
              <w:top w:val="nil"/>
              <w:left w:val="single" w:sz="4" w:space="0" w:color="auto"/>
              <w:bottom w:val="nil"/>
              <w:right w:val="single" w:sz="4" w:space="0" w:color="auto"/>
            </w:tcBorders>
            <w:shd w:val="clear" w:color="auto" w:fill="F2F2F2" w:themeFill="background1" w:themeFillShade="F2"/>
          </w:tcPr>
          <w:p w14:paraId="2ABE14D3" w14:textId="77777777" w:rsidR="00163E3D" w:rsidRPr="00576180" w:rsidRDefault="00163E3D" w:rsidP="00163E3D">
            <w:pPr>
              <w:rPr>
                <w:rFonts w:ascii="Arial" w:hAnsi="Arial" w:cs="Arial"/>
                <w:b/>
                <w:sz w:val="20"/>
                <w:szCs w:val="20"/>
              </w:rPr>
            </w:pPr>
          </w:p>
          <w:p w14:paraId="484BA2F5" w14:textId="079CF05F" w:rsidR="00543BEA" w:rsidRPr="00576180" w:rsidRDefault="00543BEA" w:rsidP="00163E3D">
            <w:pPr>
              <w:rPr>
                <w:rFonts w:ascii="Arial" w:eastAsia="Arial" w:hAnsi="Arial" w:cs="Arial"/>
                <w:b/>
                <w:sz w:val="20"/>
                <w:szCs w:val="20"/>
              </w:rPr>
            </w:pPr>
            <w:r w:rsidRPr="00576180">
              <w:rPr>
                <w:rFonts w:ascii="Arial" w:hAnsi="Arial" w:cs="Arial"/>
                <w:b/>
                <w:sz w:val="20"/>
                <w:szCs w:val="20"/>
              </w:rPr>
              <w:t xml:space="preserve">Declaración de los </w:t>
            </w:r>
            <w:r w:rsidR="00163E3D" w:rsidRPr="00576180">
              <w:rPr>
                <w:rFonts w:ascii="Arial" w:hAnsi="Arial" w:cs="Arial"/>
                <w:b/>
                <w:sz w:val="20"/>
                <w:szCs w:val="20"/>
              </w:rPr>
              <w:t>o</w:t>
            </w:r>
            <w:r w:rsidRPr="00576180">
              <w:rPr>
                <w:rFonts w:ascii="Arial" w:hAnsi="Arial" w:cs="Arial"/>
                <w:b/>
                <w:sz w:val="20"/>
                <w:szCs w:val="20"/>
              </w:rPr>
              <w:t xml:space="preserve">bjetivos de </w:t>
            </w:r>
            <w:r w:rsidR="00163E3D" w:rsidRPr="00576180">
              <w:rPr>
                <w:rFonts w:ascii="Arial" w:hAnsi="Arial" w:cs="Arial"/>
                <w:b/>
                <w:sz w:val="20"/>
                <w:szCs w:val="20"/>
              </w:rPr>
              <w:t>d</w:t>
            </w:r>
            <w:r w:rsidRPr="00576180">
              <w:rPr>
                <w:rFonts w:ascii="Arial" w:hAnsi="Arial" w:cs="Arial"/>
                <w:b/>
                <w:sz w:val="20"/>
                <w:szCs w:val="20"/>
              </w:rPr>
              <w:t xml:space="preserve">esarrollo del </w:t>
            </w:r>
            <w:r w:rsidR="00163E3D" w:rsidRPr="00576180">
              <w:rPr>
                <w:rFonts w:ascii="Arial" w:hAnsi="Arial" w:cs="Arial"/>
                <w:b/>
                <w:sz w:val="20"/>
                <w:szCs w:val="20"/>
              </w:rPr>
              <w:t>p</w:t>
            </w:r>
            <w:r w:rsidRPr="00576180">
              <w:rPr>
                <w:rFonts w:ascii="Arial" w:hAnsi="Arial" w:cs="Arial"/>
                <w:b/>
                <w:sz w:val="20"/>
                <w:szCs w:val="20"/>
              </w:rPr>
              <w:t xml:space="preserve">royecto / </w:t>
            </w:r>
            <w:r w:rsidR="00163E3D" w:rsidRPr="00576180">
              <w:rPr>
                <w:rFonts w:ascii="Arial" w:hAnsi="Arial" w:cs="Arial"/>
                <w:b/>
                <w:sz w:val="20"/>
                <w:szCs w:val="20"/>
              </w:rPr>
              <w:t>p</w:t>
            </w:r>
            <w:r w:rsidRPr="00576180">
              <w:rPr>
                <w:rFonts w:ascii="Arial" w:hAnsi="Arial" w:cs="Arial"/>
                <w:b/>
                <w:sz w:val="20"/>
                <w:szCs w:val="20"/>
              </w:rPr>
              <w:t>rograma:</w:t>
            </w:r>
          </w:p>
        </w:tc>
      </w:tr>
      <w:tr w:rsidR="00F6766E" w:rsidRPr="00576180" w14:paraId="51841CC6" w14:textId="77777777" w:rsidTr="00D77F7E">
        <w:tc>
          <w:tcPr>
            <w:tcW w:w="9350" w:type="dxa"/>
            <w:tcBorders>
              <w:top w:val="nil"/>
              <w:left w:val="single" w:sz="4" w:space="0" w:color="auto"/>
              <w:bottom w:val="single" w:sz="4" w:space="0" w:color="auto"/>
              <w:right w:val="single" w:sz="4" w:space="0" w:color="auto"/>
            </w:tcBorders>
            <w:shd w:val="clear" w:color="auto" w:fill="F2F2F2" w:themeFill="background1" w:themeFillShade="F2"/>
            <w:hideMark/>
          </w:tcPr>
          <w:p w14:paraId="522E33C0" w14:textId="5372408F" w:rsidR="00F6766E" w:rsidRPr="00576180" w:rsidRDefault="003938F1" w:rsidP="00163E3D">
            <w:pPr>
              <w:jc w:val="both"/>
              <w:rPr>
                <w:rFonts w:ascii="Arial" w:hAnsi="Arial" w:cs="Arial"/>
                <w:sz w:val="20"/>
                <w:szCs w:val="20"/>
              </w:rPr>
            </w:pPr>
            <w:r w:rsidRPr="003938F1">
              <w:rPr>
                <w:rFonts w:ascii="Arial" w:hAnsi="Arial" w:cs="Arial"/>
                <w:sz w:val="20"/>
                <w:szCs w:val="20"/>
              </w:rPr>
              <w:t>El objetivo general del proyecto fue contribuir al aumento de la eficiencia en la gestión pública. Los objetivos específicos fueron: (i) Aumentar la eficiencia de los procesos e instrumentos de automatización de la preparación y ejecución financiera, (</w:t>
            </w:r>
            <w:proofErr w:type="spellStart"/>
            <w:r w:rsidRPr="003938F1">
              <w:rPr>
                <w:rFonts w:ascii="Arial" w:hAnsi="Arial" w:cs="Arial"/>
                <w:sz w:val="20"/>
                <w:szCs w:val="20"/>
              </w:rPr>
              <w:t>ii</w:t>
            </w:r>
            <w:proofErr w:type="spellEnd"/>
            <w:r w:rsidRPr="003938F1">
              <w:rPr>
                <w:rFonts w:ascii="Arial" w:hAnsi="Arial" w:cs="Arial"/>
                <w:sz w:val="20"/>
                <w:szCs w:val="20"/>
              </w:rPr>
              <w:t>) fortalecer la capacidad institucional y organizacional del Ministerio de Economía y Finanzas, (</w:t>
            </w:r>
            <w:proofErr w:type="spellStart"/>
            <w:r w:rsidRPr="003938F1">
              <w:rPr>
                <w:rFonts w:ascii="Arial" w:hAnsi="Arial" w:cs="Arial"/>
                <w:sz w:val="20"/>
                <w:szCs w:val="20"/>
              </w:rPr>
              <w:t>iii</w:t>
            </w:r>
            <w:proofErr w:type="spellEnd"/>
            <w:r w:rsidRPr="003938F1">
              <w:rPr>
                <w:rFonts w:ascii="Arial" w:hAnsi="Arial" w:cs="Arial"/>
                <w:sz w:val="20"/>
                <w:szCs w:val="20"/>
              </w:rPr>
              <w:t>) mejorar el proceso decisorio de asignación de los recursos públicos</w:t>
            </w:r>
            <w:r>
              <w:rPr>
                <w:rFonts w:ascii="Arial" w:hAnsi="Arial" w:cs="Arial"/>
                <w:sz w:val="20"/>
                <w:szCs w:val="20"/>
              </w:rPr>
              <w:t>.</w:t>
            </w:r>
            <w:r>
              <w:rPr>
                <w:rStyle w:val="FootnoteReference"/>
                <w:rFonts w:ascii="Arial" w:hAnsi="Arial" w:cs="Arial"/>
                <w:sz w:val="20"/>
                <w:szCs w:val="20"/>
              </w:rPr>
              <w:footnoteReference w:id="2"/>
            </w:r>
          </w:p>
        </w:tc>
      </w:tr>
      <w:bookmarkEnd w:id="35"/>
    </w:tbl>
    <w:p w14:paraId="5450B178" w14:textId="77777777" w:rsidR="00F6766E" w:rsidRPr="00576180" w:rsidRDefault="00F6766E" w:rsidP="008D007A">
      <w:pPr>
        <w:tabs>
          <w:tab w:val="left" w:pos="9000"/>
        </w:tabs>
        <w:sectPr w:rsidR="00F6766E" w:rsidRPr="00576180" w:rsidSect="00314D85">
          <w:footerReference w:type="default" r:id="rId13"/>
          <w:pgSz w:w="12240" w:h="15840"/>
          <w:pgMar w:top="1440" w:right="1440" w:bottom="1440" w:left="1440" w:header="720" w:footer="720" w:gutter="0"/>
          <w:pgNumType w:fmt="lowerRoman"/>
          <w:cols w:space="720"/>
        </w:sectPr>
      </w:pPr>
    </w:p>
    <w:p w14:paraId="36B524C2" w14:textId="77777777" w:rsidR="00E452CF" w:rsidRPr="00576180" w:rsidRDefault="00E452CF" w:rsidP="00D20A37">
      <w:pPr>
        <w:pStyle w:val="Heading1"/>
        <w:numPr>
          <w:ilvl w:val="0"/>
          <w:numId w:val="2"/>
        </w:numPr>
        <w:rPr>
          <w:rFonts w:cs="Arial"/>
          <w:smallCaps/>
          <w:color w:val="000000" w:themeColor="text1"/>
        </w:rPr>
      </w:pPr>
      <w:bookmarkStart w:id="39" w:name="_Toc501529191"/>
      <w:bookmarkStart w:id="40" w:name="_Toc500169655"/>
      <w:bookmarkStart w:id="41" w:name="_Toc506484922"/>
      <w:bookmarkStart w:id="42" w:name="_Toc506974987"/>
      <w:bookmarkStart w:id="43" w:name="_Toc507063066"/>
      <w:bookmarkStart w:id="44" w:name="_Toc533166431"/>
      <w:bookmarkStart w:id="45" w:name="_Toc20432454"/>
      <w:bookmarkStart w:id="46" w:name="_Toc21017050"/>
      <w:r w:rsidRPr="00576180">
        <w:rPr>
          <w:rFonts w:cs="Arial"/>
          <w:smallCaps/>
          <w:color w:val="000000" w:themeColor="text1"/>
        </w:rPr>
        <w:lastRenderedPageBreak/>
        <w:t xml:space="preserve">Resumen </w:t>
      </w:r>
      <w:r w:rsidR="00351F3E" w:rsidRPr="00576180">
        <w:rPr>
          <w:rFonts w:cs="Arial"/>
          <w:smallCaps/>
          <w:color w:val="000000" w:themeColor="text1"/>
        </w:rPr>
        <w:t>e</w:t>
      </w:r>
      <w:r w:rsidRPr="00576180">
        <w:rPr>
          <w:rFonts w:cs="Arial"/>
          <w:smallCaps/>
          <w:color w:val="000000" w:themeColor="text1"/>
        </w:rPr>
        <w:t>jecutivo</w:t>
      </w:r>
      <w:bookmarkEnd w:id="39"/>
      <w:bookmarkEnd w:id="40"/>
      <w:bookmarkEnd w:id="41"/>
      <w:bookmarkEnd w:id="42"/>
      <w:bookmarkEnd w:id="43"/>
      <w:bookmarkEnd w:id="44"/>
      <w:bookmarkEnd w:id="45"/>
      <w:bookmarkEnd w:id="46"/>
    </w:p>
    <w:p w14:paraId="3AD05BA3" w14:textId="3BD871C6" w:rsidR="00FF1E99" w:rsidRPr="00576180" w:rsidRDefault="00E64037" w:rsidP="00D17FF5">
      <w:pPr>
        <w:pStyle w:val="ListParagraph"/>
        <w:tabs>
          <w:tab w:val="left" w:pos="9000"/>
        </w:tabs>
        <w:spacing w:before="120" w:after="120" w:line="240" w:lineRule="auto"/>
        <w:ind w:left="360"/>
        <w:jc w:val="both"/>
        <w:rPr>
          <w:rFonts w:ascii="Arial" w:hAnsi="Arial" w:cs="Arial"/>
        </w:rPr>
      </w:pPr>
      <w:r w:rsidRPr="00576180">
        <w:rPr>
          <w:rFonts w:ascii="Arial" w:hAnsi="Arial" w:cs="Arial"/>
        </w:rPr>
        <w:t>La</w:t>
      </w:r>
      <w:r w:rsidR="007122A3" w:rsidRPr="00576180">
        <w:rPr>
          <w:rFonts w:ascii="Arial" w:hAnsi="Arial" w:cs="Arial"/>
        </w:rPr>
        <w:t xml:space="preserve"> </w:t>
      </w:r>
      <w:r w:rsidRPr="00576180">
        <w:rPr>
          <w:rFonts w:ascii="Arial" w:hAnsi="Arial" w:cs="Arial"/>
        </w:rPr>
        <w:t xml:space="preserve">presente </w:t>
      </w:r>
      <w:r w:rsidR="007122A3" w:rsidRPr="00576180">
        <w:rPr>
          <w:rFonts w:ascii="Arial" w:hAnsi="Arial" w:cs="Arial"/>
        </w:rPr>
        <w:t>evaluación</w:t>
      </w:r>
      <w:r w:rsidRPr="00576180">
        <w:rPr>
          <w:rFonts w:ascii="Arial" w:hAnsi="Arial" w:cs="Arial"/>
        </w:rPr>
        <w:t xml:space="preserve"> del </w:t>
      </w:r>
      <w:r w:rsidR="002E5597" w:rsidRPr="00576180">
        <w:rPr>
          <w:rFonts w:ascii="Arial" w:hAnsi="Arial" w:cs="Arial"/>
        </w:rPr>
        <w:t xml:space="preserve">Programa de Modernización del Sistema de Administración Financiera Pública </w:t>
      </w:r>
      <w:r w:rsidR="0019146B" w:rsidRPr="00576180">
        <w:rPr>
          <w:rFonts w:ascii="Arial" w:hAnsi="Arial" w:cs="Arial"/>
        </w:rPr>
        <w:t>p</w:t>
      </w:r>
      <w:r w:rsidR="002E5597" w:rsidRPr="00576180">
        <w:rPr>
          <w:rFonts w:ascii="Arial" w:hAnsi="Arial" w:cs="Arial"/>
        </w:rPr>
        <w:t xml:space="preserve">ara Mejorar </w:t>
      </w:r>
      <w:r w:rsidR="0019146B" w:rsidRPr="00576180">
        <w:rPr>
          <w:rFonts w:ascii="Arial" w:hAnsi="Arial" w:cs="Arial"/>
        </w:rPr>
        <w:t>l</w:t>
      </w:r>
      <w:r w:rsidR="002E5597" w:rsidRPr="00576180">
        <w:rPr>
          <w:rFonts w:ascii="Arial" w:hAnsi="Arial" w:cs="Arial"/>
        </w:rPr>
        <w:t xml:space="preserve">a Programación, Ejecución </w:t>
      </w:r>
      <w:r w:rsidR="0019146B" w:rsidRPr="00576180">
        <w:rPr>
          <w:rFonts w:ascii="Arial" w:hAnsi="Arial" w:cs="Arial"/>
        </w:rPr>
        <w:t>y</w:t>
      </w:r>
      <w:r w:rsidR="002E5597" w:rsidRPr="00576180">
        <w:rPr>
          <w:rFonts w:ascii="Arial" w:hAnsi="Arial" w:cs="Arial"/>
        </w:rPr>
        <w:t xml:space="preserve"> Rendición </w:t>
      </w:r>
      <w:r w:rsidR="0019146B" w:rsidRPr="00576180">
        <w:rPr>
          <w:rFonts w:ascii="Arial" w:hAnsi="Arial" w:cs="Arial"/>
        </w:rPr>
        <w:t>d</w:t>
      </w:r>
      <w:r w:rsidR="002E5597" w:rsidRPr="00576180">
        <w:rPr>
          <w:rFonts w:ascii="Arial" w:hAnsi="Arial" w:cs="Arial"/>
        </w:rPr>
        <w:t xml:space="preserve">e Cuentas </w:t>
      </w:r>
      <w:r w:rsidR="0019146B" w:rsidRPr="00576180">
        <w:rPr>
          <w:rFonts w:ascii="Arial" w:hAnsi="Arial" w:cs="Arial"/>
        </w:rPr>
        <w:t>d</w:t>
      </w:r>
      <w:r w:rsidR="002E5597" w:rsidRPr="00576180">
        <w:rPr>
          <w:rFonts w:ascii="Arial" w:hAnsi="Arial" w:cs="Arial"/>
        </w:rPr>
        <w:t xml:space="preserve">e </w:t>
      </w:r>
      <w:r w:rsidR="0019146B" w:rsidRPr="00576180">
        <w:rPr>
          <w:rFonts w:ascii="Arial" w:hAnsi="Arial" w:cs="Arial"/>
        </w:rPr>
        <w:t>l</w:t>
      </w:r>
      <w:r w:rsidR="002E5597" w:rsidRPr="00576180">
        <w:rPr>
          <w:rFonts w:ascii="Arial" w:hAnsi="Arial" w:cs="Arial"/>
        </w:rPr>
        <w:t>os Recursos Públicos</w:t>
      </w:r>
      <w:r w:rsidR="007D7692" w:rsidRPr="00576180">
        <w:rPr>
          <w:rFonts w:ascii="Arial" w:hAnsi="Arial" w:cs="Arial"/>
        </w:rPr>
        <w:t xml:space="preserve"> (PE-L108</w:t>
      </w:r>
      <w:r w:rsidR="0092149B" w:rsidRPr="00576180">
        <w:rPr>
          <w:rFonts w:ascii="Arial" w:hAnsi="Arial" w:cs="Arial"/>
        </w:rPr>
        <w:t>7</w:t>
      </w:r>
      <w:r w:rsidR="00775873" w:rsidRPr="00576180">
        <w:rPr>
          <w:rFonts w:ascii="Arial" w:hAnsi="Arial" w:cs="Arial"/>
        </w:rPr>
        <w:t xml:space="preserve"> / </w:t>
      </w:r>
      <w:r w:rsidR="009474F8" w:rsidRPr="00576180">
        <w:rPr>
          <w:rFonts w:ascii="Arial" w:hAnsi="Arial" w:cs="Arial"/>
        </w:rPr>
        <w:t>2445/OC-PE)</w:t>
      </w:r>
      <w:r w:rsidR="002E5597" w:rsidRPr="00576180">
        <w:rPr>
          <w:rFonts w:ascii="Arial" w:hAnsi="Arial" w:cs="Arial"/>
        </w:rPr>
        <w:t xml:space="preserve"> </w:t>
      </w:r>
      <w:r w:rsidRPr="00576180">
        <w:rPr>
          <w:rFonts w:ascii="Arial" w:hAnsi="Arial" w:cs="Arial"/>
        </w:rPr>
        <w:t>se realizó</w:t>
      </w:r>
      <w:r w:rsidR="007122A3" w:rsidRPr="00576180">
        <w:rPr>
          <w:rFonts w:ascii="Arial" w:hAnsi="Arial" w:cs="Arial"/>
        </w:rPr>
        <w:t xml:space="preserve"> </w:t>
      </w:r>
      <w:r w:rsidR="002D3D5C" w:rsidRPr="00576180">
        <w:rPr>
          <w:rFonts w:ascii="Arial" w:hAnsi="Arial" w:cs="Arial"/>
        </w:rPr>
        <w:t>utilizando</w:t>
      </w:r>
      <w:r w:rsidR="007122A3" w:rsidRPr="00576180">
        <w:rPr>
          <w:rFonts w:ascii="Arial" w:hAnsi="Arial" w:cs="Arial"/>
        </w:rPr>
        <w:t xml:space="preserve"> las guías de </w:t>
      </w:r>
      <w:r w:rsidR="007122A3" w:rsidRPr="00576180">
        <w:rPr>
          <w:rFonts w:ascii="Arial" w:hAnsi="Arial" w:cs="Arial"/>
          <w:i/>
        </w:rPr>
        <w:t>P</w:t>
      </w:r>
      <w:r w:rsidR="00765D8D" w:rsidRPr="00576180">
        <w:rPr>
          <w:rFonts w:ascii="Arial" w:hAnsi="Arial" w:cs="Arial"/>
          <w:i/>
        </w:rPr>
        <w:t xml:space="preserve">roject </w:t>
      </w:r>
      <w:proofErr w:type="spellStart"/>
      <w:r w:rsidR="007122A3" w:rsidRPr="00576180">
        <w:rPr>
          <w:rFonts w:ascii="Arial" w:hAnsi="Arial" w:cs="Arial"/>
          <w:i/>
        </w:rPr>
        <w:t>C</w:t>
      </w:r>
      <w:r w:rsidR="00765D8D" w:rsidRPr="00576180">
        <w:rPr>
          <w:rFonts w:ascii="Arial" w:hAnsi="Arial" w:cs="Arial"/>
          <w:i/>
        </w:rPr>
        <w:t>ompletion</w:t>
      </w:r>
      <w:proofErr w:type="spellEnd"/>
      <w:r w:rsidR="00765D8D" w:rsidRPr="00576180">
        <w:rPr>
          <w:rFonts w:ascii="Arial" w:hAnsi="Arial" w:cs="Arial"/>
          <w:i/>
        </w:rPr>
        <w:t xml:space="preserve"> </w:t>
      </w:r>
      <w:proofErr w:type="spellStart"/>
      <w:r w:rsidR="007122A3" w:rsidRPr="00576180">
        <w:rPr>
          <w:rFonts w:ascii="Arial" w:hAnsi="Arial" w:cs="Arial"/>
          <w:i/>
        </w:rPr>
        <w:t>R</w:t>
      </w:r>
      <w:r w:rsidR="00765D8D" w:rsidRPr="00576180">
        <w:rPr>
          <w:rFonts w:ascii="Arial" w:hAnsi="Arial" w:cs="Arial"/>
          <w:i/>
        </w:rPr>
        <w:t>eport</w:t>
      </w:r>
      <w:proofErr w:type="spellEnd"/>
      <w:r w:rsidR="00765D8D" w:rsidRPr="00576180">
        <w:rPr>
          <w:rFonts w:ascii="Arial" w:hAnsi="Arial" w:cs="Arial"/>
        </w:rPr>
        <w:t xml:space="preserve"> (PCR)</w:t>
      </w:r>
      <w:r w:rsidR="007122A3" w:rsidRPr="00576180">
        <w:rPr>
          <w:rFonts w:ascii="Arial" w:hAnsi="Arial" w:cs="Arial"/>
        </w:rPr>
        <w:t xml:space="preserve"> de 2018</w:t>
      </w:r>
      <w:r w:rsidRPr="00576180">
        <w:rPr>
          <w:rFonts w:ascii="Arial" w:hAnsi="Arial" w:cs="Arial"/>
        </w:rPr>
        <w:t>.</w:t>
      </w:r>
      <w:r w:rsidR="002D3D5C" w:rsidRPr="00576180">
        <w:rPr>
          <w:rFonts w:ascii="Arial" w:hAnsi="Arial" w:cs="Arial"/>
        </w:rPr>
        <w:t xml:space="preserve"> El Programa </w:t>
      </w:r>
      <w:r w:rsidR="0019146B" w:rsidRPr="00576180">
        <w:rPr>
          <w:rFonts w:ascii="Arial" w:hAnsi="Arial" w:cs="Arial"/>
        </w:rPr>
        <w:t xml:space="preserve">tuvo como objetivo general contribuir </w:t>
      </w:r>
      <w:r w:rsidR="001F25E9" w:rsidRPr="00576180">
        <w:rPr>
          <w:rFonts w:ascii="Arial" w:hAnsi="Arial" w:cs="Arial"/>
        </w:rPr>
        <w:t xml:space="preserve">al aumento de la eficiencia en la gestión pública, mediante la modernización de la gestión financiera en el </w:t>
      </w:r>
      <w:r w:rsidR="00775873" w:rsidRPr="00576180">
        <w:rPr>
          <w:rFonts w:ascii="Arial" w:hAnsi="Arial" w:cs="Arial"/>
        </w:rPr>
        <w:t>s</w:t>
      </w:r>
      <w:r w:rsidR="001F25E9" w:rsidRPr="00576180">
        <w:rPr>
          <w:rFonts w:ascii="Arial" w:hAnsi="Arial" w:cs="Arial"/>
        </w:rPr>
        <w:t xml:space="preserve">ector </w:t>
      </w:r>
      <w:r w:rsidR="00775873" w:rsidRPr="00576180">
        <w:rPr>
          <w:rFonts w:ascii="Arial" w:hAnsi="Arial" w:cs="Arial"/>
        </w:rPr>
        <w:t>p</w:t>
      </w:r>
      <w:r w:rsidR="001F25E9" w:rsidRPr="00576180">
        <w:rPr>
          <w:rFonts w:ascii="Arial" w:hAnsi="Arial" w:cs="Arial"/>
        </w:rPr>
        <w:t>úblico</w:t>
      </w:r>
      <w:r w:rsidR="0019146B" w:rsidRPr="00576180">
        <w:rPr>
          <w:rFonts w:ascii="Arial" w:hAnsi="Arial" w:cs="Arial"/>
        </w:rPr>
        <w:t>. Los objetivos específicos e</w:t>
      </w:r>
      <w:r w:rsidR="009474F8" w:rsidRPr="00576180">
        <w:rPr>
          <w:rFonts w:ascii="Arial" w:hAnsi="Arial" w:cs="Arial"/>
        </w:rPr>
        <w:t>s</w:t>
      </w:r>
      <w:r w:rsidR="0019146B" w:rsidRPr="00576180">
        <w:rPr>
          <w:rFonts w:ascii="Arial" w:hAnsi="Arial" w:cs="Arial"/>
        </w:rPr>
        <w:t>tuvieron orientados a: (i</w:t>
      </w:r>
      <w:r w:rsidR="009474F8" w:rsidRPr="00576180">
        <w:rPr>
          <w:rFonts w:ascii="Arial" w:hAnsi="Arial" w:cs="Arial"/>
        </w:rPr>
        <w:t>)</w:t>
      </w:r>
      <w:r w:rsidR="00BF4D3E" w:rsidRPr="00576180">
        <w:rPr>
          <w:rFonts w:ascii="Arial" w:hAnsi="Arial" w:cs="Arial"/>
        </w:rPr>
        <w:t> </w:t>
      </w:r>
      <w:r w:rsidR="009474F8" w:rsidRPr="00576180">
        <w:rPr>
          <w:rFonts w:ascii="Arial" w:hAnsi="Arial" w:cs="Arial"/>
        </w:rPr>
        <w:t>aumentar</w:t>
      </w:r>
      <w:r w:rsidR="00044D9C" w:rsidRPr="00576180">
        <w:rPr>
          <w:rFonts w:ascii="Arial" w:hAnsi="Arial" w:cs="Arial"/>
        </w:rPr>
        <w:t xml:space="preserve"> la eficiencia de</w:t>
      </w:r>
      <w:r w:rsidR="0019146B" w:rsidRPr="00576180">
        <w:rPr>
          <w:rFonts w:ascii="Arial" w:hAnsi="Arial" w:cs="Arial"/>
        </w:rPr>
        <w:t xml:space="preserve"> los procesos e instrumentos de automatización de la </w:t>
      </w:r>
      <w:r w:rsidR="009474F8" w:rsidRPr="00576180">
        <w:rPr>
          <w:rFonts w:ascii="Arial" w:hAnsi="Arial" w:cs="Arial"/>
        </w:rPr>
        <w:t>preparación</w:t>
      </w:r>
      <w:r w:rsidR="0019146B" w:rsidRPr="00576180">
        <w:rPr>
          <w:rFonts w:ascii="Arial" w:hAnsi="Arial" w:cs="Arial"/>
        </w:rPr>
        <w:t xml:space="preserve"> y ejecución financiera; (</w:t>
      </w:r>
      <w:proofErr w:type="spellStart"/>
      <w:r w:rsidR="0019146B" w:rsidRPr="00576180">
        <w:rPr>
          <w:rFonts w:ascii="Arial" w:hAnsi="Arial" w:cs="Arial"/>
        </w:rPr>
        <w:t>ii</w:t>
      </w:r>
      <w:proofErr w:type="spellEnd"/>
      <w:r w:rsidR="0019146B" w:rsidRPr="00576180">
        <w:rPr>
          <w:rFonts w:ascii="Arial" w:hAnsi="Arial" w:cs="Arial"/>
        </w:rPr>
        <w:t xml:space="preserve">) </w:t>
      </w:r>
      <w:r w:rsidR="00044D9C" w:rsidRPr="00576180">
        <w:rPr>
          <w:rFonts w:ascii="Arial" w:hAnsi="Arial" w:cs="Arial"/>
        </w:rPr>
        <w:t>fortalecer</w:t>
      </w:r>
      <w:r w:rsidR="0019146B" w:rsidRPr="00576180">
        <w:rPr>
          <w:rFonts w:ascii="Arial" w:hAnsi="Arial" w:cs="Arial"/>
        </w:rPr>
        <w:t xml:space="preserve"> la capacidad institucional y organizacional del Ministerio de </w:t>
      </w:r>
      <w:r w:rsidR="009474F8" w:rsidRPr="00576180">
        <w:rPr>
          <w:rFonts w:ascii="Arial" w:hAnsi="Arial" w:cs="Arial"/>
        </w:rPr>
        <w:t>Económica</w:t>
      </w:r>
      <w:r w:rsidR="0019146B" w:rsidRPr="00576180">
        <w:rPr>
          <w:rFonts w:ascii="Arial" w:hAnsi="Arial" w:cs="Arial"/>
        </w:rPr>
        <w:t xml:space="preserve"> y Finanzas</w:t>
      </w:r>
      <w:r w:rsidR="00775873" w:rsidRPr="00576180">
        <w:rPr>
          <w:rFonts w:ascii="Arial" w:hAnsi="Arial" w:cs="Arial"/>
        </w:rPr>
        <w:t xml:space="preserve"> (MEF)</w:t>
      </w:r>
      <w:r w:rsidR="0019146B" w:rsidRPr="00576180">
        <w:rPr>
          <w:rFonts w:ascii="Arial" w:hAnsi="Arial" w:cs="Arial"/>
        </w:rPr>
        <w:t>; y (</w:t>
      </w:r>
      <w:proofErr w:type="spellStart"/>
      <w:r w:rsidR="0019146B" w:rsidRPr="00576180">
        <w:rPr>
          <w:rFonts w:ascii="Arial" w:hAnsi="Arial" w:cs="Arial"/>
        </w:rPr>
        <w:t>iii</w:t>
      </w:r>
      <w:proofErr w:type="spellEnd"/>
      <w:r w:rsidR="009474F8" w:rsidRPr="00576180">
        <w:rPr>
          <w:rFonts w:ascii="Arial" w:hAnsi="Arial" w:cs="Arial"/>
        </w:rPr>
        <w:t>) mejorar</w:t>
      </w:r>
      <w:r w:rsidR="00044D9C" w:rsidRPr="00576180">
        <w:rPr>
          <w:rFonts w:ascii="Arial" w:hAnsi="Arial" w:cs="Arial"/>
        </w:rPr>
        <w:t xml:space="preserve"> el proceso decisorio de asignación de los recursos públicos.</w:t>
      </w:r>
      <w:r w:rsidR="0019146B" w:rsidRPr="00576180">
        <w:rPr>
          <w:rFonts w:ascii="Arial" w:hAnsi="Arial" w:cs="Arial"/>
        </w:rPr>
        <w:t xml:space="preserve"> </w:t>
      </w:r>
      <w:r w:rsidR="00044D9C" w:rsidRPr="00576180">
        <w:rPr>
          <w:rFonts w:ascii="Arial" w:hAnsi="Arial" w:cs="Arial"/>
        </w:rPr>
        <w:t xml:space="preserve">El Programa logró </w:t>
      </w:r>
      <w:r w:rsidR="002D3D5C" w:rsidRPr="00576180">
        <w:rPr>
          <w:rFonts w:ascii="Arial" w:hAnsi="Arial" w:cs="Arial"/>
        </w:rPr>
        <w:t xml:space="preserve">una </w:t>
      </w:r>
      <w:r w:rsidR="0093677F" w:rsidRPr="00576180">
        <w:rPr>
          <w:rFonts w:ascii="Arial" w:hAnsi="Arial" w:cs="Arial"/>
        </w:rPr>
        <w:t xml:space="preserve">clasificación </w:t>
      </w:r>
      <w:r w:rsidR="00BD3027" w:rsidRPr="00576180">
        <w:rPr>
          <w:rFonts w:ascii="Arial" w:hAnsi="Arial" w:cs="Arial"/>
        </w:rPr>
        <w:t>total</w:t>
      </w:r>
      <w:r w:rsidR="0093677F" w:rsidRPr="00576180">
        <w:rPr>
          <w:rFonts w:ascii="Arial" w:hAnsi="Arial" w:cs="Arial"/>
        </w:rPr>
        <w:t xml:space="preserve"> </w:t>
      </w:r>
      <w:r w:rsidR="00C72009" w:rsidRPr="00576180">
        <w:rPr>
          <w:rFonts w:ascii="Arial" w:hAnsi="Arial" w:cs="Arial"/>
        </w:rPr>
        <w:t>parcialmente exitosa</w:t>
      </w:r>
      <w:r w:rsidR="00EB0A8E" w:rsidRPr="00576180">
        <w:rPr>
          <w:rFonts w:ascii="Arial" w:hAnsi="Arial" w:cs="Arial"/>
        </w:rPr>
        <w:t>,</w:t>
      </w:r>
      <w:r w:rsidR="00095BDF" w:rsidRPr="00576180">
        <w:rPr>
          <w:rFonts w:ascii="Arial" w:hAnsi="Arial" w:cs="Arial"/>
        </w:rPr>
        <w:t xml:space="preserve"> conforme </w:t>
      </w:r>
      <w:r w:rsidR="00014F93" w:rsidRPr="00576180">
        <w:rPr>
          <w:rFonts w:ascii="Arial" w:hAnsi="Arial" w:cs="Arial"/>
        </w:rPr>
        <w:t>se detalla</w:t>
      </w:r>
      <w:r w:rsidR="005E2D21" w:rsidRPr="00576180">
        <w:rPr>
          <w:rFonts w:ascii="Arial" w:hAnsi="Arial" w:cs="Arial"/>
        </w:rPr>
        <w:t xml:space="preserve"> a continuación</w:t>
      </w:r>
      <w:r w:rsidR="00095BDF" w:rsidRPr="00576180">
        <w:rPr>
          <w:rFonts w:ascii="Arial" w:hAnsi="Arial" w:cs="Arial"/>
        </w:rPr>
        <w:t xml:space="preserve"> </w:t>
      </w:r>
      <w:r w:rsidR="00FF1E99" w:rsidRPr="00576180">
        <w:rPr>
          <w:rFonts w:ascii="Arial" w:hAnsi="Arial" w:cs="Arial"/>
        </w:rPr>
        <w:t xml:space="preserve">en la Tabla </w:t>
      </w:r>
      <w:r w:rsidR="002D3D5C" w:rsidRPr="00576180">
        <w:rPr>
          <w:rFonts w:ascii="Arial" w:hAnsi="Arial" w:cs="Arial"/>
        </w:rPr>
        <w:t>1</w:t>
      </w:r>
      <w:r w:rsidR="00095BDF" w:rsidRPr="00576180">
        <w:rPr>
          <w:rFonts w:ascii="Arial" w:hAnsi="Arial" w:cs="Arial"/>
        </w:rPr>
        <w:t>.</w:t>
      </w:r>
    </w:p>
    <w:p w14:paraId="78C1BC3F" w14:textId="3B5FBC7D" w:rsidR="00644A5E" w:rsidRPr="00576180" w:rsidRDefault="00644A5E" w:rsidP="00644A5E">
      <w:pPr>
        <w:pStyle w:val="ListParagraph"/>
        <w:tabs>
          <w:tab w:val="left" w:pos="9000"/>
        </w:tabs>
        <w:spacing w:before="120" w:after="120" w:line="240" w:lineRule="auto"/>
        <w:ind w:left="360"/>
        <w:jc w:val="both"/>
        <w:rPr>
          <w:rFonts w:ascii="Arial" w:hAnsi="Arial" w:cs="Arial"/>
        </w:rPr>
      </w:pPr>
    </w:p>
    <w:p w14:paraId="37928FAE" w14:textId="3E72A077" w:rsidR="00644A5E" w:rsidRPr="00576180" w:rsidRDefault="00644A5E" w:rsidP="00644A5E">
      <w:pPr>
        <w:pStyle w:val="ListParagraph"/>
        <w:tabs>
          <w:tab w:val="left" w:pos="9000"/>
        </w:tabs>
        <w:spacing w:before="120" w:after="0" w:line="240" w:lineRule="auto"/>
        <w:ind w:left="360"/>
        <w:jc w:val="center"/>
        <w:rPr>
          <w:rFonts w:ascii="Arial" w:hAnsi="Arial" w:cs="Arial"/>
          <w:sz w:val="20"/>
          <w:szCs w:val="20"/>
        </w:rPr>
      </w:pPr>
      <w:r w:rsidRPr="00576180">
        <w:rPr>
          <w:rFonts w:ascii="Arial" w:hAnsi="Arial" w:cs="Arial"/>
          <w:b/>
          <w:sz w:val="20"/>
          <w:szCs w:val="20"/>
        </w:rPr>
        <w:t>Tabla 1</w:t>
      </w:r>
      <w:r w:rsidR="00AF481A" w:rsidRPr="00576180">
        <w:rPr>
          <w:rFonts w:ascii="Arial" w:hAnsi="Arial" w:cs="Arial"/>
          <w:b/>
          <w:sz w:val="20"/>
          <w:szCs w:val="20"/>
        </w:rPr>
        <w:t xml:space="preserve">. </w:t>
      </w:r>
      <w:r w:rsidRPr="00576180">
        <w:rPr>
          <w:rFonts w:ascii="Arial" w:hAnsi="Arial" w:cs="Arial"/>
          <w:b/>
          <w:sz w:val="20"/>
          <w:szCs w:val="20"/>
        </w:rPr>
        <w:t>Resumen de la clasificación total del Programa</w:t>
      </w:r>
    </w:p>
    <w:tbl>
      <w:tblPr>
        <w:tblStyle w:val="TableGrid"/>
        <w:tblW w:w="5000" w:type="pct"/>
        <w:tblLook w:val="04A0" w:firstRow="1" w:lastRow="0" w:firstColumn="1" w:lastColumn="0" w:noHBand="0" w:noVBand="1"/>
      </w:tblPr>
      <w:tblGrid>
        <w:gridCol w:w="1337"/>
        <w:gridCol w:w="6082"/>
        <w:gridCol w:w="1597"/>
      </w:tblGrid>
      <w:tr w:rsidR="00644A5E" w:rsidRPr="00576180" w14:paraId="4282712A" w14:textId="77777777" w:rsidTr="00BC76FE">
        <w:tc>
          <w:tcPr>
            <w:tcW w:w="741" w:type="pct"/>
            <w:shd w:val="clear" w:color="auto" w:fill="auto"/>
          </w:tcPr>
          <w:p w14:paraId="0C9ECD52" w14:textId="77777777" w:rsidR="00644A5E" w:rsidRPr="00576180" w:rsidRDefault="00644A5E" w:rsidP="00E86FCE">
            <w:pPr>
              <w:jc w:val="center"/>
              <w:rPr>
                <w:rFonts w:ascii="Arial" w:hAnsi="Arial" w:cs="Arial"/>
                <w:b/>
                <w:sz w:val="18"/>
                <w:szCs w:val="18"/>
              </w:rPr>
            </w:pPr>
            <w:r w:rsidRPr="00576180">
              <w:rPr>
                <w:rFonts w:ascii="Arial" w:hAnsi="Arial" w:cs="Arial"/>
                <w:b/>
                <w:sz w:val="18"/>
                <w:szCs w:val="18"/>
              </w:rPr>
              <w:t>Dimensión</w:t>
            </w:r>
          </w:p>
        </w:tc>
        <w:tc>
          <w:tcPr>
            <w:tcW w:w="3462" w:type="pct"/>
            <w:shd w:val="clear" w:color="auto" w:fill="auto"/>
          </w:tcPr>
          <w:p w14:paraId="433784BA" w14:textId="77777777" w:rsidR="00644A5E" w:rsidRPr="00576180" w:rsidRDefault="00644A5E" w:rsidP="00E86FCE">
            <w:pPr>
              <w:jc w:val="center"/>
              <w:rPr>
                <w:rFonts w:ascii="Arial" w:hAnsi="Arial" w:cs="Arial"/>
                <w:b/>
                <w:sz w:val="18"/>
                <w:szCs w:val="18"/>
              </w:rPr>
            </w:pPr>
            <w:r w:rsidRPr="00576180">
              <w:rPr>
                <w:rFonts w:ascii="Arial" w:hAnsi="Arial" w:cs="Arial"/>
                <w:b/>
                <w:sz w:val="18"/>
                <w:szCs w:val="18"/>
              </w:rPr>
              <w:t>Detalles</w:t>
            </w:r>
          </w:p>
        </w:tc>
        <w:tc>
          <w:tcPr>
            <w:tcW w:w="797" w:type="pct"/>
            <w:shd w:val="clear" w:color="auto" w:fill="auto"/>
          </w:tcPr>
          <w:p w14:paraId="43EBA76A" w14:textId="77777777" w:rsidR="00644A5E" w:rsidRPr="00576180" w:rsidRDefault="00644A5E" w:rsidP="00E86FCE">
            <w:pPr>
              <w:jc w:val="center"/>
              <w:rPr>
                <w:rFonts w:ascii="Arial" w:hAnsi="Arial" w:cs="Arial"/>
                <w:b/>
                <w:sz w:val="18"/>
                <w:szCs w:val="18"/>
              </w:rPr>
            </w:pPr>
            <w:r w:rsidRPr="00576180">
              <w:rPr>
                <w:rFonts w:ascii="Arial" w:hAnsi="Arial" w:cs="Arial"/>
                <w:b/>
                <w:sz w:val="18"/>
                <w:szCs w:val="18"/>
              </w:rPr>
              <w:t>Clasificación</w:t>
            </w:r>
          </w:p>
        </w:tc>
      </w:tr>
      <w:tr w:rsidR="00644A5E" w:rsidRPr="00576180" w14:paraId="3762C42C" w14:textId="77777777" w:rsidTr="00BC76FE">
        <w:tc>
          <w:tcPr>
            <w:tcW w:w="741" w:type="pct"/>
            <w:vAlign w:val="center"/>
          </w:tcPr>
          <w:p w14:paraId="213C2210" w14:textId="77777777" w:rsidR="00644A5E" w:rsidRPr="00576180" w:rsidRDefault="00405D3E" w:rsidP="00E86FCE">
            <w:pPr>
              <w:rPr>
                <w:rFonts w:ascii="Arial" w:hAnsi="Arial" w:cs="Arial"/>
                <w:sz w:val="18"/>
                <w:szCs w:val="18"/>
              </w:rPr>
            </w:pPr>
            <w:hyperlink w:anchor="_Relevancia" w:history="1">
              <w:r w:rsidR="00644A5E" w:rsidRPr="00576180">
                <w:rPr>
                  <w:rStyle w:val="Hyperlink"/>
                  <w:rFonts w:ascii="Arial" w:hAnsi="Arial" w:cs="Arial"/>
                  <w:sz w:val="18"/>
                  <w:szCs w:val="18"/>
                </w:rPr>
                <w:t>Relevancia</w:t>
              </w:r>
            </w:hyperlink>
          </w:p>
        </w:tc>
        <w:tc>
          <w:tcPr>
            <w:tcW w:w="3462" w:type="pct"/>
          </w:tcPr>
          <w:p w14:paraId="0DDED2E7" w14:textId="689C5CB0" w:rsidR="00644A5E" w:rsidRPr="005D1554" w:rsidRDefault="005D1554" w:rsidP="00E86FCE">
            <w:pPr>
              <w:jc w:val="both"/>
              <w:rPr>
                <w:rFonts w:ascii="Arial" w:hAnsi="Arial" w:cs="Arial"/>
                <w:bCs/>
                <w:sz w:val="18"/>
                <w:szCs w:val="18"/>
              </w:rPr>
            </w:pPr>
            <w:r w:rsidRPr="0077159D">
              <w:rPr>
                <w:rFonts w:ascii="Arial" w:hAnsi="Arial" w:cs="Arial"/>
                <w:sz w:val="18"/>
                <w:szCs w:val="18"/>
              </w:rPr>
              <w:t>A</w:t>
            </w:r>
            <w:r>
              <w:rPr>
                <w:rFonts w:ascii="Arial" w:hAnsi="Arial" w:cs="Arial"/>
                <w:bCs/>
                <w:sz w:val="18"/>
                <w:szCs w:val="18"/>
              </w:rPr>
              <w:t xml:space="preserve"> pesar de que el proyecto no logró </w:t>
            </w:r>
            <w:r w:rsidR="005C45C8">
              <w:rPr>
                <w:rFonts w:ascii="Arial" w:hAnsi="Arial" w:cs="Arial"/>
                <w:bCs/>
                <w:sz w:val="18"/>
                <w:szCs w:val="18"/>
              </w:rPr>
              <w:t xml:space="preserve">alcanzar </w:t>
            </w:r>
            <w:r>
              <w:rPr>
                <w:rFonts w:ascii="Arial" w:hAnsi="Arial" w:cs="Arial"/>
                <w:bCs/>
                <w:sz w:val="18"/>
                <w:szCs w:val="18"/>
              </w:rPr>
              <w:t>la mayoría de sus resultados, con excepción de</w:t>
            </w:r>
            <w:r w:rsidR="00780366">
              <w:rPr>
                <w:rFonts w:ascii="Arial" w:hAnsi="Arial" w:cs="Arial"/>
                <w:bCs/>
                <w:sz w:val="18"/>
                <w:szCs w:val="18"/>
              </w:rPr>
              <w:t xml:space="preserve"> los</w:t>
            </w:r>
            <w:r>
              <w:rPr>
                <w:rFonts w:ascii="Arial" w:hAnsi="Arial" w:cs="Arial"/>
                <w:bCs/>
                <w:sz w:val="18"/>
                <w:szCs w:val="18"/>
              </w:rPr>
              <w:t xml:space="preserve"> </w:t>
            </w:r>
            <w:r w:rsidR="00DA3033">
              <w:rPr>
                <w:rFonts w:ascii="Arial" w:hAnsi="Arial" w:cs="Arial"/>
                <w:bCs/>
                <w:sz w:val="18"/>
                <w:szCs w:val="18"/>
              </w:rPr>
              <w:t>producto</w:t>
            </w:r>
            <w:r w:rsidR="00780366">
              <w:rPr>
                <w:rFonts w:ascii="Arial" w:hAnsi="Arial" w:cs="Arial"/>
                <w:bCs/>
                <w:sz w:val="18"/>
                <w:szCs w:val="18"/>
              </w:rPr>
              <w:t>s</w:t>
            </w:r>
            <w:r w:rsidR="00DA3033">
              <w:rPr>
                <w:rFonts w:ascii="Arial" w:hAnsi="Arial" w:cs="Arial"/>
                <w:bCs/>
                <w:sz w:val="18"/>
                <w:szCs w:val="18"/>
              </w:rPr>
              <w:t xml:space="preserve"> </w:t>
            </w:r>
            <w:r w:rsidR="00877F81">
              <w:rPr>
                <w:rFonts w:ascii="Arial" w:hAnsi="Arial" w:cs="Arial"/>
                <w:bCs/>
                <w:sz w:val="18"/>
                <w:szCs w:val="18"/>
              </w:rPr>
              <w:t>(P</w:t>
            </w:r>
            <w:r w:rsidR="00DA3033">
              <w:rPr>
                <w:rFonts w:ascii="Arial" w:hAnsi="Arial" w:cs="Arial"/>
                <w:bCs/>
                <w:sz w:val="18"/>
                <w:szCs w:val="18"/>
              </w:rPr>
              <w:t>1.2</w:t>
            </w:r>
            <w:r w:rsidR="00877F81">
              <w:rPr>
                <w:rFonts w:ascii="Arial" w:hAnsi="Arial" w:cs="Arial"/>
                <w:bCs/>
                <w:sz w:val="18"/>
                <w:szCs w:val="18"/>
              </w:rPr>
              <w:t>)</w:t>
            </w:r>
            <w:r w:rsidR="00DA3033">
              <w:rPr>
                <w:rFonts w:ascii="Arial" w:hAnsi="Arial" w:cs="Arial"/>
                <w:bCs/>
                <w:sz w:val="18"/>
                <w:szCs w:val="18"/>
              </w:rPr>
              <w:t xml:space="preserve"> </w:t>
            </w:r>
            <w:r w:rsidR="00DA3033" w:rsidRPr="00DA3033">
              <w:rPr>
                <w:rFonts w:ascii="Arial" w:hAnsi="Arial" w:cs="Arial"/>
                <w:bCs/>
                <w:sz w:val="18"/>
                <w:szCs w:val="18"/>
              </w:rPr>
              <w:t>Macroproceso de ejecución financiera, contabilidad y rendición de cuentas</w:t>
            </w:r>
            <w:r w:rsidR="00FD46EB">
              <w:rPr>
                <w:rFonts w:ascii="Arial" w:hAnsi="Arial" w:cs="Arial"/>
                <w:bCs/>
                <w:sz w:val="18"/>
                <w:szCs w:val="18"/>
              </w:rPr>
              <w:t xml:space="preserve"> y del </w:t>
            </w:r>
            <w:r w:rsidR="00877F81">
              <w:rPr>
                <w:rFonts w:ascii="Arial" w:hAnsi="Arial" w:cs="Arial"/>
                <w:bCs/>
                <w:sz w:val="18"/>
                <w:szCs w:val="18"/>
              </w:rPr>
              <w:t>(P</w:t>
            </w:r>
            <w:r w:rsidR="00FD46EB" w:rsidRPr="00FD46EB">
              <w:rPr>
                <w:rFonts w:ascii="Arial" w:hAnsi="Arial" w:cs="Arial"/>
                <w:bCs/>
                <w:sz w:val="18"/>
                <w:szCs w:val="18"/>
              </w:rPr>
              <w:t>2.3</w:t>
            </w:r>
            <w:r w:rsidR="00877F81">
              <w:rPr>
                <w:rFonts w:ascii="Arial" w:hAnsi="Arial" w:cs="Arial"/>
                <w:bCs/>
                <w:sz w:val="18"/>
                <w:szCs w:val="18"/>
              </w:rPr>
              <w:t>)</w:t>
            </w:r>
            <w:r w:rsidR="00FD46EB" w:rsidRPr="00FD46EB">
              <w:rPr>
                <w:rFonts w:ascii="Arial" w:hAnsi="Arial" w:cs="Arial"/>
                <w:bCs/>
                <w:sz w:val="18"/>
                <w:szCs w:val="18"/>
              </w:rPr>
              <w:t xml:space="preserve"> Sistema SIGA-MEF con despliegue en versión web</w:t>
            </w:r>
            <w:r>
              <w:rPr>
                <w:rFonts w:ascii="Arial" w:hAnsi="Arial" w:cs="Arial"/>
                <w:bCs/>
                <w:sz w:val="18"/>
                <w:szCs w:val="18"/>
              </w:rPr>
              <w:t xml:space="preserve">, </w:t>
            </w:r>
            <w:r w:rsidR="00FD46EB">
              <w:rPr>
                <w:rFonts w:ascii="Arial" w:hAnsi="Arial" w:cs="Arial"/>
                <w:bCs/>
                <w:sz w:val="18"/>
                <w:szCs w:val="18"/>
              </w:rPr>
              <w:t xml:space="preserve">9 </w:t>
            </w:r>
            <w:r w:rsidR="00A824AE">
              <w:rPr>
                <w:rFonts w:ascii="Arial" w:hAnsi="Arial" w:cs="Arial"/>
                <w:bCs/>
                <w:sz w:val="18"/>
                <w:szCs w:val="18"/>
              </w:rPr>
              <w:t>alcanzaron sus me</w:t>
            </w:r>
            <w:r w:rsidR="00437FB0">
              <w:rPr>
                <w:rFonts w:ascii="Arial" w:hAnsi="Arial" w:cs="Arial"/>
                <w:bCs/>
                <w:sz w:val="18"/>
                <w:szCs w:val="18"/>
              </w:rPr>
              <w:t>t</w:t>
            </w:r>
            <w:r w:rsidR="00A824AE">
              <w:rPr>
                <w:rFonts w:ascii="Arial" w:hAnsi="Arial" w:cs="Arial"/>
                <w:bCs/>
                <w:sz w:val="18"/>
                <w:szCs w:val="18"/>
              </w:rPr>
              <w:t>as totalmente y</w:t>
            </w:r>
            <w:r w:rsidR="00DD3EB0">
              <w:rPr>
                <w:rFonts w:ascii="Arial" w:hAnsi="Arial" w:cs="Arial"/>
                <w:bCs/>
                <w:sz w:val="18"/>
                <w:szCs w:val="18"/>
              </w:rPr>
              <w:t xml:space="preserve"> 4</w:t>
            </w:r>
            <w:r w:rsidR="003D267E">
              <w:rPr>
                <w:rFonts w:ascii="Arial" w:hAnsi="Arial" w:cs="Arial"/>
                <w:bCs/>
                <w:sz w:val="18"/>
                <w:szCs w:val="18"/>
              </w:rPr>
              <w:t xml:space="preserve"> </w:t>
            </w:r>
            <w:r w:rsidR="00A824AE">
              <w:rPr>
                <w:rFonts w:ascii="Arial" w:hAnsi="Arial" w:cs="Arial"/>
                <w:bCs/>
                <w:sz w:val="18"/>
                <w:szCs w:val="18"/>
              </w:rPr>
              <w:t>parcialmente</w:t>
            </w:r>
            <w:r>
              <w:rPr>
                <w:rFonts w:ascii="Arial" w:hAnsi="Arial" w:cs="Arial"/>
                <w:bCs/>
                <w:sz w:val="18"/>
                <w:szCs w:val="18"/>
              </w:rPr>
              <w:t xml:space="preserve">. Por lo tanto, el proyecto a su término </w:t>
            </w:r>
            <w:r w:rsidR="00DA3033">
              <w:rPr>
                <w:rFonts w:ascii="Arial" w:hAnsi="Arial" w:cs="Arial"/>
                <w:bCs/>
                <w:sz w:val="18"/>
                <w:szCs w:val="18"/>
              </w:rPr>
              <w:t>contribuyó con las metas de</w:t>
            </w:r>
            <w:r>
              <w:rPr>
                <w:rFonts w:ascii="Arial" w:hAnsi="Arial" w:cs="Arial"/>
                <w:bCs/>
                <w:sz w:val="18"/>
                <w:szCs w:val="18"/>
              </w:rPr>
              <w:t xml:space="preserve"> las políticas del Banco y del país, conform</w:t>
            </w:r>
            <w:r w:rsidR="00EB509A">
              <w:rPr>
                <w:rFonts w:ascii="Arial" w:hAnsi="Arial" w:cs="Arial"/>
                <w:bCs/>
                <w:sz w:val="18"/>
                <w:szCs w:val="18"/>
              </w:rPr>
              <w:t>e</w:t>
            </w:r>
            <w:r>
              <w:rPr>
                <w:rFonts w:ascii="Arial" w:hAnsi="Arial" w:cs="Arial"/>
                <w:bCs/>
                <w:sz w:val="18"/>
                <w:szCs w:val="18"/>
              </w:rPr>
              <w:t xml:space="preserve"> detallado en la sección respectiva. </w:t>
            </w:r>
          </w:p>
          <w:p w14:paraId="384DB2B2" w14:textId="519CAC85" w:rsidR="00644A5E" w:rsidRPr="00576180" w:rsidRDefault="005D1554" w:rsidP="00E86FCE">
            <w:pPr>
              <w:jc w:val="both"/>
              <w:rPr>
                <w:rFonts w:ascii="Arial" w:hAnsi="Arial" w:cs="Arial"/>
                <w:sz w:val="18"/>
                <w:szCs w:val="18"/>
              </w:rPr>
            </w:pPr>
            <w:r>
              <w:rPr>
                <w:rFonts w:ascii="Arial" w:hAnsi="Arial" w:cs="Arial"/>
                <w:sz w:val="18"/>
                <w:szCs w:val="18"/>
              </w:rPr>
              <w:t xml:space="preserve">En cuanto a la lógica vertical, </w:t>
            </w:r>
            <w:r w:rsidR="005B4666">
              <w:rPr>
                <w:rFonts w:ascii="Arial" w:hAnsi="Arial" w:cs="Arial"/>
                <w:sz w:val="18"/>
                <w:szCs w:val="18"/>
              </w:rPr>
              <w:t>d</w:t>
            </w:r>
            <w:r w:rsidR="00085A23" w:rsidRPr="00085A23">
              <w:rPr>
                <w:rFonts w:ascii="Arial" w:hAnsi="Arial" w:cs="Arial"/>
                <w:sz w:val="18"/>
                <w:szCs w:val="18"/>
              </w:rPr>
              <w:t xml:space="preserve">e manera general, </w:t>
            </w:r>
            <w:bookmarkStart w:id="47" w:name="_Hlk20914449"/>
            <w:r w:rsidR="00085A23" w:rsidRPr="00085A23">
              <w:rPr>
                <w:rFonts w:ascii="Arial" w:hAnsi="Arial" w:cs="Arial"/>
                <w:sz w:val="18"/>
                <w:szCs w:val="18"/>
              </w:rPr>
              <w:t xml:space="preserve">de los 15 productos financiados, solamente </w:t>
            </w:r>
            <w:r w:rsidR="00FD46EB">
              <w:rPr>
                <w:rFonts w:ascii="Arial" w:hAnsi="Arial" w:cs="Arial"/>
                <w:sz w:val="18"/>
                <w:szCs w:val="18"/>
              </w:rPr>
              <w:t>los</w:t>
            </w:r>
            <w:r w:rsidR="00FD46EB" w:rsidRPr="00085A23">
              <w:rPr>
                <w:rFonts w:ascii="Arial" w:hAnsi="Arial" w:cs="Arial"/>
                <w:sz w:val="18"/>
                <w:szCs w:val="18"/>
              </w:rPr>
              <w:t xml:space="preserve"> </w:t>
            </w:r>
            <w:r w:rsidR="00085A23" w:rsidRPr="00085A23">
              <w:rPr>
                <w:rFonts w:ascii="Arial" w:hAnsi="Arial" w:cs="Arial"/>
                <w:sz w:val="18"/>
                <w:szCs w:val="18"/>
              </w:rPr>
              <w:t>producto</w:t>
            </w:r>
            <w:r w:rsidR="00FD46EB">
              <w:rPr>
                <w:rFonts w:ascii="Arial" w:hAnsi="Arial" w:cs="Arial"/>
                <w:sz w:val="18"/>
                <w:szCs w:val="18"/>
              </w:rPr>
              <w:t>s</w:t>
            </w:r>
            <w:r w:rsidR="00085A23" w:rsidRPr="00085A23">
              <w:rPr>
                <w:rFonts w:ascii="Arial" w:hAnsi="Arial" w:cs="Arial"/>
                <w:sz w:val="18"/>
                <w:szCs w:val="18"/>
              </w:rPr>
              <w:t xml:space="preserve"> referente a la Informatización del macroproceso de ejecución financiera, contabilidad y rendición de cuentas (</w:t>
            </w:r>
            <w:r w:rsidR="00877F81">
              <w:rPr>
                <w:rFonts w:ascii="Arial" w:hAnsi="Arial" w:cs="Arial"/>
                <w:sz w:val="18"/>
                <w:szCs w:val="18"/>
              </w:rPr>
              <w:t>P</w:t>
            </w:r>
            <w:r w:rsidR="00085A23" w:rsidRPr="00085A23">
              <w:rPr>
                <w:rFonts w:ascii="Arial" w:hAnsi="Arial" w:cs="Arial"/>
                <w:sz w:val="18"/>
                <w:szCs w:val="18"/>
              </w:rPr>
              <w:t>1.2)</w:t>
            </w:r>
            <w:r w:rsidR="00FD46EB">
              <w:rPr>
                <w:rFonts w:ascii="Arial" w:hAnsi="Arial" w:cs="Arial"/>
                <w:sz w:val="18"/>
                <w:szCs w:val="18"/>
              </w:rPr>
              <w:t xml:space="preserve"> </w:t>
            </w:r>
            <w:proofErr w:type="gramStart"/>
            <w:r w:rsidR="00FD46EB">
              <w:rPr>
                <w:rFonts w:ascii="Arial" w:hAnsi="Arial" w:cs="Arial"/>
                <w:sz w:val="18"/>
                <w:szCs w:val="18"/>
              </w:rPr>
              <w:t xml:space="preserve">y </w:t>
            </w:r>
            <w:r w:rsidR="00085A23" w:rsidRPr="00085A23">
              <w:rPr>
                <w:rFonts w:ascii="Arial" w:hAnsi="Arial" w:cs="Arial"/>
                <w:sz w:val="18"/>
                <w:szCs w:val="18"/>
              </w:rPr>
              <w:t xml:space="preserve"> </w:t>
            </w:r>
            <w:r w:rsidR="00FD46EB">
              <w:rPr>
                <w:rFonts w:ascii="Arial" w:hAnsi="Arial" w:cs="Arial"/>
                <w:sz w:val="18"/>
                <w:szCs w:val="18"/>
              </w:rPr>
              <w:t>el</w:t>
            </w:r>
            <w:proofErr w:type="gramEnd"/>
            <w:r w:rsidR="00FD46EB">
              <w:rPr>
                <w:rFonts w:ascii="Arial" w:hAnsi="Arial" w:cs="Arial"/>
                <w:sz w:val="18"/>
                <w:szCs w:val="18"/>
              </w:rPr>
              <w:t xml:space="preserve"> </w:t>
            </w:r>
            <w:r w:rsidR="00FD46EB" w:rsidRPr="00FD46EB">
              <w:rPr>
                <w:rFonts w:ascii="Arial" w:hAnsi="Arial" w:cs="Arial"/>
                <w:sz w:val="18"/>
                <w:szCs w:val="18"/>
              </w:rPr>
              <w:t xml:space="preserve">Sistema SIGA-MEF con despliegue en versión web </w:t>
            </w:r>
            <w:r w:rsidR="00FD46EB">
              <w:rPr>
                <w:rFonts w:ascii="Arial" w:hAnsi="Arial" w:cs="Arial"/>
                <w:sz w:val="18"/>
                <w:szCs w:val="18"/>
              </w:rPr>
              <w:t>(</w:t>
            </w:r>
            <w:r w:rsidR="00877F81">
              <w:rPr>
                <w:rFonts w:ascii="Arial" w:hAnsi="Arial" w:cs="Arial"/>
                <w:sz w:val="18"/>
                <w:szCs w:val="18"/>
              </w:rPr>
              <w:t>P</w:t>
            </w:r>
            <w:r w:rsidR="00FD46EB">
              <w:rPr>
                <w:rFonts w:ascii="Arial" w:hAnsi="Arial" w:cs="Arial"/>
                <w:sz w:val="18"/>
                <w:szCs w:val="18"/>
              </w:rPr>
              <w:t xml:space="preserve">2.3) no </w:t>
            </w:r>
            <w:r w:rsidR="00085A23" w:rsidRPr="00085A23">
              <w:rPr>
                <w:rFonts w:ascii="Arial" w:hAnsi="Arial" w:cs="Arial"/>
                <w:sz w:val="18"/>
                <w:szCs w:val="18"/>
              </w:rPr>
              <w:t xml:space="preserve">se </w:t>
            </w:r>
            <w:r w:rsidR="00FD46EB" w:rsidRPr="00085A23">
              <w:rPr>
                <w:rFonts w:ascii="Arial" w:hAnsi="Arial" w:cs="Arial"/>
                <w:sz w:val="18"/>
                <w:szCs w:val="18"/>
              </w:rPr>
              <w:t>implement</w:t>
            </w:r>
            <w:r w:rsidR="00FD46EB">
              <w:rPr>
                <w:rFonts w:ascii="Arial" w:hAnsi="Arial" w:cs="Arial"/>
                <w:sz w:val="18"/>
                <w:szCs w:val="18"/>
              </w:rPr>
              <w:t>aron</w:t>
            </w:r>
            <w:r w:rsidR="00EB509A">
              <w:rPr>
                <w:rFonts w:ascii="Arial" w:hAnsi="Arial" w:cs="Arial"/>
                <w:sz w:val="18"/>
                <w:szCs w:val="18"/>
              </w:rPr>
              <w:t>. S</w:t>
            </w:r>
            <w:r w:rsidR="00085A23" w:rsidRPr="00085A23">
              <w:rPr>
                <w:rFonts w:ascii="Arial" w:hAnsi="Arial" w:cs="Arial"/>
                <w:sz w:val="18"/>
                <w:szCs w:val="18"/>
              </w:rPr>
              <w:t xml:space="preserve">in embargo, </w:t>
            </w:r>
            <w:r w:rsidR="00FD46EB">
              <w:rPr>
                <w:rFonts w:ascii="Arial" w:hAnsi="Arial" w:cs="Arial"/>
                <w:sz w:val="18"/>
                <w:szCs w:val="18"/>
              </w:rPr>
              <w:t xml:space="preserve">la no implementación del producto </w:t>
            </w:r>
            <w:r w:rsidR="005B05B2">
              <w:rPr>
                <w:rFonts w:ascii="Arial" w:hAnsi="Arial" w:cs="Arial"/>
                <w:sz w:val="18"/>
                <w:szCs w:val="18"/>
              </w:rPr>
              <w:t>(P</w:t>
            </w:r>
            <w:r w:rsidR="00FD46EB">
              <w:rPr>
                <w:rFonts w:ascii="Arial" w:hAnsi="Arial" w:cs="Arial"/>
                <w:sz w:val="18"/>
                <w:szCs w:val="18"/>
              </w:rPr>
              <w:t>1.2</w:t>
            </w:r>
            <w:r w:rsidR="005B05B2">
              <w:rPr>
                <w:rFonts w:ascii="Arial" w:hAnsi="Arial" w:cs="Arial"/>
                <w:sz w:val="18"/>
                <w:szCs w:val="18"/>
              </w:rPr>
              <w:t>)</w:t>
            </w:r>
            <w:r w:rsidR="00085A23" w:rsidRPr="00085A23">
              <w:rPr>
                <w:rFonts w:ascii="Arial" w:hAnsi="Arial" w:cs="Arial"/>
                <w:sz w:val="18"/>
                <w:szCs w:val="18"/>
              </w:rPr>
              <w:t xml:space="preserve"> afectó a la obtención de 2 de los 3 objetivos específicos del proyecto (</w:t>
            </w:r>
            <w:r w:rsidR="005B05B2">
              <w:rPr>
                <w:rFonts w:ascii="Arial" w:hAnsi="Arial" w:cs="Arial"/>
                <w:sz w:val="18"/>
                <w:szCs w:val="18"/>
              </w:rPr>
              <w:t>OBE</w:t>
            </w:r>
            <w:r w:rsidR="00085A23" w:rsidRPr="00085A23">
              <w:rPr>
                <w:rFonts w:ascii="Arial" w:hAnsi="Arial" w:cs="Arial"/>
                <w:sz w:val="18"/>
                <w:szCs w:val="18"/>
              </w:rPr>
              <w:t xml:space="preserve">1 y </w:t>
            </w:r>
            <w:r w:rsidR="005B05B2">
              <w:rPr>
                <w:rFonts w:ascii="Arial" w:hAnsi="Arial" w:cs="Arial"/>
                <w:sz w:val="18"/>
                <w:szCs w:val="18"/>
              </w:rPr>
              <w:t>OBE</w:t>
            </w:r>
            <w:r w:rsidR="00085A23" w:rsidRPr="00085A23">
              <w:rPr>
                <w:rFonts w:ascii="Arial" w:hAnsi="Arial" w:cs="Arial"/>
                <w:sz w:val="18"/>
                <w:szCs w:val="18"/>
              </w:rPr>
              <w:t xml:space="preserve">2), los cuales estaban asociados a los indicadores de resultados </w:t>
            </w:r>
            <w:r w:rsidR="00877F81">
              <w:rPr>
                <w:rFonts w:ascii="Arial" w:hAnsi="Arial" w:cs="Arial"/>
                <w:sz w:val="18"/>
                <w:szCs w:val="18"/>
              </w:rPr>
              <w:t>(</w:t>
            </w:r>
            <w:r w:rsidR="00085A23" w:rsidRPr="00085A23">
              <w:rPr>
                <w:rFonts w:ascii="Arial" w:hAnsi="Arial" w:cs="Arial"/>
                <w:sz w:val="18"/>
                <w:szCs w:val="18"/>
              </w:rPr>
              <w:t>R2.1</w:t>
            </w:r>
            <w:r w:rsidR="00877F81">
              <w:rPr>
                <w:rFonts w:ascii="Arial" w:hAnsi="Arial" w:cs="Arial"/>
                <w:sz w:val="18"/>
                <w:szCs w:val="18"/>
              </w:rPr>
              <w:t>)</w:t>
            </w:r>
            <w:r w:rsidR="00085A23" w:rsidRPr="00085A23">
              <w:rPr>
                <w:rFonts w:ascii="Arial" w:hAnsi="Arial" w:cs="Arial"/>
                <w:sz w:val="18"/>
                <w:szCs w:val="18"/>
              </w:rPr>
              <w:t xml:space="preserve">, </w:t>
            </w:r>
            <w:r w:rsidR="00877F81">
              <w:rPr>
                <w:rFonts w:ascii="Arial" w:hAnsi="Arial" w:cs="Arial"/>
                <w:sz w:val="18"/>
                <w:szCs w:val="18"/>
              </w:rPr>
              <w:t>(</w:t>
            </w:r>
            <w:r w:rsidR="00085A23" w:rsidRPr="00085A23">
              <w:rPr>
                <w:rFonts w:ascii="Arial" w:hAnsi="Arial" w:cs="Arial"/>
                <w:sz w:val="18"/>
                <w:szCs w:val="18"/>
              </w:rPr>
              <w:t>R2.2</w:t>
            </w:r>
            <w:r w:rsidR="00877F81">
              <w:rPr>
                <w:rFonts w:ascii="Arial" w:hAnsi="Arial" w:cs="Arial"/>
                <w:sz w:val="18"/>
                <w:szCs w:val="18"/>
              </w:rPr>
              <w:t>)</w:t>
            </w:r>
            <w:r w:rsidR="00085A23" w:rsidRPr="00085A23">
              <w:rPr>
                <w:rFonts w:ascii="Arial" w:hAnsi="Arial" w:cs="Arial"/>
                <w:sz w:val="18"/>
                <w:szCs w:val="18"/>
              </w:rPr>
              <w:t xml:space="preserve">, </w:t>
            </w:r>
            <w:r w:rsidR="00877F81">
              <w:rPr>
                <w:rFonts w:ascii="Arial" w:hAnsi="Arial" w:cs="Arial"/>
                <w:sz w:val="18"/>
                <w:szCs w:val="18"/>
              </w:rPr>
              <w:t>(</w:t>
            </w:r>
            <w:r w:rsidR="00085A23" w:rsidRPr="00085A23">
              <w:rPr>
                <w:rFonts w:ascii="Arial" w:hAnsi="Arial" w:cs="Arial"/>
                <w:sz w:val="18"/>
                <w:szCs w:val="18"/>
              </w:rPr>
              <w:t>R2.3</w:t>
            </w:r>
            <w:r w:rsidR="00877F81">
              <w:rPr>
                <w:rFonts w:ascii="Arial" w:hAnsi="Arial" w:cs="Arial"/>
                <w:sz w:val="18"/>
                <w:szCs w:val="18"/>
              </w:rPr>
              <w:t>)</w:t>
            </w:r>
            <w:r w:rsidR="00085A23" w:rsidRPr="00085A23">
              <w:rPr>
                <w:rFonts w:ascii="Arial" w:hAnsi="Arial" w:cs="Arial"/>
                <w:sz w:val="18"/>
                <w:szCs w:val="18"/>
              </w:rPr>
              <w:t xml:space="preserve">, </w:t>
            </w:r>
            <w:r w:rsidR="00877F81">
              <w:rPr>
                <w:rFonts w:ascii="Arial" w:hAnsi="Arial" w:cs="Arial"/>
                <w:sz w:val="18"/>
                <w:szCs w:val="18"/>
              </w:rPr>
              <w:t>(</w:t>
            </w:r>
            <w:r w:rsidR="00085A23" w:rsidRPr="00085A23">
              <w:rPr>
                <w:rFonts w:ascii="Arial" w:hAnsi="Arial" w:cs="Arial"/>
                <w:sz w:val="18"/>
                <w:szCs w:val="18"/>
              </w:rPr>
              <w:t>R2.4</w:t>
            </w:r>
            <w:r w:rsidR="00877F81">
              <w:rPr>
                <w:rFonts w:ascii="Arial" w:hAnsi="Arial" w:cs="Arial"/>
                <w:sz w:val="18"/>
                <w:szCs w:val="18"/>
              </w:rPr>
              <w:t>)</w:t>
            </w:r>
            <w:r w:rsidR="00085A23" w:rsidRPr="00085A23">
              <w:rPr>
                <w:rFonts w:ascii="Arial" w:hAnsi="Arial" w:cs="Arial"/>
                <w:sz w:val="18"/>
                <w:szCs w:val="18"/>
              </w:rPr>
              <w:t xml:space="preserve">, </w:t>
            </w:r>
            <w:r w:rsidR="00877F81">
              <w:rPr>
                <w:rFonts w:ascii="Arial" w:hAnsi="Arial" w:cs="Arial"/>
                <w:sz w:val="18"/>
                <w:szCs w:val="18"/>
              </w:rPr>
              <w:t>(</w:t>
            </w:r>
            <w:r w:rsidR="00085A23" w:rsidRPr="00085A23">
              <w:rPr>
                <w:rFonts w:ascii="Arial" w:hAnsi="Arial" w:cs="Arial"/>
                <w:sz w:val="18"/>
                <w:szCs w:val="18"/>
              </w:rPr>
              <w:t>R2.7</w:t>
            </w:r>
            <w:r w:rsidR="00877F81">
              <w:rPr>
                <w:rFonts w:ascii="Arial" w:hAnsi="Arial" w:cs="Arial"/>
                <w:sz w:val="18"/>
                <w:szCs w:val="18"/>
              </w:rPr>
              <w:t>)</w:t>
            </w:r>
            <w:r w:rsidR="00085A23" w:rsidRPr="00085A23">
              <w:rPr>
                <w:rFonts w:ascii="Arial" w:hAnsi="Arial" w:cs="Arial"/>
                <w:sz w:val="18"/>
                <w:szCs w:val="18"/>
              </w:rPr>
              <w:t xml:space="preserve">. </w:t>
            </w:r>
            <w:r w:rsidR="00877F81">
              <w:rPr>
                <w:rFonts w:ascii="Arial" w:hAnsi="Arial" w:cs="Arial"/>
                <w:sz w:val="18"/>
                <w:szCs w:val="18"/>
              </w:rPr>
              <w:t>(</w:t>
            </w:r>
            <w:r w:rsidR="00085A23" w:rsidRPr="00085A23">
              <w:rPr>
                <w:rFonts w:ascii="Arial" w:hAnsi="Arial" w:cs="Arial"/>
                <w:sz w:val="18"/>
                <w:szCs w:val="18"/>
              </w:rPr>
              <w:t>R2.8</w:t>
            </w:r>
            <w:r w:rsidR="00877F81">
              <w:rPr>
                <w:rFonts w:ascii="Arial" w:hAnsi="Arial" w:cs="Arial"/>
                <w:sz w:val="18"/>
                <w:szCs w:val="18"/>
              </w:rPr>
              <w:t>)</w:t>
            </w:r>
            <w:r w:rsidR="00085A23" w:rsidRPr="00085A23">
              <w:rPr>
                <w:rFonts w:ascii="Arial" w:hAnsi="Arial" w:cs="Arial"/>
                <w:sz w:val="18"/>
                <w:szCs w:val="18"/>
              </w:rPr>
              <w:t xml:space="preserve">, que no se cumplieron. Los 6 resultados no alcanzados estaban mayormente asociados a la implementación de la contabilidad en línea, la cual formaba parte de las funcionalidades del nuevo sistema. Por otro lado, el objetivo específico 3 </w:t>
            </w:r>
            <w:r w:rsidR="005B05B2">
              <w:rPr>
                <w:rFonts w:ascii="Arial" w:hAnsi="Arial" w:cs="Arial"/>
                <w:sz w:val="18"/>
                <w:szCs w:val="18"/>
              </w:rPr>
              <w:t xml:space="preserve">(OBE3) </w:t>
            </w:r>
            <w:r w:rsidR="00085A23" w:rsidRPr="00085A23">
              <w:rPr>
                <w:rFonts w:ascii="Arial" w:hAnsi="Arial" w:cs="Arial"/>
                <w:sz w:val="18"/>
                <w:szCs w:val="18"/>
              </w:rPr>
              <w:t xml:space="preserve">se cumplió totalmente, debido a que su resultado no dependía de la implementación del producto </w:t>
            </w:r>
            <w:r w:rsidR="00877F81">
              <w:rPr>
                <w:rFonts w:ascii="Arial" w:hAnsi="Arial" w:cs="Arial"/>
                <w:sz w:val="18"/>
                <w:szCs w:val="18"/>
              </w:rPr>
              <w:t>(P</w:t>
            </w:r>
            <w:r w:rsidR="00085A23" w:rsidRPr="00085A23">
              <w:rPr>
                <w:rFonts w:ascii="Arial" w:hAnsi="Arial" w:cs="Arial"/>
                <w:sz w:val="18"/>
                <w:szCs w:val="18"/>
              </w:rPr>
              <w:t>1.2</w:t>
            </w:r>
            <w:r w:rsidR="00877F81">
              <w:rPr>
                <w:rFonts w:ascii="Arial" w:hAnsi="Arial" w:cs="Arial"/>
                <w:sz w:val="18"/>
                <w:szCs w:val="18"/>
              </w:rPr>
              <w:t>).</w:t>
            </w:r>
            <w:bookmarkEnd w:id="47"/>
            <w:r w:rsidR="00085A23" w:rsidRPr="00085A23">
              <w:rPr>
                <w:rFonts w:ascii="Arial" w:hAnsi="Arial" w:cs="Arial"/>
                <w:sz w:val="18"/>
                <w:szCs w:val="18"/>
              </w:rPr>
              <w:t xml:space="preserve"> En vista de esta ocurrencia, el equipo del PCR considera que la lógica vertical al término de la operación se vio substancialmente perjudicada y se clasifica como parcialmente insatisfactoria</w:t>
            </w:r>
            <w:r w:rsidR="00877F81">
              <w:rPr>
                <w:rFonts w:ascii="Arial" w:hAnsi="Arial" w:cs="Arial"/>
                <w:sz w:val="18"/>
                <w:szCs w:val="18"/>
              </w:rPr>
              <w:t>.</w:t>
            </w:r>
          </w:p>
        </w:tc>
        <w:tc>
          <w:tcPr>
            <w:tcW w:w="797" w:type="pct"/>
            <w:vAlign w:val="center"/>
          </w:tcPr>
          <w:p w14:paraId="17CD3B25" w14:textId="6CF783A7" w:rsidR="00644A5E" w:rsidRPr="00576180" w:rsidRDefault="0068297B" w:rsidP="007F6ED7">
            <w:pPr>
              <w:jc w:val="center"/>
              <w:rPr>
                <w:rFonts w:ascii="Arial" w:hAnsi="Arial" w:cs="Arial"/>
                <w:b/>
                <w:sz w:val="18"/>
                <w:szCs w:val="18"/>
              </w:rPr>
            </w:pPr>
            <w:r>
              <w:rPr>
                <w:rFonts w:ascii="Arial" w:hAnsi="Arial" w:cs="Arial"/>
                <w:b/>
                <w:sz w:val="18"/>
                <w:szCs w:val="18"/>
              </w:rPr>
              <w:t>Parcialmente Ins</w:t>
            </w:r>
            <w:r w:rsidR="00644A5E" w:rsidRPr="00576180">
              <w:rPr>
                <w:rFonts w:ascii="Arial" w:hAnsi="Arial" w:cs="Arial"/>
                <w:b/>
                <w:sz w:val="18"/>
                <w:szCs w:val="18"/>
              </w:rPr>
              <w:t>atisfactoria</w:t>
            </w:r>
          </w:p>
        </w:tc>
      </w:tr>
      <w:tr w:rsidR="00644A5E" w:rsidRPr="00576180" w14:paraId="46EBD2D6" w14:textId="77777777" w:rsidTr="00BC76FE">
        <w:tc>
          <w:tcPr>
            <w:tcW w:w="741" w:type="pct"/>
            <w:vMerge w:val="restart"/>
            <w:vAlign w:val="center"/>
          </w:tcPr>
          <w:p w14:paraId="630C9BA2" w14:textId="10D5F191" w:rsidR="00644A5E" w:rsidRPr="00576180" w:rsidRDefault="00405D3E" w:rsidP="00E86FCE">
            <w:pPr>
              <w:rPr>
                <w:rFonts w:ascii="Arial" w:hAnsi="Arial" w:cs="Arial"/>
                <w:sz w:val="18"/>
                <w:szCs w:val="18"/>
                <w:highlight w:val="yellow"/>
              </w:rPr>
            </w:pPr>
            <w:hyperlink w:anchor="_Efectividad" w:history="1">
              <w:r w:rsidR="00644A5E" w:rsidRPr="00576180">
                <w:rPr>
                  <w:rStyle w:val="Hyperlink"/>
                  <w:rFonts w:ascii="Arial" w:hAnsi="Arial" w:cs="Arial"/>
                  <w:sz w:val="18"/>
                  <w:szCs w:val="18"/>
                </w:rPr>
                <w:t>Ef</w:t>
              </w:r>
              <w:r w:rsidR="00EB509A">
                <w:rPr>
                  <w:rStyle w:val="Hyperlink"/>
                  <w:rFonts w:ascii="Arial" w:hAnsi="Arial" w:cs="Arial"/>
                  <w:sz w:val="18"/>
                  <w:szCs w:val="18"/>
                </w:rPr>
                <w:t>e</w:t>
              </w:r>
              <w:r w:rsidR="00644A5E" w:rsidRPr="00576180">
                <w:rPr>
                  <w:rStyle w:val="Hyperlink"/>
                  <w:rFonts w:ascii="Arial" w:hAnsi="Arial" w:cs="Arial"/>
                  <w:sz w:val="18"/>
                  <w:szCs w:val="18"/>
                </w:rPr>
                <w:t>c</w:t>
              </w:r>
              <w:r w:rsidR="00EB509A">
                <w:rPr>
                  <w:rStyle w:val="Hyperlink"/>
                  <w:rFonts w:ascii="Arial" w:hAnsi="Arial" w:cs="Arial"/>
                  <w:sz w:val="18"/>
                  <w:szCs w:val="18"/>
                </w:rPr>
                <w:t>tividad</w:t>
              </w:r>
            </w:hyperlink>
          </w:p>
        </w:tc>
        <w:tc>
          <w:tcPr>
            <w:tcW w:w="3462" w:type="pct"/>
          </w:tcPr>
          <w:p w14:paraId="75BB72E9" w14:textId="77777777" w:rsidR="00644A5E" w:rsidRPr="00576180" w:rsidRDefault="00644A5E" w:rsidP="00E86FCE">
            <w:pPr>
              <w:jc w:val="both"/>
              <w:rPr>
                <w:rFonts w:ascii="Arial" w:hAnsi="Arial" w:cs="Arial"/>
                <w:b/>
                <w:sz w:val="18"/>
                <w:szCs w:val="18"/>
              </w:rPr>
            </w:pPr>
            <w:r w:rsidRPr="00576180">
              <w:rPr>
                <w:rFonts w:ascii="Arial" w:hAnsi="Arial" w:cs="Arial"/>
                <w:b/>
                <w:sz w:val="18"/>
                <w:szCs w:val="18"/>
              </w:rPr>
              <w:t xml:space="preserve">Resultados </w:t>
            </w:r>
          </w:p>
          <w:p w14:paraId="7AD00AA5" w14:textId="7AA0EEDC" w:rsidR="00644A5E" w:rsidRDefault="00C74D5B" w:rsidP="00E86FCE">
            <w:pPr>
              <w:jc w:val="both"/>
              <w:rPr>
                <w:rFonts w:ascii="Arial" w:hAnsi="Arial" w:cs="Arial"/>
                <w:sz w:val="18"/>
                <w:szCs w:val="18"/>
              </w:rPr>
            </w:pPr>
            <w:r>
              <w:rPr>
                <w:rFonts w:ascii="Arial" w:hAnsi="Arial" w:cs="Arial"/>
                <w:sz w:val="18"/>
                <w:szCs w:val="18"/>
              </w:rPr>
              <w:t xml:space="preserve">El objetivo específico 1 tuvo clasificación </w:t>
            </w:r>
            <w:r w:rsidR="00EB509A">
              <w:rPr>
                <w:rFonts w:ascii="Arial" w:hAnsi="Arial" w:cs="Arial"/>
                <w:sz w:val="18"/>
                <w:szCs w:val="18"/>
              </w:rPr>
              <w:t>i</w:t>
            </w:r>
            <w:r w:rsidRPr="00265302">
              <w:rPr>
                <w:rFonts w:ascii="Arial" w:hAnsi="Arial"/>
                <w:sz w:val="18"/>
              </w:rPr>
              <w:t>nsatisfactoria.</w:t>
            </w:r>
          </w:p>
          <w:p w14:paraId="1CBF8805" w14:textId="6EC16054" w:rsidR="00C74D5B" w:rsidRDefault="00C74D5B" w:rsidP="00E86FCE">
            <w:pPr>
              <w:jc w:val="both"/>
              <w:rPr>
                <w:rFonts w:ascii="Arial" w:hAnsi="Arial" w:cs="Arial"/>
                <w:sz w:val="18"/>
                <w:szCs w:val="18"/>
              </w:rPr>
            </w:pPr>
            <w:r>
              <w:rPr>
                <w:rFonts w:ascii="Arial" w:hAnsi="Arial" w:cs="Arial"/>
                <w:sz w:val="18"/>
                <w:szCs w:val="18"/>
              </w:rPr>
              <w:t>El objetivo específico 2 tuvo clasificación insatisfactoria</w:t>
            </w:r>
          </w:p>
          <w:p w14:paraId="6BB9BA09" w14:textId="79C3CB0B" w:rsidR="00C74D5B" w:rsidRPr="00576180" w:rsidRDefault="00C74D5B" w:rsidP="00E86FCE">
            <w:pPr>
              <w:jc w:val="both"/>
              <w:rPr>
                <w:rFonts w:ascii="Arial" w:hAnsi="Arial" w:cs="Arial"/>
                <w:sz w:val="18"/>
                <w:szCs w:val="18"/>
              </w:rPr>
            </w:pPr>
            <w:r>
              <w:rPr>
                <w:rFonts w:ascii="Arial" w:hAnsi="Arial" w:cs="Arial"/>
                <w:sz w:val="18"/>
                <w:szCs w:val="18"/>
              </w:rPr>
              <w:t>El objetivo específico 3 tuvo clasificación</w:t>
            </w:r>
            <w:r w:rsidR="00D87B95">
              <w:rPr>
                <w:rFonts w:ascii="Arial" w:hAnsi="Arial" w:cs="Arial"/>
                <w:sz w:val="18"/>
                <w:szCs w:val="18"/>
              </w:rPr>
              <w:t xml:space="preserve"> </w:t>
            </w:r>
            <w:r w:rsidR="00D87B95" w:rsidRPr="004A5ED2">
              <w:rPr>
                <w:rFonts w:ascii="Arial" w:hAnsi="Arial" w:cs="Arial"/>
                <w:sz w:val="18"/>
                <w:szCs w:val="18"/>
              </w:rPr>
              <w:t>satisfactoria</w:t>
            </w:r>
          </w:p>
          <w:p w14:paraId="1A354BF6" w14:textId="77A2B393" w:rsidR="00644A5E" w:rsidRPr="00576180" w:rsidRDefault="00C74D5B" w:rsidP="00E86FCE">
            <w:pPr>
              <w:jc w:val="both"/>
              <w:rPr>
                <w:rFonts w:ascii="Arial" w:hAnsi="Arial" w:cs="Arial"/>
                <w:sz w:val="18"/>
                <w:szCs w:val="18"/>
                <w:highlight w:val="yellow"/>
              </w:rPr>
            </w:pPr>
            <w:r>
              <w:rPr>
                <w:rFonts w:ascii="Arial" w:hAnsi="Arial" w:cs="Arial"/>
                <w:sz w:val="18"/>
                <w:szCs w:val="18"/>
              </w:rPr>
              <w:t xml:space="preserve">La clasificación general </w:t>
            </w:r>
            <w:r w:rsidR="00FD46EB">
              <w:rPr>
                <w:rFonts w:ascii="Arial" w:hAnsi="Arial" w:cs="Arial"/>
                <w:sz w:val="18"/>
                <w:szCs w:val="18"/>
              </w:rPr>
              <w:t xml:space="preserve">fue </w:t>
            </w:r>
            <w:r w:rsidR="00EB509A">
              <w:rPr>
                <w:rFonts w:ascii="Arial" w:hAnsi="Arial" w:cs="Arial"/>
                <w:sz w:val="18"/>
                <w:szCs w:val="18"/>
              </w:rPr>
              <w:t>i</w:t>
            </w:r>
            <w:r w:rsidR="00FD46EB">
              <w:rPr>
                <w:rFonts w:ascii="Arial" w:hAnsi="Arial" w:cs="Arial"/>
                <w:sz w:val="18"/>
                <w:szCs w:val="18"/>
              </w:rPr>
              <w:t>nsatisfactoria</w:t>
            </w:r>
          </w:p>
        </w:tc>
        <w:tc>
          <w:tcPr>
            <w:tcW w:w="797" w:type="pct"/>
            <w:vMerge w:val="restart"/>
            <w:vAlign w:val="center"/>
          </w:tcPr>
          <w:p w14:paraId="3BF5BE6A" w14:textId="37CFF9DA" w:rsidR="00644A5E" w:rsidRPr="00576180" w:rsidRDefault="00EB509A" w:rsidP="007F6ED7">
            <w:pPr>
              <w:jc w:val="center"/>
              <w:rPr>
                <w:rFonts w:ascii="Arial" w:hAnsi="Arial" w:cs="Arial"/>
                <w:color w:val="000000" w:themeColor="text1"/>
                <w:sz w:val="18"/>
                <w:szCs w:val="18"/>
              </w:rPr>
            </w:pPr>
            <w:r>
              <w:rPr>
                <w:rFonts w:ascii="Arial" w:hAnsi="Arial" w:cs="Arial"/>
                <w:b/>
                <w:color w:val="000000" w:themeColor="text1"/>
                <w:sz w:val="18"/>
                <w:szCs w:val="18"/>
              </w:rPr>
              <w:t>I</w:t>
            </w:r>
            <w:r w:rsidR="00644A5E" w:rsidRPr="00576180">
              <w:rPr>
                <w:rFonts w:ascii="Arial" w:hAnsi="Arial" w:cs="Arial"/>
                <w:b/>
                <w:color w:val="000000" w:themeColor="text1"/>
                <w:sz w:val="18"/>
                <w:szCs w:val="18"/>
              </w:rPr>
              <w:t>nsatisfactoria</w:t>
            </w:r>
          </w:p>
          <w:p w14:paraId="5D96AE6A" w14:textId="77777777" w:rsidR="00644A5E" w:rsidRPr="00576180" w:rsidRDefault="00644A5E" w:rsidP="007F6ED7">
            <w:pPr>
              <w:jc w:val="center"/>
              <w:rPr>
                <w:rFonts w:ascii="Arial" w:hAnsi="Arial" w:cs="Arial"/>
                <w:color w:val="000000" w:themeColor="text1"/>
                <w:sz w:val="18"/>
                <w:szCs w:val="18"/>
                <w:highlight w:val="yellow"/>
              </w:rPr>
            </w:pPr>
          </w:p>
          <w:p w14:paraId="78AE0467" w14:textId="77777777" w:rsidR="00644A5E" w:rsidRPr="00576180" w:rsidRDefault="00644A5E" w:rsidP="007F6ED7">
            <w:pPr>
              <w:jc w:val="center"/>
              <w:rPr>
                <w:rFonts w:ascii="Arial" w:hAnsi="Arial" w:cs="Arial"/>
                <w:sz w:val="18"/>
                <w:szCs w:val="18"/>
                <w:highlight w:val="yellow"/>
              </w:rPr>
            </w:pPr>
          </w:p>
        </w:tc>
      </w:tr>
      <w:tr w:rsidR="00644A5E" w:rsidRPr="00576180" w14:paraId="6D80C4A1" w14:textId="77777777" w:rsidTr="00BC76FE">
        <w:tc>
          <w:tcPr>
            <w:tcW w:w="741" w:type="pct"/>
            <w:vMerge/>
            <w:vAlign w:val="center"/>
          </w:tcPr>
          <w:p w14:paraId="6004397A" w14:textId="77777777" w:rsidR="00644A5E" w:rsidRPr="00576180" w:rsidRDefault="00644A5E" w:rsidP="00E86FCE">
            <w:pPr>
              <w:rPr>
                <w:rStyle w:val="Hyperlink"/>
                <w:rFonts w:ascii="Arial" w:hAnsi="Arial" w:cs="Arial"/>
                <w:sz w:val="18"/>
                <w:szCs w:val="18"/>
                <w:highlight w:val="yellow"/>
              </w:rPr>
            </w:pPr>
          </w:p>
        </w:tc>
        <w:tc>
          <w:tcPr>
            <w:tcW w:w="3462" w:type="pct"/>
          </w:tcPr>
          <w:p w14:paraId="1D1DE014" w14:textId="77777777" w:rsidR="00644A5E" w:rsidRPr="00576180" w:rsidRDefault="00644A5E" w:rsidP="00E86FCE">
            <w:pPr>
              <w:jc w:val="both"/>
              <w:rPr>
                <w:rFonts w:ascii="Arial" w:hAnsi="Arial" w:cs="Arial"/>
                <w:b/>
                <w:sz w:val="18"/>
                <w:szCs w:val="18"/>
              </w:rPr>
            </w:pPr>
            <w:r w:rsidRPr="00576180">
              <w:rPr>
                <w:rFonts w:ascii="Arial" w:hAnsi="Arial" w:cs="Arial"/>
                <w:b/>
                <w:sz w:val="18"/>
                <w:szCs w:val="18"/>
              </w:rPr>
              <w:t>Productos</w:t>
            </w:r>
          </w:p>
          <w:p w14:paraId="4DA69315" w14:textId="38F04204" w:rsidR="00644A5E" w:rsidRPr="00576180" w:rsidRDefault="00644A5E" w:rsidP="00E86FCE">
            <w:pPr>
              <w:jc w:val="both"/>
              <w:rPr>
                <w:rFonts w:ascii="Arial" w:hAnsi="Arial" w:cs="Arial"/>
                <w:b/>
                <w:sz w:val="18"/>
                <w:szCs w:val="18"/>
                <w:highlight w:val="yellow"/>
              </w:rPr>
            </w:pPr>
            <w:r w:rsidRPr="00576180">
              <w:rPr>
                <w:rFonts w:ascii="Arial" w:hAnsi="Arial" w:cs="Arial"/>
                <w:sz w:val="18"/>
                <w:szCs w:val="18"/>
              </w:rPr>
              <w:t xml:space="preserve">Los indicadores de productos lograron </w:t>
            </w:r>
            <w:r w:rsidR="00C74D5B">
              <w:rPr>
                <w:rFonts w:ascii="Arial" w:hAnsi="Arial" w:cs="Arial"/>
                <w:sz w:val="18"/>
                <w:szCs w:val="18"/>
              </w:rPr>
              <w:t xml:space="preserve">un promedio de </w:t>
            </w:r>
            <w:r w:rsidR="00FD46EB">
              <w:rPr>
                <w:rFonts w:ascii="Arial" w:hAnsi="Arial" w:cs="Arial"/>
                <w:sz w:val="18"/>
                <w:szCs w:val="18"/>
              </w:rPr>
              <w:t>79.33</w:t>
            </w:r>
            <w:r w:rsidRPr="00576180">
              <w:rPr>
                <w:rFonts w:ascii="Arial" w:hAnsi="Arial" w:cs="Arial"/>
                <w:sz w:val="18"/>
                <w:szCs w:val="18"/>
              </w:rPr>
              <w:t xml:space="preserve">% </w:t>
            </w:r>
            <w:r w:rsidR="00C74D5B">
              <w:rPr>
                <w:rFonts w:ascii="Arial" w:hAnsi="Arial" w:cs="Arial"/>
                <w:sz w:val="18"/>
                <w:szCs w:val="18"/>
              </w:rPr>
              <w:t>lo que lo clasifica como</w:t>
            </w:r>
            <w:r w:rsidRPr="00576180">
              <w:rPr>
                <w:rFonts w:ascii="Arial" w:hAnsi="Arial" w:cs="Arial"/>
                <w:sz w:val="18"/>
                <w:szCs w:val="18"/>
              </w:rPr>
              <w:t xml:space="preserve"> </w:t>
            </w:r>
            <w:r w:rsidR="00FD46EB">
              <w:rPr>
                <w:rFonts w:ascii="Arial" w:hAnsi="Arial" w:cs="Arial"/>
                <w:bCs/>
                <w:sz w:val="18"/>
                <w:szCs w:val="18"/>
              </w:rPr>
              <w:t>parcialmente insatisfactorio</w:t>
            </w:r>
            <w:r w:rsidRPr="005C45C8">
              <w:rPr>
                <w:rFonts w:ascii="Arial" w:hAnsi="Arial" w:cs="Arial"/>
                <w:bCs/>
                <w:sz w:val="18"/>
                <w:szCs w:val="18"/>
              </w:rPr>
              <w:t>.</w:t>
            </w:r>
          </w:p>
        </w:tc>
        <w:tc>
          <w:tcPr>
            <w:tcW w:w="797" w:type="pct"/>
            <w:vMerge/>
            <w:vAlign w:val="center"/>
          </w:tcPr>
          <w:p w14:paraId="0A655BD6" w14:textId="77777777" w:rsidR="00644A5E" w:rsidRPr="00576180" w:rsidRDefault="00644A5E" w:rsidP="007F6ED7">
            <w:pPr>
              <w:jc w:val="center"/>
              <w:rPr>
                <w:rFonts w:ascii="Arial" w:hAnsi="Arial" w:cs="Arial"/>
                <w:sz w:val="18"/>
                <w:szCs w:val="18"/>
                <w:highlight w:val="yellow"/>
              </w:rPr>
            </w:pPr>
          </w:p>
        </w:tc>
      </w:tr>
      <w:tr w:rsidR="00644A5E" w:rsidRPr="00576180" w14:paraId="38C1FD4F" w14:textId="77777777" w:rsidTr="00BC76FE">
        <w:tc>
          <w:tcPr>
            <w:tcW w:w="741" w:type="pct"/>
            <w:vAlign w:val="center"/>
          </w:tcPr>
          <w:p w14:paraId="000454EB" w14:textId="77777777" w:rsidR="00644A5E" w:rsidRPr="00576180" w:rsidRDefault="00405D3E" w:rsidP="00E86FCE">
            <w:pPr>
              <w:rPr>
                <w:rStyle w:val="Hyperlink"/>
                <w:rFonts w:ascii="Arial" w:hAnsi="Arial" w:cs="Arial"/>
                <w:sz w:val="18"/>
                <w:szCs w:val="18"/>
                <w:highlight w:val="yellow"/>
              </w:rPr>
            </w:pPr>
            <w:hyperlink w:anchor="_Eficiencia_1" w:history="1">
              <w:r w:rsidR="00644A5E" w:rsidRPr="00576180">
                <w:rPr>
                  <w:rStyle w:val="Hyperlink"/>
                  <w:rFonts w:ascii="Arial" w:hAnsi="Arial" w:cs="Arial"/>
                  <w:sz w:val="18"/>
                  <w:szCs w:val="18"/>
                </w:rPr>
                <w:t>Eficiencia</w:t>
              </w:r>
            </w:hyperlink>
          </w:p>
        </w:tc>
        <w:tc>
          <w:tcPr>
            <w:tcW w:w="3462" w:type="pct"/>
          </w:tcPr>
          <w:p w14:paraId="413A7BBC" w14:textId="435DD224" w:rsidR="00644A5E" w:rsidRPr="00576180" w:rsidRDefault="00C74D5B" w:rsidP="00E86FCE">
            <w:pPr>
              <w:jc w:val="both"/>
              <w:rPr>
                <w:rFonts w:ascii="Arial" w:hAnsi="Arial" w:cs="Arial"/>
                <w:b/>
                <w:sz w:val="18"/>
                <w:szCs w:val="18"/>
                <w:highlight w:val="yellow"/>
              </w:rPr>
            </w:pPr>
            <w:r>
              <w:rPr>
                <w:rFonts w:ascii="Arial" w:hAnsi="Arial" w:cs="Arial"/>
                <w:sz w:val="18"/>
                <w:szCs w:val="18"/>
              </w:rPr>
              <w:t>C</w:t>
            </w:r>
            <w:r w:rsidRPr="00C74D5B">
              <w:rPr>
                <w:rFonts w:ascii="Arial" w:hAnsi="Arial" w:cs="Arial"/>
                <w:sz w:val="18"/>
                <w:szCs w:val="18"/>
              </w:rPr>
              <w:t>on el aumento de los pagos electrónicos, al final de 20 años, el proyecto producirá una Tasa Interna de Retorno (TIR) de 8%, lo que hace la clasificación de la eficiencia del proyecto de parcialmente insatisfactoria</w:t>
            </w:r>
            <w:r w:rsidR="00FE591D">
              <w:rPr>
                <w:rFonts w:ascii="Arial" w:hAnsi="Arial" w:cs="Arial"/>
                <w:sz w:val="18"/>
                <w:szCs w:val="18"/>
              </w:rPr>
              <w:t>.</w:t>
            </w:r>
            <w:r w:rsidR="00520CDA">
              <w:rPr>
                <w:rStyle w:val="FootnoteReference"/>
                <w:rFonts w:ascii="Arial" w:hAnsi="Arial" w:cs="Arial"/>
                <w:sz w:val="18"/>
                <w:szCs w:val="18"/>
              </w:rPr>
              <w:footnoteReference w:id="3"/>
            </w:r>
          </w:p>
        </w:tc>
        <w:tc>
          <w:tcPr>
            <w:tcW w:w="797" w:type="pct"/>
            <w:vAlign w:val="center"/>
          </w:tcPr>
          <w:p w14:paraId="7BA9B642" w14:textId="01537E95" w:rsidR="00644A5E" w:rsidRPr="00576180" w:rsidRDefault="00C74D5B" w:rsidP="007F6ED7">
            <w:pPr>
              <w:jc w:val="center"/>
              <w:rPr>
                <w:rFonts w:ascii="Arial" w:hAnsi="Arial" w:cs="Arial"/>
                <w:b/>
                <w:sz w:val="18"/>
                <w:szCs w:val="18"/>
              </w:rPr>
            </w:pPr>
            <w:r>
              <w:rPr>
                <w:rFonts w:ascii="Arial" w:hAnsi="Arial" w:cs="Arial"/>
                <w:b/>
                <w:sz w:val="18"/>
                <w:szCs w:val="18"/>
              </w:rPr>
              <w:t>Parcialmente Insatisfactoria</w:t>
            </w:r>
          </w:p>
        </w:tc>
      </w:tr>
      <w:tr w:rsidR="00644A5E" w:rsidRPr="00576180" w14:paraId="0A1A89AD" w14:textId="77777777" w:rsidTr="00BC76FE">
        <w:tc>
          <w:tcPr>
            <w:tcW w:w="741" w:type="pct"/>
            <w:tcBorders>
              <w:bottom w:val="single" w:sz="4" w:space="0" w:color="auto"/>
            </w:tcBorders>
            <w:vAlign w:val="center"/>
          </w:tcPr>
          <w:p w14:paraId="051F98F1" w14:textId="77777777" w:rsidR="00644A5E" w:rsidRPr="00576180" w:rsidRDefault="00405D3E" w:rsidP="00E86FCE">
            <w:pPr>
              <w:rPr>
                <w:rFonts w:ascii="Arial" w:hAnsi="Arial" w:cs="Arial"/>
                <w:sz w:val="18"/>
                <w:szCs w:val="18"/>
              </w:rPr>
            </w:pPr>
            <w:hyperlink w:anchor="_Sostenibilidad" w:history="1">
              <w:r w:rsidR="00644A5E" w:rsidRPr="00576180">
                <w:rPr>
                  <w:rStyle w:val="Hyperlink"/>
                  <w:rFonts w:ascii="Arial" w:hAnsi="Arial" w:cs="Arial"/>
                  <w:sz w:val="18"/>
                  <w:szCs w:val="18"/>
                </w:rPr>
                <w:t>Sostenibilidad</w:t>
              </w:r>
            </w:hyperlink>
          </w:p>
        </w:tc>
        <w:tc>
          <w:tcPr>
            <w:tcW w:w="3462" w:type="pct"/>
            <w:tcBorders>
              <w:bottom w:val="single" w:sz="4" w:space="0" w:color="auto"/>
            </w:tcBorders>
          </w:tcPr>
          <w:p w14:paraId="283B15D7" w14:textId="00079B35" w:rsidR="00644A5E" w:rsidRPr="00576180" w:rsidRDefault="008455E8" w:rsidP="00E86FCE">
            <w:pPr>
              <w:jc w:val="both"/>
              <w:rPr>
                <w:rFonts w:ascii="Arial" w:hAnsi="Arial" w:cs="Arial"/>
                <w:sz w:val="18"/>
                <w:szCs w:val="18"/>
                <w:highlight w:val="yellow"/>
              </w:rPr>
            </w:pPr>
            <w:r w:rsidRPr="008455E8">
              <w:rPr>
                <w:rFonts w:ascii="Arial" w:hAnsi="Arial" w:cs="Arial"/>
                <w:sz w:val="18"/>
                <w:szCs w:val="18"/>
              </w:rPr>
              <w:t xml:space="preserve">De los </w:t>
            </w:r>
            <w:r w:rsidR="003D267E">
              <w:rPr>
                <w:rFonts w:ascii="Arial" w:hAnsi="Arial" w:cs="Arial"/>
                <w:sz w:val="18"/>
                <w:szCs w:val="18"/>
              </w:rPr>
              <w:t xml:space="preserve">3 </w:t>
            </w:r>
            <w:r w:rsidRPr="008455E8">
              <w:rPr>
                <w:rFonts w:ascii="Arial" w:hAnsi="Arial" w:cs="Arial"/>
                <w:sz w:val="18"/>
                <w:szCs w:val="18"/>
              </w:rPr>
              <w:t>resultados alcanzados</w:t>
            </w:r>
            <w:r>
              <w:rPr>
                <w:rFonts w:ascii="Arial" w:hAnsi="Arial" w:cs="Arial"/>
                <w:sz w:val="18"/>
                <w:szCs w:val="18"/>
              </w:rPr>
              <w:t xml:space="preserve"> (</w:t>
            </w:r>
            <w:r w:rsidR="003D267E">
              <w:rPr>
                <w:rFonts w:ascii="Arial" w:hAnsi="Arial" w:cs="Arial"/>
                <w:sz w:val="18"/>
                <w:szCs w:val="18"/>
              </w:rPr>
              <w:t xml:space="preserve">1 </w:t>
            </w:r>
            <w:r>
              <w:rPr>
                <w:rFonts w:ascii="Arial" w:hAnsi="Arial" w:cs="Arial"/>
                <w:sz w:val="18"/>
                <w:szCs w:val="18"/>
              </w:rPr>
              <w:t>totalmente y</w:t>
            </w:r>
            <w:r w:rsidR="003D267E">
              <w:rPr>
                <w:rFonts w:ascii="Arial" w:hAnsi="Arial" w:cs="Arial"/>
                <w:sz w:val="18"/>
                <w:szCs w:val="18"/>
              </w:rPr>
              <w:t xml:space="preserve"> 2</w:t>
            </w:r>
            <w:r>
              <w:rPr>
                <w:rFonts w:ascii="Arial" w:hAnsi="Arial" w:cs="Arial"/>
                <w:sz w:val="18"/>
                <w:szCs w:val="18"/>
              </w:rPr>
              <w:t xml:space="preserve"> parcialmente)</w:t>
            </w:r>
            <w:r w:rsidRPr="008455E8">
              <w:rPr>
                <w:rFonts w:ascii="Arial" w:hAnsi="Arial" w:cs="Arial"/>
                <w:sz w:val="18"/>
                <w:szCs w:val="18"/>
              </w:rPr>
              <w:t xml:space="preserve"> todos tienen baja probabilidad de deterioro. </w:t>
            </w:r>
            <w:r>
              <w:rPr>
                <w:rFonts w:ascii="Arial" w:hAnsi="Arial" w:cs="Arial"/>
                <w:sz w:val="18"/>
                <w:szCs w:val="18"/>
              </w:rPr>
              <w:t xml:space="preserve">Los </w:t>
            </w:r>
            <w:r w:rsidR="003D267E">
              <w:rPr>
                <w:rFonts w:ascii="Arial" w:hAnsi="Arial" w:cs="Arial"/>
                <w:sz w:val="18"/>
                <w:szCs w:val="18"/>
              </w:rPr>
              <w:t xml:space="preserve">6 </w:t>
            </w:r>
            <w:r>
              <w:rPr>
                <w:rFonts w:ascii="Arial" w:hAnsi="Arial" w:cs="Arial"/>
                <w:sz w:val="18"/>
                <w:szCs w:val="18"/>
              </w:rPr>
              <w:t>otros resultados no fueron alcanzados.</w:t>
            </w:r>
            <w:r w:rsidRPr="008455E8">
              <w:rPr>
                <w:rFonts w:ascii="Arial" w:hAnsi="Arial" w:cs="Arial"/>
                <w:sz w:val="18"/>
                <w:szCs w:val="18"/>
              </w:rPr>
              <w:t xml:space="preserve">   </w:t>
            </w:r>
          </w:p>
        </w:tc>
        <w:tc>
          <w:tcPr>
            <w:tcW w:w="797" w:type="pct"/>
            <w:tcBorders>
              <w:bottom w:val="single" w:sz="4" w:space="0" w:color="auto"/>
            </w:tcBorders>
            <w:vAlign w:val="center"/>
          </w:tcPr>
          <w:p w14:paraId="3FE4AF9F" w14:textId="40B0E5F4" w:rsidR="00C12517" w:rsidRPr="00576180" w:rsidRDefault="00D87B95" w:rsidP="00C12517">
            <w:pPr>
              <w:jc w:val="center"/>
              <w:rPr>
                <w:rFonts w:ascii="Arial" w:hAnsi="Arial" w:cs="Arial"/>
                <w:color w:val="000000" w:themeColor="text1"/>
                <w:sz w:val="18"/>
                <w:szCs w:val="18"/>
              </w:rPr>
            </w:pPr>
            <w:r>
              <w:rPr>
                <w:rFonts w:ascii="Arial" w:hAnsi="Arial" w:cs="Arial"/>
                <w:b/>
                <w:color w:val="000000" w:themeColor="text1"/>
                <w:sz w:val="18"/>
                <w:szCs w:val="18"/>
              </w:rPr>
              <w:t>Satisfactoria</w:t>
            </w:r>
          </w:p>
          <w:p w14:paraId="7DC1AD19" w14:textId="2BC7BE51" w:rsidR="00644A5E" w:rsidRPr="00576180" w:rsidRDefault="00644A5E" w:rsidP="007F6ED7">
            <w:pPr>
              <w:jc w:val="center"/>
              <w:rPr>
                <w:rFonts w:ascii="Arial" w:hAnsi="Arial" w:cs="Arial"/>
                <w:b/>
                <w:sz w:val="18"/>
                <w:szCs w:val="18"/>
              </w:rPr>
            </w:pPr>
          </w:p>
        </w:tc>
      </w:tr>
      <w:tr w:rsidR="006D1A0F" w:rsidRPr="00576180" w14:paraId="1C1CBDB7" w14:textId="77777777" w:rsidTr="00BC76FE">
        <w:tc>
          <w:tcPr>
            <w:tcW w:w="741" w:type="pct"/>
            <w:tcBorders>
              <w:bottom w:val="single" w:sz="4" w:space="0" w:color="auto"/>
            </w:tcBorders>
            <w:vAlign w:val="center"/>
          </w:tcPr>
          <w:p w14:paraId="472FA34F" w14:textId="31E5F6CC" w:rsidR="006D1A0F" w:rsidRDefault="00405D3E" w:rsidP="00E86FCE">
            <w:hyperlink w:anchor="_Desempeño_del_Banco" w:history="1">
              <w:r w:rsidR="006D1A0F" w:rsidRPr="006D1A0F">
                <w:rPr>
                  <w:rStyle w:val="Hyperlink"/>
                </w:rPr>
                <w:t>Desempeño del Banco</w:t>
              </w:r>
            </w:hyperlink>
          </w:p>
        </w:tc>
        <w:tc>
          <w:tcPr>
            <w:tcW w:w="3462" w:type="pct"/>
            <w:tcBorders>
              <w:bottom w:val="single" w:sz="4" w:space="0" w:color="auto"/>
            </w:tcBorders>
          </w:tcPr>
          <w:p w14:paraId="0998E944" w14:textId="013699BC" w:rsidR="006D1A0F" w:rsidRPr="008455E8" w:rsidRDefault="006D1A0F" w:rsidP="00E86FCE">
            <w:pPr>
              <w:jc w:val="both"/>
              <w:rPr>
                <w:rFonts w:ascii="Arial" w:hAnsi="Arial" w:cs="Arial"/>
                <w:sz w:val="18"/>
                <w:szCs w:val="18"/>
              </w:rPr>
            </w:pPr>
            <w:r w:rsidRPr="006D1A0F">
              <w:rPr>
                <w:rFonts w:ascii="Arial" w:hAnsi="Arial" w:cs="Arial"/>
                <w:sz w:val="18"/>
                <w:szCs w:val="18"/>
              </w:rPr>
              <w:t>(i) con respecto a la identificación, preparación y aprobación del Programa, el desempeño del Banco se clasifica como satisfactorio, debido a que se cumplió sin mayores dificultades con las diferentes etapas hasta el arranque de la ejecución de la operación; y (</w:t>
            </w:r>
            <w:proofErr w:type="spellStart"/>
            <w:r w:rsidRPr="006D1A0F">
              <w:rPr>
                <w:rFonts w:ascii="Arial" w:hAnsi="Arial" w:cs="Arial"/>
                <w:sz w:val="18"/>
                <w:szCs w:val="18"/>
              </w:rPr>
              <w:t>ii</w:t>
            </w:r>
            <w:proofErr w:type="spellEnd"/>
            <w:r w:rsidRPr="006D1A0F">
              <w:rPr>
                <w:rFonts w:ascii="Arial" w:hAnsi="Arial" w:cs="Arial"/>
                <w:sz w:val="18"/>
                <w:szCs w:val="18"/>
              </w:rPr>
              <w:t>) con respecto a la supervisión, el desempeño del Banco se clasifica como moderadamente insatisfactorio,  a pesar de haber señalado oportunamente al ejecutor los riesgos que implicaba el cambio en el mecanismo de ejecución del proyecto que se produjo en 2011</w:t>
            </w:r>
            <w:r w:rsidR="00F81D74">
              <w:rPr>
                <w:rFonts w:ascii="Arial" w:hAnsi="Arial" w:cs="Arial"/>
                <w:sz w:val="18"/>
                <w:szCs w:val="18"/>
              </w:rPr>
              <w:t>.</w:t>
            </w:r>
            <w:r w:rsidRPr="006D1A0F">
              <w:rPr>
                <w:rFonts w:ascii="Arial" w:hAnsi="Arial" w:cs="Arial"/>
                <w:sz w:val="18"/>
                <w:szCs w:val="18"/>
              </w:rPr>
              <w:t xml:space="preserve"> Sumado a esto, si bien la decisión de </w:t>
            </w:r>
            <w:r w:rsidRPr="006D1A0F">
              <w:rPr>
                <w:rFonts w:ascii="Arial" w:hAnsi="Arial" w:cs="Arial"/>
                <w:sz w:val="18"/>
                <w:szCs w:val="18"/>
              </w:rPr>
              <w:lastRenderedPageBreak/>
              <w:t xml:space="preserve">fortalecer la supervisión de la ejecución del proyecto a través de la contratación de expertos externos en tecnología y en sistemas informáticos fue muy acertada, se tomó recién </w:t>
            </w:r>
            <w:r w:rsidR="00F81D74">
              <w:rPr>
                <w:rFonts w:ascii="Arial" w:hAnsi="Arial" w:cs="Arial"/>
                <w:sz w:val="18"/>
                <w:szCs w:val="18"/>
              </w:rPr>
              <w:t xml:space="preserve">al cabo </w:t>
            </w:r>
            <w:proofErr w:type="gramStart"/>
            <w:r w:rsidR="00F81D74">
              <w:rPr>
                <w:rFonts w:ascii="Arial" w:hAnsi="Arial" w:cs="Arial"/>
                <w:sz w:val="18"/>
                <w:szCs w:val="18"/>
              </w:rPr>
              <w:t xml:space="preserve">del </w:t>
            </w:r>
            <w:r w:rsidRPr="006D1A0F">
              <w:rPr>
                <w:rFonts w:ascii="Arial" w:hAnsi="Arial" w:cs="Arial"/>
                <w:sz w:val="18"/>
                <w:szCs w:val="18"/>
              </w:rPr>
              <w:t xml:space="preserve"> cuarto</w:t>
            </w:r>
            <w:proofErr w:type="gramEnd"/>
            <w:r w:rsidRPr="006D1A0F">
              <w:rPr>
                <w:rFonts w:ascii="Arial" w:hAnsi="Arial" w:cs="Arial"/>
                <w:sz w:val="18"/>
                <w:szCs w:val="18"/>
              </w:rPr>
              <w:t xml:space="preserve"> </w:t>
            </w:r>
            <w:r w:rsidR="00F81D74">
              <w:rPr>
                <w:rFonts w:ascii="Arial" w:hAnsi="Arial" w:cs="Arial"/>
                <w:sz w:val="18"/>
                <w:szCs w:val="18"/>
              </w:rPr>
              <w:t xml:space="preserve">año </w:t>
            </w:r>
            <w:r w:rsidRPr="006D1A0F">
              <w:rPr>
                <w:rFonts w:ascii="Arial" w:hAnsi="Arial" w:cs="Arial"/>
                <w:sz w:val="18"/>
                <w:szCs w:val="18"/>
              </w:rPr>
              <w:t xml:space="preserve">de los cinco </w:t>
            </w:r>
            <w:r w:rsidR="00F81D74">
              <w:rPr>
                <w:rFonts w:ascii="Arial" w:hAnsi="Arial" w:cs="Arial"/>
                <w:sz w:val="18"/>
                <w:szCs w:val="18"/>
              </w:rPr>
              <w:t xml:space="preserve">previstos </w:t>
            </w:r>
            <w:r w:rsidRPr="006D1A0F">
              <w:rPr>
                <w:rFonts w:ascii="Arial" w:hAnsi="Arial" w:cs="Arial"/>
                <w:sz w:val="18"/>
                <w:szCs w:val="18"/>
              </w:rPr>
              <w:t>para la ejecución de la operación</w:t>
            </w:r>
          </w:p>
        </w:tc>
        <w:tc>
          <w:tcPr>
            <w:tcW w:w="797" w:type="pct"/>
            <w:tcBorders>
              <w:bottom w:val="single" w:sz="4" w:space="0" w:color="auto"/>
            </w:tcBorders>
            <w:vAlign w:val="center"/>
          </w:tcPr>
          <w:p w14:paraId="4A3987D4" w14:textId="78EA7DC1" w:rsidR="006D1A0F" w:rsidRDefault="006D1A0F" w:rsidP="00C12517">
            <w:pPr>
              <w:jc w:val="center"/>
              <w:rPr>
                <w:rFonts w:ascii="Arial" w:hAnsi="Arial" w:cs="Arial"/>
                <w:b/>
                <w:color w:val="000000" w:themeColor="text1"/>
                <w:sz w:val="18"/>
                <w:szCs w:val="18"/>
              </w:rPr>
            </w:pPr>
            <w:r>
              <w:rPr>
                <w:rFonts w:ascii="Arial" w:hAnsi="Arial" w:cs="Arial"/>
                <w:b/>
                <w:color w:val="000000" w:themeColor="text1"/>
                <w:sz w:val="18"/>
                <w:szCs w:val="18"/>
              </w:rPr>
              <w:lastRenderedPageBreak/>
              <w:t>Moderadamente Insatisfactoria</w:t>
            </w:r>
          </w:p>
        </w:tc>
      </w:tr>
      <w:tr w:rsidR="006D1A0F" w:rsidRPr="00576180" w14:paraId="7156E87A" w14:textId="77777777" w:rsidTr="00BC76FE">
        <w:tc>
          <w:tcPr>
            <w:tcW w:w="741" w:type="pct"/>
            <w:tcBorders>
              <w:bottom w:val="single" w:sz="4" w:space="0" w:color="auto"/>
            </w:tcBorders>
            <w:vAlign w:val="center"/>
          </w:tcPr>
          <w:p w14:paraId="74F7CA31" w14:textId="7EFD45F7" w:rsidR="006D1A0F" w:rsidRDefault="00405D3E" w:rsidP="00E86FCE">
            <w:hyperlink w:anchor="_Desempeño_del_Organismo" w:history="1">
              <w:r w:rsidR="006D1A0F" w:rsidRPr="006D1A0F">
                <w:rPr>
                  <w:rStyle w:val="Hyperlink"/>
                </w:rPr>
                <w:t>Desempeño del Ejecutor</w:t>
              </w:r>
            </w:hyperlink>
          </w:p>
        </w:tc>
        <w:tc>
          <w:tcPr>
            <w:tcW w:w="3462" w:type="pct"/>
            <w:tcBorders>
              <w:bottom w:val="single" w:sz="4" w:space="0" w:color="auto"/>
            </w:tcBorders>
          </w:tcPr>
          <w:p w14:paraId="6114ADCA" w14:textId="09DA507B" w:rsidR="006D1A0F" w:rsidRPr="008455E8" w:rsidRDefault="006D1A0F" w:rsidP="00E86FCE">
            <w:pPr>
              <w:jc w:val="both"/>
              <w:rPr>
                <w:rFonts w:ascii="Arial" w:hAnsi="Arial" w:cs="Arial"/>
                <w:sz w:val="18"/>
                <w:szCs w:val="18"/>
              </w:rPr>
            </w:pPr>
            <w:r>
              <w:rPr>
                <w:rFonts w:ascii="Arial" w:hAnsi="Arial" w:cs="Arial"/>
                <w:sz w:val="18"/>
                <w:szCs w:val="18"/>
              </w:rPr>
              <w:t xml:space="preserve">La ejecución fue llevada a cabo por un Equipo Ejecutor (EE), </w:t>
            </w:r>
            <w:r w:rsidRPr="006D1A0F">
              <w:rPr>
                <w:rFonts w:ascii="Arial" w:hAnsi="Arial" w:cs="Arial"/>
                <w:sz w:val="18"/>
                <w:szCs w:val="18"/>
              </w:rPr>
              <w:t xml:space="preserve">compuesto </w:t>
            </w:r>
            <w:r>
              <w:rPr>
                <w:rFonts w:ascii="Arial" w:hAnsi="Arial" w:cs="Arial"/>
                <w:sz w:val="18"/>
                <w:szCs w:val="18"/>
              </w:rPr>
              <w:t xml:space="preserve">100% </w:t>
            </w:r>
            <w:r w:rsidRPr="006D1A0F">
              <w:rPr>
                <w:rFonts w:ascii="Arial" w:hAnsi="Arial" w:cs="Arial"/>
                <w:sz w:val="18"/>
                <w:szCs w:val="18"/>
              </w:rPr>
              <w:t xml:space="preserve">por consultores externos, al cual se le otorgaron responsabilidades y poder de decisión que trascendía su capacidad y alcance, principalmente por la ausencia de representantes de los </w:t>
            </w:r>
            <w:proofErr w:type="spellStart"/>
            <w:r w:rsidRPr="006D1A0F">
              <w:rPr>
                <w:rFonts w:ascii="Arial" w:hAnsi="Arial" w:cs="Arial"/>
                <w:sz w:val="18"/>
                <w:szCs w:val="18"/>
              </w:rPr>
              <w:t>ORs</w:t>
            </w:r>
            <w:proofErr w:type="spellEnd"/>
            <w:r w:rsidRPr="006D1A0F">
              <w:rPr>
                <w:rFonts w:ascii="Arial" w:hAnsi="Arial" w:cs="Arial"/>
                <w:sz w:val="18"/>
                <w:szCs w:val="18"/>
              </w:rPr>
              <w:t xml:space="preserve"> en su conformación para llevar a cabo la ejecución del Programa conforme a lo planificado</w:t>
            </w:r>
            <w:r w:rsidR="00F81D74">
              <w:rPr>
                <w:rFonts w:ascii="Arial" w:hAnsi="Arial" w:cs="Arial"/>
                <w:sz w:val="18"/>
                <w:szCs w:val="18"/>
              </w:rPr>
              <w:t xml:space="preserve">, debilitando con ello </w:t>
            </w:r>
            <w:r>
              <w:rPr>
                <w:rFonts w:ascii="Arial" w:hAnsi="Arial" w:cs="Arial"/>
                <w:sz w:val="18"/>
                <w:szCs w:val="18"/>
              </w:rPr>
              <w:t xml:space="preserve">substancialmente </w:t>
            </w:r>
            <w:r w:rsidRPr="006D1A0F">
              <w:rPr>
                <w:rFonts w:ascii="Arial" w:hAnsi="Arial" w:cs="Arial"/>
                <w:sz w:val="18"/>
                <w:szCs w:val="18"/>
              </w:rPr>
              <w:t>la gobernanza del Programa. Además, el EE no contó con un Plan Estratégico</w:t>
            </w:r>
            <w:r>
              <w:rPr>
                <w:rFonts w:ascii="Arial" w:hAnsi="Arial" w:cs="Arial"/>
                <w:sz w:val="18"/>
                <w:szCs w:val="18"/>
              </w:rPr>
              <w:t>, ni con</w:t>
            </w:r>
            <w:r w:rsidRPr="006D1A0F">
              <w:rPr>
                <w:rFonts w:ascii="Arial" w:hAnsi="Arial" w:cs="Arial"/>
                <w:sz w:val="18"/>
                <w:szCs w:val="18"/>
              </w:rPr>
              <w:t xml:space="preserve"> un Plan de Acción Global para la gestión de las actividades, lo que </w:t>
            </w:r>
            <w:r>
              <w:rPr>
                <w:rFonts w:ascii="Arial" w:hAnsi="Arial" w:cs="Arial"/>
                <w:sz w:val="18"/>
                <w:szCs w:val="18"/>
              </w:rPr>
              <w:t xml:space="preserve">consumió </w:t>
            </w:r>
            <w:r w:rsidR="00F81D74">
              <w:rPr>
                <w:rFonts w:ascii="Arial" w:hAnsi="Arial" w:cs="Arial"/>
                <w:sz w:val="18"/>
                <w:szCs w:val="18"/>
              </w:rPr>
              <w:t xml:space="preserve">buena </w:t>
            </w:r>
            <w:r>
              <w:rPr>
                <w:rFonts w:ascii="Arial" w:hAnsi="Arial" w:cs="Arial"/>
                <w:sz w:val="18"/>
                <w:szCs w:val="18"/>
              </w:rPr>
              <w:t>parte de los recursos del proyecto</w:t>
            </w:r>
            <w:r w:rsidR="008E1858">
              <w:rPr>
                <w:rFonts w:ascii="Arial" w:hAnsi="Arial" w:cs="Arial"/>
                <w:sz w:val="18"/>
                <w:szCs w:val="18"/>
              </w:rPr>
              <w:t xml:space="preserve"> en consultorías</w:t>
            </w:r>
            <w:r w:rsidR="00F81D74">
              <w:rPr>
                <w:rFonts w:ascii="Arial" w:hAnsi="Arial" w:cs="Arial"/>
                <w:sz w:val="18"/>
                <w:szCs w:val="18"/>
              </w:rPr>
              <w:t xml:space="preserve">, afectando </w:t>
            </w:r>
            <w:proofErr w:type="spellStart"/>
            <w:proofErr w:type="gramStart"/>
            <w:r w:rsidR="00F81D74">
              <w:rPr>
                <w:rFonts w:ascii="Arial" w:hAnsi="Arial" w:cs="Arial"/>
                <w:sz w:val="18"/>
                <w:szCs w:val="18"/>
              </w:rPr>
              <w:t>el</w:t>
            </w:r>
            <w:proofErr w:type="spellEnd"/>
            <w:r w:rsidR="00F81D74">
              <w:rPr>
                <w:rFonts w:ascii="Arial" w:hAnsi="Arial" w:cs="Arial"/>
                <w:sz w:val="18"/>
                <w:szCs w:val="18"/>
              </w:rPr>
              <w:t xml:space="preserve"> </w:t>
            </w:r>
            <w:r>
              <w:rPr>
                <w:rFonts w:ascii="Arial" w:hAnsi="Arial" w:cs="Arial"/>
                <w:sz w:val="18"/>
                <w:szCs w:val="18"/>
              </w:rPr>
              <w:t xml:space="preserve"> logró</w:t>
            </w:r>
            <w:proofErr w:type="gramEnd"/>
            <w:r>
              <w:rPr>
                <w:rFonts w:ascii="Arial" w:hAnsi="Arial" w:cs="Arial"/>
                <w:sz w:val="18"/>
                <w:szCs w:val="18"/>
              </w:rPr>
              <w:t xml:space="preserve"> </w:t>
            </w:r>
            <w:r w:rsidR="00F81D74">
              <w:rPr>
                <w:rFonts w:ascii="Arial" w:hAnsi="Arial" w:cs="Arial"/>
                <w:sz w:val="18"/>
                <w:szCs w:val="18"/>
              </w:rPr>
              <w:t>d</w:t>
            </w:r>
            <w:r>
              <w:rPr>
                <w:rFonts w:ascii="Arial" w:hAnsi="Arial" w:cs="Arial"/>
                <w:sz w:val="18"/>
                <w:szCs w:val="18"/>
              </w:rPr>
              <w:t xml:space="preserve">el principal producto (SIAF-SP). Esto </w:t>
            </w:r>
            <w:r w:rsidRPr="006D1A0F">
              <w:rPr>
                <w:rFonts w:ascii="Arial" w:hAnsi="Arial" w:cs="Arial"/>
                <w:sz w:val="18"/>
                <w:szCs w:val="18"/>
              </w:rPr>
              <w:t>dificultó el logro de 6 de los 9 resultados previstos</w:t>
            </w:r>
            <w:r w:rsidR="008E1858">
              <w:rPr>
                <w:rFonts w:ascii="Arial" w:hAnsi="Arial" w:cs="Arial"/>
                <w:sz w:val="18"/>
                <w:szCs w:val="18"/>
              </w:rPr>
              <w:t>.</w:t>
            </w:r>
          </w:p>
        </w:tc>
        <w:tc>
          <w:tcPr>
            <w:tcW w:w="797" w:type="pct"/>
            <w:tcBorders>
              <w:bottom w:val="single" w:sz="4" w:space="0" w:color="auto"/>
            </w:tcBorders>
            <w:vAlign w:val="center"/>
          </w:tcPr>
          <w:p w14:paraId="715BFF1D" w14:textId="63343D75" w:rsidR="006D1A0F" w:rsidRDefault="00F81D74" w:rsidP="00C12517">
            <w:pPr>
              <w:jc w:val="center"/>
              <w:rPr>
                <w:rFonts w:ascii="Arial" w:hAnsi="Arial" w:cs="Arial"/>
                <w:b/>
                <w:color w:val="000000" w:themeColor="text1"/>
                <w:sz w:val="18"/>
                <w:szCs w:val="18"/>
              </w:rPr>
            </w:pPr>
            <w:r w:rsidRPr="004A5ED2">
              <w:rPr>
                <w:rFonts w:ascii="Arial" w:hAnsi="Arial" w:cs="Arial"/>
                <w:b/>
                <w:color w:val="000000" w:themeColor="text1"/>
                <w:sz w:val="18"/>
                <w:szCs w:val="18"/>
              </w:rPr>
              <w:t xml:space="preserve">Moderadamente </w:t>
            </w:r>
            <w:r w:rsidR="008E1858" w:rsidRPr="004A5ED2">
              <w:rPr>
                <w:rFonts w:ascii="Arial" w:hAnsi="Arial" w:cs="Arial"/>
                <w:b/>
                <w:color w:val="000000" w:themeColor="text1"/>
                <w:sz w:val="18"/>
                <w:szCs w:val="18"/>
              </w:rPr>
              <w:t>Insatisfactorio</w:t>
            </w:r>
          </w:p>
        </w:tc>
      </w:tr>
      <w:tr w:rsidR="00644A5E" w:rsidRPr="00576180" w14:paraId="3CB5257D" w14:textId="77777777" w:rsidTr="00BC76FE">
        <w:tc>
          <w:tcPr>
            <w:tcW w:w="4203" w:type="pct"/>
            <w:gridSpan w:val="2"/>
            <w:tcBorders>
              <w:bottom w:val="single" w:sz="4" w:space="0" w:color="auto"/>
            </w:tcBorders>
            <w:shd w:val="clear" w:color="auto" w:fill="D9D9D9" w:themeFill="background1" w:themeFillShade="D9"/>
            <w:vAlign w:val="center"/>
          </w:tcPr>
          <w:p w14:paraId="37207369" w14:textId="77777777" w:rsidR="00644A5E" w:rsidRPr="00576180" w:rsidRDefault="00644A5E" w:rsidP="00576655">
            <w:pPr>
              <w:jc w:val="right"/>
              <w:rPr>
                <w:rFonts w:ascii="Arial" w:hAnsi="Arial" w:cs="Arial"/>
                <w:b/>
                <w:sz w:val="18"/>
                <w:szCs w:val="18"/>
              </w:rPr>
            </w:pPr>
            <w:r w:rsidRPr="00576180">
              <w:rPr>
                <w:rFonts w:ascii="Arial" w:hAnsi="Arial" w:cs="Arial"/>
                <w:b/>
                <w:sz w:val="18"/>
                <w:szCs w:val="18"/>
              </w:rPr>
              <w:t>Clasificación total</w:t>
            </w:r>
          </w:p>
        </w:tc>
        <w:tc>
          <w:tcPr>
            <w:tcW w:w="797" w:type="pct"/>
            <w:tcBorders>
              <w:bottom w:val="single" w:sz="4" w:space="0" w:color="auto"/>
            </w:tcBorders>
            <w:shd w:val="clear" w:color="auto" w:fill="D9D9D9" w:themeFill="background1" w:themeFillShade="D9"/>
            <w:vAlign w:val="center"/>
          </w:tcPr>
          <w:p w14:paraId="72F85A82" w14:textId="2B1D7C34" w:rsidR="00644A5E" w:rsidRPr="00576180" w:rsidRDefault="008455E8" w:rsidP="00E86FCE">
            <w:pPr>
              <w:jc w:val="center"/>
              <w:rPr>
                <w:rFonts w:ascii="Arial" w:hAnsi="Arial" w:cs="Arial"/>
                <w:b/>
                <w:sz w:val="18"/>
                <w:szCs w:val="18"/>
              </w:rPr>
            </w:pPr>
            <w:r>
              <w:rPr>
                <w:rFonts w:ascii="Arial" w:hAnsi="Arial" w:cs="Arial"/>
                <w:b/>
                <w:sz w:val="18"/>
                <w:szCs w:val="18"/>
              </w:rPr>
              <w:t xml:space="preserve">Parcialmente </w:t>
            </w:r>
            <w:r w:rsidR="005B4666">
              <w:rPr>
                <w:rFonts w:ascii="Arial" w:hAnsi="Arial" w:cs="Arial"/>
                <w:b/>
                <w:sz w:val="18"/>
                <w:szCs w:val="18"/>
              </w:rPr>
              <w:t>No exitosa</w:t>
            </w:r>
          </w:p>
        </w:tc>
      </w:tr>
    </w:tbl>
    <w:p w14:paraId="62CEEE23" w14:textId="77777777" w:rsidR="00644A5E" w:rsidRPr="00576180" w:rsidRDefault="00644A5E" w:rsidP="00644A5E">
      <w:pPr>
        <w:pStyle w:val="ListParagraph"/>
        <w:tabs>
          <w:tab w:val="left" w:pos="9000"/>
        </w:tabs>
        <w:spacing w:before="120" w:after="120" w:line="240" w:lineRule="auto"/>
        <w:ind w:left="360"/>
        <w:jc w:val="both"/>
        <w:rPr>
          <w:rFonts w:ascii="Arial" w:hAnsi="Arial" w:cs="Arial"/>
        </w:rPr>
      </w:pPr>
    </w:p>
    <w:p w14:paraId="074A5070" w14:textId="10F312D7" w:rsidR="00FE591D" w:rsidRDefault="0068297B" w:rsidP="005B05B2">
      <w:pPr>
        <w:pStyle w:val="ListParagraph"/>
        <w:tabs>
          <w:tab w:val="left" w:pos="9000"/>
        </w:tabs>
        <w:spacing w:before="120" w:after="120" w:line="240" w:lineRule="auto"/>
        <w:ind w:left="-540"/>
        <w:contextualSpacing w:val="0"/>
        <w:jc w:val="both"/>
        <w:rPr>
          <w:rFonts w:ascii="Arial" w:hAnsi="Arial" w:cs="Arial"/>
          <w:b/>
        </w:rPr>
      </w:pPr>
      <w:r w:rsidRPr="0068297B" w:rsidDel="0068297B">
        <w:t xml:space="preserve"> </w:t>
      </w:r>
      <w:r w:rsidR="005B05B2" w:rsidRPr="005B05B2">
        <w:rPr>
          <w:noProof/>
        </w:rPr>
        <w:drawing>
          <wp:inline distT="0" distB="0" distL="0" distR="0" wp14:anchorId="5AB7D989" wp14:editId="2F0DCC1B">
            <wp:extent cx="6481268" cy="24339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0183" cy="2437303"/>
                    </a:xfrm>
                    <a:prstGeom prst="rect">
                      <a:avLst/>
                    </a:prstGeom>
                    <a:noFill/>
                    <a:ln>
                      <a:noFill/>
                    </a:ln>
                  </pic:spPr>
                </pic:pic>
              </a:graphicData>
            </a:graphic>
          </wp:inline>
        </w:drawing>
      </w:r>
    </w:p>
    <w:p w14:paraId="72051A86" w14:textId="5D552B1C" w:rsidR="00B73AD0" w:rsidRPr="00E1537F" w:rsidRDefault="00644A5E" w:rsidP="00D17FF5">
      <w:pPr>
        <w:pStyle w:val="ListParagraph"/>
        <w:tabs>
          <w:tab w:val="left" w:pos="9000"/>
        </w:tabs>
        <w:spacing w:before="120" w:after="120" w:line="240" w:lineRule="auto"/>
        <w:ind w:left="360"/>
        <w:contextualSpacing w:val="0"/>
        <w:jc w:val="both"/>
        <w:rPr>
          <w:rFonts w:ascii="Arial" w:hAnsi="Arial" w:cs="Arial"/>
        </w:rPr>
      </w:pPr>
      <w:r w:rsidRPr="00E1537F">
        <w:rPr>
          <w:rFonts w:ascii="Arial" w:hAnsi="Arial" w:cs="Arial"/>
          <w:b/>
        </w:rPr>
        <w:t>Consideraciones sobre los resultados.</w:t>
      </w:r>
      <w:r w:rsidRPr="00E1537F">
        <w:rPr>
          <w:rFonts w:ascii="Arial" w:hAnsi="Arial" w:cs="Arial"/>
        </w:rPr>
        <w:t xml:space="preserve"> </w:t>
      </w:r>
    </w:p>
    <w:p w14:paraId="611D2E8F" w14:textId="0B42407E" w:rsidR="004D1DF7" w:rsidRDefault="0074584E" w:rsidP="003C2D64">
      <w:pPr>
        <w:pStyle w:val="ListParagraph"/>
        <w:tabs>
          <w:tab w:val="left" w:pos="9000"/>
        </w:tabs>
        <w:spacing w:before="120" w:after="120" w:line="240" w:lineRule="auto"/>
        <w:ind w:left="360"/>
        <w:contextualSpacing w:val="0"/>
        <w:jc w:val="both"/>
        <w:rPr>
          <w:rFonts w:ascii="Arial" w:hAnsi="Arial" w:cs="Arial"/>
        </w:rPr>
      </w:pPr>
      <w:r>
        <w:rPr>
          <w:rFonts w:ascii="Arial" w:hAnsi="Arial" w:cs="Arial"/>
        </w:rPr>
        <w:t xml:space="preserve">La modernización del </w:t>
      </w:r>
      <w:r w:rsidR="007F7C60" w:rsidRPr="00E1537F">
        <w:rPr>
          <w:rFonts w:ascii="Arial" w:hAnsi="Arial" w:cs="Arial"/>
        </w:rPr>
        <w:t>S</w:t>
      </w:r>
      <w:r w:rsidR="00197C4A" w:rsidRPr="00E1537F">
        <w:rPr>
          <w:rFonts w:ascii="Arial" w:hAnsi="Arial" w:cs="Arial"/>
        </w:rPr>
        <w:t xml:space="preserve">istema </w:t>
      </w:r>
      <w:r w:rsidR="007F7C60" w:rsidRPr="00E1537F">
        <w:rPr>
          <w:rFonts w:ascii="Arial" w:hAnsi="Arial" w:cs="Arial"/>
        </w:rPr>
        <w:t>I</w:t>
      </w:r>
      <w:r w:rsidR="00197C4A" w:rsidRPr="00E1537F">
        <w:rPr>
          <w:rFonts w:ascii="Arial" w:hAnsi="Arial" w:cs="Arial"/>
        </w:rPr>
        <w:t>ntegrado</w:t>
      </w:r>
      <w:r w:rsidR="00AE10F2" w:rsidRPr="00E1537F">
        <w:rPr>
          <w:rFonts w:ascii="Arial" w:hAnsi="Arial" w:cs="Arial"/>
        </w:rPr>
        <w:t xml:space="preserve"> de </w:t>
      </w:r>
      <w:r w:rsidR="007F7C60" w:rsidRPr="00E1537F">
        <w:rPr>
          <w:rFonts w:ascii="Arial" w:hAnsi="Arial" w:cs="Arial"/>
        </w:rPr>
        <w:t>A</w:t>
      </w:r>
      <w:r w:rsidR="00AE10F2" w:rsidRPr="00E1537F">
        <w:rPr>
          <w:rFonts w:ascii="Arial" w:hAnsi="Arial" w:cs="Arial"/>
        </w:rPr>
        <w:t xml:space="preserve">dministración </w:t>
      </w:r>
      <w:r w:rsidR="007F7C60" w:rsidRPr="00E1537F">
        <w:rPr>
          <w:rFonts w:ascii="Arial" w:hAnsi="Arial" w:cs="Arial"/>
        </w:rPr>
        <w:t>F</w:t>
      </w:r>
      <w:r w:rsidR="00AE10F2" w:rsidRPr="00E1537F">
        <w:rPr>
          <w:rFonts w:ascii="Arial" w:hAnsi="Arial" w:cs="Arial"/>
        </w:rPr>
        <w:t>inanciera (SIAF)</w:t>
      </w:r>
      <w:r w:rsidR="007F7C60" w:rsidRPr="00E1537F">
        <w:rPr>
          <w:rFonts w:ascii="Arial" w:hAnsi="Arial" w:cs="Arial"/>
        </w:rPr>
        <w:t xml:space="preserve"> </w:t>
      </w:r>
      <w:r w:rsidR="004D1DF7">
        <w:rPr>
          <w:rFonts w:ascii="Arial" w:hAnsi="Arial" w:cs="Arial"/>
        </w:rPr>
        <w:t xml:space="preserve">contempla </w:t>
      </w:r>
      <w:r w:rsidR="00C0003A">
        <w:rPr>
          <w:rFonts w:ascii="Arial" w:hAnsi="Arial" w:cs="Arial"/>
        </w:rPr>
        <w:t xml:space="preserve">de manera simultánea, </w:t>
      </w:r>
      <w:r w:rsidR="004D1DF7">
        <w:rPr>
          <w:rFonts w:ascii="Arial" w:hAnsi="Arial" w:cs="Arial"/>
        </w:rPr>
        <w:t xml:space="preserve">modificaciones a varios procesos, a saber: </w:t>
      </w:r>
      <w:r w:rsidR="009C4477">
        <w:rPr>
          <w:rFonts w:ascii="Arial" w:hAnsi="Arial" w:cs="Arial"/>
        </w:rPr>
        <w:t xml:space="preserve"> 1. Cambios normativos</w:t>
      </w:r>
      <w:r w:rsidR="00C0003A">
        <w:rPr>
          <w:rFonts w:ascii="Arial" w:hAnsi="Arial" w:cs="Arial"/>
        </w:rPr>
        <w:t xml:space="preserve"> derivados de los cambios de procesos planteados</w:t>
      </w:r>
      <w:r w:rsidR="009C4477">
        <w:rPr>
          <w:rFonts w:ascii="Arial" w:hAnsi="Arial" w:cs="Arial"/>
        </w:rPr>
        <w:t xml:space="preserve">; 2. </w:t>
      </w:r>
      <w:r w:rsidR="00C0003A">
        <w:rPr>
          <w:rFonts w:ascii="Arial" w:hAnsi="Arial" w:cs="Arial"/>
        </w:rPr>
        <w:t xml:space="preserve">Mayor </w:t>
      </w:r>
      <w:r w:rsidR="009C4477">
        <w:rPr>
          <w:rFonts w:ascii="Arial" w:hAnsi="Arial" w:cs="Arial"/>
        </w:rPr>
        <w:t xml:space="preserve"> coordinación </w:t>
      </w:r>
      <w:r w:rsidR="00C0003A">
        <w:rPr>
          <w:rFonts w:ascii="Arial" w:hAnsi="Arial" w:cs="Arial"/>
        </w:rPr>
        <w:t xml:space="preserve">ya que busca mayor </w:t>
      </w:r>
      <w:r w:rsidR="009C4477">
        <w:rPr>
          <w:rFonts w:ascii="Arial" w:hAnsi="Arial" w:cs="Arial"/>
        </w:rPr>
        <w:t>trazabilidad del gasto en todas sus etapas, implica</w:t>
      </w:r>
      <w:r w:rsidR="00C0003A">
        <w:rPr>
          <w:rFonts w:ascii="Arial" w:hAnsi="Arial" w:cs="Arial"/>
        </w:rPr>
        <w:t>ndo</w:t>
      </w:r>
      <w:r w:rsidR="009C4477">
        <w:rPr>
          <w:rFonts w:ascii="Arial" w:hAnsi="Arial" w:cs="Arial"/>
        </w:rPr>
        <w:t xml:space="preserve"> que las diferentes áreas de la hacienda pública reciban y compartan información en tiempo real; 3. </w:t>
      </w:r>
      <w:r w:rsidR="00C0003A">
        <w:rPr>
          <w:rFonts w:ascii="Arial" w:hAnsi="Arial" w:cs="Arial"/>
        </w:rPr>
        <w:t xml:space="preserve">Análisis </w:t>
      </w:r>
      <w:r w:rsidR="009C4477">
        <w:rPr>
          <w:rFonts w:ascii="Arial" w:hAnsi="Arial" w:cs="Arial"/>
        </w:rPr>
        <w:t>de datos, lo cual es facilitado a través  de cambios tecnológicos</w:t>
      </w:r>
      <w:r w:rsidR="00C0003A">
        <w:rPr>
          <w:rFonts w:ascii="Arial" w:hAnsi="Arial" w:cs="Arial"/>
        </w:rPr>
        <w:t xml:space="preserve"> como de </w:t>
      </w:r>
      <w:r w:rsidR="009C4477">
        <w:rPr>
          <w:rFonts w:ascii="Arial" w:hAnsi="Arial" w:cs="Arial"/>
        </w:rPr>
        <w:t xml:space="preserve">la modernización de la contabilidad pública; 4. </w:t>
      </w:r>
      <w:r w:rsidR="00C0003A">
        <w:rPr>
          <w:rFonts w:ascii="Arial" w:hAnsi="Arial" w:cs="Arial"/>
        </w:rPr>
        <w:t>C</w:t>
      </w:r>
      <w:r w:rsidR="009C4477">
        <w:rPr>
          <w:rFonts w:ascii="Arial" w:hAnsi="Arial" w:cs="Arial"/>
        </w:rPr>
        <w:t>ambios tecnológicos que facilitan las transacciones y el análisis</w:t>
      </w:r>
      <w:r w:rsidR="00C0003A">
        <w:rPr>
          <w:rFonts w:ascii="Arial" w:hAnsi="Arial" w:cs="Arial"/>
        </w:rPr>
        <w:t xml:space="preserve"> de información</w:t>
      </w:r>
      <w:r w:rsidR="009C4477">
        <w:rPr>
          <w:rFonts w:ascii="Arial" w:hAnsi="Arial" w:cs="Arial"/>
        </w:rPr>
        <w:t xml:space="preserve">, lo cual genera cambios organizacionales dentro de la </w:t>
      </w:r>
      <w:r>
        <w:rPr>
          <w:rFonts w:ascii="Arial" w:hAnsi="Arial" w:cs="Arial"/>
        </w:rPr>
        <w:t>dirección</w:t>
      </w:r>
      <w:r w:rsidR="009C4477">
        <w:rPr>
          <w:rFonts w:ascii="Arial" w:hAnsi="Arial" w:cs="Arial"/>
        </w:rPr>
        <w:t xml:space="preserve"> que gestión la infraestructura y los sistemas que sustentan la gestión de las finanzas públicas. </w:t>
      </w:r>
      <w:r w:rsidR="004D1DF7">
        <w:rPr>
          <w:rFonts w:ascii="Arial" w:hAnsi="Arial" w:cs="Arial"/>
        </w:rPr>
        <w:t xml:space="preserve">Lo anterior conlleva a que un buen programa de modernización de la gestión financiera del </w:t>
      </w:r>
      <w:r w:rsidR="003F3AC8">
        <w:rPr>
          <w:rFonts w:ascii="Arial" w:hAnsi="Arial" w:cs="Arial"/>
        </w:rPr>
        <w:t>Estado</w:t>
      </w:r>
      <w:r w:rsidR="004D1DF7">
        <w:rPr>
          <w:rFonts w:ascii="Arial" w:hAnsi="Arial" w:cs="Arial"/>
        </w:rPr>
        <w:t xml:space="preserve"> debe de tener un plan robusto de: 1. </w:t>
      </w:r>
      <w:r w:rsidR="003F3AC8">
        <w:rPr>
          <w:rFonts w:ascii="Arial" w:hAnsi="Arial" w:cs="Arial"/>
        </w:rPr>
        <w:t>Gestión</w:t>
      </w:r>
      <w:r w:rsidR="004D1DF7">
        <w:rPr>
          <w:rFonts w:ascii="Arial" w:hAnsi="Arial" w:cs="Arial"/>
        </w:rPr>
        <w:t xml:space="preserve"> del cambio y 2. Gobernanza del proyecto. La </w:t>
      </w:r>
      <w:r w:rsidR="003C2D64">
        <w:rPr>
          <w:rFonts w:ascii="Arial" w:hAnsi="Arial" w:cs="Arial"/>
        </w:rPr>
        <w:t>gestión</w:t>
      </w:r>
      <w:r w:rsidR="004D1DF7">
        <w:rPr>
          <w:rFonts w:ascii="Arial" w:hAnsi="Arial" w:cs="Arial"/>
        </w:rPr>
        <w:t xml:space="preserve"> del cambio no es solo el proceso de evaluación, diagn</w:t>
      </w:r>
      <w:r w:rsidR="00C0003A">
        <w:rPr>
          <w:rFonts w:ascii="Arial" w:hAnsi="Arial" w:cs="Arial"/>
        </w:rPr>
        <w:t>ó</w:t>
      </w:r>
      <w:r w:rsidR="004D1DF7">
        <w:rPr>
          <w:rFonts w:ascii="Arial" w:hAnsi="Arial" w:cs="Arial"/>
        </w:rPr>
        <w:t xml:space="preserve">stico y generación de nuevos procesos que simplifiquen </w:t>
      </w:r>
      <w:r w:rsidR="00C0003A">
        <w:rPr>
          <w:rFonts w:ascii="Arial" w:hAnsi="Arial" w:cs="Arial"/>
        </w:rPr>
        <w:t>las etapas del proceso y</w:t>
      </w:r>
      <w:r w:rsidR="004D1DF7">
        <w:rPr>
          <w:rFonts w:ascii="Arial" w:hAnsi="Arial" w:cs="Arial"/>
        </w:rPr>
        <w:t xml:space="preserve"> que generen nuevas formas de analizar la data financiera </w:t>
      </w:r>
      <w:r w:rsidR="00C0003A">
        <w:rPr>
          <w:rFonts w:ascii="Arial" w:hAnsi="Arial" w:cs="Arial"/>
        </w:rPr>
        <w:t xml:space="preserve">que puede asociarse </w:t>
      </w:r>
      <w:r w:rsidR="004D1DF7">
        <w:rPr>
          <w:rFonts w:ascii="Arial" w:hAnsi="Arial" w:cs="Arial"/>
        </w:rPr>
        <w:t xml:space="preserve">a resultados sociales, económicos y de </w:t>
      </w:r>
      <w:r w:rsidR="003C2D64">
        <w:rPr>
          <w:rFonts w:ascii="Arial" w:hAnsi="Arial" w:cs="Arial"/>
        </w:rPr>
        <w:t>inversión</w:t>
      </w:r>
      <w:r w:rsidR="004D1DF7">
        <w:rPr>
          <w:rFonts w:ascii="Arial" w:hAnsi="Arial" w:cs="Arial"/>
        </w:rPr>
        <w:t xml:space="preserve"> </w:t>
      </w:r>
      <w:r w:rsidR="005B4666">
        <w:rPr>
          <w:rFonts w:ascii="Arial" w:hAnsi="Arial" w:cs="Arial"/>
        </w:rPr>
        <w:t>pública</w:t>
      </w:r>
      <w:r w:rsidR="004D1DF7">
        <w:rPr>
          <w:rFonts w:ascii="Arial" w:hAnsi="Arial" w:cs="Arial"/>
        </w:rPr>
        <w:t xml:space="preserve">, sino </w:t>
      </w:r>
      <w:r w:rsidR="00954759">
        <w:rPr>
          <w:rFonts w:ascii="Arial" w:hAnsi="Arial" w:cs="Arial"/>
        </w:rPr>
        <w:t>también</w:t>
      </w:r>
      <w:r w:rsidR="00C0003A">
        <w:rPr>
          <w:rFonts w:ascii="Arial" w:hAnsi="Arial" w:cs="Arial"/>
        </w:rPr>
        <w:t>,</w:t>
      </w:r>
      <w:r w:rsidR="004D1DF7">
        <w:rPr>
          <w:rFonts w:ascii="Arial" w:hAnsi="Arial" w:cs="Arial"/>
        </w:rPr>
        <w:t xml:space="preserve"> de </w:t>
      </w:r>
      <w:r w:rsidR="00954759">
        <w:rPr>
          <w:rFonts w:ascii="Arial" w:hAnsi="Arial" w:cs="Arial"/>
        </w:rPr>
        <w:t>gestión</w:t>
      </w:r>
      <w:r w:rsidR="004D1DF7">
        <w:rPr>
          <w:rFonts w:ascii="Arial" w:hAnsi="Arial" w:cs="Arial"/>
        </w:rPr>
        <w:t xml:space="preserve"> de los intereses y prioridades de l</w:t>
      </w:r>
      <w:r w:rsidR="00C0003A">
        <w:rPr>
          <w:rFonts w:ascii="Arial" w:hAnsi="Arial" w:cs="Arial"/>
        </w:rPr>
        <w:t>as</w:t>
      </w:r>
      <w:r w:rsidR="004D1DF7">
        <w:rPr>
          <w:rFonts w:ascii="Arial" w:hAnsi="Arial" w:cs="Arial"/>
        </w:rPr>
        <w:t xml:space="preserve"> </w:t>
      </w:r>
      <w:r w:rsidR="00C0003A">
        <w:rPr>
          <w:rFonts w:ascii="Arial" w:hAnsi="Arial" w:cs="Arial"/>
        </w:rPr>
        <w:t xml:space="preserve">distintas Direcciones vinculadas con </w:t>
      </w:r>
      <w:r w:rsidR="004D1DF7">
        <w:rPr>
          <w:rFonts w:ascii="Arial" w:hAnsi="Arial" w:cs="Arial"/>
        </w:rPr>
        <w:t xml:space="preserve">las finanzas </w:t>
      </w:r>
      <w:r w:rsidR="003F3AC8">
        <w:rPr>
          <w:rFonts w:ascii="Arial" w:hAnsi="Arial" w:cs="Arial"/>
        </w:rPr>
        <w:t>públicas</w:t>
      </w:r>
      <w:r w:rsidR="004D1DF7">
        <w:rPr>
          <w:rFonts w:ascii="Arial" w:hAnsi="Arial" w:cs="Arial"/>
        </w:rPr>
        <w:t xml:space="preserve"> y </w:t>
      </w:r>
      <w:r w:rsidR="00C0003A">
        <w:rPr>
          <w:rFonts w:ascii="Arial" w:hAnsi="Arial" w:cs="Arial"/>
        </w:rPr>
        <w:t xml:space="preserve">el área de tecnología </w:t>
      </w:r>
      <w:r w:rsidR="004D1DF7">
        <w:rPr>
          <w:rFonts w:ascii="Arial" w:hAnsi="Arial" w:cs="Arial"/>
        </w:rPr>
        <w:t xml:space="preserve">del MEF. </w:t>
      </w:r>
    </w:p>
    <w:p w14:paraId="52AE47E0" w14:textId="780F35A2" w:rsidR="00644A5E" w:rsidRPr="00E1537F" w:rsidRDefault="00C0003A" w:rsidP="003C2D64">
      <w:pPr>
        <w:pStyle w:val="ListParagraph"/>
        <w:tabs>
          <w:tab w:val="left" w:pos="9000"/>
        </w:tabs>
        <w:spacing w:before="120" w:after="120" w:line="240" w:lineRule="auto"/>
        <w:ind w:left="360"/>
        <w:contextualSpacing w:val="0"/>
        <w:jc w:val="both"/>
        <w:rPr>
          <w:rFonts w:ascii="Arial" w:hAnsi="Arial" w:cs="Arial"/>
        </w:rPr>
      </w:pPr>
      <w:r>
        <w:rPr>
          <w:rFonts w:ascii="Arial" w:hAnsi="Arial" w:cs="Arial"/>
        </w:rPr>
        <w:t xml:space="preserve">Una de las debilidades del proyecto fue el continuo cambio en </w:t>
      </w:r>
      <w:r w:rsidR="003F3AC8">
        <w:rPr>
          <w:rFonts w:ascii="Arial" w:hAnsi="Arial" w:cs="Arial"/>
        </w:rPr>
        <w:t xml:space="preserve">la estrategia de gobernanza durante la duración del proyecto. </w:t>
      </w:r>
      <w:r w:rsidR="009C4477">
        <w:rPr>
          <w:rFonts w:ascii="Arial" w:hAnsi="Arial" w:cs="Arial"/>
        </w:rPr>
        <w:t xml:space="preserve"> </w:t>
      </w:r>
      <w:r w:rsidR="003F3AC8">
        <w:rPr>
          <w:rFonts w:ascii="Arial" w:hAnsi="Arial" w:cs="Arial"/>
        </w:rPr>
        <w:t>Por ejemplo, el diseño original del Proyecto se centraba en un modelo en el cual el MEF</w:t>
      </w:r>
      <w:r>
        <w:rPr>
          <w:rFonts w:ascii="Arial" w:hAnsi="Arial" w:cs="Arial"/>
        </w:rPr>
        <w:t>,</w:t>
      </w:r>
      <w:r w:rsidR="003F3AC8">
        <w:rPr>
          <w:rFonts w:ascii="Arial" w:hAnsi="Arial" w:cs="Arial"/>
        </w:rPr>
        <w:t xml:space="preserve"> generaría los términos de referencia de los componentes </w:t>
      </w:r>
      <w:r w:rsidR="003F3AC8">
        <w:rPr>
          <w:rFonts w:ascii="Arial" w:hAnsi="Arial" w:cs="Arial"/>
        </w:rPr>
        <w:lastRenderedPageBreak/>
        <w:t xml:space="preserve">funcionales y </w:t>
      </w:r>
      <w:r w:rsidR="0084253B">
        <w:rPr>
          <w:rFonts w:ascii="Arial" w:hAnsi="Arial" w:cs="Arial"/>
        </w:rPr>
        <w:t>tecnológicos</w:t>
      </w:r>
      <w:r w:rsidR="003F3AC8">
        <w:rPr>
          <w:rFonts w:ascii="Arial" w:hAnsi="Arial" w:cs="Arial"/>
        </w:rPr>
        <w:t xml:space="preserve"> y luego licitaría la construcción del nuevo sistema</w:t>
      </w:r>
      <w:r w:rsidR="0084253B">
        <w:rPr>
          <w:rFonts w:ascii="Arial" w:hAnsi="Arial" w:cs="Arial"/>
        </w:rPr>
        <w:t xml:space="preserve">. </w:t>
      </w:r>
      <w:r w:rsidR="00273541" w:rsidRPr="00E1537F">
        <w:rPr>
          <w:rFonts w:ascii="Arial" w:hAnsi="Arial" w:cs="Arial"/>
        </w:rPr>
        <w:t>La</w:t>
      </w:r>
      <w:r w:rsidR="00D12D7B" w:rsidRPr="00E1537F">
        <w:rPr>
          <w:rFonts w:ascii="Arial" w:hAnsi="Arial" w:cs="Arial"/>
        </w:rPr>
        <w:t xml:space="preserve"> </w:t>
      </w:r>
      <w:r w:rsidR="00273541" w:rsidRPr="00E1537F">
        <w:rPr>
          <w:rFonts w:ascii="Arial" w:hAnsi="Arial" w:cs="Arial"/>
        </w:rPr>
        <w:t xml:space="preserve">gobernanza </w:t>
      </w:r>
      <w:r w:rsidR="00D12D7B" w:rsidRPr="00E1537F">
        <w:rPr>
          <w:rFonts w:ascii="Arial" w:hAnsi="Arial" w:cs="Arial"/>
        </w:rPr>
        <w:t xml:space="preserve">fue </w:t>
      </w:r>
      <w:r w:rsidR="00B73AD0" w:rsidRPr="00E1537F">
        <w:rPr>
          <w:rFonts w:ascii="Arial" w:hAnsi="Arial" w:cs="Arial"/>
        </w:rPr>
        <w:t xml:space="preserve">substancialmente </w:t>
      </w:r>
      <w:r w:rsidR="00D12D7B" w:rsidRPr="00E1537F">
        <w:rPr>
          <w:rFonts w:ascii="Arial" w:hAnsi="Arial" w:cs="Arial"/>
        </w:rPr>
        <w:t>afectada p</w:t>
      </w:r>
      <w:r w:rsidR="00B73AD0" w:rsidRPr="00E1537F">
        <w:rPr>
          <w:rFonts w:ascii="Arial" w:hAnsi="Arial" w:cs="Arial"/>
        </w:rPr>
        <w:t>or</w:t>
      </w:r>
      <w:r w:rsidR="00D12D7B" w:rsidRPr="00E1537F">
        <w:rPr>
          <w:rFonts w:ascii="Arial" w:hAnsi="Arial" w:cs="Arial"/>
        </w:rPr>
        <w:t xml:space="preserve"> la </w:t>
      </w:r>
      <w:r w:rsidR="00BD229E" w:rsidRPr="00E1537F">
        <w:rPr>
          <w:rFonts w:ascii="Arial" w:hAnsi="Arial" w:cs="Arial"/>
        </w:rPr>
        <w:t>decisión</w:t>
      </w:r>
      <w:r w:rsidR="00D12D7B" w:rsidRPr="00E1537F">
        <w:rPr>
          <w:rFonts w:ascii="Arial" w:hAnsi="Arial" w:cs="Arial"/>
        </w:rPr>
        <w:t xml:space="preserve"> de modificar </w:t>
      </w:r>
      <w:r w:rsidR="00273541" w:rsidRPr="00E1537F">
        <w:rPr>
          <w:rFonts w:ascii="Arial" w:hAnsi="Arial" w:cs="Arial"/>
        </w:rPr>
        <w:t xml:space="preserve">el mecanismo de ejecución original, </w:t>
      </w:r>
      <w:r w:rsidR="00BF04BE" w:rsidRPr="00E1537F">
        <w:rPr>
          <w:rFonts w:ascii="Arial" w:hAnsi="Arial" w:cs="Arial"/>
        </w:rPr>
        <w:t xml:space="preserve">en el cual </w:t>
      </w:r>
      <w:r w:rsidR="00157D20">
        <w:rPr>
          <w:rFonts w:ascii="Arial" w:hAnsi="Arial" w:cs="Arial"/>
        </w:rPr>
        <w:t xml:space="preserve">se estableció </w:t>
      </w:r>
      <w:r w:rsidR="00373662" w:rsidRPr="00E1537F">
        <w:rPr>
          <w:rFonts w:ascii="Arial" w:hAnsi="Arial" w:cs="Arial"/>
        </w:rPr>
        <w:t>un Equipo</w:t>
      </w:r>
      <w:r w:rsidR="00644A5E" w:rsidRPr="00E1537F">
        <w:rPr>
          <w:rFonts w:ascii="Arial" w:hAnsi="Arial" w:cs="Arial"/>
        </w:rPr>
        <w:t xml:space="preserve"> Ejecutor </w:t>
      </w:r>
      <w:r w:rsidR="00716300" w:rsidRPr="00E1537F">
        <w:rPr>
          <w:rFonts w:ascii="Arial" w:hAnsi="Arial" w:cs="Arial"/>
        </w:rPr>
        <w:t xml:space="preserve">(EE) </w:t>
      </w:r>
      <w:r w:rsidR="00373662" w:rsidRPr="00E1537F">
        <w:rPr>
          <w:rFonts w:ascii="Arial" w:hAnsi="Arial" w:cs="Arial"/>
        </w:rPr>
        <w:t>compuesto en su totalidad por consultores externos, al cual se le otorgó responsabilidades y poder de decisión</w:t>
      </w:r>
      <w:r w:rsidR="00917456" w:rsidRPr="00E1537F">
        <w:rPr>
          <w:rFonts w:ascii="Arial" w:hAnsi="Arial" w:cs="Arial"/>
        </w:rPr>
        <w:t xml:space="preserve"> </w:t>
      </w:r>
      <w:r>
        <w:rPr>
          <w:rFonts w:ascii="Arial" w:hAnsi="Arial" w:cs="Arial"/>
        </w:rPr>
        <w:t xml:space="preserve">que superaban </w:t>
      </w:r>
      <w:r w:rsidR="00917456" w:rsidRPr="00E1537F">
        <w:rPr>
          <w:rFonts w:ascii="Arial" w:hAnsi="Arial" w:cs="Arial"/>
        </w:rPr>
        <w:t xml:space="preserve">la </w:t>
      </w:r>
      <w:r>
        <w:rPr>
          <w:rFonts w:ascii="Arial" w:hAnsi="Arial" w:cs="Arial"/>
        </w:rPr>
        <w:t xml:space="preserve">magnitud para la </w:t>
      </w:r>
      <w:r w:rsidR="00917456" w:rsidRPr="00E1537F">
        <w:rPr>
          <w:rFonts w:ascii="Arial" w:hAnsi="Arial" w:cs="Arial"/>
        </w:rPr>
        <w:t xml:space="preserve">implementación de </w:t>
      </w:r>
      <w:r>
        <w:rPr>
          <w:rFonts w:ascii="Arial" w:hAnsi="Arial" w:cs="Arial"/>
        </w:rPr>
        <w:t xml:space="preserve">la </w:t>
      </w:r>
      <w:r w:rsidR="00917456" w:rsidRPr="00E1537F">
        <w:rPr>
          <w:rFonts w:ascii="Arial" w:hAnsi="Arial" w:cs="Arial"/>
        </w:rPr>
        <w:t xml:space="preserve">reforma institucional </w:t>
      </w:r>
      <w:proofErr w:type="gramStart"/>
      <w:r>
        <w:rPr>
          <w:rFonts w:ascii="Arial" w:hAnsi="Arial" w:cs="Arial"/>
        </w:rPr>
        <w:t xml:space="preserve">requerida </w:t>
      </w:r>
      <w:r w:rsidR="00373662" w:rsidRPr="00E1537F">
        <w:rPr>
          <w:rFonts w:ascii="Arial" w:hAnsi="Arial" w:cs="Arial"/>
        </w:rPr>
        <w:t>.</w:t>
      </w:r>
      <w:proofErr w:type="gramEnd"/>
      <w:r w:rsidR="00BF04BE" w:rsidRPr="00E1537F">
        <w:rPr>
          <w:rFonts w:ascii="Arial" w:hAnsi="Arial" w:cs="Arial"/>
        </w:rPr>
        <w:t xml:space="preserve"> </w:t>
      </w:r>
      <w:r w:rsidR="00D12D7B" w:rsidRPr="00E1537F">
        <w:rPr>
          <w:rFonts w:ascii="Arial" w:hAnsi="Arial" w:cs="Arial"/>
        </w:rPr>
        <w:t>Una</w:t>
      </w:r>
      <w:r w:rsidR="00BF04BE" w:rsidRPr="00E1537F">
        <w:rPr>
          <w:rFonts w:ascii="Arial" w:hAnsi="Arial" w:cs="Arial"/>
        </w:rPr>
        <w:t xml:space="preserve"> </w:t>
      </w:r>
      <w:r w:rsidR="00D12D7B" w:rsidRPr="00E1537F">
        <w:rPr>
          <w:rFonts w:ascii="Arial" w:hAnsi="Arial" w:cs="Arial"/>
        </w:rPr>
        <w:t xml:space="preserve">importante consecuencia </w:t>
      </w:r>
      <w:r w:rsidR="00BF04BE" w:rsidRPr="00E1537F">
        <w:rPr>
          <w:rFonts w:ascii="Arial" w:hAnsi="Arial" w:cs="Arial"/>
        </w:rPr>
        <w:t xml:space="preserve">de </w:t>
      </w:r>
      <w:r>
        <w:rPr>
          <w:rFonts w:ascii="Arial" w:hAnsi="Arial" w:cs="Arial"/>
        </w:rPr>
        <w:t>esto</w:t>
      </w:r>
      <w:r w:rsidR="00D12D7B" w:rsidRPr="00E1537F">
        <w:rPr>
          <w:rFonts w:ascii="Arial" w:hAnsi="Arial" w:cs="Arial"/>
        </w:rPr>
        <w:t xml:space="preserve"> fue que el di</w:t>
      </w:r>
      <w:r>
        <w:rPr>
          <w:rFonts w:ascii="Arial" w:hAnsi="Arial" w:cs="Arial"/>
        </w:rPr>
        <w:t>á</w:t>
      </w:r>
      <w:r w:rsidR="00D12D7B" w:rsidRPr="00E1537F">
        <w:rPr>
          <w:rFonts w:ascii="Arial" w:hAnsi="Arial" w:cs="Arial"/>
        </w:rPr>
        <w:t xml:space="preserve">logo técnico entre el EE, </w:t>
      </w:r>
      <w:r w:rsidR="00B07BED" w:rsidRPr="00E1537F">
        <w:rPr>
          <w:rFonts w:ascii="Arial" w:hAnsi="Arial" w:cs="Arial"/>
        </w:rPr>
        <w:t>Órganos Rectores</w:t>
      </w:r>
      <w:r w:rsidR="00D12D7B" w:rsidRPr="00E1537F">
        <w:rPr>
          <w:rFonts w:ascii="Arial" w:hAnsi="Arial" w:cs="Arial"/>
        </w:rPr>
        <w:t xml:space="preserve"> (</w:t>
      </w:r>
      <w:proofErr w:type="spellStart"/>
      <w:r w:rsidR="00D12D7B" w:rsidRPr="00E1537F">
        <w:rPr>
          <w:rFonts w:ascii="Arial" w:hAnsi="Arial" w:cs="Arial"/>
        </w:rPr>
        <w:t>OR’s</w:t>
      </w:r>
      <w:proofErr w:type="spellEnd"/>
      <w:r w:rsidR="00D12D7B" w:rsidRPr="00E1537F">
        <w:rPr>
          <w:rFonts w:ascii="Arial" w:hAnsi="Arial" w:cs="Arial"/>
        </w:rPr>
        <w:t>) y el BID no fue fluido</w:t>
      </w:r>
      <w:r>
        <w:rPr>
          <w:rFonts w:ascii="Arial" w:hAnsi="Arial" w:cs="Arial"/>
        </w:rPr>
        <w:t>,</w:t>
      </w:r>
      <w:r w:rsidR="00D12D7B" w:rsidRPr="00E1537F">
        <w:rPr>
          <w:rFonts w:ascii="Arial" w:hAnsi="Arial" w:cs="Arial"/>
        </w:rPr>
        <w:t xml:space="preserve"> </w:t>
      </w:r>
      <w:r>
        <w:rPr>
          <w:rFonts w:ascii="Arial" w:hAnsi="Arial" w:cs="Arial"/>
        </w:rPr>
        <w:t>p</w:t>
      </w:r>
      <w:r w:rsidR="00D12D7B" w:rsidRPr="00E1537F">
        <w:rPr>
          <w:rFonts w:ascii="Arial" w:hAnsi="Arial" w:cs="Arial"/>
        </w:rPr>
        <w:t xml:space="preserve">or lo que el valor agregado técnico asociado a las mejores </w:t>
      </w:r>
      <w:r w:rsidR="00D83B08" w:rsidRPr="00E1537F">
        <w:rPr>
          <w:rFonts w:ascii="Arial" w:hAnsi="Arial" w:cs="Arial"/>
        </w:rPr>
        <w:t>prácticas</w:t>
      </w:r>
      <w:r w:rsidR="00D12D7B" w:rsidRPr="00E1537F">
        <w:rPr>
          <w:rFonts w:ascii="Arial" w:hAnsi="Arial" w:cs="Arial"/>
        </w:rPr>
        <w:t xml:space="preserve"> internacionales y lecciones aprendidas fueron presentadas de forma intermitente </w:t>
      </w:r>
      <w:r w:rsidR="00B73AD0" w:rsidRPr="00E1537F">
        <w:rPr>
          <w:rFonts w:ascii="Arial" w:hAnsi="Arial" w:cs="Arial"/>
        </w:rPr>
        <w:t>al</w:t>
      </w:r>
      <w:r w:rsidR="00D12D7B" w:rsidRPr="00E1537F">
        <w:rPr>
          <w:rFonts w:ascii="Arial" w:hAnsi="Arial" w:cs="Arial"/>
        </w:rPr>
        <w:t xml:space="preserve"> EE</w:t>
      </w:r>
      <w:r>
        <w:rPr>
          <w:rFonts w:ascii="Arial" w:hAnsi="Arial" w:cs="Arial"/>
        </w:rPr>
        <w:t xml:space="preserve">, afectando </w:t>
      </w:r>
      <w:r w:rsidR="00D12D7B" w:rsidRPr="00E1537F">
        <w:rPr>
          <w:rFonts w:ascii="Arial" w:hAnsi="Arial" w:cs="Arial"/>
        </w:rPr>
        <w:t xml:space="preserve">la </w:t>
      </w:r>
      <w:r w:rsidR="00D83B08" w:rsidRPr="00E1537F">
        <w:rPr>
          <w:rFonts w:ascii="Arial" w:hAnsi="Arial" w:cs="Arial"/>
        </w:rPr>
        <w:t xml:space="preserve">capacidad de proveer conocimiento </w:t>
      </w:r>
      <w:r w:rsidR="00AF5E6F" w:rsidRPr="00E1537F">
        <w:rPr>
          <w:rFonts w:ascii="Arial" w:hAnsi="Arial" w:cs="Arial"/>
        </w:rPr>
        <w:t>de forma consistente y permanente</w:t>
      </w:r>
      <w:r w:rsidR="00D83B08" w:rsidRPr="00E1537F">
        <w:rPr>
          <w:rFonts w:ascii="Arial" w:hAnsi="Arial" w:cs="Arial"/>
        </w:rPr>
        <w:t>.</w:t>
      </w:r>
      <w:r w:rsidR="00644A5E" w:rsidRPr="00E1537F">
        <w:rPr>
          <w:rFonts w:ascii="Arial" w:hAnsi="Arial" w:cs="Arial"/>
        </w:rPr>
        <w:t xml:space="preserve"> </w:t>
      </w:r>
      <w:r w:rsidR="0096694E" w:rsidRPr="00E1537F">
        <w:rPr>
          <w:rFonts w:ascii="Arial" w:hAnsi="Arial" w:cs="Arial"/>
        </w:rPr>
        <w:t xml:space="preserve">La evaluación intermedia del Programa </w:t>
      </w:r>
      <w:r w:rsidR="00EA11A1" w:rsidRPr="00E1537F">
        <w:rPr>
          <w:rFonts w:ascii="Arial" w:hAnsi="Arial" w:cs="Arial"/>
        </w:rPr>
        <w:t>ya señalaba</w:t>
      </w:r>
      <w:r w:rsidR="0096694E" w:rsidRPr="00E1537F">
        <w:rPr>
          <w:rFonts w:ascii="Arial" w:hAnsi="Arial" w:cs="Arial"/>
        </w:rPr>
        <w:t xml:space="preserve"> que, con</w:t>
      </w:r>
      <w:r w:rsidR="00644A5E" w:rsidRPr="00E1537F">
        <w:rPr>
          <w:rFonts w:ascii="Arial" w:hAnsi="Arial" w:cs="Arial"/>
        </w:rPr>
        <w:t xml:space="preserve"> casi 81% del tiempo de ejecución </w:t>
      </w:r>
      <w:r>
        <w:rPr>
          <w:rFonts w:ascii="Arial" w:hAnsi="Arial" w:cs="Arial"/>
        </w:rPr>
        <w:t>transcurrido</w:t>
      </w:r>
      <w:r w:rsidR="00644A5E" w:rsidRPr="00E1537F">
        <w:rPr>
          <w:rFonts w:ascii="Arial" w:hAnsi="Arial" w:cs="Arial"/>
        </w:rPr>
        <w:t xml:space="preserve">, </w:t>
      </w:r>
      <w:r w:rsidR="0096694E" w:rsidRPr="00E1537F">
        <w:rPr>
          <w:rFonts w:ascii="Arial" w:hAnsi="Arial" w:cs="Arial"/>
        </w:rPr>
        <w:t>se habían</w:t>
      </w:r>
      <w:r w:rsidR="00644A5E" w:rsidRPr="00E1537F">
        <w:rPr>
          <w:rFonts w:ascii="Arial" w:hAnsi="Arial" w:cs="Arial"/>
        </w:rPr>
        <w:t xml:space="preserve"> desembolsado 65% de los recursos financieros</w:t>
      </w:r>
      <w:r w:rsidR="004623E7" w:rsidRPr="00E1537F">
        <w:rPr>
          <w:rFonts w:ascii="Arial" w:hAnsi="Arial" w:cs="Arial"/>
        </w:rPr>
        <w:t xml:space="preserve"> con un </w:t>
      </w:r>
      <w:r w:rsidR="00644A5E" w:rsidRPr="00E1537F">
        <w:rPr>
          <w:rFonts w:ascii="Arial" w:hAnsi="Arial" w:cs="Arial"/>
        </w:rPr>
        <w:t>valor ganado</w:t>
      </w:r>
      <w:r w:rsidR="00644A5E" w:rsidRPr="00E1537F">
        <w:rPr>
          <w:rStyle w:val="FootnoteReference"/>
          <w:rFonts w:ascii="Arial" w:hAnsi="Arial" w:cs="Arial"/>
        </w:rPr>
        <w:footnoteReference w:id="4"/>
      </w:r>
      <w:r w:rsidR="00644A5E" w:rsidRPr="00E1537F">
        <w:rPr>
          <w:rFonts w:ascii="Arial" w:hAnsi="Arial" w:cs="Arial"/>
        </w:rPr>
        <w:t xml:space="preserve"> de apenas 44%</w:t>
      </w:r>
      <w:r w:rsidR="0096694E" w:rsidRPr="00E1537F">
        <w:rPr>
          <w:rFonts w:ascii="Arial" w:hAnsi="Arial" w:cs="Arial"/>
        </w:rPr>
        <w:t>. Con base en</w:t>
      </w:r>
      <w:r w:rsidR="00A22AAC" w:rsidRPr="00E1537F">
        <w:rPr>
          <w:rFonts w:ascii="Arial" w:hAnsi="Arial" w:cs="Arial"/>
        </w:rPr>
        <w:t xml:space="preserve"> estos</w:t>
      </w:r>
      <w:r w:rsidR="0096694E" w:rsidRPr="00E1537F">
        <w:rPr>
          <w:rFonts w:ascii="Arial" w:hAnsi="Arial" w:cs="Arial"/>
        </w:rPr>
        <w:t xml:space="preserve"> hallazgos de la evaluación intermedia</w:t>
      </w:r>
      <w:r w:rsidR="004623E7" w:rsidRPr="00E1537F">
        <w:rPr>
          <w:rFonts w:ascii="Arial" w:hAnsi="Arial" w:cs="Arial"/>
        </w:rPr>
        <w:t>, la decisión del Banco fue no autorizar nuevos compromisos financieros y desembolsar únicamente los recursos ya comprometidos.</w:t>
      </w:r>
      <w:r w:rsidR="00A07F54" w:rsidRPr="00E1537F">
        <w:rPr>
          <w:rFonts w:ascii="Arial" w:hAnsi="Arial" w:cs="Arial"/>
        </w:rPr>
        <w:t xml:space="preserve"> La d</w:t>
      </w:r>
      <w:r w:rsidR="004623E7" w:rsidRPr="00E1537F">
        <w:rPr>
          <w:rFonts w:ascii="Arial" w:hAnsi="Arial" w:cs="Arial"/>
        </w:rPr>
        <w:t xml:space="preserve">ecisión </w:t>
      </w:r>
      <w:r w:rsidR="00A07F54" w:rsidRPr="00E1537F">
        <w:rPr>
          <w:rFonts w:ascii="Arial" w:hAnsi="Arial" w:cs="Arial"/>
        </w:rPr>
        <w:t>del Banco</w:t>
      </w:r>
      <w:r w:rsidR="004623E7" w:rsidRPr="00E1537F">
        <w:rPr>
          <w:rFonts w:ascii="Arial" w:hAnsi="Arial" w:cs="Arial"/>
        </w:rPr>
        <w:t xml:space="preserve"> fue acertada, aunque </w:t>
      </w:r>
      <w:r w:rsidR="00EA11A1" w:rsidRPr="00E1537F">
        <w:rPr>
          <w:rFonts w:ascii="Arial" w:hAnsi="Arial" w:cs="Arial"/>
        </w:rPr>
        <w:t>la</w:t>
      </w:r>
      <w:r w:rsidR="004623E7" w:rsidRPr="00E1537F">
        <w:rPr>
          <w:rFonts w:ascii="Arial" w:hAnsi="Arial" w:cs="Arial"/>
        </w:rPr>
        <w:t xml:space="preserve"> tomó </w:t>
      </w:r>
      <w:r w:rsidR="00A07F54" w:rsidRPr="00E1537F">
        <w:rPr>
          <w:rFonts w:ascii="Arial" w:hAnsi="Arial" w:cs="Arial"/>
        </w:rPr>
        <w:t xml:space="preserve">cuando ya habían </w:t>
      </w:r>
      <w:r>
        <w:rPr>
          <w:rFonts w:ascii="Arial" w:hAnsi="Arial" w:cs="Arial"/>
        </w:rPr>
        <w:t xml:space="preserve">sido utilizados </w:t>
      </w:r>
      <w:r w:rsidR="00A07F54" w:rsidRPr="00E1537F">
        <w:rPr>
          <w:rFonts w:ascii="Arial" w:hAnsi="Arial" w:cs="Arial"/>
        </w:rPr>
        <w:t xml:space="preserve">buena parte de los recursos y </w:t>
      </w:r>
      <w:r w:rsidR="00085040">
        <w:rPr>
          <w:rFonts w:ascii="Arial" w:hAnsi="Arial" w:cs="Arial"/>
        </w:rPr>
        <w:t xml:space="preserve">transcurrido parte importante del </w:t>
      </w:r>
      <w:r w:rsidR="00A07F54" w:rsidRPr="00E1537F">
        <w:rPr>
          <w:rFonts w:ascii="Arial" w:hAnsi="Arial" w:cs="Arial"/>
        </w:rPr>
        <w:t xml:space="preserve">tiempo </w:t>
      </w:r>
      <w:r w:rsidR="00085040">
        <w:rPr>
          <w:rFonts w:ascii="Arial" w:hAnsi="Arial" w:cs="Arial"/>
        </w:rPr>
        <w:t xml:space="preserve">previsto para la ejecución </w:t>
      </w:r>
      <w:r w:rsidR="00A07F54" w:rsidRPr="00E1537F">
        <w:rPr>
          <w:rFonts w:ascii="Arial" w:hAnsi="Arial" w:cs="Arial"/>
        </w:rPr>
        <w:t>del Programa</w:t>
      </w:r>
      <w:r w:rsidR="00644A5E" w:rsidRPr="00E1537F">
        <w:rPr>
          <w:rFonts w:ascii="Arial" w:hAnsi="Arial" w:cs="Arial"/>
        </w:rPr>
        <w:t xml:space="preserve">. </w:t>
      </w:r>
      <w:r w:rsidR="00530C4C" w:rsidRPr="00E1537F">
        <w:rPr>
          <w:rFonts w:ascii="Arial" w:hAnsi="Arial" w:cs="Arial"/>
        </w:rPr>
        <w:t>En l</w:t>
      </w:r>
      <w:r w:rsidR="00644A5E" w:rsidRPr="00E1537F">
        <w:rPr>
          <w:rFonts w:ascii="Arial" w:hAnsi="Arial" w:cs="Arial"/>
        </w:rPr>
        <w:t xml:space="preserve">a sección de </w:t>
      </w:r>
      <w:hyperlink w:anchor="_Hallazgos_y_recomendaciones" w:history="1">
        <w:r w:rsidR="00644A5E" w:rsidRPr="00E1537F">
          <w:rPr>
            <w:rStyle w:val="Hyperlink"/>
            <w:rFonts w:ascii="Arial" w:hAnsi="Arial" w:cs="Arial"/>
          </w:rPr>
          <w:t>hallazgos y recomendaciones</w:t>
        </w:r>
      </w:hyperlink>
      <w:r w:rsidR="00530C4C" w:rsidRPr="00E1537F">
        <w:rPr>
          <w:rFonts w:ascii="Arial" w:hAnsi="Arial" w:cs="Arial"/>
        </w:rPr>
        <w:t xml:space="preserve"> se proveen </w:t>
      </w:r>
      <w:r w:rsidR="00644A5E" w:rsidRPr="00E1537F">
        <w:rPr>
          <w:rFonts w:ascii="Arial" w:hAnsi="Arial" w:cs="Arial"/>
        </w:rPr>
        <w:t xml:space="preserve">más detalles sobre </w:t>
      </w:r>
      <w:r w:rsidR="00A07F54" w:rsidRPr="00E1537F">
        <w:rPr>
          <w:rFonts w:ascii="Arial" w:hAnsi="Arial" w:cs="Arial"/>
        </w:rPr>
        <w:t>estos</w:t>
      </w:r>
      <w:r w:rsidR="00644A5E" w:rsidRPr="00E1537F">
        <w:rPr>
          <w:rFonts w:ascii="Arial" w:hAnsi="Arial" w:cs="Arial"/>
        </w:rPr>
        <w:t xml:space="preserve"> </w:t>
      </w:r>
      <w:r w:rsidR="00530C4C" w:rsidRPr="00E1537F">
        <w:rPr>
          <w:rFonts w:ascii="Arial" w:hAnsi="Arial" w:cs="Arial"/>
        </w:rPr>
        <w:t>tema</w:t>
      </w:r>
      <w:r w:rsidR="00A07F54" w:rsidRPr="00E1537F">
        <w:rPr>
          <w:rFonts w:ascii="Arial" w:hAnsi="Arial" w:cs="Arial"/>
        </w:rPr>
        <w:t>s</w:t>
      </w:r>
      <w:r w:rsidR="00530C4C" w:rsidRPr="00E1537F">
        <w:rPr>
          <w:rFonts w:ascii="Arial" w:hAnsi="Arial" w:cs="Arial"/>
        </w:rPr>
        <w:t>.</w:t>
      </w:r>
    </w:p>
    <w:p w14:paraId="62A548C6" w14:textId="6DCAE110" w:rsidR="009B0F97" w:rsidRDefault="00E1537F" w:rsidP="009B0F97">
      <w:pPr>
        <w:pStyle w:val="ListParagraph"/>
        <w:tabs>
          <w:tab w:val="left" w:pos="9000"/>
        </w:tabs>
        <w:spacing w:before="120" w:after="120" w:line="240" w:lineRule="auto"/>
        <w:ind w:left="360"/>
        <w:contextualSpacing w:val="0"/>
        <w:jc w:val="both"/>
        <w:rPr>
          <w:rFonts w:ascii="Arial" w:hAnsi="Arial" w:cs="Arial"/>
        </w:rPr>
      </w:pPr>
      <w:r>
        <w:rPr>
          <w:rFonts w:ascii="Arial" w:hAnsi="Arial" w:cs="Arial"/>
        </w:rPr>
        <w:t xml:space="preserve">También es importante resaltar que una reforma de las finanzas públicas debe estar basada </w:t>
      </w:r>
      <w:r w:rsidR="0099220B">
        <w:rPr>
          <w:rFonts w:ascii="Arial" w:hAnsi="Arial" w:cs="Arial"/>
        </w:rPr>
        <w:t>en 4 pilares</w:t>
      </w:r>
      <w:r>
        <w:rPr>
          <w:rFonts w:ascii="Arial" w:hAnsi="Arial" w:cs="Arial"/>
        </w:rPr>
        <w:t>: (i) sus normativas; (</w:t>
      </w:r>
      <w:proofErr w:type="spellStart"/>
      <w:r>
        <w:rPr>
          <w:rFonts w:ascii="Arial" w:hAnsi="Arial" w:cs="Arial"/>
        </w:rPr>
        <w:t>ii</w:t>
      </w:r>
      <w:proofErr w:type="spellEnd"/>
      <w:r>
        <w:rPr>
          <w:rFonts w:ascii="Arial" w:hAnsi="Arial" w:cs="Arial"/>
        </w:rPr>
        <w:t>) sus procesos; (</w:t>
      </w:r>
      <w:proofErr w:type="spellStart"/>
      <w:r>
        <w:rPr>
          <w:rFonts w:ascii="Arial" w:hAnsi="Arial" w:cs="Arial"/>
        </w:rPr>
        <w:t>iii</w:t>
      </w:r>
      <w:proofErr w:type="spellEnd"/>
      <w:r>
        <w:rPr>
          <w:rFonts w:ascii="Arial" w:hAnsi="Arial" w:cs="Arial"/>
        </w:rPr>
        <w:t xml:space="preserve">) sus instrumentos </w:t>
      </w:r>
      <w:r w:rsidR="005D0BCC">
        <w:rPr>
          <w:rFonts w:ascii="Arial" w:hAnsi="Arial" w:cs="Arial"/>
        </w:rPr>
        <w:t>y</w:t>
      </w:r>
      <w:r>
        <w:rPr>
          <w:rFonts w:ascii="Arial" w:hAnsi="Arial" w:cs="Arial"/>
        </w:rPr>
        <w:t xml:space="preserve"> metodologías de apoyo; y (</w:t>
      </w:r>
      <w:proofErr w:type="spellStart"/>
      <w:r>
        <w:rPr>
          <w:rFonts w:ascii="Arial" w:hAnsi="Arial" w:cs="Arial"/>
        </w:rPr>
        <w:t>iv</w:t>
      </w:r>
      <w:proofErr w:type="spellEnd"/>
      <w:r>
        <w:rPr>
          <w:rFonts w:ascii="Arial" w:hAnsi="Arial" w:cs="Arial"/>
        </w:rPr>
        <w:t xml:space="preserve">) sus sistemas y tecnologías de la información. Las mejores </w:t>
      </w:r>
      <w:r w:rsidR="003779D3">
        <w:rPr>
          <w:rFonts w:ascii="Arial" w:hAnsi="Arial" w:cs="Arial"/>
        </w:rPr>
        <w:t>prácticas</w:t>
      </w:r>
      <w:r>
        <w:rPr>
          <w:rFonts w:ascii="Arial" w:hAnsi="Arial" w:cs="Arial"/>
        </w:rPr>
        <w:t xml:space="preserve"> internacionales son claras en afirmar que no seguir estos principios pueden </w:t>
      </w:r>
      <w:r w:rsidR="0099220B">
        <w:rPr>
          <w:rFonts w:ascii="Arial" w:hAnsi="Arial" w:cs="Arial"/>
        </w:rPr>
        <w:t>generar serias consecuencias negativas “</w:t>
      </w:r>
      <w:proofErr w:type="spellStart"/>
      <w:r w:rsidR="0099220B">
        <w:rPr>
          <w:rFonts w:ascii="Arial" w:hAnsi="Arial" w:cs="Arial"/>
          <w:i/>
          <w:iCs/>
        </w:rPr>
        <w:t>recipe</w:t>
      </w:r>
      <w:proofErr w:type="spellEnd"/>
      <w:r w:rsidR="0099220B">
        <w:rPr>
          <w:rFonts w:ascii="Arial" w:hAnsi="Arial" w:cs="Arial"/>
          <w:i/>
          <w:iCs/>
        </w:rPr>
        <w:t xml:space="preserve"> for </w:t>
      </w:r>
      <w:proofErr w:type="spellStart"/>
      <w:r w:rsidR="0099220B">
        <w:rPr>
          <w:rFonts w:ascii="Arial" w:hAnsi="Arial" w:cs="Arial"/>
          <w:i/>
          <w:iCs/>
        </w:rPr>
        <w:t>d</w:t>
      </w:r>
      <w:r w:rsidR="00085040">
        <w:rPr>
          <w:rFonts w:ascii="Arial" w:hAnsi="Arial" w:cs="Arial"/>
          <w:i/>
          <w:iCs/>
        </w:rPr>
        <w:t>isaster</w:t>
      </w:r>
      <w:proofErr w:type="spellEnd"/>
      <w:r w:rsidR="0099220B">
        <w:rPr>
          <w:rFonts w:ascii="Arial" w:hAnsi="Arial" w:cs="Arial"/>
          <w:i/>
          <w:iCs/>
        </w:rPr>
        <w:t>”</w:t>
      </w:r>
      <w:r w:rsidR="005D0BCC">
        <w:rPr>
          <w:rFonts w:ascii="Arial" w:hAnsi="Arial" w:cs="Arial"/>
          <w:i/>
          <w:iCs/>
        </w:rPr>
        <w:t xml:space="preserve"> </w:t>
      </w:r>
      <w:r w:rsidR="005D0BCC" w:rsidRPr="005D0BCC">
        <w:rPr>
          <w:rFonts w:ascii="Arial" w:hAnsi="Arial" w:cs="Arial"/>
        </w:rPr>
        <w:t xml:space="preserve">y no </w:t>
      </w:r>
      <w:r w:rsidR="00E53015">
        <w:rPr>
          <w:rFonts w:ascii="Arial" w:hAnsi="Arial" w:cs="Arial"/>
        </w:rPr>
        <w:t xml:space="preserve">se </w:t>
      </w:r>
      <w:r w:rsidR="005D0BCC" w:rsidRPr="005D0BCC">
        <w:rPr>
          <w:rFonts w:ascii="Arial" w:hAnsi="Arial" w:cs="Arial"/>
        </w:rPr>
        <w:t>logra la reforma</w:t>
      </w:r>
      <w:r w:rsidR="0099220B" w:rsidRPr="005D0BCC">
        <w:rPr>
          <w:rFonts w:ascii="Arial" w:hAnsi="Arial" w:cs="Arial"/>
        </w:rPr>
        <w:t>.</w:t>
      </w:r>
      <w:r w:rsidR="0099220B">
        <w:rPr>
          <w:rFonts w:ascii="Arial" w:hAnsi="Arial" w:cs="Arial"/>
          <w:i/>
          <w:iCs/>
        </w:rPr>
        <w:t xml:space="preserve"> </w:t>
      </w:r>
      <w:r>
        <w:rPr>
          <w:rFonts w:ascii="Arial" w:hAnsi="Arial" w:cs="Arial"/>
        </w:rPr>
        <w:t xml:space="preserve"> En este sentido, la operación evaluada tuvo un foco muy fuerte en sistema</w:t>
      </w:r>
      <w:r w:rsidR="005D0BCC">
        <w:rPr>
          <w:rFonts w:ascii="Arial" w:hAnsi="Arial" w:cs="Arial"/>
        </w:rPr>
        <w:t>s</w:t>
      </w:r>
      <w:r>
        <w:rPr>
          <w:rFonts w:ascii="Arial" w:hAnsi="Arial" w:cs="Arial"/>
        </w:rPr>
        <w:t xml:space="preserve"> y tecnología de la información, </w:t>
      </w:r>
      <w:r w:rsidR="005D0BCC">
        <w:rPr>
          <w:rFonts w:ascii="Arial" w:hAnsi="Arial" w:cs="Arial"/>
        </w:rPr>
        <w:t>lo que puso</w:t>
      </w:r>
      <w:r>
        <w:rPr>
          <w:rFonts w:ascii="Arial" w:hAnsi="Arial" w:cs="Arial"/>
        </w:rPr>
        <w:t xml:space="preserve"> en riesgo de </w:t>
      </w:r>
      <w:r w:rsidR="0099220B">
        <w:rPr>
          <w:rFonts w:ascii="Arial" w:hAnsi="Arial" w:cs="Arial"/>
        </w:rPr>
        <w:t>que,</w:t>
      </w:r>
      <w:r>
        <w:rPr>
          <w:rFonts w:ascii="Arial" w:hAnsi="Arial" w:cs="Arial"/>
        </w:rPr>
        <w:t xml:space="preserve"> si esto no se </w:t>
      </w:r>
      <w:r w:rsidR="005D0BCC">
        <w:rPr>
          <w:rFonts w:ascii="Arial" w:hAnsi="Arial" w:cs="Arial"/>
        </w:rPr>
        <w:t>lograra</w:t>
      </w:r>
      <w:r w:rsidR="0099220B">
        <w:rPr>
          <w:rFonts w:ascii="Arial" w:hAnsi="Arial" w:cs="Arial"/>
        </w:rPr>
        <w:t>,</w:t>
      </w:r>
      <w:r>
        <w:rPr>
          <w:rFonts w:ascii="Arial" w:hAnsi="Arial" w:cs="Arial"/>
        </w:rPr>
        <w:t xml:space="preserve"> toda la reforma estaría comprometida, conforme ocurrió.</w:t>
      </w:r>
      <w:r w:rsidR="0099220B">
        <w:rPr>
          <w:rFonts w:ascii="Arial" w:hAnsi="Arial" w:cs="Arial"/>
        </w:rPr>
        <w:t xml:space="preserve"> La recomendación para una eventual nueva operación es que </w:t>
      </w:r>
      <w:r w:rsidR="00085040">
        <w:rPr>
          <w:rFonts w:ascii="Arial" w:hAnsi="Arial" w:cs="Arial"/>
        </w:rPr>
        <w:t>é</w:t>
      </w:r>
      <w:r w:rsidR="0099220B">
        <w:rPr>
          <w:rFonts w:ascii="Arial" w:hAnsi="Arial" w:cs="Arial"/>
        </w:rPr>
        <w:t xml:space="preserve">sta tenga un enfoque </w:t>
      </w:r>
      <w:r w:rsidR="005D0BCC">
        <w:rPr>
          <w:rFonts w:ascii="Arial" w:hAnsi="Arial" w:cs="Arial"/>
        </w:rPr>
        <w:t xml:space="preserve">principal </w:t>
      </w:r>
      <w:r w:rsidR="0099220B">
        <w:rPr>
          <w:rFonts w:ascii="Arial" w:hAnsi="Arial" w:cs="Arial"/>
        </w:rPr>
        <w:t xml:space="preserve">en el negocio que </w:t>
      </w:r>
      <w:r w:rsidR="005D0BCC">
        <w:rPr>
          <w:rFonts w:ascii="Arial" w:hAnsi="Arial" w:cs="Arial"/>
        </w:rPr>
        <w:t>l</w:t>
      </w:r>
      <w:r w:rsidR="0099220B">
        <w:rPr>
          <w:rFonts w:ascii="Arial" w:hAnsi="Arial" w:cs="Arial"/>
        </w:rPr>
        <w:t xml:space="preserve">as Finanzas Públicas llevan a cabo. </w:t>
      </w:r>
      <w:r w:rsidR="005D0BCC">
        <w:rPr>
          <w:rFonts w:ascii="Arial" w:hAnsi="Arial" w:cs="Arial"/>
        </w:rPr>
        <w:t>Actualmente, existen</w:t>
      </w:r>
      <w:r w:rsidR="0099220B">
        <w:rPr>
          <w:rFonts w:ascii="Arial" w:hAnsi="Arial" w:cs="Arial"/>
        </w:rPr>
        <w:t xml:space="preserve"> </w:t>
      </w:r>
      <w:r w:rsidR="005D0BCC">
        <w:rPr>
          <w:rFonts w:ascii="Arial" w:hAnsi="Arial" w:cs="Arial"/>
        </w:rPr>
        <w:t>mejoras a ser implementadas en las Finanzas Públicas que transcienden a la mejora de la tecnología</w:t>
      </w:r>
      <w:r w:rsidR="002C7153">
        <w:rPr>
          <w:rFonts w:ascii="Arial" w:hAnsi="Arial" w:cs="Arial"/>
        </w:rPr>
        <w:t xml:space="preserve"> de la información</w:t>
      </w:r>
      <w:r w:rsidR="0099220B">
        <w:rPr>
          <w:rFonts w:ascii="Arial" w:hAnsi="Arial" w:cs="Arial"/>
        </w:rPr>
        <w:t xml:space="preserve">, como por ejemplo: </w:t>
      </w:r>
      <w:r w:rsidR="00157D20">
        <w:rPr>
          <w:rFonts w:ascii="Arial" w:hAnsi="Arial" w:cs="Arial"/>
        </w:rPr>
        <w:t xml:space="preserve">(i) contar con una normativa que oriente la modernización y respalde los cambios en los procedimientos y sistema; </w:t>
      </w:r>
      <w:r w:rsidR="00124C06">
        <w:rPr>
          <w:rFonts w:ascii="Arial" w:hAnsi="Arial" w:cs="Arial"/>
        </w:rPr>
        <w:t>(</w:t>
      </w:r>
      <w:proofErr w:type="spellStart"/>
      <w:r w:rsidR="00124C06">
        <w:rPr>
          <w:rFonts w:ascii="Arial" w:hAnsi="Arial" w:cs="Arial"/>
        </w:rPr>
        <w:t>i</w:t>
      </w:r>
      <w:r w:rsidR="00157D20">
        <w:rPr>
          <w:rFonts w:ascii="Arial" w:hAnsi="Arial" w:cs="Arial"/>
        </w:rPr>
        <w:t>i</w:t>
      </w:r>
      <w:proofErr w:type="spellEnd"/>
      <w:r w:rsidR="00124C06">
        <w:rPr>
          <w:rFonts w:ascii="Arial" w:hAnsi="Arial" w:cs="Arial"/>
        </w:rPr>
        <w:t>) contar con una clasificación presupuestaria que facilite la gestión de los programas de gobierno; (</w:t>
      </w:r>
      <w:proofErr w:type="spellStart"/>
      <w:r w:rsidR="00124C06">
        <w:rPr>
          <w:rFonts w:ascii="Arial" w:hAnsi="Arial" w:cs="Arial"/>
        </w:rPr>
        <w:t>i</w:t>
      </w:r>
      <w:r w:rsidR="00157D20">
        <w:rPr>
          <w:rFonts w:ascii="Arial" w:hAnsi="Arial" w:cs="Arial"/>
        </w:rPr>
        <w:t>i</w:t>
      </w:r>
      <w:r w:rsidR="00124C06">
        <w:rPr>
          <w:rFonts w:ascii="Arial" w:hAnsi="Arial" w:cs="Arial"/>
        </w:rPr>
        <w:t>i</w:t>
      </w:r>
      <w:proofErr w:type="spellEnd"/>
      <w:r w:rsidR="00124C06">
        <w:rPr>
          <w:rFonts w:ascii="Arial" w:hAnsi="Arial" w:cs="Arial"/>
        </w:rPr>
        <w:t xml:space="preserve">) contar con un plan de cuentas que </w:t>
      </w:r>
      <w:r w:rsidR="005D0BCC">
        <w:rPr>
          <w:rFonts w:ascii="Arial" w:hAnsi="Arial" w:cs="Arial"/>
        </w:rPr>
        <w:t>genere</w:t>
      </w:r>
      <w:r w:rsidR="00124C06">
        <w:rPr>
          <w:rFonts w:ascii="Arial" w:hAnsi="Arial" w:cs="Arial"/>
        </w:rPr>
        <w:t xml:space="preserve"> información oportuna para la toma de decisiones; (</w:t>
      </w:r>
      <w:proofErr w:type="spellStart"/>
      <w:r w:rsidR="00124C06">
        <w:rPr>
          <w:rFonts w:ascii="Arial" w:hAnsi="Arial" w:cs="Arial"/>
        </w:rPr>
        <w:t>i</w:t>
      </w:r>
      <w:r w:rsidR="00157D20">
        <w:rPr>
          <w:rFonts w:ascii="Arial" w:hAnsi="Arial" w:cs="Arial"/>
        </w:rPr>
        <w:t>v</w:t>
      </w:r>
      <w:proofErr w:type="spellEnd"/>
      <w:r w:rsidR="00124C06">
        <w:rPr>
          <w:rFonts w:ascii="Arial" w:hAnsi="Arial" w:cs="Arial"/>
        </w:rPr>
        <w:t>) estandarizar catálogos de bienes y servicios para generar economía</w:t>
      </w:r>
      <w:r w:rsidR="00085040">
        <w:rPr>
          <w:rFonts w:ascii="Arial" w:hAnsi="Arial" w:cs="Arial"/>
        </w:rPr>
        <w:t>s</w:t>
      </w:r>
      <w:r w:rsidR="00124C06">
        <w:rPr>
          <w:rFonts w:ascii="Arial" w:hAnsi="Arial" w:cs="Arial"/>
        </w:rPr>
        <w:t xml:space="preserve"> de escala en la compras</w:t>
      </w:r>
      <w:r w:rsidR="005D0BCC">
        <w:rPr>
          <w:rFonts w:ascii="Arial" w:hAnsi="Arial" w:cs="Arial"/>
        </w:rPr>
        <w:t xml:space="preserve"> públicas</w:t>
      </w:r>
      <w:r w:rsidR="00124C06">
        <w:rPr>
          <w:rFonts w:ascii="Arial" w:hAnsi="Arial" w:cs="Arial"/>
        </w:rPr>
        <w:t>;  (v) contar con procedimiento</w:t>
      </w:r>
      <w:r w:rsidR="00085040">
        <w:rPr>
          <w:rFonts w:ascii="Arial" w:hAnsi="Arial" w:cs="Arial"/>
        </w:rPr>
        <w:t>s</w:t>
      </w:r>
      <w:r w:rsidR="00124C06">
        <w:rPr>
          <w:rFonts w:ascii="Arial" w:hAnsi="Arial" w:cs="Arial"/>
        </w:rPr>
        <w:t xml:space="preserve"> efectivos de programación de ingresos; (v</w:t>
      </w:r>
      <w:r w:rsidR="00157D20">
        <w:rPr>
          <w:rFonts w:ascii="Arial" w:hAnsi="Arial" w:cs="Arial"/>
        </w:rPr>
        <w:t>i</w:t>
      </w:r>
      <w:r w:rsidR="00124C06">
        <w:rPr>
          <w:rFonts w:ascii="Arial" w:hAnsi="Arial" w:cs="Arial"/>
        </w:rPr>
        <w:t>) eliminar los cuellos de botella en el proceso de devengado</w:t>
      </w:r>
      <w:r w:rsidR="00085040">
        <w:rPr>
          <w:rFonts w:ascii="Arial" w:hAnsi="Arial" w:cs="Arial"/>
        </w:rPr>
        <w:t>,</w:t>
      </w:r>
      <w:r w:rsidR="002C7153">
        <w:rPr>
          <w:rFonts w:ascii="Arial" w:hAnsi="Arial" w:cs="Arial"/>
        </w:rPr>
        <w:t xml:space="preserve"> introduciendo transparencia a la ejecución presupuestaria</w:t>
      </w:r>
      <w:r w:rsidR="00124C06">
        <w:rPr>
          <w:rFonts w:ascii="Arial" w:hAnsi="Arial" w:cs="Arial"/>
        </w:rPr>
        <w:t>; (</w:t>
      </w:r>
      <w:proofErr w:type="spellStart"/>
      <w:r w:rsidR="00124C06">
        <w:rPr>
          <w:rFonts w:ascii="Arial" w:hAnsi="Arial" w:cs="Arial"/>
        </w:rPr>
        <w:t>vi</w:t>
      </w:r>
      <w:r w:rsidR="00157D20">
        <w:rPr>
          <w:rFonts w:ascii="Arial" w:hAnsi="Arial" w:cs="Arial"/>
        </w:rPr>
        <w:t>i</w:t>
      </w:r>
      <w:proofErr w:type="spellEnd"/>
      <w:r w:rsidR="00124C06">
        <w:rPr>
          <w:rFonts w:ascii="Arial" w:hAnsi="Arial" w:cs="Arial"/>
        </w:rPr>
        <w:t xml:space="preserve">) eliminar </w:t>
      </w:r>
      <w:r w:rsidR="00085040">
        <w:rPr>
          <w:rFonts w:ascii="Arial" w:hAnsi="Arial" w:cs="Arial"/>
        </w:rPr>
        <w:t xml:space="preserve">la figura de </w:t>
      </w:r>
      <w:r w:rsidR="00124C06">
        <w:rPr>
          <w:rFonts w:ascii="Arial" w:hAnsi="Arial" w:cs="Arial"/>
        </w:rPr>
        <w:t>saldo de balance</w:t>
      </w:r>
      <w:r w:rsidR="00085040">
        <w:rPr>
          <w:rFonts w:ascii="Arial" w:hAnsi="Arial" w:cs="Arial"/>
        </w:rPr>
        <w:t>,</w:t>
      </w:r>
      <w:r w:rsidR="005D0BCC">
        <w:rPr>
          <w:rFonts w:ascii="Arial" w:hAnsi="Arial" w:cs="Arial"/>
        </w:rPr>
        <w:t xml:space="preserve"> que distorsiona la ejecución del presupuesto</w:t>
      </w:r>
      <w:r w:rsidR="00124C06">
        <w:rPr>
          <w:rFonts w:ascii="Arial" w:hAnsi="Arial" w:cs="Arial"/>
        </w:rPr>
        <w:t xml:space="preserve">;  </w:t>
      </w:r>
      <w:r w:rsidR="0099220B">
        <w:rPr>
          <w:rFonts w:ascii="Arial" w:hAnsi="Arial" w:cs="Arial"/>
        </w:rPr>
        <w:t>(</w:t>
      </w:r>
      <w:proofErr w:type="spellStart"/>
      <w:r w:rsidR="005D0BCC">
        <w:rPr>
          <w:rFonts w:ascii="Arial" w:hAnsi="Arial" w:cs="Arial"/>
        </w:rPr>
        <w:t>vii</w:t>
      </w:r>
      <w:r w:rsidR="00157D20">
        <w:rPr>
          <w:rFonts w:ascii="Arial" w:hAnsi="Arial" w:cs="Arial"/>
        </w:rPr>
        <w:t>i</w:t>
      </w:r>
      <w:proofErr w:type="spellEnd"/>
      <w:r w:rsidR="0099220B">
        <w:rPr>
          <w:rFonts w:ascii="Arial" w:hAnsi="Arial" w:cs="Arial"/>
        </w:rPr>
        <w:t>) contar con una gestión de caja eficiente</w:t>
      </w:r>
      <w:r w:rsidR="00BD0B46">
        <w:rPr>
          <w:rFonts w:ascii="Arial" w:hAnsi="Arial" w:cs="Arial"/>
        </w:rPr>
        <w:t>,</w:t>
      </w:r>
      <w:r w:rsidR="002C7153">
        <w:rPr>
          <w:rFonts w:ascii="Arial" w:hAnsi="Arial" w:cs="Arial"/>
        </w:rPr>
        <w:t xml:space="preserve"> disminuyendo el endeudamiento de corto plazo</w:t>
      </w:r>
      <w:r w:rsidR="00E53015">
        <w:rPr>
          <w:rFonts w:ascii="Arial" w:hAnsi="Arial" w:cs="Arial"/>
        </w:rPr>
        <w:t xml:space="preserve"> del Tesoro</w:t>
      </w:r>
      <w:r w:rsidR="0099220B">
        <w:rPr>
          <w:rFonts w:ascii="Arial" w:hAnsi="Arial" w:cs="Arial"/>
        </w:rPr>
        <w:t>;</w:t>
      </w:r>
      <w:r w:rsidR="00124C06">
        <w:rPr>
          <w:rFonts w:ascii="Arial" w:hAnsi="Arial" w:cs="Arial"/>
        </w:rPr>
        <w:t xml:space="preserve"> </w:t>
      </w:r>
      <w:r w:rsidR="005D0BCC">
        <w:rPr>
          <w:rFonts w:ascii="Arial" w:hAnsi="Arial" w:cs="Arial"/>
        </w:rPr>
        <w:t xml:space="preserve">y </w:t>
      </w:r>
      <w:r w:rsidR="0099220B">
        <w:rPr>
          <w:rFonts w:ascii="Arial" w:hAnsi="Arial" w:cs="Arial"/>
        </w:rPr>
        <w:t>(</w:t>
      </w:r>
      <w:proofErr w:type="spellStart"/>
      <w:r w:rsidR="00157D20">
        <w:rPr>
          <w:rFonts w:ascii="Arial" w:hAnsi="Arial" w:cs="Arial"/>
        </w:rPr>
        <w:t>ix</w:t>
      </w:r>
      <w:proofErr w:type="spellEnd"/>
      <w:r w:rsidR="00157D20">
        <w:rPr>
          <w:rFonts w:ascii="Arial" w:hAnsi="Arial" w:cs="Arial"/>
        </w:rPr>
        <w:t>)</w:t>
      </w:r>
      <w:r w:rsidR="0099220B">
        <w:rPr>
          <w:rFonts w:ascii="Arial" w:hAnsi="Arial" w:cs="Arial"/>
        </w:rPr>
        <w:t xml:space="preserve"> contar con un</w:t>
      </w:r>
      <w:r w:rsidR="00E53015">
        <w:rPr>
          <w:rFonts w:ascii="Arial" w:hAnsi="Arial" w:cs="Arial"/>
        </w:rPr>
        <w:t xml:space="preserve"> modelo de</w:t>
      </w:r>
      <w:r w:rsidR="0099220B">
        <w:rPr>
          <w:rFonts w:ascii="Arial" w:hAnsi="Arial" w:cs="Arial"/>
        </w:rPr>
        <w:t xml:space="preserve"> Cuenta Única en que se pueda sacar provecho de su fungibilidad</w:t>
      </w:r>
      <w:r w:rsidR="002C7153">
        <w:rPr>
          <w:rFonts w:ascii="Arial" w:hAnsi="Arial" w:cs="Arial"/>
        </w:rPr>
        <w:t xml:space="preserve"> y mejorar la disponibilidad de recursos del gobierno</w:t>
      </w:r>
      <w:r w:rsidR="00124C06">
        <w:rPr>
          <w:rFonts w:ascii="Arial" w:hAnsi="Arial" w:cs="Arial"/>
        </w:rPr>
        <w:t>.</w:t>
      </w:r>
    </w:p>
    <w:p w14:paraId="2B850822" w14:textId="77777777" w:rsidR="00B059C8" w:rsidRPr="00576180" w:rsidRDefault="00092F8A" w:rsidP="00E53015">
      <w:pPr>
        <w:pStyle w:val="Heading1"/>
        <w:numPr>
          <w:ilvl w:val="0"/>
          <w:numId w:val="2"/>
        </w:numPr>
        <w:tabs>
          <w:tab w:val="left" w:pos="9000"/>
        </w:tabs>
        <w:spacing w:before="240" w:after="240"/>
        <w:ind w:left="806"/>
        <w:rPr>
          <w:smallCaps/>
        </w:rPr>
      </w:pPr>
      <w:bookmarkStart w:id="48" w:name="_Toc20432455"/>
      <w:bookmarkStart w:id="49" w:name="_Toc501529192"/>
      <w:bookmarkStart w:id="50" w:name="_Toc500169656"/>
      <w:bookmarkStart w:id="51" w:name="_Toc506484923"/>
      <w:bookmarkStart w:id="52" w:name="_Toc506974988"/>
      <w:bookmarkStart w:id="53" w:name="_Toc507063067"/>
      <w:bookmarkStart w:id="54" w:name="_Toc533166432"/>
      <w:bookmarkStart w:id="55" w:name="_Toc20432456"/>
      <w:bookmarkStart w:id="56" w:name="_Toc21017051"/>
      <w:bookmarkEnd w:id="48"/>
      <w:r w:rsidRPr="00576180">
        <w:rPr>
          <w:smallCaps/>
        </w:rPr>
        <w:t>Introducción</w:t>
      </w:r>
      <w:bookmarkEnd w:id="49"/>
      <w:bookmarkEnd w:id="50"/>
      <w:bookmarkEnd w:id="51"/>
      <w:bookmarkEnd w:id="52"/>
      <w:bookmarkEnd w:id="53"/>
      <w:bookmarkEnd w:id="54"/>
      <w:bookmarkEnd w:id="55"/>
      <w:bookmarkEnd w:id="56"/>
    </w:p>
    <w:p w14:paraId="6B7AE269" w14:textId="1B2905B8" w:rsidR="00EF0672" w:rsidRPr="00194111" w:rsidRDefault="00EF0672" w:rsidP="00265302">
      <w:pPr>
        <w:spacing w:before="120" w:after="120" w:line="240" w:lineRule="auto"/>
        <w:jc w:val="both"/>
        <w:rPr>
          <w:rFonts w:ascii="Arial" w:hAnsi="Arial" w:cs="Arial"/>
        </w:rPr>
      </w:pPr>
      <w:r w:rsidRPr="00194111">
        <w:rPr>
          <w:rFonts w:ascii="Arial" w:hAnsi="Arial" w:cs="Arial"/>
        </w:rPr>
        <w:t>Uno de los principales factores de éxito en la mejora de la eficiencia en la gestión pública en la región es la existencia y operación de Sistemas Integrados de Administración Financiera (</w:t>
      </w:r>
      <w:proofErr w:type="spellStart"/>
      <w:r w:rsidRPr="00194111">
        <w:rPr>
          <w:rFonts w:ascii="Arial" w:hAnsi="Arial" w:cs="Arial"/>
        </w:rPr>
        <w:t>SIAF’s</w:t>
      </w:r>
      <w:proofErr w:type="spellEnd"/>
      <w:r w:rsidRPr="00194111">
        <w:rPr>
          <w:rFonts w:ascii="Arial" w:hAnsi="Arial" w:cs="Arial"/>
        </w:rPr>
        <w:t xml:space="preserve">), que promuevan el registro y acceso </w:t>
      </w:r>
      <w:r w:rsidR="00BD0B46">
        <w:rPr>
          <w:rFonts w:ascii="Arial" w:hAnsi="Arial" w:cs="Arial"/>
        </w:rPr>
        <w:t xml:space="preserve">oportuno </w:t>
      </w:r>
      <w:r w:rsidRPr="00194111">
        <w:rPr>
          <w:rFonts w:ascii="Arial" w:hAnsi="Arial" w:cs="Arial"/>
        </w:rPr>
        <w:t xml:space="preserve">a información de </w:t>
      </w:r>
      <w:proofErr w:type="gramStart"/>
      <w:r w:rsidRPr="00194111">
        <w:rPr>
          <w:rFonts w:ascii="Arial" w:hAnsi="Arial" w:cs="Arial"/>
        </w:rPr>
        <w:t>calidad ,</w:t>
      </w:r>
      <w:proofErr w:type="gramEnd"/>
      <w:r w:rsidRPr="00194111">
        <w:rPr>
          <w:rFonts w:ascii="Arial" w:hAnsi="Arial" w:cs="Arial"/>
        </w:rPr>
        <w:t xml:space="preserve"> para apoyar al proceso decisorio en la asignación y ejecución de los recursos públicos. </w:t>
      </w:r>
    </w:p>
    <w:p w14:paraId="6DCE7F4B" w14:textId="23AD3752" w:rsidR="00EF0672" w:rsidRPr="00194111" w:rsidRDefault="00EF0672" w:rsidP="00265302">
      <w:pPr>
        <w:spacing w:before="120" w:after="120" w:line="240" w:lineRule="auto"/>
        <w:jc w:val="both"/>
        <w:rPr>
          <w:rFonts w:ascii="Arial" w:hAnsi="Arial" w:cs="Arial"/>
        </w:rPr>
      </w:pPr>
      <w:r w:rsidRPr="00194111">
        <w:rPr>
          <w:rFonts w:ascii="Arial" w:hAnsi="Arial" w:cs="Arial"/>
        </w:rPr>
        <w:t xml:space="preserve">En 2010, el Perú contaba con un sistema de gestión financiera denominado Sistema Integrado de Administración Financiera del Sector Publico del </w:t>
      </w:r>
      <w:proofErr w:type="gramStart"/>
      <w:r w:rsidRPr="00194111">
        <w:rPr>
          <w:rFonts w:ascii="Arial" w:hAnsi="Arial" w:cs="Arial"/>
        </w:rPr>
        <w:t xml:space="preserve">Perú́  </w:t>
      </w:r>
      <w:r w:rsidR="00BD0B46">
        <w:rPr>
          <w:rFonts w:ascii="Arial" w:hAnsi="Arial" w:cs="Arial"/>
        </w:rPr>
        <w:t>(</w:t>
      </w:r>
      <w:proofErr w:type="gramEnd"/>
      <w:r w:rsidRPr="00194111">
        <w:rPr>
          <w:rFonts w:ascii="Arial" w:hAnsi="Arial" w:cs="Arial"/>
        </w:rPr>
        <w:t>SIAF-SP</w:t>
      </w:r>
      <w:r w:rsidR="00BD0B46">
        <w:rPr>
          <w:rFonts w:ascii="Arial" w:hAnsi="Arial" w:cs="Arial"/>
        </w:rPr>
        <w:t>)</w:t>
      </w:r>
      <w:r w:rsidRPr="00194111">
        <w:rPr>
          <w:rFonts w:ascii="Arial" w:hAnsi="Arial" w:cs="Arial"/>
        </w:rPr>
        <w:t xml:space="preserve">; </w:t>
      </w:r>
      <w:r w:rsidR="00BD0B46">
        <w:rPr>
          <w:rFonts w:ascii="Arial" w:hAnsi="Arial" w:cs="Arial"/>
        </w:rPr>
        <w:t xml:space="preserve">que basado en </w:t>
      </w:r>
      <w:r w:rsidRPr="00194111">
        <w:rPr>
          <w:rFonts w:ascii="Arial" w:hAnsi="Arial" w:cs="Arial"/>
        </w:rPr>
        <w:t>una herramienta informática estándar de registro y control del gasto público</w:t>
      </w:r>
      <w:r w:rsidR="00BD0B46">
        <w:rPr>
          <w:rFonts w:ascii="Arial" w:hAnsi="Arial" w:cs="Arial"/>
        </w:rPr>
        <w:t>,</w:t>
      </w:r>
      <w:r w:rsidRPr="00194111">
        <w:rPr>
          <w:rFonts w:ascii="Arial" w:hAnsi="Arial" w:cs="Arial"/>
        </w:rPr>
        <w:t xml:space="preserve">  tenía la </w:t>
      </w:r>
      <w:r w:rsidRPr="00194111">
        <w:rPr>
          <w:rFonts w:ascii="Arial" w:hAnsi="Arial" w:cs="Arial"/>
        </w:rPr>
        <w:lastRenderedPageBreak/>
        <w:t>finalidad de administrar</w:t>
      </w:r>
      <w:r w:rsidR="00BD0B46">
        <w:rPr>
          <w:rFonts w:ascii="Arial" w:hAnsi="Arial" w:cs="Arial"/>
        </w:rPr>
        <w:t xml:space="preserve"> los recursos públicos</w:t>
      </w:r>
      <w:r w:rsidRPr="00194111">
        <w:rPr>
          <w:rFonts w:ascii="Arial" w:hAnsi="Arial" w:cs="Arial"/>
        </w:rPr>
        <w:t xml:space="preserve"> en todas las entidades públicas del Gobierno General (Gobierno Nacional, Gobiernos Regionales y Locales).</w:t>
      </w:r>
    </w:p>
    <w:p w14:paraId="756F29A9" w14:textId="61A7D769" w:rsidR="00EF0672" w:rsidRPr="00194111" w:rsidRDefault="00BD0B46" w:rsidP="00265302">
      <w:pPr>
        <w:spacing w:before="120" w:after="120" w:line="240" w:lineRule="auto"/>
        <w:jc w:val="both"/>
        <w:rPr>
          <w:rFonts w:ascii="Arial" w:hAnsi="Arial" w:cs="Arial"/>
        </w:rPr>
      </w:pPr>
      <w:r>
        <w:rPr>
          <w:rFonts w:ascii="Arial" w:hAnsi="Arial" w:cs="Arial"/>
        </w:rPr>
        <w:t>La plataforma en la que se basaba e</w:t>
      </w:r>
      <w:r w:rsidR="00EF0672" w:rsidRPr="00194111">
        <w:rPr>
          <w:rFonts w:ascii="Arial" w:hAnsi="Arial" w:cs="Arial"/>
        </w:rPr>
        <w:t xml:space="preserve">l SIAF-SP </w:t>
      </w:r>
      <w:r>
        <w:rPr>
          <w:rFonts w:ascii="Arial" w:hAnsi="Arial" w:cs="Arial"/>
        </w:rPr>
        <w:t xml:space="preserve">fue desarrollada en 1997 </w:t>
      </w:r>
      <w:proofErr w:type="gramStart"/>
      <w:r>
        <w:rPr>
          <w:rFonts w:ascii="Arial" w:hAnsi="Arial" w:cs="Arial"/>
        </w:rPr>
        <w:t xml:space="preserve">y </w:t>
      </w:r>
      <w:r w:rsidR="00EF0672" w:rsidRPr="00194111">
        <w:rPr>
          <w:rFonts w:ascii="Arial" w:hAnsi="Arial" w:cs="Arial"/>
        </w:rPr>
        <w:t xml:space="preserve"> ya</w:t>
      </w:r>
      <w:proofErr w:type="gramEnd"/>
      <w:r w:rsidR="00EF0672" w:rsidRPr="00194111">
        <w:rPr>
          <w:rFonts w:ascii="Arial" w:hAnsi="Arial" w:cs="Arial"/>
        </w:rPr>
        <w:t xml:space="preserve"> había cumplido su ciclo de vida. Est</w:t>
      </w:r>
      <w:r>
        <w:rPr>
          <w:rFonts w:ascii="Arial" w:hAnsi="Arial" w:cs="Arial"/>
        </w:rPr>
        <w:t xml:space="preserve">e desarrollo </w:t>
      </w:r>
      <w:r w:rsidR="00EF0672" w:rsidRPr="00194111">
        <w:rPr>
          <w:rFonts w:ascii="Arial" w:hAnsi="Arial" w:cs="Arial"/>
        </w:rPr>
        <w:t xml:space="preserve">culminó en </w:t>
      </w:r>
      <w:r>
        <w:rPr>
          <w:rFonts w:ascii="Arial" w:hAnsi="Arial" w:cs="Arial"/>
        </w:rPr>
        <w:t xml:space="preserve">1999 en </w:t>
      </w:r>
      <w:r w:rsidR="00EF0672" w:rsidRPr="00194111">
        <w:rPr>
          <w:rFonts w:ascii="Arial" w:hAnsi="Arial" w:cs="Arial"/>
        </w:rPr>
        <w:t xml:space="preserve">una versión unificada para las Unidades Ejecutoras del Gobierno Nacional y sus Consejos Transitorios de Administración Regionales, abarcando los procesos de presupuesto, tesorería y contabilidad. En enero de 2001, todas las Unidades Ejecutoras (UE) del Gobierno Nacional adoptaron el uso del SIAF-SP, a excepción de los Ministerios de Defensa e Interior y del Servicio de Inteligencia, </w:t>
      </w:r>
      <w:r>
        <w:rPr>
          <w:rFonts w:ascii="Arial" w:hAnsi="Arial" w:cs="Arial"/>
        </w:rPr>
        <w:t xml:space="preserve">siendo </w:t>
      </w:r>
      <w:proofErr w:type="gramStart"/>
      <w:r>
        <w:rPr>
          <w:rFonts w:ascii="Arial" w:hAnsi="Arial" w:cs="Arial"/>
        </w:rPr>
        <w:t>que</w:t>
      </w:r>
      <w:proofErr w:type="gramEnd"/>
      <w:r w:rsidR="00EF0672" w:rsidRPr="00194111">
        <w:rPr>
          <w:rFonts w:ascii="Arial" w:hAnsi="Arial" w:cs="Arial"/>
        </w:rPr>
        <w:t xml:space="preserve"> en diciembre de 2002</w:t>
      </w:r>
      <w:r>
        <w:rPr>
          <w:rFonts w:ascii="Arial" w:hAnsi="Arial" w:cs="Arial"/>
        </w:rPr>
        <w:t>,</w:t>
      </w:r>
      <w:r w:rsidR="00EF0672" w:rsidRPr="00194111">
        <w:rPr>
          <w:rFonts w:ascii="Arial" w:hAnsi="Arial" w:cs="Arial"/>
        </w:rPr>
        <w:t xml:space="preserve"> se sumaron los nuevos 26 Gobiernos Regionales creados </w:t>
      </w:r>
      <w:r>
        <w:rPr>
          <w:rFonts w:ascii="Arial" w:hAnsi="Arial" w:cs="Arial"/>
        </w:rPr>
        <w:t>en ese año</w:t>
      </w:r>
      <w:r w:rsidR="00EF0672" w:rsidRPr="00194111">
        <w:rPr>
          <w:rFonts w:ascii="Arial" w:hAnsi="Arial" w:cs="Arial"/>
        </w:rPr>
        <w:t xml:space="preserve">. </w:t>
      </w:r>
    </w:p>
    <w:p w14:paraId="02FCCDC8" w14:textId="2C80BB45" w:rsidR="00EF0672" w:rsidRPr="00194111" w:rsidRDefault="00EF0672" w:rsidP="00265302">
      <w:pPr>
        <w:spacing w:before="120" w:after="120" w:line="240" w:lineRule="auto"/>
        <w:jc w:val="both"/>
        <w:rPr>
          <w:rFonts w:ascii="Arial" w:hAnsi="Arial" w:cs="Arial"/>
        </w:rPr>
      </w:pPr>
      <w:r w:rsidRPr="00194111">
        <w:rPr>
          <w:rFonts w:ascii="Arial" w:hAnsi="Arial" w:cs="Arial"/>
        </w:rPr>
        <w:t>A 2010</w:t>
      </w:r>
      <w:r w:rsidR="00014317">
        <w:rPr>
          <w:rFonts w:ascii="Arial" w:hAnsi="Arial" w:cs="Arial"/>
        </w:rPr>
        <w:t>,</w:t>
      </w:r>
      <w:r w:rsidRPr="00194111">
        <w:rPr>
          <w:rFonts w:ascii="Arial" w:hAnsi="Arial" w:cs="Arial"/>
        </w:rPr>
        <w:t xml:space="preserve"> el SIAF-SP se encontraba implantado y en operación en alrededor de 2.400 instituciones del sector </w:t>
      </w:r>
      <w:proofErr w:type="gramStart"/>
      <w:r w:rsidRPr="00194111">
        <w:rPr>
          <w:rFonts w:ascii="Arial" w:hAnsi="Arial" w:cs="Arial"/>
        </w:rPr>
        <w:t>público,  que</w:t>
      </w:r>
      <w:proofErr w:type="gramEnd"/>
      <w:r w:rsidRPr="00194111">
        <w:rPr>
          <w:rFonts w:ascii="Arial" w:hAnsi="Arial" w:cs="Arial"/>
        </w:rPr>
        <w:t xml:space="preserve"> inclu</w:t>
      </w:r>
      <w:r w:rsidR="00014317">
        <w:rPr>
          <w:rFonts w:ascii="Arial" w:hAnsi="Arial" w:cs="Arial"/>
        </w:rPr>
        <w:t xml:space="preserve">ía </w:t>
      </w:r>
      <w:r w:rsidRPr="00194111">
        <w:rPr>
          <w:rFonts w:ascii="Arial" w:hAnsi="Arial" w:cs="Arial"/>
        </w:rPr>
        <w:t xml:space="preserve"> todas las UE del gobierno nacional</w:t>
      </w:r>
      <w:r w:rsidR="00014317">
        <w:rPr>
          <w:rFonts w:ascii="Arial" w:hAnsi="Arial" w:cs="Arial"/>
        </w:rPr>
        <w:t xml:space="preserve">, los gobiernos </w:t>
      </w:r>
      <w:r w:rsidRPr="00194111">
        <w:rPr>
          <w:rFonts w:ascii="Arial" w:hAnsi="Arial" w:cs="Arial"/>
        </w:rPr>
        <w:t xml:space="preserve">regionales y 1.834 gobiernos locales. </w:t>
      </w:r>
    </w:p>
    <w:p w14:paraId="09FDA6E0" w14:textId="2A180695" w:rsidR="00EF0672" w:rsidRPr="00194111" w:rsidRDefault="00EF0672" w:rsidP="00265302">
      <w:pPr>
        <w:spacing w:before="120" w:after="120" w:line="240" w:lineRule="auto"/>
        <w:jc w:val="both"/>
        <w:rPr>
          <w:rFonts w:ascii="Arial" w:hAnsi="Arial" w:cs="Arial"/>
        </w:rPr>
      </w:pPr>
      <w:r w:rsidRPr="00194111">
        <w:rPr>
          <w:rFonts w:ascii="Arial" w:hAnsi="Arial" w:cs="Arial"/>
        </w:rPr>
        <w:t>El SIAF-SP es una de las principales herramientas que contribuyó a los importantes avances logrados en la administración financiera pública del Perú</w:t>
      </w:r>
      <w:r w:rsidR="00014317">
        <w:rPr>
          <w:rFonts w:ascii="Arial" w:hAnsi="Arial" w:cs="Arial"/>
        </w:rPr>
        <w:t>.</w:t>
      </w:r>
      <w:r w:rsidRPr="00194111">
        <w:rPr>
          <w:rFonts w:ascii="Arial" w:hAnsi="Arial" w:cs="Arial"/>
        </w:rPr>
        <w:t xml:space="preserve"> </w:t>
      </w:r>
      <w:r w:rsidR="00014317">
        <w:rPr>
          <w:rFonts w:ascii="Arial" w:hAnsi="Arial" w:cs="Arial"/>
        </w:rPr>
        <w:t>S</w:t>
      </w:r>
      <w:r w:rsidRPr="00194111">
        <w:rPr>
          <w:rFonts w:ascii="Arial" w:hAnsi="Arial" w:cs="Arial"/>
        </w:rPr>
        <w:t xml:space="preserve">in embargo, presentaba algunas debilidades que limitaban el manejo de los recursos financieros y la eficiencia de la gestión del gasto. Para mitigar estas debilidades, y basado en una evaluación independiente internacional del sistema, el Ministerio de Economía y Finanzas (MEF) </w:t>
      </w:r>
      <w:r w:rsidR="00014317">
        <w:rPr>
          <w:rFonts w:ascii="Arial" w:hAnsi="Arial" w:cs="Arial"/>
        </w:rPr>
        <w:t xml:space="preserve">decidió </w:t>
      </w:r>
      <w:r w:rsidRPr="00194111">
        <w:rPr>
          <w:rFonts w:ascii="Arial" w:hAnsi="Arial" w:cs="Arial"/>
        </w:rPr>
        <w:t>en 2008</w:t>
      </w:r>
      <w:r w:rsidR="00014317">
        <w:rPr>
          <w:rFonts w:ascii="Arial" w:hAnsi="Arial" w:cs="Arial"/>
        </w:rPr>
        <w:t>,</w:t>
      </w:r>
      <w:r w:rsidRPr="00194111">
        <w:rPr>
          <w:rFonts w:ascii="Arial" w:hAnsi="Arial" w:cs="Arial"/>
        </w:rPr>
        <w:t xml:space="preserve">  implementar un nuevo SIAF, en lugar de seguir invirtiendo recursos para actualizar el sistema</w:t>
      </w:r>
      <w:r w:rsidR="003C2D64">
        <w:rPr>
          <w:rFonts w:ascii="Arial" w:hAnsi="Arial" w:cs="Arial"/>
        </w:rPr>
        <w:t xml:space="preserve"> </w:t>
      </w:r>
      <w:r w:rsidR="00014317">
        <w:rPr>
          <w:rFonts w:ascii="Arial" w:hAnsi="Arial" w:cs="Arial"/>
        </w:rPr>
        <w:t>vigente</w:t>
      </w:r>
      <w:r w:rsidRPr="00194111">
        <w:rPr>
          <w:rFonts w:ascii="Arial" w:hAnsi="Arial" w:cs="Arial"/>
        </w:rPr>
        <w:t>, pues de haberlo hecho</w:t>
      </w:r>
      <w:r w:rsidR="00014317">
        <w:rPr>
          <w:rFonts w:ascii="Arial" w:hAnsi="Arial" w:cs="Arial"/>
        </w:rPr>
        <w:t>,</w:t>
      </w:r>
      <w:r w:rsidRPr="00194111">
        <w:rPr>
          <w:rFonts w:ascii="Arial" w:hAnsi="Arial" w:cs="Arial"/>
        </w:rPr>
        <w:t xml:space="preserve"> hubiera presentado problemas de integración , altos costos de mantenimiento</w:t>
      </w:r>
      <w:r w:rsidR="00014317">
        <w:rPr>
          <w:rFonts w:ascii="Arial" w:hAnsi="Arial" w:cs="Arial"/>
        </w:rPr>
        <w:t xml:space="preserve">, sin incorporar </w:t>
      </w:r>
      <w:r w:rsidRPr="00194111">
        <w:rPr>
          <w:rFonts w:ascii="Arial" w:hAnsi="Arial" w:cs="Arial"/>
        </w:rPr>
        <w:t xml:space="preserve"> </w:t>
      </w:r>
      <w:r w:rsidR="00014317">
        <w:rPr>
          <w:rFonts w:ascii="Arial" w:hAnsi="Arial" w:cs="Arial"/>
        </w:rPr>
        <w:t xml:space="preserve">nuevas </w:t>
      </w:r>
      <w:r w:rsidRPr="00194111">
        <w:rPr>
          <w:rFonts w:ascii="Arial" w:hAnsi="Arial" w:cs="Arial"/>
        </w:rPr>
        <w:t xml:space="preserve">funcionalidades importantes para la gestión del </w:t>
      </w:r>
      <w:proofErr w:type="spellStart"/>
      <w:r w:rsidRPr="00194111">
        <w:rPr>
          <w:rFonts w:ascii="Arial" w:hAnsi="Arial" w:cs="Arial"/>
        </w:rPr>
        <w:t>gasto.Otro</w:t>
      </w:r>
      <w:proofErr w:type="spellEnd"/>
      <w:r w:rsidRPr="00194111">
        <w:rPr>
          <w:rFonts w:ascii="Arial" w:hAnsi="Arial" w:cs="Arial"/>
        </w:rPr>
        <w:t xml:space="preserve"> criterio adoptado al momento de tomar la decisión</w:t>
      </w:r>
      <w:r w:rsidR="00014317">
        <w:rPr>
          <w:rFonts w:ascii="Arial" w:hAnsi="Arial" w:cs="Arial"/>
        </w:rPr>
        <w:t>,</w:t>
      </w:r>
      <w:r w:rsidRPr="00194111">
        <w:rPr>
          <w:rFonts w:ascii="Arial" w:hAnsi="Arial" w:cs="Arial"/>
        </w:rPr>
        <w:t xml:space="preserve"> fue </w:t>
      </w:r>
      <w:r w:rsidR="00014317">
        <w:rPr>
          <w:rFonts w:ascii="Arial" w:hAnsi="Arial" w:cs="Arial"/>
        </w:rPr>
        <w:t>el alto riesgo de</w:t>
      </w:r>
      <w:r w:rsidRPr="00194111">
        <w:rPr>
          <w:rFonts w:ascii="Arial" w:hAnsi="Arial" w:cs="Arial"/>
        </w:rPr>
        <w:t xml:space="preserve"> obsolescencia tecnológica de la plataforma SIAF-SP.  Es por </w:t>
      </w:r>
      <w:r w:rsidR="00014317">
        <w:rPr>
          <w:rFonts w:ascii="Arial" w:hAnsi="Arial" w:cs="Arial"/>
        </w:rPr>
        <w:t xml:space="preserve">todo </w:t>
      </w:r>
      <w:r w:rsidRPr="00194111">
        <w:rPr>
          <w:rFonts w:ascii="Arial" w:hAnsi="Arial" w:cs="Arial"/>
        </w:rPr>
        <w:t xml:space="preserve">ello que </w:t>
      </w:r>
      <w:r w:rsidR="00014317">
        <w:rPr>
          <w:rFonts w:ascii="Arial" w:hAnsi="Arial" w:cs="Arial"/>
        </w:rPr>
        <w:t>el MEF plantea a</w:t>
      </w:r>
      <w:r w:rsidRPr="00194111">
        <w:rPr>
          <w:rFonts w:ascii="Arial" w:hAnsi="Arial" w:cs="Arial"/>
        </w:rPr>
        <w:t>l Banco desarrollar una operación que permitiera la modernización de la gestión del gasto público.</w:t>
      </w:r>
    </w:p>
    <w:p w14:paraId="4CF7DBD1" w14:textId="77C0DFD1" w:rsidR="00EF0672" w:rsidRPr="00194111" w:rsidRDefault="00EF0672" w:rsidP="00265302">
      <w:pPr>
        <w:spacing w:before="120" w:after="120" w:line="240" w:lineRule="auto"/>
        <w:jc w:val="both"/>
        <w:rPr>
          <w:rFonts w:ascii="Arial" w:hAnsi="Arial" w:cs="Arial"/>
        </w:rPr>
      </w:pPr>
      <w:r w:rsidRPr="00194111">
        <w:rPr>
          <w:rFonts w:ascii="Arial" w:hAnsi="Arial" w:cs="Arial"/>
        </w:rPr>
        <w:t>En el diseño del proyecto se utilizó el diagnóstico del Informe de la</w:t>
      </w:r>
      <w:r w:rsidRPr="00194111">
        <w:rPr>
          <w:rFonts w:ascii="Arial" w:hAnsi="Arial" w:cs="Arial"/>
        </w:rPr>
        <w:br/>
        <w:t>Gestión de las Finanzas Públicas, conocido por sus siglas PEFA (</w:t>
      </w:r>
      <w:proofErr w:type="spellStart"/>
      <w:r w:rsidRPr="00194111">
        <w:rPr>
          <w:rFonts w:ascii="Arial" w:hAnsi="Arial" w:cs="Arial"/>
        </w:rPr>
        <w:t>Public</w:t>
      </w:r>
      <w:proofErr w:type="spellEnd"/>
      <w:r w:rsidRPr="00194111">
        <w:rPr>
          <w:rFonts w:ascii="Arial" w:hAnsi="Arial" w:cs="Arial"/>
        </w:rPr>
        <w:t xml:space="preserve"> </w:t>
      </w:r>
      <w:proofErr w:type="spellStart"/>
      <w:r w:rsidRPr="00194111">
        <w:rPr>
          <w:rFonts w:ascii="Arial" w:hAnsi="Arial" w:cs="Arial"/>
        </w:rPr>
        <w:t>Expenditure</w:t>
      </w:r>
      <w:proofErr w:type="spellEnd"/>
      <w:r w:rsidRPr="00194111">
        <w:rPr>
          <w:rFonts w:ascii="Arial" w:hAnsi="Arial" w:cs="Arial"/>
        </w:rPr>
        <w:t xml:space="preserve"> &amp; </w:t>
      </w:r>
      <w:proofErr w:type="spellStart"/>
      <w:r w:rsidRPr="00194111">
        <w:rPr>
          <w:rFonts w:ascii="Arial" w:hAnsi="Arial" w:cs="Arial"/>
        </w:rPr>
        <w:t>Financial</w:t>
      </w:r>
      <w:proofErr w:type="spellEnd"/>
      <w:r w:rsidRPr="00194111">
        <w:rPr>
          <w:rFonts w:ascii="Arial" w:hAnsi="Arial" w:cs="Arial"/>
        </w:rPr>
        <w:t xml:space="preserve"> </w:t>
      </w:r>
      <w:proofErr w:type="spellStart"/>
      <w:r w:rsidRPr="00194111">
        <w:rPr>
          <w:rFonts w:ascii="Arial" w:hAnsi="Arial" w:cs="Arial"/>
        </w:rPr>
        <w:t>Accountability</w:t>
      </w:r>
      <w:proofErr w:type="spellEnd"/>
      <w:r w:rsidRPr="00194111">
        <w:rPr>
          <w:rFonts w:ascii="Arial" w:hAnsi="Arial" w:cs="Arial"/>
        </w:rPr>
        <w:t>)</w:t>
      </w:r>
      <w:r w:rsidR="00014317">
        <w:rPr>
          <w:rFonts w:ascii="Arial" w:hAnsi="Arial" w:cs="Arial"/>
        </w:rPr>
        <w:t>, el mismo que cuenta c</w:t>
      </w:r>
      <w:r w:rsidRPr="00194111">
        <w:rPr>
          <w:rFonts w:ascii="Arial" w:hAnsi="Arial" w:cs="Arial"/>
        </w:rPr>
        <w:t>on 31 indicadores</w:t>
      </w:r>
      <w:r w:rsidR="00014317">
        <w:rPr>
          <w:rFonts w:ascii="Arial" w:hAnsi="Arial" w:cs="Arial"/>
        </w:rPr>
        <w:t xml:space="preserve"> </w:t>
      </w:r>
      <w:r w:rsidRPr="00194111">
        <w:rPr>
          <w:rFonts w:ascii="Arial" w:hAnsi="Arial" w:cs="Arial"/>
        </w:rPr>
        <w:t>basados en criterios objetivos y evidencias empíricas</w:t>
      </w:r>
      <w:r w:rsidR="00014317">
        <w:rPr>
          <w:rFonts w:ascii="Arial" w:hAnsi="Arial" w:cs="Arial"/>
        </w:rPr>
        <w:t xml:space="preserve"> y </w:t>
      </w:r>
      <w:r w:rsidRPr="00194111">
        <w:rPr>
          <w:rFonts w:ascii="Arial" w:hAnsi="Arial" w:cs="Arial"/>
        </w:rPr>
        <w:t>cuantitativas</w:t>
      </w:r>
      <w:r w:rsidR="00014317">
        <w:rPr>
          <w:rFonts w:ascii="Arial" w:hAnsi="Arial" w:cs="Arial"/>
        </w:rPr>
        <w:t xml:space="preserve">, así </w:t>
      </w:r>
      <w:proofErr w:type="gramStart"/>
      <w:r w:rsidR="00014317">
        <w:rPr>
          <w:rFonts w:ascii="Arial" w:hAnsi="Arial" w:cs="Arial"/>
        </w:rPr>
        <w:t xml:space="preserve">como </w:t>
      </w:r>
      <w:r w:rsidRPr="00194111">
        <w:rPr>
          <w:rFonts w:ascii="Arial" w:hAnsi="Arial" w:cs="Arial"/>
        </w:rPr>
        <w:t xml:space="preserve"> entrevistas</w:t>
      </w:r>
      <w:proofErr w:type="gramEnd"/>
      <w:r w:rsidR="00014317">
        <w:rPr>
          <w:rFonts w:ascii="Arial" w:hAnsi="Arial" w:cs="Arial"/>
        </w:rPr>
        <w:t xml:space="preserve"> a usuarios</w:t>
      </w:r>
      <w:r w:rsidRPr="00194111">
        <w:rPr>
          <w:rFonts w:ascii="Arial" w:hAnsi="Arial" w:cs="Arial"/>
        </w:rPr>
        <w:t>.</w:t>
      </w:r>
    </w:p>
    <w:p w14:paraId="5B20A902" w14:textId="77777777" w:rsidR="00EF0672" w:rsidRPr="00194111" w:rsidRDefault="00EF0672" w:rsidP="00265302">
      <w:pPr>
        <w:spacing w:before="120" w:after="120" w:line="240" w:lineRule="auto"/>
        <w:jc w:val="both"/>
        <w:rPr>
          <w:rFonts w:ascii="Arial" w:hAnsi="Arial" w:cs="Arial"/>
        </w:rPr>
      </w:pPr>
      <w:r w:rsidRPr="00194111">
        <w:rPr>
          <w:rFonts w:ascii="Arial" w:hAnsi="Arial" w:cs="Arial"/>
        </w:rPr>
        <w:t>El 2 de diciembre de 2010, el Gobierno del Perú y el Banco suscribieron el Contrato de Préstamo 2445/OC-PE denominado “Modernización del Sistema de Administración Financiera Pública para mejorar la Programación, Ejecución y Rendición de Cuentas de los Recursos Públicos”, por un monto de US$22,24 millones. El proyecto cumplió con las respectivas condiciones previas y fue declarado elegible para desembolsos el 15 de abril de 2011.</w:t>
      </w:r>
    </w:p>
    <w:p w14:paraId="25DCA9FC" w14:textId="57D4827B" w:rsidR="00EF0672" w:rsidRPr="00194111" w:rsidRDefault="003938F1" w:rsidP="00265302">
      <w:pPr>
        <w:spacing w:before="120" w:after="120" w:line="240" w:lineRule="auto"/>
        <w:jc w:val="both"/>
        <w:rPr>
          <w:rFonts w:ascii="Arial" w:hAnsi="Arial" w:cs="Arial"/>
        </w:rPr>
      </w:pPr>
      <w:r w:rsidRPr="003938F1">
        <w:rPr>
          <w:rFonts w:ascii="Arial" w:hAnsi="Arial" w:cs="Arial"/>
        </w:rPr>
        <w:t>El objetivo general del proyecto fue contribuir al aumento de la eficiencia en la gestión pública. Los objetivos específicos fueron: (i) Aumentar la eficiencia de los procesos e instrumentos de automatización de la preparación y ejecución financiera</w:t>
      </w:r>
      <w:r w:rsidR="00014317">
        <w:rPr>
          <w:rFonts w:ascii="Arial" w:hAnsi="Arial" w:cs="Arial"/>
        </w:rPr>
        <w:t>;</w:t>
      </w:r>
      <w:r w:rsidRPr="003938F1">
        <w:rPr>
          <w:rFonts w:ascii="Arial" w:hAnsi="Arial" w:cs="Arial"/>
        </w:rPr>
        <w:t xml:space="preserve"> (</w:t>
      </w:r>
      <w:proofErr w:type="spellStart"/>
      <w:r w:rsidRPr="003938F1">
        <w:rPr>
          <w:rFonts w:ascii="Arial" w:hAnsi="Arial" w:cs="Arial"/>
        </w:rPr>
        <w:t>ii</w:t>
      </w:r>
      <w:proofErr w:type="spellEnd"/>
      <w:r w:rsidRPr="003938F1">
        <w:rPr>
          <w:rFonts w:ascii="Arial" w:hAnsi="Arial" w:cs="Arial"/>
        </w:rPr>
        <w:t>) fortalecer la capacidad institucional y organizacional del Ministerio de Economía y Finanzas</w:t>
      </w:r>
      <w:r w:rsidR="00014317">
        <w:rPr>
          <w:rFonts w:ascii="Arial" w:hAnsi="Arial" w:cs="Arial"/>
        </w:rPr>
        <w:t>;</w:t>
      </w:r>
      <w:r w:rsidRPr="003938F1">
        <w:rPr>
          <w:rFonts w:ascii="Arial" w:hAnsi="Arial" w:cs="Arial"/>
        </w:rPr>
        <w:t xml:space="preserve"> (</w:t>
      </w:r>
      <w:proofErr w:type="spellStart"/>
      <w:r w:rsidRPr="003938F1">
        <w:rPr>
          <w:rFonts w:ascii="Arial" w:hAnsi="Arial" w:cs="Arial"/>
        </w:rPr>
        <w:t>iii</w:t>
      </w:r>
      <w:proofErr w:type="spellEnd"/>
      <w:r w:rsidRPr="003938F1">
        <w:rPr>
          <w:rFonts w:ascii="Arial" w:hAnsi="Arial" w:cs="Arial"/>
        </w:rPr>
        <w:t>) mejorar el proceso decisorio de asignación de los recursos públicos</w:t>
      </w:r>
      <w:r w:rsidR="00EF0672" w:rsidRPr="00194111">
        <w:rPr>
          <w:rFonts w:ascii="Arial" w:hAnsi="Arial" w:cs="Arial"/>
        </w:rPr>
        <w:t>.</w:t>
      </w:r>
    </w:p>
    <w:p w14:paraId="35A511BF" w14:textId="77777777" w:rsidR="00EF0672" w:rsidRPr="00194111" w:rsidRDefault="00EF0672" w:rsidP="00265302">
      <w:pPr>
        <w:spacing w:before="120" w:after="120" w:line="240" w:lineRule="auto"/>
        <w:jc w:val="both"/>
        <w:rPr>
          <w:rFonts w:ascii="Arial" w:hAnsi="Arial" w:cs="Arial"/>
        </w:rPr>
      </w:pPr>
      <w:r w:rsidRPr="00194111">
        <w:rPr>
          <w:rFonts w:ascii="Arial" w:hAnsi="Arial" w:cs="Arial"/>
        </w:rPr>
        <w:t>El proyecto finalmente fue estructurado en base a tres componentes:</w:t>
      </w:r>
    </w:p>
    <w:p w14:paraId="4BF9141B" w14:textId="77777777" w:rsidR="00EF0672" w:rsidRPr="00194111" w:rsidRDefault="00EF0672" w:rsidP="00265302">
      <w:pPr>
        <w:numPr>
          <w:ilvl w:val="0"/>
          <w:numId w:val="56"/>
        </w:numPr>
        <w:spacing w:before="120" w:after="120" w:line="240" w:lineRule="auto"/>
        <w:jc w:val="both"/>
        <w:rPr>
          <w:rFonts w:ascii="Arial" w:hAnsi="Arial" w:cs="Arial"/>
        </w:rPr>
      </w:pPr>
      <w:r w:rsidRPr="00194111">
        <w:rPr>
          <w:rFonts w:ascii="Arial" w:hAnsi="Arial" w:cs="Arial"/>
        </w:rPr>
        <w:t xml:space="preserve">Modernización de los procesos y sistemas de gestión financiera pública, cuyas acciones están orientadas a diseñar, desarrollar, implantar y poner en operación todos los módulos informáticos del nuevo Sistema Integrado de Administración Financiera (SIAF); </w:t>
      </w:r>
    </w:p>
    <w:p w14:paraId="2D852142" w14:textId="77777777" w:rsidR="00EF0672" w:rsidRPr="00194111" w:rsidRDefault="00EF0672" w:rsidP="00265302">
      <w:pPr>
        <w:numPr>
          <w:ilvl w:val="0"/>
          <w:numId w:val="56"/>
        </w:numPr>
        <w:spacing w:before="120" w:after="120" w:line="240" w:lineRule="auto"/>
        <w:jc w:val="both"/>
        <w:rPr>
          <w:rFonts w:ascii="Arial" w:hAnsi="Arial" w:cs="Arial"/>
        </w:rPr>
      </w:pPr>
      <w:r w:rsidRPr="00194111">
        <w:rPr>
          <w:rFonts w:ascii="Arial" w:hAnsi="Arial" w:cs="Arial"/>
        </w:rPr>
        <w:t>Fortalecimiento de capacidades institucionales para la Gestión Financiera Pública, el cual busca fortalecer las capacidades de las Direcciones Generales de Tesoro y Endeudamiento Público, Contabilidad Pública, Gestión de Recursos Públicos y la Oficina General de Informática y Estadística; y</w:t>
      </w:r>
    </w:p>
    <w:p w14:paraId="6759A575" w14:textId="77777777" w:rsidR="00EF0672" w:rsidRPr="00194111" w:rsidRDefault="00EF0672" w:rsidP="00265302">
      <w:pPr>
        <w:numPr>
          <w:ilvl w:val="0"/>
          <w:numId w:val="56"/>
        </w:numPr>
        <w:spacing w:before="120" w:after="120" w:line="240" w:lineRule="auto"/>
        <w:jc w:val="both"/>
        <w:rPr>
          <w:rFonts w:ascii="Arial" w:hAnsi="Arial" w:cs="Arial"/>
        </w:rPr>
      </w:pPr>
      <w:r w:rsidRPr="00194111">
        <w:rPr>
          <w:rFonts w:ascii="Arial" w:hAnsi="Arial" w:cs="Arial"/>
        </w:rPr>
        <w:t xml:space="preserve">Institucionalización de instrumentos de Gestión Presupuestaria para mejorar la Calidad del Gasto, que prevé institucionalizar la medición de productos e impactos </w:t>
      </w:r>
      <w:r w:rsidRPr="00194111">
        <w:rPr>
          <w:rFonts w:ascii="Arial" w:hAnsi="Arial" w:cs="Arial"/>
        </w:rPr>
        <w:lastRenderedPageBreak/>
        <w:t>para fortalecer el proceso decisorio de asignación de recursos en el marco del presupuesto por resultados.</w:t>
      </w:r>
    </w:p>
    <w:p w14:paraId="7B8C14CF" w14:textId="3778AE37" w:rsidR="00C86A27" w:rsidRPr="00576180" w:rsidRDefault="004B44D3" w:rsidP="00437FB0">
      <w:pPr>
        <w:spacing w:before="120" w:after="120" w:line="240" w:lineRule="auto"/>
        <w:jc w:val="both"/>
        <w:rPr>
          <w:rFonts w:ascii="Arial" w:eastAsia="Arial" w:hAnsi="Arial" w:cs="Arial"/>
          <w:lang w:bidi="en-US"/>
        </w:rPr>
      </w:pPr>
      <w:bookmarkStart w:id="57" w:name="page13"/>
      <w:bookmarkStart w:id="58" w:name="page14"/>
      <w:bookmarkStart w:id="59" w:name="page15"/>
      <w:bookmarkEnd w:id="57"/>
      <w:bookmarkEnd w:id="58"/>
      <w:bookmarkEnd w:id="59"/>
      <w:r w:rsidRPr="00576180">
        <w:rPr>
          <w:rFonts w:ascii="Arial" w:hAnsi="Arial" w:cs="Arial"/>
        </w:rPr>
        <w:t>El</w:t>
      </w:r>
      <w:r w:rsidR="00C86A27" w:rsidRPr="00576180">
        <w:rPr>
          <w:rFonts w:ascii="Arial" w:hAnsi="Arial" w:cs="Arial"/>
        </w:rPr>
        <w:t xml:space="preserve"> impacto esperado</w:t>
      </w:r>
      <w:r w:rsidRPr="00576180">
        <w:rPr>
          <w:rFonts w:ascii="Arial" w:hAnsi="Arial" w:cs="Arial"/>
        </w:rPr>
        <w:t xml:space="preserve"> del Programa fue mejorar el </w:t>
      </w:r>
      <w:r w:rsidR="00AD0D53" w:rsidRPr="00576180">
        <w:rPr>
          <w:rFonts w:ascii="Arial" w:hAnsi="Arial" w:cs="Arial"/>
        </w:rPr>
        <w:t>i</w:t>
      </w:r>
      <w:r w:rsidRPr="00576180">
        <w:rPr>
          <w:rFonts w:ascii="Arial" w:hAnsi="Arial" w:cs="Arial"/>
        </w:rPr>
        <w:t xml:space="preserve">ndicador de </w:t>
      </w:r>
      <w:r w:rsidR="00AD0D53" w:rsidRPr="00576180">
        <w:rPr>
          <w:rFonts w:ascii="Arial" w:hAnsi="Arial" w:cs="Arial"/>
        </w:rPr>
        <w:t>e</w:t>
      </w:r>
      <w:r w:rsidRPr="00576180">
        <w:rPr>
          <w:rFonts w:ascii="Arial" w:hAnsi="Arial" w:cs="Arial"/>
        </w:rPr>
        <w:t xml:space="preserve">ficiencia del </w:t>
      </w:r>
      <w:r w:rsidR="000113AF" w:rsidRPr="00576180">
        <w:rPr>
          <w:rFonts w:ascii="Arial" w:hAnsi="Arial" w:cs="Arial"/>
        </w:rPr>
        <w:t>G</w:t>
      </w:r>
      <w:r w:rsidRPr="00576180">
        <w:rPr>
          <w:rFonts w:ascii="Arial" w:hAnsi="Arial" w:cs="Arial"/>
        </w:rPr>
        <w:t xml:space="preserve">obierno </w:t>
      </w:r>
      <w:r w:rsidR="00AD0D53" w:rsidRPr="00576180">
        <w:rPr>
          <w:rFonts w:ascii="Arial" w:hAnsi="Arial" w:cs="Arial"/>
        </w:rPr>
        <w:t>utilizado</w:t>
      </w:r>
      <w:r w:rsidRPr="00576180">
        <w:rPr>
          <w:rFonts w:ascii="Arial" w:hAnsi="Arial" w:cs="Arial"/>
        </w:rPr>
        <w:t xml:space="preserve"> en la </w:t>
      </w:r>
      <w:r w:rsidRPr="00576180">
        <w:rPr>
          <w:rFonts w:ascii="Arial" w:eastAsia="Arial" w:hAnsi="Arial" w:cs="Arial"/>
          <w:lang w:bidi="en-US"/>
        </w:rPr>
        <w:t>Estrategia</w:t>
      </w:r>
      <w:r w:rsidRPr="00576180">
        <w:rPr>
          <w:rFonts w:ascii="Arial" w:hAnsi="Arial" w:cs="Arial"/>
        </w:rPr>
        <w:t xml:space="preserve"> del Banco con el País </w:t>
      </w:r>
      <w:r w:rsidR="006836A0" w:rsidRPr="00576180">
        <w:rPr>
          <w:rFonts w:ascii="Arial" w:hAnsi="Arial" w:cs="Arial"/>
        </w:rPr>
        <w:t xml:space="preserve">(EBP) </w:t>
      </w:r>
      <w:r w:rsidRPr="00576180">
        <w:rPr>
          <w:rFonts w:ascii="Arial" w:hAnsi="Arial" w:cs="Arial"/>
        </w:rPr>
        <w:t xml:space="preserve">(pasar del 4º al 3º </w:t>
      </w:r>
      <w:r w:rsidR="00AD0D53" w:rsidRPr="00576180">
        <w:rPr>
          <w:rFonts w:ascii="Arial" w:hAnsi="Arial" w:cs="Arial"/>
        </w:rPr>
        <w:t>c</w:t>
      </w:r>
      <w:r w:rsidRPr="00576180">
        <w:rPr>
          <w:rFonts w:ascii="Arial" w:hAnsi="Arial" w:cs="Arial"/>
        </w:rPr>
        <w:t>uartil)</w:t>
      </w:r>
      <w:r w:rsidR="00C86A27" w:rsidRPr="00576180">
        <w:rPr>
          <w:rFonts w:ascii="Arial" w:hAnsi="Arial" w:cs="Arial"/>
        </w:rPr>
        <w:t>. Los principales resultados esperados fueron:</w:t>
      </w:r>
      <w:r w:rsidR="00AD0D53" w:rsidRPr="00576180">
        <w:rPr>
          <w:rFonts w:ascii="Arial" w:hAnsi="Arial" w:cs="Arial"/>
        </w:rPr>
        <w:t xml:space="preserve"> </w:t>
      </w:r>
      <w:r w:rsidR="00C86A27" w:rsidRPr="00576180">
        <w:rPr>
          <w:rFonts w:ascii="Arial" w:hAnsi="Arial" w:cs="Arial"/>
        </w:rPr>
        <w:t xml:space="preserve">(i) </w:t>
      </w:r>
      <w:r w:rsidR="00E7506C" w:rsidRPr="00576180">
        <w:rPr>
          <w:rFonts w:ascii="Arial" w:hAnsi="Arial" w:cs="Arial"/>
        </w:rPr>
        <w:t>incrementar la c</w:t>
      </w:r>
      <w:r w:rsidRPr="00576180">
        <w:rPr>
          <w:rFonts w:ascii="Arial" w:hAnsi="Arial" w:cs="Arial"/>
        </w:rPr>
        <w:t>alidad y puntualidad de los informes presupuestarios del ejercicio en curso</w:t>
      </w:r>
      <w:r w:rsidR="00E7506C" w:rsidRPr="00576180">
        <w:rPr>
          <w:rFonts w:ascii="Arial" w:eastAsia="Arial" w:hAnsi="Arial" w:cs="Arial"/>
          <w:lang w:bidi="en-US"/>
        </w:rPr>
        <w:t>; (</w:t>
      </w:r>
      <w:proofErr w:type="spellStart"/>
      <w:r w:rsidR="00E7506C" w:rsidRPr="00576180">
        <w:rPr>
          <w:rFonts w:ascii="Arial" w:eastAsia="Arial" w:hAnsi="Arial" w:cs="Arial"/>
          <w:lang w:bidi="en-US"/>
        </w:rPr>
        <w:t>ii</w:t>
      </w:r>
      <w:proofErr w:type="spellEnd"/>
      <w:r w:rsidR="00E7506C" w:rsidRPr="00576180">
        <w:rPr>
          <w:rFonts w:ascii="Arial" w:eastAsia="Arial" w:hAnsi="Arial" w:cs="Arial"/>
          <w:lang w:bidi="en-US"/>
        </w:rPr>
        <w:t>) incrementar la disponibilidad de información sobre los recursos recibidos por las unidades de prestación de servicios; (</w:t>
      </w:r>
      <w:proofErr w:type="spellStart"/>
      <w:r w:rsidR="00E7506C" w:rsidRPr="00576180">
        <w:rPr>
          <w:rFonts w:ascii="Arial" w:eastAsia="Arial" w:hAnsi="Arial" w:cs="Arial"/>
          <w:lang w:bidi="en-US"/>
        </w:rPr>
        <w:t>iii</w:t>
      </w:r>
      <w:proofErr w:type="spellEnd"/>
      <w:r w:rsidR="00E7506C" w:rsidRPr="00576180">
        <w:rPr>
          <w:rFonts w:ascii="Arial" w:eastAsia="Arial" w:hAnsi="Arial" w:cs="Arial"/>
          <w:lang w:bidi="en-US"/>
        </w:rPr>
        <w:t>)</w:t>
      </w:r>
      <w:r w:rsidR="00DC242B" w:rsidRPr="00576180">
        <w:rPr>
          <w:rFonts w:ascii="Arial" w:eastAsia="Arial" w:hAnsi="Arial" w:cs="Arial"/>
          <w:lang w:bidi="en-US"/>
        </w:rPr>
        <w:t> </w:t>
      </w:r>
      <w:r w:rsidR="00E7506C" w:rsidRPr="00576180">
        <w:rPr>
          <w:rFonts w:ascii="Arial" w:eastAsia="Arial" w:hAnsi="Arial" w:cs="Arial"/>
          <w:lang w:bidi="en-US"/>
        </w:rPr>
        <w:t>gestión del saldo y seguimiento de los atrasos de pagos; (</w:t>
      </w:r>
      <w:proofErr w:type="spellStart"/>
      <w:r w:rsidR="00E7506C" w:rsidRPr="00576180">
        <w:rPr>
          <w:rFonts w:ascii="Arial" w:eastAsia="Arial" w:hAnsi="Arial" w:cs="Arial"/>
          <w:lang w:bidi="en-US"/>
        </w:rPr>
        <w:t>iv</w:t>
      </w:r>
      <w:proofErr w:type="spellEnd"/>
      <w:r w:rsidR="00E7506C" w:rsidRPr="00576180">
        <w:rPr>
          <w:rFonts w:ascii="Arial" w:eastAsia="Arial" w:hAnsi="Arial" w:cs="Arial"/>
          <w:lang w:bidi="en-US"/>
        </w:rPr>
        <w:t xml:space="preserve">) </w:t>
      </w:r>
      <w:r w:rsidR="00AD0D53" w:rsidRPr="00576180">
        <w:rPr>
          <w:rFonts w:ascii="Arial" w:eastAsia="Arial" w:hAnsi="Arial" w:cs="Arial"/>
          <w:lang w:bidi="en-US"/>
        </w:rPr>
        <w:t>a</w:t>
      </w:r>
      <w:r w:rsidR="00E7506C" w:rsidRPr="00576180">
        <w:rPr>
          <w:rFonts w:ascii="Arial" w:eastAsia="Arial" w:hAnsi="Arial" w:cs="Arial"/>
          <w:lang w:bidi="en-US"/>
        </w:rPr>
        <w:t xml:space="preserve">horro en costos de soporte para la operación del SIAF; (v) aumentar la cobertura de pagos del </w:t>
      </w:r>
      <w:r w:rsidR="00AD0D53" w:rsidRPr="00576180">
        <w:rPr>
          <w:rFonts w:ascii="Arial" w:eastAsia="Arial" w:hAnsi="Arial" w:cs="Arial"/>
          <w:lang w:bidi="en-US"/>
        </w:rPr>
        <w:t>s</w:t>
      </w:r>
      <w:r w:rsidR="00E7506C" w:rsidRPr="00576180">
        <w:rPr>
          <w:rFonts w:ascii="Arial" w:eastAsia="Arial" w:hAnsi="Arial" w:cs="Arial"/>
          <w:lang w:bidi="en-US"/>
        </w:rPr>
        <w:t xml:space="preserve">ector </w:t>
      </w:r>
      <w:r w:rsidR="00AD0D53" w:rsidRPr="00576180">
        <w:rPr>
          <w:rFonts w:ascii="Arial" w:eastAsia="Arial" w:hAnsi="Arial" w:cs="Arial"/>
          <w:lang w:bidi="en-US"/>
        </w:rPr>
        <w:t>p</w:t>
      </w:r>
      <w:r w:rsidR="00E7506C" w:rsidRPr="00576180">
        <w:rPr>
          <w:rFonts w:ascii="Arial" w:eastAsia="Arial" w:hAnsi="Arial" w:cs="Arial"/>
          <w:lang w:bidi="en-US"/>
        </w:rPr>
        <w:t>úblico; (vi) aumentar el porcentaje del total de cu</w:t>
      </w:r>
      <w:r w:rsidR="00DC242B" w:rsidRPr="00576180">
        <w:rPr>
          <w:rFonts w:ascii="Arial" w:eastAsia="Arial" w:hAnsi="Arial" w:cs="Arial"/>
          <w:lang w:bidi="en-US"/>
        </w:rPr>
        <w:t>e</w:t>
      </w:r>
      <w:r w:rsidR="00E7506C" w:rsidRPr="00576180">
        <w:rPr>
          <w:rFonts w:ascii="Arial" w:eastAsia="Arial" w:hAnsi="Arial" w:cs="Arial"/>
          <w:lang w:bidi="en-US"/>
        </w:rPr>
        <w:t xml:space="preserve">ntas bancarias incorporadas en </w:t>
      </w:r>
      <w:r w:rsidR="00AD0D53" w:rsidRPr="00576180">
        <w:rPr>
          <w:rFonts w:ascii="Arial" w:eastAsia="Arial" w:hAnsi="Arial" w:cs="Arial"/>
          <w:lang w:bidi="en-US"/>
        </w:rPr>
        <w:t xml:space="preserve">la </w:t>
      </w:r>
      <w:r w:rsidR="00E7506C" w:rsidRPr="00576180">
        <w:rPr>
          <w:rFonts w:ascii="Arial" w:eastAsia="Arial" w:hAnsi="Arial" w:cs="Arial"/>
          <w:lang w:bidi="en-US"/>
        </w:rPr>
        <w:t>CUT; (</w:t>
      </w:r>
      <w:proofErr w:type="spellStart"/>
      <w:r w:rsidR="00E7506C" w:rsidRPr="00576180">
        <w:rPr>
          <w:rFonts w:ascii="Arial" w:eastAsia="Arial" w:hAnsi="Arial" w:cs="Arial"/>
          <w:lang w:bidi="en-US"/>
        </w:rPr>
        <w:t>v</w:t>
      </w:r>
      <w:r w:rsidR="00854A13" w:rsidRPr="00576180">
        <w:rPr>
          <w:rFonts w:ascii="Arial" w:eastAsia="Arial" w:hAnsi="Arial" w:cs="Arial"/>
          <w:lang w:bidi="en-US"/>
        </w:rPr>
        <w:t>i</w:t>
      </w:r>
      <w:r w:rsidR="00E7506C" w:rsidRPr="00576180">
        <w:rPr>
          <w:rFonts w:ascii="Arial" w:eastAsia="Arial" w:hAnsi="Arial" w:cs="Arial"/>
          <w:lang w:bidi="en-US"/>
        </w:rPr>
        <w:t>i</w:t>
      </w:r>
      <w:proofErr w:type="spellEnd"/>
      <w:r w:rsidR="00E7506C" w:rsidRPr="00576180">
        <w:rPr>
          <w:rFonts w:ascii="Arial" w:eastAsia="Arial" w:hAnsi="Arial" w:cs="Arial"/>
          <w:lang w:bidi="en-US"/>
        </w:rPr>
        <w:t>)</w:t>
      </w:r>
      <w:r w:rsidR="00DC242B" w:rsidRPr="00576180">
        <w:rPr>
          <w:rFonts w:ascii="Arial" w:eastAsia="Arial" w:hAnsi="Arial" w:cs="Arial"/>
          <w:lang w:bidi="en-US"/>
        </w:rPr>
        <w:t> </w:t>
      </w:r>
      <w:r w:rsidR="00E7506C" w:rsidRPr="00576180">
        <w:rPr>
          <w:rFonts w:ascii="Arial" w:eastAsia="Arial" w:hAnsi="Arial" w:cs="Arial"/>
          <w:lang w:bidi="en-US"/>
        </w:rPr>
        <w:t>aumentar el porcentaje de asientos contables automatizados; (</w:t>
      </w:r>
      <w:proofErr w:type="spellStart"/>
      <w:r w:rsidR="00E7506C" w:rsidRPr="00576180">
        <w:rPr>
          <w:rFonts w:ascii="Arial" w:eastAsia="Arial" w:hAnsi="Arial" w:cs="Arial"/>
          <w:lang w:bidi="en-US"/>
        </w:rPr>
        <w:t>v</w:t>
      </w:r>
      <w:r w:rsidR="00854A13" w:rsidRPr="00576180">
        <w:rPr>
          <w:rFonts w:ascii="Arial" w:eastAsia="Arial" w:hAnsi="Arial" w:cs="Arial"/>
          <w:lang w:bidi="en-US"/>
        </w:rPr>
        <w:t>i</w:t>
      </w:r>
      <w:r w:rsidR="00E7506C" w:rsidRPr="00576180">
        <w:rPr>
          <w:rFonts w:ascii="Arial" w:eastAsia="Arial" w:hAnsi="Arial" w:cs="Arial"/>
          <w:lang w:bidi="en-US"/>
        </w:rPr>
        <w:t>ii</w:t>
      </w:r>
      <w:proofErr w:type="spellEnd"/>
      <w:r w:rsidR="00E7506C" w:rsidRPr="00576180">
        <w:rPr>
          <w:rFonts w:ascii="Arial" w:eastAsia="Arial" w:hAnsi="Arial" w:cs="Arial"/>
          <w:lang w:bidi="en-US"/>
        </w:rPr>
        <w:t>) aumentar la oportunidad de los estados financieros (tiempo de preparación y envío al MEF de los estados financieros; y (</w:t>
      </w:r>
      <w:proofErr w:type="spellStart"/>
      <w:r w:rsidR="00854A13" w:rsidRPr="00576180">
        <w:rPr>
          <w:rFonts w:ascii="Arial" w:eastAsia="Arial" w:hAnsi="Arial" w:cs="Arial"/>
          <w:lang w:bidi="en-US"/>
        </w:rPr>
        <w:t>ix</w:t>
      </w:r>
      <w:proofErr w:type="spellEnd"/>
      <w:r w:rsidR="00E7506C" w:rsidRPr="00576180">
        <w:rPr>
          <w:rFonts w:ascii="Arial" w:eastAsia="Arial" w:hAnsi="Arial" w:cs="Arial"/>
          <w:lang w:bidi="en-US"/>
        </w:rPr>
        <w:t xml:space="preserve">) aumentar </w:t>
      </w:r>
      <w:r w:rsidR="00854A13" w:rsidRPr="00576180">
        <w:rPr>
          <w:rFonts w:ascii="Arial" w:eastAsia="Arial" w:hAnsi="Arial" w:cs="Arial"/>
          <w:lang w:bidi="en-US"/>
        </w:rPr>
        <w:t>la c</w:t>
      </w:r>
      <w:r w:rsidR="00E7506C" w:rsidRPr="00576180">
        <w:rPr>
          <w:rFonts w:ascii="Arial" w:eastAsia="Arial" w:hAnsi="Arial" w:cs="Arial"/>
          <w:lang w:bidi="en-US"/>
        </w:rPr>
        <w:t xml:space="preserve">obertura </w:t>
      </w:r>
      <w:r w:rsidR="00854A13" w:rsidRPr="00576180">
        <w:rPr>
          <w:rFonts w:ascii="Arial" w:eastAsia="Arial" w:hAnsi="Arial" w:cs="Arial"/>
          <w:lang w:bidi="en-US"/>
        </w:rPr>
        <w:t xml:space="preserve">del </w:t>
      </w:r>
      <w:proofErr w:type="spellStart"/>
      <w:r w:rsidR="00E7506C" w:rsidRPr="00576180">
        <w:rPr>
          <w:rFonts w:ascii="Arial" w:eastAsia="Arial" w:hAnsi="Arial" w:cs="Arial"/>
          <w:lang w:bidi="en-US"/>
        </w:rPr>
        <w:t>PpR</w:t>
      </w:r>
      <w:proofErr w:type="spellEnd"/>
      <w:r w:rsidR="00854A13" w:rsidRPr="00576180">
        <w:rPr>
          <w:rFonts w:ascii="Arial" w:eastAsia="Arial" w:hAnsi="Arial" w:cs="Arial"/>
          <w:lang w:bidi="en-US"/>
        </w:rPr>
        <w:t>,</w:t>
      </w:r>
      <w:r w:rsidR="00E7506C" w:rsidRPr="00576180">
        <w:rPr>
          <w:rFonts w:ascii="Arial" w:eastAsia="Arial" w:hAnsi="Arial" w:cs="Arial"/>
          <w:lang w:bidi="en-US"/>
        </w:rPr>
        <w:t xml:space="preserve"> comparado con el total del gasto no financiero ni previsional del </w:t>
      </w:r>
      <w:r w:rsidR="00854A13" w:rsidRPr="00576180">
        <w:rPr>
          <w:rFonts w:ascii="Arial" w:eastAsia="Arial" w:hAnsi="Arial" w:cs="Arial"/>
          <w:lang w:bidi="en-US"/>
        </w:rPr>
        <w:t>p</w:t>
      </w:r>
      <w:r w:rsidR="00E7506C" w:rsidRPr="00576180">
        <w:rPr>
          <w:rFonts w:ascii="Arial" w:eastAsia="Arial" w:hAnsi="Arial" w:cs="Arial"/>
          <w:lang w:bidi="en-US"/>
        </w:rPr>
        <w:t xml:space="preserve">resupuesto del </w:t>
      </w:r>
      <w:r w:rsidR="00854A13" w:rsidRPr="00576180">
        <w:rPr>
          <w:rFonts w:ascii="Arial" w:eastAsia="Arial" w:hAnsi="Arial" w:cs="Arial"/>
          <w:lang w:bidi="en-US"/>
        </w:rPr>
        <w:t>g</w:t>
      </w:r>
      <w:r w:rsidR="00E7506C" w:rsidRPr="00576180">
        <w:rPr>
          <w:rFonts w:ascii="Arial" w:eastAsia="Arial" w:hAnsi="Arial" w:cs="Arial"/>
          <w:lang w:bidi="en-US"/>
        </w:rPr>
        <w:t xml:space="preserve">obierno </w:t>
      </w:r>
      <w:r w:rsidR="00854A13" w:rsidRPr="00576180">
        <w:rPr>
          <w:rFonts w:ascii="Arial" w:eastAsia="Arial" w:hAnsi="Arial" w:cs="Arial"/>
          <w:lang w:bidi="en-US"/>
        </w:rPr>
        <w:t>g</w:t>
      </w:r>
      <w:r w:rsidR="00E7506C" w:rsidRPr="00576180">
        <w:rPr>
          <w:rFonts w:ascii="Arial" w:eastAsia="Arial" w:hAnsi="Arial" w:cs="Arial"/>
          <w:lang w:bidi="en-US"/>
        </w:rPr>
        <w:t>eneral.</w:t>
      </w:r>
    </w:p>
    <w:p w14:paraId="480744C1" w14:textId="34EA5BAD" w:rsidR="00C86A27" w:rsidRPr="00576180" w:rsidRDefault="00C86A27" w:rsidP="00D17FF5">
      <w:pPr>
        <w:pStyle w:val="ListParagraph"/>
        <w:tabs>
          <w:tab w:val="left" w:pos="9000"/>
        </w:tabs>
        <w:spacing w:before="120" w:after="120" w:line="240" w:lineRule="auto"/>
        <w:ind w:left="360"/>
        <w:contextualSpacing w:val="0"/>
        <w:jc w:val="both"/>
        <w:rPr>
          <w:rFonts w:ascii="Arial" w:eastAsia="Arial" w:hAnsi="Arial" w:cs="Arial"/>
          <w:lang w:bidi="en-US"/>
        </w:rPr>
      </w:pPr>
      <w:r w:rsidRPr="00576180">
        <w:rPr>
          <w:rFonts w:ascii="Arial" w:eastAsia="Arial" w:hAnsi="Arial" w:cs="Arial"/>
          <w:lang w:bidi="en-US"/>
        </w:rPr>
        <w:t xml:space="preserve">Estos </w:t>
      </w:r>
      <w:r w:rsidRPr="00576180">
        <w:rPr>
          <w:rFonts w:ascii="Arial" w:hAnsi="Arial" w:cs="Arial"/>
        </w:rPr>
        <w:t>resultados</w:t>
      </w:r>
      <w:r w:rsidRPr="00576180">
        <w:rPr>
          <w:rFonts w:ascii="Arial" w:eastAsia="Arial" w:hAnsi="Arial" w:cs="Arial"/>
          <w:lang w:bidi="en-US"/>
        </w:rPr>
        <w:t xml:space="preserve"> </w:t>
      </w:r>
      <w:r w:rsidR="00854A13" w:rsidRPr="00576180">
        <w:rPr>
          <w:rFonts w:ascii="Arial" w:eastAsia="Arial" w:hAnsi="Arial" w:cs="Arial"/>
          <w:lang w:bidi="en-US"/>
        </w:rPr>
        <w:t>se evalúan</w:t>
      </w:r>
      <w:r w:rsidRPr="00576180">
        <w:rPr>
          <w:rFonts w:ascii="Arial" w:eastAsia="Arial" w:hAnsi="Arial" w:cs="Arial"/>
          <w:lang w:bidi="en-US"/>
        </w:rPr>
        <w:t xml:space="preserve"> en </w:t>
      </w:r>
      <w:r w:rsidR="00854A13" w:rsidRPr="00576180">
        <w:rPr>
          <w:rFonts w:ascii="Arial" w:eastAsia="Arial" w:hAnsi="Arial" w:cs="Arial"/>
          <w:lang w:bidi="en-US"/>
        </w:rPr>
        <w:t>las siguientes secciones del presente informe</w:t>
      </w:r>
      <w:r w:rsidR="009243E9" w:rsidRPr="00576180">
        <w:rPr>
          <w:rFonts w:ascii="Arial" w:eastAsia="Arial" w:hAnsi="Arial" w:cs="Arial"/>
          <w:lang w:bidi="en-US"/>
        </w:rPr>
        <w:t>,</w:t>
      </w:r>
      <w:r w:rsidRPr="00576180">
        <w:rPr>
          <w:rFonts w:ascii="Arial" w:eastAsia="Arial" w:hAnsi="Arial" w:cs="Arial"/>
          <w:lang w:bidi="en-US"/>
        </w:rPr>
        <w:t xml:space="preserve"> de acuerdo con </w:t>
      </w:r>
      <w:r w:rsidR="00854A13" w:rsidRPr="00576180">
        <w:rPr>
          <w:rFonts w:ascii="Arial" w:eastAsia="Arial" w:hAnsi="Arial" w:cs="Arial"/>
          <w:lang w:bidi="en-US"/>
        </w:rPr>
        <w:t xml:space="preserve">lo establecido en </w:t>
      </w:r>
      <w:r w:rsidRPr="00576180">
        <w:rPr>
          <w:rFonts w:ascii="Arial" w:eastAsia="Arial" w:hAnsi="Arial" w:cs="Arial"/>
          <w:lang w:bidi="en-US"/>
        </w:rPr>
        <w:t xml:space="preserve">las </w:t>
      </w:r>
      <w:r w:rsidR="00854A13" w:rsidRPr="00576180">
        <w:rPr>
          <w:rFonts w:ascii="Arial" w:eastAsia="Arial" w:hAnsi="Arial" w:cs="Arial"/>
          <w:lang w:bidi="en-US"/>
        </w:rPr>
        <w:t>g</w:t>
      </w:r>
      <w:r w:rsidRPr="00576180">
        <w:rPr>
          <w:rFonts w:ascii="Arial" w:eastAsia="Arial" w:hAnsi="Arial" w:cs="Arial"/>
          <w:lang w:bidi="en-US"/>
        </w:rPr>
        <w:t xml:space="preserve">uías de PCR </w:t>
      </w:r>
      <w:r w:rsidR="00854A13" w:rsidRPr="00576180">
        <w:rPr>
          <w:rFonts w:ascii="Arial" w:eastAsia="Arial" w:hAnsi="Arial" w:cs="Arial"/>
          <w:lang w:bidi="en-US"/>
        </w:rPr>
        <w:t>aprobadas en</w:t>
      </w:r>
      <w:r w:rsidRPr="00576180">
        <w:rPr>
          <w:rFonts w:ascii="Arial" w:eastAsia="Arial" w:hAnsi="Arial" w:cs="Arial"/>
          <w:lang w:bidi="en-US"/>
        </w:rPr>
        <w:t xml:space="preserve"> 2018.</w:t>
      </w:r>
    </w:p>
    <w:p w14:paraId="59E58E2F" w14:textId="77777777" w:rsidR="00395FD2" w:rsidRPr="00576180" w:rsidRDefault="00395FD2" w:rsidP="00576180">
      <w:pPr>
        <w:pStyle w:val="Heading1"/>
        <w:numPr>
          <w:ilvl w:val="0"/>
          <w:numId w:val="2"/>
        </w:numPr>
        <w:spacing w:before="240" w:after="240"/>
        <w:rPr>
          <w:smallCaps/>
        </w:rPr>
      </w:pPr>
      <w:bookmarkStart w:id="60" w:name="_Toc533166433"/>
      <w:bookmarkStart w:id="61" w:name="_Toc20432457"/>
      <w:bookmarkStart w:id="62" w:name="_Toc21017052"/>
      <w:r w:rsidRPr="00576180">
        <w:rPr>
          <w:smallCaps/>
        </w:rPr>
        <w:t xml:space="preserve">Criterios </w:t>
      </w:r>
      <w:r w:rsidR="00351F3E" w:rsidRPr="00576180">
        <w:rPr>
          <w:smallCaps/>
        </w:rPr>
        <w:t>c</w:t>
      </w:r>
      <w:r w:rsidRPr="00576180">
        <w:rPr>
          <w:smallCaps/>
        </w:rPr>
        <w:t>entrales</w:t>
      </w:r>
      <w:bookmarkEnd w:id="60"/>
      <w:bookmarkEnd w:id="61"/>
      <w:bookmarkEnd w:id="62"/>
      <w:r w:rsidRPr="00576180">
        <w:rPr>
          <w:smallCaps/>
        </w:rPr>
        <w:t xml:space="preserve"> </w:t>
      </w:r>
    </w:p>
    <w:p w14:paraId="568C7465" w14:textId="16B93593" w:rsidR="00A608C0" w:rsidRPr="00576180" w:rsidRDefault="00A608C0" w:rsidP="00D17FF5">
      <w:pPr>
        <w:pStyle w:val="Heading2"/>
        <w:numPr>
          <w:ilvl w:val="0"/>
          <w:numId w:val="41"/>
        </w:numPr>
        <w:spacing w:before="120" w:after="120" w:line="240" w:lineRule="auto"/>
        <w:ind w:left="720" w:hanging="720"/>
        <w:rPr>
          <w:rFonts w:ascii="Arial" w:hAnsi="Arial"/>
          <w:b/>
          <w:bCs/>
          <w:color w:val="auto"/>
          <w:sz w:val="22"/>
          <w:szCs w:val="22"/>
        </w:rPr>
      </w:pPr>
      <w:bookmarkStart w:id="63" w:name="_Relevancia"/>
      <w:bookmarkStart w:id="64" w:name="_Toc533166434"/>
      <w:bookmarkStart w:id="65" w:name="_Toc20432458"/>
      <w:bookmarkStart w:id="66" w:name="_Toc21017053"/>
      <w:bookmarkEnd w:id="63"/>
      <w:r w:rsidRPr="00576180">
        <w:rPr>
          <w:rFonts w:ascii="Arial" w:hAnsi="Arial"/>
          <w:b/>
          <w:bCs/>
          <w:color w:val="auto"/>
          <w:sz w:val="22"/>
          <w:szCs w:val="22"/>
        </w:rPr>
        <w:t>Relevancia</w:t>
      </w:r>
      <w:bookmarkEnd w:id="5"/>
      <w:bookmarkEnd w:id="6"/>
      <w:bookmarkEnd w:id="7"/>
      <w:bookmarkEnd w:id="8"/>
      <w:bookmarkEnd w:id="9"/>
      <w:bookmarkEnd w:id="64"/>
      <w:bookmarkEnd w:id="65"/>
      <w:bookmarkEnd w:id="66"/>
    </w:p>
    <w:p w14:paraId="67615651" w14:textId="4DAA94EE" w:rsidR="00EC643A" w:rsidRPr="00194111" w:rsidRDefault="00EC643A" w:rsidP="00265302">
      <w:pPr>
        <w:spacing w:before="120" w:after="120" w:line="240" w:lineRule="auto"/>
        <w:jc w:val="both"/>
        <w:rPr>
          <w:rFonts w:ascii="Arial" w:eastAsia="Arial" w:hAnsi="Arial" w:cs="Arial"/>
          <w:lang w:bidi="en-US"/>
        </w:rPr>
      </w:pPr>
      <w:r w:rsidRPr="00194111">
        <w:rPr>
          <w:rFonts w:ascii="Arial" w:eastAsia="Arial" w:hAnsi="Arial" w:cs="Arial"/>
          <w:lang w:bidi="en-US"/>
        </w:rPr>
        <w:t xml:space="preserve">El proyecto fue diseñado considerando que la gestión financiera del Perú requería de un proceso modernizador profundo, como lo demuestra el Estudio de </w:t>
      </w:r>
      <w:proofErr w:type="spellStart"/>
      <w:r w:rsidRPr="00194111">
        <w:rPr>
          <w:rFonts w:ascii="Arial" w:eastAsia="Arial" w:hAnsi="Arial" w:cs="Arial"/>
          <w:lang w:bidi="en-US"/>
        </w:rPr>
        <w:t>Pre-</w:t>
      </w:r>
      <w:r w:rsidRPr="00062B58">
        <w:rPr>
          <w:rFonts w:ascii="Arial" w:eastAsia="Arial" w:hAnsi="Arial" w:cs="Arial"/>
          <w:lang w:bidi="en-US"/>
        </w:rPr>
        <w:t>inversión</w:t>
      </w:r>
      <w:proofErr w:type="spellEnd"/>
      <w:r w:rsidRPr="00062B58">
        <w:rPr>
          <w:rFonts w:ascii="Arial" w:eastAsia="Arial" w:hAnsi="Arial" w:cs="Arial"/>
          <w:lang w:bidi="en-US"/>
        </w:rPr>
        <w:t>, particularmente</w:t>
      </w:r>
      <w:r w:rsidRPr="00194111">
        <w:rPr>
          <w:rFonts w:ascii="Arial" w:eastAsia="Arial" w:hAnsi="Arial" w:cs="Arial"/>
          <w:lang w:bidi="en-US"/>
        </w:rPr>
        <w:t xml:space="preserve"> asociado al soporte tecnológico de los mismos, y plantea que cualquier mejora del “sistema” de gestión de las finanzas públicas pasaba por una mejora sustantiva de la herramienta tecnológica que la soport</w:t>
      </w:r>
      <w:r w:rsidR="00BF008C">
        <w:rPr>
          <w:rFonts w:ascii="Arial" w:eastAsia="Arial" w:hAnsi="Arial" w:cs="Arial"/>
          <w:lang w:bidi="en-US"/>
        </w:rPr>
        <w:t>aba</w:t>
      </w:r>
      <w:r w:rsidRPr="00194111">
        <w:rPr>
          <w:rFonts w:ascii="Arial" w:eastAsia="Arial" w:hAnsi="Arial" w:cs="Arial"/>
          <w:lang w:bidi="en-US"/>
        </w:rPr>
        <w:t xml:space="preserve">. A </w:t>
      </w:r>
      <w:r w:rsidR="00014317">
        <w:rPr>
          <w:rFonts w:ascii="Arial" w:eastAsia="Arial" w:hAnsi="Arial" w:cs="Arial"/>
          <w:lang w:bidi="en-US"/>
        </w:rPr>
        <w:t>esa</w:t>
      </w:r>
      <w:r w:rsidRPr="00194111">
        <w:rPr>
          <w:rFonts w:ascii="Arial" w:eastAsia="Arial" w:hAnsi="Arial" w:cs="Arial"/>
          <w:lang w:bidi="en-US"/>
        </w:rPr>
        <w:t xml:space="preserve"> fecha</w:t>
      </w:r>
      <w:r w:rsidR="00014317">
        <w:rPr>
          <w:rFonts w:ascii="Arial" w:eastAsia="Arial" w:hAnsi="Arial" w:cs="Arial"/>
          <w:lang w:bidi="en-US"/>
        </w:rPr>
        <w:t>,</w:t>
      </w:r>
      <w:r w:rsidRPr="00194111">
        <w:rPr>
          <w:rFonts w:ascii="Arial" w:eastAsia="Arial" w:hAnsi="Arial" w:cs="Arial"/>
          <w:lang w:bidi="en-US"/>
        </w:rPr>
        <w:t xml:space="preserve"> la gestión financiera del Perú se soportaba en una herramienta tecnológica </w:t>
      </w:r>
      <w:r w:rsidR="00BF008C">
        <w:rPr>
          <w:rFonts w:ascii="Arial" w:eastAsia="Arial" w:hAnsi="Arial" w:cs="Arial"/>
          <w:lang w:bidi="en-US"/>
        </w:rPr>
        <w:t xml:space="preserve">que </w:t>
      </w:r>
      <w:r w:rsidRPr="00194111">
        <w:rPr>
          <w:rFonts w:ascii="Arial" w:eastAsia="Arial" w:hAnsi="Arial" w:cs="Arial"/>
          <w:lang w:bidi="en-US"/>
        </w:rPr>
        <w:t xml:space="preserve">ya había cumplido su ciclo, tanto desde el punto de vista de su cobertura funcional, como en los aspectos tecnológicos, con un alto grado de obsolescencia, que hacía compleja su mantención y </w:t>
      </w:r>
      <w:r w:rsidR="00014317">
        <w:rPr>
          <w:rFonts w:ascii="Arial" w:eastAsia="Arial" w:hAnsi="Arial" w:cs="Arial"/>
          <w:lang w:bidi="en-US"/>
        </w:rPr>
        <w:t xml:space="preserve">adaptación </w:t>
      </w:r>
      <w:r w:rsidR="008B2F72">
        <w:rPr>
          <w:rFonts w:ascii="Arial" w:eastAsia="Arial" w:hAnsi="Arial" w:cs="Arial"/>
          <w:lang w:bidi="en-US"/>
        </w:rPr>
        <w:t>a nuevas herramientas de gestión presupuestaria</w:t>
      </w:r>
      <w:r w:rsidRPr="00194111">
        <w:rPr>
          <w:rFonts w:ascii="Arial" w:eastAsia="Arial" w:hAnsi="Arial" w:cs="Arial"/>
          <w:lang w:bidi="en-US"/>
        </w:rPr>
        <w:t>.</w:t>
      </w:r>
    </w:p>
    <w:p w14:paraId="5F0D1E8C" w14:textId="6D5E5D70" w:rsidR="00EC643A" w:rsidRPr="00194111" w:rsidRDefault="00EC643A" w:rsidP="00265302">
      <w:pPr>
        <w:spacing w:before="120" w:after="120" w:line="240" w:lineRule="auto"/>
        <w:jc w:val="both"/>
        <w:rPr>
          <w:rFonts w:ascii="Arial" w:eastAsia="Arial" w:hAnsi="Arial" w:cs="Arial"/>
          <w:lang w:bidi="en-US"/>
        </w:rPr>
      </w:pPr>
      <w:r w:rsidRPr="00194111">
        <w:rPr>
          <w:rFonts w:ascii="Arial" w:eastAsia="Arial" w:hAnsi="Arial" w:cs="Arial"/>
          <w:lang w:bidi="en-US"/>
        </w:rPr>
        <w:t xml:space="preserve">La estrategia del Banco apuntaba a apoyar al país en el mejoramiento de sus procesos de gestión financiera, tanto desde el punto de vista funcionales </w:t>
      </w:r>
      <w:r w:rsidR="00265302">
        <w:rPr>
          <w:rFonts w:ascii="Arial" w:eastAsia="Arial" w:hAnsi="Arial" w:cs="Arial"/>
          <w:lang w:bidi="en-US"/>
        </w:rPr>
        <w:t>como</w:t>
      </w:r>
      <w:r w:rsidRPr="00194111">
        <w:rPr>
          <w:rFonts w:ascii="Arial" w:eastAsia="Arial" w:hAnsi="Arial" w:cs="Arial"/>
          <w:lang w:bidi="en-US"/>
        </w:rPr>
        <w:t xml:space="preserve"> tecnológico</w:t>
      </w:r>
      <w:r w:rsidR="00BF008C">
        <w:rPr>
          <w:rFonts w:ascii="Arial" w:eastAsia="Arial" w:hAnsi="Arial" w:cs="Arial"/>
          <w:lang w:bidi="en-US"/>
        </w:rPr>
        <w:t>s.</w:t>
      </w:r>
    </w:p>
    <w:p w14:paraId="32CBA39E" w14:textId="77777777" w:rsidR="00EC643A" w:rsidRPr="00194111" w:rsidRDefault="00EC643A" w:rsidP="00265302">
      <w:pPr>
        <w:spacing w:before="120" w:after="120" w:line="240" w:lineRule="auto"/>
        <w:jc w:val="both"/>
        <w:rPr>
          <w:rFonts w:ascii="Arial" w:eastAsia="Arial" w:hAnsi="Arial" w:cs="Arial"/>
          <w:lang w:bidi="en-US"/>
        </w:rPr>
      </w:pPr>
      <w:r w:rsidRPr="00194111">
        <w:rPr>
          <w:rFonts w:ascii="Arial" w:eastAsia="Arial" w:hAnsi="Arial" w:cs="Arial"/>
          <w:lang w:bidi="en-US"/>
        </w:rPr>
        <w:t>En la evaluación realizada en el proyecto de inversión, la cobertura funcional de la plataforma de gestión financiera que operaba a la fecha (SIAF-SP) era de un 59% de los procesos involucrados, lo cual es bastante bajo para un soporte tecnológico de este tipo.</w:t>
      </w:r>
    </w:p>
    <w:p w14:paraId="4950AD3A" w14:textId="77777777" w:rsidR="00EC643A" w:rsidRPr="00194111" w:rsidRDefault="00EC643A" w:rsidP="00194111">
      <w:pPr>
        <w:jc w:val="both"/>
        <w:rPr>
          <w:bCs/>
        </w:rPr>
      </w:pPr>
    </w:p>
    <w:p w14:paraId="37127931" w14:textId="77777777" w:rsidR="00EC643A" w:rsidRPr="005C2BD4" w:rsidRDefault="00EC643A" w:rsidP="00EC643A">
      <w:pPr>
        <w:jc w:val="center"/>
        <w:rPr>
          <w:bCs/>
          <w:lang w:val="es-ES"/>
        </w:rPr>
      </w:pPr>
      <w:r w:rsidRPr="005C2BD4">
        <w:rPr>
          <w:noProof/>
          <w:lang w:val="es-ES"/>
        </w:rPr>
        <w:drawing>
          <wp:inline distT="0" distB="0" distL="0" distR="0" wp14:anchorId="3D91C924" wp14:editId="1CDE45DE">
            <wp:extent cx="5279922" cy="1976120"/>
            <wp:effectExtent l="0" t="0" r="0" b="0"/>
            <wp:docPr id="2" name="Gráfico 2">
              <a:extLst xmlns:a="http://schemas.openxmlformats.org/drawingml/2006/main">
                <a:ext uri="{FF2B5EF4-FFF2-40B4-BE49-F238E27FC236}">
                  <a16:creationId xmlns:a16="http://schemas.microsoft.com/office/drawing/2014/main" id="{5442E7B7-DBEC-C84E-BF73-D898535CBD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C00E96" w14:textId="2ED3AC64" w:rsidR="00EC643A" w:rsidRPr="005C2BD4" w:rsidRDefault="00EC643A" w:rsidP="00EC643A">
      <w:pPr>
        <w:rPr>
          <w:bCs/>
          <w:sz w:val="18"/>
          <w:szCs w:val="18"/>
          <w:lang w:val="es-ES"/>
        </w:rPr>
      </w:pPr>
      <w:r w:rsidRPr="005C2BD4">
        <w:rPr>
          <w:bCs/>
          <w:sz w:val="18"/>
          <w:szCs w:val="18"/>
          <w:lang w:val="es-ES"/>
        </w:rPr>
        <w:t xml:space="preserve">Fuente: Estudio de </w:t>
      </w:r>
      <w:proofErr w:type="spellStart"/>
      <w:r w:rsidRPr="005C2BD4">
        <w:rPr>
          <w:bCs/>
          <w:sz w:val="18"/>
          <w:szCs w:val="18"/>
          <w:lang w:val="es-ES"/>
        </w:rPr>
        <w:t>Pre-inversión</w:t>
      </w:r>
      <w:proofErr w:type="spellEnd"/>
      <w:r w:rsidRPr="005C2BD4">
        <w:rPr>
          <w:bCs/>
          <w:sz w:val="18"/>
          <w:szCs w:val="18"/>
          <w:lang w:val="es-ES"/>
        </w:rPr>
        <w:t xml:space="preserve"> a nivel de Factibilidad, MEF, 2010</w:t>
      </w:r>
    </w:p>
    <w:p w14:paraId="354B30BD" w14:textId="244DF809" w:rsidR="00EC643A" w:rsidRPr="00194111" w:rsidRDefault="00EC643A" w:rsidP="00265302">
      <w:pPr>
        <w:spacing w:before="120" w:after="120" w:line="240" w:lineRule="auto"/>
        <w:jc w:val="both"/>
        <w:rPr>
          <w:rFonts w:ascii="Arial" w:eastAsia="Arial" w:hAnsi="Arial" w:cs="Arial"/>
          <w:lang w:bidi="en-US"/>
        </w:rPr>
      </w:pPr>
      <w:r w:rsidRPr="00194111">
        <w:rPr>
          <w:rFonts w:ascii="Arial" w:eastAsia="Arial" w:hAnsi="Arial" w:cs="Arial"/>
          <w:lang w:bidi="en-US"/>
        </w:rPr>
        <w:lastRenderedPageBreak/>
        <w:t xml:space="preserve">Si a lo anterior se agrega que la arquitectura tecnológica sobre la cual operaba el SIAF-SP se trataba de una plataforma del tipo cliente-servidor, sustentada en tecnologías obsoletas, esto hacía imperioso su actualización a tecnologías </w:t>
      </w:r>
      <w:r w:rsidR="008B2F72">
        <w:rPr>
          <w:rFonts w:ascii="Arial" w:eastAsia="Arial" w:hAnsi="Arial" w:cs="Arial"/>
          <w:lang w:bidi="en-US"/>
        </w:rPr>
        <w:t xml:space="preserve">desarrolladas en base </w:t>
      </w:r>
      <w:r w:rsidRPr="00194111">
        <w:rPr>
          <w:rFonts w:ascii="Arial" w:eastAsia="Arial" w:hAnsi="Arial" w:cs="Arial"/>
          <w:lang w:bidi="en-US"/>
        </w:rPr>
        <w:t>web.</w:t>
      </w:r>
    </w:p>
    <w:p w14:paraId="4D87D41D" w14:textId="77777777" w:rsidR="00092F8A" w:rsidRPr="00576180" w:rsidRDefault="00092F8A" w:rsidP="00D17FF5">
      <w:pPr>
        <w:pStyle w:val="Heading3"/>
        <w:numPr>
          <w:ilvl w:val="0"/>
          <w:numId w:val="42"/>
        </w:numPr>
        <w:spacing w:before="120" w:after="120" w:line="240" w:lineRule="auto"/>
        <w:rPr>
          <w:rFonts w:ascii="Arial" w:hAnsi="Arial" w:cs="Arial"/>
          <w:b/>
          <w:bCs/>
          <w:color w:val="auto"/>
          <w:sz w:val="22"/>
          <w:szCs w:val="26"/>
        </w:rPr>
      </w:pPr>
      <w:bookmarkStart w:id="67" w:name="_Toc20432459"/>
      <w:bookmarkStart w:id="68" w:name="_Toc501529195"/>
      <w:bookmarkStart w:id="69" w:name="_Toc500169659"/>
      <w:bookmarkStart w:id="70" w:name="_Toc507063070"/>
      <w:bookmarkStart w:id="71" w:name="_Toc533166435"/>
      <w:bookmarkStart w:id="72" w:name="_Toc20432460"/>
      <w:bookmarkStart w:id="73" w:name="_Toc21017054"/>
      <w:bookmarkStart w:id="74" w:name="_Toc506484926"/>
      <w:bookmarkStart w:id="75" w:name="_Toc506974991"/>
      <w:bookmarkEnd w:id="67"/>
      <w:r w:rsidRPr="00576180">
        <w:rPr>
          <w:rFonts w:ascii="Arial" w:hAnsi="Arial" w:cs="Arial"/>
          <w:b/>
          <w:bCs/>
          <w:color w:val="auto"/>
          <w:sz w:val="22"/>
          <w:szCs w:val="26"/>
        </w:rPr>
        <w:t>Alineación del Programa con las necesidades de desarrollo del país</w:t>
      </w:r>
      <w:bookmarkEnd w:id="68"/>
      <w:bookmarkEnd w:id="69"/>
      <w:bookmarkEnd w:id="70"/>
      <w:bookmarkEnd w:id="71"/>
      <w:bookmarkEnd w:id="72"/>
      <w:bookmarkEnd w:id="73"/>
      <w:r w:rsidRPr="00576180">
        <w:rPr>
          <w:rFonts w:ascii="Arial" w:hAnsi="Arial" w:cs="Arial"/>
          <w:b/>
          <w:bCs/>
          <w:color w:val="auto"/>
          <w:sz w:val="22"/>
          <w:szCs w:val="26"/>
        </w:rPr>
        <w:t xml:space="preserve"> </w:t>
      </w:r>
      <w:bookmarkEnd w:id="74"/>
      <w:bookmarkEnd w:id="75"/>
    </w:p>
    <w:p w14:paraId="500F9CA2" w14:textId="5E314856" w:rsidR="007575CC" w:rsidRPr="00576180" w:rsidRDefault="00C97C35" w:rsidP="00D17FF5">
      <w:pPr>
        <w:pStyle w:val="ListParagraph"/>
        <w:tabs>
          <w:tab w:val="left" w:pos="9000"/>
        </w:tabs>
        <w:spacing w:before="120" w:after="120" w:line="240" w:lineRule="auto"/>
        <w:ind w:left="360"/>
        <w:contextualSpacing w:val="0"/>
        <w:jc w:val="both"/>
        <w:rPr>
          <w:rFonts w:ascii="Arial" w:hAnsi="Arial" w:cs="Arial"/>
        </w:rPr>
      </w:pPr>
      <w:r w:rsidRPr="00576180">
        <w:rPr>
          <w:rFonts w:ascii="Arial" w:hAnsi="Arial" w:cs="Arial"/>
        </w:rPr>
        <w:t>La</w:t>
      </w:r>
      <w:r w:rsidR="00CC2E1C" w:rsidRPr="00576180">
        <w:rPr>
          <w:rFonts w:ascii="Arial" w:hAnsi="Arial" w:cs="Arial"/>
        </w:rPr>
        <w:t xml:space="preserve"> preparación y aprobación del Programa</w:t>
      </w:r>
      <w:r w:rsidR="008B2F72">
        <w:rPr>
          <w:rFonts w:ascii="Arial" w:hAnsi="Arial" w:cs="Arial"/>
        </w:rPr>
        <w:t>, tuvo</w:t>
      </w:r>
      <w:r w:rsidR="00CC2E1C" w:rsidRPr="00576180">
        <w:rPr>
          <w:rFonts w:ascii="Arial" w:hAnsi="Arial" w:cs="Arial"/>
        </w:rPr>
        <w:t xml:space="preserve"> como referencia el contexto macroeconómico y fiscal del país, así como el marco de los problemas identificados durante su preparación. </w:t>
      </w:r>
      <w:r w:rsidR="003A389C" w:rsidRPr="00576180">
        <w:rPr>
          <w:rFonts w:ascii="Arial" w:hAnsi="Arial" w:cs="Arial"/>
        </w:rPr>
        <w:t>D</w:t>
      </w:r>
      <w:r w:rsidR="00847EF1" w:rsidRPr="00576180">
        <w:rPr>
          <w:rFonts w:ascii="Arial" w:hAnsi="Arial" w:cs="Arial"/>
        </w:rPr>
        <w:t>urante</w:t>
      </w:r>
      <w:r w:rsidR="009C71D1" w:rsidRPr="00576180">
        <w:rPr>
          <w:rFonts w:ascii="Arial" w:hAnsi="Arial" w:cs="Arial"/>
        </w:rPr>
        <w:t xml:space="preserve"> la década</w:t>
      </w:r>
      <w:r w:rsidR="00847EF1" w:rsidRPr="00576180">
        <w:rPr>
          <w:rFonts w:ascii="Arial" w:hAnsi="Arial" w:cs="Arial"/>
        </w:rPr>
        <w:t xml:space="preserve"> </w:t>
      </w:r>
      <w:r w:rsidR="00FD7588" w:rsidRPr="00576180">
        <w:rPr>
          <w:rFonts w:ascii="Arial" w:hAnsi="Arial" w:cs="Arial"/>
        </w:rPr>
        <w:t xml:space="preserve">2001 </w:t>
      </w:r>
      <w:r w:rsidR="009C71D1" w:rsidRPr="00576180">
        <w:rPr>
          <w:rFonts w:ascii="Arial" w:hAnsi="Arial" w:cs="Arial"/>
        </w:rPr>
        <w:t>-</w:t>
      </w:r>
      <w:r w:rsidR="00FD7588" w:rsidRPr="00576180">
        <w:rPr>
          <w:rFonts w:ascii="Arial" w:hAnsi="Arial" w:cs="Arial"/>
        </w:rPr>
        <w:t xml:space="preserve"> 2010</w:t>
      </w:r>
      <w:r w:rsidR="003A389C" w:rsidRPr="00576180">
        <w:rPr>
          <w:rFonts w:ascii="Arial" w:hAnsi="Arial" w:cs="Arial"/>
        </w:rPr>
        <w:t>,</w:t>
      </w:r>
      <w:r w:rsidR="00847EF1" w:rsidRPr="00576180">
        <w:rPr>
          <w:rFonts w:ascii="Arial" w:hAnsi="Arial" w:cs="Arial"/>
        </w:rPr>
        <w:t xml:space="preserve"> </w:t>
      </w:r>
      <w:r w:rsidR="009C71D1" w:rsidRPr="00576180">
        <w:rPr>
          <w:rFonts w:ascii="Arial" w:hAnsi="Arial" w:cs="Arial"/>
          <w:color w:val="222222"/>
        </w:rPr>
        <w:t xml:space="preserve">los fundamentos económicos de Perú </w:t>
      </w:r>
      <w:r w:rsidR="00034D76" w:rsidRPr="00576180">
        <w:rPr>
          <w:rFonts w:ascii="Arial" w:hAnsi="Arial" w:cs="Arial"/>
          <w:color w:val="222222"/>
        </w:rPr>
        <w:t>se basaron en una</w:t>
      </w:r>
      <w:r w:rsidR="009C71D1" w:rsidRPr="00576180">
        <w:rPr>
          <w:rFonts w:ascii="Arial" w:hAnsi="Arial" w:cs="Arial"/>
          <w:color w:val="222222"/>
        </w:rPr>
        <w:t xml:space="preserve"> política macroeconómica sólida y prudente, lo que permitió un crecimiento d</w:t>
      </w:r>
      <w:r w:rsidR="00FD7588" w:rsidRPr="00576180">
        <w:rPr>
          <w:rFonts w:ascii="Arial" w:hAnsi="Arial" w:cs="Arial"/>
        </w:rPr>
        <w:t xml:space="preserve">el Producto Interno Bruto (PIB) </w:t>
      </w:r>
      <w:r w:rsidR="009C71D1" w:rsidRPr="00576180">
        <w:rPr>
          <w:rFonts w:ascii="Arial" w:hAnsi="Arial" w:cs="Arial"/>
        </w:rPr>
        <w:t>de</w:t>
      </w:r>
      <w:r w:rsidR="00FD7588" w:rsidRPr="00576180">
        <w:rPr>
          <w:rFonts w:ascii="Arial" w:hAnsi="Arial" w:cs="Arial"/>
        </w:rPr>
        <w:t xml:space="preserve"> 71%</w:t>
      </w:r>
      <w:r w:rsidR="00034D76" w:rsidRPr="00576180">
        <w:rPr>
          <w:rFonts w:ascii="Arial" w:hAnsi="Arial" w:cs="Arial"/>
        </w:rPr>
        <w:t xml:space="preserve">, </w:t>
      </w:r>
      <w:r w:rsidR="00FD7588" w:rsidRPr="00576180">
        <w:rPr>
          <w:rFonts w:ascii="Arial" w:hAnsi="Arial" w:cs="Arial"/>
        </w:rPr>
        <w:t>a un ritmo promedio de 6% anual en términos reales</w:t>
      </w:r>
      <w:r w:rsidRPr="00576180">
        <w:rPr>
          <w:rStyle w:val="FootnoteReference"/>
          <w:rFonts w:ascii="Arial" w:hAnsi="Arial" w:cs="Arial"/>
        </w:rPr>
        <w:footnoteReference w:id="5"/>
      </w:r>
      <w:r w:rsidR="009C71D1" w:rsidRPr="00576180">
        <w:rPr>
          <w:rFonts w:ascii="Arial" w:hAnsi="Arial" w:cs="Arial"/>
          <w:color w:val="222222"/>
        </w:rPr>
        <w:t xml:space="preserve">, </w:t>
      </w:r>
      <w:r w:rsidR="00034D76" w:rsidRPr="00576180">
        <w:rPr>
          <w:rFonts w:ascii="Arial" w:hAnsi="Arial" w:cs="Arial"/>
          <w:color w:val="222222"/>
        </w:rPr>
        <w:t xml:space="preserve">y la reducción </w:t>
      </w:r>
      <w:r w:rsidR="00E7075A" w:rsidRPr="00576180">
        <w:rPr>
          <w:rFonts w:ascii="Arial" w:hAnsi="Arial" w:cs="Arial"/>
          <w:color w:val="222222"/>
        </w:rPr>
        <w:t>significativa</w:t>
      </w:r>
      <w:r w:rsidR="00717070" w:rsidRPr="00576180">
        <w:rPr>
          <w:rFonts w:ascii="Arial" w:hAnsi="Arial" w:cs="Arial"/>
          <w:color w:val="222222"/>
        </w:rPr>
        <w:t xml:space="preserve"> </w:t>
      </w:r>
      <w:r w:rsidR="00034D76" w:rsidRPr="00576180">
        <w:rPr>
          <w:rFonts w:ascii="Arial" w:hAnsi="Arial" w:cs="Arial"/>
          <w:color w:val="222222"/>
        </w:rPr>
        <w:t xml:space="preserve">de </w:t>
      </w:r>
      <w:r w:rsidR="00717070" w:rsidRPr="00576180">
        <w:rPr>
          <w:rFonts w:ascii="Arial" w:hAnsi="Arial" w:cs="Arial"/>
          <w:color w:val="222222"/>
        </w:rPr>
        <w:t>la pobreza</w:t>
      </w:r>
      <w:r w:rsidRPr="00576180">
        <w:rPr>
          <w:rFonts w:ascii="Arial" w:hAnsi="Arial" w:cs="Arial"/>
          <w:color w:val="222222"/>
        </w:rPr>
        <w:t>, la cual pasó de</w:t>
      </w:r>
      <w:r w:rsidR="00E7075A" w:rsidRPr="00576180">
        <w:rPr>
          <w:rFonts w:ascii="Arial" w:hAnsi="Arial" w:cs="Arial"/>
          <w:color w:val="222222"/>
        </w:rPr>
        <w:t xml:space="preserve"> </w:t>
      </w:r>
      <w:r w:rsidR="007323CA" w:rsidRPr="00576180">
        <w:rPr>
          <w:rFonts w:ascii="Arial" w:hAnsi="Arial" w:cs="Arial"/>
          <w:color w:val="222222"/>
        </w:rPr>
        <w:t>54,8</w:t>
      </w:r>
      <w:r w:rsidR="00E7075A" w:rsidRPr="00576180">
        <w:rPr>
          <w:rFonts w:ascii="Arial" w:hAnsi="Arial" w:cs="Arial"/>
          <w:color w:val="222222"/>
        </w:rPr>
        <w:t xml:space="preserve">% a </w:t>
      </w:r>
      <w:r w:rsidRPr="00576180">
        <w:rPr>
          <w:rFonts w:ascii="Arial" w:hAnsi="Arial" w:cs="Arial"/>
          <w:color w:val="222222"/>
        </w:rPr>
        <w:t>30</w:t>
      </w:r>
      <w:r w:rsidR="007323CA" w:rsidRPr="00576180">
        <w:rPr>
          <w:rFonts w:ascii="Arial" w:hAnsi="Arial" w:cs="Arial"/>
          <w:color w:val="222222"/>
        </w:rPr>
        <w:t>,8</w:t>
      </w:r>
      <w:r w:rsidR="00E7075A" w:rsidRPr="00576180">
        <w:rPr>
          <w:rFonts w:ascii="Arial" w:hAnsi="Arial" w:cs="Arial"/>
          <w:color w:val="222222"/>
        </w:rPr>
        <w:t>%</w:t>
      </w:r>
      <w:r w:rsidR="007323CA" w:rsidRPr="00576180">
        <w:rPr>
          <w:rStyle w:val="FootnoteReference"/>
          <w:rFonts w:ascii="Arial" w:hAnsi="Arial" w:cs="Arial"/>
          <w:color w:val="222222"/>
        </w:rPr>
        <w:footnoteReference w:id="6"/>
      </w:r>
      <w:r w:rsidR="00717070" w:rsidRPr="00576180">
        <w:rPr>
          <w:rFonts w:ascii="Arial" w:hAnsi="Arial" w:cs="Arial"/>
          <w:color w:val="222222"/>
        </w:rPr>
        <w:t xml:space="preserve">. </w:t>
      </w:r>
      <w:r w:rsidR="007323CA" w:rsidRPr="00576180">
        <w:rPr>
          <w:rFonts w:ascii="Arial" w:hAnsi="Arial" w:cs="Arial"/>
          <w:color w:val="222222"/>
        </w:rPr>
        <w:t>Además, e</w:t>
      </w:r>
      <w:r w:rsidR="00596BC1" w:rsidRPr="00576180">
        <w:rPr>
          <w:rFonts w:ascii="Arial" w:hAnsi="Arial" w:cs="Arial"/>
          <w:color w:val="222222"/>
        </w:rPr>
        <w:t>n 2008</w:t>
      </w:r>
      <w:r w:rsidR="00295403" w:rsidRPr="00576180">
        <w:rPr>
          <w:rFonts w:ascii="Arial" w:hAnsi="Arial" w:cs="Arial"/>
          <w:color w:val="222222"/>
        </w:rPr>
        <w:t xml:space="preserve"> y 2009</w:t>
      </w:r>
      <w:r w:rsidR="00596BC1" w:rsidRPr="00576180">
        <w:rPr>
          <w:rFonts w:ascii="Arial" w:hAnsi="Arial" w:cs="Arial"/>
          <w:color w:val="222222"/>
        </w:rPr>
        <w:t>, la</w:t>
      </w:r>
      <w:r w:rsidR="00295403" w:rsidRPr="00576180">
        <w:rPr>
          <w:rFonts w:ascii="Arial" w:hAnsi="Arial" w:cs="Arial"/>
          <w:color w:val="222222"/>
        </w:rPr>
        <w:t>s</w:t>
      </w:r>
      <w:r w:rsidR="00596BC1" w:rsidRPr="00576180">
        <w:rPr>
          <w:rFonts w:ascii="Arial" w:hAnsi="Arial" w:cs="Arial"/>
          <w:color w:val="222222"/>
        </w:rPr>
        <w:t xml:space="preserve"> agencia</w:t>
      </w:r>
      <w:r w:rsidR="00295403" w:rsidRPr="00576180">
        <w:rPr>
          <w:rFonts w:ascii="Arial" w:hAnsi="Arial" w:cs="Arial"/>
          <w:color w:val="222222"/>
        </w:rPr>
        <w:t>s</w:t>
      </w:r>
      <w:r w:rsidR="00596BC1" w:rsidRPr="00576180">
        <w:rPr>
          <w:rFonts w:ascii="Arial" w:hAnsi="Arial" w:cs="Arial"/>
          <w:color w:val="222222"/>
        </w:rPr>
        <w:t xml:space="preserve"> calificadora</w:t>
      </w:r>
      <w:r w:rsidR="00295403" w:rsidRPr="00576180">
        <w:rPr>
          <w:rFonts w:ascii="Arial" w:hAnsi="Arial" w:cs="Arial"/>
          <w:color w:val="222222"/>
        </w:rPr>
        <w:t>s</w:t>
      </w:r>
      <w:r w:rsidR="00596BC1" w:rsidRPr="00576180">
        <w:rPr>
          <w:rFonts w:ascii="Arial" w:hAnsi="Arial" w:cs="Arial"/>
          <w:color w:val="222222"/>
        </w:rPr>
        <w:t xml:space="preserve"> de riesgo </w:t>
      </w:r>
      <w:r w:rsidR="00717070" w:rsidRPr="00576180">
        <w:rPr>
          <w:rFonts w:ascii="Arial" w:hAnsi="Arial" w:cs="Arial"/>
          <w:i/>
          <w:color w:val="222222"/>
        </w:rPr>
        <w:t>Standard &amp; Poor's</w:t>
      </w:r>
      <w:r w:rsidR="00295403" w:rsidRPr="00576180">
        <w:rPr>
          <w:rFonts w:ascii="Arial" w:hAnsi="Arial" w:cs="Arial"/>
          <w:i/>
          <w:color w:val="222222"/>
        </w:rPr>
        <w:t xml:space="preserve"> y Moody's asignaron</w:t>
      </w:r>
      <w:r w:rsidR="00596BC1" w:rsidRPr="00576180">
        <w:rPr>
          <w:rFonts w:ascii="Arial" w:hAnsi="Arial" w:cs="Arial"/>
          <w:color w:val="222222"/>
        </w:rPr>
        <w:t xml:space="preserve"> el grado de inversión a Perú con perspectiva estable</w:t>
      </w:r>
      <w:r w:rsidR="00717070" w:rsidRPr="00576180">
        <w:rPr>
          <w:rFonts w:ascii="Arial" w:hAnsi="Arial" w:cs="Arial"/>
          <w:color w:val="222222"/>
        </w:rPr>
        <w:t xml:space="preserve">. </w:t>
      </w:r>
      <w:r w:rsidR="00034D76" w:rsidRPr="00576180">
        <w:rPr>
          <w:rFonts w:ascii="Arial" w:hAnsi="Arial" w:cs="Arial"/>
          <w:color w:val="222222"/>
        </w:rPr>
        <w:t>Sin embargo, a</w:t>
      </w:r>
      <w:r w:rsidR="007575CC" w:rsidRPr="00576180">
        <w:rPr>
          <w:rFonts w:ascii="Arial" w:hAnsi="Arial" w:cs="Arial"/>
        </w:rPr>
        <w:t xml:space="preserve"> pesar </w:t>
      </w:r>
      <w:r w:rsidR="00683FE8" w:rsidRPr="00576180">
        <w:rPr>
          <w:rFonts w:ascii="Arial" w:hAnsi="Arial" w:cs="Arial"/>
        </w:rPr>
        <w:t>del buen</w:t>
      </w:r>
      <w:r w:rsidR="000856A6" w:rsidRPr="00576180">
        <w:rPr>
          <w:rFonts w:ascii="Arial" w:hAnsi="Arial" w:cs="Arial"/>
        </w:rPr>
        <w:t xml:space="preserve"> desempeño macroeconómico</w:t>
      </w:r>
      <w:r w:rsidR="00787B66" w:rsidRPr="00576180">
        <w:rPr>
          <w:rFonts w:ascii="Arial" w:hAnsi="Arial" w:cs="Arial"/>
        </w:rPr>
        <w:t xml:space="preserve"> registrado</w:t>
      </w:r>
      <w:r w:rsidR="007575CC" w:rsidRPr="00576180">
        <w:rPr>
          <w:rFonts w:ascii="Arial" w:hAnsi="Arial" w:cs="Arial"/>
        </w:rPr>
        <w:t>,</w:t>
      </w:r>
      <w:r w:rsidR="00912491" w:rsidRPr="00576180">
        <w:rPr>
          <w:rFonts w:ascii="Arial" w:hAnsi="Arial" w:cs="Arial"/>
        </w:rPr>
        <w:t xml:space="preserve"> </w:t>
      </w:r>
      <w:r w:rsidR="00556C83" w:rsidRPr="00576180">
        <w:rPr>
          <w:rFonts w:ascii="Arial" w:hAnsi="Arial" w:cs="Arial"/>
        </w:rPr>
        <w:t>el</w:t>
      </w:r>
      <w:r w:rsidR="007575CC" w:rsidRPr="00576180">
        <w:rPr>
          <w:rFonts w:ascii="Arial" w:hAnsi="Arial" w:cs="Arial"/>
        </w:rPr>
        <w:t xml:space="preserve"> déficit fiscal </w:t>
      </w:r>
      <w:r w:rsidR="00556C83" w:rsidRPr="00576180">
        <w:rPr>
          <w:rFonts w:ascii="Arial" w:hAnsi="Arial" w:cs="Arial"/>
        </w:rPr>
        <w:t>se encontraba en torno a</w:t>
      </w:r>
      <w:r w:rsidR="0031061F" w:rsidRPr="00576180">
        <w:rPr>
          <w:rFonts w:ascii="Arial" w:hAnsi="Arial" w:cs="Arial"/>
        </w:rPr>
        <w:t xml:space="preserve"> </w:t>
      </w:r>
      <w:r w:rsidR="007575CC" w:rsidRPr="00576180">
        <w:rPr>
          <w:rFonts w:ascii="Arial" w:hAnsi="Arial" w:cs="Arial"/>
        </w:rPr>
        <w:t>1</w:t>
      </w:r>
      <w:r w:rsidR="000856A6" w:rsidRPr="00576180">
        <w:rPr>
          <w:rFonts w:ascii="Arial" w:hAnsi="Arial" w:cs="Arial"/>
        </w:rPr>
        <w:t>,</w:t>
      </w:r>
      <w:r w:rsidR="007575CC" w:rsidRPr="00576180">
        <w:rPr>
          <w:rFonts w:ascii="Arial" w:hAnsi="Arial" w:cs="Arial"/>
        </w:rPr>
        <w:t>5</w:t>
      </w:r>
      <w:r w:rsidR="00DB106D" w:rsidRPr="00576180">
        <w:rPr>
          <w:rFonts w:ascii="Arial" w:hAnsi="Arial" w:cs="Arial"/>
        </w:rPr>
        <w:t>%</w:t>
      </w:r>
      <w:r w:rsidR="007575CC" w:rsidRPr="00576180">
        <w:rPr>
          <w:rFonts w:ascii="Arial" w:hAnsi="Arial" w:cs="Arial"/>
        </w:rPr>
        <w:t xml:space="preserve"> del PIB, </w:t>
      </w:r>
      <w:r w:rsidR="007761A7" w:rsidRPr="00576180">
        <w:rPr>
          <w:rFonts w:ascii="Arial" w:hAnsi="Arial" w:cs="Arial"/>
        </w:rPr>
        <w:t>producto</w:t>
      </w:r>
      <w:r w:rsidR="007575CC" w:rsidRPr="00576180">
        <w:rPr>
          <w:rFonts w:ascii="Arial" w:hAnsi="Arial" w:cs="Arial"/>
        </w:rPr>
        <w:t xml:space="preserve"> de un gasto público superior al potencial de recaudación </w:t>
      </w:r>
      <w:r w:rsidR="00912491" w:rsidRPr="00576180">
        <w:rPr>
          <w:rFonts w:ascii="Arial" w:hAnsi="Arial" w:cs="Arial"/>
        </w:rPr>
        <w:t>tributaria</w:t>
      </w:r>
      <w:r w:rsidR="007575CC" w:rsidRPr="00576180">
        <w:rPr>
          <w:rFonts w:ascii="Arial" w:hAnsi="Arial" w:cs="Arial"/>
        </w:rPr>
        <w:t>.</w:t>
      </w:r>
      <w:r w:rsidR="0034117D" w:rsidRPr="00576180">
        <w:rPr>
          <w:rFonts w:ascii="Arial" w:hAnsi="Arial" w:cs="Arial"/>
        </w:rPr>
        <w:t xml:space="preserve"> </w:t>
      </w:r>
      <w:r w:rsidR="00DB106D" w:rsidRPr="00576180">
        <w:rPr>
          <w:rFonts w:ascii="Arial" w:hAnsi="Arial" w:cs="Arial"/>
        </w:rPr>
        <w:t>Con la finalidad de</w:t>
      </w:r>
      <w:r w:rsidR="0034117D" w:rsidRPr="00576180">
        <w:rPr>
          <w:rFonts w:ascii="Arial" w:hAnsi="Arial" w:cs="Arial"/>
        </w:rPr>
        <w:t xml:space="preserve"> equilibrar el balance</w:t>
      </w:r>
      <w:r w:rsidR="007575CC" w:rsidRPr="00576180">
        <w:rPr>
          <w:rFonts w:ascii="Arial" w:hAnsi="Arial" w:cs="Arial"/>
        </w:rPr>
        <w:t xml:space="preserve"> fiscal </w:t>
      </w:r>
      <w:r w:rsidR="00DB106D" w:rsidRPr="00576180">
        <w:rPr>
          <w:rFonts w:ascii="Arial" w:hAnsi="Arial" w:cs="Arial"/>
        </w:rPr>
        <w:t>para generar</w:t>
      </w:r>
      <w:r w:rsidR="0034117D" w:rsidRPr="00576180">
        <w:rPr>
          <w:rFonts w:ascii="Arial" w:hAnsi="Arial" w:cs="Arial"/>
        </w:rPr>
        <w:t xml:space="preserve"> espacio fiscal </w:t>
      </w:r>
      <w:r w:rsidR="007575CC" w:rsidRPr="00576180">
        <w:rPr>
          <w:rFonts w:ascii="Arial" w:hAnsi="Arial" w:cs="Arial"/>
        </w:rPr>
        <w:t xml:space="preserve">y gestionar </w:t>
      </w:r>
      <w:r w:rsidR="0034117D" w:rsidRPr="00576180">
        <w:rPr>
          <w:rFonts w:ascii="Arial" w:hAnsi="Arial" w:cs="Arial"/>
        </w:rPr>
        <w:t xml:space="preserve">de forma sostenible </w:t>
      </w:r>
      <w:r w:rsidR="007575CC" w:rsidRPr="00576180">
        <w:rPr>
          <w:rFonts w:ascii="Arial" w:hAnsi="Arial" w:cs="Arial"/>
        </w:rPr>
        <w:t>posibles entradas de capital</w:t>
      </w:r>
      <w:r w:rsidR="00DB106D" w:rsidRPr="00576180">
        <w:rPr>
          <w:rFonts w:ascii="Arial" w:hAnsi="Arial" w:cs="Arial"/>
        </w:rPr>
        <w:t>, l</w:t>
      </w:r>
      <w:r w:rsidR="007575CC" w:rsidRPr="00576180">
        <w:rPr>
          <w:rFonts w:ascii="Arial" w:hAnsi="Arial" w:cs="Arial"/>
        </w:rPr>
        <w:t xml:space="preserve">as autoridades acordaron reducir gradualmente el déficit fiscal y volver en 2011 al límite </w:t>
      </w:r>
      <w:r w:rsidR="0031061F" w:rsidRPr="00576180">
        <w:rPr>
          <w:rFonts w:ascii="Arial" w:hAnsi="Arial" w:cs="Arial"/>
        </w:rPr>
        <w:t xml:space="preserve">de </w:t>
      </w:r>
      <w:r w:rsidR="007575CC" w:rsidRPr="00576180">
        <w:rPr>
          <w:rFonts w:ascii="Arial" w:hAnsi="Arial" w:cs="Arial"/>
        </w:rPr>
        <w:t xml:space="preserve">1% del PIB establecido </w:t>
      </w:r>
      <w:r w:rsidR="0031061F" w:rsidRPr="00576180">
        <w:rPr>
          <w:rFonts w:ascii="Arial" w:hAnsi="Arial" w:cs="Arial"/>
        </w:rPr>
        <w:t>en</w:t>
      </w:r>
      <w:r w:rsidR="007575CC" w:rsidRPr="00576180">
        <w:rPr>
          <w:rFonts w:ascii="Arial" w:hAnsi="Arial" w:cs="Arial"/>
        </w:rPr>
        <w:t xml:space="preserve"> la Ley de Responsabilidad y Transparencia Fiscal. </w:t>
      </w:r>
    </w:p>
    <w:p w14:paraId="01F8DAC8" w14:textId="749ADC95" w:rsidR="001F5A75" w:rsidRPr="00576180" w:rsidRDefault="00B755AC" w:rsidP="00D17FF5">
      <w:pPr>
        <w:pStyle w:val="ListParagraph"/>
        <w:tabs>
          <w:tab w:val="left" w:pos="9000"/>
        </w:tabs>
        <w:spacing w:before="120" w:after="120" w:line="240" w:lineRule="auto"/>
        <w:ind w:left="360"/>
        <w:contextualSpacing w:val="0"/>
        <w:jc w:val="both"/>
        <w:rPr>
          <w:rFonts w:ascii="Arial" w:hAnsi="Arial" w:cs="Arial"/>
        </w:rPr>
      </w:pPr>
      <w:r w:rsidRPr="00576180">
        <w:rPr>
          <w:rFonts w:ascii="Arial" w:hAnsi="Arial" w:cs="Arial"/>
        </w:rPr>
        <w:t>Durante los años de ejecución del Programa (2011 – 2017),</w:t>
      </w:r>
      <w:r w:rsidR="00E00097" w:rsidRPr="00576180">
        <w:rPr>
          <w:rFonts w:ascii="Arial" w:hAnsi="Arial" w:cs="Arial"/>
        </w:rPr>
        <w:t xml:space="preserve"> </w:t>
      </w:r>
      <w:r w:rsidRPr="00576180">
        <w:rPr>
          <w:rFonts w:ascii="Arial" w:hAnsi="Arial" w:cs="Arial"/>
          <w:color w:val="222222"/>
        </w:rPr>
        <w:t>el PIB</w:t>
      </w:r>
      <w:r w:rsidR="008006E5" w:rsidRPr="00576180">
        <w:rPr>
          <w:rFonts w:ascii="Arial" w:hAnsi="Arial" w:cs="Arial"/>
          <w:color w:val="222222"/>
        </w:rPr>
        <w:t xml:space="preserve"> creció 26%, a un ritmo promedio de </w:t>
      </w:r>
      <w:r w:rsidR="000B43DA" w:rsidRPr="00576180">
        <w:rPr>
          <w:rFonts w:ascii="Arial" w:hAnsi="Arial" w:cs="Arial"/>
          <w:color w:val="222222"/>
        </w:rPr>
        <w:t>4</w:t>
      </w:r>
      <w:r w:rsidR="008006E5" w:rsidRPr="00576180">
        <w:rPr>
          <w:rFonts w:ascii="Arial" w:hAnsi="Arial" w:cs="Arial"/>
          <w:color w:val="222222"/>
        </w:rPr>
        <w:t xml:space="preserve">% anual en términos reales, superando </w:t>
      </w:r>
      <w:r w:rsidR="00B55422" w:rsidRPr="00576180">
        <w:rPr>
          <w:rFonts w:ascii="Arial" w:hAnsi="Arial" w:cs="Arial"/>
          <w:color w:val="222222"/>
        </w:rPr>
        <w:t>a</w:t>
      </w:r>
      <w:r w:rsidR="008006E5" w:rsidRPr="00576180">
        <w:rPr>
          <w:rFonts w:ascii="Arial" w:hAnsi="Arial" w:cs="Arial"/>
          <w:color w:val="222222"/>
        </w:rPr>
        <w:t>l promedio latinoamericano (</w:t>
      </w:r>
      <w:r w:rsidR="000B43DA" w:rsidRPr="00576180">
        <w:rPr>
          <w:rFonts w:ascii="Arial" w:hAnsi="Arial" w:cs="Arial"/>
          <w:color w:val="222222"/>
        </w:rPr>
        <w:t>1,8</w:t>
      </w:r>
      <w:r w:rsidR="008006E5" w:rsidRPr="00576180">
        <w:rPr>
          <w:rFonts w:ascii="Arial" w:hAnsi="Arial" w:cs="Arial"/>
          <w:color w:val="222222"/>
        </w:rPr>
        <w:t xml:space="preserve">%). </w:t>
      </w:r>
      <w:r w:rsidR="00B01CD9" w:rsidRPr="00576180">
        <w:rPr>
          <w:rFonts w:ascii="Arial" w:hAnsi="Arial" w:cs="Arial"/>
          <w:color w:val="222222"/>
        </w:rPr>
        <w:t>L</w:t>
      </w:r>
      <w:r w:rsidR="008006E5" w:rsidRPr="00576180">
        <w:rPr>
          <w:rFonts w:ascii="Arial" w:hAnsi="Arial" w:cs="Arial"/>
          <w:color w:val="222222"/>
        </w:rPr>
        <w:t>a disciplina fiscal/monetaria</w:t>
      </w:r>
      <w:r w:rsidR="00B01CD9" w:rsidRPr="00576180">
        <w:rPr>
          <w:rFonts w:ascii="Arial" w:hAnsi="Arial" w:cs="Arial"/>
          <w:color w:val="222222"/>
        </w:rPr>
        <w:t xml:space="preserve"> </w:t>
      </w:r>
      <w:r w:rsidR="008006E5" w:rsidRPr="00576180">
        <w:rPr>
          <w:rFonts w:ascii="Arial" w:hAnsi="Arial" w:cs="Arial"/>
          <w:color w:val="222222"/>
        </w:rPr>
        <w:t>y un entorno favorable para la inversión</w:t>
      </w:r>
      <w:r w:rsidR="008B2F72">
        <w:rPr>
          <w:rFonts w:ascii="Arial" w:hAnsi="Arial" w:cs="Arial"/>
          <w:color w:val="222222"/>
        </w:rPr>
        <w:t>,</w:t>
      </w:r>
      <w:r w:rsidR="008006E5" w:rsidRPr="00576180">
        <w:rPr>
          <w:rFonts w:ascii="Arial" w:hAnsi="Arial" w:cs="Arial"/>
          <w:color w:val="222222"/>
        </w:rPr>
        <w:t xml:space="preserve"> facilitaron </w:t>
      </w:r>
      <w:r w:rsidR="000B43DA" w:rsidRPr="00576180">
        <w:rPr>
          <w:rFonts w:ascii="Arial" w:hAnsi="Arial" w:cs="Arial"/>
          <w:color w:val="222222"/>
        </w:rPr>
        <w:t>estos resultados</w:t>
      </w:r>
      <w:r w:rsidR="008006E5" w:rsidRPr="00576180">
        <w:rPr>
          <w:rFonts w:ascii="Arial" w:hAnsi="Arial" w:cs="Arial"/>
          <w:color w:val="222222"/>
        </w:rPr>
        <w:t>.</w:t>
      </w:r>
      <w:r w:rsidR="000B43DA" w:rsidRPr="00576180">
        <w:rPr>
          <w:rFonts w:ascii="Arial" w:hAnsi="Arial" w:cs="Arial"/>
          <w:color w:val="222222"/>
        </w:rPr>
        <w:t xml:space="preserve"> Sin embargo</w:t>
      </w:r>
      <w:r w:rsidR="00C22B8E" w:rsidRPr="00576180">
        <w:rPr>
          <w:rFonts w:ascii="Arial" w:hAnsi="Arial" w:cs="Arial"/>
          <w:color w:val="222222"/>
        </w:rPr>
        <w:t xml:space="preserve">, </w:t>
      </w:r>
      <w:r w:rsidR="00B01CD9" w:rsidRPr="00576180">
        <w:rPr>
          <w:rFonts w:ascii="Arial" w:hAnsi="Arial" w:cs="Arial"/>
          <w:color w:val="222222"/>
        </w:rPr>
        <w:t xml:space="preserve">los cambios en el contexto internacional, </w:t>
      </w:r>
      <w:r w:rsidR="008B2F72">
        <w:rPr>
          <w:rFonts w:ascii="Arial" w:hAnsi="Arial" w:cs="Arial"/>
          <w:color w:val="222222"/>
        </w:rPr>
        <w:t xml:space="preserve">así </w:t>
      </w:r>
      <w:r w:rsidR="00B01CD9" w:rsidRPr="00576180">
        <w:rPr>
          <w:rFonts w:ascii="Arial" w:hAnsi="Arial" w:cs="Arial"/>
          <w:color w:val="222222"/>
        </w:rPr>
        <w:t xml:space="preserve">como la reducción de la demanda de socios comerciales como China, la caída de los precios de los minerales y el ajuste de la tasa de interés referencial de la Reserva Federal de Estados Unidos, influenciaron </w:t>
      </w:r>
      <w:r w:rsidR="008B2F72">
        <w:rPr>
          <w:rFonts w:ascii="Arial" w:hAnsi="Arial" w:cs="Arial"/>
          <w:color w:val="222222"/>
        </w:rPr>
        <w:t xml:space="preserve">en </w:t>
      </w:r>
      <w:r w:rsidR="00B01CD9" w:rsidRPr="00576180">
        <w:rPr>
          <w:rFonts w:ascii="Arial" w:hAnsi="Arial" w:cs="Arial"/>
          <w:color w:val="222222"/>
        </w:rPr>
        <w:t>la desaceleración del crecimiento</w:t>
      </w:r>
      <w:r w:rsidR="002B05F9" w:rsidRPr="00576180">
        <w:rPr>
          <w:rFonts w:ascii="Arial" w:hAnsi="Arial" w:cs="Arial"/>
          <w:color w:val="222222"/>
        </w:rPr>
        <w:t xml:space="preserve"> económico del país</w:t>
      </w:r>
      <w:r w:rsidR="008B2F72">
        <w:rPr>
          <w:rFonts w:ascii="Arial" w:hAnsi="Arial" w:cs="Arial"/>
          <w:color w:val="222222"/>
        </w:rPr>
        <w:t>, lo cual implicó que</w:t>
      </w:r>
      <w:r w:rsidR="002B05F9" w:rsidRPr="00576180">
        <w:rPr>
          <w:rFonts w:ascii="Arial" w:hAnsi="Arial" w:cs="Arial"/>
          <w:color w:val="222222"/>
        </w:rPr>
        <w:t xml:space="preserve"> </w:t>
      </w:r>
      <w:proofErr w:type="gramStart"/>
      <w:r w:rsidR="002B05F9" w:rsidRPr="00576180">
        <w:rPr>
          <w:rFonts w:ascii="Arial" w:hAnsi="Arial" w:cs="Arial"/>
          <w:color w:val="222222"/>
        </w:rPr>
        <w:t xml:space="preserve">Perú </w:t>
      </w:r>
      <w:r w:rsidR="008B2F72" w:rsidRPr="00576180" w:rsidDel="008B2F72">
        <w:rPr>
          <w:rFonts w:ascii="Arial" w:hAnsi="Arial" w:cs="Arial"/>
          <w:color w:val="222222"/>
        </w:rPr>
        <w:t xml:space="preserve"> </w:t>
      </w:r>
      <w:r w:rsidR="008B2F72">
        <w:rPr>
          <w:rFonts w:ascii="Arial" w:hAnsi="Arial" w:cs="Arial"/>
          <w:color w:val="222222"/>
        </w:rPr>
        <w:t>creció</w:t>
      </w:r>
      <w:proofErr w:type="gramEnd"/>
      <w:r w:rsidR="008B2F72">
        <w:rPr>
          <w:rFonts w:ascii="Arial" w:hAnsi="Arial" w:cs="Arial"/>
          <w:color w:val="222222"/>
        </w:rPr>
        <w:t xml:space="preserve"> a tasas promedio de</w:t>
      </w:r>
      <w:r w:rsidR="002B05F9" w:rsidRPr="00576180">
        <w:rPr>
          <w:rFonts w:ascii="Arial" w:hAnsi="Arial" w:cs="Arial"/>
          <w:color w:val="222222"/>
        </w:rPr>
        <w:t xml:space="preserve"> 4</w:t>
      </w:r>
      <w:r w:rsidR="00B55422" w:rsidRPr="00576180">
        <w:rPr>
          <w:rFonts w:ascii="Arial" w:hAnsi="Arial" w:cs="Arial"/>
          <w:color w:val="222222"/>
        </w:rPr>
        <w:t>,6</w:t>
      </w:r>
      <w:r w:rsidR="002B05F9" w:rsidRPr="00576180">
        <w:rPr>
          <w:rFonts w:ascii="Arial" w:hAnsi="Arial" w:cs="Arial"/>
          <w:color w:val="222222"/>
        </w:rPr>
        <w:t>% durante los últimos seis años</w:t>
      </w:r>
      <w:r w:rsidR="00B01CD9" w:rsidRPr="00576180">
        <w:rPr>
          <w:rFonts w:ascii="Arial" w:hAnsi="Arial" w:cs="Arial"/>
          <w:color w:val="222222"/>
        </w:rPr>
        <w:t>.</w:t>
      </w:r>
      <w:r w:rsidR="002B05F9" w:rsidRPr="00576180">
        <w:rPr>
          <w:rFonts w:ascii="Arial" w:hAnsi="Arial" w:cs="Arial"/>
          <w:color w:val="222222"/>
        </w:rPr>
        <w:t xml:space="preserve"> Además, </w:t>
      </w:r>
      <w:r w:rsidR="000D36F7" w:rsidRPr="00576180">
        <w:rPr>
          <w:rFonts w:ascii="Arial" w:hAnsi="Arial" w:cs="Arial"/>
          <w:color w:val="222222"/>
        </w:rPr>
        <w:t>e</w:t>
      </w:r>
      <w:r w:rsidR="00044F64" w:rsidRPr="00576180">
        <w:rPr>
          <w:rFonts w:ascii="Arial" w:hAnsi="Arial" w:cs="Arial"/>
          <w:color w:val="222222"/>
        </w:rPr>
        <w:t>n 2017</w:t>
      </w:r>
      <w:r w:rsidR="000D36F7" w:rsidRPr="00576180">
        <w:rPr>
          <w:rFonts w:ascii="Arial" w:hAnsi="Arial" w:cs="Arial"/>
          <w:color w:val="222222"/>
        </w:rPr>
        <w:t xml:space="preserve"> </w:t>
      </w:r>
      <w:r w:rsidR="00044F64" w:rsidRPr="00576180">
        <w:rPr>
          <w:rFonts w:ascii="Arial" w:hAnsi="Arial" w:cs="Arial"/>
          <w:color w:val="222222"/>
        </w:rPr>
        <w:t>los efectos</w:t>
      </w:r>
      <w:r w:rsidR="000D36F7" w:rsidRPr="00576180">
        <w:rPr>
          <w:rFonts w:ascii="Arial" w:hAnsi="Arial" w:cs="Arial"/>
          <w:color w:val="222222"/>
        </w:rPr>
        <w:t xml:space="preserve"> climáticos </w:t>
      </w:r>
      <w:r w:rsidR="00B55422" w:rsidRPr="00576180">
        <w:rPr>
          <w:rFonts w:ascii="Arial" w:hAnsi="Arial" w:cs="Arial"/>
          <w:color w:val="222222"/>
        </w:rPr>
        <w:t>de</w:t>
      </w:r>
      <w:r w:rsidR="00966450" w:rsidRPr="00576180">
        <w:rPr>
          <w:rFonts w:ascii="Arial" w:hAnsi="Arial" w:cs="Arial"/>
          <w:color w:val="222222"/>
        </w:rPr>
        <w:t xml:space="preserve"> </w:t>
      </w:r>
      <w:r w:rsidR="00B55422" w:rsidRPr="00576180">
        <w:rPr>
          <w:rFonts w:ascii="Arial" w:hAnsi="Arial" w:cs="Arial"/>
          <w:color w:val="222222"/>
        </w:rPr>
        <w:t>E</w:t>
      </w:r>
      <w:r w:rsidR="00AC28FA" w:rsidRPr="00576180">
        <w:rPr>
          <w:rFonts w:ascii="Arial" w:hAnsi="Arial" w:cs="Arial"/>
          <w:color w:val="222222"/>
        </w:rPr>
        <w:t>l</w:t>
      </w:r>
      <w:r w:rsidR="00966450" w:rsidRPr="00576180">
        <w:rPr>
          <w:rFonts w:ascii="Arial" w:hAnsi="Arial" w:cs="Arial"/>
          <w:color w:val="222222"/>
        </w:rPr>
        <w:t xml:space="preserve"> </w:t>
      </w:r>
      <w:r w:rsidR="00B55422" w:rsidRPr="00576180">
        <w:rPr>
          <w:rFonts w:ascii="Arial" w:hAnsi="Arial" w:cs="Arial"/>
          <w:color w:val="222222"/>
        </w:rPr>
        <w:t xml:space="preserve">Niño </w:t>
      </w:r>
      <w:r w:rsidR="00E00097" w:rsidRPr="00576180">
        <w:rPr>
          <w:rFonts w:ascii="Arial" w:hAnsi="Arial" w:cs="Arial"/>
          <w:color w:val="222222"/>
        </w:rPr>
        <w:t xml:space="preserve">condujeron a un crecimiento inferior </w:t>
      </w:r>
      <w:r w:rsidR="00044F64" w:rsidRPr="00576180">
        <w:rPr>
          <w:rFonts w:ascii="Arial" w:hAnsi="Arial" w:cs="Arial"/>
          <w:color w:val="222222"/>
        </w:rPr>
        <w:t xml:space="preserve">al esperado </w:t>
      </w:r>
      <w:r w:rsidR="009F1577" w:rsidRPr="00576180">
        <w:rPr>
          <w:rFonts w:ascii="Arial" w:hAnsi="Arial" w:cs="Arial"/>
          <w:color w:val="222222"/>
        </w:rPr>
        <w:t>(2,</w:t>
      </w:r>
      <w:r w:rsidR="00754D69" w:rsidRPr="00576180">
        <w:rPr>
          <w:rFonts w:ascii="Arial" w:hAnsi="Arial" w:cs="Arial"/>
          <w:color w:val="222222"/>
        </w:rPr>
        <w:t>5</w:t>
      </w:r>
      <w:r w:rsidR="009F1577" w:rsidRPr="00576180">
        <w:rPr>
          <w:rFonts w:ascii="Arial" w:hAnsi="Arial" w:cs="Arial"/>
          <w:color w:val="222222"/>
        </w:rPr>
        <w:t>%)</w:t>
      </w:r>
      <w:r w:rsidR="00754D69" w:rsidRPr="00576180">
        <w:rPr>
          <w:rFonts w:ascii="Arial" w:hAnsi="Arial" w:cs="Arial"/>
          <w:color w:val="222222"/>
        </w:rPr>
        <w:t xml:space="preserve"> y la </w:t>
      </w:r>
      <w:r w:rsidR="00E00097" w:rsidRPr="00576180">
        <w:rPr>
          <w:rFonts w:ascii="Arial" w:hAnsi="Arial" w:cs="Arial"/>
          <w:color w:val="222222"/>
        </w:rPr>
        <w:t>pobreza aumentó</w:t>
      </w:r>
      <w:r w:rsidR="009F1577" w:rsidRPr="00576180">
        <w:rPr>
          <w:rFonts w:ascii="Arial" w:hAnsi="Arial" w:cs="Arial"/>
          <w:color w:val="222222"/>
        </w:rPr>
        <w:t xml:space="preserve"> 1</w:t>
      </w:r>
      <w:r w:rsidR="008B2F72">
        <w:rPr>
          <w:rFonts w:ascii="Arial" w:hAnsi="Arial" w:cs="Arial"/>
          <w:color w:val="222222"/>
        </w:rPr>
        <w:t>%</w:t>
      </w:r>
      <w:r w:rsidR="00B55422" w:rsidRPr="00576180">
        <w:rPr>
          <w:rFonts w:ascii="Arial" w:hAnsi="Arial" w:cs="Arial"/>
          <w:color w:val="222222"/>
        </w:rPr>
        <w:t xml:space="preserve"> por primera vez en la última década</w:t>
      </w:r>
      <w:r w:rsidR="00BF008C">
        <w:rPr>
          <w:rFonts w:ascii="Arial" w:hAnsi="Arial" w:cs="Arial"/>
          <w:color w:val="222222"/>
        </w:rPr>
        <w:t xml:space="preserve"> </w:t>
      </w:r>
      <w:hyperlink r:id="rId16" w:history="1">
        <w:r w:rsidR="00BF008C" w:rsidRPr="00BF008C">
          <w:rPr>
            <w:rStyle w:val="Hyperlink"/>
            <w:rFonts w:ascii="Arial" w:hAnsi="Arial" w:cs="Arial"/>
          </w:rPr>
          <w:t>(INEI)</w:t>
        </w:r>
      </w:hyperlink>
      <w:r w:rsidR="008B2F72">
        <w:rPr>
          <w:rStyle w:val="Hyperlink"/>
          <w:rFonts w:ascii="Arial" w:hAnsi="Arial" w:cs="Arial"/>
        </w:rPr>
        <w:t>.</w:t>
      </w:r>
      <w:r w:rsidR="00E00097" w:rsidRPr="00576180">
        <w:rPr>
          <w:rFonts w:ascii="Arial" w:hAnsi="Arial" w:cs="Arial"/>
          <w:color w:val="222222"/>
        </w:rPr>
        <w:t xml:space="preserve"> </w:t>
      </w:r>
      <w:r w:rsidR="008C21AB" w:rsidRPr="00576180">
        <w:rPr>
          <w:rFonts w:ascii="Arial" w:hAnsi="Arial" w:cs="Arial"/>
          <w:color w:val="222222"/>
        </w:rPr>
        <w:t xml:space="preserve">En este contexto, </w:t>
      </w:r>
      <w:r w:rsidR="00D06D16">
        <w:rPr>
          <w:rFonts w:ascii="Arial" w:hAnsi="Arial" w:cs="Arial"/>
          <w:color w:val="222222"/>
        </w:rPr>
        <w:t>el</w:t>
      </w:r>
      <w:r w:rsidR="008C21AB" w:rsidRPr="00576180">
        <w:rPr>
          <w:rFonts w:ascii="Arial" w:hAnsi="Arial" w:cs="Arial"/>
          <w:color w:val="222222"/>
        </w:rPr>
        <w:t xml:space="preserve"> crecimiento </w:t>
      </w:r>
      <w:r w:rsidR="001825EA" w:rsidRPr="00576180">
        <w:rPr>
          <w:rFonts w:ascii="Arial" w:hAnsi="Arial" w:cs="Arial"/>
          <w:color w:val="222222"/>
        </w:rPr>
        <w:t>económico</w:t>
      </w:r>
      <w:r w:rsidR="006D3F5E" w:rsidRPr="00576180">
        <w:rPr>
          <w:rFonts w:ascii="Arial" w:hAnsi="Arial" w:cs="Arial"/>
          <w:color w:val="222222"/>
        </w:rPr>
        <w:t xml:space="preserve"> en </w:t>
      </w:r>
      <w:r w:rsidR="00D06D16">
        <w:rPr>
          <w:rFonts w:ascii="Arial" w:hAnsi="Arial" w:cs="Arial"/>
          <w:color w:val="222222"/>
        </w:rPr>
        <w:t xml:space="preserve">2018 fue en </w:t>
      </w:r>
      <w:r w:rsidR="006D3F5E" w:rsidRPr="00576180">
        <w:rPr>
          <w:rFonts w:ascii="Arial" w:hAnsi="Arial" w:cs="Arial"/>
          <w:color w:val="222222"/>
        </w:rPr>
        <w:t>torno a 4,</w:t>
      </w:r>
      <w:r w:rsidR="00D06D16">
        <w:rPr>
          <w:rFonts w:ascii="Arial" w:hAnsi="Arial" w:cs="Arial"/>
          <w:color w:val="222222"/>
        </w:rPr>
        <w:t>0</w:t>
      </w:r>
      <w:r w:rsidR="006D3F5E" w:rsidRPr="00576180">
        <w:rPr>
          <w:rFonts w:ascii="Arial" w:hAnsi="Arial" w:cs="Arial"/>
          <w:color w:val="222222"/>
        </w:rPr>
        <w:t>%</w:t>
      </w:r>
      <w:r w:rsidR="00D06D16">
        <w:rPr>
          <w:rFonts w:ascii="Arial" w:hAnsi="Arial" w:cs="Arial"/>
          <w:color w:val="222222"/>
        </w:rPr>
        <w:t xml:space="preserve">, </w:t>
      </w:r>
      <w:r w:rsidR="008C21AB" w:rsidRPr="00576180">
        <w:rPr>
          <w:rFonts w:ascii="Arial" w:hAnsi="Arial" w:cs="Arial"/>
          <w:color w:val="222222"/>
        </w:rPr>
        <w:t xml:space="preserve">respaldado por estímulos fiscales y monetarios anticíclicos. </w:t>
      </w:r>
      <w:r w:rsidR="001825EA" w:rsidRPr="00576180">
        <w:rPr>
          <w:rFonts w:ascii="Arial" w:hAnsi="Arial" w:cs="Arial"/>
          <w:color w:val="222222"/>
        </w:rPr>
        <w:t>Para</w:t>
      </w:r>
      <w:r w:rsidR="008C21AB" w:rsidRPr="00576180">
        <w:rPr>
          <w:rFonts w:ascii="Arial" w:hAnsi="Arial" w:cs="Arial"/>
          <w:color w:val="222222"/>
        </w:rPr>
        <w:t xml:space="preserve"> 2019</w:t>
      </w:r>
      <w:r w:rsidR="001825EA" w:rsidRPr="00576180">
        <w:rPr>
          <w:rFonts w:ascii="Arial" w:hAnsi="Arial" w:cs="Arial"/>
          <w:color w:val="222222"/>
        </w:rPr>
        <w:t xml:space="preserve"> </w:t>
      </w:r>
      <w:r w:rsidR="008C21AB" w:rsidRPr="00576180">
        <w:rPr>
          <w:rFonts w:ascii="Arial" w:hAnsi="Arial" w:cs="Arial"/>
          <w:color w:val="222222"/>
        </w:rPr>
        <w:t>-</w:t>
      </w:r>
      <w:r w:rsidR="001825EA" w:rsidRPr="00576180">
        <w:rPr>
          <w:rFonts w:ascii="Arial" w:hAnsi="Arial" w:cs="Arial"/>
          <w:color w:val="222222"/>
        </w:rPr>
        <w:t xml:space="preserve"> </w:t>
      </w:r>
      <w:r w:rsidR="008C21AB" w:rsidRPr="00576180">
        <w:rPr>
          <w:rFonts w:ascii="Arial" w:hAnsi="Arial" w:cs="Arial"/>
          <w:color w:val="222222"/>
        </w:rPr>
        <w:t xml:space="preserve">2020, se espera que la recuperación de la demanda interna privada </w:t>
      </w:r>
      <w:r w:rsidR="008B2F72">
        <w:rPr>
          <w:rFonts w:ascii="Arial" w:hAnsi="Arial" w:cs="Arial"/>
          <w:color w:val="222222"/>
        </w:rPr>
        <w:t xml:space="preserve">genere </w:t>
      </w:r>
      <w:proofErr w:type="gramStart"/>
      <w:r w:rsidR="008B2F72">
        <w:rPr>
          <w:rFonts w:ascii="Arial" w:hAnsi="Arial" w:cs="Arial"/>
          <w:color w:val="222222"/>
        </w:rPr>
        <w:t xml:space="preserve">un </w:t>
      </w:r>
      <w:r w:rsidR="008C21AB" w:rsidRPr="00576180">
        <w:rPr>
          <w:rFonts w:ascii="Arial" w:hAnsi="Arial" w:cs="Arial"/>
          <w:color w:val="222222"/>
        </w:rPr>
        <w:t xml:space="preserve"> crecimiento</w:t>
      </w:r>
      <w:proofErr w:type="gramEnd"/>
      <w:r w:rsidR="008C21AB" w:rsidRPr="00576180">
        <w:rPr>
          <w:rFonts w:ascii="Arial" w:hAnsi="Arial" w:cs="Arial"/>
          <w:color w:val="222222"/>
        </w:rPr>
        <w:t xml:space="preserve"> </w:t>
      </w:r>
      <w:r w:rsidR="008B2F72">
        <w:rPr>
          <w:rFonts w:ascii="Arial" w:hAnsi="Arial" w:cs="Arial"/>
          <w:color w:val="222222"/>
        </w:rPr>
        <w:t>en torno al 3</w:t>
      </w:r>
      <w:r w:rsidR="00702C38" w:rsidRPr="00576180">
        <w:rPr>
          <w:rFonts w:ascii="Arial" w:hAnsi="Arial" w:cs="Arial"/>
          <w:color w:val="222222"/>
        </w:rPr>
        <w:t>%</w:t>
      </w:r>
      <w:r w:rsidR="008C21AB" w:rsidRPr="00576180">
        <w:rPr>
          <w:rFonts w:ascii="Arial" w:hAnsi="Arial" w:cs="Arial"/>
          <w:color w:val="222222"/>
        </w:rPr>
        <w:t>, incluso a medida que se produce una consolidación</w:t>
      </w:r>
      <w:r w:rsidR="00702C38" w:rsidRPr="00576180">
        <w:rPr>
          <w:rFonts w:ascii="Arial" w:hAnsi="Arial" w:cs="Arial"/>
          <w:color w:val="222222"/>
        </w:rPr>
        <w:t xml:space="preserve"> </w:t>
      </w:r>
      <w:r w:rsidR="008C21AB" w:rsidRPr="00576180">
        <w:rPr>
          <w:rFonts w:ascii="Arial" w:hAnsi="Arial" w:cs="Arial"/>
          <w:color w:val="222222"/>
        </w:rPr>
        <w:t xml:space="preserve">fiscal </w:t>
      </w:r>
      <w:r w:rsidR="00702C38" w:rsidRPr="00576180">
        <w:rPr>
          <w:rFonts w:ascii="Arial" w:hAnsi="Arial" w:cs="Arial"/>
          <w:color w:val="222222"/>
        </w:rPr>
        <w:t xml:space="preserve">de forma </w:t>
      </w:r>
      <w:r w:rsidR="008C21AB" w:rsidRPr="00576180">
        <w:rPr>
          <w:rFonts w:ascii="Arial" w:hAnsi="Arial" w:cs="Arial"/>
          <w:color w:val="222222"/>
        </w:rPr>
        <w:t xml:space="preserve">gradual. En el mediano plazo, se proyecta que el crecimiento </w:t>
      </w:r>
      <w:r w:rsidR="00754D69" w:rsidRPr="00576180">
        <w:rPr>
          <w:rFonts w:ascii="Arial" w:hAnsi="Arial" w:cs="Arial"/>
          <w:color w:val="222222"/>
        </w:rPr>
        <w:t xml:space="preserve">convergerá </w:t>
      </w:r>
      <w:r w:rsidR="00AC28FA" w:rsidRPr="00576180">
        <w:rPr>
          <w:rFonts w:ascii="Arial" w:hAnsi="Arial" w:cs="Arial"/>
          <w:color w:val="222222"/>
        </w:rPr>
        <w:t>a</w:t>
      </w:r>
      <w:r w:rsidR="008C21AB" w:rsidRPr="00576180">
        <w:rPr>
          <w:rFonts w:ascii="Arial" w:hAnsi="Arial" w:cs="Arial"/>
          <w:color w:val="222222"/>
        </w:rPr>
        <w:t xml:space="preserve"> 4</w:t>
      </w:r>
      <w:r w:rsidR="00702C38" w:rsidRPr="00576180">
        <w:rPr>
          <w:rFonts w:ascii="Arial" w:hAnsi="Arial" w:cs="Arial"/>
          <w:color w:val="222222"/>
        </w:rPr>
        <w:t xml:space="preserve">% y </w:t>
      </w:r>
      <w:r w:rsidR="008C21AB" w:rsidRPr="00576180">
        <w:rPr>
          <w:rFonts w:ascii="Arial" w:hAnsi="Arial" w:cs="Arial"/>
          <w:color w:val="222222"/>
        </w:rPr>
        <w:t xml:space="preserve">la inflación </w:t>
      </w:r>
      <w:r w:rsidR="008B2F72">
        <w:rPr>
          <w:rFonts w:ascii="Arial" w:hAnsi="Arial" w:cs="Arial"/>
          <w:color w:val="222222"/>
        </w:rPr>
        <w:t xml:space="preserve">se sitúe </w:t>
      </w:r>
      <w:r w:rsidR="00754D69" w:rsidRPr="00576180">
        <w:rPr>
          <w:rFonts w:ascii="Arial" w:hAnsi="Arial" w:cs="Arial"/>
          <w:color w:val="222222"/>
        </w:rPr>
        <w:t xml:space="preserve">en </w:t>
      </w:r>
      <w:r w:rsidR="008C21AB" w:rsidRPr="00576180">
        <w:rPr>
          <w:rFonts w:ascii="Arial" w:hAnsi="Arial" w:cs="Arial"/>
          <w:color w:val="222222"/>
        </w:rPr>
        <w:t xml:space="preserve">el centro del rango objetivo del </w:t>
      </w:r>
      <w:r w:rsidR="00702C38" w:rsidRPr="00576180">
        <w:rPr>
          <w:rFonts w:ascii="Arial" w:hAnsi="Arial" w:cs="Arial"/>
          <w:color w:val="222222"/>
        </w:rPr>
        <w:t>B</w:t>
      </w:r>
      <w:r w:rsidR="008C21AB" w:rsidRPr="00576180">
        <w:rPr>
          <w:rFonts w:ascii="Arial" w:hAnsi="Arial" w:cs="Arial"/>
          <w:color w:val="222222"/>
        </w:rPr>
        <w:t xml:space="preserve">anco </w:t>
      </w:r>
      <w:r w:rsidR="00702C38" w:rsidRPr="00576180">
        <w:rPr>
          <w:rFonts w:ascii="Arial" w:hAnsi="Arial" w:cs="Arial"/>
          <w:color w:val="222222"/>
        </w:rPr>
        <w:t>C</w:t>
      </w:r>
      <w:r w:rsidR="008C21AB" w:rsidRPr="00576180">
        <w:rPr>
          <w:rFonts w:ascii="Arial" w:hAnsi="Arial" w:cs="Arial"/>
          <w:color w:val="222222"/>
        </w:rPr>
        <w:t>entral de 1</w:t>
      </w:r>
      <w:r w:rsidR="00AC28FA" w:rsidRPr="00576180">
        <w:rPr>
          <w:rFonts w:ascii="Arial" w:hAnsi="Arial" w:cs="Arial"/>
          <w:color w:val="222222"/>
        </w:rPr>
        <w:t>%</w:t>
      </w:r>
      <w:r w:rsidR="008C21AB" w:rsidRPr="00576180">
        <w:rPr>
          <w:rFonts w:ascii="Arial" w:hAnsi="Arial" w:cs="Arial"/>
          <w:color w:val="222222"/>
        </w:rPr>
        <w:t xml:space="preserve"> </w:t>
      </w:r>
      <w:r w:rsidR="00AC28FA" w:rsidRPr="00576180">
        <w:rPr>
          <w:rFonts w:ascii="Arial" w:hAnsi="Arial" w:cs="Arial"/>
          <w:color w:val="222222"/>
        </w:rPr>
        <w:t>–</w:t>
      </w:r>
      <w:r w:rsidR="008C21AB" w:rsidRPr="00576180">
        <w:rPr>
          <w:rFonts w:ascii="Arial" w:hAnsi="Arial" w:cs="Arial"/>
          <w:color w:val="222222"/>
        </w:rPr>
        <w:t xml:space="preserve"> 3</w:t>
      </w:r>
      <w:r w:rsidR="00AC28FA" w:rsidRPr="00576180">
        <w:rPr>
          <w:rFonts w:ascii="Arial" w:hAnsi="Arial" w:cs="Arial"/>
          <w:color w:val="222222"/>
        </w:rPr>
        <w:t>%</w:t>
      </w:r>
      <w:r w:rsidR="008B2F72">
        <w:rPr>
          <w:rFonts w:ascii="Arial" w:hAnsi="Arial" w:cs="Arial"/>
          <w:color w:val="222222"/>
        </w:rPr>
        <w:t xml:space="preserve"> anual</w:t>
      </w:r>
      <w:r w:rsidR="008C21AB" w:rsidRPr="00576180">
        <w:rPr>
          <w:rFonts w:ascii="Arial" w:hAnsi="Arial" w:cs="Arial"/>
          <w:color w:val="222222"/>
        </w:rPr>
        <w:t>.</w:t>
      </w:r>
    </w:p>
    <w:p w14:paraId="3A10B44B" w14:textId="07B0D268" w:rsidR="008E2998" w:rsidRPr="00576180" w:rsidRDefault="00261A3B" w:rsidP="00D17FF5">
      <w:pPr>
        <w:pStyle w:val="ListParagraph"/>
        <w:tabs>
          <w:tab w:val="left" w:pos="9000"/>
        </w:tabs>
        <w:spacing w:before="120" w:after="120" w:line="240" w:lineRule="auto"/>
        <w:ind w:left="360"/>
        <w:contextualSpacing w:val="0"/>
        <w:jc w:val="both"/>
        <w:rPr>
          <w:rStyle w:val="Hyperlink"/>
          <w:rFonts w:ascii="Arial" w:hAnsi="Arial" w:cs="Arial"/>
          <w:color w:val="000000" w:themeColor="text1"/>
          <w:u w:val="none"/>
        </w:rPr>
      </w:pPr>
      <w:r w:rsidRPr="00576180">
        <w:rPr>
          <w:rFonts w:ascii="Arial" w:hAnsi="Arial" w:cs="Arial"/>
        </w:rPr>
        <w:t>L</w:t>
      </w:r>
      <w:r w:rsidR="00326C4D" w:rsidRPr="00576180">
        <w:rPr>
          <w:rFonts w:ascii="Arial" w:hAnsi="Arial" w:cs="Arial"/>
        </w:rPr>
        <w:t>a contribución del Programa a las políticas</w:t>
      </w:r>
      <w:r w:rsidRPr="00576180">
        <w:rPr>
          <w:rFonts w:ascii="Arial" w:hAnsi="Arial" w:cs="Arial"/>
        </w:rPr>
        <w:t xml:space="preserve"> públicas</w:t>
      </w:r>
      <w:r w:rsidR="00326C4D" w:rsidRPr="00576180">
        <w:rPr>
          <w:rFonts w:ascii="Arial" w:hAnsi="Arial" w:cs="Arial"/>
        </w:rPr>
        <w:t xml:space="preserve"> del país </w:t>
      </w:r>
      <w:r w:rsidRPr="00576180">
        <w:rPr>
          <w:rFonts w:ascii="Arial" w:hAnsi="Arial" w:cs="Arial"/>
        </w:rPr>
        <w:t xml:space="preserve">se identificó en el marco de </w:t>
      </w:r>
      <w:r w:rsidR="00DC63F6" w:rsidRPr="00576180">
        <w:rPr>
          <w:rFonts w:ascii="Arial" w:hAnsi="Arial" w:cs="Arial"/>
        </w:rPr>
        <w:t>los siguientes planes</w:t>
      </w:r>
      <w:r w:rsidRPr="00576180">
        <w:rPr>
          <w:rFonts w:ascii="Arial" w:hAnsi="Arial" w:cs="Arial"/>
        </w:rPr>
        <w:t>: (i)</w:t>
      </w:r>
      <w:r w:rsidR="00326C4D" w:rsidRPr="00576180">
        <w:rPr>
          <w:rFonts w:ascii="Arial" w:hAnsi="Arial" w:cs="Arial"/>
        </w:rPr>
        <w:t xml:space="preserve"> </w:t>
      </w:r>
      <w:r w:rsidRPr="00576180">
        <w:rPr>
          <w:rFonts w:ascii="Arial" w:hAnsi="Arial" w:cs="Arial"/>
        </w:rPr>
        <w:t>el</w:t>
      </w:r>
      <w:r w:rsidR="00326C4D" w:rsidRPr="00576180">
        <w:rPr>
          <w:rFonts w:ascii="Arial" w:hAnsi="Arial" w:cs="Arial"/>
        </w:rPr>
        <w:t xml:space="preserve"> Plan </w:t>
      </w:r>
      <w:r w:rsidR="006D3F5E" w:rsidRPr="00576180">
        <w:rPr>
          <w:rFonts w:ascii="Arial" w:hAnsi="Arial" w:cs="Arial"/>
        </w:rPr>
        <w:t>E</w:t>
      </w:r>
      <w:r w:rsidR="00326C4D" w:rsidRPr="00576180">
        <w:rPr>
          <w:rFonts w:ascii="Arial" w:hAnsi="Arial" w:cs="Arial"/>
        </w:rPr>
        <w:t xml:space="preserve">stratégico de Desarrollo Nacional hacia 2021, </w:t>
      </w:r>
      <w:r w:rsidRPr="00576180">
        <w:rPr>
          <w:rFonts w:ascii="Arial" w:hAnsi="Arial" w:cs="Arial"/>
        </w:rPr>
        <w:t>cuyas acciones</w:t>
      </w:r>
      <w:r w:rsidR="00326C4D" w:rsidRPr="00576180">
        <w:rPr>
          <w:rFonts w:ascii="Arial" w:hAnsi="Arial" w:cs="Arial"/>
        </w:rPr>
        <w:t xml:space="preserve"> están direccionadas a la promoción del crecimiento económico sostenible</w:t>
      </w:r>
      <w:r w:rsidRPr="00576180">
        <w:rPr>
          <w:rFonts w:ascii="Arial" w:hAnsi="Arial" w:cs="Arial"/>
        </w:rPr>
        <w:t>; y (</w:t>
      </w:r>
      <w:proofErr w:type="spellStart"/>
      <w:r w:rsidRPr="00576180">
        <w:rPr>
          <w:rFonts w:ascii="Arial" w:hAnsi="Arial" w:cs="Arial"/>
        </w:rPr>
        <w:t>ii</w:t>
      </w:r>
      <w:proofErr w:type="spellEnd"/>
      <w:r w:rsidRPr="00576180">
        <w:rPr>
          <w:rFonts w:ascii="Arial" w:hAnsi="Arial" w:cs="Arial"/>
        </w:rPr>
        <w:t>)</w:t>
      </w:r>
      <w:r w:rsidR="006C39F1" w:rsidRPr="00576180">
        <w:rPr>
          <w:rFonts w:ascii="Arial" w:hAnsi="Arial" w:cs="Arial"/>
        </w:rPr>
        <w:t> </w:t>
      </w:r>
      <w:r w:rsidR="00326C4D" w:rsidRPr="00576180">
        <w:rPr>
          <w:rFonts w:ascii="Arial" w:hAnsi="Arial" w:cs="Arial"/>
        </w:rPr>
        <w:t>el Plan Estratégico</w:t>
      </w:r>
      <w:r w:rsidR="006D3F5E" w:rsidRPr="00576180">
        <w:rPr>
          <w:rFonts w:ascii="Arial" w:hAnsi="Arial" w:cs="Arial"/>
        </w:rPr>
        <w:t xml:space="preserve"> </w:t>
      </w:r>
      <w:r w:rsidR="00326C4D" w:rsidRPr="00576180">
        <w:rPr>
          <w:rFonts w:ascii="Arial" w:hAnsi="Arial" w:cs="Arial"/>
        </w:rPr>
        <w:t xml:space="preserve">Institucional 2017-2019 del </w:t>
      </w:r>
      <w:r w:rsidR="00E942F5" w:rsidRPr="00576180">
        <w:rPr>
          <w:rFonts w:ascii="Arial" w:hAnsi="Arial" w:cs="Arial"/>
        </w:rPr>
        <w:t>MEF</w:t>
      </w:r>
      <w:r w:rsidR="00326C4D" w:rsidRPr="00576180">
        <w:rPr>
          <w:rFonts w:ascii="Arial" w:hAnsi="Arial" w:cs="Arial"/>
        </w:rPr>
        <w:t xml:space="preserve">, </w:t>
      </w:r>
      <w:r w:rsidRPr="00576180">
        <w:rPr>
          <w:rFonts w:ascii="Arial" w:hAnsi="Arial" w:cs="Arial"/>
        </w:rPr>
        <w:t>el cual</w:t>
      </w:r>
      <w:r w:rsidR="00326C4D" w:rsidRPr="00576180">
        <w:rPr>
          <w:rFonts w:ascii="Arial" w:hAnsi="Arial" w:cs="Arial"/>
        </w:rPr>
        <w:t xml:space="preserve"> contempla en sus objetivos específicos 1 y 5</w:t>
      </w:r>
      <w:r w:rsidR="008B2F72">
        <w:rPr>
          <w:rFonts w:ascii="Arial" w:hAnsi="Arial" w:cs="Arial"/>
        </w:rPr>
        <w:t>,</w:t>
      </w:r>
      <w:r w:rsidR="00326C4D" w:rsidRPr="00576180">
        <w:rPr>
          <w:rFonts w:ascii="Arial" w:hAnsi="Arial" w:cs="Arial"/>
        </w:rPr>
        <w:t xml:space="preserve"> la consolidación del equilibrio y sostenibilidad fisca</w:t>
      </w:r>
      <w:r w:rsidR="00CC2E1C" w:rsidRPr="00576180">
        <w:rPr>
          <w:rFonts w:ascii="Arial" w:hAnsi="Arial" w:cs="Arial"/>
        </w:rPr>
        <w:t>l</w:t>
      </w:r>
      <w:r w:rsidR="00326C4D" w:rsidRPr="00576180">
        <w:rPr>
          <w:rFonts w:ascii="Arial" w:hAnsi="Arial" w:cs="Arial"/>
        </w:rPr>
        <w:t xml:space="preserve"> de las</w:t>
      </w:r>
      <w:r w:rsidR="00CC2E1C" w:rsidRPr="00576180">
        <w:rPr>
          <w:rFonts w:ascii="Arial" w:hAnsi="Arial" w:cs="Arial"/>
        </w:rPr>
        <w:t xml:space="preserve"> finanzas públicas</w:t>
      </w:r>
      <w:r w:rsidR="00326C4D" w:rsidRPr="00576180">
        <w:rPr>
          <w:rFonts w:ascii="Arial" w:hAnsi="Arial" w:cs="Arial"/>
        </w:rPr>
        <w:t xml:space="preserve"> y la mejora del desempeño del gasto público en los 3 niveles de gobierno</w:t>
      </w:r>
      <w:r w:rsidR="00CC2E1C" w:rsidRPr="00576180">
        <w:rPr>
          <w:rFonts w:ascii="Arial" w:hAnsi="Arial" w:cs="Arial"/>
        </w:rPr>
        <w:t xml:space="preserve">. </w:t>
      </w:r>
      <w:r w:rsidRPr="00576180">
        <w:rPr>
          <w:rFonts w:ascii="Arial" w:hAnsi="Arial" w:cs="Arial"/>
        </w:rPr>
        <w:t>E</w:t>
      </w:r>
      <w:r w:rsidR="00DC63F6" w:rsidRPr="00576180">
        <w:rPr>
          <w:rFonts w:ascii="Arial" w:hAnsi="Arial" w:cs="Arial"/>
        </w:rPr>
        <w:t>specíficamente, e</w:t>
      </w:r>
      <w:r w:rsidRPr="00576180">
        <w:rPr>
          <w:rFonts w:ascii="Arial" w:hAnsi="Arial" w:cs="Arial"/>
        </w:rPr>
        <w:t xml:space="preserve">l </w:t>
      </w:r>
      <w:r w:rsidR="00DC63F6" w:rsidRPr="00576180">
        <w:rPr>
          <w:rFonts w:ascii="Arial" w:hAnsi="Arial" w:cs="Arial"/>
        </w:rPr>
        <w:t>P</w:t>
      </w:r>
      <w:r w:rsidRPr="00576180">
        <w:rPr>
          <w:rFonts w:ascii="Arial" w:hAnsi="Arial" w:cs="Arial"/>
        </w:rPr>
        <w:t>rograma</w:t>
      </w:r>
      <w:r w:rsidR="00CC2E1C" w:rsidRPr="00576180">
        <w:rPr>
          <w:rFonts w:ascii="Arial" w:hAnsi="Arial" w:cs="Arial"/>
        </w:rPr>
        <w:t xml:space="preserve"> evaluad</w:t>
      </w:r>
      <w:r w:rsidRPr="00576180">
        <w:rPr>
          <w:rFonts w:ascii="Arial" w:hAnsi="Arial" w:cs="Arial"/>
        </w:rPr>
        <w:t>o</w:t>
      </w:r>
      <w:r w:rsidR="00CC2E1C" w:rsidRPr="00576180">
        <w:rPr>
          <w:rFonts w:ascii="Arial" w:hAnsi="Arial" w:cs="Arial"/>
        </w:rPr>
        <w:t xml:space="preserve"> en este PCR apoyó las acciones del </w:t>
      </w:r>
      <w:r w:rsidR="00A8229A" w:rsidRPr="00576180">
        <w:rPr>
          <w:rFonts w:ascii="Arial" w:hAnsi="Arial" w:cs="Arial"/>
        </w:rPr>
        <w:t>G</w:t>
      </w:r>
      <w:r w:rsidR="00B11A62" w:rsidRPr="00576180">
        <w:rPr>
          <w:rFonts w:ascii="Arial" w:hAnsi="Arial" w:cs="Arial"/>
        </w:rPr>
        <w:t>obierno</w:t>
      </w:r>
      <w:r w:rsidR="00CC2E1C" w:rsidRPr="00576180">
        <w:rPr>
          <w:rFonts w:ascii="Arial" w:hAnsi="Arial" w:cs="Arial"/>
        </w:rPr>
        <w:t xml:space="preserve"> para </w:t>
      </w:r>
      <w:r w:rsidR="00326C4D" w:rsidRPr="00576180">
        <w:rPr>
          <w:rFonts w:ascii="Arial" w:hAnsi="Arial" w:cs="Arial"/>
        </w:rPr>
        <w:t>mejorar la eficiencia a través del fortalecimiento de los procesos e instrumentos informatizados de gestión de las finanzas públicas, los cuales</w:t>
      </w:r>
      <w:r w:rsidR="00DC63F6" w:rsidRPr="00576180">
        <w:rPr>
          <w:rFonts w:ascii="Arial" w:hAnsi="Arial" w:cs="Arial"/>
        </w:rPr>
        <w:t xml:space="preserve"> a su vez</w:t>
      </w:r>
      <w:r w:rsidR="00326C4D" w:rsidRPr="00576180">
        <w:rPr>
          <w:rFonts w:ascii="Arial" w:hAnsi="Arial" w:cs="Arial"/>
        </w:rPr>
        <w:t xml:space="preserve"> contribuyen al crecimiento económico.</w:t>
      </w:r>
      <w:r w:rsidR="008B2F72">
        <w:rPr>
          <w:rFonts w:ascii="Arial" w:hAnsi="Arial" w:cs="Arial"/>
        </w:rPr>
        <w:t xml:space="preserve"> Adicionalmente, </w:t>
      </w:r>
      <w:r w:rsidR="00CC2E1C" w:rsidRPr="00FE0E54">
        <w:rPr>
          <w:rFonts w:ascii="Arial" w:hAnsi="Arial" w:cs="Arial"/>
        </w:rPr>
        <w:t xml:space="preserve">el </w:t>
      </w:r>
      <w:r w:rsidR="0047114A" w:rsidRPr="00FE0E54">
        <w:rPr>
          <w:rFonts w:ascii="Arial" w:hAnsi="Arial" w:cs="Arial"/>
        </w:rPr>
        <w:t>Programa estuvo alineado</w:t>
      </w:r>
      <w:r w:rsidR="00DC63F6" w:rsidRPr="00FE0E54">
        <w:rPr>
          <w:rFonts w:ascii="Arial" w:hAnsi="Arial" w:cs="Arial"/>
        </w:rPr>
        <w:t xml:space="preserve"> </w:t>
      </w:r>
      <w:r w:rsidR="0047114A" w:rsidRPr="00FE0E54">
        <w:rPr>
          <w:rFonts w:ascii="Arial" w:hAnsi="Arial" w:cs="Arial"/>
        </w:rPr>
        <w:t>en su</w:t>
      </w:r>
      <w:r w:rsidR="00DC63F6" w:rsidRPr="00FE0E54">
        <w:rPr>
          <w:rFonts w:ascii="Arial" w:hAnsi="Arial" w:cs="Arial"/>
        </w:rPr>
        <w:t>s</w:t>
      </w:r>
      <w:r w:rsidR="0047114A" w:rsidRPr="00FE0E54">
        <w:rPr>
          <w:rFonts w:ascii="Arial" w:hAnsi="Arial" w:cs="Arial"/>
        </w:rPr>
        <w:t xml:space="preserve"> etapa</w:t>
      </w:r>
      <w:r w:rsidR="00DC63F6" w:rsidRPr="00FE0E54">
        <w:rPr>
          <w:rFonts w:ascii="Arial" w:hAnsi="Arial" w:cs="Arial"/>
        </w:rPr>
        <w:t>s</w:t>
      </w:r>
      <w:r w:rsidR="0047114A" w:rsidRPr="00FE0E54">
        <w:rPr>
          <w:rFonts w:ascii="Arial" w:hAnsi="Arial" w:cs="Arial"/>
        </w:rPr>
        <w:t xml:space="preserve"> de diseño</w:t>
      </w:r>
      <w:r w:rsidR="00CC2E1C" w:rsidRPr="00FE0E54">
        <w:rPr>
          <w:rFonts w:ascii="Arial" w:hAnsi="Arial" w:cs="Arial"/>
        </w:rPr>
        <w:t xml:space="preserve"> </w:t>
      </w:r>
      <w:r w:rsidR="00DC63F6" w:rsidRPr="00FE0E54">
        <w:rPr>
          <w:rFonts w:ascii="Arial" w:hAnsi="Arial" w:cs="Arial"/>
        </w:rPr>
        <w:t>y</w:t>
      </w:r>
      <w:r w:rsidR="00CC2E1C" w:rsidRPr="00FE0E54">
        <w:rPr>
          <w:rFonts w:ascii="Arial" w:hAnsi="Arial" w:cs="Arial"/>
        </w:rPr>
        <w:t xml:space="preserve"> ejecución</w:t>
      </w:r>
      <w:r w:rsidR="0047114A" w:rsidRPr="00FE0E54">
        <w:rPr>
          <w:rFonts w:ascii="Arial" w:hAnsi="Arial" w:cs="Arial"/>
        </w:rPr>
        <w:t xml:space="preserve"> con</w:t>
      </w:r>
      <w:r w:rsidR="0047114A" w:rsidRPr="00576180">
        <w:rPr>
          <w:rFonts w:ascii="Arial" w:hAnsi="Arial" w:cs="Arial"/>
        </w:rPr>
        <w:t xml:space="preserve"> las necesidades de desarrollo identificadas por el </w:t>
      </w:r>
      <w:r w:rsidR="00A8229A" w:rsidRPr="00576180">
        <w:rPr>
          <w:rFonts w:ascii="Arial" w:hAnsi="Arial" w:cs="Arial"/>
        </w:rPr>
        <w:t>G</w:t>
      </w:r>
      <w:r w:rsidR="00DC63F6" w:rsidRPr="00576180">
        <w:rPr>
          <w:rFonts w:ascii="Arial" w:hAnsi="Arial" w:cs="Arial"/>
        </w:rPr>
        <w:t xml:space="preserve">obierno, así como </w:t>
      </w:r>
      <w:r w:rsidR="0047114A" w:rsidRPr="00576180">
        <w:rPr>
          <w:rFonts w:ascii="Arial" w:hAnsi="Arial" w:cs="Arial"/>
        </w:rPr>
        <w:t>con la EBP</w:t>
      </w:r>
      <w:r w:rsidR="008E2998" w:rsidRPr="00576180">
        <w:rPr>
          <w:rStyle w:val="Hyperlink"/>
          <w:rFonts w:ascii="Arial" w:hAnsi="Arial" w:cs="Arial"/>
        </w:rPr>
        <w:t xml:space="preserve"> </w:t>
      </w:r>
      <w:r w:rsidR="008E2998" w:rsidRPr="00576180">
        <w:rPr>
          <w:rStyle w:val="Hyperlink"/>
          <w:rFonts w:ascii="Arial" w:hAnsi="Arial" w:cs="Arial"/>
          <w:color w:val="000000" w:themeColor="text1"/>
          <w:u w:val="none"/>
        </w:rPr>
        <w:t>conforme</w:t>
      </w:r>
      <w:r w:rsidR="009243E9" w:rsidRPr="00576180">
        <w:rPr>
          <w:rStyle w:val="Hyperlink"/>
          <w:rFonts w:ascii="Arial" w:hAnsi="Arial" w:cs="Arial"/>
          <w:color w:val="000000" w:themeColor="text1"/>
          <w:u w:val="none"/>
        </w:rPr>
        <w:t xml:space="preserve"> a lo</w:t>
      </w:r>
      <w:r w:rsidR="008E2998" w:rsidRPr="00576180">
        <w:rPr>
          <w:rStyle w:val="Hyperlink"/>
          <w:rFonts w:ascii="Arial" w:hAnsi="Arial" w:cs="Arial"/>
          <w:color w:val="000000" w:themeColor="text1"/>
          <w:u w:val="none"/>
        </w:rPr>
        <w:t xml:space="preserve"> presentado en </w:t>
      </w:r>
      <w:r w:rsidR="009243E9" w:rsidRPr="00576180">
        <w:rPr>
          <w:rStyle w:val="Hyperlink"/>
          <w:rFonts w:ascii="Arial" w:hAnsi="Arial" w:cs="Arial"/>
          <w:color w:val="000000" w:themeColor="text1"/>
          <w:u w:val="none"/>
        </w:rPr>
        <w:t xml:space="preserve">el </w:t>
      </w:r>
      <w:r w:rsidR="00FF1E99" w:rsidRPr="00576180">
        <w:rPr>
          <w:rStyle w:val="Hyperlink"/>
          <w:rFonts w:ascii="Arial" w:hAnsi="Arial" w:cs="Arial"/>
          <w:color w:val="000000" w:themeColor="text1"/>
          <w:u w:val="none"/>
        </w:rPr>
        <w:t>Tabla</w:t>
      </w:r>
      <w:r w:rsidR="008E2998" w:rsidRPr="00576180">
        <w:rPr>
          <w:rStyle w:val="Hyperlink"/>
          <w:rFonts w:ascii="Arial" w:hAnsi="Arial" w:cs="Arial"/>
          <w:color w:val="000000" w:themeColor="text1"/>
          <w:u w:val="none"/>
        </w:rPr>
        <w:t xml:space="preserve"> </w:t>
      </w:r>
      <w:r w:rsidR="00FF1E99" w:rsidRPr="00576180">
        <w:rPr>
          <w:rStyle w:val="Hyperlink"/>
          <w:rFonts w:ascii="Arial" w:hAnsi="Arial" w:cs="Arial"/>
          <w:color w:val="000000" w:themeColor="text1"/>
          <w:u w:val="none"/>
        </w:rPr>
        <w:t>2</w:t>
      </w:r>
      <w:r w:rsidR="009243E9" w:rsidRPr="00576180">
        <w:rPr>
          <w:rStyle w:val="Hyperlink"/>
          <w:rFonts w:ascii="Arial" w:hAnsi="Arial" w:cs="Arial"/>
          <w:color w:val="000000" w:themeColor="text1"/>
          <w:u w:val="none"/>
        </w:rPr>
        <w:t>.</w:t>
      </w:r>
    </w:p>
    <w:tbl>
      <w:tblPr>
        <w:tblStyle w:val="TableGrid"/>
        <w:tblW w:w="5484" w:type="pct"/>
        <w:tblInd w:w="-180" w:type="dxa"/>
        <w:tblLook w:val="04A0" w:firstRow="1" w:lastRow="0" w:firstColumn="1" w:lastColumn="0" w:noHBand="0" w:noVBand="1"/>
      </w:tblPr>
      <w:tblGrid>
        <w:gridCol w:w="2261"/>
        <w:gridCol w:w="3962"/>
        <w:gridCol w:w="3677"/>
      </w:tblGrid>
      <w:tr w:rsidR="007853E6" w:rsidRPr="00576180" w14:paraId="3EFF43DF" w14:textId="77777777" w:rsidTr="00957319">
        <w:trPr>
          <w:tblHeader/>
        </w:trPr>
        <w:tc>
          <w:tcPr>
            <w:tcW w:w="5000" w:type="pct"/>
            <w:gridSpan w:val="3"/>
            <w:tcBorders>
              <w:top w:val="nil"/>
              <w:left w:val="nil"/>
              <w:bottom w:val="single" w:sz="4" w:space="0" w:color="auto"/>
              <w:right w:val="nil"/>
            </w:tcBorders>
            <w:shd w:val="clear" w:color="auto" w:fill="FFFFFF" w:themeFill="background1"/>
            <w:vAlign w:val="center"/>
          </w:tcPr>
          <w:p w14:paraId="2DE1802F" w14:textId="555F5889" w:rsidR="007853E6" w:rsidRPr="00576180" w:rsidRDefault="00FF1E99" w:rsidP="0051279E">
            <w:pPr>
              <w:tabs>
                <w:tab w:val="left" w:pos="9000"/>
              </w:tabs>
              <w:jc w:val="center"/>
              <w:rPr>
                <w:rFonts w:ascii="Arial" w:hAnsi="Arial" w:cs="Arial"/>
                <w:b/>
                <w:sz w:val="20"/>
                <w:szCs w:val="20"/>
              </w:rPr>
            </w:pPr>
            <w:bookmarkStart w:id="76" w:name="_Hlk524171545"/>
            <w:r w:rsidRPr="00576180">
              <w:rPr>
                <w:rFonts w:ascii="Arial" w:hAnsi="Arial" w:cs="Arial"/>
                <w:b/>
                <w:sz w:val="20"/>
                <w:szCs w:val="20"/>
              </w:rPr>
              <w:lastRenderedPageBreak/>
              <w:t>Tabla 2</w:t>
            </w:r>
            <w:r w:rsidR="00AF481A" w:rsidRPr="00576180">
              <w:rPr>
                <w:rFonts w:ascii="Arial" w:hAnsi="Arial" w:cs="Arial"/>
                <w:b/>
                <w:sz w:val="20"/>
                <w:szCs w:val="20"/>
              </w:rPr>
              <w:t xml:space="preserve">. </w:t>
            </w:r>
            <w:r w:rsidR="007853E6" w:rsidRPr="00576180">
              <w:rPr>
                <w:rFonts w:ascii="Arial" w:hAnsi="Arial" w:cs="Arial"/>
                <w:b/>
                <w:sz w:val="20"/>
                <w:szCs w:val="20"/>
              </w:rPr>
              <w:t xml:space="preserve">Contribución del Programa a las políticas públicas del </w:t>
            </w:r>
            <w:r w:rsidR="009243E9" w:rsidRPr="00576180">
              <w:rPr>
                <w:rFonts w:ascii="Arial" w:hAnsi="Arial" w:cs="Arial"/>
                <w:b/>
                <w:sz w:val="20"/>
                <w:szCs w:val="20"/>
              </w:rPr>
              <w:t>p</w:t>
            </w:r>
            <w:r w:rsidR="007853E6" w:rsidRPr="00576180">
              <w:rPr>
                <w:rFonts w:ascii="Arial" w:hAnsi="Arial" w:cs="Arial"/>
                <w:b/>
                <w:sz w:val="20"/>
                <w:szCs w:val="20"/>
              </w:rPr>
              <w:t>aís</w:t>
            </w:r>
          </w:p>
        </w:tc>
      </w:tr>
      <w:tr w:rsidR="00AD66E4" w:rsidRPr="00576180" w14:paraId="679CD602" w14:textId="77777777" w:rsidTr="00957319">
        <w:trPr>
          <w:tblHeader/>
        </w:trPr>
        <w:tc>
          <w:tcPr>
            <w:tcW w:w="1142" w:type="pct"/>
            <w:tcBorders>
              <w:top w:val="single" w:sz="4" w:space="0" w:color="auto"/>
            </w:tcBorders>
            <w:shd w:val="clear" w:color="auto" w:fill="D9D9D9" w:themeFill="background1" w:themeFillShade="D9"/>
            <w:vAlign w:val="center"/>
          </w:tcPr>
          <w:p w14:paraId="61DB8FB6" w14:textId="77777777" w:rsidR="00F01E6D" w:rsidRPr="00576180" w:rsidRDefault="00F01E6D" w:rsidP="0051279E">
            <w:pPr>
              <w:tabs>
                <w:tab w:val="left" w:pos="9000"/>
              </w:tabs>
              <w:jc w:val="center"/>
              <w:rPr>
                <w:rFonts w:ascii="Arial" w:hAnsi="Arial" w:cs="Arial"/>
                <w:b/>
                <w:sz w:val="20"/>
                <w:szCs w:val="20"/>
              </w:rPr>
            </w:pPr>
            <w:r w:rsidRPr="00576180">
              <w:rPr>
                <w:rFonts w:ascii="Arial" w:hAnsi="Arial" w:cs="Arial"/>
                <w:b/>
                <w:sz w:val="20"/>
                <w:szCs w:val="20"/>
              </w:rPr>
              <w:t>Resultado esperado del Programa</w:t>
            </w:r>
          </w:p>
        </w:tc>
        <w:tc>
          <w:tcPr>
            <w:tcW w:w="2001" w:type="pct"/>
            <w:tcBorders>
              <w:top w:val="single" w:sz="4" w:space="0" w:color="auto"/>
            </w:tcBorders>
            <w:shd w:val="clear" w:color="auto" w:fill="D9D9D9" w:themeFill="background1" w:themeFillShade="D9"/>
            <w:vAlign w:val="center"/>
          </w:tcPr>
          <w:p w14:paraId="3F2520D1" w14:textId="77777777" w:rsidR="00F01E6D" w:rsidRPr="00576180" w:rsidRDefault="00F01E6D" w:rsidP="0051279E">
            <w:pPr>
              <w:tabs>
                <w:tab w:val="left" w:pos="9000"/>
              </w:tabs>
              <w:jc w:val="center"/>
              <w:rPr>
                <w:rFonts w:ascii="Arial" w:hAnsi="Arial" w:cs="Arial"/>
                <w:b/>
                <w:sz w:val="20"/>
                <w:szCs w:val="20"/>
              </w:rPr>
            </w:pPr>
            <w:r w:rsidRPr="00576180">
              <w:rPr>
                <w:rFonts w:ascii="Arial" w:hAnsi="Arial" w:cs="Arial"/>
                <w:b/>
                <w:sz w:val="20"/>
                <w:szCs w:val="20"/>
              </w:rPr>
              <w:t xml:space="preserve">Políticas del </w:t>
            </w:r>
            <w:r w:rsidR="009243E9" w:rsidRPr="00576180">
              <w:rPr>
                <w:rFonts w:ascii="Arial" w:hAnsi="Arial" w:cs="Arial"/>
                <w:b/>
                <w:sz w:val="20"/>
                <w:szCs w:val="20"/>
              </w:rPr>
              <w:t>p</w:t>
            </w:r>
            <w:r w:rsidRPr="00576180">
              <w:rPr>
                <w:rFonts w:ascii="Arial" w:hAnsi="Arial" w:cs="Arial"/>
                <w:b/>
                <w:sz w:val="20"/>
                <w:szCs w:val="20"/>
              </w:rPr>
              <w:t>aís apoyadas por el Programa</w:t>
            </w:r>
          </w:p>
        </w:tc>
        <w:tc>
          <w:tcPr>
            <w:tcW w:w="1858" w:type="pct"/>
            <w:tcBorders>
              <w:top w:val="single" w:sz="4" w:space="0" w:color="auto"/>
            </w:tcBorders>
            <w:shd w:val="clear" w:color="auto" w:fill="D9D9D9" w:themeFill="background1" w:themeFillShade="D9"/>
            <w:vAlign w:val="center"/>
          </w:tcPr>
          <w:p w14:paraId="0E68DAC1" w14:textId="05326777" w:rsidR="00F01E6D" w:rsidRPr="00576180" w:rsidRDefault="00821ECA" w:rsidP="0051279E">
            <w:pPr>
              <w:tabs>
                <w:tab w:val="left" w:pos="9000"/>
              </w:tabs>
              <w:jc w:val="center"/>
              <w:rPr>
                <w:rFonts w:ascii="Arial" w:hAnsi="Arial" w:cs="Arial"/>
                <w:b/>
                <w:sz w:val="20"/>
                <w:szCs w:val="20"/>
              </w:rPr>
            </w:pPr>
            <w:r w:rsidRPr="00576180">
              <w:rPr>
                <w:rFonts w:ascii="Arial" w:hAnsi="Arial" w:cs="Arial"/>
                <w:b/>
                <w:sz w:val="20"/>
                <w:szCs w:val="20"/>
              </w:rPr>
              <w:t>Acciones</w:t>
            </w:r>
            <w:r w:rsidR="00F01E6D" w:rsidRPr="00576180">
              <w:rPr>
                <w:rFonts w:ascii="Arial" w:hAnsi="Arial" w:cs="Arial"/>
                <w:b/>
                <w:sz w:val="20"/>
                <w:szCs w:val="20"/>
              </w:rPr>
              <w:t xml:space="preserve"> del Programa asociad</w:t>
            </w:r>
            <w:r w:rsidR="009243E9" w:rsidRPr="00576180">
              <w:rPr>
                <w:rFonts w:ascii="Arial" w:hAnsi="Arial" w:cs="Arial"/>
                <w:b/>
                <w:sz w:val="20"/>
                <w:szCs w:val="20"/>
              </w:rPr>
              <w:t>a</w:t>
            </w:r>
            <w:r w:rsidR="00041AF7" w:rsidRPr="00576180">
              <w:rPr>
                <w:rFonts w:ascii="Arial" w:hAnsi="Arial" w:cs="Arial"/>
                <w:b/>
                <w:sz w:val="20"/>
                <w:szCs w:val="20"/>
              </w:rPr>
              <w:t>s</w:t>
            </w:r>
            <w:r w:rsidR="00F01E6D" w:rsidRPr="00576180">
              <w:rPr>
                <w:rFonts w:ascii="Arial" w:hAnsi="Arial" w:cs="Arial"/>
                <w:b/>
                <w:sz w:val="20"/>
                <w:szCs w:val="20"/>
              </w:rPr>
              <w:t xml:space="preserve"> con la obtención de</w:t>
            </w:r>
            <w:r w:rsidR="00041AF7" w:rsidRPr="00576180">
              <w:rPr>
                <w:rFonts w:ascii="Arial" w:hAnsi="Arial" w:cs="Arial"/>
                <w:b/>
                <w:sz w:val="20"/>
                <w:szCs w:val="20"/>
              </w:rPr>
              <w:t xml:space="preserve"> los</w:t>
            </w:r>
            <w:r w:rsidR="00F01E6D" w:rsidRPr="00576180">
              <w:rPr>
                <w:rFonts w:ascii="Arial" w:hAnsi="Arial" w:cs="Arial"/>
                <w:b/>
                <w:sz w:val="20"/>
                <w:szCs w:val="20"/>
              </w:rPr>
              <w:t xml:space="preserve"> resultado</w:t>
            </w:r>
            <w:r w:rsidR="00041AF7" w:rsidRPr="00576180">
              <w:rPr>
                <w:rFonts w:ascii="Arial" w:hAnsi="Arial" w:cs="Arial"/>
                <w:b/>
                <w:sz w:val="20"/>
                <w:szCs w:val="20"/>
              </w:rPr>
              <w:t>s</w:t>
            </w:r>
          </w:p>
        </w:tc>
      </w:tr>
      <w:tr w:rsidR="00F01E6D" w:rsidRPr="00576180" w14:paraId="6EA84D6D" w14:textId="77777777" w:rsidTr="00957319">
        <w:tc>
          <w:tcPr>
            <w:tcW w:w="1142" w:type="pct"/>
          </w:tcPr>
          <w:p w14:paraId="06CAF7E7" w14:textId="25A91647" w:rsidR="00F01E6D" w:rsidRPr="00576180" w:rsidRDefault="00041AF7" w:rsidP="00BD229E">
            <w:pPr>
              <w:tabs>
                <w:tab w:val="left" w:pos="9000"/>
              </w:tabs>
              <w:jc w:val="both"/>
              <w:rPr>
                <w:rFonts w:ascii="Arial" w:hAnsi="Arial" w:cs="Arial"/>
                <w:sz w:val="20"/>
                <w:szCs w:val="20"/>
              </w:rPr>
            </w:pPr>
            <w:r w:rsidRPr="00576180">
              <w:rPr>
                <w:rFonts w:ascii="Arial" w:hAnsi="Arial" w:cs="Arial"/>
                <w:sz w:val="20"/>
                <w:szCs w:val="20"/>
              </w:rPr>
              <w:t>Mejorar</w:t>
            </w:r>
            <w:r w:rsidR="00821ECA" w:rsidRPr="00576180">
              <w:rPr>
                <w:rFonts w:ascii="Arial" w:hAnsi="Arial" w:cs="Arial"/>
                <w:sz w:val="20"/>
                <w:szCs w:val="20"/>
              </w:rPr>
              <w:t xml:space="preserve"> el Indicador de Eficiencia del Gobierno del Perú usado en la EBP (pasar del 4º al 3º Cuartil)</w:t>
            </w:r>
          </w:p>
        </w:tc>
        <w:tc>
          <w:tcPr>
            <w:tcW w:w="2001" w:type="pct"/>
          </w:tcPr>
          <w:p w14:paraId="3394FEFC" w14:textId="4C55DA3B" w:rsidR="00BD5378" w:rsidRPr="00576180" w:rsidRDefault="00AA3A44" w:rsidP="00BD229E">
            <w:pPr>
              <w:tabs>
                <w:tab w:val="left" w:pos="9000"/>
              </w:tabs>
              <w:jc w:val="both"/>
              <w:rPr>
                <w:rFonts w:ascii="Arial" w:hAnsi="Arial" w:cs="Arial"/>
                <w:sz w:val="20"/>
                <w:szCs w:val="20"/>
              </w:rPr>
            </w:pPr>
            <w:r w:rsidRPr="00576180">
              <w:rPr>
                <w:rFonts w:ascii="Arial" w:hAnsi="Arial" w:cs="Arial"/>
                <w:sz w:val="20"/>
                <w:szCs w:val="20"/>
              </w:rPr>
              <w:t xml:space="preserve">El indicador estuvo alineado con el </w:t>
            </w:r>
            <w:hyperlink r:id="rId17" w:history="1">
              <w:r w:rsidR="00326C4D" w:rsidRPr="00576180">
                <w:rPr>
                  <w:rStyle w:val="Hyperlink"/>
                  <w:rFonts w:ascii="Arial" w:hAnsi="Arial" w:cs="Arial"/>
                  <w:sz w:val="20"/>
                  <w:szCs w:val="20"/>
                </w:rPr>
                <w:t xml:space="preserve">Plan </w:t>
              </w:r>
              <w:r w:rsidR="002B5CD3" w:rsidRPr="00576180">
                <w:rPr>
                  <w:rStyle w:val="Hyperlink"/>
                  <w:rFonts w:ascii="Arial" w:hAnsi="Arial" w:cs="Arial"/>
                  <w:sz w:val="20"/>
                  <w:szCs w:val="20"/>
                </w:rPr>
                <w:t>E</w:t>
              </w:r>
              <w:r w:rsidR="00326C4D" w:rsidRPr="00576180">
                <w:rPr>
                  <w:rStyle w:val="Hyperlink"/>
                  <w:rFonts w:ascii="Arial" w:hAnsi="Arial" w:cs="Arial"/>
                  <w:sz w:val="20"/>
                  <w:szCs w:val="20"/>
                </w:rPr>
                <w:t>stratégico de Desarrollo Nacional de Perú hacia 2021</w:t>
              </w:r>
            </w:hyperlink>
            <w:r w:rsidR="00326C4D" w:rsidRPr="00576180">
              <w:rPr>
                <w:rFonts w:ascii="Arial" w:hAnsi="Arial" w:cs="Arial"/>
                <w:sz w:val="20"/>
                <w:szCs w:val="20"/>
              </w:rPr>
              <w:t>,</w:t>
            </w:r>
            <w:r w:rsidRPr="00576180">
              <w:rPr>
                <w:rFonts w:ascii="Arial" w:hAnsi="Arial" w:cs="Arial"/>
                <w:sz w:val="20"/>
                <w:szCs w:val="20"/>
              </w:rPr>
              <w:t xml:space="preserve"> que </w:t>
            </w:r>
            <w:r w:rsidR="00326C4D" w:rsidRPr="00576180">
              <w:rPr>
                <w:rFonts w:ascii="Arial" w:hAnsi="Arial" w:cs="Arial"/>
                <w:sz w:val="20"/>
                <w:szCs w:val="20"/>
              </w:rPr>
              <w:t xml:space="preserve">subraya </w:t>
            </w:r>
            <w:r w:rsidRPr="00576180">
              <w:rPr>
                <w:rFonts w:ascii="Arial" w:hAnsi="Arial" w:cs="Arial"/>
                <w:sz w:val="20"/>
                <w:szCs w:val="20"/>
              </w:rPr>
              <w:t xml:space="preserve">la importancia de la búsqueda de la eficiencia en la administración pública, así como el apoyo al progreso científico, tecnológico y de la innovación como medios para lograr el crecimiento </w:t>
            </w:r>
            <w:r w:rsidR="00BD5378" w:rsidRPr="00576180">
              <w:rPr>
                <w:rFonts w:ascii="Arial" w:hAnsi="Arial" w:cs="Arial"/>
                <w:sz w:val="20"/>
                <w:szCs w:val="20"/>
              </w:rPr>
              <w:t>sostenible.</w:t>
            </w:r>
          </w:p>
          <w:p w14:paraId="7606C782" w14:textId="4A15274F" w:rsidR="00F01E6D" w:rsidRPr="00576180" w:rsidRDefault="00BD5378" w:rsidP="00BD229E">
            <w:pPr>
              <w:tabs>
                <w:tab w:val="left" w:pos="9000"/>
              </w:tabs>
              <w:jc w:val="both"/>
              <w:rPr>
                <w:rFonts w:ascii="Arial" w:hAnsi="Arial" w:cs="Arial"/>
                <w:sz w:val="20"/>
                <w:szCs w:val="20"/>
              </w:rPr>
            </w:pPr>
            <w:r w:rsidRPr="00576180">
              <w:rPr>
                <w:rFonts w:ascii="Arial" w:hAnsi="Arial" w:cs="Arial"/>
                <w:b/>
                <w:bCs/>
                <w:sz w:val="20"/>
                <w:szCs w:val="20"/>
              </w:rPr>
              <w:t xml:space="preserve">Línea Estratégica 1 - </w:t>
            </w:r>
            <w:r w:rsidRPr="00576180">
              <w:rPr>
                <w:rFonts w:ascii="Arial" w:hAnsi="Arial" w:cs="Arial"/>
                <w:sz w:val="20"/>
                <w:szCs w:val="20"/>
              </w:rPr>
              <w:t xml:space="preserve">Eficiencia del </w:t>
            </w:r>
            <w:r w:rsidR="00A8229A" w:rsidRPr="00576180">
              <w:rPr>
                <w:rFonts w:ascii="Arial" w:hAnsi="Arial" w:cs="Arial"/>
                <w:sz w:val="20"/>
                <w:szCs w:val="20"/>
              </w:rPr>
              <w:t>G</w:t>
            </w:r>
            <w:r w:rsidRPr="00576180">
              <w:rPr>
                <w:rFonts w:ascii="Arial" w:hAnsi="Arial" w:cs="Arial"/>
                <w:sz w:val="20"/>
                <w:szCs w:val="20"/>
              </w:rPr>
              <w:t>obierno e institucionalidad, con el objetivo de asegurar predictibilidad, transparencia y eficiencia, a través de regulaciones de calidad, mayor coordinación intergubernamental y mejora de</w:t>
            </w:r>
            <w:r w:rsidR="00DF6088" w:rsidRPr="00576180">
              <w:rPr>
                <w:rFonts w:ascii="Arial" w:hAnsi="Arial" w:cs="Arial"/>
                <w:sz w:val="20"/>
                <w:szCs w:val="20"/>
              </w:rPr>
              <w:t xml:space="preserve"> las</w:t>
            </w:r>
            <w:r w:rsidRPr="00576180">
              <w:rPr>
                <w:rFonts w:ascii="Arial" w:hAnsi="Arial" w:cs="Arial"/>
                <w:sz w:val="20"/>
                <w:szCs w:val="20"/>
              </w:rPr>
              <w:t xml:space="preserve"> capacidades de planificación y gestión. </w:t>
            </w:r>
          </w:p>
        </w:tc>
        <w:tc>
          <w:tcPr>
            <w:tcW w:w="1858" w:type="pct"/>
          </w:tcPr>
          <w:p w14:paraId="7D20CEBE" w14:textId="10C4E0F9" w:rsidR="00F01E6D" w:rsidRPr="00576180" w:rsidRDefault="00AA3A44" w:rsidP="00BD229E">
            <w:pPr>
              <w:tabs>
                <w:tab w:val="left" w:pos="9000"/>
              </w:tabs>
              <w:jc w:val="both"/>
              <w:rPr>
                <w:rFonts w:ascii="Arial" w:hAnsi="Arial" w:cs="Arial"/>
                <w:sz w:val="20"/>
                <w:szCs w:val="20"/>
              </w:rPr>
            </w:pPr>
            <w:r w:rsidRPr="00576180">
              <w:rPr>
                <w:rFonts w:ascii="Arial" w:hAnsi="Arial" w:cs="Arial"/>
                <w:sz w:val="20"/>
                <w:szCs w:val="20"/>
              </w:rPr>
              <w:t xml:space="preserve">Todos los </w:t>
            </w:r>
            <w:r w:rsidR="00EE23DC">
              <w:rPr>
                <w:rFonts w:ascii="Arial" w:hAnsi="Arial" w:cs="Arial"/>
                <w:sz w:val="20"/>
                <w:szCs w:val="20"/>
              </w:rPr>
              <w:t>13 productos</w:t>
            </w:r>
            <w:r w:rsidRPr="00576180">
              <w:rPr>
                <w:rFonts w:ascii="Arial" w:hAnsi="Arial" w:cs="Arial"/>
                <w:sz w:val="20"/>
                <w:szCs w:val="20"/>
              </w:rPr>
              <w:t xml:space="preserve"> </w:t>
            </w:r>
            <w:r w:rsidR="00EE23DC">
              <w:rPr>
                <w:rFonts w:ascii="Arial" w:hAnsi="Arial" w:cs="Arial"/>
                <w:sz w:val="20"/>
                <w:szCs w:val="20"/>
              </w:rPr>
              <w:t xml:space="preserve">implementados (9 totalmente y 4 </w:t>
            </w:r>
            <w:r w:rsidR="00E3041E">
              <w:rPr>
                <w:rFonts w:ascii="Arial" w:hAnsi="Arial" w:cs="Arial"/>
                <w:sz w:val="20"/>
                <w:szCs w:val="20"/>
              </w:rPr>
              <w:t>parcialmente</w:t>
            </w:r>
            <w:r w:rsidR="00EE23DC">
              <w:rPr>
                <w:rFonts w:ascii="Arial" w:hAnsi="Arial" w:cs="Arial"/>
                <w:sz w:val="20"/>
                <w:szCs w:val="20"/>
              </w:rPr>
              <w:t>)</w:t>
            </w:r>
            <w:r w:rsidR="00DF6088" w:rsidRPr="00576180">
              <w:rPr>
                <w:rFonts w:ascii="Arial" w:hAnsi="Arial" w:cs="Arial"/>
                <w:sz w:val="20"/>
                <w:szCs w:val="20"/>
              </w:rPr>
              <w:t xml:space="preserve"> </w:t>
            </w:r>
            <w:r w:rsidRPr="00576180">
              <w:rPr>
                <w:rFonts w:ascii="Arial" w:hAnsi="Arial" w:cs="Arial"/>
                <w:sz w:val="20"/>
                <w:szCs w:val="20"/>
              </w:rPr>
              <w:t xml:space="preserve">contribuyeron al alcance </w:t>
            </w:r>
            <w:r w:rsidR="002049E0" w:rsidRPr="00576180">
              <w:rPr>
                <w:rFonts w:ascii="Arial" w:hAnsi="Arial" w:cs="Arial"/>
                <w:sz w:val="20"/>
                <w:szCs w:val="20"/>
              </w:rPr>
              <w:t>del impacto</w:t>
            </w:r>
            <w:r w:rsidR="00AD366D" w:rsidRPr="00576180">
              <w:rPr>
                <w:rFonts w:ascii="Arial" w:hAnsi="Arial" w:cs="Arial"/>
                <w:sz w:val="20"/>
                <w:szCs w:val="20"/>
              </w:rPr>
              <w:t xml:space="preserve"> y a la</w:t>
            </w:r>
            <w:r w:rsidR="00265E8F" w:rsidRPr="00576180">
              <w:rPr>
                <w:rFonts w:ascii="Arial" w:hAnsi="Arial" w:cs="Arial"/>
                <w:sz w:val="20"/>
                <w:szCs w:val="20"/>
              </w:rPr>
              <w:t xml:space="preserve"> </w:t>
            </w:r>
            <w:r w:rsidR="00AD366D" w:rsidRPr="00576180">
              <w:rPr>
                <w:rFonts w:ascii="Arial" w:hAnsi="Arial" w:cs="Arial"/>
                <w:sz w:val="20"/>
                <w:szCs w:val="20"/>
              </w:rPr>
              <w:t>política</w:t>
            </w:r>
            <w:r w:rsidR="00265E8F" w:rsidRPr="00576180">
              <w:rPr>
                <w:rFonts w:ascii="Arial" w:hAnsi="Arial" w:cs="Arial"/>
                <w:sz w:val="20"/>
                <w:szCs w:val="20"/>
              </w:rPr>
              <w:t xml:space="preserve"> correspondiente</w:t>
            </w:r>
            <w:r w:rsidR="00AD366D" w:rsidRPr="00576180">
              <w:rPr>
                <w:rFonts w:ascii="Arial" w:hAnsi="Arial" w:cs="Arial"/>
                <w:sz w:val="20"/>
                <w:szCs w:val="20"/>
              </w:rPr>
              <w:t>.</w:t>
            </w:r>
          </w:p>
        </w:tc>
      </w:tr>
      <w:tr w:rsidR="00326C4D" w:rsidRPr="00576180" w14:paraId="3D1EC785" w14:textId="77777777" w:rsidTr="00957319">
        <w:trPr>
          <w:trHeight w:val="503"/>
        </w:trPr>
        <w:tc>
          <w:tcPr>
            <w:tcW w:w="1142" w:type="pct"/>
          </w:tcPr>
          <w:p w14:paraId="49AF38EC" w14:textId="7832E4AC" w:rsidR="00326C4D" w:rsidRPr="00576180" w:rsidRDefault="00CC793A" w:rsidP="00BD229E">
            <w:pPr>
              <w:tabs>
                <w:tab w:val="left" w:pos="9000"/>
              </w:tabs>
              <w:jc w:val="both"/>
              <w:rPr>
                <w:rFonts w:ascii="Arial" w:hAnsi="Arial" w:cs="Arial"/>
                <w:sz w:val="20"/>
                <w:szCs w:val="20"/>
              </w:rPr>
            </w:pPr>
            <w:r w:rsidRPr="00576180">
              <w:rPr>
                <w:rFonts w:ascii="Arial" w:hAnsi="Arial" w:cs="Arial"/>
                <w:sz w:val="20"/>
                <w:szCs w:val="20"/>
              </w:rPr>
              <w:t xml:space="preserve">1.1 </w:t>
            </w:r>
            <w:r w:rsidR="00041AF7" w:rsidRPr="00576180">
              <w:rPr>
                <w:rFonts w:ascii="Arial" w:hAnsi="Arial" w:cs="Arial"/>
                <w:sz w:val="20"/>
                <w:szCs w:val="20"/>
              </w:rPr>
              <w:t>Incrementar</w:t>
            </w:r>
            <w:r w:rsidR="00326C4D" w:rsidRPr="00576180">
              <w:rPr>
                <w:rFonts w:ascii="Arial" w:hAnsi="Arial" w:cs="Arial"/>
                <w:sz w:val="20"/>
                <w:szCs w:val="20"/>
              </w:rPr>
              <w:t xml:space="preserve"> la calidad y puntualidad de los informes presupuestarios del ejercicio en curso (</w:t>
            </w:r>
            <w:r w:rsidR="00041AF7" w:rsidRPr="00576180">
              <w:rPr>
                <w:rFonts w:ascii="Arial" w:hAnsi="Arial" w:cs="Arial"/>
                <w:sz w:val="20"/>
                <w:szCs w:val="20"/>
              </w:rPr>
              <w:t>i</w:t>
            </w:r>
            <w:r w:rsidR="00326C4D" w:rsidRPr="00576180">
              <w:rPr>
                <w:rFonts w:ascii="Arial" w:hAnsi="Arial" w:cs="Arial"/>
                <w:sz w:val="20"/>
                <w:szCs w:val="20"/>
              </w:rPr>
              <w:t xml:space="preserve">ndicador 24 del </w:t>
            </w:r>
            <w:proofErr w:type="spellStart"/>
            <w:r w:rsidR="00326C4D" w:rsidRPr="00576180">
              <w:rPr>
                <w:rFonts w:ascii="Arial" w:hAnsi="Arial" w:cs="Arial"/>
                <w:sz w:val="20"/>
                <w:szCs w:val="20"/>
              </w:rPr>
              <w:t>P</w:t>
            </w:r>
            <w:r w:rsidR="00765D8D" w:rsidRPr="00576180">
              <w:rPr>
                <w:rFonts w:ascii="Arial" w:hAnsi="Arial" w:cs="Arial"/>
                <w:sz w:val="20"/>
                <w:szCs w:val="20"/>
              </w:rPr>
              <w:t>ublic</w:t>
            </w:r>
            <w:proofErr w:type="spellEnd"/>
            <w:r w:rsidR="00765D8D" w:rsidRPr="00576180">
              <w:rPr>
                <w:rFonts w:ascii="Arial" w:hAnsi="Arial" w:cs="Arial"/>
                <w:sz w:val="20"/>
                <w:szCs w:val="20"/>
              </w:rPr>
              <w:t xml:space="preserve"> </w:t>
            </w:r>
            <w:proofErr w:type="spellStart"/>
            <w:r w:rsidR="00765D8D" w:rsidRPr="00576180">
              <w:rPr>
                <w:rFonts w:ascii="Arial" w:hAnsi="Arial" w:cs="Arial"/>
                <w:sz w:val="20"/>
                <w:szCs w:val="20"/>
              </w:rPr>
              <w:t>Expenditure</w:t>
            </w:r>
            <w:proofErr w:type="spellEnd"/>
            <w:r w:rsidR="00765D8D" w:rsidRPr="00576180">
              <w:rPr>
                <w:rFonts w:ascii="Arial" w:hAnsi="Arial" w:cs="Arial"/>
                <w:sz w:val="20"/>
                <w:szCs w:val="20"/>
              </w:rPr>
              <w:t xml:space="preserve"> &amp; </w:t>
            </w:r>
            <w:proofErr w:type="spellStart"/>
            <w:r w:rsidR="00765D8D" w:rsidRPr="00576180">
              <w:rPr>
                <w:rFonts w:ascii="Arial" w:hAnsi="Arial" w:cs="Arial"/>
                <w:sz w:val="20"/>
                <w:szCs w:val="20"/>
              </w:rPr>
              <w:t>Financial</w:t>
            </w:r>
            <w:proofErr w:type="spellEnd"/>
            <w:r w:rsidR="00765D8D" w:rsidRPr="00576180">
              <w:rPr>
                <w:rFonts w:ascii="Arial" w:hAnsi="Arial" w:cs="Arial"/>
                <w:sz w:val="20"/>
                <w:szCs w:val="20"/>
              </w:rPr>
              <w:t xml:space="preserve"> </w:t>
            </w:r>
            <w:proofErr w:type="spellStart"/>
            <w:r w:rsidR="00765D8D" w:rsidRPr="00576180">
              <w:rPr>
                <w:rFonts w:ascii="Arial" w:hAnsi="Arial" w:cs="Arial"/>
                <w:sz w:val="20"/>
                <w:szCs w:val="20"/>
              </w:rPr>
              <w:t>Accountability</w:t>
            </w:r>
            <w:proofErr w:type="spellEnd"/>
            <w:r w:rsidR="00765D8D" w:rsidRPr="00576180">
              <w:rPr>
                <w:rFonts w:ascii="Arial" w:hAnsi="Arial" w:cs="Arial"/>
                <w:sz w:val="20"/>
                <w:szCs w:val="20"/>
              </w:rPr>
              <w:t xml:space="preserve"> (P</w:t>
            </w:r>
            <w:r w:rsidR="00326C4D" w:rsidRPr="00576180">
              <w:rPr>
                <w:rFonts w:ascii="Arial" w:hAnsi="Arial" w:cs="Arial"/>
                <w:sz w:val="20"/>
                <w:szCs w:val="20"/>
              </w:rPr>
              <w:t>EFA</w:t>
            </w:r>
            <w:r w:rsidR="00041AF7" w:rsidRPr="00576180">
              <w:rPr>
                <w:rFonts w:ascii="Arial" w:hAnsi="Arial" w:cs="Arial"/>
                <w:sz w:val="20"/>
                <w:szCs w:val="20"/>
              </w:rPr>
              <w:t xml:space="preserve"> 2009</w:t>
            </w:r>
            <w:r w:rsidR="00326C4D" w:rsidRPr="00576180">
              <w:rPr>
                <w:rFonts w:ascii="Arial" w:hAnsi="Arial" w:cs="Arial"/>
                <w:sz w:val="20"/>
                <w:szCs w:val="20"/>
              </w:rPr>
              <w:t>)</w:t>
            </w:r>
          </w:p>
        </w:tc>
        <w:tc>
          <w:tcPr>
            <w:tcW w:w="2001" w:type="pct"/>
          </w:tcPr>
          <w:p w14:paraId="622785FB" w14:textId="594F38AB" w:rsidR="00326C4D" w:rsidRPr="00576180" w:rsidRDefault="00326C4D" w:rsidP="00BD229E">
            <w:pPr>
              <w:tabs>
                <w:tab w:val="left" w:pos="9000"/>
              </w:tabs>
              <w:jc w:val="both"/>
              <w:rPr>
                <w:rFonts w:ascii="Arial" w:hAnsi="Arial" w:cs="Arial"/>
                <w:sz w:val="20"/>
                <w:szCs w:val="20"/>
              </w:rPr>
            </w:pPr>
            <w:r w:rsidRPr="00576180">
              <w:rPr>
                <w:rFonts w:ascii="Arial" w:hAnsi="Arial" w:cs="Arial"/>
                <w:sz w:val="20"/>
                <w:szCs w:val="20"/>
              </w:rPr>
              <w:t xml:space="preserve">El indicador estuvo alineado con el </w:t>
            </w:r>
            <w:hyperlink r:id="rId18" w:history="1">
              <w:r w:rsidRPr="00576180">
                <w:rPr>
                  <w:rStyle w:val="Hyperlink"/>
                  <w:rFonts w:ascii="Arial" w:hAnsi="Arial" w:cs="Arial"/>
                  <w:sz w:val="20"/>
                  <w:szCs w:val="20"/>
                </w:rPr>
                <w:t xml:space="preserve">Plan </w:t>
              </w:r>
              <w:r w:rsidR="00DF6088" w:rsidRPr="00576180">
                <w:rPr>
                  <w:rStyle w:val="Hyperlink"/>
                  <w:rFonts w:ascii="Arial" w:hAnsi="Arial" w:cs="Arial"/>
                  <w:sz w:val="20"/>
                  <w:szCs w:val="20"/>
                </w:rPr>
                <w:t>E</w:t>
              </w:r>
              <w:r w:rsidRPr="00576180">
                <w:rPr>
                  <w:rStyle w:val="Hyperlink"/>
                  <w:rFonts w:ascii="Arial" w:hAnsi="Arial" w:cs="Arial"/>
                  <w:sz w:val="20"/>
                  <w:szCs w:val="20"/>
                </w:rPr>
                <w:t>stratégico de Desarrollo Nacional hacia 2021</w:t>
              </w:r>
            </w:hyperlink>
            <w:r w:rsidR="00DF6088" w:rsidRPr="00576180">
              <w:rPr>
                <w:rStyle w:val="Hyperlink"/>
                <w:rFonts w:ascii="Arial" w:hAnsi="Arial" w:cs="Arial"/>
                <w:sz w:val="20"/>
                <w:szCs w:val="20"/>
              </w:rPr>
              <w:t>,</w:t>
            </w:r>
            <w:r w:rsidR="00DF6088" w:rsidRPr="00576180">
              <w:rPr>
                <w:rStyle w:val="Hyperlink"/>
                <w:sz w:val="20"/>
                <w:szCs w:val="20"/>
              </w:rPr>
              <w:t xml:space="preserve"> </w:t>
            </w:r>
            <w:r w:rsidR="00DF6088" w:rsidRPr="00576180">
              <w:rPr>
                <w:rFonts w:ascii="Arial" w:hAnsi="Arial" w:cs="Arial"/>
                <w:sz w:val="20"/>
                <w:szCs w:val="20"/>
              </w:rPr>
              <w:t xml:space="preserve">el cual </w:t>
            </w:r>
            <w:r w:rsidRPr="00576180">
              <w:rPr>
                <w:rFonts w:ascii="Arial" w:hAnsi="Arial" w:cs="Arial"/>
                <w:sz w:val="20"/>
                <w:szCs w:val="20"/>
              </w:rPr>
              <w:t xml:space="preserve">en </w:t>
            </w:r>
            <w:r w:rsidR="00DF6088" w:rsidRPr="00576180">
              <w:rPr>
                <w:rFonts w:ascii="Arial" w:hAnsi="Arial" w:cs="Arial"/>
                <w:sz w:val="20"/>
                <w:szCs w:val="20"/>
              </w:rPr>
              <w:t>su tercer</w:t>
            </w:r>
            <w:r w:rsidRPr="00576180">
              <w:rPr>
                <w:rFonts w:ascii="Arial" w:hAnsi="Arial" w:cs="Arial"/>
                <w:sz w:val="20"/>
                <w:szCs w:val="20"/>
              </w:rPr>
              <w:t xml:space="preserve"> eje destaca la necesidad de desarrollar mecanismos que permitan consolidar la institucionalidad democrática, con transparencia</w:t>
            </w:r>
            <w:r w:rsidRPr="00576180">
              <w:rPr>
                <w:rFonts w:ascii="Arial" w:hAnsi="Arial" w:cs="Arial"/>
                <w:iCs/>
                <w:sz w:val="20"/>
                <w:szCs w:val="20"/>
              </w:rPr>
              <w:t>, rendición de cuentas y representatividad política, en los tres niveles de gobierno</w:t>
            </w:r>
            <w:r w:rsidR="00DF6088" w:rsidRPr="00576180">
              <w:rPr>
                <w:rFonts w:ascii="Arial" w:hAnsi="Arial" w:cs="Arial"/>
                <w:iCs/>
                <w:sz w:val="20"/>
                <w:szCs w:val="20"/>
              </w:rPr>
              <w:t xml:space="preserve"> (í</w:t>
            </w:r>
            <w:r w:rsidRPr="00576180">
              <w:rPr>
                <w:rFonts w:ascii="Arial" w:hAnsi="Arial" w:cs="Arial"/>
                <w:iCs/>
                <w:sz w:val="20"/>
                <w:szCs w:val="20"/>
              </w:rPr>
              <w:t xml:space="preserve">ndice de </w:t>
            </w:r>
            <w:r w:rsidR="00DF6088" w:rsidRPr="00576180">
              <w:rPr>
                <w:rFonts w:ascii="Arial" w:hAnsi="Arial" w:cs="Arial"/>
                <w:iCs/>
                <w:sz w:val="20"/>
                <w:szCs w:val="20"/>
              </w:rPr>
              <w:t>v</w:t>
            </w:r>
            <w:r w:rsidRPr="00576180">
              <w:rPr>
                <w:rFonts w:ascii="Arial" w:hAnsi="Arial" w:cs="Arial"/>
                <w:iCs/>
                <w:sz w:val="20"/>
                <w:szCs w:val="20"/>
              </w:rPr>
              <w:t>oz</w:t>
            </w:r>
            <w:r w:rsidR="00DF6088" w:rsidRPr="00576180">
              <w:rPr>
                <w:rFonts w:ascii="Arial" w:hAnsi="Arial" w:cs="Arial"/>
                <w:iCs/>
                <w:sz w:val="20"/>
                <w:szCs w:val="20"/>
              </w:rPr>
              <w:t xml:space="preserve"> y r</w:t>
            </w:r>
            <w:r w:rsidRPr="00576180">
              <w:rPr>
                <w:rFonts w:ascii="Arial" w:hAnsi="Arial" w:cs="Arial"/>
                <w:iCs/>
                <w:sz w:val="20"/>
                <w:szCs w:val="20"/>
              </w:rPr>
              <w:t>endición de cuentas</w:t>
            </w:r>
            <w:r w:rsidR="00DF6088" w:rsidRPr="00576180">
              <w:rPr>
                <w:rFonts w:ascii="Arial" w:hAnsi="Arial" w:cs="Arial"/>
                <w:iCs/>
                <w:sz w:val="20"/>
                <w:szCs w:val="20"/>
              </w:rPr>
              <w:t>)</w:t>
            </w:r>
            <w:r w:rsidRPr="00576180">
              <w:rPr>
                <w:rFonts w:ascii="Arial" w:hAnsi="Arial" w:cs="Arial"/>
                <w:iCs/>
                <w:sz w:val="20"/>
                <w:szCs w:val="20"/>
              </w:rPr>
              <w:t>.</w:t>
            </w:r>
          </w:p>
          <w:p w14:paraId="214BDCA1" w14:textId="77777777" w:rsidR="00326C4D" w:rsidRPr="00576180" w:rsidRDefault="00326C4D" w:rsidP="00BD229E">
            <w:pPr>
              <w:tabs>
                <w:tab w:val="left" w:pos="9000"/>
              </w:tabs>
              <w:jc w:val="both"/>
              <w:rPr>
                <w:rFonts w:ascii="Arial" w:hAnsi="Arial" w:cs="Arial"/>
                <w:sz w:val="20"/>
                <w:szCs w:val="20"/>
              </w:rPr>
            </w:pPr>
          </w:p>
        </w:tc>
        <w:tc>
          <w:tcPr>
            <w:tcW w:w="1858" w:type="pct"/>
            <w:vMerge w:val="restart"/>
          </w:tcPr>
          <w:p w14:paraId="765BDC49" w14:textId="24330AC8" w:rsidR="00326C4D" w:rsidRPr="00576180" w:rsidRDefault="00EE23DC" w:rsidP="00BD229E">
            <w:pPr>
              <w:tabs>
                <w:tab w:val="left" w:pos="9000"/>
              </w:tabs>
              <w:jc w:val="both"/>
              <w:rPr>
                <w:rFonts w:ascii="Arial" w:hAnsi="Arial" w:cs="Arial"/>
                <w:sz w:val="20"/>
                <w:szCs w:val="20"/>
              </w:rPr>
            </w:pPr>
            <w:r>
              <w:rPr>
                <w:rFonts w:ascii="Arial" w:hAnsi="Arial" w:cs="Arial"/>
                <w:sz w:val="20"/>
                <w:szCs w:val="20"/>
              </w:rPr>
              <w:t>6</w:t>
            </w:r>
            <w:r w:rsidR="00326C4D" w:rsidRPr="00576180">
              <w:rPr>
                <w:rFonts w:ascii="Arial" w:hAnsi="Arial" w:cs="Arial"/>
                <w:sz w:val="20"/>
                <w:szCs w:val="20"/>
              </w:rPr>
              <w:t xml:space="preserve"> productos del componente I </w:t>
            </w:r>
            <w:r w:rsidR="00E3041E" w:rsidRPr="00576180">
              <w:rPr>
                <w:rFonts w:ascii="Arial" w:hAnsi="Arial" w:cs="Arial"/>
                <w:sz w:val="20"/>
                <w:szCs w:val="20"/>
              </w:rPr>
              <w:t>contribuye</w:t>
            </w:r>
            <w:r w:rsidR="00E3041E">
              <w:rPr>
                <w:rFonts w:ascii="Arial" w:hAnsi="Arial" w:cs="Arial"/>
                <w:sz w:val="20"/>
                <w:szCs w:val="20"/>
              </w:rPr>
              <w:t>ron</w:t>
            </w:r>
            <w:r w:rsidR="00E3041E" w:rsidRPr="00576180">
              <w:rPr>
                <w:rFonts w:ascii="Arial" w:hAnsi="Arial" w:cs="Arial"/>
                <w:sz w:val="20"/>
                <w:szCs w:val="20"/>
              </w:rPr>
              <w:t xml:space="preserve"> </w:t>
            </w:r>
            <w:r w:rsidR="00326C4D" w:rsidRPr="00576180">
              <w:rPr>
                <w:rFonts w:ascii="Arial" w:hAnsi="Arial" w:cs="Arial"/>
                <w:sz w:val="20"/>
                <w:szCs w:val="20"/>
              </w:rPr>
              <w:t xml:space="preserve">al </w:t>
            </w:r>
            <w:r w:rsidR="00B457BA">
              <w:rPr>
                <w:rFonts w:ascii="Arial" w:hAnsi="Arial" w:cs="Arial"/>
                <w:sz w:val="20"/>
                <w:szCs w:val="20"/>
              </w:rPr>
              <w:t>logro</w:t>
            </w:r>
            <w:r w:rsidR="00326C4D" w:rsidRPr="00576180">
              <w:rPr>
                <w:rFonts w:ascii="Arial" w:hAnsi="Arial" w:cs="Arial"/>
                <w:sz w:val="20"/>
                <w:szCs w:val="20"/>
              </w:rPr>
              <w:t xml:space="preserve"> de </w:t>
            </w:r>
            <w:r w:rsidR="00B457BA">
              <w:rPr>
                <w:rFonts w:ascii="Arial" w:hAnsi="Arial" w:cs="Arial"/>
                <w:sz w:val="20"/>
                <w:szCs w:val="20"/>
              </w:rPr>
              <w:t>estos</w:t>
            </w:r>
            <w:r w:rsidR="00326C4D" w:rsidRPr="00576180">
              <w:rPr>
                <w:rFonts w:ascii="Arial" w:hAnsi="Arial" w:cs="Arial"/>
                <w:sz w:val="20"/>
                <w:szCs w:val="20"/>
              </w:rPr>
              <w:t xml:space="preserve"> resultados y a </w:t>
            </w:r>
            <w:r w:rsidR="00B457BA">
              <w:rPr>
                <w:rFonts w:ascii="Arial" w:hAnsi="Arial" w:cs="Arial"/>
                <w:sz w:val="20"/>
                <w:szCs w:val="20"/>
              </w:rPr>
              <w:t>sus</w:t>
            </w:r>
            <w:r w:rsidR="00326C4D" w:rsidRPr="00576180">
              <w:rPr>
                <w:rFonts w:ascii="Arial" w:hAnsi="Arial" w:cs="Arial"/>
                <w:sz w:val="20"/>
                <w:szCs w:val="20"/>
              </w:rPr>
              <w:t xml:space="preserve"> políticas correspondientes.</w:t>
            </w:r>
            <w:r w:rsidR="00265E8F" w:rsidRPr="00576180">
              <w:rPr>
                <w:rFonts w:ascii="Arial" w:hAnsi="Arial" w:cs="Arial"/>
                <w:sz w:val="20"/>
                <w:szCs w:val="20"/>
              </w:rPr>
              <w:t xml:space="preserve"> Estos productos son</w:t>
            </w:r>
            <w:r>
              <w:rPr>
                <w:rFonts w:ascii="Arial" w:hAnsi="Arial" w:cs="Arial"/>
                <w:sz w:val="20"/>
                <w:szCs w:val="20"/>
              </w:rPr>
              <w:t xml:space="preserve"> (</w:t>
            </w:r>
            <w:r w:rsidR="00E3041E">
              <w:rPr>
                <w:rFonts w:ascii="Arial" w:hAnsi="Arial" w:cs="Arial"/>
                <w:sz w:val="20"/>
                <w:szCs w:val="20"/>
              </w:rPr>
              <w:t>Gráfico</w:t>
            </w:r>
            <w:r>
              <w:rPr>
                <w:rFonts w:ascii="Arial" w:hAnsi="Arial" w:cs="Arial"/>
                <w:sz w:val="20"/>
                <w:szCs w:val="20"/>
              </w:rPr>
              <w:t xml:space="preserve"> 1)</w:t>
            </w:r>
            <w:r w:rsidR="00265E8F" w:rsidRPr="00576180">
              <w:rPr>
                <w:rFonts w:ascii="Arial" w:hAnsi="Arial" w:cs="Arial"/>
                <w:sz w:val="20"/>
                <w:szCs w:val="20"/>
              </w:rPr>
              <w:t>:</w:t>
            </w:r>
            <w:r w:rsidR="00326C4D" w:rsidRPr="00576180">
              <w:rPr>
                <w:rFonts w:ascii="Arial" w:hAnsi="Arial" w:cs="Arial"/>
                <w:sz w:val="20"/>
                <w:szCs w:val="20"/>
              </w:rPr>
              <w:t xml:space="preserve"> (</w:t>
            </w:r>
            <w:r>
              <w:rPr>
                <w:rFonts w:ascii="Arial" w:hAnsi="Arial" w:cs="Arial"/>
                <w:sz w:val="20"/>
                <w:szCs w:val="20"/>
              </w:rPr>
              <w:t>P1.1</w:t>
            </w:r>
            <w:r w:rsidR="00326C4D" w:rsidRPr="00576180">
              <w:rPr>
                <w:rFonts w:ascii="Arial" w:hAnsi="Arial" w:cs="Arial"/>
                <w:sz w:val="20"/>
                <w:szCs w:val="20"/>
              </w:rPr>
              <w:t xml:space="preserve">) </w:t>
            </w:r>
            <w:r w:rsidR="00DF6088" w:rsidRPr="00576180">
              <w:rPr>
                <w:rFonts w:ascii="Arial" w:hAnsi="Arial" w:cs="Arial"/>
                <w:sz w:val="20"/>
                <w:szCs w:val="20"/>
              </w:rPr>
              <w:t>i</w:t>
            </w:r>
            <w:r w:rsidR="00326C4D" w:rsidRPr="00576180">
              <w:rPr>
                <w:rFonts w:ascii="Arial" w:hAnsi="Arial" w:cs="Arial"/>
                <w:sz w:val="20"/>
                <w:szCs w:val="20"/>
              </w:rPr>
              <w:t>nformatización</w:t>
            </w:r>
            <w:r w:rsidR="00984274" w:rsidRPr="00576180">
              <w:rPr>
                <w:rFonts w:ascii="Arial" w:hAnsi="Arial" w:cs="Arial"/>
                <w:sz w:val="20"/>
                <w:szCs w:val="20"/>
              </w:rPr>
              <w:t xml:space="preserve"> e implementación</w:t>
            </w:r>
            <w:r w:rsidR="00326C4D" w:rsidRPr="00576180">
              <w:rPr>
                <w:rFonts w:ascii="Arial" w:hAnsi="Arial" w:cs="Arial"/>
                <w:sz w:val="20"/>
                <w:szCs w:val="20"/>
              </w:rPr>
              <w:t xml:space="preserve"> del </w:t>
            </w:r>
            <w:r w:rsidR="00DF6088" w:rsidRPr="00576180">
              <w:rPr>
                <w:rFonts w:ascii="Arial" w:hAnsi="Arial" w:cs="Arial"/>
                <w:sz w:val="20"/>
                <w:szCs w:val="20"/>
              </w:rPr>
              <w:t>m</w:t>
            </w:r>
            <w:r w:rsidR="00326C4D" w:rsidRPr="00576180">
              <w:rPr>
                <w:rFonts w:ascii="Arial" w:hAnsi="Arial" w:cs="Arial"/>
                <w:sz w:val="20"/>
                <w:szCs w:val="20"/>
              </w:rPr>
              <w:t xml:space="preserve">acroproceso de </w:t>
            </w:r>
            <w:r w:rsidR="00DF6088" w:rsidRPr="00576180">
              <w:rPr>
                <w:rFonts w:ascii="Arial" w:hAnsi="Arial" w:cs="Arial"/>
                <w:sz w:val="20"/>
                <w:szCs w:val="20"/>
              </w:rPr>
              <w:t>p</w:t>
            </w:r>
            <w:r w:rsidR="00326C4D" w:rsidRPr="00576180">
              <w:rPr>
                <w:rFonts w:ascii="Arial" w:hAnsi="Arial" w:cs="Arial"/>
                <w:sz w:val="20"/>
                <w:szCs w:val="20"/>
              </w:rPr>
              <w:t xml:space="preserve">rogramación </w:t>
            </w:r>
            <w:r w:rsidR="00DF6088" w:rsidRPr="00576180">
              <w:rPr>
                <w:rFonts w:ascii="Arial" w:hAnsi="Arial" w:cs="Arial"/>
                <w:sz w:val="20"/>
                <w:szCs w:val="20"/>
              </w:rPr>
              <w:t>p</w:t>
            </w:r>
            <w:r w:rsidR="00326C4D" w:rsidRPr="00576180">
              <w:rPr>
                <w:rFonts w:ascii="Arial" w:hAnsi="Arial" w:cs="Arial"/>
                <w:sz w:val="20"/>
                <w:szCs w:val="20"/>
              </w:rPr>
              <w:t xml:space="preserve">resupuestaria; </w:t>
            </w:r>
            <w:r w:rsidR="00A304EF" w:rsidRPr="00576180">
              <w:rPr>
                <w:rFonts w:ascii="Arial" w:hAnsi="Arial" w:cs="Arial"/>
                <w:sz w:val="20"/>
                <w:szCs w:val="20"/>
              </w:rPr>
              <w:t>(</w:t>
            </w:r>
            <w:r>
              <w:rPr>
                <w:rFonts w:ascii="Arial" w:hAnsi="Arial" w:cs="Arial"/>
                <w:sz w:val="20"/>
                <w:szCs w:val="20"/>
              </w:rPr>
              <w:t>P1.3, P1.4 y P1.5</w:t>
            </w:r>
            <w:r w:rsidR="00A304EF" w:rsidRPr="00576180">
              <w:rPr>
                <w:rFonts w:ascii="Arial" w:hAnsi="Arial" w:cs="Arial"/>
                <w:sz w:val="20"/>
                <w:szCs w:val="20"/>
              </w:rPr>
              <w:t xml:space="preserve">) </w:t>
            </w:r>
            <w:r w:rsidR="00DF6088" w:rsidRPr="00576180">
              <w:rPr>
                <w:rFonts w:ascii="Arial" w:hAnsi="Arial" w:cs="Arial"/>
                <w:sz w:val="20"/>
                <w:szCs w:val="20"/>
              </w:rPr>
              <w:t>i</w:t>
            </w:r>
            <w:r w:rsidR="00326C4D" w:rsidRPr="00576180">
              <w:rPr>
                <w:rFonts w:ascii="Arial" w:hAnsi="Arial" w:cs="Arial"/>
                <w:sz w:val="20"/>
                <w:szCs w:val="20"/>
              </w:rPr>
              <w:t>nfraestructura informática para la implantación y operación del nuevo SIAF</w:t>
            </w:r>
            <w:r w:rsidR="00A304EF" w:rsidRPr="00576180">
              <w:rPr>
                <w:rFonts w:ascii="Arial" w:hAnsi="Arial" w:cs="Arial"/>
                <w:sz w:val="20"/>
                <w:szCs w:val="20"/>
              </w:rPr>
              <w:t>; (</w:t>
            </w:r>
            <w:r>
              <w:rPr>
                <w:rFonts w:ascii="Arial" w:hAnsi="Arial" w:cs="Arial"/>
                <w:sz w:val="20"/>
                <w:szCs w:val="20"/>
              </w:rPr>
              <w:t>P1.6</w:t>
            </w:r>
            <w:r w:rsidR="00A304EF" w:rsidRPr="00576180">
              <w:rPr>
                <w:rFonts w:ascii="Arial" w:hAnsi="Arial" w:cs="Arial"/>
                <w:sz w:val="20"/>
                <w:szCs w:val="20"/>
              </w:rPr>
              <w:t>) plataforma de e-learning; y (</w:t>
            </w:r>
            <w:r>
              <w:rPr>
                <w:rFonts w:ascii="Arial" w:hAnsi="Arial" w:cs="Arial"/>
                <w:sz w:val="20"/>
                <w:szCs w:val="20"/>
              </w:rPr>
              <w:t>P1.7</w:t>
            </w:r>
            <w:r w:rsidR="00A304EF" w:rsidRPr="00576180">
              <w:rPr>
                <w:rFonts w:ascii="Arial" w:hAnsi="Arial" w:cs="Arial"/>
                <w:sz w:val="20"/>
                <w:szCs w:val="20"/>
              </w:rPr>
              <w:t>)</w:t>
            </w:r>
            <w:r w:rsidR="00984274" w:rsidRPr="00576180">
              <w:rPr>
                <w:rFonts w:ascii="Arial" w:hAnsi="Arial" w:cs="Arial"/>
                <w:sz w:val="20"/>
                <w:szCs w:val="20"/>
              </w:rPr>
              <w:t xml:space="preserve"> metodologías en CMMI y PMMI implementadas.</w:t>
            </w:r>
          </w:p>
        </w:tc>
      </w:tr>
      <w:tr w:rsidR="00326C4D" w:rsidRPr="00576180" w14:paraId="6926DB61" w14:textId="77777777" w:rsidTr="00957319">
        <w:tc>
          <w:tcPr>
            <w:tcW w:w="1142" w:type="pct"/>
          </w:tcPr>
          <w:p w14:paraId="60D8FB7A" w14:textId="4348D630" w:rsidR="00326C4D" w:rsidRPr="00576180" w:rsidRDefault="00CC793A" w:rsidP="00BD229E">
            <w:pPr>
              <w:tabs>
                <w:tab w:val="left" w:pos="9000"/>
              </w:tabs>
              <w:jc w:val="both"/>
              <w:rPr>
                <w:rFonts w:ascii="Arial" w:hAnsi="Arial" w:cs="Arial"/>
                <w:sz w:val="20"/>
                <w:szCs w:val="20"/>
              </w:rPr>
            </w:pPr>
            <w:r w:rsidRPr="00576180">
              <w:rPr>
                <w:rFonts w:ascii="Arial" w:hAnsi="Arial" w:cs="Arial"/>
                <w:sz w:val="20"/>
                <w:szCs w:val="20"/>
              </w:rPr>
              <w:t xml:space="preserve">1.2 </w:t>
            </w:r>
            <w:r w:rsidR="00041AF7" w:rsidRPr="00576180">
              <w:rPr>
                <w:rFonts w:ascii="Arial" w:hAnsi="Arial" w:cs="Arial"/>
                <w:sz w:val="20"/>
                <w:szCs w:val="20"/>
              </w:rPr>
              <w:t>I</w:t>
            </w:r>
            <w:r w:rsidR="00326C4D" w:rsidRPr="00576180">
              <w:rPr>
                <w:rFonts w:ascii="Arial" w:hAnsi="Arial" w:cs="Arial"/>
                <w:sz w:val="20"/>
                <w:szCs w:val="20"/>
              </w:rPr>
              <w:t>ncrementar la disponibilidad de información sobre los recursos recibidos por las unidades de prestación de servicios (</w:t>
            </w:r>
            <w:r w:rsidR="00041AF7" w:rsidRPr="00576180">
              <w:rPr>
                <w:rFonts w:ascii="Arial" w:hAnsi="Arial" w:cs="Arial"/>
                <w:sz w:val="20"/>
                <w:szCs w:val="20"/>
              </w:rPr>
              <w:t>i</w:t>
            </w:r>
            <w:r w:rsidR="00326C4D" w:rsidRPr="00576180">
              <w:rPr>
                <w:rFonts w:ascii="Arial" w:hAnsi="Arial" w:cs="Arial"/>
                <w:sz w:val="20"/>
                <w:szCs w:val="20"/>
              </w:rPr>
              <w:t>ndicador 23 del PEFA</w:t>
            </w:r>
            <w:r w:rsidR="00041AF7" w:rsidRPr="00576180">
              <w:rPr>
                <w:rFonts w:ascii="Arial" w:hAnsi="Arial" w:cs="Arial"/>
                <w:sz w:val="20"/>
                <w:szCs w:val="20"/>
              </w:rPr>
              <w:t xml:space="preserve"> 2009</w:t>
            </w:r>
            <w:r w:rsidR="00326C4D" w:rsidRPr="00576180">
              <w:rPr>
                <w:rFonts w:ascii="Arial" w:hAnsi="Arial" w:cs="Arial"/>
                <w:sz w:val="20"/>
                <w:szCs w:val="20"/>
              </w:rPr>
              <w:t>)</w:t>
            </w:r>
          </w:p>
        </w:tc>
        <w:tc>
          <w:tcPr>
            <w:tcW w:w="2001" w:type="pct"/>
          </w:tcPr>
          <w:p w14:paraId="7F346011" w14:textId="41D2AA3B" w:rsidR="00326C4D" w:rsidRPr="00576180" w:rsidRDefault="00326C4D" w:rsidP="00BD229E">
            <w:pPr>
              <w:tabs>
                <w:tab w:val="left" w:pos="9000"/>
              </w:tabs>
              <w:jc w:val="both"/>
              <w:rPr>
                <w:rFonts w:ascii="Arial" w:hAnsi="Arial" w:cs="Arial"/>
                <w:sz w:val="20"/>
                <w:szCs w:val="20"/>
              </w:rPr>
            </w:pPr>
            <w:r w:rsidRPr="00576180">
              <w:rPr>
                <w:rFonts w:ascii="Arial" w:hAnsi="Arial" w:cs="Arial"/>
                <w:sz w:val="20"/>
                <w:szCs w:val="20"/>
              </w:rPr>
              <w:t>El indicador estuvo alineado con</w:t>
            </w:r>
            <w:r w:rsidR="00E165F0">
              <w:rPr>
                <w:rFonts w:ascii="Arial" w:hAnsi="Arial" w:cs="Arial"/>
                <w:sz w:val="20"/>
                <w:szCs w:val="20"/>
              </w:rPr>
              <w:t xml:space="preserve"> el</w:t>
            </w:r>
            <w:r w:rsidRPr="00576180">
              <w:rPr>
                <w:rFonts w:ascii="Arial" w:hAnsi="Arial" w:cs="Arial"/>
                <w:sz w:val="20"/>
                <w:szCs w:val="20"/>
              </w:rPr>
              <w:t xml:space="preserve"> </w:t>
            </w:r>
            <w:r w:rsidRPr="00576180">
              <w:rPr>
                <w:rStyle w:val="Hyperlink"/>
                <w:rFonts w:ascii="Arial" w:hAnsi="Arial" w:cs="Arial"/>
                <w:sz w:val="20"/>
                <w:szCs w:val="20"/>
              </w:rPr>
              <w:t xml:space="preserve">Plan Estratégico Institucional 2017-2019 del </w:t>
            </w:r>
            <w:r w:rsidR="00A216C4" w:rsidRPr="00576180">
              <w:rPr>
                <w:rStyle w:val="Hyperlink"/>
                <w:rFonts w:ascii="Arial" w:hAnsi="Arial" w:cs="Arial"/>
                <w:sz w:val="20"/>
                <w:szCs w:val="20"/>
              </w:rPr>
              <w:t>MEF</w:t>
            </w:r>
            <w:r w:rsidRPr="00576180">
              <w:rPr>
                <w:rFonts w:ascii="Arial" w:hAnsi="Arial" w:cs="Arial"/>
                <w:sz w:val="20"/>
                <w:szCs w:val="20"/>
              </w:rPr>
              <w:t xml:space="preserve"> en su objetivo específico </w:t>
            </w:r>
            <w:r w:rsidR="00A216C4" w:rsidRPr="00576180">
              <w:rPr>
                <w:rFonts w:ascii="Arial" w:hAnsi="Arial" w:cs="Arial"/>
                <w:sz w:val="20"/>
                <w:szCs w:val="20"/>
              </w:rPr>
              <w:t xml:space="preserve">de mejorar </w:t>
            </w:r>
            <w:r w:rsidRPr="00576180">
              <w:rPr>
                <w:rFonts w:ascii="Arial" w:hAnsi="Arial" w:cs="Arial"/>
                <w:sz w:val="20"/>
                <w:szCs w:val="20"/>
              </w:rPr>
              <w:t>el desempeño del gasto público, especialmente en la acción 5.2</w:t>
            </w:r>
            <w:r w:rsidR="00A216C4" w:rsidRPr="00576180">
              <w:rPr>
                <w:rFonts w:ascii="Arial" w:hAnsi="Arial" w:cs="Arial"/>
                <w:sz w:val="20"/>
                <w:szCs w:val="20"/>
              </w:rPr>
              <w:t xml:space="preserve"> de</w:t>
            </w:r>
            <w:r w:rsidRPr="00576180">
              <w:rPr>
                <w:rFonts w:ascii="Arial" w:hAnsi="Arial" w:cs="Arial"/>
                <w:sz w:val="20"/>
                <w:szCs w:val="20"/>
              </w:rPr>
              <w:t xml:space="preserve"> promover la transparencia y rendición de cuentas, impidiendo la corrupción y distorsiones en el uso de</w:t>
            </w:r>
            <w:r w:rsidR="00A216C4" w:rsidRPr="00576180">
              <w:rPr>
                <w:rFonts w:ascii="Arial" w:hAnsi="Arial" w:cs="Arial"/>
                <w:sz w:val="20"/>
                <w:szCs w:val="20"/>
              </w:rPr>
              <w:t xml:space="preserve"> los</w:t>
            </w:r>
            <w:r w:rsidRPr="00576180">
              <w:rPr>
                <w:rFonts w:ascii="Arial" w:hAnsi="Arial" w:cs="Arial"/>
                <w:sz w:val="20"/>
                <w:szCs w:val="20"/>
              </w:rPr>
              <w:t xml:space="preserve"> recursos públicos. </w:t>
            </w:r>
          </w:p>
        </w:tc>
        <w:tc>
          <w:tcPr>
            <w:tcW w:w="1858" w:type="pct"/>
            <w:vMerge/>
          </w:tcPr>
          <w:p w14:paraId="175669D5" w14:textId="77777777" w:rsidR="00326C4D" w:rsidRPr="00576180" w:rsidRDefault="00326C4D" w:rsidP="00BD229E">
            <w:pPr>
              <w:tabs>
                <w:tab w:val="left" w:pos="9000"/>
              </w:tabs>
              <w:jc w:val="both"/>
              <w:rPr>
                <w:rFonts w:ascii="Arial" w:hAnsi="Arial" w:cs="Arial"/>
                <w:sz w:val="20"/>
                <w:szCs w:val="20"/>
              </w:rPr>
            </w:pPr>
          </w:p>
        </w:tc>
      </w:tr>
      <w:tr w:rsidR="00326C4D" w:rsidRPr="00576180" w14:paraId="23EF7B5C" w14:textId="77777777" w:rsidTr="00957319">
        <w:trPr>
          <w:trHeight w:val="179"/>
        </w:trPr>
        <w:tc>
          <w:tcPr>
            <w:tcW w:w="1142" w:type="pct"/>
          </w:tcPr>
          <w:p w14:paraId="12BB11A0" w14:textId="0C2BE124" w:rsidR="00326C4D" w:rsidRPr="00576180" w:rsidRDefault="00CC793A" w:rsidP="00BD229E">
            <w:pPr>
              <w:tabs>
                <w:tab w:val="left" w:pos="9000"/>
              </w:tabs>
              <w:jc w:val="both"/>
              <w:rPr>
                <w:rFonts w:ascii="Arial" w:hAnsi="Arial" w:cs="Arial"/>
                <w:sz w:val="20"/>
                <w:szCs w:val="20"/>
              </w:rPr>
            </w:pPr>
            <w:r w:rsidRPr="00576180">
              <w:rPr>
                <w:rFonts w:ascii="Arial" w:hAnsi="Arial" w:cs="Arial"/>
                <w:sz w:val="20"/>
                <w:szCs w:val="20"/>
              </w:rPr>
              <w:t xml:space="preserve">1.3 </w:t>
            </w:r>
            <w:r w:rsidR="00041AF7" w:rsidRPr="00576180">
              <w:rPr>
                <w:rFonts w:ascii="Arial" w:hAnsi="Arial" w:cs="Arial"/>
                <w:sz w:val="20"/>
                <w:szCs w:val="20"/>
              </w:rPr>
              <w:t>Disminuir</w:t>
            </w:r>
            <w:r w:rsidR="00326C4D" w:rsidRPr="00576180">
              <w:rPr>
                <w:rFonts w:ascii="Arial" w:hAnsi="Arial" w:cs="Arial"/>
                <w:sz w:val="20"/>
                <w:szCs w:val="20"/>
              </w:rPr>
              <w:t xml:space="preserve"> la gestión del saldo y seguimiento de los atrasos de pagos (</w:t>
            </w:r>
            <w:r w:rsidR="00041AF7" w:rsidRPr="00576180">
              <w:rPr>
                <w:rFonts w:ascii="Arial" w:hAnsi="Arial" w:cs="Arial"/>
                <w:sz w:val="20"/>
                <w:szCs w:val="20"/>
              </w:rPr>
              <w:t>i</w:t>
            </w:r>
            <w:r w:rsidR="00326C4D" w:rsidRPr="00576180">
              <w:rPr>
                <w:rFonts w:ascii="Arial" w:hAnsi="Arial" w:cs="Arial"/>
                <w:sz w:val="20"/>
                <w:szCs w:val="20"/>
              </w:rPr>
              <w:t>ndicador 4 del PEFA</w:t>
            </w:r>
            <w:r w:rsidR="00041AF7" w:rsidRPr="00576180">
              <w:rPr>
                <w:rFonts w:ascii="Arial" w:hAnsi="Arial" w:cs="Arial"/>
                <w:sz w:val="20"/>
                <w:szCs w:val="20"/>
              </w:rPr>
              <w:t xml:space="preserve"> 2009</w:t>
            </w:r>
            <w:r w:rsidR="00326C4D" w:rsidRPr="00576180">
              <w:rPr>
                <w:rFonts w:ascii="Arial" w:hAnsi="Arial" w:cs="Arial"/>
                <w:sz w:val="20"/>
                <w:szCs w:val="20"/>
              </w:rPr>
              <w:t>)</w:t>
            </w:r>
          </w:p>
        </w:tc>
        <w:tc>
          <w:tcPr>
            <w:tcW w:w="2001" w:type="pct"/>
          </w:tcPr>
          <w:p w14:paraId="2D9FE47E" w14:textId="0FDF5AF0" w:rsidR="00326C4D" w:rsidRPr="00576180" w:rsidRDefault="00326C4D" w:rsidP="00BD229E">
            <w:pPr>
              <w:tabs>
                <w:tab w:val="left" w:pos="9000"/>
              </w:tabs>
              <w:jc w:val="both"/>
              <w:rPr>
                <w:rFonts w:ascii="Arial" w:hAnsi="Arial" w:cs="Arial"/>
                <w:sz w:val="20"/>
                <w:szCs w:val="20"/>
              </w:rPr>
            </w:pPr>
            <w:r w:rsidRPr="00576180">
              <w:rPr>
                <w:rFonts w:ascii="Arial" w:hAnsi="Arial" w:cs="Arial"/>
                <w:sz w:val="20"/>
                <w:szCs w:val="20"/>
              </w:rPr>
              <w:t>El indicador estuvo alineado con</w:t>
            </w:r>
            <w:r w:rsidR="00A216C4" w:rsidRPr="00576180">
              <w:rPr>
                <w:rFonts w:ascii="Arial" w:hAnsi="Arial" w:cs="Arial"/>
                <w:sz w:val="20"/>
                <w:szCs w:val="20"/>
              </w:rPr>
              <w:t xml:space="preserve"> el</w:t>
            </w:r>
            <w:r w:rsidRPr="00576180">
              <w:rPr>
                <w:rFonts w:ascii="Arial" w:hAnsi="Arial" w:cs="Arial"/>
                <w:sz w:val="20"/>
                <w:szCs w:val="20"/>
              </w:rPr>
              <w:t xml:space="preserve"> </w:t>
            </w:r>
            <w:r w:rsidRPr="00576180">
              <w:rPr>
                <w:rStyle w:val="Hyperlink"/>
                <w:rFonts w:ascii="Arial" w:hAnsi="Arial" w:cs="Arial"/>
                <w:sz w:val="20"/>
                <w:szCs w:val="20"/>
              </w:rPr>
              <w:t xml:space="preserve">Plan Estratégico Institucional 2017-2019 del </w:t>
            </w:r>
            <w:r w:rsidR="00A216C4" w:rsidRPr="00576180">
              <w:rPr>
                <w:rStyle w:val="Hyperlink"/>
                <w:rFonts w:ascii="Arial" w:hAnsi="Arial" w:cs="Arial"/>
                <w:sz w:val="20"/>
                <w:szCs w:val="20"/>
              </w:rPr>
              <w:t>MEF</w:t>
            </w:r>
            <w:r w:rsidRPr="00576180">
              <w:rPr>
                <w:rFonts w:ascii="Arial" w:hAnsi="Arial" w:cs="Arial"/>
                <w:sz w:val="20"/>
                <w:szCs w:val="20"/>
              </w:rPr>
              <w:t xml:space="preserve"> en su objetivo específico</w:t>
            </w:r>
            <w:r w:rsidR="00A216C4" w:rsidRPr="00576180">
              <w:rPr>
                <w:rFonts w:ascii="Arial" w:hAnsi="Arial" w:cs="Arial"/>
                <w:sz w:val="20"/>
                <w:szCs w:val="20"/>
              </w:rPr>
              <w:t xml:space="preserve"> de mejorar </w:t>
            </w:r>
            <w:r w:rsidRPr="00576180">
              <w:rPr>
                <w:rFonts w:ascii="Arial" w:hAnsi="Arial" w:cs="Arial"/>
                <w:sz w:val="20"/>
                <w:szCs w:val="20"/>
              </w:rPr>
              <w:t>el desempeño del gasto público, especialmente en la acción 5.3</w:t>
            </w:r>
            <w:r w:rsidR="00A216C4" w:rsidRPr="00576180">
              <w:rPr>
                <w:rFonts w:ascii="Arial" w:hAnsi="Arial" w:cs="Arial"/>
                <w:sz w:val="20"/>
                <w:szCs w:val="20"/>
              </w:rPr>
              <w:t xml:space="preserve"> de</w:t>
            </w:r>
            <w:r w:rsidRPr="00576180">
              <w:rPr>
                <w:rFonts w:ascii="Arial" w:hAnsi="Arial" w:cs="Arial"/>
                <w:sz w:val="20"/>
                <w:szCs w:val="20"/>
              </w:rPr>
              <w:t xml:space="preserve"> impulsar la predictibilidad de las transferencias intergubernamentales sobre la base de criterios de asignación.</w:t>
            </w:r>
          </w:p>
        </w:tc>
        <w:tc>
          <w:tcPr>
            <w:tcW w:w="1858" w:type="pct"/>
            <w:vMerge/>
          </w:tcPr>
          <w:p w14:paraId="6A0D868B" w14:textId="77777777" w:rsidR="00326C4D" w:rsidRPr="00576180" w:rsidRDefault="00326C4D" w:rsidP="00BD229E">
            <w:pPr>
              <w:tabs>
                <w:tab w:val="left" w:pos="9000"/>
              </w:tabs>
              <w:jc w:val="both"/>
              <w:rPr>
                <w:rFonts w:ascii="Arial" w:hAnsi="Arial" w:cs="Arial"/>
                <w:sz w:val="20"/>
                <w:szCs w:val="20"/>
              </w:rPr>
            </w:pPr>
          </w:p>
        </w:tc>
      </w:tr>
      <w:tr w:rsidR="00F01E6D" w:rsidRPr="00576180" w14:paraId="42C195AC" w14:textId="77777777" w:rsidTr="00957319">
        <w:trPr>
          <w:trHeight w:val="62"/>
        </w:trPr>
        <w:tc>
          <w:tcPr>
            <w:tcW w:w="1142" w:type="pct"/>
          </w:tcPr>
          <w:p w14:paraId="355C2B60" w14:textId="20AB5AF9" w:rsidR="00F01E6D" w:rsidRPr="00576180" w:rsidRDefault="00CC793A" w:rsidP="00BD229E">
            <w:pPr>
              <w:tabs>
                <w:tab w:val="left" w:pos="9000"/>
              </w:tabs>
              <w:jc w:val="both"/>
              <w:rPr>
                <w:rFonts w:ascii="Arial" w:hAnsi="Arial" w:cs="Arial"/>
                <w:sz w:val="20"/>
                <w:szCs w:val="20"/>
              </w:rPr>
            </w:pPr>
            <w:r w:rsidRPr="00576180">
              <w:rPr>
                <w:rFonts w:ascii="Arial" w:hAnsi="Arial" w:cs="Arial"/>
                <w:sz w:val="20"/>
                <w:szCs w:val="20"/>
              </w:rPr>
              <w:t xml:space="preserve">2.1 </w:t>
            </w:r>
            <w:r w:rsidR="00041AF7" w:rsidRPr="00576180">
              <w:rPr>
                <w:rFonts w:ascii="Arial" w:hAnsi="Arial" w:cs="Arial"/>
                <w:sz w:val="20"/>
                <w:szCs w:val="20"/>
              </w:rPr>
              <w:t>Aumentar</w:t>
            </w:r>
            <w:r w:rsidR="00821ECA" w:rsidRPr="00576180">
              <w:rPr>
                <w:rFonts w:ascii="Arial" w:hAnsi="Arial" w:cs="Arial"/>
                <w:sz w:val="20"/>
                <w:szCs w:val="20"/>
              </w:rPr>
              <w:t xml:space="preserve"> los ahorros en costos de soporte para la operación del SIAF</w:t>
            </w:r>
          </w:p>
        </w:tc>
        <w:tc>
          <w:tcPr>
            <w:tcW w:w="2001" w:type="pct"/>
          </w:tcPr>
          <w:p w14:paraId="2BF8C922" w14:textId="5531516E" w:rsidR="00F01E6D" w:rsidRPr="00576180" w:rsidRDefault="00326C4D" w:rsidP="00BD229E">
            <w:pPr>
              <w:tabs>
                <w:tab w:val="left" w:pos="9000"/>
              </w:tabs>
              <w:jc w:val="both"/>
              <w:rPr>
                <w:rFonts w:ascii="Arial" w:hAnsi="Arial" w:cs="Arial"/>
                <w:sz w:val="20"/>
                <w:szCs w:val="20"/>
              </w:rPr>
            </w:pPr>
            <w:r w:rsidRPr="00576180">
              <w:rPr>
                <w:rFonts w:ascii="Arial" w:hAnsi="Arial" w:cs="Arial"/>
                <w:sz w:val="20"/>
                <w:szCs w:val="20"/>
              </w:rPr>
              <w:t xml:space="preserve">El indicador estuvo alineado con </w:t>
            </w:r>
            <w:r w:rsidRPr="00576180">
              <w:rPr>
                <w:rStyle w:val="Hyperlink"/>
                <w:rFonts w:ascii="Arial" w:hAnsi="Arial" w:cs="Arial"/>
                <w:sz w:val="20"/>
                <w:szCs w:val="20"/>
              </w:rPr>
              <w:t xml:space="preserve">Plan Estratégico Institucional 2017-2019 del </w:t>
            </w:r>
            <w:r w:rsidR="00CC793A" w:rsidRPr="00576180">
              <w:rPr>
                <w:rStyle w:val="Hyperlink"/>
                <w:rFonts w:ascii="Arial" w:hAnsi="Arial" w:cs="Arial"/>
                <w:sz w:val="20"/>
                <w:szCs w:val="20"/>
              </w:rPr>
              <w:t>MEF</w:t>
            </w:r>
            <w:r w:rsidRPr="00576180">
              <w:rPr>
                <w:rFonts w:ascii="Arial" w:hAnsi="Arial" w:cs="Arial"/>
                <w:sz w:val="20"/>
                <w:szCs w:val="20"/>
              </w:rPr>
              <w:t xml:space="preserve"> en su objetivo estratégico </w:t>
            </w:r>
            <w:r w:rsidR="00A216C4" w:rsidRPr="00576180">
              <w:rPr>
                <w:rFonts w:ascii="Arial" w:hAnsi="Arial" w:cs="Arial"/>
                <w:sz w:val="20"/>
                <w:szCs w:val="20"/>
              </w:rPr>
              <w:t xml:space="preserve">de </w:t>
            </w:r>
            <w:r w:rsidRPr="00576180">
              <w:rPr>
                <w:rFonts w:ascii="Arial" w:hAnsi="Arial" w:cs="Arial"/>
                <w:sz w:val="20"/>
                <w:szCs w:val="20"/>
              </w:rPr>
              <w:t>modernizar la gestión institucional del ministerio en la acción AI</w:t>
            </w:r>
            <w:r w:rsidR="00A216C4" w:rsidRPr="00576180">
              <w:rPr>
                <w:rFonts w:ascii="Arial" w:hAnsi="Arial" w:cs="Arial"/>
                <w:sz w:val="20"/>
                <w:szCs w:val="20"/>
              </w:rPr>
              <w:t xml:space="preserve"> </w:t>
            </w:r>
            <w:r w:rsidRPr="00576180">
              <w:rPr>
                <w:rFonts w:ascii="Arial" w:hAnsi="Arial" w:cs="Arial"/>
                <w:sz w:val="20"/>
                <w:szCs w:val="20"/>
              </w:rPr>
              <w:t xml:space="preserve">8.2, servicios de tecnología de información (TI) del </w:t>
            </w:r>
            <w:r w:rsidR="00E165F0">
              <w:rPr>
                <w:rFonts w:ascii="Arial" w:hAnsi="Arial" w:cs="Arial"/>
                <w:sz w:val="20"/>
                <w:szCs w:val="20"/>
              </w:rPr>
              <w:t>M</w:t>
            </w:r>
            <w:r w:rsidRPr="00576180">
              <w:rPr>
                <w:rFonts w:ascii="Arial" w:hAnsi="Arial" w:cs="Arial"/>
                <w:sz w:val="20"/>
                <w:szCs w:val="20"/>
              </w:rPr>
              <w:t>inisterio con altos estándares de calidad.</w:t>
            </w:r>
          </w:p>
        </w:tc>
        <w:tc>
          <w:tcPr>
            <w:tcW w:w="1858" w:type="pct"/>
          </w:tcPr>
          <w:p w14:paraId="0248ED3B" w14:textId="51E871A7" w:rsidR="00F01E6D" w:rsidRPr="00576180" w:rsidRDefault="00E3041E" w:rsidP="00BD229E">
            <w:pPr>
              <w:tabs>
                <w:tab w:val="left" w:pos="9000"/>
              </w:tabs>
              <w:jc w:val="both"/>
              <w:rPr>
                <w:rFonts w:ascii="Arial" w:hAnsi="Arial" w:cs="Arial"/>
                <w:sz w:val="20"/>
                <w:szCs w:val="20"/>
              </w:rPr>
            </w:pPr>
            <w:r>
              <w:rPr>
                <w:rFonts w:ascii="Arial" w:hAnsi="Arial" w:cs="Arial"/>
                <w:sz w:val="20"/>
                <w:szCs w:val="20"/>
              </w:rPr>
              <w:t>2</w:t>
            </w:r>
            <w:r w:rsidRPr="00576180">
              <w:rPr>
                <w:rFonts w:ascii="Arial" w:hAnsi="Arial" w:cs="Arial"/>
                <w:sz w:val="20"/>
                <w:szCs w:val="20"/>
              </w:rPr>
              <w:t xml:space="preserve"> </w:t>
            </w:r>
            <w:r w:rsidR="00326C4D" w:rsidRPr="00576180">
              <w:rPr>
                <w:rFonts w:ascii="Arial" w:hAnsi="Arial" w:cs="Arial"/>
                <w:sz w:val="20"/>
                <w:szCs w:val="20"/>
              </w:rPr>
              <w:t xml:space="preserve">productos del componente </w:t>
            </w:r>
            <w:r>
              <w:rPr>
                <w:rFonts w:ascii="Arial" w:hAnsi="Arial" w:cs="Arial"/>
                <w:sz w:val="20"/>
                <w:szCs w:val="20"/>
              </w:rPr>
              <w:t>II</w:t>
            </w:r>
            <w:r w:rsidR="00326C4D" w:rsidRPr="00576180">
              <w:rPr>
                <w:rFonts w:ascii="Arial" w:hAnsi="Arial" w:cs="Arial"/>
                <w:sz w:val="20"/>
                <w:szCs w:val="20"/>
              </w:rPr>
              <w:t>,</w:t>
            </w:r>
            <w:r>
              <w:rPr>
                <w:rFonts w:ascii="Arial" w:hAnsi="Arial" w:cs="Arial"/>
                <w:sz w:val="20"/>
                <w:szCs w:val="20"/>
              </w:rPr>
              <w:t xml:space="preserve"> </w:t>
            </w:r>
            <w:r w:rsidR="00326C4D" w:rsidRPr="00576180">
              <w:rPr>
                <w:rFonts w:ascii="Arial" w:hAnsi="Arial" w:cs="Arial"/>
                <w:sz w:val="20"/>
                <w:szCs w:val="20"/>
              </w:rPr>
              <w:t>contribuye</w:t>
            </w:r>
            <w:r>
              <w:rPr>
                <w:rFonts w:ascii="Arial" w:hAnsi="Arial" w:cs="Arial"/>
                <w:sz w:val="20"/>
                <w:szCs w:val="20"/>
              </w:rPr>
              <w:t>ron</w:t>
            </w:r>
            <w:r w:rsidR="00326C4D" w:rsidRPr="00576180">
              <w:rPr>
                <w:rFonts w:ascii="Arial" w:hAnsi="Arial" w:cs="Arial"/>
                <w:sz w:val="20"/>
                <w:szCs w:val="20"/>
              </w:rPr>
              <w:t xml:space="preserve"> al alcance del resultado y a la política correspondiente.</w:t>
            </w:r>
            <w:r w:rsidR="00265E8F" w:rsidRPr="00576180">
              <w:rPr>
                <w:rFonts w:ascii="Arial" w:hAnsi="Arial" w:cs="Arial"/>
                <w:sz w:val="20"/>
                <w:szCs w:val="20"/>
              </w:rPr>
              <w:t xml:space="preserve"> Estos productos son</w:t>
            </w:r>
            <w:r>
              <w:rPr>
                <w:rFonts w:ascii="Arial" w:hAnsi="Arial" w:cs="Arial"/>
                <w:sz w:val="20"/>
                <w:szCs w:val="20"/>
              </w:rPr>
              <w:t xml:space="preserve"> (Gráfico 1)</w:t>
            </w:r>
            <w:r w:rsidR="00265E8F" w:rsidRPr="00576180">
              <w:rPr>
                <w:rFonts w:ascii="Arial" w:hAnsi="Arial" w:cs="Arial"/>
                <w:sz w:val="20"/>
                <w:szCs w:val="20"/>
              </w:rPr>
              <w:t xml:space="preserve">: </w:t>
            </w:r>
            <w:r>
              <w:rPr>
                <w:rFonts w:ascii="Arial" w:hAnsi="Arial" w:cs="Arial"/>
                <w:sz w:val="20"/>
                <w:szCs w:val="20"/>
              </w:rPr>
              <w:t>(</w:t>
            </w:r>
            <w:r w:rsidRPr="00E3041E">
              <w:rPr>
                <w:rFonts w:ascii="Arial" w:hAnsi="Arial" w:cs="Arial"/>
                <w:sz w:val="20"/>
                <w:szCs w:val="20"/>
              </w:rPr>
              <w:t>P2.1</w:t>
            </w:r>
            <w:r>
              <w:rPr>
                <w:rFonts w:ascii="Arial" w:hAnsi="Arial" w:cs="Arial"/>
                <w:sz w:val="20"/>
                <w:szCs w:val="20"/>
              </w:rPr>
              <w:t>)</w:t>
            </w:r>
            <w:r w:rsidRPr="00E3041E">
              <w:rPr>
                <w:rFonts w:ascii="Arial" w:hAnsi="Arial" w:cs="Arial"/>
                <w:sz w:val="20"/>
                <w:szCs w:val="20"/>
              </w:rPr>
              <w:t xml:space="preserve"> Estudios y metodologías para fortalecer las capacidades del MEF</w:t>
            </w:r>
            <w:r>
              <w:rPr>
                <w:rFonts w:ascii="Arial" w:hAnsi="Arial" w:cs="Arial"/>
                <w:sz w:val="20"/>
                <w:szCs w:val="20"/>
              </w:rPr>
              <w:t xml:space="preserve"> y (P2.4)</w:t>
            </w:r>
            <w:r w:rsidR="00326C4D" w:rsidRPr="00576180">
              <w:rPr>
                <w:rFonts w:ascii="Arial" w:hAnsi="Arial" w:cs="Arial"/>
                <w:sz w:val="20"/>
                <w:szCs w:val="20"/>
              </w:rPr>
              <w:t xml:space="preserve"> </w:t>
            </w:r>
            <w:r w:rsidR="00265E8F" w:rsidRPr="00576180">
              <w:rPr>
                <w:rFonts w:ascii="Arial" w:hAnsi="Arial" w:cs="Arial"/>
                <w:sz w:val="20"/>
                <w:szCs w:val="20"/>
              </w:rPr>
              <w:t>e</w:t>
            </w:r>
            <w:r w:rsidR="00326C4D" w:rsidRPr="00576180">
              <w:rPr>
                <w:rFonts w:ascii="Arial" w:hAnsi="Arial" w:cs="Arial"/>
                <w:sz w:val="20"/>
                <w:szCs w:val="20"/>
              </w:rPr>
              <w:t xml:space="preserve">studios para un </w:t>
            </w:r>
            <w:r w:rsidR="00265E8F" w:rsidRPr="00576180">
              <w:rPr>
                <w:rFonts w:ascii="Arial" w:hAnsi="Arial" w:cs="Arial"/>
                <w:sz w:val="20"/>
                <w:szCs w:val="20"/>
              </w:rPr>
              <w:t>s</w:t>
            </w:r>
            <w:r w:rsidR="00326C4D" w:rsidRPr="00576180">
              <w:rPr>
                <w:rFonts w:ascii="Arial" w:hAnsi="Arial" w:cs="Arial"/>
                <w:sz w:val="20"/>
                <w:szCs w:val="20"/>
              </w:rPr>
              <w:t xml:space="preserve">istema </w:t>
            </w:r>
            <w:r w:rsidR="00265E8F" w:rsidRPr="00576180">
              <w:rPr>
                <w:rFonts w:ascii="Arial" w:hAnsi="Arial" w:cs="Arial"/>
                <w:sz w:val="20"/>
                <w:szCs w:val="20"/>
              </w:rPr>
              <w:t>u</w:t>
            </w:r>
            <w:r w:rsidR="00326C4D" w:rsidRPr="00576180">
              <w:rPr>
                <w:rFonts w:ascii="Arial" w:hAnsi="Arial" w:cs="Arial"/>
                <w:sz w:val="20"/>
                <w:szCs w:val="20"/>
              </w:rPr>
              <w:t xml:space="preserve">nificado de </w:t>
            </w:r>
            <w:r w:rsidR="00265E8F" w:rsidRPr="00576180">
              <w:rPr>
                <w:rFonts w:ascii="Arial" w:hAnsi="Arial" w:cs="Arial"/>
                <w:sz w:val="20"/>
                <w:szCs w:val="20"/>
              </w:rPr>
              <w:t>g</w:t>
            </w:r>
            <w:r w:rsidR="00326C4D" w:rsidRPr="00576180">
              <w:rPr>
                <w:rFonts w:ascii="Arial" w:hAnsi="Arial" w:cs="Arial"/>
                <w:sz w:val="20"/>
                <w:szCs w:val="20"/>
              </w:rPr>
              <w:t xml:space="preserve">estión de </w:t>
            </w:r>
            <w:r w:rsidR="00265E8F" w:rsidRPr="00576180">
              <w:rPr>
                <w:rFonts w:ascii="Arial" w:hAnsi="Arial" w:cs="Arial"/>
                <w:sz w:val="20"/>
                <w:szCs w:val="20"/>
              </w:rPr>
              <w:t>p</w:t>
            </w:r>
            <w:r w:rsidR="00326C4D" w:rsidRPr="00576180">
              <w:rPr>
                <w:rFonts w:ascii="Arial" w:hAnsi="Arial" w:cs="Arial"/>
                <w:sz w:val="20"/>
                <w:szCs w:val="20"/>
              </w:rPr>
              <w:t xml:space="preserve">lanillas de </w:t>
            </w:r>
            <w:r w:rsidR="00265E8F" w:rsidRPr="00576180">
              <w:rPr>
                <w:rFonts w:ascii="Arial" w:hAnsi="Arial" w:cs="Arial"/>
                <w:sz w:val="20"/>
                <w:szCs w:val="20"/>
              </w:rPr>
              <w:t>n</w:t>
            </w:r>
            <w:r w:rsidR="00326C4D" w:rsidRPr="00576180">
              <w:rPr>
                <w:rFonts w:ascii="Arial" w:hAnsi="Arial" w:cs="Arial"/>
                <w:sz w:val="20"/>
                <w:szCs w:val="20"/>
              </w:rPr>
              <w:t xml:space="preserve">ómina y de </w:t>
            </w:r>
            <w:r w:rsidR="001A6CC3" w:rsidRPr="00576180">
              <w:rPr>
                <w:rFonts w:ascii="Arial" w:hAnsi="Arial" w:cs="Arial"/>
                <w:sz w:val="20"/>
                <w:szCs w:val="20"/>
              </w:rPr>
              <w:t>RRHH.</w:t>
            </w:r>
          </w:p>
        </w:tc>
      </w:tr>
      <w:tr w:rsidR="00326C4D" w:rsidRPr="00576180" w14:paraId="260F033F" w14:textId="77777777" w:rsidTr="00957319">
        <w:tc>
          <w:tcPr>
            <w:tcW w:w="1142" w:type="pct"/>
          </w:tcPr>
          <w:p w14:paraId="1797CBE5" w14:textId="529C562C" w:rsidR="00326C4D" w:rsidRPr="00576180" w:rsidRDefault="00CC793A" w:rsidP="00BD229E">
            <w:pPr>
              <w:tabs>
                <w:tab w:val="left" w:pos="9000"/>
              </w:tabs>
              <w:jc w:val="both"/>
              <w:rPr>
                <w:rFonts w:ascii="Arial" w:hAnsi="Arial" w:cs="Arial"/>
                <w:sz w:val="20"/>
                <w:szCs w:val="20"/>
              </w:rPr>
            </w:pPr>
            <w:r w:rsidRPr="00576180">
              <w:rPr>
                <w:rFonts w:ascii="Arial" w:hAnsi="Arial" w:cs="Arial"/>
                <w:sz w:val="20"/>
                <w:szCs w:val="20"/>
              </w:rPr>
              <w:t xml:space="preserve">2.2 </w:t>
            </w:r>
            <w:r w:rsidR="00041AF7" w:rsidRPr="00576180">
              <w:rPr>
                <w:rFonts w:ascii="Arial" w:hAnsi="Arial" w:cs="Arial"/>
                <w:sz w:val="20"/>
                <w:szCs w:val="20"/>
              </w:rPr>
              <w:t>Aumentar</w:t>
            </w:r>
            <w:r w:rsidR="00326C4D" w:rsidRPr="00576180">
              <w:rPr>
                <w:rFonts w:ascii="Arial" w:hAnsi="Arial" w:cs="Arial"/>
                <w:sz w:val="20"/>
                <w:szCs w:val="20"/>
              </w:rPr>
              <w:t xml:space="preserve"> la cobertura de pagos del </w:t>
            </w:r>
            <w:r w:rsidR="00041AF7" w:rsidRPr="00576180">
              <w:rPr>
                <w:rFonts w:ascii="Arial" w:hAnsi="Arial" w:cs="Arial"/>
                <w:sz w:val="20"/>
                <w:szCs w:val="20"/>
              </w:rPr>
              <w:t>s</w:t>
            </w:r>
            <w:r w:rsidR="00326C4D" w:rsidRPr="00576180">
              <w:rPr>
                <w:rFonts w:ascii="Arial" w:hAnsi="Arial" w:cs="Arial"/>
                <w:sz w:val="20"/>
                <w:szCs w:val="20"/>
              </w:rPr>
              <w:t xml:space="preserve">ector </w:t>
            </w:r>
            <w:r w:rsidR="00041AF7" w:rsidRPr="00576180">
              <w:rPr>
                <w:rFonts w:ascii="Arial" w:hAnsi="Arial" w:cs="Arial"/>
                <w:sz w:val="20"/>
                <w:szCs w:val="20"/>
              </w:rPr>
              <w:t>p</w:t>
            </w:r>
            <w:r w:rsidR="00326C4D" w:rsidRPr="00576180">
              <w:rPr>
                <w:rFonts w:ascii="Arial" w:hAnsi="Arial" w:cs="Arial"/>
                <w:sz w:val="20"/>
                <w:szCs w:val="20"/>
              </w:rPr>
              <w:t>úblico</w:t>
            </w:r>
            <w:r w:rsidR="00041AF7" w:rsidRPr="00576180">
              <w:rPr>
                <w:rFonts w:ascii="Arial" w:hAnsi="Arial" w:cs="Arial"/>
                <w:sz w:val="20"/>
                <w:szCs w:val="20"/>
              </w:rPr>
              <w:t xml:space="preserve">; y </w:t>
            </w:r>
            <w:r w:rsidRPr="00576180">
              <w:rPr>
                <w:rFonts w:ascii="Arial" w:hAnsi="Arial" w:cs="Arial"/>
                <w:sz w:val="20"/>
                <w:szCs w:val="20"/>
              </w:rPr>
              <w:t xml:space="preserve">2.3 </w:t>
            </w:r>
            <w:r w:rsidR="00326C4D" w:rsidRPr="00576180">
              <w:rPr>
                <w:rFonts w:ascii="Arial" w:hAnsi="Arial" w:cs="Arial"/>
                <w:sz w:val="20"/>
                <w:szCs w:val="20"/>
              </w:rPr>
              <w:t xml:space="preserve">aumentar el porcentaje </w:t>
            </w:r>
            <w:r w:rsidR="00326C4D" w:rsidRPr="00576180">
              <w:rPr>
                <w:rFonts w:ascii="Arial" w:hAnsi="Arial" w:cs="Arial"/>
                <w:sz w:val="20"/>
                <w:szCs w:val="20"/>
              </w:rPr>
              <w:lastRenderedPageBreak/>
              <w:t>del total de cuantas bancarias incorporadas en la CUT</w:t>
            </w:r>
          </w:p>
        </w:tc>
        <w:tc>
          <w:tcPr>
            <w:tcW w:w="2001" w:type="pct"/>
          </w:tcPr>
          <w:p w14:paraId="3575C398" w14:textId="66FDB947" w:rsidR="00326C4D" w:rsidRPr="00576180" w:rsidRDefault="00326C4D" w:rsidP="00BD229E">
            <w:pPr>
              <w:tabs>
                <w:tab w:val="left" w:pos="9000"/>
              </w:tabs>
              <w:jc w:val="both"/>
              <w:rPr>
                <w:rFonts w:ascii="Arial" w:hAnsi="Arial" w:cs="Arial"/>
                <w:sz w:val="20"/>
                <w:szCs w:val="20"/>
              </w:rPr>
            </w:pPr>
            <w:r w:rsidRPr="00576180">
              <w:rPr>
                <w:rFonts w:ascii="Arial" w:hAnsi="Arial" w:cs="Arial"/>
                <w:sz w:val="20"/>
                <w:szCs w:val="20"/>
              </w:rPr>
              <w:lastRenderedPageBreak/>
              <w:t>El indicador estuvo alineado con</w:t>
            </w:r>
            <w:r w:rsidR="00E165F0">
              <w:rPr>
                <w:rFonts w:ascii="Arial" w:hAnsi="Arial" w:cs="Arial"/>
                <w:sz w:val="20"/>
                <w:szCs w:val="20"/>
              </w:rPr>
              <w:t xml:space="preserve"> el</w:t>
            </w:r>
            <w:r w:rsidRPr="00576180">
              <w:rPr>
                <w:rFonts w:ascii="Arial" w:hAnsi="Arial" w:cs="Arial"/>
                <w:sz w:val="20"/>
                <w:szCs w:val="20"/>
              </w:rPr>
              <w:t xml:space="preserve"> </w:t>
            </w:r>
            <w:hyperlink r:id="rId19" w:history="1">
              <w:r w:rsidRPr="00576180">
                <w:rPr>
                  <w:rStyle w:val="Hyperlink"/>
                  <w:rFonts w:ascii="Arial" w:hAnsi="Arial" w:cs="Arial"/>
                  <w:sz w:val="20"/>
                  <w:szCs w:val="20"/>
                </w:rPr>
                <w:t>Plan Estratégico Institucional 2017-2019 del Ministerio de Economía y Finanzas</w:t>
              </w:r>
            </w:hyperlink>
            <w:r w:rsidRPr="00576180">
              <w:rPr>
                <w:rFonts w:ascii="Arial" w:hAnsi="Arial" w:cs="Arial"/>
                <w:sz w:val="20"/>
                <w:szCs w:val="20"/>
              </w:rPr>
              <w:t xml:space="preserve"> en su objetivo estratégico </w:t>
            </w:r>
            <w:r w:rsidR="00E165F0">
              <w:rPr>
                <w:rFonts w:ascii="Arial" w:hAnsi="Arial" w:cs="Arial"/>
                <w:sz w:val="20"/>
                <w:szCs w:val="20"/>
              </w:rPr>
              <w:t xml:space="preserve">para </w:t>
            </w:r>
            <w:r w:rsidRPr="00576180">
              <w:rPr>
                <w:rFonts w:ascii="Arial" w:hAnsi="Arial" w:cs="Arial"/>
                <w:sz w:val="20"/>
                <w:szCs w:val="20"/>
              </w:rPr>
              <w:t xml:space="preserve">consolidar el </w:t>
            </w:r>
            <w:r w:rsidRPr="00576180">
              <w:rPr>
                <w:rFonts w:ascii="Arial" w:hAnsi="Arial" w:cs="Arial"/>
                <w:sz w:val="20"/>
                <w:szCs w:val="20"/>
              </w:rPr>
              <w:lastRenderedPageBreak/>
              <w:t xml:space="preserve">equilibrio y </w:t>
            </w:r>
            <w:r w:rsidR="00E165F0">
              <w:rPr>
                <w:rFonts w:ascii="Arial" w:hAnsi="Arial" w:cs="Arial"/>
                <w:sz w:val="20"/>
                <w:szCs w:val="20"/>
              </w:rPr>
              <w:t xml:space="preserve">la </w:t>
            </w:r>
            <w:r w:rsidRPr="00576180">
              <w:rPr>
                <w:rFonts w:ascii="Arial" w:hAnsi="Arial" w:cs="Arial"/>
                <w:sz w:val="20"/>
                <w:szCs w:val="20"/>
              </w:rPr>
              <w:t>sostenibilidad fiscal en la acción gestión efectiva de la CUT en moneda nacional.</w:t>
            </w:r>
          </w:p>
        </w:tc>
        <w:tc>
          <w:tcPr>
            <w:tcW w:w="1858" w:type="pct"/>
            <w:vMerge w:val="restart"/>
          </w:tcPr>
          <w:p w14:paraId="01DD68ED" w14:textId="5ADB64E5" w:rsidR="00326C4D" w:rsidRPr="00576180" w:rsidRDefault="00E3041E" w:rsidP="00BD229E">
            <w:pPr>
              <w:tabs>
                <w:tab w:val="left" w:pos="9000"/>
              </w:tabs>
              <w:jc w:val="both"/>
              <w:rPr>
                <w:rFonts w:ascii="Arial" w:hAnsi="Arial" w:cs="Arial"/>
                <w:sz w:val="20"/>
                <w:szCs w:val="20"/>
              </w:rPr>
            </w:pPr>
            <w:r>
              <w:rPr>
                <w:rFonts w:ascii="Arial" w:hAnsi="Arial" w:cs="Arial"/>
                <w:sz w:val="20"/>
                <w:szCs w:val="20"/>
              </w:rPr>
              <w:lastRenderedPageBreak/>
              <w:t>3</w:t>
            </w:r>
            <w:r w:rsidR="00326C4D" w:rsidRPr="00576180">
              <w:rPr>
                <w:rFonts w:ascii="Arial" w:hAnsi="Arial" w:cs="Arial"/>
                <w:sz w:val="20"/>
                <w:szCs w:val="20"/>
              </w:rPr>
              <w:t xml:space="preserve"> productos del componente </w:t>
            </w:r>
            <w:r>
              <w:rPr>
                <w:rFonts w:ascii="Arial" w:hAnsi="Arial" w:cs="Arial"/>
                <w:sz w:val="20"/>
                <w:szCs w:val="20"/>
              </w:rPr>
              <w:t>II</w:t>
            </w:r>
            <w:r w:rsidR="00326C4D" w:rsidRPr="00576180">
              <w:rPr>
                <w:rFonts w:ascii="Arial" w:hAnsi="Arial" w:cs="Arial"/>
                <w:sz w:val="20"/>
                <w:szCs w:val="20"/>
              </w:rPr>
              <w:t xml:space="preserve">, </w:t>
            </w:r>
            <w:r w:rsidRPr="00576180">
              <w:rPr>
                <w:rFonts w:ascii="Arial" w:hAnsi="Arial" w:cs="Arial"/>
                <w:sz w:val="20"/>
                <w:szCs w:val="20"/>
              </w:rPr>
              <w:t>contribuye</w:t>
            </w:r>
            <w:r>
              <w:rPr>
                <w:rFonts w:ascii="Arial" w:hAnsi="Arial" w:cs="Arial"/>
                <w:sz w:val="20"/>
                <w:szCs w:val="20"/>
              </w:rPr>
              <w:t>ron</w:t>
            </w:r>
            <w:r w:rsidRPr="00576180">
              <w:rPr>
                <w:rFonts w:ascii="Arial" w:hAnsi="Arial" w:cs="Arial"/>
                <w:sz w:val="20"/>
                <w:szCs w:val="20"/>
              </w:rPr>
              <w:t xml:space="preserve"> </w:t>
            </w:r>
            <w:r w:rsidR="00326C4D" w:rsidRPr="00576180">
              <w:rPr>
                <w:rFonts w:ascii="Arial" w:hAnsi="Arial" w:cs="Arial"/>
                <w:sz w:val="20"/>
                <w:szCs w:val="20"/>
              </w:rPr>
              <w:t xml:space="preserve">al alcance de los resultados y a las políticas correspondientes. </w:t>
            </w:r>
            <w:r w:rsidR="006C450B" w:rsidRPr="00576180">
              <w:rPr>
                <w:rFonts w:ascii="Arial" w:hAnsi="Arial" w:cs="Arial"/>
                <w:sz w:val="20"/>
                <w:szCs w:val="20"/>
              </w:rPr>
              <w:t>Estos productos son</w:t>
            </w:r>
            <w:r>
              <w:rPr>
                <w:rFonts w:ascii="Arial" w:hAnsi="Arial" w:cs="Arial"/>
                <w:sz w:val="20"/>
                <w:szCs w:val="20"/>
              </w:rPr>
              <w:t xml:space="preserve"> </w:t>
            </w:r>
            <w:r>
              <w:rPr>
                <w:rFonts w:ascii="Arial" w:hAnsi="Arial" w:cs="Arial"/>
                <w:sz w:val="20"/>
                <w:szCs w:val="20"/>
              </w:rPr>
              <w:lastRenderedPageBreak/>
              <w:t>(Grafico 1)</w:t>
            </w:r>
            <w:r w:rsidR="006C450B" w:rsidRPr="00576180">
              <w:rPr>
                <w:rFonts w:ascii="Arial" w:hAnsi="Arial" w:cs="Arial"/>
                <w:sz w:val="20"/>
                <w:szCs w:val="20"/>
              </w:rPr>
              <w:t xml:space="preserve">: </w:t>
            </w:r>
            <w:r w:rsidR="00326C4D" w:rsidRPr="00576180">
              <w:rPr>
                <w:rFonts w:ascii="Arial" w:hAnsi="Arial" w:cs="Arial"/>
                <w:sz w:val="20"/>
                <w:szCs w:val="20"/>
              </w:rPr>
              <w:t>(</w:t>
            </w:r>
            <w:r>
              <w:rPr>
                <w:rFonts w:ascii="Arial" w:hAnsi="Arial" w:cs="Arial"/>
                <w:sz w:val="20"/>
                <w:szCs w:val="20"/>
              </w:rPr>
              <w:t>P2.1</w:t>
            </w:r>
            <w:r w:rsidR="00326C4D" w:rsidRPr="00576180">
              <w:rPr>
                <w:rFonts w:ascii="Arial" w:hAnsi="Arial" w:cs="Arial"/>
                <w:sz w:val="20"/>
                <w:szCs w:val="20"/>
              </w:rPr>
              <w:t xml:space="preserve">) </w:t>
            </w:r>
            <w:r w:rsidR="005A03E9" w:rsidRPr="00576180">
              <w:rPr>
                <w:rFonts w:ascii="Arial" w:hAnsi="Arial" w:cs="Arial"/>
                <w:sz w:val="20"/>
                <w:szCs w:val="20"/>
              </w:rPr>
              <w:t>estudios y metodologías para fortalecer las capacidades del MEF; (</w:t>
            </w:r>
            <w:r>
              <w:rPr>
                <w:rFonts w:ascii="Arial" w:hAnsi="Arial" w:cs="Arial"/>
                <w:sz w:val="20"/>
                <w:szCs w:val="20"/>
              </w:rPr>
              <w:t>P2.2</w:t>
            </w:r>
            <w:r w:rsidR="005A03E9" w:rsidRPr="00576180">
              <w:rPr>
                <w:rFonts w:ascii="Arial" w:hAnsi="Arial" w:cs="Arial"/>
                <w:sz w:val="20"/>
                <w:szCs w:val="20"/>
              </w:rPr>
              <w:t>) cursos a funcionarios del MEF en temas especializados en manejo hacendario</w:t>
            </w:r>
            <w:r w:rsidR="00326C4D" w:rsidRPr="00576180">
              <w:rPr>
                <w:rFonts w:ascii="Arial" w:hAnsi="Arial" w:cs="Arial"/>
                <w:sz w:val="20"/>
                <w:szCs w:val="20"/>
              </w:rPr>
              <w:t>;</w:t>
            </w:r>
            <w:r w:rsidR="006C450B" w:rsidRPr="00576180">
              <w:rPr>
                <w:rFonts w:ascii="Arial" w:hAnsi="Arial" w:cs="Arial"/>
                <w:sz w:val="20"/>
                <w:szCs w:val="20"/>
              </w:rPr>
              <w:t xml:space="preserve"> y</w:t>
            </w:r>
            <w:r w:rsidR="00326C4D" w:rsidRPr="00576180">
              <w:rPr>
                <w:rFonts w:ascii="Arial" w:hAnsi="Arial" w:cs="Arial"/>
                <w:sz w:val="20"/>
                <w:szCs w:val="20"/>
              </w:rPr>
              <w:t xml:space="preserve"> (</w:t>
            </w:r>
            <w:r>
              <w:rPr>
                <w:rFonts w:ascii="Arial" w:hAnsi="Arial" w:cs="Arial"/>
                <w:sz w:val="20"/>
                <w:szCs w:val="20"/>
              </w:rPr>
              <w:t>P2.4</w:t>
            </w:r>
            <w:r w:rsidR="00326C4D" w:rsidRPr="00576180">
              <w:rPr>
                <w:rFonts w:ascii="Arial" w:hAnsi="Arial" w:cs="Arial"/>
                <w:sz w:val="20"/>
                <w:szCs w:val="20"/>
              </w:rPr>
              <w:t xml:space="preserve">) </w:t>
            </w:r>
            <w:r w:rsidR="006C450B" w:rsidRPr="00576180">
              <w:rPr>
                <w:rFonts w:ascii="Arial" w:hAnsi="Arial" w:cs="Arial"/>
                <w:sz w:val="20"/>
                <w:szCs w:val="20"/>
              </w:rPr>
              <w:t>e</w:t>
            </w:r>
            <w:r w:rsidR="00326C4D" w:rsidRPr="00576180">
              <w:rPr>
                <w:rFonts w:ascii="Arial" w:hAnsi="Arial" w:cs="Arial"/>
                <w:sz w:val="20"/>
                <w:szCs w:val="20"/>
              </w:rPr>
              <w:t xml:space="preserve">studios para un </w:t>
            </w:r>
            <w:r w:rsidR="006C450B" w:rsidRPr="00576180">
              <w:rPr>
                <w:rFonts w:ascii="Arial" w:hAnsi="Arial" w:cs="Arial"/>
                <w:sz w:val="20"/>
                <w:szCs w:val="20"/>
              </w:rPr>
              <w:t xml:space="preserve">sistema unificado de gestión de planillas de nómina y de </w:t>
            </w:r>
            <w:r w:rsidR="001A6CC3" w:rsidRPr="00576180">
              <w:rPr>
                <w:rFonts w:ascii="Arial" w:hAnsi="Arial" w:cs="Arial"/>
                <w:sz w:val="20"/>
                <w:szCs w:val="20"/>
              </w:rPr>
              <w:t>RRHH.</w:t>
            </w:r>
          </w:p>
        </w:tc>
      </w:tr>
      <w:tr w:rsidR="00326C4D" w:rsidRPr="00576180" w14:paraId="42815039" w14:textId="77777777" w:rsidTr="00957319">
        <w:tc>
          <w:tcPr>
            <w:tcW w:w="1142" w:type="pct"/>
          </w:tcPr>
          <w:p w14:paraId="73061ED8" w14:textId="77777777" w:rsidR="00C4191E" w:rsidRPr="00576180" w:rsidRDefault="00771573" w:rsidP="00BD229E">
            <w:pPr>
              <w:tabs>
                <w:tab w:val="left" w:pos="9000"/>
              </w:tabs>
              <w:jc w:val="both"/>
              <w:rPr>
                <w:rFonts w:ascii="Arial" w:hAnsi="Arial" w:cs="Arial"/>
                <w:sz w:val="20"/>
                <w:szCs w:val="20"/>
              </w:rPr>
            </w:pPr>
            <w:r w:rsidRPr="00576180">
              <w:rPr>
                <w:rFonts w:ascii="Arial" w:hAnsi="Arial" w:cs="Arial"/>
                <w:sz w:val="20"/>
                <w:szCs w:val="20"/>
              </w:rPr>
              <w:lastRenderedPageBreak/>
              <w:t>2.4</w:t>
            </w:r>
            <w:r w:rsidR="00CC793A" w:rsidRPr="00576180">
              <w:rPr>
                <w:rFonts w:ascii="Arial" w:hAnsi="Arial" w:cs="Arial"/>
                <w:sz w:val="20"/>
                <w:szCs w:val="20"/>
              </w:rPr>
              <w:t xml:space="preserve"> </w:t>
            </w:r>
            <w:r w:rsidR="00041AF7" w:rsidRPr="00576180">
              <w:rPr>
                <w:rFonts w:ascii="Arial" w:hAnsi="Arial" w:cs="Arial"/>
                <w:sz w:val="20"/>
                <w:szCs w:val="20"/>
              </w:rPr>
              <w:t>Aumentar</w:t>
            </w:r>
            <w:r w:rsidR="00326C4D" w:rsidRPr="00576180">
              <w:rPr>
                <w:rFonts w:ascii="Arial" w:hAnsi="Arial" w:cs="Arial"/>
                <w:sz w:val="20"/>
                <w:szCs w:val="20"/>
              </w:rPr>
              <w:t xml:space="preserve"> el porcentaje de asientos contables automatizados; </w:t>
            </w:r>
            <w:r w:rsidR="00041AF7" w:rsidRPr="00576180">
              <w:rPr>
                <w:rFonts w:ascii="Arial" w:hAnsi="Arial" w:cs="Arial"/>
                <w:sz w:val="20"/>
                <w:szCs w:val="20"/>
              </w:rPr>
              <w:t>y</w:t>
            </w:r>
            <w:r w:rsidR="00326C4D" w:rsidRPr="00576180">
              <w:rPr>
                <w:rFonts w:ascii="Arial" w:hAnsi="Arial" w:cs="Arial"/>
                <w:sz w:val="20"/>
                <w:szCs w:val="20"/>
              </w:rPr>
              <w:t xml:space="preserve"> </w:t>
            </w:r>
          </w:p>
          <w:p w14:paraId="28FC55BE" w14:textId="42813CCB" w:rsidR="00326C4D" w:rsidRPr="00576180" w:rsidRDefault="00771573" w:rsidP="00BD229E">
            <w:pPr>
              <w:tabs>
                <w:tab w:val="left" w:pos="9000"/>
              </w:tabs>
              <w:jc w:val="both"/>
              <w:rPr>
                <w:rFonts w:ascii="Arial" w:hAnsi="Arial" w:cs="Arial"/>
                <w:sz w:val="20"/>
                <w:szCs w:val="20"/>
              </w:rPr>
            </w:pPr>
            <w:r w:rsidRPr="00576180">
              <w:rPr>
                <w:rFonts w:ascii="Arial" w:hAnsi="Arial" w:cs="Arial"/>
                <w:sz w:val="20"/>
                <w:szCs w:val="20"/>
              </w:rPr>
              <w:t>2.5</w:t>
            </w:r>
            <w:r w:rsidR="00CC793A" w:rsidRPr="00576180">
              <w:rPr>
                <w:rFonts w:ascii="Arial" w:hAnsi="Arial" w:cs="Arial"/>
                <w:sz w:val="20"/>
                <w:szCs w:val="20"/>
              </w:rPr>
              <w:t xml:space="preserve"> </w:t>
            </w:r>
            <w:r w:rsidR="00326C4D" w:rsidRPr="00576180">
              <w:rPr>
                <w:rFonts w:ascii="Arial" w:hAnsi="Arial" w:cs="Arial"/>
                <w:sz w:val="20"/>
                <w:szCs w:val="20"/>
              </w:rPr>
              <w:t>aumentar la oportunidad de los estados financieros (tiempo de preparación y envío al MEF de los estados financieros</w:t>
            </w:r>
            <w:r w:rsidR="00041AF7" w:rsidRPr="00576180">
              <w:rPr>
                <w:rFonts w:ascii="Arial" w:hAnsi="Arial" w:cs="Arial"/>
                <w:sz w:val="20"/>
                <w:szCs w:val="20"/>
              </w:rPr>
              <w:t>)</w:t>
            </w:r>
          </w:p>
        </w:tc>
        <w:tc>
          <w:tcPr>
            <w:tcW w:w="2001" w:type="pct"/>
          </w:tcPr>
          <w:p w14:paraId="737219EF" w14:textId="600DBA55" w:rsidR="00326C4D" w:rsidRPr="00576180" w:rsidRDefault="00326C4D" w:rsidP="00BD229E">
            <w:pPr>
              <w:tabs>
                <w:tab w:val="left" w:pos="9000"/>
              </w:tabs>
              <w:jc w:val="both"/>
              <w:rPr>
                <w:rFonts w:ascii="Arial" w:hAnsi="Arial" w:cs="Arial"/>
                <w:sz w:val="20"/>
                <w:szCs w:val="20"/>
              </w:rPr>
            </w:pPr>
            <w:r w:rsidRPr="00576180">
              <w:rPr>
                <w:rFonts w:ascii="Arial" w:hAnsi="Arial" w:cs="Arial"/>
                <w:sz w:val="20"/>
                <w:szCs w:val="20"/>
              </w:rPr>
              <w:t xml:space="preserve">El indicador estuvo alineado con </w:t>
            </w:r>
            <w:r w:rsidR="00E165F0">
              <w:rPr>
                <w:rFonts w:ascii="Arial" w:hAnsi="Arial" w:cs="Arial"/>
                <w:sz w:val="20"/>
                <w:szCs w:val="20"/>
              </w:rPr>
              <w:t xml:space="preserve">el </w:t>
            </w:r>
            <w:hyperlink r:id="rId20" w:history="1">
              <w:r w:rsidRPr="00576180">
                <w:rPr>
                  <w:rStyle w:val="Hyperlink"/>
                  <w:rFonts w:ascii="Arial" w:hAnsi="Arial" w:cs="Arial"/>
                  <w:sz w:val="20"/>
                  <w:szCs w:val="20"/>
                </w:rPr>
                <w:t>Plan Estratégico Institucional 2017-2019 del Ministerio de Economía y Finanzas</w:t>
              </w:r>
            </w:hyperlink>
            <w:r w:rsidRPr="00576180">
              <w:rPr>
                <w:rFonts w:ascii="Arial" w:hAnsi="Arial" w:cs="Arial"/>
                <w:sz w:val="20"/>
                <w:szCs w:val="20"/>
              </w:rPr>
              <w:t xml:space="preserve"> en su objetivo estratégico </w:t>
            </w:r>
            <w:r w:rsidR="00E165F0">
              <w:rPr>
                <w:rFonts w:ascii="Arial" w:hAnsi="Arial" w:cs="Arial"/>
                <w:sz w:val="20"/>
                <w:szCs w:val="20"/>
              </w:rPr>
              <w:t xml:space="preserve">para </w:t>
            </w:r>
            <w:r w:rsidRPr="00576180">
              <w:rPr>
                <w:rFonts w:ascii="Arial" w:hAnsi="Arial" w:cs="Arial"/>
                <w:sz w:val="20"/>
                <w:szCs w:val="20"/>
              </w:rPr>
              <w:t xml:space="preserve">optimizar la transparencia y rendición de cuentas en </w:t>
            </w:r>
            <w:r w:rsidR="00E165F0">
              <w:rPr>
                <w:rFonts w:ascii="Arial" w:hAnsi="Arial" w:cs="Arial"/>
                <w:sz w:val="20"/>
                <w:szCs w:val="20"/>
              </w:rPr>
              <w:t xml:space="preserve">el </w:t>
            </w:r>
            <w:r w:rsidRPr="00576180">
              <w:rPr>
                <w:rFonts w:ascii="Arial" w:hAnsi="Arial" w:cs="Arial"/>
                <w:sz w:val="20"/>
                <w:szCs w:val="20"/>
              </w:rPr>
              <w:t>sector público en la acción AEI7.1, fortalecimiento de la normatividad del sistema de contabilidad pública.</w:t>
            </w:r>
          </w:p>
        </w:tc>
        <w:tc>
          <w:tcPr>
            <w:tcW w:w="1858" w:type="pct"/>
            <w:vMerge/>
          </w:tcPr>
          <w:p w14:paraId="7B59E3B3" w14:textId="77777777" w:rsidR="00326C4D" w:rsidRPr="00576180" w:rsidRDefault="00326C4D" w:rsidP="00BD229E">
            <w:pPr>
              <w:tabs>
                <w:tab w:val="left" w:pos="9000"/>
              </w:tabs>
              <w:jc w:val="both"/>
              <w:rPr>
                <w:rFonts w:ascii="Arial" w:hAnsi="Arial" w:cs="Arial"/>
                <w:sz w:val="20"/>
                <w:szCs w:val="20"/>
              </w:rPr>
            </w:pPr>
          </w:p>
        </w:tc>
      </w:tr>
      <w:tr w:rsidR="00F01E6D" w:rsidRPr="00576180" w14:paraId="53CDA3A8" w14:textId="77777777" w:rsidTr="00957319">
        <w:tc>
          <w:tcPr>
            <w:tcW w:w="1142" w:type="pct"/>
          </w:tcPr>
          <w:p w14:paraId="75EF80D5" w14:textId="69560BB5" w:rsidR="00F01E6D" w:rsidRPr="00576180" w:rsidRDefault="006C450B" w:rsidP="00BD229E">
            <w:pPr>
              <w:tabs>
                <w:tab w:val="left" w:pos="9000"/>
              </w:tabs>
              <w:jc w:val="both"/>
              <w:rPr>
                <w:rFonts w:ascii="Arial" w:hAnsi="Arial" w:cs="Arial"/>
                <w:sz w:val="20"/>
                <w:szCs w:val="20"/>
              </w:rPr>
            </w:pPr>
            <w:r w:rsidRPr="00576180">
              <w:rPr>
                <w:rFonts w:ascii="Arial" w:hAnsi="Arial" w:cs="Arial"/>
                <w:sz w:val="20"/>
                <w:szCs w:val="20"/>
              </w:rPr>
              <w:t>3.</w:t>
            </w:r>
            <w:r w:rsidR="00771573" w:rsidRPr="00576180">
              <w:rPr>
                <w:rFonts w:ascii="Arial" w:hAnsi="Arial" w:cs="Arial"/>
                <w:sz w:val="20"/>
                <w:szCs w:val="20"/>
              </w:rPr>
              <w:t>1</w:t>
            </w:r>
            <w:r w:rsidRPr="00576180">
              <w:rPr>
                <w:rFonts w:ascii="Arial" w:hAnsi="Arial" w:cs="Arial"/>
                <w:sz w:val="20"/>
                <w:szCs w:val="20"/>
              </w:rPr>
              <w:t xml:space="preserve"> </w:t>
            </w:r>
            <w:r w:rsidR="00041AF7" w:rsidRPr="00576180">
              <w:rPr>
                <w:rFonts w:ascii="Arial" w:hAnsi="Arial" w:cs="Arial"/>
                <w:sz w:val="20"/>
                <w:szCs w:val="20"/>
              </w:rPr>
              <w:t>Aumentar la c</w:t>
            </w:r>
            <w:r w:rsidR="00821ECA" w:rsidRPr="00576180">
              <w:rPr>
                <w:rFonts w:ascii="Arial" w:hAnsi="Arial" w:cs="Arial"/>
                <w:sz w:val="20"/>
                <w:szCs w:val="20"/>
              </w:rPr>
              <w:t>obertura de</w:t>
            </w:r>
            <w:r w:rsidR="00041AF7" w:rsidRPr="00576180">
              <w:rPr>
                <w:rFonts w:ascii="Arial" w:hAnsi="Arial" w:cs="Arial"/>
                <w:sz w:val="20"/>
                <w:szCs w:val="20"/>
              </w:rPr>
              <w:t>l</w:t>
            </w:r>
            <w:r w:rsidR="00821ECA" w:rsidRPr="00576180">
              <w:rPr>
                <w:rFonts w:ascii="Arial" w:hAnsi="Arial" w:cs="Arial"/>
                <w:sz w:val="20"/>
                <w:szCs w:val="20"/>
              </w:rPr>
              <w:t xml:space="preserve"> Presupuesto por Resultados (</w:t>
            </w:r>
            <w:proofErr w:type="spellStart"/>
            <w:r w:rsidR="00821ECA" w:rsidRPr="00576180">
              <w:rPr>
                <w:rFonts w:ascii="Arial" w:hAnsi="Arial" w:cs="Arial"/>
                <w:sz w:val="20"/>
                <w:szCs w:val="20"/>
              </w:rPr>
              <w:t>PpR</w:t>
            </w:r>
            <w:proofErr w:type="spellEnd"/>
            <w:r w:rsidR="00821ECA" w:rsidRPr="00576180">
              <w:rPr>
                <w:rFonts w:ascii="Arial" w:hAnsi="Arial" w:cs="Arial"/>
                <w:sz w:val="20"/>
                <w:szCs w:val="20"/>
              </w:rPr>
              <w:t xml:space="preserve">) comparado con el total del gasto no financiero ni previsional del </w:t>
            </w:r>
            <w:r w:rsidR="00041AF7" w:rsidRPr="00576180">
              <w:rPr>
                <w:rFonts w:ascii="Arial" w:hAnsi="Arial" w:cs="Arial"/>
                <w:sz w:val="20"/>
                <w:szCs w:val="20"/>
              </w:rPr>
              <w:t>presupuesto del gobierno general</w:t>
            </w:r>
            <w:r w:rsidR="00821ECA" w:rsidRPr="00576180">
              <w:rPr>
                <w:rFonts w:ascii="Arial" w:hAnsi="Arial" w:cs="Arial"/>
                <w:sz w:val="20"/>
                <w:szCs w:val="20"/>
              </w:rPr>
              <w:t>.</w:t>
            </w:r>
          </w:p>
        </w:tc>
        <w:tc>
          <w:tcPr>
            <w:tcW w:w="2001" w:type="pct"/>
          </w:tcPr>
          <w:p w14:paraId="0D724105" w14:textId="7BFA20D9" w:rsidR="00326C4D" w:rsidRPr="00576180" w:rsidRDefault="006C450B" w:rsidP="00BD229E">
            <w:pPr>
              <w:tabs>
                <w:tab w:val="left" w:pos="9000"/>
              </w:tabs>
              <w:jc w:val="both"/>
              <w:rPr>
                <w:rFonts w:ascii="Arial" w:hAnsi="Arial" w:cs="Arial"/>
                <w:sz w:val="20"/>
                <w:szCs w:val="20"/>
              </w:rPr>
            </w:pPr>
            <w:r w:rsidRPr="00576180">
              <w:rPr>
                <w:rFonts w:ascii="Arial" w:hAnsi="Arial" w:cs="Arial"/>
                <w:sz w:val="20"/>
                <w:szCs w:val="20"/>
              </w:rPr>
              <w:t>E</w:t>
            </w:r>
            <w:r w:rsidR="00DD7E44" w:rsidRPr="00576180">
              <w:rPr>
                <w:rFonts w:ascii="Arial" w:hAnsi="Arial" w:cs="Arial"/>
                <w:sz w:val="20"/>
                <w:szCs w:val="20"/>
              </w:rPr>
              <w:t xml:space="preserve">l </w:t>
            </w:r>
            <w:hyperlink r:id="rId21" w:history="1">
              <w:r w:rsidR="00DD7E44" w:rsidRPr="00576180">
                <w:rPr>
                  <w:rStyle w:val="Hyperlink"/>
                  <w:rFonts w:ascii="Arial" w:hAnsi="Arial" w:cs="Arial"/>
                  <w:sz w:val="20"/>
                  <w:szCs w:val="20"/>
                </w:rPr>
                <w:t xml:space="preserve">Plan </w:t>
              </w:r>
              <w:r w:rsidRPr="00576180">
                <w:rPr>
                  <w:rStyle w:val="Hyperlink"/>
                  <w:rFonts w:ascii="Arial" w:hAnsi="Arial" w:cs="Arial"/>
                  <w:sz w:val="20"/>
                  <w:szCs w:val="20"/>
                </w:rPr>
                <w:t>E</w:t>
              </w:r>
              <w:r w:rsidR="00DD7E44" w:rsidRPr="00576180">
                <w:rPr>
                  <w:rStyle w:val="Hyperlink"/>
                  <w:rFonts w:ascii="Arial" w:hAnsi="Arial" w:cs="Arial"/>
                  <w:sz w:val="20"/>
                  <w:szCs w:val="20"/>
                </w:rPr>
                <w:t>stratégico de Desarrollo Nacional hacia 2021</w:t>
              </w:r>
            </w:hyperlink>
            <w:r w:rsidRPr="00576180">
              <w:rPr>
                <w:rStyle w:val="Hyperlink"/>
                <w:rFonts w:ascii="Arial" w:hAnsi="Arial" w:cs="Arial"/>
                <w:sz w:val="20"/>
                <w:szCs w:val="20"/>
              </w:rPr>
              <w:t xml:space="preserve"> </w:t>
            </w:r>
            <w:r w:rsidR="00DD7E44" w:rsidRPr="00576180">
              <w:rPr>
                <w:rFonts w:ascii="Arial" w:hAnsi="Arial" w:cs="Arial"/>
                <w:sz w:val="20"/>
                <w:szCs w:val="20"/>
              </w:rPr>
              <w:t xml:space="preserve">recomienda </w:t>
            </w:r>
            <w:r w:rsidRPr="00576180">
              <w:rPr>
                <w:rFonts w:ascii="Arial" w:hAnsi="Arial" w:cs="Arial"/>
                <w:sz w:val="20"/>
                <w:szCs w:val="20"/>
              </w:rPr>
              <w:t>que el</w:t>
            </w:r>
            <w:r w:rsidR="00DD7E44" w:rsidRPr="00576180">
              <w:rPr>
                <w:rFonts w:ascii="Arial" w:hAnsi="Arial" w:cs="Arial"/>
                <w:sz w:val="20"/>
                <w:szCs w:val="20"/>
              </w:rPr>
              <w:t xml:space="preserve"> proceso </w:t>
            </w:r>
            <w:r w:rsidRPr="00576180">
              <w:rPr>
                <w:rFonts w:ascii="Arial" w:hAnsi="Arial" w:cs="Arial"/>
                <w:sz w:val="20"/>
                <w:szCs w:val="20"/>
              </w:rPr>
              <w:t>de planeación</w:t>
            </w:r>
            <w:r w:rsidR="00DD7E44" w:rsidRPr="00576180">
              <w:rPr>
                <w:rFonts w:ascii="Arial" w:hAnsi="Arial" w:cs="Arial"/>
                <w:sz w:val="20"/>
                <w:szCs w:val="20"/>
              </w:rPr>
              <w:t xml:space="preserve"> estratégic</w:t>
            </w:r>
            <w:r w:rsidRPr="00576180">
              <w:rPr>
                <w:rFonts w:ascii="Arial" w:hAnsi="Arial" w:cs="Arial"/>
                <w:sz w:val="20"/>
                <w:szCs w:val="20"/>
              </w:rPr>
              <w:t>a</w:t>
            </w:r>
            <w:r w:rsidR="00DD7E44" w:rsidRPr="00576180">
              <w:rPr>
                <w:rFonts w:ascii="Arial" w:hAnsi="Arial" w:cs="Arial"/>
                <w:sz w:val="20"/>
                <w:szCs w:val="20"/>
              </w:rPr>
              <w:t xml:space="preserve"> </w:t>
            </w:r>
            <w:r w:rsidRPr="00576180">
              <w:rPr>
                <w:rFonts w:ascii="Arial" w:hAnsi="Arial" w:cs="Arial"/>
                <w:sz w:val="20"/>
                <w:szCs w:val="20"/>
              </w:rPr>
              <w:t xml:space="preserve">debe articularse </w:t>
            </w:r>
            <w:r w:rsidR="00DD7E44" w:rsidRPr="00576180">
              <w:rPr>
                <w:rFonts w:ascii="Arial" w:hAnsi="Arial" w:cs="Arial"/>
                <w:sz w:val="20"/>
                <w:szCs w:val="20"/>
              </w:rPr>
              <w:t xml:space="preserve">con el proceso presupuestario, </w:t>
            </w:r>
            <w:r w:rsidRPr="00576180">
              <w:rPr>
                <w:rFonts w:ascii="Arial" w:hAnsi="Arial" w:cs="Arial"/>
                <w:sz w:val="20"/>
                <w:szCs w:val="20"/>
              </w:rPr>
              <w:t>lo que</w:t>
            </w:r>
            <w:r w:rsidR="00DD7E44" w:rsidRPr="00576180">
              <w:rPr>
                <w:rFonts w:ascii="Arial" w:hAnsi="Arial" w:cs="Arial"/>
                <w:sz w:val="20"/>
                <w:szCs w:val="20"/>
              </w:rPr>
              <w:t xml:space="preserve"> involucra el </w:t>
            </w:r>
            <w:proofErr w:type="spellStart"/>
            <w:r w:rsidR="00DD7E44" w:rsidRPr="00576180">
              <w:rPr>
                <w:rFonts w:ascii="Arial" w:hAnsi="Arial" w:cs="Arial"/>
                <w:sz w:val="20"/>
                <w:szCs w:val="20"/>
              </w:rPr>
              <w:t>PpR</w:t>
            </w:r>
            <w:proofErr w:type="spellEnd"/>
            <w:r w:rsidR="00DD7E44" w:rsidRPr="00576180">
              <w:rPr>
                <w:rFonts w:ascii="Arial" w:hAnsi="Arial" w:cs="Arial"/>
                <w:sz w:val="20"/>
                <w:szCs w:val="20"/>
              </w:rPr>
              <w:t xml:space="preserve"> y sus instrumentos, especialmente con los programas presupuestales cuyos resultados específicos contribuyen a los resultados finales vinculados a los objetivos estratégicos.</w:t>
            </w:r>
            <w:r w:rsidR="006A0640" w:rsidRPr="00576180">
              <w:rPr>
                <w:rFonts w:ascii="Arial" w:hAnsi="Arial" w:cs="Arial"/>
                <w:sz w:val="20"/>
                <w:szCs w:val="20"/>
              </w:rPr>
              <w:t xml:space="preserve"> Además, e</w:t>
            </w:r>
            <w:r w:rsidR="00326C4D" w:rsidRPr="00576180">
              <w:rPr>
                <w:rFonts w:ascii="Arial" w:hAnsi="Arial" w:cs="Arial"/>
                <w:sz w:val="20"/>
                <w:szCs w:val="20"/>
              </w:rPr>
              <w:t xml:space="preserve">l indicador </w:t>
            </w:r>
            <w:r w:rsidR="006A0640" w:rsidRPr="00576180">
              <w:rPr>
                <w:rFonts w:ascii="Arial" w:hAnsi="Arial" w:cs="Arial"/>
                <w:sz w:val="20"/>
                <w:szCs w:val="20"/>
              </w:rPr>
              <w:t>se alinea con el</w:t>
            </w:r>
            <w:r w:rsidR="00326C4D" w:rsidRPr="00576180">
              <w:rPr>
                <w:rFonts w:ascii="Arial" w:hAnsi="Arial" w:cs="Arial"/>
                <w:sz w:val="20"/>
                <w:szCs w:val="20"/>
              </w:rPr>
              <w:t xml:space="preserve"> </w:t>
            </w:r>
            <w:r w:rsidR="00326C4D" w:rsidRPr="00576180">
              <w:rPr>
                <w:rStyle w:val="Hyperlink"/>
                <w:rFonts w:ascii="Arial" w:hAnsi="Arial" w:cs="Arial"/>
                <w:sz w:val="20"/>
                <w:szCs w:val="20"/>
              </w:rPr>
              <w:t>Plan Estratégico Institucional 2017-2019 del M</w:t>
            </w:r>
            <w:r w:rsidR="006A0640" w:rsidRPr="00576180">
              <w:rPr>
                <w:rStyle w:val="Hyperlink"/>
                <w:rFonts w:ascii="Arial" w:hAnsi="Arial" w:cs="Arial"/>
                <w:sz w:val="20"/>
                <w:szCs w:val="20"/>
              </w:rPr>
              <w:t>EF</w:t>
            </w:r>
            <w:r w:rsidR="00326C4D" w:rsidRPr="00576180">
              <w:rPr>
                <w:rFonts w:ascii="Arial" w:hAnsi="Arial" w:cs="Arial"/>
                <w:sz w:val="20"/>
                <w:szCs w:val="20"/>
              </w:rPr>
              <w:t xml:space="preserve"> en su objetivo específico </w:t>
            </w:r>
            <w:r w:rsidR="006A0640" w:rsidRPr="00576180">
              <w:rPr>
                <w:rFonts w:ascii="Arial" w:hAnsi="Arial" w:cs="Arial"/>
                <w:sz w:val="20"/>
                <w:szCs w:val="20"/>
              </w:rPr>
              <w:t xml:space="preserve">de </w:t>
            </w:r>
            <w:r w:rsidR="00326C4D" w:rsidRPr="00576180">
              <w:rPr>
                <w:rFonts w:ascii="Arial" w:hAnsi="Arial" w:cs="Arial"/>
                <w:sz w:val="20"/>
                <w:szCs w:val="20"/>
              </w:rPr>
              <w:t>mejora</w:t>
            </w:r>
            <w:r w:rsidR="006A0640" w:rsidRPr="00576180">
              <w:rPr>
                <w:rFonts w:ascii="Arial" w:hAnsi="Arial" w:cs="Arial"/>
                <w:sz w:val="20"/>
                <w:szCs w:val="20"/>
              </w:rPr>
              <w:t xml:space="preserve">r </w:t>
            </w:r>
            <w:r w:rsidR="00326C4D" w:rsidRPr="00576180">
              <w:rPr>
                <w:rFonts w:ascii="Arial" w:hAnsi="Arial" w:cs="Arial"/>
                <w:sz w:val="20"/>
                <w:szCs w:val="20"/>
              </w:rPr>
              <w:t>el desempeño del gasto público, especialmente en la acción 5.1</w:t>
            </w:r>
            <w:r w:rsidR="006A0640" w:rsidRPr="00576180">
              <w:rPr>
                <w:rFonts w:ascii="Arial" w:hAnsi="Arial" w:cs="Arial"/>
                <w:sz w:val="20"/>
                <w:szCs w:val="20"/>
              </w:rPr>
              <w:t xml:space="preserve"> de</w:t>
            </w:r>
            <w:r w:rsidR="00326C4D" w:rsidRPr="00576180">
              <w:rPr>
                <w:rFonts w:ascii="Arial" w:hAnsi="Arial" w:cs="Arial"/>
                <w:sz w:val="20"/>
                <w:szCs w:val="20"/>
              </w:rPr>
              <w:t xml:space="preserve"> fortalecer </w:t>
            </w:r>
            <w:r w:rsidR="006A0640" w:rsidRPr="00576180">
              <w:rPr>
                <w:rFonts w:ascii="Arial" w:hAnsi="Arial" w:cs="Arial"/>
                <w:sz w:val="20"/>
                <w:szCs w:val="20"/>
              </w:rPr>
              <w:t>el proceso</w:t>
            </w:r>
            <w:r w:rsidR="00326C4D" w:rsidRPr="00576180">
              <w:rPr>
                <w:rFonts w:ascii="Arial" w:hAnsi="Arial" w:cs="Arial"/>
                <w:sz w:val="20"/>
                <w:szCs w:val="20"/>
              </w:rPr>
              <w:t xml:space="preserve"> presupuestario multianual del sector público, con énfasis en el presupuesto por resultados.</w:t>
            </w:r>
          </w:p>
        </w:tc>
        <w:tc>
          <w:tcPr>
            <w:tcW w:w="1858" w:type="pct"/>
          </w:tcPr>
          <w:p w14:paraId="73350354" w14:textId="7F596E43" w:rsidR="00F01E6D" w:rsidRPr="00576180" w:rsidRDefault="00326C4D" w:rsidP="00BD229E">
            <w:pPr>
              <w:tabs>
                <w:tab w:val="left" w:pos="9000"/>
              </w:tabs>
              <w:jc w:val="both"/>
              <w:rPr>
                <w:rFonts w:ascii="Arial" w:hAnsi="Arial" w:cs="Arial"/>
                <w:sz w:val="20"/>
                <w:szCs w:val="20"/>
              </w:rPr>
            </w:pPr>
            <w:r w:rsidRPr="00576180">
              <w:rPr>
                <w:rFonts w:ascii="Arial" w:hAnsi="Arial" w:cs="Arial"/>
                <w:sz w:val="20"/>
                <w:szCs w:val="20"/>
              </w:rPr>
              <w:t xml:space="preserve">4 productos del componente </w:t>
            </w:r>
            <w:r w:rsidR="00E3041E">
              <w:rPr>
                <w:rFonts w:ascii="Arial" w:hAnsi="Arial" w:cs="Arial"/>
                <w:sz w:val="20"/>
                <w:szCs w:val="20"/>
              </w:rPr>
              <w:t>III</w:t>
            </w:r>
            <w:r w:rsidRPr="00576180">
              <w:rPr>
                <w:rFonts w:ascii="Arial" w:hAnsi="Arial" w:cs="Arial"/>
                <w:sz w:val="20"/>
                <w:szCs w:val="20"/>
              </w:rPr>
              <w:t xml:space="preserve"> </w:t>
            </w:r>
            <w:r w:rsidR="00E3041E" w:rsidRPr="00576180">
              <w:rPr>
                <w:rFonts w:ascii="Arial" w:hAnsi="Arial" w:cs="Arial"/>
                <w:sz w:val="20"/>
                <w:szCs w:val="20"/>
              </w:rPr>
              <w:t>contribuye</w:t>
            </w:r>
            <w:r w:rsidR="00E3041E">
              <w:rPr>
                <w:rFonts w:ascii="Arial" w:hAnsi="Arial" w:cs="Arial"/>
                <w:sz w:val="20"/>
                <w:szCs w:val="20"/>
              </w:rPr>
              <w:t>ron</w:t>
            </w:r>
            <w:r w:rsidR="00E3041E" w:rsidRPr="00576180">
              <w:rPr>
                <w:rFonts w:ascii="Arial" w:hAnsi="Arial" w:cs="Arial"/>
                <w:sz w:val="20"/>
                <w:szCs w:val="20"/>
              </w:rPr>
              <w:t xml:space="preserve"> </w:t>
            </w:r>
            <w:r w:rsidRPr="00576180">
              <w:rPr>
                <w:rFonts w:ascii="Arial" w:hAnsi="Arial" w:cs="Arial"/>
                <w:sz w:val="20"/>
                <w:szCs w:val="20"/>
              </w:rPr>
              <w:t xml:space="preserve">al alcance del resultado y de las políticas correspondientes. </w:t>
            </w:r>
            <w:r w:rsidR="006A0640" w:rsidRPr="00576180">
              <w:rPr>
                <w:rFonts w:ascii="Arial" w:hAnsi="Arial" w:cs="Arial"/>
                <w:sz w:val="20"/>
                <w:szCs w:val="20"/>
              </w:rPr>
              <w:t>Estos productos son</w:t>
            </w:r>
            <w:r w:rsidR="00E3041E">
              <w:rPr>
                <w:rFonts w:ascii="Arial" w:hAnsi="Arial" w:cs="Arial"/>
                <w:sz w:val="20"/>
                <w:szCs w:val="20"/>
              </w:rPr>
              <w:t xml:space="preserve"> (Grafico 1)</w:t>
            </w:r>
            <w:r w:rsidR="006A0640" w:rsidRPr="00576180">
              <w:rPr>
                <w:rFonts w:ascii="Arial" w:hAnsi="Arial" w:cs="Arial"/>
                <w:sz w:val="20"/>
                <w:szCs w:val="20"/>
              </w:rPr>
              <w:t xml:space="preserve">: </w:t>
            </w:r>
            <w:r w:rsidRPr="00576180">
              <w:rPr>
                <w:rFonts w:ascii="Arial" w:hAnsi="Arial" w:cs="Arial"/>
                <w:sz w:val="20"/>
                <w:szCs w:val="20"/>
              </w:rPr>
              <w:t>(</w:t>
            </w:r>
            <w:r w:rsidR="00E3041E">
              <w:rPr>
                <w:rFonts w:ascii="Arial" w:hAnsi="Arial" w:cs="Arial"/>
                <w:sz w:val="20"/>
                <w:szCs w:val="20"/>
              </w:rPr>
              <w:t>P3.1</w:t>
            </w:r>
            <w:r w:rsidRPr="00576180">
              <w:rPr>
                <w:rFonts w:ascii="Arial" w:hAnsi="Arial" w:cs="Arial"/>
                <w:sz w:val="20"/>
                <w:szCs w:val="20"/>
              </w:rPr>
              <w:t xml:space="preserve"> </w:t>
            </w:r>
            <w:r w:rsidR="00D77BF0" w:rsidRPr="00576180">
              <w:rPr>
                <w:rFonts w:ascii="Arial" w:hAnsi="Arial" w:cs="Arial"/>
                <w:sz w:val="20"/>
                <w:szCs w:val="20"/>
              </w:rPr>
              <w:t>guía metodológica para promover la reestructuración</w:t>
            </w:r>
            <w:r w:rsidR="00E849A3" w:rsidRPr="00576180">
              <w:rPr>
                <w:rFonts w:ascii="Arial" w:hAnsi="Arial" w:cs="Arial"/>
                <w:sz w:val="20"/>
                <w:szCs w:val="20"/>
              </w:rPr>
              <w:t xml:space="preserve"> de los programas presupuestales bajo la lógica insumo-producto</w:t>
            </w:r>
            <w:r w:rsidRPr="00576180">
              <w:rPr>
                <w:rFonts w:ascii="Arial" w:hAnsi="Arial" w:cs="Arial"/>
                <w:sz w:val="20"/>
                <w:szCs w:val="20"/>
              </w:rPr>
              <w:t>; (</w:t>
            </w:r>
            <w:r w:rsidR="00E3041E">
              <w:rPr>
                <w:rFonts w:ascii="Arial" w:hAnsi="Arial" w:cs="Arial"/>
                <w:sz w:val="20"/>
                <w:szCs w:val="20"/>
              </w:rPr>
              <w:t>P3.2</w:t>
            </w:r>
            <w:r w:rsidRPr="00576180">
              <w:rPr>
                <w:rFonts w:ascii="Arial" w:hAnsi="Arial" w:cs="Arial"/>
                <w:sz w:val="20"/>
                <w:szCs w:val="20"/>
              </w:rPr>
              <w:t xml:space="preserve">) </w:t>
            </w:r>
            <w:r w:rsidR="006A0640" w:rsidRPr="00576180">
              <w:rPr>
                <w:rFonts w:ascii="Arial" w:hAnsi="Arial" w:cs="Arial"/>
                <w:sz w:val="20"/>
                <w:szCs w:val="20"/>
              </w:rPr>
              <w:t>c</w:t>
            </w:r>
            <w:r w:rsidRPr="00576180">
              <w:rPr>
                <w:rFonts w:ascii="Arial" w:hAnsi="Arial" w:cs="Arial"/>
                <w:sz w:val="20"/>
                <w:szCs w:val="20"/>
              </w:rPr>
              <w:t xml:space="preserve">apacitación en </w:t>
            </w:r>
            <w:r w:rsidR="006A0640" w:rsidRPr="00576180">
              <w:rPr>
                <w:rFonts w:ascii="Arial" w:hAnsi="Arial" w:cs="Arial"/>
                <w:sz w:val="20"/>
                <w:szCs w:val="20"/>
              </w:rPr>
              <w:t>g</w:t>
            </w:r>
            <w:r w:rsidRPr="00576180">
              <w:rPr>
                <w:rFonts w:ascii="Arial" w:hAnsi="Arial" w:cs="Arial"/>
                <w:sz w:val="20"/>
                <w:szCs w:val="20"/>
              </w:rPr>
              <w:t xml:space="preserve">estión </w:t>
            </w:r>
            <w:r w:rsidR="006A0640" w:rsidRPr="00576180">
              <w:rPr>
                <w:rFonts w:ascii="Arial" w:hAnsi="Arial" w:cs="Arial"/>
                <w:sz w:val="20"/>
                <w:szCs w:val="20"/>
              </w:rPr>
              <w:t>p</w:t>
            </w:r>
            <w:r w:rsidRPr="00576180">
              <w:rPr>
                <w:rFonts w:ascii="Arial" w:hAnsi="Arial" w:cs="Arial"/>
                <w:sz w:val="20"/>
                <w:szCs w:val="20"/>
              </w:rPr>
              <w:t xml:space="preserve">resupuestaria y </w:t>
            </w:r>
            <w:proofErr w:type="spellStart"/>
            <w:r w:rsidRPr="00576180">
              <w:rPr>
                <w:rFonts w:ascii="Arial" w:hAnsi="Arial" w:cs="Arial"/>
                <w:sz w:val="20"/>
                <w:szCs w:val="20"/>
              </w:rPr>
              <w:t>PpR</w:t>
            </w:r>
            <w:proofErr w:type="spellEnd"/>
            <w:r w:rsidRPr="00576180">
              <w:rPr>
                <w:rFonts w:ascii="Arial" w:hAnsi="Arial" w:cs="Arial"/>
                <w:sz w:val="20"/>
                <w:szCs w:val="20"/>
              </w:rPr>
              <w:t>; (</w:t>
            </w:r>
            <w:r w:rsidR="00E3041E">
              <w:rPr>
                <w:rFonts w:ascii="Arial" w:hAnsi="Arial" w:cs="Arial"/>
                <w:sz w:val="20"/>
                <w:szCs w:val="20"/>
              </w:rPr>
              <w:t>P3.3</w:t>
            </w:r>
            <w:r w:rsidRPr="00576180">
              <w:rPr>
                <w:rFonts w:ascii="Arial" w:hAnsi="Arial" w:cs="Arial"/>
                <w:sz w:val="20"/>
                <w:szCs w:val="20"/>
              </w:rPr>
              <w:t xml:space="preserve">) </w:t>
            </w:r>
            <w:r w:rsidR="006A0640" w:rsidRPr="00576180">
              <w:rPr>
                <w:rFonts w:ascii="Arial" w:hAnsi="Arial" w:cs="Arial"/>
                <w:sz w:val="20"/>
                <w:szCs w:val="20"/>
              </w:rPr>
              <w:t>e</w:t>
            </w:r>
            <w:r w:rsidRPr="00576180">
              <w:rPr>
                <w:rFonts w:ascii="Arial" w:hAnsi="Arial" w:cs="Arial"/>
                <w:sz w:val="20"/>
                <w:szCs w:val="20"/>
              </w:rPr>
              <w:t xml:space="preserve">studio para evaluar el uso de </w:t>
            </w:r>
            <w:r w:rsidR="006A0640" w:rsidRPr="00576180">
              <w:rPr>
                <w:rFonts w:ascii="Arial" w:hAnsi="Arial" w:cs="Arial"/>
                <w:sz w:val="20"/>
                <w:szCs w:val="20"/>
              </w:rPr>
              <w:t>s</w:t>
            </w:r>
            <w:r w:rsidRPr="00576180">
              <w:rPr>
                <w:rFonts w:ascii="Arial" w:hAnsi="Arial" w:cs="Arial"/>
                <w:sz w:val="20"/>
                <w:szCs w:val="20"/>
              </w:rPr>
              <w:t xml:space="preserve">istemas de </w:t>
            </w:r>
            <w:r w:rsidR="006A0640" w:rsidRPr="00576180">
              <w:rPr>
                <w:rFonts w:ascii="Arial" w:hAnsi="Arial" w:cs="Arial"/>
                <w:sz w:val="20"/>
                <w:szCs w:val="20"/>
              </w:rPr>
              <w:t>g</w:t>
            </w:r>
            <w:r w:rsidRPr="00576180">
              <w:rPr>
                <w:rFonts w:ascii="Arial" w:hAnsi="Arial" w:cs="Arial"/>
                <w:sz w:val="20"/>
                <w:szCs w:val="20"/>
              </w:rPr>
              <w:t xml:space="preserve">estión </w:t>
            </w:r>
            <w:r w:rsidR="006A0640" w:rsidRPr="00576180">
              <w:rPr>
                <w:rFonts w:ascii="Arial" w:hAnsi="Arial" w:cs="Arial"/>
                <w:sz w:val="20"/>
                <w:szCs w:val="20"/>
              </w:rPr>
              <w:t>a</w:t>
            </w:r>
            <w:r w:rsidRPr="00576180">
              <w:rPr>
                <w:rFonts w:ascii="Arial" w:hAnsi="Arial" w:cs="Arial"/>
                <w:sz w:val="20"/>
                <w:szCs w:val="20"/>
              </w:rPr>
              <w:t xml:space="preserve">dministrativa en el proceso de </w:t>
            </w:r>
            <w:proofErr w:type="spellStart"/>
            <w:r w:rsidRPr="00576180">
              <w:rPr>
                <w:rFonts w:ascii="Arial" w:hAnsi="Arial" w:cs="Arial"/>
                <w:sz w:val="20"/>
                <w:szCs w:val="20"/>
              </w:rPr>
              <w:t>PpR</w:t>
            </w:r>
            <w:proofErr w:type="spellEnd"/>
            <w:r w:rsidRPr="00576180">
              <w:rPr>
                <w:rFonts w:ascii="Arial" w:hAnsi="Arial" w:cs="Arial"/>
                <w:sz w:val="20"/>
                <w:szCs w:val="20"/>
              </w:rPr>
              <w:t>, con el objeto de definir estándares mínimos para su interfa</w:t>
            </w:r>
            <w:r w:rsidR="006A0640" w:rsidRPr="00576180">
              <w:rPr>
                <w:rFonts w:ascii="Arial" w:hAnsi="Arial" w:cs="Arial"/>
                <w:sz w:val="20"/>
                <w:szCs w:val="20"/>
              </w:rPr>
              <w:t>z</w:t>
            </w:r>
            <w:r w:rsidRPr="00576180">
              <w:rPr>
                <w:rFonts w:ascii="Arial" w:hAnsi="Arial" w:cs="Arial"/>
                <w:sz w:val="20"/>
                <w:szCs w:val="20"/>
              </w:rPr>
              <w:t xml:space="preserve"> con el SIAF; y (</w:t>
            </w:r>
            <w:r w:rsidR="00E3041E">
              <w:rPr>
                <w:rFonts w:ascii="Arial" w:hAnsi="Arial" w:cs="Arial"/>
                <w:sz w:val="20"/>
                <w:szCs w:val="20"/>
              </w:rPr>
              <w:t>P3.4</w:t>
            </w:r>
            <w:r w:rsidRPr="00576180">
              <w:rPr>
                <w:rFonts w:ascii="Arial" w:hAnsi="Arial" w:cs="Arial"/>
                <w:sz w:val="20"/>
                <w:szCs w:val="20"/>
              </w:rPr>
              <w:t xml:space="preserve">) </w:t>
            </w:r>
            <w:r w:rsidR="00E849A3" w:rsidRPr="00576180">
              <w:rPr>
                <w:rFonts w:ascii="Arial" w:hAnsi="Arial" w:cs="Arial"/>
                <w:sz w:val="20"/>
                <w:szCs w:val="20"/>
              </w:rPr>
              <w:t>evaluaciones de diseño, impacto y desempeño realizadas y revisiones metodológicas</w:t>
            </w:r>
            <w:r w:rsidRPr="00576180">
              <w:rPr>
                <w:rFonts w:ascii="Arial" w:hAnsi="Arial" w:cs="Arial"/>
                <w:sz w:val="20"/>
                <w:szCs w:val="20"/>
              </w:rPr>
              <w:t>.</w:t>
            </w:r>
          </w:p>
        </w:tc>
      </w:tr>
    </w:tbl>
    <w:p w14:paraId="130C56E6" w14:textId="3A569394" w:rsidR="00887139" w:rsidRPr="00576180" w:rsidRDefault="00887139" w:rsidP="00D17FF5">
      <w:pPr>
        <w:pStyle w:val="ListParagraph"/>
        <w:tabs>
          <w:tab w:val="left" w:pos="9000"/>
        </w:tabs>
        <w:spacing w:before="120" w:after="120" w:line="240" w:lineRule="auto"/>
        <w:ind w:left="360"/>
        <w:jc w:val="both"/>
        <w:rPr>
          <w:rFonts w:ascii="Arial" w:hAnsi="Arial" w:cs="Arial"/>
          <w:b/>
        </w:rPr>
      </w:pPr>
      <w:bookmarkStart w:id="77" w:name="_Toc506974992"/>
      <w:bookmarkStart w:id="78" w:name="_Toc507063071"/>
      <w:bookmarkEnd w:id="76"/>
      <w:r w:rsidRPr="00576180">
        <w:rPr>
          <w:rFonts w:ascii="Arial" w:hAnsi="Arial" w:cs="Arial"/>
          <w:b/>
        </w:rPr>
        <w:t>Conclusión.</w:t>
      </w:r>
      <w:r w:rsidRPr="00576180">
        <w:rPr>
          <w:rFonts w:ascii="Arial" w:hAnsi="Arial" w:cs="Arial"/>
        </w:rPr>
        <w:t xml:space="preserve"> </w:t>
      </w:r>
      <w:r w:rsidR="00BB4C3C" w:rsidRPr="00576180">
        <w:rPr>
          <w:rFonts w:ascii="Arial" w:hAnsi="Arial" w:cs="Arial"/>
        </w:rPr>
        <w:t>De acuerdo con el análisis realizado en esta sección, s</w:t>
      </w:r>
      <w:r w:rsidRPr="00576180">
        <w:rPr>
          <w:rFonts w:ascii="Arial" w:hAnsi="Arial" w:cs="Arial"/>
        </w:rPr>
        <w:t xml:space="preserve">e concluye que </w:t>
      </w:r>
      <w:r w:rsidR="00062B58">
        <w:rPr>
          <w:rFonts w:ascii="Arial" w:hAnsi="Arial" w:cs="Arial"/>
        </w:rPr>
        <w:t>las intervenciones</w:t>
      </w:r>
      <w:r w:rsidR="00E115FE">
        <w:rPr>
          <w:rFonts w:ascii="Arial" w:hAnsi="Arial" w:cs="Arial"/>
        </w:rPr>
        <w:t xml:space="preserve"> del</w:t>
      </w:r>
      <w:r w:rsidRPr="00576180">
        <w:rPr>
          <w:rFonts w:ascii="Arial" w:hAnsi="Arial" w:cs="Arial"/>
        </w:rPr>
        <w:t xml:space="preserve"> </w:t>
      </w:r>
      <w:r w:rsidR="00E510DF" w:rsidRPr="00576180">
        <w:rPr>
          <w:rFonts w:ascii="Arial" w:hAnsi="Arial" w:cs="Arial"/>
        </w:rPr>
        <w:t>P</w:t>
      </w:r>
      <w:r w:rsidRPr="00576180">
        <w:rPr>
          <w:rFonts w:ascii="Arial" w:hAnsi="Arial" w:cs="Arial"/>
        </w:rPr>
        <w:t>rograma fue</w:t>
      </w:r>
      <w:r w:rsidR="00E115FE">
        <w:rPr>
          <w:rFonts w:ascii="Arial" w:hAnsi="Arial" w:cs="Arial"/>
        </w:rPr>
        <w:t>ron</w:t>
      </w:r>
      <w:r w:rsidRPr="00576180">
        <w:rPr>
          <w:rFonts w:ascii="Arial" w:hAnsi="Arial" w:cs="Arial"/>
        </w:rPr>
        <w:t xml:space="preserve"> relevante</w:t>
      </w:r>
      <w:r w:rsidR="00E115FE">
        <w:rPr>
          <w:rFonts w:ascii="Arial" w:hAnsi="Arial" w:cs="Arial"/>
        </w:rPr>
        <w:t>s</w:t>
      </w:r>
      <w:r w:rsidRPr="00576180">
        <w:rPr>
          <w:rFonts w:ascii="Arial" w:hAnsi="Arial" w:cs="Arial"/>
        </w:rPr>
        <w:t xml:space="preserve"> en su contribución a las necesidades de desarrollo del país</w:t>
      </w:r>
      <w:r w:rsidR="00DB65B4" w:rsidRPr="00576180">
        <w:rPr>
          <w:rFonts w:ascii="Arial" w:hAnsi="Arial" w:cs="Arial"/>
        </w:rPr>
        <w:t>.</w:t>
      </w:r>
    </w:p>
    <w:p w14:paraId="5B6E7A7D" w14:textId="77777777" w:rsidR="00120627" w:rsidRPr="00265302" w:rsidRDefault="008E2998" w:rsidP="00D17FF5">
      <w:pPr>
        <w:pStyle w:val="Heading3"/>
        <w:numPr>
          <w:ilvl w:val="0"/>
          <w:numId w:val="42"/>
        </w:numPr>
        <w:spacing w:before="120" w:after="120" w:line="240" w:lineRule="auto"/>
        <w:rPr>
          <w:rFonts w:ascii="Arial" w:hAnsi="Arial" w:cs="Arial"/>
          <w:b/>
          <w:bCs/>
          <w:color w:val="auto"/>
          <w:sz w:val="22"/>
          <w:szCs w:val="26"/>
        </w:rPr>
      </w:pPr>
      <w:bookmarkStart w:id="79" w:name="_Toc533166436"/>
      <w:bookmarkStart w:id="80" w:name="_Toc20432461"/>
      <w:bookmarkStart w:id="81" w:name="_Toc21017055"/>
      <w:r w:rsidRPr="00265302">
        <w:rPr>
          <w:rFonts w:ascii="Arial" w:hAnsi="Arial" w:cs="Arial"/>
          <w:b/>
          <w:bCs/>
          <w:color w:val="auto"/>
          <w:sz w:val="22"/>
          <w:szCs w:val="26"/>
        </w:rPr>
        <w:t xml:space="preserve">Alineación </w:t>
      </w:r>
      <w:r w:rsidR="00351F3E" w:rsidRPr="00265302">
        <w:rPr>
          <w:rFonts w:ascii="Arial" w:hAnsi="Arial" w:cs="Arial"/>
          <w:b/>
          <w:bCs/>
          <w:color w:val="auto"/>
          <w:sz w:val="22"/>
          <w:szCs w:val="26"/>
        </w:rPr>
        <w:t>e</w:t>
      </w:r>
      <w:r w:rsidRPr="00265302">
        <w:rPr>
          <w:rFonts w:ascii="Arial" w:hAnsi="Arial" w:cs="Arial"/>
          <w:b/>
          <w:bCs/>
          <w:color w:val="auto"/>
          <w:sz w:val="22"/>
          <w:szCs w:val="26"/>
        </w:rPr>
        <w:t>stratégica</w:t>
      </w:r>
      <w:bookmarkEnd w:id="77"/>
      <w:bookmarkEnd w:id="78"/>
      <w:bookmarkEnd w:id="79"/>
      <w:bookmarkEnd w:id="80"/>
      <w:bookmarkEnd w:id="81"/>
    </w:p>
    <w:p w14:paraId="385DEB72" w14:textId="50DB1C53" w:rsidR="00096711" w:rsidRPr="00576180" w:rsidRDefault="00FD69F0" w:rsidP="00D17FF5">
      <w:pPr>
        <w:pStyle w:val="ListParagraph"/>
        <w:tabs>
          <w:tab w:val="left" w:pos="9000"/>
        </w:tabs>
        <w:spacing w:before="120" w:after="120" w:line="240" w:lineRule="auto"/>
        <w:ind w:left="360"/>
        <w:contextualSpacing w:val="0"/>
        <w:jc w:val="both"/>
        <w:rPr>
          <w:rFonts w:ascii="Arial" w:hAnsi="Arial" w:cs="Arial"/>
        </w:rPr>
      </w:pPr>
      <w:r w:rsidRPr="00576180">
        <w:rPr>
          <w:rFonts w:ascii="Arial" w:hAnsi="Arial" w:cs="Arial"/>
        </w:rPr>
        <w:t xml:space="preserve">El programa fue consistente con </w:t>
      </w:r>
      <w:r w:rsidR="00EE0D76" w:rsidRPr="00576180">
        <w:rPr>
          <w:rFonts w:ascii="Arial" w:hAnsi="Arial" w:cs="Arial"/>
          <w:spacing w:val="-2"/>
        </w:rPr>
        <w:t xml:space="preserve">los </w:t>
      </w:r>
      <w:r w:rsidR="00EE0D76" w:rsidRPr="00576180">
        <w:rPr>
          <w:rFonts w:ascii="Arial" w:hAnsi="Arial" w:cs="Arial"/>
          <w:bCs/>
        </w:rPr>
        <w:t xml:space="preserve">desafíos de </w:t>
      </w:r>
      <w:r w:rsidR="00EE0D76" w:rsidRPr="00576180">
        <w:rPr>
          <w:rFonts w:ascii="Arial" w:hAnsi="Arial" w:cs="Arial"/>
        </w:rPr>
        <w:t xml:space="preserve">desarrollo de productividad e innovación y con el área transversal de capacidad institucional y </w:t>
      </w:r>
      <w:r w:rsidR="00E165F0">
        <w:rPr>
          <w:rFonts w:ascii="Arial" w:hAnsi="Arial" w:cs="Arial"/>
        </w:rPr>
        <w:t>e</w:t>
      </w:r>
      <w:r w:rsidR="00EE0D76" w:rsidRPr="00576180">
        <w:rPr>
          <w:rFonts w:ascii="Arial" w:hAnsi="Arial" w:cs="Arial"/>
        </w:rPr>
        <w:t xml:space="preserve">stado de derecho de </w:t>
      </w:r>
      <w:r w:rsidRPr="00576180">
        <w:rPr>
          <w:rFonts w:ascii="Arial" w:hAnsi="Arial" w:cs="Arial"/>
        </w:rPr>
        <w:t xml:space="preserve">la Actualización de la Estrategia </w:t>
      </w:r>
      <w:r w:rsidRPr="00576180">
        <w:rPr>
          <w:rFonts w:ascii="Arial" w:hAnsi="Arial" w:cs="Arial"/>
          <w:spacing w:val="-2"/>
        </w:rPr>
        <w:t>Institucional 2010-2020 (AB-3008)</w:t>
      </w:r>
      <w:r w:rsidRPr="00576180">
        <w:rPr>
          <w:rFonts w:ascii="Arial" w:hAnsi="Arial" w:cs="Arial"/>
        </w:rPr>
        <w:t xml:space="preserve">, mediante la mejora </w:t>
      </w:r>
      <w:r w:rsidR="00EE0D76" w:rsidRPr="00576180">
        <w:rPr>
          <w:rFonts w:ascii="Arial" w:hAnsi="Arial" w:cs="Arial"/>
        </w:rPr>
        <w:t>en la</w:t>
      </w:r>
      <w:r w:rsidRPr="00576180">
        <w:rPr>
          <w:rFonts w:ascii="Arial" w:hAnsi="Arial" w:cs="Arial"/>
        </w:rPr>
        <w:t xml:space="preserve"> gestión </w:t>
      </w:r>
      <w:r w:rsidR="00EE0D76" w:rsidRPr="00576180">
        <w:rPr>
          <w:rFonts w:ascii="Arial" w:hAnsi="Arial" w:cs="Arial"/>
        </w:rPr>
        <w:t>de las finanzas</w:t>
      </w:r>
      <w:r w:rsidRPr="00576180">
        <w:rPr>
          <w:rFonts w:ascii="Arial" w:hAnsi="Arial" w:cs="Arial"/>
        </w:rPr>
        <w:t xml:space="preserve"> públic</w:t>
      </w:r>
      <w:r w:rsidR="00EE0D76" w:rsidRPr="00576180">
        <w:rPr>
          <w:rFonts w:ascii="Arial" w:hAnsi="Arial" w:cs="Arial"/>
        </w:rPr>
        <w:t>a</w:t>
      </w:r>
      <w:r w:rsidR="00165DDA" w:rsidRPr="00576180">
        <w:rPr>
          <w:rFonts w:ascii="Arial" w:hAnsi="Arial" w:cs="Arial"/>
        </w:rPr>
        <w:t>s</w:t>
      </w:r>
      <w:r w:rsidRPr="00576180">
        <w:rPr>
          <w:rFonts w:ascii="Arial" w:hAnsi="Arial" w:cs="Arial"/>
        </w:rPr>
        <w:t xml:space="preserve"> y </w:t>
      </w:r>
      <w:r w:rsidR="00EE0D76" w:rsidRPr="00576180">
        <w:rPr>
          <w:rFonts w:ascii="Arial" w:hAnsi="Arial" w:cs="Arial"/>
        </w:rPr>
        <w:t>la</w:t>
      </w:r>
      <w:r w:rsidRPr="00576180">
        <w:rPr>
          <w:rFonts w:ascii="Arial" w:hAnsi="Arial" w:cs="Arial"/>
        </w:rPr>
        <w:t xml:space="preserve"> capacidad </w:t>
      </w:r>
      <w:r w:rsidR="00EE0D76" w:rsidRPr="00576180">
        <w:rPr>
          <w:rFonts w:ascii="Arial" w:hAnsi="Arial" w:cs="Arial"/>
        </w:rPr>
        <w:t>de</w:t>
      </w:r>
      <w:r w:rsidRPr="00576180">
        <w:rPr>
          <w:rFonts w:ascii="Arial" w:hAnsi="Arial" w:cs="Arial"/>
        </w:rPr>
        <w:t xml:space="preserve"> reducción de los costos de administración/transacción </w:t>
      </w:r>
      <w:r w:rsidR="00EE0D76" w:rsidRPr="00576180">
        <w:rPr>
          <w:rFonts w:ascii="Arial" w:hAnsi="Arial" w:cs="Arial"/>
        </w:rPr>
        <w:t>de</w:t>
      </w:r>
      <w:r w:rsidRPr="00576180">
        <w:rPr>
          <w:rFonts w:ascii="Arial" w:hAnsi="Arial" w:cs="Arial"/>
        </w:rPr>
        <w:t xml:space="preserve"> los sistemas informatizados.</w:t>
      </w:r>
      <w:r w:rsidRPr="00576180">
        <w:rPr>
          <w:rFonts w:ascii="Arial" w:eastAsia="Times New Roman" w:hAnsi="Arial" w:cs="Arial"/>
          <w:bCs/>
        </w:rPr>
        <w:t xml:space="preserve"> </w:t>
      </w:r>
      <w:r w:rsidRPr="00576180">
        <w:rPr>
          <w:rFonts w:ascii="Arial" w:hAnsi="Arial" w:cs="Arial"/>
        </w:rPr>
        <w:t>Adicionalmente, el Programa contribuyó al Marco de Resultados Corporativos</w:t>
      </w:r>
      <w:r w:rsidR="00F36D95" w:rsidRPr="00576180">
        <w:rPr>
          <w:rFonts w:ascii="Arial" w:hAnsi="Arial" w:cs="Arial"/>
        </w:rPr>
        <w:t xml:space="preserve"> </w:t>
      </w:r>
      <w:r w:rsidRPr="00576180">
        <w:rPr>
          <w:rFonts w:ascii="Arial" w:hAnsi="Arial" w:cs="Arial"/>
        </w:rPr>
        <w:t>2016</w:t>
      </w:r>
      <w:r w:rsidRPr="00576180">
        <w:rPr>
          <w:rFonts w:ascii="Arial" w:hAnsi="Arial" w:cs="Arial"/>
        </w:rPr>
        <w:noBreakHyphen/>
        <w:t>2019 (GN</w:t>
      </w:r>
      <w:r w:rsidRPr="00576180">
        <w:rPr>
          <w:rFonts w:ascii="Arial" w:hAnsi="Arial" w:cs="Arial"/>
        </w:rPr>
        <w:noBreakHyphen/>
        <w:t xml:space="preserve">2727-6), </w:t>
      </w:r>
      <w:r w:rsidR="00F36D95" w:rsidRPr="00576180">
        <w:rPr>
          <w:rFonts w:ascii="Arial" w:hAnsi="Arial" w:cs="Arial"/>
        </w:rPr>
        <w:t xml:space="preserve">mediante la mejora de </w:t>
      </w:r>
      <w:r w:rsidR="00165DDA" w:rsidRPr="00576180">
        <w:rPr>
          <w:rFonts w:ascii="Arial" w:hAnsi="Arial" w:cs="Arial"/>
        </w:rPr>
        <w:t xml:space="preserve">la </w:t>
      </w:r>
      <w:r w:rsidRPr="00576180">
        <w:rPr>
          <w:rFonts w:ascii="Arial" w:hAnsi="Arial" w:cs="Arial"/>
        </w:rPr>
        <w:t>gestión financiera</w:t>
      </w:r>
      <w:r w:rsidR="00F36D95" w:rsidRPr="00576180">
        <w:rPr>
          <w:rFonts w:ascii="Arial" w:hAnsi="Arial" w:cs="Arial"/>
        </w:rPr>
        <w:t xml:space="preserve"> (</w:t>
      </w:r>
      <w:r w:rsidRPr="00576180">
        <w:rPr>
          <w:rFonts w:ascii="Arial" w:hAnsi="Arial" w:cs="Arial"/>
        </w:rPr>
        <w:t xml:space="preserve">indicador </w:t>
      </w:r>
      <w:r w:rsidR="00F36D95" w:rsidRPr="00576180">
        <w:rPr>
          <w:rFonts w:ascii="Arial" w:hAnsi="Arial" w:cs="Arial"/>
        </w:rPr>
        <w:t xml:space="preserve">de </w:t>
      </w:r>
      <w:r w:rsidRPr="00576180">
        <w:rPr>
          <w:rFonts w:ascii="Arial" w:hAnsi="Arial" w:cs="Arial"/>
        </w:rPr>
        <w:t>agencias gubernamentales beneficiadas por proyectos que fortalecen los instrumentos tecnológicos</w:t>
      </w:r>
      <w:r w:rsidR="00F36D95" w:rsidRPr="00576180">
        <w:rPr>
          <w:rFonts w:ascii="Arial" w:hAnsi="Arial" w:cs="Arial"/>
        </w:rPr>
        <w:t xml:space="preserve"> </w:t>
      </w:r>
      <w:r w:rsidRPr="00576180">
        <w:rPr>
          <w:rFonts w:ascii="Arial" w:hAnsi="Arial" w:cs="Arial"/>
        </w:rPr>
        <w:t>para mejorar la provisión de servicios</w:t>
      </w:r>
      <w:r w:rsidR="00F36D95" w:rsidRPr="00576180">
        <w:rPr>
          <w:rFonts w:ascii="Arial" w:hAnsi="Arial" w:cs="Arial"/>
        </w:rPr>
        <w:t>)</w:t>
      </w:r>
      <w:r w:rsidRPr="00576180">
        <w:rPr>
          <w:rFonts w:ascii="Arial" w:hAnsi="Arial" w:cs="Arial"/>
        </w:rPr>
        <w:t>. Además,</w:t>
      </w:r>
      <w:r w:rsidR="00F36D95" w:rsidRPr="00576180">
        <w:rPr>
          <w:rFonts w:ascii="Arial" w:hAnsi="Arial" w:cs="Arial"/>
        </w:rPr>
        <w:t xml:space="preserve"> el Programa</w:t>
      </w:r>
      <w:r w:rsidRPr="00576180">
        <w:rPr>
          <w:rFonts w:ascii="Arial" w:hAnsi="Arial" w:cs="Arial"/>
        </w:rPr>
        <w:t xml:space="preserve"> es consistente con la Estrategia Sectorial sobre las Instituciones para el Crecimiento y el Bienestar Social (GN-2587-2)</w:t>
      </w:r>
      <w:r w:rsidR="00724479" w:rsidRPr="00576180">
        <w:rPr>
          <w:rFonts w:ascii="Arial" w:hAnsi="Arial" w:cs="Arial"/>
        </w:rPr>
        <w:t xml:space="preserve"> y</w:t>
      </w:r>
      <w:r w:rsidR="00F36D95" w:rsidRPr="00576180">
        <w:rPr>
          <w:rFonts w:ascii="Arial" w:hAnsi="Arial" w:cs="Arial"/>
        </w:rPr>
        <w:t xml:space="preserve"> </w:t>
      </w:r>
      <w:r w:rsidRPr="00576180">
        <w:rPr>
          <w:rFonts w:ascii="Arial" w:hAnsi="Arial" w:cs="Arial"/>
        </w:rPr>
        <w:t>con el Marco Sectorial de Política y Gestión Fiscal (GN</w:t>
      </w:r>
      <w:r w:rsidRPr="00576180">
        <w:rPr>
          <w:rFonts w:ascii="Arial" w:hAnsi="Arial" w:cs="Arial"/>
        </w:rPr>
        <w:noBreakHyphen/>
        <w:t>2831</w:t>
      </w:r>
      <w:r w:rsidRPr="00576180">
        <w:rPr>
          <w:rFonts w:ascii="Arial" w:hAnsi="Arial" w:cs="Arial"/>
        </w:rPr>
        <w:noBreakHyphen/>
        <w:t xml:space="preserve">3). </w:t>
      </w:r>
      <w:r w:rsidR="001A0819" w:rsidRPr="00576180">
        <w:rPr>
          <w:rFonts w:ascii="Arial" w:hAnsi="Arial" w:cs="Arial"/>
        </w:rPr>
        <w:t>Por último, el Programa está</w:t>
      </w:r>
      <w:r w:rsidR="00C45BBF" w:rsidRPr="00576180">
        <w:rPr>
          <w:rFonts w:ascii="Arial" w:hAnsi="Arial" w:cs="Arial"/>
        </w:rPr>
        <w:t xml:space="preserve"> alineado</w:t>
      </w:r>
      <w:r w:rsidR="00E14BA7" w:rsidRPr="00576180">
        <w:rPr>
          <w:rFonts w:ascii="Arial" w:hAnsi="Arial" w:cs="Arial"/>
        </w:rPr>
        <w:t xml:space="preserve"> con la EBP</w:t>
      </w:r>
      <w:r w:rsidR="00C45BBF" w:rsidRPr="00576180">
        <w:rPr>
          <w:rFonts w:ascii="Arial" w:hAnsi="Arial" w:cs="Arial"/>
        </w:rPr>
        <w:t xml:space="preserve"> 2007-2011</w:t>
      </w:r>
      <w:r w:rsidR="00E14BA7" w:rsidRPr="00576180">
        <w:rPr>
          <w:rFonts w:ascii="Arial" w:hAnsi="Arial" w:cs="Arial"/>
        </w:rPr>
        <w:t xml:space="preserve"> (GN-2472-2), en lo relacionado con la modernización del gobierno nacional y la consolidación de los sistemas fiduciarios y de gestión</w:t>
      </w:r>
      <w:r w:rsidR="00C45BBF" w:rsidRPr="00576180">
        <w:rPr>
          <w:rFonts w:ascii="Arial" w:hAnsi="Arial" w:cs="Arial"/>
        </w:rPr>
        <w:t xml:space="preserve">, y </w:t>
      </w:r>
      <w:r w:rsidRPr="00576180">
        <w:rPr>
          <w:rFonts w:ascii="Arial" w:hAnsi="Arial" w:cs="Arial"/>
        </w:rPr>
        <w:t xml:space="preserve">con la </w:t>
      </w:r>
      <w:r w:rsidR="001A0819" w:rsidRPr="00576180">
        <w:rPr>
          <w:rFonts w:ascii="Arial" w:hAnsi="Arial" w:cs="Arial"/>
        </w:rPr>
        <w:t xml:space="preserve">EBP </w:t>
      </w:r>
      <w:r w:rsidRPr="00576180">
        <w:rPr>
          <w:rFonts w:ascii="Arial" w:hAnsi="Arial" w:cs="Arial"/>
        </w:rPr>
        <w:t>2017</w:t>
      </w:r>
      <w:r w:rsidRPr="00576180">
        <w:rPr>
          <w:rFonts w:ascii="Arial" w:hAnsi="Arial" w:cs="Arial"/>
        </w:rPr>
        <w:noBreakHyphen/>
        <w:t>2021 (GN</w:t>
      </w:r>
      <w:r w:rsidRPr="00576180">
        <w:rPr>
          <w:rFonts w:ascii="Arial" w:hAnsi="Arial" w:cs="Arial"/>
        </w:rPr>
        <w:noBreakHyphen/>
        <w:t>2889)</w:t>
      </w:r>
      <w:r w:rsidR="001A0819" w:rsidRPr="00576180">
        <w:rPr>
          <w:rFonts w:ascii="Arial" w:hAnsi="Arial" w:cs="Arial"/>
        </w:rPr>
        <w:t xml:space="preserve">, </w:t>
      </w:r>
      <w:r w:rsidRPr="00576180">
        <w:rPr>
          <w:rFonts w:ascii="Arial" w:hAnsi="Arial" w:cs="Arial"/>
        </w:rPr>
        <w:t>al contribuir</w:t>
      </w:r>
      <w:r w:rsidR="001A0819" w:rsidRPr="00576180">
        <w:rPr>
          <w:rFonts w:ascii="Arial" w:hAnsi="Arial" w:cs="Arial"/>
        </w:rPr>
        <w:t xml:space="preserve"> a </w:t>
      </w:r>
      <w:r w:rsidRPr="00576180">
        <w:rPr>
          <w:rFonts w:ascii="Arial" w:hAnsi="Arial" w:cs="Arial"/>
        </w:rPr>
        <w:t xml:space="preserve">mejorar la gestión pública </w:t>
      </w:r>
      <w:r w:rsidR="001A0819" w:rsidRPr="00576180">
        <w:rPr>
          <w:rFonts w:ascii="Arial" w:hAnsi="Arial" w:cs="Arial"/>
        </w:rPr>
        <w:t>e incrementar el</w:t>
      </w:r>
      <w:r w:rsidRPr="00576180">
        <w:rPr>
          <w:rFonts w:ascii="Arial" w:hAnsi="Arial" w:cs="Arial"/>
        </w:rPr>
        <w:t xml:space="preserve"> uso de TI en trámites gubernamentales.</w:t>
      </w:r>
    </w:p>
    <w:p w14:paraId="061E4CAF" w14:textId="5B34BD2E" w:rsidR="00887139" w:rsidRPr="00576180" w:rsidRDefault="00887139" w:rsidP="00D17FF5">
      <w:pPr>
        <w:pStyle w:val="ListParagraph"/>
        <w:tabs>
          <w:tab w:val="left" w:pos="9000"/>
        </w:tabs>
        <w:spacing w:before="120" w:after="120" w:line="240" w:lineRule="auto"/>
        <w:ind w:left="360"/>
        <w:contextualSpacing w:val="0"/>
        <w:jc w:val="both"/>
        <w:rPr>
          <w:rFonts w:ascii="Arial" w:hAnsi="Arial" w:cs="Arial"/>
        </w:rPr>
      </w:pPr>
      <w:bookmarkStart w:id="82" w:name="_Toc506974993"/>
      <w:bookmarkStart w:id="83" w:name="_Toc507063072"/>
      <w:r w:rsidRPr="00576180">
        <w:rPr>
          <w:rFonts w:ascii="Arial" w:hAnsi="Arial" w:cs="Arial"/>
          <w:b/>
        </w:rPr>
        <w:t>Conclusión.</w:t>
      </w:r>
      <w:r w:rsidRPr="00576180">
        <w:rPr>
          <w:rFonts w:ascii="Arial" w:hAnsi="Arial" w:cs="Arial"/>
        </w:rPr>
        <w:t xml:space="preserve"> </w:t>
      </w:r>
      <w:r w:rsidR="00724479" w:rsidRPr="00576180">
        <w:rPr>
          <w:rFonts w:ascii="Arial" w:hAnsi="Arial" w:cs="Arial"/>
        </w:rPr>
        <w:t>De acuerdo con el análisis realizado en esta sección, se</w:t>
      </w:r>
      <w:r w:rsidRPr="00576180">
        <w:rPr>
          <w:rFonts w:ascii="Arial" w:hAnsi="Arial" w:cs="Arial"/>
        </w:rPr>
        <w:t xml:space="preserve"> concluye que el </w:t>
      </w:r>
      <w:r w:rsidR="00994619" w:rsidRPr="00576180">
        <w:rPr>
          <w:rFonts w:ascii="Arial" w:hAnsi="Arial" w:cs="Arial"/>
        </w:rPr>
        <w:t>P</w:t>
      </w:r>
      <w:r w:rsidRPr="00576180">
        <w:rPr>
          <w:rFonts w:ascii="Arial" w:hAnsi="Arial" w:cs="Arial"/>
        </w:rPr>
        <w:t>rograma fue relevante en su contribución a las estrategias de desarrollo del Banco</w:t>
      </w:r>
      <w:r w:rsidR="00D579B4" w:rsidRPr="00576180">
        <w:rPr>
          <w:rFonts w:ascii="Arial" w:hAnsi="Arial" w:cs="Arial"/>
        </w:rPr>
        <w:t xml:space="preserve">, tanto en </w:t>
      </w:r>
      <w:r w:rsidR="00AF74ED" w:rsidRPr="00576180">
        <w:rPr>
          <w:rFonts w:ascii="Arial" w:hAnsi="Arial" w:cs="Arial"/>
        </w:rPr>
        <w:t>la</w:t>
      </w:r>
      <w:r w:rsidR="007A145F" w:rsidRPr="00576180">
        <w:rPr>
          <w:rFonts w:ascii="Arial" w:hAnsi="Arial" w:cs="Arial"/>
        </w:rPr>
        <w:t xml:space="preserve"> fase de</w:t>
      </w:r>
      <w:r w:rsidR="00D579B4" w:rsidRPr="00576180">
        <w:rPr>
          <w:rFonts w:ascii="Arial" w:hAnsi="Arial" w:cs="Arial"/>
        </w:rPr>
        <w:t xml:space="preserve"> </w:t>
      </w:r>
      <w:r w:rsidR="00AF74ED" w:rsidRPr="00576180">
        <w:rPr>
          <w:rFonts w:ascii="Arial" w:hAnsi="Arial" w:cs="Arial"/>
        </w:rPr>
        <w:t>diseño,</w:t>
      </w:r>
      <w:r w:rsidR="00D579B4" w:rsidRPr="00576180">
        <w:rPr>
          <w:rFonts w:ascii="Arial" w:hAnsi="Arial" w:cs="Arial"/>
        </w:rPr>
        <w:t xml:space="preserve"> así como </w:t>
      </w:r>
      <w:r w:rsidR="00701B70" w:rsidRPr="00576180">
        <w:rPr>
          <w:rFonts w:ascii="Arial" w:hAnsi="Arial" w:cs="Arial"/>
        </w:rPr>
        <w:t xml:space="preserve">durante </w:t>
      </w:r>
      <w:r w:rsidR="00AF74ED" w:rsidRPr="00576180">
        <w:rPr>
          <w:rFonts w:ascii="Arial" w:hAnsi="Arial" w:cs="Arial"/>
        </w:rPr>
        <w:t>la</w:t>
      </w:r>
      <w:r w:rsidR="00D579B4" w:rsidRPr="00576180">
        <w:rPr>
          <w:rFonts w:ascii="Arial" w:hAnsi="Arial" w:cs="Arial"/>
        </w:rPr>
        <w:t xml:space="preserve"> ejecución</w:t>
      </w:r>
      <w:r w:rsidR="00E165F0">
        <w:rPr>
          <w:rFonts w:ascii="Arial" w:hAnsi="Arial" w:cs="Arial"/>
        </w:rPr>
        <w:t xml:space="preserve"> y culminación del programa</w:t>
      </w:r>
      <w:r w:rsidR="00D579B4" w:rsidRPr="00576180">
        <w:rPr>
          <w:rFonts w:ascii="Arial" w:hAnsi="Arial" w:cs="Arial"/>
        </w:rPr>
        <w:t>.</w:t>
      </w:r>
    </w:p>
    <w:p w14:paraId="53708800" w14:textId="0ED71B4B" w:rsidR="008E2998" w:rsidRPr="00576180" w:rsidRDefault="008E2998" w:rsidP="00D17FF5">
      <w:pPr>
        <w:pStyle w:val="Heading3"/>
        <w:numPr>
          <w:ilvl w:val="0"/>
          <w:numId w:val="42"/>
        </w:numPr>
        <w:spacing w:before="120" w:after="120" w:line="240" w:lineRule="auto"/>
        <w:rPr>
          <w:rFonts w:ascii="Arial" w:hAnsi="Arial" w:cs="Arial"/>
          <w:b/>
          <w:bCs/>
          <w:color w:val="auto"/>
          <w:sz w:val="22"/>
          <w:szCs w:val="26"/>
        </w:rPr>
      </w:pPr>
      <w:bookmarkStart w:id="84" w:name="_Toc533166437"/>
      <w:bookmarkStart w:id="85" w:name="_Toc20432462"/>
      <w:bookmarkStart w:id="86" w:name="_Toc21017056"/>
      <w:r w:rsidRPr="00576180">
        <w:rPr>
          <w:rFonts w:ascii="Arial" w:hAnsi="Arial" w:cs="Arial"/>
          <w:b/>
          <w:bCs/>
          <w:color w:val="auto"/>
          <w:sz w:val="22"/>
          <w:szCs w:val="26"/>
        </w:rPr>
        <w:lastRenderedPageBreak/>
        <w:t xml:space="preserve">Relevancia del </w:t>
      </w:r>
      <w:bookmarkStart w:id="87" w:name="_Toc506484927"/>
      <w:r w:rsidR="00351F3E" w:rsidRPr="00576180">
        <w:rPr>
          <w:rFonts w:ascii="Arial" w:hAnsi="Arial" w:cs="Arial"/>
          <w:b/>
          <w:bCs/>
          <w:color w:val="auto"/>
          <w:sz w:val="22"/>
          <w:szCs w:val="26"/>
        </w:rPr>
        <w:t>d</w:t>
      </w:r>
      <w:r w:rsidRPr="00576180">
        <w:rPr>
          <w:rFonts w:ascii="Arial" w:hAnsi="Arial" w:cs="Arial"/>
          <w:b/>
          <w:bCs/>
          <w:color w:val="auto"/>
          <w:sz w:val="22"/>
          <w:szCs w:val="26"/>
        </w:rPr>
        <w:t>iseño</w:t>
      </w:r>
      <w:bookmarkEnd w:id="82"/>
      <w:bookmarkEnd w:id="83"/>
      <w:bookmarkEnd w:id="84"/>
      <w:bookmarkEnd w:id="85"/>
      <w:r w:rsidR="003938F1">
        <w:rPr>
          <w:rStyle w:val="FootnoteReference"/>
          <w:rFonts w:ascii="Arial" w:hAnsi="Arial" w:cs="Arial"/>
          <w:b/>
          <w:bCs/>
          <w:color w:val="auto"/>
          <w:sz w:val="22"/>
          <w:szCs w:val="26"/>
        </w:rPr>
        <w:footnoteReference w:id="7"/>
      </w:r>
      <w:bookmarkEnd w:id="86"/>
      <w:r w:rsidRPr="00576180">
        <w:rPr>
          <w:rFonts w:ascii="Arial" w:hAnsi="Arial" w:cs="Arial"/>
          <w:b/>
          <w:bCs/>
          <w:color w:val="auto"/>
          <w:sz w:val="22"/>
          <w:szCs w:val="26"/>
        </w:rPr>
        <w:t xml:space="preserve"> </w:t>
      </w:r>
      <w:bookmarkEnd w:id="87"/>
    </w:p>
    <w:p w14:paraId="6837F69C" w14:textId="69688447" w:rsidR="009F76B6" w:rsidRPr="00576180" w:rsidRDefault="000D796A" w:rsidP="00D17FF5">
      <w:pPr>
        <w:pStyle w:val="ListParagraph"/>
        <w:tabs>
          <w:tab w:val="left" w:pos="9000"/>
        </w:tabs>
        <w:spacing w:before="120" w:after="120" w:line="240" w:lineRule="auto"/>
        <w:ind w:left="360"/>
        <w:contextualSpacing w:val="0"/>
        <w:jc w:val="both"/>
        <w:rPr>
          <w:rFonts w:ascii="Arial" w:hAnsi="Arial" w:cs="Arial"/>
        </w:rPr>
      </w:pPr>
      <w:r>
        <w:rPr>
          <w:rFonts w:ascii="Arial" w:hAnsi="Arial" w:cs="Arial"/>
        </w:rPr>
        <w:t>En la fase de preparación, l</w:t>
      </w:r>
      <w:r w:rsidR="009F76B6" w:rsidRPr="00576180">
        <w:rPr>
          <w:rFonts w:ascii="Arial" w:hAnsi="Arial" w:cs="Arial"/>
        </w:rPr>
        <w:t xml:space="preserve">a DEM </w:t>
      </w:r>
      <w:r w:rsidR="0012209B" w:rsidRPr="00576180">
        <w:rPr>
          <w:rFonts w:ascii="Arial" w:hAnsi="Arial" w:cs="Arial"/>
        </w:rPr>
        <w:t>detalló</w:t>
      </w:r>
      <w:r w:rsidR="009F76B6" w:rsidRPr="00576180">
        <w:rPr>
          <w:rFonts w:ascii="Arial" w:hAnsi="Arial" w:cs="Arial"/>
        </w:rPr>
        <w:t xml:space="preserve"> </w:t>
      </w:r>
      <w:r w:rsidR="0012209B" w:rsidRPr="00576180">
        <w:rPr>
          <w:rFonts w:ascii="Arial" w:hAnsi="Arial" w:cs="Arial"/>
        </w:rPr>
        <w:t>que el</w:t>
      </w:r>
      <w:r w:rsidR="009F76B6" w:rsidRPr="00576180">
        <w:rPr>
          <w:rFonts w:ascii="Arial" w:eastAsia="Arial" w:hAnsi="Arial" w:cs="Arial"/>
        </w:rPr>
        <w:t xml:space="preserve"> </w:t>
      </w:r>
      <w:r w:rsidR="00491667" w:rsidRPr="00576180">
        <w:rPr>
          <w:rFonts w:ascii="Arial" w:eastAsia="Arial" w:hAnsi="Arial" w:cs="Arial"/>
        </w:rPr>
        <w:t>Programa</w:t>
      </w:r>
      <w:r w:rsidR="005C633B" w:rsidRPr="00576180">
        <w:rPr>
          <w:rFonts w:ascii="Arial" w:eastAsia="Arial" w:hAnsi="Arial" w:cs="Arial"/>
        </w:rPr>
        <w:t xml:space="preserve"> tenía como base</w:t>
      </w:r>
      <w:r w:rsidR="00491667" w:rsidRPr="00576180">
        <w:rPr>
          <w:rFonts w:ascii="Arial" w:eastAsia="Arial" w:hAnsi="Arial" w:cs="Arial"/>
        </w:rPr>
        <w:t xml:space="preserve"> </w:t>
      </w:r>
      <w:r w:rsidR="009F76B6" w:rsidRPr="00576180">
        <w:rPr>
          <w:rFonts w:ascii="Arial" w:eastAsia="Arial" w:hAnsi="Arial" w:cs="Arial"/>
        </w:rPr>
        <w:t>un diagnóstico completo del SIAF</w:t>
      </w:r>
      <w:r w:rsidR="005C633B" w:rsidRPr="00576180">
        <w:rPr>
          <w:rFonts w:ascii="Arial" w:eastAsia="Arial" w:hAnsi="Arial" w:cs="Arial"/>
        </w:rPr>
        <w:t xml:space="preserve">, el cual </w:t>
      </w:r>
      <w:r w:rsidR="009F76B6" w:rsidRPr="00576180">
        <w:rPr>
          <w:rFonts w:ascii="Arial" w:eastAsia="Arial" w:hAnsi="Arial" w:cs="Arial"/>
        </w:rPr>
        <w:t>identificaba las</w:t>
      </w:r>
      <w:r w:rsidR="009F76B6" w:rsidRPr="00576180">
        <w:rPr>
          <w:rFonts w:ascii="Arial" w:eastAsia="Arial" w:hAnsi="Arial" w:cs="Arial"/>
          <w:b/>
          <w:i/>
        </w:rPr>
        <w:t xml:space="preserve"> </w:t>
      </w:r>
      <w:r w:rsidR="009F76B6" w:rsidRPr="00576180">
        <w:rPr>
          <w:rFonts w:ascii="Arial" w:eastAsia="Arial" w:hAnsi="Arial" w:cs="Arial"/>
        </w:rPr>
        <w:t xml:space="preserve">principales deficiencias de </w:t>
      </w:r>
      <w:r w:rsidR="00CE1F13" w:rsidRPr="00576180">
        <w:rPr>
          <w:rFonts w:ascii="Arial" w:eastAsia="Arial" w:hAnsi="Arial" w:cs="Arial"/>
        </w:rPr>
        <w:t>los</w:t>
      </w:r>
      <w:r w:rsidR="009F76B6" w:rsidRPr="00576180">
        <w:rPr>
          <w:rFonts w:ascii="Arial" w:eastAsia="Arial" w:hAnsi="Arial" w:cs="Arial"/>
        </w:rPr>
        <w:t xml:space="preserve"> procesos y sistemas, </w:t>
      </w:r>
      <w:r w:rsidR="00CE1F13" w:rsidRPr="00576180">
        <w:rPr>
          <w:rFonts w:ascii="Arial" w:eastAsia="Arial" w:hAnsi="Arial" w:cs="Arial"/>
        </w:rPr>
        <w:t>y la magnitud</w:t>
      </w:r>
      <w:r w:rsidR="009F76B6" w:rsidRPr="00576180">
        <w:rPr>
          <w:rFonts w:ascii="Arial" w:eastAsia="Arial" w:hAnsi="Arial" w:cs="Arial"/>
        </w:rPr>
        <w:t xml:space="preserve"> de casi todos ellos. Un análisis de costo-efectividad se </w:t>
      </w:r>
      <w:r w:rsidR="005C633B" w:rsidRPr="00576180">
        <w:rPr>
          <w:rFonts w:ascii="Arial" w:eastAsia="Arial" w:hAnsi="Arial" w:cs="Arial"/>
        </w:rPr>
        <w:t>realizó</w:t>
      </w:r>
      <w:r w:rsidR="009F76B6" w:rsidRPr="00576180">
        <w:rPr>
          <w:rFonts w:ascii="Arial" w:eastAsia="Arial" w:hAnsi="Arial" w:cs="Arial"/>
        </w:rPr>
        <w:t xml:space="preserve"> con anterioridad al diseño del </w:t>
      </w:r>
      <w:r w:rsidR="005C633B" w:rsidRPr="00576180">
        <w:rPr>
          <w:rFonts w:ascii="Arial" w:eastAsia="Arial" w:hAnsi="Arial" w:cs="Arial"/>
        </w:rPr>
        <w:t>Programa</w:t>
      </w:r>
      <w:r w:rsidR="009F76B6" w:rsidRPr="00576180">
        <w:rPr>
          <w:rFonts w:ascii="Arial" w:eastAsia="Arial" w:hAnsi="Arial" w:cs="Arial"/>
        </w:rPr>
        <w:t xml:space="preserve"> para determinar el tipo de solución informática a desarrollar. Cuatro opciones fueron analizadas, todas conducentes a lograr los mismos resultados en términos de aumento de la eficiencia. El </w:t>
      </w:r>
      <w:r w:rsidR="005C633B" w:rsidRPr="00576180">
        <w:rPr>
          <w:rFonts w:ascii="Arial" w:eastAsia="Arial" w:hAnsi="Arial" w:cs="Arial"/>
        </w:rPr>
        <w:t>Programa</w:t>
      </w:r>
      <w:r w:rsidR="009F76B6" w:rsidRPr="00576180">
        <w:rPr>
          <w:rFonts w:ascii="Arial" w:eastAsia="Arial" w:hAnsi="Arial" w:cs="Arial"/>
        </w:rPr>
        <w:t xml:space="preserve"> tenía un buen conjunto de indicadores para la medición de los resultados, incluyendo </w:t>
      </w:r>
      <w:r w:rsidR="00337FD8" w:rsidRPr="00576180">
        <w:rPr>
          <w:rFonts w:ascii="Arial" w:eastAsia="Arial" w:hAnsi="Arial" w:cs="Arial"/>
        </w:rPr>
        <w:t>tres</w:t>
      </w:r>
      <w:r w:rsidR="009F76B6" w:rsidRPr="00576180">
        <w:rPr>
          <w:rFonts w:ascii="Arial" w:eastAsia="Arial" w:hAnsi="Arial" w:cs="Arial"/>
        </w:rPr>
        <w:t xml:space="preserve"> indicadores relevantes del PEFA. Los productos estaban claramente establecidos</w:t>
      </w:r>
      <w:r w:rsidR="00E165F0">
        <w:rPr>
          <w:rFonts w:ascii="Arial" w:eastAsia="Arial" w:hAnsi="Arial" w:cs="Arial"/>
        </w:rPr>
        <w:t xml:space="preserve"> y</w:t>
      </w:r>
      <w:r w:rsidR="009F76B6" w:rsidRPr="00576180">
        <w:rPr>
          <w:rFonts w:ascii="Arial" w:eastAsia="Arial" w:hAnsi="Arial" w:cs="Arial"/>
        </w:rPr>
        <w:t xml:space="preserve"> </w:t>
      </w:r>
      <w:r w:rsidR="00E165F0">
        <w:rPr>
          <w:rFonts w:ascii="Arial" w:eastAsia="Arial" w:hAnsi="Arial" w:cs="Arial"/>
        </w:rPr>
        <w:t>t</w:t>
      </w:r>
      <w:r w:rsidR="009F76B6" w:rsidRPr="00576180">
        <w:rPr>
          <w:rFonts w:ascii="Arial" w:eastAsia="Arial" w:hAnsi="Arial" w:cs="Arial"/>
        </w:rPr>
        <w:t>odos los indicadores eran SMART</w:t>
      </w:r>
      <w:r w:rsidR="00E165F0">
        <w:rPr>
          <w:rFonts w:ascii="Arial" w:eastAsia="Arial" w:hAnsi="Arial" w:cs="Arial"/>
        </w:rPr>
        <w:t xml:space="preserve">, siendo que uno de ellos </w:t>
      </w:r>
      <w:r w:rsidR="009F76B6" w:rsidRPr="00576180">
        <w:rPr>
          <w:rFonts w:ascii="Arial" w:eastAsia="Arial" w:hAnsi="Arial" w:cs="Arial"/>
        </w:rPr>
        <w:t>carecía de una línea de base (número de cuentas</w:t>
      </w:r>
      <w:r w:rsidR="00723343" w:rsidRPr="00576180">
        <w:rPr>
          <w:rFonts w:ascii="Arial" w:eastAsia="Arial" w:hAnsi="Arial" w:cs="Arial"/>
        </w:rPr>
        <w:t xml:space="preserve"> </w:t>
      </w:r>
      <w:r w:rsidR="00C73A51" w:rsidRPr="00576180">
        <w:rPr>
          <w:rFonts w:ascii="Arial" w:eastAsia="Arial" w:hAnsi="Arial" w:cs="Arial"/>
        </w:rPr>
        <w:t>bancarias incorporadas</w:t>
      </w:r>
      <w:r w:rsidR="009F76B6" w:rsidRPr="00576180">
        <w:rPr>
          <w:rFonts w:ascii="Arial" w:eastAsia="Arial" w:hAnsi="Arial" w:cs="Arial"/>
        </w:rPr>
        <w:t xml:space="preserve"> en</w:t>
      </w:r>
      <w:r w:rsidR="00723343" w:rsidRPr="00576180">
        <w:rPr>
          <w:rFonts w:ascii="Arial" w:eastAsia="Arial" w:hAnsi="Arial" w:cs="Arial"/>
        </w:rPr>
        <w:t xml:space="preserve"> la CUT</w:t>
      </w:r>
      <w:r w:rsidR="009F76B6" w:rsidRPr="00576180">
        <w:rPr>
          <w:rFonts w:ascii="Arial" w:eastAsia="Arial" w:hAnsi="Arial" w:cs="Arial"/>
        </w:rPr>
        <w:t xml:space="preserve">). El proyecto </w:t>
      </w:r>
      <w:r w:rsidR="0012209B" w:rsidRPr="00576180">
        <w:rPr>
          <w:rFonts w:ascii="Arial" w:eastAsia="Arial" w:hAnsi="Arial" w:cs="Arial"/>
        </w:rPr>
        <w:t>calculaba</w:t>
      </w:r>
      <w:r w:rsidR="009F76B6" w:rsidRPr="00576180">
        <w:rPr>
          <w:rFonts w:ascii="Arial" w:eastAsia="Arial" w:hAnsi="Arial" w:cs="Arial"/>
        </w:rPr>
        <w:t xml:space="preserve"> una TIR para algunos de sus componentes (CUT e integración de sistemas de información) y ésta se estimaba en un 23</w:t>
      </w:r>
      <w:proofErr w:type="gramStart"/>
      <w:r w:rsidR="009F76B6" w:rsidRPr="00576180">
        <w:rPr>
          <w:rFonts w:ascii="Arial" w:eastAsia="Arial" w:hAnsi="Arial" w:cs="Arial"/>
        </w:rPr>
        <w:t>%..</w:t>
      </w:r>
      <w:proofErr w:type="gramEnd"/>
      <w:r w:rsidR="009F76B6" w:rsidRPr="00576180">
        <w:rPr>
          <w:rFonts w:ascii="Arial" w:eastAsia="Arial" w:hAnsi="Arial" w:cs="Arial"/>
        </w:rPr>
        <w:t xml:space="preserve"> </w:t>
      </w:r>
      <w:r w:rsidR="00C203FB" w:rsidRPr="00576180">
        <w:rPr>
          <w:rFonts w:ascii="Arial" w:eastAsia="Arial" w:hAnsi="Arial" w:cs="Arial"/>
        </w:rPr>
        <w:t xml:space="preserve">El Programa </w:t>
      </w:r>
      <w:r w:rsidR="00D87B95">
        <w:rPr>
          <w:rFonts w:ascii="Arial" w:eastAsia="Arial" w:hAnsi="Arial" w:cs="Arial"/>
        </w:rPr>
        <w:t>no</w:t>
      </w:r>
      <w:r w:rsidR="009F76B6" w:rsidRPr="00576180">
        <w:rPr>
          <w:rFonts w:ascii="Arial" w:eastAsia="Arial" w:hAnsi="Arial" w:cs="Arial"/>
        </w:rPr>
        <w:t xml:space="preserve"> </w:t>
      </w:r>
      <w:r w:rsidR="00C203FB" w:rsidRPr="00576180">
        <w:rPr>
          <w:rFonts w:ascii="Arial" w:eastAsia="Arial" w:hAnsi="Arial" w:cs="Arial"/>
        </w:rPr>
        <w:t>contaba con</w:t>
      </w:r>
      <w:r w:rsidR="009F76B6" w:rsidRPr="00576180">
        <w:rPr>
          <w:rFonts w:ascii="Arial" w:eastAsia="Arial" w:hAnsi="Arial" w:cs="Arial"/>
        </w:rPr>
        <w:t xml:space="preserve"> presupuesto para el seguimiento, pero si para contratar </w:t>
      </w:r>
      <w:r w:rsidR="00C203FB" w:rsidRPr="00576180">
        <w:rPr>
          <w:rFonts w:ascii="Arial" w:eastAsia="Arial" w:hAnsi="Arial" w:cs="Arial"/>
        </w:rPr>
        <w:t>la evaluación intermedia y final</w:t>
      </w:r>
      <w:r w:rsidR="009F76B6" w:rsidRPr="00576180">
        <w:rPr>
          <w:rFonts w:ascii="Arial" w:eastAsia="Arial" w:hAnsi="Arial" w:cs="Arial"/>
        </w:rPr>
        <w:t>.</w:t>
      </w:r>
    </w:p>
    <w:p w14:paraId="45FCAE04" w14:textId="5D334861" w:rsidR="00887139" w:rsidRDefault="00C203FB" w:rsidP="00D17FF5">
      <w:pPr>
        <w:pStyle w:val="ListParagraph"/>
        <w:tabs>
          <w:tab w:val="left" w:pos="9000"/>
        </w:tabs>
        <w:spacing w:before="120" w:after="120" w:line="240" w:lineRule="auto"/>
        <w:ind w:left="360"/>
        <w:contextualSpacing w:val="0"/>
        <w:jc w:val="both"/>
        <w:rPr>
          <w:rFonts w:ascii="Arial" w:hAnsi="Arial" w:cs="Arial"/>
        </w:rPr>
      </w:pPr>
      <w:r w:rsidRPr="00576180">
        <w:rPr>
          <w:rFonts w:ascii="Arial" w:hAnsi="Arial" w:cs="Arial"/>
        </w:rPr>
        <w:t>E</w:t>
      </w:r>
      <w:r w:rsidR="00166094" w:rsidRPr="00576180">
        <w:rPr>
          <w:rFonts w:ascii="Arial" w:hAnsi="Arial" w:cs="Arial"/>
        </w:rPr>
        <w:t xml:space="preserve">l equipo del PCR llevó a cabo un </w:t>
      </w:r>
      <w:r w:rsidR="000F7A2F" w:rsidRPr="00576180">
        <w:rPr>
          <w:rFonts w:ascii="Arial" w:hAnsi="Arial" w:cs="Arial"/>
        </w:rPr>
        <w:t xml:space="preserve">análisis ex post de la lógica vertical del </w:t>
      </w:r>
      <w:r w:rsidRPr="00576180">
        <w:rPr>
          <w:rFonts w:ascii="Arial" w:hAnsi="Arial" w:cs="Arial"/>
        </w:rPr>
        <w:t>Programa</w:t>
      </w:r>
      <w:r w:rsidR="0061207E">
        <w:rPr>
          <w:rFonts w:ascii="Arial" w:hAnsi="Arial" w:cs="Arial"/>
        </w:rPr>
        <w:t xml:space="preserve"> después de su término</w:t>
      </w:r>
      <w:r w:rsidRPr="00576180">
        <w:rPr>
          <w:rFonts w:ascii="Arial" w:hAnsi="Arial" w:cs="Arial"/>
        </w:rPr>
        <w:t>,</w:t>
      </w:r>
      <w:r w:rsidR="00166094" w:rsidRPr="00576180">
        <w:rPr>
          <w:rFonts w:ascii="Arial" w:hAnsi="Arial" w:cs="Arial"/>
        </w:rPr>
        <w:t xml:space="preserve"> </w:t>
      </w:r>
      <w:r w:rsidR="00784E04" w:rsidRPr="00576180">
        <w:rPr>
          <w:rFonts w:ascii="Arial" w:hAnsi="Arial" w:cs="Arial"/>
        </w:rPr>
        <w:t>conforme</w:t>
      </w:r>
      <w:r w:rsidR="00233143" w:rsidRPr="00576180">
        <w:rPr>
          <w:rFonts w:ascii="Arial" w:hAnsi="Arial" w:cs="Arial"/>
        </w:rPr>
        <w:t xml:space="preserve"> a lo</w:t>
      </w:r>
      <w:r w:rsidR="00784E04" w:rsidRPr="00576180">
        <w:rPr>
          <w:rFonts w:ascii="Arial" w:hAnsi="Arial" w:cs="Arial"/>
        </w:rPr>
        <w:t xml:space="preserve"> presentado </w:t>
      </w:r>
      <w:r w:rsidR="00233143" w:rsidRPr="00576180">
        <w:rPr>
          <w:rFonts w:ascii="Arial" w:hAnsi="Arial" w:cs="Arial"/>
        </w:rPr>
        <w:t xml:space="preserve">a detalle </w:t>
      </w:r>
      <w:r w:rsidR="00784E04" w:rsidRPr="00576180">
        <w:rPr>
          <w:rFonts w:ascii="Arial" w:hAnsi="Arial" w:cs="Arial"/>
        </w:rPr>
        <w:t>en el Gr</w:t>
      </w:r>
      <w:r w:rsidR="00233143" w:rsidRPr="00576180">
        <w:rPr>
          <w:rFonts w:ascii="Arial" w:hAnsi="Arial" w:cs="Arial"/>
        </w:rPr>
        <w:t>á</w:t>
      </w:r>
      <w:r w:rsidR="00784E04" w:rsidRPr="00576180">
        <w:rPr>
          <w:rFonts w:ascii="Arial" w:hAnsi="Arial" w:cs="Arial"/>
        </w:rPr>
        <w:t xml:space="preserve">fico 1 </w:t>
      </w:r>
      <w:r w:rsidR="005C5FA9" w:rsidRPr="00576180">
        <w:rPr>
          <w:rFonts w:ascii="Arial" w:hAnsi="Arial" w:cs="Arial"/>
        </w:rPr>
        <w:t>a continuación</w:t>
      </w:r>
      <w:r w:rsidR="00784E04" w:rsidRPr="00576180">
        <w:rPr>
          <w:rFonts w:ascii="Arial" w:hAnsi="Arial" w:cs="Arial"/>
        </w:rPr>
        <w:t>.</w:t>
      </w:r>
      <w:r w:rsidR="00A71EC9" w:rsidRPr="00576180">
        <w:rPr>
          <w:rFonts w:ascii="Arial" w:hAnsi="Arial" w:cs="Arial"/>
        </w:rPr>
        <w:t xml:space="preserve"> El Gráfico 1 fue elaborado siguiendo la misma lógica y numeración de la matriz de resultados aprobada con el proyecto. Los resultados y productos marcados en color amarillo </w:t>
      </w:r>
      <w:r w:rsidR="00271488" w:rsidRPr="00576180">
        <w:rPr>
          <w:rFonts w:ascii="Arial" w:hAnsi="Arial" w:cs="Arial"/>
        </w:rPr>
        <w:t>no se alcanzaron</w:t>
      </w:r>
      <w:r w:rsidR="00A71EC9" w:rsidRPr="00576180">
        <w:rPr>
          <w:rFonts w:ascii="Arial" w:hAnsi="Arial" w:cs="Arial"/>
        </w:rPr>
        <w:t xml:space="preserve"> y los marcados en verde </w:t>
      </w:r>
      <w:r w:rsidR="00271488" w:rsidRPr="00576180">
        <w:rPr>
          <w:rFonts w:ascii="Arial" w:hAnsi="Arial" w:cs="Arial"/>
        </w:rPr>
        <w:t>se alcanzaron parcialmente.</w:t>
      </w:r>
    </w:p>
    <w:p w14:paraId="136CA874" w14:textId="0FAEA33F" w:rsidR="007226B6" w:rsidRPr="007226B6" w:rsidRDefault="007226B6" w:rsidP="00D17FF5">
      <w:pPr>
        <w:pStyle w:val="ListParagraph"/>
        <w:tabs>
          <w:tab w:val="left" w:pos="9000"/>
        </w:tabs>
        <w:spacing w:before="120" w:after="120" w:line="240" w:lineRule="auto"/>
        <w:ind w:left="360"/>
        <w:contextualSpacing w:val="0"/>
        <w:jc w:val="both"/>
        <w:rPr>
          <w:rFonts w:ascii="Arial" w:hAnsi="Arial" w:cs="Arial"/>
        </w:rPr>
      </w:pPr>
      <w:r w:rsidRPr="007226B6">
        <w:rPr>
          <w:rFonts w:ascii="Arial" w:hAnsi="Arial" w:cs="Arial"/>
          <w:b/>
          <w:bCs/>
        </w:rPr>
        <w:t xml:space="preserve">Conclusión. </w:t>
      </w:r>
      <w:r w:rsidR="00877F81">
        <w:rPr>
          <w:rFonts w:ascii="Arial" w:hAnsi="Arial" w:cs="Arial"/>
        </w:rPr>
        <w:t>D</w:t>
      </w:r>
      <w:r w:rsidR="00877F81" w:rsidRPr="00957319">
        <w:rPr>
          <w:rFonts w:ascii="Arial" w:hAnsi="Arial" w:cs="Arial"/>
        </w:rPr>
        <w:t>e los 15 productos financiados, solamente los productos referente</w:t>
      </w:r>
      <w:r w:rsidR="005B05B2">
        <w:rPr>
          <w:rFonts w:ascii="Arial" w:hAnsi="Arial" w:cs="Arial"/>
        </w:rPr>
        <w:t>s</w:t>
      </w:r>
      <w:r w:rsidR="00877F81" w:rsidRPr="00957319">
        <w:rPr>
          <w:rFonts w:ascii="Arial" w:hAnsi="Arial" w:cs="Arial"/>
        </w:rPr>
        <w:t xml:space="preserve"> a la </w:t>
      </w:r>
      <w:r w:rsidR="005118CA">
        <w:rPr>
          <w:rFonts w:ascii="Arial" w:hAnsi="Arial" w:cs="Arial"/>
        </w:rPr>
        <w:t>i</w:t>
      </w:r>
      <w:r w:rsidR="00877F81" w:rsidRPr="00957319">
        <w:rPr>
          <w:rFonts w:ascii="Arial" w:hAnsi="Arial" w:cs="Arial"/>
        </w:rPr>
        <w:t>nformatización del macroproceso de ejecución financiera, contabilidad y rendición de cuentas (</w:t>
      </w:r>
      <w:r w:rsidR="00877F81">
        <w:rPr>
          <w:rFonts w:ascii="Arial" w:hAnsi="Arial" w:cs="Arial"/>
        </w:rPr>
        <w:t>P</w:t>
      </w:r>
      <w:r w:rsidR="00877F81" w:rsidRPr="00957319">
        <w:rPr>
          <w:rFonts w:ascii="Arial" w:hAnsi="Arial" w:cs="Arial"/>
        </w:rPr>
        <w:t>1.2) y</w:t>
      </w:r>
      <w:r w:rsidR="00877F81">
        <w:rPr>
          <w:rFonts w:ascii="Arial" w:hAnsi="Arial" w:cs="Arial"/>
        </w:rPr>
        <w:t xml:space="preserve"> </w:t>
      </w:r>
      <w:r w:rsidR="00877F81" w:rsidRPr="00957319">
        <w:rPr>
          <w:rFonts w:ascii="Arial" w:hAnsi="Arial" w:cs="Arial"/>
        </w:rPr>
        <w:t>el Sistema SIGA-MEF con despliegue en versión web (</w:t>
      </w:r>
      <w:r w:rsidR="00877F81">
        <w:rPr>
          <w:rFonts w:ascii="Arial" w:hAnsi="Arial" w:cs="Arial"/>
        </w:rPr>
        <w:t>P</w:t>
      </w:r>
      <w:r w:rsidR="00877F81" w:rsidRPr="00957319">
        <w:rPr>
          <w:rFonts w:ascii="Arial" w:hAnsi="Arial" w:cs="Arial"/>
        </w:rPr>
        <w:t>2.3)</w:t>
      </w:r>
      <w:r w:rsidR="005118CA">
        <w:rPr>
          <w:rFonts w:ascii="Arial" w:hAnsi="Arial" w:cs="Arial"/>
        </w:rPr>
        <w:t>,</w:t>
      </w:r>
      <w:r w:rsidR="00877F81" w:rsidRPr="00957319">
        <w:rPr>
          <w:rFonts w:ascii="Arial" w:hAnsi="Arial" w:cs="Arial"/>
        </w:rPr>
        <w:t xml:space="preserve"> no se implementaron</w:t>
      </w:r>
      <w:r w:rsidR="005118CA">
        <w:rPr>
          <w:rFonts w:ascii="Arial" w:hAnsi="Arial" w:cs="Arial"/>
        </w:rPr>
        <w:t>. Si</w:t>
      </w:r>
      <w:r w:rsidR="00877F81" w:rsidRPr="00957319">
        <w:rPr>
          <w:rFonts w:ascii="Arial" w:hAnsi="Arial" w:cs="Arial"/>
        </w:rPr>
        <w:t xml:space="preserve">n embargo, la no implementación del producto </w:t>
      </w:r>
      <w:r w:rsidR="00877F81">
        <w:rPr>
          <w:rFonts w:ascii="Arial" w:hAnsi="Arial" w:cs="Arial"/>
        </w:rPr>
        <w:t>(P</w:t>
      </w:r>
      <w:r w:rsidR="00877F81" w:rsidRPr="00957319">
        <w:rPr>
          <w:rFonts w:ascii="Arial" w:hAnsi="Arial" w:cs="Arial"/>
        </w:rPr>
        <w:t>1.2</w:t>
      </w:r>
      <w:r w:rsidR="00877F81">
        <w:rPr>
          <w:rFonts w:ascii="Arial" w:hAnsi="Arial" w:cs="Arial"/>
        </w:rPr>
        <w:t>)</w:t>
      </w:r>
      <w:r w:rsidR="00877F81" w:rsidRPr="00957319">
        <w:rPr>
          <w:rFonts w:ascii="Arial" w:hAnsi="Arial" w:cs="Arial"/>
        </w:rPr>
        <w:t xml:space="preserve"> afectó a la obtención de 2 de los 3 objetivos específicos del proyecto (</w:t>
      </w:r>
      <w:r w:rsidR="005B05B2">
        <w:rPr>
          <w:rFonts w:ascii="Arial" w:hAnsi="Arial" w:cs="Arial"/>
        </w:rPr>
        <w:t>OBE</w:t>
      </w:r>
      <w:r w:rsidR="00877F81" w:rsidRPr="00957319">
        <w:rPr>
          <w:rFonts w:ascii="Arial" w:hAnsi="Arial" w:cs="Arial"/>
        </w:rPr>
        <w:t xml:space="preserve">1 y </w:t>
      </w:r>
      <w:r w:rsidR="005B05B2">
        <w:rPr>
          <w:rFonts w:ascii="Arial" w:hAnsi="Arial" w:cs="Arial"/>
        </w:rPr>
        <w:t>OBE</w:t>
      </w:r>
      <w:r w:rsidR="00877F81" w:rsidRPr="00957319">
        <w:rPr>
          <w:rFonts w:ascii="Arial" w:hAnsi="Arial" w:cs="Arial"/>
        </w:rPr>
        <w:t xml:space="preserve">2), los cuales estaban asociados a los indicadores de resultados </w:t>
      </w:r>
      <w:r w:rsidR="00877F81">
        <w:rPr>
          <w:rFonts w:ascii="Arial" w:hAnsi="Arial" w:cs="Arial"/>
        </w:rPr>
        <w:t>(</w:t>
      </w:r>
      <w:r w:rsidR="00877F81" w:rsidRPr="00957319">
        <w:rPr>
          <w:rFonts w:ascii="Arial" w:hAnsi="Arial" w:cs="Arial"/>
        </w:rPr>
        <w:t>R2.1</w:t>
      </w:r>
      <w:r w:rsidR="00877F81">
        <w:rPr>
          <w:rFonts w:ascii="Arial" w:hAnsi="Arial" w:cs="Arial"/>
        </w:rPr>
        <w:t>)</w:t>
      </w:r>
      <w:r w:rsidR="00877F81" w:rsidRPr="00957319">
        <w:rPr>
          <w:rFonts w:ascii="Arial" w:hAnsi="Arial" w:cs="Arial"/>
        </w:rPr>
        <w:t xml:space="preserve">, </w:t>
      </w:r>
      <w:r w:rsidR="00877F81">
        <w:rPr>
          <w:rFonts w:ascii="Arial" w:hAnsi="Arial" w:cs="Arial"/>
        </w:rPr>
        <w:t>(</w:t>
      </w:r>
      <w:r w:rsidR="00877F81" w:rsidRPr="00957319">
        <w:rPr>
          <w:rFonts w:ascii="Arial" w:hAnsi="Arial" w:cs="Arial"/>
        </w:rPr>
        <w:t>R2.2</w:t>
      </w:r>
      <w:r w:rsidR="00877F81">
        <w:rPr>
          <w:rFonts w:ascii="Arial" w:hAnsi="Arial" w:cs="Arial"/>
        </w:rPr>
        <w:t>)</w:t>
      </w:r>
      <w:r w:rsidR="00877F81" w:rsidRPr="00957319">
        <w:rPr>
          <w:rFonts w:ascii="Arial" w:hAnsi="Arial" w:cs="Arial"/>
        </w:rPr>
        <w:t xml:space="preserve">, </w:t>
      </w:r>
      <w:r w:rsidR="00877F81">
        <w:rPr>
          <w:rFonts w:ascii="Arial" w:hAnsi="Arial" w:cs="Arial"/>
        </w:rPr>
        <w:t>(</w:t>
      </w:r>
      <w:r w:rsidR="00877F81" w:rsidRPr="00957319">
        <w:rPr>
          <w:rFonts w:ascii="Arial" w:hAnsi="Arial" w:cs="Arial"/>
        </w:rPr>
        <w:t>R2.3</w:t>
      </w:r>
      <w:r w:rsidR="00877F81">
        <w:rPr>
          <w:rFonts w:ascii="Arial" w:hAnsi="Arial" w:cs="Arial"/>
        </w:rPr>
        <w:t>)</w:t>
      </w:r>
      <w:r w:rsidR="00877F81" w:rsidRPr="00957319">
        <w:rPr>
          <w:rFonts w:ascii="Arial" w:hAnsi="Arial" w:cs="Arial"/>
        </w:rPr>
        <w:t xml:space="preserve">, </w:t>
      </w:r>
      <w:r w:rsidR="00877F81">
        <w:rPr>
          <w:rFonts w:ascii="Arial" w:hAnsi="Arial" w:cs="Arial"/>
        </w:rPr>
        <w:t>(</w:t>
      </w:r>
      <w:r w:rsidR="00877F81" w:rsidRPr="00957319">
        <w:rPr>
          <w:rFonts w:ascii="Arial" w:hAnsi="Arial" w:cs="Arial"/>
        </w:rPr>
        <w:t>R2.4</w:t>
      </w:r>
      <w:r w:rsidR="00877F81">
        <w:rPr>
          <w:rFonts w:ascii="Arial" w:hAnsi="Arial" w:cs="Arial"/>
        </w:rPr>
        <w:t>)</w:t>
      </w:r>
      <w:r w:rsidR="00877F81" w:rsidRPr="00957319">
        <w:rPr>
          <w:rFonts w:ascii="Arial" w:hAnsi="Arial" w:cs="Arial"/>
        </w:rPr>
        <w:t xml:space="preserve">, </w:t>
      </w:r>
      <w:r w:rsidR="00877F81">
        <w:rPr>
          <w:rFonts w:ascii="Arial" w:hAnsi="Arial" w:cs="Arial"/>
        </w:rPr>
        <w:t>(</w:t>
      </w:r>
      <w:r w:rsidR="00877F81" w:rsidRPr="00957319">
        <w:rPr>
          <w:rFonts w:ascii="Arial" w:hAnsi="Arial" w:cs="Arial"/>
        </w:rPr>
        <w:t>R2.7</w:t>
      </w:r>
      <w:r w:rsidR="00877F81">
        <w:rPr>
          <w:rFonts w:ascii="Arial" w:hAnsi="Arial" w:cs="Arial"/>
        </w:rPr>
        <w:t>)</w:t>
      </w:r>
      <w:r w:rsidR="00877F81" w:rsidRPr="00957319">
        <w:rPr>
          <w:rFonts w:ascii="Arial" w:hAnsi="Arial" w:cs="Arial"/>
        </w:rPr>
        <w:t xml:space="preserve">. </w:t>
      </w:r>
      <w:r w:rsidR="00877F81">
        <w:rPr>
          <w:rFonts w:ascii="Arial" w:hAnsi="Arial" w:cs="Arial"/>
        </w:rPr>
        <w:t>(</w:t>
      </w:r>
      <w:r w:rsidR="00877F81" w:rsidRPr="00957319">
        <w:rPr>
          <w:rFonts w:ascii="Arial" w:hAnsi="Arial" w:cs="Arial"/>
        </w:rPr>
        <w:t>R2.8</w:t>
      </w:r>
      <w:r w:rsidR="00877F81">
        <w:rPr>
          <w:rFonts w:ascii="Arial" w:hAnsi="Arial" w:cs="Arial"/>
        </w:rPr>
        <w:t>)</w:t>
      </w:r>
      <w:r w:rsidR="00877F81" w:rsidRPr="00957319">
        <w:rPr>
          <w:rFonts w:ascii="Arial" w:hAnsi="Arial" w:cs="Arial"/>
        </w:rPr>
        <w:t xml:space="preserve">, que no se cumplieron. Los 6 resultados no alcanzados estaban mayormente asociados a la implementación de la contabilidad en línea, la cual formaba parte de las funcionalidades del nuevo sistema. Por otro lado, el objetivo específico </w:t>
      </w:r>
      <w:r w:rsidR="005B05B2">
        <w:rPr>
          <w:rFonts w:ascii="Arial" w:hAnsi="Arial" w:cs="Arial"/>
        </w:rPr>
        <w:t>(OBE</w:t>
      </w:r>
      <w:r w:rsidR="00877F81" w:rsidRPr="00957319">
        <w:rPr>
          <w:rFonts w:ascii="Arial" w:hAnsi="Arial" w:cs="Arial"/>
        </w:rPr>
        <w:t>3</w:t>
      </w:r>
      <w:r w:rsidR="005B05B2">
        <w:rPr>
          <w:rFonts w:ascii="Arial" w:hAnsi="Arial" w:cs="Arial"/>
        </w:rPr>
        <w:t>)</w:t>
      </w:r>
      <w:r w:rsidR="00877F81" w:rsidRPr="00957319">
        <w:rPr>
          <w:rFonts w:ascii="Arial" w:hAnsi="Arial" w:cs="Arial"/>
        </w:rPr>
        <w:t xml:space="preserve"> se cumplió totalmente, debido a que su resultado no dependía de la implementación del producto </w:t>
      </w:r>
      <w:r w:rsidR="00877F81">
        <w:rPr>
          <w:rFonts w:ascii="Arial" w:hAnsi="Arial" w:cs="Arial"/>
        </w:rPr>
        <w:t>(P</w:t>
      </w:r>
      <w:r w:rsidR="00877F81" w:rsidRPr="00957319">
        <w:rPr>
          <w:rFonts w:ascii="Arial" w:hAnsi="Arial" w:cs="Arial"/>
        </w:rPr>
        <w:t>1.2</w:t>
      </w:r>
      <w:r w:rsidR="007012F5" w:rsidRPr="00780366">
        <w:rPr>
          <w:rFonts w:ascii="Arial" w:hAnsi="Arial" w:cs="Arial"/>
        </w:rPr>
        <w:t>.</w:t>
      </w:r>
      <w:r w:rsidR="00877F81">
        <w:rPr>
          <w:rFonts w:ascii="Arial" w:hAnsi="Arial" w:cs="Arial"/>
        </w:rPr>
        <w:t>).</w:t>
      </w:r>
      <w:r w:rsidR="007012F5">
        <w:rPr>
          <w:rFonts w:ascii="Arial" w:hAnsi="Arial" w:cs="Arial"/>
        </w:rPr>
        <w:t xml:space="preserve"> </w:t>
      </w:r>
      <w:r w:rsidR="00C273E8">
        <w:rPr>
          <w:rFonts w:ascii="Arial" w:hAnsi="Arial" w:cs="Arial"/>
        </w:rPr>
        <w:t xml:space="preserve">En vista de esta ocurrencia, el equipo del PCR considera que la lógica vertical al término de la operación se vio </w:t>
      </w:r>
      <w:r w:rsidR="00014135">
        <w:rPr>
          <w:rFonts w:ascii="Arial" w:hAnsi="Arial" w:cs="Arial"/>
        </w:rPr>
        <w:t xml:space="preserve">substancialmente </w:t>
      </w:r>
      <w:r w:rsidR="00C273E8">
        <w:rPr>
          <w:rFonts w:ascii="Arial" w:hAnsi="Arial" w:cs="Arial"/>
        </w:rPr>
        <w:t>perjudicada</w:t>
      </w:r>
      <w:r w:rsidR="00480A9C">
        <w:rPr>
          <w:rFonts w:ascii="Arial" w:hAnsi="Arial" w:cs="Arial"/>
        </w:rPr>
        <w:t xml:space="preserve"> y se clasifica como parcialmente insatisfactoria.</w:t>
      </w:r>
    </w:p>
    <w:p w14:paraId="49B34B8D" w14:textId="77777777" w:rsidR="00A7272F" w:rsidRPr="00576180" w:rsidRDefault="00A7272F" w:rsidP="00A7272F">
      <w:pPr>
        <w:pStyle w:val="ListParagraph"/>
        <w:tabs>
          <w:tab w:val="left" w:pos="9000"/>
        </w:tabs>
        <w:spacing w:before="120" w:after="120" w:line="240" w:lineRule="auto"/>
        <w:ind w:left="360"/>
        <w:contextualSpacing w:val="0"/>
        <w:jc w:val="both"/>
        <w:rPr>
          <w:rFonts w:ascii="Arial" w:hAnsi="Arial" w:cs="Arial"/>
        </w:rPr>
      </w:pPr>
    </w:p>
    <w:tbl>
      <w:tblPr>
        <w:tblStyle w:val="TableGrid"/>
        <w:tblW w:w="0" w:type="auto"/>
        <w:tblInd w:w="180" w:type="dxa"/>
        <w:tblLook w:val="04A0" w:firstRow="1" w:lastRow="0" w:firstColumn="1" w:lastColumn="0" w:noHBand="0" w:noVBand="1"/>
      </w:tblPr>
      <w:tblGrid>
        <w:gridCol w:w="2340"/>
        <w:gridCol w:w="2250"/>
        <w:gridCol w:w="2070"/>
        <w:gridCol w:w="1966"/>
      </w:tblGrid>
      <w:tr w:rsidR="00822BCE" w:rsidRPr="00576180" w14:paraId="59BAC971" w14:textId="77777777" w:rsidTr="007E5961">
        <w:trPr>
          <w:trHeight w:val="152"/>
        </w:trPr>
        <w:tc>
          <w:tcPr>
            <w:tcW w:w="8626" w:type="dxa"/>
            <w:gridSpan w:val="4"/>
            <w:tcBorders>
              <w:top w:val="nil"/>
              <w:left w:val="nil"/>
              <w:bottom w:val="single" w:sz="4" w:space="0" w:color="auto"/>
              <w:right w:val="nil"/>
            </w:tcBorders>
          </w:tcPr>
          <w:p w14:paraId="3EE45C6E" w14:textId="60B705D2" w:rsidR="00822BCE" w:rsidRPr="00576180" w:rsidRDefault="00FF1E99" w:rsidP="00822BCE">
            <w:pPr>
              <w:tabs>
                <w:tab w:val="left" w:pos="9000"/>
              </w:tabs>
              <w:jc w:val="center"/>
              <w:rPr>
                <w:rFonts w:ascii="Arial" w:hAnsi="Arial" w:cs="Arial"/>
                <w:b/>
                <w:sz w:val="20"/>
                <w:szCs w:val="20"/>
              </w:rPr>
            </w:pPr>
            <w:r w:rsidRPr="00576180">
              <w:rPr>
                <w:rFonts w:ascii="Arial" w:hAnsi="Arial" w:cs="Arial"/>
                <w:b/>
                <w:sz w:val="20"/>
                <w:szCs w:val="20"/>
              </w:rPr>
              <w:t>Tabla 3</w:t>
            </w:r>
            <w:r w:rsidR="00AF481A" w:rsidRPr="00576180">
              <w:rPr>
                <w:rFonts w:ascii="Arial" w:hAnsi="Arial" w:cs="Arial"/>
                <w:b/>
                <w:sz w:val="20"/>
                <w:szCs w:val="20"/>
              </w:rPr>
              <w:t xml:space="preserve">. </w:t>
            </w:r>
            <w:r w:rsidR="00822BCE" w:rsidRPr="00576180">
              <w:rPr>
                <w:rFonts w:ascii="Arial" w:hAnsi="Arial" w:cs="Arial"/>
                <w:b/>
                <w:sz w:val="20"/>
                <w:szCs w:val="20"/>
              </w:rPr>
              <w:t xml:space="preserve">Resumen de </w:t>
            </w:r>
            <w:r w:rsidR="00BA70E3" w:rsidRPr="00576180">
              <w:rPr>
                <w:rFonts w:ascii="Arial" w:hAnsi="Arial" w:cs="Arial"/>
                <w:b/>
                <w:sz w:val="20"/>
                <w:szCs w:val="20"/>
              </w:rPr>
              <w:t>c</w:t>
            </w:r>
            <w:r w:rsidR="00822BCE" w:rsidRPr="00576180">
              <w:rPr>
                <w:rFonts w:ascii="Arial" w:hAnsi="Arial" w:cs="Arial"/>
                <w:b/>
                <w:sz w:val="20"/>
                <w:szCs w:val="20"/>
              </w:rPr>
              <w:t xml:space="preserve">lasificación de la </w:t>
            </w:r>
            <w:r w:rsidR="00BA70E3" w:rsidRPr="00576180">
              <w:rPr>
                <w:rFonts w:ascii="Arial" w:hAnsi="Arial" w:cs="Arial"/>
                <w:b/>
                <w:sz w:val="20"/>
                <w:szCs w:val="20"/>
              </w:rPr>
              <w:t>r</w:t>
            </w:r>
            <w:r w:rsidR="00822BCE" w:rsidRPr="00576180">
              <w:rPr>
                <w:rFonts w:ascii="Arial" w:hAnsi="Arial" w:cs="Arial"/>
                <w:b/>
                <w:sz w:val="20"/>
                <w:szCs w:val="20"/>
              </w:rPr>
              <w:t>elevancia</w:t>
            </w:r>
          </w:p>
        </w:tc>
      </w:tr>
      <w:tr w:rsidR="00822BCE" w:rsidRPr="00576180" w14:paraId="22EEFE24" w14:textId="77777777" w:rsidTr="003A2174">
        <w:trPr>
          <w:trHeight w:val="404"/>
        </w:trPr>
        <w:tc>
          <w:tcPr>
            <w:tcW w:w="2340" w:type="dxa"/>
            <w:tcBorders>
              <w:top w:val="single" w:sz="4" w:space="0" w:color="auto"/>
            </w:tcBorders>
            <w:shd w:val="clear" w:color="auto" w:fill="D9D9D9" w:themeFill="background1" w:themeFillShade="D9"/>
            <w:vAlign w:val="center"/>
          </w:tcPr>
          <w:p w14:paraId="6DCED9F3" w14:textId="77777777" w:rsidR="00822BCE" w:rsidRPr="00576180" w:rsidRDefault="00822BCE" w:rsidP="00822BCE">
            <w:pPr>
              <w:tabs>
                <w:tab w:val="left" w:pos="9000"/>
              </w:tabs>
              <w:jc w:val="center"/>
              <w:rPr>
                <w:rFonts w:ascii="Arial" w:hAnsi="Arial" w:cs="Arial"/>
                <w:b/>
                <w:sz w:val="20"/>
                <w:szCs w:val="20"/>
              </w:rPr>
            </w:pPr>
            <w:r w:rsidRPr="00576180">
              <w:rPr>
                <w:rFonts w:ascii="Arial" w:hAnsi="Arial" w:cs="Arial"/>
                <w:b/>
                <w:sz w:val="20"/>
                <w:szCs w:val="20"/>
              </w:rPr>
              <w:t>Alineación con las necesidades de desarrollo del país</w:t>
            </w:r>
          </w:p>
        </w:tc>
        <w:tc>
          <w:tcPr>
            <w:tcW w:w="2250" w:type="dxa"/>
            <w:tcBorders>
              <w:top w:val="single" w:sz="4" w:space="0" w:color="auto"/>
            </w:tcBorders>
            <w:shd w:val="clear" w:color="auto" w:fill="D9D9D9" w:themeFill="background1" w:themeFillShade="D9"/>
            <w:vAlign w:val="center"/>
          </w:tcPr>
          <w:p w14:paraId="338C40AE" w14:textId="77777777" w:rsidR="00822BCE" w:rsidRPr="00576180" w:rsidRDefault="00822BCE" w:rsidP="00822BCE">
            <w:pPr>
              <w:tabs>
                <w:tab w:val="left" w:pos="9000"/>
              </w:tabs>
              <w:jc w:val="center"/>
              <w:rPr>
                <w:rFonts w:ascii="Arial" w:hAnsi="Arial" w:cs="Arial"/>
                <w:b/>
                <w:sz w:val="20"/>
                <w:szCs w:val="20"/>
              </w:rPr>
            </w:pPr>
            <w:r w:rsidRPr="00576180">
              <w:rPr>
                <w:rFonts w:ascii="Arial" w:hAnsi="Arial" w:cs="Arial"/>
                <w:b/>
                <w:sz w:val="20"/>
                <w:szCs w:val="20"/>
              </w:rPr>
              <w:t xml:space="preserve">Alineación </w:t>
            </w:r>
            <w:r w:rsidR="00BA70E3" w:rsidRPr="00576180">
              <w:rPr>
                <w:rFonts w:ascii="Arial" w:hAnsi="Arial" w:cs="Arial"/>
                <w:b/>
                <w:sz w:val="20"/>
                <w:szCs w:val="20"/>
              </w:rPr>
              <w:t>e</w:t>
            </w:r>
            <w:r w:rsidRPr="00576180">
              <w:rPr>
                <w:rFonts w:ascii="Arial" w:hAnsi="Arial" w:cs="Arial"/>
                <w:b/>
                <w:sz w:val="20"/>
                <w:szCs w:val="20"/>
              </w:rPr>
              <w:t>stratégica</w:t>
            </w:r>
          </w:p>
        </w:tc>
        <w:tc>
          <w:tcPr>
            <w:tcW w:w="2070" w:type="dxa"/>
            <w:tcBorders>
              <w:top w:val="single" w:sz="4" w:space="0" w:color="auto"/>
            </w:tcBorders>
            <w:shd w:val="clear" w:color="auto" w:fill="D9D9D9" w:themeFill="background1" w:themeFillShade="D9"/>
            <w:vAlign w:val="center"/>
          </w:tcPr>
          <w:p w14:paraId="269A215D" w14:textId="77777777" w:rsidR="00822BCE" w:rsidRPr="00576180" w:rsidRDefault="00822BCE" w:rsidP="00822BCE">
            <w:pPr>
              <w:tabs>
                <w:tab w:val="left" w:pos="9000"/>
              </w:tabs>
              <w:jc w:val="center"/>
              <w:rPr>
                <w:rFonts w:ascii="Arial" w:hAnsi="Arial" w:cs="Arial"/>
                <w:b/>
                <w:sz w:val="20"/>
                <w:szCs w:val="20"/>
              </w:rPr>
            </w:pPr>
            <w:r w:rsidRPr="00576180">
              <w:rPr>
                <w:rFonts w:ascii="Arial" w:hAnsi="Arial" w:cs="Arial"/>
                <w:b/>
                <w:sz w:val="20"/>
                <w:szCs w:val="20"/>
              </w:rPr>
              <w:t xml:space="preserve">Lógica </w:t>
            </w:r>
            <w:r w:rsidR="00BA70E3" w:rsidRPr="00576180">
              <w:rPr>
                <w:rFonts w:ascii="Arial" w:hAnsi="Arial" w:cs="Arial"/>
                <w:b/>
                <w:sz w:val="20"/>
                <w:szCs w:val="20"/>
              </w:rPr>
              <w:t>v</w:t>
            </w:r>
            <w:r w:rsidRPr="00576180">
              <w:rPr>
                <w:rFonts w:ascii="Arial" w:hAnsi="Arial" w:cs="Arial"/>
                <w:b/>
                <w:sz w:val="20"/>
                <w:szCs w:val="20"/>
              </w:rPr>
              <w:t>ertical</w:t>
            </w:r>
          </w:p>
        </w:tc>
        <w:tc>
          <w:tcPr>
            <w:tcW w:w="1966" w:type="dxa"/>
            <w:tcBorders>
              <w:top w:val="single" w:sz="4" w:space="0" w:color="auto"/>
            </w:tcBorders>
            <w:shd w:val="clear" w:color="auto" w:fill="D9D9D9" w:themeFill="background1" w:themeFillShade="D9"/>
            <w:vAlign w:val="center"/>
          </w:tcPr>
          <w:p w14:paraId="01FEB193" w14:textId="77777777" w:rsidR="00822BCE" w:rsidRPr="00576180" w:rsidRDefault="00822BCE" w:rsidP="00822BCE">
            <w:pPr>
              <w:tabs>
                <w:tab w:val="left" w:pos="9000"/>
              </w:tabs>
              <w:jc w:val="center"/>
              <w:rPr>
                <w:rFonts w:ascii="Arial" w:hAnsi="Arial" w:cs="Arial"/>
                <w:b/>
                <w:sz w:val="20"/>
                <w:szCs w:val="20"/>
              </w:rPr>
            </w:pPr>
            <w:r w:rsidRPr="00576180">
              <w:rPr>
                <w:rFonts w:ascii="Arial" w:hAnsi="Arial" w:cs="Arial"/>
                <w:b/>
                <w:sz w:val="20"/>
                <w:szCs w:val="20"/>
              </w:rPr>
              <w:t>Clasificación de la relevancia</w:t>
            </w:r>
          </w:p>
        </w:tc>
      </w:tr>
      <w:tr w:rsidR="00822BCE" w:rsidRPr="00576180" w14:paraId="6AF3C7B8" w14:textId="77777777" w:rsidTr="000E2990">
        <w:trPr>
          <w:trHeight w:val="368"/>
        </w:trPr>
        <w:tc>
          <w:tcPr>
            <w:tcW w:w="2340" w:type="dxa"/>
            <w:vAlign w:val="center"/>
          </w:tcPr>
          <w:p w14:paraId="4598653A" w14:textId="77777777" w:rsidR="00822BCE" w:rsidRPr="00576180" w:rsidRDefault="00822BCE" w:rsidP="00187D94">
            <w:pPr>
              <w:tabs>
                <w:tab w:val="left" w:pos="9000"/>
              </w:tabs>
              <w:jc w:val="center"/>
              <w:rPr>
                <w:rFonts w:ascii="Arial" w:hAnsi="Arial" w:cs="Arial"/>
                <w:sz w:val="20"/>
                <w:szCs w:val="20"/>
              </w:rPr>
            </w:pPr>
            <w:r w:rsidRPr="00576180">
              <w:rPr>
                <w:rFonts w:ascii="Arial" w:hAnsi="Arial" w:cs="Arial"/>
                <w:sz w:val="20"/>
                <w:szCs w:val="20"/>
              </w:rPr>
              <w:t>Completamente alineado</w:t>
            </w:r>
          </w:p>
        </w:tc>
        <w:tc>
          <w:tcPr>
            <w:tcW w:w="2250" w:type="dxa"/>
            <w:vAlign w:val="center"/>
          </w:tcPr>
          <w:p w14:paraId="02702AC1" w14:textId="77777777" w:rsidR="00822BCE" w:rsidRPr="00576180" w:rsidRDefault="00822BCE" w:rsidP="00187D94">
            <w:pPr>
              <w:tabs>
                <w:tab w:val="left" w:pos="9000"/>
              </w:tabs>
              <w:jc w:val="center"/>
              <w:rPr>
                <w:rFonts w:ascii="Arial" w:hAnsi="Arial" w:cs="Arial"/>
                <w:sz w:val="20"/>
                <w:szCs w:val="20"/>
              </w:rPr>
            </w:pPr>
            <w:r w:rsidRPr="00576180">
              <w:rPr>
                <w:rFonts w:ascii="Arial" w:hAnsi="Arial" w:cs="Arial"/>
                <w:sz w:val="20"/>
                <w:szCs w:val="20"/>
              </w:rPr>
              <w:t>Completamente alineado</w:t>
            </w:r>
          </w:p>
        </w:tc>
        <w:tc>
          <w:tcPr>
            <w:tcW w:w="2070" w:type="dxa"/>
            <w:vAlign w:val="center"/>
          </w:tcPr>
          <w:p w14:paraId="2424E8EF" w14:textId="6A6CACA5" w:rsidR="00822BCE" w:rsidRPr="00576180" w:rsidRDefault="00480A9C" w:rsidP="00187D94">
            <w:pPr>
              <w:tabs>
                <w:tab w:val="left" w:pos="9000"/>
              </w:tabs>
              <w:jc w:val="center"/>
              <w:rPr>
                <w:rFonts w:ascii="Arial" w:hAnsi="Arial" w:cs="Arial"/>
                <w:sz w:val="20"/>
                <w:szCs w:val="20"/>
              </w:rPr>
            </w:pPr>
            <w:r>
              <w:rPr>
                <w:rFonts w:ascii="Arial" w:hAnsi="Arial" w:cs="Arial"/>
                <w:sz w:val="20"/>
                <w:szCs w:val="20"/>
              </w:rPr>
              <w:t xml:space="preserve">Parcialmente </w:t>
            </w:r>
            <w:r w:rsidR="0061207E">
              <w:rPr>
                <w:rFonts w:ascii="Arial" w:hAnsi="Arial" w:cs="Arial"/>
                <w:sz w:val="20"/>
                <w:szCs w:val="20"/>
              </w:rPr>
              <w:t>Insatisfactoria</w:t>
            </w:r>
          </w:p>
        </w:tc>
        <w:tc>
          <w:tcPr>
            <w:tcW w:w="1966" w:type="dxa"/>
            <w:vAlign w:val="center"/>
          </w:tcPr>
          <w:p w14:paraId="3708E2DB" w14:textId="715FA8C5" w:rsidR="00822BCE" w:rsidRPr="00576180" w:rsidRDefault="00480A9C" w:rsidP="00187D94">
            <w:pPr>
              <w:tabs>
                <w:tab w:val="left" w:pos="9000"/>
              </w:tabs>
              <w:jc w:val="center"/>
              <w:rPr>
                <w:rFonts w:ascii="Arial" w:hAnsi="Arial" w:cs="Arial"/>
                <w:b/>
                <w:sz w:val="20"/>
                <w:szCs w:val="20"/>
              </w:rPr>
            </w:pPr>
            <w:r>
              <w:rPr>
                <w:rFonts w:ascii="Arial" w:hAnsi="Arial" w:cs="Arial"/>
                <w:b/>
                <w:sz w:val="20"/>
                <w:szCs w:val="20"/>
              </w:rPr>
              <w:t>Parcialmente Insatisfactoria</w:t>
            </w:r>
          </w:p>
        </w:tc>
      </w:tr>
    </w:tbl>
    <w:p w14:paraId="2541C7B8" w14:textId="77777777" w:rsidR="0031790B" w:rsidRPr="00576180" w:rsidRDefault="0031790B" w:rsidP="008D007A">
      <w:pPr>
        <w:tabs>
          <w:tab w:val="left" w:pos="9000"/>
        </w:tabs>
        <w:rPr>
          <w:rFonts w:ascii="Arial" w:hAnsi="Arial" w:cs="Arial"/>
          <w:color w:val="000000" w:themeColor="text1"/>
          <w:sz w:val="24"/>
          <w:szCs w:val="24"/>
          <w:u w:val="single"/>
        </w:rPr>
        <w:sectPr w:rsidR="0031790B" w:rsidRPr="00576180" w:rsidSect="0031790B">
          <w:headerReference w:type="default" r:id="rId22"/>
          <w:pgSz w:w="11906" w:h="16838"/>
          <w:pgMar w:top="1440" w:right="1440" w:bottom="1440" w:left="1440" w:header="720" w:footer="720" w:gutter="0"/>
          <w:cols w:space="720"/>
          <w:docGrid w:linePitch="360"/>
        </w:sectPr>
      </w:pPr>
    </w:p>
    <w:p w14:paraId="6797AAA5" w14:textId="1C9AC9A7" w:rsidR="00984255" w:rsidRPr="00576180" w:rsidRDefault="00984255" w:rsidP="00984255">
      <w:pPr>
        <w:pStyle w:val="Heading2"/>
        <w:spacing w:before="120" w:after="120" w:line="240" w:lineRule="auto"/>
        <w:ind w:left="720"/>
        <w:rPr>
          <w:rFonts w:ascii="Arial" w:hAnsi="Arial" w:cs="Arial"/>
          <w:b/>
          <w:bCs/>
          <w:color w:val="auto"/>
          <w:sz w:val="18"/>
          <w:szCs w:val="18"/>
        </w:rPr>
      </w:pPr>
      <w:bookmarkStart w:id="88" w:name="_Efectividad"/>
      <w:bookmarkStart w:id="89" w:name="_Toc531550487"/>
      <w:bookmarkStart w:id="90" w:name="_Toc531550674"/>
      <w:bookmarkStart w:id="91" w:name="_Toc533001313"/>
      <w:bookmarkStart w:id="92" w:name="_Toc533069744"/>
      <w:bookmarkStart w:id="93" w:name="_Toc533166438"/>
      <w:bookmarkStart w:id="94" w:name="_Toc20432463"/>
      <w:bookmarkStart w:id="95" w:name="_Toc21017057"/>
      <w:bookmarkStart w:id="96" w:name="_Toc501529197"/>
      <w:bookmarkStart w:id="97" w:name="_Toc500169661"/>
      <w:bookmarkStart w:id="98" w:name="_Toc506484928"/>
      <w:bookmarkStart w:id="99" w:name="_Toc506974994"/>
      <w:bookmarkStart w:id="100" w:name="_Toc512433747"/>
      <w:bookmarkStart w:id="101" w:name="_Toc514236636"/>
      <w:bookmarkStart w:id="102" w:name="_Toc516767397"/>
      <w:bookmarkStart w:id="103" w:name="_Toc518037199"/>
      <w:bookmarkEnd w:id="88"/>
      <w:r w:rsidRPr="00576180">
        <w:rPr>
          <w:rFonts w:ascii="Arial" w:hAnsi="Arial" w:cs="Arial"/>
          <w:b/>
          <w:bCs/>
          <w:color w:val="auto"/>
          <w:sz w:val="18"/>
          <w:szCs w:val="18"/>
        </w:rPr>
        <w:lastRenderedPageBreak/>
        <w:t xml:space="preserve">Gráfico </w:t>
      </w:r>
      <w:r w:rsidR="00193A45" w:rsidRPr="00576180">
        <w:rPr>
          <w:rFonts w:ascii="Arial" w:hAnsi="Arial" w:cs="Arial"/>
          <w:b/>
          <w:bCs/>
          <w:color w:val="auto"/>
          <w:sz w:val="18"/>
          <w:szCs w:val="18"/>
        </w:rPr>
        <w:t>1</w:t>
      </w:r>
      <w:r w:rsidRPr="00576180">
        <w:rPr>
          <w:rFonts w:ascii="Arial" w:hAnsi="Arial" w:cs="Arial"/>
          <w:b/>
          <w:bCs/>
          <w:color w:val="auto"/>
          <w:sz w:val="18"/>
          <w:szCs w:val="18"/>
        </w:rPr>
        <w:t xml:space="preserve"> – </w:t>
      </w:r>
      <w:r w:rsidR="00004522" w:rsidRPr="00576180">
        <w:rPr>
          <w:rFonts w:ascii="Arial" w:hAnsi="Arial" w:cs="Arial"/>
          <w:b/>
          <w:bCs/>
          <w:color w:val="auto"/>
          <w:sz w:val="18"/>
          <w:szCs w:val="18"/>
        </w:rPr>
        <w:t>Lógica</w:t>
      </w:r>
      <w:r w:rsidRPr="00576180">
        <w:rPr>
          <w:rFonts w:ascii="Arial" w:hAnsi="Arial" w:cs="Arial"/>
          <w:b/>
          <w:bCs/>
          <w:color w:val="auto"/>
          <w:sz w:val="18"/>
          <w:szCs w:val="18"/>
        </w:rPr>
        <w:t xml:space="preserve"> </w:t>
      </w:r>
      <w:r w:rsidR="00F85F3A" w:rsidRPr="00576180">
        <w:rPr>
          <w:rFonts w:ascii="Arial" w:hAnsi="Arial" w:cs="Arial"/>
          <w:b/>
          <w:bCs/>
          <w:color w:val="auto"/>
          <w:sz w:val="18"/>
          <w:szCs w:val="18"/>
        </w:rPr>
        <w:t>v</w:t>
      </w:r>
      <w:r w:rsidRPr="00576180">
        <w:rPr>
          <w:rFonts w:ascii="Arial" w:hAnsi="Arial" w:cs="Arial"/>
          <w:b/>
          <w:bCs/>
          <w:color w:val="auto"/>
          <w:sz w:val="18"/>
          <w:szCs w:val="18"/>
        </w:rPr>
        <w:t xml:space="preserve">ertical a </w:t>
      </w:r>
      <w:r w:rsidR="007A145F" w:rsidRPr="00576180">
        <w:rPr>
          <w:rFonts w:ascii="Arial" w:hAnsi="Arial" w:cs="Arial"/>
          <w:b/>
          <w:bCs/>
          <w:color w:val="auto"/>
          <w:sz w:val="18"/>
          <w:szCs w:val="18"/>
        </w:rPr>
        <w:t>nivel</w:t>
      </w:r>
      <w:r w:rsidRPr="00576180">
        <w:rPr>
          <w:rFonts w:ascii="Arial" w:hAnsi="Arial" w:cs="Arial"/>
          <w:b/>
          <w:bCs/>
          <w:color w:val="auto"/>
          <w:sz w:val="18"/>
          <w:szCs w:val="18"/>
        </w:rPr>
        <w:t xml:space="preserve"> de </w:t>
      </w:r>
      <w:r w:rsidR="00F85F3A" w:rsidRPr="00576180">
        <w:rPr>
          <w:rFonts w:ascii="Arial" w:hAnsi="Arial" w:cs="Arial"/>
          <w:b/>
          <w:bCs/>
          <w:color w:val="auto"/>
          <w:sz w:val="18"/>
          <w:szCs w:val="18"/>
        </w:rPr>
        <w:t>r</w:t>
      </w:r>
      <w:r w:rsidRPr="00576180">
        <w:rPr>
          <w:rFonts w:ascii="Arial" w:hAnsi="Arial" w:cs="Arial"/>
          <w:b/>
          <w:bCs/>
          <w:color w:val="auto"/>
          <w:sz w:val="18"/>
          <w:szCs w:val="18"/>
        </w:rPr>
        <w:t>esultados</w:t>
      </w:r>
      <w:bookmarkEnd w:id="89"/>
      <w:bookmarkEnd w:id="90"/>
      <w:bookmarkEnd w:id="91"/>
      <w:bookmarkEnd w:id="92"/>
      <w:bookmarkEnd w:id="93"/>
      <w:bookmarkEnd w:id="94"/>
      <w:bookmarkEnd w:id="95"/>
    </w:p>
    <w:p w14:paraId="407A5CC0" w14:textId="6713C7E5" w:rsidR="00984255" w:rsidRPr="00576180" w:rsidRDefault="00DB43E5" w:rsidP="00984255">
      <w:pPr>
        <w:spacing w:before="120" w:after="120"/>
        <w:rPr>
          <w:rFonts w:ascii="Arial" w:hAnsi="Arial" w:cs="Arial"/>
          <w:color w:val="222222"/>
          <w:sz w:val="18"/>
          <w:szCs w:val="18"/>
        </w:rPr>
      </w:pPr>
      <w:r w:rsidRPr="00576180">
        <w:rPr>
          <w:rFonts w:ascii="Arial" w:hAnsi="Arial" w:cs="Arial"/>
          <w:noProof/>
          <w:sz w:val="18"/>
          <w:szCs w:val="18"/>
          <w:lang w:eastAsia="pt-BR"/>
        </w:rPr>
        <mc:AlternateContent>
          <mc:Choice Requires="wps">
            <w:drawing>
              <wp:anchor distT="0" distB="0" distL="114300" distR="114300" simplePos="0" relativeHeight="251834368" behindDoc="0" locked="0" layoutInCell="1" allowOverlap="1" wp14:anchorId="53CEAD07" wp14:editId="1788E1BD">
                <wp:simplePos x="0" y="0"/>
                <wp:positionH relativeFrom="column">
                  <wp:posOffset>-39757</wp:posOffset>
                </wp:positionH>
                <wp:positionV relativeFrom="paragraph">
                  <wp:posOffset>205961</wp:posOffset>
                </wp:positionV>
                <wp:extent cx="9073515" cy="739471"/>
                <wp:effectExtent l="19050" t="19050" r="13335" b="22860"/>
                <wp:wrapNone/>
                <wp:docPr id="105" name="Rectangle 105"/>
                <wp:cNvGraphicFramePr/>
                <a:graphic xmlns:a="http://schemas.openxmlformats.org/drawingml/2006/main">
                  <a:graphicData uri="http://schemas.microsoft.com/office/word/2010/wordprocessingShape">
                    <wps:wsp>
                      <wps:cNvSpPr/>
                      <wps:spPr>
                        <a:xfrm>
                          <a:off x="0" y="0"/>
                          <a:ext cx="9073515" cy="739471"/>
                        </a:xfrm>
                        <a:prstGeom prst="rect">
                          <a:avLst/>
                        </a:prstGeom>
                        <a:noFill/>
                        <a:ln w="381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AD45F" id="Rectangle 105" o:spid="_x0000_s1026" style="position:absolute;margin-left:-3.15pt;margin-top:16.2pt;width:714.45pt;height:58.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clgIAAHcFAAAOAAAAZHJzL2Uyb0RvYy54bWysVE1v2zAMvQ/YfxB0X22nydIYdYqgRYcB&#10;RVu0HXpWZSk2IIuapMTJfv0oyXHTj9OwHBxKJB/JJ5LnF7tOka2wrgVd0eIkp0RoDnWr1xX99XT9&#10;7YwS55mumQItKroXjl4sv345700pJtCAqoUlCKJd2ZuKNt6bMsscb0TH3AkYoVEpwXbM49Gus9qy&#10;HtE7lU3y/HvWg62NBS6cw9urpKTLiC+l4P5OSic8URXF3Hz82vh9Cd9sec7KtWWmafmQBvuHLDrW&#10;agw6Ql0xz8jGth+gupZbcCD9CYcuAylbLmINWE2Rv6vmsWFGxFqQHGdGmtz/g+W323tL2hrfLp9R&#10;olmHj/SAtDG9VoKES6SoN65Ey0dzb4eTQzHUu5O2C/9YCdlFWvcjrWLnCcfLRT4/nRWIzlE3P11M&#10;50UAzV69jXX+h4COBKGiFuNHNtn2xvlkejAJwTRct0rhPSuVJn1FT8+KPI8eweyKuYZsGb54jdIQ&#10;SmmMGOpImUfJ75VIIA9CIgmY6ySixPYTl8omGMa50L5IqobVIl3PcvwN8KNHrEtpBAzIEvMcsQeA&#10;0NofsVOVg31wFbF7R+dU3hjmbWLJefSIkUH70blrNdjPKlNY1RA52R9IStQEll6g3mOLWEiz4wy/&#10;bpHkG+b8PbM4LDhWuAD8HX6kAnwNGCRKGrB/PrsP9tjDqKWkx+GrqPu9YVZQon5q7O5FMZ2GaY2H&#10;6Ww+wYM91rwca/SmuwR87QJXjeFRDPZeHURpoXvGPbEKUVHFNMfYFeXeHg6XPi0F3DRcrFbRDCfU&#10;MH+jHw0P4IHV0F5Pu2dmzdCqHpv8Fg6Dysp3HZtsg6eG1caDbGM7v/I68I3THRtn2ERhfRyfo9Xr&#10;vlz+BQAA//8DAFBLAwQUAAYACAAAACEARz6/xeAAAAAKAQAADwAAAGRycy9kb3ducmV2LnhtbEyP&#10;wU7DMBBE70j8g7VI3FqnbhW1IU5VoSJRkQuFS29OvMQR8TqK3Tbl63FOcJvVjGbe5tvRduyCg28d&#10;SVjME2BItdMtNRI+P15ma2A+KNKqc4QSbuhhW9zf5SrT7krveDmGhsUS8pmSYELoM859bdAqP3c9&#10;UvS+3GBViOfQcD2oayy3HRdJknKrWooLRvX4bLD+Pp6thEM17spFeTC3/b5/c6fSvv7UQsrHh3H3&#10;BCzgGP7CMOFHdCgiU+XOpD3rJMzSZUxKWIoVsMlfCZECqya13gAvcv7/heIXAAD//wMAUEsBAi0A&#10;FAAGAAgAAAAhALaDOJL+AAAA4QEAABMAAAAAAAAAAAAAAAAAAAAAAFtDb250ZW50X1R5cGVzXS54&#10;bWxQSwECLQAUAAYACAAAACEAOP0h/9YAAACUAQAACwAAAAAAAAAAAAAAAAAvAQAAX3JlbHMvLnJl&#10;bHNQSwECLQAUAAYACAAAACEAoPnjHJYCAAB3BQAADgAAAAAAAAAAAAAAAAAuAgAAZHJzL2Uyb0Rv&#10;Yy54bWxQSwECLQAUAAYACAAAACEARz6/xeAAAAAKAQAADwAAAAAAAAAAAAAAAADwBAAAZHJzL2Rv&#10;d25yZXYueG1sUEsFBgAAAAAEAAQA8wAAAP0FAAAAAA==&#10;" filled="f" strokecolor="#243f60 [1604]" strokeweight="3pt">
                <v:stroke dashstyle="dash"/>
              </v:rect>
            </w:pict>
          </mc:Fallback>
        </mc:AlternateContent>
      </w:r>
      <w:r w:rsidR="00984255" w:rsidRPr="00576180">
        <w:rPr>
          <w:rFonts w:ascii="Arial" w:hAnsi="Arial" w:cs="Arial"/>
          <w:b/>
          <w:color w:val="222222"/>
          <w:sz w:val="18"/>
          <w:szCs w:val="18"/>
        </w:rPr>
        <w:t>OB</w:t>
      </w:r>
      <w:r w:rsidR="00282D47" w:rsidRPr="00576180">
        <w:rPr>
          <w:rFonts w:ascii="Arial" w:hAnsi="Arial" w:cs="Arial"/>
          <w:b/>
          <w:color w:val="222222"/>
          <w:sz w:val="18"/>
          <w:szCs w:val="18"/>
        </w:rPr>
        <w:t>P</w:t>
      </w:r>
      <w:r w:rsidR="00984255" w:rsidRPr="00576180">
        <w:rPr>
          <w:rFonts w:ascii="Arial" w:hAnsi="Arial" w:cs="Arial"/>
          <w:b/>
          <w:color w:val="222222"/>
          <w:sz w:val="18"/>
          <w:szCs w:val="18"/>
        </w:rPr>
        <w:t xml:space="preserve">– </w:t>
      </w:r>
      <w:r w:rsidR="00984255" w:rsidRPr="00576180">
        <w:rPr>
          <w:rFonts w:ascii="Arial" w:hAnsi="Arial" w:cs="Arial"/>
          <w:color w:val="222222"/>
          <w:sz w:val="18"/>
          <w:szCs w:val="18"/>
        </w:rPr>
        <w:t xml:space="preserve">Objetivo </w:t>
      </w:r>
      <w:r w:rsidR="00193A45" w:rsidRPr="00576180">
        <w:rPr>
          <w:rFonts w:ascii="Arial" w:hAnsi="Arial" w:cs="Arial"/>
          <w:color w:val="222222"/>
          <w:sz w:val="18"/>
          <w:szCs w:val="18"/>
        </w:rPr>
        <w:t>Principal</w:t>
      </w:r>
      <w:r w:rsidR="00984255" w:rsidRPr="00576180">
        <w:rPr>
          <w:rFonts w:ascii="Arial" w:hAnsi="Arial" w:cs="Arial"/>
          <w:b/>
          <w:color w:val="222222"/>
          <w:sz w:val="18"/>
          <w:szCs w:val="18"/>
        </w:rPr>
        <w:t xml:space="preserve">; </w:t>
      </w:r>
      <w:r w:rsidR="00F85F3A" w:rsidRPr="00576180">
        <w:rPr>
          <w:rFonts w:ascii="Arial" w:hAnsi="Arial" w:cs="Arial"/>
          <w:b/>
          <w:color w:val="222222"/>
          <w:sz w:val="18"/>
          <w:szCs w:val="18"/>
        </w:rPr>
        <w:t xml:space="preserve">I – </w:t>
      </w:r>
      <w:r w:rsidR="00F85F3A" w:rsidRPr="00576180">
        <w:rPr>
          <w:rFonts w:ascii="Arial" w:hAnsi="Arial" w:cs="Arial"/>
          <w:color w:val="222222"/>
          <w:sz w:val="18"/>
          <w:szCs w:val="18"/>
        </w:rPr>
        <w:t>Impacto</w:t>
      </w:r>
      <w:r w:rsidR="00F85F3A" w:rsidRPr="00576180">
        <w:rPr>
          <w:rFonts w:ascii="Arial" w:hAnsi="Arial" w:cs="Arial"/>
          <w:b/>
          <w:color w:val="222222"/>
          <w:sz w:val="18"/>
          <w:szCs w:val="18"/>
        </w:rPr>
        <w:t xml:space="preserve">; </w:t>
      </w:r>
      <w:r w:rsidR="00984255" w:rsidRPr="00576180">
        <w:rPr>
          <w:rFonts w:ascii="Arial" w:hAnsi="Arial" w:cs="Arial"/>
          <w:b/>
          <w:color w:val="222222"/>
          <w:sz w:val="18"/>
          <w:szCs w:val="18"/>
        </w:rPr>
        <w:t xml:space="preserve">OBE – </w:t>
      </w:r>
      <w:r w:rsidR="00984255" w:rsidRPr="00576180">
        <w:rPr>
          <w:rFonts w:ascii="Arial" w:hAnsi="Arial" w:cs="Arial"/>
          <w:color w:val="222222"/>
          <w:sz w:val="18"/>
          <w:szCs w:val="18"/>
        </w:rPr>
        <w:t>Objetivo Específico</w:t>
      </w:r>
      <w:r w:rsidR="00984255" w:rsidRPr="00576180">
        <w:rPr>
          <w:rFonts w:ascii="Arial" w:hAnsi="Arial" w:cs="Arial"/>
          <w:b/>
          <w:color w:val="222222"/>
          <w:sz w:val="18"/>
          <w:szCs w:val="18"/>
        </w:rPr>
        <w:t xml:space="preserve">; R – </w:t>
      </w:r>
      <w:r w:rsidR="00984255" w:rsidRPr="00576180">
        <w:rPr>
          <w:rFonts w:ascii="Arial" w:hAnsi="Arial" w:cs="Arial"/>
          <w:color w:val="222222"/>
          <w:sz w:val="18"/>
          <w:szCs w:val="18"/>
        </w:rPr>
        <w:t>Resultado</w:t>
      </w:r>
      <w:r w:rsidR="00984255" w:rsidRPr="00576180">
        <w:rPr>
          <w:rFonts w:ascii="Arial" w:hAnsi="Arial" w:cs="Arial"/>
          <w:b/>
          <w:color w:val="222222"/>
          <w:sz w:val="18"/>
          <w:szCs w:val="18"/>
        </w:rPr>
        <w:t xml:space="preserve">; C – </w:t>
      </w:r>
      <w:r w:rsidR="00984255" w:rsidRPr="00576180">
        <w:rPr>
          <w:rFonts w:ascii="Arial" w:hAnsi="Arial" w:cs="Arial"/>
          <w:color w:val="222222"/>
          <w:sz w:val="18"/>
          <w:szCs w:val="18"/>
        </w:rPr>
        <w:t>Componente</w:t>
      </w:r>
      <w:r w:rsidR="00A72757" w:rsidRPr="00576180">
        <w:rPr>
          <w:rFonts w:ascii="Arial" w:hAnsi="Arial" w:cs="Arial"/>
          <w:color w:val="222222"/>
          <w:sz w:val="18"/>
          <w:szCs w:val="18"/>
        </w:rPr>
        <w:t xml:space="preserve">; </w:t>
      </w:r>
      <w:r w:rsidR="00A72757" w:rsidRPr="00576180">
        <w:rPr>
          <w:rFonts w:ascii="Arial" w:hAnsi="Arial" w:cs="Arial"/>
          <w:b/>
          <w:color w:val="222222"/>
          <w:sz w:val="18"/>
          <w:szCs w:val="18"/>
        </w:rPr>
        <w:t xml:space="preserve">P </w:t>
      </w:r>
      <w:r w:rsidR="00A72757" w:rsidRPr="00576180">
        <w:rPr>
          <w:rFonts w:ascii="Arial" w:hAnsi="Arial" w:cs="Arial"/>
          <w:color w:val="222222"/>
          <w:sz w:val="18"/>
          <w:szCs w:val="18"/>
        </w:rPr>
        <w:t xml:space="preserve">– </w:t>
      </w:r>
      <w:r w:rsidR="00E04F3B" w:rsidRPr="00576180">
        <w:rPr>
          <w:rFonts w:ascii="Arial" w:hAnsi="Arial" w:cs="Arial"/>
          <w:color w:val="222222"/>
          <w:sz w:val="18"/>
          <w:szCs w:val="18"/>
        </w:rPr>
        <w:t>Productos</w:t>
      </w:r>
    </w:p>
    <w:p w14:paraId="3144FF4D" w14:textId="77777777" w:rsidR="00984255" w:rsidRPr="00576180" w:rsidRDefault="00892827" w:rsidP="00984255">
      <w:pPr>
        <w:pStyle w:val="ListParagraph"/>
        <w:spacing w:before="120" w:after="120"/>
        <w:ind w:left="2148" w:firstLine="684"/>
        <w:rPr>
          <w:rFonts w:ascii="Arial" w:hAnsi="Arial" w:cs="Arial"/>
          <w:b/>
          <w:color w:val="222222"/>
          <w:sz w:val="18"/>
          <w:szCs w:val="18"/>
        </w:rPr>
      </w:pPr>
      <w:r w:rsidRPr="00576180">
        <w:rPr>
          <w:rFonts w:ascii="Arial" w:hAnsi="Arial" w:cs="Arial"/>
          <w:noProof/>
          <w:sz w:val="18"/>
          <w:szCs w:val="18"/>
          <w:lang w:eastAsia="pt-BR"/>
        </w:rPr>
        <mc:AlternateContent>
          <mc:Choice Requires="wps">
            <w:drawing>
              <wp:anchor distT="0" distB="0" distL="114300" distR="114300" simplePos="0" relativeHeight="251812864" behindDoc="0" locked="0" layoutInCell="1" allowOverlap="1" wp14:anchorId="7522A615" wp14:editId="7948DB09">
                <wp:simplePos x="0" y="0"/>
                <wp:positionH relativeFrom="column">
                  <wp:posOffset>-689610</wp:posOffset>
                </wp:positionH>
                <wp:positionV relativeFrom="paragraph">
                  <wp:posOffset>184908</wp:posOffset>
                </wp:positionV>
                <wp:extent cx="706120" cy="265430"/>
                <wp:effectExtent l="0" t="8255" r="28575" b="28575"/>
                <wp:wrapNone/>
                <wp:docPr id="116" name="Rectangle 116"/>
                <wp:cNvGraphicFramePr/>
                <a:graphic xmlns:a="http://schemas.openxmlformats.org/drawingml/2006/main">
                  <a:graphicData uri="http://schemas.microsoft.com/office/word/2010/wordprocessingShape">
                    <wps:wsp>
                      <wps:cNvSpPr/>
                      <wps:spPr>
                        <a:xfrm rot="16200000">
                          <a:off x="0" y="0"/>
                          <a:ext cx="706120" cy="26543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0E882F" w14:textId="77777777" w:rsidR="00D87B95" w:rsidRPr="001D6798" w:rsidRDefault="00D87B95" w:rsidP="00984255">
                            <w:pPr>
                              <w:jc w:val="center"/>
                            </w:pPr>
                            <w:r w:rsidRPr="001D6798">
                              <w:t>Impacto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2A615" id="Rectangle 116" o:spid="_x0000_s1029" style="position:absolute;left:0;text-align:left;margin-left:-54.3pt;margin-top:14.55pt;width:55.6pt;height:20.9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AngIAAJAFAAAOAAAAZHJzL2Uyb0RvYy54bWysVEtPGzEQvlfqf7B8L5sNIdCIDYpAVJUQ&#10;IKDi7Hjt7Epej2s7yaa/vuPZBxGll6p7WI09M9+8Ps/lVdsYtlM+1GALnp9MOFNWQlnbTcF/vNx+&#10;ueAsRGFLYcCqgh9U4FfLz58u926hplCBKZVnCGLDYu8KXsXoFlkWZKUaEU7AKYtKDb4REY9+k5Ve&#10;7BG9Mdl0Mplne/Cl8yBVCHh70yn5kvC1VjI+aB1UZKbgmFukv6f/Ov2z5aVYbLxwVS37NMQ/ZNGI&#10;2mLQEepGRMG2vv4DqqmlhwA6nkhoMtC6lopqwGryybtqnivhFNWCzQlubFP4f7DyfvfoWV3i7PI5&#10;Z1Y0OKQnbJuwG6NYusQW7V1YoOWze/T9KaCY6m21b5gH7Gs+x3ngR23AwlhLXT6MXVZtZBIvzyfz&#10;fIqzkKiazs9mpzSFrMNKmM6H+E1Bw5JQcI/ZEKjY3YWI8dF0MEnmAUxd3tbG0CERR10bz3YCRx7b&#10;POWPHkdWWSqnK4CkeDAq+Rr7pDT2AnOcUkBi4RuYkFLZmHeqSpSqi3FGVfdRhvAUkwATssbsRuwe&#10;YLDsQAbsDqa3T66KSDw6d+39S2Kd8+hBkcHG0bmpLfiPKjNYVR+5s8f0j1qTxNiuW+LJ6UCINZQH&#10;5A4NH8cZnLytcWB3IsRH4fEV4SVuhviAP21gX3DoJc4q8L8+uk/2SG7UcrbHV1nw8HMrvOLMfLdI&#10;+6/5bJaeMR1mZ+eJR/5Ysz7W2G1zDciCnLIjMdlHM4jaQ/OKC2SVoqJKWImxCy6jHw7XsdsWuIKk&#10;Wq3IDJ+uE/HOPjuZwFOfEyFf2lfhXc/aiHS/h+EFi8U78na2ydPCahtB18Ts1Omur/0E8NkTlfoV&#10;lfbK8Zms3hbp8jcAAAD//wMAUEsDBBQABgAIAAAAIQBQ2HQm3wAAAAoBAAAPAAAAZHJzL2Rvd25y&#10;ZXYueG1sTI9Nb8IwDIbvk/YfIk/aBZUEEGzrmqIJadptaGziHBrTVDROaQKUfz/vNG7+ePT6cbEc&#10;fCvO2McmkIbJWIFAqoJtqNbw8/2ePYOIyZA1bSDUcMUIy/L+rjC5DRf6wvMm1YJDKOZGg0upy6WM&#10;lUNv4jh0SLzbh96bxG1fS9ubC4f7Vk6VWkhvGuILznS4clgdNievIR5Hxw81H6UDum21v67ldvW5&#10;1vrxYXh7BZFwSP8w/OmzOpTstAsnslG0GrKn2QujXMwXIBjIZtMJiB2TiieyLOTtC+UvAAAA//8D&#10;AFBLAQItABQABgAIAAAAIQC2gziS/gAAAOEBAAATAAAAAAAAAAAAAAAAAAAAAABbQ29udGVudF9U&#10;eXBlc10ueG1sUEsBAi0AFAAGAAgAAAAhADj9If/WAAAAlAEAAAsAAAAAAAAAAAAAAAAALwEAAF9y&#10;ZWxzLy5yZWxzUEsBAi0AFAAGAAgAAAAhAGH8TsCeAgAAkAUAAA4AAAAAAAAAAAAAAAAALgIAAGRy&#10;cy9lMm9Eb2MueG1sUEsBAi0AFAAGAAgAAAAhAFDYdCbfAAAACgEAAA8AAAAAAAAAAAAAAAAA+AQA&#10;AGRycy9kb3ducmV2LnhtbFBLBQYAAAAABAAEAPMAAAAEBgAAAAA=&#10;" fillcolor="black [3213]" strokecolor="#243f60 [1604]" strokeweight="2pt">
                <v:textbox>
                  <w:txbxContent>
                    <w:p w14:paraId="780E882F" w14:textId="77777777" w:rsidR="00D87B95" w:rsidRPr="001D6798" w:rsidRDefault="00D87B95" w:rsidP="00984255">
                      <w:pPr>
                        <w:jc w:val="center"/>
                      </w:pPr>
                      <w:r w:rsidRPr="001D6798">
                        <w:t>Impacto</w:t>
                      </w:r>
                    </w:p>
                  </w:txbxContent>
                </v:textbox>
              </v:rect>
            </w:pict>
          </mc:Fallback>
        </mc:AlternateContent>
      </w:r>
      <w:r w:rsidR="00933E9A" w:rsidRPr="00576180">
        <w:rPr>
          <w:rFonts w:ascii="Arial" w:hAnsi="Arial" w:cs="Arial"/>
          <w:noProof/>
          <w:sz w:val="18"/>
          <w:szCs w:val="18"/>
          <w:lang w:eastAsia="pt-BR"/>
        </w:rPr>
        <mc:AlternateContent>
          <mc:Choice Requires="wps">
            <w:drawing>
              <wp:anchor distT="0" distB="0" distL="114300" distR="114300" simplePos="0" relativeHeight="251803648" behindDoc="0" locked="0" layoutInCell="1" allowOverlap="1" wp14:anchorId="395F25C0" wp14:editId="7B07DE21">
                <wp:simplePos x="0" y="0"/>
                <wp:positionH relativeFrom="column">
                  <wp:posOffset>77429</wp:posOffset>
                </wp:positionH>
                <wp:positionV relativeFrom="paragraph">
                  <wp:posOffset>68949</wp:posOffset>
                </wp:positionV>
                <wp:extent cx="8808474" cy="265471"/>
                <wp:effectExtent l="0" t="0" r="12065" b="20320"/>
                <wp:wrapNone/>
                <wp:docPr id="110" name="Rectangle 110"/>
                <wp:cNvGraphicFramePr/>
                <a:graphic xmlns:a="http://schemas.openxmlformats.org/drawingml/2006/main">
                  <a:graphicData uri="http://schemas.microsoft.com/office/word/2010/wordprocessingShape">
                    <wps:wsp>
                      <wps:cNvSpPr/>
                      <wps:spPr>
                        <a:xfrm>
                          <a:off x="0" y="0"/>
                          <a:ext cx="8808474" cy="265471"/>
                        </a:xfrm>
                        <a:prstGeom prst="rect">
                          <a:avLst/>
                        </a:prstGeom>
                        <a:solidFill>
                          <a:schemeClr val="bg2">
                            <a:lumMod val="1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73B9F4" w14:textId="1A29404B" w:rsidR="00D87B95" w:rsidRPr="00933E9A" w:rsidRDefault="00D87B95" w:rsidP="00984255">
                            <w:pPr>
                              <w:rPr>
                                <w:lang w:val="es-ES"/>
                              </w:rPr>
                            </w:pPr>
                            <w:r w:rsidRPr="00933E9A">
                              <w:rPr>
                                <w:sz w:val="20"/>
                                <w:szCs w:val="20"/>
                                <w:lang w:val="es-ES"/>
                              </w:rPr>
                              <w:t xml:space="preserve"> </w:t>
                            </w:r>
                            <w:r>
                              <w:rPr>
                                <w:sz w:val="20"/>
                                <w:szCs w:val="20"/>
                                <w:lang w:val="es-ES"/>
                              </w:rPr>
                              <w:t>OBP.</w:t>
                            </w:r>
                            <w:r w:rsidRPr="00933E9A">
                              <w:rPr>
                                <w:sz w:val="20"/>
                                <w:szCs w:val="20"/>
                                <w:lang w:val="es-ES"/>
                              </w:rPr>
                              <w:t xml:space="preserve"> </w:t>
                            </w:r>
                            <w:r>
                              <w:rPr>
                                <w:sz w:val="20"/>
                                <w:szCs w:val="20"/>
                                <w:lang w:val="es-ES"/>
                              </w:rPr>
                              <w:t>C</w:t>
                            </w:r>
                            <w:r w:rsidRPr="003938F1">
                              <w:rPr>
                                <w:sz w:val="20"/>
                                <w:szCs w:val="20"/>
                                <w:lang w:val="es-ES"/>
                              </w:rPr>
                              <w:t xml:space="preserve">ontribuir al aumento de la eficiencia en la gestión pública.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F25C0" id="Rectangle 110" o:spid="_x0000_s1030" style="position:absolute;left:0;text-align:left;margin-left:6.1pt;margin-top:5.45pt;width:693.6pt;height:20.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5nQIAAKYFAAAOAAAAZHJzL2Uyb0RvYy54bWysVMFu2zAMvQ/YPwi6r7YDt82COkXQosOA&#10;rivaDj0rshQbkERNUmJnXz9Kdtys63YYloNCUuSj+UTy4rLXiuyE8y2YihYnOSXCcKhbs6not6eb&#10;D3NKfGCmZgqMqOheeHq5fP/uorMLMYMGVC0cQRDjF52taBOCXWSZ543QzJ+AFQYvJTjNAqpuk9WO&#10;dYiuVTbL87OsA1dbB1x4j9br4ZIuE76UgoevUnoRiKoofltIp0vnOp7Z8oItNo7ZpuXjZ7B/+ArN&#10;WoNJJ6hrFhjZuvY3KN1yBx5kOOGgM5Cy5SLVgNUU+atqHhtmRaoFyfF2osn/P1h+t7t3pK3x7Qrk&#10;xzCNj/SAtDGzUYJEI1LUWb9Az0d770bNoxjr7aXT8R8rIX2idT/RKvpAOBrn83xenpeUcLybnZ2W&#10;50UEzV6irfPhkwBNolBRh/kTm2x368PgenCJyTyotr5plUpKbBVxpRzZMXzk9WaWQtVWf4F6sBU5&#10;/saUqbOie/qAI6QsFjmUlaSwVyLiK/MgJDKEhQzIE8IAzjgXJhQpqW9YLQbz6R9zJsCILLGCCXsE&#10;+LWYA/ZAwegfQ0Vq7Sk4H7L/LXiKSJnBhClYtwbcWwAKqxozD/5I2RE1UQz9uk/dU0bPaFlDvceO&#10;cjCMmrf8psVHvWU+3DOHs4VdhvsifMVDKugqCqNESQPux1v26I8tj7eUdDirFfXft8wJStRng8Pw&#10;sSjLONxJKU/PZ6i445v18Y3Z6ivATilwM1mexOgf1EGUDvQzrpVVzIpXzHDMXVEe3EG5CsMOwcXE&#10;xWqV3HCgLQu35tHyCB55jk371D8zZ8fODjgTd3CYa7Z41eCDb4w0sNoGkG3q/hdexxfAZZDad1xc&#10;cdsc68nrZb0ufwIAAP//AwBQSwMEFAAGAAgAAAAhAANQszLdAAAACQEAAA8AAABkcnMvZG93bnJl&#10;di54bWxMj8FOwzAQRO9I/IO1SFxQ6xBoISFOhZC4IrXlws1OliQkXke2m4S/Z3uip9VoRrNvit1i&#10;BzGhD50jBffrBARS5eqOGgWfx/fVM4gQNdV6cIQKfjHArry+KnReu5n2OB1iI7iEQq4VtDGOuZSh&#10;atHqsHYjEnvfzlsdWfpG1l7PXG4HmSbJVlrdEX9o9YhvLVb94WQV9NOPvzNoqP/YfDlvwr4/zotS&#10;tzfL6wuIiEv8D8MZn9GhZCbjTlQHMbBOU07yTTIQZ/8hyx5BGAWb9AlkWcjLBeUfAAAA//8DAFBL&#10;AQItABQABgAIAAAAIQC2gziS/gAAAOEBAAATAAAAAAAAAAAAAAAAAAAAAABbQ29udGVudF9UeXBl&#10;c10ueG1sUEsBAi0AFAAGAAgAAAAhADj9If/WAAAAlAEAAAsAAAAAAAAAAAAAAAAALwEAAF9yZWxz&#10;Ly5yZWxzUEsBAi0AFAAGAAgAAAAhAFO+X/mdAgAApgUAAA4AAAAAAAAAAAAAAAAALgIAAGRycy9l&#10;Mm9Eb2MueG1sUEsBAi0AFAAGAAgAAAAhAANQszLdAAAACQEAAA8AAAAAAAAAAAAAAAAA9wQAAGRy&#10;cy9kb3ducmV2LnhtbFBLBQYAAAAABAAEAPMAAAABBgAAAAA=&#10;" fillcolor="#1c1a10 [334]" strokecolor="#243f60 [1604]" strokeweight="2pt">
                <v:textbox>
                  <w:txbxContent>
                    <w:p w14:paraId="4F73B9F4" w14:textId="1A29404B" w:rsidR="00D87B95" w:rsidRPr="00933E9A" w:rsidRDefault="00D87B95" w:rsidP="00984255">
                      <w:pPr>
                        <w:rPr>
                          <w:lang w:val="es-ES"/>
                        </w:rPr>
                      </w:pPr>
                      <w:r w:rsidRPr="00933E9A">
                        <w:rPr>
                          <w:sz w:val="20"/>
                          <w:szCs w:val="20"/>
                          <w:lang w:val="es-ES"/>
                        </w:rPr>
                        <w:t xml:space="preserve"> </w:t>
                      </w:r>
                      <w:r>
                        <w:rPr>
                          <w:sz w:val="20"/>
                          <w:szCs w:val="20"/>
                          <w:lang w:val="es-ES"/>
                        </w:rPr>
                        <w:t>OBP.</w:t>
                      </w:r>
                      <w:r w:rsidRPr="00933E9A">
                        <w:rPr>
                          <w:sz w:val="20"/>
                          <w:szCs w:val="20"/>
                          <w:lang w:val="es-ES"/>
                        </w:rPr>
                        <w:t xml:space="preserve"> </w:t>
                      </w:r>
                      <w:r>
                        <w:rPr>
                          <w:sz w:val="20"/>
                          <w:szCs w:val="20"/>
                          <w:lang w:val="es-ES"/>
                        </w:rPr>
                        <w:t>C</w:t>
                      </w:r>
                      <w:r w:rsidRPr="003938F1">
                        <w:rPr>
                          <w:sz w:val="20"/>
                          <w:szCs w:val="20"/>
                          <w:lang w:val="es-ES"/>
                        </w:rPr>
                        <w:t xml:space="preserve">ontribuir al aumento de la eficiencia en la gestión pública. </w:t>
                      </w:r>
                    </w:p>
                  </w:txbxContent>
                </v:textbox>
              </v:rect>
            </w:pict>
          </mc:Fallback>
        </mc:AlternateContent>
      </w:r>
    </w:p>
    <w:p w14:paraId="3F0306BD" w14:textId="77777777" w:rsidR="00984255" w:rsidRPr="00576180" w:rsidRDefault="00984255" w:rsidP="00984255">
      <w:pPr>
        <w:pStyle w:val="ListParagraph"/>
        <w:spacing w:before="120" w:after="120"/>
        <w:ind w:left="2148" w:firstLine="684"/>
        <w:rPr>
          <w:rFonts w:ascii="Arial" w:hAnsi="Arial" w:cs="Arial"/>
          <w:b/>
          <w:color w:val="222222"/>
          <w:sz w:val="18"/>
          <w:szCs w:val="18"/>
        </w:rPr>
      </w:pPr>
    </w:p>
    <w:p w14:paraId="72264B5C" w14:textId="77777777" w:rsidR="00984255" w:rsidRPr="00576180" w:rsidRDefault="001B35C7" w:rsidP="00984255">
      <w:pPr>
        <w:rPr>
          <w:rFonts w:ascii="Arial" w:hAnsi="Arial" w:cs="Arial"/>
          <w:sz w:val="18"/>
          <w:szCs w:val="18"/>
        </w:rPr>
      </w:pPr>
      <w:r w:rsidRPr="00576180">
        <w:rPr>
          <w:rFonts w:ascii="Arial" w:hAnsi="Arial" w:cs="Arial"/>
          <w:noProof/>
          <w:sz w:val="18"/>
          <w:szCs w:val="18"/>
          <w:lang w:eastAsia="pt-BR"/>
        </w:rPr>
        <mc:AlternateContent>
          <mc:Choice Requires="wps">
            <w:drawing>
              <wp:anchor distT="0" distB="0" distL="114300" distR="114300" simplePos="0" relativeHeight="251804672" behindDoc="0" locked="0" layoutInCell="1" allowOverlap="1" wp14:anchorId="0C73DBEF" wp14:editId="77E18D8C">
                <wp:simplePos x="0" y="0"/>
                <wp:positionH relativeFrom="column">
                  <wp:posOffset>69461</wp:posOffset>
                </wp:positionH>
                <wp:positionV relativeFrom="paragraph">
                  <wp:posOffset>3502</wp:posOffset>
                </wp:positionV>
                <wp:extent cx="8808085" cy="239498"/>
                <wp:effectExtent l="0" t="0" r="12065" b="27305"/>
                <wp:wrapNone/>
                <wp:docPr id="118" name="Rectangle 118"/>
                <wp:cNvGraphicFramePr/>
                <a:graphic xmlns:a="http://schemas.openxmlformats.org/drawingml/2006/main">
                  <a:graphicData uri="http://schemas.microsoft.com/office/word/2010/wordprocessingShape">
                    <wps:wsp>
                      <wps:cNvSpPr/>
                      <wps:spPr>
                        <a:xfrm>
                          <a:off x="0" y="0"/>
                          <a:ext cx="8808085" cy="239498"/>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658D30" w14:textId="3221D842" w:rsidR="00D87B95" w:rsidRPr="00AC2E2F" w:rsidRDefault="00D87B95" w:rsidP="00984255">
                            <w:pPr>
                              <w:rPr>
                                <w:b/>
                                <w:sz w:val="18"/>
                                <w:szCs w:val="18"/>
                                <w:lang w:val="es-419"/>
                              </w:rPr>
                            </w:pPr>
                            <w:r>
                              <w:rPr>
                                <w:b/>
                                <w:sz w:val="18"/>
                                <w:szCs w:val="18"/>
                                <w:lang w:val="es-419"/>
                              </w:rPr>
                              <w:t>I. M</w:t>
                            </w:r>
                            <w:r w:rsidRPr="007A145F">
                              <w:rPr>
                                <w:b/>
                                <w:sz w:val="18"/>
                                <w:szCs w:val="18"/>
                                <w:lang w:val="es-419"/>
                              </w:rPr>
                              <w:t xml:space="preserve">ejorar el </w:t>
                            </w:r>
                            <w:r>
                              <w:rPr>
                                <w:b/>
                                <w:sz w:val="18"/>
                                <w:szCs w:val="18"/>
                                <w:lang w:val="es-419"/>
                              </w:rPr>
                              <w:t>i</w:t>
                            </w:r>
                            <w:r w:rsidRPr="007A145F">
                              <w:rPr>
                                <w:b/>
                                <w:sz w:val="18"/>
                                <w:szCs w:val="18"/>
                                <w:lang w:val="es-419"/>
                              </w:rPr>
                              <w:t xml:space="preserve">ndicador de </w:t>
                            </w:r>
                            <w:r>
                              <w:rPr>
                                <w:b/>
                                <w:sz w:val="18"/>
                                <w:szCs w:val="18"/>
                                <w:lang w:val="es-419"/>
                              </w:rPr>
                              <w:t>e</w:t>
                            </w:r>
                            <w:r w:rsidRPr="007A145F">
                              <w:rPr>
                                <w:b/>
                                <w:sz w:val="18"/>
                                <w:szCs w:val="18"/>
                                <w:lang w:val="es-419"/>
                              </w:rPr>
                              <w:t xml:space="preserve">ficiencia del </w:t>
                            </w:r>
                            <w:r>
                              <w:rPr>
                                <w:b/>
                                <w:sz w:val="18"/>
                                <w:szCs w:val="18"/>
                                <w:lang w:val="es-419"/>
                              </w:rPr>
                              <w:t>G</w:t>
                            </w:r>
                            <w:r w:rsidRPr="007A145F">
                              <w:rPr>
                                <w:b/>
                                <w:sz w:val="18"/>
                                <w:szCs w:val="18"/>
                                <w:lang w:val="es-419"/>
                              </w:rPr>
                              <w:t>obierno de</w:t>
                            </w:r>
                            <w:r>
                              <w:rPr>
                                <w:b/>
                                <w:sz w:val="18"/>
                                <w:szCs w:val="18"/>
                                <w:lang w:val="es-419"/>
                              </w:rPr>
                              <w:t xml:space="preserve"> </w:t>
                            </w:r>
                            <w:r w:rsidRPr="007A145F">
                              <w:rPr>
                                <w:b/>
                                <w:sz w:val="18"/>
                                <w:szCs w:val="18"/>
                                <w:lang w:val="es-419"/>
                              </w:rPr>
                              <w:t xml:space="preserve">Perú usado en la Estrategia del Banco con el País (pasar del 4º al 3º </w:t>
                            </w:r>
                            <w:r>
                              <w:rPr>
                                <w:b/>
                                <w:sz w:val="18"/>
                                <w:szCs w:val="18"/>
                                <w:lang w:val="es-419"/>
                              </w:rPr>
                              <w:t>c</w:t>
                            </w:r>
                            <w:r w:rsidRPr="007A145F">
                              <w:rPr>
                                <w:b/>
                                <w:sz w:val="18"/>
                                <w:szCs w:val="18"/>
                                <w:lang w:val="es-419"/>
                              </w:rPr>
                              <w:t>uartil).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3DBEF" id="Rectangle 118" o:spid="_x0000_s1031" style="position:absolute;margin-left:5.45pt;margin-top:.3pt;width:693.55pt;height:18.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PUnAIAAKYFAAAOAAAAZHJzL2Uyb0RvYy54bWysVF9r2zAQfx/sOwi9r3ayZGtDnRJaOgbd&#10;WtqOPiuyFBsknSYpsbNPv5PkuFlXNhhLQL7T3f1O9/f8oteK7ITzLZiKTk5KSoThULdmU9Fvj9fv&#10;TinxgZmaKTCionvh6cXy7Zvzzi7EFBpQtXAEQYxfdLaiTQh2URSeN0IzfwJWGBRKcJoFZN2mqB3r&#10;EF2rYlqWH4oOXG0dcOE93l5lIV0mfCkFD7dSehGIqii+LaTTpXMdz2J5zhYbx2zT8uEZ7B9eoVlr&#10;0OkIdcUCI1vX/galW+7AgwwnHHQBUrZcpBgwmkn5IpqHhlmRYsHkeDumyf8/WP51d+dIW2PtJlgq&#10;wzQW6R7TxsxGCRIvMUWd9QvUfLB3buA8kjHeXjodvxgJ6VNa92NaRR8Ix8vT0xL/c0o4yqbvz2Zn&#10;CbR4trbOh08CNIlERR36T9lkuxsf0COqHlSiMw+qra9bpRITW0VcKkd2DIu83kyTqdrqL1Dnu3mJ&#10;vxgH4qTOiuqZe0YqYpA5rESFvRIRX5l7ITFDGEhGHhEyOONcmDBJTn3DavE3nwkwIkuMYMQeAH4N&#10;5oCdnz7oR1ORWns0LrP3PxmPFskzmDAa69aAew1AYVSD56yPKTtKTSRDv+5T98wPbbKGeo8d5SCP&#10;mrf8usWi3jAf7pjD2cIpxH0RbvGQCrqKwkBR0oD78dp91MeWRyklHc5qRf33LXOCEvXZ4DCcTWaz&#10;ONyJmc0/TpFxx5L1scRs9SVgp0xwM1meyKgf1IGUDvQTrpVV9IoiZjj6rigP7sBchrxDcDFxsVol&#10;NRxoy8KNebA8gsc8x6Z97J+Ys0NnB5yJr3CYa7Z40eBZN1oaWG0DyDZ1f8x0zutQAVwGqX2HxRW3&#10;zTGftJ7X6/InAAAA//8DAFBLAwQUAAYACAAAACEA+AyqG9wAAAAHAQAADwAAAGRycy9kb3ducmV2&#10;LnhtbEyPT0+DQBTE7yZ+h80z8WYXxRJAlsb458jB1pj29oAnS2TfEnZp0U/v9qTHyUxmflNsFjOI&#10;I02ut6zgdhWBIG5s23On4H33epOCcB65xcEyKfgmB5vy8qLAvLUnfqPj1ncilLDLUYH2fsyldI0m&#10;g25lR+LgfdrJoA9y6mQ74SmUm0HeRVEiDfYcFjSO9KSp+drORgGud2afmerl56Ou73U1r5+r5KDU&#10;9dXy+ADC0+L/wnDGD+hQBqbaztw6MQQdZSGpIAFxduMsDddqBXEagywL+Z+//AUAAP//AwBQSwEC&#10;LQAUAAYACAAAACEAtoM4kv4AAADhAQAAEwAAAAAAAAAAAAAAAAAAAAAAW0NvbnRlbnRfVHlwZXNd&#10;LnhtbFBLAQItABQABgAIAAAAIQA4/SH/1gAAAJQBAAALAAAAAAAAAAAAAAAAAC8BAABfcmVscy8u&#10;cmVsc1BLAQItABQABgAIAAAAIQBlYrPUnAIAAKYFAAAOAAAAAAAAAAAAAAAAAC4CAABkcnMvZTJv&#10;RG9jLnhtbFBLAQItABQABgAIAAAAIQD4DKob3AAAAAcBAAAPAAAAAAAAAAAAAAAAAPYEAABkcnMv&#10;ZG93bnJldi54bWxQSwUGAAAAAAQABADzAAAA/wUAAAAA&#10;" fillcolor="#938953 [1614]" strokecolor="#243f60 [1604]" strokeweight="2pt">
                <v:textbox>
                  <w:txbxContent>
                    <w:p w14:paraId="29658D30" w14:textId="3221D842" w:rsidR="00D87B95" w:rsidRPr="00AC2E2F" w:rsidRDefault="00D87B95" w:rsidP="00984255">
                      <w:pPr>
                        <w:rPr>
                          <w:b/>
                          <w:sz w:val="18"/>
                          <w:szCs w:val="18"/>
                          <w:lang w:val="es-419"/>
                        </w:rPr>
                      </w:pPr>
                      <w:r>
                        <w:rPr>
                          <w:b/>
                          <w:sz w:val="18"/>
                          <w:szCs w:val="18"/>
                          <w:lang w:val="es-419"/>
                        </w:rPr>
                        <w:t>I. M</w:t>
                      </w:r>
                      <w:r w:rsidRPr="007A145F">
                        <w:rPr>
                          <w:b/>
                          <w:sz w:val="18"/>
                          <w:szCs w:val="18"/>
                          <w:lang w:val="es-419"/>
                        </w:rPr>
                        <w:t xml:space="preserve">ejorar el </w:t>
                      </w:r>
                      <w:r>
                        <w:rPr>
                          <w:b/>
                          <w:sz w:val="18"/>
                          <w:szCs w:val="18"/>
                          <w:lang w:val="es-419"/>
                        </w:rPr>
                        <w:t>i</w:t>
                      </w:r>
                      <w:r w:rsidRPr="007A145F">
                        <w:rPr>
                          <w:b/>
                          <w:sz w:val="18"/>
                          <w:szCs w:val="18"/>
                          <w:lang w:val="es-419"/>
                        </w:rPr>
                        <w:t xml:space="preserve">ndicador de </w:t>
                      </w:r>
                      <w:r>
                        <w:rPr>
                          <w:b/>
                          <w:sz w:val="18"/>
                          <w:szCs w:val="18"/>
                          <w:lang w:val="es-419"/>
                        </w:rPr>
                        <w:t>e</w:t>
                      </w:r>
                      <w:r w:rsidRPr="007A145F">
                        <w:rPr>
                          <w:b/>
                          <w:sz w:val="18"/>
                          <w:szCs w:val="18"/>
                          <w:lang w:val="es-419"/>
                        </w:rPr>
                        <w:t xml:space="preserve">ficiencia del </w:t>
                      </w:r>
                      <w:r>
                        <w:rPr>
                          <w:b/>
                          <w:sz w:val="18"/>
                          <w:szCs w:val="18"/>
                          <w:lang w:val="es-419"/>
                        </w:rPr>
                        <w:t>G</w:t>
                      </w:r>
                      <w:r w:rsidRPr="007A145F">
                        <w:rPr>
                          <w:b/>
                          <w:sz w:val="18"/>
                          <w:szCs w:val="18"/>
                          <w:lang w:val="es-419"/>
                        </w:rPr>
                        <w:t>obierno de</w:t>
                      </w:r>
                      <w:r>
                        <w:rPr>
                          <w:b/>
                          <w:sz w:val="18"/>
                          <w:szCs w:val="18"/>
                          <w:lang w:val="es-419"/>
                        </w:rPr>
                        <w:t xml:space="preserve"> </w:t>
                      </w:r>
                      <w:r w:rsidRPr="007A145F">
                        <w:rPr>
                          <w:b/>
                          <w:sz w:val="18"/>
                          <w:szCs w:val="18"/>
                          <w:lang w:val="es-419"/>
                        </w:rPr>
                        <w:t xml:space="preserve">Perú usado en la Estrategia del Banco con el País (pasar del 4º al 3º </w:t>
                      </w:r>
                      <w:r>
                        <w:rPr>
                          <w:b/>
                          <w:sz w:val="18"/>
                          <w:szCs w:val="18"/>
                          <w:lang w:val="es-419"/>
                        </w:rPr>
                        <w:t>c</w:t>
                      </w:r>
                      <w:r w:rsidRPr="007A145F">
                        <w:rPr>
                          <w:b/>
                          <w:sz w:val="18"/>
                          <w:szCs w:val="18"/>
                          <w:lang w:val="es-419"/>
                        </w:rPr>
                        <w:t>uartil).</w:t>
                      </w:r>
                    </w:p>
                  </w:txbxContent>
                </v:textbox>
              </v:rect>
            </w:pict>
          </mc:Fallback>
        </mc:AlternateContent>
      </w:r>
    </w:p>
    <w:p w14:paraId="42260C4C" w14:textId="0B9568C2" w:rsidR="00984255" w:rsidRPr="00576180" w:rsidRDefault="00F85F3A" w:rsidP="00933E9A">
      <w:pPr>
        <w:spacing w:before="120" w:after="120"/>
        <w:ind w:right="446"/>
        <w:jc w:val="both"/>
        <w:rPr>
          <w:rFonts w:ascii="Arial" w:hAnsi="Arial" w:cs="Arial"/>
          <w:sz w:val="18"/>
          <w:szCs w:val="18"/>
        </w:rPr>
      </w:pPr>
      <w:r w:rsidRPr="00576180">
        <w:rPr>
          <w:rFonts w:ascii="Arial" w:hAnsi="Arial" w:cs="Arial"/>
          <w:noProof/>
          <w:sz w:val="18"/>
          <w:szCs w:val="18"/>
          <w:lang w:eastAsia="pt-BR"/>
        </w:rPr>
        <mc:AlternateContent>
          <mc:Choice Requires="wps">
            <w:drawing>
              <wp:anchor distT="0" distB="0" distL="114300" distR="114300" simplePos="0" relativeHeight="251844608" behindDoc="0" locked="0" layoutInCell="1" allowOverlap="1" wp14:anchorId="0699EF33" wp14:editId="632FDC74">
                <wp:simplePos x="0" y="0"/>
                <wp:positionH relativeFrom="column">
                  <wp:posOffset>5986780</wp:posOffset>
                </wp:positionH>
                <wp:positionV relativeFrom="paragraph">
                  <wp:posOffset>211137</wp:posOffset>
                </wp:positionV>
                <wp:extent cx="2812415" cy="593725"/>
                <wp:effectExtent l="0" t="0" r="26035" b="15875"/>
                <wp:wrapNone/>
                <wp:docPr id="43" name="Rectangle 43"/>
                <wp:cNvGraphicFramePr/>
                <a:graphic xmlns:a="http://schemas.openxmlformats.org/drawingml/2006/main">
                  <a:graphicData uri="http://schemas.microsoft.com/office/word/2010/wordprocessingShape">
                    <wps:wsp>
                      <wps:cNvSpPr/>
                      <wps:spPr>
                        <a:xfrm>
                          <a:off x="0" y="0"/>
                          <a:ext cx="2812415" cy="593725"/>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2910FC" w14:textId="03695951" w:rsidR="00D87B95" w:rsidRPr="00043821" w:rsidRDefault="00D87B95" w:rsidP="009B52B5">
                            <w:pPr>
                              <w:spacing w:after="60" w:line="240" w:lineRule="auto"/>
                              <w:rPr>
                                <w:sz w:val="20"/>
                                <w:szCs w:val="20"/>
                                <w:lang w:val="es-US"/>
                              </w:rPr>
                            </w:pPr>
                            <w:r w:rsidRPr="00E50CDA">
                              <w:rPr>
                                <w:sz w:val="20"/>
                                <w:szCs w:val="20"/>
                                <w:lang w:val="es-US"/>
                              </w:rPr>
                              <w:t>OB</w:t>
                            </w:r>
                            <w:r>
                              <w:rPr>
                                <w:sz w:val="20"/>
                                <w:szCs w:val="20"/>
                                <w:lang w:val="es-US"/>
                              </w:rPr>
                              <w:t>E3. M</w:t>
                            </w:r>
                            <w:r w:rsidRPr="008E0915">
                              <w:rPr>
                                <w:sz w:val="20"/>
                                <w:szCs w:val="20"/>
                                <w:lang w:val="es-US"/>
                              </w:rPr>
                              <w:t>ejorar el proceso decisorio de asignación de los recursos públicos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9EF33" id="Rectangle 43" o:spid="_x0000_s1032" style="position:absolute;left:0;text-align:left;margin-left:471.4pt;margin-top:16.6pt;width:221.45pt;height:46.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XQlwIAAKgFAAAOAAAAZHJzL2Uyb0RvYy54bWysVEtv2zAMvg/YfxB0Xx27SR9BnSJo0WFA&#10;1xZth54VWYoNSKImKbGzXz9KdtygLTZgmA8yKZIfHyJ5cdlpRbbC+QZMSfOjCSXCcKgasy7pj+eb&#10;L2eU+MBMxRQYUdKd8PRy8fnTRWvnooAaVCUcQRDj560taR2CnWeZ57XQzB+BFQaFEpxmAVm3zirH&#10;WkTXKismk5OsBVdZB1x4j7fXvZAuEr6Ugod7Kb0IRJUUYwvpdOlcxTNbXLD52jFbN3wIg/1DFJo1&#10;Bp2OUNcsMLJxzTso3XAHHmQ44qAzkLLhIuWA2eSTN9k81cyKlAsWx9uxTP7/wfK77YMjTVXS6TEl&#10;hml8o0esGjNrJQjeYYFa6+eo92Qf3MB5JGO2nXQ6/jEP0qWi7saiii4QjpfFWV5M8xklHGWz8+PT&#10;YhZBs1dr63z4KkCTSJTUoftUS7a99aFX3atEZx5UU900SiUmNoq4Uo5sGT4x41yYUCRztdHfoerv&#10;ZxP8Brept6JJCuIALYuJ9qklKuyUiD6UeRQSaxSTScgjwqHTvBfVrBJ/85kAI7LELEbsAeCjhPIh&#10;9EE/morU3KPx5E+B9TUcLZJnMGE01o0B9xGACqPnXh9LdlCaSIZu1aX+OYkxxpsVVDvsKQf9sHnL&#10;bxp82FvmwwNzOF04h7gxwj0eUkFbUhgoSmpwvz66j/rY9CilpMVpLan/uWFOUKK+GRyH83w6jeOd&#10;mOnstEDGHUpWhxKz0VeA3ZLjbrI8kVE/qD0pHegXXCzL6BVFzHD0XVIe3J65Cv0WwdXExXKZ1HCk&#10;LQu35snyCB7rHBv3uXthzg7dHXAu7mA/2Wz+psl73WhpYLkJIJs0Aa91HV4A10Fq32F1xX1zyCet&#10;1wW7+A0AAP//AwBQSwMEFAAGAAgAAAAhADPN4z7fAAAACwEAAA8AAABkcnMvZG93bnJldi54bWxM&#10;j8FOwzAQRO9I/QdrK3GjDglNSohTVQXu0FacnXhJIux1FDtN6NfjnsptRzuaeVNsZ6PZGQfXWRLw&#10;uIqAIdVWddQIOB3fHzbAnJekpLaEAn7RwbZc3BUyV3aiTzwffMNCCLlcCmi973POXd2ikW5le6Tw&#10;+7aDkT7IoeFqkFMIN5rHUZRyIzsKDa3scd9i/XMYjYApGS+vfb0+vp20TS/TR6W/5kyI++W8ewHm&#10;cfY3M1zxAzqUgamyIynHtIDnpzigewFJEgO7GpLNOgNWhStOM+Blwf9vKP8AAAD//wMAUEsBAi0A&#10;FAAGAAgAAAAhALaDOJL+AAAA4QEAABMAAAAAAAAAAAAAAAAAAAAAAFtDb250ZW50X1R5cGVzXS54&#10;bWxQSwECLQAUAAYACAAAACEAOP0h/9YAAACUAQAACwAAAAAAAAAAAAAAAAAvAQAAX3JlbHMvLnJl&#10;bHNQSwECLQAUAAYACAAAACEACaw10JcCAACoBQAADgAAAAAAAAAAAAAAAAAuAgAAZHJzL2Uyb0Rv&#10;Yy54bWxQSwECLQAUAAYACAAAACEAM83jPt8AAAALAQAADwAAAAAAAAAAAAAAAADxBAAAZHJzL2Rv&#10;d25yZXYueG1sUEsFBgAAAAAEAAQA8wAAAP0FAAAAAA==&#10;" fillcolor="#622423 [1605]" strokecolor="#243f60 [1604]" strokeweight="2pt">
                <v:textbox>
                  <w:txbxContent>
                    <w:p w14:paraId="562910FC" w14:textId="03695951" w:rsidR="00D87B95" w:rsidRPr="00043821" w:rsidRDefault="00D87B95" w:rsidP="009B52B5">
                      <w:pPr>
                        <w:spacing w:after="60" w:line="240" w:lineRule="auto"/>
                        <w:rPr>
                          <w:sz w:val="20"/>
                          <w:szCs w:val="20"/>
                          <w:lang w:val="es-US"/>
                        </w:rPr>
                      </w:pPr>
                      <w:r w:rsidRPr="00E50CDA">
                        <w:rPr>
                          <w:sz w:val="20"/>
                          <w:szCs w:val="20"/>
                          <w:lang w:val="es-US"/>
                        </w:rPr>
                        <w:t>OB</w:t>
                      </w:r>
                      <w:r>
                        <w:rPr>
                          <w:sz w:val="20"/>
                          <w:szCs w:val="20"/>
                          <w:lang w:val="es-US"/>
                        </w:rPr>
                        <w:t>E3. M</w:t>
                      </w:r>
                      <w:r w:rsidRPr="008E0915">
                        <w:rPr>
                          <w:sz w:val="20"/>
                          <w:szCs w:val="20"/>
                          <w:lang w:val="es-US"/>
                        </w:rPr>
                        <w:t>ejorar el proceso decisorio de asignación de los recursos públicos</w:t>
                      </w:r>
                    </w:p>
                  </w:txbxContent>
                </v:textbox>
              </v:rect>
            </w:pict>
          </mc:Fallback>
        </mc:AlternateContent>
      </w:r>
      <w:r w:rsidRPr="00576180">
        <w:rPr>
          <w:rFonts w:ascii="Arial" w:hAnsi="Arial" w:cs="Arial"/>
          <w:noProof/>
          <w:sz w:val="18"/>
          <w:szCs w:val="18"/>
          <w:lang w:eastAsia="pt-BR"/>
        </w:rPr>
        <mc:AlternateContent>
          <mc:Choice Requires="wps">
            <w:drawing>
              <wp:anchor distT="0" distB="0" distL="114300" distR="114300" simplePos="0" relativeHeight="251807744" behindDoc="0" locked="0" layoutInCell="1" allowOverlap="1" wp14:anchorId="1AAAAC43" wp14:editId="76E915E3">
                <wp:simplePos x="0" y="0"/>
                <wp:positionH relativeFrom="column">
                  <wp:posOffset>2981325</wp:posOffset>
                </wp:positionH>
                <wp:positionV relativeFrom="paragraph">
                  <wp:posOffset>211137</wp:posOffset>
                </wp:positionV>
                <wp:extent cx="2838450" cy="593725"/>
                <wp:effectExtent l="0" t="0" r="19050" b="15875"/>
                <wp:wrapNone/>
                <wp:docPr id="128" name="Rectangle 128"/>
                <wp:cNvGraphicFramePr/>
                <a:graphic xmlns:a="http://schemas.openxmlformats.org/drawingml/2006/main">
                  <a:graphicData uri="http://schemas.microsoft.com/office/word/2010/wordprocessingShape">
                    <wps:wsp>
                      <wps:cNvSpPr/>
                      <wps:spPr>
                        <a:xfrm>
                          <a:off x="0" y="0"/>
                          <a:ext cx="2838450" cy="593725"/>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91E156" w14:textId="21583762" w:rsidR="00D87B95" w:rsidRPr="00043821" w:rsidRDefault="00D87B95" w:rsidP="009B52B5">
                            <w:pPr>
                              <w:spacing w:after="60" w:line="240" w:lineRule="auto"/>
                              <w:rPr>
                                <w:sz w:val="20"/>
                                <w:szCs w:val="20"/>
                                <w:lang w:val="es-US"/>
                              </w:rPr>
                            </w:pPr>
                            <w:r w:rsidRPr="00E50CDA">
                              <w:rPr>
                                <w:sz w:val="20"/>
                                <w:szCs w:val="20"/>
                                <w:lang w:val="es-US"/>
                              </w:rPr>
                              <w:t>OBE</w:t>
                            </w:r>
                            <w:r>
                              <w:rPr>
                                <w:sz w:val="20"/>
                                <w:szCs w:val="20"/>
                                <w:lang w:val="es-US"/>
                              </w:rPr>
                              <w:t>2. F</w:t>
                            </w:r>
                            <w:r w:rsidRPr="008E0915">
                              <w:rPr>
                                <w:sz w:val="20"/>
                                <w:szCs w:val="20"/>
                                <w:lang w:val="es-US"/>
                              </w:rPr>
                              <w:t xml:space="preserve">ortalecer la capacidad institucional y organizacional del </w:t>
                            </w:r>
                            <w:r>
                              <w:rPr>
                                <w:sz w:val="20"/>
                                <w:szCs w:val="20"/>
                                <w:lang w:val="es-US"/>
                              </w:rPr>
                              <w:t>MEF</w:t>
                            </w:r>
                            <w:r w:rsidRPr="008E0915">
                              <w:rPr>
                                <w:sz w:val="20"/>
                                <w:szCs w:val="20"/>
                                <w:lang w:val="es-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AAC43" id="Rectangle 128" o:spid="_x0000_s1033" style="position:absolute;left:0;text-align:left;margin-left:234.75pt;margin-top:16.6pt;width:223.5pt;height:46.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ehmAIAAKoFAAAOAAAAZHJzL2Uyb0RvYy54bWysVMFu2zAMvQ/YPwi6r07cZE2DOkWQIsOA&#10;ri3aDj0rshQbkERNUmJnXz9KdtygKzZgWA4OKZKP4hPJq+tWK7IXztdgCjo+G1EiDIeyNtuCfn9e&#10;f5pR4gMzJVNgREEPwtPrxccPV42dixwqUKVwBEGMnze2oFUIdp5lnldCM38GVhg0SnCaBVTdNisd&#10;axBdqywfjT5nDbjSOuDCezy96Yx0kfClFDzcS+lFIKqgeLeQvi59N/GbLa7YfOuYrWreX4P9wy00&#10;qw0mHaBuWGBk5+rfoHTNHXiQ4YyDzkDKmotUA1YzHr2p5qliVqRakBxvB5r8/4Pld/sHR+oS3y7H&#10;pzJM4yM9Im3MbJUg8RApaqyfo+eTfXC95lGM9bbS6fiPlZA20XoYaBVtIBwP89n5bDJF9jnappfn&#10;F/k0gmav0db58EWAJlEoqMP8iU22v/Whcz26xGQeVF2ua6WSEltFrJQje4aPzDgXJuQpXO30Nyi7&#10;8+kIf33a1F0xJF3iBC2LhXalJSkclIg5lHkUElmKxSTkAeE06bgzVawUf8uZACOyxCoG7B7gvYLG&#10;/dV7/xgqUnsPwaM/XazjcIhImcGEIVjXBtx7ACoMmTt/pOyEmiiGdtOmDrqId4wnGygP2FUOunHz&#10;lq9rfNhb5sMDczhf2Au4M8I9fqSCpqDQS5RU4H6+dx79se3RSkmD81pQ/2PHnKBEfTU4EJfjySQO&#10;eFIm04scFXdq2ZxazE6vALtljNvJ8iRG/6COonSgX3C1LGNWNDHDMXdBeXBHZRW6PYLLiYvlMrnh&#10;UFsWbs2T5RE88hwb97l9Yc723R1wLu7gONts/qbJO98YaWC5CyDrNAGvvPYvgAshtW+/vOLGOdWT&#10;1+uKXfwCAAD//wMAUEsDBBQABgAIAAAAIQB79aHf3gAAAAoBAAAPAAAAZHJzL2Rvd25yZXYueG1s&#10;TI/LTsMwEEX3SPyDNUjsqNOEujSNUyEee2gr1k48TSL8iGKnCf16hlVZzszRnXOL3WwNO+MQOu8k&#10;LBcJMHS1151rJBwP7w9PwEJUTivjHUr4wQC78vamULn2k/vE8z42jEJcyJWENsY+5zzULVoVFr5H&#10;R7eTH6yKNA4N14OaKNwaniaJ4FZ1jj60qseXFuvv/WglTNl4ee3r1eHtaLy4TB+V+ZrXUt7fzc9b&#10;YBHneIXhT5/UoSSnyo9OB2YkPIrNilAJWZYCI2CzFLSoiEzFGnhZ8P8Vyl8AAAD//wMAUEsBAi0A&#10;FAAGAAgAAAAhALaDOJL+AAAA4QEAABMAAAAAAAAAAAAAAAAAAAAAAFtDb250ZW50X1R5cGVzXS54&#10;bWxQSwECLQAUAAYACAAAACEAOP0h/9YAAACUAQAACwAAAAAAAAAAAAAAAAAvAQAAX3JlbHMvLnJl&#10;bHNQSwECLQAUAAYACAAAACEA4whnoZgCAACqBQAADgAAAAAAAAAAAAAAAAAuAgAAZHJzL2Uyb0Rv&#10;Yy54bWxQSwECLQAUAAYACAAAACEAe/Wh394AAAAKAQAADwAAAAAAAAAAAAAAAADyBAAAZHJzL2Rv&#10;d25yZXYueG1sUEsFBgAAAAAEAAQA8wAAAP0FAAAAAA==&#10;" fillcolor="#622423 [1605]" strokecolor="#243f60 [1604]" strokeweight="2pt">
                <v:textbox>
                  <w:txbxContent>
                    <w:p w14:paraId="6991E156" w14:textId="21583762" w:rsidR="00D87B95" w:rsidRPr="00043821" w:rsidRDefault="00D87B95" w:rsidP="009B52B5">
                      <w:pPr>
                        <w:spacing w:after="60" w:line="240" w:lineRule="auto"/>
                        <w:rPr>
                          <w:sz w:val="20"/>
                          <w:szCs w:val="20"/>
                          <w:lang w:val="es-US"/>
                        </w:rPr>
                      </w:pPr>
                      <w:r w:rsidRPr="00E50CDA">
                        <w:rPr>
                          <w:sz w:val="20"/>
                          <w:szCs w:val="20"/>
                          <w:lang w:val="es-US"/>
                        </w:rPr>
                        <w:t>OBE</w:t>
                      </w:r>
                      <w:r>
                        <w:rPr>
                          <w:sz w:val="20"/>
                          <w:szCs w:val="20"/>
                          <w:lang w:val="es-US"/>
                        </w:rPr>
                        <w:t>2. F</w:t>
                      </w:r>
                      <w:r w:rsidRPr="008E0915">
                        <w:rPr>
                          <w:sz w:val="20"/>
                          <w:szCs w:val="20"/>
                          <w:lang w:val="es-US"/>
                        </w:rPr>
                        <w:t xml:space="preserve">ortalecer la capacidad institucional y organizacional del </w:t>
                      </w:r>
                      <w:r>
                        <w:rPr>
                          <w:sz w:val="20"/>
                          <w:szCs w:val="20"/>
                          <w:lang w:val="es-US"/>
                        </w:rPr>
                        <w:t>MEF</w:t>
                      </w:r>
                      <w:r w:rsidRPr="008E0915">
                        <w:rPr>
                          <w:sz w:val="20"/>
                          <w:szCs w:val="20"/>
                          <w:lang w:val="es-US"/>
                        </w:rPr>
                        <w:t xml:space="preserve"> </w:t>
                      </w:r>
                    </w:p>
                  </w:txbxContent>
                </v:textbox>
              </v:rect>
            </w:pict>
          </mc:Fallback>
        </mc:AlternateContent>
      </w:r>
      <w:r w:rsidR="00003428" w:rsidRPr="00576180">
        <w:rPr>
          <w:rFonts w:ascii="Arial" w:hAnsi="Arial" w:cs="Arial"/>
          <w:noProof/>
          <w:sz w:val="18"/>
          <w:szCs w:val="18"/>
          <w:lang w:eastAsia="pt-BR"/>
        </w:rPr>
        <mc:AlternateContent>
          <mc:Choice Requires="wps">
            <w:drawing>
              <wp:anchor distT="0" distB="0" distL="114300" distR="114300" simplePos="0" relativeHeight="251832320" behindDoc="0" locked="0" layoutInCell="1" allowOverlap="1" wp14:anchorId="66E480E3" wp14:editId="230033EA">
                <wp:simplePos x="0" y="0"/>
                <wp:positionH relativeFrom="column">
                  <wp:posOffset>-39757</wp:posOffset>
                </wp:positionH>
                <wp:positionV relativeFrom="paragraph">
                  <wp:posOffset>141025</wp:posOffset>
                </wp:positionV>
                <wp:extent cx="9062720" cy="2829339"/>
                <wp:effectExtent l="19050" t="19050" r="24130" b="28575"/>
                <wp:wrapNone/>
                <wp:docPr id="124" name="Rectangle 124"/>
                <wp:cNvGraphicFramePr/>
                <a:graphic xmlns:a="http://schemas.openxmlformats.org/drawingml/2006/main">
                  <a:graphicData uri="http://schemas.microsoft.com/office/word/2010/wordprocessingShape">
                    <wps:wsp>
                      <wps:cNvSpPr/>
                      <wps:spPr>
                        <a:xfrm>
                          <a:off x="0" y="0"/>
                          <a:ext cx="9062720" cy="2829339"/>
                        </a:xfrm>
                        <a:prstGeom prst="rect">
                          <a:avLst/>
                        </a:prstGeom>
                        <a:noFill/>
                        <a:ln w="381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EA605" id="Rectangle 124" o:spid="_x0000_s1026" style="position:absolute;margin-left:-3.15pt;margin-top:11.1pt;width:713.6pt;height:222.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0KlgIAAHgFAAAOAAAAZHJzL2Uyb0RvYy54bWysVN9P2zAQfp+0/8Hy+0gaCqMRKapATJMQ&#10;Q8DE8+HYTST/mu027f76ne00MOBpWh/Ss+/uu7vPd3d+sVOSbLnzvdENnR2VlHDNTNvrdUN/Pl5/&#10;OaPEB9AtSKN5Q/fc04vl50/ng615ZTojW+4IgmhfD7ahXQi2LgrPOq7AHxnLNSqFcQoCHt26aB0M&#10;iK5kUZXlaTEY11pnGPceb6+yki4TvhCchR9CeB6IbCjmFtLXpe9z/BbLc6jXDmzXszEN+IcsFPQa&#10;g05QVxCAbFz/Dkr1zBlvRDhiRhVGiJ7xVANWMyvfVPPQgeWpFiTH24km//9g2e32zpG+xber5pRo&#10;UPhI90gb6LXkJF4iRYP1NVo+2Ds3njyKsd6dcCr+YyVkl2jdT7TyXSAMLxflafW1QvYZ6qqzanF8&#10;vIioxYu7dT5840aRKDTUYQKJTtje+JBNDyYxmjbXvZR4D7XUZGjo8dmsLJNHNLsC35Et4JO3KI2h&#10;pMaIsZCcepLCXvIMcs8FsoDJVgkl9R+/lC7DAGNch1lWddDyfH1S4m+EnzxSXVIjYEQWmOeEPQLE&#10;3n6Pnasc7aMrT+07OefypjB/J5adJ48U2egwOateG/dRZRKrGiNn+wNJmZrI0rNp99gjzuTh8ZZd&#10;90jyDfhwBw6nBV8WN0D4gR8hDb6GGSVKOuN+f3Qf7bGJUUvJgNPXUP9rA45TIr9rbO/FbD6P45oO&#10;85PUPe615vm1Rm/UpcHXnuGusSyJ6OyCPIjCGfWEi2IVo6IKNMPYDWXBHQ6XIW8FXDWMr1bJDEfU&#10;QrjRD5ZF8MhqbK/H3RM4O7ZqwC6/NYdJhfpNx2bb6KnNahOM6FM7v/A68o3jnRpnXEVxf7w+J6uX&#10;hbn8AwAA//8DAFBLAwQUAAYACAAAACEA+QOyOuEAAAAKAQAADwAAAGRycy9kb3ducmV2LnhtbEyP&#10;wU7DMBBE70j8g7VI3FqnpgolZFNVqEhU5ELhws2JlyQiXkex26Z8Pe4JjqMZzbzJ15PtxZFG3zlG&#10;WMwTEMS1Mx03CB/vz7MVCB80G907JoQzeVgX11e5zow78Rsd96ERsYR9phHaEIZMSl+3ZLWfu4E4&#10;el9utDpEOTbSjPoUy20vVZKk0uqO40KrB3pqqf7eHyzCrpo25aLcteftdnh1n6V9+akV4u3NtHkE&#10;EWgKf2G44Ed0KCJT5Q5svOgRZuldTCIopUBc/KVKHkBUCMv0fgWyyOX/C8UvAAAA//8DAFBLAQIt&#10;ABQABgAIAAAAIQC2gziS/gAAAOEBAAATAAAAAAAAAAAAAAAAAAAAAABbQ29udGVudF9UeXBlc10u&#10;eG1sUEsBAi0AFAAGAAgAAAAhADj9If/WAAAAlAEAAAsAAAAAAAAAAAAAAAAALwEAAF9yZWxzLy5y&#10;ZWxzUEsBAi0AFAAGAAgAAAAhACWKrQqWAgAAeAUAAA4AAAAAAAAAAAAAAAAALgIAAGRycy9lMm9E&#10;b2MueG1sUEsBAi0AFAAGAAgAAAAhAPkDsjrhAAAACgEAAA8AAAAAAAAAAAAAAAAA8AQAAGRycy9k&#10;b3ducmV2LnhtbFBLBQYAAAAABAAEAPMAAAD+BQAAAAA=&#10;" filled="f" strokecolor="#243f60 [1604]" strokeweight="3pt">
                <v:stroke dashstyle="dash"/>
              </v:rect>
            </w:pict>
          </mc:Fallback>
        </mc:AlternateContent>
      </w:r>
      <w:r w:rsidR="0054073C" w:rsidRPr="00576180">
        <w:rPr>
          <w:rFonts w:ascii="Arial" w:hAnsi="Arial" w:cs="Arial"/>
          <w:noProof/>
          <w:sz w:val="18"/>
          <w:szCs w:val="18"/>
          <w:lang w:eastAsia="pt-BR"/>
        </w:rPr>
        <mc:AlternateContent>
          <mc:Choice Requires="wps">
            <w:drawing>
              <wp:anchor distT="0" distB="0" distL="114300" distR="114300" simplePos="0" relativeHeight="251865088" behindDoc="0" locked="0" layoutInCell="1" allowOverlap="1" wp14:anchorId="71738906" wp14:editId="59D45BD1">
                <wp:simplePos x="0" y="0"/>
                <wp:positionH relativeFrom="column">
                  <wp:posOffset>7377788</wp:posOffset>
                </wp:positionH>
                <wp:positionV relativeFrom="paragraph">
                  <wp:posOffset>83544</wp:posOffset>
                </wp:positionV>
                <wp:extent cx="0" cy="236220"/>
                <wp:effectExtent l="76200" t="38100" r="76200" b="68580"/>
                <wp:wrapNone/>
                <wp:docPr id="78" name="Straight Arrow Connector 78"/>
                <wp:cNvGraphicFramePr/>
                <a:graphic xmlns:a="http://schemas.openxmlformats.org/drawingml/2006/main">
                  <a:graphicData uri="http://schemas.microsoft.com/office/word/2010/wordprocessingShape">
                    <wps:wsp>
                      <wps:cNvCnPr/>
                      <wps:spPr>
                        <a:xfrm flipV="1">
                          <a:off x="0" y="0"/>
                          <a:ext cx="0" cy="236220"/>
                        </a:xfrm>
                        <a:prstGeom prst="straightConnector1">
                          <a:avLst/>
                        </a:prstGeom>
                        <a:ln>
                          <a:solidFill>
                            <a:srgbClr val="FFFF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321AB28A" id="_x0000_t32" coordsize="21600,21600" o:spt="32" o:oned="t" path="m,l21600,21600e" filled="f">
                <v:path arrowok="t" fillok="f" o:connecttype="none"/>
                <o:lock v:ext="edit" shapetype="t"/>
              </v:shapetype>
              <v:shape id="Straight Arrow Connector 78" o:spid="_x0000_s1026" type="#_x0000_t32" style="position:absolute;margin-left:580.95pt;margin-top:6.6pt;width:0;height:18.6pt;flip:y;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s88AEAAD8EAAAOAAAAZHJzL2Uyb0RvYy54bWysU02L2zAQvRf6H4TujR0vbEuIs5Rs00tp&#10;Q3fbuyJLtkDSiJEaJ/++IzlxvxYWlvogPNK8N/OeRuu7k7PsqDAa8C1fLmrOlJfQGd+3/Nvj7s07&#10;zmISvhMWvGr5WUV+t3n9aj2GlWpgANspZETi42oMLR9SCquqinJQTsQFBOXpUAM6kSjEvupQjMTu&#10;bNXU9W01AnYBQaoYafd+OuSbwq+1kumL1lElZltOvaWyYlkPea02a7HqUYTByEsb4gVdOGE8FZ2p&#10;7kUS7Aeaf6ickQgRdFpIcBVobaQqGkjNsv5LzcMggipayJwYZpvi/6OVn497ZKZr+Vu6KS8c3dFD&#10;QmH6IbH3iDCyLXhPPgIySiG/xhBXBNv6PV6iGPaYxZ80OqatCd9pFIodJJCditvn2W11SkxOm5J2&#10;m5vbpikXUU0MmSlgTB8VOJZ/Wh4vHc2tTOzi+Ckm6oGAV0AGW5/XCNZ0O2NtCbA/bC2yo6A52NFX&#10;Xyv+kZaEsR98x9I5kA8JjfC9VVk0lci0VRY/yS1/6WzVVPKr0mQjybopwssAq7mkkFL5tJyZKDvD&#10;NLU3A+vngZf8DFVluGdw8zx4RpTK4NMMdsYDPkWQTteW9ZR/dWDSnS04QHcug1CsoSktXl1eVH4G&#10;v8cF/uvdb34CAAD//wMAUEsDBBQABgAIAAAAIQCJbR4P3wAAAAsBAAAPAAAAZHJzL2Rvd25yZXYu&#10;eG1sTI9BT8MwDIXvSPyHyEhcpi3pBhuUphMgTUKCC9skrlnjNdUap2qyrfx7PHGAm5/99Py9Yjn4&#10;Vpywj00gDdlEgUCqgm2o1rDdrMYPIGIyZE0bCDV8Y4RleX1VmNyGM33iaZ1qwSEUc6PBpdTlUsbK&#10;oTdxEjokvu1D701i2dfS9ubM4b6VU6Xm0puG+IMzHb46rA7ro9egFh+jzdt2dXifvXgf+v3oK3Oo&#10;9e3N8PwEIuGQ/sxwwWd0KJlpF45ko2hZZ/Pskb08zaYgLo7fzU7DvboDWRbyf4fyBwAA//8DAFBL&#10;AQItABQABgAIAAAAIQC2gziS/gAAAOEBAAATAAAAAAAAAAAAAAAAAAAAAABbQ29udGVudF9UeXBl&#10;c10ueG1sUEsBAi0AFAAGAAgAAAAhADj9If/WAAAAlAEAAAsAAAAAAAAAAAAAAAAALwEAAF9yZWxz&#10;Ly5yZWxzUEsBAi0AFAAGAAgAAAAhALi2SzzwAQAAPwQAAA4AAAAAAAAAAAAAAAAALgIAAGRycy9l&#10;Mm9Eb2MueG1sUEsBAi0AFAAGAAgAAAAhAIltHg/fAAAACwEAAA8AAAAAAAAAAAAAAAAASgQAAGRy&#10;cy9kb3ducmV2LnhtbFBLBQYAAAAABAAEAPMAAABWBQAAAAA=&#10;" strokecolor="yellow" strokeweight="3pt">
                <v:stroke endarrow="block"/>
                <v:shadow on="t" color="black" opacity="22937f" origin=",.5" offset="0,.63889mm"/>
              </v:shape>
            </w:pict>
          </mc:Fallback>
        </mc:AlternateContent>
      </w:r>
      <w:r w:rsidR="0054073C" w:rsidRPr="00576180">
        <w:rPr>
          <w:rFonts w:ascii="Arial" w:hAnsi="Arial" w:cs="Arial"/>
          <w:noProof/>
          <w:sz w:val="18"/>
          <w:szCs w:val="18"/>
          <w:lang w:eastAsia="pt-BR"/>
        </w:rPr>
        <mc:AlternateContent>
          <mc:Choice Requires="wps">
            <w:drawing>
              <wp:anchor distT="0" distB="0" distL="114300" distR="114300" simplePos="0" relativeHeight="251863040" behindDoc="0" locked="0" layoutInCell="1" allowOverlap="1" wp14:anchorId="144795E0" wp14:editId="42D34987">
                <wp:simplePos x="0" y="0"/>
                <wp:positionH relativeFrom="column">
                  <wp:posOffset>4322556</wp:posOffset>
                </wp:positionH>
                <wp:positionV relativeFrom="paragraph">
                  <wp:posOffset>83544</wp:posOffset>
                </wp:positionV>
                <wp:extent cx="0" cy="236220"/>
                <wp:effectExtent l="76200" t="38100" r="76200" b="68580"/>
                <wp:wrapNone/>
                <wp:docPr id="77" name="Straight Arrow Connector 77"/>
                <wp:cNvGraphicFramePr/>
                <a:graphic xmlns:a="http://schemas.openxmlformats.org/drawingml/2006/main">
                  <a:graphicData uri="http://schemas.microsoft.com/office/word/2010/wordprocessingShape">
                    <wps:wsp>
                      <wps:cNvCnPr/>
                      <wps:spPr>
                        <a:xfrm flipV="1">
                          <a:off x="0" y="0"/>
                          <a:ext cx="0" cy="236220"/>
                        </a:xfrm>
                        <a:prstGeom prst="straightConnector1">
                          <a:avLst/>
                        </a:prstGeom>
                        <a:ln>
                          <a:solidFill>
                            <a:srgbClr val="FFFF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1B0389D5" id="Straight Arrow Connector 77" o:spid="_x0000_s1026" type="#_x0000_t32" style="position:absolute;margin-left:340.35pt;margin-top:6.6pt;width:0;height:18.6pt;flip:y;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dP8AEAAD8EAAAOAAAAZHJzL2Uyb0RvYy54bWysU02L2zAQvRf6H4TujR0v7JYQZynZppfS&#10;hm7buyKPbIG+GKlx8u87khNvv2BhqQ/CI817M+9ptL4/WcOOgFF71/LlouYMnPSddn3Lv33dvXnL&#10;WUzCdcJ4By0/Q+T3m9ev1mNYQeMHbzpARiQursbQ8iGlsKqqKAewIi58AEeHyqMViULsqw7FSOzW&#10;VE1d31ajxy6glxAj7T5Mh3xT+JUCmT4rFSEx03LqLZUVy3rIa7VZi1WPIgxaXtoQL+jCCu2o6Ez1&#10;IJJgP1D/RWW1RB+9SgvpbeWV0hKKBlKzrP9Q8ziIAEULmRPDbFP8f7Ty03GPTHctv7vjzAlLd/SY&#10;UOh+SOwdoh/Z1jtHPnpklEJ+jSGuCLZ1e7xEMewxiz8ptEwZHb7TKBQ7SCA7FbfPs9twSkxOm5J2&#10;m5vbpikXUU0MmSlgTB/AW5Z/Wh4vHc2tTOzi+DEm6oGAV0AGG5fX6I3udtqYEmB/2BpkR0FzsKOv&#10;vlb8LS0Jbd67jqVzIB8SauF6A1k0lci0VRY/yS1/6WxgKvkFFNlIsm6K8DLAMJcUUoJLy5mJsjNM&#10;UXszsH4eeMnPUCjDPYOb58EzolT2Ls1gq53HfxGk07VlNeVfHZh0ZwsOvjuXQSjW0JQWry4vKj+D&#10;X+MCf3r3m58AAAD//wMAUEsDBBQABgAIAAAAIQD/RzvG3gAAAAkBAAAPAAAAZHJzL2Rvd25yZXYu&#10;eG1sTI/BSgMxEIbvgu8QRvBSbNJW27JutqhQEPRiW/CabqabpZvJkqTt+vaOeNDjzP/xzzflavCd&#10;OGNMbSANk7ECgVQH21KjYbdd3y1BpGzImi4QavjCBKvq+qo0hQ0X+sDzJjeCSygVRoPLuS+kTLVD&#10;b9I49EicHUL0JvMYG2mjuXC57+RUqbn0piW+4EyPLw7r4+bkNajF+2j7ulsf32bP3od4GH1OHGp9&#10;ezM8PYLIOOQ/GH70WR0qdtqHE9kkOg3zpVowysFsCoKB38Vew4O6B1mV8v8H1TcAAAD//wMAUEsB&#10;Ai0AFAAGAAgAAAAhALaDOJL+AAAA4QEAABMAAAAAAAAAAAAAAAAAAAAAAFtDb250ZW50X1R5cGVz&#10;XS54bWxQSwECLQAUAAYACAAAACEAOP0h/9YAAACUAQAACwAAAAAAAAAAAAAAAAAvAQAAX3JlbHMv&#10;LnJlbHNQSwECLQAUAAYACAAAACEAES33T/ABAAA/BAAADgAAAAAAAAAAAAAAAAAuAgAAZHJzL2Uy&#10;b0RvYy54bWxQSwECLQAUAAYACAAAACEA/0c7xt4AAAAJAQAADwAAAAAAAAAAAAAAAABKBAAAZHJz&#10;L2Rvd25yZXYueG1sUEsFBgAAAAAEAAQA8wAAAFUFAAAAAA==&#10;" strokecolor="yellow" strokeweight="3pt">
                <v:stroke endarrow="block"/>
                <v:shadow on="t" color="black" opacity="22937f" origin=",.5" offset="0,.63889mm"/>
              </v:shape>
            </w:pict>
          </mc:Fallback>
        </mc:AlternateContent>
      </w:r>
      <w:r w:rsidR="0054073C" w:rsidRPr="00576180">
        <w:rPr>
          <w:rFonts w:ascii="Arial" w:hAnsi="Arial" w:cs="Arial"/>
          <w:noProof/>
          <w:sz w:val="18"/>
          <w:szCs w:val="18"/>
          <w:lang w:eastAsia="pt-BR"/>
        </w:rPr>
        <mc:AlternateContent>
          <mc:Choice Requires="wps">
            <w:drawing>
              <wp:anchor distT="0" distB="0" distL="114300" distR="114300" simplePos="0" relativeHeight="251906048" behindDoc="0" locked="0" layoutInCell="1" allowOverlap="1" wp14:anchorId="48E1B286" wp14:editId="3EB88966">
                <wp:simplePos x="0" y="0"/>
                <wp:positionH relativeFrom="column">
                  <wp:posOffset>1325383</wp:posOffset>
                </wp:positionH>
                <wp:positionV relativeFrom="paragraph">
                  <wp:posOffset>57536</wp:posOffset>
                </wp:positionV>
                <wp:extent cx="0" cy="236220"/>
                <wp:effectExtent l="76200" t="38100" r="76200" b="68580"/>
                <wp:wrapNone/>
                <wp:docPr id="120" name="Straight Arrow Connector 120"/>
                <wp:cNvGraphicFramePr/>
                <a:graphic xmlns:a="http://schemas.openxmlformats.org/drawingml/2006/main">
                  <a:graphicData uri="http://schemas.microsoft.com/office/word/2010/wordprocessingShape">
                    <wps:wsp>
                      <wps:cNvCnPr/>
                      <wps:spPr>
                        <a:xfrm flipV="1">
                          <a:off x="0" y="0"/>
                          <a:ext cx="0" cy="236220"/>
                        </a:xfrm>
                        <a:prstGeom prst="straightConnector1">
                          <a:avLst/>
                        </a:prstGeom>
                        <a:ln>
                          <a:solidFill>
                            <a:srgbClr val="FFFF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4C859C00" id="Straight Arrow Connector 120" o:spid="_x0000_s1026" type="#_x0000_t32" style="position:absolute;margin-left:104.35pt;margin-top:4.55pt;width:0;height:18.6pt;flip:y;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eE7gEAAEEEAAAOAAAAZHJzL2Uyb0RvYy54bWysU02L2zAQvRf6H4TvjR0vLMXEWUq26aW0&#10;odv2rsiSLZA0YqTG9r/vSE7cT1go9UF4pHlv5j2Ndg+TNewiMWhwbbHdVAWTTkCnXd8WXz4fX70u&#10;WIjcddyAk20xy1A87F++2I2+kTUMYDqJjEhcaEbfFkOMvinLIAZpediAl44OFaDlkULsyw75SOzW&#10;lHVV3ZcjYOcRhAyBdh+Xw2Kf+ZWSIn5UKsjITFtQbzGvmNdzWsv9jjc9cj9ocW2D/0MXlmtHRVeq&#10;Rx45+4b6DyqrBUIAFTcCbAlKaSGzBlKzrX5T8zRwL7MWMif41abw/2jFh8sJme7o7mryx3FLl/QU&#10;ket+iOwNIozsAM6RkYAs5ZBjow8NAQ/uhNco+BMm+ZNCy5TR/isRZkNIIpuy3/Pqt5wiE8umoN36&#10;7r5eiMuFITF5DPGdBMvST1uEa0trLws7v7wPkXog4A2QwMalNYDR3VEbkwPszweD7MJpEo70VVkK&#10;AX9Ji1ybt65jcfZkRETNXW9kEk2ZibZM4he5+S/ORi4lP0lFRpKsuyw8j7BcS3IhpIvblYmyE0xR&#10;eyuweh54zU9Qmcd7BdfPg1dErgwurmCrHeDfCOJ0a1kt+TcHFt3JgjN0cx6EbA3Nafbq+qbSQ/g5&#10;zvAfL3//HQAA//8DAFBLAwQUAAYACAAAACEAgYDJOt0AAAAIAQAADwAAAGRycy9kb3ducmV2Lnht&#10;bEyPQUsDMRSE74L/IbyCl2Kz20pbt/u2qFAQ9GJb8JpuXjdLNy9LkrbrvzfiQY/DDDPflOvBduJC&#10;PrSOEfJJBoK4drrlBmG/29wvQYSoWKvOMSF8UYB1dXtTqkK7K3/QZRsbkUo4FArBxNgXUobakFVh&#10;4nri5B2dtyom6RupvbqmctvJaZbNpVUtpwWjenoxVJ+2Z4uQLd7Hu9f95vQ2e7bW+eP4MzeEeDca&#10;nlYgIg3xLww/+AkdqsR0cGfWQXQI02y5SFGExxxE8n/1AeFhPgNZlfL/geobAAD//wMAUEsBAi0A&#10;FAAGAAgAAAAhALaDOJL+AAAA4QEAABMAAAAAAAAAAAAAAAAAAAAAAFtDb250ZW50X1R5cGVzXS54&#10;bWxQSwECLQAUAAYACAAAACEAOP0h/9YAAACUAQAACwAAAAAAAAAAAAAAAAAvAQAAX3JlbHMvLnJl&#10;bHNQSwECLQAUAAYACAAAACEA1BV3hO4BAABBBAAADgAAAAAAAAAAAAAAAAAuAgAAZHJzL2Uyb0Rv&#10;Yy54bWxQSwECLQAUAAYACAAAACEAgYDJOt0AAAAIAQAADwAAAAAAAAAAAAAAAABIBAAAZHJzL2Rv&#10;d25yZXYueG1sUEsFBgAAAAAEAAQA8wAAAFIFAAAAAA==&#10;" strokecolor="yellow" strokeweight="3pt">
                <v:stroke endarrow="block"/>
                <v:shadow on="t" color="black" opacity="22937f" origin=",.5" offset="0,.63889mm"/>
              </v:shape>
            </w:pict>
          </mc:Fallback>
        </mc:AlternateContent>
      </w:r>
      <w:r w:rsidR="007A145F" w:rsidRPr="00576180">
        <w:rPr>
          <w:rFonts w:ascii="Arial" w:hAnsi="Arial" w:cs="Arial"/>
          <w:noProof/>
          <w:sz w:val="18"/>
          <w:szCs w:val="18"/>
          <w:lang w:eastAsia="pt-BR"/>
        </w:rPr>
        <mc:AlternateContent>
          <mc:Choice Requires="wps">
            <w:drawing>
              <wp:anchor distT="0" distB="0" distL="114300" distR="114300" simplePos="0" relativeHeight="251806720" behindDoc="0" locked="0" layoutInCell="1" allowOverlap="1" wp14:anchorId="00354190" wp14:editId="487BE13A">
                <wp:simplePos x="0" y="0"/>
                <wp:positionH relativeFrom="column">
                  <wp:posOffset>87464</wp:posOffset>
                </wp:positionH>
                <wp:positionV relativeFrom="paragraph">
                  <wp:posOffset>196684</wp:posOffset>
                </wp:positionV>
                <wp:extent cx="2711395" cy="645160"/>
                <wp:effectExtent l="0" t="0" r="13335" b="21590"/>
                <wp:wrapNone/>
                <wp:docPr id="127" name="Rectangle 127"/>
                <wp:cNvGraphicFramePr/>
                <a:graphic xmlns:a="http://schemas.openxmlformats.org/drawingml/2006/main">
                  <a:graphicData uri="http://schemas.microsoft.com/office/word/2010/wordprocessingShape">
                    <wps:wsp>
                      <wps:cNvSpPr/>
                      <wps:spPr>
                        <a:xfrm>
                          <a:off x="0" y="0"/>
                          <a:ext cx="2711395" cy="645160"/>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F6A198" w14:textId="0F48D261" w:rsidR="00D87B95" w:rsidRPr="00043821" w:rsidRDefault="00D87B95" w:rsidP="009B52B5">
                            <w:pPr>
                              <w:spacing w:after="60" w:line="240" w:lineRule="auto"/>
                              <w:rPr>
                                <w:sz w:val="20"/>
                                <w:szCs w:val="20"/>
                                <w:lang w:val="es-US"/>
                              </w:rPr>
                            </w:pPr>
                            <w:r w:rsidRPr="00E50CDA">
                              <w:rPr>
                                <w:sz w:val="20"/>
                                <w:szCs w:val="20"/>
                                <w:lang w:val="es-US"/>
                              </w:rPr>
                              <w:t>OBE</w:t>
                            </w:r>
                            <w:r>
                              <w:rPr>
                                <w:sz w:val="20"/>
                                <w:szCs w:val="20"/>
                                <w:lang w:val="es-US"/>
                              </w:rPr>
                              <w:t>1. A</w:t>
                            </w:r>
                            <w:r w:rsidRPr="008E0915">
                              <w:rPr>
                                <w:sz w:val="20"/>
                                <w:szCs w:val="20"/>
                                <w:lang w:val="es-US"/>
                              </w:rPr>
                              <w:t xml:space="preserve">umentar la eficiencia de los procesos e instrumentos de automatización de la preparación y ejecución financiera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54190" id="Rectangle 127" o:spid="_x0000_s1034" style="position:absolute;left:0;text-align:left;margin-left:6.9pt;margin-top:15.5pt;width:213.5pt;height:50.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WQmwIAAKoFAAAOAAAAZHJzL2Uyb0RvYy54bWysVE1v2zAMvQ/YfxB0Xx1nST+COEWQosOA&#10;rg3aDj0rshQbkERNUmJnv36U7LhBV2zAsBwcUiQfxSeS8+tWK7IXztdgCpqfjSgRhkNZm21Bvz/f&#10;frqkxAdmSqbAiIIehKfXi48f5o2diTFUoErhCIIYP2tsQasQ7CzLPK+EZv4MrDBolOA0C6i6bVY6&#10;1iC6Vtl4NDrPGnCldcCF93h60xnpIuFLKXh4kNKLQFRB8W4hfV36buI3W8zZbOuYrWreX4P9wy00&#10;qw0mHaBuWGBk5+rfoHTNHXiQ4YyDzkDKmotUA1aTj95U81QxK1ItSI63A03+/8Hy+/3akbrEtxtf&#10;UGKYxkd6RNqY2SpB4iFS1Fg/Q88nu3a95lGM9bbS6fiPlZA20XoYaBVtIBwPxxd5/vlqSglH2/lk&#10;mp8n3rPXaOt8+CJAkygU1GH+xCbb3/mAGdH16BKTeVB1eVsrlZTYKmKlHNkzfGTGuTBhnMLVTn+D&#10;sjufjvAXa0Gs1F0xpNNe0bJYaFdaksJBiZhDmUchkaVYTEIeEE6T5p2pYqX4W84EGJElVjFg9wDv&#10;FZT3V+/9Y6hI7T0Ej/50sa7uISJlBhOGYF0bcO8BqDBk7vyRshNqohjaTZs66PLYKhsoD9hVDrpx&#10;85bf1viwd8yHNXM4XziJuDPCA36kgqag0EuUVOB+vnce/bHt0UpJg/NaUP9jx5ygRH01OBBX+WQS&#10;Bzwpk+nFGBV3atmcWsxOrwC7JcftZHkSo39QR1E60C+4WpYxK5qY4Zi7oDy4o7IK3R7B5cTFcpnc&#10;cKgtC3fmyfIIHnmOjfvcvjBn++4OOBf3cJxtNnvT5J1vjDSw3AWQdZqAyHTHa/8CuBBS+/bLK26c&#10;Uz15va7YxS8AAAD//wMAUEsDBBQABgAIAAAAIQB7bIGZ2wAAAAkBAAAPAAAAZHJzL2Rvd25yZXYu&#10;eG1sTI/NTsMwEITvSLyDtUjcqNOmhCrEqRA/d2grzk68TSLsdRQ7TejTsz3R4+yMZr8ptrOz4oRD&#10;6DwpWC4SEEi1Nx01Cg77j4cNiBA1GW09oYJfDLAtb28KnRs/0ReedrERXEIh1wraGPtcylC36HRY&#10;+B6JvaMfnI4sh0aaQU9c7qxcJUkmne6IP7S6x9cW65/d6BRM6Xh+6+vH/fvB+uw8fVb2e35S6v5u&#10;fnkGEXGO/2G44DM6lMxU+ZFMEJZ1yuRRQbrkSeyv1wkfqouxykCWhbxeUP4BAAD//wMAUEsBAi0A&#10;FAAGAAgAAAAhALaDOJL+AAAA4QEAABMAAAAAAAAAAAAAAAAAAAAAAFtDb250ZW50X1R5cGVzXS54&#10;bWxQSwECLQAUAAYACAAAACEAOP0h/9YAAACUAQAACwAAAAAAAAAAAAAAAAAvAQAAX3JlbHMvLnJl&#10;bHNQSwECLQAUAAYACAAAACEAJADlkJsCAACqBQAADgAAAAAAAAAAAAAAAAAuAgAAZHJzL2Uyb0Rv&#10;Yy54bWxQSwECLQAUAAYACAAAACEAe2yBmdsAAAAJAQAADwAAAAAAAAAAAAAAAAD1BAAAZHJzL2Rv&#10;d25yZXYueG1sUEsFBgAAAAAEAAQA8wAAAP0FAAAAAA==&#10;" fillcolor="#622423 [1605]" strokecolor="#243f60 [1604]" strokeweight="2pt">
                <v:textbox>
                  <w:txbxContent>
                    <w:p w14:paraId="12F6A198" w14:textId="0F48D261" w:rsidR="00D87B95" w:rsidRPr="00043821" w:rsidRDefault="00D87B95" w:rsidP="009B52B5">
                      <w:pPr>
                        <w:spacing w:after="60" w:line="240" w:lineRule="auto"/>
                        <w:rPr>
                          <w:sz w:val="20"/>
                          <w:szCs w:val="20"/>
                          <w:lang w:val="es-US"/>
                        </w:rPr>
                      </w:pPr>
                      <w:r w:rsidRPr="00E50CDA">
                        <w:rPr>
                          <w:sz w:val="20"/>
                          <w:szCs w:val="20"/>
                          <w:lang w:val="es-US"/>
                        </w:rPr>
                        <w:t>OBE</w:t>
                      </w:r>
                      <w:r>
                        <w:rPr>
                          <w:sz w:val="20"/>
                          <w:szCs w:val="20"/>
                          <w:lang w:val="es-US"/>
                        </w:rPr>
                        <w:t>1. A</w:t>
                      </w:r>
                      <w:r w:rsidRPr="008E0915">
                        <w:rPr>
                          <w:sz w:val="20"/>
                          <w:szCs w:val="20"/>
                          <w:lang w:val="es-US"/>
                        </w:rPr>
                        <w:t xml:space="preserve">umentar la eficiencia de los procesos e instrumentos de automatización de la preparación y ejecución financiera </w:t>
                      </w:r>
                    </w:p>
                  </w:txbxContent>
                </v:textbox>
              </v:rect>
            </w:pict>
          </mc:Fallback>
        </mc:AlternateContent>
      </w:r>
      <w:r w:rsidR="00984255" w:rsidRPr="00576180">
        <w:rPr>
          <w:rFonts w:ascii="Arial" w:hAnsi="Arial" w:cs="Arial"/>
          <w:sz w:val="18"/>
          <w:szCs w:val="18"/>
        </w:rPr>
        <w:t>`</w:t>
      </w:r>
    </w:p>
    <w:p w14:paraId="48B28D76" w14:textId="697D6B97" w:rsidR="00984255" w:rsidRPr="00576180" w:rsidRDefault="00984255" w:rsidP="00984255">
      <w:pPr>
        <w:spacing w:before="120" w:after="120"/>
        <w:ind w:left="1170" w:right="446"/>
        <w:jc w:val="both"/>
        <w:rPr>
          <w:rFonts w:ascii="Arial" w:hAnsi="Arial" w:cs="Arial"/>
          <w:sz w:val="18"/>
          <w:szCs w:val="18"/>
        </w:rPr>
      </w:pPr>
    </w:p>
    <w:p w14:paraId="04E9B725" w14:textId="77777777" w:rsidR="00984255" w:rsidRPr="00576180" w:rsidRDefault="00984255" w:rsidP="00984255">
      <w:pPr>
        <w:pStyle w:val="ListParagraph"/>
        <w:spacing w:before="120" w:after="120"/>
        <w:ind w:left="1530" w:right="446"/>
        <w:jc w:val="both"/>
        <w:rPr>
          <w:rFonts w:ascii="Arial" w:hAnsi="Arial" w:cs="Arial"/>
          <w:sz w:val="18"/>
          <w:szCs w:val="18"/>
        </w:rPr>
      </w:pPr>
    </w:p>
    <w:p w14:paraId="1523C0AA" w14:textId="3FB30E0E" w:rsidR="00984255" w:rsidRPr="00576180" w:rsidRDefault="00F85F3A" w:rsidP="00984255">
      <w:pPr>
        <w:pStyle w:val="ListParagraph"/>
        <w:spacing w:before="120" w:after="120"/>
        <w:ind w:left="1530" w:right="446"/>
        <w:jc w:val="both"/>
        <w:rPr>
          <w:rFonts w:ascii="Arial" w:hAnsi="Arial" w:cs="Arial"/>
          <w:sz w:val="18"/>
          <w:szCs w:val="18"/>
        </w:rPr>
      </w:pPr>
      <w:r w:rsidRPr="00576180">
        <w:rPr>
          <w:rFonts w:ascii="Arial" w:hAnsi="Arial" w:cs="Arial"/>
          <w:noProof/>
          <w:sz w:val="18"/>
          <w:szCs w:val="18"/>
          <w:lang w:eastAsia="pt-BR"/>
        </w:rPr>
        <mc:AlternateContent>
          <mc:Choice Requires="wps">
            <w:drawing>
              <wp:anchor distT="0" distB="0" distL="114300" distR="114300" simplePos="0" relativeHeight="251883520" behindDoc="0" locked="0" layoutInCell="1" allowOverlap="1" wp14:anchorId="18C189DB" wp14:editId="23F425A7">
                <wp:simplePos x="0" y="0"/>
                <wp:positionH relativeFrom="column">
                  <wp:posOffset>7373620</wp:posOffset>
                </wp:positionH>
                <wp:positionV relativeFrom="paragraph">
                  <wp:posOffset>139383</wp:posOffset>
                </wp:positionV>
                <wp:extent cx="0" cy="236220"/>
                <wp:effectExtent l="76200" t="38100" r="76200" b="68580"/>
                <wp:wrapNone/>
                <wp:docPr id="87" name="Straight Arrow Connector 87"/>
                <wp:cNvGraphicFramePr/>
                <a:graphic xmlns:a="http://schemas.openxmlformats.org/drawingml/2006/main">
                  <a:graphicData uri="http://schemas.microsoft.com/office/word/2010/wordprocessingShape">
                    <wps:wsp>
                      <wps:cNvCnPr/>
                      <wps:spPr>
                        <a:xfrm flipV="1">
                          <a:off x="0" y="0"/>
                          <a:ext cx="0" cy="236220"/>
                        </a:xfrm>
                        <a:prstGeom prst="straightConnector1">
                          <a:avLst/>
                        </a:prstGeom>
                        <a:ln>
                          <a:solidFill>
                            <a:srgbClr val="FFFF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347D244A" id="Straight Arrow Connector 87" o:spid="_x0000_s1026" type="#_x0000_t32" style="position:absolute;margin-left:580.6pt;margin-top:11pt;width:0;height:18.6pt;flip:y;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7g8AEAAD8EAAAOAAAAZHJzL2Uyb0RvYy54bWysU02L2zAQvRf6H4TujR0vbJcQZynZppfS&#10;hm7buyJLtkBfjKZx8u87khNvv2BhqQ/CI817M+9ptL4/OcuOCpIJvuXLRc2Z8jJ0xvct//Z19+aO&#10;s4TCd8IGr1p+Vonfb16/Wo9xpZowBNspYETi02qMLR8Q46qqkhyUE2kRovJ0qAM4gRRCX3UgRmJ3&#10;tmrq+rYaA3QRglQp0e7DdMg3hV9rJfGz1kkhsy2n3rCsUNZDXqvNWqx6EHEw8tKGeEEXThhPRWeq&#10;B4GC/QDzF5UzEkIKGhcyuCpobaQqGkjNsv5DzeMgoipayJwUZ5vS/6OVn457YKZr+d1bzrxwdEeP&#10;CML0A7J3AGFk2+A9+RiAUQr5Nca0ItjW7+ESpbiHLP6kwTFtTfxOo1DsIIHsVNw+z26rEzI5bUra&#10;bW5um6ZcRDUxZKYICT+o4Fj+aXm6dDS3MrGL48eE1AMBr4AMtj6vKVjT7Yy1JYD+sLXAjoLmYEdf&#10;fa34WxoKY9/7juE5kg8IRvjeqiyaSmTaKouf5JY/PFs1lfyiNNlIsm6K8DLAai4ppFQelzMTZWeY&#10;pvZmYP088JKfoaoM9wxungfPiFI5eJzBzvgA/yLA07VlPeVfHZh0ZwsOoTuXQSjW0JQWry4vKj+D&#10;X+MCf3r3m58AAAD//wMAUEsDBBQABgAIAAAAIQBzlse83wAAAAsBAAAPAAAAZHJzL2Rvd25yZXYu&#10;eG1sTI9BS8NAEIXvgv9hGcFLsZusWDVmU1QoFPRiW/C6zU6zodnZkN228d87pQc9vjcfb94r56Pv&#10;xBGH2AbSkE8zEEh1sC01Gjbrxd0TiJgMWdMFQg0/GGFeXV+VprDhRF94XKVGcAjFwmhwKfWFlLF2&#10;6E2chh6Jb7sweJNYDo20gzlxuO+kyrKZ9KYl/uBMj+8O6/3q4DVkj5+T9XKz2H/cv3kfht3kO3eo&#10;9e3N+PoCIuGY/mA41+fqUHGnbTiQjaJjnc9yxawGpXjUmbg4Ww0PzwpkVcr/G6pfAAAA//8DAFBL&#10;AQItABQABgAIAAAAIQC2gziS/gAAAOEBAAATAAAAAAAAAAAAAAAAAAAAAABbQ29udGVudF9UeXBl&#10;c10ueG1sUEsBAi0AFAAGAAgAAAAhADj9If/WAAAAlAEAAAsAAAAAAAAAAAAAAAAALwEAAF9yZWxz&#10;Ly5yZWxzUEsBAi0AFAAGAAgAAAAhAMaKjuDwAQAAPwQAAA4AAAAAAAAAAAAAAAAALgIAAGRycy9l&#10;Mm9Eb2MueG1sUEsBAi0AFAAGAAgAAAAhAHOWx7zfAAAACwEAAA8AAAAAAAAAAAAAAAAASgQAAGRy&#10;cy9kb3ducmV2LnhtbFBLBQYAAAAABAAEAPMAAABWBQAAAAA=&#10;" strokecolor="yellow" strokeweight="3pt">
                <v:stroke endarrow="block"/>
                <v:shadow on="t" color="black" opacity="22937f" origin=",.5" offset="0,.63889mm"/>
              </v:shape>
            </w:pict>
          </mc:Fallback>
        </mc:AlternateContent>
      </w:r>
      <w:r w:rsidRPr="00576180">
        <w:rPr>
          <w:rFonts w:ascii="Arial" w:hAnsi="Arial" w:cs="Arial"/>
          <w:noProof/>
          <w:sz w:val="18"/>
          <w:szCs w:val="18"/>
          <w:lang w:eastAsia="pt-BR"/>
        </w:rPr>
        <mc:AlternateContent>
          <mc:Choice Requires="wps">
            <w:drawing>
              <wp:anchor distT="0" distB="0" distL="114300" distR="114300" simplePos="0" relativeHeight="251881472" behindDoc="0" locked="0" layoutInCell="1" allowOverlap="1" wp14:anchorId="49B35BCC" wp14:editId="532F08B3">
                <wp:simplePos x="0" y="0"/>
                <wp:positionH relativeFrom="column">
                  <wp:posOffset>4322445</wp:posOffset>
                </wp:positionH>
                <wp:positionV relativeFrom="paragraph">
                  <wp:posOffset>125413</wp:posOffset>
                </wp:positionV>
                <wp:extent cx="0" cy="236220"/>
                <wp:effectExtent l="76200" t="38100" r="76200" b="68580"/>
                <wp:wrapNone/>
                <wp:docPr id="86" name="Straight Arrow Connector 86"/>
                <wp:cNvGraphicFramePr/>
                <a:graphic xmlns:a="http://schemas.openxmlformats.org/drawingml/2006/main">
                  <a:graphicData uri="http://schemas.microsoft.com/office/word/2010/wordprocessingShape">
                    <wps:wsp>
                      <wps:cNvCnPr/>
                      <wps:spPr>
                        <a:xfrm flipV="1">
                          <a:off x="0" y="0"/>
                          <a:ext cx="0" cy="236220"/>
                        </a:xfrm>
                        <a:prstGeom prst="straightConnector1">
                          <a:avLst/>
                        </a:prstGeom>
                        <a:ln>
                          <a:solidFill>
                            <a:srgbClr val="FFFF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38CD95DD" id="Straight Arrow Connector 86" o:spid="_x0000_s1026" type="#_x0000_t32" style="position:absolute;margin-left:340.35pt;margin-top:9.9pt;width:0;height:18.6pt;flip:y;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7wEAAD8EAAAOAAAAZHJzL2Uyb0RvYy54bWysU02L2zAQvRf6H4TujR0vhCXEWUq26aW0&#10;odvtXZFHtkBfjNQ4+fcdyYn7CQulPgiPNO/NvKfR5uFsDTsBRu1dy5eLmjNw0nfa9S1//rJ/c89Z&#10;TMJ1wngHLb9A5A/b1682Y1hD4wdvOkBGJC6ux9DyIaWwrqooB7AiLnwAR4fKoxWJQuyrDsVI7NZU&#10;TV2vqtFjF9BLiJF2H6dDvi38SoFMn5SKkJhpOfWWyoplPea12m7EukcRBi2vbYh/6MIK7ajoTPUo&#10;kmDfUP9BZbVEH71KC+lt5ZXSEooGUrOsf1PzNIgARQuZE8NsU/x/tPLj6YBMdy2/X3HmhKU7ekoo&#10;dD8k9hbRj2znnSMfPTJKIb/GENcE27kDXqMYDpjFnxVapowOX2kUih0kkJ2L25fZbTgnJqdNSbvN&#10;3appykVUE0NmChjTe/CW5Z+Wx2tHcysTuzh9iIl6IOANkMHG5TV6o7u9NqYE2B93BtlJ0Bzs6atv&#10;FX9JS0Kbd65j6RLIh4RauN5AFk0lMm2VxU9yy1+6GJhKfgZFNpKsuyK8DDDMJYWU4NJyZqLsDFPU&#10;3gysXwZe8zMUynDP4OZl8Iwolb1LM9hq5/FvBOl8a1lN+TcHJt3ZgqPvLmUQijU0pcWr64vKz+Dn&#10;uMB/vPvtdwAAAP//AwBQSwMEFAAGAAgAAAAhAMp3EEndAAAACQEAAA8AAABkcnMvZG93bnJldi54&#10;bWxMj0FLAzEQhe+C/yGM4KXYpIrdum62qFAQ9GJb8Jpuppulm8mSpO367x3xoMd57+PNe9Vy9L04&#10;YUxdIA2zqQKB1ATbUathu1ndLECkbMiaPhBq+MIEy/ryojKlDWf6wNM6t4JDKJVGg8t5KKVMjUNv&#10;0jQMSOztQ/Qm8xlbaaM5c7jv5a1Sc+lNR/zBmQFfHDaH9dFrUMX7ZPO6XR3e7p69D3E/+Zw51Pr6&#10;anx6BJFxzH8w/NTn6lBzp104kk2i1zBfqIJRNh54AgO/wk7DfaFA1pX8v6D+BgAA//8DAFBLAQIt&#10;ABQABgAIAAAAIQC2gziS/gAAAOEBAAATAAAAAAAAAAAAAAAAAAAAAABbQ29udGVudF9UeXBlc10u&#10;eG1sUEsBAi0AFAAGAAgAAAAhADj9If/WAAAAlAEAAAsAAAAAAAAAAAAAAAAALwEAAF9yZWxzLy5y&#10;ZWxzUEsBAi0AFAAGAAgAAAAhAH73z83vAQAAPwQAAA4AAAAAAAAAAAAAAAAALgIAAGRycy9lMm9E&#10;b2MueG1sUEsBAi0AFAAGAAgAAAAhAMp3EEndAAAACQEAAA8AAAAAAAAAAAAAAAAASQQAAGRycy9k&#10;b3ducmV2LnhtbFBLBQYAAAAABAAEAPMAAABTBQAAAAA=&#10;" strokecolor="yellow" strokeweight="3pt">
                <v:stroke endarrow="block"/>
                <v:shadow on="t" color="black" opacity="22937f" origin=",.5" offset="0,.63889mm"/>
              </v:shape>
            </w:pict>
          </mc:Fallback>
        </mc:AlternateContent>
      </w:r>
    </w:p>
    <w:p w14:paraId="17A2F268" w14:textId="12CD60F7" w:rsidR="00984255" w:rsidRPr="00576180" w:rsidRDefault="00F85F3A" w:rsidP="00984255">
      <w:pPr>
        <w:pStyle w:val="ListParagraph"/>
        <w:spacing w:before="120" w:after="120"/>
        <w:ind w:left="1530" w:right="446"/>
        <w:jc w:val="both"/>
        <w:rPr>
          <w:rFonts w:ascii="Arial" w:hAnsi="Arial" w:cs="Arial"/>
          <w:sz w:val="18"/>
          <w:szCs w:val="18"/>
        </w:rPr>
      </w:pPr>
      <w:r w:rsidRPr="00576180">
        <w:rPr>
          <w:rFonts w:ascii="Arial" w:hAnsi="Arial" w:cs="Arial"/>
          <w:noProof/>
          <w:sz w:val="18"/>
          <w:szCs w:val="18"/>
          <w:lang w:eastAsia="pt-BR"/>
        </w:rPr>
        <mc:AlternateContent>
          <mc:Choice Requires="wps">
            <w:drawing>
              <wp:anchor distT="0" distB="0" distL="114300" distR="114300" simplePos="0" relativeHeight="251825152" behindDoc="0" locked="0" layoutInCell="1" allowOverlap="1" wp14:anchorId="19D1C2D4" wp14:editId="33A79411">
                <wp:simplePos x="0" y="0"/>
                <wp:positionH relativeFrom="column">
                  <wp:posOffset>1316990</wp:posOffset>
                </wp:positionH>
                <wp:positionV relativeFrom="paragraph">
                  <wp:posOffset>13017</wp:posOffset>
                </wp:positionV>
                <wp:extent cx="0" cy="236220"/>
                <wp:effectExtent l="76200" t="38100" r="76200" b="68580"/>
                <wp:wrapNone/>
                <wp:docPr id="130" name="Straight Arrow Connector 130"/>
                <wp:cNvGraphicFramePr/>
                <a:graphic xmlns:a="http://schemas.openxmlformats.org/drawingml/2006/main">
                  <a:graphicData uri="http://schemas.microsoft.com/office/word/2010/wordprocessingShape">
                    <wps:wsp>
                      <wps:cNvCnPr/>
                      <wps:spPr>
                        <a:xfrm flipV="1">
                          <a:off x="0" y="0"/>
                          <a:ext cx="0" cy="236220"/>
                        </a:xfrm>
                        <a:prstGeom prst="straightConnector1">
                          <a:avLst/>
                        </a:prstGeom>
                        <a:ln>
                          <a:solidFill>
                            <a:srgbClr val="FFFF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2AA87F" id="Straight Arrow Connector 130" o:spid="_x0000_s1026" type="#_x0000_t32" style="position:absolute;margin-left:103.7pt;margin-top:1pt;width:0;height:18.6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pq7gEAAEEEAAAOAAAAZHJzL2Uyb0RvYy54bWysU02L2zAQvRf6H4TvjR0HlmLiLCXb9FLa&#10;0G17V+SRLdAXIzVO/n1HsuPtFyyU9UF4pHlv5j2NtvcXo9kZMChn22K9qgoGVrhO2b4tvn09vHlb&#10;sBC57bh2FtriCqG4371+tR19A7UbnO4AGZHY0Iy+LYYYfVOWQQxgeFg5D5YOpUPDI4XYlx3ykdiN&#10;LuuquitHh51HJyAE2n2YDotd5pcSRPwsZYDIdFtQbzGvmNdTWsvdljc9cj8oMbfB/6MLw5WlogvV&#10;A4+c/UD1F5VRAl1wMq6EM6WTUgnIGkjNuvpDzePAPWQtZE7wi03h5WjFp/MRmero7jbkj+WGLukx&#10;Ilf9ENk7RDeyvbOWjHTIUg45NvrQEHBvjzhHwR8xyb9INExq5b8TYTaEJLJL9vu6+A2XyMS0KWi3&#10;3tzVdSYuJ4bE5DHED+AMSz9tEeaWll4mdn7+GCL1QMAbIIG1TWtwWnUHpXUOsD/tNbIzp0k40Ffd&#10;Kv6WFrnS723H4tWTEREVt72GJJpKJNoyiZ/k5r941TCV/AKSjCRZmyw8jzAsJbkQYON6YaLsBJPU&#10;3gKsngfO+QkKebwXcP08eEHkys7GBWyUdfgvgni5tSyn/JsDk+5kwcl11zwI2Rqa0+zV/KbSQ/g1&#10;zvCnl7/7CQAA//8DAFBLAwQUAAYACAAAACEAIfEKxN0AAAAIAQAADwAAAGRycy9kb3ducmV2Lnht&#10;bEyPS2vDMBCE74X8B7GFXkIjxSl5uJZDWggUmkse0KtibSwTa2UkJXH/fRV6aG87zDD7TbHsbcuu&#10;6EPjSMJ4JIAhVU43VEs47NfPc2AhKtKqdYQSvjHAshw8FCrX7kZbvO5izVIJhVxJMDF2OeehMmhV&#10;GLkOKXkn562KSfqaa69uqdy2PBNiyq1qKH0wqsN3g9V5d7ESxGwz3H8c1ufPyZu1zp+GX2ODUj49&#10;9qtXYBH7+BeGO35ChzIxHd2FdGCthEzMXlL0fgBL/q8+SpgsMuBlwf8PKH8AAAD//wMAUEsBAi0A&#10;FAAGAAgAAAAhALaDOJL+AAAA4QEAABMAAAAAAAAAAAAAAAAAAAAAAFtDb250ZW50X1R5cGVzXS54&#10;bWxQSwECLQAUAAYACAAAACEAOP0h/9YAAACUAQAACwAAAAAAAAAAAAAAAAAvAQAAX3JlbHMvLnJl&#10;bHNQSwECLQAUAAYACAAAACEA0xsKau4BAABBBAAADgAAAAAAAAAAAAAAAAAuAgAAZHJzL2Uyb0Rv&#10;Yy54bWxQSwECLQAUAAYACAAAACEAIfEKxN0AAAAIAQAADwAAAAAAAAAAAAAAAABIBAAAZHJzL2Rv&#10;d25yZXYueG1sUEsFBgAAAAAEAAQA8wAAAFIFAAAAAA==&#10;" strokecolor="yellow" strokeweight="3pt">
                <v:stroke endarrow="block"/>
                <v:shadow on="t" color="black" opacity="22937f" origin=",.5" offset="0,.63889mm"/>
              </v:shape>
            </w:pict>
          </mc:Fallback>
        </mc:AlternateContent>
      </w:r>
      <w:r w:rsidRPr="00576180">
        <w:rPr>
          <w:rFonts w:ascii="Arial" w:hAnsi="Arial" w:cs="Arial"/>
          <w:noProof/>
          <w:sz w:val="18"/>
          <w:szCs w:val="18"/>
          <w:lang w:eastAsia="pt-BR"/>
        </w:rPr>
        <mc:AlternateContent>
          <mc:Choice Requires="wps">
            <w:drawing>
              <wp:anchor distT="0" distB="0" distL="114300" distR="114300" simplePos="0" relativeHeight="251848704" behindDoc="0" locked="0" layoutInCell="1" allowOverlap="1" wp14:anchorId="70FE1C2B" wp14:editId="0C14142D">
                <wp:simplePos x="0" y="0"/>
                <wp:positionH relativeFrom="column">
                  <wp:posOffset>6005513</wp:posOffset>
                </wp:positionH>
                <wp:positionV relativeFrom="paragraph">
                  <wp:posOffset>153670</wp:posOffset>
                </wp:positionV>
                <wp:extent cx="2812415" cy="1971675"/>
                <wp:effectExtent l="0" t="0" r="26035" b="28575"/>
                <wp:wrapNone/>
                <wp:docPr id="46" name="Rectangle 46"/>
                <wp:cNvGraphicFramePr/>
                <a:graphic xmlns:a="http://schemas.openxmlformats.org/drawingml/2006/main">
                  <a:graphicData uri="http://schemas.microsoft.com/office/word/2010/wordprocessingShape">
                    <wps:wsp>
                      <wps:cNvSpPr/>
                      <wps:spPr>
                        <a:xfrm>
                          <a:off x="0" y="0"/>
                          <a:ext cx="2812415" cy="1971675"/>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FD862F" w14:textId="0AC9BF69" w:rsidR="00D87B95" w:rsidRPr="00E50CDA" w:rsidRDefault="00D87B95" w:rsidP="009B52B5">
                            <w:pPr>
                              <w:spacing w:after="60" w:line="240" w:lineRule="auto"/>
                              <w:rPr>
                                <w:sz w:val="20"/>
                                <w:szCs w:val="20"/>
                                <w:lang w:val="es-US"/>
                              </w:rPr>
                            </w:pPr>
                            <w:r w:rsidRPr="00E50CDA">
                              <w:rPr>
                                <w:sz w:val="20"/>
                                <w:szCs w:val="20"/>
                                <w:lang w:val="es-US"/>
                              </w:rPr>
                              <w:t>R</w:t>
                            </w:r>
                            <w:r>
                              <w:rPr>
                                <w:sz w:val="20"/>
                                <w:szCs w:val="20"/>
                                <w:lang w:val="es-US"/>
                              </w:rPr>
                              <w:t>2.9</w:t>
                            </w:r>
                            <w:r w:rsidRPr="00E50CDA">
                              <w:rPr>
                                <w:sz w:val="20"/>
                                <w:szCs w:val="20"/>
                                <w:lang w:val="es-US"/>
                              </w:rPr>
                              <w:t xml:space="preserve"> </w:t>
                            </w:r>
                            <w:r>
                              <w:rPr>
                                <w:sz w:val="20"/>
                                <w:szCs w:val="20"/>
                                <w:lang w:val="es-US"/>
                              </w:rPr>
                              <w:t>A</w:t>
                            </w:r>
                            <w:r w:rsidRPr="009D0D5F">
                              <w:rPr>
                                <w:sz w:val="20"/>
                                <w:szCs w:val="20"/>
                                <w:lang w:val="es-US"/>
                              </w:rPr>
                              <w:t xml:space="preserve">umentar </w:t>
                            </w:r>
                            <w:r>
                              <w:rPr>
                                <w:sz w:val="20"/>
                                <w:szCs w:val="20"/>
                                <w:lang w:val="es-US"/>
                              </w:rPr>
                              <w:t>la c</w:t>
                            </w:r>
                            <w:r w:rsidRPr="009D0D5F">
                              <w:rPr>
                                <w:sz w:val="20"/>
                                <w:szCs w:val="20"/>
                                <w:lang w:val="es-US"/>
                              </w:rPr>
                              <w:t>obertura de</w:t>
                            </w:r>
                            <w:r>
                              <w:rPr>
                                <w:sz w:val="20"/>
                                <w:szCs w:val="20"/>
                                <w:lang w:val="es-US"/>
                              </w:rPr>
                              <w:t>l</w:t>
                            </w:r>
                            <w:r w:rsidRPr="009D0D5F">
                              <w:rPr>
                                <w:sz w:val="20"/>
                                <w:szCs w:val="20"/>
                                <w:lang w:val="es-US"/>
                              </w:rPr>
                              <w:t xml:space="preserve"> </w:t>
                            </w:r>
                            <w:proofErr w:type="spellStart"/>
                            <w:r w:rsidRPr="009D0D5F">
                              <w:rPr>
                                <w:sz w:val="20"/>
                                <w:szCs w:val="20"/>
                                <w:lang w:val="es-US"/>
                              </w:rPr>
                              <w:t>PpR</w:t>
                            </w:r>
                            <w:proofErr w:type="spellEnd"/>
                            <w:r>
                              <w:rPr>
                                <w:sz w:val="20"/>
                                <w:szCs w:val="20"/>
                                <w:lang w:val="es-US"/>
                              </w:rPr>
                              <w:t xml:space="preserve"> </w:t>
                            </w:r>
                            <w:r w:rsidRPr="009D0D5F">
                              <w:rPr>
                                <w:sz w:val="20"/>
                                <w:szCs w:val="20"/>
                                <w:lang w:val="es-US"/>
                              </w:rPr>
                              <w:t xml:space="preserve">comparado con el total del gasto no financiero ni previsional del Presupuesto del </w:t>
                            </w:r>
                            <w:r>
                              <w:rPr>
                                <w:sz w:val="20"/>
                                <w:szCs w:val="20"/>
                                <w:lang w:val="es-US"/>
                              </w:rPr>
                              <w:t>g</w:t>
                            </w:r>
                            <w:r w:rsidRPr="009D0D5F">
                              <w:rPr>
                                <w:sz w:val="20"/>
                                <w:szCs w:val="20"/>
                                <w:lang w:val="es-US"/>
                              </w:rPr>
                              <w:t xml:space="preserve">obierno </w:t>
                            </w:r>
                            <w:r>
                              <w:rPr>
                                <w:sz w:val="20"/>
                                <w:szCs w:val="20"/>
                                <w:lang w:val="es-US"/>
                              </w:rPr>
                              <w:t>g</w:t>
                            </w:r>
                            <w:r w:rsidRPr="009D0D5F">
                              <w:rPr>
                                <w:sz w:val="20"/>
                                <w:szCs w:val="20"/>
                                <w:lang w:val="es-US"/>
                              </w:rPr>
                              <w:t>eneral</w:t>
                            </w:r>
                          </w:p>
                          <w:p w14:paraId="661175B0" w14:textId="77777777" w:rsidR="00D87B95" w:rsidRDefault="00D87B95" w:rsidP="00DB43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E1C2B" id="Rectangle 46" o:spid="_x0000_s1035" style="position:absolute;left:0;text-align:left;margin-left:472.9pt;margin-top:12.1pt;width:221.45pt;height:155.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h9nQIAAKkFAAAOAAAAZHJzL2Uyb0RvYy54bWysVMFu2zAMvQ/YPwi6r7aDpGmDOkXQosOA&#10;ri3aDj0rshQbkERNUmJnXz9KdtygC3YYdrFJkXwUn0heXXdakZ1wvgFT0uIsp0QYDlVjNiX98Xr3&#10;5YISH5ipmAIjSroXnl4vP3+6au1CTKAGVQlHEMT4RWtLWodgF1nmeS0082dghUGjBKdZQNVtssqx&#10;FtG1yiZ5fp614CrrgAvv8fS2N9JlwpdS8PAopReBqJLi3UL6uvRdx2+2vGKLjWO2bvhwDfYPt9Cs&#10;MZh0hLplgZGta/6A0g134EGGMw46AykbLlINWE2Rf6jmpWZWpFqQHG9Hmvz/g+UPuydHmqqk03NK&#10;DNP4Rs/IGjMbJQieIUGt9Qv0e7FPbtA8irHaTjod/1gH6RKp+5FU0QXC8XByUUymxYwSjrbicl6c&#10;z2cRNXsPt86HrwI0iUJJHeZPZLLdvQ+968ElZvOgmuquUSopsVPEjXJkx/CNGefChEkKV1v9Har+&#10;fD7L8/TamDY1VwxJlzhCy2KlfW1JCnslYg5lnoVEkmI1CXlEOE5a9KaaVaI/jilP50yAEVliFSP2&#10;AHCqoGJgbPCPoSJ19xic/+1iPYdjRMoMJozBujHgTgGoMGbu/ZGyI2qiGLp1lxro8tAra6j22FQO&#10;+mnzlt81+LD3zIcn5nC8cBBxZYRH/EgFbUlhkCipwf06dR79sevRSkmL41pS/3PLnKBEfTM4D5fF&#10;dBrnOynT2XyCiju2rI8tZqtvALulwOVkeRKjf1AHUTrQb7hZVjErmpjhmLukPLiDchP6NYK7iYvV&#10;KrnhTFsW7s2L5RE88hwb97V7Y84O3R1wMB7gMNps8aHJe98YaWC1DSCbNAGR6Z7X4QVwH6T2HXZX&#10;XDjHevJ637DL3wAAAP//AwBQSwMEFAAGAAgAAAAhACyLxBPiAAAACwEAAA8AAABkcnMvZG93bnJl&#10;di54bWxMj8FOwzAQRO9I/IO1SFwq6jQJ1IRsKkBC9ACqKHB3bJNEjddR7Lbh7+ue4Dia0cybcjXZ&#10;nh3M6DtHCIt5AsyQcrqjBuHr8+VGAPNBkpa9I4PwazysqsuLUhbaHenDHLahYbGEfCER2hCGgnOv&#10;WmOln7vBUPR+3GhliHJsuB7lMZbbnqdJcset7CgutHIwz61Ru+3eIvi1fVMzv37fLdSrmE3fm1o8&#10;bRCvr6bHB2DBTOEvDGf8iA5VZKrdnrRnPcJ9fhvRA0Kap8DOgUyIJbAaIcvyJfCq5P8/VCcAAAD/&#10;/wMAUEsBAi0AFAAGAAgAAAAhALaDOJL+AAAA4QEAABMAAAAAAAAAAAAAAAAAAAAAAFtDb250ZW50&#10;X1R5cGVzXS54bWxQSwECLQAUAAYACAAAACEAOP0h/9YAAACUAQAACwAAAAAAAAAAAAAAAAAvAQAA&#10;X3JlbHMvLnJlbHNQSwECLQAUAAYACAAAACEAINsofZ0CAACpBQAADgAAAAAAAAAAAAAAAAAuAgAA&#10;ZHJzL2Uyb0RvYy54bWxQSwECLQAUAAYACAAAACEALIvEE+IAAAALAQAADwAAAAAAAAAAAAAAAAD3&#10;BAAAZHJzL2Rvd25yZXYueG1sUEsFBgAAAAAEAAQA8wAAAAYGAAAAAA==&#10;" fillcolor="#943634 [2405]" strokecolor="#243f60 [1604]" strokeweight="2pt">
                <v:textbox>
                  <w:txbxContent>
                    <w:p w14:paraId="31FD862F" w14:textId="0AC9BF69" w:rsidR="00D87B95" w:rsidRPr="00E50CDA" w:rsidRDefault="00D87B95" w:rsidP="009B52B5">
                      <w:pPr>
                        <w:spacing w:after="60" w:line="240" w:lineRule="auto"/>
                        <w:rPr>
                          <w:sz w:val="20"/>
                          <w:szCs w:val="20"/>
                          <w:lang w:val="es-US"/>
                        </w:rPr>
                      </w:pPr>
                      <w:r w:rsidRPr="00E50CDA">
                        <w:rPr>
                          <w:sz w:val="20"/>
                          <w:szCs w:val="20"/>
                          <w:lang w:val="es-US"/>
                        </w:rPr>
                        <w:t>R</w:t>
                      </w:r>
                      <w:r>
                        <w:rPr>
                          <w:sz w:val="20"/>
                          <w:szCs w:val="20"/>
                          <w:lang w:val="es-US"/>
                        </w:rPr>
                        <w:t>2.9</w:t>
                      </w:r>
                      <w:r w:rsidRPr="00E50CDA">
                        <w:rPr>
                          <w:sz w:val="20"/>
                          <w:szCs w:val="20"/>
                          <w:lang w:val="es-US"/>
                        </w:rPr>
                        <w:t xml:space="preserve"> </w:t>
                      </w:r>
                      <w:r>
                        <w:rPr>
                          <w:sz w:val="20"/>
                          <w:szCs w:val="20"/>
                          <w:lang w:val="es-US"/>
                        </w:rPr>
                        <w:t>A</w:t>
                      </w:r>
                      <w:r w:rsidRPr="009D0D5F">
                        <w:rPr>
                          <w:sz w:val="20"/>
                          <w:szCs w:val="20"/>
                          <w:lang w:val="es-US"/>
                        </w:rPr>
                        <w:t xml:space="preserve">umentar </w:t>
                      </w:r>
                      <w:r>
                        <w:rPr>
                          <w:sz w:val="20"/>
                          <w:szCs w:val="20"/>
                          <w:lang w:val="es-US"/>
                        </w:rPr>
                        <w:t>la c</w:t>
                      </w:r>
                      <w:r w:rsidRPr="009D0D5F">
                        <w:rPr>
                          <w:sz w:val="20"/>
                          <w:szCs w:val="20"/>
                          <w:lang w:val="es-US"/>
                        </w:rPr>
                        <w:t>obertura de</w:t>
                      </w:r>
                      <w:r>
                        <w:rPr>
                          <w:sz w:val="20"/>
                          <w:szCs w:val="20"/>
                          <w:lang w:val="es-US"/>
                        </w:rPr>
                        <w:t>l</w:t>
                      </w:r>
                      <w:r w:rsidRPr="009D0D5F">
                        <w:rPr>
                          <w:sz w:val="20"/>
                          <w:szCs w:val="20"/>
                          <w:lang w:val="es-US"/>
                        </w:rPr>
                        <w:t xml:space="preserve"> </w:t>
                      </w:r>
                      <w:proofErr w:type="spellStart"/>
                      <w:r w:rsidRPr="009D0D5F">
                        <w:rPr>
                          <w:sz w:val="20"/>
                          <w:szCs w:val="20"/>
                          <w:lang w:val="es-US"/>
                        </w:rPr>
                        <w:t>PpR</w:t>
                      </w:r>
                      <w:proofErr w:type="spellEnd"/>
                      <w:r>
                        <w:rPr>
                          <w:sz w:val="20"/>
                          <w:szCs w:val="20"/>
                          <w:lang w:val="es-US"/>
                        </w:rPr>
                        <w:t xml:space="preserve"> </w:t>
                      </w:r>
                      <w:r w:rsidRPr="009D0D5F">
                        <w:rPr>
                          <w:sz w:val="20"/>
                          <w:szCs w:val="20"/>
                          <w:lang w:val="es-US"/>
                        </w:rPr>
                        <w:t xml:space="preserve">comparado con el total del gasto no financiero ni previsional del Presupuesto del </w:t>
                      </w:r>
                      <w:r>
                        <w:rPr>
                          <w:sz w:val="20"/>
                          <w:szCs w:val="20"/>
                          <w:lang w:val="es-US"/>
                        </w:rPr>
                        <w:t>g</w:t>
                      </w:r>
                      <w:r w:rsidRPr="009D0D5F">
                        <w:rPr>
                          <w:sz w:val="20"/>
                          <w:szCs w:val="20"/>
                          <w:lang w:val="es-US"/>
                        </w:rPr>
                        <w:t xml:space="preserve">obierno </w:t>
                      </w:r>
                      <w:r>
                        <w:rPr>
                          <w:sz w:val="20"/>
                          <w:szCs w:val="20"/>
                          <w:lang w:val="es-US"/>
                        </w:rPr>
                        <w:t>g</w:t>
                      </w:r>
                      <w:r w:rsidRPr="009D0D5F">
                        <w:rPr>
                          <w:sz w:val="20"/>
                          <w:szCs w:val="20"/>
                          <w:lang w:val="es-US"/>
                        </w:rPr>
                        <w:t>eneral</w:t>
                      </w:r>
                    </w:p>
                    <w:p w14:paraId="661175B0" w14:textId="77777777" w:rsidR="00D87B95" w:rsidRDefault="00D87B95" w:rsidP="00DB43E5">
                      <w:pPr>
                        <w:jc w:val="center"/>
                      </w:pPr>
                    </w:p>
                  </w:txbxContent>
                </v:textbox>
              </v:rect>
            </w:pict>
          </mc:Fallback>
        </mc:AlternateContent>
      </w:r>
      <w:r w:rsidR="008D6A62" w:rsidRPr="00576180">
        <w:rPr>
          <w:rFonts w:ascii="Arial" w:hAnsi="Arial" w:cs="Arial"/>
          <w:noProof/>
          <w:sz w:val="18"/>
          <w:szCs w:val="18"/>
          <w:lang w:eastAsia="pt-BR"/>
        </w:rPr>
        <mc:AlternateContent>
          <mc:Choice Requires="wps">
            <w:drawing>
              <wp:anchor distT="0" distB="0" distL="114300" distR="114300" simplePos="0" relativeHeight="251819008" behindDoc="0" locked="0" layoutInCell="1" allowOverlap="1" wp14:anchorId="070319B5" wp14:editId="101C847D">
                <wp:simplePos x="0" y="0"/>
                <wp:positionH relativeFrom="column">
                  <wp:posOffset>47625</wp:posOffset>
                </wp:positionH>
                <wp:positionV relativeFrom="paragraph">
                  <wp:posOffset>153670</wp:posOffset>
                </wp:positionV>
                <wp:extent cx="2750185" cy="1971675"/>
                <wp:effectExtent l="0" t="0" r="12065" b="28575"/>
                <wp:wrapNone/>
                <wp:docPr id="132" name="Rectangle 132"/>
                <wp:cNvGraphicFramePr/>
                <a:graphic xmlns:a="http://schemas.openxmlformats.org/drawingml/2006/main">
                  <a:graphicData uri="http://schemas.microsoft.com/office/word/2010/wordprocessingShape">
                    <wps:wsp>
                      <wps:cNvSpPr/>
                      <wps:spPr>
                        <a:xfrm>
                          <a:off x="0" y="0"/>
                          <a:ext cx="2750185" cy="1971675"/>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E06279" w14:textId="78C0E786" w:rsidR="00D87B95" w:rsidRPr="004E6CE3" w:rsidRDefault="00D87B95" w:rsidP="004E6CE3">
                            <w:pPr>
                              <w:spacing w:after="100" w:line="240" w:lineRule="auto"/>
                              <w:jc w:val="both"/>
                              <w:rPr>
                                <w:color w:val="000000" w:themeColor="text1"/>
                                <w:sz w:val="20"/>
                                <w:szCs w:val="20"/>
                                <w:lang w:val="es-US"/>
                              </w:rPr>
                            </w:pPr>
                            <w:r w:rsidRPr="004E6CE3">
                              <w:rPr>
                                <w:color w:val="000000" w:themeColor="text1"/>
                                <w:sz w:val="20"/>
                                <w:szCs w:val="20"/>
                                <w:highlight w:val="yellow"/>
                                <w:lang w:val="es-US"/>
                              </w:rPr>
                              <w:t>R</w:t>
                            </w:r>
                            <w:r>
                              <w:rPr>
                                <w:color w:val="000000" w:themeColor="text1"/>
                                <w:sz w:val="20"/>
                                <w:szCs w:val="20"/>
                                <w:highlight w:val="yellow"/>
                                <w:lang w:val="es-US"/>
                              </w:rPr>
                              <w:t>2</w:t>
                            </w:r>
                            <w:r w:rsidRPr="004E6CE3">
                              <w:rPr>
                                <w:color w:val="000000" w:themeColor="text1"/>
                                <w:sz w:val="20"/>
                                <w:szCs w:val="20"/>
                                <w:highlight w:val="yellow"/>
                                <w:lang w:val="es-US"/>
                              </w:rPr>
                              <w:t>.1 Incrementar la calidad y puntualidad de los informes presupuestarios del ejercicio en curso (Indicador 24 del PEFA 2009)</w:t>
                            </w:r>
                          </w:p>
                          <w:p w14:paraId="11C337FF" w14:textId="1B7EEB5B" w:rsidR="00D87B95" w:rsidRPr="00802864" w:rsidRDefault="00D87B95" w:rsidP="00F85F3A">
                            <w:pPr>
                              <w:spacing w:after="100" w:line="240" w:lineRule="auto"/>
                              <w:rPr>
                                <w:color w:val="000000" w:themeColor="text1"/>
                                <w:sz w:val="20"/>
                                <w:szCs w:val="20"/>
                                <w:highlight w:val="yellow"/>
                                <w:lang w:val="es-US"/>
                              </w:rPr>
                            </w:pPr>
                            <w:r w:rsidRPr="00802864">
                              <w:rPr>
                                <w:color w:val="000000" w:themeColor="text1"/>
                                <w:sz w:val="20"/>
                                <w:szCs w:val="20"/>
                                <w:highlight w:val="yellow"/>
                                <w:lang w:val="es-US"/>
                              </w:rPr>
                              <w:t>R2.2 Incrementar la disponibilidad de información sobre los recursos recibidos por las unidades de prestación de servicios (Indicador 23 del PEFA 2009)</w:t>
                            </w:r>
                          </w:p>
                          <w:p w14:paraId="2D52D502" w14:textId="6F17B648" w:rsidR="00D87B95" w:rsidRPr="00802864" w:rsidRDefault="00D87B95" w:rsidP="008D6A62">
                            <w:pPr>
                              <w:spacing w:after="0" w:line="240" w:lineRule="auto"/>
                              <w:rPr>
                                <w:color w:val="000000" w:themeColor="text1"/>
                                <w:sz w:val="20"/>
                                <w:szCs w:val="20"/>
                                <w:lang w:val="es-ES"/>
                              </w:rPr>
                            </w:pPr>
                            <w:r w:rsidRPr="00802864">
                              <w:rPr>
                                <w:color w:val="000000" w:themeColor="text1"/>
                                <w:sz w:val="20"/>
                                <w:szCs w:val="20"/>
                                <w:highlight w:val="yellow"/>
                                <w:lang w:val="es-US"/>
                              </w:rPr>
                              <w:t xml:space="preserve">R2.3 </w:t>
                            </w:r>
                            <w:r w:rsidRPr="00802864">
                              <w:rPr>
                                <w:color w:val="000000" w:themeColor="text1"/>
                                <w:highlight w:val="yellow"/>
                              </w:rPr>
                              <w:t xml:space="preserve">Incrementar la </w:t>
                            </w:r>
                            <w:r w:rsidRPr="00802864">
                              <w:rPr>
                                <w:color w:val="000000" w:themeColor="text1"/>
                                <w:sz w:val="20"/>
                                <w:szCs w:val="20"/>
                                <w:highlight w:val="yellow"/>
                                <w:lang w:val="es-US"/>
                              </w:rPr>
                              <w:t>gestión del saldo y seguimiento de los atrasos de pagos (Indicador 4 del PEFA 2009)</w:t>
                            </w:r>
                          </w:p>
                          <w:p w14:paraId="415D24A0" w14:textId="77777777" w:rsidR="00D87B95" w:rsidRPr="00193A45" w:rsidRDefault="00D87B95" w:rsidP="008D6A62">
                            <w:pPr>
                              <w:spacing w:after="60" w:line="240" w:lineRule="auto"/>
                              <w:rPr>
                                <w:sz w:val="20"/>
                                <w:szCs w:val="20"/>
                                <w:lang w:val="es-ES"/>
                              </w:rPr>
                            </w:pPr>
                          </w:p>
                          <w:p w14:paraId="40493655" w14:textId="77777777" w:rsidR="00D87B95" w:rsidRPr="00193A45" w:rsidRDefault="00D87B95" w:rsidP="009B52B5">
                            <w:pPr>
                              <w:spacing w:after="60" w:line="240" w:lineRule="auto"/>
                              <w:rPr>
                                <w:sz w:val="20"/>
                                <w:szCs w:val="20"/>
                                <w:lang w:val="es-ES"/>
                              </w:rPr>
                            </w:pPr>
                          </w:p>
                          <w:p w14:paraId="419A9E2A" w14:textId="77777777" w:rsidR="00D87B95" w:rsidRDefault="00D87B95" w:rsidP="009842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319B5" id="Rectangle 132" o:spid="_x0000_s1036" style="position:absolute;left:0;text-align:left;margin-left:3.75pt;margin-top:12.1pt;width:216.55pt;height:155.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o+mwIAAKwFAAAOAAAAZHJzL2Uyb0RvYy54bWysVN1P2zAQf5+0/8Hy+0jSUQoVKapATJMY&#10;IGDi2XXsJpLt82y3SffX7+ykoYJqD9Nekvv83Yfv7vKq04pshfMNmJIWJzklwnCoGrMu6c+X2y/n&#10;lPjATMUUGFHSnfD0avH502Vr52ICNahKOIIgxs9bW9I6BDvPMs9roZk/ASsMKiU4zQKybp1VjrWI&#10;rlU2yfOzrAVXWQdceI/Sm15JFwlfSsHDg5ReBKJKirmF9HXpu4rfbHHJ5mvHbN3wIQ32D1lo1hgM&#10;OkLdsMDIxjUfoHTDHXiQ4YSDzkDKhotUA1ZT5O+qea6ZFakWbI63Y5v8/4Pl99tHR5oK3+7rhBLD&#10;ND7SE7aNmbUSJAqxRa31c7R8to9u4DySsd5OOh3/WAnpUlt3Y1tFFwhH4WQ2zYvzKSUcdcXFrDib&#10;TSNq9uZunQ/fBGgSiZI6TCC1k23vfOhN9yYxmgfVVLeNUomJsyKulSNbhq/MOBcmTJK72ugfUPVy&#10;TCJP741h03hFl5TEAVoWK+1rS1TYKRFjKPMkJLYpVpOQR4TDoEWvqlklenEMeTxmAozIEqsYsQeA&#10;YwUVQ8cG++gq0nyPzvnfEut7OHqkyGDC6KwbA+4YgApj5N4eW3bQmkiGbtX1I5RqjaIVVDucKwf9&#10;wnnLbxt82TvmwyNzuGG4i3g1wgN+pIK2pDBQlNTgfh+TR3scfNRS0uLGltT/2jAnKFHfDa7ERXF6&#10;Glc8MafT2QQZd6hZHWrMRl8DjkuB98nyREb7oPakdKBf8bgsY1RUMcMxdkl5cHvmOvSXBM8TF8tl&#10;MsO1tizcmWfLI3hsdJzcl+6VOTuMd8DNuIf9drP5uynvbaOngeUmgGzSCrz1dXgCPAlpfofzFW/O&#10;IZ+s3o7s4g8AAAD//wMAUEsDBBQABgAIAAAAIQDVhD104AAAAAgBAAAPAAAAZHJzL2Rvd25yZXYu&#10;eG1sTI/BTsMwEETvSPyDtUhcKuo0DW0UsqkACdEDqKLA3bGXJGq8jmK3DX+POcFxNKOZN+Vmsr04&#10;0eg7xwiLeQKCWDvTcYPw8f50k4PwQbFRvWNC+CYPm+ryolSFcWd+o9M+NCKWsC8UQhvCUEjpdUtW&#10;+bkbiKP35UarQpRjI82ozrHc9jJNkpW0quO40KqBHlvSh/3RIvitfdEzv309LPRzPps+d3X+sEO8&#10;vpru70AEmsJfGH7xIzpUkal2RzZe9Ajr2xhESLMURLSzLFmBqBGWy2wNsirl/wPVDwAAAP//AwBQ&#10;SwECLQAUAAYACAAAACEAtoM4kv4AAADhAQAAEwAAAAAAAAAAAAAAAAAAAAAAW0NvbnRlbnRfVHlw&#10;ZXNdLnhtbFBLAQItABQABgAIAAAAIQA4/SH/1gAAAJQBAAALAAAAAAAAAAAAAAAAAC8BAABfcmVs&#10;cy8ucmVsc1BLAQItABQABgAIAAAAIQDC1xo+mwIAAKwFAAAOAAAAAAAAAAAAAAAAAC4CAABkcnMv&#10;ZTJvRG9jLnhtbFBLAQItABQABgAIAAAAIQDVhD104AAAAAgBAAAPAAAAAAAAAAAAAAAAAPUEAABk&#10;cnMvZG93bnJldi54bWxQSwUGAAAAAAQABADzAAAAAgYAAAAA&#10;" fillcolor="#943634 [2405]" strokecolor="#243f60 [1604]" strokeweight="2pt">
                <v:textbox>
                  <w:txbxContent>
                    <w:p w14:paraId="09E06279" w14:textId="78C0E786" w:rsidR="00D87B95" w:rsidRPr="004E6CE3" w:rsidRDefault="00D87B95" w:rsidP="004E6CE3">
                      <w:pPr>
                        <w:spacing w:after="100" w:line="240" w:lineRule="auto"/>
                        <w:jc w:val="both"/>
                        <w:rPr>
                          <w:color w:val="000000" w:themeColor="text1"/>
                          <w:sz w:val="20"/>
                          <w:szCs w:val="20"/>
                          <w:lang w:val="es-US"/>
                        </w:rPr>
                      </w:pPr>
                      <w:r w:rsidRPr="004E6CE3">
                        <w:rPr>
                          <w:color w:val="000000" w:themeColor="text1"/>
                          <w:sz w:val="20"/>
                          <w:szCs w:val="20"/>
                          <w:highlight w:val="yellow"/>
                          <w:lang w:val="es-US"/>
                        </w:rPr>
                        <w:t>R</w:t>
                      </w:r>
                      <w:r>
                        <w:rPr>
                          <w:color w:val="000000" w:themeColor="text1"/>
                          <w:sz w:val="20"/>
                          <w:szCs w:val="20"/>
                          <w:highlight w:val="yellow"/>
                          <w:lang w:val="es-US"/>
                        </w:rPr>
                        <w:t>2</w:t>
                      </w:r>
                      <w:r w:rsidRPr="004E6CE3">
                        <w:rPr>
                          <w:color w:val="000000" w:themeColor="text1"/>
                          <w:sz w:val="20"/>
                          <w:szCs w:val="20"/>
                          <w:highlight w:val="yellow"/>
                          <w:lang w:val="es-US"/>
                        </w:rPr>
                        <w:t>.1 Incrementar la calidad y puntualidad de los informes presupuestarios del ejercicio en curso (Indicador 24 del PEFA 2009)</w:t>
                      </w:r>
                    </w:p>
                    <w:p w14:paraId="11C337FF" w14:textId="1B7EEB5B" w:rsidR="00D87B95" w:rsidRPr="00802864" w:rsidRDefault="00D87B95" w:rsidP="00F85F3A">
                      <w:pPr>
                        <w:spacing w:after="100" w:line="240" w:lineRule="auto"/>
                        <w:rPr>
                          <w:color w:val="000000" w:themeColor="text1"/>
                          <w:sz w:val="20"/>
                          <w:szCs w:val="20"/>
                          <w:highlight w:val="yellow"/>
                          <w:lang w:val="es-US"/>
                        </w:rPr>
                      </w:pPr>
                      <w:r w:rsidRPr="00802864">
                        <w:rPr>
                          <w:color w:val="000000" w:themeColor="text1"/>
                          <w:sz w:val="20"/>
                          <w:szCs w:val="20"/>
                          <w:highlight w:val="yellow"/>
                          <w:lang w:val="es-US"/>
                        </w:rPr>
                        <w:t>R2.2 Incrementar la disponibilidad de información sobre los recursos recibidos por las unidades de prestación de servicios (Indicador 23 del PEFA 2009)</w:t>
                      </w:r>
                    </w:p>
                    <w:p w14:paraId="2D52D502" w14:textId="6F17B648" w:rsidR="00D87B95" w:rsidRPr="00802864" w:rsidRDefault="00D87B95" w:rsidP="008D6A62">
                      <w:pPr>
                        <w:spacing w:after="0" w:line="240" w:lineRule="auto"/>
                        <w:rPr>
                          <w:color w:val="000000" w:themeColor="text1"/>
                          <w:sz w:val="20"/>
                          <w:szCs w:val="20"/>
                          <w:lang w:val="es-ES"/>
                        </w:rPr>
                      </w:pPr>
                      <w:r w:rsidRPr="00802864">
                        <w:rPr>
                          <w:color w:val="000000" w:themeColor="text1"/>
                          <w:sz w:val="20"/>
                          <w:szCs w:val="20"/>
                          <w:highlight w:val="yellow"/>
                          <w:lang w:val="es-US"/>
                        </w:rPr>
                        <w:t xml:space="preserve">R2.3 </w:t>
                      </w:r>
                      <w:r w:rsidRPr="00802864">
                        <w:rPr>
                          <w:color w:val="000000" w:themeColor="text1"/>
                          <w:highlight w:val="yellow"/>
                        </w:rPr>
                        <w:t xml:space="preserve">Incrementar la </w:t>
                      </w:r>
                      <w:r w:rsidRPr="00802864">
                        <w:rPr>
                          <w:color w:val="000000" w:themeColor="text1"/>
                          <w:sz w:val="20"/>
                          <w:szCs w:val="20"/>
                          <w:highlight w:val="yellow"/>
                          <w:lang w:val="es-US"/>
                        </w:rPr>
                        <w:t>gestión del saldo y seguimiento de los atrasos de pagos (Indicador 4 del PEFA 2009)</w:t>
                      </w:r>
                    </w:p>
                    <w:p w14:paraId="415D24A0" w14:textId="77777777" w:rsidR="00D87B95" w:rsidRPr="00193A45" w:rsidRDefault="00D87B95" w:rsidP="008D6A62">
                      <w:pPr>
                        <w:spacing w:after="60" w:line="240" w:lineRule="auto"/>
                        <w:rPr>
                          <w:sz w:val="20"/>
                          <w:szCs w:val="20"/>
                          <w:lang w:val="es-ES"/>
                        </w:rPr>
                      </w:pPr>
                    </w:p>
                    <w:p w14:paraId="40493655" w14:textId="77777777" w:rsidR="00D87B95" w:rsidRPr="00193A45" w:rsidRDefault="00D87B95" w:rsidP="009B52B5">
                      <w:pPr>
                        <w:spacing w:after="60" w:line="240" w:lineRule="auto"/>
                        <w:rPr>
                          <w:sz w:val="20"/>
                          <w:szCs w:val="20"/>
                          <w:lang w:val="es-ES"/>
                        </w:rPr>
                      </w:pPr>
                    </w:p>
                    <w:p w14:paraId="419A9E2A" w14:textId="77777777" w:rsidR="00D87B95" w:rsidRDefault="00D87B95" w:rsidP="00984255">
                      <w:pPr>
                        <w:jc w:val="center"/>
                      </w:pPr>
                    </w:p>
                  </w:txbxContent>
                </v:textbox>
              </v:rect>
            </w:pict>
          </mc:Fallback>
        </mc:AlternateContent>
      </w:r>
      <w:r w:rsidR="00771573" w:rsidRPr="00576180">
        <w:rPr>
          <w:rFonts w:ascii="Arial" w:hAnsi="Arial" w:cs="Arial"/>
          <w:noProof/>
          <w:sz w:val="18"/>
          <w:szCs w:val="18"/>
          <w:lang w:eastAsia="pt-BR"/>
        </w:rPr>
        <mc:AlternateContent>
          <mc:Choice Requires="wps">
            <w:drawing>
              <wp:anchor distT="0" distB="0" distL="114300" distR="114300" simplePos="0" relativeHeight="251823104" behindDoc="0" locked="0" layoutInCell="1" allowOverlap="1" wp14:anchorId="1F063441" wp14:editId="763B99AD">
                <wp:simplePos x="0" y="0"/>
                <wp:positionH relativeFrom="column">
                  <wp:posOffset>2981325</wp:posOffset>
                </wp:positionH>
                <wp:positionV relativeFrom="paragraph">
                  <wp:posOffset>148908</wp:posOffset>
                </wp:positionV>
                <wp:extent cx="2838450" cy="1985962"/>
                <wp:effectExtent l="0" t="0" r="19050" b="14605"/>
                <wp:wrapNone/>
                <wp:docPr id="135" name="Rectangle 135"/>
                <wp:cNvGraphicFramePr/>
                <a:graphic xmlns:a="http://schemas.openxmlformats.org/drawingml/2006/main">
                  <a:graphicData uri="http://schemas.microsoft.com/office/word/2010/wordprocessingShape">
                    <wps:wsp>
                      <wps:cNvSpPr/>
                      <wps:spPr>
                        <a:xfrm>
                          <a:off x="0" y="0"/>
                          <a:ext cx="2838450" cy="1985962"/>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1A943E" w14:textId="7BB8D925" w:rsidR="00D87B95" w:rsidRPr="004E6CE3" w:rsidRDefault="00D87B95" w:rsidP="004E6CE3">
                            <w:pPr>
                              <w:spacing w:after="0"/>
                              <w:jc w:val="both"/>
                              <w:rPr>
                                <w:color w:val="000000" w:themeColor="text1"/>
                                <w:sz w:val="20"/>
                                <w:szCs w:val="20"/>
                                <w:lang w:val="es-US"/>
                              </w:rPr>
                            </w:pPr>
                            <w:r w:rsidRPr="004E6CE3">
                              <w:rPr>
                                <w:color w:val="000000" w:themeColor="text1"/>
                                <w:sz w:val="20"/>
                                <w:szCs w:val="20"/>
                                <w:highlight w:val="yellow"/>
                                <w:lang w:val="es-US"/>
                              </w:rPr>
                              <w:t>R2.</w:t>
                            </w:r>
                            <w:r>
                              <w:rPr>
                                <w:color w:val="000000" w:themeColor="text1"/>
                                <w:sz w:val="20"/>
                                <w:szCs w:val="20"/>
                                <w:highlight w:val="yellow"/>
                                <w:lang w:val="es-US"/>
                              </w:rPr>
                              <w:t>4</w:t>
                            </w:r>
                            <w:r w:rsidRPr="004E6CE3">
                              <w:rPr>
                                <w:color w:val="000000" w:themeColor="text1"/>
                                <w:sz w:val="20"/>
                                <w:szCs w:val="20"/>
                                <w:highlight w:val="yellow"/>
                                <w:lang w:val="es-US"/>
                              </w:rPr>
                              <w:t xml:space="preserve"> Aumentar los ahorros en costos de soporte para la operación del SIAF</w:t>
                            </w:r>
                          </w:p>
                          <w:p w14:paraId="2B9BBB51" w14:textId="7D6F5D58" w:rsidR="00D87B95" w:rsidRPr="00265302" w:rsidRDefault="00D87B95" w:rsidP="008D6A62">
                            <w:pPr>
                              <w:spacing w:after="0"/>
                              <w:rPr>
                                <w:color w:val="000000" w:themeColor="text1"/>
                                <w:sz w:val="20"/>
                                <w:lang w:val="es-US"/>
                              </w:rPr>
                            </w:pPr>
                            <w:r w:rsidRPr="00265302">
                              <w:rPr>
                                <w:color w:val="000000" w:themeColor="text1"/>
                                <w:sz w:val="20"/>
                                <w:highlight w:val="green"/>
                                <w:lang w:val="es-US"/>
                              </w:rPr>
                              <w:t>R2.5 Aumentar la cobertura de pagos del sector público</w:t>
                            </w:r>
                          </w:p>
                          <w:p w14:paraId="1671305B" w14:textId="345CF161" w:rsidR="00D87B95" w:rsidRPr="00802864" w:rsidRDefault="00D87B95" w:rsidP="008D6A62">
                            <w:pPr>
                              <w:spacing w:after="0" w:line="240" w:lineRule="auto"/>
                              <w:rPr>
                                <w:color w:val="000000" w:themeColor="text1"/>
                                <w:sz w:val="20"/>
                                <w:szCs w:val="20"/>
                                <w:lang w:val="es-US"/>
                              </w:rPr>
                            </w:pPr>
                            <w:r w:rsidRPr="00265302">
                              <w:rPr>
                                <w:color w:val="000000" w:themeColor="text1"/>
                                <w:sz w:val="20"/>
                                <w:highlight w:val="green"/>
                                <w:lang w:val="es-US"/>
                              </w:rPr>
                              <w:t>R2.6 Aumentar el % del total de cuentas bancarias incorporadas en la CUT</w:t>
                            </w:r>
                          </w:p>
                          <w:p w14:paraId="01B692F4" w14:textId="6CA4EC2E" w:rsidR="00D87B95" w:rsidRPr="004E6CE3" w:rsidRDefault="00D87B95" w:rsidP="004E6CE3">
                            <w:pPr>
                              <w:spacing w:after="0" w:line="240" w:lineRule="auto"/>
                              <w:jc w:val="both"/>
                              <w:rPr>
                                <w:color w:val="000000" w:themeColor="text1"/>
                                <w:sz w:val="20"/>
                                <w:szCs w:val="20"/>
                                <w:highlight w:val="yellow"/>
                                <w:lang w:val="es-US"/>
                              </w:rPr>
                            </w:pPr>
                            <w:r w:rsidRPr="004E6CE3">
                              <w:rPr>
                                <w:color w:val="000000" w:themeColor="text1"/>
                                <w:sz w:val="20"/>
                                <w:szCs w:val="20"/>
                                <w:highlight w:val="yellow"/>
                                <w:lang w:val="es-US"/>
                              </w:rPr>
                              <w:t>R2.</w:t>
                            </w:r>
                            <w:r>
                              <w:rPr>
                                <w:color w:val="000000" w:themeColor="text1"/>
                                <w:sz w:val="20"/>
                                <w:szCs w:val="20"/>
                                <w:highlight w:val="yellow"/>
                                <w:lang w:val="es-US"/>
                              </w:rPr>
                              <w:t>7</w:t>
                            </w:r>
                            <w:r w:rsidRPr="004E6CE3">
                              <w:rPr>
                                <w:color w:val="000000" w:themeColor="text1"/>
                                <w:sz w:val="20"/>
                                <w:szCs w:val="20"/>
                                <w:highlight w:val="yellow"/>
                                <w:lang w:val="es-US"/>
                              </w:rPr>
                              <w:t xml:space="preserve"> Aumentar el % de asientos contables automatizados</w:t>
                            </w:r>
                          </w:p>
                          <w:p w14:paraId="00F02801" w14:textId="0E0587AA" w:rsidR="00D87B95" w:rsidRPr="004E6CE3" w:rsidRDefault="00D87B95" w:rsidP="004E6CE3">
                            <w:pPr>
                              <w:spacing w:after="0" w:line="240" w:lineRule="auto"/>
                              <w:jc w:val="both"/>
                              <w:rPr>
                                <w:color w:val="000000" w:themeColor="text1"/>
                                <w:sz w:val="20"/>
                                <w:szCs w:val="20"/>
                                <w:lang w:val="es-US"/>
                              </w:rPr>
                            </w:pPr>
                            <w:r w:rsidRPr="004E6CE3">
                              <w:rPr>
                                <w:color w:val="000000" w:themeColor="text1"/>
                                <w:sz w:val="20"/>
                                <w:szCs w:val="20"/>
                                <w:highlight w:val="yellow"/>
                                <w:lang w:val="es-US"/>
                              </w:rPr>
                              <w:t>R2.</w:t>
                            </w:r>
                            <w:r>
                              <w:rPr>
                                <w:color w:val="000000" w:themeColor="text1"/>
                                <w:sz w:val="20"/>
                                <w:szCs w:val="20"/>
                                <w:highlight w:val="yellow"/>
                                <w:lang w:val="es-US"/>
                              </w:rPr>
                              <w:t>8</w:t>
                            </w:r>
                            <w:r w:rsidRPr="004E6CE3">
                              <w:rPr>
                                <w:color w:val="000000" w:themeColor="text1"/>
                                <w:sz w:val="20"/>
                                <w:szCs w:val="20"/>
                                <w:highlight w:val="yellow"/>
                                <w:lang w:val="es-US"/>
                              </w:rPr>
                              <w:t xml:space="preserve"> Aumentar la oportunidad de los estados financieros (tiempo de preparación y envío al MEF de los estados financieros</w:t>
                            </w:r>
                          </w:p>
                          <w:p w14:paraId="4F739D21" w14:textId="05F8B81A" w:rsidR="00D87B95" w:rsidRPr="00E50CDA" w:rsidRDefault="00D87B95" w:rsidP="008D6A62">
                            <w:pPr>
                              <w:spacing w:after="0" w:line="240" w:lineRule="auto"/>
                              <w:rPr>
                                <w:sz w:val="20"/>
                                <w:szCs w:val="20"/>
                                <w:lang w:val="es-US"/>
                              </w:rPr>
                            </w:pPr>
                          </w:p>
                          <w:p w14:paraId="2C6033F9" w14:textId="77777777" w:rsidR="00D87B95" w:rsidRPr="00E50CDA" w:rsidRDefault="00D87B95" w:rsidP="008D6A62">
                            <w:pPr>
                              <w:spacing w:after="0" w:line="240" w:lineRule="auto"/>
                              <w:rPr>
                                <w:sz w:val="20"/>
                                <w:szCs w:val="20"/>
                                <w:lang w:val="es-US"/>
                              </w:rPr>
                            </w:pPr>
                          </w:p>
                          <w:p w14:paraId="0443ED24" w14:textId="77777777" w:rsidR="00D87B95" w:rsidRPr="00E50CDA" w:rsidRDefault="00D87B95" w:rsidP="00984255">
                            <w:pPr>
                              <w:rPr>
                                <w:sz w:val="20"/>
                                <w:szCs w:val="20"/>
                                <w:lang w:val="es-US"/>
                              </w:rPr>
                            </w:pPr>
                          </w:p>
                          <w:p w14:paraId="106DE261" w14:textId="77777777" w:rsidR="00D87B95" w:rsidRDefault="00D87B95" w:rsidP="009842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63441" id="Rectangle 135" o:spid="_x0000_s1037" style="position:absolute;left:0;text-align:left;margin-left:234.75pt;margin-top:11.75pt;width:223.5pt;height:156.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sUnQIAAKwFAAAOAAAAZHJzL2Uyb0RvYy54bWysVN9P2zAQfp+0/8Hy+0hTWigVKapATJMY&#10;VMDEs+vYTSTb59luk+6v39lJQ8WqPUx7SXy/vvN9vrvrm1YrshPO12AKmp+NKBGGQ1mbTUF/vN5/&#10;mVHiAzMlU2BEQffC05vF50/XjZ2LMVSgSuEIghg/b2xBqxDsPMs8r4Rm/gysMGiU4DQLKLpNVjrW&#10;ILpW2Xg0usgacKV1wIX3qL3rjHSR8KUUPDxJ6UUgqqB4t5C+Ln3X8Zstrtl845itat5fg/3DLTSr&#10;DSYdoO5YYGTr6j+gdM0deJDhjIPOQMqai1QDVpOPPlTzUjErUi1IjrcDTf7/wfLH3cqRusS3O59S&#10;YpjGR3pG2pjZKEGiEilqrJ+j54tduV7yeIz1ttLp+MdKSJto3Q+0ijYQjsrx7Hw2mSL7HG351Wx6&#10;dTGOqNl7uHU+fBWgSTwU1OEFEp1s9+BD53pwidk8qLq8r5VKQuwVcasc2TF8Zca5MGGcwtVWf4ey&#10;019OR6P03pg2tVcMSZc4QstipV1t6RT2SsQcyjwLiTTFahLygHCcNO9MFStFp44pT+dMgBFZYhUD&#10;dg9wqqC8Z6z3j6Ei9fcQPPrbxToOh4iUGUwYgnVtwJ0CUGHI3PkjZUfUxGNo123XQsk1qtZQ7rGv&#10;HHQD5y2/r/FlH5gPK+ZwwrAbcGuEJ/xIBU1BoT9RUoH7dUof/bHx0UpJgxNbUP9zy5ygRH0zOBJX&#10;+WQSRzwJk+nlGAV3bFkfW8xW3wK2S477yfJ0jP5BHY7SgX7D5bKMWdHEDMfcBeXBHYTb0G0SXE9c&#10;LJfJDcfasvBgXiyP4JHo2Lmv7Rtztm/vgJPxCIfpZvMPXd75xkgDy20AWacReOe1fwJcCal/+/UV&#10;d86xnLzel+ziNwAAAP//AwBQSwMEFAAGAAgAAAAhACAttQzhAAAACgEAAA8AAABkcnMvZG93bnJl&#10;di54bWxMj01PwzAMhu9I/IfISFwmln5A1ZWmEyAhdhiaGHBPG9NWa5yqybby7zEnONmWH71+XK5n&#10;O4gTTr53pCBeRiCQGmd6ahV8vD/f5CB80GT04AgVfKOHdXV5UerCuDO94WkfWsEh5AutoAthLKT0&#10;TYdW+6UbkXj35SarA49TK82kzxxuB5lEUSat7okvdHrEpw6bw/5oFfiN3TYLv3k9xM1Lvpg/d3X+&#10;uFPq+mp+uAcRcA5/MPzqszpU7FS7IxkvBgW32eqOUQVJypWBVZxxUytI0ywBWZXy/wvVDwAAAP//&#10;AwBQSwECLQAUAAYACAAAACEAtoM4kv4AAADhAQAAEwAAAAAAAAAAAAAAAAAAAAAAW0NvbnRlbnRf&#10;VHlwZXNdLnhtbFBLAQItABQABgAIAAAAIQA4/SH/1gAAAJQBAAALAAAAAAAAAAAAAAAAAC8BAABf&#10;cmVscy8ucmVsc1BLAQItABQABgAIAAAAIQBI6ZsUnQIAAKwFAAAOAAAAAAAAAAAAAAAAAC4CAABk&#10;cnMvZTJvRG9jLnhtbFBLAQItABQABgAIAAAAIQAgLbUM4QAAAAoBAAAPAAAAAAAAAAAAAAAAAPcE&#10;AABkcnMvZG93bnJldi54bWxQSwUGAAAAAAQABADzAAAABQYAAAAA&#10;" fillcolor="#943634 [2405]" strokecolor="#243f60 [1604]" strokeweight="2pt">
                <v:textbox>
                  <w:txbxContent>
                    <w:p w14:paraId="581A943E" w14:textId="7BB8D925" w:rsidR="00D87B95" w:rsidRPr="004E6CE3" w:rsidRDefault="00D87B95" w:rsidP="004E6CE3">
                      <w:pPr>
                        <w:spacing w:after="0"/>
                        <w:jc w:val="both"/>
                        <w:rPr>
                          <w:color w:val="000000" w:themeColor="text1"/>
                          <w:sz w:val="20"/>
                          <w:szCs w:val="20"/>
                          <w:lang w:val="es-US"/>
                        </w:rPr>
                      </w:pPr>
                      <w:r w:rsidRPr="004E6CE3">
                        <w:rPr>
                          <w:color w:val="000000" w:themeColor="text1"/>
                          <w:sz w:val="20"/>
                          <w:szCs w:val="20"/>
                          <w:highlight w:val="yellow"/>
                          <w:lang w:val="es-US"/>
                        </w:rPr>
                        <w:t>R2.</w:t>
                      </w:r>
                      <w:r>
                        <w:rPr>
                          <w:color w:val="000000" w:themeColor="text1"/>
                          <w:sz w:val="20"/>
                          <w:szCs w:val="20"/>
                          <w:highlight w:val="yellow"/>
                          <w:lang w:val="es-US"/>
                        </w:rPr>
                        <w:t>4</w:t>
                      </w:r>
                      <w:r w:rsidRPr="004E6CE3">
                        <w:rPr>
                          <w:color w:val="000000" w:themeColor="text1"/>
                          <w:sz w:val="20"/>
                          <w:szCs w:val="20"/>
                          <w:highlight w:val="yellow"/>
                          <w:lang w:val="es-US"/>
                        </w:rPr>
                        <w:t xml:space="preserve"> Aumentar los ahorros en costos de soporte para la operación del SIAF</w:t>
                      </w:r>
                    </w:p>
                    <w:p w14:paraId="2B9BBB51" w14:textId="7D6F5D58" w:rsidR="00D87B95" w:rsidRPr="00265302" w:rsidRDefault="00D87B95" w:rsidP="008D6A62">
                      <w:pPr>
                        <w:spacing w:after="0"/>
                        <w:rPr>
                          <w:color w:val="000000" w:themeColor="text1"/>
                          <w:sz w:val="20"/>
                          <w:lang w:val="es-US"/>
                        </w:rPr>
                      </w:pPr>
                      <w:r w:rsidRPr="00265302">
                        <w:rPr>
                          <w:color w:val="000000" w:themeColor="text1"/>
                          <w:sz w:val="20"/>
                          <w:highlight w:val="green"/>
                          <w:lang w:val="es-US"/>
                        </w:rPr>
                        <w:t>R2.5 Aumentar la cobertura de pagos del sector público</w:t>
                      </w:r>
                    </w:p>
                    <w:p w14:paraId="1671305B" w14:textId="345CF161" w:rsidR="00D87B95" w:rsidRPr="00802864" w:rsidRDefault="00D87B95" w:rsidP="008D6A62">
                      <w:pPr>
                        <w:spacing w:after="0" w:line="240" w:lineRule="auto"/>
                        <w:rPr>
                          <w:color w:val="000000" w:themeColor="text1"/>
                          <w:sz w:val="20"/>
                          <w:szCs w:val="20"/>
                          <w:lang w:val="es-US"/>
                        </w:rPr>
                      </w:pPr>
                      <w:r w:rsidRPr="00265302">
                        <w:rPr>
                          <w:color w:val="000000" w:themeColor="text1"/>
                          <w:sz w:val="20"/>
                          <w:highlight w:val="green"/>
                          <w:lang w:val="es-US"/>
                        </w:rPr>
                        <w:t>R2.6 Aumentar el % del total de cuentas bancarias incorporadas en la CUT</w:t>
                      </w:r>
                    </w:p>
                    <w:p w14:paraId="01B692F4" w14:textId="6CA4EC2E" w:rsidR="00D87B95" w:rsidRPr="004E6CE3" w:rsidRDefault="00D87B95" w:rsidP="004E6CE3">
                      <w:pPr>
                        <w:spacing w:after="0" w:line="240" w:lineRule="auto"/>
                        <w:jc w:val="both"/>
                        <w:rPr>
                          <w:color w:val="000000" w:themeColor="text1"/>
                          <w:sz w:val="20"/>
                          <w:szCs w:val="20"/>
                          <w:highlight w:val="yellow"/>
                          <w:lang w:val="es-US"/>
                        </w:rPr>
                      </w:pPr>
                      <w:r w:rsidRPr="004E6CE3">
                        <w:rPr>
                          <w:color w:val="000000" w:themeColor="text1"/>
                          <w:sz w:val="20"/>
                          <w:szCs w:val="20"/>
                          <w:highlight w:val="yellow"/>
                          <w:lang w:val="es-US"/>
                        </w:rPr>
                        <w:t>R2.</w:t>
                      </w:r>
                      <w:r>
                        <w:rPr>
                          <w:color w:val="000000" w:themeColor="text1"/>
                          <w:sz w:val="20"/>
                          <w:szCs w:val="20"/>
                          <w:highlight w:val="yellow"/>
                          <w:lang w:val="es-US"/>
                        </w:rPr>
                        <w:t>7</w:t>
                      </w:r>
                      <w:r w:rsidRPr="004E6CE3">
                        <w:rPr>
                          <w:color w:val="000000" w:themeColor="text1"/>
                          <w:sz w:val="20"/>
                          <w:szCs w:val="20"/>
                          <w:highlight w:val="yellow"/>
                          <w:lang w:val="es-US"/>
                        </w:rPr>
                        <w:t xml:space="preserve"> Aumentar el % de asientos contables automatizados</w:t>
                      </w:r>
                    </w:p>
                    <w:p w14:paraId="00F02801" w14:textId="0E0587AA" w:rsidR="00D87B95" w:rsidRPr="004E6CE3" w:rsidRDefault="00D87B95" w:rsidP="004E6CE3">
                      <w:pPr>
                        <w:spacing w:after="0" w:line="240" w:lineRule="auto"/>
                        <w:jc w:val="both"/>
                        <w:rPr>
                          <w:color w:val="000000" w:themeColor="text1"/>
                          <w:sz w:val="20"/>
                          <w:szCs w:val="20"/>
                          <w:lang w:val="es-US"/>
                        </w:rPr>
                      </w:pPr>
                      <w:r w:rsidRPr="004E6CE3">
                        <w:rPr>
                          <w:color w:val="000000" w:themeColor="text1"/>
                          <w:sz w:val="20"/>
                          <w:szCs w:val="20"/>
                          <w:highlight w:val="yellow"/>
                          <w:lang w:val="es-US"/>
                        </w:rPr>
                        <w:t>R2.</w:t>
                      </w:r>
                      <w:r>
                        <w:rPr>
                          <w:color w:val="000000" w:themeColor="text1"/>
                          <w:sz w:val="20"/>
                          <w:szCs w:val="20"/>
                          <w:highlight w:val="yellow"/>
                          <w:lang w:val="es-US"/>
                        </w:rPr>
                        <w:t>8</w:t>
                      </w:r>
                      <w:r w:rsidRPr="004E6CE3">
                        <w:rPr>
                          <w:color w:val="000000" w:themeColor="text1"/>
                          <w:sz w:val="20"/>
                          <w:szCs w:val="20"/>
                          <w:highlight w:val="yellow"/>
                          <w:lang w:val="es-US"/>
                        </w:rPr>
                        <w:t xml:space="preserve"> Aumentar la oportunidad de los estados financieros (tiempo de preparación y envío al MEF de los estados financieros</w:t>
                      </w:r>
                    </w:p>
                    <w:p w14:paraId="4F739D21" w14:textId="05F8B81A" w:rsidR="00D87B95" w:rsidRPr="00E50CDA" w:rsidRDefault="00D87B95" w:rsidP="008D6A62">
                      <w:pPr>
                        <w:spacing w:after="0" w:line="240" w:lineRule="auto"/>
                        <w:rPr>
                          <w:sz w:val="20"/>
                          <w:szCs w:val="20"/>
                          <w:lang w:val="es-US"/>
                        </w:rPr>
                      </w:pPr>
                    </w:p>
                    <w:p w14:paraId="2C6033F9" w14:textId="77777777" w:rsidR="00D87B95" w:rsidRPr="00E50CDA" w:rsidRDefault="00D87B95" w:rsidP="008D6A62">
                      <w:pPr>
                        <w:spacing w:after="0" w:line="240" w:lineRule="auto"/>
                        <w:rPr>
                          <w:sz w:val="20"/>
                          <w:szCs w:val="20"/>
                          <w:lang w:val="es-US"/>
                        </w:rPr>
                      </w:pPr>
                    </w:p>
                    <w:p w14:paraId="0443ED24" w14:textId="77777777" w:rsidR="00D87B95" w:rsidRPr="00E50CDA" w:rsidRDefault="00D87B95" w:rsidP="00984255">
                      <w:pPr>
                        <w:rPr>
                          <w:sz w:val="20"/>
                          <w:szCs w:val="20"/>
                          <w:lang w:val="es-US"/>
                        </w:rPr>
                      </w:pPr>
                    </w:p>
                    <w:p w14:paraId="106DE261" w14:textId="77777777" w:rsidR="00D87B95" w:rsidRDefault="00D87B95" w:rsidP="00984255">
                      <w:pPr>
                        <w:jc w:val="center"/>
                      </w:pPr>
                    </w:p>
                  </w:txbxContent>
                </v:textbox>
              </v:rect>
            </w:pict>
          </mc:Fallback>
        </mc:AlternateContent>
      </w:r>
    </w:p>
    <w:p w14:paraId="613A3F8B" w14:textId="7E1E68FD" w:rsidR="00984255" w:rsidRPr="00576180" w:rsidRDefault="00984255" w:rsidP="00984255">
      <w:pPr>
        <w:pStyle w:val="ListParagraph"/>
        <w:spacing w:before="120" w:after="120"/>
        <w:ind w:left="1530" w:right="446"/>
        <w:jc w:val="both"/>
        <w:rPr>
          <w:rFonts w:ascii="Arial" w:hAnsi="Arial" w:cs="Arial"/>
          <w:sz w:val="18"/>
          <w:szCs w:val="18"/>
        </w:rPr>
      </w:pPr>
    </w:p>
    <w:p w14:paraId="12A4A771" w14:textId="0884D920" w:rsidR="00984255" w:rsidRPr="00576180" w:rsidRDefault="001358B1" w:rsidP="00984255">
      <w:pPr>
        <w:spacing w:before="120" w:after="120"/>
        <w:ind w:right="446"/>
        <w:jc w:val="both"/>
        <w:rPr>
          <w:rFonts w:ascii="Arial" w:hAnsi="Arial" w:cs="Arial"/>
          <w:sz w:val="18"/>
          <w:szCs w:val="18"/>
        </w:rPr>
      </w:pPr>
      <w:r w:rsidRPr="00576180">
        <w:rPr>
          <w:rFonts w:ascii="Arial" w:hAnsi="Arial" w:cs="Arial"/>
          <w:noProof/>
          <w:sz w:val="18"/>
          <w:szCs w:val="18"/>
          <w:lang w:eastAsia="pt-BR"/>
        </w:rPr>
        <mc:AlternateContent>
          <mc:Choice Requires="wps">
            <w:drawing>
              <wp:anchor distT="0" distB="0" distL="114300" distR="114300" simplePos="0" relativeHeight="251811840" behindDoc="0" locked="0" layoutInCell="1" allowOverlap="1" wp14:anchorId="53C5D0FA" wp14:editId="0CB08EF2">
                <wp:simplePos x="0" y="0"/>
                <wp:positionH relativeFrom="column">
                  <wp:posOffset>-1760373</wp:posOffset>
                </wp:positionH>
                <wp:positionV relativeFrom="paragraph">
                  <wp:posOffset>282671</wp:posOffset>
                </wp:positionV>
                <wp:extent cx="2825833" cy="272313"/>
                <wp:effectExtent l="635" t="0" r="13335" b="13335"/>
                <wp:wrapNone/>
                <wp:docPr id="131" name="Rectangle 131"/>
                <wp:cNvGraphicFramePr/>
                <a:graphic xmlns:a="http://schemas.openxmlformats.org/drawingml/2006/main">
                  <a:graphicData uri="http://schemas.microsoft.com/office/word/2010/wordprocessingShape">
                    <wps:wsp>
                      <wps:cNvSpPr/>
                      <wps:spPr>
                        <a:xfrm rot="16200000">
                          <a:off x="0" y="0"/>
                          <a:ext cx="2825833" cy="272313"/>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1F204F" w14:textId="77777777" w:rsidR="00D87B95" w:rsidRPr="001358B1" w:rsidRDefault="00D87B95" w:rsidP="00984255">
                            <w:pPr>
                              <w:jc w:val="center"/>
                            </w:pPr>
                            <w:r w:rsidRPr="001358B1">
                              <w:t>Resultados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5D0FA" id="Rectangle 131" o:spid="_x0000_s1038" style="position:absolute;left:0;text-align:left;margin-left:-138.6pt;margin-top:22.25pt;width:222.5pt;height:21.45pt;rotation:-9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TtpAIAALoFAAAOAAAAZHJzL2Uyb0RvYy54bWysVG1r2zAQ/j7YfxD6vjpx+rZQp4SWjkHX&#10;lrajnxVZig2STpOU2Nmv30ly3NB1DMb8wUi6u+funnu5uOy1IlvhfAumotOjCSXCcKhbs67o9+eb&#10;T+eU+MBMzRQYUdGd8PRy8fHDRWfnooQGVC0cQRDj552taBOCnReF543QzB+BFQaFEpxmAa9uXdSO&#10;dYiuVVFOJqdFB662DrjwHl+vs5AuEr6Ugod7Kb0IRFUUYwvp79J/Ff/F4oLN147ZpuVDGOwfotCs&#10;Neh0hLpmgZGNa3+D0i134EGGIw66AClbLlIOmM108iabp4ZZkXJBcrwdafL/D5bfbR8caWus3WxK&#10;iWEai/SItDGzVoLER6Sos36Omk/2wQ03j8eYby+dJg6Q1+kp1gO/RAMmRvrE8m5kWfSBcHwsz8uT&#10;89mMEo6y8qycTWfRR5HBIqh1PnwRoEk8VNRhOAmVbW99yKp7lajuQbX1TatUusTOEVfKkS3DmjPO&#10;hQllMlcb/Q3q/H6SQs1YqdmiSQriAK2IeedM0ynslIg+lHkUEkmLySTkEeHQ6TSLGlaLv/lMgBFZ&#10;YhYj9gDwXkKpKsjYoB9NRer20TjX4Q+B5bxHi+QZTBiNdWvAvZeZCqPnrI+UHVATj6Ff9bmhyn3r&#10;rKDeYZelNsEh9JbftFjZW+bDA3M4b/iIOyTc408q6CoKw4mSBtzP996jPo4BSinpcH4r6n9smBOU&#10;qK8GB+Tz9Pg4Dny6HJ+clXhxh5LVocRs9BVgu+AIYHTpGPWD2h+lA/2Cq2YZvaKIGY6+K8qD21+u&#10;Qt4ruKy4WC6TGg65ZeHWPFkewSPRsXOf+xfm7NDeAQfjDvazzuZvujzrRksDy00A2aYRiFRnXocS&#10;4IJI/Tsss7iBDu9J63XlLn4BAAD//wMAUEsDBBQABgAIAAAAIQCSe0xB4gAAAAwBAAAPAAAAZHJz&#10;L2Rvd25yZXYueG1sTI/LTsMwEEX3SPyDNUjsUudBQhTiVAgBYklLQbBz4yGJ8COK3Sbl6xlWsJvR&#10;HN17pl4vRrMjTn5wVkCyioGhbZ0abCdg9/IQlcB8kFZJ7SwKOKGHdXN+VstKudlu8LgNHaMQ6ysp&#10;oA9hrDj3bY9G+pUb0dLt001GBlqnjqtJzhRuNE/juOBGDpYaejniXY/t1/ZgqPfteXfVnp78R3b/&#10;rhMc58fX71mIy4vl9gZYwCX8wfCrT+rQkNPeHazyTAuIrouUUBqSvMiBERJlWQZsLyAtyxx4U/P/&#10;TzQ/AAAA//8DAFBLAQItABQABgAIAAAAIQC2gziS/gAAAOEBAAATAAAAAAAAAAAAAAAAAAAAAABb&#10;Q29udGVudF9UeXBlc10ueG1sUEsBAi0AFAAGAAgAAAAhADj9If/WAAAAlAEAAAsAAAAAAAAAAAAA&#10;AAAALwEAAF9yZWxzLy5yZWxzUEsBAi0AFAAGAAgAAAAhAAxZ9O2kAgAAugUAAA4AAAAAAAAAAAAA&#10;AAAALgIAAGRycy9lMm9Eb2MueG1sUEsBAi0AFAAGAAgAAAAhAJJ7TEHiAAAADAEAAA8AAAAAAAAA&#10;AAAAAAAA/gQAAGRycy9kb3ducmV2LnhtbFBLBQYAAAAABAAEAPMAAAANBgAAAAA=&#10;" fillcolor="#622423 [1605]" strokecolor="#243f60 [1604]" strokeweight="2pt">
                <v:textbox>
                  <w:txbxContent>
                    <w:p w14:paraId="521F204F" w14:textId="77777777" w:rsidR="00D87B95" w:rsidRPr="001358B1" w:rsidRDefault="00D87B95" w:rsidP="00984255">
                      <w:pPr>
                        <w:jc w:val="center"/>
                      </w:pPr>
                      <w:r w:rsidRPr="001358B1">
                        <w:t>Resultados</w:t>
                      </w:r>
                    </w:p>
                  </w:txbxContent>
                </v:textbox>
              </v:rect>
            </w:pict>
          </mc:Fallback>
        </mc:AlternateContent>
      </w:r>
    </w:p>
    <w:p w14:paraId="51B85BC3" w14:textId="6A20C336" w:rsidR="00984255" w:rsidRPr="00576180" w:rsidRDefault="00984255" w:rsidP="00984255">
      <w:pPr>
        <w:spacing w:before="120" w:after="120"/>
        <w:ind w:right="446"/>
        <w:jc w:val="both"/>
        <w:rPr>
          <w:rFonts w:ascii="Arial" w:hAnsi="Arial" w:cs="Arial"/>
          <w:sz w:val="18"/>
          <w:szCs w:val="18"/>
        </w:rPr>
      </w:pPr>
    </w:p>
    <w:p w14:paraId="28A52D25" w14:textId="5043A0D8" w:rsidR="00984255" w:rsidRPr="00576180" w:rsidRDefault="00984255" w:rsidP="00984255">
      <w:pPr>
        <w:spacing w:before="120" w:after="120"/>
        <w:ind w:right="446"/>
        <w:jc w:val="both"/>
        <w:rPr>
          <w:rFonts w:ascii="Arial" w:hAnsi="Arial" w:cs="Arial"/>
          <w:sz w:val="18"/>
          <w:szCs w:val="18"/>
        </w:rPr>
      </w:pPr>
    </w:p>
    <w:p w14:paraId="63C1AE18" w14:textId="0FEBCC1A" w:rsidR="00984255" w:rsidRPr="00576180" w:rsidRDefault="00984255" w:rsidP="00984255">
      <w:pPr>
        <w:spacing w:before="120" w:after="120"/>
        <w:ind w:right="446"/>
        <w:jc w:val="both"/>
        <w:rPr>
          <w:rFonts w:ascii="Arial" w:hAnsi="Arial" w:cs="Arial"/>
          <w:sz w:val="18"/>
          <w:szCs w:val="18"/>
        </w:rPr>
      </w:pPr>
    </w:p>
    <w:p w14:paraId="1840BDC4" w14:textId="15B12453" w:rsidR="00984255" w:rsidRPr="00576180" w:rsidRDefault="008B7A49" w:rsidP="00984255">
      <w:pPr>
        <w:pStyle w:val="ListParagraph"/>
        <w:spacing w:before="120" w:after="120"/>
        <w:ind w:left="1530" w:right="446"/>
        <w:jc w:val="both"/>
        <w:rPr>
          <w:rFonts w:ascii="Arial" w:hAnsi="Arial" w:cs="Arial"/>
          <w:sz w:val="18"/>
          <w:szCs w:val="18"/>
        </w:rPr>
      </w:pPr>
      <w:proofErr w:type="spellStart"/>
      <w:r w:rsidRPr="00576180">
        <w:rPr>
          <w:rFonts w:ascii="Arial" w:hAnsi="Arial" w:cs="Arial"/>
          <w:sz w:val="18"/>
          <w:szCs w:val="18"/>
        </w:rPr>
        <w:t>qq</w:t>
      </w:r>
      <w:proofErr w:type="spellEnd"/>
    </w:p>
    <w:p w14:paraId="06BCC307" w14:textId="09D276B5" w:rsidR="00933E9A" w:rsidRPr="00576180" w:rsidRDefault="00933E9A" w:rsidP="00984255">
      <w:pPr>
        <w:pStyle w:val="ListParagraph"/>
        <w:spacing w:before="120" w:after="120"/>
        <w:ind w:left="1530" w:right="446"/>
        <w:jc w:val="both"/>
        <w:rPr>
          <w:rFonts w:ascii="Arial" w:hAnsi="Arial" w:cs="Arial"/>
          <w:sz w:val="18"/>
          <w:szCs w:val="18"/>
        </w:rPr>
      </w:pPr>
    </w:p>
    <w:p w14:paraId="12928736" w14:textId="1E6CFE13" w:rsidR="00933E9A" w:rsidRPr="00576180" w:rsidRDefault="00933E9A" w:rsidP="00984255">
      <w:pPr>
        <w:pStyle w:val="ListParagraph"/>
        <w:spacing w:before="120" w:after="120"/>
        <w:ind w:left="1530" w:right="446"/>
        <w:jc w:val="both"/>
        <w:rPr>
          <w:rFonts w:ascii="Arial" w:hAnsi="Arial" w:cs="Arial"/>
          <w:sz w:val="18"/>
          <w:szCs w:val="18"/>
        </w:rPr>
      </w:pPr>
    </w:p>
    <w:p w14:paraId="1A59E7C7" w14:textId="433A4475" w:rsidR="00933E9A" w:rsidRPr="00576180" w:rsidRDefault="00933E9A" w:rsidP="00193A45">
      <w:pPr>
        <w:pStyle w:val="ListParagraph"/>
        <w:spacing w:before="120" w:after="120"/>
        <w:ind w:left="1530" w:right="446"/>
        <w:jc w:val="both"/>
        <w:rPr>
          <w:rFonts w:ascii="Arial" w:hAnsi="Arial" w:cs="Arial"/>
          <w:sz w:val="18"/>
          <w:szCs w:val="18"/>
        </w:rPr>
      </w:pPr>
    </w:p>
    <w:p w14:paraId="061D89E0" w14:textId="6CAF33F7" w:rsidR="00933E9A" w:rsidRPr="00576180" w:rsidRDefault="00933E9A" w:rsidP="00193A45">
      <w:pPr>
        <w:pStyle w:val="ListParagraph"/>
        <w:spacing w:before="120" w:after="120"/>
        <w:ind w:left="1530" w:right="446"/>
        <w:jc w:val="both"/>
        <w:rPr>
          <w:rFonts w:ascii="Arial" w:hAnsi="Arial" w:cs="Arial"/>
          <w:sz w:val="18"/>
          <w:szCs w:val="18"/>
        </w:rPr>
      </w:pPr>
    </w:p>
    <w:p w14:paraId="363EFBEA" w14:textId="034CCEF8" w:rsidR="00933E9A" w:rsidRPr="00576180" w:rsidRDefault="00933E9A" w:rsidP="00193A45">
      <w:pPr>
        <w:pStyle w:val="ListParagraph"/>
        <w:spacing w:before="120" w:after="120"/>
        <w:ind w:left="1530" w:right="446"/>
        <w:jc w:val="both"/>
        <w:rPr>
          <w:rFonts w:ascii="Arial" w:hAnsi="Arial" w:cs="Arial"/>
          <w:sz w:val="18"/>
          <w:szCs w:val="18"/>
        </w:rPr>
      </w:pPr>
    </w:p>
    <w:p w14:paraId="295319EC" w14:textId="44C1878C" w:rsidR="00933E9A" w:rsidRPr="00576180" w:rsidRDefault="00F85F3A" w:rsidP="00193A45">
      <w:pPr>
        <w:pStyle w:val="ListParagraph"/>
        <w:spacing w:before="120" w:after="120"/>
        <w:ind w:left="1530" w:right="446"/>
        <w:jc w:val="both"/>
        <w:rPr>
          <w:rFonts w:ascii="Arial" w:hAnsi="Arial" w:cs="Arial"/>
          <w:sz w:val="18"/>
          <w:szCs w:val="18"/>
        </w:rPr>
      </w:pPr>
      <w:r w:rsidRPr="00576180">
        <w:rPr>
          <w:rFonts w:ascii="Arial" w:hAnsi="Arial" w:cs="Arial"/>
          <w:noProof/>
          <w:sz w:val="18"/>
          <w:szCs w:val="18"/>
          <w:lang w:eastAsia="pt-BR"/>
        </w:rPr>
        <mc:AlternateContent>
          <mc:Choice Requires="wps">
            <w:drawing>
              <wp:anchor distT="0" distB="0" distL="114300" distR="114300" simplePos="0" relativeHeight="251901952" behindDoc="0" locked="0" layoutInCell="1" allowOverlap="1" wp14:anchorId="475D91DF" wp14:editId="6B938898">
                <wp:simplePos x="0" y="0"/>
                <wp:positionH relativeFrom="column">
                  <wp:posOffset>1323975</wp:posOffset>
                </wp:positionH>
                <wp:positionV relativeFrom="paragraph">
                  <wp:posOffset>54292</wp:posOffset>
                </wp:positionV>
                <wp:extent cx="0" cy="236220"/>
                <wp:effectExtent l="76200" t="38100" r="76200" b="68580"/>
                <wp:wrapNone/>
                <wp:docPr id="140" name="Straight Arrow Connector 140"/>
                <wp:cNvGraphicFramePr/>
                <a:graphic xmlns:a="http://schemas.openxmlformats.org/drawingml/2006/main">
                  <a:graphicData uri="http://schemas.microsoft.com/office/word/2010/wordprocessingShape">
                    <wps:wsp>
                      <wps:cNvCnPr/>
                      <wps:spPr>
                        <a:xfrm flipV="1">
                          <a:off x="0" y="0"/>
                          <a:ext cx="0" cy="236220"/>
                        </a:xfrm>
                        <a:prstGeom prst="straightConnector1">
                          <a:avLst/>
                        </a:prstGeom>
                        <a:ln>
                          <a:solidFill>
                            <a:srgbClr val="FFFF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6CD0B2F6" id="Straight Arrow Connector 140" o:spid="_x0000_s1026" type="#_x0000_t32" style="position:absolute;margin-left:104.25pt;margin-top:4.25pt;width:0;height:18.6pt;flip:y;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M7wEAAEEEAAAOAAAAZHJzL2Uyb0RvYy54bWysU02L2zAQvRf6H4TvjR1vWYqJs5Rs00tp&#10;Q3fbuyJLtkBfjKZx/O87khP3a2FhqQ/CI817M+9ptLk7W8NOEqL2ri3Wq6pg0gnfade3xbfH/Zt3&#10;BYvIXceNd7ItJhmLu+3rV5sxNLL2gzedBEYkLjZjaIsBMTRlGcUgLY8rH6SjQ+XBcqQQ+rIDPhK7&#10;NWVdVbfl6KEL4IWMkXbv58Nim/mVkgK/KBUlMtMW1BvmFfJ6TGu53fCmBx4GLS5t8Bd0Ybl2VHSh&#10;uufI2Q/Q/1BZLcBHr3AlvC29UlrIrIHUrKu/1DwMPMishcyJYbEp/j9a8fl0AKY7uru35I/jli7p&#10;AYHrfkD2HsCPbOedIyM9sJRDjo0hNgTcuQNcohgOkOSfFVimjA7fiTAbQhLZOfs9LX7LMzIxbwra&#10;rW9u6zoTlzNDYgoQ8aP0lqWftoiXlpZeZnZ++hSReiDgFZDAxqU1eqO7vTYmB9AfdwbYidMk7Omr&#10;rhX/SEOuzQfXMZwCGYGgueuNTKKpRKItk/hZbv7Dyci55FepyEiSdZOF5xGWS0kuhHS4XpgoO8EU&#10;tbcAq+eBl/wElXm8F3D9PHhB5Mre4QK22nl4igDP15bVnH91YNadLDj6bsqDkK2hOc1eXd5Uegi/&#10;xxn+6+VvfwIAAP//AwBQSwMEFAAGAAgAAAAhAFVUl5fdAAAACAEAAA8AAABkcnMvZG93bnJldi54&#10;bWxMj0FLAzEQhe+C/yGM4KXYpNXasu5sUaEg6MW24DXdTDdLN5MlSdv135viQU/D4z3efK9cDq4T&#10;Jwqx9YwwGSsQxLU3LTcI283qbgEiJs1Gd54J4ZsiLKvrq1IXxp/5k07r1IhcwrHQCDalvpAy1pac&#10;jmPfE2dv74PTKcvQSBP0OZe7Tk6VepROt5w/WN3Tq6X6sD46BDX/GG3etqvD+/2Lcz7sR18TS4i3&#10;N8PzE4hEQ/oLwwU/o0OVmXb+yCaKDmGqFrMcRbic7P/qHcLDbA6yKuX/AdUPAAAA//8DAFBLAQIt&#10;ABQABgAIAAAAIQC2gziS/gAAAOEBAAATAAAAAAAAAAAAAAAAAAAAAABbQ29udGVudF9UeXBlc10u&#10;eG1sUEsBAi0AFAAGAAgAAAAhADj9If/WAAAAlAEAAAsAAAAAAAAAAAAAAAAALwEAAF9yZWxzLy5y&#10;ZWxzUEsBAi0AFAAGAAgAAAAhAAU76ozvAQAAQQQAAA4AAAAAAAAAAAAAAAAALgIAAGRycy9lMm9E&#10;b2MueG1sUEsBAi0AFAAGAAgAAAAhAFVUl5fdAAAACAEAAA8AAAAAAAAAAAAAAAAASQQAAGRycy9k&#10;b3ducmV2LnhtbFBLBQYAAAAABAAEAPMAAABTBQAAAAA=&#10;" strokecolor="yellow" strokeweight="3pt">
                <v:stroke endarrow="block"/>
                <v:shadow on="t" color="black" opacity="22937f" origin=",.5" offset="0,.63889mm"/>
              </v:shape>
            </w:pict>
          </mc:Fallback>
        </mc:AlternateContent>
      </w:r>
      <w:r w:rsidR="00003428" w:rsidRPr="00576180">
        <w:rPr>
          <w:rFonts w:ascii="Arial" w:hAnsi="Arial" w:cs="Arial"/>
          <w:noProof/>
          <w:sz w:val="18"/>
          <w:szCs w:val="18"/>
          <w:lang w:eastAsia="pt-BR"/>
        </w:rPr>
        <mc:AlternateContent>
          <mc:Choice Requires="wps">
            <w:drawing>
              <wp:anchor distT="0" distB="0" distL="114300" distR="114300" simplePos="0" relativeHeight="251900928" behindDoc="0" locked="0" layoutInCell="1" allowOverlap="1" wp14:anchorId="6660C0D9" wp14:editId="4F79EA43">
                <wp:simplePos x="0" y="0"/>
                <wp:positionH relativeFrom="column">
                  <wp:posOffset>-36830</wp:posOffset>
                </wp:positionH>
                <wp:positionV relativeFrom="paragraph">
                  <wp:posOffset>163195</wp:posOffset>
                </wp:positionV>
                <wp:extent cx="9073515" cy="2573020"/>
                <wp:effectExtent l="19050" t="19050" r="13335" b="17780"/>
                <wp:wrapNone/>
                <wp:docPr id="76" name="Rectangle 76"/>
                <wp:cNvGraphicFramePr/>
                <a:graphic xmlns:a="http://schemas.openxmlformats.org/drawingml/2006/main">
                  <a:graphicData uri="http://schemas.microsoft.com/office/word/2010/wordprocessingShape">
                    <wps:wsp>
                      <wps:cNvSpPr/>
                      <wps:spPr>
                        <a:xfrm flipV="1">
                          <a:off x="0" y="0"/>
                          <a:ext cx="9073515" cy="2573020"/>
                        </a:xfrm>
                        <a:prstGeom prst="rect">
                          <a:avLst/>
                        </a:prstGeom>
                        <a:noFill/>
                        <a:ln w="381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5B9A4" id="Rectangle 76" o:spid="_x0000_s1026" style="position:absolute;margin-left:-2.9pt;margin-top:12.85pt;width:714.45pt;height:202.6pt;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BFnwIAAIAFAAAOAAAAZHJzL2Uyb0RvYy54bWysVEtvGyEQvlfqf0Dcm13bcZxYWUeWo1SV&#10;oiRK0uZMWPAisQwF7LX76zvAevM8VfVhPcDMN69v5vxi12qyFc4rMBUdHZWUCMOhVmZd0Z+PV99O&#10;KfGBmZppMKKie+HpxeLrl/POzsUYGtC1cARBjJ93tqJNCHZeFJ43omX+CKww+CjBtSzg0a2L2rEO&#10;0VtdjMvypOjA1dYBF97j7WV+pIuEL6Xg4VZKLwLRFcXYQvq69H2O32JxzuZrx2yjeB8G+4coWqYM&#10;Oh2gLllgZOPUB6hWcQceZDji0BYgpeIi5YDZjMp32Tw0zIqUCxbH26FM/v/B8pvtnSOqrujshBLD&#10;WuzRPVaNmbUWBO+wQJ31c9R7sHeuP3kUY7Y76VoitbK/sPcpf8yI7FJ590N5xS4Qjpdn5WwyHU0p&#10;4fg2ns4m5Tg1oMhAEdA6H74LaEkUKuowkgTLttc+oHNUPahEdQNXSuvUQ21IV9HJ6agsk0VUu2S+&#10;IVuGra9RiqmgvTb4F1PKSSQp7LWIeNrcC4nVwGDHCSXxUKy0yzCMc2FCztQ3rBb5elrir4cfLHpn&#10;CBiRJcY5YPcAkeMfsXOUvX40FYnGg3FOb3DzNrBsPFgkz2DCYNwqA+6zzDRm1XvO+oci5dLEKj1D&#10;vUeuOMhD5C2/Uljka+bDHXM4NThfuAnCLX6kBuwG9BIlDbg/n91HfSQzvlLS4RRW1P/eMCco0T8M&#10;0vxsdHwcxzYdjqczJAxxr1+eX7+YTbsC7PYId47lSYz6QR9E6aB9woWxjF7xiRmOvivKgzscViFv&#10;B1w5XCyXSQ1H1bJwbR4sP/A80utx98Sc7akakOU3cJhYNn/H2Kwb+2FguQkgVaLzS137euOYJ+L0&#10;KynukdfnpPWyOBd/AQAA//8DAFBLAwQUAAYACAAAACEAvBmS7+AAAAAKAQAADwAAAGRycy9kb3du&#10;cmV2LnhtbEyPQU/CQBSE7yb+h80z8QbbFhCo3RKFKDEeDNAf8Ggf3cbu26a7QP33Lic9TmYy8022&#10;GkwrLtS7xrKCeByBIC5t1XCtoDi8jRYgnEeusLVMCn7IwSq/v8swreyVd3TZ+1qEEnYpKtDed6mU&#10;rtRk0I1tRxy8k+0N+iD7WlY9XkO5aWUSRU/SYMNhQWNHa03l9/5sFGx4Xpj6VHzKw/YjXuKX3ryv&#10;X5V6fBhenkF4GvxfGG74AR3ywHS0Z66caBWMZoHcK0hmcxA3f5pMYhBHBdNJtASZZ/L/hfwXAAD/&#10;/wMAUEsBAi0AFAAGAAgAAAAhALaDOJL+AAAA4QEAABMAAAAAAAAAAAAAAAAAAAAAAFtDb250ZW50&#10;X1R5cGVzXS54bWxQSwECLQAUAAYACAAAACEAOP0h/9YAAACUAQAACwAAAAAAAAAAAAAAAAAvAQAA&#10;X3JlbHMvLnJlbHNQSwECLQAUAAYACAAAACEAaUXgRZ8CAACABQAADgAAAAAAAAAAAAAAAAAuAgAA&#10;ZHJzL2Uyb0RvYy54bWxQSwECLQAUAAYACAAAACEAvBmS7+AAAAAKAQAADwAAAAAAAAAAAAAAAAD5&#10;BAAAZHJzL2Rvd25yZXYueG1sUEsFBgAAAAAEAAQA8wAAAAYGAAAAAA==&#10;" filled="f" strokecolor="#243f60 [1604]" strokeweight="3pt">
                <v:stroke dashstyle="dash"/>
              </v:rect>
            </w:pict>
          </mc:Fallback>
        </mc:AlternateContent>
      </w:r>
      <w:r w:rsidR="005F6D50" w:rsidRPr="00576180">
        <w:rPr>
          <w:rFonts w:ascii="Arial" w:hAnsi="Arial" w:cs="Arial"/>
          <w:noProof/>
          <w:sz w:val="18"/>
          <w:szCs w:val="18"/>
          <w:lang w:eastAsia="pt-BR"/>
        </w:rPr>
        <mc:AlternateContent>
          <mc:Choice Requires="wps">
            <w:drawing>
              <wp:anchor distT="0" distB="0" distL="114300" distR="114300" simplePos="0" relativeHeight="251904000" behindDoc="0" locked="0" layoutInCell="1" allowOverlap="1" wp14:anchorId="2358F839" wp14:editId="4E4A3A7F">
                <wp:simplePos x="0" y="0"/>
                <wp:positionH relativeFrom="column">
                  <wp:posOffset>7375553</wp:posOffset>
                </wp:positionH>
                <wp:positionV relativeFrom="paragraph">
                  <wp:posOffset>59938</wp:posOffset>
                </wp:positionV>
                <wp:extent cx="0" cy="236220"/>
                <wp:effectExtent l="76200" t="38100" r="76200" b="68580"/>
                <wp:wrapNone/>
                <wp:docPr id="95" name="Straight Arrow Connector 95"/>
                <wp:cNvGraphicFramePr/>
                <a:graphic xmlns:a="http://schemas.openxmlformats.org/drawingml/2006/main">
                  <a:graphicData uri="http://schemas.microsoft.com/office/word/2010/wordprocessingShape">
                    <wps:wsp>
                      <wps:cNvCnPr/>
                      <wps:spPr>
                        <a:xfrm flipV="1">
                          <a:off x="0" y="0"/>
                          <a:ext cx="0" cy="236220"/>
                        </a:xfrm>
                        <a:prstGeom prst="straightConnector1">
                          <a:avLst/>
                        </a:prstGeom>
                        <a:ln>
                          <a:solidFill>
                            <a:srgbClr val="FFFF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274C65CB" id="Straight Arrow Connector 95" o:spid="_x0000_s1026" type="#_x0000_t32" style="position:absolute;margin-left:580.75pt;margin-top:4.7pt;width:0;height:18.6pt;flip:y;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5t/8AEAAD8EAAAOAAAAZHJzL2Uyb0RvYy54bWysU02P2yAQvVfqf0DcGzteddVGcVZVtuml&#10;aqNuu3eCwUYCBg00Tv59B5y4XyutVNUH5IF5b+Y9hvXdyVl2VBgN+JYvFzVnykvojO9b/u3r7tUb&#10;zmISvhMWvGr5WUV+t3n5Yj2GlWpgANspZETi42oMLR9SCquqinJQTsQFBOXpUAM6kSjEvupQjMTu&#10;bNXU9W01AnYBQaoYafd+OuSbwq+1kumz1lElZltOvaWyYlkPea02a7HqUYTByEsb4h+6cMJ4KjpT&#10;3Ysk2Hc0f1E5IxEi6LSQ4CrQ2khVNJCaZf2HmodBBFW0kDkxzDbF/0crPx33yEzX8revOfPC0R09&#10;JBSmHxJ7hwgj24L35CMgoxTyawxxRbCt3+MlimGPWfxJo2PamvBIo1DsIIHsVNw+z26rU2Jy2pS0&#10;29zcNk25iGpiyEwBY/qgwLH80/J46WhuZWIXx48xUQ8EvAIy2Pq8RrCm2xlrS4D9YWuRHQXNwY6+&#10;+lrxt7QkjH3vO5bOgXxIaITvrcqiqUSmrbL4SW75S2erppJflCYbSdZNEV4GWM0lhZTKp+XMRNkZ&#10;pqm9GVg/D7zkZ6gqwz2Dm+fBM6JUBp9msDMe8CmCdLq2rKf8qwOT7mzBAbpzGYRiDU1p8eryovIz&#10;+DUu8J/vfvMDAAD//wMAUEsDBBQABgAIAAAAIQCxbq743gAAAAoBAAAPAAAAZHJzL2Rvd25yZXYu&#10;eG1sTI/BTsMwDIbvSLxDZCQuE0sLo0CpOwHSJKRxYZvENWu8plrjVEm2lbcnEwc4/van35+r+Wh7&#10;cSQfOscI+TQDQdw43XGLsFkvbh5BhKhYq94xIXxTgHl9eVGpUrsTf9JxFVuRSjiUCsHEOJRShsaQ&#10;VWHqBuK02zlvVUzRt1J7dUrltpe3WVZIqzpOF4wa6M1Qs18dLEL28DFZv28W++Xdq7XO7yZfuSHE&#10;66vx5RlEpDH+wXDWT+pQJ6etO7AOok85L/L7xCI8zUCcgd/BFmFWFCDrSv5/of4BAAD//wMAUEsB&#10;Ai0AFAAGAAgAAAAhALaDOJL+AAAA4QEAABMAAAAAAAAAAAAAAAAAAAAAAFtDb250ZW50X1R5cGVz&#10;XS54bWxQSwECLQAUAAYACAAAACEAOP0h/9YAAACUAQAACwAAAAAAAAAAAAAAAAAvAQAAX3JlbHMv&#10;LnJlbHNQSwECLQAUAAYACAAAACEAdQubf/ABAAA/BAAADgAAAAAAAAAAAAAAAAAuAgAAZHJzL2Uy&#10;b0RvYy54bWxQSwECLQAUAAYACAAAACEAsW6u+N4AAAAKAQAADwAAAAAAAAAAAAAAAABKBAAAZHJz&#10;L2Rvd25yZXYueG1sUEsFBgAAAAAEAAQA8wAAAFUFAAAAAA==&#10;" strokecolor="yellow" strokeweight="3pt">
                <v:stroke endarrow="block"/>
                <v:shadow on="t" color="black" opacity="22937f" origin=",.5" offset="0,.63889mm"/>
              </v:shape>
            </w:pict>
          </mc:Fallback>
        </mc:AlternateContent>
      </w:r>
      <w:r w:rsidR="005F6D50" w:rsidRPr="00576180">
        <w:rPr>
          <w:rFonts w:ascii="Arial" w:hAnsi="Arial" w:cs="Arial"/>
          <w:noProof/>
          <w:sz w:val="18"/>
          <w:szCs w:val="18"/>
          <w:lang w:eastAsia="pt-BR"/>
        </w:rPr>
        <mc:AlternateContent>
          <mc:Choice Requires="wps">
            <w:drawing>
              <wp:anchor distT="0" distB="0" distL="114300" distR="114300" simplePos="0" relativeHeight="251902976" behindDoc="0" locked="0" layoutInCell="1" allowOverlap="1" wp14:anchorId="16335E39" wp14:editId="4DCC71D1">
                <wp:simplePos x="0" y="0"/>
                <wp:positionH relativeFrom="column">
                  <wp:posOffset>4321120</wp:posOffset>
                </wp:positionH>
                <wp:positionV relativeFrom="paragraph">
                  <wp:posOffset>63279</wp:posOffset>
                </wp:positionV>
                <wp:extent cx="0" cy="236220"/>
                <wp:effectExtent l="76200" t="38100" r="76200" b="68580"/>
                <wp:wrapNone/>
                <wp:docPr id="92" name="Straight Arrow Connector 92"/>
                <wp:cNvGraphicFramePr/>
                <a:graphic xmlns:a="http://schemas.openxmlformats.org/drawingml/2006/main">
                  <a:graphicData uri="http://schemas.microsoft.com/office/word/2010/wordprocessingShape">
                    <wps:wsp>
                      <wps:cNvCnPr/>
                      <wps:spPr>
                        <a:xfrm flipV="1">
                          <a:off x="0" y="0"/>
                          <a:ext cx="0" cy="236220"/>
                        </a:xfrm>
                        <a:prstGeom prst="straightConnector1">
                          <a:avLst/>
                        </a:prstGeom>
                        <a:ln>
                          <a:solidFill>
                            <a:srgbClr val="FFFF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6366CDD0" id="Straight Arrow Connector 92" o:spid="_x0000_s1026" type="#_x0000_t32" style="position:absolute;margin-left:340.25pt;margin-top:5pt;width:0;height:18.6pt;flip:y;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298AEAAD8EAAAOAAAAZHJzL2Uyb0RvYy54bWysU02L2zAQvRf6H4TujR0vLG2Is5Rs00tp&#10;Q3fbuyJLtkDSiJEaJ/++IzlxvxYWlvogPNK8N/OeRuu7k7PsqDAa8C1fLmrOlJfQGd+3/Nvj7s1b&#10;zmISvhMWvGr5WUV+t3n9aj2GlWpgANspZETi42oMLR9SCquqinJQTsQFBOXpUAM6kSjEvupQjMTu&#10;bNXU9W01AnYBQaoYafd+OuSbwq+1kumL1lElZltOvaWyYlkPea02a7HqUYTByEsb4gVdOGE8FZ2p&#10;7kUS7Aeaf6ickQgRdFpIcBVobaQqGkjNsv5LzcMggipayJwYZpvi/6OVn497ZKZr+buGMy8c3dFD&#10;QmH6IbH3iDCyLXhPPgIySiG/xhBXBNv6PV6iGPaYxZ80OqatCd9pFIodJJCditvn2W11SkxOm5J2&#10;m5vbpikXUU0MmSlgTB8VOJZ/Wh4vHc2tTOzi+Ckm6oGAV0AGW5/XCNZ0O2NtCbA/bC2yo6A52NFX&#10;Xyv+kZaEsR98x9I5kA8JjfC9VVk0lci0VRY/yS1/6WzVVPKr0mQjybopwssAq7mkkFL5tJyZKDvD&#10;NLU3A+vngZf8DFVluGdw8zx4RpTK4NMMdsYDPkWQTteW9ZR/dWDSnS04QHcug1CsoSktXl1eVH4G&#10;v8cF/uvdb34CAAD//wMAUEsDBBQABgAIAAAAIQCsv8AH3QAAAAkBAAAPAAAAZHJzL2Rvd25yZXYu&#10;eG1sTI9BSwMxEIXvgv8hjOCl2KRV27JutqhQEOzFtuA13Uw3SzeTJUnb9d874kGP897Hm/fK5eA7&#10;ccaY2kAaJmMFAqkOtqVGw267uluASNmQNV0g1PCFCZbV9VVpChsu9IHnTW4Eh1AqjAaXc19ImWqH&#10;3qRx6JHYO4ToTeYzNtJGc+Fw38mpUjPpTUv8wZkeXx3Wx83Ja1Dz9Wj7tlsd3+9fvA/xMPqcONT6&#10;9mZ4fgKRcch/MPzU5+pQcad9OJFNotMwW6hHRtlQvImBX2Gv4WE+BVmV8v+C6hsAAP//AwBQSwEC&#10;LQAUAAYACAAAACEAtoM4kv4AAADhAQAAEwAAAAAAAAAAAAAAAAAAAAAAW0NvbnRlbnRfVHlwZXNd&#10;LnhtbFBLAQItABQABgAIAAAAIQA4/SH/1gAAAJQBAAALAAAAAAAAAAAAAAAAAC8BAABfcmVscy8u&#10;cmVsc1BLAQItABQABgAIAAAAIQBde1298AEAAD8EAAAOAAAAAAAAAAAAAAAAAC4CAABkcnMvZTJv&#10;RG9jLnhtbFBLAQItABQABgAIAAAAIQCsv8AH3QAAAAkBAAAPAAAAAAAAAAAAAAAAAEoEAABkcnMv&#10;ZG93bnJldi54bWxQSwUGAAAAAAQABADzAAAAVAUAAAAA&#10;" strokecolor="yellow" strokeweight="3pt">
                <v:stroke endarrow="block"/>
                <v:shadow on="t" color="black" opacity="22937f" origin=",.5" offset="0,.63889mm"/>
              </v:shape>
            </w:pict>
          </mc:Fallback>
        </mc:AlternateContent>
      </w:r>
    </w:p>
    <w:p w14:paraId="74164B5F" w14:textId="77777777" w:rsidR="00DB43E5" w:rsidRPr="00576180" w:rsidRDefault="00003428" w:rsidP="00193A45">
      <w:pPr>
        <w:pStyle w:val="ListParagraph"/>
        <w:spacing w:before="120" w:after="120"/>
        <w:ind w:left="1530" w:right="446"/>
        <w:jc w:val="both"/>
        <w:rPr>
          <w:rFonts w:ascii="Arial" w:hAnsi="Arial" w:cs="Arial"/>
          <w:sz w:val="18"/>
          <w:szCs w:val="18"/>
        </w:rPr>
      </w:pPr>
      <w:r w:rsidRPr="00576180">
        <w:rPr>
          <w:rFonts w:ascii="Arial" w:hAnsi="Arial" w:cs="Arial"/>
          <w:noProof/>
          <w:sz w:val="18"/>
          <w:szCs w:val="18"/>
          <w:lang w:eastAsia="pt-BR"/>
        </w:rPr>
        <mc:AlternateContent>
          <mc:Choice Requires="wps">
            <w:drawing>
              <wp:anchor distT="0" distB="0" distL="114300" distR="114300" simplePos="0" relativeHeight="251871232" behindDoc="0" locked="0" layoutInCell="1" allowOverlap="1" wp14:anchorId="19D6416A" wp14:editId="37374667">
                <wp:simplePos x="0" y="0"/>
                <wp:positionH relativeFrom="column">
                  <wp:posOffset>6042991</wp:posOffset>
                </wp:positionH>
                <wp:positionV relativeFrom="paragraph">
                  <wp:posOffset>99668</wp:posOffset>
                </wp:positionV>
                <wp:extent cx="2756756" cy="389614"/>
                <wp:effectExtent l="0" t="0" r="24765" b="10795"/>
                <wp:wrapNone/>
                <wp:docPr id="81" name="Rectangle 81"/>
                <wp:cNvGraphicFramePr/>
                <a:graphic xmlns:a="http://schemas.openxmlformats.org/drawingml/2006/main">
                  <a:graphicData uri="http://schemas.microsoft.com/office/word/2010/wordprocessingShape">
                    <wps:wsp>
                      <wps:cNvSpPr/>
                      <wps:spPr>
                        <a:xfrm>
                          <a:off x="0" y="0"/>
                          <a:ext cx="2756756" cy="389614"/>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E18470" w14:textId="1E90BD7D" w:rsidR="00D87B95" w:rsidRPr="00DC488F" w:rsidRDefault="00D87B95" w:rsidP="009B52B5">
                            <w:pPr>
                              <w:spacing w:after="60" w:line="240" w:lineRule="auto"/>
                              <w:rPr>
                                <w:sz w:val="18"/>
                                <w:szCs w:val="18"/>
                              </w:rPr>
                            </w:pPr>
                            <w:r w:rsidRPr="00DC488F">
                              <w:rPr>
                                <w:sz w:val="18"/>
                                <w:szCs w:val="18"/>
                              </w:rPr>
                              <w:t>C</w:t>
                            </w:r>
                            <w:r>
                              <w:rPr>
                                <w:sz w:val="18"/>
                                <w:szCs w:val="18"/>
                              </w:rPr>
                              <w:t>3. I</w:t>
                            </w:r>
                            <w:r w:rsidRPr="009D0D5F">
                              <w:rPr>
                                <w:sz w:val="18"/>
                                <w:szCs w:val="18"/>
                              </w:rPr>
                              <w:t xml:space="preserve">nstitucionalización de instrumentos de </w:t>
                            </w:r>
                            <w:r>
                              <w:rPr>
                                <w:sz w:val="18"/>
                                <w:szCs w:val="18"/>
                              </w:rPr>
                              <w:t>g</w:t>
                            </w:r>
                            <w:r w:rsidRPr="009D0D5F">
                              <w:rPr>
                                <w:sz w:val="18"/>
                                <w:szCs w:val="18"/>
                              </w:rPr>
                              <w:t xml:space="preserve">estión </w:t>
                            </w:r>
                            <w:r>
                              <w:rPr>
                                <w:sz w:val="18"/>
                                <w:szCs w:val="18"/>
                              </w:rPr>
                              <w:t>p</w:t>
                            </w:r>
                            <w:r w:rsidRPr="009D0D5F">
                              <w:rPr>
                                <w:sz w:val="18"/>
                                <w:szCs w:val="18"/>
                              </w:rPr>
                              <w:t xml:space="preserve">resupuestaria para mejorar la </w:t>
                            </w:r>
                            <w:r>
                              <w:rPr>
                                <w:sz w:val="18"/>
                                <w:szCs w:val="18"/>
                              </w:rPr>
                              <w:t>c</w:t>
                            </w:r>
                            <w:r w:rsidRPr="009D0D5F">
                              <w:rPr>
                                <w:sz w:val="18"/>
                                <w:szCs w:val="18"/>
                              </w:rPr>
                              <w:t xml:space="preserve">alidad del </w:t>
                            </w:r>
                            <w:r>
                              <w:rPr>
                                <w:sz w:val="18"/>
                                <w:szCs w:val="18"/>
                              </w:rPr>
                              <w:t>g</w:t>
                            </w:r>
                            <w:r w:rsidRPr="009D0D5F">
                              <w:rPr>
                                <w:sz w:val="18"/>
                                <w:szCs w:val="18"/>
                              </w:rPr>
                              <w:t>asto</w:t>
                            </w:r>
                          </w:p>
                          <w:p w14:paraId="6CA27F85" w14:textId="77777777" w:rsidR="00D87B95" w:rsidRDefault="00D87B95" w:rsidP="00A72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6416A" id="Rectangle 81" o:spid="_x0000_s1039" style="position:absolute;left:0;text-align:left;margin-left:475.85pt;margin-top:7.85pt;width:217.05pt;height:30.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5xlQIAAKkFAAAOAAAAZHJzL2Uyb0RvYy54bWysVNtu2zAMfR+wfxD0vjpO01tQpwhSdBjQ&#10;tUUv6LMiS7EBSdQkJXb29aNkxwnabgOGBYFMiuThRSQvr1qtyEY4X4MpaH40okQYDmVtVgV9eb75&#10;ck6JD8yUTIERBd0KT69mnz9dNnYqxlCBKoUjCGL8tLEFrUKw0yzzvBKa+SOwwqBQgtMsIOtWWelY&#10;g+haZePR6DRrwJXWARfe4+11J6SzhC+l4OFeSi8CUQXF2EI6XTqX8cxml2y6csxWNe/DYP8QhWa1&#10;QacD1DULjKxd/Q5K19yBBxmOOOgMpKy5SDlgNvnoTTZPFbMi5YLF8XYok/9/sPxu8+BIXRb0PKfE&#10;MI1v9IhVY2alBME7LFBj/RT1nuyD6zmPZMy2lU7HL+ZB2lTU7VBU0QbC8XJ8dnKKf0o4yo7PL07z&#10;SQTN9tbW+fBVgCaRKKhD96mWbHPrQ6e6U4nOPKi6vKmVSkxsFLFQjmwYPjHjXJiQJ3O11t+h7O5P&#10;Rvjr3abeiiYpiAO0LCbapZaosFUi+lDmUUisUUwmIQ8I7536ipXibz4TYESWmMWA3UX9G+yuDL1+&#10;NBWpuQfj0Z8C64wHi+QZTBiMdW3AfQSgsJS9504fS3ZQmkiGdtmm/smPo2q8WkK5xaZy0E2bt/ym&#10;xpe9ZT48MIfjhYOIKyPc4yEVNAWFnqKkAvfzo/uoj12PUkoaHNeC+h9r5gQl6pvBebjIJ5M434mZ&#10;nJyNkXGHkuWhxKz1ArBdsOUxukRG/aB2pHSgX3GzzKNXFDHD0XdBeXA7ZhG6NYK7iYv5PKnhTFsW&#10;bs2T5RE8Fjp27nP7ypzt2zvgYNzBbrTZ9E2Xd7rR0sB8HUDWaQT2de2fAPdB6t9+d8WFc8gnrf2G&#10;nf0CAAD//wMAUEsDBBQABgAIAAAAIQBek97v2wAAAAoBAAAPAAAAZHJzL2Rvd25yZXYueG1sTI9B&#10;T4NAEIXvJv6HzZh4swNtkBZZGqPRu9RDjws7ApGdJey2xX/v9KSnycv78ua9cr+4UZ1pDoNnDekq&#10;AUXcejtwp+Hz8PawBRWiYWtGz6ThhwLsq9ub0hTWX/iDznXslIRwKIyGPsapQAxtT86ElZ+Ixfvy&#10;szNR5Nyhnc1Fwt2I6yR5RGcGlg+9meilp/a7PjkNWRMQj369OeJ7f+jqV8ZdYK3v75bnJ1CRlvgH&#10;w7W+VIdKOjX+xDaoUcMuS3NBxcjkXoHNNpMxjYY8TwGrEv9PqH4BAAD//wMAUEsBAi0AFAAGAAgA&#10;AAAhALaDOJL+AAAA4QEAABMAAAAAAAAAAAAAAAAAAAAAAFtDb250ZW50X1R5cGVzXS54bWxQSwEC&#10;LQAUAAYACAAAACEAOP0h/9YAAACUAQAACwAAAAAAAAAAAAAAAAAvAQAAX3JlbHMvLnJlbHNQSwEC&#10;LQAUAAYACAAAACEAX+yecZUCAACpBQAADgAAAAAAAAAAAAAAAAAuAgAAZHJzL2Uyb0RvYy54bWxQ&#10;SwECLQAUAAYACAAAACEAXpPe79sAAAAKAQAADwAAAAAAAAAAAAAAAADvBAAAZHJzL2Rvd25yZXYu&#10;eG1sUEsFBgAAAAAEAAQA8wAAAPcFAAAAAA==&#10;" fillcolor="#243f60 [1604]" strokecolor="#243f60 [1604]" strokeweight="2pt">
                <v:textbox>
                  <w:txbxContent>
                    <w:p w14:paraId="3EE18470" w14:textId="1E90BD7D" w:rsidR="00D87B95" w:rsidRPr="00DC488F" w:rsidRDefault="00D87B95" w:rsidP="009B52B5">
                      <w:pPr>
                        <w:spacing w:after="60" w:line="240" w:lineRule="auto"/>
                        <w:rPr>
                          <w:sz w:val="18"/>
                          <w:szCs w:val="18"/>
                        </w:rPr>
                      </w:pPr>
                      <w:r w:rsidRPr="00DC488F">
                        <w:rPr>
                          <w:sz w:val="18"/>
                          <w:szCs w:val="18"/>
                        </w:rPr>
                        <w:t>C</w:t>
                      </w:r>
                      <w:r>
                        <w:rPr>
                          <w:sz w:val="18"/>
                          <w:szCs w:val="18"/>
                        </w:rPr>
                        <w:t>3. I</w:t>
                      </w:r>
                      <w:r w:rsidRPr="009D0D5F">
                        <w:rPr>
                          <w:sz w:val="18"/>
                          <w:szCs w:val="18"/>
                        </w:rPr>
                        <w:t xml:space="preserve">nstitucionalización de instrumentos de </w:t>
                      </w:r>
                      <w:r>
                        <w:rPr>
                          <w:sz w:val="18"/>
                          <w:szCs w:val="18"/>
                        </w:rPr>
                        <w:t>g</w:t>
                      </w:r>
                      <w:r w:rsidRPr="009D0D5F">
                        <w:rPr>
                          <w:sz w:val="18"/>
                          <w:szCs w:val="18"/>
                        </w:rPr>
                        <w:t xml:space="preserve">estión </w:t>
                      </w:r>
                      <w:r>
                        <w:rPr>
                          <w:sz w:val="18"/>
                          <w:szCs w:val="18"/>
                        </w:rPr>
                        <w:t>p</w:t>
                      </w:r>
                      <w:r w:rsidRPr="009D0D5F">
                        <w:rPr>
                          <w:sz w:val="18"/>
                          <w:szCs w:val="18"/>
                        </w:rPr>
                        <w:t xml:space="preserve">resupuestaria para mejorar la </w:t>
                      </w:r>
                      <w:r>
                        <w:rPr>
                          <w:sz w:val="18"/>
                          <w:szCs w:val="18"/>
                        </w:rPr>
                        <w:t>c</w:t>
                      </w:r>
                      <w:r w:rsidRPr="009D0D5F">
                        <w:rPr>
                          <w:sz w:val="18"/>
                          <w:szCs w:val="18"/>
                        </w:rPr>
                        <w:t xml:space="preserve">alidad del </w:t>
                      </w:r>
                      <w:r>
                        <w:rPr>
                          <w:sz w:val="18"/>
                          <w:szCs w:val="18"/>
                        </w:rPr>
                        <w:t>g</w:t>
                      </w:r>
                      <w:r w:rsidRPr="009D0D5F">
                        <w:rPr>
                          <w:sz w:val="18"/>
                          <w:szCs w:val="18"/>
                        </w:rPr>
                        <w:t>asto</w:t>
                      </w:r>
                    </w:p>
                    <w:p w14:paraId="6CA27F85" w14:textId="77777777" w:rsidR="00D87B95" w:rsidRDefault="00D87B95" w:rsidP="00A72757">
                      <w:pPr>
                        <w:jc w:val="center"/>
                      </w:pPr>
                    </w:p>
                  </w:txbxContent>
                </v:textbox>
              </v:rect>
            </w:pict>
          </mc:Fallback>
        </mc:AlternateContent>
      </w:r>
      <w:r w:rsidRPr="00576180">
        <w:rPr>
          <w:rFonts w:ascii="Arial" w:hAnsi="Arial" w:cs="Arial"/>
          <w:noProof/>
          <w:sz w:val="18"/>
          <w:szCs w:val="18"/>
          <w:lang w:eastAsia="pt-BR"/>
        </w:rPr>
        <mc:AlternateContent>
          <mc:Choice Requires="wps">
            <w:drawing>
              <wp:anchor distT="0" distB="0" distL="114300" distR="114300" simplePos="0" relativeHeight="251869184" behindDoc="0" locked="0" layoutInCell="1" allowOverlap="1" wp14:anchorId="2CC592BB" wp14:editId="591ABFC9">
                <wp:simplePos x="0" y="0"/>
                <wp:positionH relativeFrom="column">
                  <wp:posOffset>2994660</wp:posOffset>
                </wp:positionH>
                <wp:positionV relativeFrom="paragraph">
                  <wp:posOffset>74930</wp:posOffset>
                </wp:positionV>
                <wp:extent cx="2838450" cy="411480"/>
                <wp:effectExtent l="0" t="0" r="19050" b="26670"/>
                <wp:wrapNone/>
                <wp:docPr id="80" name="Rectangle 80"/>
                <wp:cNvGraphicFramePr/>
                <a:graphic xmlns:a="http://schemas.openxmlformats.org/drawingml/2006/main">
                  <a:graphicData uri="http://schemas.microsoft.com/office/word/2010/wordprocessingShape">
                    <wps:wsp>
                      <wps:cNvSpPr/>
                      <wps:spPr>
                        <a:xfrm>
                          <a:off x="0" y="0"/>
                          <a:ext cx="2838450" cy="41148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E66B82" w14:textId="2525B31D" w:rsidR="00D87B95" w:rsidRPr="00DC488F" w:rsidRDefault="00D87B95" w:rsidP="009B52B5">
                            <w:pPr>
                              <w:spacing w:after="60" w:line="240" w:lineRule="auto"/>
                              <w:rPr>
                                <w:sz w:val="18"/>
                                <w:szCs w:val="18"/>
                              </w:rPr>
                            </w:pPr>
                            <w:r w:rsidRPr="00DC488F">
                              <w:rPr>
                                <w:sz w:val="18"/>
                                <w:szCs w:val="18"/>
                              </w:rPr>
                              <w:t>C</w:t>
                            </w:r>
                            <w:r>
                              <w:rPr>
                                <w:sz w:val="18"/>
                                <w:szCs w:val="18"/>
                              </w:rPr>
                              <w:t xml:space="preserve">2. </w:t>
                            </w:r>
                            <w:r w:rsidRPr="009D0D5F">
                              <w:rPr>
                                <w:sz w:val="18"/>
                                <w:szCs w:val="18"/>
                              </w:rPr>
                              <w:t xml:space="preserve">Fortalecimiento de capacidades institucionales para la </w:t>
                            </w:r>
                            <w:r>
                              <w:rPr>
                                <w:sz w:val="18"/>
                                <w:szCs w:val="18"/>
                              </w:rPr>
                              <w:t>g</w:t>
                            </w:r>
                            <w:r w:rsidRPr="009D0D5F">
                              <w:rPr>
                                <w:sz w:val="18"/>
                                <w:szCs w:val="18"/>
                              </w:rPr>
                              <w:t xml:space="preserve">estión </w:t>
                            </w:r>
                            <w:r>
                              <w:rPr>
                                <w:sz w:val="18"/>
                                <w:szCs w:val="18"/>
                              </w:rPr>
                              <w:t>f</w:t>
                            </w:r>
                            <w:r w:rsidRPr="009D0D5F">
                              <w:rPr>
                                <w:sz w:val="18"/>
                                <w:szCs w:val="18"/>
                              </w:rPr>
                              <w:t xml:space="preserve">inanciera </w:t>
                            </w:r>
                            <w:r>
                              <w:rPr>
                                <w:sz w:val="18"/>
                                <w:szCs w:val="18"/>
                              </w:rPr>
                              <w:t>p</w:t>
                            </w:r>
                            <w:r w:rsidRPr="009D0D5F">
                              <w:rPr>
                                <w:sz w:val="18"/>
                                <w:szCs w:val="18"/>
                              </w:rPr>
                              <w:t>ública</w:t>
                            </w:r>
                          </w:p>
                          <w:p w14:paraId="6BB755DB" w14:textId="77777777" w:rsidR="00D87B95" w:rsidRDefault="00D87B95" w:rsidP="00A72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592BB" id="Rectangle 80" o:spid="_x0000_s1040" style="position:absolute;left:0;text-align:left;margin-left:235.8pt;margin-top:5.9pt;width:223.5pt;height:32.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jTlwIAAKkFAAAOAAAAZHJzL2Uyb0RvYy54bWysVMFu2zAMvQ/YPwi6r44zd0uDOkXQosOA&#10;rg3aDj0rshQbkERNUmJnXz9Kdtyg7TZgWA4KKZKP4jPJ84tOK7ITzjdgSpqfTCgRhkPVmE1Jvz9e&#10;f5hR4gMzFVNgREn3wtOLxft3562diynUoCrhCIIYP29tSesQ7DzLPK+FZv4ErDBolOA0C6i6TVY5&#10;1iK6Vtl0MvmUteAq64AL7/H2qjfSRcKXUvBwJ6UXgaiS4ttCOl061/HMFudsvnHM1g0fnsH+4RWa&#10;NQaTjlBXLDCydc0rKN1wBx5kOOGgM5Cy4SLVgNXkkxfVPNTMilQLkuPtSJP/f7D8drdypKlKOkN6&#10;DNP4je6RNWY2ShC8Q4Ja6+fo92BXbtA8irHaTjod/7EO0iVS9yOpoguE4+V09nFWnCI4R1uR50UP&#10;mj1HW+fDFwGaRKGkDtMnLtnuxgfMiK4Hl5jMg2qq60appMRGEZfKkR3DT8w4FybkKVxt9Teo+vvT&#10;Cf5iLYiVeiuG9NozWhYL7UtLUtgrEXMocy8kchSLScgjwuukvmaV+FvOBBiRJVYxYvev/g12//TB&#10;P4aK1Nxj8ORPD+uDx4iUGUwYg3VjwL0FoJDKIXPvj5QdURPF0K271D95ceiVNVR7bCoH/bR5y68b&#10;/LI3zIcVczhe2Ay4MsIdHlJBW1IYJEpqcD/fuo/+2PVopaTFcS2p/7FlTlCivhqch7O8KOJ8J6U4&#10;/TxFxR1b1scWs9WXgO2S43KyPInRP6iDKB3oJ9wsy5gVTcxwzF1SHtxBuQz9GsHdxMVymdxwpi0L&#10;N+bB8ggeiY6d+9g9MWeH9g44GLdwGG02f9HlvW+MNLDcBpBNGoFIdc/r8AlwH6T+HXZXXDjHevJ6&#10;3rCLXwAAAP//AwBQSwMEFAAGAAgAAAAhADcfkMraAAAACQEAAA8AAABkcnMvZG93bnJldi54bWxM&#10;j8FOwzAQRO9I/IO1SNzoJgXSNo1TIRDcSXvo0Um2cUS8jmK3DX/PcoLjzjzNzhS72Q3qQlPoPWtI&#10;Fwko4sa3PXcaDvv3hzWoEA23ZvBMGr4pwK68vSlM3vorf9Klip2SEA650WBjHHPE0FhyJiz8SCze&#10;yU/ORDmnDtvJXCXcDbhMkgyd6Vk+WDPSq6Xmqzo7Dc91QDz65eMRP+y+q94YN4G1vr+bX7agIs3x&#10;D4bf+lIdSulU+zO3QQ0anlZpJqgYqUwQYJOuRag1rLIMsCzw/4LyBwAA//8DAFBLAQItABQABgAI&#10;AAAAIQC2gziS/gAAAOEBAAATAAAAAAAAAAAAAAAAAAAAAABbQ29udGVudF9UeXBlc10ueG1sUEsB&#10;Ai0AFAAGAAgAAAAhADj9If/WAAAAlAEAAAsAAAAAAAAAAAAAAAAALwEAAF9yZWxzLy5yZWxzUEsB&#10;Ai0AFAAGAAgAAAAhAIvVqNOXAgAAqQUAAA4AAAAAAAAAAAAAAAAALgIAAGRycy9lMm9Eb2MueG1s&#10;UEsBAi0AFAAGAAgAAAAhADcfkMraAAAACQEAAA8AAAAAAAAAAAAAAAAA8QQAAGRycy9kb3ducmV2&#10;LnhtbFBLBQYAAAAABAAEAPMAAAD4BQAAAAA=&#10;" fillcolor="#243f60 [1604]" strokecolor="#243f60 [1604]" strokeweight="2pt">
                <v:textbox>
                  <w:txbxContent>
                    <w:p w14:paraId="5DE66B82" w14:textId="2525B31D" w:rsidR="00D87B95" w:rsidRPr="00DC488F" w:rsidRDefault="00D87B95" w:rsidP="009B52B5">
                      <w:pPr>
                        <w:spacing w:after="60" w:line="240" w:lineRule="auto"/>
                        <w:rPr>
                          <w:sz w:val="18"/>
                          <w:szCs w:val="18"/>
                        </w:rPr>
                      </w:pPr>
                      <w:r w:rsidRPr="00DC488F">
                        <w:rPr>
                          <w:sz w:val="18"/>
                          <w:szCs w:val="18"/>
                        </w:rPr>
                        <w:t>C</w:t>
                      </w:r>
                      <w:r>
                        <w:rPr>
                          <w:sz w:val="18"/>
                          <w:szCs w:val="18"/>
                        </w:rPr>
                        <w:t xml:space="preserve">2. </w:t>
                      </w:r>
                      <w:r w:rsidRPr="009D0D5F">
                        <w:rPr>
                          <w:sz w:val="18"/>
                          <w:szCs w:val="18"/>
                        </w:rPr>
                        <w:t xml:space="preserve">Fortalecimiento de capacidades institucionales para la </w:t>
                      </w:r>
                      <w:r>
                        <w:rPr>
                          <w:sz w:val="18"/>
                          <w:szCs w:val="18"/>
                        </w:rPr>
                        <w:t>g</w:t>
                      </w:r>
                      <w:r w:rsidRPr="009D0D5F">
                        <w:rPr>
                          <w:sz w:val="18"/>
                          <w:szCs w:val="18"/>
                        </w:rPr>
                        <w:t xml:space="preserve">estión </w:t>
                      </w:r>
                      <w:r>
                        <w:rPr>
                          <w:sz w:val="18"/>
                          <w:szCs w:val="18"/>
                        </w:rPr>
                        <w:t>f</w:t>
                      </w:r>
                      <w:r w:rsidRPr="009D0D5F">
                        <w:rPr>
                          <w:sz w:val="18"/>
                          <w:szCs w:val="18"/>
                        </w:rPr>
                        <w:t xml:space="preserve">inanciera </w:t>
                      </w:r>
                      <w:r>
                        <w:rPr>
                          <w:sz w:val="18"/>
                          <w:szCs w:val="18"/>
                        </w:rPr>
                        <w:t>p</w:t>
                      </w:r>
                      <w:r w:rsidRPr="009D0D5F">
                        <w:rPr>
                          <w:sz w:val="18"/>
                          <w:szCs w:val="18"/>
                        </w:rPr>
                        <w:t>ública</w:t>
                      </w:r>
                    </w:p>
                    <w:p w14:paraId="6BB755DB" w14:textId="77777777" w:rsidR="00D87B95" w:rsidRDefault="00D87B95" w:rsidP="00A72757">
                      <w:pPr>
                        <w:jc w:val="center"/>
                      </w:pPr>
                    </w:p>
                  </w:txbxContent>
                </v:textbox>
              </v:rect>
            </w:pict>
          </mc:Fallback>
        </mc:AlternateContent>
      </w:r>
      <w:r w:rsidRPr="00576180">
        <w:rPr>
          <w:rFonts w:ascii="Arial" w:hAnsi="Arial" w:cs="Arial"/>
          <w:noProof/>
          <w:sz w:val="18"/>
          <w:szCs w:val="18"/>
          <w:lang w:eastAsia="pt-BR"/>
        </w:rPr>
        <mc:AlternateContent>
          <mc:Choice Requires="wps">
            <w:drawing>
              <wp:anchor distT="0" distB="0" distL="114300" distR="114300" simplePos="0" relativeHeight="251805696" behindDoc="0" locked="0" layoutInCell="1" allowOverlap="1" wp14:anchorId="7C3AE045" wp14:editId="09641ADE">
                <wp:simplePos x="0" y="0"/>
                <wp:positionH relativeFrom="column">
                  <wp:posOffset>79375</wp:posOffset>
                </wp:positionH>
                <wp:positionV relativeFrom="paragraph">
                  <wp:posOffset>79982</wp:posOffset>
                </wp:positionV>
                <wp:extent cx="2718380" cy="401320"/>
                <wp:effectExtent l="0" t="0" r="25400" b="17780"/>
                <wp:wrapNone/>
                <wp:docPr id="149" name="Rectangle 149"/>
                <wp:cNvGraphicFramePr/>
                <a:graphic xmlns:a="http://schemas.openxmlformats.org/drawingml/2006/main">
                  <a:graphicData uri="http://schemas.microsoft.com/office/word/2010/wordprocessingShape">
                    <wps:wsp>
                      <wps:cNvSpPr/>
                      <wps:spPr>
                        <a:xfrm>
                          <a:off x="0" y="0"/>
                          <a:ext cx="2718380" cy="40132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D887FD" w14:textId="0C9F68CA" w:rsidR="00D87B95" w:rsidRPr="00DC488F" w:rsidRDefault="00D87B95" w:rsidP="009B52B5">
                            <w:pPr>
                              <w:spacing w:after="60" w:line="240" w:lineRule="auto"/>
                              <w:rPr>
                                <w:sz w:val="18"/>
                                <w:szCs w:val="18"/>
                              </w:rPr>
                            </w:pPr>
                            <w:r>
                              <w:rPr>
                                <w:sz w:val="18"/>
                                <w:szCs w:val="18"/>
                              </w:rPr>
                              <w:t xml:space="preserve">C1. </w:t>
                            </w:r>
                            <w:r w:rsidRPr="009D0D5F">
                              <w:rPr>
                                <w:sz w:val="18"/>
                                <w:szCs w:val="18"/>
                              </w:rPr>
                              <w:t>Modernización de los procesos y sistemas de gestión financiera pública</w:t>
                            </w:r>
                            <w:r>
                              <w:rPr>
                                <w:sz w:val="18"/>
                                <w:szCs w:val="18"/>
                              </w:rPr>
                              <w:tab/>
                            </w:r>
                          </w:p>
                          <w:p w14:paraId="16E5B354" w14:textId="77777777" w:rsidR="00D87B95" w:rsidRDefault="00D87B95" w:rsidP="009842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AE045" id="Rectangle 149" o:spid="_x0000_s1041" style="position:absolute;left:0;text-align:left;margin-left:6.25pt;margin-top:6.3pt;width:214.05pt;height:31.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JmQIAAKsFAAAOAAAAZHJzL2Uyb0RvYy54bWysVFFP2zAQfp+0/2D5fSQpZZSKFFUgpkkM&#10;EDDx7Dp2E8n2ebbbpPv1OztpqIBt0rQ+pHe+u+98n+/u/KLTimyF8w2YkhZHOSXCcKgasy7p96fr&#10;TzNKfGCmYgqMKOlOeHqx+PjhvLVzMYEaVCUcQRDj560taR2CnWeZ57XQzB+BFQaNEpxmAVW3zirH&#10;WkTXKpvk+eesBVdZB1x4j6dXvZEuEr6Ugoc7Kb0IRJUU7xbS16XvKn6zxTmbrx2zdcOHa7B/uIVm&#10;jcGkI9QVC4xsXPMGSjfcgQcZjjjoDKRsuEg1YDVF/qqax5pZkWpBcrwdafL/D5bfbu8daSp8u+kZ&#10;JYZpfKQHpI2ZtRIkHiJFrfVz9Hy0927QPIqx3k46Hf+xEtIlWncjraILhOPh5LSYHc+QfY62aV4c&#10;TxLv2Uu0dT58EaBJFErqMH9ik21vfMCM6Lp3ick8qKa6bpRKSmwVcakc2TJ8ZMa5MKFI4Wqjv0HV&#10;n5/k+Iu1IFbqrhjSay9oWSy0Ly1JYadEzKHMg5DIUiwmIY8Ib5P6mlXibzkTYESWWMWI3d/6N9j9&#10;1Qf/GCpSe4/B+Z8u1gePESkzmDAG68aAew9AIZVD5t4fKTugJoqhW3V9B53se2UF1Q7bykE/b97y&#10;6wZf9ob5cM8cDhg2Ay6NcIcfqaAtKQwSJTW4n++dR3/se7RS0uLAltT/2DAnKFFfDU7EWTGdxglP&#10;yvTkFJuMuEPL6tBiNvoSsF0KXE+WJzH6B7UXpQP9jLtlGbOiiRmOuUvKg9srl6FfJLiduFgukxtO&#10;tWXhxjxaHsEj0bFzn7pn5uzQ3gEH4xb2w83mr7q8942RBpabALJJIxCp7nkdngA3QurfYXvFlXOo&#10;J6+XHbv4BQAA//8DAFBLAwQUAAYACAAAACEABKxcP9kAAAAIAQAADwAAAGRycy9kb3ducmV2Lnht&#10;bEyPQU/DMAyF70j8h8hI3JhLWcfomk4IBHe6HXZMG6+taJyqybby7/FOcLKf3tPz52I7u0GdaQq9&#10;Zw2PiwQUceNtz62G/e7jYQ0qRMPWDJ5Jww8F2Ja3N4XJrb/wF52r2Cop4ZAbDV2MY44Ymo6cCQs/&#10;Eot39JMzUeTUop3MRcrdgGmSrNCZnuVCZ0Z666j5rk5OQ1YHxINPnw742e3a6p3xJbDW93fz6wZU&#10;pDn+heGKL+hQClPtT2yDGkSnmSSvcwVK/OUykaXW8JytAcsC/z9Q/gIAAP//AwBQSwECLQAUAAYA&#10;CAAAACEAtoM4kv4AAADhAQAAEwAAAAAAAAAAAAAAAAAAAAAAW0NvbnRlbnRfVHlwZXNdLnhtbFBL&#10;AQItABQABgAIAAAAIQA4/SH/1gAAAJQBAAALAAAAAAAAAAAAAAAAAC8BAABfcmVscy8ucmVsc1BL&#10;AQItABQABgAIAAAAIQCj+LUJmQIAAKsFAAAOAAAAAAAAAAAAAAAAAC4CAABkcnMvZTJvRG9jLnht&#10;bFBLAQItABQABgAIAAAAIQAErFw/2QAAAAgBAAAPAAAAAAAAAAAAAAAAAPMEAABkcnMvZG93bnJl&#10;di54bWxQSwUGAAAAAAQABADzAAAA+QUAAAAA&#10;" fillcolor="#243f60 [1604]" strokecolor="#243f60 [1604]" strokeweight="2pt">
                <v:textbox>
                  <w:txbxContent>
                    <w:p w14:paraId="1DD887FD" w14:textId="0C9F68CA" w:rsidR="00D87B95" w:rsidRPr="00DC488F" w:rsidRDefault="00D87B95" w:rsidP="009B52B5">
                      <w:pPr>
                        <w:spacing w:after="60" w:line="240" w:lineRule="auto"/>
                        <w:rPr>
                          <w:sz w:val="18"/>
                          <w:szCs w:val="18"/>
                        </w:rPr>
                      </w:pPr>
                      <w:r>
                        <w:rPr>
                          <w:sz w:val="18"/>
                          <w:szCs w:val="18"/>
                        </w:rPr>
                        <w:t xml:space="preserve">C1. </w:t>
                      </w:r>
                      <w:r w:rsidRPr="009D0D5F">
                        <w:rPr>
                          <w:sz w:val="18"/>
                          <w:szCs w:val="18"/>
                        </w:rPr>
                        <w:t>Modernización de los procesos y sistemas de gestión financiera pública</w:t>
                      </w:r>
                      <w:r>
                        <w:rPr>
                          <w:sz w:val="18"/>
                          <w:szCs w:val="18"/>
                        </w:rPr>
                        <w:tab/>
                      </w:r>
                    </w:p>
                    <w:p w14:paraId="16E5B354" w14:textId="77777777" w:rsidR="00D87B95" w:rsidRDefault="00D87B95" w:rsidP="00984255">
                      <w:pPr>
                        <w:jc w:val="center"/>
                      </w:pPr>
                    </w:p>
                  </w:txbxContent>
                </v:textbox>
              </v:rect>
            </w:pict>
          </mc:Fallback>
        </mc:AlternateContent>
      </w:r>
    </w:p>
    <w:p w14:paraId="16567725" w14:textId="7F7FEC8E" w:rsidR="00DB43E5" w:rsidRPr="00576180" w:rsidRDefault="00DB43E5" w:rsidP="00193A45">
      <w:pPr>
        <w:pStyle w:val="ListParagraph"/>
        <w:spacing w:before="120" w:after="120"/>
        <w:ind w:left="1530" w:right="446"/>
        <w:jc w:val="both"/>
        <w:rPr>
          <w:rFonts w:ascii="Arial" w:hAnsi="Arial" w:cs="Arial"/>
          <w:sz w:val="18"/>
          <w:szCs w:val="18"/>
        </w:rPr>
      </w:pPr>
    </w:p>
    <w:p w14:paraId="0E259532" w14:textId="0F69DE98" w:rsidR="00984255" w:rsidRPr="00576180" w:rsidRDefault="00371107" w:rsidP="00193A45">
      <w:pPr>
        <w:pStyle w:val="ListParagraph"/>
        <w:spacing w:before="120" w:after="120"/>
        <w:ind w:left="1530" w:right="446"/>
        <w:jc w:val="both"/>
        <w:rPr>
          <w:rFonts w:ascii="Arial" w:hAnsi="Arial" w:cs="Arial"/>
          <w:sz w:val="18"/>
          <w:szCs w:val="18"/>
        </w:rPr>
      </w:pPr>
      <w:r w:rsidRPr="00576180">
        <w:rPr>
          <w:rFonts w:ascii="Arial" w:hAnsi="Arial" w:cs="Arial"/>
          <w:noProof/>
          <w:sz w:val="18"/>
          <w:szCs w:val="18"/>
          <w:lang w:eastAsia="pt-BR"/>
        </w:rPr>
        <mc:AlternateContent>
          <mc:Choice Requires="wps">
            <w:drawing>
              <wp:anchor distT="0" distB="0" distL="114300" distR="114300" simplePos="0" relativeHeight="251889664" behindDoc="0" locked="0" layoutInCell="1" allowOverlap="1" wp14:anchorId="7B48B965" wp14:editId="124B7008">
                <wp:simplePos x="0" y="0"/>
                <wp:positionH relativeFrom="column">
                  <wp:posOffset>4382135</wp:posOffset>
                </wp:positionH>
                <wp:positionV relativeFrom="paragraph">
                  <wp:posOffset>134620</wp:posOffset>
                </wp:positionV>
                <wp:extent cx="0" cy="236220"/>
                <wp:effectExtent l="76200" t="38100" r="76200" b="68580"/>
                <wp:wrapNone/>
                <wp:docPr id="93" name="Straight Arrow Connector 93"/>
                <wp:cNvGraphicFramePr/>
                <a:graphic xmlns:a="http://schemas.openxmlformats.org/drawingml/2006/main">
                  <a:graphicData uri="http://schemas.microsoft.com/office/word/2010/wordprocessingShape">
                    <wps:wsp>
                      <wps:cNvCnPr/>
                      <wps:spPr>
                        <a:xfrm flipV="1">
                          <a:off x="0" y="0"/>
                          <a:ext cx="0" cy="236220"/>
                        </a:xfrm>
                        <a:prstGeom prst="straightConnector1">
                          <a:avLst/>
                        </a:prstGeom>
                        <a:ln>
                          <a:solidFill>
                            <a:srgbClr val="FFFF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DFBCD8" id="Straight Arrow Connector 93" o:spid="_x0000_s1026" type="#_x0000_t32" style="position:absolute;margin-left:345.05pt;margin-top:10.6pt;width:0;height:18.6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yQ7wEAAD8EAAAOAAAAZHJzL2Uyb0RvYy54bWysU02L2zAQvRf6H4TujR0HljbEWUq26aW0&#10;obvtXZFHtkBfjNQ4+fcdyYn7CQulPgiPNO/NvKfR5v5sDTsBRu1dy5eLmjNw0nfa9S3/8rR/9Zqz&#10;mITrhPEOWn6ByO+3L19sxrCGxg/edICMSFxcj6HlQ0phXVVRDmBFXPgAjg6VRysShdhXHYqR2K2p&#10;mrq+q0aPXUAvIUbafZgO+bbwKwUyfVIqQmKm5dRbKiuW9ZjXarsR6x5FGLS8tiH+oQsrtKOiM9WD&#10;SIJ9Q/0HldUSffQqLaS3lVdKSygaSM2y/k3N4yACFC1kTgyzTfH/0cqPpwMy3bX8zYozJyzd0WNC&#10;ofshsbeIfmQ77xz56JFRCvk1hrgm2M4d8BrFcMAs/qzQMmV0+EqjUOwggexc3L7MbsM5MTltStpt&#10;VndNUy6imhgyU8CY3oO3LP+0PF47mluZ2MXpQ0zUAwFvgAw2Lq/RG93ttTElwP64M8hOguZgT199&#10;q/hLWhLavHMdS5dAPiTUwvUGsmgqkWmrLH6SW/7SxcBU8jMospFkrYrwMsAwlxRSgkvLmYmyM0xR&#10;ezOwfh54zc9QKMM9g5vnwTOiVPYuzWCrnce/EaTzrWU15d8cmHRnC46+u5RBKNbQlBavri8qP4Of&#10;4wL/8e633wEAAP//AwBQSwMEFAAGAAgAAAAhAGk3/pDfAAAACQEAAA8AAABkcnMvZG93bnJldi54&#10;bWxMj8FOwzAMhu9IvENkJC4TS1pgjFJ3AqRJSOPCNolr1nhNtcapmmwrb08QBzja/vT7+8vF6Dpx&#10;oiG0nhGyqQJBXHvTcoOw3Sxv5iBC1Gx055kQvijAorq8KHVh/Jk/6LSOjUghHAqNYGPsCylDbcnp&#10;MPU9cbrt/eB0TOPQSDPocwp3ncyVmkmnW04frO7p1VJ9WB8dgnp4n2zetsvD6vbFOT/sJ5+ZJcTr&#10;q/H5CUSkMf7B8KOf1KFKTjt/ZBNEhzB7VFlCEfIsB5GA38UO4X5+B7Iq5f8G1TcAAAD//wMAUEsB&#10;Ai0AFAAGAAgAAAAhALaDOJL+AAAA4QEAABMAAAAAAAAAAAAAAAAAAAAAAFtDb250ZW50X1R5cGVz&#10;XS54bWxQSwECLQAUAAYACAAAACEAOP0h/9YAAACUAQAACwAAAAAAAAAAAAAAAAAvAQAAX3JlbHMv&#10;LnJlbHNQSwECLQAUAAYACAAAACEA5QYckO8BAAA/BAAADgAAAAAAAAAAAAAAAAAuAgAAZHJzL2Uy&#10;b0RvYy54bWxQSwECLQAUAAYACAAAACEAaTf+kN8AAAAJAQAADwAAAAAAAAAAAAAAAABJBAAAZHJz&#10;L2Rvd25yZXYueG1sUEsFBgAAAAAEAAQA8wAAAFUFAAAAAA==&#10;" strokecolor="yellow" strokeweight="3pt">
                <v:stroke endarrow="block"/>
                <v:shadow on="t" color="black" opacity="22937f" origin=",.5" offset="0,.63889mm"/>
              </v:shape>
            </w:pict>
          </mc:Fallback>
        </mc:AlternateContent>
      </w:r>
      <w:r w:rsidRPr="00576180">
        <w:rPr>
          <w:rFonts w:ascii="Arial" w:hAnsi="Arial" w:cs="Arial"/>
          <w:noProof/>
          <w:sz w:val="18"/>
          <w:szCs w:val="18"/>
          <w:lang w:eastAsia="pt-BR"/>
        </w:rPr>
        <mc:AlternateContent>
          <mc:Choice Requires="wps">
            <w:drawing>
              <wp:anchor distT="0" distB="0" distL="114300" distR="114300" simplePos="0" relativeHeight="251875328" behindDoc="0" locked="0" layoutInCell="1" allowOverlap="1" wp14:anchorId="0B662032" wp14:editId="1EADCF8A">
                <wp:simplePos x="0" y="0"/>
                <wp:positionH relativeFrom="column">
                  <wp:posOffset>2979420</wp:posOffset>
                </wp:positionH>
                <wp:positionV relativeFrom="paragraph">
                  <wp:posOffset>283210</wp:posOffset>
                </wp:positionV>
                <wp:extent cx="2872740" cy="1898015"/>
                <wp:effectExtent l="0" t="0" r="22860" b="26035"/>
                <wp:wrapNone/>
                <wp:docPr id="83" name="Rectangle 83"/>
                <wp:cNvGraphicFramePr/>
                <a:graphic xmlns:a="http://schemas.openxmlformats.org/drawingml/2006/main">
                  <a:graphicData uri="http://schemas.microsoft.com/office/word/2010/wordprocessingShape">
                    <wps:wsp>
                      <wps:cNvSpPr/>
                      <wps:spPr>
                        <a:xfrm>
                          <a:off x="0" y="0"/>
                          <a:ext cx="2872740" cy="18980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7C3DA4" w14:textId="272AEDCF" w:rsidR="00D87B95" w:rsidRPr="00857AE1" w:rsidRDefault="00D87B95" w:rsidP="00003428">
                            <w:pPr>
                              <w:spacing w:after="20" w:line="240" w:lineRule="auto"/>
                              <w:rPr>
                                <w:rFonts w:cstheme="minorHAnsi"/>
                                <w:sz w:val="18"/>
                                <w:szCs w:val="18"/>
                                <w:lang w:val="es-US"/>
                              </w:rPr>
                            </w:pPr>
                            <w:r w:rsidRPr="00857AE1">
                              <w:rPr>
                                <w:rFonts w:cstheme="minorHAnsi"/>
                                <w:sz w:val="18"/>
                                <w:szCs w:val="18"/>
                                <w:lang w:val="es-US"/>
                              </w:rPr>
                              <w:t xml:space="preserve">P2.1 </w:t>
                            </w:r>
                            <w:r>
                              <w:rPr>
                                <w:rFonts w:cstheme="minorHAnsi"/>
                                <w:sz w:val="18"/>
                                <w:szCs w:val="18"/>
                                <w:lang w:val="es-US"/>
                              </w:rPr>
                              <w:t>Estudios y metodologías para fortalecer las capacidades del MEF</w:t>
                            </w:r>
                          </w:p>
                          <w:p w14:paraId="062D7066" w14:textId="65E7AFD4" w:rsidR="00D87B95" w:rsidRPr="004E6CE3" w:rsidRDefault="00D87B95" w:rsidP="004E6CE3">
                            <w:pPr>
                              <w:spacing w:after="20" w:line="240" w:lineRule="auto"/>
                              <w:jc w:val="both"/>
                              <w:rPr>
                                <w:rFonts w:cstheme="minorHAnsi"/>
                                <w:color w:val="000000" w:themeColor="text1"/>
                                <w:sz w:val="18"/>
                                <w:szCs w:val="18"/>
                                <w:lang w:val="es-US"/>
                              </w:rPr>
                            </w:pPr>
                            <w:r w:rsidRPr="007226B6">
                              <w:rPr>
                                <w:rFonts w:cstheme="minorHAnsi"/>
                                <w:color w:val="000000" w:themeColor="text1"/>
                                <w:sz w:val="18"/>
                                <w:szCs w:val="18"/>
                                <w:highlight w:val="green"/>
                                <w:lang w:val="es-US"/>
                              </w:rPr>
                              <w:t>P2.2 Cursos a funcionarios del MEF en temas específicos de manejo hacendario</w:t>
                            </w:r>
                          </w:p>
                          <w:p w14:paraId="657137A9" w14:textId="7305158D" w:rsidR="00D87B95" w:rsidRPr="00957319" w:rsidRDefault="00D87B95" w:rsidP="00003428">
                            <w:pPr>
                              <w:spacing w:after="20" w:line="240" w:lineRule="auto"/>
                              <w:rPr>
                                <w:rFonts w:cstheme="minorHAnsi"/>
                                <w:color w:val="000000" w:themeColor="text1"/>
                                <w:sz w:val="18"/>
                                <w:szCs w:val="18"/>
                                <w:lang w:val="es-US"/>
                              </w:rPr>
                            </w:pPr>
                            <w:r w:rsidRPr="00957319">
                              <w:rPr>
                                <w:color w:val="000000" w:themeColor="text1"/>
                                <w:sz w:val="18"/>
                                <w:highlight w:val="yellow"/>
                                <w:lang w:val="es-US"/>
                              </w:rPr>
                              <w:t xml:space="preserve">P2.3 Conversión del SIGA-MEF al despliegue en plataforma </w:t>
                            </w:r>
                            <w:r w:rsidRPr="00957319">
                              <w:rPr>
                                <w:i/>
                                <w:color w:val="000000" w:themeColor="text1"/>
                                <w:sz w:val="18"/>
                                <w:highlight w:val="yellow"/>
                                <w:lang w:val="es-US"/>
                              </w:rPr>
                              <w:t>web</w:t>
                            </w:r>
                          </w:p>
                          <w:p w14:paraId="752E294C" w14:textId="14F1DEF1" w:rsidR="00D87B95" w:rsidRPr="00857AE1" w:rsidRDefault="00D87B95" w:rsidP="00003428">
                            <w:pPr>
                              <w:spacing w:after="20" w:line="240" w:lineRule="auto"/>
                              <w:rPr>
                                <w:rFonts w:cstheme="minorHAnsi"/>
                                <w:sz w:val="18"/>
                                <w:szCs w:val="18"/>
                                <w:lang w:val="es-US"/>
                              </w:rPr>
                            </w:pPr>
                            <w:r w:rsidRPr="00857AE1">
                              <w:rPr>
                                <w:rFonts w:cstheme="minorHAnsi"/>
                                <w:sz w:val="18"/>
                                <w:szCs w:val="18"/>
                                <w:lang w:val="es-US"/>
                              </w:rPr>
                              <w:t>P2.</w:t>
                            </w:r>
                            <w:r>
                              <w:rPr>
                                <w:rFonts w:cstheme="minorHAnsi"/>
                                <w:sz w:val="18"/>
                                <w:szCs w:val="18"/>
                                <w:lang w:val="es-US"/>
                              </w:rPr>
                              <w:t xml:space="preserve">4 </w:t>
                            </w:r>
                            <w:r w:rsidRPr="00857AE1">
                              <w:rPr>
                                <w:rFonts w:cstheme="minorHAnsi"/>
                                <w:sz w:val="18"/>
                                <w:szCs w:val="18"/>
                                <w:lang w:val="es-US"/>
                              </w:rPr>
                              <w:t xml:space="preserve">Estudios para un </w:t>
                            </w:r>
                            <w:r>
                              <w:rPr>
                                <w:rFonts w:cstheme="minorHAnsi"/>
                                <w:sz w:val="18"/>
                                <w:szCs w:val="18"/>
                                <w:lang w:val="es-US"/>
                              </w:rPr>
                              <w:t>s</w:t>
                            </w:r>
                            <w:r w:rsidRPr="00857AE1">
                              <w:rPr>
                                <w:rFonts w:cstheme="minorHAnsi"/>
                                <w:sz w:val="18"/>
                                <w:szCs w:val="18"/>
                                <w:lang w:val="es-US"/>
                              </w:rPr>
                              <w:t xml:space="preserve">istema </w:t>
                            </w:r>
                            <w:r>
                              <w:rPr>
                                <w:rFonts w:cstheme="minorHAnsi"/>
                                <w:sz w:val="18"/>
                                <w:szCs w:val="18"/>
                                <w:lang w:val="es-US"/>
                              </w:rPr>
                              <w:t>u</w:t>
                            </w:r>
                            <w:r w:rsidRPr="00857AE1">
                              <w:rPr>
                                <w:rFonts w:cstheme="minorHAnsi"/>
                                <w:sz w:val="18"/>
                                <w:szCs w:val="18"/>
                                <w:lang w:val="es-US"/>
                              </w:rPr>
                              <w:t xml:space="preserve">nificado de </w:t>
                            </w:r>
                            <w:r>
                              <w:rPr>
                                <w:rFonts w:cstheme="minorHAnsi"/>
                                <w:sz w:val="18"/>
                                <w:szCs w:val="18"/>
                                <w:lang w:val="es-US"/>
                              </w:rPr>
                              <w:t>g</w:t>
                            </w:r>
                            <w:r w:rsidRPr="00857AE1">
                              <w:rPr>
                                <w:rFonts w:cstheme="minorHAnsi"/>
                                <w:sz w:val="18"/>
                                <w:szCs w:val="18"/>
                                <w:lang w:val="es-US"/>
                              </w:rPr>
                              <w:t xml:space="preserve">estión de </w:t>
                            </w:r>
                            <w:r>
                              <w:rPr>
                                <w:rFonts w:cstheme="minorHAnsi"/>
                                <w:sz w:val="18"/>
                                <w:szCs w:val="18"/>
                                <w:lang w:val="es-US"/>
                              </w:rPr>
                              <w:t>p</w:t>
                            </w:r>
                            <w:r w:rsidRPr="00857AE1">
                              <w:rPr>
                                <w:rFonts w:cstheme="minorHAnsi"/>
                                <w:sz w:val="18"/>
                                <w:szCs w:val="18"/>
                                <w:lang w:val="es-US"/>
                              </w:rPr>
                              <w:t xml:space="preserve">lanillas de </w:t>
                            </w:r>
                            <w:r>
                              <w:rPr>
                                <w:rFonts w:cstheme="minorHAnsi"/>
                                <w:sz w:val="18"/>
                                <w:szCs w:val="18"/>
                                <w:lang w:val="es-US"/>
                              </w:rPr>
                              <w:t>n</w:t>
                            </w:r>
                            <w:r w:rsidRPr="00857AE1">
                              <w:rPr>
                                <w:rFonts w:cstheme="minorHAnsi"/>
                                <w:sz w:val="18"/>
                                <w:szCs w:val="18"/>
                                <w:lang w:val="es-US"/>
                              </w:rPr>
                              <w:t xml:space="preserve">ómina y de </w:t>
                            </w:r>
                            <w:r>
                              <w:rPr>
                                <w:rFonts w:cstheme="minorHAnsi"/>
                                <w:sz w:val="18"/>
                                <w:szCs w:val="18"/>
                                <w:lang w:val="es-US"/>
                              </w:rPr>
                              <w:t>RRHH.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62032" id="Rectangle 83" o:spid="_x0000_s1042" style="position:absolute;left:0;text-align:left;margin-left:234.6pt;margin-top:22.3pt;width:226.2pt;height:149.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gAIAAE8FAAAOAAAAZHJzL2Uyb0RvYy54bWysVE1v2zAMvQ/YfxB0X21n/UiDOkXQosOA&#10;oivaDj0rshQbkEWNUmJnv36U7LhFW+wwzAdZEslH8pHUxWXfGrZT6BuwJS+Ocs6UlVA1dlPyn083&#10;X+ac+SBsJQxYVfK98vxy+fnTRecWagY1mEohIxDrF50reR2CW2SZl7VqhT8CpywJNWArAh1xk1Uo&#10;OkJvTTbL89OsA6wcglTe0+31IOTLhK+1kuGH1l4FZkpOsYW0YlrXcc2WF2KxQeHqRo5hiH+IohWN&#10;JacT1LUIgm2xeQfVNhLBgw5HEtoMtG6kSjlQNkX+JpvHWjiVciFyvJto8v8PVt7t7pE1VcnnXzmz&#10;oqUaPRBrwm6MYnRHBHXOL0jv0d3jePK0jdn2Gtv4pzxYn0jdT6SqPjBJl7P52ezsmLiXJCvm5/O8&#10;OImo2Yu5Qx++KWhZ3JQcyX8iU+xufRhUDypkF8MZAki7sDcqxmDsg9KUSXSZrFMPqSuDbCeo+kJK&#10;ZUMxiGpRqeH6JKdvjGeySNElwIisG2Mm7BEg9ud77CHWUT+aqtSCk3H+t8AG48kieQYbJuO2sYAf&#10;ARjKavQ86B9IGqiJLIV+3acqF6dRNV6todpT6RGGmfBO3jRE/63w4V4gDQGVjAY7/KBFG+hKDuOO&#10;sxrw90f3UZ96k6ScdTRUJfe/tgIVZ+a7pa49L45jJ4R0OD45m9EBX0vWryV2214BVa6gJ8TJtI36&#10;wRy2GqF9pvlfRa8kElaS75LLgIfDVRiGnV4QqVarpEaT50S4tY9ORvBIdGyvp/5ZoBt7MFD73sFh&#10;AMXiTSsOutHSwmobQDepT194HUtAU5t6aXxh4rPw+py0Xt7B5R8AAAD//wMAUEsDBBQABgAIAAAA&#10;IQDaigr03gAAAAoBAAAPAAAAZHJzL2Rvd25yZXYueG1sTI/BToNAEIbvJr7DZky82QWKSClLY0yM&#10;iRdj6wNs2RGo7Cxhl4I+vePJ3v7JfPnnm3K32F6ccfSdIwXxKgKBVDvTUaPg4/B8l4PwQZPRvSNU&#10;8I0edtX1VakL42Z6x/M+NIJLyBdaQRvCUEjp6xat9is3IPHu041WBx7HRppRz1xue5lEUSat7ogv&#10;tHrApxbrr/1kFbj4Lbwe5nQinMeXvDvV/c9DrtTtzfK4BRFwCf8w/OmzOlTsdHQTGS96BWm2SRjl&#10;kGYgGNgkMYejgnW6vgdZlfLyheoXAAD//wMAUEsBAi0AFAAGAAgAAAAhALaDOJL+AAAA4QEAABMA&#10;AAAAAAAAAAAAAAAAAAAAAFtDb250ZW50X1R5cGVzXS54bWxQSwECLQAUAAYACAAAACEAOP0h/9YA&#10;AACUAQAACwAAAAAAAAAAAAAAAAAvAQAAX3JlbHMvLnJlbHNQSwECLQAUAAYACAAAACEAQTy4JYAC&#10;AABPBQAADgAAAAAAAAAAAAAAAAAuAgAAZHJzL2Uyb0RvYy54bWxQSwECLQAUAAYACAAAACEA2ooK&#10;9N4AAAAKAQAADwAAAAAAAAAAAAAAAADaBAAAZHJzL2Rvd25yZXYueG1sUEsFBgAAAAAEAAQA8wAA&#10;AOUFAAAAAA==&#10;" fillcolor="#4f81bd [3204]" strokecolor="#243f60 [1604]" strokeweight="2pt">
                <v:textbox>
                  <w:txbxContent>
                    <w:p w14:paraId="527C3DA4" w14:textId="272AEDCF" w:rsidR="00D87B95" w:rsidRPr="00857AE1" w:rsidRDefault="00D87B95" w:rsidP="00003428">
                      <w:pPr>
                        <w:spacing w:after="20" w:line="240" w:lineRule="auto"/>
                        <w:rPr>
                          <w:rFonts w:cstheme="minorHAnsi"/>
                          <w:sz w:val="18"/>
                          <w:szCs w:val="18"/>
                          <w:lang w:val="es-US"/>
                        </w:rPr>
                      </w:pPr>
                      <w:r w:rsidRPr="00857AE1">
                        <w:rPr>
                          <w:rFonts w:cstheme="minorHAnsi"/>
                          <w:sz w:val="18"/>
                          <w:szCs w:val="18"/>
                          <w:lang w:val="es-US"/>
                        </w:rPr>
                        <w:t xml:space="preserve">P2.1 </w:t>
                      </w:r>
                      <w:r>
                        <w:rPr>
                          <w:rFonts w:cstheme="minorHAnsi"/>
                          <w:sz w:val="18"/>
                          <w:szCs w:val="18"/>
                          <w:lang w:val="es-US"/>
                        </w:rPr>
                        <w:t>Estudios y metodologías para fortalecer las capacidades del MEF</w:t>
                      </w:r>
                    </w:p>
                    <w:p w14:paraId="062D7066" w14:textId="65E7AFD4" w:rsidR="00D87B95" w:rsidRPr="004E6CE3" w:rsidRDefault="00D87B95" w:rsidP="004E6CE3">
                      <w:pPr>
                        <w:spacing w:after="20" w:line="240" w:lineRule="auto"/>
                        <w:jc w:val="both"/>
                        <w:rPr>
                          <w:rFonts w:cstheme="minorHAnsi"/>
                          <w:color w:val="000000" w:themeColor="text1"/>
                          <w:sz w:val="18"/>
                          <w:szCs w:val="18"/>
                          <w:lang w:val="es-US"/>
                        </w:rPr>
                      </w:pPr>
                      <w:r w:rsidRPr="007226B6">
                        <w:rPr>
                          <w:rFonts w:cstheme="minorHAnsi"/>
                          <w:color w:val="000000" w:themeColor="text1"/>
                          <w:sz w:val="18"/>
                          <w:szCs w:val="18"/>
                          <w:highlight w:val="green"/>
                          <w:lang w:val="es-US"/>
                        </w:rPr>
                        <w:t>P2.2 Cursos a funcionarios del MEF en temas específicos de manejo hacendario</w:t>
                      </w:r>
                    </w:p>
                    <w:p w14:paraId="657137A9" w14:textId="7305158D" w:rsidR="00D87B95" w:rsidRPr="00957319" w:rsidRDefault="00D87B95" w:rsidP="00003428">
                      <w:pPr>
                        <w:spacing w:after="20" w:line="240" w:lineRule="auto"/>
                        <w:rPr>
                          <w:rFonts w:cstheme="minorHAnsi"/>
                          <w:color w:val="000000" w:themeColor="text1"/>
                          <w:sz w:val="18"/>
                          <w:szCs w:val="18"/>
                          <w:lang w:val="es-US"/>
                        </w:rPr>
                      </w:pPr>
                      <w:r w:rsidRPr="00957319">
                        <w:rPr>
                          <w:color w:val="000000" w:themeColor="text1"/>
                          <w:sz w:val="18"/>
                          <w:highlight w:val="yellow"/>
                          <w:lang w:val="es-US"/>
                        </w:rPr>
                        <w:t xml:space="preserve">P2.3 Conversión del SIGA-MEF al despliegue en plataforma </w:t>
                      </w:r>
                      <w:r w:rsidRPr="00957319">
                        <w:rPr>
                          <w:i/>
                          <w:color w:val="000000" w:themeColor="text1"/>
                          <w:sz w:val="18"/>
                          <w:highlight w:val="yellow"/>
                          <w:lang w:val="es-US"/>
                        </w:rPr>
                        <w:t>web</w:t>
                      </w:r>
                    </w:p>
                    <w:p w14:paraId="752E294C" w14:textId="14F1DEF1" w:rsidR="00D87B95" w:rsidRPr="00857AE1" w:rsidRDefault="00D87B95" w:rsidP="00003428">
                      <w:pPr>
                        <w:spacing w:after="20" w:line="240" w:lineRule="auto"/>
                        <w:rPr>
                          <w:rFonts w:cstheme="minorHAnsi"/>
                          <w:sz w:val="18"/>
                          <w:szCs w:val="18"/>
                          <w:lang w:val="es-US"/>
                        </w:rPr>
                      </w:pPr>
                      <w:r w:rsidRPr="00857AE1">
                        <w:rPr>
                          <w:rFonts w:cstheme="minorHAnsi"/>
                          <w:sz w:val="18"/>
                          <w:szCs w:val="18"/>
                          <w:lang w:val="es-US"/>
                        </w:rPr>
                        <w:t>P2.</w:t>
                      </w:r>
                      <w:r>
                        <w:rPr>
                          <w:rFonts w:cstheme="minorHAnsi"/>
                          <w:sz w:val="18"/>
                          <w:szCs w:val="18"/>
                          <w:lang w:val="es-US"/>
                        </w:rPr>
                        <w:t xml:space="preserve">4 </w:t>
                      </w:r>
                      <w:r w:rsidRPr="00857AE1">
                        <w:rPr>
                          <w:rFonts w:cstheme="minorHAnsi"/>
                          <w:sz w:val="18"/>
                          <w:szCs w:val="18"/>
                          <w:lang w:val="es-US"/>
                        </w:rPr>
                        <w:t xml:space="preserve">Estudios para un </w:t>
                      </w:r>
                      <w:r>
                        <w:rPr>
                          <w:rFonts w:cstheme="minorHAnsi"/>
                          <w:sz w:val="18"/>
                          <w:szCs w:val="18"/>
                          <w:lang w:val="es-US"/>
                        </w:rPr>
                        <w:t>s</w:t>
                      </w:r>
                      <w:r w:rsidRPr="00857AE1">
                        <w:rPr>
                          <w:rFonts w:cstheme="minorHAnsi"/>
                          <w:sz w:val="18"/>
                          <w:szCs w:val="18"/>
                          <w:lang w:val="es-US"/>
                        </w:rPr>
                        <w:t xml:space="preserve">istema </w:t>
                      </w:r>
                      <w:r>
                        <w:rPr>
                          <w:rFonts w:cstheme="minorHAnsi"/>
                          <w:sz w:val="18"/>
                          <w:szCs w:val="18"/>
                          <w:lang w:val="es-US"/>
                        </w:rPr>
                        <w:t>u</w:t>
                      </w:r>
                      <w:r w:rsidRPr="00857AE1">
                        <w:rPr>
                          <w:rFonts w:cstheme="minorHAnsi"/>
                          <w:sz w:val="18"/>
                          <w:szCs w:val="18"/>
                          <w:lang w:val="es-US"/>
                        </w:rPr>
                        <w:t xml:space="preserve">nificado de </w:t>
                      </w:r>
                      <w:r>
                        <w:rPr>
                          <w:rFonts w:cstheme="minorHAnsi"/>
                          <w:sz w:val="18"/>
                          <w:szCs w:val="18"/>
                          <w:lang w:val="es-US"/>
                        </w:rPr>
                        <w:t>g</w:t>
                      </w:r>
                      <w:r w:rsidRPr="00857AE1">
                        <w:rPr>
                          <w:rFonts w:cstheme="minorHAnsi"/>
                          <w:sz w:val="18"/>
                          <w:szCs w:val="18"/>
                          <w:lang w:val="es-US"/>
                        </w:rPr>
                        <w:t xml:space="preserve">estión de </w:t>
                      </w:r>
                      <w:r>
                        <w:rPr>
                          <w:rFonts w:cstheme="minorHAnsi"/>
                          <w:sz w:val="18"/>
                          <w:szCs w:val="18"/>
                          <w:lang w:val="es-US"/>
                        </w:rPr>
                        <w:t>p</w:t>
                      </w:r>
                      <w:r w:rsidRPr="00857AE1">
                        <w:rPr>
                          <w:rFonts w:cstheme="minorHAnsi"/>
                          <w:sz w:val="18"/>
                          <w:szCs w:val="18"/>
                          <w:lang w:val="es-US"/>
                        </w:rPr>
                        <w:t xml:space="preserve">lanillas de </w:t>
                      </w:r>
                      <w:r>
                        <w:rPr>
                          <w:rFonts w:cstheme="minorHAnsi"/>
                          <w:sz w:val="18"/>
                          <w:szCs w:val="18"/>
                          <w:lang w:val="es-US"/>
                        </w:rPr>
                        <w:t>n</w:t>
                      </w:r>
                      <w:r w:rsidRPr="00857AE1">
                        <w:rPr>
                          <w:rFonts w:cstheme="minorHAnsi"/>
                          <w:sz w:val="18"/>
                          <w:szCs w:val="18"/>
                          <w:lang w:val="es-US"/>
                        </w:rPr>
                        <w:t xml:space="preserve">ómina y de </w:t>
                      </w:r>
                      <w:r>
                        <w:rPr>
                          <w:rFonts w:cstheme="minorHAnsi"/>
                          <w:sz w:val="18"/>
                          <w:szCs w:val="18"/>
                          <w:lang w:val="es-US"/>
                        </w:rPr>
                        <w:t>RRHH.</w:t>
                      </w:r>
                    </w:p>
                  </w:txbxContent>
                </v:textbox>
              </v:rect>
            </w:pict>
          </mc:Fallback>
        </mc:AlternateContent>
      </w:r>
      <w:r w:rsidR="00F85F3A" w:rsidRPr="00576180">
        <w:rPr>
          <w:rFonts w:ascii="Arial" w:hAnsi="Arial" w:cs="Arial"/>
          <w:noProof/>
          <w:sz w:val="18"/>
          <w:szCs w:val="18"/>
          <w:lang w:eastAsia="pt-BR"/>
        </w:rPr>
        <mc:AlternateContent>
          <mc:Choice Requires="wps">
            <w:drawing>
              <wp:anchor distT="0" distB="0" distL="114300" distR="114300" simplePos="0" relativeHeight="251836416" behindDoc="0" locked="0" layoutInCell="1" allowOverlap="1" wp14:anchorId="38D0C4D6" wp14:editId="527CB3D6">
                <wp:simplePos x="0" y="0"/>
                <wp:positionH relativeFrom="column">
                  <wp:posOffset>1287145</wp:posOffset>
                </wp:positionH>
                <wp:positionV relativeFrom="paragraph">
                  <wp:posOffset>85407</wp:posOffset>
                </wp:positionV>
                <wp:extent cx="0" cy="236220"/>
                <wp:effectExtent l="76200" t="38100" r="76200" b="68580"/>
                <wp:wrapNone/>
                <wp:docPr id="150" name="Straight Arrow Connector 150"/>
                <wp:cNvGraphicFramePr/>
                <a:graphic xmlns:a="http://schemas.openxmlformats.org/drawingml/2006/main">
                  <a:graphicData uri="http://schemas.microsoft.com/office/word/2010/wordprocessingShape">
                    <wps:wsp>
                      <wps:cNvCnPr/>
                      <wps:spPr>
                        <a:xfrm flipV="1">
                          <a:off x="0" y="0"/>
                          <a:ext cx="0" cy="236220"/>
                        </a:xfrm>
                        <a:prstGeom prst="straightConnector1">
                          <a:avLst/>
                        </a:prstGeom>
                        <a:ln>
                          <a:solidFill>
                            <a:srgbClr val="FFFF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D1B610" id="Straight Arrow Connector 150" o:spid="_x0000_s1026" type="#_x0000_t32" style="position:absolute;margin-left:101.35pt;margin-top:6.7pt;width:0;height:18.6p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di7wEAAEEEAAAOAAAAZHJzL2Uyb0RvYy54bWysU02L2zAQvRf6H4TvjR0vXYqJs5Rs00tp&#10;Q3fbuyJLtkBfjKZx/O87khP3a2FhqQ/CI817M+9ptLk7W8NOEqL2ri3Wq6pg0gnfade3xbfH/Zt3&#10;BYvIXceNd7ItJhmLu+3rV5sxNLL2gzedBEYkLjZjaIsBMTRlGcUgLY8rH6SjQ+XBcqQQ+rIDPhK7&#10;NWVdVbfl6KEL4IWMkXbv58Nim/mVkgK/KBUlMtMW1BvmFfJ6TGu53fCmBx4GLS5t8Bd0Ybl2VHSh&#10;uufI2Q/Q/1BZLcBHr3AlvC29UlrIrIHUrKu/1DwMPMishcyJYbEp/j9a8fl0AKY7uru35I/jli7p&#10;AYHrfkD2HsCPbOedIyM9sJRDjo0hNgTcuQNcohgOkOSfFVimjA7fiTAbQhLZOfs9LX7LMzIxbwra&#10;rW9u6zoTlzNDYgoQ8aP0lqWftoiXlpZeZnZ++hSReiDgFZDAxqU1eqO7vTYmB9AfdwbYidMk7Omr&#10;rhX/SEOuzQfXMZwCGYGgueuNTKKpRKItk/hZbv7Dyci55FepyEiSdZOF5xGWS0kuhHS4XpgoO8EU&#10;tbcAq+eBl/wElXm8F3D9PHhB5Mre4QK22nl4igDP15bVnH91YNadLDj6bsqDkK2hOc1eXd5Uegi/&#10;xxn+6+VvfwIAAP//AwBQSwMEFAAGAAgAAAAhAFyoHY3eAAAACQEAAA8AAABkcnMvZG93bnJldi54&#10;bWxMj8FKAzEQhu+C7xBG8FJs0q22ZbvZokJBsBfbgtd0M90s3UyWTdqub++IBz3O/B//fFOsBt+K&#10;C/axCaRhMlYgkKpgG6o17HfrhwWImAxZ0wZCDV8YYVXe3hQmt+FKH3jZplpwCcXcaHApdbmUsXLo&#10;TRyHDomzY+i9STz2tbS9uXK5b2Wm1Ex60xBfcKbDV4fVaXv2GtR8M9q97den9+mL96E/jj4nDrW+&#10;vxuelyASDukPhh99VoeSnQ7hTDaKVkOmsjmjHEwfQTDwuzhoeFIzkGUh/39QfgMAAP//AwBQSwEC&#10;LQAUAAYACAAAACEAtoM4kv4AAADhAQAAEwAAAAAAAAAAAAAAAAAAAAAAW0NvbnRlbnRfVHlwZXNd&#10;LnhtbFBLAQItABQABgAIAAAAIQA4/SH/1gAAAJQBAAALAAAAAAAAAAAAAAAAAC8BAABfcmVscy8u&#10;cmVsc1BLAQItABQABgAIAAAAIQACNZdi7wEAAEEEAAAOAAAAAAAAAAAAAAAAAC4CAABkcnMvZTJv&#10;RG9jLnhtbFBLAQItABQABgAIAAAAIQBcqB2N3gAAAAkBAAAPAAAAAAAAAAAAAAAAAEkEAABkcnMv&#10;ZG93bnJldi54bWxQSwUGAAAAAAQABADzAAAAVAUAAAAA&#10;" strokecolor="yellow" strokeweight="3pt">
                <v:stroke endarrow="block"/>
                <v:shadow on="t" color="black" opacity="22937f" origin=",.5" offset="0,.63889mm"/>
              </v:shape>
            </w:pict>
          </mc:Fallback>
        </mc:AlternateContent>
      </w:r>
      <w:r w:rsidR="005F6D50" w:rsidRPr="00576180">
        <w:rPr>
          <w:rFonts w:ascii="Arial" w:hAnsi="Arial" w:cs="Arial"/>
          <w:noProof/>
          <w:sz w:val="18"/>
          <w:szCs w:val="18"/>
          <w:lang w:eastAsia="pt-BR"/>
        </w:rPr>
        <mc:AlternateContent>
          <mc:Choice Requires="wps">
            <w:drawing>
              <wp:anchor distT="0" distB="0" distL="114300" distR="114300" simplePos="0" relativeHeight="251891712" behindDoc="0" locked="0" layoutInCell="1" allowOverlap="1" wp14:anchorId="1D816DFA" wp14:editId="02A9A5EA">
                <wp:simplePos x="0" y="0"/>
                <wp:positionH relativeFrom="column">
                  <wp:posOffset>7406998</wp:posOffset>
                </wp:positionH>
                <wp:positionV relativeFrom="paragraph">
                  <wp:posOffset>126807</wp:posOffset>
                </wp:positionV>
                <wp:extent cx="0" cy="236220"/>
                <wp:effectExtent l="76200" t="38100" r="76200" b="68580"/>
                <wp:wrapNone/>
                <wp:docPr id="94" name="Straight Arrow Connector 94"/>
                <wp:cNvGraphicFramePr/>
                <a:graphic xmlns:a="http://schemas.openxmlformats.org/drawingml/2006/main">
                  <a:graphicData uri="http://schemas.microsoft.com/office/word/2010/wordprocessingShape">
                    <wps:wsp>
                      <wps:cNvCnPr/>
                      <wps:spPr>
                        <a:xfrm flipV="1">
                          <a:off x="0" y="0"/>
                          <a:ext cx="0" cy="236220"/>
                        </a:xfrm>
                        <a:prstGeom prst="straightConnector1">
                          <a:avLst/>
                        </a:prstGeom>
                        <a:ln>
                          <a:solidFill>
                            <a:srgbClr val="FFFF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D1C287" id="Straight Arrow Connector 94" o:spid="_x0000_s1026" type="#_x0000_t32" style="position:absolute;margin-left:583.25pt;margin-top:10pt;width:0;height:18.6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pS8AEAAD8EAAAOAAAAZHJzL2Uyb0RvYy54bWysU02P2yAQvVfqf0DcGzveatVGcVZVtuml&#10;aqNuu3eCwUYCBg00Tv59B5y4XyutVNUH5IF5b+Y9hvXdyVl2VBgN+JYvFzVnykvojO9b/u3r7tUb&#10;zmISvhMWvGr5WUV+t3n5Yj2GlWpgANspZETi42oMLR9SCquqinJQTsQFBOXpUAM6kSjEvupQjMTu&#10;bNXU9W01AnYBQaoYafd+OuSbwq+1kumz1lElZltOvaWyYlkPea02a7HqUYTByEsb4h+6cMJ4KjpT&#10;3Ysk2Hc0f1E5IxEi6LSQ4CrQ2khVNJCaZf2HmodBBFW0kDkxzDbF/0crPx33yEzX8revOfPC0R09&#10;JBSmHxJ7hwgj24L35CMgoxTyawxxRbCt3+MlimGPWfxJo2PamvBIo1DsIIHsVNw+z26rU2Jy2pS0&#10;29zcNk25iGpiyEwBY/qgwLH80/J46WhuZWIXx48xUQ8EvAIy2Pq8RrCm2xlrS4D9YWuRHQXNwY6+&#10;+lrxt7QkjH3vO5bOgXxIaITvrcqiqUSmrbL4SW75S2erppJflCYbSdZNEV4GWM0lhZTKp+XMRNkZ&#10;pqm9GVg/D7zkZ6gqwz2Dm+fBM6JUBp9msDMe8CmCdLq2rKf8qwOT7mzBAbpzGYRiDU1p8eryovIz&#10;+DUu8J/vfvMDAAD//wMAUEsDBBQABgAIAAAAIQCahI7L3gAAAAsBAAAPAAAAZHJzL2Rvd25yZXYu&#10;eG1sTI9NS8NAEIbvgv9hGcFLsZtUmkrMpqhQEPRiW/C6zU6zodnZsLtt4793igd7fGce3o9qObpe&#10;nDDEzpOCfJqBQGq86ahVsN2sHp5AxKTJ6N4TKvjBCMv69qbSpfFn+sLTOrWCTSiWWoFNaSiljI1F&#10;p+PUD0j82/vgdGIZWmmCPrO56+UsywrpdEecYPWAbxabw/roFGSLz8nmfbs6fDy+OufDfvKdW1Tq&#10;/m58eQaRcEz/MFzqc3WoudPOH8lE0bPOi2LOrALOAXEh/i47BfPFDGRdyesN9S8AAAD//wMAUEsB&#10;Ai0AFAAGAAgAAAAhALaDOJL+AAAA4QEAABMAAAAAAAAAAAAAAAAAAAAAAFtDb250ZW50X1R5cGVz&#10;XS54bWxQSwECLQAUAAYACAAAACEAOP0h/9YAAACUAQAACwAAAAAAAAAAAAAAAAAvAQAAX3JlbHMv&#10;LnJlbHNQSwECLQAUAAYACAAAACEAzXbaUvABAAA/BAAADgAAAAAAAAAAAAAAAAAuAgAAZHJzL2Uy&#10;b0RvYy54bWxQSwECLQAUAAYACAAAACEAmoSOy94AAAALAQAADwAAAAAAAAAAAAAAAABKBAAAZHJz&#10;L2Rvd25yZXYueG1sUEsFBgAAAAAEAAQA8wAAAFUFAAAAAA==&#10;" strokecolor="yellow" strokeweight="3pt">
                <v:stroke endarrow="block"/>
                <v:shadow on="t" color="black" opacity="22937f" origin=",.5" offset="0,.63889mm"/>
              </v:shape>
            </w:pict>
          </mc:Fallback>
        </mc:AlternateContent>
      </w:r>
    </w:p>
    <w:p w14:paraId="52D94EF8" w14:textId="4AF0B558" w:rsidR="00984255" w:rsidRPr="00576180" w:rsidRDefault="00371107" w:rsidP="00984255">
      <w:pPr>
        <w:spacing w:before="120" w:after="120"/>
        <w:ind w:right="446"/>
        <w:jc w:val="both"/>
        <w:rPr>
          <w:rFonts w:ascii="Arial" w:hAnsi="Arial" w:cs="Arial"/>
          <w:sz w:val="18"/>
          <w:szCs w:val="18"/>
        </w:rPr>
      </w:pPr>
      <w:r w:rsidRPr="00576180">
        <w:rPr>
          <w:rFonts w:ascii="Arial" w:hAnsi="Arial" w:cs="Arial"/>
          <w:noProof/>
          <w:sz w:val="18"/>
          <w:szCs w:val="18"/>
          <w:lang w:eastAsia="pt-BR"/>
        </w:rPr>
        <mc:AlternateContent>
          <mc:Choice Requires="wps">
            <w:drawing>
              <wp:anchor distT="0" distB="0" distL="114300" distR="114300" simplePos="0" relativeHeight="251827200" behindDoc="0" locked="0" layoutInCell="1" allowOverlap="1" wp14:anchorId="2A81C763" wp14:editId="2A616871">
                <wp:simplePos x="0" y="0"/>
                <wp:positionH relativeFrom="column">
                  <wp:posOffset>86995</wp:posOffset>
                </wp:positionH>
                <wp:positionV relativeFrom="paragraph">
                  <wp:posOffset>42545</wp:posOffset>
                </wp:positionV>
                <wp:extent cx="2726690" cy="1915795"/>
                <wp:effectExtent l="0" t="0" r="16510" b="27305"/>
                <wp:wrapNone/>
                <wp:docPr id="153" name="Rectangle 153"/>
                <wp:cNvGraphicFramePr/>
                <a:graphic xmlns:a="http://schemas.openxmlformats.org/drawingml/2006/main">
                  <a:graphicData uri="http://schemas.microsoft.com/office/word/2010/wordprocessingShape">
                    <wps:wsp>
                      <wps:cNvSpPr/>
                      <wps:spPr>
                        <a:xfrm>
                          <a:off x="0" y="0"/>
                          <a:ext cx="2726690" cy="19157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17F280" w14:textId="7315933B" w:rsidR="00D87B95" w:rsidRPr="0016513A" w:rsidRDefault="00D87B95" w:rsidP="009D0D5F">
                            <w:pPr>
                              <w:spacing w:after="60" w:line="240" w:lineRule="auto"/>
                              <w:rPr>
                                <w:sz w:val="18"/>
                                <w:szCs w:val="18"/>
                                <w:lang w:val="es-US"/>
                              </w:rPr>
                            </w:pPr>
                            <w:proofErr w:type="gramStart"/>
                            <w:r w:rsidRPr="0016513A">
                              <w:rPr>
                                <w:sz w:val="18"/>
                                <w:szCs w:val="18"/>
                                <w:lang w:val="es-US"/>
                              </w:rPr>
                              <w:t>P1.1  Informatización</w:t>
                            </w:r>
                            <w:proofErr w:type="gramEnd"/>
                            <w:r>
                              <w:rPr>
                                <w:sz w:val="18"/>
                                <w:szCs w:val="18"/>
                                <w:lang w:val="es-US"/>
                              </w:rPr>
                              <w:t xml:space="preserve"> e implementación</w:t>
                            </w:r>
                            <w:r w:rsidRPr="0016513A">
                              <w:rPr>
                                <w:sz w:val="18"/>
                                <w:szCs w:val="18"/>
                                <w:lang w:val="es-US"/>
                              </w:rPr>
                              <w:t xml:space="preserve"> del </w:t>
                            </w:r>
                            <w:r>
                              <w:rPr>
                                <w:sz w:val="18"/>
                                <w:szCs w:val="18"/>
                                <w:lang w:val="es-US"/>
                              </w:rPr>
                              <w:t>m</w:t>
                            </w:r>
                            <w:r w:rsidRPr="0016513A">
                              <w:rPr>
                                <w:sz w:val="18"/>
                                <w:szCs w:val="18"/>
                                <w:lang w:val="es-US"/>
                              </w:rPr>
                              <w:t xml:space="preserve">acroproceso de </w:t>
                            </w:r>
                            <w:r>
                              <w:rPr>
                                <w:sz w:val="18"/>
                                <w:szCs w:val="18"/>
                                <w:lang w:val="es-US"/>
                              </w:rPr>
                              <w:t>p</w:t>
                            </w:r>
                            <w:r w:rsidRPr="0016513A">
                              <w:rPr>
                                <w:sz w:val="18"/>
                                <w:szCs w:val="18"/>
                                <w:lang w:val="es-US"/>
                              </w:rPr>
                              <w:t xml:space="preserve">rogramación </w:t>
                            </w:r>
                            <w:r>
                              <w:rPr>
                                <w:sz w:val="18"/>
                                <w:szCs w:val="18"/>
                                <w:lang w:val="es-US"/>
                              </w:rPr>
                              <w:t>p</w:t>
                            </w:r>
                            <w:r w:rsidRPr="0016513A">
                              <w:rPr>
                                <w:sz w:val="18"/>
                                <w:szCs w:val="18"/>
                                <w:lang w:val="es-US"/>
                              </w:rPr>
                              <w:t>resupuestaria</w:t>
                            </w:r>
                          </w:p>
                          <w:p w14:paraId="5ABEF735" w14:textId="48E8F329" w:rsidR="00D87B95" w:rsidRPr="004E6CE3" w:rsidRDefault="00D87B95" w:rsidP="004E6CE3">
                            <w:pPr>
                              <w:spacing w:after="60" w:line="240" w:lineRule="auto"/>
                              <w:jc w:val="both"/>
                              <w:rPr>
                                <w:color w:val="000000" w:themeColor="text1"/>
                                <w:sz w:val="18"/>
                                <w:szCs w:val="18"/>
                                <w:lang w:val="es-US"/>
                              </w:rPr>
                            </w:pPr>
                            <w:r w:rsidRPr="00802864">
                              <w:rPr>
                                <w:color w:val="000000" w:themeColor="text1"/>
                                <w:sz w:val="18"/>
                                <w:szCs w:val="18"/>
                                <w:highlight w:val="yellow"/>
                                <w:lang w:val="es-US"/>
                              </w:rPr>
                              <w:t xml:space="preserve">P1.2 </w:t>
                            </w:r>
                            <w:bookmarkStart w:id="104" w:name="_Hlk19370956"/>
                            <w:r w:rsidRPr="00802864">
                              <w:rPr>
                                <w:color w:val="000000" w:themeColor="text1"/>
                                <w:sz w:val="18"/>
                                <w:szCs w:val="18"/>
                                <w:highlight w:val="yellow"/>
                                <w:lang w:val="es-US"/>
                              </w:rPr>
                              <w:t>Informatización del macroproceso de ejecución financiera, contabilidad y rendición de cuentas</w:t>
                            </w:r>
                            <w:bookmarkEnd w:id="104"/>
                          </w:p>
                          <w:p w14:paraId="108EB221" w14:textId="7AFD17FC" w:rsidR="00D87B95" w:rsidRPr="003D267E" w:rsidRDefault="00D87B95" w:rsidP="009D0D5F">
                            <w:pPr>
                              <w:spacing w:after="60" w:line="240" w:lineRule="auto"/>
                              <w:rPr>
                                <w:color w:val="000000" w:themeColor="text1"/>
                                <w:sz w:val="18"/>
                                <w:szCs w:val="18"/>
                                <w:lang w:val="es-US"/>
                              </w:rPr>
                            </w:pPr>
                            <w:r w:rsidRPr="00957319">
                              <w:rPr>
                                <w:color w:val="000000" w:themeColor="text1"/>
                                <w:sz w:val="18"/>
                                <w:szCs w:val="18"/>
                                <w:highlight w:val="green"/>
                                <w:lang w:val="es-US"/>
                              </w:rPr>
                              <w:t xml:space="preserve">P1.3 Servidores </w:t>
                            </w:r>
                          </w:p>
                          <w:p w14:paraId="33D5785D" w14:textId="75FC6EC6" w:rsidR="00D87B95" w:rsidRDefault="00D87B95" w:rsidP="009D0D5F">
                            <w:pPr>
                              <w:spacing w:after="60" w:line="240" w:lineRule="auto"/>
                              <w:rPr>
                                <w:sz w:val="18"/>
                                <w:szCs w:val="18"/>
                                <w:lang w:val="es-US"/>
                              </w:rPr>
                            </w:pPr>
                            <w:r>
                              <w:rPr>
                                <w:sz w:val="18"/>
                                <w:szCs w:val="18"/>
                                <w:lang w:val="es-US"/>
                              </w:rPr>
                              <w:t>P1.4 Software de producción y manejo de datos</w:t>
                            </w:r>
                          </w:p>
                          <w:p w14:paraId="6B1E9CDE" w14:textId="429FC5B9" w:rsidR="00D87B95" w:rsidRDefault="00D87B95" w:rsidP="009D0D5F">
                            <w:pPr>
                              <w:spacing w:after="60" w:line="240" w:lineRule="auto"/>
                              <w:rPr>
                                <w:sz w:val="18"/>
                                <w:szCs w:val="18"/>
                                <w:lang w:val="es-US"/>
                              </w:rPr>
                            </w:pPr>
                            <w:r>
                              <w:rPr>
                                <w:sz w:val="18"/>
                                <w:szCs w:val="18"/>
                                <w:lang w:val="es-US"/>
                              </w:rPr>
                              <w:t>P1.5 Equipos informáticos</w:t>
                            </w:r>
                          </w:p>
                          <w:p w14:paraId="685C2160" w14:textId="7AA3B132" w:rsidR="00D87B95" w:rsidRPr="002F1171" w:rsidRDefault="00D87B95" w:rsidP="009D0D5F">
                            <w:pPr>
                              <w:spacing w:after="60" w:line="240" w:lineRule="auto"/>
                              <w:rPr>
                                <w:sz w:val="18"/>
                                <w:szCs w:val="18"/>
                              </w:rPr>
                            </w:pPr>
                            <w:r w:rsidRPr="002F1171">
                              <w:rPr>
                                <w:sz w:val="18"/>
                                <w:szCs w:val="18"/>
                              </w:rPr>
                              <w:t xml:space="preserve">P1.6. Plataforma de </w:t>
                            </w:r>
                            <w:r w:rsidRPr="002F1171">
                              <w:rPr>
                                <w:i/>
                                <w:sz w:val="18"/>
                                <w:szCs w:val="18"/>
                              </w:rPr>
                              <w:t>e-learning</w:t>
                            </w:r>
                            <w:r w:rsidRPr="002F1171">
                              <w:rPr>
                                <w:sz w:val="18"/>
                                <w:szCs w:val="18"/>
                              </w:rPr>
                              <w:t xml:space="preserve"> implementada</w:t>
                            </w:r>
                          </w:p>
                          <w:p w14:paraId="57369D04" w14:textId="70A4919A" w:rsidR="00D87B95" w:rsidRPr="002F1171" w:rsidRDefault="00D87B95" w:rsidP="009D0D5F">
                            <w:pPr>
                              <w:spacing w:after="60" w:line="240" w:lineRule="auto"/>
                              <w:rPr>
                                <w:sz w:val="18"/>
                                <w:szCs w:val="18"/>
                              </w:rPr>
                            </w:pPr>
                            <w:r w:rsidRPr="002F1171">
                              <w:rPr>
                                <w:sz w:val="18"/>
                                <w:szCs w:val="18"/>
                              </w:rPr>
                              <w:t>P1.7. Metodologías en CMMI y PMMI implementadas</w:t>
                            </w:r>
                          </w:p>
                          <w:p w14:paraId="1074F114" w14:textId="77777777" w:rsidR="00D87B95" w:rsidRPr="002F1171" w:rsidRDefault="00D87B95" w:rsidP="009D0D5F">
                            <w:pPr>
                              <w:spacing w:after="60" w:line="240" w:lineRule="auto"/>
                              <w:rPr>
                                <w:sz w:val="18"/>
                                <w:szCs w:val="18"/>
                              </w:rPr>
                            </w:pPr>
                          </w:p>
                          <w:p w14:paraId="71514CA0" w14:textId="77777777" w:rsidR="00D87B95" w:rsidRPr="002F1171" w:rsidRDefault="00D87B95" w:rsidP="009D0D5F">
                            <w:pPr>
                              <w:spacing w:after="60" w:line="240" w:lineRule="auto"/>
                              <w:rPr>
                                <w:sz w:val="18"/>
                                <w:szCs w:val="18"/>
                              </w:rPr>
                            </w:pPr>
                          </w:p>
                          <w:p w14:paraId="56F59773" w14:textId="77777777" w:rsidR="00D87B95" w:rsidRPr="002F1171" w:rsidRDefault="00D87B95" w:rsidP="00984255">
                            <w:pPr>
                              <w:rPr>
                                <w:sz w:val="18"/>
                                <w:szCs w:val="18"/>
                              </w:rPr>
                            </w:pPr>
                          </w:p>
                          <w:p w14:paraId="26C00466" w14:textId="77777777" w:rsidR="00D87B95" w:rsidRPr="002F1171" w:rsidRDefault="00D87B95" w:rsidP="00984255">
                            <w:pPr>
                              <w:rPr>
                                <w:sz w:val="18"/>
                                <w:szCs w:val="18"/>
                              </w:rPr>
                            </w:pPr>
                          </w:p>
                          <w:p w14:paraId="2F758CEE" w14:textId="77777777" w:rsidR="00D87B95" w:rsidRPr="002F1171" w:rsidRDefault="00D87B95" w:rsidP="00984255">
                            <w:pPr>
                              <w:rPr>
                                <w:sz w:val="18"/>
                                <w:szCs w:val="18"/>
                              </w:rPr>
                            </w:pPr>
                          </w:p>
                          <w:p w14:paraId="4BAC5210" w14:textId="77777777" w:rsidR="00D87B95" w:rsidRPr="002F1171" w:rsidRDefault="00D87B95" w:rsidP="00984255">
                            <w:pPr>
                              <w:rPr>
                                <w:sz w:val="18"/>
                                <w:szCs w:val="18"/>
                              </w:rPr>
                            </w:pPr>
                          </w:p>
                          <w:p w14:paraId="2CD51438" w14:textId="77777777" w:rsidR="00D87B95" w:rsidRPr="002F1171" w:rsidRDefault="00D87B95" w:rsidP="00984255">
                            <w:pP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1C763" id="Rectangle 153" o:spid="_x0000_s1043" style="position:absolute;left:0;text-align:left;margin-left:6.85pt;margin-top:3.35pt;width:214.7pt;height:150.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WDgAIAAFEFAAAOAAAAZHJzL2Uyb0RvYy54bWysVN9v2yAQfp+0/wHxvjrOmmaJ6lRRq06T&#10;qrZqO/WZYIgtAceAxM7++h3guFVb7WGaHzBwdx933/04v+i1InvhfAumouXJhBJhONSt2Vb059P1&#10;l2+U+MBMzRQYUdGD8PRi9fnTeWeXYgoNqFo4giDGLztb0SYEuywKzxuhmT8BKwwKJTjNAh7dtqgd&#10;6xBdq2I6mZwVHbjaOuDCe7y9ykK6SvhSCh7upPQiEFVR9C2k1aV1E9didc6WW8ds0/LBDfYPXmjW&#10;Gnx0hLpigZGda99B6ZY78CDDCQddgJQtFykGjKacvInmsWFWpFiQHG9Hmvz/g+W3+3tH2hpzN/tK&#10;iWEak/SAtDGzVYLES6Sos36Jmo/23g0nj9sYby+djn+MhPSJ1sNIq+gD4Xg5nU/PzhbIPkdZuShn&#10;88UsohYv5tb58F2AJnFTUYcOJDrZ/saHrHpUQbvoTnYg7cJBieiDMg9CYizxyWSdqkhcKkf2DPPP&#10;OBcmlFnUsFrk69kEv8Gf0SJ5lwAjsmyVGrEHgFih77Gzr4N+NBWpCEfjyd8cy8ajRXoZTBiNdWvA&#10;fQSgMKrh5ax/JClTE1kK/abPeZ5H1Xi1gfqAyXeQu8Jbft0i/TfMh3vmsA0wZdja4Q4XqaCrKAw7&#10;Shpwvz+6j/pYnSilpMO2qqj/tWNOUKJ+GKzbRXl6GvswHU5n8yke3GvJ5rXE7PQlYOZKHCKWp23U&#10;D+q4lQ70M06AdXwVRcxwfLuiPLjj4TLkdscZwsV6ndSw9ywLN+bR8ggeiY7l9dQ/M2eHGgxYvrdw&#10;bEG2fFOKWTdaGljvAsg21ekLr0MKsG9TLQ0zJg6G1+ek9TIJV38AAAD//wMAUEsDBBQABgAIAAAA&#10;IQAw6X3W3AAAAAgBAAAPAAAAZHJzL2Rvd25yZXYueG1sTI9BS8QwEIXvgv8hjODNTWvLbqlNFxFE&#10;8CLu+gOyzdhWk0lJ0m311zue9DQ83uPN95r96qw4Y4ijJwX5JgOB1HkzUq/g7fh4U4GISZPR1hMq&#10;+MII+/byotG18Qu94vmQesElFGutYEhpqqWM3YBOx42fkNh798HpxDL00gS9cLmz8jbLttLpkfjD&#10;oCd8GLD7PMxOgc9f0vNxKWfCJTxV40dnv3eVUtdX6/0diIRr+gvDLz6jQ8tMJz+TicKyLnacVLDl&#10;w3ZZFjmIk4Iiq0qQbSP/D2h/AAAA//8DAFBLAQItABQABgAIAAAAIQC2gziS/gAAAOEBAAATAAAA&#10;AAAAAAAAAAAAAAAAAABbQ29udGVudF9UeXBlc10ueG1sUEsBAi0AFAAGAAgAAAAhADj9If/WAAAA&#10;lAEAAAsAAAAAAAAAAAAAAAAALwEAAF9yZWxzLy5yZWxzUEsBAi0AFAAGAAgAAAAhADG+VYOAAgAA&#10;UQUAAA4AAAAAAAAAAAAAAAAALgIAAGRycy9lMm9Eb2MueG1sUEsBAi0AFAAGAAgAAAAhADDpfdbc&#10;AAAACAEAAA8AAAAAAAAAAAAAAAAA2gQAAGRycy9kb3ducmV2LnhtbFBLBQYAAAAABAAEAPMAAADj&#10;BQAAAAA=&#10;" fillcolor="#4f81bd [3204]" strokecolor="#243f60 [1604]" strokeweight="2pt">
                <v:textbox>
                  <w:txbxContent>
                    <w:p w14:paraId="3D17F280" w14:textId="7315933B" w:rsidR="00D87B95" w:rsidRPr="0016513A" w:rsidRDefault="00D87B95" w:rsidP="009D0D5F">
                      <w:pPr>
                        <w:spacing w:after="60" w:line="240" w:lineRule="auto"/>
                        <w:rPr>
                          <w:sz w:val="18"/>
                          <w:szCs w:val="18"/>
                          <w:lang w:val="es-US"/>
                        </w:rPr>
                      </w:pPr>
                      <w:proofErr w:type="gramStart"/>
                      <w:r w:rsidRPr="0016513A">
                        <w:rPr>
                          <w:sz w:val="18"/>
                          <w:szCs w:val="18"/>
                          <w:lang w:val="es-US"/>
                        </w:rPr>
                        <w:t>P1.1  Informatización</w:t>
                      </w:r>
                      <w:proofErr w:type="gramEnd"/>
                      <w:r>
                        <w:rPr>
                          <w:sz w:val="18"/>
                          <w:szCs w:val="18"/>
                          <w:lang w:val="es-US"/>
                        </w:rPr>
                        <w:t xml:space="preserve"> e implementación</w:t>
                      </w:r>
                      <w:r w:rsidRPr="0016513A">
                        <w:rPr>
                          <w:sz w:val="18"/>
                          <w:szCs w:val="18"/>
                          <w:lang w:val="es-US"/>
                        </w:rPr>
                        <w:t xml:space="preserve"> del </w:t>
                      </w:r>
                      <w:r>
                        <w:rPr>
                          <w:sz w:val="18"/>
                          <w:szCs w:val="18"/>
                          <w:lang w:val="es-US"/>
                        </w:rPr>
                        <w:t>m</w:t>
                      </w:r>
                      <w:r w:rsidRPr="0016513A">
                        <w:rPr>
                          <w:sz w:val="18"/>
                          <w:szCs w:val="18"/>
                          <w:lang w:val="es-US"/>
                        </w:rPr>
                        <w:t xml:space="preserve">acroproceso de </w:t>
                      </w:r>
                      <w:r>
                        <w:rPr>
                          <w:sz w:val="18"/>
                          <w:szCs w:val="18"/>
                          <w:lang w:val="es-US"/>
                        </w:rPr>
                        <w:t>p</w:t>
                      </w:r>
                      <w:r w:rsidRPr="0016513A">
                        <w:rPr>
                          <w:sz w:val="18"/>
                          <w:szCs w:val="18"/>
                          <w:lang w:val="es-US"/>
                        </w:rPr>
                        <w:t xml:space="preserve">rogramación </w:t>
                      </w:r>
                      <w:r>
                        <w:rPr>
                          <w:sz w:val="18"/>
                          <w:szCs w:val="18"/>
                          <w:lang w:val="es-US"/>
                        </w:rPr>
                        <w:t>p</w:t>
                      </w:r>
                      <w:r w:rsidRPr="0016513A">
                        <w:rPr>
                          <w:sz w:val="18"/>
                          <w:szCs w:val="18"/>
                          <w:lang w:val="es-US"/>
                        </w:rPr>
                        <w:t>resupuestaria</w:t>
                      </w:r>
                    </w:p>
                    <w:p w14:paraId="5ABEF735" w14:textId="48E8F329" w:rsidR="00D87B95" w:rsidRPr="004E6CE3" w:rsidRDefault="00D87B95" w:rsidP="004E6CE3">
                      <w:pPr>
                        <w:spacing w:after="60" w:line="240" w:lineRule="auto"/>
                        <w:jc w:val="both"/>
                        <w:rPr>
                          <w:color w:val="000000" w:themeColor="text1"/>
                          <w:sz w:val="18"/>
                          <w:szCs w:val="18"/>
                          <w:lang w:val="es-US"/>
                        </w:rPr>
                      </w:pPr>
                      <w:r w:rsidRPr="00802864">
                        <w:rPr>
                          <w:color w:val="000000" w:themeColor="text1"/>
                          <w:sz w:val="18"/>
                          <w:szCs w:val="18"/>
                          <w:highlight w:val="yellow"/>
                          <w:lang w:val="es-US"/>
                        </w:rPr>
                        <w:t xml:space="preserve">P1.2 </w:t>
                      </w:r>
                      <w:bookmarkStart w:id="106" w:name="_Hlk19370956"/>
                      <w:r w:rsidRPr="00802864">
                        <w:rPr>
                          <w:color w:val="000000" w:themeColor="text1"/>
                          <w:sz w:val="18"/>
                          <w:szCs w:val="18"/>
                          <w:highlight w:val="yellow"/>
                          <w:lang w:val="es-US"/>
                        </w:rPr>
                        <w:t>Informatización del macroproceso de ejecución financiera, contabilidad y rendición de cuentas</w:t>
                      </w:r>
                      <w:bookmarkEnd w:id="106"/>
                    </w:p>
                    <w:p w14:paraId="108EB221" w14:textId="7AFD17FC" w:rsidR="00D87B95" w:rsidRPr="003D267E" w:rsidRDefault="00D87B95" w:rsidP="009D0D5F">
                      <w:pPr>
                        <w:spacing w:after="60" w:line="240" w:lineRule="auto"/>
                        <w:rPr>
                          <w:color w:val="000000" w:themeColor="text1"/>
                          <w:sz w:val="18"/>
                          <w:szCs w:val="18"/>
                          <w:lang w:val="es-US"/>
                        </w:rPr>
                      </w:pPr>
                      <w:r w:rsidRPr="00957319">
                        <w:rPr>
                          <w:color w:val="000000" w:themeColor="text1"/>
                          <w:sz w:val="18"/>
                          <w:szCs w:val="18"/>
                          <w:highlight w:val="green"/>
                          <w:lang w:val="es-US"/>
                        </w:rPr>
                        <w:t xml:space="preserve">P1.3 Servidores </w:t>
                      </w:r>
                    </w:p>
                    <w:p w14:paraId="33D5785D" w14:textId="75FC6EC6" w:rsidR="00D87B95" w:rsidRDefault="00D87B95" w:rsidP="009D0D5F">
                      <w:pPr>
                        <w:spacing w:after="60" w:line="240" w:lineRule="auto"/>
                        <w:rPr>
                          <w:sz w:val="18"/>
                          <w:szCs w:val="18"/>
                          <w:lang w:val="es-US"/>
                        </w:rPr>
                      </w:pPr>
                      <w:r>
                        <w:rPr>
                          <w:sz w:val="18"/>
                          <w:szCs w:val="18"/>
                          <w:lang w:val="es-US"/>
                        </w:rPr>
                        <w:t>P1.4 Software de producción y manejo de datos</w:t>
                      </w:r>
                    </w:p>
                    <w:p w14:paraId="6B1E9CDE" w14:textId="429FC5B9" w:rsidR="00D87B95" w:rsidRDefault="00D87B95" w:rsidP="009D0D5F">
                      <w:pPr>
                        <w:spacing w:after="60" w:line="240" w:lineRule="auto"/>
                        <w:rPr>
                          <w:sz w:val="18"/>
                          <w:szCs w:val="18"/>
                          <w:lang w:val="es-US"/>
                        </w:rPr>
                      </w:pPr>
                      <w:r>
                        <w:rPr>
                          <w:sz w:val="18"/>
                          <w:szCs w:val="18"/>
                          <w:lang w:val="es-US"/>
                        </w:rPr>
                        <w:t>P1.5 Equipos informáticos</w:t>
                      </w:r>
                    </w:p>
                    <w:p w14:paraId="685C2160" w14:textId="7AA3B132" w:rsidR="00D87B95" w:rsidRPr="002F1171" w:rsidRDefault="00D87B95" w:rsidP="009D0D5F">
                      <w:pPr>
                        <w:spacing w:after="60" w:line="240" w:lineRule="auto"/>
                        <w:rPr>
                          <w:sz w:val="18"/>
                          <w:szCs w:val="18"/>
                        </w:rPr>
                      </w:pPr>
                      <w:r w:rsidRPr="002F1171">
                        <w:rPr>
                          <w:sz w:val="18"/>
                          <w:szCs w:val="18"/>
                        </w:rPr>
                        <w:t xml:space="preserve">P1.6. Plataforma de </w:t>
                      </w:r>
                      <w:r w:rsidRPr="002F1171">
                        <w:rPr>
                          <w:i/>
                          <w:sz w:val="18"/>
                          <w:szCs w:val="18"/>
                        </w:rPr>
                        <w:t>e-learning</w:t>
                      </w:r>
                      <w:r w:rsidRPr="002F1171">
                        <w:rPr>
                          <w:sz w:val="18"/>
                          <w:szCs w:val="18"/>
                        </w:rPr>
                        <w:t xml:space="preserve"> implementada</w:t>
                      </w:r>
                    </w:p>
                    <w:p w14:paraId="57369D04" w14:textId="70A4919A" w:rsidR="00D87B95" w:rsidRPr="002F1171" w:rsidRDefault="00D87B95" w:rsidP="009D0D5F">
                      <w:pPr>
                        <w:spacing w:after="60" w:line="240" w:lineRule="auto"/>
                        <w:rPr>
                          <w:sz w:val="18"/>
                          <w:szCs w:val="18"/>
                        </w:rPr>
                      </w:pPr>
                      <w:r w:rsidRPr="002F1171">
                        <w:rPr>
                          <w:sz w:val="18"/>
                          <w:szCs w:val="18"/>
                        </w:rPr>
                        <w:t>P1.7. Metodologías en CMMI y PMMI implementadas</w:t>
                      </w:r>
                    </w:p>
                    <w:p w14:paraId="1074F114" w14:textId="77777777" w:rsidR="00D87B95" w:rsidRPr="002F1171" w:rsidRDefault="00D87B95" w:rsidP="009D0D5F">
                      <w:pPr>
                        <w:spacing w:after="60" w:line="240" w:lineRule="auto"/>
                        <w:rPr>
                          <w:sz w:val="18"/>
                          <w:szCs w:val="18"/>
                        </w:rPr>
                      </w:pPr>
                    </w:p>
                    <w:p w14:paraId="71514CA0" w14:textId="77777777" w:rsidR="00D87B95" w:rsidRPr="002F1171" w:rsidRDefault="00D87B95" w:rsidP="009D0D5F">
                      <w:pPr>
                        <w:spacing w:after="60" w:line="240" w:lineRule="auto"/>
                        <w:rPr>
                          <w:sz w:val="18"/>
                          <w:szCs w:val="18"/>
                        </w:rPr>
                      </w:pPr>
                    </w:p>
                    <w:p w14:paraId="56F59773" w14:textId="77777777" w:rsidR="00D87B95" w:rsidRPr="002F1171" w:rsidRDefault="00D87B95" w:rsidP="00984255">
                      <w:pPr>
                        <w:rPr>
                          <w:sz w:val="18"/>
                          <w:szCs w:val="18"/>
                        </w:rPr>
                      </w:pPr>
                    </w:p>
                    <w:p w14:paraId="26C00466" w14:textId="77777777" w:rsidR="00D87B95" w:rsidRPr="002F1171" w:rsidRDefault="00D87B95" w:rsidP="00984255">
                      <w:pPr>
                        <w:rPr>
                          <w:sz w:val="18"/>
                          <w:szCs w:val="18"/>
                        </w:rPr>
                      </w:pPr>
                    </w:p>
                    <w:p w14:paraId="2F758CEE" w14:textId="77777777" w:rsidR="00D87B95" w:rsidRPr="002F1171" w:rsidRDefault="00D87B95" w:rsidP="00984255">
                      <w:pPr>
                        <w:rPr>
                          <w:sz w:val="18"/>
                          <w:szCs w:val="18"/>
                        </w:rPr>
                      </w:pPr>
                    </w:p>
                    <w:p w14:paraId="4BAC5210" w14:textId="77777777" w:rsidR="00D87B95" w:rsidRPr="002F1171" w:rsidRDefault="00D87B95" w:rsidP="00984255">
                      <w:pPr>
                        <w:rPr>
                          <w:sz w:val="18"/>
                          <w:szCs w:val="18"/>
                        </w:rPr>
                      </w:pPr>
                    </w:p>
                    <w:p w14:paraId="2CD51438" w14:textId="77777777" w:rsidR="00D87B95" w:rsidRPr="002F1171" w:rsidRDefault="00D87B95" w:rsidP="00984255">
                      <w:pPr>
                        <w:rPr>
                          <w:color w:val="FFFFFF" w:themeColor="background1"/>
                          <w:sz w:val="18"/>
                          <w:szCs w:val="18"/>
                        </w:rPr>
                      </w:pPr>
                    </w:p>
                  </w:txbxContent>
                </v:textbox>
              </v:rect>
            </w:pict>
          </mc:Fallback>
        </mc:AlternateContent>
      </w:r>
      <w:r w:rsidR="00003428" w:rsidRPr="00576180">
        <w:rPr>
          <w:rFonts w:ascii="Arial" w:hAnsi="Arial" w:cs="Arial"/>
          <w:noProof/>
          <w:sz w:val="18"/>
          <w:szCs w:val="18"/>
          <w:lang w:eastAsia="pt-BR"/>
        </w:rPr>
        <mc:AlternateContent>
          <mc:Choice Requires="wps">
            <w:drawing>
              <wp:anchor distT="0" distB="0" distL="114300" distR="114300" simplePos="0" relativeHeight="251877376" behindDoc="0" locked="0" layoutInCell="1" allowOverlap="1" wp14:anchorId="26E229C4" wp14:editId="2AE3E603">
                <wp:simplePos x="0" y="0"/>
                <wp:positionH relativeFrom="column">
                  <wp:posOffset>6037943</wp:posOffset>
                </wp:positionH>
                <wp:positionV relativeFrom="paragraph">
                  <wp:posOffset>33020</wp:posOffset>
                </wp:positionV>
                <wp:extent cx="2756535" cy="1944914"/>
                <wp:effectExtent l="0" t="0" r="24765" b="17780"/>
                <wp:wrapNone/>
                <wp:docPr id="84" name="Rectangle 84"/>
                <wp:cNvGraphicFramePr/>
                <a:graphic xmlns:a="http://schemas.openxmlformats.org/drawingml/2006/main">
                  <a:graphicData uri="http://schemas.microsoft.com/office/word/2010/wordprocessingShape">
                    <wps:wsp>
                      <wps:cNvSpPr/>
                      <wps:spPr>
                        <a:xfrm>
                          <a:off x="0" y="0"/>
                          <a:ext cx="2756535" cy="19449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9ABE95" w14:textId="66DDF9C4" w:rsidR="00D87B95" w:rsidRPr="007226B6" w:rsidRDefault="00D87B95" w:rsidP="004E6CE3">
                            <w:pPr>
                              <w:spacing w:after="60" w:line="240" w:lineRule="auto"/>
                              <w:jc w:val="both"/>
                              <w:rPr>
                                <w:color w:val="000000" w:themeColor="text1"/>
                                <w:sz w:val="18"/>
                                <w:szCs w:val="18"/>
                                <w:highlight w:val="green"/>
                                <w:lang w:val="es-US"/>
                              </w:rPr>
                            </w:pPr>
                            <w:r w:rsidRPr="007226B6">
                              <w:rPr>
                                <w:color w:val="000000" w:themeColor="text1"/>
                                <w:sz w:val="18"/>
                                <w:szCs w:val="18"/>
                                <w:highlight w:val="green"/>
                                <w:lang w:val="es-US"/>
                              </w:rPr>
                              <w:t>P3.1 Guía metodológica para promover la reestructuración de los programas presupuestarios bajo la lógica insumo-producto</w:t>
                            </w:r>
                          </w:p>
                          <w:p w14:paraId="3F8E1074" w14:textId="03A288C4" w:rsidR="00D87B95" w:rsidRPr="004E6CE3" w:rsidRDefault="00D87B95" w:rsidP="009D0D5F">
                            <w:pPr>
                              <w:spacing w:after="60" w:line="240" w:lineRule="auto"/>
                              <w:rPr>
                                <w:color w:val="000000" w:themeColor="text1"/>
                                <w:sz w:val="18"/>
                                <w:szCs w:val="18"/>
                                <w:lang w:val="es-US"/>
                              </w:rPr>
                            </w:pPr>
                            <w:r w:rsidRPr="007226B6">
                              <w:rPr>
                                <w:color w:val="000000" w:themeColor="text1"/>
                                <w:sz w:val="18"/>
                                <w:szCs w:val="18"/>
                                <w:highlight w:val="green"/>
                                <w:lang w:val="es-US"/>
                              </w:rPr>
                              <w:t xml:space="preserve">P3.2 Capacitación en gestión presupuestaria y </w:t>
                            </w:r>
                            <w:proofErr w:type="spellStart"/>
                            <w:r w:rsidRPr="007226B6">
                              <w:rPr>
                                <w:color w:val="000000" w:themeColor="text1"/>
                                <w:sz w:val="18"/>
                                <w:szCs w:val="18"/>
                                <w:highlight w:val="green"/>
                                <w:lang w:val="es-US"/>
                              </w:rPr>
                              <w:t>PpR</w:t>
                            </w:r>
                            <w:proofErr w:type="spellEnd"/>
                          </w:p>
                          <w:p w14:paraId="481A0011" w14:textId="05C8ECBD" w:rsidR="00D87B95" w:rsidRPr="00371107" w:rsidRDefault="00D87B95" w:rsidP="009D0D5F">
                            <w:pPr>
                              <w:spacing w:after="60" w:line="240" w:lineRule="auto"/>
                              <w:rPr>
                                <w:sz w:val="18"/>
                                <w:szCs w:val="18"/>
                                <w:lang w:val="es-US"/>
                              </w:rPr>
                            </w:pPr>
                            <w:r w:rsidRPr="00371107">
                              <w:rPr>
                                <w:sz w:val="18"/>
                                <w:szCs w:val="18"/>
                                <w:lang w:val="es-US"/>
                              </w:rPr>
                              <w:t>P3.3 Estudio de evaluación de sistemas de gestión administrativa</w:t>
                            </w:r>
                          </w:p>
                          <w:p w14:paraId="2881626C" w14:textId="3182B21D" w:rsidR="00D87B95" w:rsidRPr="00371107" w:rsidRDefault="00D87B95" w:rsidP="009D0D5F">
                            <w:pPr>
                              <w:spacing w:after="60" w:line="240" w:lineRule="auto"/>
                              <w:rPr>
                                <w:sz w:val="18"/>
                                <w:szCs w:val="18"/>
                                <w:lang w:val="es-US"/>
                              </w:rPr>
                            </w:pPr>
                            <w:r>
                              <w:rPr>
                                <w:sz w:val="18"/>
                                <w:szCs w:val="18"/>
                                <w:lang w:val="es-US"/>
                              </w:rPr>
                              <w:t>P3.4</w:t>
                            </w:r>
                            <w:r w:rsidRPr="00371107">
                              <w:rPr>
                                <w:sz w:val="18"/>
                                <w:szCs w:val="18"/>
                                <w:lang w:val="es-US"/>
                              </w:rPr>
                              <w:t xml:space="preserve"> Evaluaciones de diseño, impacto y desempeño realizadas y revisiones metodológicas</w:t>
                            </w:r>
                          </w:p>
                          <w:p w14:paraId="06A97F56" w14:textId="01746A15" w:rsidR="00D87B95" w:rsidRDefault="00D87B95">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229C4" id="Rectangle 84" o:spid="_x0000_s1044" style="position:absolute;left:0;text-align:left;margin-left:475.45pt;margin-top:2.6pt;width:217.05pt;height:153.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AvgQIAAE8FAAAOAAAAZHJzL2Uyb0RvYy54bWysVEtv2zAMvg/YfxB0Xx1nSR9BnSJo0WFA&#10;0RZ9oGdFlmIDsqhRSuzs14+SHbdoix2G5eCIIvmR/Ejq/KJrDNsp9DXYgudHE86UlVDWdlPw56fr&#10;b6ec+SBsKQxYVfC98vxi+fXLeesWagoVmFIhIxDrF60reBWCW2SZl5VqhD8CpywpNWAjAom4yUoU&#10;LaE3JptOJsdZC1g6BKm8p9urXsmXCV9rJcOd1l4FZgpOuYX0xfRdx2+2PBeLDQpX1XJIQ/xDFo2o&#10;LQUdoa5EEGyL9QeoppYIHnQ4ktBkoHUtVaqBqskn76p5rIRTqRYix7uRJv//YOXt7h5ZXRb8dMaZ&#10;FQ316IFYE3ZjFKM7Iqh1fkF2j+4eB8nTMVbbaWziP9XBukTqfiRVdYFJupyezI/n3+ecSdLlZ7PZ&#10;WZ5Qs1d3hz78UNCweCg4UvxEptjd+EAhyfRgQkJMp08gncLeqJiDsQ9KUyUxZPJOM6QuDbKdoO4L&#10;KZUNea+qRKn66/mEfrFKCjJ6JCkBRmRdGzNiDwBxPj9i9zCDfXRVaQRH58nfEuudR48UGWwYnZva&#10;An4GYKiqIXJvfyCppyayFLp1l7qcnx46uoZyT61H6HfCO3ldE/03wod7gbQEtC602OGOPtpAW3AY&#10;TpxVgL8/u4/2NJuk5aylpSq4/7UVqDgzPy1NLbV+FrcwCbP5yZQEfKtZv9XYbXMJ1LmcnhAn0zHa&#10;B3M4aoTmhfZ/FaOSSlhJsQsuAx6Ey9AvO70gUq1WyYw2z4lwYx+djOCR6DheT92LQDfMYKDxvYXD&#10;AorFu1HsbaOnhdU2gK7TnEaqe16HFtDWplkaXpj4LLyVk9XrO7j8AwAA//8DAFBLAwQUAAYACAAA&#10;ACEALIIzKd8AAAAKAQAADwAAAGRycy9kb3ducmV2LnhtbEyPwU7DMBBE70j8g7VI3KiTlkCaZlMh&#10;JITEBbXlA9x4SVLsdRQ7TeDrcU9wHM1o5k25na0RZxp85xghXSQgiGunO24QPg4vdzkIHxRrZRwT&#10;wjd52FbXV6UqtJt4R+d9aEQsYV8ohDaEvpDS1y1Z5ReuJ47epxusClEOjdSDmmK5NXKZJA/Sqo7j&#10;Qqt6em6p/tqPFsGl7+HtMN2PTNPwmnen2vw85oi3N/PTBkSgOfyF4YIf0aGKTEc3svbCIKyzZB2j&#10;CNkSxMVf5Vk8d0RYpWkGsirl/wvVLwAAAP//AwBQSwECLQAUAAYACAAAACEAtoM4kv4AAADhAQAA&#10;EwAAAAAAAAAAAAAAAAAAAAAAW0NvbnRlbnRfVHlwZXNdLnhtbFBLAQItABQABgAIAAAAIQA4/SH/&#10;1gAAAJQBAAALAAAAAAAAAAAAAAAAAC8BAABfcmVscy8ucmVsc1BLAQItABQABgAIAAAAIQCpOIAv&#10;gQIAAE8FAAAOAAAAAAAAAAAAAAAAAC4CAABkcnMvZTJvRG9jLnhtbFBLAQItABQABgAIAAAAIQAs&#10;gjMp3wAAAAoBAAAPAAAAAAAAAAAAAAAAANsEAABkcnMvZG93bnJldi54bWxQSwUGAAAAAAQABADz&#10;AAAA5wUAAAAA&#10;" fillcolor="#4f81bd [3204]" strokecolor="#243f60 [1604]" strokeweight="2pt">
                <v:textbox>
                  <w:txbxContent>
                    <w:p w14:paraId="049ABE95" w14:textId="66DDF9C4" w:rsidR="00D87B95" w:rsidRPr="007226B6" w:rsidRDefault="00D87B95" w:rsidP="004E6CE3">
                      <w:pPr>
                        <w:spacing w:after="60" w:line="240" w:lineRule="auto"/>
                        <w:jc w:val="both"/>
                        <w:rPr>
                          <w:color w:val="000000" w:themeColor="text1"/>
                          <w:sz w:val="18"/>
                          <w:szCs w:val="18"/>
                          <w:highlight w:val="green"/>
                          <w:lang w:val="es-US"/>
                        </w:rPr>
                      </w:pPr>
                      <w:r w:rsidRPr="007226B6">
                        <w:rPr>
                          <w:color w:val="000000" w:themeColor="text1"/>
                          <w:sz w:val="18"/>
                          <w:szCs w:val="18"/>
                          <w:highlight w:val="green"/>
                          <w:lang w:val="es-US"/>
                        </w:rPr>
                        <w:t>P3.1 Guía metodológica para promover la reestructuración de los programas presupuestarios bajo la lógica insumo-producto</w:t>
                      </w:r>
                    </w:p>
                    <w:p w14:paraId="3F8E1074" w14:textId="03A288C4" w:rsidR="00D87B95" w:rsidRPr="004E6CE3" w:rsidRDefault="00D87B95" w:rsidP="009D0D5F">
                      <w:pPr>
                        <w:spacing w:after="60" w:line="240" w:lineRule="auto"/>
                        <w:rPr>
                          <w:color w:val="000000" w:themeColor="text1"/>
                          <w:sz w:val="18"/>
                          <w:szCs w:val="18"/>
                          <w:lang w:val="es-US"/>
                        </w:rPr>
                      </w:pPr>
                      <w:r w:rsidRPr="007226B6">
                        <w:rPr>
                          <w:color w:val="000000" w:themeColor="text1"/>
                          <w:sz w:val="18"/>
                          <w:szCs w:val="18"/>
                          <w:highlight w:val="green"/>
                          <w:lang w:val="es-US"/>
                        </w:rPr>
                        <w:t xml:space="preserve">P3.2 Capacitación en gestión presupuestaria y </w:t>
                      </w:r>
                      <w:proofErr w:type="spellStart"/>
                      <w:r w:rsidRPr="007226B6">
                        <w:rPr>
                          <w:color w:val="000000" w:themeColor="text1"/>
                          <w:sz w:val="18"/>
                          <w:szCs w:val="18"/>
                          <w:highlight w:val="green"/>
                          <w:lang w:val="es-US"/>
                        </w:rPr>
                        <w:t>PpR</w:t>
                      </w:r>
                      <w:proofErr w:type="spellEnd"/>
                    </w:p>
                    <w:p w14:paraId="481A0011" w14:textId="05C8ECBD" w:rsidR="00D87B95" w:rsidRPr="00371107" w:rsidRDefault="00D87B95" w:rsidP="009D0D5F">
                      <w:pPr>
                        <w:spacing w:after="60" w:line="240" w:lineRule="auto"/>
                        <w:rPr>
                          <w:sz w:val="18"/>
                          <w:szCs w:val="18"/>
                          <w:lang w:val="es-US"/>
                        </w:rPr>
                      </w:pPr>
                      <w:r w:rsidRPr="00371107">
                        <w:rPr>
                          <w:sz w:val="18"/>
                          <w:szCs w:val="18"/>
                          <w:lang w:val="es-US"/>
                        </w:rPr>
                        <w:t>P3.3 Estudio de evaluación de sistemas de gestión administrativa</w:t>
                      </w:r>
                    </w:p>
                    <w:p w14:paraId="2881626C" w14:textId="3182B21D" w:rsidR="00D87B95" w:rsidRPr="00371107" w:rsidRDefault="00D87B95" w:rsidP="009D0D5F">
                      <w:pPr>
                        <w:spacing w:after="60" w:line="240" w:lineRule="auto"/>
                        <w:rPr>
                          <w:sz w:val="18"/>
                          <w:szCs w:val="18"/>
                          <w:lang w:val="es-US"/>
                        </w:rPr>
                      </w:pPr>
                      <w:r>
                        <w:rPr>
                          <w:sz w:val="18"/>
                          <w:szCs w:val="18"/>
                          <w:lang w:val="es-US"/>
                        </w:rPr>
                        <w:t>P3.4</w:t>
                      </w:r>
                      <w:r w:rsidRPr="00371107">
                        <w:rPr>
                          <w:sz w:val="18"/>
                          <w:szCs w:val="18"/>
                          <w:lang w:val="es-US"/>
                        </w:rPr>
                        <w:t xml:space="preserve"> Evaluaciones de diseño, impacto y desempeño realizadas y revisiones metodológicas</w:t>
                      </w:r>
                    </w:p>
                    <w:p w14:paraId="06A97F56" w14:textId="01746A15" w:rsidR="00D87B95" w:rsidRDefault="00D87B95">
                      <w:r>
                        <w:t xml:space="preserve"> </w:t>
                      </w:r>
                    </w:p>
                  </w:txbxContent>
                </v:textbox>
              </v:rect>
            </w:pict>
          </mc:Fallback>
        </mc:AlternateContent>
      </w:r>
    </w:p>
    <w:p w14:paraId="75B75595" w14:textId="77777777" w:rsidR="00984255" w:rsidRPr="00576180" w:rsidRDefault="00984255" w:rsidP="00984255">
      <w:pPr>
        <w:spacing w:before="120" w:after="120"/>
        <w:ind w:right="446"/>
        <w:jc w:val="both"/>
        <w:rPr>
          <w:rFonts w:ascii="Arial" w:hAnsi="Arial" w:cs="Arial"/>
          <w:sz w:val="18"/>
          <w:szCs w:val="18"/>
        </w:rPr>
      </w:pPr>
    </w:p>
    <w:p w14:paraId="155B3F00" w14:textId="77777777" w:rsidR="00984255" w:rsidRPr="00576180" w:rsidRDefault="00003428" w:rsidP="00984255">
      <w:pPr>
        <w:spacing w:before="120" w:after="120"/>
        <w:ind w:right="446"/>
        <w:jc w:val="both"/>
        <w:rPr>
          <w:rFonts w:ascii="Arial" w:hAnsi="Arial" w:cs="Arial"/>
          <w:sz w:val="18"/>
          <w:szCs w:val="18"/>
        </w:rPr>
      </w:pPr>
      <w:r w:rsidRPr="00576180">
        <w:rPr>
          <w:rFonts w:ascii="Arial" w:hAnsi="Arial" w:cs="Arial"/>
          <w:noProof/>
          <w:sz w:val="18"/>
          <w:szCs w:val="18"/>
          <w:lang w:eastAsia="pt-BR"/>
        </w:rPr>
        <mc:AlternateContent>
          <mc:Choice Requires="wps">
            <w:drawing>
              <wp:anchor distT="0" distB="0" distL="114300" distR="114300" simplePos="0" relativeHeight="251899904" behindDoc="0" locked="0" layoutInCell="1" allowOverlap="1" wp14:anchorId="51512498" wp14:editId="1378CAE8">
                <wp:simplePos x="0" y="0"/>
                <wp:positionH relativeFrom="column">
                  <wp:posOffset>-1614922</wp:posOffset>
                </wp:positionH>
                <wp:positionV relativeFrom="paragraph">
                  <wp:posOffset>173749</wp:posOffset>
                </wp:positionV>
                <wp:extent cx="2570606" cy="283845"/>
                <wp:effectExtent l="317" t="0" r="20638" b="20637"/>
                <wp:wrapNone/>
                <wp:docPr id="98" name="Rectangle 98"/>
                <wp:cNvGraphicFramePr/>
                <a:graphic xmlns:a="http://schemas.openxmlformats.org/drawingml/2006/main">
                  <a:graphicData uri="http://schemas.microsoft.com/office/word/2010/wordprocessingShape">
                    <wps:wsp>
                      <wps:cNvSpPr/>
                      <wps:spPr>
                        <a:xfrm rot="16200000">
                          <a:off x="0" y="0"/>
                          <a:ext cx="2570606" cy="283845"/>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644FF2" w14:textId="77777777" w:rsidR="00D87B95" w:rsidRPr="006C47CA" w:rsidRDefault="00D87B95" w:rsidP="006C47CA">
                            <w:pPr>
                              <w:jc w:val="center"/>
                            </w:pPr>
                            <w:r>
                              <w:t>Productos</w:t>
                            </w:r>
                            <w:r w:rsidRPr="006C47C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12498" id="Rectangle 98" o:spid="_x0000_s1045" style="position:absolute;left:0;text-align:left;margin-left:-127.15pt;margin-top:13.7pt;width:202.4pt;height:22.35pt;rotation:-9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DXowIAALgFAAAOAAAAZHJzL2Uyb0RvYy54bWysVN9r2zAQfh/sfxB6Xx1nSdqGOCWkdAy6&#10;trQdfVZkKTZIOk1SYmd//U6y44auYzDmB3PSnb67++7H4qrViuyF8zWYguZnI0qE4VDWZlvQ7883&#10;ny4o8YGZkikwoqAH4enV8uOHRWPnYgwVqFI4giDGzxtb0CoEO88yzyuhmT8DKwwqJTjNAh7dNisd&#10;axBdq2w8Gs2yBlxpHXDhPd5ed0q6TPhSCh7upfQiEFVQjC2kv0v/TfxnywWbbx2zVc37MNg/RKFZ&#10;bdDpAHXNAiM7V/8GpWvuwIMMZxx0BlLWXKQcMJt89Cabp4pZkXJBcrwdaPL/D5bf7R8cqcuCXmKl&#10;DNNYo0dkjZmtEgTvkKDG+jnaPdkH1588ijHbVjpNHCCr+QyrgV8iAdMibeL4MHAs2kA4Xo6n56PZ&#10;aEYJR9344vPFZBp9ZB1YBLXOhy8CNIlCQR1Gk1DZ/taHzvRoEs09qLq8qZVKh9g3Yq0c2TOsOONc&#10;mDBOz9VOf4Oyu5+mUDus1GrxSQriBC2LeXeZJikclIg+lHkUEimLySTkAeHUad6pKlaKv/lMgBFZ&#10;YhYDdg/wXkJ5z1hvH5+K1OvD464Ofwisy3t4kTyDCcNjXRtw72WmwuC5s0fKTqiJYmg3bWqn/PLY&#10;OhsoD9hjqU1wBL3lNzVW9pb58MAcThte4gYJ9/iTCpqCQi9RUoH7+d59tMchQC0lDU5vQf2PHXOC&#10;EvXV4Hhc5pNJHPd0mEzPx3hwp5rNqcbs9BqwXfIUXRKjfVBHUTrQL7hoVtErqpjh6LugPLjjYR26&#10;rYKriovVKpnhiFsWbs2T5RE8Eh0797l9Yc727R1wMO7gOOls/qbLO9v40sBqF0DWaQQi1R2vfQlw&#10;PaT+7VdZ3D+n52T1unCXvwAAAP//AwBQSwMEFAAGAAgAAAAhAMlTrLThAAAADAEAAA8AAABkcnMv&#10;ZG93bnJldi54bWxMj8tOwzAQRfdI/IM1SOxSJ+4DCHEqhACxhFIQ7Nx4SCLicRS7TcrXM6xgd0dz&#10;dB/FenKdOOAQWk8aslkKAqnytqVaw/blPrkEEaIhazpPqOGIAdbl6UlhcutHesbDJtaCTSjkRkMT&#10;Y59LGaoGnQkz3yPx79MPzkQ+h1rawYxs7jqp0nQlnWmJExrT422D1ddm7zj37Wm7qI6P4WN+995l&#10;2I8Pr9+j1udn0801iIhT/IPhtz5Xh5I77fyebBCdhuRiMWeURbZUKxCMJOqKxU6DWioFsizk/xHl&#10;DwAAAP//AwBQSwECLQAUAAYACAAAACEAtoM4kv4AAADhAQAAEwAAAAAAAAAAAAAAAAAAAAAAW0Nv&#10;bnRlbnRfVHlwZXNdLnhtbFBLAQItABQABgAIAAAAIQA4/SH/1gAAAJQBAAALAAAAAAAAAAAAAAAA&#10;AC8BAABfcmVscy8ucmVsc1BLAQItABQABgAIAAAAIQBurRDXowIAALgFAAAOAAAAAAAAAAAAAAAA&#10;AC4CAABkcnMvZTJvRG9jLnhtbFBLAQItABQABgAIAAAAIQDJU6y04QAAAAwBAAAPAAAAAAAAAAAA&#10;AAAAAP0EAABkcnMvZG93bnJldi54bWxQSwUGAAAAAAQABADzAAAACwYAAAAA&#10;" fillcolor="#622423 [1605]" strokecolor="#243f60 [1604]" strokeweight="2pt">
                <v:textbox>
                  <w:txbxContent>
                    <w:p w14:paraId="5F644FF2" w14:textId="77777777" w:rsidR="00D87B95" w:rsidRPr="006C47CA" w:rsidRDefault="00D87B95" w:rsidP="006C47CA">
                      <w:pPr>
                        <w:jc w:val="center"/>
                      </w:pPr>
                      <w:r>
                        <w:t>Productos</w:t>
                      </w:r>
                      <w:r w:rsidRPr="006C47CA">
                        <w:t xml:space="preserve"> </w:t>
                      </w:r>
                    </w:p>
                  </w:txbxContent>
                </v:textbox>
              </v:rect>
            </w:pict>
          </mc:Fallback>
        </mc:AlternateContent>
      </w:r>
    </w:p>
    <w:p w14:paraId="688C9EDE" w14:textId="77777777" w:rsidR="00984255" w:rsidRPr="00576180" w:rsidRDefault="00984255" w:rsidP="00984255">
      <w:pPr>
        <w:spacing w:before="120" w:after="120"/>
        <w:ind w:right="446"/>
        <w:jc w:val="both"/>
        <w:rPr>
          <w:rFonts w:ascii="Arial" w:hAnsi="Arial" w:cs="Arial"/>
          <w:sz w:val="18"/>
          <w:szCs w:val="18"/>
        </w:rPr>
      </w:pPr>
    </w:p>
    <w:p w14:paraId="75B78981" w14:textId="77777777" w:rsidR="00984255" w:rsidRPr="00576180" w:rsidRDefault="00984255" w:rsidP="00984255">
      <w:pPr>
        <w:spacing w:before="120" w:after="120"/>
        <w:ind w:right="446"/>
        <w:jc w:val="both"/>
        <w:rPr>
          <w:rFonts w:ascii="Arial" w:hAnsi="Arial" w:cs="Arial"/>
          <w:sz w:val="18"/>
          <w:szCs w:val="18"/>
        </w:rPr>
      </w:pPr>
    </w:p>
    <w:p w14:paraId="1D23186B" w14:textId="77777777" w:rsidR="00984255" w:rsidRPr="00576180" w:rsidRDefault="00984255" w:rsidP="006C47CA">
      <w:pPr>
        <w:sectPr w:rsidR="00984255" w:rsidRPr="00576180" w:rsidSect="00E83617">
          <w:pgSz w:w="16838" w:h="11906" w:orient="landscape"/>
          <w:pgMar w:top="450" w:right="1440" w:bottom="630" w:left="1440" w:header="720" w:footer="720" w:gutter="0"/>
          <w:cols w:space="720"/>
          <w:docGrid w:linePitch="360"/>
        </w:sectPr>
      </w:pPr>
    </w:p>
    <w:p w14:paraId="703A2612" w14:textId="30F3E4E1" w:rsidR="00B059C8" w:rsidRPr="00576180" w:rsidRDefault="00B059C8" w:rsidP="00D17FF5">
      <w:pPr>
        <w:pStyle w:val="Heading2"/>
        <w:numPr>
          <w:ilvl w:val="0"/>
          <w:numId w:val="49"/>
        </w:numPr>
        <w:spacing w:before="120" w:after="120" w:line="240" w:lineRule="auto"/>
        <w:ind w:hanging="720"/>
        <w:rPr>
          <w:rFonts w:ascii="Arial" w:hAnsi="Arial"/>
          <w:b/>
          <w:bCs/>
          <w:color w:val="auto"/>
          <w:sz w:val="22"/>
          <w:szCs w:val="22"/>
        </w:rPr>
      </w:pPr>
      <w:bookmarkStart w:id="105" w:name="_Toc533090908"/>
      <w:bookmarkStart w:id="106" w:name="_Toc533166439"/>
      <w:bookmarkStart w:id="107" w:name="_Toc20432464"/>
      <w:bookmarkStart w:id="108" w:name="_Toc21017058"/>
      <w:bookmarkEnd w:id="105"/>
      <w:r w:rsidRPr="00576180">
        <w:rPr>
          <w:rFonts w:ascii="Arial" w:hAnsi="Arial"/>
          <w:b/>
          <w:bCs/>
          <w:color w:val="auto"/>
          <w:sz w:val="22"/>
          <w:szCs w:val="22"/>
        </w:rPr>
        <w:lastRenderedPageBreak/>
        <w:t>Efectividad</w:t>
      </w:r>
      <w:bookmarkEnd w:id="96"/>
      <w:bookmarkEnd w:id="97"/>
      <w:bookmarkEnd w:id="98"/>
      <w:bookmarkEnd w:id="99"/>
      <w:bookmarkEnd w:id="100"/>
      <w:bookmarkEnd w:id="101"/>
      <w:bookmarkEnd w:id="102"/>
      <w:bookmarkEnd w:id="103"/>
      <w:bookmarkEnd w:id="106"/>
      <w:bookmarkEnd w:id="107"/>
      <w:bookmarkEnd w:id="108"/>
    </w:p>
    <w:p w14:paraId="01D381A5" w14:textId="77777777" w:rsidR="00B059C8" w:rsidRPr="00576180" w:rsidRDefault="00B059C8" w:rsidP="00D17FF5">
      <w:pPr>
        <w:pStyle w:val="Heading3"/>
        <w:numPr>
          <w:ilvl w:val="0"/>
          <w:numId w:val="43"/>
        </w:numPr>
        <w:spacing w:before="120" w:after="120" w:line="240" w:lineRule="auto"/>
        <w:rPr>
          <w:rFonts w:ascii="Arial" w:hAnsi="Arial" w:cs="Arial"/>
          <w:b/>
          <w:color w:val="000000" w:themeColor="text1"/>
          <w:sz w:val="22"/>
          <w:szCs w:val="22"/>
        </w:rPr>
      </w:pPr>
      <w:bookmarkStart w:id="109" w:name="_Toc501465828"/>
      <w:bookmarkStart w:id="110" w:name="_Toc501467649"/>
      <w:bookmarkStart w:id="111" w:name="_Toc501467761"/>
      <w:bookmarkStart w:id="112" w:name="_Toc501467835"/>
      <w:bookmarkStart w:id="113" w:name="_Toc501467983"/>
      <w:bookmarkStart w:id="114" w:name="_Toc501468051"/>
      <w:bookmarkStart w:id="115" w:name="_Toc501468230"/>
      <w:bookmarkStart w:id="116" w:name="_Toc501468528"/>
      <w:bookmarkStart w:id="117" w:name="_Toc501468652"/>
      <w:bookmarkStart w:id="118" w:name="_Toc501468710"/>
      <w:bookmarkStart w:id="119" w:name="_Toc501468767"/>
      <w:bookmarkStart w:id="120" w:name="_Toc501468825"/>
      <w:bookmarkStart w:id="121" w:name="_Toc500169662"/>
      <w:bookmarkStart w:id="122" w:name="_Toc501529198"/>
      <w:bookmarkStart w:id="123" w:name="_Toc506484929"/>
      <w:bookmarkStart w:id="124" w:name="_Toc506974995"/>
      <w:bookmarkStart w:id="125" w:name="_Toc512433748"/>
      <w:bookmarkStart w:id="126" w:name="_Toc514236637"/>
      <w:bookmarkStart w:id="127" w:name="_Toc516767398"/>
      <w:bookmarkStart w:id="128" w:name="_Toc518037200"/>
      <w:bookmarkStart w:id="129" w:name="_Toc533166440"/>
      <w:bookmarkStart w:id="130" w:name="_Toc20432465"/>
      <w:bookmarkStart w:id="131" w:name="_Toc21017059"/>
      <w:bookmarkEnd w:id="109"/>
      <w:bookmarkEnd w:id="110"/>
      <w:bookmarkEnd w:id="111"/>
      <w:bookmarkEnd w:id="112"/>
      <w:bookmarkEnd w:id="113"/>
      <w:bookmarkEnd w:id="114"/>
      <w:bookmarkEnd w:id="115"/>
      <w:bookmarkEnd w:id="116"/>
      <w:bookmarkEnd w:id="117"/>
      <w:bookmarkEnd w:id="118"/>
      <w:bookmarkEnd w:id="119"/>
      <w:bookmarkEnd w:id="120"/>
      <w:r w:rsidRPr="00576180">
        <w:rPr>
          <w:rFonts w:ascii="Arial" w:hAnsi="Arial" w:cs="Arial"/>
          <w:b/>
          <w:color w:val="000000" w:themeColor="text1"/>
          <w:sz w:val="22"/>
          <w:szCs w:val="22"/>
        </w:rPr>
        <w:t xml:space="preserve">Descripción de los objetivos de desarrollo </w:t>
      </w:r>
      <w:bookmarkEnd w:id="121"/>
      <w:bookmarkEnd w:id="122"/>
      <w:bookmarkEnd w:id="123"/>
      <w:bookmarkEnd w:id="124"/>
      <w:bookmarkEnd w:id="125"/>
      <w:r w:rsidRPr="00576180">
        <w:rPr>
          <w:rFonts w:ascii="Arial" w:hAnsi="Arial" w:cs="Arial"/>
          <w:b/>
          <w:color w:val="000000" w:themeColor="text1"/>
          <w:sz w:val="22"/>
          <w:szCs w:val="22"/>
        </w:rPr>
        <w:t>del</w:t>
      </w:r>
      <w:bookmarkEnd w:id="126"/>
      <w:r w:rsidRPr="00576180">
        <w:rPr>
          <w:rFonts w:ascii="Arial" w:hAnsi="Arial" w:cs="Arial"/>
          <w:b/>
          <w:color w:val="000000" w:themeColor="text1"/>
          <w:sz w:val="22"/>
          <w:szCs w:val="22"/>
        </w:rPr>
        <w:t xml:space="preserve"> Programa</w:t>
      </w:r>
      <w:bookmarkEnd w:id="127"/>
      <w:bookmarkEnd w:id="128"/>
      <w:bookmarkEnd w:id="129"/>
      <w:bookmarkEnd w:id="130"/>
      <w:bookmarkEnd w:id="131"/>
    </w:p>
    <w:p w14:paraId="3641075E" w14:textId="18BEBBC5" w:rsidR="008D13A4" w:rsidRPr="00576180" w:rsidRDefault="003938F1" w:rsidP="00D17FF5">
      <w:pPr>
        <w:pStyle w:val="ListParagraph"/>
        <w:tabs>
          <w:tab w:val="left" w:pos="9000"/>
        </w:tabs>
        <w:spacing w:before="120" w:after="120" w:line="240" w:lineRule="auto"/>
        <w:ind w:left="360"/>
        <w:contextualSpacing w:val="0"/>
        <w:jc w:val="both"/>
        <w:rPr>
          <w:rFonts w:ascii="Arial" w:hAnsi="Arial" w:cs="Arial"/>
          <w:b/>
          <w:color w:val="000000" w:themeColor="text1"/>
        </w:rPr>
      </w:pPr>
      <w:bookmarkStart w:id="132" w:name="_Toc514236638"/>
      <w:bookmarkStart w:id="133" w:name="_Toc516767399"/>
      <w:bookmarkStart w:id="134" w:name="_Toc518037201"/>
      <w:r w:rsidRPr="003938F1">
        <w:rPr>
          <w:rFonts w:ascii="Arial" w:hAnsi="Arial" w:cs="Arial"/>
        </w:rPr>
        <w:t>El objetivo general del proyecto fue contribuir al aumento de la eficiencia en la gestión pública. Los objetivos específicos fueron: (i) Aumentar la eficiencia de los procesos e instrumentos de automatización de la preparación y ejecución financiera, (</w:t>
      </w:r>
      <w:proofErr w:type="spellStart"/>
      <w:r w:rsidRPr="003938F1">
        <w:rPr>
          <w:rFonts w:ascii="Arial" w:hAnsi="Arial" w:cs="Arial"/>
        </w:rPr>
        <w:t>ii</w:t>
      </w:r>
      <w:proofErr w:type="spellEnd"/>
      <w:r w:rsidRPr="003938F1">
        <w:rPr>
          <w:rFonts w:ascii="Arial" w:hAnsi="Arial" w:cs="Arial"/>
        </w:rPr>
        <w:t xml:space="preserve">) fortalecer la capacidad institucional y organizacional del </w:t>
      </w:r>
      <w:r w:rsidR="005118CA">
        <w:rPr>
          <w:rFonts w:ascii="Arial" w:hAnsi="Arial" w:cs="Arial"/>
        </w:rPr>
        <w:t>MEF</w:t>
      </w:r>
      <w:r w:rsidRPr="003938F1">
        <w:rPr>
          <w:rFonts w:ascii="Arial" w:hAnsi="Arial" w:cs="Arial"/>
        </w:rPr>
        <w:t>, (</w:t>
      </w:r>
      <w:proofErr w:type="spellStart"/>
      <w:r w:rsidRPr="003938F1">
        <w:rPr>
          <w:rFonts w:ascii="Arial" w:hAnsi="Arial" w:cs="Arial"/>
        </w:rPr>
        <w:t>iii</w:t>
      </w:r>
      <w:proofErr w:type="spellEnd"/>
      <w:r w:rsidRPr="003938F1">
        <w:rPr>
          <w:rFonts w:ascii="Arial" w:hAnsi="Arial" w:cs="Arial"/>
        </w:rPr>
        <w:t>) mejorar el proceso decisorio de asignación de los recursos públicos</w:t>
      </w:r>
      <w:r w:rsidR="008D13A4" w:rsidRPr="00576180">
        <w:rPr>
          <w:rFonts w:ascii="Arial" w:hAnsi="Arial" w:cs="Arial"/>
        </w:rPr>
        <w:t>.</w:t>
      </w:r>
      <w:r w:rsidR="008D13A4" w:rsidRPr="00576180">
        <w:rPr>
          <w:rFonts w:ascii="Arial" w:hAnsi="Arial" w:cs="Arial"/>
          <w:sz w:val="18"/>
          <w:szCs w:val="18"/>
        </w:rPr>
        <w:t xml:space="preserve"> </w:t>
      </w:r>
    </w:p>
    <w:p w14:paraId="5A02BE9D" w14:textId="7A44A37E" w:rsidR="00611C33" w:rsidRPr="00576180" w:rsidRDefault="00D7372C" w:rsidP="00D17FF5">
      <w:pPr>
        <w:pStyle w:val="Heading3"/>
        <w:numPr>
          <w:ilvl w:val="0"/>
          <w:numId w:val="43"/>
        </w:numPr>
        <w:spacing w:before="120" w:after="120" w:line="240" w:lineRule="auto"/>
        <w:rPr>
          <w:rFonts w:ascii="Arial" w:hAnsi="Arial" w:cs="Arial"/>
          <w:b/>
          <w:color w:val="000000" w:themeColor="text1"/>
          <w:sz w:val="22"/>
          <w:szCs w:val="22"/>
        </w:rPr>
      </w:pPr>
      <w:bookmarkStart w:id="135" w:name="_Toc533166441"/>
      <w:bookmarkStart w:id="136" w:name="_Toc20432466"/>
      <w:bookmarkStart w:id="137" w:name="_Toc21017060"/>
      <w:r w:rsidRPr="00576180">
        <w:rPr>
          <w:rFonts w:ascii="Arial" w:hAnsi="Arial" w:cs="Arial"/>
          <w:b/>
          <w:color w:val="000000" w:themeColor="text1"/>
          <w:sz w:val="22"/>
          <w:szCs w:val="22"/>
        </w:rPr>
        <w:t>Resultados alcanzados</w:t>
      </w:r>
      <w:bookmarkEnd w:id="132"/>
      <w:bookmarkEnd w:id="133"/>
      <w:bookmarkEnd w:id="134"/>
      <w:bookmarkEnd w:id="135"/>
      <w:bookmarkEnd w:id="136"/>
      <w:bookmarkEnd w:id="137"/>
    </w:p>
    <w:p w14:paraId="365772A4" w14:textId="01EC27EE" w:rsidR="00611C33" w:rsidRPr="00576180" w:rsidRDefault="00611C33" w:rsidP="00D17FF5">
      <w:pPr>
        <w:pStyle w:val="ListParagraph"/>
        <w:tabs>
          <w:tab w:val="left" w:pos="9000"/>
        </w:tabs>
        <w:spacing w:before="120" w:after="120" w:line="240" w:lineRule="auto"/>
        <w:ind w:left="360"/>
        <w:contextualSpacing w:val="0"/>
        <w:jc w:val="both"/>
        <w:rPr>
          <w:rFonts w:ascii="Arial" w:hAnsi="Arial" w:cs="Arial"/>
        </w:rPr>
        <w:sectPr w:rsidR="00611C33" w:rsidRPr="00576180" w:rsidSect="00EB19EB">
          <w:pgSz w:w="11906" w:h="16838"/>
          <w:pgMar w:top="1440" w:right="1440" w:bottom="1440" w:left="1440" w:header="720" w:footer="720" w:gutter="0"/>
          <w:cols w:space="720"/>
          <w:docGrid w:linePitch="360"/>
        </w:sectPr>
      </w:pPr>
      <w:r w:rsidRPr="00576180">
        <w:rPr>
          <w:rFonts w:ascii="Arial" w:hAnsi="Arial" w:cs="Arial"/>
        </w:rPr>
        <w:t xml:space="preserve">Los resultados alcanzados con el Programa se presentan en </w:t>
      </w:r>
      <w:r w:rsidR="00FF1E99" w:rsidRPr="00576180">
        <w:rPr>
          <w:rFonts w:ascii="Arial" w:hAnsi="Arial" w:cs="Arial"/>
        </w:rPr>
        <w:t>la Tabla 4</w:t>
      </w:r>
      <w:r w:rsidRPr="00576180">
        <w:rPr>
          <w:rFonts w:ascii="Arial" w:hAnsi="Arial" w:cs="Arial"/>
        </w:rPr>
        <w:t xml:space="preserve">. Los indicadores y las metas contenidas </w:t>
      </w:r>
      <w:r w:rsidR="00FF1E99" w:rsidRPr="00576180">
        <w:rPr>
          <w:rFonts w:ascii="Arial" w:hAnsi="Arial" w:cs="Arial"/>
        </w:rPr>
        <w:t>en la</w:t>
      </w:r>
      <w:r w:rsidRPr="00576180">
        <w:rPr>
          <w:rFonts w:ascii="Arial" w:hAnsi="Arial" w:cs="Arial"/>
        </w:rPr>
        <w:t xml:space="preserve"> matriz de resultados 201</w:t>
      </w:r>
      <w:r w:rsidR="008D13A4" w:rsidRPr="00576180">
        <w:rPr>
          <w:rFonts w:ascii="Arial" w:hAnsi="Arial" w:cs="Arial"/>
        </w:rPr>
        <w:t>4</w:t>
      </w:r>
      <w:r w:rsidRPr="00576180">
        <w:rPr>
          <w:rFonts w:ascii="Arial" w:hAnsi="Arial" w:cs="Arial"/>
        </w:rPr>
        <w:t xml:space="preserve"> – 201</w:t>
      </w:r>
      <w:r w:rsidR="008D13A4" w:rsidRPr="00576180">
        <w:rPr>
          <w:rFonts w:ascii="Arial" w:hAnsi="Arial" w:cs="Arial"/>
        </w:rPr>
        <w:t>7</w:t>
      </w:r>
      <w:r w:rsidRPr="00576180">
        <w:rPr>
          <w:rFonts w:ascii="Arial" w:hAnsi="Arial" w:cs="Arial"/>
        </w:rPr>
        <w:t xml:space="preserve"> son los mismos que se incluyeron al momento </w:t>
      </w:r>
      <w:r w:rsidR="00FF1E99" w:rsidRPr="00576180">
        <w:rPr>
          <w:rFonts w:ascii="Arial" w:hAnsi="Arial" w:cs="Arial"/>
        </w:rPr>
        <w:t>de</w:t>
      </w:r>
      <w:r w:rsidRPr="00576180">
        <w:rPr>
          <w:rFonts w:ascii="Arial" w:hAnsi="Arial" w:cs="Arial"/>
        </w:rPr>
        <w:t xml:space="preserve"> aprobación</w:t>
      </w:r>
      <w:r w:rsidR="00FF1E99" w:rsidRPr="00576180">
        <w:rPr>
          <w:rFonts w:ascii="Arial" w:hAnsi="Arial" w:cs="Arial"/>
        </w:rPr>
        <w:t xml:space="preserve"> del Programa</w:t>
      </w:r>
      <w:r w:rsidRPr="00576180">
        <w:rPr>
          <w:rFonts w:ascii="Arial" w:hAnsi="Arial" w:cs="Arial"/>
        </w:rPr>
        <w:t>.</w:t>
      </w:r>
    </w:p>
    <w:p w14:paraId="53D5BCBE" w14:textId="05B9BA89" w:rsidR="00E335DB" w:rsidRPr="00576180" w:rsidRDefault="00FF1E99" w:rsidP="00E335DB">
      <w:pPr>
        <w:keepNext/>
        <w:spacing w:after="0" w:line="240" w:lineRule="auto"/>
        <w:ind w:left="-634"/>
        <w:jc w:val="center"/>
        <w:rPr>
          <w:rFonts w:ascii="Arial" w:eastAsiaTheme="majorEastAsia" w:hAnsi="Arial" w:cs="Arial"/>
          <w:b/>
          <w:bCs/>
          <w:sz w:val="20"/>
          <w:szCs w:val="20"/>
        </w:rPr>
      </w:pPr>
      <w:r w:rsidRPr="00576180">
        <w:rPr>
          <w:rFonts w:ascii="Arial" w:eastAsiaTheme="majorEastAsia" w:hAnsi="Arial" w:cs="Arial"/>
          <w:b/>
          <w:bCs/>
          <w:sz w:val="20"/>
          <w:szCs w:val="20"/>
        </w:rPr>
        <w:t>Tabla 4</w:t>
      </w:r>
      <w:r w:rsidR="00E05A08" w:rsidRPr="00576180">
        <w:rPr>
          <w:rFonts w:ascii="Arial" w:eastAsiaTheme="majorEastAsia" w:hAnsi="Arial" w:cs="Arial"/>
          <w:b/>
          <w:bCs/>
          <w:sz w:val="20"/>
          <w:szCs w:val="20"/>
        </w:rPr>
        <w:t xml:space="preserve">. </w:t>
      </w:r>
      <w:r w:rsidR="00E335DB" w:rsidRPr="00576180">
        <w:rPr>
          <w:rFonts w:ascii="Arial" w:eastAsiaTheme="majorEastAsia" w:hAnsi="Arial" w:cs="Arial"/>
          <w:b/>
          <w:bCs/>
          <w:sz w:val="20"/>
          <w:szCs w:val="20"/>
        </w:rPr>
        <w:t>Matriz de</w:t>
      </w:r>
      <w:r w:rsidR="002518A5" w:rsidRPr="00576180">
        <w:rPr>
          <w:rFonts w:ascii="Arial" w:eastAsiaTheme="majorEastAsia" w:hAnsi="Arial" w:cs="Arial"/>
          <w:b/>
          <w:bCs/>
          <w:sz w:val="20"/>
          <w:szCs w:val="20"/>
        </w:rPr>
        <w:t xml:space="preserve"> </w:t>
      </w:r>
      <w:r w:rsidR="00E05A08" w:rsidRPr="00576180">
        <w:rPr>
          <w:rFonts w:ascii="Arial" w:eastAsiaTheme="majorEastAsia" w:hAnsi="Arial" w:cs="Arial"/>
          <w:b/>
          <w:bCs/>
          <w:sz w:val="20"/>
          <w:szCs w:val="20"/>
        </w:rPr>
        <w:t>i</w:t>
      </w:r>
      <w:r w:rsidR="002518A5" w:rsidRPr="00576180">
        <w:rPr>
          <w:rFonts w:ascii="Arial" w:eastAsiaTheme="majorEastAsia" w:hAnsi="Arial" w:cs="Arial"/>
          <w:b/>
          <w:bCs/>
          <w:sz w:val="20"/>
          <w:szCs w:val="20"/>
        </w:rPr>
        <w:t>mpacto y</w:t>
      </w:r>
      <w:r w:rsidR="00E335DB" w:rsidRPr="00576180">
        <w:rPr>
          <w:rFonts w:ascii="Arial" w:eastAsiaTheme="majorEastAsia" w:hAnsi="Arial" w:cs="Arial"/>
          <w:b/>
          <w:bCs/>
          <w:sz w:val="20"/>
          <w:szCs w:val="20"/>
        </w:rPr>
        <w:t xml:space="preserve"> </w:t>
      </w:r>
      <w:r w:rsidR="00E05A08" w:rsidRPr="00576180">
        <w:rPr>
          <w:rFonts w:ascii="Arial" w:eastAsiaTheme="majorEastAsia" w:hAnsi="Arial" w:cs="Arial"/>
          <w:b/>
          <w:bCs/>
          <w:sz w:val="20"/>
          <w:szCs w:val="20"/>
        </w:rPr>
        <w:t>r</w:t>
      </w:r>
      <w:r w:rsidR="00E335DB" w:rsidRPr="00576180">
        <w:rPr>
          <w:rFonts w:ascii="Arial" w:eastAsiaTheme="majorEastAsia" w:hAnsi="Arial" w:cs="Arial"/>
          <w:b/>
          <w:bCs/>
          <w:sz w:val="20"/>
          <w:szCs w:val="20"/>
        </w:rPr>
        <w:t>esultados</w:t>
      </w:r>
      <w:r w:rsidRPr="00576180">
        <w:rPr>
          <w:rFonts w:ascii="Arial" w:eastAsiaTheme="majorEastAsia" w:hAnsi="Arial" w:cs="Arial"/>
          <w:b/>
          <w:bCs/>
          <w:sz w:val="20"/>
          <w:szCs w:val="20"/>
        </w:rPr>
        <w:t xml:space="preserve"> </w:t>
      </w:r>
      <w:r w:rsidR="007268B6" w:rsidRPr="00576180">
        <w:rPr>
          <w:rFonts w:ascii="Arial" w:eastAsiaTheme="majorEastAsia" w:hAnsi="Arial" w:cs="Arial"/>
          <w:b/>
          <w:bCs/>
          <w:sz w:val="20"/>
          <w:szCs w:val="20"/>
        </w:rPr>
        <w:t>201</w:t>
      </w:r>
      <w:r w:rsidR="00EA345A" w:rsidRPr="00576180">
        <w:rPr>
          <w:rFonts w:ascii="Arial" w:eastAsiaTheme="majorEastAsia" w:hAnsi="Arial" w:cs="Arial"/>
          <w:b/>
          <w:bCs/>
          <w:sz w:val="20"/>
          <w:szCs w:val="20"/>
        </w:rPr>
        <w:t>4</w:t>
      </w:r>
      <w:r w:rsidR="007268B6" w:rsidRPr="00576180">
        <w:rPr>
          <w:rFonts w:ascii="Arial" w:eastAsiaTheme="majorEastAsia" w:hAnsi="Arial" w:cs="Arial"/>
          <w:b/>
          <w:bCs/>
          <w:sz w:val="20"/>
          <w:szCs w:val="20"/>
        </w:rPr>
        <w:t xml:space="preserve"> </w:t>
      </w:r>
      <w:r w:rsidR="00671B56" w:rsidRPr="00576180">
        <w:rPr>
          <w:rFonts w:ascii="Arial" w:eastAsiaTheme="majorEastAsia" w:hAnsi="Arial" w:cs="Arial"/>
          <w:b/>
          <w:bCs/>
          <w:sz w:val="20"/>
          <w:szCs w:val="20"/>
        </w:rPr>
        <w:t>–</w:t>
      </w:r>
      <w:r w:rsidR="007268B6" w:rsidRPr="00576180">
        <w:rPr>
          <w:rFonts w:ascii="Arial" w:eastAsiaTheme="majorEastAsia" w:hAnsi="Arial" w:cs="Arial"/>
          <w:b/>
          <w:bCs/>
          <w:sz w:val="20"/>
          <w:szCs w:val="20"/>
        </w:rPr>
        <w:t xml:space="preserve"> 201</w:t>
      </w:r>
      <w:r w:rsidR="00EA345A" w:rsidRPr="00576180">
        <w:rPr>
          <w:rFonts w:ascii="Arial" w:eastAsiaTheme="majorEastAsia" w:hAnsi="Arial" w:cs="Arial"/>
          <w:b/>
          <w:bCs/>
          <w:sz w:val="20"/>
          <w:szCs w:val="20"/>
        </w:rPr>
        <w:t>7</w:t>
      </w:r>
    </w:p>
    <w:tbl>
      <w:tblPr>
        <w:tblStyle w:val="TableGrid"/>
        <w:tblW w:w="6096" w:type="pct"/>
        <w:tblInd w:w="-1085" w:type="dxa"/>
        <w:tblLayout w:type="fixed"/>
        <w:tblLook w:val="04A0" w:firstRow="1" w:lastRow="0" w:firstColumn="1" w:lastColumn="0" w:noHBand="0" w:noVBand="1"/>
      </w:tblPr>
      <w:tblGrid>
        <w:gridCol w:w="2969"/>
        <w:gridCol w:w="1348"/>
        <w:gridCol w:w="539"/>
        <w:gridCol w:w="631"/>
        <w:gridCol w:w="629"/>
        <w:gridCol w:w="629"/>
        <w:gridCol w:w="631"/>
        <w:gridCol w:w="629"/>
        <w:gridCol w:w="719"/>
        <w:gridCol w:w="813"/>
        <w:gridCol w:w="1442"/>
        <w:gridCol w:w="13"/>
      </w:tblGrid>
      <w:tr w:rsidR="002134DA" w:rsidRPr="00576180" w14:paraId="251F9269" w14:textId="77777777" w:rsidTr="002134DA">
        <w:trPr>
          <w:gridAfter w:val="1"/>
          <w:wAfter w:w="5" w:type="pct"/>
          <w:cantSplit/>
          <w:trHeight w:val="1134"/>
          <w:tblHeader/>
        </w:trPr>
        <w:tc>
          <w:tcPr>
            <w:tcW w:w="1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370024" w14:textId="77777777" w:rsidR="006D2A59" w:rsidRPr="00576180" w:rsidRDefault="006D2A59" w:rsidP="00EA345A">
            <w:pPr>
              <w:jc w:val="center"/>
              <w:rPr>
                <w:rFonts w:ascii="Arial" w:hAnsi="Arial" w:cs="Arial"/>
                <w:b/>
                <w:bCs/>
                <w:sz w:val="16"/>
                <w:szCs w:val="16"/>
              </w:rPr>
            </w:pPr>
            <w:bookmarkStart w:id="138" w:name="_Hlk531280015"/>
            <w:r w:rsidRPr="00576180">
              <w:rPr>
                <w:rFonts w:ascii="Arial" w:hAnsi="Arial" w:cs="Arial"/>
                <w:b/>
                <w:bCs/>
                <w:sz w:val="16"/>
                <w:szCs w:val="16"/>
              </w:rPr>
              <w:t>Indicadores de impacto y resultados</w:t>
            </w:r>
          </w:p>
        </w:tc>
        <w:tc>
          <w:tcPr>
            <w:tcW w:w="613"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580D0DFD" w14:textId="77777777" w:rsidR="006D2A59" w:rsidRPr="00576180" w:rsidRDefault="006D2A59" w:rsidP="00D57BB5">
            <w:pPr>
              <w:ind w:left="113" w:right="113"/>
              <w:jc w:val="center"/>
              <w:rPr>
                <w:rFonts w:ascii="Arial" w:hAnsi="Arial" w:cs="Arial"/>
                <w:b/>
                <w:bCs/>
                <w:sz w:val="16"/>
                <w:szCs w:val="16"/>
              </w:rPr>
            </w:pPr>
            <w:r w:rsidRPr="00576180">
              <w:rPr>
                <w:rFonts w:ascii="Arial" w:hAnsi="Arial" w:cs="Arial"/>
                <w:b/>
                <w:bCs/>
                <w:sz w:val="16"/>
                <w:szCs w:val="16"/>
              </w:rPr>
              <w:t>Unidad de Medida</w:t>
            </w:r>
          </w:p>
        </w:tc>
        <w:tc>
          <w:tcPr>
            <w:tcW w:w="2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07DE837F" w14:textId="77777777" w:rsidR="006D2A59" w:rsidRPr="00576180" w:rsidRDefault="006D2A59" w:rsidP="00D57BB5">
            <w:pPr>
              <w:ind w:left="113" w:right="113"/>
              <w:jc w:val="center"/>
              <w:rPr>
                <w:rFonts w:ascii="Arial" w:hAnsi="Arial" w:cs="Arial"/>
                <w:b/>
                <w:bCs/>
                <w:sz w:val="16"/>
                <w:szCs w:val="16"/>
              </w:rPr>
            </w:pPr>
            <w:r w:rsidRPr="00576180">
              <w:rPr>
                <w:rFonts w:ascii="Arial" w:hAnsi="Arial" w:cs="Arial"/>
                <w:b/>
                <w:bCs/>
                <w:sz w:val="16"/>
                <w:szCs w:val="16"/>
              </w:rPr>
              <w:t>Línea de Base</w:t>
            </w:r>
          </w:p>
        </w:tc>
        <w:tc>
          <w:tcPr>
            <w:tcW w:w="287"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7E6757C7" w14:textId="77777777" w:rsidR="006D2A59" w:rsidRPr="00576180" w:rsidRDefault="006D2A59" w:rsidP="00D57BB5">
            <w:pPr>
              <w:ind w:left="113" w:right="113"/>
              <w:jc w:val="center"/>
              <w:rPr>
                <w:rFonts w:ascii="Arial" w:hAnsi="Arial" w:cs="Arial"/>
                <w:b/>
                <w:bCs/>
                <w:sz w:val="16"/>
                <w:szCs w:val="16"/>
              </w:rPr>
            </w:pPr>
            <w:r w:rsidRPr="00576180">
              <w:rPr>
                <w:rFonts w:ascii="Arial" w:hAnsi="Arial" w:cs="Arial"/>
                <w:b/>
                <w:bCs/>
                <w:sz w:val="16"/>
                <w:szCs w:val="16"/>
              </w:rPr>
              <w:t>Año</w:t>
            </w:r>
          </w:p>
        </w:tc>
        <w:tc>
          <w:tcPr>
            <w:tcW w:w="286"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5D9F79C8" w14:textId="77777777" w:rsidR="006D2A59" w:rsidRPr="00576180" w:rsidRDefault="006D2A59" w:rsidP="00D57BB5">
            <w:pPr>
              <w:ind w:left="113" w:right="113"/>
              <w:jc w:val="center"/>
              <w:rPr>
                <w:rFonts w:ascii="Arial" w:hAnsi="Arial" w:cs="Arial"/>
                <w:b/>
                <w:bCs/>
                <w:sz w:val="16"/>
                <w:szCs w:val="16"/>
              </w:rPr>
            </w:pPr>
            <w:r w:rsidRPr="00576180">
              <w:rPr>
                <w:rFonts w:ascii="Arial" w:hAnsi="Arial" w:cs="Arial"/>
                <w:b/>
                <w:bCs/>
                <w:sz w:val="16"/>
                <w:szCs w:val="16"/>
              </w:rPr>
              <w:t>Metas</w:t>
            </w:r>
          </w:p>
          <w:p w14:paraId="5DB7FE87" w14:textId="07A0E647" w:rsidR="006D2A59" w:rsidRPr="00576180" w:rsidRDefault="00D57BB5" w:rsidP="00D57BB5">
            <w:pPr>
              <w:ind w:left="113" w:right="113"/>
              <w:jc w:val="center"/>
              <w:rPr>
                <w:rFonts w:ascii="Arial" w:hAnsi="Arial" w:cs="Arial"/>
                <w:b/>
                <w:bCs/>
                <w:sz w:val="16"/>
                <w:szCs w:val="16"/>
              </w:rPr>
            </w:pPr>
            <w:r w:rsidRPr="00576180">
              <w:rPr>
                <w:rFonts w:ascii="Arial" w:hAnsi="Arial" w:cs="Arial"/>
                <w:b/>
                <w:bCs/>
                <w:sz w:val="16"/>
                <w:szCs w:val="16"/>
              </w:rPr>
              <w:t>y a</w:t>
            </w:r>
            <w:r w:rsidR="006D2A59" w:rsidRPr="00576180">
              <w:rPr>
                <w:rFonts w:ascii="Arial" w:hAnsi="Arial" w:cs="Arial"/>
                <w:b/>
                <w:bCs/>
                <w:sz w:val="16"/>
                <w:szCs w:val="16"/>
              </w:rPr>
              <w:t>lcance</w:t>
            </w:r>
          </w:p>
        </w:tc>
        <w:tc>
          <w:tcPr>
            <w:tcW w:w="286"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76AC6239" w14:textId="77777777" w:rsidR="006D2A59" w:rsidRPr="00576180" w:rsidRDefault="006D2A59" w:rsidP="00D57BB5">
            <w:pPr>
              <w:ind w:left="113" w:right="113"/>
              <w:jc w:val="center"/>
              <w:rPr>
                <w:rFonts w:ascii="Arial" w:hAnsi="Arial" w:cs="Arial"/>
                <w:b/>
                <w:bCs/>
                <w:sz w:val="16"/>
                <w:szCs w:val="16"/>
              </w:rPr>
            </w:pPr>
            <w:r w:rsidRPr="00576180">
              <w:rPr>
                <w:rFonts w:ascii="Arial" w:hAnsi="Arial" w:cs="Arial"/>
                <w:b/>
                <w:bCs/>
                <w:sz w:val="16"/>
                <w:szCs w:val="16"/>
              </w:rPr>
              <w:t>2014</w:t>
            </w:r>
          </w:p>
        </w:tc>
        <w:tc>
          <w:tcPr>
            <w:tcW w:w="287"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4E411519" w14:textId="77777777" w:rsidR="006D2A59" w:rsidRPr="00576180" w:rsidRDefault="006D2A59" w:rsidP="00D57BB5">
            <w:pPr>
              <w:ind w:left="113" w:right="113"/>
              <w:jc w:val="center"/>
              <w:rPr>
                <w:rFonts w:ascii="Arial" w:hAnsi="Arial" w:cs="Arial"/>
                <w:b/>
                <w:bCs/>
                <w:sz w:val="16"/>
                <w:szCs w:val="16"/>
              </w:rPr>
            </w:pPr>
            <w:r w:rsidRPr="00576180">
              <w:rPr>
                <w:rFonts w:ascii="Arial" w:hAnsi="Arial" w:cs="Arial"/>
                <w:b/>
                <w:bCs/>
                <w:sz w:val="16"/>
                <w:szCs w:val="16"/>
              </w:rPr>
              <w:t>2015</w:t>
            </w:r>
          </w:p>
        </w:tc>
        <w:tc>
          <w:tcPr>
            <w:tcW w:w="286"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31D34B9B" w14:textId="77777777" w:rsidR="006D2A59" w:rsidRPr="00576180" w:rsidRDefault="006D2A59" w:rsidP="00D57BB5">
            <w:pPr>
              <w:ind w:left="113" w:right="113"/>
              <w:jc w:val="center"/>
              <w:rPr>
                <w:rFonts w:ascii="Arial" w:hAnsi="Arial" w:cs="Arial"/>
                <w:b/>
                <w:bCs/>
                <w:sz w:val="16"/>
                <w:szCs w:val="16"/>
              </w:rPr>
            </w:pPr>
            <w:r w:rsidRPr="00576180">
              <w:rPr>
                <w:rFonts w:ascii="Arial" w:hAnsi="Arial" w:cs="Arial"/>
                <w:b/>
                <w:bCs/>
                <w:sz w:val="16"/>
                <w:szCs w:val="16"/>
              </w:rPr>
              <w:t>2016</w:t>
            </w:r>
          </w:p>
        </w:tc>
        <w:tc>
          <w:tcPr>
            <w:tcW w:w="3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120845E3" w14:textId="77777777" w:rsidR="006D2A59" w:rsidRPr="00576180" w:rsidRDefault="006D2A59" w:rsidP="00D57BB5">
            <w:pPr>
              <w:ind w:left="113" w:right="113"/>
              <w:jc w:val="center"/>
              <w:rPr>
                <w:rFonts w:ascii="Arial" w:hAnsi="Arial" w:cs="Arial"/>
                <w:b/>
                <w:bCs/>
                <w:sz w:val="16"/>
                <w:szCs w:val="16"/>
              </w:rPr>
            </w:pPr>
            <w:r w:rsidRPr="00576180">
              <w:rPr>
                <w:rFonts w:ascii="Arial" w:hAnsi="Arial" w:cs="Arial"/>
                <w:b/>
                <w:bCs/>
                <w:sz w:val="16"/>
                <w:szCs w:val="16"/>
              </w:rPr>
              <w:t>2017</w:t>
            </w:r>
          </w:p>
        </w:tc>
        <w:tc>
          <w:tcPr>
            <w:tcW w:w="370" w:type="pc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vAlign w:val="center"/>
            <w:hideMark/>
          </w:tcPr>
          <w:p w14:paraId="2C6BAD10" w14:textId="465EC524" w:rsidR="006D2A59" w:rsidRPr="00576180" w:rsidRDefault="006D2A59" w:rsidP="00D57BB5">
            <w:pPr>
              <w:ind w:left="113" w:right="113"/>
              <w:jc w:val="center"/>
              <w:rPr>
                <w:rFonts w:ascii="Arial" w:hAnsi="Arial" w:cs="Arial"/>
                <w:b/>
                <w:bCs/>
                <w:sz w:val="16"/>
                <w:szCs w:val="16"/>
              </w:rPr>
            </w:pPr>
            <w:r w:rsidRPr="00576180">
              <w:rPr>
                <w:rFonts w:ascii="Arial" w:hAnsi="Arial" w:cs="Arial"/>
                <w:b/>
                <w:bCs/>
                <w:sz w:val="16"/>
                <w:szCs w:val="16"/>
              </w:rPr>
              <w:t xml:space="preserve">% </w:t>
            </w:r>
            <w:r w:rsidR="00D57BB5" w:rsidRPr="00576180">
              <w:rPr>
                <w:rFonts w:ascii="Arial" w:hAnsi="Arial" w:cs="Arial"/>
                <w:b/>
                <w:bCs/>
                <w:sz w:val="16"/>
                <w:szCs w:val="16"/>
              </w:rPr>
              <w:t>de a</w:t>
            </w:r>
            <w:r w:rsidRPr="00576180">
              <w:rPr>
                <w:rFonts w:ascii="Arial" w:hAnsi="Arial" w:cs="Arial"/>
                <w:b/>
                <w:bCs/>
                <w:sz w:val="16"/>
                <w:szCs w:val="16"/>
              </w:rPr>
              <w:t>lcance</w:t>
            </w:r>
          </w:p>
        </w:tc>
        <w:tc>
          <w:tcPr>
            <w:tcW w:w="6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DB1774" w14:textId="77777777" w:rsidR="006D2A59" w:rsidRPr="00576180" w:rsidRDefault="006D2A59" w:rsidP="00EA345A">
            <w:pPr>
              <w:jc w:val="center"/>
              <w:rPr>
                <w:rFonts w:ascii="Arial" w:hAnsi="Arial" w:cs="Arial"/>
                <w:b/>
                <w:bCs/>
                <w:sz w:val="16"/>
                <w:szCs w:val="16"/>
              </w:rPr>
            </w:pPr>
            <w:r w:rsidRPr="00576180">
              <w:rPr>
                <w:rFonts w:ascii="Arial" w:hAnsi="Arial" w:cs="Arial"/>
                <w:b/>
                <w:bCs/>
                <w:sz w:val="16"/>
                <w:szCs w:val="16"/>
              </w:rPr>
              <w:t>Medios de verificación</w:t>
            </w:r>
          </w:p>
        </w:tc>
      </w:tr>
      <w:tr w:rsidR="00EA345A" w:rsidRPr="00576180" w14:paraId="13972B9F" w14:textId="77777777" w:rsidTr="00BC76FE">
        <w:trPr>
          <w:trHeight w:val="179"/>
        </w:trPr>
        <w:tc>
          <w:tcPr>
            <w:tcW w:w="5000" w:type="pct"/>
            <w:gridSpan w:val="1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74094BF" w14:textId="77777777" w:rsidR="00EA345A" w:rsidRPr="00576180" w:rsidRDefault="00EA345A" w:rsidP="00EA345A">
            <w:pPr>
              <w:autoSpaceDE w:val="0"/>
              <w:autoSpaceDN w:val="0"/>
              <w:adjustRightInd w:val="0"/>
              <w:rPr>
                <w:rFonts w:ascii="Arial" w:hAnsi="Arial" w:cs="Arial"/>
                <w:b/>
                <w:bCs/>
                <w:sz w:val="18"/>
                <w:szCs w:val="18"/>
              </w:rPr>
            </w:pPr>
            <w:r w:rsidRPr="00576180">
              <w:rPr>
                <w:rFonts w:ascii="Arial" w:hAnsi="Arial" w:cs="Arial"/>
                <w:b/>
                <w:bCs/>
                <w:sz w:val="18"/>
                <w:szCs w:val="18"/>
              </w:rPr>
              <w:t>IMPACTO</w:t>
            </w:r>
          </w:p>
        </w:tc>
      </w:tr>
      <w:tr w:rsidR="002134DA" w:rsidRPr="00576180" w14:paraId="18D84DBA" w14:textId="77777777" w:rsidTr="002134DA">
        <w:trPr>
          <w:gridAfter w:val="1"/>
          <w:wAfter w:w="5" w:type="pct"/>
        </w:trPr>
        <w:tc>
          <w:tcPr>
            <w:tcW w:w="1351" w:type="pct"/>
            <w:vMerge w:val="restart"/>
            <w:tcBorders>
              <w:top w:val="single" w:sz="4" w:space="0" w:color="auto"/>
              <w:left w:val="single" w:sz="4" w:space="0" w:color="auto"/>
              <w:bottom w:val="single" w:sz="4" w:space="0" w:color="auto"/>
              <w:right w:val="single" w:sz="4" w:space="0" w:color="auto"/>
            </w:tcBorders>
            <w:vAlign w:val="center"/>
            <w:hideMark/>
          </w:tcPr>
          <w:p w14:paraId="29712A23" w14:textId="769C9518" w:rsidR="006D2A59" w:rsidRPr="00576180" w:rsidRDefault="006D2A59" w:rsidP="006D2A59">
            <w:pPr>
              <w:jc w:val="both"/>
              <w:rPr>
                <w:rFonts w:ascii="Arial" w:hAnsi="Arial" w:cs="Arial"/>
                <w:sz w:val="18"/>
                <w:szCs w:val="18"/>
              </w:rPr>
            </w:pPr>
            <w:r w:rsidRPr="00576180">
              <w:rPr>
                <w:rFonts w:ascii="Arial" w:hAnsi="Arial" w:cs="Arial"/>
                <w:sz w:val="18"/>
                <w:szCs w:val="18"/>
              </w:rPr>
              <w:t>Indicador de Eficiencia del Gobierno del Perú usado en la EBP.</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14:paraId="756A3D1B"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Cuartil</w:t>
            </w:r>
          </w:p>
        </w:tc>
        <w:tc>
          <w:tcPr>
            <w:tcW w:w="245" w:type="pct"/>
            <w:vMerge w:val="restart"/>
            <w:tcBorders>
              <w:top w:val="single" w:sz="4" w:space="0" w:color="auto"/>
              <w:left w:val="single" w:sz="4" w:space="0" w:color="auto"/>
              <w:bottom w:val="single" w:sz="4" w:space="0" w:color="auto"/>
              <w:right w:val="single" w:sz="4" w:space="0" w:color="auto"/>
            </w:tcBorders>
            <w:vAlign w:val="center"/>
            <w:hideMark/>
          </w:tcPr>
          <w:p w14:paraId="07B71E16"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4</w:t>
            </w:r>
          </w:p>
        </w:tc>
        <w:tc>
          <w:tcPr>
            <w:tcW w:w="287" w:type="pct"/>
            <w:vMerge w:val="restart"/>
            <w:tcBorders>
              <w:top w:val="single" w:sz="4" w:space="0" w:color="auto"/>
              <w:left w:val="single" w:sz="4" w:space="0" w:color="auto"/>
              <w:bottom w:val="single" w:sz="4" w:space="0" w:color="auto"/>
              <w:right w:val="single" w:sz="4" w:space="0" w:color="auto"/>
            </w:tcBorders>
            <w:vAlign w:val="center"/>
          </w:tcPr>
          <w:p w14:paraId="1709ED6A"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2006</w:t>
            </w:r>
          </w:p>
        </w:tc>
        <w:tc>
          <w:tcPr>
            <w:tcW w:w="286" w:type="pct"/>
            <w:tcBorders>
              <w:top w:val="single" w:sz="4" w:space="0" w:color="auto"/>
              <w:left w:val="single" w:sz="4" w:space="0" w:color="auto"/>
              <w:bottom w:val="single" w:sz="4" w:space="0" w:color="auto"/>
              <w:right w:val="single" w:sz="4" w:space="0" w:color="auto"/>
            </w:tcBorders>
            <w:vAlign w:val="center"/>
            <w:hideMark/>
          </w:tcPr>
          <w:p w14:paraId="72E5B08E"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P</w:t>
            </w:r>
          </w:p>
        </w:tc>
        <w:tc>
          <w:tcPr>
            <w:tcW w:w="286" w:type="pct"/>
            <w:tcBorders>
              <w:top w:val="single" w:sz="4" w:space="0" w:color="auto"/>
              <w:left w:val="single" w:sz="4" w:space="0" w:color="auto"/>
              <w:bottom w:val="single" w:sz="4" w:space="0" w:color="auto"/>
              <w:right w:val="single" w:sz="4" w:space="0" w:color="auto"/>
            </w:tcBorders>
            <w:vAlign w:val="center"/>
          </w:tcPr>
          <w:p w14:paraId="70B32880" w14:textId="77777777" w:rsidR="006D2A59" w:rsidRPr="00576180" w:rsidRDefault="006D2A59" w:rsidP="006D2A59">
            <w:pPr>
              <w:jc w:val="center"/>
              <w:rPr>
                <w:rFonts w:ascii="Arial" w:hAnsi="Arial" w:cs="Arial"/>
                <w:sz w:val="18"/>
                <w:szCs w:val="18"/>
              </w:rPr>
            </w:pPr>
          </w:p>
        </w:tc>
        <w:tc>
          <w:tcPr>
            <w:tcW w:w="287" w:type="pct"/>
            <w:tcBorders>
              <w:top w:val="single" w:sz="4" w:space="0" w:color="auto"/>
              <w:left w:val="single" w:sz="4" w:space="0" w:color="auto"/>
              <w:bottom w:val="single" w:sz="4" w:space="0" w:color="auto"/>
              <w:right w:val="single" w:sz="4" w:space="0" w:color="auto"/>
            </w:tcBorders>
          </w:tcPr>
          <w:p w14:paraId="2425AC84" w14:textId="77777777" w:rsidR="006D2A59" w:rsidRPr="00576180" w:rsidRDefault="006D2A59"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tcPr>
          <w:p w14:paraId="5457FABA" w14:textId="77777777" w:rsidR="006D2A59" w:rsidRPr="00576180" w:rsidRDefault="006D2A59"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14:paraId="4E3A82F1"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3</w:t>
            </w:r>
          </w:p>
        </w:tc>
        <w:tc>
          <w:tcPr>
            <w:tcW w:w="370" w:type="pct"/>
            <w:vMerge w:val="restart"/>
            <w:tcBorders>
              <w:top w:val="single" w:sz="4" w:space="0" w:color="auto"/>
              <w:left w:val="single" w:sz="4" w:space="0" w:color="auto"/>
              <w:right w:val="single" w:sz="4" w:space="0" w:color="auto"/>
            </w:tcBorders>
          </w:tcPr>
          <w:p w14:paraId="5DFAC9AB" w14:textId="459074C4" w:rsidR="006D2A59" w:rsidRPr="00576180" w:rsidRDefault="006D2A59" w:rsidP="006D2A59">
            <w:pPr>
              <w:jc w:val="center"/>
              <w:rPr>
                <w:rFonts w:ascii="Arial" w:hAnsi="Arial" w:cs="Arial"/>
                <w:sz w:val="18"/>
                <w:szCs w:val="18"/>
              </w:rPr>
            </w:pPr>
            <w:r w:rsidRPr="00576180">
              <w:rPr>
                <w:rFonts w:ascii="Arial" w:hAnsi="Arial" w:cs="Arial"/>
                <w:sz w:val="18"/>
                <w:szCs w:val="18"/>
              </w:rPr>
              <w:t>0%</w:t>
            </w:r>
          </w:p>
        </w:tc>
        <w:tc>
          <w:tcPr>
            <w:tcW w:w="656" w:type="pct"/>
            <w:vMerge w:val="restart"/>
            <w:tcBorders>
              <w:top w:val="single" w:sz="4" w:space="0" w:color="auto"/>
              <w:left w:val="single" w:sz="4" w:space="0" w:color="auto"/>
              <w:bottom w:val="single" w:sz="4" w:space="0" w:color="auto"/>
              <w:right w:val="single" w:sz="4" w:space="0" w:color="auto"/>
            </w:tcBorders>
            <w:vAlign w:val="center"/>
          </w:tcPr>
          <w:p w14:paraId="791795BC" w14:textId="77777777" w:rsidR="006D2A59" w:rsidRPr="00576180" w:rsidRDefault="006D2A59" w:rsidP="006D2A59">
            <w:pPr>
              <w:rPr>
                <w:rFonts w:ascii="Arial" w:hAnsi="Arial" w:cs="Arial"/>
                <w:sz w:val="18"/>
                <w:szCs w:val="18"/>
              </w:rPr>
            </w:pPr>
            <w:r w:rsidRPr="00576180">
              <w:rPr>
                <w:rFonts w:ascii="Arial" w:hAnsi="Arial" w:cs="Arial"/>
                <w:sz w:val="18"/>
                <w:szCs w:val="18"/>
              </w:rPr>
              <w:t>Foro Económico Mundial</w:t>
            </w:r>
          </w:p>
        </w:tc>
      </w:tr>
      <w:tr w:rsidR="002134DA" w:rsidRPr="00576180" w14:paraId="45BFC49A" w14:textId="77777777" w:rsidTr="002134DA">
        <w:trPr>
          <w:gridAfter w:val="1"/>
          <w:wAfter w:w="5" w:type="pct"/>
          <w:trHeight w:val="206"/>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3D2A98EF" w14:textId="77777777" w:rsidR="006D2A59" w:rsidRPr="00576180" w:rsidRDefault="006D2A59" w:rsidP="006D2A59">
            <w:pPr>
              <w:rPr>
                <w:rFonts w:ascii="Arial" w:hAnsi="Arial" w:cs="Arial"/>
                <w:sz w:val="18"/>
                <w:szCs w:val="18"/>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2639E3CA" w14:textId="77777777" w:rsidR="006D2A59" w:rsidRPr="00576180" w:rsidRDefault="006D2A59"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14:paraId="15E4837E" w14:textId="77777777" w:rsidR="006D2A59" w:rsidRPr="00576180" w:rsidRDefault="006D2A59"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7A953AB5" w14:textId="77777777" w:rsidR="006D2A59" w:rsidRPr="00576180" w:rsidRDefault="006D2A59"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49FA2BF6"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P(a)</w:t>
            </w:r>
          </w:p>
        </w:tc>
        <w:tc>
          <w:tcPr>
            <w:tcW w:w="286" w:type="pct"/>
            <w:tcBorders>
              <w:top w:val="single" w:sz="4" w:space="0" w:color="auto"/>
              <w:left w:val="single" w:sz="4" w:space="0" w:color="auto"/>
              <w:bottom w:val="single" w:sz="4" w:space="0" w:color="auto"/>
              <w:right w:val="single" w:sz="4" w:space="0" w:color="auto"/>
            </w:tcBorders>
            <w:vAlign w:val="center"/>
          </w:tcPr>
          <w:p w14:paraId="1D756019" w14:textId="77777777" w:rsidR="006D2A59" w:rsidRPr="00576180" w:rsidRDefault="006D2A59" w:rsidP="006D2A59">
            <w:pPr>
              <w:jc w:val="center"/>
              <w:rPr>
                <w:rFonts w:ascii="Arial" w:hAnsi="Arial" w:cs="Arial"/>
                <w:sz w:val="18"/>
                <w:szCs w:val="18"/>
              </w:rPr>
            </w:pPr>
          </w:p>
        </w:tc>
        <w:tc>
          <w:tcPr>
            <w:tcW w:w="287" w:type="pct"/>
            <w:tcBorders>
              <w:top w:val="single" w:sz="4" w:space="0" w:color="auto"/>
              <w:left w:val="single" w:sz="4" w:space="0" w:color="auto"/>
              <w:bottom w:val="single" w:sz="4" w:space="0" w:color="auto"/>
              <w:right w:val="single" w:sz="4" w:space="0" w:color="auto"/>
            </w:tcBorders>
          </w:tcPr>
          <w:p w14:paraId="3AF46FDB" w14:textId="77777777" w:rsidR="006D2A59" w:rsidRPr="00576180" w:rsidRDefault="006D2A59"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tcPr>
          <w:p w14:paraId="4E73F70E" w14:textId="77777777" w:rsidR="006D2A59" w:rsidRPr="00576180" w:rsidRDefault="006D2A59"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14:paraId="51D9AD66"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3</w:t>
            </w:r>
          </w:p>
        </w:tc>
        <w:tc>
          <w:tcPr>
            <w:tcW w:w="370" w:type="pct"/>
            <w:vMerge/>
            <w:tcBorders>
              <w:left w:val="single" w:sz="4" w:space="0" w:color="auto"/>
              <w:right w:val="single" w:sz="4" w:space="0" w:color="auto"/>
            </w:tcBorders>
          </w:tcPr>
          <w:p w14:paraId="300C2FB9" w14:textId="77777777" w:rsidR="006D2A59" w:rsidRPr="00576180" w:rsidRDefault="006D2A59" w:rsidP="006D2A59">
            <w:pPr>
              <w:rPr>
                <w:rFonts w:ascii="Arial" w:hAnsi="Arial" w:cs="Arial"/>
                <w:sz w:val="18"/>
                <w:szCs w:val="18"/>
              </w:rPr>
            </w:pPr>
          </w:p>
        </w:tc>
        <w:tc>
          <w:tcPr>
            <w:tcW w:w="656" w:type="pct"/>
            <w:vMerge/>
            <w:tcBorders>
              <w:top w:val="single" w:sz="4" w:space="0" w:color="auto"/>
              <w:left w:val="single" w:sz="4" w:space="0" w:color="auto"/>
              <w:bottom w:val="single" w:sz="4" w:space="0" w:color="auto"/>
              <w:right w:val="single" w:sz="4" w:space="0" w:color="auto"/>
            </w:tcBorders>
            <w:vAlign w:val="center"/>
          </w:tcPr>
          <w:p w14:paraId="5E8F97CF" w14:textId="77777777" w:rsidR="006D2A59" w:rsidRPr="00576180" w:rsidRDefault="006D2A59" w:rsidP="006D2A59">
            <w:pPr>
              <w:rPr>
                <w:rFonts w:ascii="Arial" w:hAnsi="Arial" w:cs="Arial"/>
                <w:sz w:val="18"/>
                <w:szCs w:val="18"/>
              </w:rPr>
            </w:pPr>
          </w:p>
        </w:tc>
      </w:tr>
      <w:tr w:rsidR="002134DA" w:rsidRPr="00576180" w14:paraId="7153E6AB" w14:textId="77777777" w:rsidTr="002134DA">
        <w:trPr>
          <w:gridAfter w:val="1"/>
          <w:wAfter w:w="5" w:type="pct"/>
          <w:trHeight w:val="143"/>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68E63111" w14:textId="77777777" w:rsidR="006D2A59" w:rsidRPr="00576180" w:rsidRDefault="006D2A59" w:rsidP="006D2A59">
            <w:pPr>
              <w:rPr>
                <w:rFonts w:ascii="Arial" w:hAnsi="Arial" w:cs="Arial"/>
                <w:sz w:val="18"/>
                <w:szCs w:val="18"/>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61F5534F" w14:textId="77777777" w:rsidR="006D2A59" w:rsidRPr="00576180" w:rsidRDefault="006D2A59"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14:paraId="1B89DA63" w14:textId="77777777" w:rsidR="006D2A59" w:rsidRPr="00576180" w:rsidRDefault="006D2A59"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128BD5E5" w14:textId="77777777" w:rsidR="006D2A59" w:rsidRPr="00576180" w:rsidRDefault="006D2A59"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19996213"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A</w:t>
            </w:r>
          </w:p>
        </w:tc>
        <w:tc>
          <w:tcPr>
            <w:tcW w:w="286" w:type="pct"/>
            <w:tcBorders>
              <w:top w:val="single" w:sz="4" w:space="0" w:color="auto"/>
              <w:left w:val="single" w:sz="4" w:space="0" w:color="auto"/>
              <w:bottom w:val="single" w:sz="4" w:space="0" w:color="auto"/>
              <w:right w:val="single" w:sz="4" w:space="0" w:color="auto"/>
            </w:tcBorders>
            <w:vAlign w:val="center"/>
          </w:tcPr>
          <w:p w14:paraId="2C542901" w14:textId="77777777" w:rsidR="006D2A59" w:rsidRPr="00576180" w:rsidRDefault="006D2A59" w:rsidP="006D2A59">
            <w:pPr>
              <w:jc w:val="center"/>
              <w:rPr>
                <w:rFonts w:ascii="Arial" w:hAnsi="Arial" w:cs="Arial"/>
                <w:sz w:val="18"/>
                <w:szCs w:val="18"/>
              </w:rPr>
            </w:pPr>
          </w:p>
        </w:tc>
        <w:tc>
          <w:tcPr>
            <w:tcW w:w="287" w:type="pct"/>
            <w:tcBorders>
              <w:top w:val="single" w:sz="4" w:space="0" w:color="auto"/>
              <w:left w:val="single" w:sz="4" w:space="0" w:color="auto"/>
              <w:bottom w:val="single" w:sz="4" w:space="0" w:color="auto"/>
              <w:right w:val="single" w:sz="4" w:space="0" w:color="auto"/>
            </w:tcBorders>
          </w:tcPr>
          <w:p w14:paraId="33B5C463" w14:textId="77777777" w:rsidR="006D2A59" w:rsidRPr="00576180" w:rsidRDefault="006D2A59"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tcPr>
          <w:p w14:paraId="5F3BC635" w14:textId="77777777" w:rsidR="006D2A59" w:rsidRPr="00576180" w:rsidRDefault="006D2A59"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14:paraId="132FBA98"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4</w:t>
            </w:r>
          </w:p>
        </w:tc>
        <w:tc>
          <w:tcPr>
            <w:tcW w:w="370" w:type="pct"/>
            <w:vMerge/>
            <w:tcBorders>
              <w:left w:val="single" w:sz="4" w:space="0" w:color="auto"/>
              <w:bottom w:val="single" w:sz="4" w:space="0" w:color="auto"/>
              <w:right w:val="single" w:sz="4" w:space="0" w:color="auto"/>
            </w:tcBorders>
          </w:tcPr>
          <w:p w14:paraId="505BDE88" w14:textId="77777777" w:rsidR="006D2A59" w:rsidRPr="00576180" w:rsidRDefault="006D2A59" w:rsidP="006D2A59">
            <w:pPr>
              <w:rPr>
                <w:rFonts w:ascii="Arial" w:hAnsi="Arial" w:cs="Arial"/>
                <w:sz w:val="18"/>
                <w:szCs w:val="18"/>
              </w:rPr>
            </w:pPr>
          </w:p>
        </w:tc>
        <w:tc>
          <w:tcPr>
            <w:tcW w:w="656" w:type="pct"/>
            <w:vMerge/>
            <w:tcBorders>
              <w:top w:val="single" w:sz="4" w:space="0" w:color="auto"/>
              <w:left w:val="single" w:sz="4" w:space="0" w:color="auto"/>
              <w:bottom w:val="single" w:sz="4" w:space="0" w:color="auto"/>
              <w:right w:val="single" w:sz="4" w:space="0" w:color="auto"/>
            </w:tcBorders>
            <w:vAlign w:val="center"/>
          </w:tcPr>
          <w:p w14:paraId="6F74DD1F" w14:textId="77777777" w:rsidR="006D2A59" w:rsidRPr="00576180" w:rsidRDefault="006D2A59" w:rsidP="006D2A59">
            <w:pPr>
              <w:rPr>
                <w:rFonts w:ascii="Arial" w:hAnsi="Arial" w:cs="Arial"/>
                <w:sz w:val="18"/>
                <w:szCs w:val="18"/>
              </w:rPr>
            </w:pPr>
          </w:p>
        </w:tc>
      </w:tr>
      <w:tr w:rsidR="006D2A59" w:rsidRPr="00576180" w14:paraId="38F97EA0" w14:textId="77777777" w:rsidTr="00BC76FE">
        <w:trPr>
          <w:trHeight w:val="224"/>
        </w:trPr>
        <w:tc>
          <w:tcPr>
            <w:tcW w:w="5000" w:type="pct"/>
            <w:gridSpan w:val="1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C52A6E" w14:textId="77777777" w:rsidR="006D2A59" w:rsidRPr="00576180" w:rsidRDefault="006D2A59" w:rsidP="006D2A59">
            <w:pPr>
              <w:rPr>
                <w:rFonts w:ascii="Arial" w:hAnsi="Arial" w:cs="Arial"/>
                <w:b/>
                <w:sz w:val="18"/>
                <w:szCs w:val="18"/>
              </w:rPr>
            </w:pPr>
            <w:r w:rsidRPr="00576180">
              <w:rPr>
                <w:rFonts w:ascii="Arial" w:hAnsi="Arial" w:cs="Arial"/>
                <w:b/>
                <w:sz w:val="18"/>
                <w:szCs w:val="18"/>
              </w:rPr>
              <w:t>RESULTADOS</w:t>
            </w:r>
          </w:p>
        </w:tc>
      </w:tr>
      <w:tr w:rsidR="006D2A59" w:rsidRPr="00576180" w14:paraId="5D671A91" w14:textId="77777777" w:rsidTr="00BC76FE">
        <w:trPr>
          <w:trHeight w:val="60"/>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B9099" w14:textId="28260285" w:rsidR="006D2A59" w:rsidRPr="00576180" w:rsidRDefault="006D2A59" w:rsidP="006D2A59">
            <w:pPr>
              <w:rPr>
                <w:rFonts w:ascii="Arial" w:hAnsi="Arial" w:cs="Arial"/>
                <w:b/>
                <w:sz w:val="18"/>
                <w:szCs w:val="18"/>
              </w:rPr>
            </w:pPr>
            <w:r w:rsidRPr="00576180">
              <w:rPr>
                <w:rFonts w:ascii="Arial" w:hAnsi="Arial" w:cs="Arial"/>
                <w:b/>
                <w:sz w:val="18"/>
                <w:szCs w:val="18"/>
              </w:rPr>
              <w:t>C1. Modernización de los procesos y sistemas de gestión financiera pública</w:t>
            </w:r>
          </w:p>
        </w:tc>
      </w:tr>
      <w:tr w:rsidR="002134DA" w:rsidRPr="00576180" w14:paraId="4EF80C9B" w14:textId="77777777" w:rsidTr="002134DA">
        <w:trPr>
          <w:gridAfter w:val="1"/>
          <w:wAfter w:w="5" w:type="pct"/>
          <w:trHeight w:val="60"/>
        </w:trPr>
        <w:tc>
          <w:tcPr>
            <w:tcW w:w="1351" w:type="pct"/>
            <w:vMerge w:val="restart"/>
            <w:tcBorders>
              <w:top w:val="single" w:sz="4" w:space="0" w:color="auto"/>
              <w:left w:val="single" w:sz="4" w:space="0" w:color="auto"/>
              <w:right w:val="single" w:sz="4" w:space="0" w:color="auto"/>
            </w:tcBorders>
            <w:vAlign w:val="center"/>
          </w:tcPr>
          <w:p w14:paraId="57731679" w14:textId="089A8B70" w:rsidR="000E0F28" w:rsidRPr="00576180" w:rsidRDefault="000E0F28" w:rsidP="006D2A59">
            <w:pPr>
              <w:rPr>
                <w:rFonts w:ascii="Arial" w:hAnsi="Arial" w:cs="Arial"/>
                <w:color w:val="000000" w:themeColor="text1"/>
                <w:sz w:val="18"/>
                <w:szCs w:val="18"/>
              </w:rPr>
            </w:pPr>
            <w:r w:rsidRPr="00576180">
              <w:rPr>
                <w:rFonts w:ascii="Arial" w:hAnsi="Arial" w:cs="Arial"/>
                <w:color w:val="000000" w:themeColor="text1"/>
                <w:sz w:val="18"/>
                <w:szCs w:val="18"/>
              </w:rPr>
              <w:t>2.1 Calidad y puntualidad de los informes presupuestarios del ejercicio en curso (Indicador 24 del PEFA 2009)</w:t>
            </w:r>
          </w:p>
        </w:tc>
        <w:tc>
          <w:tcPr>
            <w:tcW w:w="613" w:type="pct"/>
            <w:vMerge w:val="restart"/>
            <w:tcBorders>
              <w:top w:val="single" w:sz="4" w:space="0" w:color="auto"/>
              <w:left w:val="single" w:sz="4" w:space="0" w:color="auto"/>
              <w:right w:val="single" w:sz="4" w:space="0" w:color="auto"/>
            </w:tcBorders>
            <w:vAlign w:val="center"/>
          </w:tcPr>
          <w:p w14:paraId="75320C13" w14:textId="77777777" w:rsidR="000E0F28" w:rsidRPr="00576180" w:rsidRDefault="000E0F28" w:rsidP="006D2A59">
            <w:pPr>
              <w:jc w:val="center"/>
              <w:rPr>
                <w:rFonts w:ascii="Arial" w:hAnsi="Arial" w:cs="Arial"/>
                <w:sz w:val="18"/>
                <w:szCs w:val="18"/>
              </w:rPr>
            </w:pPr>
            <w:r w:rsidRPr="00576180">
              <w:rPr>
                <w:rFonts w:ascii="Arial" w:hAnsi="Arial" w:cs="Arial"/>
                <w:sz w:val="18"/>
                <w:szCs w:val="18"/>
              </w:rPr>
              <w:t>Categoría del indicador</w:t>
            </w:r>
          </w:p>
        </w:tc>
        <w:tc>
          <w:tcPr>
            <w:tcW w:w="245" w:type="pct"/>
            <w:vMerge w:val="restart"/>
            <w:tcBorders>
              <w:top w:val="single" w:sz="4" w:space="0" w:color="auto"/>
              <w:left w:val="single" w:sz="4" w:space="0" w:color="auto"/>
              <w:right w:val="single" w:sz="4" w:space="0" w:color="auto"/>
            </w:tcBorders>
            <w:vAlign w:val="center"/>
          </w:tcPr>
          <w:p w14:paraId="1C06393A" w14:textId="77777777" w:rsidR="000E0F28" w:rsidRPr="00576180" w:rsidRDefault="000E0F28" w:rsidP="006D2A59">
            <w:pPr>
              <w:jc w:val="center"/>
              <w:rPr>
                <w:rFonts w:ascii="Arial" w:hAnsi="Arial" w:cs="Arial"/>
                <w:sz w:val="18"/>
                <w:szCs w:val="18"/>
              </w:rPr>
            </w:pPr>
            <w:r w:rsidRPr="00576180">
              <w:rPr>
                <w:rFonts w:ascii="Arial" w:hAnsi="Arial" w:cs="Arial"/>
                <w:sz w:val="18"/>
                <w:szCs w:val="18"/>
              </w:rPr>
              <w:t>C+</w:t>
            </w:r>
          </w:p>
        </w:tc>
        <w:tc>
          <w:tcPr>
            <w:tcW w:w="287" w:type="pct"/>
            <w:vMerge w:val="restart"/>
            <w:tcBorders>
              <w:top w:val="single" w:sz="4" w:space="0" w:color="auto"/>
              <w:left w:val="single" w:sz="4" w:space="0" w:color="auto"/>
              <w:right w:val="single" w:sz="4" w:space="0" w:color="auto"/>
            </w:tcBorders>
            <w:vAlign w:val="center"/>
          </w:tcPr>
          <w:p w14:paraId="35CE3785" w14:textId="77777777" w:rsidR="000E0F28" w:rsidRPr="00576180" w:rsidRDefault="000E0F28" w:rsidP="006D2A59">
            <w:pPr>
              <w:jc w:val="center"/>
              <w:rPr>
                <w:rFonts w:ascii="Arial" w:hAnsi="Arial" w:cs="Arial"/>
                <w:sz w:val="18"/>
                <w:szCs w:val="18"/>
              </w:rPr>
            </w:pPr>
            <w:r w:rsidRPr="00576180">
              <w:rPr>
                <w:rFonts w:ascii="Arial" w:hAnsi="Arial" w:cs="Arial"/>
                <w:sz w:val="18"/>
                <w:szCs w:val="18"/>
              </w:rPr>
              <w:t>2009</w:t>
            </w:r>
          </w:p>
        </w:tc>
        <w:tc>
          <w:tcPr>
            <w:tcW w:w="286" w:type="pct"/>
            <w:tcBorders>
              <w:top w:val="single" w:sz="4" w:space="0" w:color="auto"/>
              <w:left w:val="single" w:sz="4" w:space="0" w:color="auto"/>
              <w:bottom w:val="single" w:sz="4" w:space="0" w:color="auto"/>
              <w:right w:val="single" w:sz="4" w:space="0" w:color="auto"/>
            </w:tcBorders>
            <w:vAlign w:val="center"/>
          </w:tcPr>
          <w:p w14:paraId="4334ADCD" w14:textId="77777777" w:rsidR="000E0F28" w:rsidRPr="00576180" w:rsidRDefault="000E0F28" w:rsidP="006D2A59">
            <w:pPr>
              <w:jc w:val="center"/>
              <w:rPr>
                <w:rFonts w:ascii="Arial" w:hAnsi="Arial" w:cs="Arial"/>
                <w:sz w:val="18"/>
                <w:szCs w:val="18"/>
              </w:rPr>
            </w:pPr>
            <w:r w:rsidRPr="00576180">
              <w:rPr>
                <w:rFonts w:ascii="Arial" w:hAnsi="Arial" w:cs="Arial"/>
                <w:sz w:val="18"/>
                <w:szCs w:val="18"/>
              </w:rPr>
              <w:t>P</w:t>
            </w:r>
          </w:p>
        </w:tc>
        <w:tc>
          <w:tcPr>
            <w:tcW w:w="286" w:type="pct"/>
            <w:tcBorders>
              <w:top w:val="single" w:sz="4" w:space="0" w:color="auto"/>
              <w:left w:val="single" w:sz="4" w:space="0" w:color="auto"/>
              <w:bottom w:val="single" w:sz="4" w:space="0" w:color="auto"/>
              <w:right w:val="single" w:sz="4" w:space="0" w:color="auto"/>
            </w:tcBorders>
            <w:vAlign w:val="center"/>
          </w:tcPr>
          <w:p w14:paraId="56FC6C0F" w14:textId="77777777" w:rsidR="000E0F28" w:rsidRPr="00576180" w:rsidRDefault="000E0F28" w:rsidP="006D2A59">
            <w:pPr>
              <w:jc w:val="center"/>
              <w:rPr>
                <w:rFonts w:ascii="Arial" w:hAnsi="Arial" w:cs="Arial"/>
                <w:sz w:val="18"/>
                <w:szCs w:val="18"/>
              </w:rPr>
            </w:pPr>
            <w:r w:rsidRPr="00576180">
              <w:rPr>
                <w:rFonts w:ascii="Arial" w:hAnsi="Arial" w:cs="Arial"/>
                <w:sz w:val="18"/>
                <w:szCs w:val="18"/>
              </w:rPr>
              <w:t>B+</w:t>
            </w:r>
          </w:p>
        </w:tc>
        <w:tc>
          <w:tcPr>
            <w:tcW w:w="287" w:type="pct"/>
            <w:tcBorders>
              <w:top w:val="single" w:sz="4" w:space="0" w:color="auto"/>
              <w:left w:val="single" w:sz="4" w:space="0" w:color="auto"/>
              <w:bottom w:val="single" w:sz="4" w:space="0" w:color="auto"/>
              <w:right w:val="single" w:sz="4" w:space="0" w:color="auto"/>
            </w:tcBorders>
          </w:tcPr>
          <w:p w14:paraId="2CCA6C71" w14:textId="77777777" w:rsidR="000E0F28" w:rsidRPr="00576180" w:rsidRDefault="000E0F28"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tcPr>
          <w:p w14:paraId="6CAF0197" w14:textId="77777777" w:rsidR="000E0F28" w:rsidRPr="00576180" w:rsidRDefault="000E0F28"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tcPr>
          <w:p w14:paraId="10DCF632" w14:textId="77777777" w:rsidR="000E0F28" w:rsidRPr="00576180" w:rsidRDefault="000E0F28" w:rsidP="006D2A59">
            <w:pPr>
              <w:rPr>
                <w:rFonts w:ascii="Arial" w:hAnsi="Arial" w:cs="Arial"/>
                <w:sz w:val="18"/>
                <w:szCs w:val="18"/>
              </w:rPr>
            </w:pPr>
          </w:p>
        </w:tc>
        <w:tc>
          <w:tcPr>
            <w:tcW w:w="370" w:type="pct"/>
            <w:vMerge w:val="restart"/>
            <w:tcBorders>
              <w:top w:val="single" w:sz="4" w:space="0" w:color="auto"/>
              <w:left w:val="single" w:sz="4" w:space="0" w:color="auto"/>
              <w:right w:val="single" w:sz="4" w:space="0" w:color="auto"/>
            </w:tcBorders>
          </w:tcPr>
          <w:p w14:paraId="583E6ADF" w14:textId="77777777" w:rsidR="000E0F28" w:rsidRPr="00576180" w:rsidRDefault="000E0F28" w:rsidP="006D2A59">
            <w:pPr>
              <w:jc w:val="center"/>
              <w:rPr>
                <w:rFonts w:ascii="Arial" w:hAnsi="Arial" w:cs="Arial"/>
                <w:color w:val="000000" w:themeColor="text1"/>
                <w:sz w:val="18"/>
                <w:szCs w:val="18"/>
              </w:rPr>
            </w:pPr>
            <w:r w:rsidRPr="00576180">
              <w:rPr>
                <w:rFonts w:ascii="Arial" w:hAnsi="Arial" w:cs="Arial"/>
                <w:color w:val="000000" w:themeColor="text1"/>
                <w:sz w:val="18"/>
                <w:szCs w:val="18"/>
              </w:rPr>
              <w:t>0%</w:t>
            </w:r>
          </w:p>
        </w:tc>
        <w:tc>
          <w:tcPr>
            <w:tcW w:w="656" w:type="pct"/>
            <w:vMerge w:val="restart"/>
            <w:tcBorders>
              <w:top w:val="single" w:sz="4" w:space="0" w:color="auto"/>
              <w:left w:val="single" w:sz="4" w:space="0" w:color="auto"/>
              <w:right w:val="single" w:sz="4" w:space="0" w:color="auto"/>
            </w:tcBorders>
            <w:vAlign w:val="center"/>
          </w:tcPr>
          <w:p w14:paraId="6D96D862" w14:textId="3D6CB0BD" w:rsidR="000E0F28" w:rsidRPr="00576180" w:rsidRDefault="00A81639" w:rsidP="006D2A59">
            <w:pPr>
              <w:rPr>
                <w:rFonts w:ascii="Arial" w:hAnsi="Arial" w:cs="Arial"/>
                <w:sz w:val="18"/>
                <w:szCs w:val="18"/>
              </w:rPr>
            </w:pPr>
            <w:r>
              <w:rPr>
                <w:rFonts w:ascii="Arial" w:hAnsi="Arial" w:cs="Arial"/>
                <w:sz w:val="18"/>
                <w:szCs w:val="18"/>
              </w:rPr>
              <w:t>Informe de evaluación PEFA-2016</w:t>
            </w:r>
          </w:p>
        </w:tc>
      </w:tr>
      <w:tr w:rsidR="002134DA" w:rsidRPr="00576180" w14:paraId="70141DC5" w14:textId="77777777" w:rsidTr="002134DA">
        <w:trPr>
          <w:gridAfter w:val="1"/>
          <w:wAfter w:w="5" w:type="pct"/>
          <w:trHeight w:val="60"/>
        </w:trPr>
        <w:tc>
          <w:tcPr>
            <w:tcW w:w="1351" w:type="pct"/>
            <w:vMerge/>
            <w:tcBorders>
              <w:left w:val="single" w:sz="4" w:space="0" w:color="auto"/>
              <w:right w:val="single" w:sz="4" w:space="0" w:color="auto"/>
            </w:tcBorders>
            <w:vAlign w:val="center"/>
          </w:tcPr>
          <w:p w14:paraId="1D086A75" w14:textId="77777777" w:rsidR="000E0F28" w:rsidRPr="00576180" w:rsidRDefault="000E0F28" w:rsidP="006D2A59">
            <w:pPr>
              <w:rPr>
                <w:rFonts w:ascii="Arial" w:hAnsi="Arial" w:cs="Arial"/>
                <w:color w:val="000000" w:themeColor="text1"/>
                <w:sz w:val="18"/>
                <w:szCs w:val="18"/>
              </w:rPr>
            </w:pPr>
          </w:p>
        </w:tc>
        <w:tc>
          <w:tcPr>
            <w:tcW w:w="613" w:type="pct"/>
            <w:vMerge/>
            <w:tcBorders>
              <w:left w:val="single" w:sz="4" w:space="0" w:color="auto"/>
              <w:right w:val="single" w:sz="4" w:space="0" w:color="auto"/>
            </w:tcBorders>
            <w:vAlign w:val="center"/>
          </w:tcPr>
          <w:p w14:paraId="66E8BD4E" w14:textId="77777777" w:rsidR="000E0F28" w:rsidRPr="00576180" w:rsidRDefault="000E0F28" w:rsidP="006D2A59">
            <w:pPr>
              <w:jc w:val="center"/>
              <w:rPr>
                <w:rFonts w:ascii="Arial" w:hAnsi="Arial" w:cs="Arial"/>
                <w:sz w:val="18"/>
                <w:szCs w:val="18"/>
              </w:rPr>
            </w:pPr>
          </w:p>
        </w:tc>
        <w:tc>
          <w:tcPr>
            <w:tcW w:w="245" w:type="pct"/>
            <w:vMerge/>
            <w:tcBorders>
              <w:left w:val="single" w:sz="4" w:space="0" w:color="auto"/>
              <w:right w:val="single" w:sz="4" w:space="0" w:color="auto"/>
            </w:tcBorders>
            <w:vAlign w:val="center"/>
          </w:tcPr>
          <w:p w14:paraId="09B33906" w14:textId="77777777" w:rsidR="000E0F28" w:rsidRPr="00576180" w:rsidRDefault="000E0F28" w:rsidP="006D2A59">
            <w:pPr>
              <w:jc w:val="center"/>
              <w:rPr>
                <w:rFonts w:ascii="Arial" w:hAnsi="Arial" w:cs="Arial"/>
                <w:sz w:val="18"/>
                <w:szCs w:val="18"/>
              </w:rPr>
            </w:pPr>
          </w:p>
        </w:tc>
        <w:tc>
          <w:tcPr>
            <w:tcW w:w="287" w:type="pct"/>
            <w:vMerge/>
            <w:tcBorders>
              <w:left w:val="single" w:sz="4" w:space="0" w:color="auto"/>
              <w:right w:val="single" w:sz="4" w:space="0" w:color="auto"/>
            </w:tcBorders>
            <w:vAlign w:val="center"/>
          </w:tcPr>
          <w:p w14:paraId="3B9F4CEF" w14:textId="77777777" w:rsidR="000E0F28" w:rsidRPr="00576180" w:rsidRDefault="000E0F28"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tcPr>
          <w:p w14:paraId="695737AD" w14:textId="77777777" w:rsidR="000E0F28" w:rsidRPr="00576180" w:rsidRDefault="000E0F28" w:rsidP="006D2A59">
            <w:pPr>
              <w:jc w:val="center"/>
              <w:rPr>
                <w:rFonts w:ascii="Arial" w:hAnsi="Arial" w:cs="Arial"/>
                <w:sz w:val="18"/>
                <w:szCs w:val="18"/>
              </w:rPr>
            </w:pPr>
            <w:r w:rsidRPr="00576180">
              <w:rPr>
                <w:rFonts w:ascii="Arial" w:hAnsi="Arial" w:cs="Arial"/>
                <w:sz w:val="18"/>
                <w:szCs w:val="18"/>
              </w:rPr>
              <w:t>P(a)</w:t>
            </w:r>
          </w:p>
        </w:tc>
        <w:tc>
          <w:tcPr>
            <w:tcW w:w="286" w:type="pct"/>
            <w:tcBorders>
              <w:top w:val="single" w:sz="4" w:space="0" w:color="auto"/>
              <w:left w:val="single" w:sz="4" w:space="0" w:color="auto"/>
              <w:bottom w:val="single" w:sz="4" w:space="0" w:color="auto"/>
              <w:right w:val="single" w:sz="4" w:space="0" w:color="auto"/>
            </w:tcBorders>
            <w:vAlign w:val="center"/>
          </w:tcPr>
          <w:p w14:paraId="51FFD34B" w14:textId="77777777" w:rsidR="000E0F28" w:rsidRPr="00576180" w:rsidRDefault="000E0F28" w:rsidP="006D2A59">
            <w:pPr>
              <w:jc w:val="center"/>
              <w:rPr>
                <w:rFonts w:ascii="Arial" w:hAnsi="Arial" w:cs="Arial"/>
                <w:color w:val="000000" w:themeColor="text1"/>
                <w:sz w:val="18"/>
                <w:szCs w:val="18"/>
              </w:rPr>
            </w:pPr>
            <w:r w:rsidRPr="00576180">
              <w:rPr>
                <w:rFonts w:ascii="Arial" w:hAnsi="Arial" w:cs="Arial"/>
                <w:color w:val="000000" w:themeColor="text1"/>
                <w:sz w:val="18"/>
                <w:szCs w:val="18"/>
              </w:rPr>
              <w:t>B+</w:t>
            </w:r>
          </w:p>
        </w:tc>
        <w:tc>
          <w:tcPr>
            <w:tcW w:w="287" w:type="pct"/>
            <w:tcBorders>
              <w:top w:val="single" w:sz="4" w:space="0" w:color="auto"/>
              <w:left w:val="single" w:sz="4" w:space="0" w:color="auto"/>
              <w:bottom w:val="single" w:sz="4" w:space="0" w:color="auto"/>
              <w:right w:val="single" w:sz="4" w:space="0" w:color="auto"/>
            </w:tcBorders>
          </w:tcPr>
          <w:p w14:paraId="5E59D037" w14:textId="77777777" w:rsidR="000E0F28" w:rsidRPr="00576180" w:rsidRDefault="000E0F28" w:rsidP="006D2A59">
            <w:pPr>
              <w:jc w:val="center"/>
              <w:rPr>
                <w:rFonts w:ascii="Arial" w:hAnsi="Arial" w:cs="Arial"/>
                <w:color w:val="000000" w:themeColor="text1"/>
                <w:sz w:val="18"/>
                <w:szCs w:val="18"/>
              </w:rPr>
            </w:pPr>
          </w:p>
        </w:tc>
        <w:tc>
          <w:tcPr>
            <w:tcW w:w="286" w:type="pct"/>
            <w:tcBorders>
              <w:top w:val="single" w:sz="4" w:space="0" w:color="auto"/>
              <w:left w:val="single" w:sz="4" w:space="0" w:color="auto"/>
              <w:bottom w:val="single" w:sz="4" w:space="0" w:color="auto"/>
              <w:right w:val="single" w:sz="4" w:space="0" w:color="auto"/>
            </w:tcBorders>
          </w:tcPr>
          <w:p w14:paraId="3695C45E" w14:textId="77777777" w:rsidR="000E0F28" w:rsidRPr="00576180" w:rsidRDefault="000E0F28" w:rsidP="006D2A59">
            <w:pPr>
              <w:jc w:val="center"/>
              <w:rPr>
                <w:rFonts w:ascii="Arial" w:hAnsi="Arial" w:cs="Arial"/>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14:paraId="2A9B23B0" w14:textId="77777777" w:rsidR="000E0F28" w:rsidRPr="00576180" w:rsidRDefault="000E0F28" w:rsidP="006D2A59">
            <w:pPr>
              <w:rPr>
                <w:rFonts w:ascii="Arial" w:hAnsi="Arial" w:cs="Arial"/>
                <w:color w:val="000000" w:themeColor="text1"/>
                <w:sz w:val="18"/>
                <w:szCs w:val="18"/>
              </w:rPr>
            </w:pPr>
          </w:p>
        </w:tc>
        <w:tc>
          <w:tcPr>
            <w:tcW w:w="370" w:type="pct"/>
            <w:vMerge/>
            <w:tcBorders>
              <w:left w:val="single" w:sz="4" w:space="0" w:color="auto"/>
              <w:right w:val="single" w:sz="4" w:space="0" w:color="auto"/>
            </w:tcBorders>
          </w:tcPr>
          <w:p w14:paraId="64DEEFF4" w14:textId="77777777" w:rsidR="000E0F28" w:rsidRPr="00576180" w:rsidRDefault="000E0F28" w:rsidP="006D2A59">
            <w:pPr>
              <w:jc w:val="center"/>
              <w:rPr>
                <w:rFonts w:ascii="Arial" w:hAnsi="Arial" w:cs="Arial"/>
                <w:color w:val="000000" w:themeColor="text1"/>
                <w:sz w:val="18"/>
                <w:szCs w:val="18"/>
              </w:rPr>
            </w:pPr>
          </w:p>
        </w:tc>
        <w:tc>
          <w:tcPr>
            <w:tcW w:w="656" w:type="pct"/>
            <w:vMerge/>
            <w:tcBorders>
              <w:left w:val="single" w:sz="4" w:space="0" w:color="auto"/>
              <w:right w:val="single" w:sz="4" w:space="0" w:color="auto"/>
            </w:tcBorders>
            <w:vAlign w:val="center"/>
          </w:tcPr>
          <w:p w14:paraId="57A856BB" w14:textId="6EBCD5DB" w:rsidR="000E0F28" w:rsidRPr="00576180" w:rsidRDefault="000E0F28" w:rsidP="006D2A59">
            <w:pPr>
              <w:rPr>
                <w:rFonts w:ascii="Arial" w:hAnsi="Arial" w:cs="Arial"/>
                <w:sz w:val="18"/>
                <w:szCs w:val="18"/>
              </w:rPr>
            </w:pPr>
          </w:p>
        </w:tc>
      </w:tr>
      <w:tr w:rsidR="002134DA" w:rsidRPr="00576180" w14:paraId="4E7BAD49" w14:textId="77777777" w:rsidTr="002134DA">
        <w:trPr>
          <w:gridAfter w:val="1"/>
          <w:wAfter w:w="5" w:type="pct"/>
          <w:trHeight w:val="60"/>
        </w:trPr>
        <w:tc>
          <w:tcPr>
            <w:tcW w:w="1351" w:type="pct"/>
            <w:vMerge/>
            <w:tcBorders>
              <w:left w:val="single" w:sz="4" w:space="0" w:color="auto"/>
              <w:bottom w:val="single" w:sz="4" w:space="0" w:color="auto"/>
              <w:right w:val="single" w:sz="4" w:space="0" w:color="auto"/>
            </w:tcBorders>
            <w:vAlign w:val="center"/>
          </w:tcPr>
          <w:p w14:paraId="4EC7069A" w14:textId="77777777" w:rsidR="000E0F28" w:rsidRPr="00576180" w:rsidRDefault="000E0F28" w:rsidP="006D2A59">
            <w:pPr>
              <w:rPr>
                <w:rFonts w:ascii="Arial" w:hAnsi="Arial" w:cs="Arial"/>
                <w:color w:val="000000" w:themeColor="text1"/>
                <w:sz w:val="18"/>
                <w:szCs w:val="18"/>
              </w:rPr>
            </w:pPr>
          </w:p>
        </w:tc>
        <w:tc>
          <w:tcPr>
            <w:tcW w:w="613" w:type="pct"/>
            <w:vMerge/>
            <w:tcBorders>
              <w:left w:val="single" w:sz="4" w:space="0" w:color="auto"/>
              <w:bottom w:val="single" w:sz="4" w:space="0" w:color="auto"/>
              <w:right w:val="single" w:sz="4" w:space="0" w:color="auto"/>
            </w:tcBorders>
            <w:vAlign w:val="center"/>
          </w:tcPr>
          <w:p w14:paraId="44551B7C" w14:textId="77777777" w:rsidR="000E0F28" w:rsidRPr="00576180" w:rsidRDefault="000E0F28" w:rsidP="006D2A59">
            <w:pPr>
              <w:jc w:val="center"/>
              <w:rPr>
                <w:rFonts w:ascii="Arial" w:hAnsi="Arial" w:cs="Arial"/>
                <w:sz w:val="18"/>
                <w:szCs w:val="18"/>
              </w:rPr>
            </w:pPr>
          </w:p>
        </w:tc>
        <w:tc>
          <w:tcPr>
            <w:tcW w:w="245" w:type="pct"/>
            <w:vMerge/>
            <w:tcBorders>
              <w:left w:val="single" w:sz="4" w:space="0" w:color="auto"/>
              <w:bottom w:val="single" w:sz="4" w:space="0" w:color="auto"/>
              <w:right w:val="single" w:sz="4" w:space="0" w:color="auto"/>
            </w:tcBorders>
            <w:vAlign w:val="center"/>
          </w:tcPr>
          <w:p w14:paraId="100C4036" w14:textId="77777777" w:rsidR="000E0F28" w:rsidRPr="00576180" w:rsidRDefault="000E0F28" w:rsidP="006D2A59">
            <w:pPr>
              <w:jc w:val="center"/>
              <w:rPr>
                <w:rFonts w:ascii="Arial" w:hAnsi="Arial" w:cs="Arial"/>
                <w:sz w:val="18"/>
                <w:szCs w:val="18"/>
              </w:rPr>
            </w:pPr>
          </w:p>
        </w:tc>
        <w:tc>
          <w:tcPr>
            <w:tcW w:w="287" w:type="pct"/>
            <w:vMerge/>
            <w:tcBorders>
              <w:left w:val="single" w:sz="4" w:space="0" w:color="auto"/>
              <w:bottom w:val="single" w:sz="4" w:space="0" w:color="auto"/>
              <w:right w:val="single" w:sz="4" w:space="0" w:color="auto"/>
            </w:tcBorders>
            <w:vAlign w:val="center"/>
          </w:tcPr>
          <w:p w14:paraId="41081B21" w14:textId="77777777" w:rsidR="000E0F28" w:rsidRPr="00576180" w:rsidRDefault="000E0F28"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tcPr>
          <w:p w14:paraId="6F058DB6" w14:textId="77777777" w:rsidR="000E0F28" w:rsidRPr="00576180" w:rsidRDefault="000E0F28" w:rsidP="006D2A59">
            <w:pPr>
              <w:jc w:val="center"/>
              <w:rPr>
                <w:rFonts w:ascii="Arial" w:hAnsi="Arial" w:cs="Arial"/>
                <w:sz w:val="18"/>
                <w:szCs w:val="18"/>
              </w:rPr>
            </w:pPr>
            <w:r w:rsidRPr="00576180">
              <w:rPr>
                <w:rFonts w:ascii="Arial" w:hAnsi="Arial" w:cs="Arial"/>
                <w:sz w:val="18"/>
                <w:szCs w:val="18"/>
              </w:rPr>
              <w:t>A</w:t>
            </w:r>
          </w:p>
        </w:tc>
        <w:tc>
          <w:tcPr>
            <w:tcW w:w="286" w:type="pct"/>
            <w:tcBorders>
              <w:top w:val="single" w:sz="4" w:space="0" w:color="auto"/>
              <w:left w:val="single" w:sz="4" w:space="0" w:color="auto"/>
              <w:bottom w:val="single" w:sz="4" w:space="0" w:color="auto"/>
              <w:right w:val="single" w:sz="4" w:space="0" w:color="auto"/>
            </w:tcBorders>
            <w:vAlign w:val="center"/>
          </w:tcPr>
          <w:p w14:paraId="431A7F52" w14:textId="74AE9234" w:rsidR="000E0F28" w:rsidRPr="00576180" w:rsidRDefault="000E0F28" w:rsidP="006D2A59">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287" w:type="pct"/>
            <w:tcBorders>
              <w:top w:val="single" w:sz="4" w:space="0" w:color="auto"/>
              <w:left w:val="single" w:sz="4" w:space="0" w:color="auto"/>
              <w:bottom w:val="single" w:sz="4" w:space="0" w:color="auto"/>
              <w:right w:val="single" w:sz="4" w:space="0" w:color="auto"/>
            </w:tcBorders>
          </w:tcPr>
          <w:p w14:paraId="6A933E89" w14:textId="77777777" w:rsidR="000E0F28" w:rsidRPr="00576180" w:rsidRDefault="000E0F28" w:rsidP="006D2A59">
            <w:pPr>
              <w:jc w:val="center"/>
              <w:rPr>
                <w:rFonts w:ascii="Arial" w:hAnsi="Arial" w:cs="Arial"/>
                <w:color w:val="000000" w:themeColor="text1"/>
                <w:sz w:val="18"/>
                <w:szCs w:val="18"/>
              </w:rPr>
            </w:pPr>
          </w:p>
        </w:tc>
        <w:tc>
          <w:tcPr>
            <w:tcW w:w="286" w:type="pct"/>
            <w:tcBorders>
              <w:top w:val="single" w:sz="4" w:space="0" w:color="auto"/>
              <w:left w:val="single" w:sz="4" w:space="0" w:color="auto"/>
              <w:bottom w:val="single" w:sz="4" w:space="0" w:color="auto"/>
              <w:right w:val="single" w:sz="4" w:space="0" w:color="auto"/>
            </w:tcBorders>
          </w:tcPr>
          <w:p w14:paraId="2DD2EE21" w14:textId="77777777" w:rsidR="000E0F28" w:rsidRPr="00576180" w:rsidRDefault="000E0F28" w:rsidP="006D2A59">
            <w:pPr>
              <w:jc w:val="center"/>
              <w:rPr>
                <w:rFonts w:ascii="Arial" w:hAnsi="Arial" w:cs="Arial"/>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14:paraId="10063218" w14:textId="77777777" w:rsidR="000E0F28" w:rsidRPr="00576180" w:rsidRDefault="000E0F28" w:rsidP="006D2A59">
            <w:pPr>
              <w:rPr>
                <w:rFonts w:ascii="Arial" w:hAnsi="Arial" w:cs="Arial"/>
                <w:color w:val="000000" w:themeColor="text1"/>
                <w:sz w:val="18"/>
                <w:szCs w:val="18"/>
              </w:rPr>
            </w:pPr>
          </w:p>
        </w:tc>
        <w:tc>
          <w:tcPr>
            <w:tcW w:w="370" w:type="pct"/>
            <w:vMerge/>
            <w:tcBorders>
              <w:left w:val="single" w:sz="4" w:space="0" w:color="auto"/>
              <w:bottom w:val="single" w:sz="4" w:space="0" w:color="auto"/>
              <w:right w:val="single" w:sz="4" w:space="0" w:color="auto"/>
            </w:tcBorders>
          </w:tcPr>
          <w:p w14:paraId="54C0E349" w14:textId="77777777" w:rsidR="000E0F28" w:rsidRPr="00576180" w:rsidRDefault="000E0F28" w:rsidP="006D2A59">
            <w:pPr>
              <w:jc w:val="center"/>
              <w:rPr>
                <w:rFonts w:ascii="Arial" w:hAnsi="Arial" w:cs="Arial"/>
                <w:color w:val="000000" w:themeColor="text1"/>
                <w:sz w:val="18"/>
                <w:szCs w:val="18"/>
              </w:rPr>
            </w:pPr>
          </w:p>
        </w:tc>
        <w:tc>
          <w:tcPr>
            <w:tcW w:w="656" w:type="pct"/>
            <w:vMerge/>
            <w:tcBorders>
              <w:left w:val="single" w:sz="4" w:space="0" w:color="auto"/>
              <w:right w:val="single" w:sz="4" w:space="0" w:color="auto"/>
            </w:tcBorders>
            <w:vAlign w:val="center"/>
          </w:tcPr>
          <w:p w14:paraId="06DC5A2A" w14:textId="43EF52CC" w:rsidR="000E0F28" w:rsidRPr="00576180" w:rsidRDefault="000E0F28" w:rsidP="006D2A59">
            <w:pPr>
              <w:rPr>
                <w:rFonts w:ascii="Arial" w:hAnsi="Arial" w:cs="Arial"/>
                <w:sz w:val="18"/>
                <w:szCs w:val="18"/>
              </w:rPr>
            </w:pPr>
          </w:p>
        </w:tc>
      </w:tr>
      <w:tr w:rsidR="002134DA" w:rsidRPr="00576180" w14:paraId="714C8295" w14:textId="77777777" w:rsidTr="002134DA">
        <w:trPr>
          <w:gridAfter w:val="1"/>
          <w:wAfter w:w="5" w:type="pct"/>
          <w:trHeight w:val="60"/>
        </w:trPr>
        <w:tc>
          <w:tcPr>
            <w:tcW w:w="1351" w:type="pct"/>
            <w:vMerge w:val="restart"/>
            <w:tcBorders>
              <w:top w:val="single" w:sz="4" w:space="0" w:color="auto"/>
              <w:left w:val="single" w:sz="4" w:space="0" w:color="auto"/>
              <w:bottom w:val="single" w:sz="4" w:space="0" w:color="auto"/>
              <w:right w:val="single" w:sz="4" w:space="0" w:color="auto"/>
            </w:tcBorders>
            <w:vAlign w:val="center"/>
            <w:hideMark/>
          </w:tcPr>
          <w:p w14:paraId="79B3B3EA" w14:textId="74240FF9" w:rsidR="000E0F28" w:rsidRPr="00576180" w:rsidRDefault="000E0F28" w:rsidP="006D2A59">
            <w:pPr>
              <w:rPr>
                <w:rFonts w:ascii="Arial" w:hAnsi="Arial" w:cs="Arial"/>
                <w:sz w:val="18"/>
                <w:szCs w:val="18"/>
              </w:rPr>
            </w:pPr>
            <w:r w:rsidRPr="00576180">
              <w:rPr>
                <w:rFonts w:ascii="Arial" w:hAnsi="Arial" w:cs="Arial"/>
                <w:color w:val="000000" w:themeColor="text1"/>
                <w:sz w:val="18"/>
                <w:szCs w:val="18"/>
              </w:rPr>
              <w:t>2.2 Disponibilidad de información sobre los recursos recibidos por las unidades de prestación de servicios (Indicador 23 del PEFA 2009)</w:t>
            </w:r>
          </w:p>
        </w:tc>
        <w:tc>
          <w:tcPr>
            <w:tcW w:w="613" w:type="pct"/>
            <w:vMerge w:val="restart"/>
            <w:tcBorders>
              <w:top w:val="single" w:sz="4" w:space="0" w:color="auto"/>
              <w:left w:val="single" w:sz="4" w:space="0" w:color="auto"/>
              <w:bottom w:val="single" w:sz="4" w:space="0" w:color="auto"/>
              <w:right w:val="single" w:sz="4" w:space="0" w:color="auto"/>
            </w:tcBorders>
            <w:hideMark/>
          </w:tcPr>
          <w:p w14:paraId="7E0A1582" w14:textId="77777777" w:rsidR="000E0F28" w:rsidRPr="00576180" w:rsidRDefault="000E0F28" w:rsidP="00D57BB5">
            <w:pPr>
              <w:jc w:val="center"/>
            </w:pPr>
            <w:r w:rsidRPr="00576180">
              <w:rPr>
                <w:rFonts w:ascii="Arial" w:hAnsi="Arial" w:cs="Arial"/>
                <w:sz w:val="18"/>
                <w:szCs w:val="18"/>
              </w:rPr>
              <w:t>Categoría del indicador</w:t>
            </w:r>
          </w:p>
        </w:tc>
        <w:tc>
          <w:tcPr>
            <w:tcW w:w="245" w:type="pct"/>
            <w:vMerge w:val="restart"/>
            <w:tcBorders>
              <w:top w:val="single" w:sz="4" w:space="0" w:color="auto"/>
              <w:left w:val="single" w:sz="4" w:space="0" w:color="auto"/>
              <w:bottom w:val="single" w:sz="4" w:space="0" w:color="auto"/>
              <w:right w:val="single" w:sz="4" w:space="0" w:color="auto"/>
            </w:tcBorders>
            <w:vAlign w:val="center"/>
            <w:hideMark/>
          </w:tcPr>
          <w:p w14:paraId="63E82605" w14:textId="77777777" w:rsidR="000E0F28" w:rsidRPr="00576180" w:rsidRDefault="000E0F28" w:rsidP="006D2A59">
            <w:pPr>
              <w:jc w:val="center"/>
              <w:rPr>
                <w:rFonts w:ascii="Arial" w:hAnsi="Arial" w:cs="Arial"/>
                <w:sz w:val="18"/>
                <w:szCs w:val="18"/>
              </w:rPr>
            </w:pPr>
            <w:r w:rsidRPr="00576180">
              <w:rPr>
                <w:rFonts w:ascii="Arial" w:hAnsi="Arial" w:cs="Arial"/>
                <w:sz w:val="18"/>
                <w:szCs w:val="18"/>
              </w:rPr>
              <w:t>D</w:t>
            </w:r>
          </w:p>
        </w:tc>
        <w:tc>
          <w:tcPr>
            <w:tcW w:w="287" w:type="pct"/>
            <w:vMerge w:val="restart"/>
            <w:tcBorders>
              <w:top w:val="single" w:sz="4" w:space="0" w:color="auto"/>
              <w:left w:val="single" w:sz="4" w:space="0" w:color="auto"/>
              <w:bottom w:val="single" w:sz="4" w:space="0" w:color="auto"/>
              <w:right w:val="single" w:sz="4" w:space="0" w:color="auto"/>
            </w:tcBorders>
            <w:vAlign w:val="center"/>
          </w:tcPr>
          <w:p w14:paraId="5C076927" w14:textId="77777777" w:rsidR="000E0F28" w:rsidRPr="00576180" w:rsidRDefault="000E0F28" w:rsidP="006D2A59">
            <w:pPr>
              <w:jc w:val="center"/>
              <w:rPr>
                <w:rFonts w:ascii="Arial" w:hAnsi="Arial" w:cs="Arial"/>
                <w:sz w:val="18"/>
                <w:szCs w:val="18"/>
              </w:rPr>
            </w:pPr>
            <w:r w:rsidRPr="00576180">
              <w:rPr>
                <w:rFonts w:ascii="Arial" w:hAnsi="Arial" w:cs="Arial"/>
                <w:sz w:val="18"/>
                <w:szCs w:val="18"/>
              </w:rPr>
              <w:t>2009</w:t>
            </w:r>
          </w:p>
        </w:tc>
        <w:tc>
          <w:tcPr>
            <w:tcW w:w="286" w:type="pct"/>
            <w:tcBorders>
              <w:top w:val="single" w:sz="4" w:space="0" w:color="auto"/>
              <w:left w:val="single" w:sz="4" w:space="0" w:color="auto"/>
              <w:bottom w:val="single" w:sz="4" w:space="0" w:color="auto"/>
              <w:right w:val="single" w:sz="4" w:space="0" w:color="auto"/>
            </w:tcBorders>
            <w:vAlign w:val="center"/>
            <w:hideMark/>
          </w:tcPr>
          <w:p w14:paraId="2359E71E" w14:textId="77777777" w:rsidR="000E0F28" w:rsidRPr="00576180" w:rsidRDefault="000E0F28" w:rsidP="006D2A59">
            <w:pPr>
              <w:jc w:val="center"/>
              <w:rPr>
                <w:rFonts w:ascii="Arial" w:hAnsi="Arial" w:cs="Arial"/>
                <w:sz w:val="18"/>
                <w:szCs w:val="18"/>
              </w:rPr>
            </w:pPr>
            <w:r w:rsidRPr="00576180">
              <w:rPr>
                <w:rFonts w:ascii="Arial" w:hAnsi="Arial" w:cs="Arial"/>
                <w:sz w:val="18"/>
                <w:szCs w:val="18"/>
              </w:rPr>
              <w:t>P</w:t>
            </w:r>
          </w:p>
        </w:tc>
        <w:tc>
          <w:tcPr>
            <w:tcW w:w="286" w:type="pct"/>
            <w:tcBorders>
              <w:top w:val="single" w:sz="4" w:space="0" w:color="auto"/>
              <w:left w:val="single" w:sz="4" w:space="0" w:color="auto"/>
              <w:bottom w:val="single" w:sz="4" w:space="0" w:color="auto"/>
              <w:right w:val="single" w:sz="4" w:space="0" w:color="auto"/>
            </w:tcBorders>
            <w:vAlign w:val="center"/>
          </w:tcPr>
          <w:p w14:paraId="4B043D98" w14:textId="77777777" w:rsidR="000E0F28" w:rsidRPr="00576180" w:rsidRDefault="000E0F28" w:rsidP="006D2A59">
            <w:pPr>
              <w:jc w:val="center"/>
              <w:rPr>
                <w:rFonts w:ascii="Arial" w:hAnsi="Arial" w:cs="Arial"/>
                <w:color w:val="000000" w:themeColor="text1"/>
                <w:sz w:val="18"/>
                <w:szCs w:val="18"/>
              </w:rPr>
            </w:pPr>
            <w:r w:rsidRPr="00576180">
              <w:rPr>
                <w:rFonts w:ascii="Arial" w:hAnsi="Arial" w:cs="Arial"/>
                <w:color w:val="000000" w:themeColor="text1"/>
                <w:sz w:val="18"/>
                <w:szCs w:val="18"/>
              </w:rPr>
              <w:t>C</w:t>
            </w:r>
          </w:p>
        </w:tc>
        <w:tc>
          <w:tcPr>
            <w:tcW w:w="287" w:type="pct"/>
            <w:tcBorders>
              <w:top w:val="single" w:sz="4" w:space="0" w:color="auto"/>
              <w:left w:val="single" w:sz="4" w:space="0" w:color="auto"/>
              <w:bottom w:val="single" w:sz="4" w:space="0" w:color="auto"/>
              <w:right w:val="single" w:sz="4" w:space="0" w:color="auto"/>
            </w:tcBorders>
          </w:tcPr>
          <w:p w14:paraId="7CBBC5EF" w14:textId="77777777" w:rsidR="000E0F28" w:rsidRPr="00576180" w:rsidRDefault="000E0F28" w:rsidP="006D2A59">
            <w:pPr>
              <w:jc w:val="center"/>
              <w:rPr>
                <w:rFonts w:ascii="Arial" w:hAnsi="Arial" w:cs="Arial"/>
                <w:color w:val="000000" w:themeColor="text1"/>
                <w:sz w:val="18"/>
                <w:szCs w:val="18"/>
              </w:rPr>
            </w:pPr>
          </w:p>
        </w:tc>
        <w:tc>
          <w:tcPr>
            <w:tcW w:w="286" w:type="pct"/>
            <w:tcBorders>
              <w:top w:val="single" w:sz="4" w:space="0" w:color="auto"/>
              <w:left w:val="single" w:sz="4" w:space="0" w:color="auto"/>
              <w:bottom w:val="single" w:sz="4" w:space="0" w:color="auto"/>
              <w:right w:val="single" w:sz="4" w:space="0" w:color="auto"/>
            </w:tcBorders>
          </w:tcPr>
          <w:p w14:paraId="4AA55A3C" w14:textId="77777777" w:rsidR="000E0F28" w:rsidRPr="00576180" w:rsidRDefault="000E0F28" w:rsidP="006D2A59">
            <w:pPr>
              <w:jc w:val="center"/>
              <w:rPr>
                <w:rFonts w:ascii="Arial" w:hAnsi="Arial" w:cs="Arial"/>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14:paraId="448385BD" w14:textId="77777777" w:rsidR="000E0F28" w:rsidRPr="00576180" w:rsidRDefault="000E0F28" w:rsidP="006D2A59">
            <w:pPr>
              <w:rPr>
                <w:rFonts w:ascii="Arial" w:hAnsi="Arial" w:cs="Arial"/>
                <w:color w:val="000000" w:themeColor="text1"/>
                <w:sz w:val="18"/>
                <w:szCs w:val="18"/>
              </w:rPr>
            </w:pPr>
          </w:p>
        </w:tc>
        <w:tc>
          <w:tcPr>
            <w:tcW w:w="370" w:type="pct"/>
            <w:vMerge w:val="restart"/>
            <w:tcBorders>
              <w:top w:val="single" w:sz="4" w:space="0" w:color="auto"/>
              <w:left w:val="single" w:sz="4" w:space="0" w:color="auto"/>
              <w:right w:val="single" w:sz="4" w:space="0" w:color="auto"/>
            </w:tcBorders>
          </w:tcPr>
          <w:p w14:paraId="3708728A" w14:textId="27E0997F" w:rsidR="000E0F28" w:rsidRPr="00576180" w:rsidRDefault="000E0F28" w:rsidP="006D2A59">
            <w:pPr>
              <w:jc w:val="center"/>
              <w:rPr>
                <w:rFonts w:ascii="Arial" w:hAnsi="Arial" w:cs="Arial"/>
                <w:color w:val="000000" w:themeColor="text1"/>
                <w:sz w:val="18"/>
                <w:szCs w:val="18"/>
              </w:rPr>
            </w:pPr>
            <w:r>
              <w:rPr>
                <w:rFonts w:ascii="Arial" w:hAnsi="Arial" w:cs="Arial"/>
                <w:color w:val="000000" w:themeColor="text1"/>
                <w:sz w:val="18"/>
                <w:szCs w:val="18"/>
              </w:rPr>
              <w:t>0</w:t>
            </w:r>
            <w:r w:rsidRPr="00576180">
              <w:rPr>
                <w:rFonts w:ascii="Arial" w:hAnsi="Arial" w:cs="Arial"/>
                <w:color w:val="000000" w:themeColor="text1"/>
                <w:sz w:val="18"/>
                <w:szCs w:val="18"/>
              </w:rPr>
              <w:t>%</w:t>
            </w:r>
          </w:p>
        </w:tc>
        <w:tc>
          <w:tcPr>
            <w:tcW w:w="656" w:type="pct"/>
            <w:vMerge/>
            <w:tcBorders>
              <w:left w:val="single" w:sz="4" w:space="0" w:color="auto"/>
              <w:right w:val="single" w:sz="4" w:space="0" w:color="auto"/>
            </w:tcBorders>
            <w:vAlign w:val="center"/>
          </w:tcPr>
          <w:p w14:paraId="5A1EF93D" w14:textId="1DCC4134" w:rsidR="000E0F28" w:rsidRPr="00576180" w:rsidRDefault="000E0F28" w:rsidP="006D2A59"/>
        </w:tc>
      </w:tr>
      <w:tr w:rsidR="002134DA" w:rsidRPr="00576180" w14:paraId="19FF9FA1" w14:textId="77777777" w:rsidTr="002134DA">
        <w:trPr>
          <w:gridAfter w:val="1"/>
          <w:wAfter w:w="5" w:type="pct"/>
          <w:trHeight w:val="60"/>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1F3A7DC6" w14:textId="77777777" w:rsidR="000E0F28" w:rsidRPr="00576180" w:rsidRDefault="000E0F28" w:rsidP="006D2A59">
            <w:pPr>
              <w:rPr>
                <w:rFonts w:ascii="Arial" w:hAnsi="Arial" w:cs="Arial"/>
                <w:sz w:val="18"/>
                <w:szCs w:val="18"/>
              </w:rPr>
            </w:pPr>
          </w:p>
        </w:tc>
        <w:tc>
          <w:tcPr>
            <w:tcW w:w="613" w:type="pct"/>
            <w:vMerge/>
            <w:tcBorders>
              <w:top w:val="single" w:sz="4" w:space="0" w:color="auto"/>
              <w:left w:val="single" w:sz="4" w:space="0" w:color="auto"/>
              <w:bottom w:val="single" w:sz="4" w:space="0" w:color="auto"/>
              <w:right w:val="single" w:sz="4" w:space="0" w:color="auto"/>
            </w:tcBorders>
            <w:hideMark/>
          </w:tcPr>
          <w:p w14:paraId="21F7E149" w14:textId="77777777" w:rsidR="000E0F28" w:rsidRPr="00576180" w:rsidRDefault="000E0F28"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14:paraId="3D8A6484" w14:textId="77777777" w:rsidR="000E0F28" w:rsidRPr="00576180" w:rsidRDefault="000E0F28"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013F023C" w14:textId="77777777" w:rsidR="000E0F28" w:rsidRPr="00576180" w:rsidRDefault="000E0F28"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694568F3" w14:textId="77777777" w:rsidR="000E0F28" w:rsidRPr="00576180" w:rsidRDefault="000E0F28" w:rsidP="006D2A59">
            <w:pPr>
              <w:jc w:val="center"/>
              <w:rPr>
                <w:rFonts w:ascii="Arial" w:hAnsi="Arial" w:cs="Arial"/>
                <w:sz w:val="18"/>
                <w:szCs w:val="18"/>
              </w:rPr>
            </w:pPr>
            <w:r w:rsidRPr="00576180">
              <w:rPr>
                <w:rFonts w:ascii="Arial" w:hAnsi="Arial" w:cs="Arial"/>
                <w:sz w:val="18"/>
                <w:szCs w:val="18"/>
              </w:rPr>
              <w:t>P(a)</w:t>
            </w:r>
          </w:p>
        </w:tc>
        <w:tc>
          <w:tcPr>
            <w:tcW w:w="286" w:type="pct"/>
            <w:tcBorders>
              <w:top w:val="single" w:sz="4" w:space="0" w:color="auto"/>
              <w:left w:val="single" w:sz="4" w:space="0" w:color="auto"/>
              <w:bottom w:val="single" w:sz="4" w:space="0" w:color="auto"/>
              <w:right w:val="single" w:sz="4" w:space="0" w:color="auto"/>
            </w:tcBorders>
            <w:vAlign w:val="center"/>
          </w:tcPr>
          <w:p w14:paraId="26D8121D" w14:textId="77777777" w:rsidR="000E0F28" w:rsidRPr="00576180" w:rsidRDefault="000E0F28" w:rsidP="006D2A59">
            <w:pPr>
              <w:jc w:val="center"/>
              <w:rPr>
                <w:rFonts w:ascii="Arial" w:hAnsi="Arial" w:cs="Arial"/>
                <w:color w:val="000000" w:themeColor="text1"/>
                <w:sz w:val="18"/>
                <w:szCs w:val="18"/>
              </w:rPr>
            </w:pPr>
            <w:r w:rsidRPr="00576180">
              <w:rPr>
                <w:rFonts w:ascii="Arial" w:hAnsi="Arial" w:cs="Arial"/>
                <w:color w:val="000000" w:themeColor="text1"/>
                <w:sz w:val="18"/>
                <w:szCs w:val="18"/>
              </w:rPr>
              <w:t>C</w:t>
            </w:r>
          </w:p>
        </w:tc>
        <w:tc>
          <w:tcPr>
            <w:tcW w:w="287" w:type="pct"/>
            <w:tcBorders>
              <w:top w:val="single" w:sz="4" w:space="0" w:color="auto"/>
              <w:left w:val="single" w:sz="4" w:space="0" w:color="auto"/>
              <w:bottom w:val="single" w:sz="4" w:space="0" w:color="auto"/>
              <w:right w:val="single" w:sz="4" w:space="0" w:color="auto"/>
            </w:tcBorders>
          </w:tcPr>
          <w:p w14:paraId="4A3BADB0" w14:textId="77777777" w:rsidR="000E0F28" w:rsidRPr="00576180" w:rsidRDefault="000E0F28" w:rsidP="006D2A59">
            <w:pPr>
              <w:jc w:val="center"/>
              <w:rPr>
                <w:rFonts w:ascii="Arial" w:hAnsi="Arial" w:cs="Arial"/>
                <w:color w:val="000000" w:themeColor="text1"/>
                <w:sz w:val="18"/>
                <w:szCs w:val="18"/>
              </w:rPr>
            </w:pPr>
          </w:p>
        </w:tc>
        <w:tc>
          <w:tcPr>
            <w:tcW w:w="286" w:type="pct"/>
            <w:tcBorders>
              <w:top w:val="single" w:sz="4" w:space="0" w:color="auto"/>
              <w:left w:val="single" w:sz="4" w:space="0" w:color="auto"/>
              <w:bottom w:val="single" w:sz="4" w:space="0" w:color="auto"/>
              <w:right w:val="single" w:sz="4" w:space="0" w:color="auto"/>
            </w:tcBorders>
          </w:tcPr>
          <w:p w14:paraId="6E8319E4" w14:textId="77777777" w:rsidR="000E0F28" w:rsidRPr="00576180" w:rsidRDefault="000E0F28" w:rsidP="006D2A59">
            <w:pPr>
              <w:jc w:val="center"/>
              <w:rPr>
                <w:rFonts w:ascii="Arial" w:hAnsi="Arial" w:cs="Arial"/>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14:paraId="368541AE" w14:textId="77777777" w:rsidR="000E0F28" w:rsidRPr="00576180" w:rsidRDefault="000E0F28" w:rsidP="006D2A59">
            <w:pPr>
              <w:rPr>
                <w:rFonts w:ascii="Arial" w:hAnsi="Arial" w:cs="Arial"/>
                <w:color w:val="000000" w:themeColor="text1"/>
                <w:sz w:val="18"/>
                <w:szCs w:val="18"/>
              </w:rPr>
            </w:pPr>
          </w:p>
        </w:tc>
        <w:tc>
          <w:tcPr>
            <w:tcW w:w="370" w:type="pct"/>
            <w:vMerge/>
            <w:tcBorders>
              <w:left w:val="single" w:sz="4" w:space="0" w:color="auto"/>
              <w:right w:val="single" w:sz="4" w:space="0" w:color="auto"/>
            </w:tcBorders>
          </w:tcPr>
          <w:p w14:paraId="6CC1B49E" w14:textId="77777777" w:rsidR="000E0F28" w:rsidRPr="00576180" w:rsidRDefault="000E0F28" w:rsidP="006D2A59">
            <w:pPr>
              <w:rPr>
                <w:rFonts w:ascii="Arial" w:hAnsi="Arial" w:cs="Arial"/>
                <w:color w:val="000000" w:themeColor="text1"/>
                <w:sz w:val="18"/>
                <w:szCs w:val="18"/>
              </w:rPr>
            </w:pPr>
          </w:p>
        </w:tc>
        <w:tc>
          <w:tcPr>
            <w:tcW w:w="656" w:type="pct"/>
            <w:vMerge/>
            <w:tcBorders>
              <w:left w:val="single" w:sz="4" w:space="0" w:color="auto"/>
              <w:right w:val="single" w:sz="4" w:space="0" w:color="auto"/>
            </w:tcBorders>
            <w:vAlign w:val="center"/>
          </w:tcPr>
          <w:p w14:paraId="5E3B0A1B" w14:textId="280FCE23" w:rsidR="000E0F28" w:rsidRPr="00576180" w:rsidRDefault="000E0F28" w:rsidP="006D2A59">
            <w:pPr>
              <w:rPr>
                <w:rFonts w:ascii="Arial" w:hAnsi="Arial" w:cs="Arial"/>
                <w:sz w:val="18"/>
                <w:szCs w:val="18"/>
              </w:rPr>
            </w:pPr>
          </w:p>
        </w:tc>
      </w:tr>
      <w:tr w:rsidR="002134DA" w:rsidRPr="00576180" w14:paraId="3325E282" w14:textId="77777777" w:rsidTr="002134DA">
        <w:trPr>
          <w:gridAfter w:val="1"/>
          <w:wAfter w:w="5" w:type="pct"/>
          <w:trHeight w:val="60"/>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7E9B9397" w14:textId="77777777" w:rsidR="000E0F28" w:rsidRPr="00576180" w:rsidRDefault="000E0F28" w:rsidP="006D2A59">
            <w:pPr>
              <w:rPr>
                <w:rFonts w:ascii="Arial" w:hAnsi="Arial" w:cs="Arial"/>
                <w:sz w:val="18"/>
                <w:szCs w:val="18"/>
              </w:rPr>
            </w:pPr>
          </w:p>
        </w:tc>
        <w:tc>
          <w:tcPr>
            <w:tcW w:w="613" w:type="pct"/>
            <w:vMerge/>
            <w:tcBorders>
              <w:top w:val="single" w:sz="4" w:space="0" w:color="auto"/>
              <w:left w:val="single" w:sz="4" w:space="0" w:color="auto"/>
              <w:bottom w:val="single" w:sz="4" w:space="0" w:color="auto"/>
              <w:right w:val="single" w:sz="4" w:space="0" w:color="auto"/>
            </w:tcBorders>
            <w:hideMark/>
          </w:tcPr>
          <w:p w14:paraId="3179F939" w14:textId="77777777" w:rsidR="000E0F28" w:rsidRPr="00576180" w:rsidRDefault="000E0F28"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14:paraId="2F5AD2CE" w14:textId="77777777" w:rsidR="000E0F28" w:rsidRPr="00576180" w:rsidRDefault="000E0F28"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4A55ED2C" w14:textId="77777777" w:rsidR="000E0F28" w:rsidRPr="00576180" w:rsidRDefault="000E0F28"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5D787DA2" w14:textId="77777777" w:rsidR="000E0F28" w:rsidRPr="00576180" w:rsidRDefault="000E0F28" w:rsidP="006D2A59">
            <w:pPr>
              <w:jc w:val="center"/>
              <w:rPr>
                <w:rFonts w:ascii="Arial" w:hAnsi="Arial" w:cs="Arial"/>
                <w:sz w:val="18"/>
                <w:szCs w:val="18"/>
              </w:rPr>
            </w:pPr>
            <w:r w:rsidRPr="00576180">
              <w:rPr>
                <w:rFonts w:ascii="Arial" w:hAnsi="Arial" w:cs="Arial"/>
                <w:sz w:val="18"/>
                <w:szCs w:val="18"/>
              </w:rPr>
              <w:t>A</w:t>
            </w:r>
          </w:p>
        </w:tc>
        <w:tc>
          <w:tcPr>
            <w:tcW w:w="286" w:type="pct"/>
            <w:tcBorders>
              <w:top w:val="single" w:sz="4" w:space="0" w:color="auto"/>
              <w:left w:val="single" w:sz="4" w:space="0" w:color="auto"/>
              <w:bottom w:val="single" w:sz="4" w:space="0" w:color="auto"/>
              <w:right w:val="single" w:sz="4" w:space="0" w:color="auto"/>
            </w:tcBorders>
            <w:vAlign w:val="center"/>
          </w:tcPr>
          <w:p w14:paraId="7278A915" w14:textId="119C5429" w:rsidR="000E0F28" w:rsidRPr="00576180" w:rsidRDefault="000E0F28" w:rsidP="006D2A59">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287" w:type="pct"/>
            <w:tcBorders>
              <w:top w:val="single" w:sz="4" w:space="0" w:color="auto"/>
              <w:left w:val="single" w:sz="4" w:space="0" w:color="auto"/>
              <w:bottom w:val="single" w:sz="4" w:space="0" w:color="auto"/>
              <w:right w:val="single" w:sz="4" w:space="0" w:color="auto"/>
            </w:tcBorders>
          </w:tcPr>
          <w:p w14:paraId="19FB86CA" w14:textId="77777777" w:rsidR="000E0F28" w:rsidRPr="00576180" w:rsidRDefault="000E0F28" w:rsidP="006D2A59">
            <w:pPr>
              <w:jc w:val="center"/>
              <w:rPr>
                <w:rFonts w:ascii="Arial" w:hAnsi="Arial" w:cs="Arial"/>
                <w:color w:val="000000" w:themeColor="text1"/>
                <w:sz w:val="18"/>
                <w:szCs w:val="18"/>
              </w:rPr>
            </w:pPr>
          </w:p>
        </w:tc>
        <w:tc>
          <w:tcPr>
            <w:tcW w:w="286" w:type="pct"/>
            <w:tcBorders>
              <w:top w:val="single" w:sz="4" w:space="0" w:color="auto"/>
              <w:left w:val="single" w:sz="4" w:space="0" w:color="auto"/>
              <w:bottom w:val="single" w:sz="4" w:space="0" w:color="auto"/>
              <w:right w:val="single" w:sz="4" w:space="0" w:color="auto"/>
            </w:tcBorders>
          </w:tcPr>
          <w:p w14:paraId="616EA61C" w14:textId="77777777" w:rsidR="000E0F28" w:rsidRPr="00576180" w:rsidRDefault="000E0F28" w:rsidP="006D2A59">
            <w:pPr>
              <w:jc w:val="center"/>
              <w:rPr>
                <w:rFonts w:ascii="Arial" w:hAnsi="Arial" w:cs="Arial"/>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tcPr>
          <w:p w14:paraId="6CE758E2" w14:textId="77777777" w:rsidR="000E0F28" w:rsidRPr="00576180" w:rsidRDefault="000E0F28" w:rsidP="006D2A59">
            <w:pPr>
              <w:rPr>
                <w:rFonts w:ascii="Arial" w:hAnsi="Arial" w:cs="Arial"/>
                <w:color w:val="000000" w:themeColor="text1"/>
                <w:sz w:val="18"/>
                <w:szCs w:val="18"/>
              </w:rPr>
            </w:pPr>
          </w:p>
        </w:tc>
        <w:tc>
          <w:tcPr>
            <w:tcW w:w="370" w:type="pct"/>
            <w:vMerge/>
            <w:tcBorders>
              <w:left w:val="single" w:sz="4" w:space="0" w:color="auto"/>
              <w:bottom w:val="single" w:sz="4" w:space="0" w:color="auto"/>
              <w:right w:val="single" w:sz="4" w:space="0" w:color="auto"/>
            </w:tcBorders>
          </w:tcPr>
          <w:p w14:paraId="660B3BF1" w14:textId="77777777" w:rsidR="000E0F28" w:rsidRPr="00576180" w:rsidRDefault="000E0F28" w:rsidP="006D2A59">
            <w:pPr>
              <w:rPr>
                <w:rFonts w:ascii="Arial" w:hAnsi="Arial" w:cs="Arial"/>
                <w:color w:val="000000" w:themeColor="text1"/>
                <w:sz w:val="18"/>
                <w:szCs w:val="18"/>
              </w:rPr>
            </w:pPr>
          </w:p>
        </w:tc>
        <w:tc>
          <w:tcPr>
            <w:tcW w:w="656" w:type="pct"/>
            <w:vMerge/>
            <w:tcBorders>
              <w:left w:val="single" w:sz="4" w:space="0" w:color="auto"/>
              <w:right w:val="single" w:sz="4" w:space="0" w:color="auto"/>
            </w:tcBorders>
            <w:vAlign w:val="center"/>
          </w:tcPr>
          <w:p w14:paraId="5807827D" w14:textId="7E7A2837" w:rsidR="000E0F28" w:rsidRPr="00576180" w:rsidRDefault="000E0F28" w:rsidP="006D2A59">
            <w:pPr>
              <w:rPr>
                <w:rFonts w:ascii="Arial" w:hAnsi="Arial" w:cs="Arial"/>
                <w:sz w:val="18"/>
                <w:szCs w:val="18"/>
              </w:rPr>
            </w:pPr>
          </w:p>
        </w:tc>
      </w:tr>
      <w:tr w:rsidR="002134DA" w:rsidRPr="00576180" w14:paraId="3EF7F2C5" w14:textId="77777777" w:rsidTr="002134DA">
        <w:trPr>
          <w:gridAfter w:val="1"/>
          <w:wAfter w:w="5" w:type="pct"/>
        </w:trPr>
        <w:tc>
          <w:tcPr>
            <w:tcW w:w="1351" w:type="pct"/>
            <w:vMerge w:val="restart"/>
            <w:tcBorders>
              <w:top w:val="single" w:sz="4" w:space="0" w:color="auto"/>
              <w:left w:val="single" w:sz="4" w:space="0" w:color="auto"/>
              <w:bottom w:val="single" w:sz="4" w:space="0" w:color="auto"/>
              <w:right w:val="single" w:sz="4" w:space="0" w:color="auto"/>
            </w:tcBorders>
            <w:vAlign w:val="center"/>
            <w:hideMark/>
          </w:tcPr>
          <w:p w14:paraId="4F6F5AAF" w14:textId="5424C11D" w:rsidR="000E0F28" w:rsidRPr="00576180" w:rsidRDefault="000E0F28" w:rsidP="006D2A59">
            <w:pPr>
              <w:jc w:val="both"/>
              <w:rPr>
                <w:rFonts w:ascii="Arial" w:hAnsi="Arial" w:cs="Arial"/>
                <w:sz w:val="18"/>
                <w:szCs w:val="18"/>
              </w:rPr>
            </w:pPr>
            <w:r w:rsidRPr="00576180">
              <w:rPr>
                <w:rFonts w:ascii="Arial" w:hAnsi="Arial" w:cs="Arial"/>
                <w:sz w:val="18"/>
                <w:szCs w:val="18"/>
              </w:rPr>
              <w:t>2.3 Gestión del saldo y seguimiento de los atrasos de pagos (Indicador 4 del PEFA 2009)</w:t>
            </w:r>
          </w:p>
        </w:tc>
        <w:tc>
          <w:tcPr>
            <w:tcW w:w="613" w:type="pct"/>
            <w:vMerge w:val="restart"/>
            <w:tcBorders>
              <w:top w:val="single" w:sz="4" w:space="0" w:color="auto"/>
              <w:left w:val="single" w:sz="4" w:space="0" w:color="auto"/>
              <w:bottom w:val="single" w:sz="4" w:space="0" w:color="auto"/>
              <w:right w:val="single" w:sz="4" w:space="0" w:color="auto"/>
            </w:tcBorders>
            <w:hideMark/>
          </w:tcPr>
          <w:p w14:paraId="7DF6D405" w14:textId="77777777" w:rsidR="000E0F28" w:rsidRPr="00576180" w:rsidRDefault="000E0F28" w:rsidP="00D57BB5">
            <w:pPr>
              <w:jc w:val="center"/>
            </w:pPr>
            <w:r w:rsidRPr="00576180">
              <w:rPr>
                <w:rFonts w:ascii="Arial" w:hAnsi="Arial" w:cs="Arial"/>
                <w:sz w:val="18"/>
                <w:szCs w:val="18"/>
              </w:rPr>
              <w:t>Categoría del indicador</w:t>
            </w:r>
          </w:p>
        </w:tc>
        <w:tc>
          <w:tcPr>
            <w:tcW w:w="245" w:type="pct"/>
            <w:vMerge w:val="restart"/>
            <w:tcBorders>
              <w:top w:val="single" w:sz="4" w:space="0" w:color="auto"/>
              <w:left w:val="single" w:sz="4" w:space="0" w:color="auto"/>
              <w:bottom w:val="single" w:sz="4" w:space="0" w:color="auto"/>
              <w:right w:val="single" w:sz="4" w:space="0" w:color="auto"/>
            </w:tcBorders>
            <w:vAlign w:val="center"/>
            <w:hideMark/>
          </w:tcPr>
          <w:p w14:paraId="0130CBF7" w14:textId="4228F643" w:rsidR="000E0F28" w:rsidRPr="00576180" w:rsidRDefault="000E0F28" w:rsidP="006D2A59">
            <w:pPr>
              <w:jc w:val="center"/>
              <w:rPr>
                <w:rFonts w:ascii="Arial" w:hAnsi="Arial" w:cs="Arial"/>
                <w:sz w:val="18"/>
                <w:szCs w:val="18"/>
              </w:rPr>
            </w:pPr>
            <w:r w:rsidRPr="00576180">
              <w:rPr>
                <w:rFonts w:ascii="Arial" w:hAnsi="Arial" w:cs="Arial"/>
                <w:sz w:val="18"/>
                <w:szCs w:val="18"/>
              </w:rPr>
              <w:t>C+</w:t>
            </w:r>
          </w:p>
        </w:tc>
        <w:tc>
          <w:tcPr>
            <w:tcW w:w="287" w:type="pct"/>
            <w:vMerge w:val="restart"/>
            <w:tcBorders>
              <w:top w:val="single" w:sz="4" w:space="0" w:color="auto"/>
              <w:left w:val="single" w:sz="4" w:space="0" w:color="auto"/>
              <w:bottom w:val="single" w:sz="4" w:space="0" w:color="auto"/>
              <w:right w:val="single" w:sz="4" w:space="0" w:color="auto"/>
            </w:tcBorders>
            <w:vAlign w:val="center"/>
          </w:tcPr>
          <w:p w14:paraId="480D77DB" w14:textId="77777777" w:rsidR="000E0F28" w:rsidRPr="00576180" w:rsidRDefault="000E0F28" w:rsidP="006D2A59">
            <w:pPr>
              <w:jc w:val="center"/>
              <w:rPr>
                <w:rFonts w:ascii="Arial" w:hAnsi="Arial" w:cs="Arial"/>
                <w:sz w:val="18"/>
                <w:szCs w:val="18"/>
              </w:rPr>
            </w:pPr>
            <w:r w:rsidRPr="00576180">
              <w:rPr>
                <w:rFonts w:ascii="Arial" w:hAnsi="Arial" w:cs="Arial"/>
                <w:sz w:val="18"/>
                <w:szCs w:val="18"/>
              </w:rPr>
              <w:t>2009</w:t>
            </w:r>
          </w:p>
        </w:tc>
        <w:tc>
          <w:tcPr>
            <w:tcW w:w="286" w:type="pct"/>
            <w:tcBorders>
              <w:top w:val="single" w:sz="4" w:space="0" w:color="auto"/>
              <w:left w:val="single" w:sz="4" w:space="0" w:color="auto"/>
              <w:bottom w:val="single" w:sz="4" w:space="0" w:color="auto"/>
              <w:right w:val="single" w:sz="4" w:space="0" w:color="auto"/>
            </w:tcBorders>
            <w:vAlign w:val="center"/>
            <w:hideMark/>
          </w:tcPr>
          <w:p w14:paraId="47BBDE15" w14:textId="77777777" w:rsidR="000E0F28" w:rsidRPr="00576180" w:rsidRDefault="000E0F28" w:rsidP="006D2A59">
            <w:pPr>
              <w:jc w:val="center"/>
              <w:rPr>
                <w:rFonts w:ascii="Arial" w:hAnsi="Arial" w:cs="Arial"/>
                <w:sz w:val="18"/>
                <w:szCs w:val="18"/>
              </w:rPr>
            </w:pPr>
            <w:r w:rsidRPr="00576180">
              <w:rPr>
                <w:rFonts w:ascii="Arial" w:hAnsi="Arial" w:cs="Arial"/>
                <w:sz w:val="18"/>
                <w:szCs w:val="18"/>
              </w:rPr>
              <w:t>P</w:t>
            </w:r>
          </w:p>
        </w:tc>
        <w:tc>
          <w:tcPr>
            <w:tcW w:w="286" w:type="pct"/>
            <w:tcBorders>
              <w:top w:val="single" w:sz="4" w:space="0" w:color="auto"/>
              <w:left w:val="single" w:sz="4" w:space="0" w:color="auto"/>
              <w:bottom w:val="single" w:sz="4" w:space="0" w:color="auto"/>
              <w:right w:val="single" w:sz="4" w:space="0" w:color="auto"/>
            </w:tcBorders>
            <w:vAlign w:val="center"/>
          </w:tcPr>
          <w:p w14:paraId="0D43A28D" w14:textId="77777777" w:rsidR="000E0F28" w:rsidRPr="00576180" w:rsidRDefault="000E0F28" w:rsidP="006D2A59">
            <w:pPr>
              <w:jc w:val="center"/>
              <w:rPr>
                <w:rFonts w:ascii="Arial" w:hAnsi="Arial" w:cs="Arial"/>
                <w:color w:val="000000" w:themeColor="text1"/>
                <w:sz w:val="18"/>
                <w:szCs w:val="18"/>
              </w:rPr>
            </w:pPr>
            <w:r w:rsidRPr="00576180">
              <w:rPr>
                <w:rFonts w:ascii="Arial" w:hAnsi="Arial" w:cs="Arial"/>
                <w:color w:val="000000" w:themeColor="text1"/>
                <w:sz w:val="18"/>
                <w:szCs w:val="18"/>
              </w:rPr>
              <w:t>B+</w:t>
            </w:r>
          </w:p>
        </w:tc>
        <w:tc>
          <w:tcPr>
            <w:tcW w:w="287" w:type="pct"/>
            <w:tcBorders>
              <w:top w:val="single" w:sz="4" w:space="0" w:color="auto"/>
              <w:left w:val="single" w:sz="4" w:space="0" w:color="auto"/>
              <w:bottom w:val="single" w:sz="4" w:space="0" w:color="auto"/>
              <w:right w:val="single" w:sz="4" w:space="0" w:color="auto"/>
            </w:tcBorders>
            <w:vAlign w:val="center"/>
          </w:tcPr>
          <w:p w14:paraId="76BFA34E" w14:textId="77777777" w:rsidR="000E0F28" w:rsidRPr="00576180" w:rsidRDefault="000E0F28" w:rsidP="006D2A59">
            <w:pPr>
              <w:jc w:val="center"/>
              <w:rPr>
                <w:rFonts w:ascii="Arial" w:hAnsi="Arial" w:cs="Arial"/>
                <w:color w:val="000000" w:themeColor="text1"/>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tcPr>
          <w:p w14:paraId="30E8EE5C" w14:textId="77777777" w:rsidR="000E0F28" w:rsidRPr="00576180" w:rsidRDefault="000E0F28" w:rsidP="006D2A59">
            <w:pPr>
              <w:jc w:val="center"/>
              <w:rPr>
                <w:rFonts w:ascii="Arial" w:hAnsi="Arial" w:cs="Arial"/>
                <w:color w:val="000000" w:themeColor="text1"/>
                <w:sz w:val="18"/>
                <w:szCs w:val="18"/>
              </w:rPr>
            </w:pPr>
          </w:p>
        </w:tc>
        <w:tc>
          <w:tcPr>
            <w:tcW w:w="327" w:type="pct"/>
            <w:tcBorders>
              <w:top w:val="single" w:sz="4" w:space="0" w:color="auto"/>
              <w:left w:val="single" w:sz="4" w:space="0" w:color="auto"/>
              <w:bottom w:val="single" w:sz="4" w:space="0" w:color="auto"/>
              <w:right w:val="single" w:sz="4" w:space="0" w:color="auto"/>
            </w:tcBorders>
            <w:vAlign w:val="center"/>
          </w:tcPr>
          <w:p w14:paraId="730CFF2F" w14:textId="77777777" w:rsidR="000E0F28" w:rsidRPr="00576180" w:rsidRDefault="000E0F28" w:rsidP="006D2A59">
            <w:pPr>
              <w:jc w:val="center"/>
              <w:rPr>
                <w:rFonts w:ascii="Arial" w:hAnsi="Arial" w:cs="Arial"/>
                <w:color w:val="000000" w:themeColor="text1"/>
                <w:sz w:val="18"/>
                <w:szCs w:val="18"/>
              </w:rPr>
            </w:pPr>
          </w:p>
        </w:tc>
        <w:tc>
          <w:tcPr>
            <w:tcW w:w="370" w:type="pct"/>
            <w:vMerge w:val="restart"/>
            <w:tcBorders>
              <w:top w:val="single" w:sz="4" w:space="0" w:color="auto"/>
              <w:left w:val="single" w:sz="4" w:space="0" w:color="auto"/>
              <w:right w:val="single" w:sz="4" w:space="0" w:color="auto"/>
            </w:tcBorders>
          </w:tcPr>
          <w:p w14:paraId="1708E7AE" w14:textId="2B40C61D" w:rsidR="000E0F28" w:rsidRPr="00576180" w:rsidRDefault="000E0F28" w:rsidP="006D2A59">
            <w:pPr>
              <w:jc w:val="center"/>
              <w:rPr>
                <w:rFonts w:ascii="Arial" w:hAnsi="Arial" w:cs="Arial"/>
                <w:color w:val="000000" w:themeColor="text1"/>
                <w:sz w:val="18"/>
                <w:szCs w:val="18"/>
              </w:rPr>
            </w:pPr>
            <w:r>
              <w:rPr>
                <w:rFonts w:ascii="Arial" w:hAnsi="Arial" w:cs="Arial"/>
                <w:color w:val="000000" w:themeColor="text1"/>
                <w:sz w:val="18"/>
                <w:szCs w:val="18"/>
              </w:rPr>
              <w:t>0</w:t>
            </w:r>
            <w:r w:rsidRPr="00576180">
              <w:rPr>
                <w:rFonts w:ascii="Arial" w:hAnsi="Arial" w:cs="Arial"/>
                <w:color w:val="000000" w:themeColor="text1"/>
                <w:sz w:val="18"/>
                <w:szCs w:val="18"/>
              </w:rPr>
              <w:t>%</w:t>
            </w:r>
          </w:p>
        </w:tc>
        <w:tc>
          <w:tcPr>
            <w:tcW w:w="656" w:type="pct"/>
            <w:vMerge/>
            <w:tcBorders>
              <w:left w:val="single" w:sz="4" w:space="0" w:color="auto"/>
              <w:right w:val="single" w:sz="4" w:space="0" w:color="auto"/>
            </w:tcBorders>
            <w:vAlign w:val="center"/>
          </w:tcPr>
          <w:p w14:paraId="4BACCB16" w14:textId="75BFB55B" w:rsidR="000E0F28" w:rsidRPr="00576180" w:rsidRDefault="000E0F28" w:rsidP="006D2A59"/>
        </w:tc>
      </w:tr>
      <w:tr w:rsidR="002134DA" w:rsidRPr="00576180" w14:paraId="570E608E" w14:textId="77777777" w:rsidTr="002134DA">
        <w:trPr>
          <w:gridAfter w:val="1"/>
          <w:wAfter w:w="5" w:type="pct"/>
          <w:trHeight w:val="125"/>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492938FF" w14:textId="77777777" w:rsidR="000E0F28" w:rsidRPr="00576180" w:rsidRDefault="000E0F28" w:rsidP="006D2A59">
            <w:pPr>
              <w:rPr>
                <w:rFonts w:ascii="Arial" w:hAnsi="Arial" w:cs="Arial"/>
                <w:sz w:val="18"/>
                <w:szCs w:val="18"/>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4D7C68C6" w14:textId="77777777" w:rsidR="000E0F28" w:rsidRPr="00576180" w:rsidRDefault="000E0F28"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14:paraId="38CC617A" w14:textId="77777777" w:rsidR="000E0F28" w:rsidRPr="00576180" w:rsidRDefault="000E0F28"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13C44E3B" w14:textId="77777777" w:rsidR="000E0F28" w:rsidRPr="00576180" w:rsidRDefault="000E0F28"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6CF9D6CB" w14:textId="77777777" w:rsidR="000E0F28" w:rsidRPr="00576180" w:rsidRDefault="000E0F28" w:rsidP="006D2A59">
            <w:pPr>
              <w:jc w:val="center"/>
              <w:rPr>
                <w:rFonts w:ascii="Arial" w:hAnsi="Arial" w:cs="Arial"/>
                <w:sz w:val="18"/>
                <w:szCs w:val="18"/>
              </w:rPr>
            </w:pPr>
            <w:r w:rsidRPr="00576180">
              <w:rPr>
                <w:rFonts w:ascii="Arial" w:hAnsi="Arial" w:cs="Arial"/>
                <w:sz w:val="18"/>
                <w:szCs w:val="18"/>
              </w:rPr>
              <w:t>P(a)</w:t>
            </w:r>
          </w:p>
        </w:tc>
        <w:tc>
          <w:tcPr>
            <w:tcW w:w="286" w:type="pct"/>
            <w:tcBorders>
              <w:top w:val="single" w:sz="4" w:space="0" w:color="auto"/>
              <w:left w:val="single" w:sz="4" w:space="0" w:color="auto"/>
              <w:bottom w:val="single" w:sz="4" w:space="0" w:color="auto"/>
              <w:right w:val="single" w:sz="4" w:space="0" w:color="auto"/>
            </w:tcBorders>
            <w:vAlign w:val="center"/>
          </w:tcPr>
          <w:p w14:paraId="47B20DC6" w14:textId="77777777" w:rsidR="000E0F28" w:rsidRPr="00576180" w:rsidRDefault="000E0F28" w:rsidP="006D2A59">
            <w:pPr>
              <w:jc w:val="center"/>
              <w:rPr>
                <w:rFonts w:ascii="Arial" w:hAnsi="Arial" w:cs="Arial"/>
                <w:color w:val="000000" w:themeColor="text1"/>
                <w:sz w:val="18"/>
                <w:szCs w:val="18"/>
              </w:rPr>
            </w:pPr>
            <w:r w:rsidRPr="00576180">
              <w:rPr>
                <w:rFonts w:ascii="Arial" w:hAnsi="Arial" w:cs="Arial"/>
                <w:color w:val="000000" w:themeColor="text1"/>
                <w:sz w:val="18"/>
                <w:szCs w:val="18"/>
              </w:rPr>
              <w:t>B+</w:t>
            </w:r>
          </w:p>
        </w:tc>
        <w:tc>
          <w:tcPr>
            <w:tcW w:w="287" w:type="pct"/>
            <w:tcBorders>
              <w:top w:val="single" w:sz="4" w:space="0" w:color="auto"/>
              <w:left w:val="single" w:sz="4" w:space="0" w:color="auto"/>
              <w:bottom w:val="single" w:sz="4" w:space="0" w:color="auto"/>
              <w:right w:val="single" w:sz="4" w:space="0" w:color="auto"/>
            </w:tcBorders>
            <w:vAlign w:val="center"/>
          </w:tcPr>
          <w:p w14:paraId="14C751A7" w14:textId="77777777" w:rsidR="000E0F28" w:rsidRPr="00576180" w:rsidRDefault="000E0F28"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tcPr>
          <w:p w14:paraId="3D943CA6" w14:textId="77777777" w:rsidR="000E0F28" w:rsidRPr="00576180" w:rsidRDefault="000E0F28"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vAlign w:val="center"/>
          </w:tcPr>
          <w:p w14:paraId="7AE782FE" w14:textId="77777777" w:rsidR="000E0F28" w:rsidRPr="00576180" w:rsidRDefault="000E0F28" w:rsidP="006D2A59">
            <w:pPr>
              <w:jc w:val="center"/>
              <w:rPr>
                <w:rFonts w:ascii="Arial" w:hAnsi="Arial" w:cs="Arial"/>
                <w:sz w:val="18"/>
                <w:szCs w:val="18"/>
              </w:rPr>
            </w:pPr>
          </w:p>
        </w:tc>
        <w:tc>
          <w:tcPr>
            <w:tcW w:w="370" w:type="pct"/>
            <w:vMerge/>
            <w:tcBorders>
              <w:left w:val="single" w:sz="4" w:space="0" w:color="auto"/>
              <w:right w:val="single" w:sz="4" w:space="0" w:color="auto"/>
            </w:tcBorders>
            <w:vAlign w:val="center"/>
          </w:tcPr>
          <w:p w14:paraId="7AB3D183" w14:textId="77777777" w:rsidR="000E0F28" w:rsidRPr="00576180" w:rsidRDefault="000E0F28" w:rsidP="006D2A59">
            <w:pPr>
              <w:rPr>
                <w:rFonts w:ascii="Arial" w:hAnsi="Arial" w:cs="Arial"/>
                <w:sz w:val="18"/>
                <w:szCs w:val="18"/>
              </w:rPr>
            </w:pPr>
          </w:p>
        </w:tc>
        <w:tc>
          <w:tcPr>
            <w:tcW w:w="656" w:type="pct"/>
            <w:vMerge/>
            <w:tcBorders>
              <w:left w:val="single" w:sz="4" w:space="0" w:color="auto"/>
              <w:right w:val="single" w:sz="4" w:space="0" w:color="auto"/>
            </w:tcBorders>
            <w:vAlign w:val="center"/>
          </w:tcPr>
          <w:p w14:paraId="5F7999CE" w14:textId="77777777" w:rsidR="000E0F28" w:rsidRPr="00576180" w:rsidRDefault="000E0F28" w:rsidP="006D2A59">
            <w:pPr>
              <w:rPr>
                <w:rFonts w:ascii="Arial" w:hAnsi="Arial" w:cs="Arial"/>
                <w:sz w:val="18"/>
                <w:szCs w:val="18"/>
              </w:rPr>
            </w:pPr>
          </w:p>
        </w:tc>
      </w:tr>
      <w:tr w:rsidR="002134DA" w:rsidRPr="00576180" w14:paraId="4AB0784F" w14:textId="77777777" w:rsidTr="002134DA">
        <w:trPr>
          <w:gridAfter w:val="1"/>
          <w:wAfter w:w="5" w:type="pct"/>
          <w:trHeight w:val="56"/>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5D9B16EE" w14:textId="77777777" w:rsidR="000E0F28" w:rsidRPr="00576180" w:rsidRDefault="000E0F28" w:rsidP="006D2A59">
            <w:pPr>
              <w:rPr>
                <w:rFonts w:ascii="Arial" w:hAnsi="Arial" w:cs="Arial"/>
                <w:sz w:val="18"/>
                <w:szCs w:val="18"/>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21CB7F28" w14:textId="77777777" w:rsidR="000E0F28" w:rsidRPr="00576180" w:rsidRDefault="000E0F28"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14:paraId="16D9DB14" w14:textId="77777777" w:rsidR="000E0F28" w:rsidRPr="00576180" w:rsidRDefault="000E0F28"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3EB654EC" w14:textId="77777777" w:rsidR="000E0F28" w:rsidRPr="00576180" w:rsidRDefault="000E0F28"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73E4C696" w14:textId="77777777" w:rsidR="000E0F28" w:rsidRPr="00576180" w:rsidRDefault="000E0F28" w:rsidP="006D2A59">
            <w:pPr>
              <w:jc w:val="center"/>
              <w:rPr>
                <w:rFonts w:ascii="Arial" w:hAnsi="Arial" w:cs="Arial"/>
                <w:sz w:val="18"/>
                <w:szCs w:val="18"/>
              </w:rPr>
            </w:pPr>
            <w:r w:rsidRPr="00576180">
              <w:rPr>
                <w:rFonts w:ascii="Arial" w:hAnsi="Arial" w:cs="Arial"/>
                <w:sz w:val="18"/>
                <w:szCs w:val="18"/>
              </w:rPr>
              <w:t>A</w:t>
            </w:r>
          </w:p>
        </w:tc>
        <w:tc>
          <w:tcPr>
            <w:tcW w:w="286" w:type="pct"/>
            <w:tcBorders>
              <w:top w:val="single" w:sz="4" w:space="0" w:color="auto"/>
              <w:left w:val="single" w:sz="4" w:space="0" w:color="auto"/>
              <w:bottom w:val="single" w:sz="4" w:space="0" w:color="auto"/>
              <w:right w:val="single" w:sz="4" w:space="0" w:color="auto"/>
            </w:tcBorders>
            <w:vAlign w:val="center"/>
          </w:tcPr>
          <w:p w14:paraId="2AA35511" w14:textId="708FFA05" w:rsidR="000E0F28" w:rsidRPr="00576180" w:rsidRDefault="000E0F28" w:rsidP="006D2A59">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287" w:type="pct"/>
            <w:tcBorders>
              <w:top w:val="single" w:sz="4" w:space="0" w:color="auto"/>
              <w:left w:val="single" w:sz="4" w:space="0" w:color="auto"/>
              <w:bottom w:val="single" w:sz="4" w:space="0" w:color="auto"/>
              <w:right w:val="single" w:sz="4" w:space="0" w:color="auto"/>
            </w:tcBorders>
            <w:vAlign w:val="center"/>
          </w:tcPr>
          <w:p w14:paraId="5703284B" w14:textId="77777777" w:rsidR="000E0F28" w:rsidRPr="00576180" w:rsidRDefault="000E0F28"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tcPr>
          <w:p w14:paraId="2F2DAB26" w14:textId="77777777" w:rsidR="000E0F28" w:rsidRPr="00576180" w:rsidRDefault="000E0F28"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vAlign w:val="center"/>
          </w:tcPr>
          <w:p w14:paraId="060BABD9" w14:textId="77777777" w:rsidR="000E0F28" w:rsidRPr="00576180" w:rsidRDefault="000E0F28" w:rsidP="006D2A59">
            <w:pPr>
              <w:jc w:val="center"/>
              <w:rPr>
                <w:rFonts w:ascii="Arial" w:hAnsi="Arial" w:cs="Arial"/>
                <w:sz w:val="18"/>
                <w:szCs w:val="18"/>
              </w:rPr>
            </w:pPr>
          </w:p>
        </w:tc>
        <w:tc>
          <w:tcPr>
            <w:tcW w:w="370" w:type="pct"/>
            <w:vMerge/>
            <w:tcBorders>
              <w:left w:val="single" w:sz="4" w:space="0" w:color="auto"/>
              <w:bottom w:val="single" w:sz="4" w:space="0" w:color="auto"/>
              <w:right w:val="single" w:sz="4" w:space="0" w:color="auto"/>
            </w:tcBorders>
            <w:vAlign w:val="center"/>
          </w:tcPr>
          <w:p w14:paraId="207AF7AD" w14:textId="77777777" w:rsidR="000E0F28" w:rsidRPr="00576180" w:rsidRDefault="000E0F28" w:rsidP="006D2A59">
            <w:pPr>
              <w:rPr>
                <w:rFonts w:ascii="Arial" w:hAnsi="Arial" w:cs="Arial"/>
                <w:sz w:val="18"/>
                <w:szCs w:val="18"/>
              </w:rPr>
            </w:pPr>
          </w:p>
        </w:tc>
        <w:tc>
          <w:tcPr>
            <w:tcW w:w="656" w:type="pct"/>
            <w:vMerge/>
            <w:tcBorders>
              <w:left w:val="single" w:sz="4" w:space="0" w:color="auto"/>
              <w:bottom w:val="single" w:sz="4" w:space="0" w:color="auto"/>
              <w:right w:val="single" w:sz="4" w:space="0" w:color="auto"/>
            </w:tcBorders>
            <w:vAlign w:val="center"/>
          </w:tcPr>
          <w:p w14:paraId="287C7C12" w14:textId="77777777" w:rsidR="000E0F28" w:rsidRPr="00576180" w:rsidRDefault="000E0F28" w:rsidP="006D2A59">
            <w:pPr>
              <w:rPr>
                <w:rFonts w:ascii="Arial" w:hAnsi="Arial" w:cs="Arial"/>
                <w:sz w:val="18"/>
                <w:szCs w:val="18"/>
              </w:rPr>
            </w:pPr>
          </w:p>
        </w:tc>
      </w:tr>
      <w:tr w:rsidR="006D2A59" w:rsidRPr="00576180" w14:paraId="70F5295C" w14:textId="77777777" w:rsidTr="00BC76FE">
        <w:trPr>
          <w:trHeight w:val="56"/>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B1519" w14:textId="1BC08094" w:rsidR="006D2A59" w:rsidRPr="00576180" w:rsidRDefault="006D2A59" w:rsidP="006D2A59">
            <w:pPr>
              <w:rPr>
                <w:rFonts w:ascii="Arial" w:hAnsi="Arial" w:cs="Arial"/>
                <w:b/>
                <w:sz w:val="18"/>
                <w:szCs w:val="18"/>
              </w:rPr>
            </w:pPr>
            <w:r w:rsidRPr="00576180">
              <w:rPr>
                <w:rFonts w:ascii="Arial" w:hAnsi="Arial" w:cs="Arial"/>
                <w:b/>
                <w:sz w:val="18"/>
                <w:szCs w:val="18"/>
              </w:rPr>
              <w:t>C2. Fortalecimiento de capacidades institucionales para la gestión financiera pública</w:t>
            </w:r>
          </w:p>
        </w:tc>
      </w:tr>
      <w:tr w:rsidR="002134DA" w:rsidRPr="00576180" w14:paraId="4D517CE0" w14:textId="77777777" w:rsidTr="002134DA">
        <w:trPr>
          <w:gridAfter w:val="1"/>
          <w:wAfter w:w="5" w:type="pct"/>
          <w:trHeight w:val="188"/>
        </w:trPr>
        <w:tc>
          <w:tcPr>
            <w:tcW w:w="1351" w:type="pct"/>
            <w:vMerge w:val="restart"/>
            <w:tcBorders>
              <w:top w:val="single" w:sz="4" w:space="0" w:color="auto"/>
              <w:left w:val="single" w:sz="4" w:space="0" w:color="auto"/>
              <w:bottom w:val="single" w:sz="4" w:space="0" w:color="auto"/>
              <w:right w:val="single" w:sz="4" w:space="0" w:color="auto"/>
            </w:tcBorders>
            <w:vAlign w:val="center"/>
            <w:hideMark/>
          </w:tcPr>
          <w:p w14:paraId="6F044A42" w14:textId="112C8EC0" w:rsidR="006D2A59" w:rsidRPr="00576180" w:rsidRDefault="006D2A59" w:rsidP="006D2A59">
            <w:pPr>
              <w:jc w:val="both"/>
              <w:rPr>
                <w:rFonts w:ascii="Arial" w:hAnsi="Arial" w:cs="Arial"/>
                <w:sz w:val="18"/>
                <w:szCs w:val="18"/>
              </w:rPr>
            </w:pPr>
            <w:r w:rsidRPr="00576180">
              <w:rPr>
                <w:rFonts w:ascii="Arial" w:hAnsi="Arial" w:cs="Arial"/>
                <w:sz w:val="18"/>
                <w:szCs w:val="18"/>
              </w:rPr>
              <w:t>2.4 Ahorro en costos de soporte para la operación del SIAF</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14:paraId="12A1C4D5"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Soles</w:t>
            </w:r>
          </w:p>
        </w:tc>
        <w:tc>
          <w:tcPr>
            <w:tcW w:w="245" w:type="pct"/>
            <w:vMerge w:val="restart"/>
            <w:tcBorders>
              <w:top w:val="single" w:sz="4" w:space="0" w:color="auto"/>
              <w:left w:val="single" w:sz="4" w:space="0" w:color="auto"/>
              <w:bottom w:val="single" w:sz="4" w:space="0" w:color="auto"/>
              <w:right w:val="single" w:sz="4" w:space="0" w:color="auto"/>
            </w:tcBorders>
            <w:vAlign w:val="center"/>
          </w:tcPr>
          <w:p w14:paraId="6308E6C9"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0</w:t>
            </w:r>
          </w:p>
        </w:tc>
        <w:tc>
          <w:tcPr>
            <w:tcW w:w="287" w:type="pct"/>
            <w:vMerge w:val="restart"/>
            <w:tcBorders>
              <w:top w:val="single" w:sz="4" w:space="0" w:color="auto"/>
              <w:left w:val="single" w:sz="4" w:space="0" w:color="auto"/>
              <w:bottom w:val="single" w:sz="4" w:space="0" w:color="auto"/>
              <w:right w:val="single" w:sz="4" w:space="0" w:color="auto"/>
            </w:tcBorders>
            <w:vAlign w:val="center"/>
          </w:tcPr>
          <w:p w14:paraId="678A8AD4"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2010</w:t>
            </w:r>
          </w:p>
          <w:p w14:paraId="48FCD0BD" w14:textId="77777777" w:rsidR="006D2A59" w:rsidRPr="00576180" w:rsidRDefault="006D2A59"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25E0C7D1"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P</w:t>
            </w:r>
          </w:p>
        </w:tc>
        <w:tc>
          <w:tcPr>
            <w:tcW w:w="286" w:type="pct"/>
            <w:tcBorders>
              <w:top w:val="single" w:sz="4" w:space="0" w:color="auto"/>
              <w:left w:val="single" w:sz="4" w:space="0" w:color="auto"/>
              <w:bottom w:val="single" w:sz="4" w:space="0" w:color="auto"/>
              <w:right w:val="single" w:sz="4" w:space="0" w:color="auto"/>
            </w:tcBorders>
            <w:vAlign w:val="center"/>
          </w:tcPr>
          <w:p w14:paraId="3B5E58A5" w14:textId="77777777" w:rsidR="006D2A59" w:rsidRPr="00576180" w:rsidRDefault="006D2A59" w:rsidP="006D2A59">
            <w:pPr>
              <w:jc w:val="center"/>
              <w:rPr>
                <w:rFonts w:ascii="Arial" w:hAnsi="Arial" w:cs="Arial"/>
                <w:sz w:val="18"/>
                <w:szCs w:val="18"/>
              </w:rPr>
            </w:pPr>
          </w:p>
        </w:tc>
        <w:tc>
          <w:tcPr>
            <w:tcW w:w="287" w:type="pct"/>
            <w:tcBorders>
              <w:top w:val="single" w:sz="4" w:space="0" w:color="auto"/>
              <w:left w:val="single" w:sz="4" w:space="0" w:color="auto"/>
              <w:bottom w:val="single" w:sz="4" w:space="0" w:color="auto"/>
              <w:right w:val="single" w:sz="4" w:space="0" w:color="auto"/>
            </w:tcBorders>
            <w:vAlign w:val="center"/>
          </w:tcPr>
          <w:p w14:paraId="2D7B82DE" w14:textId="77777777" w:rsidR="006D2A59" w:rsidRPr="00576180" w:rsidRDefault="006D2A59"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tcPr>
          <w:p w14:paraId="765838B7" w14:textId="77777777" w:rsidR="006D2A59" w:rsidRPr="00576180" w:rsidRDefault="006D2A59"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vAlign w:val="center"/>
          </w:tcPr>
          <w:p w14:paraId="3184BBEB" w14:textId="775884EB" w:rsidR="006D2A59" w:rsidRPr="00576180" w:rsidRDefault="006D2A59" w:rsidP="006D2A59">
            <w:pPr>
              <w:jc w:val="center"/>
              <w:rPr>
                <w:rFonts w:ascii="Arial" w:hAnsi="Arial" w:cs="Arial"/>
                <w:sz w:val="18"/>
                <w:szCs w:val="18"/>
              </w:rPr>
            </w:pPr>
            <w:r w:rsidRPr="00576180">
              <w:rPr>
                <w:rFonts w:ascii="Arial" w:hAnsi="Arial" w:cs="Arial"/>
                <w:sz w:val="18"/>
                <w:szCs w:val="18"/>
              </w:rPr>
              <w:t>-19</w:t>
            </w:r>
            <w:r w:rsidR="00D57BB5" w:rsidRPr="00576180">
              <w:rPr>
                <w:rFonts w:ascii="Arial" w:hAnsi="Arial" w:cs="Arial"/>
                <w:sz w:val="18"/>
                <w:szCs w:val="18"/>
              </w:rPr>
              <w:t>M</w:t>
            </w:r>
            <w:r w:rsidR="00EE2489" w:rsidRPr="00576180">
              <w:rPr>
                <w:rFonts w:ascii="Arial" w:hAnsi="Arial" w:cs="Arial"/>
                <w:sz w:val="18"/>
                <w:szCs w:val="18"/>
              </w:rPr>
              <w:t>*</w:t>
            </w:r>
          </w:p>
        </w:tc>
        <w:tc>
          <w:tcPr>
            <w:tcW w:w="370" w:type="pct"/>
            <w:vMerge w:val="restart"/>
            <w:tcBorders>
              <w:top w:val="single" w:sz="4" w:space="0" w:color="auto"/>
              <w:left w:val="single" w:sz="4" w:space="0" w:color="auto"/>
              <w:right w:val="single" w:sz="4" w:space="0" w:color="auto"/>
            </w:tcBorders>
            <w:vAlign w:val="center"/>
          </w:tcPr>
          <w:p w14:paraId="7FB087CE" w14:textId="333D1CD3" w:rsidR="006D2A59" w:rsidRPr="00576180" w:rsidRDefault="006D2A59" w:rsidP="006D2A59">
            <w:pPr>
              <w:jc w:val="center"/>
              <w:rPr>
                <w:rFonts w:ascii="Arial" w:hAnsi="Arial" w:cs="Arial"/>
                <w:color w:val="FF0000"/>
                <w:sz w:val="18"/>
                <w:szCs w:val="18"/>
              </w:rPr>
            </w:pPr>
            <w:r w:rsidRPr="00576180">
              <w:rPr>
                <w:rFonts w:ascii="Arial" w:hAnsi="Arial" w:cs="Arial"/>
                <w:sz w:val="18"/>
                <w:szCs w:val="18"/>
              </w:rPr>
              <w:t>0%</w:t>
            </w:r>
          </w:p>
        </w:tc>
        <w:tc>
          <w:tcPr>
            <w:tcW w:w="656" w:type="pct"/>
            <w:vMerge w:val="restart"/>
            <w:tcBorders>
              <w:top w:val="single" w:sz="4" w:space="0" w:color="auto"/>
              <w:left w:val="single" w:sz="4" w:space="0" w:color="auto"/>
              <w:bottom w:val="single" w:sz="4" w:space="0" w:color="auto"/>
              <w:right w:val="single" w:sz="4" w:space="0" w:color="auto"/>
            </w:tcBorders>
            <w:vAlign w:val="center"/>
          </w:tcPr>
          <w:p w14:paraId="3256F714" w14:textId="5DB9FAF3" w:rsidR="006D2A59" w:rsidRPr="00576180" w:rsidRDefault="006D2A59" w:rsidP="006D2A59">
            <w:pPr>
              <w:rPr>
                <w:rFonts w:ascii="Arial" w:hAnsi="Arial" w:cs="Arial"/>
                <w:sz w:val="18"/>
                <w:szCs w:val="18"/>
              </w:rPr>
            </w:pPr>
            <w:r w:rsidRPr="00576180">
              <w:rPr>
                <w:rFonts w:ascii="Arial" w:hAnsi="Arial" w:cs="Arial"/>
                <w:sz w:val="18"/>
                <w:szCs w:val="18"/>
              </w:rPr>
              <w:t>OGTI – MEF.</w:t>
            </w:r>
          </w:p>
        </w:tc>
      </w:tr>
      <w:tr w:rsidR="002134DA" w:rsidRPr="00576180" w14:paraId="1165674B" w14:textId="77777777" w:rsidTr="002134DA">
        <w:trPr>
          <w:gridAfter w:val="1"/>
          <w:wAfter w:w="5" w:type="pct"/>
          <w:trHeight w:val="62"/>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4A308992" w14:textId="77777777" w:rsidR="006D2A59" w:rsidRPr="00576180" w:rsidRDefault="006D2A59" w:rsidP="006D2A59">
            <w:pPr>
              <w:rPr>
                <w:rFonts w:ascii="Arial" w:hAnsi="Arial" w:cs="Arial"/>
                <w:sz w:val="18"/>
                <w:szCs w:val="18"/>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431A8AF8" w14:textId="77777777" w:rsidR="006D2A59" w:rsidRPr="00576180" w:rsidRDefault="006D2A59"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tcPr>
          <w:p w14:paraId="6C521944" w14:textId="77777777" w:rsidR="006D2A59" w:rsidRPr="00576180" w:rsidRDefault="006D2A59"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24A0495B" w14:textId="77777777" w:rsidR="006D2A59" w:rsidRPr="00576180" w:rsidRDefault="006D2A59"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342AE114"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P(a)</w:t>
            </w:r>
          </w:p>
        </w:tc>
        <w:tc>
          <w:tcPr>
            <w:tcW w:w="286" w:type="pct"/>
            <w:tcBorders>
              <w:top w:val="single" w:sz="4" w:space="0" w:color="auto"/>
              <w:left w:val="single" w:sz="4" w:space="0" w:color="auto"/>
              <w:bottom w:val="single" w:sz="4" w:space="0" w:color="auto"/>
              <w:right w:val="single" w:sz="4" w:space="0" w:color="auto"/>
            </w:tcBorders>
            <w:vAlign w:val="center"/>
          </w:tcPr>
          <w:p w14:paraId="6C099EDE" w14:textId="77777777" w:rsidR="006D2A59" w:rsidRPr="00576180" w:rsidRDefault="006D2A59" w:rsidP="006D2A59">
            <w:pPr>
              <w:jc w:val="center"/>
              <w:rPr>
                <w:rFonts w:ascii="Arial" w:hAnsi="Arial" w:cs="Arial"/>
                <w:sz w:val="18"/>
                <w:szCs w:val="18"/>
              </w:rPr>
            </w:pPr>
          </w:p>
        </w:tc>
        <w:tc>
          <w:tcPr>
            <w:tcW w:w="287" w:type="pct"/>
            <w:tcBorders>
              <w:top w:val="single" w:sz="4" w:space="0" w:color="auto"/>
              <w:left w:val="single" w:sz="4" w:space="0" w:color="auto"/>
              <w:bottom w:val="single" w:sz="4" w:space="0" w:color="auto"/>
              <w:right w:val="single" w:sz="4" w:space="0" w:color="auto"/>
            </w:tcBorders>
            <w:vAlign w:val="center"/>
          </w:tcPr>
          <w:p w14:paraId="4820AC59" w14:textId="77777777" w:rsidR="006D2A59" w:rsidRPr="00576180" w:rsidRDefault="006D2A59"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tcPr>
          <w:p w14:paraId="2880BC5B" w14:textId="77777777" w:rsidR="006D2A59" w:rsidRPr="00576180" w:rsidRDefault="006D2A59"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vAlign w:val="center"/>
          </w:tcPr>
          <w:p w14:paraId="6DC6C9B8" w14:textId="19F02788" w:rsidR="006D2A59" w:rsidRPr="00576180" w:rsidRDefault="006D2A59" w:rsidP="006D2A59">
            <w:pPr>
              <w:jc w:val="center"/>
              <w:rPr>
                <w:rFonts w:ascii="Arial" w:hAnsi="Arial" w:cs="Arial"/>
                <w:sz w:val="18"/>
                <w:szCs w:val="18"/>
              </w:rPr>
            </w:pPr>
            <w:r w:rsidRPr="00576180">
              <w:rPr>
                <w:rFonts w:ascii="Arial" w:hAnsi="Arial" w:cs="Arial"/>
                <w:sz w:val="18"/>
                <w:szCs w:val="18"/>
              </w:rPr>
              <w:t>-19</w:t>
            </w:r>
            <w:r w:rsidR="00EE2489" w:rsidRPr="00576180">
              <w:rPr>
                <w:rFonts w:ascii="Arial" w:hAnsi="Arial" w:cs="Arial"/>
                <w:sz w:val="18"/>
                <w:szCs w:val="18"/>
              </w:rPr>
              <w:t>M*</w:t>
            </w:r>
          </w:p>
        </w:tc>
        <w:tc>
          <w:tcPr>
            <w:tcW w:w="370" w:type="pct"/>
            <w:vMerge/>
            <w:tcBorders>
              <w:left w:val="single" w:sz="4" w:space="0" w:color="auto"/>
              <w:right w:val="single" w:sz="4" w:space="0" w:color="auto"/>
            </w:tcBorders>
            <w:vAlign w:val="center"/>
          </w:tcPr>
          <w:p w14:paraId="67DAA454" w14:textId="77777777" w:rsidR="006D2A59" w:rsidRPr="00576180" w:rsidRDefault="006D2A59" w:rsidP="006D2A59">
            <w:pPr>
              <w:rPr>
                <w:rFonts w:ascii="Arial" w:hAnsi="Arial" w:cs="Arial"/>
                <w:color w:val="FF0000"/>
                <w:sz w:val="18"/>
                <w:szCs w:val="18"/>
              </w:rPr>
            </w:pPr>
          </w:p>
        </w:tc>
        <w:tc>
          <w:tcPr>
            <w:tcW w:w="656" w:type="pct"/>
            <w:vMerge/>
            <w:tcBorders>
              <w:top w:val="single" w:sz="4" w:space="0" w:color="auto"/>
              <w:left w:val="single" w:sz="4" w:space="0" w:color="auto"/>
              <w:bottom w:val="single" w:sz="4" w:space="0" w:color="auto"/>
              <w:right w:val="single" w:sz="4" w:space="0" w:color="auto"/>
            </w:tcBorders>
            <w:vAlign w:val="center"/>
          </w:tcPr>
          <w:p w14:paraId="49DF2A45" w14:textId="77777777" w:rsidR="006D2A59" w:rsidRPr="00576180" w:rsidRDefault="006D2A59" w:rsidP="006D2A59">
            <w:pPr>
              <w:rPr>
                <w:rFonts w:ascii="Arial" w:hAnsi="Arial" w:cs="Arial"/>
                <w:sz w:val="18"/>
                <w:szCs w:val="18"/>
              </w:rPr>
            </w:pPr>
          </w:p>
        </w:tc>
      </w:tr>
      <w:tr w:rsidR="002134DA" w:rsidRPr="00576180" w14:paraId="2A621D52" w14:textId="77777777" w:rsidTr="002134DA">
        <w:trPr>
          <w:gridAfter w:val="1"/>
          <w:wAfter w:w="5" w:type="pct"/>
          <w:trHeight w:val="345"/>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7A3873FF" w14:textId="77777777" w:rsidR="006D2A59" w:rsidRPr="00576180" w:rsidRDefault="006D2A59" w:rsidP="006D2A59">
            <w:pPr>
              <w:rPr>
                <w:rFonts w:ascii="Arial" w:hAnsi="Arial" w:cs="Arial"/>
                <w:sz w:val="18"/>
                <w:szCs w:val="18"/>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62C6EFFA" w14:textId="77777777" w:rsidR="006D2A59" w:rsidRPr="00576180" w:rsidRDefault="006D2A59"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tcPr>
          <w:p w14:paraId="04F12ADB" w14:textId="77777777" w:rsidR="006D2A59" w:rsidRPr="00576180" w:rsidRDefault="006D2A59"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3305CFA7" w14:textId="77777777" w:rsidR="006D2A59" w:rsidRPr="00576180" w:rsidRDefault="006D2A59"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00FC0713"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A</w:t>
            </w:r>
          </w:p>
        </w:tc>
        <w:tc>
          <w:tcPr>
            <w:tcW w:w="286" w:type="pct"/>
            <w:tcBorders>
              <w:top w:val="single" w:sz="4" w:space="0" w:color="auto"/>
              <w:left w:val="single" w:sz="4" w:space="0" w:color="auto"/>
              <w:bottom w:val="single" w:sz="4" w:space="0" w:color="auto"/>
              <w:right w:val="single" w:sz="4" w:space="0" w:color="auto"/>
            </w:tcBorders>
            <w:vAlign w:val="center"/>
          </w:tcPr>
          <w:p w14:paraId="5FA8095D" w14:textId="77777777" w:rsidR="006D2A59" w:rsidRPr="00576180" w:rsidRDefault="006D2A59" w:rsidP="006D2A59">
            <w:pPr>
              <w:jc w:val="center"/>
              <w:rPr>
                <w:rFonts w:ascii="Arial" w:hAnsi="Arial" w:cs="Arial"/>
                <w:sz w:val="18"/>
                <w:szCs w:val="18"/>
              </w:rPr>
            </w:pPr>
          </w:p>
        </w:tc>
        <w:tc>
          <w:tcPr>
            <w:tcW w:w="287" w:type="pct"/>
            <w:tcBorders>
              <w:top w:val="single" w:sz="4" w:space="0" w:color="auto"/>
              <w:left w:val="single" w:sz="4" w:space="0" w:color="auto"/>
              <w:bottom w:val="single" w:sz="4" w:space="0" w:color="auto"/>
              <w:right w:val="single" w:sz="4" w:space="0" w:color="auto"/>
            </w:tcBorders>
            <w:vAlign w:val="center"/>
          </w:tcPr>
          <w:p w14:paraId="4C7C2E18" w14:textId="77777777" w:rsidR="006D2A59" w:rsidRPr="00576180" w:rsidRDefault="006D2A59"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tcPr>
          <w:p w14:paraId="530136F1" w14:textId="77777777" w:rsidR="006D2A59" w:rsidRPr="00576180" w:rsidRDefault="006D2A59"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vAlign w:val="center"/>
          </w:tcPr>
          <w:p w14:paraId="70A5AECA" w14:textId="56118745" w:rsidR="006D2A59" w:rsidRPr="00576180" w:rsidRDefault="0005024C" w:rsidP="006D2A59">
            <w:pPr>
              <w:jc w:val="center"/>
              <w:rPr>
                <w:rFonts w:ascii="Arial" w:hAnsi="Arial" w:cs="Arial"/>
                <w:sz w:val="18"/>
                <w:szCs w:val="18"/>
              </w:rPr>
            </w:pPr>
            <w:r w:rsidRPr="00576180">
              <w:rPr>
                <w:rFonts w:ascii="Arial" w:hAnsi="Arial" w:cs="Arial"/>
                <w:sz w:val="18"/>
                <w:szCs w:val="18"/>
              </w:rPr>
              <w:t>0</w:t>
            </w:r>
          </w:p>
        </w:tc>
        <w:tc>
          <w:tcPr>
            <w:tcW w:w="370" w:type="pct"/>
            <w:vMerge/>
            <w:tcBorders>
              <w:left w:val="single" w:sz="4" w:space="0" w:color="auto"/>
              <w:bottom w:val="single" w:sz="4" w:space="0" w:color="auto"/>
              <w:right w:val="single" w:sz="4" w:space="0" w:color="auto"/>
            </w:tcBorders>
            <w:vAlign w:val="center"/>
          </w:tcPr>
          <w:p w14:paraId="77FBE565" w14:textId="77777777" w:rsidR="006D2A59" w:rsidRPr="00576180" w:rsidRDefault="006D2A59" w:rsidP="006D2A59">
            <w:pPr>
              <w:rPr>
                <w:rFonts w:ascii="Arial" w:hAnsi="Arial" w:cs="Arial"/>
                <w:color w:val="FF0000"/>
                <w:sz w:val="18"/>
                <w:szCs w:val="18"/>
              </w:rPr>
            </w:pPr>
          </w:p>
        </w:tc>
        <w:tc>
          <w:tcPr>
            <w:tcW w:w="656" w:type="pct"/>
            <w:vMerge/>
            <w:tcBorders>
              <w:top w:val="single" w:sz="4" w:space="0" w:color="auto"/>
              <w:left w:val="single" w:sz="4" w:space="0" w:color="auto"/>
              <w:bottom w:val="single" w:sz="4" w:space="0" w:color="auto"/>
              <w:right w:val="single" w:sz="4" w:space="0" w:color="auto"/>
            </w:tcBorders>
            <w:vAlign w:val="center"/>
          </w:tcPr>
          <w:p w14:paraId="159C5B2A" w14:textId="77777777" w:rsidR="006D2A59" w:rsidRPr="00576180" w:rsidRDefault="006D2A59" w:rsidP="006D2A59">
            <w:pPr>
              <w:rPr>
                <w:rFonts w:ascii="Arial" w:hAnsi="Arial" w:cs="Arial"/>
                <w:sz w:val="18"/>
                <w:szCs w:val="18"/>
              </w:rPr>
            </w:pPr>
          </w:p>
        </w:tc>
      </w:tr>
      <w:tr w:rsidR="002134DA" w:rsidRPr="00576180" w14:paraId="65EE761C" w14:textId="77777777" w:rsidTr="002134DA">
        <w:trPr>
          <w:gridAfter w:val="1"/>
          <w:wAfter w:w="5" w:type="pct"/>
          <w:trHeight w:val="161"/>
        </w:trPr>
        <w:tc>
          <w:tcPr>
            <w:tcW w:w="1351" w:type="pct"/>
            <w:vMerge w:val="restart"/>
            <w:tcBorders>
              <w:top w:val="single" w:sz="4" w:space="0" w:color="auto"/>
              <w:left w:val="single" w:sz="4" w:space="0" w:color="auto"/>
              <w:bottom w:val="single" w:sz="4" w:space="0" w:color="auto"/>
              <w:right w:val="single" w:sz="4" w:space="0" w:color="auto"/>
            </w:tcBorders>
            <w:vAlign w:val="center"/>
            <w:hideMark/>
          </w:tcPr>
          <w:p w14:paraId="110B9C12" w14:textId="4EC008A5" w:rsidR="006D2A59" w:rsidRPr="00576180" w:rsidRDefault="006D2A59" w:rsidP="006D2A59">
            <w:pPr>
              <w:jc w:val="both"/>
              <w:rPr>
                <w:rFonts w:ascii="Arial" w:hAnsi="Arial" w:cs="Arial"/>
                <w:sz w:val="18"/>
                <w:szCs w:val="18"/>
              </w:rPr>
            </w:pPr>
            <w:r w:rsidRPr="00576180">
              <w:rPr>
                <w:rFonts w:ascii="Arial" w:hAnsi="Arial" w:cs="Arial"/>
                <w:sz w:val="18"/>
                <w:szCs w:val="18"/>
              </w:rPr>
              <w:t>2.5 Cobertura de los pagos electrónicos del sector público</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14:paraId="056F2ABF"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w:t>
            </w:r>
          </w:p>
        </w:tc>
        <w:tc>
          <w:tcPr>
            <w:tcW w:w="245" w:type="pct"/>
            <w:vMerge w:val="restart"/>
            <w:tcBorders>
              <w:top w:val="single" w:sz="4" w:space="0" w:color="auto"/>
              <w:left w:val="single" w:sz="4" w:space="0" w:color="auto"/>
              <w:bottom w:val="single" w:sz="4" w:space="0" w:color="auto"/>
              <w:right w:val="single" w:sz="4" w:space="0" w:color="auto"/>
            </w:tcBorders>
            <w:vAlign w:val="center"/>
          </w:tcPr>
          <w:p w14:paraId="14C78A73" w14:textId="7DDA9243" w:rsidR="006D2A59" w:rsidRPr="00576180" w:rsidRDefault="00954759" w:rsidP="006D2A59">
            <w:pPr>
              <w:jc w:val="center"/>
              <w:rPr>
                <w:rFonts w:ascii="Arial" w:hAnsi="Arial" w:cs="Arial"/>
                <w:sz w:val="18"/>
                <w:szCs w:val="18"/>
              </w:rPr>
            </w:pPr>
            <w:r>
              <w:rPr>
                <w:rFonts w:ascii="Arial" w:hAnsi="Arial" w:cs="Arial"/>
                <w:sz w:val="18"/>
                <w:szCs w:val="18"/>
              </w:rPr>
              <w:t>30</w:t>
            </w:r>
          </w:p>
        </w:tc>
        <w:tc>
          <w:tcPr>
            <w:tcW w:w="287" w:type="pct"/>
            <w:vMerge w:val="restart"/>
            <w:tcBorders>
              <w:top w:val="single" w:sz="4" w:space="0" w:color="auto"/>
              <w:left w:val="single" w:sz="4" w:space="0" w:color="auto"/>
              <w:bottom w:val="single" w:sz="4" w:space="0" w:color="auto"/>
              <w:right w:val="single" w:sz="4" w:space="0" w:color="auto"/>
            </w:tcBorders>
            <w:vAlign w:val="center"/>
          </w:tcPr>
          <w:p w14:paraId="461725EF"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2009</w:t>
            </w:r>
          </w:p>
        </w:tc>
        <w:tc>
          <w:tcPr>
            <w:tcW w:w="286" w:type="pct"/>
            <w:tcBorders>
              <w:top w:val="single" w:sz="4" w:space="0" w:color="auto"/>
              <w:left w:val="single" w:sz="4" w:space="0" w:color="auto"/>
              <w:bottom w:val="single" w:sz="4" w:space="0" w:color="auto"/>
              <w:right w:val="single" w:sz="4" w:space="0" w:color="auto"/>
            </w:tcBorders>
            <w:vAlign w:val="center"/>
            <w:hideMark/>
          </w:tcPr>
          <w:p w14:paraId="01171898"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P</w:t>
            </w:r>
          </w:p>
        </w:tc>
        <w:tc>
          <w:tcPr>
            <w:tcW w:w="286" w:type="pct"/>
            <w:tcBorders>
              <w:top w:val="single" w:sz="4" w:space="0" w:color="auto"/>
              <w:left w:val="single" w:sz="4" w:space="0" w:color="auto"/>
              <w:bottom w:val="single" w:sz="4" w:space="0" w:color="auto"/>
              <w:right w:val="single" w:sz="4" w:space="0" w:color="auto"/>
            </w:tcBorders>
            <w:vAlign w:val="center"/>
          </w:tcPr>
          <w:p w14:paraId="6E173FBB" w14:textId="77777777" w:rsidR="006D2A59" w:rsidRPr="00576180" w:rsidRDefault="006D2A59" w:rsidP="006D2A59">
            <w:pPr>
              <w:jc w:val="center"/>
              <w:rPr>
                <w:rFonts w:ascii="Arial" w:hAnsi="Arial" w:cs="Arial"/>
                <w:sz w:val="18"/>
                <w:szCs w:val="18"/>
              </w:rPr>
            </w:pPr>
          </w:p>
        </w:tc>
        <w:tc>
          <w:tcPr>
            <w:tcW w:w="287" w:type="pct"/>
            <w:tcBorders>
              <w:top w:val="single" w:sz="4" w:space="0" w:color="auto"/>
              <w:left w:val="single" w:sz="4" w:space="0" w:color="auto"/>
              <w:bottom w:val="single" w:sz="4" w:space="0" w:color="auto"/>
              <w:right w:val="single" w:sz="4" w:space="0" w:color="auto"/>
            </w:tcBorders>
            <w:vAlign w:val="center"/>
          </w:tcPr>
          <w:p w14:paraId="0CF4D1D6" w14:textId="77777777" w:rsidR="006D2A59" w:rsidRPr="00576180" w:rsidRDefault="006D2A59"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tcPr>
          <w:p w14:paraId="2722C926" w14:textId="77777777" w:rsidR="006D2A59" w:rsidRPr="00576180" w:rsidRDefault="006D2A59"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vAlign w:val="center"/>
          </w:tcPr>
          <w:p w14:paraId="7C8B7870"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90</w:t>
            </w:r>
          </w:p>
        </w:tc>
        <w:tc>
          <w:tcPr>
            <w:tcW w:w="370" w:type="pct"/>
            <w:vMerge w:val="restart"/>
            <w:tcBorders>
              <w:top w:val="single" w:sz="4" w:space="0" w:color="auto"/>
              <w:left w:val="single" w:sz="4" w:space="0" w:color="auto"/>
              <w:right w:val="single" w:sz="4" w:space="0" w:color="auto"/>
            </w:tcBorders>
            <w:vAlign w:val="center"/>
          </w:tcPr>
          <w:p w14:paraId="2A7654D1" w14:textId="280DCCEF" w:rsidR="006D2A59" w:rsidRPr="00576180" w:rsidRDefault="00F954A3" w:rsidP="006D2A59">
            <w:pPr>
              <w:jc w:val="center"/>
              <w:rPr>
                <w:rFonts w:ascii="Arial" w:hAnsi="Arial" w:cs="Arial"/>
                <w:color w:val="000000" w:themeColor="text1"/>
                <w:sz w:val="18"/>
                <w:szCs w:val="18"/>
              </w:rPr>
            </w:pPr>
            <w:r>
              <w:rPr>
                <w:rFonts w:ascii="Arial" w:hAnsi="Arial" w:cs="Arial"/>
                <w:color w:val="000000" w:themeColor="text1"/>
                <w:sz w:val="18"/>
                <w:szCs w:val="18"/>
              </w:rPr>
              <w:t>46.7</w:t>
            </w:r>
            <w:r w:rsidR="006D2A59" w:rsidRPr="00576180">
              <w:rPr>
                <w:rFonts w:ascii="Arial" w:hAnsi="Arial" w:cs="Arial"/>
                <w:color w:val="000000" w:themeColor="text1"/>
                <w:sz w:val="18"/>
                <w:szCs w:val="18"/>
              </w:rPr>
              <w:t>%</w:t>
            </w:r>
          </w:p>
        </w:tc>
        <w:tc>
          <w:tcPr>
            <w:tcW w:w="656" w:type="pct"/>
            <w:vMerge w:val="restart"/>
            <w:tcBorders>
              <w:top w:val="single" w:sz="4" w:space="0" w:color="auto"/>
              <w:left w:val="single" w:sz="4" w:space="0" w:color="auto"/>
              <w:bottom w:val="single" w:sz="4" w:space="0" w:color="auto"/>
              <w:right w:val="single" w:sz="4" w:space="0" w:color="auto"/>
            </w:tcBorders>
            <w:vAlign w:val="center"/>
          </w:tcPr>
          <w:p w14:paraId="18A0A534" w14:textId="217B3C37" w:rsidR="006D2A59" w:rsidRPr="00576180" w:rsidRDefault="006D2A59" w:rsidP="006D2A59">
            <w:pPr>
              <w:rPr>
                <w:rFonts w:ascii="Arial" w:hAnsi="Arial" w:cs="Arial"/>
                <w:sz w:val="18"/>
                <w:szCs w:val="18"/>
              </w:rPr>
            </w:pPr>
            <w:r w:rsidRPr="00576180">
              <w:rPr>
                <w:rFonts w:ascii="Arial" w:hAnsi="Arial" w:cs="Arial"/>
                <w:sz w:val="18"/>
                <w:szCs w:val="18"/>
              </w:rPr>
              <w:t>OGTI – MEF.</w:t>
            </w:r>
          </w:p>
        </w:tc>
      </w:tr>
      <w:tr w:rsidR="002134DA" w:rsidRPr="00576180" w14:paraId="65F5818F" w14:textId="77777777" w:rsidTr="002134DA">
        <w:trPr>
          <w:gridAfter w:val="1"/>
          <w:wAfter w:w="5" w:type="pct"/>
          <w:trHeight w:val="206"/>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0835EF2F" w14:textId="77777777" w:rsidR="006D2A59" w:rsidRPr="00576180" w:rsidRDefault="006D2A59" w:rsidP="006D2A59">
            <w:pPr>
              <w:rPr>
                <w:rFonts w:ascii="Arial" w:hAnsi="Arial" w:cs="Arial"/>
                <w:sz w:val="18"/>
                <w:szCs w:val="18"/>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18259DD7" w14:textId="77777777" w:rsidR="006D2A59" w:rsidRPr="00576180" w:rsidRDefault="006D2A59"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tcPr>
          <w:p w14:paraId="76250AAF" w14:textId="77777777" w:rsidR="006D2A59" w:rsidRPr="00576180" w:rsidRDefault="006D2A59"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0617C3A7" w14:textId="77777777" w:rsidR="006D2A59" w:rsidRPr="00576180" w:rsidRDefault="006D2A59"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58B99CAE"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P(a)</w:t>
            </w:r>
          </w:p>
        </w:tc>
        <w:tc>
          <w:tcPr>
            <w:tcW w:w="286" w:type="pct"/>
            <w:tcBorders>
              <w:top w:val="single" w:sz="4" w:space="0" w:color="auto"/>
              <w:left w:val="single" w:sz="4" w:space="0" w:color="auto"/>
              <w:bottom w:val="single" w:sz="4" w:space="0" w:color="auto"/>
              <w:right w:val="single" w:sz="4" w:space="0" w:color="auto"/>
            </w:tcBorders>
            <w:vAlign w:val="center"/>
          </w:tcPr>
          <w:p w14:paraId="63BCB632" w14:textId="77777777" w:rsidR="006D2A59" w:rsidRPr="00576180" w:rsidRDefault="006D2A59" w:rsidP="006D2A59">
            <w:pPr>
              <w:jc w:val="center"/>
              <w:rPr>
                <w:rFonts w:ascii="Arial" w:hAnsi="Arial" w:cs="Arial"/>
                <w:sz w:val="18"/>
                <w:szCs w:val="18"/>
              </w:rPr>
            </w:pPr>
          </w:p>
        </w:tc>
        <w:tc>
          <w:tcPr>
            <w:tcW w:w="287" w:type="pct"/>
            <w:tcBorders>
              <w:top w:val="single" w:sz="4" w:space="0" w:color="auto"/>
              <w:left w:val="single" w:sz="4" w:space="0" w:color="auto"/>
              <w:bottom w:val="single" w:sz="4" w:space="0" w:color="auto"/>
              <w:right w:val="single" w:sz="4" w:space="0" w:color="auto"/>
            </w:tcBorders>
            <w:vAlign w:val="center"/>
          </w:tcPr>
          <w:p w14:paraId="59A68716" w14:textId="77777777" w:rsidR="006D2A59" w:rsidRPr="00576180" w:rsidRDefault="006D2A59"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tcPr>
          <w:p w14:paraId="6499388C" w14:textId="77777777" w:rsidR="006D2A59" w:rsidRPr="00576180" w:rsidRDefault="006D2A59"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vAlign w:val="center"/>
          </w:tcPr>
          <w:p w14:paraId="651B3FBA"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90</w:t>
            </w:r>
          </w:p>
        </w:tc>
        <w:tc>
          <w:tcPr>
            <w:tcW w:w="370" w:type="pct"/>
            <w:vMerge/>
            <w:tcBorders>
              <w:left w:val="single" w:sz="4" w:space="0" w:color="auto"/>
              <w:right w:val="single" w:sz="4" w:space="0" w:color="auto"/>
            </w:tcBorders>
            <w:vAlign w:val="center"/>
          </w:tcPr>
          <w:p w14:paraId="0A94DCA6" w14:textId="77777777" w:rsidR="006D2A59" w:rsidRPr="00576180" w:rsidRDefault="006D2A59" w:rsidP="006D2A59">
            <w:pPr>
              <w:rPr>
                <w:rFonts w:ascii="Arial" w:hAnsi="Arial" w:cs="Arial"/>
                <w:sz w:val="18"/>
                <w:szCs w:val="18"/>
              </w:rPr>
            </w:pPr>
          </w:p>
        </w:tc>
        <w:tc>
          <w:tcPr>
            <w:tcW w:w="656" w:type="pct"/>
            <w:vMerge/>
            <w:tcBorders>
              <w:top w:val="single" w:sz="4" w:space="0" w:color="auto"/>
              <w:left w:val="single" w:sz="4" w:space="0" w:color="auto"/>
              <w:bottom w:val="single" w:sz="4" w:space="0" w:color="auto"/>
              <w:right w:val="single" w:sz="4" w:space="0" w:color="auto"/>
            </w:tcBorders>
            <w:vAlign w:val="center"/>
          </w:tcPr>
          <w:p w14:paraId="0BE1869A" w14:textId="77777777" w:rsidR="006D2A59" w:rsidRPr="00576180" w:rsidRDefault="006D2A59" w:rsidP="006D2A59">
            <w:pPr>
              <w:rPr>
                <w:rFonts w:ascii="Arial" w:hAnsi="Arial" w:cs="Arial"/>
                <w:sz w:val="18"/>
                <w:szCs w:val="18"/>
              </w:rPr>
            </w:pPr>
          </w:p>
        </w:tc>
      </w:tr>
      <w:tr w:rsidR="002134DA" w:rsidRPr="00576180" w14:paraId="39DB86F5" w14:textId="77777777" w:rsidTr="002134DA">
        <w:trPr>
          <w:gridAfter w:val="1"/>
          <w:wAfter w:w="5" w:type="pct"/>
          <w:trHeight w:val="170"/>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16782CF5" w14:textId="77777777" w:rsidR="006D2A59" w:rsidRPr="00576180" w:rsidRDefault="006D2A59" w:rsidP="006D2A59">
            <w:pPr>
              <w:rPr>
                <w:rFonts w:ascii="Arial" w:hAnsi="Arial" w:cs="Arial"/>
                <w:sz w:val="18"/>
                <w:szCs w:val="18"/>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1B617CF6" w14:textId="77777777" w:rsidR="006D2A59" w:rsidRPr="00576180" w:rsidRDefault="006D2A59"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tcPr>
          <w:p w14:paraId="0603A790" w14:textId="77777777" w:rsidR="006D2A59" w:rsidRPr="00576180" w:rsidRDefault="006D2A59"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553FE9A5" w14:textId="77777777" w:rsidR="006D2A59" w:rsidRPr="00576180" w:rsidRDefault="006D2A59"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0FF350D6"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A</w:t>
            </w:r>
          </w:p>
        </w:tc>
        <w:tc>
          <w:tcPr>
            <w:tcW w:w="286" w:type="pct"/>
            <w:tcBorders>
              <w:top w:val="single" w:sz="4" w:space="0" w:color="auto"/>
              <w:left w:val="single" w:sz="4" w:space="0" w:color="auto"/>
              <w:bottom w:val="single" w:sz="4" w:space="0" w:color="auto"/>
              <w:right w:val="single" w:sz="4" w:space="0" w:color="auto"/>
            </w:tcBorders>
            <w:vAlign w:val="center"/>
          </w:tcPr>
          <w:p w14:paraId="0470D8D2" w14:textId="77777777" w:rsidR="006D2A59" w:rsidRPr="00576180" w:rsidRDefault="006D2A59" w:rsidP="006D2A59">
            <w:pPr>
              <w:rPr>
                <w:rFonts w:ascii="Arial" w:hAnsi="Arial" w:cs="Arial"/>
                <w:sz w:val="18"/>
                <w:szCs w:val="18"/>
              </w:rPr>
            </w:pPr>
          </w:p>
        </w:tc>
        <w:tc>
          <w:tcPr>
            <w:tcW w:w="287" w:type="pct"/>
            <w:tcBorders>
              <w:top w:val="single" w:sz="4" w:space="0" w:color="auto"/>
              <w:left w:val="single" w:sz="4" w:space="0" w:color="auto"/>
              <w:bottom w:val="single" w:sz="4" w:space="0" w:color="auto"/>
              <w:right w:val="single" w:sz="4" w:space="0" w:color="auto"/>
            </w:tcBorders>
            <w:vAlign w:val="center"/>
          </w:tcPr>
          <w:p w14:paraId="783A90CE" w14:textId="77777777" w:rsidR="006D2A59" w:rsidRPr="00576180" w:rsidRDefault="006D2A59"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tcPr>
          <w:p w14:paraId="79D22897" w14:textId="77777777" w:rsidR="006D2A59" w:rsidRPr="00576180" w:rsidRDefault="006D2A59"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vAlign w:val="center"/>
          </w:tcPr>
          <w:p w14:paraId="0E6C2F81" w14:textId="7896FEEF" w:rsidR="006D2A59" w:rsidRPr="00576180" w:rsidRDefault="00954759" w:rsidP="006D2A59">
            <w:pPr>
              <w:jc w:val="center"/>
              <w:rPr>
                <w:rFonts w:ascii="Arial" w:hAnsi="Arial" w:cs="Arial"/>
                <w:sz w:val="18"/>
                <w:szCs w:val="18"/>
              </w:rPr>
            </w:pPr>
            <w:r>
              <w:rPr>
                <w:rFonts w:ascii="Arial" w:hAnsi="Arial" w:cs="Arial"/>
                <w:sz w:val="18"/>
                <w:szCs w:val="18"/>
              </w:rPr>
              <w:t>58</w:t>
            </w:r>
          </w:p>
        </w:tc>
        <w:tc>
          <w:tcPr>
            <w:tcW w:w="370" w:type="pct"/>
            <w:vMerge/>
            <w:tcBorders>
              <w:left w:val="single" w:sz="4" w:space="0" w:color="auto"/>
              <w:bottom w:val="single" w:sz="4" w:space="0" w:color="auto"/>
              <w:right w:val="single" w:sz="4" w:space="0" w:color="auto"/>
            </w:tcBorders>
            <w:vAlign w:val="center"/>
          </w:tcPr>
          <w:p w14:paraId="7BEC4F1E" w14:textId="77777777" w:rsidR="006D2A59" w:rsidRPr="00576180" w:rsidRDefault="006D2A59" w:rsidP="006D2A59">
            <w:pPr>
              <w:rPr>
                <w:rFonts w:ascii="Arial" w:hAnsi="Arial" w:cs="Arial"/>
                <w:sz w:val="18"/>
                <w:szCs w:val="18"/>
              </w:rPr>
            </w:pPr>
          </w:p>
        </w:tc>
        <w:tc>
          <w:tcPr>
            <w:tcW w:w="656" w:type="pct"/>
            <w:vMerge/>
            <w:tcBorders>
              <w:top w:val="single" w:sz="4" w:space="0" w:color="auto"/>
              <w:left w:val="single" w:sz="4" w:space="0" w:color="auto"/>
              <w:bottom w:val="single" w:sz="4" w:space="0" w:color="auto"/>
              <w:right w:val="single" w:sz="4" w:space="0" w:color="auto"/>
            </w:tcBorders>
            <w:vAlign w:val="center"/>
          </w:tcPr>
          <w:p w14:paraId="33A41C39" w14:textId="77777777" w:rsidR="006D2A59" w:rsidRPr="00576180" w:rsidRDefault="006D2A59" w:rsidP="006D2A59">
            <w:pPr>
              <w:rPr>
                <w:rFonts w:ascii="Arial" w:hAnsi="Arial" w:cs="Arial"/>
                <w:sz w:val="18"/>
                <w:szCs w:val="18"/>
              </w:rPr>
            </w:pPr>
          </w:p>
        </w:tc>
      </w:tr>
      <w:tr w:rsidR="002134DA" w:rsidRPr="00576180" w14:paraId="4CF4969F" w14:textId="77777777" w:rsidTr="002134DA">
        <w:trPr>
          <w:gridAfter w:val="1"/>
          <w:wAfter w:w="5" w:type="pct"/>
        </w:trPr>
        <w:tc>
          <w:tcPr>
            <w:tcW w:w="1351" w:type="pct"/>
            <w:vMerge w:val="restart"/>
            <w:tcBorders>
              <w:top w:val="single" w:sz="4" w:space="0" w:color="auto"/>
              <w:left w:val="single" w:sz="4" w:space="0" w:color="auto"/>
              <w:bottom w:val="single" w:sz="4" w:space="0" w:color="auto"/>
              <w:right w:val="single" w:sz="4" w:space="0" w:color="auto"/>
            </w:tcBorders>
            <w:vAlign w:val="center"/>
            <w:hideMark/>
          </w:tcPr>
          <w:p w14:paraId="386AC8E6" w14:textId="69355E82" w:rsidR="006D2A59" w:rsidRPr="00576180" w:rsidRDefault="006D2A59" w:rsidP="006D2A59">
            <w:pPr>
              <w:jc w:val="both"/>
              <w:rPr>
                <w:rFonts w:ascii="Arial" w:hAnsi="Arial" w:cs="Arial"/>
                <w:sz w:val="18"/>
                <w:szCs w:val="18"/>
              </w:rPr>
            </w:pPr>
            <w:r w:rsidRPr="00576180">
              <w:rPr>
                <w:rFonts w:ascii="Arial" w:hAnsi="Arial" w:cs="Arial"/>
                <w:sz w:val="18"/>
                <w:szCs w:val="18"/>
              </w:rPr>
              <w:t>2.6 Porcentaje del total de cuentas bancarias incorporadas en la CUT</w:t>
            </w:r>
          </w:p>
          <w:p w14:paraId="35D52D16" w14:textId="3299269B" w:rsidR="006D2A59" w:rsidRPr="00576180" w:rsidRDefault="006D2A59" w:rsidP="006D2A59">
            <w:pPr>
              <w:jc w:val="both"/>
              <w:rPr>
                <w:rFonts w:ascii="Arial" w:hAnsi="Arial" w:cs="Arial"/>
                <w:sz w:val="18"/>
                <w:szCs w:val="18"/>
              </w:rPr>
            </w:pP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14:paraId="4E2F74CA"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w:t>
            </w:r>
          </w:p>
        </w:tc>
        <w:tc>
          <w:tcPr>
            <w:tcW w:w="245" w:type="pct"/>
            <w:vMerge w:val="restart"/>
            <w:tcBorders>
              <w:top w:val="single" w:sz="4" w:space="0" w:color="auto"/>
              <w:left w:val="single" w:sz="4" w:space="0" w:color="auto"/>
              <w:bottom w:val="single" w:sz="4" w:space="0" w:color="auto"/>
              <w:right w:val="single" w:sz="4" w:space="0" w:color="auto"/>
            </w:tcBorders>
            <w:vAlign w:val="center"/>
          </w:tcPr>
          <w:p w14:paraId="0DA05462" w14:textId="459C8ED5" w:rsidR="006D2A59" w:rsidRPr="00576180" w:rsidRDefault="006D2A59" w:rsidP="006D2A59">
            <w:pPr>
              <w:jc w:val="center"/>
              <w:rPr>
                <w:rFonts w:ascii="Arial" w:hAnsi="Arial" w:cs="Arial"/>
                <w:sz w:val="18"/>
                <w:szCs w:val="18"/>
              </w:rPr>
            </w:pPr>
            <w:r w:rsidRPr="00576180">
              <w:rPr>
                <w:rFonts w:ascii="Arial" w:hAnsi="Arial" w:cs="Arial"/>
                <w:sz w:val="18"/>
                <w:szCs w:val="18"/>
              </w:rPr>
              <w:t>0</w:t>
            </w:r>
          </w:p>
        </w:tc>
        <w:tc>
          <w:tcPr>
            <w:tcW w:w="287" w:type="pct"/>
            <w:vMerge w:val="restart"/>
            <w:tcBorders>
              <w:top w:val="single" w:sz="4" w:space="0" w:color="auto"/>
              <w:left w:val="single" w:sz="4" w:space="0" w:color="auto"/>
              <w:bottom w:val="single" w:sz="4" w:space="0" w:color="auto"/>
              <w:right w:val="single" w:sz="4" w:space="0" w:color="auto"/>
            </w:tcBorders>
            <w:vAlign w:val="center"/>
          </w:tcPr>
          <w:p w14:paraId="5AD1F5C3"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2010</w:t>
            </w:r>
          </w:p>
        </w:tc>
        <w:tc>
          <w:tcPr>
            <w:tcW w:w="286" w:type="pct"/>
            <w:tcBorders>
              <w:top w:val="single" w:sz="4" w:space="0" w:color="auto"/>
              <w:left w:val="single" w:sz="4" w:space="0" w:color="auto"/>
              <w:bottom w:val="single" w:sz="4" w:space="0" w:color="auto"/>
              <w:right w:val="single" w:sz="4" w:space="0" w:color="auto"/>
            </w:tcBorders>
            <w:vAlign w:val="center"/>
            <w:hideMark/>
          </w:tcPr>
          <w:p w14:paraId="43CE2297"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P</w:t>
            </w:r>
          </w:p>
        </w:tc>
        <w:tc>
          <w:tcPr>
            <w:tcW w:w="286" w:type="pct"/>
            <w:tcBorders>
              <w:top w:val="single" w:sz="4" w:space="0" w:color="auto"/>
              <w:left w:val="single" w:sz="4" w:space="0" w:color="auto"/>
              <w:bottom w:val="single" w:sz="4" w:space="0" w:color="auto"/>
              <w:right w:val="single" w:sz="4" w:space="0" w:color="auto"/>
            </w:tcBorders>
            <w:vAlign w:val="center"/>
          </w:tcPr>
          <w:p w14:paraId="5611D225"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95</w:t>
            </w:r>
          </w:p>
        </w:tc>
        <w:tc>
          <w:tcPr>
            <w:tcW w:w="287" w:type="pct"/>
            <w:tcBorders>
              <w:top w:val="single" w:sz="4" w:space="0" w:color="auto"/>
              <w:left w:val="single" w:sz="4" w:space="0" w:color="auto"/>
              <w:bottom w:val="single" w:sz="4" w:space="0" w:color="auto"/>
              <w:right w:val="single" w:sz="4" w:space="0" w:color="auto"/>
            </w:tcBorders>
            <w:vAlign w:val="center"/>
          </w:tcPr>
          <w:p w14:paraId="04B7C6BD" w14:textId="77777777" w:rsidR="006D2A59" w:rsidRPr="00576180" w:rsidRDefault="006D2A59"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tcPr>
          <w:p w14:paraId="194FE65A" w14:textId="77777777" w:rsidR="006D2A59" w:rsidRPr="00576180" w:rsidRDefault="006D2A59"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vAlign w:val="center"/>
          </w:tcPr>
          <w:p w14:paraId="2944CC2F" w14:textId="77777777" w:rsidR="006D2A59" w:rsidRPr="00576180" w:rsidRDefault="006D2A59" w:rsidP="006D2A59">
            <w:pPr>
              <w:jc w:val="center"/>
              <w:rPr>
                <w:rFonts w:ascii="Arial" w:hAnsi="Arial" w:cs="Arial"/>
                <w:sz w:val="18"/>
                <w:szCs w:val="18"/>
              </w:rPr>
            </w:pPr>
          </w:p>
        </w:tc>
        <w:tc>
          <w:tcPr>
            <w:tcW w:w="370" w:type="pct"/>
            <w:vMerge w:val="restart"/>
            <w:tcBorders>
              <w:top w:val="single" w:sz="4" w:space="0" w:color="auto"/>
              <w:left w:val="single" w:sz="4" w:space="0" w:color="auto"/>
              <w:right w:val="single" w:sz="4" w:space="0" w:color="auto"/>
            </w:tcBorders>
            <w:vAlign w:val="center"/>
          </w:tcPr>
          <w:p w14:paraId="4977B2F9" w14:textId="347BC0E5" w:rsidR="006D2A59" w:rsidRPr="00576180" w:rsidRDefault="00A909F1" w:rsidP="006D2A59">
            <w:pPr>
              <w:jc w:val="center"/>
              <w:rPr>
                <w:rFonts w:ascii="Arial" w:hAnsi="Arial" w:cs="Arial"/>
                <w:sz w:val="18"/>
                <w:szCs w:val="18"/>
              </w:rPr>
            </w:pPr>
            <w:r>
              <w:rPr>
                <w:rFonts w:ascii="Arial" w:hAnsi="Arial" w:cs="Arial"/>
                <w:sz w:val="18"/>
                <w:szCs w:val="18"/>
              </w:rPr>
              <w:t>9</w:t>
            </w:r>
            <w:r w:rsidR="00F954A3">
              <w:rPr>
                <w:rFonts w:ascii="Arial" w:hAnsi="Arial" w:cs="Arial"/>
                <w:sz w:val="18"/>
                <w:szCs w:val="18"/>
              </w:rPr>
              <w:t>4.7</w:t>
            </w:r>
            <w:r w:rsidR="00A81639">
              <w:rPr>
                <w:rFonts w:ascii="Arial" w:hAnsi="Arial" w:cs="Arial"/>
                <w:sz w:val="18"/>
                <w:szCs w:val="18"/>
              </w:rPr>
              <w:t>%</w:t>
            </w:r>
          </w:p>
        </w:tc>
        <w:tc>
          <w:tcPr>
            <w:tcW w:w="656" w:type="pct"/>
            <w:vMerge w:val="restart"/>
            <w:tcBorders>
              <w:top w:val="single" w:sz="4" w:space="0" w:color="auto"/>
              <w:left w:val="single" w:sz="4" w:space="0" w:color="auto"/>
              <w:bottom w:val="single" w:sz="4" w:space="0" w:color="auto"/>
              <w:right w:val="single" w:sz="4" w:space="0" w:color="auto"/>
            </w:tcBorders>
            <w:vAlign w:val="center"/>
          </w:tcPr>
          <w:p w14:paraId="1019E861" w14:textId="6051D9E6" w:rsidR="006D2A59" w:rsidRPr="00576180" w:rsidRDefault="006D2A59" w:rsidP="006D2A59">
            <w:pPr>
              <w:rPr>
                <w:rFonts w:ascii="Arial" w:hAnsi="Arial" w:cs="Arial"/>
                <w:sz w:val="18"/>
                <w:szCs w:val="18"/>
              </w:rPr>
            </w:pPr>
            <w:r w:rsidRPr="00576180">
              <w:rPr>
                <w:rFonts w:ascii="Arial" w:hAnsi="Arial" w:cs="Arial"/>
                <w:sz w:val="18"/>
                <w:szCs w:val="18"/>
              </w:rPr>
              <w:t>D</w:t>
            </w:r>
            <w:r w:rsidR="00EE2489" w:rsidRPr="00576180">
              <w:rPr>
                <w:rFonts w:ascii="Arial" w:hAnsi="Arial" w:cs="Arial"/>
                <w:sz w:val="18"/>
                <w:szCs w:val="18"/>
              </w:rPr>
              <w:t>G</w:t>
            </w:r>
            <w:r w:rsidRPr="00576180">
              <w:rPr>
                <w:rFonts w:ascii="Arial" w:hAnsi="Arial" w:cs="Arial"/>
                <w:sz w:val="18"/>
                <w:szCs w:val="18"/>
              </w:rPr>
              <w:t>TP – MEF.</w:t>
            </w:r>
          </w:p>
        </w:tc>
      </w:tr>
      <w:tr w:rsidR="002134DA" w:rsidRPr="00576180" w14:paraId="520D12DF" w14:textId="77777777" w:rsidTr="002134DA">
        <w:trPr>
          <w:gridAfter w:val="1"/>
          <w:wAfter w:w="5" w:type="pct"/>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5E43333E" w14:textId="77777777" w:rsidR="006D2A59" w:rsidRPr="00576180" w:rsidRDefault="006D2A59" w:rsidP="006D2A59">
            <w:pPr>
              <w:rPr>
                <w:rFonts w:ascii="Arial" w:hAnsi="Arial" w:cs="Arial"/>
                <w:sz w:val="18"/>
                <w:szCs w:val="18"/>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5311B76D" w14:textId="77777777" w:rsidR="006D2A59" w:rsidRPr="00576180" w:rsidRDefault="006D2A59"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tcPr>
          <w:p w14:paraId="69B6ABA2" w14:textId="77777777" w:rsidR="006D2A59" w:rsidRPr="00576180" w:rsidRDefault="006D2A59"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1FE35A4B" w14:textId="77777777" w:rsidR="006D2A59" w:rsidRPr="00576180" w:rsidRDefault="006D2A59"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700BAD0F"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P(a)</w:t>
            </w:r>
          </w:p>
        </w:tc>
        <w:tc>
          <w:tcPr>
            <w:tcW w:w="286" w:type="pct"/>
            <w:tcBorders>
              <w:top w:val="single" w:sz="4" w:space="0" w:color="auto"/>
              <w:left w:val="single" w:sz="4" w:space="0" w:color="auto"/>
              <w:bottom w:val="single" w:sz="4" w:space="0" w:color="auto"/>
              <w:right w:val="single" w:sz="4" w:space="0" w:color="auto"/>
            </w:tcBorders>
            <w:vAlign w:val="center"/>
          </w:tcPr>
          <w:p w14:paraId="0AFB1309"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95</w:t>
            </w:r>
          </w:p>
        </w:tc>
        <w:tc>
          <w:tcPr>
            <w:tcW w:w="287" w:type="pct"/>
            <w:tcBorders>
              <w:top w:val="single" w:sz="4" w:space="0" w:color="auto"/>
              <w:left w:val="single" w:sz="4" w:space="0" w:color="auto"/>
              <w:bottom w:val="single" w:sz="4" w:space="0" w:color="auto"/>
              <w:right w:val="single" w:sz="4" w:space="0" w:color="auto"/>
            </w:tcBorders>
            <w:vAlign w:val="center"/>
          </w:tcPr>
          <w:p w14:paraId="5D15FA0A" w14:textId="77777777" w:rsidR="006D2A59" w:rsidRPr="00576180" w:rsidRDefault="006D2A59"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tcPr>
          <w:p w14:paraId="2F262D32" w14:textId="77777777" w:rsidR="006D2A59" w:rsidRPr="00576180" w:rsidRDefault="006D2A59"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vAlign w:val="center"/>
          </w:tcPr>
          <w:p w14:paraId="66A0AFA7" w14:textId="77777777" w:rsidR="006D2A59" w:rsidRPr="00576180" w:rsidRDefault="006D2A59" w:rsidP="006D2A59">
            <w:pPr>
              <w:jc w:val="center"/>
              <w:rPr>
                <w:rFonts w:ascii="Arial" w:hAnsi="Arial" w:cs="Arial"/>
                <w:sz w:val="18"/>
                <w:szCs w:val="18"/>
              </w:rPr>
            </w:pPr>
          </w:p>
        </w:tc>
        <w:tc>
          <w:tcPr>
            <w:tcW w:w="370" w:type="pct"/>
            <w:vMerge/>
            <w:tcBorders>
              <w:left w:val="single" w:sz="4" w:space="0" w:color="auto"/>
              <w:right w:val="single" w:sz="4" w:space="0" w:color="auto"/>
            </w:tcBorders>
            <w:vAlign w:val="center"/>
          </w:tcPr>
          <w:p w14:paraId="6078D1A0" w14:textId="77777777" w:rsidR="006D2A59" w:rsidRPr="00576180" w:rsidRDefault="006D2A59" w:rsidP="006D2A59">
            <w:pPr>
              <w:rPr>
                <w:rFonts w:ascii="Arial" w:hAnsi="Arial" w:cs="Arial"/>
                <w:sz w:val="18"/>
                <w:szCs w:val="18"/>
              </w:rPr>
            </w:pPr>
          </w:p>
        </w:tc>
        <w:tc>
          <w:tcPr>
            <w:tcW w:w="656" w:type="pct"/>
            <w:vMerge/>
            <w:tcBorders>
              <w:top w:val="single" w:sz="4" w:space="0" w:color="auto"/>
              <w:left w:val="single" w:sz="4" w:space="0" w:color="auto"/>
              <w:bottom w:val="single" w:sz="4" w:space="0" w:color="auto"/>
              <w:right w:val="single" w:sz="4" w:space="0" w:color="auto"/>
            </w:tcBorders>
            <w:vAlign w:val="center"/>
          </w:tcPr>
          <w:p w14:paraId="160ED4F9" w14:textId="77777777" w:rsidR="006D2A59" w:rsidRPr="00576180" w:rsidRDefault="006D2A59" w:rsidP="006D2A59">
            <w:pPr>
              <w:rPr>
                <w:rFonts w:ascii="Arial" w:hAnsi="Arial" w:cs="Arial"/>
                <w:sz w:val="18"/>
                <w:szCs w:val="18"/>
              </w:rPr>
            </w:pPr>
          </w:p>
        </w:tc>
      </w:tr>
      <w:tr w:rsidR="002134DA" w:rsidRPr="00576180" w14:paraId="291158E1" w14:textId="77777777" w:rsidTr="002134DA">
        <w:trPr>
          <w:gridAfter w:val="1"/>
          <w:wAfter w:w="5" w:type="pct"/>
          <w:trHeight w:val="43"/>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5A99DA9D" w14:textId="77777777" w:rsidR="006D2A59" w:rsidRPr="00576180" w:rsidRDefault="006D2A59" w:rsidP="006D2A59">
            <w:pPr>
              <w:rPr>
                <w:rFonts w:ascii="Arial" w:hAnsi="Arial" w:cs="Arial"/>
                <w:sz w:val="18"/>
                <w:szCs w:val="18"/>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5B649E90" w14:textId="77777777" w:rsidR="006D2A59" w:rsidRPr="00576180" w:rsidRDefault="006D2A59"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tcPr>
          <w:p w14:paraId="3E23D8DF" w14:textId="77777777" w:rsidR="006D2A59" w:rsidRPr="00576180" w:rsidRDefault="006D2A59"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0043C5B2" w14:textId="77777777" w:rsidR="006D2A59" w:rsidRPr="00576180" w:rsidRDefault="006D2A59"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4303F99B"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A</w:t>
            </w:r>
          </w:p>
        </w:tc>
        <w:tc>
          <w:tcPr>
            <w:tcW w:w="286" w:type="pct"/>
            <w:tcBorders>
              <w:top w:val="single" w:sz="4" w:space="0" w:color="auto"/>
              <w:left w:val="single" w:sz="4" w:space="0" w:color="auto"/>
              <w:bottom w:val="single" w:sz="4" w:space="0" w:color="auto"/>
              <w:right w:val="single" w:sz="4" w:space="0" w:color="auto"/>
            </w:tcBorders>
            <w:vAlign w:val="center"/>
          </w:tcPr>
          <w:p w14:paraId="0A8B9524" w14:textId="53BEFE60" w:rsidR="006D2A59" w:rsidRPr="00576180" w:rsidRDefault="00726674" w:rsidP="006D2A59">
            <w:pPr>
              <w:jc w:val="center"/>
              <w:rPr>
                <w:rFonts w:ascii="Arial" w:hAnsi="Arial" w:cs="Arial"/>
                <w:sz w:val="18"/>
                <w:szCs w:val="18"/>
              </w:rPr>
            </w:pPr>
            <w:r>
              <w:rPr>
                <w:rFonts w:ascii="Arial" w:hAnsi="Arial" w:cs="Arial"/>
                <w:sz w:val="18"/>
                <w:szCs w:val="18"/>
              </w:rPr>
              <w:t>90</w:t>
            </w:r>
          </w:p>
        </w:tc>
        <w:tc>
          <w:tcPr>
            <w:tcW w:w="287" w:type="pct"/>
            <w:tcBorders>
              <w:top w:val="single" w:sz="4" w:space="0" w:color="auto"/>
              <w:left w:val="single" w:sz="4" w:space="0" w:color="auto"/>
              <w:bottom w:val="single" w:sz="4" w:space="0" w:color="auto"/>
              <w:right w:val="single" w:sz="4" w:space="0" w:color="auto"/>
            </w:tcBorders>
            <w:vAlign w:val="center"/>
          </w:tcPr>
          <w:p w14:paraId="27E5422C" w14:textId="21C21D2E" w:rsidR="006D2A59" w:rsidRPr="00576180" w:rsidRDefault="00A81639" w:rsidP="006D2A59">
            <w:pPr>
              <w:jc w:val="center"/>
              <w:rPr>
                <w:rFonts w:ascii="Arial" w:hAnsi="Arial" w:cs="Arial"/>
                <w:sz w:val="18"/>
                <w:szCs w:val="18"/>
              </w:rPr>
            </w:pPr>
            <w:r>
              <w:rPr>
                <w:rFonts w:ascii="Arial" w:hAnsi="Arial" w:cs="Arial"/>
                <w:sz w:val="18"/>
                <w:szCs w:val="18"/>
              </w:rPr>
              <w:t>-</w:t>
            </w:r>
          </w:p>
        </w:tc>
        <w:tc>
          <w:tcPr>
            <w:tcW w:w="286" w:type="pct"/>
            <w:tcBorders>
              <w:top w:val="single" w:sz="4" w:space="0" w:color="auto"/>
              <w:left w:val="single" w:sz="4" w:space="0" w:color="auto"/>
              <w:bottom w:val="single" w:sz="4" w:space="0" w:color="auto"/>
              <w:right w:val="single" w:sz="4" w:space="0" w:color="auto"/>
            </w:tcBorders>
            <w:vAlign w:val="center"/>
          </w:tcPr>
          <w:p w14:paraId="21285F63" w14:textId="50657FA6" w:rsidR="006D2A59" w:rsidRPr="00576180" w:rsidRDefault="00A81639" w:rsidP="006D2A59">
            <w:pPr>
              <w:jc w:val="center"/>
              <w:rPr>
                <w:rFonts w:ascii="Arial" w:hAnsi="Arial" w:cs="Arial"/>
                <w:sz w:val="18"/>
                <w:szCs w:val="18"/>
              </w:rPr>
            </w:pPr>
            <w:r>
              <w:rPr>
                <w:rFonts w:ascii="Arial" w:hAnsi="Arial" w:cs="Arial"/>
                <w:sz w:val="18"/>
                <w:szCs w:val="18"/>
              </w:rPr>
              <w:t>-</w:t>
            </w:r>
          </w:p>
        </w:tc>
        <w:tc>
          <w:tcPr>
            <w:tcW w:w="327" w:type="pct"/>
            <w:tcBorders>
              <w:top w:val="single" w:sz="4" w:space="0" w:color="auto"/>
              <w:left w:val="single" w:sz="4" w:space="0" w:color="auto"/>
              <w:bottom w:val="single" w:sz="4" w:space="0" w:color="auto"/>
              <w:right w:val="single" w:sz="4" w:space="0" w:color="auto"/>
            </w:tcBorders>
            <w:vAlign w:val="center"/>
          </w:tcPr>
          <w:p w14:paraId="24E024CB" w14:textId="0AA3E364" w:rsidR="006D2A59" w:rsidRPr="00576180" w:rsidRDefault="00A81639" w:rsidP="006D2A59">
            <w:pPr>
              <w:jc w:val="center"/>
              <w:rPr>
                <w:rFonts w:ascii="Arial" w:hAnsi="Arial" w:cs="Arial"/>
                <w:sz w:val="18"/>
                <w:szCs w:val="18"/>
              </w:rPr>
            </w:pPr>
            <w:r>
              <w:rPr>
                <w:rFonts w:ascii="Arial" w:hAnsi="Arial" w:cs="Arial"/>
                <w:sz w:val="18"/>
                <w:szCs w:val="18"/>
              </w:rPr>
              <w:t>9</w:t>
            </w:r>
            <w:r w:rsidR="007012F5">
              <w:rPr>
                <w:rFonts w:ascii="Arial" w:hAnsi="Arial" w:cs="Arial"/>
                <w:sz w:val="18"/>
                <w:szCs w:val="18"/>
              </w:rPr>
              <w:t>0</w:t>
            </w:r>
            <w:r>
              <w:rPr>
                <w:rFonts w:ascii="Arial" w:hAnsi="Arial" w:cs="Arial"/>
                <w:sz w:val="18"/>
                <w:szCs w:val="18"/>
              </w:rPr>
              <w:t>%</w:t>
            </w:r>
          </w:p>
        </w:tc>
        <w:tc>
          <w:tcPr>
            <w:tcW w:w="370" w:type="pct"/>
            <w:vMerge/>
            <w:tcBorders>
              <w:left w:val="single" w:sz="4" w:space="0" w:color="auto"/>
              <w:bottom w:val="single" w:sz="4" w:space="0" w:color="auto"/>
              <w:right w:val="single" w:sz="4" w:space="0" w:color="auto"/>
            </w:tcBorders>
            <w:vAlign w:val="center"/>
          </w:tcPr>
          <w:p w14:paraId="2FA12D10" w14:textId="77777777" w:rsidR="006D2A59" w:rsidRPr="00576180" w:rsidRDefault="006D2A59" w:rsidP="006D2A59">
            <w:pPr>
              <w:rPr>
                <w:rFonts w:ascii="Arial" w:hAnsi="Arial" w:cs="Arial"/>
                <w:sz w:val="18"/>
                <w:szCs w:val="18"/>
              </w:rPr>
            </w:pPr>
          </w:p>
        </w:tc>
        <w:tc>
          <w:tcPr>
            <w:tcW w:w="656" w:type="pct"/>
            <w:vMerge/>
            <w:tcBorders>
              <w:top w:val="single" w:sz="4" w:space="0" w:color="auto"/>
              <w:left w:val="single" w:sz="4" w:space="0" w:color="auto"/>
              <w:bottom w:val="single" w:sz="4" w:space="0" w:color="auto"/>
              <w:right w:val="single" w:sz="4" w:space="0" w:color="auto"/>
            </w:tcBorders>
            <w:vAlign w:val="center"/>
          </w:tcPr>
          <w:p w14:paraId="554A93B5" w14:textId="77777777" w:rsidR="006D2A59" w:rsidRPr="00576180" w:rsidRDefault="006D2A59" w:rsidP="006D2A59">
            <w:pPr>
              <w:rPr>
                <w:rFonts w:ascii="Arial" w:hAnsi="Arial" w:cs="Arial"/>
                <w:sz w:val="18"/>
                <w:szCs w:val="18"/>
              </w:rPr>
            </w:pPr>
          </w:p>
        </w:tc>
      </w:tr>
      <w:tr w:rsidR="002134DA" w:rsidRPr="00576180" w14:paraId="71BCA772" w14:textId="77777777" w:rsidTr="002134DA">
        <w:trPr>
          <w:gridAfter w:val="1"/>
          <w:wAfter w:w="5" w:type="pct"/>
        </w:trPr>
        <w:tc>
          <w:tcPr>
            <w:tcW w:w="1351" w:type="pct"/>
            <w:vMerge w:val="restart"/>
            <w:tcBorders>
              <w:top w:val="single" w:sz="4" w:space="0" w:color="auto"/>
              <w:left w:val="single" w:sz="4" w:space="0" w:color="auto"/>
              <w:bottom w:val="single" w:sz="4" w:space="0" w:color="auto"/>
              <w:right w:val="single" w:sz="4" w:space="0" w:color="auto"/>
            </w:tcBorders>
            <w:vAlign w:val="center"/>
            <w:hideMark/>
          </w:tcPr>
          <w:p w14:paraId="198B6637" w14:textId="4D75383E" w:rsidR="006D2A59" w:rsidRPr="00576180" w:rsidRDefault="006D2A59" w:rsidP="006D2A59">
            <w:pPr>
              <w:jc w:val="both"/>
              <w:rPr>
                <w:rFonts w:ascii="Arial" w:hAnsi="Arial" w:cs="Arial"/>
                <w:sz w:val="18"/>
                <w:szCs w:val="18"/>
              </w:rPr>
            </w:pPr>
            <w:r w:rsidRPr="00576180">
              <w:rPr>
                <w:rFonts w:ascii="Arial" w:hAnsi="Arial" w:cs="Arial"/>
                <w:sz w:val="18"/>
                <w:szCs w:val="18"/>
              </w:rPr>
              <w:t>2.7 Porcentaje de asientos contables automatizados</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14:paraId="13DD017B"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w:t>
            </w:r>
          </w:p>
        </w:tc>
        <w:tc>
          <w:tcPr>
            <w:tcW w:w="245" w:type="pct"/>
            <w:vMerge w:val="restart"/>
            <w:tcBorders>
              <w:top w:val="single" w:sz="4" w:space="0" w:color="auto"/>
              <w:left w:val="single" w:sz="4" w:space="0" w:color="auto"/>
              <w:bottom w:val="single" w:sz="4" w:space="0" w:color="auto"/>
              <w:right w:val="single" w:sz="4" w:space="0" w:color="auto"/>
            </w:tcBorders>
            <w:vAlign w:val="center"/>
          </w:tcPr>
          <w:p w14:paraId="208E99B0"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0</w:t>
            </w:r>
          </w:p>
        </w:tc>
        <w:tc>
          <w:tcPr>
            <w:tcW w:w="287" w:type="pct"/>
            <w:vMerge w:val="restart"/>
            <w:tcBorders>
              <w:top w:val="single" w:sz="4" w:space="0" w:color="auto"/>
              <w:left w:val="single" w:sz="4" w:space="0" w:color="auto"/>
              <w:bottom w:val="single" w:sz="4" w:space="0" w:color="auto"/>
              <w:right w:val="single" w:sz="4" w:space="0" w:color="auto"/>
            </w:tcBorders>
            <w:vAlign w:val="center"/>
          </w:tcPr>
          <w:p w14:paraId="19AAABCA"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2009</w:t>
            </w:r>
          </w:p>
        </w:tc>
        <w:tc>
          <w:tcPr>
            <w:tcW w:w="286" w:type="pct"/>
            <w:tcBorders>
              <w:top w:val="single" w:sz="4" w:space="0" w:color="auto"/>
              <w:left w:val="single" w:sz="4" w:space="0" w:color="auto"/>
              <w:bottom w:val="single" w:sz="4" w:space="0" w:color="auto"/>
              <w:right w:val="single" w:sz="4" w:space="0" w:color="auto"/>
            </w:tcBorders>
            <w:vAlign w:val="center"/>
            <w:hideMark/>
          </w:tcPr>
          <w:p w14:paraId="438D165C"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P</w:t>
            </w:r>
          </w:p>
        </w:tc>
        <w:tc>
          <w:tcPr>
            <w:tcW w:w="286" w:type="pct"/>
            <w:tcBorders>
              <w:top w:val="single" w:sz="4" w:space="0" w:color="auto"/>
              <w:left w:val="single" w:sz="4" w:space="0" w:color="auto"/>
              <w:bottom w:val="single" w:sz="4" w:space="0" w:color="auto"/>
              <w:right w:val="single" w:sz="4" w:space="0" w:color="auto"/>
            </w:tcBorders>
            <w:vAlign w:val="center"/>
          </w:tcPr>
          <w:p w14:paraId="169FA72F"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100</w:t>
            </w:r>
          </w:p>
        </w:tc>
        <w:tc>
          <w:tcPr>
            <w:tcW w:w="287" w:type="pct"/>
            <w:tcBorders>
              <w:top w:val="single" w:sz="4" w:space="0" w:color="auto"/>
              <w:left w:val="single" w:sz="4" w:space="0" w:color="auto"/>
              <w:bottom w:val="single" w:sz="4" w:space="0" w:color="auto"/>
              <w:right w:val="single" w:sz="4" w:space="0" w:color="auto"/>
            </w:tcBorders>
            <w:vAlign w:val="center"/>
          </w:tcPr>
          <w:p w14:paraId="05DD6ECC" w14:textId="77777777" w:rsidR="006D2A59" w:rsidRPr="00576180" w:rsidRDefault="006D2A59"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tcPr>
          <w:p w14:paraId="1AF04ED8" w14:textId="77777777" w:rsidR="006D2A59" w:rsidRPr="00576180" w:rsidRDefault="006D2A59"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vAlign w:val="center"/>
          </w:tcPr>
          <w:p w14:paraId="100D79EE" w14:textId="77777777" w:rsidR="006D2A59" w:rsidRPr="00576180" w:rsidRDefault="006D2A59" w:rsidP="006D2A59">
            <w:pPr>
              <w:jc w:val="center"/>
              <w:rPr>
                <w:rFonts w:ascii="Arial" w:hAnsi="Arial" w:cs="Arial"/>
                <w:sz w:val="18"/>
                <w:szCs w:val="18"/>
              </w:rPr>
            </w:pPr>
          </w:p>
        </w:tc>
        <w:tc>
          <w:tcPr>
            <w:tcW w:w="370" w:type="pct"/>
            <w:vMerge w:val="restart"/>
            <w:tcBorders>
              <w:top w:val="single" w:sz="4" w:space="0" w:color="auto"/>
              <w:left w:val="single" w:sz="4" w:space="0" w:color="auto"/>
              <w:right w:val="single" w:sz="4" w:space="0" w:color="auto"/>
            </w:tcBorders>
            <w:vAlign w:val="center"/>
          </w:tcPr>
          <w:p w14:paraId="3BA68411" w14:textId="303F67BF" w:rsidR="006D2A59" w:rsidRPr="00576180" w:rsidRDefault="006D2A59" w:rsidP="006D2A59">
            <w:pPr>
              <w:jc w:val="center"/>
              <w:rPr>
                <w:rFonts w:ascii="Arial" w:hAnsi="Arial" w:cs="Arial"/>
                <w:sz w:val="18"/>
                <w:szCs w:val="18"/>
              </w:rPr>
            </w:pPr>
            <w:r w:rsidRPr="00576180">
              <w:rPr>
                <w:rFonts w:ascii="Arial" w:hAnsi="Arial" w:cs="Arial"/>
                <w:sz w:val="18"/>
                <w:szCs w:val="18"/>
              </w:rPr>
              <w:t>0%</w:t>
            </w:r>
          </w:p>
        </w:tc>
        <w:tc>
          <w:tcPr>
            <w:tcW w:w="656" w:type="pct"/>
            <w:vMerge w:val="restart"/>
            <w:tcBorders>
              <w:top w:val="single" w:sz="4" w:space="0" w:color="auto"/>
              <w:left w:val="single" w:sz="4" w:space="0" w:color="auto"/>
              <w:bottom w:val="single" w:sz="4" w:space="0" w:color="auto"/>
              <w:right w:val="single" w:sz="4" w:space="0" w:color="auto"/>
            </w:tcBorders>
            <w:vAlign w:val="center"/>
          </w:tcPr>
          <w:p w14:paraId="4F57AE0A" w14:textId="785FE49D" w:rsidR="006D2A59" w:rsidRPr="00576180" w:rsidRDefault="006D2A59" w:rsidP="006D2A59">
            <w:pPr>
              <w:rPr>
                <w:rFonts w:ascii="Arial" w:hAnsi="Arial" w:cs="Arial"/>
                <w:sz w:val="18"/>
                <w:szCs w:val="18"/>
              </w:rPr>
            </w:pPr>
            <w:r w:rsidRPr="00576180">
              <w:rPr>
                <w:rFonts w:ascii="Arial" w:hAnsi="Arial" w:cs="Arial"/>
                <w:sz w:val="18"/>
                <w:szCs w:val="18"/>
              </w:rPr>
              <w:t>D</w:t>
            </w:r>
            <w:r w:rsidR="00EE2489" w:rsidRPr="00576180">
              <w:rPr>
                <w:rFonts w:ascii="Arial" w:hAnsi="Arial" w:cs="Arial"/>
                <w:sz w:val="18"/>
                <w:szCs w:val="18"/>
              </w:rPr>
              <w:t>G</w:t>
            </w:r>
            <w:r w:rsidRPr="00576180">
              <w:rPr>
                <w:rFonts w:ascii="Arial" w:hAnsi="Arial" w:cs="Arial"/>
                <w:sz w:val="18"/>
                <w:szCs w:val="18"/>
              </w:rPr>
              <w:t>CP – MEF.</w:t>
            </w:r>
          </w:p>
        </w:tc>
      </w:tr>
      <w:tr w:rsidR="002134DA" w:rsidRPr="00576180" w14:paraId="56718D25" w14:textId="77777777" w:rsidTr="002134DA">
        <w:trPr>
          <w:gridAfter w:val="1"/>
          <w:wAfter w:w="5" w:type="pct"/>
          <w:trHeight w:val="125"/>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6D70BD3E" w14:textId="77777777" w:rsidR="006D2A59" w:rsidRPr="00576180" w:rsidRDefault="006D2A59" w:rsidP="006D2A59">
            <w:pPr>
              <w:rPr>
                <w:rFonts w:ascii="Arial" w:hAnsi="Arial" w:cs="Arial"/>
                <w:sz w:val="18"/>
                <w:szCs w:val="18"/>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1918E50B" w14:textId="77777777" w:rsidR="006D2A59" w:rsidRPr="00576180" w:rsidRDefault="006D2A59"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tcPr>
          <w:p w14:paraId="6B1791AA" w14:textId="77777777" w:rsidR="006D2A59" w:rsidRPr="00576180" w:rsidRDefault="006D2A59"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023C0938" w14:textId="77777777" w:rsidR="006D2A59" w:rsidRPr="00576180" w:rsidRDefault="006D2A59"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543A5088"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P(a)</w:t>
            </w:r>
          </w:p>
        </w:tc>
        <w:tc>
          <w:tcPr>
            <w:tcW w:w="286" w:type="pct"/>
            <w:tcBorders>
              <w:top w:val="single" w:sz="4" w:space="0" w:color="auto"/>
              <w:left w:val="single" w:sz="4" w:space="0" w:color="auto"/>
              <w:bottom w:val="single" w:sz="4" w:space="0" w:color="auto"/>
              <w:right w:val="single" w:sz="4" w:space="0" w:color="auto"/>
            </w:tcBorders>
            <w:vAlign w:val="center"/>
          </w:tcPr>
          <w:p w14:paraId="5C304B2C"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100</w:t>
            </w:r>
          </w:p>
        </w:tc>
        <w:tc>
          <w:tcPr>
            <w:tcW w:w="287" w:type="pct"/>
            <w:tcBorders>
              <w:top w:val="single" w:sz="4" w:space="0" w:color="auto"/>
              <w:left w:val="single" w:sz="4" w:space="0" w:color="auto"/>
              <w:bottom w:val="single" w:sz="4" w:space="0" w:color="auto"/>
              <w:right w:val="single" w:sz="4" w:space="0" w:color="auto"/>
            </w:tcBorders>
            <w:vAlign w:val="center"/>
          </w:tcPr>
          <w:p w14:paraId="43C0B8B1" w14:textId="77777777" w:rsidR="006D2A59" w:rsidRPr="00576180" w:rsidRDefault="006D2A59" w:rsidP="006D2A59">
            <w:pPr>
              <w:jc w:val="center"/>
            </w:pPr>
          </w:p>
        </w:tc>
        <w:tc>
          <w:tcPr>
            <w:tcW w:w="286" w:type="pct"/>
            <w:tcBorders>
              <w:top w:val="single" w:sz="4" w:space="0" w:color="auto"/>
              <w:left w:val="single" w:sz="4" w:space="0" w:color="auto"/>
              <w:bottom w:val="single" w:sz="4" w:space="0" w:color="auto"/>
              <w:right w:val="single" w:sz="4" w:space="0" w:color="auto"/>
            </w:tcBorders>
            <w:vAlign w:val="center"/>
          </w:tcPr>
          <w:p w14:paraId="537A32BE" w14:textId="77777777" w:rsidR="006D2A59" w:rsidRPr="00576180" w:rsidRDefault="006D2A59"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vAlign w:val="center"/>
          </w:tcPr>
          <w:p w14:paraId="11F99811" w14:textId="77777777" w:rsidR="006D2A59" w:rsidRPr="00576180" w:rsidRDefault="006D2A59" w:rsidP="006D2A59">
            <w:pPr>
              <w:jc w:val="center"/>
              <w:rPr>
                <w:rFonts w:ascii="Arial" w:hAnsi="Arial" w:cs="Arial"/>
                <w:sz w:val="18"/>
                <w:szCs w:val="18"/>
              </w:rPr>
            </w:pPr>
          </w:p>
        </w:tc>
        <w:tc>
          <w:tcPr>
            <w:tcW w:w="370" w:type="pct"/>
            <w:vMerge/>
            <w:tcBorders>
              <w:left w:val="single" w:sz="4" w:space="0" w:color="auto"/>
              <w:right w:val="single" w:sz="4" w:space="0" w:color="auto"/>
            </w:tcBorders>
            <w:vAlign w:val="center"/>
          </w:tcPr>
          <w:p w14:paraId="7BA1E5B3" w14:textId="77777777" w:rsidR="006D2A59" w:rsidRPr="00576180" w:rsidRDefault="006D2A59" w:rsidP="006D2A59">
            <w:pPr>
              <w:rPr>
                <w:rFonts w:ascii="Arial" w:hAnsi="Arial" w:cs="Arial"/>
                <w:sz w:val="18"/>
                <w:szCs w:val="18"/>
              </w:rPr>
            </w:pPr>
          </w:p>
        </w:tc>
        <w:tc>
          <w:tcPr>
            <w:tcW w:w="656" w:type="pct"/>
            <w:vMerge/>
            <w:tcBorders>
              <w:top w:val="single" w:sz="4" w:space="0" w:color="auto"/>
              <w:left w:val="single" w:sz="4" w:space="0" w:color="auto"/>
              <w:bottom w:val="single" w:sz="4" w:space="0" w:color="auto"/>
              <w:right w:val="single" w:sz="4" w:space="0" w:color="auto"/>
            </w:tcBorders>
            <w:vAlign w:val="center"/>
          </w:tcPr>
          <w:p w14:paraId="0CF60D86" w14:textId="77777777" w:rsidR="006D2A59" w:rsidRPr="00576180" w:rsidRDefault="006D2A59" w:rsidP="006D2A59">
            <w:pPr>
              <w:rPr>
                <w:rFonts w:ascii="Arial" w:hAnsi="Arial" w:cs="Arial"/>
                <w:sz w:val="18"/>
                <w:szCs w:val="18"/>
              </w:rPr>
            </w:pPr>
          </w:p>
        </w:tc>
      </w:tr>
      <w:tr w:rsidR="002134DA" w:rsidRPr="00576180" w14:paraId="3DBA3FE4" w14:textId="77777777" w:rsidTr="002134DA">
        <w:trPr>
          <w:gridAfter w:val="1"/>
          <w:wAfter w:w="5" w:type="pct"/>
          <w:trHeight w:val="56"/>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5D409882" w14:textId="77777777" w:rsidR="006D2A59" w:rsidRPr="00576180" w:rsidRDefault="006D2A59" w:rsidP="006D2A59">
            <w:pPr>
              <w:rPr>
                <w:rFonts w:ascii="Arial" w:hAnsi="Arial" w:cs="Arial"/>
                <w:sz w:val="18"/>
                <w:szCs w:val="18"/>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1227ABCA" w14:textId="77777777" w:rsidR="006D2A59" w:rsidRPr="00576180" w:rsidRDefault="006D2A59"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tcPr>
          <w:p w14:paraId="16F621D4" w14:textId="77777777" w:rsidR="006D2A59" w:rsidRPr="00576180" w:rsidRDefault="006D2A59"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7B7C7364" w14:textId="77777777" w:rsidR="006D2A59" w:rsidRPr="00576180" w:rsidRDefault="006D2A59"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7063B810"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A</w:t>
            </w:r>
          </w:p>
        </w:tc>
        <w:tc>
          <w:tcPr>
            <w:tcW w:w="286" w:type="pct"/>
            <w:tcBorders>
              <w:top w:val="single" w:sz="4" w:space="0" w:color="auto"/>
              <w:left w:val="single" w:sz="4" w:space="0" w:color="auto"/>
              <w:bottom w:val="single" w:sz="4" w:space="0" w:color="auto"/>
              <w:right w:val="single" w:sz="4" w:space="0" w:color="auto"/>
            </w:tcBorders>
            <w:vAlign w:val="center"/>
          </w:tcPr>
          <w:p w14:paraId="3C993E04"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0.10</w:t>
            </w:r>
          </w:p>
        </w:tc>
        <w:tc>
          <w:tcPr>
            <w:tcW w:w="287" w:type="pct"/>
            <w:tcBorders>
              <w:top w:val="single" w:sz="4" w:space="0" w:color="auto"/>
              <w:left w:val="single" w:sz="4" w:space="0" w:color="auto"/>
              <w:bottom w:val="single" w:sz="4" w:space="0" w:color="auto"/>
              <w:right w:val="single" w:sz="4" w:space="0" w:color="auto"/>
            </w:tcBorders>
            <w:vAlign w:val="center"/>
          </w:tcPr>
          <w:p w14:paraId="5DECF133"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0.10</w:t>
            </w:r>
          </w:p>
        </w:tc>
        <w:tc>
          <w:tcPr>
            <w:tcW w:w="286" w:type="pct"/>
            <w:tcBorders>
              <w:top w:val="single" w:sz="4" w:space="0" w:color="auto"/>
              <w:left w:val="single" w:sz="4" w:space="0" w:color="auto"/>
              <w:bottom w:val="single" w:sz="4" w:space="0" w:color="auto"/>
              <w:right w:val="single" w:sz="4" w:space="0" w:color="auto"/>
            </w:tcBorders>
            <w:vAlign w:val="center"/>
          </w:tcPr>
          <w:p w14:paraId="65EE11E2"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0.10</w:t>
            </w:r>
          </w:p>
        </w:tc>
        <w:tc>
          <w:tcPr>
            <w:tcW w:w="327" w:type="pct"/>
            <w:tcBorders>
              <w:top w:val="single" w:sz="4" w:space="0" w:color="auto"/>
              <w:left w:val="single" w:sz="4" w:space="0" w:color="auto"/>
              <w:bottom w:val="single" w:sz="4" w:space="0" w:color="auto"/>
              <w:right w:val="single" w:sz="4" w:space="0" w:color="auto"/>
            </w:tcBorders>
            <w:vAlign w:val="center"/>
          </w:tcPr>
          <w:p w14:paraId="7930FB91"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0.10</w:t>
            </w:r>
          </w:p>
        </w:tc>
        <w:tc>
          <w:tcPr>
            <w:tcW w:w="370" w:type="pct"/>
            <w:vMerge/>
            <w:tcBorders>
              <w:left w:val="single" w:sz="4" w:space="0" w:color="auto"/>
              <w:bottom w:val="single" w:sz="4" w:space="0" w:color="auto"/>
              <w:right w:val="single" w:sz="4" w:space="0" w:color="auto"/>
            </w:tcBorders>
            <w:vAlign w:val="center"/>
          </w:tcPr>
          <w:p w14:paraId="321E2614" w14:textId="77777777" w:rsidR="006D2A59" w:rsidRPr="00576180" w:rsidRDefault="006D2A59" w:rsidP="006D2A59">
            <w:pPr>
              <w:rPr>
                <w:rFonts w:ascii="Arial" w:hAnsi="Arial" w:cs="Arial"/>
                <w:sz w:val="18"/>
                <w:szCs w:val="18"/>
              </w:rPr>
            </w:pPr>
          </w:p>
        </w:tc>
        <w:tc>
          <w:tcPr>
            <w:tcW w:w="656" w:type="pct"/>
            <w:vMerge/>
            <w:tcBorders>
              <w:top w:val="single" w:sz="4" w:space="0" w:color="auto"/>
              <w:left w:val="single" w:sz="4" w:space="0" w:color="auto"/>
              <w:bottom w:val="single" w:sz="4" w:space="0" w:color="auto"/>
              <w:right w:val="single" w:sz="4" w:space="0" w:color="auto"/>
            </w:tcBorders>
            <w:vAlign w:val="center"/>
          </w:tcPr>
          <w:p w14:paraId="49A7998B" w14:textId="77777777" w:rsidR="006D2A59" w:rsidRPr="00576180" w:rsidRDefault="006D2A59" w:rsidP="006D2A59">
            <w:pPr>
              <w:rPr>
                <w:rFonts w:ascii="Arial" w:hAnsi="Arial" w:cs="Arial"/>
                <w:sz w:val="18"/>
                <w:szCs w:val="18"/>
              </w:rPr>
            </w:pPr>
          </w:p>
        </w:tc>
      </w:tr>
      <w:tr w:rsidR="002134DA" w:rsidRPr="00576180" w14:paraId="14830D3B" w14:textId="77777777" w:rsidTr="002134DA">
        <w:trPr>
          <w:gridAfter w:val="1"/>
          <w:wAfter w:w="5" w:type="pct"/>
          <w:trHeight w:val="56"/>
        </w:trPr>
        <w:tc>
          <w:tcPr>
            <w:tcW w:w="1351" w:type="pct"/>
            <w:vMerge w:val="restart"/>
            <w:tcBorders>
              <w:top w:val="single" w:sz="4" w:space="0" w:color="auto"/>
              <w:left w:val="single" w:sz="4" w:space="0" w:color="auto"/>
              <w:bottom w:val="single" w:sz="4" w:space="0" w:color="auto"/>
              <w:right w:val="single" w:sz="4" w:space="0" w:color="auto"/>
            </w:tcBorders>
            <w:vAlign w:val="center"/>
          </w:tcPr>
          <w:p w14:paraId="470EBA96" w14:textId="3C591E4E" w:rsidR="006D2A59" w:rsidRPr="00576180" w:rsidRDefault="008F5CC7" w:rsidP="008F5CC7">
            <w:pPr>
              <w:jc w:val="both"/>
              <w:rPr>
                <w:rFonts w:ascii="Arial" w:hAnsi="Arial" w:cs="Arial"/>
                <w:sz w:val="18"/>
                <w:szCs w:val="18"/>
              </w:rPr>
            </w:pPr>
            <w:r w:rsidRPr="00576180">
              <w:rPr>
                <w:rFonts w:ascii="Arial" w:hAnsi="Arial" w:cs="Arial"/>
                <w:sz w:val="18"/>
                <w:szCs w:val="18"/>
              </w:rPr>
              <w:t xml:space="preserve">2.8 </w:t>
            </w:r>
            <w:r w:rsidR="006D2A59" w:rsidRPr="00576180">
              <w:rPr>
                <w:rFonts w:ascii="Arial" w:hAnsi="Arial" w:cs="Arial"/>
                <w:sz w:val="18"/>
                <w:szCs w:val="18"/>
              </w:rPr>
              <w:t>Oportunidad de los estados financieros (tiempos de preparación y envío al MEF de los estados financieros intermedios y anuales)</w:t>
            </w:r>
          </w:p>
          <w:p w14:paraId="2D31D1DD" w14:textId="6A05B754" w:rsidR="008F5CC7" w:rsidRPr="00576180" w:rsidRDefault="008F5CC7" w:rsidP="008F5CC7">
            <w:pPr>
              <w:jc w:val="both"/>
              <w:rPr>
                <w:rFonts w:ascii="Arial" w:hAnsi="Arial" w:cs="Arial"/>
                <w:sz w:val="18"/>
                <w:szCs w:val="18"/>
              </w:rPr>
            </w:pP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14:paraId="6B4CE26D"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días</w:t>
            </w:r>
          </w:p>
        </w:tc>
        <w:tc>
          <w:tcPr>
            <w:tcW w:w="245" w:type="pct"/>
            <w:vMerge w:val="restart"/>
            <w:tcBorders>
              <w:top w:val="single" w:sz="4" w:space="0" w:color="auto"/>
              <w:left w:val="single" w:sz="4" w:space="0" w:color="auto"/>
              <w:bottom w:val="single" w:sz="4" w:space="0" w:color="auto"/>
              <w:right w:val="single" w:sz="4" w:space="0" w:color="auto"/>
            </w:tcBorders>
            <w:vAlign w:val="center"/>
          </w:tcPr>
          <w:p w14:paraId="7F9752F3"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30</w:t>
            </w:r>
          </w:p>
        </w:tc>
        <w:tc>
          <w:tcPr>
            <w:tcW w:w="287" w:type="pct"/>
            <w:vMerge w:val="restart"/>
            <w:tcBorders>
              <w:top w:val="single" w:sz="4" w:space="0" w:color="auto"/>
              <w:left w:val="single" w:sz="4" w:space="0" w:color="auto"/>
              <w:bottom w:val="single" w:sz="4" w:space="0" w:color="auto"/>
              <w:right w:val="single" w:sz="4" w:space="0" w:color="auto"/>
            </w:tcBorders>
            <w:vAlign w:val="center"/>
          </w:tcPr>
          <w:p w14:paraId="6B562F15"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2009</w:t>
            </w:r>
          </w:p>
        </w:tc>
        <w:tc>
          <w:tcPr>
            <w:tcW w:w="286" w:type="pct"/>
            <w:tcBorders>
              <w:top w:val="single" w:sz="4" w:space="0" w:color="auto"/>
              <w:left w:val="single" w:sz="4" w:space="0" w:color="auto"/>
              <w:bottom w:val="single" w:sz="4" w:space="0" w:color="auto"/>
              <w:right w:val="single" w:sz="4" w:space="0" w:color="auto"/>
            </w:tcBorders>
            <w:vAlign w:val="center"/>
            <w:hideMark/>
          </w:tcPr>
          <w:p w14:paraId="64592DBD"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P</w:t>
            </w:r>
          </w:p>
        </w:tc>
        <w:tc>
          <w:tcPr>
            <w:tcW w:w="286" w:type="pct"/>
            <w:tcBorders>
              <w:top w:val="single" w:sz="4" w:space="0" w:color="auto"/>
              <w:left w:val="single" w:sz="4" w:space="0" w:color="auto"/>
              <w:bottom w:val="single" w:sz="4" w:space="0" w:color="auto"/>
              <w:right w:val="single" w:sz="4" w:space="0" w:color="auto"/>
            </w:tcBorders>
            <w:vAlign w:val="center"/>
          </w:tcPr>
          <w:p w14:paraId="4C3CA844"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15</w:t>
            </w:r>
          </w:p>
        </w:tc>
        <w:tc>
          <w:tcPr>
            <w:tcW w:w="287" w:type="pct"/>
            <w:tcBorders>
              <w:top w:val="single" w:sz="4" w:space="0" w:color="auto"/>
              <w:left w:val="single" w:sz="4" w:space="0" w:color="auto"/>
              <w:bottom w:val="single" w:sz="4" w:space="0" w:color="auto"/>
              <w:right w:val="single" w:sz="4" w:space="0" w:color="auto"/>
            </w:tcBorders>
            <w:vAlign w:val="center"/>
          </w:tcPr>
          <w:p w14:paraId="4E10152A" w14:textId="77777777" w:rsidR="006D2A59" w:rsidRPr="00576180" w:rsidRDefault="006D2A59"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tcPr>
          <w:p w14:paraId="5A08CBA4" w14:textId="77777777" w:rsidR="006D2A59" w:rsidRPr="00576180" w:rsidRDefault="006D2A59"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vAlign w:val="center"/>
          </w:tcPr>
          <w:p w14:paraId="1E793530" w14:textId="77777777" w:rsidR="006D2A59" w:rsidRPr="00576180" w:rsidRDefault="006D2A59" w:rsidP="006D2A59">
            <w:pPr>
              <w:jc w:val="center"/>
              <w:rPr>
                <w:rFonts w:ascii="Arial" w:hAnsi="Arial" w:cs="Arial"/>
                <w:sz w:val="18"/>
                <w:szCs w:val="18"/>
              </w:rPr>
            </w:pPr>
          </w:p>
        </w:tc>
        <w:tc>
          <w:tcPr>
            <w:tcW w:w="370" w:type="pct"/>
            <w:vMerge w:val="restart"/>
            <w:tcBorders>
              <w:top w:val="single" w:sz="4" w:space="0" w:color="auto"/>
              <w:left w:val="single" w:sz="4" w:space="0" w:color="auto"/>
              <w:right w:val="single" w:sz="4" w:space="0" w:color="auto"/>
            </w:tcBorders>
            <w:vAlign w:val="center"/>
          </w:tcPr>
          <w:p w14:paraId="59C6D118" w14:textId="47F6CD4F" w:rsidR="006D2A59" w:rsidRPr="00576180" w:rsidRDefault="007012F5" w:rsidP="006D2A59">
            <w:pPr>
              <w:jc w:val="center"/>
              <w:rPr>
                <w:rFonts w:ascii="Arial" w:hAnsi="Arial" w:cs="Arial"/>
                <w:sz w:val="18"/>
                <w:szCs w:val="18"/>
              </w:rPr>
            </w:pPr>
            <w:r>
              <w:rPr>
                <w:rFonts w:ascii="Arial" w:hAnsi="Arial" w:cs="Arial"/>
                <w:sz w:val="18"/>
                <w:szCs w:val="18"/>
              </w:rPr>
              <w:t>0</w:t>
            </w:r>
            <w:r w:rsidR="006D2A59" w:rsidRPr="00576180">
              <w:rPr>
                <w:rFonts w:ascii="Arial" w:hAnsi="Arial" w:cs="Arial"/>
                <w:sz w:val="18"/>
                <w:szCs w:val="18"/>
              </w:rPr>
              <w:t>%</w:t>
            </w:r>
          </w:p>
        </w:tc>
        <w:tc>
          <w:tcPr>
            <w:tcW w:w="656" w:type="pct"/>
            <w:vMerge w:val="restart"/>
            <w:tcBorders>
              <w:top w:val="single" w:sz="4" w:space="0" w:color="auto"/>
              <w:left w:val="single" w:sz="4" w:space="0" w:color="auto"/>
              <w:bottom w:val="single" w:sz="4" w:space="0" w:color="auto"/>
              <w:right w:val="single" w:sz="4" w:space="0" w:color="auto"/>
            </w:tcBorders>
            <w:vAlign w:val="center"/>
          </w:tcPr>
          <w:p w14:paraId="3B50596A" w14:textId="4FA0F249" w:rsidR="006D2A59" w:rsidRPr="00576180" w:rsidRDefault="006D2A59" w:rsidP="006D2A59">
            <w:pPr>
              <w:rPr>
                <w:rFonts w:ascii="Arial" w:hAnsi="Arial" w:cs="Arial"/>
                <w:sz w:val="18"/>
                <w:szCs w:val="18"/>
              </w:rPr>
            </w:pPr>
            <w:r w:rsidRPr="00576180">
              <w:rPr>
                <w:rFonts w:ascii="Arial" w:hAnsi="Arial" w:cs="Arial"/>
                <w:sz w:val="18"/>
                <w:szCs w:val="18"/>
              </w:rPr>
              <w:t>D</w:t>
            </w:r>
            <w:r w:rsidR="00EE2489" w:rsidRPr="00576180">
              <w:rPr>
                <w:rFonts w:ascii="Arial" w:hAnsi="Arial" w:cs="Arial"/>
                <w:sz w:val="18"/>
                <w:szCs w:val="18"/>
              </w:rPr>
              <w:t>G</w:t>
            </w:r>
            <w:r w:rsidRPr="00576180">
              <w:rPr>
                <w:rFonts w:ascii="Arial" w:hAnsi="Arial" w:cs="Arial"/>
                <w:sz w:val="18"/>
                <w:szCs w:val="18"/>
              </w:rPr>
              <w:t>CP – MEF.</w:t>
            </w:r>
          </w:p>
        </w:tc>
      </w:tr>
      <w:tr w:rsidR="002134DA" w:rsidRPr="00576180" w14:paraId="47CA8A29" w14:textId="77777777" w:rsidTr="002134DA">
        <w:trPr>
          <w:gridAfter w:val="1"/>
          <w:wAfter w:w="5" w:type="pct"/>
          <w:trHeight w:val="345"/>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029F3C1F" w14:textId="77777777" w:rsidR="006D2A59" w:rsidRPr="00576180" w:rsidRDefault="006D2A59" w:rsidP="006D2A59">
            <w:pPr>
              <w:rPr>
                <w:rFonts w:ascii="Arial" w:hAnsi="Arial" w:cs="Arial"/>
                <w:sz w:val="18"/>
                <w:szCs w:val="18"/>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31D220C4" w14:textId="77777777" w:rsidR="006D2A59" w:rsidRPr="00576180" w:rsidRDefault="006D2A59"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tcPr>
          <w:p w14:paraId="653FDF30" w14:textId="77777777" w:rsidR="006D2A59" w:rsidRPr="00576180" w:rsidRDefault="006D2A59"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5E621911" w14:textId="77777777" w:rsidR="006D2A59" w:rsidRPr="00576180" w:rsidRDefault="006D2A59"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746878D7"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P(a)</w:t>
            </w:r>
          </w:p>
        </w:tc>
        <w:tc>
          <w:tcPr>
            <w:tcW w:w="286" w:type="pct"/>
            <w:tcBorders>
              <w:top w:val="single" w:sz="4" w:space="0" w:color="auto"/>
              <w:left w:val="single" w:sz="4" w:space="0" w:color="auto"/>
              <w:bottom w:val="single" w:sz="4" w:space="0" w:color="auto"/>
              <w:right w:val="single" w:sz="4" w:space="0" w:color="auto"/>
            </w:tcBorders>
            <w:vAlign w:val="center"/>
          </w:tcPr>
          <w:p w14:paraId="66F0BDE0"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15</w:t>
            </w:r>
          </w:p>
        </w:tc>
        <w:tc>
          <w:tcPr>
            <w:tcW w:w="287" w:type="pct"/>
            <w:tcBorders>
              <w:top w:val="single" w:sz="4" w:space="0" w:color="auto"/>
              <w:left w:val="single" w:sz="4" w:space="0" w:color="auto"/>
              <w:bottom w:val="single" w:sz="4" w:space="0" w:color="auto"/>
              <w:right w:val="single" w:sz="4" w:space="0" w:color="auto"/>
            </w:tcBorders>
            <w:vAlign w:val="center"/>
          </w:tcPr>
          <w:p w14:paraId="3CB11843" w14:textId="77777777" w:rsidR="006D2A59" w:rsidRPr="00576180" w:rsidRDefault="006D2A59" w:rsidP="006D2A59">
            <w:pPr>
              <w:jc w:val="cente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tcPr>
          <w:p w14:paraId="70FC8CAB" w14:textId="77777777" w:rsidR="006D2A59" w:rsidRPr="00576180" w:rsidRDefault="006D2A59"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vAlign w:val="center"/>
          </w:tcPr>
          <w:p w14:paraId="23AD5D28" w14:textId="77777777" w:rsidR="006D2A59" w:rsidRPr="00576180" w:rsidRDefault="006D2A59" w:rsidP="006D2A59">
            <w:pPr>
              <w:jc w:val="center"/>
              <w:rPr>
                <w:rFonts w:ascii="Arial" w:hAnsi="Arial" w:cs="Arial"/>
                <w:sz w:val="18"/>
                <w:szCs w:val="18"/>
              </w:rPr>
            </w:pPr>
          </w:p>
        </w:tc>
        <w:tc>
          <w:tcPr>
            <w:tcW w:w="370" w:type="pct"/>
            <w:vMerge/>
            <w:tcBorders>
              <w:left w:val="single" w:sz="4" w:space="0" w:color="auto"/>
              <w:right w:val="single" w:sz="4" w:space="0" w:color="auto"/>
            </w:tcBorders>
            <w:vAlign w:val="center"/>
          </w:tcPr>
          <w:p w14:paraId="1C583E66" w14:textId="77777777" w:rsidR="006D2A59" w:rsidRPr="00576180" w:rsidRDefault="006D2A59" w:rsidP="006D2A59">
            <w:pPr>
              <w:rPr>
                <w:rFonts w:ascii="Arial" w:hAnsi="Arial" w:cs="Arial"/>
                <w:sz w:val="18"/>
                <w:szCs w:val="18"/>
              </w:rPr>
            </w:pPr>
          </w:p>
        </w:tc>
        <w:tc>
          <w:tcPr>
            <w:tcW w:w="656" w:type="pct"/>
            <w:vMerge/>
            <w:tcBorders>
              <w:top w:val="single" w:sz="4" w:space="0" w:color="auto"/>
              <w:left w:val="single" w:sz="4" w:space="0" w:color="auto"/>
              <w:bottom w:val="single" w:sz="4" w:space="0" w:color="auto"/>
              <w:right w:val="single" w:sz="4" w:space="0" w:color="auto"/>
            </w:tcBorders>
            <w:vAlign w:val="center"/>
          </w:tcPr>
          <w:p w14:paraId="005E96C4" w14:textId="77777777" w:rsidR="006D2A59" w:rsidRPr="00576180" w:rsidRDefault="006D2A59" w:rsidP="006D2A59">
            <w:pPr>
              <w:rPr>
                <w:rFonts w:ascii="Arial" w:hAnsi="Arial" w:cs="Arial"/>
                <w:sz w:val="18"/>
                <w:szCs w:val="18"/>
              </w:rPr>
            </w:pPr>
          </w:p>
        </w:tc>
      </w:tr>
      <w:tr w:rsidR="002134DA" w:rsidRPr="00576180" w14:paraId="490E02AE" w14:textId="77777777" w:rsidTr="002134DA">
        <w:trPr>
          <w:gridAfter w:val="1"/>
          <w:wAfter w:w="5" w:type="pct"/>
          <w:trHeight w:val="125"/>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40232023" w14:textId="77777777" w:rsidR="006D2A59" w:rsidRPr="00576180" w:rsidRDefault="006D2A59" w:rsidP="006D2A59">
            <w:pPr>
              <w:rPr>
                <w:rFonts w:ascii="Arial" w:hAnsi="Arial" w:cs="Arial"/>
                <w:sz w:val="18"/>
                <w:szCs w:val="18"/>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1E94AD64" w14:textId="77777777" w:rsidR="006D2A59" w:rsidRPr="00576180" w:rsidRDefault="006D2A59"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tcPr>
          <w:p w14:paraId="48CCA487" w14:textId="77777777" w:rsidR="006D2A59" w:rsidRPr="00576180" w:rsidRDefault="006D2A59"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6DD0A8A8" w14:textId="77777777" w:rsidR="006D2A59" w:rsidRPr="00576180" w:rsidRDefault="006D2A59"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78E31829"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A</w:t>
            </w:r>
          </w:p>
        </w:tc>
        <w:tc>
          <w:tcPr>
            <w:tcW w:w="286" w:type="pct"/>
            <w:tcBorders>
              <w:top w:val="single" w:sz="4" w:space="0" w:color="auto"/>
              <w:left w:val="single" w:sz="4" w:space="0" w:color="auto"/>
              <w:bottom w:val="single" w:sz="4" w:space="0" w:color="auto"/>
              <w:right w:val="single" w:sz="4" w:space="0" w:color="auto"/>
            </w:tcBorders>
            <w:vAlign w:val="center"/>
          </w:tcPr>
          <w:p w14:paraId="3B22C2B9"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30</w:t>
            </w:r>
          </w:p>
        </w:tc>
        <w:tc>
          <w:tcPr>
            <w:tcW w:w="287" w:type="pct"/>
            <w:tcBorders>
              <w:top w:val="single" w:sz="4" w:space="0" w:color="auto"/>
              <w:left w:val="single" w:sz="4" w:space="0" w:color="auto"/>
              <w:bottom w:val="single" w:sz="4" w:space="0" w:color="auto"/>
              <w:right w:val="single" w:sz="4" w:space="0" w:color="auto"/>
            </w:tcBorders>
            <w:vAlign w:val="center"/>
          </w:tcPr>
          <w:p w14:paraId="3F95075A"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30</w:t>
            </w:r>
          </w:p>
        </w:tc>
        <w:tc>
          <w:tcPr>
            <w:tcW w:w="286" w:type="pct"/>
            <w:tcBorders>
              <w:top w:val="single" w:sz="4" w:space="0" w:color="auto"/>
              <w:left w:val="single" w:sz="4" w:space="0" w:color="auto"/>
              <w:bottom w:val="single" w:sz="4" w:space="0" w:color="auto"/>
              <w:right w:val="single" w:sz="4" w:space="0" w:color="auto"/>
            </w:tcBorders>
            <w:vAlign w:val="center"/>
          </w:tcPr>
          <w:p w14:paraId="5347E0DC"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30</w:t>
            </w:r>
          </w:p>
        </w:tc>
        <w:tc>
          <w:tcPr>
            <w:tcW w:w="327" w:type="pct"/>
            <w:tcBorders>
              <w:top w:val="single" w:sz="4" w:space="0" w:color="auto"/>
              <w:left w:val="single" w:sz="4" w:space="0" w:color="auto"/>
              <w:bottom w:val="single" w:sz="4" w:space="0" w:color="auto"/>
              <w:right w:val="single" w:sz="4" w:space="0" w:color="auto"/>
            </w:tcBorders>
            <w:vAlign w:val="center"/>
          </w:tcPr>
          <w:p w14:paraId="078A379C"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30</w:t>
            </w:r>
          </w:p>
        </w:tc>
        <w:tc>
          <w:tcPr>
            <w:tcW w:w="370" w:type="pct"/>
            <w:vMerge/>
            <w:tcBorders>
              <w:left w:val="single" w:sz="4" w:space="0" w:color="auto"/>
              <w:bottom w:val="single" w:sz="4" w:space="0" w:color="auto"/>
              <w:right w:val="single" w:sz="4" w:space="0" w:color="auto"/>
            </w:tcBorders>
            <w:vAlign w:val="center"/>
          </w:tcPr>
          <w:p w14:paraId="5103D973" w14:textId="77777777" w:rsidR="006D2A59" w:rsidRPr="00576180" w:rsidRDefault="006D2A59" w:rsidP="006D2A59">
            <w:pPr>
              <w:rPr>
                <w:rFonts w:ascii="Arial" w:hAnsi="Arial" w:cs="Arial"/>
                <w:sz w:val="18"/>
                <w:szCs w:val="18"/>
              </w:rPr>
            </w:pPr>
          </w:p>
        </w:tc>
        <w:tc>
          <w:tcPr>
            <w:tcW w:w="656" w:type="pct"/>
            <w:vMerge/>
            <w:tcBorders>
              <w:top w:val="single" w:sz="4" w:space="0" w:color="auto"/>
              <w:left w:val="single" w:sz="4" w:space="0" w:color="auto"/>
              <w:bottom w:val="single" w:sz="4" w:space="0" w:color="auto"/>
              <w:right w:val="single" w:sz="4" w:space="0" w:color="auto"/>
            </w:tcBorders>
            <w:vAlign w:val="center"/>
          </w:tcPr>
          <w:p w14:paraId="1BB9FC3A" w14:textId="77777777" w:rsidR="006D2A59" w:rsidRPr="00576180" w:rsidRDefault="006D2A59" w:rsidP="006D2A59">
            <w:pPr>
              <w:rPr>
                <w:rFonts w:ascii="Arial" w:hAnsi="Arial" w:cs="Arial"/>
                <w:sz w:val="18"/>
                <w:szCs w:val="18"/>
              </w:rPr>
            </w:pPr>
          </w:p>
        </w:tc>
      </w:tr>
      <w:tr w:rsidR="006D2A59" w:rsidRPr="00576180" w14:paraId="5CFE99DF" w14:textId="77777777" w:rsidTr="00BC76FE">
        <w:trPr>
          <w:trHeight w:val="125"/>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151DF" w14:textId="38C9E721" w:rsidR="006D2A59" w:rsidRPr="00576180" w:rsidRDefault="006D2A59" w:rsidP="006D2A59">
            <w:pPr>
              <w:rPr>
                <w:rFonts w:ascii="Arial" w:hAnsi="Arial" w:cs="Arial"/>
                <w:b/>
                <w:sz w:val="18"/>
                <w:szCs w:val="18"/>
              </w:rPr>
            </w:pPr>
            <w:r w:rsidRPr="00576180">
              <w:rPr>
                <w:rFonts w:ascii="Arial" w:hAnsi="Arial" w:cs="Arial"/>
                <w:b/>
                <w:sz w:val="18"/>
                <w:szCs w:val="18"/>
                <w:shd w:val="clear" w:color="auto" w:fill="D9D9D9" w:themeFill="background1" w:themeFillShade="D9"/>
              </w:rPr>
              <w:t>C3.</w:t>
            </w:r>
            <w:r w:rsidRPr="00576180">
              <w:rPr>
                <w:rFonts w:ascii="Arial" w:hAnsi="Arial" w:cs="Arial"/>
                <w:b/>
                <w:sz w:val="18"/>
                <w:szCs w:val="18"/>
              </w:rPr>
              <w:t xml:space="preserve"> Institucionalización de instrumentos de gestión presupuestaria para mejorar la calidad del gasto</w:t>
            </w:r>
          </w:p>
        </w:tc>
      </w:tr>
      <w:tr w:rsidR="002134DA" w:rsidRPr="00576180" w14:paraId="394EDFC2" w14:textId="77777777" w:rsidTr="002134DA">
        <w:trPr>
          <w:gridAfter w:val="1"/>
          <w:wAfter w:w="5" w:type="pct"/>
          <w:trHeight w:val="494"/>
        </w:trPr>
        <w:tc>
          <w:tcPr>
            <w:tcW w:w="1351" w:type="pct"/>
            <w:vMerge w:val="restart"/>
            <w:tcBorders>
              <w:top w:val="single" w:sz="4" w:space="0" w:color="auto"/>
              <w:left w:val="single" w:sz="4" w:space="0" w:color="auto"/>
              <w:bottom w:val="single" w:sz="4" w:space="0" w:color="auto"/>
              <w:right w:val="single" w:sz="4" w:space="0" w:color="auto"/>
            </w:tcBorders>
            <w:vAlign w:val="center"/>
            <w:hideMark/>
          </w:tcPr>
          <w:p w14:paraId="39899D3C" w14:textId="7E087E9F" w:rsidR="006D2A59" w:rsidRPr="00576180" w:rsidRDefault="006D2A59" w:rsidP="006D2A59">
            <w:pPr>
              <w:jc w:val="both"/>
              <w:rPr>
                <w:rFonts w:ascii="Arial" w:hAnsi="Arial" w:cs="Arial"/>
                <w:sz w:val="18"/>
                <w:szCs w:val="18"/>
                <w:highlight w:val="yellow"/>
              </w:rPr>
            </w:pPr>
            <w:r w:rsidRPr="00576180">
              <w:rPr>
                <w:rFonts w:ascii="Arial" w:hAnsi="Arial" w:cs="Arial"/>
                <w:sz w:val="18"/>
                <w:szCs w:val="18"/>
              </w:rPr>
              <w:t xml:space="preserve">2.9 Cobertura de </w:t>
            </w:r>
            <w:proofErr w:type="spellStart"/>
            <w:r w:rsidRPr="00576180">
              <w:rPr>
                <w:rFonts w:ascii="Arial" w:hAnsi="Arial" w:cs="Arial"/>
                <w:sz w:val="18"/>
                <w:szCs w:val="18"/>
              </w:rPr>
              <w:t>PpR</w:t>
            </w:r>
            <w:proofErr w:type="spellEnd"/>
            <w:r w:rsidRPr="00576180">
              <w:rPr>
                <w:rFonts w:ascii="Arial" w:hAnsi="Arial" w:cs="Arial"/>
                <w:sz w:val="18"/>
                <w:szCs w:val="18"/>
              </w:rPr>
              <w:t xml:space="preserve"> comparado con el total del gasto no financiero </w:t>
            </w:r>
            <w:r w:rsidRPr="00576180">
              <w:rPr>
                <w:rFonts w:ascii="Arial" w:hAnsi="Arial" w:cs="Arial"/>
                <w:sz w:val="18"/>
                <w:szCs w:val="18"/>
              </w:rPr>
              <w:lastRenderedPageBreak/>
              <w:t>ni previsional del presupuesto del gobierno general</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14:paraId="6F61E055"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lastRenderedPageBreak/>
              <w:t>%</w:t>
            </w:r>
          </w:p>
        </w:tc>
        <w:tc>
          <w:tcPr>
            <w:tcW w:w="245" w:type="pct"/>
            <w:vMerge w:val="restart"/>
            <w:tcBorders>
              <w:top w:val="single" w:sz="4" w:space="0" w:color="auto"/>
              <w:left w:val="single" w:sz="4" w:space="0" w:color="auto"/>
              <w:bottom w:val="single" w:sz="4" w:space="0" w:color="auto"/>
              <w:right w:val="single" w:sz="4" w:space="0" w:color="auto"/>
            </w:tcBorders>
            <w:vAlign w:val="center"/>
          </w:tcPr>
          <w:p w14:paraId="18E81F68"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13</w:t>
            </w:r>
          </w:p>
        </w:tc>
        <w:tc>
          <w:tcPr>
            <w:tcW w:w="287" w:type="pct"/>
            <w:vMerge w:val="restart"/>
            <w:tcBorders>
              <w:top w:val="single" w:sz="4" w:space="0" w:color="auto"/>
              <w:left w:val="single" w:sz="4" w:space="0" w:color="auto"/>
              <w:bottom w:val="single" w:sz="4" w:space="0" w:color="auto"/>
              <w:right w:val="single" w:sz="4" w:space="0" w:color="auto"/>
            </w:tcBorders>
            <w:vAlign w:val="center"/>
          </w:tcPr>
          <w:p w14:paraId="1C099C72"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2009</w:t>
            </w:r>
          </w:p>
        </w:tc>
        <w:tc>
          <w:tcPr>
            <w:tcW w:w="286" w:type="pct"/>
            <w:tcBorders>
              <w:top w:val="single" w:sz="4" w:space="0" w:color="auto"/>
              <w:left w:val="single" w:sz="4" w:space="0" w:color="auto"/>
              <w:bottom w:val="single" w:sz="4" w:space="0" w:color="auto"/>
              <w:right w:val="single" w:sz="4" w:space="0" w:color="auto"/>
            </w:tcBorders>
            <w:vAlign w:val="center"/>
            <w:hideMark/>
          </w:tcPr>
          <w:p w14:paraId="37C375B7"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P</w:t>
            </w:r>
          </w:p>
        </w:tc>
        <w:tc>
          <w:tcPr>
            <w:tcW w:w="286" w:type="pct"/>
            <w:tcBorders>
              <w:top w:val="single" w:sz="4" w:space="0" w:color="auto"/>
              <w:left w:val="single" w:sz="4" w:space="0" w:color="auto"/>
              <w:bottom w:val="single" w:sz="4" w:space="0" w:color="auto"/>
              <w:right w:val="single" w:sz="4" w:space="0" w:color="auto"/>
            </w:tcBorders>
            <w:vAlign w:val="center"/>
          </w:tcPr>
          <w:p w14:paraId="6087BF13" w14:textId="77777777" w:rsidR="006D2A59" w:rsidRPr="00576180" w:rsidRDefault="006D2A59" w:rsidP="006D2A59">
            <w:pPr>
              <w:jc w:val="center"/>
              <w:rPr>
                <w:rFonts w:ascii="Arial" w:hAnsi="Arial" w:cs="Arial"/>
                <w:sz w:val="18"/>
                <w:szCs w:val="18"/>
              </w:rPr>
            </w:pPr>
          </w:p>
        </w:tc>
        <w:tc>
          <w:tcPr>
            <w:tcW w:w="287" w:type="pct"/>
            <w:tcBorders>
              <w:top w:val="single" w:sz="4" w:space="0" w:color="auto"/>
              <w:left w:val="single" w:sz="4" w:space="0" w:color="auto"/>
              <w:bottom w:val="single" w:sz="4" w:space="0" w:color="auto"/>
              <w:right w:val="single" w:sz="4" w:space="0" w:color="auto"/>
            </w:tcBorders>
            <w:vAlign w:val="center"/>
          </w:tcPr>
          <w:p w14:paraId="52BA34B0"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38</w:t>
            </w:r>
          </w:p>
        </w:tc>
        <w:tc>
          <w:tcPr>
            <w:tcW w:w="286" w:type="pct"/>
            <w:tcBorders>
              <w:top w:val="single" w:sz="4" w:space="0" w:color="auto"/>
              <w:left w:val="single" w:sz="4" w:space="0" w:color="auto"/>
              <w:bottom w:val="single" w:sz="4" w:space="0" w:color="auto"/>
              <w:right w:val="single" w:sz="4" w:space="0" w:color="auto"/>
            </w:tcBorders>
            <w:vAlign w:val="center"/>
          </w:tcPr>
          <w:p w14:paraId="4C841649" w14:textId="77777777" w:rsidR="006D2A59" w:rsidRPr="00576180" w:rsidRDefault="006D2A59"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vAlign w:val="center"/>
          </w:tcPr>
          <w:p w14:paraId="0257B9E7" w14:textId="77777777" w:rsidR="006D2A59" w:rsidRPr="00576180" w:rsidRDefault="006D2A59" w:rsidP="006D2A59">
            <w:pPr>
              <w:jc w:val="center"/>
              <w:rPr>
                <w:rFonts w:ascii="Arial" w:hAnsi="Arial" w:cs="Arial"/>
                <w:sz w:val="18"/>
                <w:szCs w:val="18"/>
              </w:rPr>
            </w:pPr>
          </w:p>
        </w:tc>
        <w:tc>
          <w:tcPr>
            <w:tcW w:w="370" w:type="pct"/>
            <w:vMerge w:val="restart"/>
            <w:tcBorders>
              <w:top w:val="single" w:sz="4" w:space="0" w:color="auto"/>
              <w:left w:val="single" w:sz="4" w:space="0" w:color="auto"/>
              <w:right w:val="single" w:sz="4" w:space="0" w:color="auto"/>
            </w:tcBorders>
            <w:vAlign w:val="center"/>
          </w:tcPr>
          <w:p w14:paraId="213AF437"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100%</w:t>
            </w:r>
          </w:p>
        </w:tc>
        <w:tc>
          <w:tcPr>
            <w:tcW w:w="656" w:type="pct"/>
            <w:vMerge w:val="restart"/>
            <w:tcBorders>
              <w:top w:val="single" w:sz="4" w:space="0" w:color="auto"/>
              <w:left w:val="single" w:sz="4" w:space="0" w:color="auto"/>
              <w:bottom w:val="single" w:sz="4" w:space="0" w:color="auto"/>
              <w:right w:val="single" w:sz="4" w:space="0" w:color="auto"/>
            </w:tcBorders>
            <w:vAlign w:val="center"/>
            <w:hideMark/>
          </w:tcPr>
          <w:p w14:paraId="6DB7A557" w14:textId="01A3CF33" w:rsidR="006D2A59" w:rsidRPr="00576180" w:rsidRDefault="006D2A59" w:rsidP="006D2A59">
            <w:r w:rsidRPr="00576180">
              <w:rPr>
                <w:rFonts w:ascii="Arial" w:hAnsi="Arial" w:cs="Arial"/>
                <w:sz w:val="18"/>
                <w:szCs w:val="18"/>
              </w:rPr>
              <w:t xml:space="preserve">Dirección de Calidad del </w:t>
            </w:r>
            <w:r w:rsidRPr="00576180">
              <w:rPr>
                <w:rFonts w:ascii="Arial" w:hAnsi="Arial" w:cs="Arial"/>
                <w:sz w:val="18"/>
                <w:szCs w:val="18"/>
              </w:rPr>
              <w:lastRenderedPageBreak/>
              <w:t>Gasto Público – MEF.</w:t>
            </w:r>
          </w:p>
        </w:tc>
      </w:tr>
      <w:tr w:rsidR="002134DA" w:rsidRPr="00576180" w14:paraId="44E0BD94" w14:textId="77777777" w:rsidTr="002134DA">
        <w:trPr>
          <w:gridAfter w:val="1"/>
          <w:wAfter w:w="5" w:type="pct"/>
          <w:trHeight w:val="449"/>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21EAF7B6" w14:textId="77777777" w:rsidR="006D2A59" w:rsidRPr="00576180" w:rsidRDefault="006D2A59" w:rsidP="006D2A59">
            <w:pPr>
              <w:rPr>
                <w:rFonts w:ascii="Arial" w:hAnsi="Arial" w:cs="Arial"/>
                <w:sz w:val="18"/>
                <w:szCs w:val="18"/>
                <w:highlight w:val="yellow"/>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4E2DB99D" w14:textId="77777777" w:rsidR="006D2A59" w:rsidRPr="00576180" w:rsidRDefault="006D2A59"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tcPr>
          <w:p w14:paraId="4B36943A" w14:textId="77777777" w:rsidR="006D2A59" w:rsidRPr="00576180" w:rsidRDefault="006D2A59"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07E146E5" w14:textId="77777777" w:rsidR="006D2A59" w:rsidRPr="00576180" w:rsidRDefault="006D2A59"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68698027"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P(a)</w:t>
            </w:r>
          </w:p>
        </w:tc>
        <w:tc>
          <w:tcPr>
            <w:tcW w:w="286" w:type="pct"/>
            <w:tcBorders>
              <w:top w:val="single" w:sz="4" w:space="0" w:color="auto"/>
              <w:left w:val="single" w:sz="4" w:space="0" w:color="auto"/>
              <w:bottom w:val="single" w:sz="4" w:space="0" w:color="auto"/>
              <w:right w:val="single" w:sz="4" w:space="0" w:color="auto"/>
            </w:tcBorders>
            <w:vAlign w:val="center"/>
          </w:tcPr>
          <w:p w14:paraId="32664484" w14:textId="77777777" w:rsidR="006D2A59" w:rsidRPr="00576180" w:rsidRDefault="006D2A59" w:rsidP="006D2A59">
            <w:pPr>
              <w:jc w:val="center"/>
              <w:rPr>
                <w:rFonts w:ascii="Arial" w:hAnsi="Arial" w:cs="Arial"/>
                <w:sz w:val="18"/>
                <w:szCs w:val="18"/>
              </w:rPr>
            </w:pPr>
          </w:p>
        </w:tc>
        <w:tc>
          <w:tcPr>
            <w:tcW w:w="287" w:type="pct"/>
            <w:tcBorders>
              <w:top w:val="single" w:sz="4" w:space="0" w:color="auto"/>
              <w:left w:val="single" w:sz="4" w:space="0" w:color="auto"/>
              <w:bottom w:val="single" w:sz="4" w:space="0" w:color="auto"/>
              <w:right w:val="single" w:sz="4" w:space="0" w:color="auto"/>
            </w:tcBorders>
            <w:vAlign w:val="center"/>
          </w:tcPr>
          <w:p w14:paraId="185F4875"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38</w:t>
            </w:r>
          </w:p>
        </w:tc>
        <w:tc>
          <w:tcPr>
            <w:tcW w:w="286" w:type="pct"/>
            <w:tcBorders>
              <w:top w:val="single" w:sz="4" w:space="0" w:color="auto"/>
              <w:left w:val="single" w:sz="4" w:space="0" w:color="auto"/>
              <w:bottom w:val="single" w:sz="4" w:space="0" w:color="auto"/>
              <w:right w:val="single" w:sz="4" w:space="0" w:color="auto"/>
            </w:tcBorders>
            <w:vAlign w:val="center"/>
          </w:tcPr>
          <w:p w14:paraId="1A6B7571" w14:textId="77777777" w:rsidR="006D2A59" w:rsidRPr="00576180" w:rsidRDefault="006D2A59" w:rsidP="006D2A59">
            <w:pPr>
              <w:jc w:val="center"/>
              <w:rPr>
                <w:rFonts w:ascii="Arial" w:hAnsi="Arial" w:cs="Arial"/>
                <w:sz w:val="18"/>
                <w:szCs w:val="18"/>
              </w:rPr>
            </w:pPr>
          </w:p>
        </w:tc>
        <w:tc>
          <w:tcPr>
            <w:tcW w:w="327" w:type="pct"/>
            <w:tcBorders>
              <w:top w:val="single" w:sz="4" w:space="0" w:color="auto"/>
              <w:left w:val="single" w:sz="4" w:space="0" w:color="auto"/>
              <w:bottom w:val="single" w:sz="4" w:space="0" w:color="auto"/>
              <w:right w:val="single" w:sz="4" w:space="0" w:color="auto"/>
            </w:tcBorders>
            <w:vAlign w:val="center"/>
          </w:tcPr>
          <w:p w14:paraId="278527B9" w14:textId="77777777" w:rsidR="006D2A59" w:rsidRPr="00576180" w:rsidRDefault="006D2A59" w:rsidP="006D2A59">
            <w:pPr>
              <w:jc w:val="center"/>
              <w:rPr>
                <w:rFonts w:ascii="Arial" w:hAnsi="Arial" w:cs="Arial"/>
                <w:sz w:val="18"/>
                <w:szCs w:val="18"/>
              </w:rPr>
            </w:pPr>
          </w:p>
        </w:tc>
        <w:tc>
          <w:tcPr>
            <w:tcW w:w="370" w:type="pct"/>
            <w:vMerge/>
            <w:tcBorders>
              <w:left w:val="single" w:sz="4" w:space="0" w:color="auto"/>
              <w:right w:val="single" w:sz="4" w:space="0" w:color="auto"/>
            </w:tcBorders>
            <w:vAlign w:val="center"/>
          </w:tcPr>
          <w:p w14:paraId="6CB846BF" w14:textId="77777777" w:rsidR="006D2A59" w:rsidRPr="00576180" w:rsidRDefault="006D2A59" w:rsidP="006D2A59">
            <w:pPr>
              <w:rPr>
                <w:rFonts w:ascii="Arial" w:hAnsi="Arial" w:cs="Arial"/>
                <w:sz w:val="18"/>
                <w:szCs w:val="18"/>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14:paraId="747EF097" w14:textId="77777777" w:rsidR="006D2A59" w:rsidRPr="00576180" w:rsidRDefault="006D2A59" w:rsidP="006D2A59">
            <w:pPr>
              <w:rPr>
                <w:rFonts w:ascii="Arial" w:hAnsi="Arial" w:cs="Arial"/>
                <w:sz w:val="18"/>
                <w:szCs w:val="18"/>
                <w:highlight w:val="yellow"/>
              </w:rPr>
            </w:pPr>
          </w:p>
        </w:tc>
      </w:tr>
      <w:tr w:rsidR="002134DA" w:rsidRPr="00576180" w14:paraId="30A52C4C" w14:textId="77777777" w:rsidTr="002134DA">
        <w:trPr>
          <w:gridAfter w:val="1"/>
          <w:wAfter w:w="5" w:type="pct"/>
          <w:trHeight w:val="683"/>
        </w:trPr>
        <w:tc>
          <w:tcPr>
            <w:tcW w:w="1351" w:type="pct"/>
            <w:vMerge/>
            <w:tcBorders>
              <w:top w:val="single" w:sz="4" w:space="0" w:color="auto"/>
              <w:left w:val="single" w:sz="4" w:space="0" w:color="auto"/>
              <w:bottom w:val="single" w:sz="4" w:space="0" w:color="auto"/>
              <w:right w:val="single" w:sz="4" w:space="0" w:color="auto"/>
            </w:tcBorders>
            <w:vAlign w:val="center"/>
            <w:hideMark/>
          </w:tcPr>
          <w:p w14:paraId="7CD59FD1" w14:textId="77777777" w:rsidR="006D2A59" w:rsidRPr="00576180" w:rsidRDefault="006D2A59" w:rsidP="006D2A59">
            <w:pPr>
              <w:rPr>
                <w:rFonts w:ascii="Arial" w:hAnsi="Arial" w:cs="Arial"/>
                <w:sz w:val="18"/>
                <w:szCs w:val="18"/>
                <w:highlight w:val="yellow"/>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2A6118F3" w14:textId="77777777" w:rsidR="006D2A59" w:rsidRPr="00576180" w:rsidRDefault="006D2A59" w:rsidP="006D2A59">
            <w:pPr>
              <w:rPr>
                <w:rFonts w:ascii="Arial" w:hAnsi="Arial" w:cs="Arial"/>
                <w:sz w:val="18"/>
                <w:szCs w:val="18"/>
              </w:rPr>
            </w:pPr>
          </w:p>
        </w:tc>
        <w:tc>
          <w:tcPr>
            <w:tcW w:w="245" w:type="pct"/>
            <w:vMerge/>
            <w:tcBorders>
              <w:top w:val="single" w:sz="4" w:space="0" w:color="auto"/>
              <w:left w:val="single" w:sz="4" w:space="0" w:color="auto"/>
              <w:bottom w:val="single" w:sz="4" w:space="0" w:color="auto"/>
              <w:right w:val="single" w:sz="4" w:space="0" w:color="auto"/>
            </w:tcBorders>
            <w:vAlign w:val="center"/>
          </w:tcPr>
          <w:p w14:paraId="6A06FE36" w14:textId="77777777" w:rsidR="006D2A59" w:rsidRPr="00576180" w:rsidRDefault="006D2A59" w:rsidP="006D2A59">
            <w:pPr>
              <w:rPr>
                <w:rFonts w:ascii="Arial" w:hAnsi="Arial" w:cs="Arial"/>
                <w:sz w:val="18"/>
                <w:szCs w:val="18"/>
              </w:rPr>
            </w:pPr>
          </w:p>
        </w:tc>
        <w:tc>
          <w:tcPr>
            <w:tcW w:w="287" w:type="pct"/>
            <w:vMerge/>
            <w:tcBorders>
              <w:top w:val="single" w:sz="4" w:space="0" w:color="auto"/>
              <w:left w:val="single" w:sz="4" w:space="0" w:color="auto"/>
              <w:bottom w:val="single" w:sz="4" w:space="0" w:color="auto"/>
              <w:right w:val="single" w:sz="4" w:space="0" w:color="auto"/>
            </w:tcBorders>
            <w:vAlign w:val="center"/>
          </w:tcPr>
          <w:p w14:paraId="295358F3" w14:textId="77777777" w:rsidR="006D2A59" w:rsidRPr="00576180" w:rsidRDefault="006D2A59" w:rsidP="006D2A59">
            <w:pPr>
              <w:rPr>
                <w:rFonts w:ascii="Arial" w:hAnsi="Arial" w:cs="Arial"/>
                <w:sz w:val="18"/>
                <w:szCs w:val="18"/>
              </w:rPr>
            </w:pPr>
          </w:p>
        </w:tc>
        <w:tc>
          <w:tcPr>
            <w:tcW w:w="286" w:type="pct"/>
            <w:tcBorders>
              <w:top w:val="single" w:sz="4" w:space="0" w:color="auto"/>
              <w:left w:val="single" w:sz="4" w:space="0" w:color="auto"/>
              <w:bottom w:val="single" w:sz="4" w:space="0" w:color="auto"/>
              <w:right w:val="single" w:sz="4" w:space="0" w:color="auto"/>
            </w:tcBorders>
            <w:vAlign w:val="center"/>
            <w:hideMark/>
          </w:tcPr>
          <w:p w14:paraId="7D883B5D" w14:textId="77777777" w:rsidR="006D2A59" w:rsidRPr="00576180" w:rsidRDefault="006D2A59" w:rsidP="006D2A59">
            <w:pPr>
              <w:jc w:val="center"/>
              <w:rPr>
                <w:rFonts w:ascii="Arial" w:hAnsi="Arial" w:cs="Arial"/>
                <w:sz w:val="18"/>
                <w:szCs w:val="18"/>
              </w:rPr>
            </w:pPr>
            <w:r w:rsidRPr="00576180">
              <w:rPr>
                <w:rFonts w:ascii="Arial" w:hAnsi="Arial" w:cs="Arial"/>
                <w:sz w:val="18"/>
                <w:szCs w:val="18"/>
              </w:rPr>
              <w:t>A</w:t>
            </w:r>
          </w:p>
        </w:tc>
        <w:tc>
          <w:tcPr>
            <w:tcW w:w="286" w:type="pct"/>
            <w:tcBorders>
              <w:top w:val="single" w:sz="4" w:space="0" w:color="auto"/>
              <w:left w:val="single" w:sz="4" w:space="0" w:color="auto"/>
              <w:bottom w:val="single" w:sz="4" w:space="0" w:color="auto"/>
              <w:right w:val="single" w:sz="4" w:space="0" w:color="auto"/>
            </w:tcBorders>
            <w:vAlign w:val="center"/>
          </w:tcPr>
          <w:p w14:paraId="6E5A5DDC" w14:textId="6068B477" w:rsidR="006D2A59" w:rsidRPr="00576180" w:rsidRDefault="006D2A59" w:rsidP="006D2A59">
            <w:pPr>
              <w:jc w:val="center"/>
              <w:rPr>
                <w:rFonts w:ascii="Arial" w:hAnsi="Arial" w:cs="Arial"/>
                <w:sz w:val="18"/>
                <w:szCs w:val="18"/>
              </w:rPr>
            </w:pPr>
            <w:r w:rsidRPr="00576180">
              <w:rPr>
                <w:rFonts w:ascii="Arial" w:hAnsi="Arial" w:cs="Arial"/>
                <w:sz w:val="18"/>
                <w:szCs w:val="18"/>
              </w:rPr>
              <w:t>58.2</w:t>
            </w:r>
          </w:p>
        </w:tc>
        <w:tc>
          <w:tcPr>
            <w:tcW w:w="287" w:type="pct"/>
            <w:tcBorders>
              <w:top w:val="single" w:sz="4" w:space="0" w:color="auto"/>
              <w:left w:val="single" w:sz="4" w:space="0" w:color="auto"/>
              <w:bottom w:val="single" w:sz="4" w:space="0" w:color="auto"/>
              <w:right w:val="single" w:sz="4" w:space="0" w:color="auto"/>
            </w:tcBorders>
            <w:vAlign w:val="center"/>
          </w:tcPr>
          <w:p w14:paraId="1BCFC386" w14:textId="0DA3B1AE" w:rsidR="006D2A59" w:rsidRPr="00576180" w:rsidRDefault="006D2A59" w:rsidP="006D2A59">
            <w:pPr>
              <w:jc w:val="center"/>
              <w:rPr>
                <w:rFonts w:ascii="Arial" w:hAnsi="Arial" w:cs="Arial"/>
                <w:sz w:val="18"/>
                <w:szCs w:val="18"/>
              </w:rPr>
            </w:pPr>
            <w:r w:rsidRPr="00576180">
              <w:rPr>
                <w:rFonts w:ascii="Arial" w:hAnsi="Arial" w:cs="Arial"/>
                <w:sz w:val="18"/>
                <w:szCs w:val="18"/>
              </w:rPr>
              <w:t>66.</w:t>
            </w:r>
            <w:r w:rsidR="00E05A08" w:rsidRPr="00576180">
              <w:rPr>
                <w:rFonts w:ascii="Arial" w:hAnsi="Arial" w:cs="Arial"/>
                <w:sz w:val="18"/>
                <w:szCs w:val="18"/>
              </w:rPr>
              <w:t>6</w:t>
            </w:r>
          </w:p>
        </w:tc>
        <w:tc>
          <w:tcPr>
            <w:tcW w:w="286" w:type="pct"/>
            <w:tcBorders>
              <w:top w:val="single" w:sz="4" w:space="0" w:color="auto"/>
              <w:left w:val="single" w:sz="4" w:space="0" w:color="auto"/>
              <w:bottom w:val="single" w:sz="4" w:space="0" w:color="auto"/>
              <w:right w:val="single" w:sz="4" w:space="0" w:color="auto"/>
            </w:tcBorders>
            <w:vAlign w:val="center"/>
          </w:tcPr>
          <w:p w14:paraId="0C8CB63D" w14:textId="5F78E54A" w:rsidR="006D2A59" w:rsidRPr="00576180" w:rsidRDefault="006D2A59" w:rsidP="006D2A59">
            <w:pPr>
              <w:jc w:val="center"/>
              <w:rPr>
                <w:rFonts w:ascii="Arial" w:hAnsi="Arial" w:cs="Arial"/>
                <w:sz w:val="18"/>
                <w:szCs w:val="18"/>
              </w:rPr>
            </w:pPr>
            <w:r w:rsidRPr="00576180">
              <w:rPr>
                <w:rFonts w:ascii="Arial" w:hAnsi="Arial" w:cs="Arial"/>
                <w:sz w:val="18"/>
                <w:szCs w:val="18"/>
              </w:rPr>
              <w:t>70.</w:t>
            </w:r>
            <w:r w:rsidR="00E05A08" w:rsidRPr="00576180">
              <w:rPr>
                <w:rFonts w:ascii="Arial" w:hAnsi="Arial" w:cs="Arial"/>
                <w:sz w:val="18"/>
                <w:szCs w:val="18"/>
              </w:rPr>
              <w:t>9</w:t>
            </w:r>
          </w:p>
        </w:tc>
        <w:tc>
          <w:tcPr>
            <w:tcW w:w="327" w:type="pct"/>
            <w:tcBorders>
              <w:top w:val="single" w:sz="4" w:space="0" w:color="auto"/>
              <w:left w:val="single" w:sz="4" w:space="0" w:color="auto"/>
              <w:bottom w:val="single" w:sz="4" w:space="0" w:color="auto"/>
              <w:right w:val="single" w:sz="4" w:space="0" w:color="auto"/>
            </w:tcBorders>
            <w:vAlign w:val="center"/>
          </w:tcPr>
          <w:p w14:paraId="0D37EB60" w14:textId="4741CF43" w:rsidR="006D2A59" w:rsidRPr="00576180" w:rsidRDefault="006D2A59" w:rsidP="006D2A59">
            <w:pPr>
              <w:jc w:val="center"/>
              <w:rPr>
                <w:rFonts w:ascii="Arial" w:hAnsi="Arial" w:cs="Arial"/>
                <w:sz w:val="18"/>
                <w:szCs w:val="18"/>
              </w:rPr>
            </w:pPr>
            <w:r w:rsidRPr="00576180">
              <w:rPr>
                <w:rFonts w:ascii="Arial" w:hAnsi="Arial" w:cs="Arial"/>
                <w:sz w:val="18"/>
                <w:szCs w:val="18"/>
              </w:rPr>
              <w:t>71.</w:t>
            </w:r>
            <w:r w:rsidR="00E05A08" w:rsidRPr="00576180">
              <w:rPr>
                <w:rFonts w:ascii="Arial" w:hAnsi="Arial" w:cs="Arial"/>
                <w:sz w:val="18"/>
                <w:szCs w:val="18"/>
              </w:rPr>
              <w:t>6</w:t>
            </w:r>
          </w:p>
        </w:tc>
        <w:tc>
          <w:tcPr>
            <w:tcW w:w="370" w:type="pct"/>
            <w:vMerge/>
            <w:tcBorders>
              <w:left w:val="single" w:sz="4" w:space="0" w:color="auto"/>
              <w:bottom w:val="single" w:sz="4" w:space="0" w:color="auto"/>
              <w:right w:val="single" w:sz="4" w:space="0" w:color="auto"/>
            </w:tcBorders>
            <w:vAlign w:val="center"/>
          </w:tcPr>
          <w:p w14:paraId="770C15D5" w14:textId="77777777" w:rsidR="006D2A59" w:rsidRPr="00576180" w:rsidRDefault="006D2A59" w:rsidP="006D2A59">
            <w:pPr>
              <w:rPr>
                <w:rFonts w:ascii="Arial" w:hAnsi="Arial" w:cs="Arial"/>
                <w:sz w:val="18"/>
                <w:szCs w:val="18"/>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14:paraId="25AE7402" w14:textId="77777777" w:rsidR="006D2A59" w:rsidRPr="00576180" w:rsidRDefault="006D2A59" w:rsidP="006D2A59">
            <w:pPr>
              <w:rPr>
                <w:rFonts w:ascii="Arial" w:hAnsi="Arial" w:cs="Arial"/>
                <w:sz w:val="18"/>
                <w:szCs w:val="18"/>
                <w:highlight w:val="yellow"/>
              </w:rPr>
            </w:pPr>
          </w:p>
        </w:tc>
      </w:tr>
    </w:tbl>
    <w:bookmarkEnd w:id="138"/>
    <w:p w14:paraId="585CA497" w14:textId="2D293F22" w:rsidR="00694E12" w:rsidRPr="00576180" w:rsidRDefault="00EA345A" w:rsidP="007D1EE6">
      <w:pPr>
        <w:spacing w:after="0"/>
        <w:rPr>
          <w:rFonts w:ascii="Arial" w:eastAsia="Times New Roman" w:hAnsi="Arial" w:cs="Arial"/>
          <w:color w:val="000000"/>
          <w:sz w:val="18"/>
          <w:szCs w:val="18"/>
          <w:lang w:eastAsia="pt-BR"/>
        </w:rPr>
      </w:pPr>
      <w:r w:rsidRPr="00576180">
        <w:rPr>
          <w:rFonts w:ascii="Arial" w:eastAsia="Times New Roman" w:hAnsi="Arial" w:cs="Arial"/>
          <w:color w:val="000000"/>
          <w:sz w:val="18"/>
          <w:szCs w:val="18"/>
          <w:lang w:eastAsia="pt-BR"/>
        </w:rPr>
        <w:t>Fuente: Convergencia.</w:t>
      </w:r>
    </w:p>
    <w:p w14:paraId="4D782F43" w14:textId="293E13FC" w:rsidR="00E44B5C" w:rsidRPr="00576180" w:rsidRDefault="00EE2489" w:rsidP="00E05A08">
      <w:pPr>
        <w:spacing w:after="0"/>
        <w:rPr>
          <w:rFonts w:ascii="Arial" w:eastAsia="Times New Roman" w:hAnsi="Arial" w:cs="Arial"/>
          <w:color w:val="000000"/>
          <w:sz w:val="18"/>
          <w:szCs w:val="18"/>
          <w:lang w:eastAsia="pt-BR"/>
        </w:rPr>
      </w:pPr>
      <w:r w:rsidRPr="00576180">
        <w:rPr>
          <w:rFonts w:ascii="Arial" w:eastAsia="Times New Roman" w:hAnsi="Arial" w:cs="Arial"/>
          <w:color w:val="000000"/>
          <w:sz w:val="18"/>
          <w:szCs w:val="18"/>
          <w:lang w:eastAsia="pt-BR"/>
        </w:rPr>
        <w:t>*/ M = millones.</w:t>
      </w:r>
    </w:p>
    <w:p w14:paraId="4D917600" w14:textId="77777777" w:rsidR="00E05A08" w:rsidRPr="00576180" w:rsidRDefault="00E05A08" w:rsidP="00E05A08">
      <w:pPr>
        <w:spacing w:after="0"/>
        <w:rPr>
          <w:rFonts w:ascii="Arial" w:eastAsia="Times New Roman" w:hAnsi="Arial" w:cs="Arial"/>
          <w:color w:val="000000"/>
          <w:sz w:val="18"/>
          <w:szCs w:val="18"/>
          <w:lang w:eastAsia="pt-BR"/>
        </w:rPr>
      </w:pPr>
    </w:p>
    <w:p w14:paraId="09781CAF" w14:textId="3783AD4C" w:rsidR="00E44B5C" w:rsidRPr="00576180" w:rsidRDefault="00E44B5C" w:rsidP="00843322">
      <w:pPr>
        <w:keepNext/>
        <w:spacing w:after="0"/>
        <w:jc w:val="center"/>
        <w:rPr>
          <w:rFonts w:ascii="Arial" w:eastAsia="Times New Roman" w:hAnsi="Arial" w:cs="Arial"/>
          <w:color w:val="000000"/>
          <w:sz w:val="20"/>
          <w:szCs w:val="20"/>
          <w:lang w:eastAsia="pt-BR"/>
        </w:rPr>
      </w:pPr>
      <w:r w:rsidRPr="00576180">
        <w:rPr>
          <w:rFonts w:ascii="Arial" w:eastAsiaTheme="majorEastAsia" w:hAnsi="Arial" w:cs="Arial"/>
          <w:b/>
          <w:bCs/>
          <w:sz w:val="20"/>
          <w:szCs w:val="20"/>
        </w:rPr>
        <w:t>Tabla 5</w:t>
      </w:r>
      <w:r w:rsidR="00E05A08" w:rsidRPr="00576180">
        <w:rPr>
          <w:rFonts w:ascii="Arial" w:eastAsiaTheme="majorEastAsia" w:hAnsi="Arial" w:cs="Arial"/>
          <w:b/>
          <w:bCs/>
          <w:sz w:val="20"/>
          <w:szCs w:val="20"/>
        </w:rPr>
        <w:t xml:space="preserve">. </w:t>
      </w:r>
      <w:r w:rsidRPr="00576180">
        <w:rPr>
          <w:rFonts w:ascii="Arial" w:eastAsiaTheme="majorEastAsia" w:hAnsi="Arial" w:cs="Arial"/>
          <w:b/>
          <w:bCs/>
          <w:sz w:val="20"/>
          <w:szCs w:val="20"/>
        </w:rPr>
        <w:t>Contribución de los productos al logro de los resultados</w:t>
      </w:r>
    </w:p>
    <w:tbl>
      <w:tblPr>
        <w:tblW w:w="1053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2210"/>
        <w:gridCol w:w="801"/>
        <w:gridCol w:w="901"/>
        <w:gridCol w:w="6043"/>
      </w:tblGrid>
      <w:tr w:rsidR="006403E9" w:rsidRPr="00576180" w14:paraId="666DDBE0" w14:textId="77777777" w:rsidTr="00E44B5C">
        <w:trPr>
          <w:trHeight w:val="56"/>
          <w:tblHeader/>
        </w:trPr>
        <w:tc>
          <w:tcPr>
            <w:tcW w:w="580" w:type="dxa"/>
            <w:vMerge w:val="restart"/>
            <w:shd w:val="clear" w:color="auto" w:fill="BFBFBF" w:themeFill="background1" w:themeFillShade="BF"/>
            <w:vAlign w:val="center"/>
            <w:hideMark/>
          </w:tcPr>
          <w:p w14:paraId="1794D33C" w14:textId="77777777" w:rsidR="006403E9" w:rsidRPr="00576180" w:rsidRDefault="006403E9" w:rsidP="00D40B6B">
            <w:pPr>
              <w:spacing w:after="0" w:line="240" w:lineRule="auto"/>
              <w:jc w:val="center"/>
              <w:rPr>
                <w:rFonts w:ascii="Arial" w:hAnsi="Arial" w:cs="Arial"/>
                <w:b/>
                <w:bCs/>
                <w:sz w:val="18"/>
                <w:szCs w:val="18"/>
              </w:rPr>
            </w:pPr>
            <w:bookmarkStart w:id="139" w:name="_Hlk532982902"/>
            <w:r w:rsidRPr="00576180">
              <w:rPr>
                <w:rFonts w:ascii="Arial" w:hAnsi="Arial" w:cs="Arial"/>
                <w:b/>
                <w:bCs/>
                <w:sz w:val="18"/>
                <w:szCs w:val="18"/>
              </w:rPr>
              <w:t>PMR</w:t>
            </w:r>
          </w:p>
        </w:tc>
        <w:tc>
          <w:tcPr>
            <w:tcW w:w="2210" w:type="dxa"/>
            <w:vMerge w:val="restart"/>
            <w:shd w:val="clear" w:color="auto" w:fill="BFBFBF" w:themeFill="background1" w:themeFillShade="BF"/>
            <w:vAlign w:val="center"/>
            <w:hideMark/>
          </w:tcPr>
          <w:p w14:paraId="43785F9E" w14:textId="77777777" w:rsidR="006403E9" w:rsidRPr="00576180" w:rsidRDefault="006403E9" w:rsidP="00D40B6B">
            <w:pPr>
              <w:spacing w:after="0" w:line="240" w:lineRule="auto"/>
              <w:jc w:val="center"/>
              <w:rPr>
                <w:rFonts w:ascii="Arial" w:hAnsi="Arial" w:cs="Arial"/>
                <w:b/>
                <w:bCs/>
                <w:sz w:val="18"/>
                <w:szCs w:val="18"/>
              </w:rPr>
            </w:pPr>
            <w:r w:rsidRPr="00576180">
              <w:rPr>
                <w:rFonts w:ascii="Arial" w:hAnsi="Arial" w:cs="Arial"/>
                <w:b/>
                <w:bCs/>
                <w:sz w:val="18"/>
                <w:szCs w:val="18"/>
              </w:rPr>
              <w:t>Indicadores</w:t>
            </w:r>
          </w:p>
        </w:tc>
        <w:tc>
          <w:tcPr>
            <w:tcW w:w="801" w:type="dxa"/>
            <w:shd w:val="clear" w:color="auto" w:fill="BFBFBF" w:themeFill="background1" w:themeFillShade="BF"/>
            <w:vAlign w:val="bottom"/>
            <w:hideMark/>
          </w:tcPr>
          <w:p w14:paraId="7BF8FA6D" w14:textId="77777777" w:rsidR="006403E9" w:rsidRPr="00576180" w:rsidRDefault="006403E9" w:rsidP="00D40B6B">
            <w:pPr>
              <w:spacing w:after="0" w:line="240" w:lineRule="auto"/>
              <w:jc w:val="center"/>
              <w:rPr>
                <w:rFonts w:ascii="Arial" w:hAnsi="Arial" w:cs="Arial"/>
                <w:b/>
                <w:bCs/>
                <w:sz w:val="18"/>
                <w:szCs w:val="18"/>
              </w:rPr>
            </w:pPr>
            <w:r w:rsidRPr="00576180">
              <w:rPr>
                <w:rFonts w:ascii="Arial" w:hAnsi="Arial" w:cs="Arial"/>
                <w:b/>
                <w:bCs/>
                <w:sz w:val="18"/>
                <w:szCs w:val="18"/>
              </w:rPr>
              <w:t>P</w:t>
            </w:r>
          </w:p>
        </w:tc>
        <w:tc>
          <w:tcPr>
            <w:tcW w:w="901" w:type="dxa"/>
            <w:shd w:val="clear" w:color="auto" w:fill="BFBFBF" w:themeFill="background1" w:themeFillShade="BF"/>
            <w:vAlign w:val="bottom"/>
            <w:hideMark/>
          </w:tcPr>
          <w:p w14:paraId="19AC131F" w14:textId="77777777" w:rsidR="006403E9" w:rsidRPr="00576180" w:rsidRDefault="006403E9" w:rsidP="00D40B6B">
            <w:pPr>
              <w:spacing w:after="0" w:line="240" w:lineRule="auto"/>
              <w:jc w:val="center"/>
              <w:rPr>
                <w:rFonts w:ascii="Arial" w:hAnsi="Arial" w:cs="Arial"/>
                <w:b/>
                <w:bCs/>
                <w:sz w:val="18"/>
                <w:szCs w:val="18"/>
              </w:rPr>
            </w:pPr>
            <w:r w:rsidRPr="00576180">
              <w:rPr>
                <w:rFonts w:ascii="Arial" w:hAnsi="Arial" w:cs="Arial"/>
                <w:b/>
                <w:bCs/>
                <w:sz w:val="18"/>
                <w:szCs w:val="18"/>
              </w:rPr>
              <w:t>A</w:t>
            </w:r>
          </w:p>
        </w:tc>
        <w:tc>
          <w:tcPr>
            <w:tcW w:w="6043" w:type="dxa"/>
            <w:vMerge w:val="restart"/>
            <w:shd w:val="clear" w:color="auto" w:fill="BFBFBF" w:themeFill="background1" w:themeFillShade="BF"/>
            <w:vAlign w:val="center"/>
            <w:hideMark/>
          </w:tcPr>
          <w:p w14:paraId="796658E9" w14:textId="3CDE7818" w:rsidR="006403E9" w:rsidRPr="00576180" w:rsidRDefault="006403E9" w:rsidP="00D40B6B">
            <w:pPr>
              <w:spacing w:after="0" w:line="240" w:lineRule="auto"/>
              <w:jc w:val="center"/>
              <w:rPr>
                <w:rFonts w:ascii="Arial" w:hAnsi="Arial" w:cs="Arial"/>
                <w:b/>
                <w:bCs/>
                <w:sz w:val="18"/>
                <w:szCs w:val="18"/>
              </w:rPr>
            </w:pPr>
            <w:r w:rsidRPr="00576180">
              <w:rPr>
                <w:rFonts w:ascii="Arial" w:hAnsi="Arial" w:cs="Arial"/>
                <w:b/>
                <w:bCs/>
                <w:sz w:val="18"/>
                <w:szCs w:val="18"/>
              </w:rPr>
              <w:t>P</w:t>
            </w:r>
            <w:r w:rsidR="00843322" w:rsidRPr="00576180">
              <w:rPr>
                <w:rFonts w:ascii="Arial" w:hAnsi="Arial" w:cs="Arial"/>
                <w:b/>
                <w:bCs/>
                <w:sz w:val="18"/>
                <w:szCs w:val="18"/>
              </w:rPr>
              <w:t>roductos</w:t>
            </w:r>
            <w:r w:rsidRPr="00576180">
              <w:rPr>
                <w:rFonts w:ascii="Arial" w:hAnsi="Arial" w:cs="Arial"/>
                <w:b/>
                <w:bCs/>
                <w:sz w:val="18"/>
                <w:szCs w:val="18"/>
              </w:rPr>
              <w:t xml:space="preserve"> asociad</w:t>
            </w:r>
            <w:r w:rsidR="00843322" w:rsidRPr="00576180">
              <w:rPr>
                <w:rFonts w:ascii="Arial" w:hAnsi="Arial" w:cs="Arial"/>
                <w:b/>
                <w:bCs/>
                <w:sz w:val="18"/>
                <w:szCs w:val="18"/>
              </w:rPr>
              <w:t>o</w:t>
            </w:r>
            <w:r w:rsidRPr="00576180">
              <w:rPr>
                <w:rFonts w:ascii="Arial" w:hAnsi="Arial" w:cs="Arial"/>
                <w:b/>
                <w:bCs/>
                <w:sz w:val="18"/>
                <w:szCs w:val="18"/>
              </w:rPr>
              <w:t>s</w:t>
            </w:r>
          </w:p>
        </w:tc>
      </w:tr>
      <w:tr w:rsidR="006403E9" w:rsidRPr="00576180" w14:paraId="15DE36E3" w14:textId="77777777" w:rsidTr="00E44B5C">
        <w:trPr>
          <w:trHeight w:val="233"/>
          <w:tblHeader/>
        </w:trPr>
        <w:tc>
          <w:tcPr>
            <w:tcW w:w="580" w:type="dxa"/>
            <w:vMerge/>
            <w:vAlign w:val="center"/>
            <w:hideMark/>
          </w:tcPr>
          <w:p w14:paraId="1F991CAF" w14:textId="77777777" w:rsidR="006403E9" w:rsidRPr="00576180" w:rsidRDefault="006403E9" w:rsidP="00D40B6B">
            <w:pPr>
              <w:rPr>
                <w:rFonts w:ascii="Arial" w:eastAsia="Times New Roman" w:hAnsi="Arial" w:cs="Arial"/>
                <w:bCs/>
                <w:color w:val="000000"/>
                <w:sz w:val="18"/>
                <w:szCs w:val="18"/>
                <w:lang w:eastAsia="pt-BR"/>
              </w:rPr>
            </w:pPr>
          </w:p>
        </w:tc>
        <w:tc>
          <w:tcPr>
            <w:tcW w:w="2210" w:type="dxa"/>
            <w:vMerge/>
            <w:vAlign w:val="center"/>
            <w:hideMark/>
          </w:tcPr>
          <w:p w14:paraId="4FEE2629" w14:textId="77777777" w:rsidR="006403E9" w:rsidRPr="00576180" w:rsidRDefault="006403E9" w:rsidP="00D40B6B">
            <w:pPr>
              <w:rPr>
                <w:rFonts w:ascii="Arial" w:eastAsia="Times New Roman" w:hAnsi="Arial" w:cs="Arial"/>
                <w:bCs/>
                <w:color w:val="000000"/>
                <w:sz w:val="18"/>
                <w:szCs w:val="18"/>
                <w:lang w:eastAsia="pt-BR"/>
              </w:rPr>
            </w:pPr>
          </w:p>
        </w:tc>
        <w:tc>
          <w:tcPr>
            <w:tcW w:w="801" w:type="dxa"/>
            <w:shd w:val="clear" w:color="auto" w:fill="BFBFBF" w:themeFill="background1" w:themeFillShade="BF"/>
            <w:vAlign w:val="center"/>
            <w:hideMark/>
          </w:tcPr>
          <w:p w14:paraId="7E3AE2C2" w14:textId="77777777" w:rsidR="006403E9" w:rsidRPr="00576180" w:rsidRDefault="006403E9" w:rsidP="00D40B6B">
            <w:pPr>
              <w:jc w:val="center"/>
              <w:rPr>
                <w:rFonts w:ascii="Arial" w:eastAsia="Times New Roman" w:hAnsi="Arial" w:cs="Arial"/>
                <w:b/>
                <w:bCs/>
                <w:color w:val="000000"/>
                <w:sz w:val="18"/>
                <w:szCs w:val="18"/>
                <w:lang w:eastAsia="pt-BR"/>
              </w:rPr>
            </w:pPr>
            <w:r w:rsidRPr="00576180">
              <w:rPr>
                <w:rFonts w:ascii="Arial" w:eastAsia="Times New Roman" w:hAnsi="Arial" w:cs="Arial"/>
                <w:b/>
                <w:bCs/>
                <w:color w:val="000000"/>
                <w:sz w:val="18"/>
                <w:szCs w:val="18"/>
                <w:lang w:eastAsia="pt-BR"/>
              </w:rPr>
              <w:t>(EOP)</w:t>
            </w:r>
          </w:p>
        </w:tc>
        <w:tc>
          <w:tcPr>
            <w:tcW w:w="901" w:type="dxa"/>
            <w:shd w:val="clear" w:color="auto" w:fill="BFBFBF" w:themeFill="background1" w:themeFillShade="BF"/>
            <w:vAlign w:val="center"/>
            <w:hideMark/>
          </w:tcPr>
          <w:p w14:paraId="341A33F3" w14:textId="77777777" w:rsidR="006403E9" w:rsidRPr="00576180" w:rsidRDefault="006403E9" w:rsidP="00D40B6B">
            <w:pPr>
              <w:jc w:val="center"/>
              <w:rPr>
                <w:rFonts w:ascii="Arial" w:eastAsia="Times New Roman" w:hAnsi="Arial" w:cs="Arial"/>
                <w:b/>
                <w:bCs/>
                <w:color w:val="000000"/>
                <w:sz w:val="18"/>
                <w:szCs w:val="18"/>
                <w:lang w:eastAsia="pt-BR"/>
              </w:rPr>
            </w:pPr>
            <w:r w:rsidRPr="00576180">
              <w:rPr>
                <w:rFonts w:ascii="Arial" w:eastAsia="Times New Roman" w:hAnsi="Arial" w:cs="Arial"/>
                <w:b/>
                <w:bCs/>
                <w:color w:val="000000"/>
                <w:sz w:val="18"/>
                <w:szCs w:val="18"/>
                <w:lang w:eastAsia="pt-BR"/>
              </w:rPr>
              <w:t>(EOP)</w:t>
            </w:r>
          </w:p>
        </w:tc>
        <w:tc>
          <w:tcPr>
            <w:tcW w:w="6043" w:type="dxa"/>
            <w:vMerge/>
            <w:vAlign w:val="center"/>
            <w:hideMark/>
          </w:tcPr>
          <w:p w14:paraId="6C47B456" w14:textId="77777777" w:rsidR="006403E9" w:rsidRPr="00576180" w:rsidRDefault="006403E9" w:rsidP="00D40B6B">
            <w:pPr>
              <w:rPr>
                <w:rFonts w:ascii="Arial" w:eastAsia="Times New Roman" w:hAnsi="Arial" w:cs="Arial"/>
                <w:bCs/>
                <w:color w:val="000000"/>
                <w:sz w:val="18"/>
                <w:szCs w:val="18"/>
                <w:lang w:eastAsia="pt-BR"/>
              </w:rPr>
            </w:pPr>
          </w:p>
        </w:tc>
      </w:tr>
      <w:tr w:rsidR="006403E9" w:rsidRPr="00576180" w14:paraId="71642549" w14:textId="77777777" w:rsidTr="00E44B5C">
        <w:trPr>
          <w:trHeight w:val="50"/>
        </w:trPr>
        <w:tc>
          <w:tcPr>
            <w:tcW w:w="10535" w:type="dxa"/>
            <w:gridSpan w:val="5"/>
            <w:shd w:val="clear" w:color="auto" w:fill="D9D9D9" w:themeFill="background1" w:themeFillShade="D9"/>
            <w:noWrap/>
            <w:vAlign w:val="center"/>
          </w:tcPr>
          <w:p w14:paraId="08EC6ED2" w14:textId="37A709A8" w:rsidR="006403E9" w:rsidRPr="00576180" w:rsidRDefault="00735578" w:rsidP="00D40B6B">
            <w:pPr>
              <w:spacing w:after="0" w:line="240" w:lineRule="auto"/>
              <w:rPr>
                <w:rFonts w:ascii="Arial" w:hAnsi="Arial" w:cs="Arial"/>
                <w:b/>
                <w:sz w:val="18"/>
                <w:szCs w:val="18"/>
              </w:rPr>
            </w:pPr>
            <w:r w:rsidRPr="00576180">
              <w:rPr>
                <w:rFonts w:ascii="Arial" w:hAnsi="Arial" w:cs="Arial"/>
                <w:b/>
                <w:sz w:val="18"/>
                <w:szCs w:val="18"/>
              </w:rPr>
              <w:t xml:space="preserve">C1. </w:t>
            </w:r>
            <w:r w:rsidR="006403E9" w:rsidRPr="00576180">
              <w:rPr>
                <w:rFonts w:ascii="Arial" w:hAnsi="Arial" w:cs="Arial"/>
                <w:b/>
                <w:sz w:val="18"/>
                <w:szCs w:val="18"/>
              </w:rPr>
              <w:t>Modernización de los procesos y sistemas de gestión financiera pública</w:t>
            </w:r>
            <w:r w:rsidR="006403E9" w:rsidRPr="00576180">
              <w:rPr>
                <w:rFonts w:ascii="Arial" w:hAnsi="Arial" w:cs="Arial"/>
                <w:b/>
                <w:sz w:val="18"/>
                <w:szCs w:val="18"/>
              </w:rPr>
              <w:tab/>
            </w:r>
          </w:p>
        </w:tc>
      </w:tr>
      <w:tr w:rsidR="00A81639" w:rsidRPr="00576180" w14:paraId="27C85158" w14:textId="77777777" w:rsidTr="00E44B5C">
        <w:trPr>
          <w:trHeight w:val="1502"/>
        </w:trPr>
        <w:tc>
          <w:tcPr>
            <w:tcW w:w="580" w:type="dxa"/>
            <w:shd w:val="clear" w:color="auto" w:fill="auto"/>
            <w:noWrap/>
            <w:vAlign w:val="center"/>
          </w:tcPr>
          <w:p w14:paraId="29F747CC" w14:textId="13E1B0D4"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2.1</w:t>
            </w:r>
          </w:p>
        </w:tc>
        <w:tc>
          <w:tcPr>
            <w:tcW w:w="2210" w:type="dxa"/>
            <w:shd w:val="clear" w:color="000000" w:fill="FFFFFF"/>
            <w:vAlign w:val="center"/>
          </w:tcPr>
          <w:p w14:paraId="0E8A34B4" w14:textId="063F68C2" w:rsidR="00A81639" w:rsidRPr="00576180" w:rsidRDefault="00A81639" w:rsidP="00A81639">
            <w:pPr>
              <w:spacing w:after="0" w:line="240" w:lineRule="auto"/>
              <w:rPr>
                <w:rFonts w:ascii="Arial" w:hAnsi="Arial" w:cs="Arial"/>
                <w:color w:val="000000" w:themeColor="text1"/>
                <w:sz w:val="18"/>
                <w:szCs w:val="18"/>
              </w:rPr>
            </w:pPr>
            <w:r w:rsidRPr="00576180">
              <w:rPr>
                <w:rFonts w:ascii="Arial" w:hAnsi="Arial" w:cs="Arial"/>
                <w:color w:val="000000" w:themeColor="text1"/>
                <w:sz w:val="18"/>
                <w:szCs w:val="18"/>
              </w:rPr>
              <w:t>Calidad y puntualidad de los informes presupuestarios del ejercicio en curso (indicador 24 del PEFA 2009)</w:t>
            </w:r>
          </w:p>
        </w:tc>
        <w:tc>
          <w:tcPr>
            <w:tcW w:w="801" w:type="dxa"/>
            <w:shd w:val="clear" w:color="auto" w:fill="auto"/>
            <w:noWrap/>
            <w:vAlign w:val="center"/>
          </w:tcPr>
          <w:p w14:paraId="67149DD4"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B+</w:t>
            </w:r>
          </w:p>
          <w:p w14:paraId="1CF7AFF3"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(2009)</w:t>
            </w:r>
          </w:p>
        </w:tc>
        <w:tc>
          <w:tcPr>
            <w:tcW w:w="901" w:type="dxa"/>
            <w:shd w:val="clear" w:color="auto" w:fill="auto"/>
            <w:noWrap/>
            <w:vAlign w:val="center"/>
          </w:tcPr>
          <w:p w14:paraId="6525C043" w14:textId="1B4542B5"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0%</w:t>
            </w:r>
          </w:p>
          <w:p w14:paraId="744DB303"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(2017)</w:t>
            </w:r>
          </w:p>
        </w:tc>
        <w:tc>
          <w:tcPr>
            <w:tcW w:w="6043" w:type="dxa"/>
            <w:shd w:val="clear" w:color="000000" w:fill="FFFFFF"/>
            <w:vAlign w:val="center"/>
          </w:tcPr>
          <w:p w14:paraId="63D970C6" w14:textId="1D8DAD0A" w:rsidR="00A81639" w:rsidRPr="00576180" w:rsidRDefault="00A81639" w:rsidP="00A81639">
            <w:pPr>
              <w:spacing w:after="0" w:line="240" w:lineRule="auto"/>
              <w:jc w:val="both"/>
              <w:rPr>
                <w:rFonts w:ascii="Arial" w:eastAsiaTheme="majorEastAsia" w:hAnsi="Arial" w:cs="Arial"/>
                <w:bCs/>
                <w:sz w:val="18"/>
                <w:szCs w:val="18"/>
              </w:rPr>
            </w:pPr>
            <w:r>
              <w:rPr>
                <w:rFonts w:ascii="Arial" w:hAnsi="Arial" w:cs="Arial"/>
                <w:sz w:val="18"/>
                <w:szCs w:val="18"/>
              </w:rPr>
              <w:t>Aunque fue llevado a cabo una evaluación PEFA en 2016, el informe no fue aprobado y hecho disponible por el MEF, por lo tanto, no se pudo evaluar estos resultados.</w:t>
            </w:r>
            <w:r w:rsidR="0078032D">
              <w:rPr>
                <w:rFonts w:ascii="Arial" w:hAnsi="Arial" w:cs="Arial"/>
                <w:sz w:val="18"/>
                <w:szCs w:val="18"/>
              </w:rPr>
              <w:t xml:space="preserve"> A pesar de no contar con la evaluación del PEFA, el equipo del PCR constató que hubo mejoras en el indicador, pero no fue posible precisar de acuerdo con la metodología PEFA. </w:t>
            </w:r>
          </w:p>
        </w:tc>
      </w:tr>
      <w:tr w:rsidR="00A81639" w:rsidRPr="00576180" w14:paraId="725A22EB" w14:textId="77777777" w:rsidTr="00E44B5C">
        <w:trPr>
          <w:trHeight w:val="1213"/>
        </w:trPr>
        <w:tc>
          <w:tcPr>
            <w:tcW w:w="580" w:type="dxa"/>
            <w:shd w:val="clear" w:color="auto" w:fill="auto"/>
            <w:noWrap/>
            <w:vAlign w:val="center"/>
          </w:tcPr>
          <w:p w14:paraId="4AE568A5" w14:textId="54496F29"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2.2</w:t>
            </w:r>
          </w:p>
        </w:tc>
        <w:tc>
          <w:tcPr>
            <w:tcW w:w="2210" w:type="dxa"/>
            <w:shd w:val="clear" w:color="000000" w:fill="FFFFFF"/>
            <w:vAlign w:val="center"/>
          </w:tcPr>
          <w:p w14:paraId="5DEC6D50" w14:textId="405E8C76" w:rsidR="00A81639" w:rsidRPr="00576180" w:rsidRDefault="00A81639" w:rsidP="00A81639">
            <w:pPr>
              <w:spacing w:after="0" w:line="240" w:lineRule="auto"/>
              <w:rPr>
                <w:rFonts w:ascii="Arial" w:hAnsi="Arial" w:cs="Arial"/>
                <w:color w:val="000000" w:themeColor="text1"/>
                <w:sz w:val="18"/>
                <w:szCs w:val="18"/>
              </w:rPr>
            </w:pPr>
            <w:r w:rsidRPr="00576180">
              <w:rPr>
                <w:rFonts w:ascii="Arial" w:hAnsi="Arial" w:cs="Arial"/>
                <w:color w:val="000000" w:themeColor="text1"/>
                <w:sz w:val="18"/>
                <w:szCs w:val="18"/>
              </w:rPr>
              <w:t>Disponibilidad de información sobre los recursos recibidos por las unidades de prestación de servicios (indicador 23 del PEFA 2009)</w:t>
            </w:r>
          </w:p>
        </w:tc>
        <w:tc>
          <w:tcPr>
            <w:tcW w:w="801" w:type="dxa"/>
            <w:shd w:val="clear" w:color="auto" w:fill="auto"/>
            <w:noWrap/>
            <w:vAlign w:val="center"/>
          </w:tcPr>
          <w:p w14:paraId="522A7B11"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C</w:t>
            </w:r>
          </w:p>
          <w:p w14:paraId="42C00F52"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(2009)</w:t>
            </w:r>
          </w:p>
        </w:tc>
        <w:tc>
          <w:tcPr>
            <w:tcW w:w="901" w:type="dxa"/>
            <w:shd w:val="clear" w:color="auto" w:fill="auto"/>
            <w:noWrap/>
            <w:vAlign w:val="center"/>
          </w:tcPr>
          <w:p w14:paraId="5D1895F4" w14:textId="655A69AB" w:rsidR="00A81639" w:rsidRPr="00576180" w:rsidRDefault="00A81639" w:rsidP="00A81639">
            <w:pPr>
              <w:spacing w:after="0" w:line="240" w:lineRule="auto"/>
              <w:jc w:val="center"/>
              <w:rPr>
                <w:rFonts w:ascii="Arial" w:eastAsiaTheme="majorEastAsia" w:hAnsi="Arial" w:cs="Arial"/>
                <w:bCs/>
                <w:sz w:val="18"/>
                <w:szCs w:val="18"/>
              </w:rPr>
            </w:pPr>
            <w:r>
              <w:rPr>
                <w:rFonts w:ascii="Arial" w:eastAsiaTheme="majorEastAsia" w:hAnsi="Arial" w:cs="Arial"/>
                <w:bCs/>
                <w:sz w:val="18"/>
                <w:szCs w:val="18"/>
              </w:rPr>
              <w:t>0</w:t>
            </w:r>
            <w:r w:rsidRPr="00576180">
              <w:rPr>
                <w:rFonts w:ascii="Arial" w:eastAsiaTheme="majorEastAsia" w:hAnsi="Arial" w:cs="Arial"/>
                <w:bCs/>
                <w:sz w:val="18"/>
                <w:szCs w:val="18"/>
              </w:rPr>
              <w:t>%</w:t>
            </w:r>
          </w:p>
          <w:p w14:paraId="133D9154"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(2017)</w:t>
            </w:r>
          </w:p>
        </w:tc>
        <w:tc>
          <w:tcPr>
            <w:tcW w:w="6043" w:type="dxa"/>
            <w:shd w:val="clear" w:color="000000" w:fill="FFFFFF"/>
            <w:vAlign w:val="center"/>
          </w:tcPr>
          <w:p w14:paraId="3BFCF545" w14:textId="73A98144" w:rsidR="00A81639" w:rsidRPr="00576180" w:rsidRDefault="00A81639" w:rsidP="00A81639">
            <w:pPr>
              <w:spacing w:after="0" w:line="240" w:lineRule="auto"/>
              <w:jc w:val="both"/>
              <w:rPr>
                <w:rFonts w:ascii="Arial" w:eastAsiaTheme="majorEastAsia" w:hAnsi="Arial" w:cs="Arial"/>
                <w:bCs/>
                <w:sz w:val="18"/>
                <w:szCs w:val="18"/>
              </w:rPr>
            </w:pPr>
            <w:r>
              <w:rPr>
                <w:rFonts w:ascii="Arial" w:hAnsi="Arial" w:cs="Arial"/>
                <w:sz w:val="18"/>
                <w:szCs w:val="18"/>
              </w:rPr>
              <w:t>Aunque fue llevado a cabo una evaluación PEFA en 2016, el informe no fue aprobado y hecho disponible por el MEF, por lo tanto, no se pudo evaluar estos resultados.</w:t>
            </w:r>
            <w:r w:rsidR="0078032D">
              <w:rPr>
                <w:rFonts w:ascii="Arial" w:hAnsi="Arial" w:cs="Arial"/>
                <w:sz w:val="18"/>
                <w:szCs w:val="18"/>
              </w:rPr>
              <w:t xml:space="preserve"> A pesar de no contar con la evaluación del PEFA, el equipo del PCR constató que no hubo cambio en la clasificación.</w:t>
            </w:r>
          </w:p>
        </w:tc>
      </w:tr>
      <w:tr w:rsidR="00A81639" w:rsidRPr="00576180" w14:paraId="556A3047" w14:textId="77777777" w:rsidTr="00E44B5C">
        <w:trPr>
          <w:trHeight w:val="1502"/>
        </w:trPr>
        <w:tc>
          <w:tcPr>
            <w:tcW w:w="580" w:type="dxa"/>
            <w:shd w:val="clear" w:color="auto" w:fill="auto"/>
            <w:noWrap/>
            <w:vAlign w:val="center"/>
          </w:tcPr>
          <w:p w14:paraId="06FA7CD2" w14:textId="203A4FF0"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2.3</w:t>
            </w:r>
          </w:p>
        </w:tc>
        <w:tc>
          <w:tcPr>
            <w:tcW w:w="2210" w:type="dxa"/>
            <w:shd w:val="clear" w:color="000000" w:fill="FFFFFF"/>
            <w:vAlign w:val="center"/>
          </w:tcPr>
          <w:p w14:paraId="52934A0C" w14:textId="2CD69D55" w:rsidR="00A81639" w:rsidRPr="00576180" w:rsidRDefault="00A81639" w:rsidP="00A81639">
            <w:pPr>
              <w:spacing w:after="0" w:line="240" w:lineRule="auto"/>
              <w:rPr>
                <w:rFonts w:ascii="Arial" w:hAnsi="Arial" w:cs="Arial"/>
                <w:color w:val="000000" w:themeColor="text1"/>
                <w:sz w:val="18"/>
                <w:szCs w:val="18"/>
              </w:rPr>
            </w:pPr>
            <w:r w:rsidRPr="00576180">
              <w:rPr>
                <w:rFonts w:ascii="Arial" w:hAnsi="Arial" w:cs="Arial"/>
                <w:sz w:val="18"/>
                <w:szCs w:val="18"/>
              </w:rPr>
              <w:t>Gestión del saldo y seguimiento de los atrasos de pagos (indicador 4 del PEFA 2009)</w:t>
            </w:r>
          </w:p>
        </w:tc>
        <w:tc>
          <w:tcPr>
            <w:tcW w:w="801" w:type="dxa"/>
            <w:shd w:val="clear" w:color="auto" w:fill="auto"/>
            <w:noWrap/>
            <w:vAlign w:val="center"/>
          </w:tcPr>
          <w:p w14:paraId="778C8C51"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B+</w:t>
            </w:r>
          </w:p>
          <w:p w14:paraId="65EFF716"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(2009)</w:t>
            </w:r>
          </w:p>
        </w:tc>
        <w:tc>
          <w:tcPr>
            <w:tcW w:w="901" w:type="dxa"/>
            <w:shd w:val="clear" w:color="auto" w:fill="auto"/>
            <w:noWrap/>
            <w:vAlign w:val="center"/>
          </w:tcPr>
          <w:p w14:paraId="41E6E3FA" w14:textId="65FBD031" w:rsidR="00A81639" w:rsidRPr="00576180" w:rsidRDefault="00A81639" w:rsidP="00A81639">
            <w:pPr>
              <w:spacing w:after="0" w:line="240" w:lineRule="auto"/>
              <w:jc w:val="center"/>
              <w:rPr>
                <w:rFonts w:ascii="Arial" w:eastAsiaTheme="majorEastAsia" w:hAnsi="Arial" w:cs="Arial"/>
                <w:bCs/>
                <w:sz w:val="18"/>
                <w:szCs w:val="18"/>
              </w:rPr>
            </w:pPr>
            <w:r>
              <w:rPr>
                <w:rFonts w:ascii="Arial" w:eastAsiaTheme="majorEastAsia" w:hAnsi="Arial" w:cs="Arial"/>
                <w:bCs/>
                <w:sz w:val="18"/>
                <w:szCs w:val="18"/>
              </w:rPr>
              <w:t>0</w:t>
            </w:r>
            <w:r w:rsidRPr="00576180">
              <w:rPr>
                <w:rFonts w:ascii="Arial" w:eastAsiaTheme="majorEastAsia" w:hAnsi="Arial" w:cs="Arial"/>
                <w:bCs/>
                <w:sz w:val="18"/>
                <w:szCs w:val="18"/>
              </w:rPr>
              <w:t>%</w:t>
            </w:r>
          </w:p>
          <w:p w14:paraId="51C4D79E"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(2017)</w:t>
            </w:r>
          </w:p>
        </w:tc>
        <w:tc>
          <w:tcPr>
            <w:tcW w:w="6043" w:type="dxa"/>
            <w:shd w:val="clear" w:color="000000" w:fill="FFFFFF"/>
            <w:vAlign w:val="center"/>
          </w:tcPr>
          <w:p w14:paraId="0790B486" w14:textId="4712435C" w:rsidR="00A81639" w:rsidRPr="00576180" w:rsidRDefault="00A81639" w:rsidP="00A81639">
            <w:pPr>
              <w:spacing w:after="0" w:line="240" w:lineRule="auto"/>
              <w:jc w:val="both"/>
              <w:rPr>
                <w:rFonts w:ascii="Arial" w:eastAsiaTheme="majorEastAsia" w:hAnsi="Arial" w:cs="Arial"/>
                <w:bCs/>
                <w:sz w:val="18"/>
                <w:szCs w:val="18"/>
              </w:rPr>
            </w:pPr>
            <w:r>
              <w:rPr>
                <w:rFonts w:ascii="Arial" w:hAnsi="Arial" w:cs="Arial"/>
                <w:sz w:val="18"/>
                <w:szCs w:val="18"/>
              </w:rPr>
              <w:t xml:space="preserve">Aunque fue llevado a cabo una evaluación PEFA en 2016, el informe no fue aprobado </w:t>
            </w:r>
            <w:r w:rsidR="00672015">
              <w:rPr>
                <w:rFonts w:ascii="Arial" w:hAnsi="Arial" w:cs="Arial"/>
                <w:sz w:val="18"/>
                <w:szCs w:val="18"/>
              </w:rPr>
              <w:t>por el MEF</w:t>
            </w:r>
            <w:r>
              <w:rPr>
                <w:rFonts w:ascii="Arial" w:hAnsi="Arial" w:cs="Arial"/>
                <w:sz w:val="18"/>
                <w:szCs w:val="18"/>
              </w:rPr>
              <w:t xml:space="preserve">, por lo tanto, no se pudo evaluar estos resultados. </w:t>
            </w:r>
            <w:r w:rsidR="0078032D">
              <w:rPr>
                <w:rFonts w:ascii="Arial" w:hAnsi="Arial" w:cs="Arial"/>
                <w:sz w:val="18"/>
                <w:szCs w:val="18"/>
              </w:rPr>
              <w:t xml:space="preserve">A pesar de no contar con la evaluación del PEFA, el equipo del PCR constató que hubo mejoras en el indicador, pero no fue posible precisar </w:t>
            </w:r>
            <w:r w:rsidR="005118CA">
              <w:rPr>
                <w:rFonts w:ascii="Arial" w:hAnsi="Arial" w:cs="Arial"/>
                <w:sz w:val="18"/>
                <w:szCs w:val="18"/>
              </w:rPr>
              <w:t xml:space="preserve">mejoras en el indicador </w:t>
            </w:r>
            <w:r w:rsidR="0078032D">
              <w:rPr>
                <w:rFonts w:ascii="Arial" w:hAnsi="Arial" w:cs="Arial"/>
                <w:sz w:val="18"/>
                <w:szCs w:val="18"/>
              </w:rPr>
              <w:t xml:space="preserve">de acuerdo con la metodología PEFA. </w:t>
            </w:r>
          </w:p>
        </w:tc>
      </w:tr>
      <w:tr w:rsidR="00A81639" w:rsidRPr="00576180" w14:paraId="5954B8A6" w14:textId="77777777" w:rsidTr="00E44B5C">
        <w:trPr>
          <w:trHeight w:val="40"/>
        </w:trPr>
        <w:tc>
          <w:tcPr>
            <w:tcW w:w="10535" w:type="dxa"/>
            <w:gridSpan w:val="5"/>
            <w:shd w:val="clear" w:color="auto" w:fill="D9D9D9" w:themeFill="background1" w:themeFillShade="D9"/>
            <w:noWrap/>
            <w:vAlign w:val="center"/>
          </w:tcPr>
          <w:p w14:paraId="6E1C9388" w14:textId="0E681FD8" w:rsidR="00A81639" w:rsidRPr="00576180" w:rsidRDefault="00A81639" w:rsidP="00A81639">
            <w:pPr>
              <w:spacing w:after="0" w:line="240" w:lineRule="auto"/>
              <w:jc w:val="both"/>
              <w:rPr>
                <w:rFonts w:ascii="Arial" w:eastAsiaTheme="majorEastAsia" w:hAnsi="Arial" w:cs="Arial"/>
                <w:b/>
                <w:bCs/>
                <w:sz w:val="18"/>
                <w:szCs w:val="18"/>
              </w:rPr>
            </w:pPr>
            <w:r w:rsidRPr="00576180">
              <w:rPr>
                <w:rFonts w:ascii="Arial" w:eastAsiaTheme="majorEastAsia" w:hAnsi="Arial" w:cs="Arial"/>
                <w:b/>
                <w:bCs/>
                <w:sz w:val="18"/>
                <w:szCs w:val="18"/>
              </w:rPr>
              <w:t>C2. Fortalecimiento de capacidades institucionales para la gestión financiera pública</w:t>
            </w:r>
          </w:p>
        </w:tc>
      </w:tr>
      <w:tr w:rsidR="00A81639" w:rsidRPr="00576180" w14:paraId="18B0B585" w14:textId="77777777" w:rsidTr="00E44B5C">
        <w:trPr>
          <w:trHeight w:val="509"/>
        </w:trPr>
        <w:tc>
          <w:tcPr>
            <w:tcW w:w="580" w:type="dxa"/>
            <w:vMerge w:val="restart"/>
            <w:shd w:val="clear" w:color="auto" w:fill="auto"/>
            <w:noWrap/>
            <w:vAlign w:val="center"/>
            <w:hideMark/>
          </w:tcPr>
          <w:p w14:paraId="223C960B" w14:textId="78196E12"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2.4</w:t>
            </w:r>
          </w:p>
        </w:tc>
        <w:tc>
          <w:tcPr>
            <w:tcW w:w="2210" w:type="dxa"/>
            <w:vMerge w:val="restart"/>
            <w:shd w:val="clear" w:color="000000" w:fill="FFFFFF"/>
            <w:vAlign w:val="center"/>
          </w:tcPr>
          <w:p w14:paraId="0954E064" w14:textId="77777777" w:rsidR="00A81639" w:rsidRPr="00576180" w:rsidRDefault="00A81639" w:rsidP="00A81639">
            <w:pPr>
              <w:spacing w:after="0" w:line="240" w:lineRule="auto"/>
              <w:rPr>
                <w:rFonts w:ascii="Arial" w:eastAsiaTheme="majorEastAsia" w:hAnsi="Arial" w:cs="Arial"/>
                <w:bCs/>
                <w:sz w:val="18"/>
                <w:szCs w:val="18"/>
              </w:rPr>
            </w:pPr>
            <w:r w:rsidRPr="00576180">
              <w:rPr>
                <w:rFonts w:ascii="Arial" w:hAnsi="Arial" w:cs="Arial"/>
                <w:sz w:val="18"/>
                <w:szCs w:val="18"/>
              </w:rPr>
              <w:t>Ahorro en costos de soporte para la operación del SIAF</w:t>
            </w:r>
          </w:p>
        </w:tc>
        <w:tc>
          <w:tcPr>
            <w:tcW w:w="801" w:type="dxa"/>
            <w:vMerge w:val="restart"/>
            <w:shd w:val="clear" w:color="auto" w:fill="auto"/>
            <w:noWrap/>
            <w:vAlign w:val="center"/>
          </w:tcPr>
          <w:p w14:paraId="18311F3E"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SL$ 19 millones</w:t>
            </w:r>
          </w:p>
          <w:p w14:paraId="2F8848DE"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(2010)</w:t>
            </w:r>
          </w:p>
        </w:tc>
        <w:tc>
          <w:tcPr>
            <w:tcW w:w="901" w:type="dxa"/>
            <w:vMerge w:val="restart"/>
            <w:shd w:val="clear" w:color="auto" w:fill="auto"/>
            <w:noWrap/>
            <w:vAlign w:val="center"/>
          </w:tcPr>
          <w:p w14:paraId="1A604118" w14:textId="68F8E10F"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0</w:t>
            </w:r>
          </w:p>
          <w:p w14:paraId="79AE0464"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(2017)</w:t>
            </w:r>
          </w:p>
        </w:tc>
        <w:tc>
          <w:tcPr>
            <w:tcW w:w="6043" w:type="dxa"/>
            <w:vMerge w:val="restart"/>
            <w:shd w:val="clear" w:color="000000" w:fill="FFFFFF"/>
            <w:vAlign w:val="center"/>
          </w:tcPr>
          <w:p w14:paraId="23EB65E5" w14:textId="04A1E1C2" w:rsidR="00A81639" w:rsidRPr="00576180" w:rsidRDefault="00A81639" w:rsidP="00A81639">
            <w:pPr>
              <w:spacing w:after="0" w:line="240" w:lineRule="auto"/>
              <w:jc w:val="both"/>
              <w:rPr>
                <w:rFonts w:ascii="Arial" w:eastAsiaTheme="majorEastAsia" w:hAnsi="Arial" w:cs="Arial"/>
                <w:bCs/>
                <w:sz w:val="18"/>
                <w:szCs w:val="18"/>
              </w:rPr>
            </w:pPr>
            <w:r w:rsidRPr="00576180">
              <w:rPr>
                <w:rFonts w:ascii="Arial" w:eastAsiaTheme="majorEastAsia" w:hAnsi="Arial" w:cs="Arial"/>
                <w:bCs/>
                <w:sz w:val="18"/>
                <w:szCs w:val="18"/>
              </w:rPr>
              <w:t xml:space="preserve">El resultado no fue alcanzado. Este resultado </w:t>
            </w:r>
            <w:r w:rsidR="00D06D16" w:rsidRPr="00576180">
              <w:rPr>
                <w:rFonts w:ascii="Arial" w:eastAsiaTheme="majorEastAsia" w:hAnsi="Arial" w:cs="Arial"/>
                <w:bCs/>
                <w:sz w:val="18"/>
                <w:szCs w:val="18"/>
              </w:rPr>
              <w:t>dependía de</w:t>
            </w:r>
            <w:r w:rsidRPr="00576180">
              <w:rPr>
                <w:rFonts w:ascii="Arial" w:eastAsiaTheme="majorEastAsia" w:hAnsi="Arial" w:cs="Arial"/>
                <w:bCs/>
                <w:sz w:val="18"/>
                <w:szCs w:val="18"/>
              </w:rPr>
              <w:t xml:space="preserve"> la implantación total y completa del nuevo sistema, el cual sería basado en una plataforma </w:t>
            </w:r>
            <w:r w:rsidRPr="00576180">
              <w:rPr>
                <w:rFonts w:ascii="Arial" w:eastAsiaTheme="majorEastAsia" w:hAnsi="Arial" w:cs="Arial"/>
                <w:bCs/>
                <w:i/>
                <w:sz w:val="18"/>
                <w:szCs w:val="18"/>
              </w:rPr>
              <w:t>web</w:t>
            </w:r>
            <w:r w:rsidR="000160B3">
              <w:rPr>
                <w:rFonts w:ascii="Arial" w:eastAsiaTheme="majorEastAsia" w:hAnsi="Arial" w:cs="Arial"/>
                <w:bCs/>
                <w:i/>
                <w:sz w:val="18"/>
                <w:szCs w:val="18"/>
              </w:rPr>
              <w:t xml:space="preserve"> </w:t>
            </w:r>
            <w:r w:rsidR="000160B3" w:rsidRPr="000160B3">
              <w:rPr>
                <w:rFonts w:ascii="Arial" w:eastAsiaTheme="majorEastAsia" w:hAnsi="Arial" w:cs="Arial"/>
                <w:bCs/>
                <w:iCs/>
                <w:sz w:val="18"/>
                <w:szCs w:val="18"/>
              </w:rPr>
              <w:t>y con esto</w:t>
            </w:r>
            <w:r w:rsidR="000160B3">
              <w:rPr>
                <w:rFonts w:ascii="Arial" w:eastAsiaTheme="majorEastAsia" w:hAnsi="Arial" w:cs="Arial"/>
                <w:bCs/>
                <w:iCs/>
                <w:sz w:val="18"/>
                <w:szCs w:val="18"/>
              </w:rPr>
              <w:t xml:space="preserve"> no se necesitaría má</w:t>
            </w:r>
            <w:r w:rsidR="00265302">
              <w:rPr>
                <w:rFonts w:ascii="Arial" w:eastAsiaTheme="majorEastAsia" w:hAnsi="Arial" w:cs="Arial"/>
                <w:bCs/>
                <w:iCs/>
                <w:sz w:val="18"/>
                <w:szCs w:val="18"/>
              </w:rPr>
              <w:t>s</w:t>
            </w:r>
            <w:r w:rsidR="000160B3">
              <w:rPr>
                <w:rFonts w:ascii="Arial" w:eastAsiaTheme="majorEastAsia" w:hAnsi="Arial" w:cs="Arial"/>
                <w:bCs/>
                <w:iCs/>
                <w:sz w:val="18"/>
                <w:szCs w:val="18"/>
              </w:rPr>
              <w:t xml:space="preserve"> de los aproximadamente 110 especialistas que proveen soporte a las Unidades Ejecutoras.</w:t>
            </w:r>
            <w:r w:rsidRPr="00576180">
              <w:rPr>
                <w:rFonts w:ascii="Arial" w:eastAsiaTheme="majorEastAsia" w:hAnsi="Arial" w:cs="Arial"/>
                <w:bCs/>
                <w:sz w:val="18"/>
                <w:szCs w:val="18"/>
              </w:rPr>
              <w:t xml:space="preserve"> </w:t>
            </w:r>
          </w:p>
        </w:tc>
      </w:tr>
      <w:tr w:rsidR="00A81639" w:rsidRPr="00576180" w14:paraId="585D35A2" w14:textId="77777777" w:rsidTr="00E44B5C">
        <w:trPr>
          <w:trHeight w:val="509"/>
        </w:trPr>
        <w:tc>
          <w:tcPr>
            <w:tcW w:w="580" w:type="dxa"/>
            <w:vMerge/>
            <w:vAlign w:val="center"/>
            <w:hideMark/>
          </w:tcPr>
          <w:p w14:paraId="4E30730D" w14:textId="77777777" w:rsidR="00A81639" w:rsidRPr="00576180" w:rsidRDefault="00A81639" w:rsidP="00A81639">
            <w:pPr>
              <w:spacing w:after="0" w:line="240" w:lineRule="auto"/>
              <w:jc w:val="center"/>
              <w:rPr>
                <w:rFonts w:ascii="Arial" w:eastAsiaTheme="majorEastAsia" w:hAnsi="Arial" w:cs="Arial"/>
                <w:bCs/>
                <w:sz w:val="18"/>
                <w:szCs w:val="18"/>
              </w:rPr>
            </w:pPr>
          </w:p>
        </w:tc>
        <w:tc>
          <w:tcPr>
            <w:tcW w:w="2210" w:type="dxa"/>
            <w:vMerge/>
            <w:vAlign w:val="center"/>
          </w:tcPr>
          <w:p w14:paraId="33BA9B5B" w14:textId="77777777" w:rsidR="00A81639" w:rsidRPr="00576180" w:rsidRDefault="00A81639" w:rsidP="00A81639">
            <w:pPr>
              <w:spacing w:after="0" w:line="240" w:lineRule="auto"/>
              <w:rPr>
                <w:rFonts w:ascii="Arial" w:eastAsiaTheme="majorEastAsia" w:hAnsi="Arial" w:cs="Arial"/>
                <w:bCs/>
                <w:sz w:val="18"/>
                <w:szCs w:val="18"/>
              </w:rPr>
            </w:pPr>
          </w:p>
        </w:tc>
        <w:tc>
          <w:tcPr>
            <w:tcW w:w="801" w:type="dxa"/>
            <w:vMerge/>
            <w:vAlign w:val="center"/>
          </w:tcPr>
          <w:p w14:paraId="18E6BF8A" w14:textId="77777777" w:rsidR="00A81639" w:rsidRPr="00576180" w:rsidRDefault="00A81639" w:rsidP="00A81639">
            <w:pPr>
              <w:spacing w:after="0" w:line="240" w:lineRule="auto"/>
              <w:jc w:val="center"/>
              <w:rPr>
                <w:rFonts w:ascii="Arial" w:eastAsiaTheme="majorEastAsia" w:hAnsi="Arial" w:cs="Arial"/>
                <w:bCs/>
                <w:sz w:val="18"/>
                <w:szCs w:val="18"/>
              </w:rPr>
            </w:pPr>
          </w:p>
        </w:tc>
        <w:tc>
          <w:tcPr>
            <w:tcW w:w="901" w:type="dxa"/>
            <w:vMerge/>
            <w:vAlign w:val="center"/>
          </w:tcPr>
          <w:p w14:paraId="674EBD90" w14:textId="77777777" w:rsidR="00A81639" w:rsidRPr="00576180" w:rsidRDefault="00A81639" w:rsidP="00A81639">
            <w:pPr>
              <w:spacing w:after="0" w:line="240" w:lineRule="auto"/>
              <w:jc w:val="center"/>
              <w:rPr>
                <w:rFonts w:ascii="Arial" w:eastAsiaTheme="majorEastAsia" w:hAnsi="Arial" w:cs="Arial"/>
                <w:bCs/>
                <w:sz w:val="18"/>
                <w:szCs w:val="18"/>
              </w:rPr>
            </w:pPr>
          </w:p>
        </w:tc>
        <w:tc>
          <w:tcPr>
            <w:tcW w:w="6043" w:type="dxa"/>
            <w:vMerge/>
            <w:vAlign w:val="center"/>
          </w:tcPr>
          <w:p w14:paraId="52CB3280" w14:textId="77777777" w:rsidR="00A81639" w:rsidRPr="00576180" w:rsidRDefault="00A81639" w:rsidP="00A81639">
            <w:pPr>
              <w:spacing w:after="0" w:line="240" w:lineRule="auto"/>
              <w:jc w:val="both"/>
              <w:rPr>
                <w:rFonts w:ascii="Arial" w:eastAsiaTheme="majorEastAsia" w:hAnsi="Arial" w:cs="Arial"/>
                <w:bCs/>
                <w:sz w:val="18"/>
                <w:szCs w:val="18"/>
              </w:rPr>
            </w:pPr>
          </w:p>
        </w:tc>
      </w:tr>
      <w:tr w:rsidR="00A81639" w:rsidRPr="00576180" w14:paraId="0CFE6F7E" w14:textId="77777777" w:rsidTr="00E44B5C">
        <w:trPr>
          <w:trHeight w:val="1285"/>
        </w:trPr>
        <w:tc>
          <w:tcPr>
            <w:tcW w:w="580" w:type="dxa"/>
            <w:shd w:val="clear" w:color="auto" w:fill="auto"/>
            <w:noWrap/>
            <w:vAlign w:val="center"/>
            <w:hideMark/>
          </w:tcPr>
          <w:p w14:paraId="0ADF7F97" w14:textId="02A0981D"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2.5</w:t>
            </w:r>
          </w:p>
        </w:tc>
        <w:tc>
          <w:tcPr>
            <w:tcW w:w="2210" w:type="dxa"/>
            <w:shd w:val="clear" w:color="000000" w:fill="FFFFFF"/>
            <w:vAlign w:val="center"/>
          </w:tcPr>
          <w:p w14:paraId="3B2E815F" w14:textId="7DC200A1" w:rsidR="00A81639" w:rsidRPr="00576180" w:rsidRDefault="00A81639" w:rsidP="00A81639">
            <w:pPr>
              <w:spacing w:after="0" w:line="240" w:lineRule="auto"/>
              <w:rPr>
                <w:rFonts w:ascii="Arial" w:eastAsiaTheme="majorEastAsia" w:hAnsi="Arial" w:cs="Arial"/>
                <w:bCs/>
                <w:sz w:val="18"/>
                <w:szCs w:val="18"/>
              </w:rPr>
            </w:pPr>
            <w:r w:rsidRPr="00576180">
              <w:rPr>
                <w:rFonts w:ascii="Arial" w:hAnsi="Arial" w:cs="Arial"/>
                <w:sz w:val="18"/>
                <w:szCs w:val="18"/>
              </w:rPr>
              <w:t>Cobertura de los pagos electrónicos del sector público</w:t>
            </w:r>
          </w:p>
        </w:tc>
        <w:tc>
          <w:tcPr>
            <w:tcW w:w="801" w:type="dxa"/>
            <w:shd w:val="clear" w:color="auto" w:fill="auto"/>
            <w:noWrap/>
            <w:vAlign w:val="center"/>
          </w:tcPr>
          <w:p w14:paraId="0225F83A" w14:textId="6BE23320"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3</w:t>
            </w:r>
            <w:r w:rsidR="00046575">
              <w:rPr>
                <w:rFonts w:ascii="Arial" w:eastAsiaTheme="majorEastAsia" w:hAnsi="Arial" w:cs="Arial"/>
                <w:bCs/>
                <w:sz w:val="18"/>
                <w:szCs w:val="18"/>
              </w:rPr>
              <w:t>0</w:t>
            </w:r>
            <w:r w:rsidRPr="00576180">
              <w:rPr>
                <w:rFonts w:ascii="Arial" w:eastAsiaTheme="majorEastAsia" w:hAnsi="Arial" w:cs="Arial"/>
                <w:bCs/>
                <w:sz w:val="18"/>
                <w:szCs w:val="18"/>
              </w:rPr>
              <w:t>%</w:t>
            </w:r>
          </w:p>
          <w:p w14:paraId="05B06CF7"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(2009)</w:t>
            </w:r>
          </w:p>
        </w:tc>
        <w:tc>
          <w:tcPr>
            <w:tcW w:w="901" w:type="dxa"/>
            <w:shd w:val="clear" w:color="auto" w:fill="auto"/>
            <w:noWrap/>
            <w:vAlign w:val="center"/>
          </w:tcPr>
          <w:p w14:paraId="5C50F36F" w14:textId="515E8C8B" w:rsidR="00A81639" w:rsidRPr="00576180" w:rsidRDefault="00F954A3" w:rsidP="00A81639">
            <w:pPr>
              <w:spacing w:after="0" w:line="240" w:lineRule="auto"/>
              <w:jc w:val="center"/>
              <w:rPr>
                <w:rFonts w:ascii="Arial" w:eastAsiaTheme="majorEastAsia" w:hAnsi="Arial" w:cs="Arial"/>
                <w:bCs/>
                <w:color w:val="000000" w:themeColor="text1"/>
                <w:sz w:val="18"/>
                <w:szCs w:val="18"/>
              </w:rPr>
            </w:pPr>
            <w:r>
              <w:rPr>
                <w:rFonts w:ascii="Arial" w:eastAsiaTheme="majorEastAsia" w:hAnsi="Arial" w:cs="Arial"/>
                <w:bCs/>
                <w:color w:val="000000" w:themeColor="text1"/>
                <w:sz w:val="18"/>
                <w:szCs w:val="18"/>
              </w:rPr>
              <w:t>58</w:t>
            </w:r>
            <w:r w:rsidR="00A81639" w:rsidRPr="00576180">
              <w:rPr>
                <w:rFonts w:ascii="Arial" w:eastAsiaTheme="majorEastAsia" w:hAnsi="Arial" w:cs="Arial"/>
                <w:bCs/>
                <w:color w:val="000000" w:themeColor="text1"/>
                <w:sz w:val="18"/>
                <w:szCs w:val="18"/>
              </w:rPr>
              <w:t>%</w:t>
            </w:r>
          </w:p>
          <w:p w14:paraId="2897C088"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color w:val="000000" w:themeColor="text1"/>
                <w:sz w:val="18"/>
                <w:szCs w:val="18"/>
              </w:rPr>
              <w:t>(2017)</w:t>
            </w:r>
          </w:p>
        </w:tc>
        <w:tc>
          <w:tcPr>
            <w:tcW w:w="6043" w:type="dxa"/>
            <w:shd w:val="clear" w:color="000000" w:fill="FFFFFF"/>
            <w:vAlign w:val="center"/>
          </w:tcPr>
          <w:p w14:paraId="60C1FC71" w14:textId="66F86AE6" w:rsidR="00A81639" w:rsidRPr="00576180" w:rsidRDefault="00A81639" w:rsidP="00A81639">
            <w:pPr>
              <w:spacing w:after="0" w:line="240" w:lineRule="auto"/>
              <w:jc w:val="both"/>
              <w:rPr>
                <w:rFonts w:ascii="Arial" w:eastAsiaTheme="majorEastAsia" w:hAnsi="Arial" w:cs="Arial"/>
                <w:bCs/>
                <w:sz w:val="18"/>
                <w:szCs w:val="18"/>
              </w:rPr>
            </w:pPr>
            <w:r w:rsidRPr="00576180">
              <w:rPr>
                <w:rFonts w:ascii="Arial" w:eastAsiaTheme="majorEastAsia" w:hAnsi="Arial" w:cs="Arial"/>
                <w:bCs/>
                <w:sz w:val="18"/>
                <w:szCs w:val="18"/>
              </w:rPr>
              <w:t>El resultado fue alcanzado</w:t>
            </w:r>
            <w:r w:rsidR="00046575">
              <w:rPr>
                <w:rFonts w:ascii="Arial" w:eastAsiaTheme="majorEastAsia" w:hAnsi="Arial" w:cs="Arial"/>
                <w:bCs/>
                <w:sz w:val="18"/>
                <w:szCs w:val="18"/>
              </w:rPr>
              <w:t xml:space="preserve"> parcialmente</w:t>
            </w:r>
            <w:r w:rsidRPr="00576180">
              <w:rPr>
                <w:rFonts w:ascii="Arial" w:eastAsiaTheme="majorEastAsia" w:hAnsi="Arial" w:cs="Arial"/>
                <w:bCs/>
                <w:sz w:val="18"/>
                <w:szCs w:val="18"/>
              </w:rPr>
              <w:t>.</w:t>
            </w:r>
            <w:r w:rsidR="00046575">
              <w:rPr>
                <w:rFonts w:ascii="Arial" w:eastAsiaTheme="majorEastAsia" w:hAnsi="Arial" w:cs="Arial"/>
                <w:bCs/>
                <w:sz w:val="18"/>
                <w:szCs w:val="18"/>
              </w:rPr>
              <w:t xml:space="preserve"> </w:t>
            </w:r>
            <w:r w:rsidR="00046575" w:rsidRPr="00046575">
              <w:rPr>
                <w:rFonts w:ascii="Arial" w:eastAsiaTheme="majorEastAsia" w:hAnsi="Arial" w:cs="Arial"/>
                <w:bCs/>
                <w:sz w:val="18"/>
                <w:szCs w:val="18"/>
              </w:rPr>
              <w:t xml:space="preserve">La OGTI llevó a cabo un relevamiento en las bases de datos del SIAF 1 </w:t>
            </w:r>
            <w:r w:rsidR="009B0AB9">
              <w:rPr>
                <w:rFonts w:ascii="Arial" w:eastAsiaTheme="majorEastAsia" w:hAnsi="Arial" w:cs="Arial"/>
                <w:bCs/>
                <w:sz w:val="18"/>
                <w:szCs w:val="18"/>
              </w:rPr>
              <w:t xml:space="preserve">respecto el </w:t>
            </w:r>
            <w:r w:rsidR="00046575" w:rsidRPr="00046575">
              <w:rPr>
                <w:rFonts w:ascii="Arial" w:eastAsiaTheme="majorEastAsia" w:hAnsi="Arial" w:cs="Arial"/>
                <w:bCs/>
                <w:sz w:val="18"/>
                <w:szCs w:val="18"/>
              </w:rPr>
              <w:t xml:space="preserve">avance de los pagos electrónicos en el periodo 2011-2018, el cual presentó un aumento de 30% a 58%, representando un aumento de </w:t>
            </w:r>
            <w:r w:rsidR="00304B1E">
              <w:rPr>
                <w:rFonts w:ascii="Arial" w:eastAsiaTheme="majorEastAsia" w:hAnsi="Arial" w:cs="Arial"/>
                <w:bCs/>
                <w:sz w:val="18"/>
                <w:szCs w:val="18"/>
              </w:rPr>
              <w:t>46,7</w:t>
            </w:r>
            <w:r w:rsidR="00046575" w:rsidRPr="00046575">
              <w:rPr>
                <w:rFonts w:ascii="Arial" w:eastAsiaTheme="majorEastAsia" w:hAnsi="Arial" w:cs="Arial"/>
                <w:bCs/>
                <w:sz w:val="18"/>
                <w:szCs w:val="18"/>
              </w:rPr>
              <w:t xml:space="preserve">% </w:t>
            </w:r>
            <w:r w:rsidR="00304B1E" w:rsidRPr="00046575">
              <w:rPr>
                <w:rFonts w:ascii="Arial" w:eastAsiaTheme="majorEastAsia" w:hAnsi="Arial" w:cs="Arial"/>
                <w:bCs/>
                <w:sz w:val="18"/>
                <w:szCs w:val="18"/>
              </w:rPr>
              <w:t>en relación con</w:t>
            </w:r>
            <w:r w:rsidR="00046575" w:rsidRPr="00046575">
              <w:rPr>
                <w:rFonts w:ascii="Arial" w:eastAsiaTheme="majorEastAsia" w:hAnsi="Arial" w:cs="Arial"/>
                <w:bCs/>
                <w:sz w:val="18"/>
                <w:szCs w:val="18"/>
              </w:rPr>
              <w:t xml:space="preserve"> la meta de planificada </w:t>
            </w:r>
            <w:r w:rsidR="00D06D16" w:rsidRPr="00046575">
              <w:rPr>
                <w:rFonts w:ascii="Arial" w:eastAsiaTheme="majorEastAsia" w:hAnsi="Arial" w:cs="Arial"/>
                <w:bCs/>
                <w:sz w:val="18"/>
                <w:szCs w:val="18"/>
              </w:rPr>
              <w:t>de 90</w:t>
            </w:r>
            <w:r w:rsidR="00046575" w:rsidRPr="00046575">
              <w:rPr>
                <w:rFonts w:ascii="Arial" w:eastAsiaTheme="majorEastAsia" w:hAnsi="Arial" w:cs="Arial"/>
                <w:bCs/>
                <w:sz w:val="18"/>
                <w:szCs w:val="18"/>
              </w:rPr>
              <w:t>%.</w:t>
            </w:r>
            <w:r w:rsidRPr="00576180">
              <w:rPr>
                <w:rFonts w:ascii="Arial" w:eastAsiaTheme="majorEastAsia" w:hAnsi="Arial" w:cs="Arial"/>
                <w:bCs/>
                <w:sz w:val="18"/>
                <w:szCs w:val="18"/>
              </w:rPr>
              <w:t xml:space="preserve"> Este resultado está directamente asociado a los productos </w:t>
            </w:r>
            <w:r w:rsidR="00877F81">
              <w:rPr>
                <w:rFonts w:ascii="Arial" w:eastAsiaTheme="majorEastAsia" w:hAnsi="Arial" w:cs="Arial"/>
                <w:bCs/>
                <w:sz w:val="18"/>
                <w:szCs w:val="18"/>
              </w:rPr>
              <w:t>(P</w:t>
            </w:r>
            <w:r w:rsidRPr="00576180">
              <w:rPr>
                <w:rFonts w:ascii="Arial" w:eastAsiaTheme="majorEastAsia" w:hAnsi="Arial" w:cs="Arial"/>
                <w:bCs/>
                <w:sz w:val="18"/>
                <w:szCs w:val="18"/>
              </w:rPr>
              <w:t>2.1</w:t>
            </w:r>
            <w:r w:rsidR="00877F81">
              <w:rPr>
                <w:rFonts w:ascii="Arial" w:eastAsiaTheme="majorEastAsia" w:hAnsi="Arial" w:cs="Arial"/>
                <w:bCs/>
                <w:sz w:val="18"/>
                <w:szCs w:val="18"/>
              </w:rPr>
              <w:t>)</w:t>
            </w:r>
            <w:r w:rsidRPr="00576180">
              <w:rPr>
                <w:rFonts w:ascii="Arial" w:eastAsiaTheme="majorEastAsia" w:hAnsi="Arial" w:cs="Arial"/>
                <w:bCs/>
                <w:sz w:val="18"/>
                <w:szCs w:val="18"/>
              </w:rPr>
              <w:t xml:space="preserve"> y </w:t>
            </w:r>
            <w:r w:rsidR="00877F81">
              <w:rPr>
                <w:rFonts w:ascii="Arial" w:eastAsiaTheme="majorEastAsia" w:hAnsi="Arial" w:cs="Arial"/>
                <w:bCs/>
                <w:sz w:val="18"/>
                <w:szCs w:val="18"/>
              </w:rPr>
              <w:t>(P</w:t>
            </w:r>
            <w:r w:rsidRPr="00576180">
              <w:rPr>
                <w:rFonts w:ascii="Arial" w:eastAsiaTheme="majorEastAsia" w:hAnsi="Arial" w:cs="Arial"/>
                <w:bCs/>
                <w:sz w:val="18"/>
                <w:szCs w:val="18"/>
              </w:rPr>
              <w:t>2.2</w:t>
            </w:r>
            <w:r w:rsidR="00877F81">
              <w:rPr>
                <w:rFonts w:ascii="Arial" w:eastAsiaTheme="majorEastAsia" w:hAnsi="Arial" w:cs="Arial"/>
                <w:bCs/>
                <w:sz w:val="18"/>
                <w:szCs w:val="18"/>
              </w:rPr>
              <w:t>)</w:t>
            </w:r>
            <w:r w:rsidRPr="00576180">
              <w:rPr>
                <w:rFonts w:ascii="Arial" w:eastAsiaTheme="majorEastAsia" w:hAnsi="Arial" w:cs="Arial"/>
                <w:bCs/>
                <w:sz w:val="18"/>
                <w:szCs w:val="18"/>
              </w:rPr>
              <w:t>, que contemplaron la modernización de la DGTP a través de e</w:t>
            </w:r>
            <w:r w:rsidRPr="00576180">
              <w:rPr>
                <w:rFonts w:ascii="Arial" w:hAnsi="Arial" w:cs="Arial"/>
                <w:sz w:val="18"/>
                <w:szCs w:val="18"/>
              </w:rPr>
              <w:t>studios, metodologías y capacitaciones.</w:t>
            </w:r>
            <w:r w:rsidR="0078032D">
              <w:rPr>
                <w:rFonts w:ascii="Arial" w:hAnsi="Arial" w:cs="Arial"/>
                <w:sz w:val="18"/>
                <w:szCs w:val="18"/>
              </w:rPr>
              <w:t xml:space="preserve"> </w:t>
            </w:r>
            <w:r w:rsidR="009B0F97">
              <w:rPr>
                <w:rFonts w:ascii="Arial" w:hAnsi="Arial" w:cs="Arial"/>
                <w:sz w:val="18"/>
                <w:szCs w:val="18"/>
              </w:rPr>
              <w:t xml:space="preserve">También se puede atribuir a que el proyecto contribuyó al aumento de la capacidad de almacenamiento y procesamiento del MEF, lo que permitió aumentar la capacidad para realizar pagos electrónicos. </w:t>
            </w:r>
            <w:r w:rsidR="0078032D">
              <w:rPr>
                <w:rFonts w:ascii="Arial" w:hAnsi="Arial" w:cs="Arial"/>
                <w:sz w:val="18"/>
                <w:szCs w:val="18"/>
              </w:rPr>
              <w:t xml:space="preserve">Importante </w:t>
            </w:r>
            <w:proofErr w:type="gramStart"/>
            <w:r w:rsidR="0078032D">
              <w:rPr>
                <w:rFonts w:ascii="Arial" w:hAnsi="Arial" w:cs="Arial"/>
                <w:sz w:val="18"/>
                <w:szCs w:val="18"/>
              </w:rPr>
              <w:t>mencionar</w:t>
            </w:r>
            <w:proofErr w:type="gramEnd"/>
            <w:r w:rsidR="0078032D">
              <w:rPr>
                <w:rFonts w:ascii="Arial" w:hAnsi="Arial" w:cs="Arial"/>
                <w:sz w:val="18"/>
                <w:szCs w:val="18"/>
              </w:rPr>
              <w:t xml:space="preserve"> que este resultado no dependía de la implementación del nuevo sistema SIAF.</w:t>
            </w:r>
          </w:p>
        </w:tc>
      </w:tr>
      <w:tr w:rsidR="00A81639" w:rsidRPr="00576180" w14:paraId="19B5320C" w14:textId="77777777" w:rsidTr="00E44B5C">
        <w:trPr>
          <w:trHeight w:val="205"/>
        </w:trPr>
        <w:tc>
          <w:tcPr>
            <w:tcW w:w="580" w:type="dxa"/>
            <w:shd w:val="clear" w:color="auto" w:fill="auto"/>
            <w:noWrap/>
            <w:vAlign w:val="center"/>
            <w:hideMark/>
          </w:tcPr>
          <w:p w14:paraId="1807F298" w14:textId="65F82F7B" w:rsidR="00A81639" w:rsidRPr="00576180" w:rsidRDefault="00A81639" w:rsidP="00A81639">
            <w:pPr>
              <w:spacing w:after="0" w:line="240" w:lineRule="auto"/>
              <w:jc w:val="center"/>
              <w:rPr>
                <w:rFonts w:ascii="Arial" w:eastAsiaTheme="majorEastAsia" w:hAnsi="Arial" w:cs="Arial"/>
                <w:bCs/>
                <w:sz w:val="18"/>
                <w:szCs w:val="18"/>
              </w:rPr>
            </w:pPr>
            <w:bookmarkStart w:id="140" w:name="_Hlk520107627"/>
            <w:r w:rsidRPr="00576180">
              <w:rPr>
                <w:rFonts w:ascii="Arial" w:eastAsiaTheme="majorEastAsia" w:hAnsi="Arial" w:cs="Arial"/>
                <w:bCs/>
                <w:sz w:val="18"/>
                <w:szCs w:val="18"/>
              </w:rPr>
              <w:t>2.6</w:t>
            </w:r>
          </w:p>
        </w:tc>
        <w:tc>
          <w:tcPr>
            <w:tcW w:w="2210" w:type="dxa"/>
            <w:shd w:val="clear" w:color="auto" w:fill="auto"/>
            <w:vAlign w:val="center"/>
          </w:tcPr>
          <w:p w14:paraId="03F25F14" w14:textId="5E1EA2C1" w:rsidR="00A81639" w:rsidRPr="00576180" w:rsidRDefault="00A81639" w:rsidP="00A81639">
            <w:pPr>
              <w:spacing w:after="0" w:line="240" w:lineRule="auto"/>
              <w:rPr>
                <w:rFonts w:ascii="Arial" w:eastAsiaTheme="majorEastAsia" w:hAnsi="Arial" w:cs="Arial"/>
                <w:bCs/>
                <w:sz w:val="18"/>
                <w:szCs w:val="18"/>
              </w:rPr>
            </w:pPr>
            <w:r w:rsidRPr="00576180">
              <w:rPr>
                <w:rFonts w:ascii="Arial" w:hAnsi="Arial" w:cs="Arial"/>
                <w:sz w:val="18"/>
                <w:szCs w:val="18"/>
              </w:rPr>
              <w:t>Porcentaje del total de cuentas bancarias incorporadas en la CUT</w:t>
            </w:r>
          </w:p>
        </w:tc>
        <w:tc>
          <w:tcPr>
            <w:tcW w:w="801" w:type="dxa"/>
            <w:shd w:val="clear" w:color="auto" w:fill="auto"/>
            <w:noWrap/>
            <w:vAlign w:val="center"/>
          </w:tcPr>
          <w:p w14:paraId="04363C0A" w14:textId="6142FD87" w:rsidR="00A81639" w:rsidRPr="00576180" w:rsidRDefault="008A7405" w:rsidP="00A81639">
            <w:pPr>
              <w:spacing w:after="0" w:line="240" w:lineRule="auto"/>
              <w:jc w:val="center"/>
              <w:rPr>
                <w:rFonts w:ascii="Arial" w:eastAsiaTheme="majorEastAsia" w:hAnsi="Arial" w:cs="Arial"/>
                <w:bCs/>
                <w:sz w:val="18"/>
                <w:szCs w:val="18"/>
              </w:rPr>
            </w:pPr>
            <w:r>
              <w:rPr>
                <w:rFonts w:ascii="Arial" w:eastAsiaTheme="majorEastAsia" w:hAnsi="Arial" w:cs="Arial"/>
                <w:bCs/>
                <w:sz w:val="18"/>
                <w:szCs w:val="18"/>
              </w:rPr>
              <w:t>0</w:t>
            </w:r>
            <w:r w:rsidR="00A81639" w:rsidRPr="00576180">
              <w:rPr>
                <w:rFonts w:ascii="Arial" w:eastAsiaTheme="majorEastAsia" w:hAnsi="Arial" w:cs="Arial"/>
                <w:bCs/>
                <w:sz w:val="18"/>
                <w:szCs w:val="18"/>
              </w:rPr>
              <w:t>%</w:t>
            </w:r>
          </w:p>
          <w:p w14:paraId="2FAA00D5"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(2010)</w:t>
            </w:r>
          </w:p>
        </w:tc>
        <w:tc>
          <w:tcPr>
            <w:tcW w:w="901" w:type="dxa"/>
            <w:shd w:val="clear" w:color="auto" w:fill="auto"/>
            <w:noWrap/>
            <w:vAlign w:val="center"/>
          </w:tcPr>
          <w:p w14:paraId="27EEC3DF" w14:textId="3AC9E768" w:rsidR="00A81639" w:rsidRPr="00576180" w:rsidRDefault="00726674" w:rsidP="00A81639">
            <w:pPr>
              <w:spacing w:after="0" w:line="240" w:lineRule="auto"/>
              <w:jc w:val="center"/>
              <w:rPr>
                <w:rFonts w:ascii="Arial" w:eastAsiaTheme="majorEastAsia" w:hAnsi="Arial" w:cs="Arial"/>
                <w:bCs/>
                <w:sz w:val="18"/>
                <w:szCs w:val="18"/>
              </w:rPr>
            </w:pPr>
            <w:r>
              <w:rPr>
                <w:rFonts w:ascii="Arial" w:eastAsiaTheme="majorEastAsia" w:hAnsi="Arial" w:cs="Arial"/>
                <w:bCs/>
                <w:sz w:val="18"/>
                <w:szCs w:val="18"/>
              </w:rPr>
              <w:t>90</w:t>
            </w:r>
            <w:r w:rsidR="00A81639" w:rsidRPr="00576180">
              <w:rPr>
                <w:rFonts w:ascii="Arial" w:eastAsiaTheme="majorEastAsia" w:hAnsi="Arial" w:cs="Arial"/>
                <w:bCs/>
                <w:sz w:val="18"/>
                <w:szCs w:val="18"/>
              </w:rPr>
              <w:t>%</w:t>
            </w:r>
          </w:p>
          <w:p w14:paraId="0DDD0959"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(2017)</w:t>
            </w:r>
          </w:p>
        </w:tc>
        <w:tc>
          <w:tcPr>
            <w:tcW w:w="6043" w:type="dxa"/>
            <w:shd w:val="clear" w:color="auto" w:fill="auto"/>
            <w:vAlign w:val="center"/>
          </w:tcPr>
          <w:p w14:paraId="73BC4BCF" w14:textId="153EA5E0" w:rsidR="00A81639" w:rsidRPr="00576180" w:rsidRDefault="00A81639" w:rsidP="00A81639">
            <w:pPr>
              <w:spacing w:after="0" w:line="240" w:lineRule="auto"/>
              <w:jc w:val="both"/>
              <w:rPr>
                <w:rFonts w:ascii="Arial" w:eastAsiaTheme="majorEastAsia" w:hAnsi="Arial" w:cs="Arial"/>
                <w:bCs/>
                <w:sz w:val="18"/>
                <w:szCs w:val="18"/>
              </w:rPr>
            </w:pPr>
            <w:r w:rsidRPr="00576180">
              <w:rPr>
                <w:rFonts w:ascii="Arial" w:eastAsiaTheme="majorEastAsia" w:hAnsi="Arial" w:cs="Arial"/>
                <w:bCs/>
                <w:sz w:val="18"/>
                <w:szCs w:val="18"/>
              </w:rPr>
              <w:t xml:space="preserve">El resultado </w:t>
            </w:r>
            <w:r w:rsidR="00726674">
              <w:rPr>
                <w:rFonts w:ascii="Arial" w:eastAsiaTheme="majorEastAsia" w:hAnsi="Arial" w:cs="Arial"/>
                <w:bCs/>
                <w:sz w:val="18"/>
                <w:szCs w:val="18"/>
              </w:rPr>
              <w:t>fue parcialmente</w:t>
            </w:r>
            <w:r w:rsidRPr="00576180">
              <w:rPr>
                <w:rFonts w:ascii="Arial" w:eastAsiaTheme="majorEastAsia" w:hAnsi="Arial" w:cs="Arial"/>
                <w:bCs/>
                <w:sz w:val="18"/>
                <w:szCs w:val="18"/>
              </w:rPr>
              <w:t xml:space="preserve"> alcanzado. De acuerdo con información provista por la Dirección General del Tesoro Público (DGTP), </w:t>
            </w:r>
            <w:r w:rsidR="0040373B">
              <w:rPr>
                <w:rFonts w:ascii="Arial" w:eastAsiaTheme="majorEastAsia" w:hAnsi="Arial" w:cs="Arial"/>
                <w:bCs/>
                <w:sz w:val="18"/>
                <w:szCs w:val="18"/>
              </w:rPr>
              <w:t xml:space="preserve">todavía existe uno </w:t>
            </w:r>
            <w:r w:rsidR="00046575">
              <w:rPr>
                <w:rFonts w:ascii="Arial" w:eastAsiaTheme="majorEastAsia" w:hAnsi="Arial" w:cs="Arial"/>
                <w:bCs/>
                <w:sz w:val="18"/>
                <w:szCs w:val="18"/>
              </w:rPr>
              <w:t>10</w:t>
            </w:r>
            <w:r w:rsidR="0040373B">
              <w:rPr>
                <w:rFonts w:ascii="Arial" w:eastAsiaTheme="majorEastAsia" w:hAnsi="Arial" w:cs="Arial"/>
                <w:bCs/>
                <w:sz w:val="18"/>
                <w:szCs w:val="18"/>
              </w:rPr>
              <w:t>% de recursos que son gestionados por fuera de la CUT.</w:t>
            </w:r>
            <w:r w:rsidRPr="00576180">
              <w:rPr>
                <w:rFonts w:ascii="Arial" w:eastAsiaTheme="majorEastAsia" w:hAnsi="Arial" w:cs="Arial"/>
                <w:bCs/>
                <w:sz w:val="18"/>
                <w:szCs w:val="18"/>
              </w:rPr>
              <w:t xml:space="preserve"> </w:t>
            </w:r>
            <w:r w:rsidR="00F02461">
              <w:rPr>
                <w:rFonts w:ascii="Arial" w:eastAsiaTheme="majorEastAsia" w:hAnsi="Arial" w:cs="Arial"/>
                <w:bCs/>
                <w:sz w:val="18"/>
                <w:szCs w:val="18"/>
              </w:rPr>
              <w:t>Esto representó un aumento de 94.7%.</w:t>
            </w:r>
            <w:r w:rsidR="006F03A7">
              <w:rPr>
                <w:rFonts w:ascii="Arial" w:eastAsiaTheme="majorEastAsia" w:hAnsi="Arial" w:cs="Arial"/>
                <w:bCs/>
                <w:sz w:val="18"/>
                <w:szCs w:val="18"/>
              </w:rPr>
              <w:t xml:space="preserve"> </w:t>
            </w:r>
            <w:r w:rsidR="006F03A7" w:rsidRPr="006F03A7">
              <w:rPr>
                <w:rFonts w:ascii="Arial" w:eastAsiaTheme="majorEastAsia" w:hAnsi="Arial" w:cs="Arial"/>
                <w:bCs/>
                <w:sz w:val="18"/>
                <w:szCs w:val="18"/>
              </w:rPr>
              <w:t>Este resultado está directamente asociado a los productos (P2.1) y (P2.2), que contemplaron la modernización de la DGTP a través de estudios, metodologías y capacitaciones.</w:t>
            </w:r>
          </w:p>
        </w:tc>
      </w:tr>
      <w:bookmarkEnd w:id="140"/>
      <w:tr w:rsidR="00A81639" w:rsidRPr="00576180" w14:paraId="055FDFF6" w14:textId="77777777" w:rsidTr="00E44B5C">
        <w:trPr>
          <w:trHeight w:val="205"/>
        </w:trPr>
        <w:tc>
          <w:tcPr>
            <w:tcW w:w="580" w:type="dxa"/>
            <w:shd w:val="clear" w:color="auto" w:fill="auto"/>
            <w:noWrap/>
            <w:vAlign w:val="center"/>
          </w:tcPr>
          <w:p w14:paraId="2D46CC6D" w14:textId="3782F7A3"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2.7</w:t>
            </w:r>
          </w:p>
        </w:tc>
        <w:tc>
          <w:tcPr>
            <w:tcW w:w="2210" w:type="dxa"/>
            <w:shd w:val="clear" w:color="auto" w:fill="auto"/>
            <w:vAlign w:val="center"/>
          </w:tcPr>
          <w:p w14:paraId="101D3AF5" w14:textId="66382E84" w:rsidR="00A81639" w:rsidRPr="00576180" w:rsidRDefault="00A81639" w:rsidP="00A81639">
            <w:pPr>
              <w:spacing w:after="0" w:line="240" w:lineRule="auto"/>
              <w:rPr>
                <w:rFonts w:ascii="Arial" w:hAnsi="Arial" w:cs="Arial"/>
                <w:sz w:val="18"/>
                <w:szCs w:val="18"/>
              </w:rPr>
            </w:pPr>
            <w:r w:rsidRPr="00576180">
              <w:rPr>
                <w:rFonts w:ascii="Arial" w:hAnsi="Arial" w:cs="Arial"/>
                <w:sz w:val="18"/>
                <w:szCs w:val="18"/>
              </w:rPr>
              <w:t>Porcentaje de asientos contables automatizados</w:t>
            </w:r>
          </w:p>
        </w:tc>
        <w:tc>
          <w:tcPr>
            <w:tcW w:w="801" w:type="dxa"/>
            <w:shd w:val="clear" w:color="auto" w:fill="auto"/>
            <w:noWrap/>
            <w:vAlign w:val="center"/>
          </w:tcPr>
          <w:p w14:paraId="145D69B4"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100%</w:t>
            </w:r>
          </w:p>
          <w:p w14:paraId="4C6B75D0" w14:textId="5EACD982"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(2009)</w:t>
            </w:r>
          </w:p>
        </w:tc>
        <w:tc>
          <w:tcPr>
            <w:tcW w:w="901" w:type="dxa"/>
            <w:shd w:val="clear" w:color="auto" w:fill="auto"/>
            <w:noWrap/>
            <w:vAlign w:val="center"/>
          </w:tcPr>
          <w:p w14:paraId="28213621" w14:textId="209862D0" w:rsidR="00A81639" w:rsidRPr="00576180" w:rsidRDefault="008E5278" w:rsidP="00A81639">
            <w:pPr>
              <w:spacing w:after="0" w:line="240" w:lineRule="auto"/>
              <w:jc w:val="center"/>
              <w:rPr>
                <w:rFonts w:ascii="Arial" w:eastAsiaTheme="majorEastAsia" w:hAnsi="Arial" w:cs="Arial"/>
                <w:bCs/>
                <w:sz w:val="18"/>
                <w:szCs w:val="18"/>
              </w:rPr>
            </w:pPr>
            <w:r>
              <w:rPr>
                <w:rFonts w:ascii="Arial" w:eastAsiaTheme="majorEastAsia" w:hAnsi="Arial" w:cs="Arial"/>
                <w:bCs/>
                <w:sz w:val="18"/>
                <w:szCs w:val="18"/>
              </w:rPr>
              <w:t>0</w:t>
            </w:r>
            <w:r w:rsidR="00A81639" w:rsidRPr="00576180">
              <w:rPr>
                <w:rFonts w:ascii="Arial" w:eastAsiaTheme="majorEastAsia" w:hAnsi="Arial" w:cs="Arial"/>
                <w:bCs/>
                <w:sz w:val="18"/>
                <w:szCs w:val="18"/>
              </w:rPr>
              <w:t>%</w:t>
            </w:r>
          </w:p>
          <w:p w14:paraId="519377DD" w14:textId="1D266B0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(2017)</w:t>
            </w:r>
          </w:p>
        </w:tc>
        <w:tc>
          <w:tcPr>
            <w:tcW w:w="6043" w:type="dxa"/>
            <w:shd w:val="clear" w:color="auto" w:fill="auto"/>
            <w:vAlign w:val="center"/>
          </w:tcPr>
          <w:p w14:paraId="216A482E" w14:textId="5D9EFBAD" w:rsidR="00A81639" w:rsidRPr="00576180" w:rsidRDefault="00A81639" w:rsidP="00A81639">
            <w:pPr>
              <w:spacing w:after="0" w:line="240" w:lineRule="auto"/>
              <w:jc w:val="both"/>
              <w:rPr>
                <w:rFonts w:ascii="Arial" w:eastAsiaTheme="majorEastAsia" w:hAnsi="Arial" w:cs="Arial"/>
                <w:bCs/>
                <w:sz w:val="18"/>
                <w:szCs w:val="18"/>
              </w:rPr>
            </w:pPr>
            <w:r w:rsidRPr="00576180">
              <w:rPr>
                <w:rFonts w:ascii="Arial" w:eastAsiaTheme="majorEastAsia" w:hAnsi="Arial" w:cs="Arial"/>
                <w:bCs/>
                <w:sz w:val="18"/>
                <w:szCs w:val="18"/>
              </w:rPr>
              <w:t>El resultado no fue alcanzado</w:t>
            </w:r>
            <w:r w:rsidR="005118CA">
              <w:rPr>
                <w:rFonts w:ascii="Arial" w:eastAsiaTheme="majorEastAsia" w:hAnsi="Arial" w:cs="Arial"/>
                <w:bCs/>
                <w:sz w:val="18"/>
                <w:szCs w:val="18"/>
              </w:rPr>
              <w:t>.</w:t>
            </w:r>
            <w:r w:rsidRPr="00576180">
              <w:rPr>
                <w:rFonts w:ascii="Arial" w:eastAsiaTheme="majorEastAsia" w:hAnsi="Arial" w:cs="Arial"/>
                <w:bCs/>
                <w:sz w:val="18"/>
                <w:szCs w:val="18"/>
              </w:rPr>
              <w:t xml:space="preserve"> </w:t>
            </w:r>
            <w:r w:rsidR="005118CA">
              <w:rPr>
                <w:rFonts w:ascii="Arial" w:eastAsiaTheme="majorEastAsia" w:hAnsi="Arial" w:cs="Arial"/>
                <w:bCs/>
                <w:sz w:val="18"/>
                <w:szCs w:val="18"/>
              </w:rPr>
              <w:t>A</w:t>
            </w:r>
            <w:r w:rsidRPr="00576180">
              <w:rPr>
                <w:rFonts w:ascii="Arial" w:eastAsiaTheme="majorEastAsia" w:hAnsi="Arial" w:cs="Arial"/>
                <w:bCs/>
                <w:sz w:val="18"/>
                <w:szCs w:val="18"/>
              </w:rPr>
              <w:t>unque</w:t>
            </w:r>
            <w:r w:rsidR="0040373B">
              <w:rPr>
                <w:rFonts w:ascii="Arial" w:eastAsiaTheme="majorEastAsia" w:hAnsi="Arial" w:cs="Arial"/>
                <w:bCs/>
                <w:sz w:val="18"/>
                <w:szCs w:val="18"/>
              </w:rPr>
              <w:t xml:space="preserve"> </w:t>
            </w:r>
            <w:r w:rsidRPr="00576180">
              <w:rPr>
                <w:rFonts w:ascii="Arial" w:eastAsiaTheme="majorEastAsia" w:hAnsi="Arial" w:cs="Arial"/>
                <w:bCs/>
                <w:sz w:val="18"/>
                <w:szCs w:val="18"/>
              </w:rPr>
              <w:t>el SIAF-SP cuent</w:t>
            </w:r>
            <w:r w:rsidR="0040373B">
              <w:rPr>
                <w:rFonts w:ascii="Arial" w:eastAsiaTheme="majorEastAsia" w:hAnsi="Arial" w:cs="Arial"/>
                <w:bCs/>
                <w:sz w:val="18"/>
                <w:szCs w:val="18"/>
              </w:rPr>
              <w:t xml:space="preserve">e </w:t>
            </w:r>
            <w:r w:rsidRPr="00576180">
              <w:rPr>
                <w:rFonts w:ascii="Arial" w:eastAsiaTheme="majorEastAsia" w:hAnsi="Arial" w:cs="Arial"/>
                <w:bCs/>
                <w:sz w:val="18"/>
                <w:szCs w:val="18"/>
              </w:rPr>
              <w:t xml:space="preserve">con la capacidad de ejecutar los asientos contables de forma automática, </w:t>
            </w:r>
            <w:r w:rsidR="0040373B">
              <w:rPr>
                <w:rFonts w:ascii="Arial" w:eastAsiaTheme="majorEastAsia" w:hAnsi="Arial" w:cs="Arial"/>
                <w:bCs/>
                <w:sz w:val="18"/>
                <w:szCs w:val="18"/>
              </w:rPr>
              <w:t xml:space="preserve">esto no es posible </w:t>
            </w:r>
            <w:r w:rsidR="0040373B">
              <w:rPr>
                <w:rFonts w:ascii="Arial" w:eastAsiaTheme="majorEastAsia" w:hAnsi="Arial" w:cs="Arial"/>
                <w:bCs/>
                <w:sz w:val="18"/>
                <w:szCs w:val="18"/>
              </w:rPr>
              <w:lastRenderedPageBreak/>
              <w:t>porque la clasificación presupuestaria, el plan de cuentas y los catálogos de bienes y servicios no están armoniza</w:t>
            </w:r>
            <w:r w:rsidR="005118CA">
              <w:rPr>
                <w:rFonts w:ascii="Arial" w:eastAsiaTheme="majorEastAsia" w:hAnsi="Arial" w:cs="Arial"/>
                <w:bCs/>
                <w:sz w:val="18"/>
                <w:szCs w:val="18"/>
              </w:rPr>
              <w:t>d</w:t>
            </w:r>
            <w:r w:rsidR="0040373B">
              <w:rPr>
                <w:rFonts w:ascii="Arial" w:eastAsiaTheme="majorEastAsia" w:hAnsi="Arial" w:cs="Arial"/>
                <w:bCs/>
                <w:sz w:val="18"/>
                <w:szCs w:val="18"/>
              </w:rPr>
              <w:t>os</w:t>
            </w:r>
            <w:r w:rsidR="005118CA">
              <w:rPr>
                <w:rFonts w:ascii="Arial" w:eastAsiaTheme="majorEastAsia" w:hAnsi="Arial" w:cs="Arial"/>
                <w:bCs/>
                <w:sz w:val="18"/>
                <w:szCs w:val="18"/>
              </w:rPr>
              <w:t>.</w:t>
            </w:r>
            <w:r w:rsidR="0040373B">
              <w:rPr>
                <w:rFonts w:ascii="Arial" w:eastAsiaTheme="majorEastAsia" w:hAnsi="Arial" w:cs="Arial"/>
                <w:bCs/>
                <w:sz w:val="18"/>
                <w:szCs w:val="18"/>
              </w:rPr>
              <w:t xml:space="preserve"> </w:t>
            </w:r>
            <w:r w:rsidR="005118CA">
              <w:rPr>
                <w:rFonts w:ascii="Arial" w:eastAsiaTheme="majorEastAsia" w:hAnsi="Arial" w:cs="Arial"/>
                <w:bCs/>
                <w:sz w:val="18"/>
                <w:szCs w:val="18"/>
              </w:rPr>
              <w:t>P</w:t>
            </w:r>
            <w:r w:rsidR="0040373B">
              <w:rPr>
                <w:rFonts w:ascii="Arial" w:eastAsiaTheme="majorEastAsia" w:hAnsi="Arial" w:cs="Arial"/>
                <w:bCs/>
                <w:sz w:val="18"/>
                <w:szCs w:val="18"/>
              </w:rPr>
              <w:t xml:space="preserve">or lo </w:t>
            </w:r>
            <w:r w:rsidR="008E5278">
              <w:rPr>
                <w:rFonts w:ascii="Arial" w:eastAsiaTheme="majorEastAsia" w:hAnsi="Arial" w:cs="Arial"/>
                <w:bCs/>
                <w:sz w:val="18"/>
                <w:szCs w:val="18"/>
              </w:rPr>
              <w:t>tanto,</w:t>
            </w:r>
            <w:r w:rsidR="0040373B">
              <w:rPr>
                <w:rFonts w:ascii="Arial" w:eastAsiaTheme="majorEastAsia" w:hAnsi="Arial" w:cs="Arial"/>
                <w:bCs/>
                <w:sz w:val="18"/>
                <w:szCs w:val="18"/>
              </w:rPr>
              <w:t xml:space="preserve"> para cada transacción realizada</w:t>
            </w:r>
            <w:r w:rsidR="005118CA">
              <w:rPr>
                <w:rFonts w:ascii="Arial" w:eastAsiaTheme="majorEastAsia" w:hAnsi="Arial" w:cs="Arial"/>
                <w:bCs/>
                <w:sz w:val="18"/>
                <w:szCs w:val="18"/>
              </w:rPr>
              <w:t>,</w:t>
            </w:r>
            <w:r w:rsidR="0040373B">
              <w:rPr>
                <w:rFonts w:ascii="Arial" w:eastAsiaTheme="majorEastAsia" w:hAnsi="Arial" w:cs="Arial"/>
                <w:bCs/>
                <w:sz w:val="18"/>
                <w:szCs w:val="18"/>
              </w:rPr>
              <w:t xml:space="preserve"> es necesari</w:t>
            </w:r>
            <w:r w:rsidR="005118CA">
              <w:rPr>
                <w:rFonts w:ascii="Arial" w:eastAsiaTheme="majorEastAsia" w:hAnsi="Arial" w:cs="Arial"/>
                <w:bCs/>
                <w:sz w:val="18"/>
                <w:szCs w:val="18"/>
              </w:rPr>
              <w:t>a</w:t>
            </w:r>
            <w:r w:rsidR="0040373B">
              <w:rPr>
                <w:rFonts w:ascii="Arial" w:eastAsiaTheme="majorEastAsia" w:hAnsi="Arial" w:cs="Arial"/>
                <w:bCs/>
                <w:sz w:val="18"/>
                <w:szCs w:val="18"/>
              </w:rPr>
              <w:t xml:space="preserve"> la intervención de un funcionario con conocimientos contables para </w:t>
            </w:r>
            <w:r w:rsidR="005118CA">
              <w:rPr>
                <w:rFonts w:ascii="Arial" w:eastAsiaTheme="majorEastAsia" w:hAnsi="Arial" w:cs="Arial"/>
                <w:bCs/>
                <w:sz w:val="18"/>
                <w:szCs w:val="18"/>
              </w:rPr>
              <w:t>afectar</w:t>
            </w:r>
            <w:r w:rsidR="0040373B">
              <w:rPr>
                <w:rFonts w:ascii="Arial" w:eastAsiaTheme="majorEastAsia" w:hAnsi="Arial" w:cs="Arial"/>
                <w:bCs/>
                <w:sz w:val="18"/>
                <w:szCs w:val="18"/>
              </w:rPr>
              <w:t xml:space="preserve"> las cuentas de débito y crédito referentes a la transición realizada.</w:t>
            </w:r>
          </w:p>
        </w:tc>
      </w:tr>
      <w:tr w:rsidR="00A81639" w:rsidRPr="00576180" w14:paraId="71A20E6C" w14:textId="77777777" w:rsidTr="00E44B5C">
        <w:trPr>
          <w:trHeight w:val="205"/>
        </w:trPr>
        <w:tc>
          <w:tcPr>
            <w:tcW w:w="580" w:type="dxa"/>
            <w:shd w:val="clear" w:color="auto" w:fill="auto"/>
            <w:noWrap/>
            <w:vAlign w:val="center"/>
          </w:tcPr>
          <w:p w14:paraId="4A1F8C46" w14:textId="3662E7AE"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lastRenderedPageBreak/>
              <w:t>2.8</w:t>
            </w:r>
          </w:p>
        </w:tc>
        <w:tc>
          <w:tcPr>
            <w:tcW w:w="2210" w:type="dxa"/>
            <w:shd w:val="clear" w:color="auto" w:fill="auto"/>
            <w:vAlign w:val="center"/>
          </w:tcPr>
          <w:p w14:paraId="37554434" w14:textId="12B1C695" w:rsidR="00A81639" w:rsidRPr="00576180" w:rsidRDefault="00A81639" w:rsidP="00A81639">
            <w:pPr>
              <w:spacing w:after="0" w:line="240" w:lineRule="auto"/>
              <w:rPr>
                <w:rFonts w:ascii="Arial" w:hAnsi="Arial" w:cs="Arial"/>
                <w:sz w:val="18"/>
                <w:szCs w:val="18"/>
              </w:rPr>
            </w:pPr>
            <w:r w:rsidRPr="00576180">
              <w:rPr>
                <w:rFonts w:ascii="Arial" w:hAnsi="Arial" w:cs="Arial"/>
                <w:sz w:val="18"/>
                <w:szCs w:val="18"/>
              </w:rPr>
              <w:t>Oportunidad de los estados financieros (tiempos de preparación y envío al MEF de los estados financieros intermedios y anuales)</w:t>
            </w:r>
          </w:p>
        </w:tc>
        <w:tc>
          <w:tcPr>
            <w:tcW w:w="801" w:type="dxa"/>
            <w:shd w:val="clear" w:color="auto" w:fill="auto"/>
            <w:noWrap/>
            <w:vAlign w:val="center"/>
          </w:tcPr>
          <w:p w14:paraId="491BEFFC"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15 días</w:t>
            </w:r>
          </w:p>
          <w:p w14:paraId="5D265282" w14:textId="4FD276AE"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(2009)</w:t>
            </w:r>
          </w:p>
        </w:tc>
        <w:tc>
          <w:tcPr>
            <w:tcW w:w="901" w:type="dxa"/>
            <w:shd w:val="clear" w:color="auto" w:fill="auto"/>
            <w:noWrap/>
            <w:vAlign w:val="center"/>
          </w:tcPr>
          <w:p w14:paraId="581FCCC6" w14:textId="1E191323" w:rsidR="00A81639" w:rsidRPr="00576180" w:rsidRDefault="00133149" w:rsidP="00A81639">
            <w:pPr>
              <w:spacing w:after="0" w:line="240" w:lineRule="auto"/>
              <w:jc w:val="center"/>
              <w:rPr>
                <w:rFonts w:ascii="Arial" w:eastAsiaTheme="majorEastAsia" w:hAnsi="Arial" w:cs="Arial"/>
                <w:bCs/>
                <w:sz w:val="18"/>
                <w:szCs w:val="18"/>
              </w:rPr>
            </w:pPr>
            <w:r>
              <w:rPr>
                <w:rFonts w:ascii="Arial" w:eastAsiaTheme="majorEastAsia" w:hAnsi="Arial" w:cs="Arial"/>
                <w:bCs/>
                <w:sz w:val="18"/>
                <w:szCs w:val="18"/>
              </w:rPr>
              <w:t>0</w:t>
            </w:r>
            <w:r w:rsidR="00A81639" w:rsidRPr="00576180">
              <w:rPr>
                <w:rFonts w:ascii="Arial" w:eastAsiaTheme="majorEastAsia" w:hAnsi="Arial" w:cs="Arial"/>
                <w:bCs/>
                <w:sz w:val="18"/>
                <w:szCs w:val="18"/>
              </w:rPr>
              <w:t>%</w:t>
            </w:r>
          </w:p>
          <w:p w14:paraId="22383A57" w14:textId="56FFA06B"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(2017)</w:t>
            </w:r>
          </w:p>
        </w:tc>
        <w:tc>
          <w:tcPr>
            <w:tcW w:w="6043" w:type="dxa"/>
            <w:shd w:val="clear" w:color="auto" w:fill="auto"/>
            <w:vAlign w:val="center"/>
          </w:tcPr>
          <w:p w14:paraId="6222F1C5" w14:textId="24174522" w:rsidR="00A81639" w:rsidRPr="00576180" w:rsidRDefault="006A6B42" w:rsidP="00A81639">
            <w:pPr>
              <w:spacing w:after="0" w:line="240" w:lineRule="auto"/>
              <w:jc w:val="both"/>
              <w:rPr>
                <w:rFonts w:ascii="Arial" w:eastAsiaTheme="majorEastAsia" w:hAnsi="Arial" w:cs="Arial"/>
                <w:bCs/>
                <w:sz w:val="18"/>
                <w:szCs w:val="18"/>
              </w:rPr>
            </w:pPr>
            <w:r w:rsidRPr="006A6B42">
              <w:rPr>
                <w:rFonts w:ascii="Arial" w:eastAsiaTheme="majorEastAsia" w:hAnsi="Arial" w:cs="Arial"/>
                <w:bCs/>
                <w:sz w:val="18"/>
                <w:szCs w:val="18"/>
              </w:rPr>
              <w:t xml:space="preserve">El resultado </w:t>
            </w:r>
            <w:r w:rsidR="00133149">
              <w:rPr>
                <w:rFonts w:ascii="Arial" w:eastAsiaTheme="majorEastAsia" w:hAnsi="Arial" w:cs="Arial"/>
                <w:bCs/>
                <w:sz w:val="18"/>
                <w:szCs w:val="18"/>
              </w:rPr>
              <w:t xml:space="preserve">no </w:t>
            </w:r>
            <w:r w:rsidRPr="006A6B42">
              <w:rPr>
                <w:rFonts w:ascii="Arial" w:eastAsiaTheme="majorEastAsia" w:hAnsi="Arial" w:cs="Arial"/>
                <w:bCs/>
                <w:sz w:val="18"/>
                <w:szCs w:val="18"/>
              </w:rPr>
              <w:t>fue alcanzado</w:t>
            </w:r>
            <w:r w:rsidR="00133149">
              <w:rPr>
                <w:rFonts w:ascii="Arial" w:eastAsiaTheme="majorEastAsia" w:hAnsi="Arial" w:cs="Arial"/>
                <w:bCs/>
                <w:sz w:val="18"/>
                <w:szCs w:val="18"/>
              </w:rPr>
              <w:t>. Este resultado estaba mayormente asociado a la implementación de la contabilidad en línea a ser incorporada en el nuevo sistema SIAF II</w:t>
            </w:r>
            <w:r w:rsidR="006F03A7">
              <w:rPr>
                <w:rFonts w:ascii="Arial" w:eastAsiaTheme="majorEastAsia" w:hAnsi="Arial" w:cs="Arial"/>
                <w:bCs/>
                <w:sz w:val="18"/>
                <w:szCs w:val="18"/>
              </w:rPr>
              <w:t xml:space="preserve"> (P1.2)</w:t>
            </w:r>
            <w:r w:rsidR="00133149">
              <w:rPr>
                <w:rFonts w:ascii="Arial" w:eastAsiaTheme="majorEastAsia" w:hAnsi="Arial" w:cs="Arial"/>
                <w:bCs/>
                <w:sz w:val="18"/>
                <w:szCs w:val="18"/>
              </w:rPr>
              <w:t>.</w:t>
            </w:r>
          </w:p>
        </w:tc>
      </w:tr>
      <w:tr w:rsidR="00A81639" w:rsidRPr="00576180" w14:paraId="5B22B546" w14:textId="77777777" w:rsidTr="00E44B5C">
        <w:trPr>
          <w:trHeight w:val="40"/>
        </w:trPr>
        <w:tc>
          <w:tcPr>
            <w:tcW w:w="10535" w:type="dxa"/>
            <w:gridSpan w:val="5"/>
            <w:shd w:val="clear" w:color="auto" w:fill="D9D9D9" w:themeFill="background1" w:themeFillShade="D9"/>
            <w:noWrap/>
            <w:vAlign w:val="center"/>
          </w:tcPr>
          <w:p w14:paraId="574DB4EC" w14:textId="146DA133" w:rsidR="00A81639" w:rsidRPr="00576180" w:rsidRDefault="00A81639" w:rsidP="00A81639">
            <w:pPr>
              <w:spacing w:after="0" w:line="240" w:lineRule="auto"/>
              <w:rPr>
                <w:rFonts w:ascii="Arial" w:hAnsi="Arial" w:cs="Arial"/>
                <w:b/>
                <w:sz w:val="18"/>
                <w:szCs w:val="18"/>
              </w:rPr>
            </w:pPr>
            <w:r w:rsidRPr="00576180">
              <w:rPr>
                <w:rFonts w:ascii="Arial" w:hAnsi="Arial" w:cs="Arial"/>
                <w:b/>
                <w:sz w:val="18"/>
                <w:szCs w:val="18"/>
              </w:rPr>
              <w:t>C3. Institucionalización de instrumentos de gestión presupuestaria para mejorar la calidad del gasto</w:t>
            </w:r>
          </w:p>
        </w:tc>
      </w:tr>
      <w:tr w:rsidR="00A81639" w:rsidRPr="00576180" w14:paraId="39CE2940" w14:textId="77777777" w:rsidTr="00E44B5C">
        <w:trPr>
          <w:trHeight w:val="25"/>
        </w:trPr>
        <w:tc>
          <w:tcPr>
            <w:tcW w:w="580" w:type="dxa"/>
            <w:shd w:val="clear" w:color="auto" w:fill="auto"/>
            <w:noWrap/>
            <w:vAlign w:val="center"/>
          </w:tcPr>
          <w:p w14:paraId="2BB80AC3" w14:textId="0B5ED249" w:rsidR="00A81639" w:rsidRPr="00576180" w:rsidRDefault="00A81639" w:rsidP="00A81639">
            <w:pPr>
              <w:spacing w:after="0" w:line="240" w:lineRule="auto"/>
              <w:rPr>
                <w:rFonts w:ascii="Arial" w:eastAsiaTheme="majorEastAsia" w:hAnsi="Arial" w:cs="Arial"/>
                <w:bCs/>
                <w:sz w:val="18"/>
                <w:szCs w:val="18"/>
              </w:rPr>
            </w:pPr>
            <w:r w:rsidRPr="00576180">
              <w:rPr>
                <w:rFonts w:ascii="Arial" w:eastAsiaTheme="majorEastAsia" w:hAnsi="Arial" w:cs="Arial"/>
                <w:bCs/>
                <w:sz w:val="18"/>
                <w:szCs w:val="18"/>
              </w:rPr>
              <w:t>2.9</w:t>
            </w:r>
          </w:p>
        </w:tc>
        <w:tc>
          <w:tcPr>
            <w:tcW w:w="2210" w:type="dxa"/>
            <w:shd w:val="clear" w:color="000000" w:fill="FFFFFF"/>
            <w:vAlign w:val="center"/>
          </w:tcPr>
          <w:p w14:paraId="4E81A338" w14:textId="38978580" w:rsidR="00A81639" w:rsidRPr="00576180" w:rsidRDefault="00A81639" w:rsidP="00A81639">
            <w:pPr>
              <w:spacing w:after="0" w:line="240" w:lineRule="auto"/>
              <w:rPr>
                <w:rFonts w:ascii="Arial" w:eastAsiaTheme="majorEastAsia" w:hAnsi="Arial" w:cs="Arial"/>
                <w:bCs/>
                <w:sz w:val="18"/>
                <w:szCs w:val="18"/>
              </w:rPr>
            </w:pPr>
            <w:r w:rsidRPr="00576180">
              <w:rPr>
                <w:rFonts w:ascii="Arial" w:hAnsi="Arial" w:cs="Arial"/>
                <w:sz w:val="18"/>
                <w:szCs w:val="18"/>
              </w:rPr>
              <w:t xml:space="preserve">Cobertura de </w:t>
            </w:r>
            <w:proofErr w:type="spellStart"/>
            <w:r w:rsidRPr="00576180">
              <w:rPr>
                <w:rFonts w:ascii="Arial" w:hAnsi="Arial" w:cs="Arial"/>
                <w:sz w:val="18"/>
                <w:szCs w:val="18"/>
              </w:rPr>
              <w:t>PpR</w:t>
            </w:r>
            <w:proofErr w:type="spellEnd"/>
            <w:r w:rsidRPr="00576180">
              <w:rPr>
                <w:rFonts w:ascii="Arial" w:hAnsi="Arial" w:cs="Arial"/>
                <w:sz w:val="18"/>
                <w:szCs w:val="18"/>
              </w:rPr>
              <w:t xml:space="preserve"> comparado con el total del gasto no financiero ni previsional del presupuesto del gobierno general</w:t>
            </w:r>
          </w:p>
        </w:tc>
        <w:tc>
          <w:tcPr>
            <w:tcW w:w="801" w:type="dxa"/>
            <w:shd w:val="clear" w:color="auto" w:fill="auto"/>
            <w:noWrap/>
            <w:vAlign w:val="center"/>
          </w:tcPr>
          <w:p w14:paraId="5E5F8704"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38%</w:t>
            </w:r>
          </w:p>
          <w:p w14:paraId="11CB7EF8"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(2009)</w:t>
            </w:r>
          </w:p>
        </w:tc>
        <w:tc>
          <w:tcPr>
            <w:tcW w:w="901" w:type="dxa"/>
            <w:shd w:val="clear" w:color="auto" w:fill="auto"/>
            <w:noWrap/>
            <w:vAlign w:val="center"/>
          </w:tcPr>
          <w:p w14:paraId="46D2B3C1" w14:textId="076660FA"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100%</w:t>
            </w:r>
          </w:p>
          <w:p w14:paraId="1C46CDC7" w14:textId="77777777" w:rsidR="00A81639" w:rsidRPr="00576180" w:rsidRDefault="00A81639" w:rsidP="00A81639">
            <w:pPr>
              <w:spacing w:after="0" w:line="240" w:lineRule="auto"/>
              <w:jc w:val="center"/>
              <w:rPr>
                <w:rFonts w:ascii="Arial" w:eastAsiaTheme="majorEastAsia" w:hAnsi="Arial" w:cs="Arial"/>
                <w:bCs/>
                <w:sz w:val="18"/>
                <w:szCs w:val="18"/>
              </w:rPr>
            </w:pPr>
            <w:r w:rsidRPr="00576180">
              <w:rPr>
                <w:rFonts w:ascii="Arial" w:eastAsiaTheme="majorEastAsia" w:hAnsi="Arial" w:cs="Arial"/>
                <w:bCs/>
                <w:sz w:val="18"/>
                <w:szCs w:val="18"/>
              </w:rPr>
              <w:t>(2017)</w:t>
            </w:r>
          </w:p>
        </w:tc>
        <w:tc>
          <w:tcPr>
            <w:tcW w:w="6043" w:type="dxa"/>
            <w:shd w:val="clear" w:color="auto" w:fill="auto"/>
            <w:vAlign w:val="center"/>
          </w:tcPr>
          <w:p w14:paraId="63511CE3" w14:textId="27E77544" w:rsidR="00A81639" w:rsidRPr="0078032D" w:rsidRDefault="00A81639" w:rsidP="00A81639">
            <w:pPr>
              <w:pStyle w:val="NormalWeb"/>
              <w:shd w:val="clear" w:color="auto" w:fill="FFFFFF"/>
              <w:spacing w:after="0"/>
              <w:jc w:val="both"/>
              <w:rPr>
                <w:rFonts w:ascii="Arial" w:hAnsi="Arial" w:cs="Arial"/>
                <w:sz w:val="18"/>
                <w:szCs w:val="18"/>
                <w:lang w:val="es-ES"/>
              </w:rPr>
            </w:pPr>
            <w:r w:rsidRPr="00576180">
              <w:rPr>
                <w:rFonts w:ascii="Arial" w:hAnsi="Arial" w:cs="Arial"/>
                <w:sz w:val="18"/>
                <w:szCs w:val="18"/>
                <w:lang w:val="es-ES_tradnl"/>
              </w:rPr>
              <w:t xml:space="preserve">El resultado fue alcanzado. De acuerdo con información provista por la Dirección de Calidad del Gasto Público (DCGP) el presupuesto por resultados ha tenido una tendencia ascendente como porcentaje del presupuesto general, excluyendo pensiones, deuda y reservas de contingencia. El alcance de este resultado está asociado a los 4 productos del componente </w:t>
            </w:r>
            <w:r w:rsidR="006F03A7">
              <w:rPr>
                <w:rFonts w:ascii="Arial" w:hAnsi="Arial" w:cs="Arial"/>
                <w:sz w:val="18"/>
                <w:szCs w:val="18"/>
                <w:lang w:val="es-ES_tradnl"/>
              </w:rPr>
              <w:t>III</w:t>
            </w:r>
            <w:r w:rsidRPr="00576180">
              <w:rPr>
                <w:rFonts w:ascii="Arial" w:hAnsi="Arial" w:cs="Arial"/>
                <w:sz w:val="18"/>
                <w:szCs w:val="18"/>
                <w:lang w:val="es-ES_tradnl"/>
              </w:rPr>
              <w:t>: (</w:t>
            </w:r>
            <w:r w:rsidR="006F03A7">
              <w:rPr>
                <w:rFonts w:ascii="Arial" w:hAnsi="Arial" w:cs="Arial"/>
                <w:sz w:val="18"/>
                <w:szCs w:val="18"/>
                <w:lang w:val="es-ES_tradnl"/>
              </w:rPr>
              <w:t>P3.1</w:t>
            </w:r>
            <w:r w:rsidRPr="00576180">
              <w:rPr>
                <w:rFonts w:ascii="Arial" w:hAnsi="Arial" w:cs="Arial"/>
                <w:sz w:val="18"/>
                <w:szCs w:val="18"/>
                <w:lang w:val="es-ES_tradnl"/>
              </w:rPr>
              <w:t>) guía metodológica para promover la reestructuración de los programas presupuestarios bajo la lógica insumo-producto; (</w:t>
            </w:r>
            <w:r w:rsidR="006F03A7">
              <w:rPr>
                <w:rFonts w:ascii="Arial" w:hAnsi="Arial" w:cs="Arial"/>
                <w:sz w:val="18"/>
                <w:szCs w:val="18"/>
                <w:lang w:val="es-ES_tradnl"/>
              </w:rPr>
              <w:t>P3.2</w:t>
            </w:r>
            <w:r w:rsidRPr="00576180">
              <w:rPr>
                <w:rFonts w:ascii="Arial" w:hAnsi="Arial" w:cs="Arial"/>
                <w:sz w:val="18"/>
                <w:szCs w:val="18"/>
                <w:lang w:val="es-ES_tradnl"/>
              </w:rPr>
              <w:t xml:space="preserve">) capacitación en gestión presupuestaria y </w:t>
            </w:r>
            <w:proofErr w:type="spellStart"/>
            <w:r w:rsidRPr="00576180">
              <w:rPr>
                <w:rFonts w:ascii="Arial" w:hAnsi="Arial" w:cs="Arial"/>
                <w:sz w:val="18"/>
                <w:szCs w:val="18"/>
                <w:lang w:val="es-ES_tradnl"/>
              </w:rPr>
              <w:t>PpR</w:t>
            </w:r>
            <w:proofErr w:type="spellEnd"/>
            <w:r w:rsidRPr="00576180">
              <w:rPr>
                <w:rFonts w:ascii="Arial" w:hAnsi="Arial" w:cs="Arial"/>
                <w:sz w:val="18"/>
                <w:szCs w:val="18"/>
                <w:lang w:val="es-ES_tradnl"/>
              </w:rPr>
              <w:t>; (</w:t>
            </w:r>
            <w:r w:rsidR="006F03A7">
              <w:rPr>
                <w:rFonts w:ascii="Arial" w:hAnsi="Arial" w:cs="Arial"/>
                <w:sz w:val="18"/>
                <w:szCs w:val="18"/>
                <w:lang w:val="es-ES_tradnl"/>
              </w:rPr>
              <w:t>P3.3</w:t>
            </w:r>
            <w:r w:rsidRPr="00576180">
              <w:rPr>
                <w:rFonts w:ascii="Arial" w:hAnsi="Arial" w:cs="Arial"/>
                <w:sz w:val="18"/>
                <w:szCs w:val="18"/>
                <w:lang w:val="es-ES_tradnl"/>
              </w:rPr>
              <w:t>) estudio de evaluación de sistemas de gestión administrativa; y (</w:t>
            </w:r>
            <w:r w:rsidR="006F03A7">
              <w:rPr>
                <w:rFonts w:ascii="Arial" w:hAnsi="Arial" w:cs="Arial"/>
                <w:sz w:val="18"/>
                <w:szCs w:val="18"/>
                <w:lang w:val="es-ES_tradnl"/>
              </w:rPr>
              <w:t>P3.4</w:t>
            </w:r>
            <w:r w:rsidRPr="00576180">
              <w:rPr>
                <w:rFonts w:ascii="Arial" w:hAnsi="Arial" w:cs="Arial"/>
                <w:sz w:val="18"/>
                <w:szCs w:val="18"/>
                <w:lang w:val="es-ES_tradnl"/>
              </w:rPr>
              <w:t>) evaluaciones de diseño, impacto y desempeño realizadas y revisiones metodológicas.</w:t>
            </w:r>
            <w:r w:rsidR="0078032D">
              <w:rPr>
                <w:rFonts w:ascii="Arial" w:hAnsi="Arial" w:cs="Arial"/>
                <w:sz w:val="18"/>
                <w:szCs w:val="18"/>
                <w:lang w:val="es-ES_tradnl"/>
              </w:rPr>
              <w:t xml:space="preserve"> </w:t>
            </w:r>
            <w:r w:rsidR="0078032D" w:rsidRPr="0078032D">
              <w:rPr>
                <w:rFonts w:ascii="Arial" w:hAnsi="Arial" w:cs="Arial"/>
                <w:sz w:val="18"/>
                <w:szCs w:val="18"/>
                <w:lang w:val="es-ES"/>
              </w:rPr>
              <w:t xml:space="preserve">Importante </w:t>
            </w:r>
            <w:proofErr w:type="gramStart"/>
            <w:r w:rsidR="0078032D" w:rsidRPr="0078032D">
              <w:rPr>
                <w:rFonts w:ascii="Arial" w:hAnsi="Arial" w:cs="Arial"/>
                <w:sz w:val="18"/>
                <w:szCs w:val="18"/>
                <w:lang w:val="es-ES"/>
              </w:rPr>
              <w:t>mencionar</w:t>
            </w:r>
            <w:proofErr w:type="gramEnd"/>
            <w:r w:rsidR="0078032D" w:rsidRPr="0078032D">
              <w:rPr>
                <w:rFonts w:ascii="Arial" w:hAnsi="Arial" w:cs="Arial"/>
                <w:sz w:val="18"/>
                <w:szCs w:val="18"/>
                <w:lang w:val="es-ES"/>
              </w:rPr>
              <w:t xml:space="preserve"> que este resultado no dependía de la implementación del nuevo sistema SIAF.</w:t>
            </w:r>
          </w:p>
        </w:tc>
      </w:tr>
    </w:tbl>
    <w:bookmarkEnd w:id="139"/>
    <w:p w14:paraId="45AFFBE2" w14:textId="42B921BE" w:rsidR="003805C9" w:rsidRPr="00576180" w:rsidRDefault="006403E9" w:rsidP="006403E9">
      <w:pPr>
        <w:spacing w:after="0" w:line="240" w:lineRule="auto"/>
        <w:rPr>
          <w:rFonts w:ascii="Arial" w:eastAsia="Times New Roman" w:hAnsi="Arial" w:cs="Arial"/>
          <w:color w:val="000000"/>
          <w:sz w:val="16"/>
          <w:szCs w:val="16"/>
          <w:lang w:eastAsia="pt-BR"/>
        </w:rPr>
      </w:pPr>
      <w:r w:rsidRPr="00576180">
        <w:rPr>
          <w:rFonts w:ascii="Arial" w:eastAsia="Times New Roman" w:hAnsi="Arial" w:cs="Arial"/>
          <w:color w:val="000000"/>
          <w:sz w:val="16"/>
          <w:szCs w:val="16"/>
          <w:lang w:eastAsia="pt-BR"/>
        </w:rPr>
        <w:t>Fu</w:t>
      </w:r>
      <w:r w:rsidR="00231AE9" w:rsidRPr="00576180">
        <w:rPr>
          <w:rFonts w:ascii="Arial" w:eastAsia="Times New Roman" w:hAnsi="Arial" w:cs="Arial"/>
          <w:color w:val="000000"/>
          <w:sz w:val="16"/>
          <w:szCs w:val="16"/>
          <w:lang w:eastAsia="pt-BR"/>
        </w:rPr>
        <w:t xml:space="preserve">ente: </w:t>
      </w:r>
      <w:r w:rsidRPr="00576180">
        <w:rPr>
          <w:rFonts w:ascii="Arial" w:eastAsia="Times New Roman" w:hAnsi="Arial" w:cs="Arial"/>
          <w:color w:val="000000"/>
          <w:sz w:val="16"/>
          <w:szCs w:val="16"/>
          <w:lang w:eastAsia="pt-BR"/>
        </w:rPr>
        <w:t>C</w:t>
      </w:r>
      <w:r w:rsidR="00231AE9" w:rsidRPr="00576180">
        <w:rPr>
          <w:rFonts w:ascii="Arial" w:eastAsia="Times New Roman" w:hAnsi="Arial" w:cs="Arial"/>
          <w:color w:val="000000"/>
          <w:sz w:val="16"/>
          <w:szCs w:val="16"/>
          <w:lang w:eastAsia="pt-BR"/>
        </w:rPr>
        <w:t>onvergencia</w:t>
      </w:r>
      <w:r w:rsidR="00DF6463" w:rsidRPr="00576180">
        <w:rPr>
          <w:rFonts w:ascii="Arial" w:eastAsia="Times New Roman" w:hAnsi="Arial" w:cs="Arial"/>
          <w:color w:val="000000"/>
          <w:sz w:val="16"/>
          <w:szCs w:val="16"/>
          <w:lang w:eastAsia="pt-BR"/>
        </w:rPr>
        <w:t xml:space="preserve">. </w:t>
      </w:r>
      <w:r w:rsidR="003805C9" w:rsidRPr="00576180">
        <w:rPr>
          <w:rFonts w:ascii="Arial" w:eastAsia="Times New Roman" w:hAnsi="Arial" w:cs="Arial"/>
          <w:color w:val="000000"/>
          <w:sz w:val="16"/>
          <w:szCs w:val="16"/>
          <w:lang w:eastAsia="pt-BR"/>
        </w:rPr>
        <w:t xml:space="preserve"> </w:t>
      </w:r>
    </w:p>
    <w:p w14:paraId="53505F26" w14:textId="77777777" w:rsidR="00E05A08" w:rsidRPr="00576180" w:rsidRDefault="00E05A08" w:rsidP="006403E9">
      <w:pPr>
        <w:spacing w:after="0" w:line="240" w:lineRule="auto"/>
        <w:rPr>
          <w:rFonts w:ascii="Arial" w:eastAsia="Times New Roman" w:hAnsi="Arial" w:cs="Arial"/>
          <w:color w:val="000000"/>
          <w:sz w:val="16"/>
          <w:szCs w:val="16"/>
          <w:lang w:eastAsia="pt-BR"/>
        </w:rPr>
      </w:pPr>
    </w:p>
    <w:p w14:paraId="48F93954" w14:textId="4B707ACC" w:rsidR="00DC70AB" w:rsidRPr="00576180" w:rsidRDefault="005F1256" w:rsidP="00D17FF5">
      <w:pPr>
        <w:pStyle w:val="ListParagraph"/>
        <w:tabs>
          <w:tab w:val="left" w:pos="9000"/>
        </w:tabs>
        <w:spacing w:before="120" w:after="120" w:line="240" w:lineRule="auto"/>
        <w:ind w:left="360"/>
        <w:contextualSpacing w:val="0"/>
        <w:jc w:val="both"/>
        <w:rPr>
          <w:rFonts w:ascii="Arial" w:hAnsi="Arial" w:cs="Arial"/>
        </w:rPr>
      </w:pPr>
      <w:bookmarkStart w:id="141" w:name="_Hlk531338116"/>
      <w:r w:rsidRPr="00576180">
        <w:rPr>
          <w:rFonts w:ascii="Arial" w:hAnsi="Arial" w:cs="Arial"/>
        </w:rPr>
        <w:t xml:space="preserve">De acuerdo con los cálculos efectuados en el </w:t>
      </w:r>
      <w:proofErr w:type="spellStart"/>
      <w:r w:rsidRPr="00576180">
        <w:rPr>
          <w:rFonts w:ascii="Arial" w:hAnsi="Arial" w:cs="Arial"/>
          <w:i/>
        </w:rPr>
        <w:t>checklist</w:t>
      </w:r>
      <w:proofErr w:type="spellEnd"/>
      <w:r w:rsidRPr="00576180">
        <w:rPr>
          <w:rFonts w:ascii="Arial" w:hAnsi="Arial" w:cs="Arial"/>
        </w:rPr>
        <w:t xml:space="preserve">, los resultados fueron clasificados como insatisfactorios. El objetivo específico 1 obtuvo una clasificación insatisfactoria, el objetivo específico 2 insatisfactoria y el objetivo específico 3 excelente. </w:t>
      </w:r>
      <w:r w:rsidR="0005024C" w:rsidRPr="00576180">
        <w:rPr>
          <w:rFonts w:ascii="Arial" w:hAnsi="Arial" w:cs="Arial"/>
        </w:rPr>
        <w:t>L</w:t>
      </w:r>
      <w:r w:rsidR="00003F13" w:rsidRPr="00576180">
        <w:rPr>
          <w:rFonts w:ascii="Arial" w:hAnsi="Arial" w:cs="Arial"/>
        </w:rPr>
        <w:t xml:space="preserve">a media de los grados de alcance de </w:t>
      </w:r>
      <w:r w:rsidR="0005024C" w:rsidRPr="00576180">
        <w:rPr>
          <w:rFonts w:ascii="Arial" w:hAnsi="Arial" w:cs="Arial"/>
        </w:rPr>
        <w:t>3</w:t>
      </w:r>
      <w:r w:rsidR="00003F13" w:rsidRPr="00576180">
        <w:rPr>
          <w:rFonts w:ascii="Arial" w:hAnsi="Arial" w:cs="Arial"/>
        </w:rPr>
        <w:t xml:space="preserve"> objetivos específicos para los indicadores de resultado fue de </w:t>
      </w:r>
      <w:r w:rsidR="005B05B2">
        <w:rPr>
          <w:rFonts w:ascii="Arial" w:hAnsi="Arial" w:cs="Arial"/>
        </w:rPr>
        <w:t>42.8</w:t>
      </w:r>
      <w:r w:rsidR="00003F13" w:rsidRPr="00576180">
        <w:rPr>
          <w:rFonts w:ascii="Arial" w:hAnsi="Arial" w:cs="Arial"/>
        </w:rPr>
        <w:t>%</w:t>
      </w:r>
      <w:r w:rsidRPr="00576180">
        <w:rPr>
          <w:rFonts w:ascii="Arial" w:hAnsi="Arial" w:cs="Arial"/>
        </w:rPr>
        <w:t xml:space="preserve"> </w:t>
      </w:r>
      <w:r w:rsidR="00003F13" w:rsidRPr="00576180">
        <w:rPr>
          <w:rFonts w:ascii="Arial" w:hAnsi="Arial" w:cs="Arial"/>
        </w:rPr>
        <w:t>(</w:t>
      </w:r>
      <w:r w:rsidR="00802864">
        <w:rPr>
          <w:rFonts w:ascii="Arial" w:hAnsi="Arial" w:cs="Arial"/>
        </w:rPr>
        <w:t>0</w:t>
      </w:r>
      <w:r w:rsidR="00003F13" w:rsidRPr="00576180">
        <w:rPr>
          <w:rFonts w:ascii="Arial" w:hAnsi="Arial" w:cs="Arial"/>
        </w:rPr>
        <w:t>%,</w:t>
      </w:r>
      <w:r w:rsidR="00F02461">
        <w:rPr>
          <w:rFonts w:ascii="Arial" w:hAnsi="Arial" w:cs="Arial"/>
        </w:rPr>
        <w:t>28</w:t>
      </w:r>
      <w:r w:rsidR="00003F13" w:rsidRPr="00576180">
        <w:rPr>
          <w:rFonts w:ascii="Arial" w:hAnsi="Arial" w:cs="Arial"/>
        </w:rPr>
        <w:t>%</w:t>
      </w:r>
      <w:r w:rsidR="0005024C" w:rsidRPr="00576180">
        <w:rPr>
          <w:rFonts w:ascii="Arial" w:hAnsi="Arial" w:cs="Arial"/>
        </w:rPr>
        <w:t xml:space="preserve"> y </w:t>
      </w:r>
      <w:r w:rsidR="00003F13" w:rsidRPr="00576180">
        <w:rPr>
          <w:rFonts w:ascii="Arial" w:hAnsi="Arial" w:cs="Arial"/>
        </w:rPr>
        <w:t>100%</w:t>
      </w:r>
      <w:r w:rsidR="00C96B4D" w:rsidRPr="00576180">
        <w:rPr>
          <w:rFonts w:ascii="Arial" w:hAnsi="Arial" w:cs="Arial"/>
        </w:rPr>
        <w:t>,</w:t>
      </w:r>
      <w:r w:rsidR="00003F13" w:rsidRPr="00576180">
        <w:rPr>
          <w:rFonts w:ascii="Arial" w:hAnsi="Arial" w:cs="Arial"/>
        </w:rPr>
        <w:t xml:space="preserve"> respectivamente).</w:t>
      </w:r>
    </w:p>
    <w:tbl>
      <w:tblPr>
        <w:tblStyle w:val="TableGrid"/>
        <w:tblW w:w="11187" w:type="dxa"/>
        <w:tblInd w:w="-990" w:type="dxa"/>
        <w:tblLook w:val="04A0" w:firstRow="1" w:lastRow="0" w:firstColumn="1" w:lastColumn="0" w:noHBand="0" w:noVBand="1"/>
      </w:tblPr>
      <w:tblGrid>
        <w:gridCol w:w="1093"/>
        <w:gridCol w:w="414"/>
        <w:gridCol w:w="1287"/>
        <w:gridCol w:w="687"/>
        <w:gridCol w:w="617"/>
        <w:gridCol w:w="557"/>
        <w:gridCol w:w="667"/>
        <w:gridCol w:w="4031"/>
        <w:gridCol w:w="617"/>
        <w:gridCol w:w="1217"/>
      </w:tblGrid>
      <w:tr w:rsidR="00EA0E0F" w:rsidRPr="00576180" w14:paraId="1FD9D874" w14:textId="77777777" w:rsidTr="00957319">
        <w:trPr>
          <w:tblHeader/>
        </w:trPr>
        <w:tc>
          <w:tcPr>
            <w:tcW w:w="1093" w:type="dxa"/>
            <w:tcBorders>
              <w:top w:val="nil"/>
              <w:left w:val="nil"/>
              <w:bottom w:val="single" w:sz="4" w:space="0" w:color="auto"/>
              <w:right w:val="nil"/>
            </w:tcBorders>
            <w:shd w:val="clear" w:color="auto" w:fill="FFFFFF" w:themeFill="background1"/>
          </w:tcPr>
          <w:p w14:paraId="1C192AC1" w14:textId="77777777" w:rsidR="00EA0E0F" w:rsidRPr="00576180" w:rsidRDefault="00EA0E0F" w:rsidP="00571080">
            <w:pPr>
              <w:jc w:val="center"/>
              <w:rPr>
                <w:rFonts w:ascii="Arial" w:eastAsiaTheme="majorEastAsia" w:hAnsi="Arial" w:cs="Arial"/>
                <w:bCs/>
                <w:sz w:val="18"/>
                <w:szCs w:val="18"/>
              </w:rPr>
            </w:pPr>
            <w:bookmarkStart w:id="142" w:name="_Hlk531190858"/>
            <w:bookmarkEnd w:id="141"/>
          </w:p>
        </w:tc>
        <w:tc>
          <w:tcPr>
            <w:tcW w:w="10094" w:type="dxa"/>
            <w:gridSpan w:val="9"/>
            <w:tcBorders>
              <w:top w:val="nil"/>
              <w:left w:val="nil"/>
              <w:bottom w:val="single" w:sz="4" w:space="0" w:color="auto"/>
              <w:right w:val="nil"/>
            </w:tcBorders>
            <w:shd w:val="clear" w:color="auto" w:fill="FFFFFF" w:themeFill="background1"/>
            <w:vAlign w:val="center"/>
          </w:tcPr>
          <w:p w14:paraId="0C89DC6C" w14:textId="4A9898E0" w:rsidR="00EA0E0F" w:rsidRPr="00576180" w:rsidRDefault="00CD37EB" w:rsidP="00887F28">
            <w:pPr>
              <w:ind w:left="130"/>
              <w:jc w:val="center"/>
              <w:rPr>
                <w:rFonts w:ascii="Arial" w:hAnsi="Arial" w:cs="Arial"/>
                <w:b/>
                <w:bCs/>
                <w:sz w:val="20"/>
                <w:szCs w:val="20"/>
              </w:rPr>
            </w:pPr>
            <w:r w:rsidRPr="00BC76FE">
              <w:rPr>
                <w:rFonts w:ascii="Arial" w:eastAsiaTheme="majorEastAsia" w:hAnsi="Arial" w:cs="Arial"/>
                <w:b/>
                <w:bCs/>
                <w:sz w:val="20"/>
                <w:szCs w:val="20"/>
              </w:rPr>
              <w:t>Tabla 6</w:t>
            </w:r>
            <w:r w:rsidR="00E05A08" w:rsidRPr="00BC76FE">
              <w:rPr>
                <w:rFonts w:ascii="Arial" w:eastAsiaTheme="majorEastAsia" w:hAnsi="Arial" w:cs="Arial"/>
                <w:b/>
                <w:bCs/>
                <w:sz w:val="20"/>
                <w:szCs w:val="20"/>
              </w:rPr>
              <w:t>.</w:t>
            </w:r>
            <w:r w:rsidR="00EA0E0F" w:rsidRPr="00BC76FE">
              <w:rPr>
                <w:rFonts w:ascii="Arial" w:eastAsiaTheme="majorEastAsia" w:hAnsi="Arial" w:cs="Arial"/>
                <w:b/>
                <w:bCs/>
                <w:sz w:val="20"/>
                <w:szCs w:val="20"/>
              </w:rPr>
              <w:t xml:space="preserve"> Matriz de </w:t>
            </w:r>
            <w:r w:rsidR="00887F28" w:rsidRPr="00BC76FE">
              <w:rPr>
                <w:rFonts w:ascii="Arial" w:eastAsiaTheme="majorEastAsia" w:hAnsi="Arial" w:cs="Arial"/>
                <w:b/>
                <w:bCs/>
                <w:sz w:val="20"/>
                <w:szCs w:val="20"/>
              </w:rPr>
              <w:t>p</w:t>
            </w:r>
            <w:r w:rsidR="00EA0E0F" w:rsidRPr="00BC76FE">
              <w:rPr>
                <w:rFonts w:ascii="Arial" w:eastAsiaTheme="majorEastAsia" w:hAnsi="Arial" w:cs="Arial"/>
                <w:b/>
                <w:bCs/>
                <w:sz w:val="20"/>
                <w:szCs w:val="20"/>
              </w:rPr>
              <w:t>roductos</w:t>
            </w:r>
            <w:r w:rsidR="007268B6" w:rsidRPr="00BC76FE">
              <w:rPr>
                <w:rFonts w:ascii="Arial" w:eastAsiaTheme="majorEastAsia" w:hAnsi="Arial" w:cs="Arial"/>
                <w:b/>
                <w:bCs/>
                <w:sz w:val="20"/>
                <w:szCs w:val="20"/>
              </w:rPr>
              <w:t xml:space="preserve"> 201</w:t>
            </w:r>
            <w:r w:rsidR="005511DD" w:rsidRPr="00BC76FE">
              <w:rPr>
                <w:rFonts w:ascii="Arial" w:eastAsiaTheme="majorEastAsia" w:hAnsi="Arial" w:cs="Arial"/>
                <w:b/>
                <w:bCs/>
                <w:sz w:val="20"/>
                <w:szCs w:val="20"/>
              </w:rPr>
              <w:t>4</w:t>
            </w:r>
            <w:r w:rsidR="007268B6" w:rsidRPr="00BC76FE">
              <w:rPr>
                <w:rFonts w:ascii="Arial" w:eastAsiaTheme="majorEastAsia" w:hAnsi="Arial" w:cs="Arial"/>
                <w:b/>
                <w:bCs/>
                <w:sz w:val="20"/>
                <w:szCs w:val="20"/>
              </w:rPr>
              <w:t xml:space="preserve"> </w:t>
            </w:r>
            <w:r w:rsidR="00E05A08" w:rsidRPr="00BC76FE">
              <w:rPr>
                <w:rFonts w:ascii="Arial" w:eastAsiaTheme="majorEastAsia" w:hAnsi="Arial" w:cs="Arial"/>
                <w:b/>
                <w:bCs/>
                <w:sz w:val="20"/>
                <w:szCs w:val="20"/>
              </w:rPr>
              <w:t>–</w:t>
            </w:r>
            <w:r w:rsidR="007268B6" w:rsidRPr="00BC76FE">
              <w:rPr>
                <w:rFonts w:ascii="Arial" w:eastAsiaTheme="majorEastAsia" w:hAnsi="Arial" w:cs="Arial"/>
                <w:b/>
                <w:bCs/>
                <w:sz w:val="20"/>
                <w:szCs w:val="20"/>
              </w:rPr>
              <w:t xml:space="preserve"> 201</w:t>
            </w:r>
            <w:r w:rsidR="00D1344C" w:rsidRPr="00BC76FE">
              <w:rPr>
                <w:rFonts w:ascii="Arial" w:eastAsiaTheme="majorEastAsia" w:hAnsi="Arial" w:cs="Arial"/>
                <w:b/>
                <w:bCs/>
                <w:sz w:val="20"/>
                <w:szCs w:val="20"/>
              </w:rPr>
              <w:t>7</w:t>
            </w:r>
          </w:p>
        </w:tc>
      </w:tr>
      <w:tr w:rsidR="00EA0E0F" w:rsidRPr="00576180" w14:paraId="5D4DAD37" w14:textId="77777777" w:rsidTr="00957319">
        <w:trPr>
          <w:trHeight w:val="359"/>
          <w:tblHeader/>
        </w:trPr>
        <w:tc>
          <w:tcPr>
            <w:tcW w:w="1507" w:type="dxa"/>
            <w:gridSpan w:val="2"/>
            <w:tcBorders>
              <w:top w:val="single" w:sz="4" w:space="0" w:color="auto"/>
            </w:tcBorders>
            <w:shd w:val="clear" w:color="auto" w:fill="BFBFBF" w:themeFill="background1" w:themeFillShade="BF"/>
            <w:vAlign w:val="center"/>
            <w:hideMark/>
          </w:tcPr>
          <w:p w14:paraId="03519CFB" w14:textId="77777777" w:rsidR="00EA0E0F" w:rsidRPr="00576180" w:rsidRDefault="00EA0E0F" w:rsidP="00571080">
            <w:pPr>
              <w:jc w:val="center"/>
              <w:rPr>
                <w:rFonts w:ascii="Arial" w:hAnsi="Arial" w:cs="Arial"/>
                <w:b/>
                <w:bCs/>
                <w:sz w:val="18"/>
                <w:szCs w:val="18"/>
              </w:rPr>
            </w:pPr>
            <w:bookmarkStart w:id="143" w:name="_Hlk20849473"/>
            <w:r w:rsidRPr="00576180">
              <w:rPr>
                <w:rFonts w:ascii="Arial" w:hAnsi="Arial" w:cs="Arial"/>
                <w:b/>
                <w:bCs/>
                <w:sz w:val="18"/>
                <w:szCs w:val="18"/>
              </w:rPr>
              <w:t xml:space="preserve">Indicadores de </w:t>
            </w:r>
            <w:r w:rsidR="00202AC2" w:rsidRPr="00576180">
              <w:rPr>
                <w:rFonts w:ascii="Arial" w:hAnsi="Arial" w:cs="Arial"/>
                <w:b/>
                <w:bCs/>
                <w:sz w:val="18"/>
                <w:szCs w:val="18"/>
              </w:rPr>
              <w:t>r</w:t>
            </w:r>
            <w:r w:rsidRPr="00576180">
              <w:rPr>
                <w:rFonts w:ascii="Arial" w:hAnsi="Arial" w:cs="Arial"/>
                <w:b/>
                <w:bCs/>
                <w:sz w:val="18"/>
                <w:szCs w:val="18"/>
              </w:rPr>
              <w:t>esultados</w:t>
            </w:r>
          </w:p>
        </w:tc>
        <w:tc>
          <w:tcPr>
            <w:tcW w:w="1287" w:type="dxa"/>
            <w:tcBorders>
              <w:top w:val="single" w:sz="4" w:space="0" w:color="auto"/>
            </w:tcBorders>
            <w:shd w:val="clear" w:color="auto" w:fill="BFBFBF" w:themeFill="background1" w:themeFillShade="BF"/>
            <w:vAlign w:val="center"/>
            <w:hideMark/>
          </w:tcPr>
          <w:p w14:paraId="6CFFFD8E" w14:textId="77777777" w:rsidR="00EA0E0F" w:rsidRPr="00576180" w:rsidRDefault="00EA0E0F" w:rsidP="00571080">
            <w:pPr>
              <w:jc w:val="center"/>
              <w:rPr>
                <w:rFonts w:ascii="Arial" w:hAnsi="Arial" w:cs="Arial"/>
                <w:b/>
                <w:bCs/>
                <w:sz w:val="18"/>
                <w:szCs w:val="18"/>
              </w:rPr>
            </w:pPr>
            <w:r w:rsidRPr="00576180">
              <w:rPr>
                <w:rFonts w:ascii="Arial" w:hAnsi="Arial" w:cs="Arial"/>
                <w:b/>
                <w:bCs/>
                <w:sz w:val="18"/>
                <w:szCs w:val="18"/>
              </w:rPr>
              <w:t xml:space="preserve">Unidad de </w:t>
            </w:r>
            <w:r w:rsidR="00202AC2" w:rsidRPr="00576180">
              <w:rPr>
                <w:rFonts w:ascii="Arial" w:hAnsi="Arial" w:cs="Arial"/>
                <w:b/>
                <w:bCs/>
                <w:sz w:val="18"/>
                <w:szCs w:val="18"/>
              </w:rPr>
              <w:t>m</w:t>
            </w:r>
            <w:r w:rsidRPr="00576180">
              <w:rPr>
                <w:rFonts w:ascii="Arial" w:hAnsi="Arial" w:cs="Arial"/>
                <w:b/>
                <w:bCs/>
                <w:sz w:val="18"/>
                <w:szCs w:val="18"/>
              </w:rPr>
              <w:t>edida</w:t>
            </w:r>
          </w:p>
        </w:tc>
        <w:tc>
          <w:tcPr>
            <w:tcW w:w="687" w:type="dxa"/>
            <w:tcBorders>
              <w:top w:val="single" w:sz="4" w:space="0" w:color="auto"/>
            </w:tcBorders>
            <w:shd w:val="clear" w:color="auto" w:fill="BFBFBF" w:themeFill="background1" w:themeFillShade="BF"/>
            <w:vAlign w:val="center"/>
            <w:hideMark/>
          </w:tcPr>
          <w:p w14:paraId="33AF2F85" w14:textId="77777777" w:rsidR="00EA0E0F" w:rsidRPr="00576180" w:rsidRDefault="00EA0E0F" w:rsidP="00571080">
            <w:pPr>
              <w:jc w:val="center"/>
              <w:rPr>
                <w:rFonts w:ascii="Arial" w:hAnsi="Arial" w:cs="Arial"/>
                <w:b/>
                <w:bCs/>
                <w:sz w:val="18"/>
                <w:szCs w:val="18"/>
              </w:rPr>
            </w:pPr>
            <w:r w:rsidRPr="00576180">
              <w:rPr>
                <w:rFonts w:ascii="Arial" w:hAnsi="Arial" w:cs="Arial"/>
                <w:b/>
                <w:bCs/>
                <w:sz w:val="18"/>
                <w:szCs w:val="18"/>
              </w:rPr>
              <w:t xml:space="preserve">Línea de </w:t>
            </w:r>
            <w:r w:rsidR="00202AC2" w:rsidRPr="00576180">
              <w:rPr>
                <w:rFonts w:ascii="Arial" w:hAnsi="Arial" w:cs="Arial"/>
                <w:b/>
                <w:bCs/>
                <w:sz w:val="18"/>
                <w:szCs w:val="18"/>
              </w:rPr>
              <w:t>b</w:t>
            </w:r>
            <w:r w:rsidRPr="00576180">
              <w:rPr>
                <w:rFonts w:ascii="Arial" w:hAnsi="Arial" w:cs="Arial"/>
                <w:b/>
                <w:bCs/>
                <w:sz w:val="18"/>
                <w:szCs w:val="18"/>
              </w:rPr>
              <w:t>ase</w:t>
            </w:r>
          </w:p>
        </w:tc>
        <w:tc>
          <w:tcPr>
            <w:tcW w:w="617" w:type="dxa"/>
            <w:tcBorders>
              <w:top w:val="single" w:sz="4" w:space="0" w:color="auto"/>
            </w:tcBorders>
            <w:shd w:val="clear" w:color="auto" w:fill="BFBFBF" w:themeFill="background1" w:themeFillShade="BF"/>
            <w:vAlign w:val="center"/>
            <w:hideMark/>
          </w:tcPr>
          <w:p w14:paraId="62BEC054" w14:textId="77777777" w:rsidR="00EA0E0F" w:rsidRPr="00576180" w:rsidRDefault="00EA0E0F" w:rsidP="00571080">
            <w:pPr>
              <w:jc w:val="center"/>
              <w:rPr>
                <w:rFonts w:ascii="Arial" w:hAnsi="Arial" w:cs="Arial"/>
                <w:b/>
                <w:bCs/>
                <w:sz w:val="18"/>
                <w:szCs w:val="18"/>
              </w:rPr>
            </w:pPr>
            <w:r w:rsidRPr="00576180">
              <w:rPr>
                <w:rFonts w:ascii="Arial" w:hAnsi="Arial" w:cs="Arial"/>
                <w:b/>
                <w:bCs/>
                <w:sz w:val="18"/>
                <w:szCs w:val="18"/>
              </w:rPr>
              <w:t>Año</w:t>
            </w:r>
          </w:p>
        </w:tc>
        <w:tc>
          <w:tcPr>
            <w:tcW w:w="1224" w:type="dxa"/>
            <w:gridSpan w:val="2"/>
            <w:tcBorders>
              <w:top w:val="single" w:sz="4" w:space="0" w:color="auto"/>
            </w:tcBorders>
            <w:shd w:val="clear" w:color="auto" w:fill="BFBFBF" w:themeFill="background1" w:themeFillShade="BF"/>
          </w:tcPr>
          <w:p w14:paraId="4AE54D80" w14:textId="77777777" w:rsidR="00EA0E0F" w:rsidRPr="00576180" w:rsidRDefault="00EA0E0F" w:rsidP="00571080">
            <w:pPr>
              <w:jc w:val="center"/>
              <w:rPr>
                <w:rFonts w:ascii="Arial" w:hAnsi="Arial" w:cs="Arial"/>
                <w:b/>
                <w:bCs/>
                <w:sz w:val="18"/>
                <w:szCs w:val="18"/>
              </w:rPr>
            </w:pPr>
            <w:r w:rsidRPr="00576180">
              <w:rPr>
                <w:rFonts w:ascii="Arial" w:hAnsi="Arial" w:cs="Arial"/>
                <w:b/>
                <w:bCs/>
                <w:sz w:val="18"/>
                <w:szCs w:val="18"/>
              </w:rPr>
              <w:t>Metas</w:t>
            </w:r>
          </w:p>
          <w:p w14:paraId="59DB126C" w14:textId="77777777" w:rsidR="00EA0E0F" w:rsidRPr="00576180" w:rsidRDefault="00EA0E0F" w:rsidP="00571080">
            <w:pPr>
              <w:jc w:val="center"/>
              <w:rPr>
                <w:rFonts w:ascii="Arial" w:hAnsi="Arial" w:cs="Arial"/>
                <w:b/>
                <w:bCs/>
                <w:sz w:val="18"/>
                <w:szCs w:val="18"/>
              </w:rPr>
            </w:pPr>
            <w:r w:rsidRPr="00576180">
              <w:rPr>
                <w:rFonts w:ascii="Arial" w:hAnsi="Arial" w:cs="Arial"/>
                <w:b/>
                <w:bCs/>
                <w:sz w:val="18"/>
                <w:szCs w:val="18"/>
              </w:rPr>
              <w:t>y</w:t>
            </w:r>
          </w:p>
          <w:p w14:paraId="445E9ACB" w14:textId="77777777" w:rsidR="00EA0E0F" w:rsidRPr="00576180" w:rsidRDefault="00202AC2" w:rsidP="00571080">
            <w:pPr>
              <w:jc w:val="center"/>
              <w:rPr>
                <w:rFonts w:ascii="Arial" w:hAnsi="Arial" w:cs="Arial"/>
                <w:b/>
                <w:bCs/>
                <w:sz w:val="18"/>
                <w:szCs w:val="18"/>
              </w:rPr>
            </w:pPr>
            <w:r w:rsidRPr="00576180">
              <w:rPr>
                <w:rFonts w:ascii="Arial" w:hAnsi="Arial" w:cs="Arial"/>
                <w:b/>
                <w:bCs/>
                <w:sz w:val="18"/>
                <w:szCs w:val="18"/>
              </w:rPr>
              <w:t>a</w:t>
            </w:r>
            <w:r w:rsidR="00EA0E0F" w:rsidRPr="00576180">
              <w:rPr>
                <w:rFonts w:ascii="Arial" w:hAnsi="Arial" w:cs="Arial"/>
                <w:b/>
                <w:bCs/>
                <w:sz w:val="18"/>
                <w:szCs w:val="18"/>
              </w:rPr>
              <w:t>lcance</w:t>
            </w:r>
          </w:p>
        </w:tc>
        <w:tc>
          <w:tcPr>
            <w:tcW w:w="4031" w:type="dxa"/>
            <w:tcBorders>
              <w:top w:val="single" w:sz="4" w:space="0" w:color="auto"/>
            </w:tcBorders>
            <w:shd w:val="clear" w:color="auto" w:fill="BFBFBF" w:themeFill="background1" w:themeFillShade="BF"/>
            <w:vAlign w:val="center"/>
            <w:hideMark/>
          </w:tcPr>
          <w:p w14:paraId="7C652440" w14:textId="77777777" w:rsidR="00EA0E0F" w:rsidRPr="00576180" w:rsidRDefault="00EA0E0F" w:rsidP="00571080">
            <w:pPr>
              <w:jc w:val="center"/>
              <w:rPr>
                <w:rFonts w:ascii="Arial" w:hAnsi="Arial" w:cs="Arial"/>
                <w:b/>
                <w:bCs/>
                <w:sz w:val="18"/>
                <w:szCs w:val="18"/>
              </w:rPr>
            </w:pPr>
            <w:r w:rsidRPr="00576180">
              <w:rPr>
                <w:rFonts w:ascii="Arial" w:hAnsi="Arial" w:cs="Arial"/>
                <w:b/>
                <w:bCs/>
                <w:sz w:val="18"/>
                <w:szCs w:val="18"/>
              </w:rPr>
              <w:t xml:space="preserve">% </w:t>
            </w:r>
            <w:r w:rsidR="00202AC2" w:rsidRPr="00576180">
              <w:rPr>
                <w:rFonts w:ascii="Arial" w:hAnsi="Arial" w:cs="Arial"/>
                <w:b/>
                <w:bCs/>
                <w:sz w:val="18"/>
                <w:szCs w:val="18"/>
              </w:rPr>
              <w:t>a</w:t>
            </w:r>
            <w:r w:rsidRPr="00576180">
              <w:rPr>
                <w:rFonts w:ascii="Arial" w:hAnsi="Arial" w:cs="Arial"/>
                <w:b/>
                <w:bCs/>
                <w:sz w:val="18"/>
                <w:szCs w:val="18"/>
              </w:rPr>
              <w:t>lcance</w:t>
            </w:r>
          </w:p>
        </w:tc>
        <w:tc>
          <w:tcPr>
            <w:tcW w:w="617" w:type="dxa"/>
            <w:tcBorders>
              <w:top w:val="single" w:sz="4" w:space="0" w:color="auto"/>
            </w:tcBorders>
            <w:shd w:val="clear" w:color="auto" w:fill="BFBFBF" w:themeFill="background1" w:themeFillShade="BF"/>
            <w:vAlign w:val="center"/>
          </w:tcPr>
          <w:p w14:paraId="4F2CA888" w14:textId="77777777" w:rsidR="00EA0E0F" w:rsidRPr="00576180" w:rsidRDefault="00EA0E0F" w:rsidP="00EA0E0F">
            <w:pPr>
              <w:jc w:val="center"/>
              <w:rPr>
                <w:rFonts w:ascii="Arial" w:hAnsi="Arial" w:cs="Arial"/>
                <w:b/>
                <w:bCs/>
                <w:sz w:val="18"/>
                <w:szCs w:val="18"/>
              </w:rPr>
            </w:pPr>
            <w:r w:rsidRPr="00576180">
              <w:rPr>
                <w:rFonts w:ascii="Arial" w:hAnsi="Arial" w:cs="Arial"/>
                <w:b/>
                <w:bCs/>
                <w:sz w:val="18"/>
                <w:szCs w:val="18"/>
              </w:rPr>
              <w:t>Año</w:t>
            </w:r>
          </w:p>
        </w:tc>
        <w:tc>
          <w:tcPr>
            <w:tcW w:w="1217" w:type="dxa"/>
            <w:tcBorders>
              <w:top w:val="single" w:sz="4" w:space="0" w:color="auto"/>
            </w:tcBorders>
            <w:shd w:val="clear" w:color="auto" w:fill="BFBFBF" w:themeFill="background1" w:themeFillShade="BF"/>
            <w:vAlign w:val="center"/>
            <w:hideMark/>
          </w:tcPr>
          <w:p w14:paraId="7F4A37DA" w14:textId="77777777" w:rsidR="00EA0E0F" w:rsidRPr="00576180" w:rsidRDefault="00EA0E0F" w:rsidP="00571080">
            <w:pPr>
              <w:jc w:val="center"/>
              <w:rPr>
                <w:rFonts w:ascii="Arial" w:hAnsi="Arial" w:cs="Arial"/>
                <w:b/>
                <w:bCs/>
                <w:sz w:val="18"/>
                <w:szCs w:val="18"/>
              </w:rPr>
            </w:pPr>
            <w:r w:rsidRPr="00576180">
              <w:rPr>
                <w:rFonts w:ascii="Arial" w:hAnsi="Arial" w:cs="Arial"/>
                <w:b/>
                <w:bCs/>
                <w:sz w:val="18"/>
                <w:szCs w:val="18"/>
              </w:rPr>
              <w:t>Medios de verificación</w:t>
            </w:r>
          </w:p>
        </w:tc>
      </w:tr>
      <w:tr w:rsidR="00EA0E0F" w:rsidRPr="00576180" w14:paraId="42CCE4C0" w14:textId="77777777" w:rsidTr="00957319">
        <w:trPr>
          <w:trHeight w:val="170"/>
        </w:trPr>
        <w:tc>
          <w:tcPr>
            <w:tcW w:w="11187" w:type="dxa"/>
            <w:gridSpan w:val="10"/>
            <w:shd w:val="clear" w:color="auto" w:fill="D9D9D9" w:themeFill="background1" w:themeFillShade="D9"/>
          </w:tcPr>
          <w:p w14:paraId="07FAFD1D" w14:textId="6950EE01" w:rsidR="00EA0E0F" w:rsidRPr="00576180" w:rsidRDefault="00611C33" w:rsidP="00571080">
            <w:pPr>
              <w:autoSpaceDE w:val="0"/>
              <w:autoSpaceDN w:val="0"/>
              <w:adjustRightInd w:val="0"/>
              <w:rPr>
                <w:rFonts w:ascii="Arial" w:hAnsi="Arial" w:cs="Arial"/>
                <w:b/>
                <w:bCs/>
                <w:sz w:val="18"/>
                <w:szCs w:val="18"/>
              </w:rPr>
            </w:pPr>
            <w:r w:rsidRPr="00576180">
              <w:rPr>
                <w:rFonts w:ascii="Arial" w:hAnsi="Arial" w:cs="Arial"/>
                <w:b/>
                <w:bCs/>
                <w:sz w:val="18"/>
                <w:szCs w:val="18"/>
              </w:rPr>
              <w:t xml:space="preserve">Componente I. </w:t>
            </w:r>
            <w:r w:rsidR="00173BED" w:rsidRPr="00576180">
              <w:rPr>
                <w:rFonts w:ascii="Arial" w:hAnsi="Arial" w:cs="Arial"/>
                <w:b/>
                <w:bCs/>
                <w:sz w:val="18"/>
                <w:szCs w:val="18"/>
              </w:rPr>
              <w:t>Modernización de los procesos y sistemas de gestión financiera pública</w:t>
            </w:r>
          </w:p>
        </w:tc>
      </w:tr>
      <w:tr w:rsidR="00153578" w:rsidRPr="00576180" w14:paraId="3D9B2A95" w14:textId="77777777" w:rsidTr="00957319">
        <w:trPr>
          <w:trHeight w:val="147"/>
        </w:trPr>
        <w:tc>
          <w:tcPr>
            <w:tcW w:w="1507" w:type="dxa"/>
            <w:gridSpan w:val="2"/>
            <w:vMerge w:val="restart"/>
            <w:vAlign w:val="center"/>
          </w:tcPr>
          <w:p w14:paraId="497081D3" w14:textId="29C6B57E" w:rsidR="00153578" w:rsidRPr="00576180" w:rsidRDefault="00B52DCA" w:rsidP="00153578">
            <w:pPr>
              <w:jc w:val="both"/>
              <w:rPr>
                <w:rFonts w:ascii="Arial" w:hAnsi="Arial" w:cs="Arial"/>
                <w:sz w:val="18"/>
                <w:szCs w:val="18"/>
              </w:rPr>
            </w:pPr>
            <w:r w:rsidRPr="00576180">
              <w:rPr>
                <w:rFonts w:ascii="Arial" w:hAnsi="Arial" w:cs="Arial"/>
                <w:sz w:val="18"/>
                <w:szCs w:val="18"/>
              </w:rPr>
              <w:t xml:space="preserve">1.1 </w:t>
            </w:r>
            <w:r w:rsidR="00153578" w:rsidRPr="00576180">
              <w:rPr>
                <w:rFonts w:ascii="Arial" w:hAnsi="Arial" w:cs="Arial"/>
                <w:sz w:val="18"/>
                <w:szCs w:val="18"/>
              </w:rPr>
              <w:t xml:space="preserve">Macroproceso de </w:t>
            </w:r>
            <w:r w:rsidR="00D1344C" w:rsidRPr="00576180">
              <w:rPr>
                <w:rFonts w:ascii="Arial" w:hAnsi="Arial" w:cs="Arial"/>
                <w:sz w:val="18"/>
                <w:szCs w:val="18"/>
              </w:rPr>
              <w:t>p</w:t>
            </w:r>
            <w:r w:rsidR="00153578" w:rsidRPr="00576180">
              <w:rPr>
                <w:rFonts w:ascii="Arial" w:hAnsi="Arial" w:cs="Arial"/>
                <w:sz w:val="18"/>
                <w:szCs w:val="18"/>
              </w:rPr>
              <w:t xml:space="preserve">rogramación </w:t>
            </w:r>
            <w:r w:rsidR="00D1344C" w:rsidRPr="00576180">
              <w:rPr>
                <w:rFonts w:ascii="Arial" w:hAnsi="Arial" w:cs="Arial"/>
                <w:sz w:val="18"/>
                <w:szCs w:val="18"/>
              </w:rPr>
              <w:t>p</w:t>
            </w:r>
            <w:r w:rsidR="00153578" w:rsidRPr="00576180">
              <w:rPr>
                <w:rFonts w:ascii="Arial" w:hAnsi="Arial" w:cs="Arial"/>
                <w:sz w:val="18"/>
                <w:szCs w:val="18"/>
              </w:rPr>
              <w:t>resupuestaria informatizado e implementado</w:t>
            </w:r>
          </w:p>
        </w:tc>
        <w:tc>
          <w:tcPr>
            <w:tcW w:w="1287" w:type="dxa"/>
            <w:vMerge w:val="restart"/>
            <w:vAlign w:val="center"/>
          </w:tcPr>
          <w:p w14:paraId="7C3160F4" w14:textId="6F1DE963" w:rsidR="00153578" w:rsidRPr="00576180" w:rsidRDefault="00153578" w:rsidP="00153578">
            <w:pPr>
              <w:jc w:val="center"/>
              <w:rPr>
                <w:rFonts w:ascii="Arial" w:hAnsi="Arial" w:cs="Arial"/>
                <w:sz w:val="18"/>
                <w:szCs w:val="18"/>
              </w:rPr>
            </w:pPr>
            <w:r w:rsidRPr="00576180">
              <w:rPr>
                <w:rFonts w:ascii="Arial" w:hAnsi="Arial" w:cs="Arial"/>
                <w:sz w:val="18"/>
                <w:szCs w:val="18"/>
              </w:rPr>
              <w:t>Sistemas</w:t>
            </w:r>
          </w:p>
        </w:tc>
        <w:tc>
          <w:tcPr>
            <w:tcW w:w="687" w:type="dxa"/>
            <w:vMerge w:val="restart"/>
            <w:vAlign w:val="center"/>
          </w:tcPr>
          <w:p w14:paraId="0D6160A9"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0</w:t>
            </w:r>
          </w:p>
        </w:tc>
        <w:tc>
          <w:tcPr>
            <w:tcW w:w="617" w:type="dxa"/>
            <w:vMerge w:val="restart"/>
            <w:vAlign w:val="center"/>
          </w:tcPr>
          <w:p w14:paraId="6BC5FC26" w14:textId="4170E452" w:rsidR="00153578" w:rsidRPr="00576180" w:rsidRDefault="00153578" w:rsidP="00153578">
            <w:pPr>
              <w:jc w:val="center"/>
              <w:rPr>
                <w:rFonts w:ascii="Arial" w:hAnsi="Arial" w:cs="Arial"/>
                <w:sz w:val="18"/>
                <w:szCs w:val="18"/>
              </w:rPr>
            </w:pPr>
            <w:r w:rsidRPr="00576180">
              <w:rPr>
                <w:rFonts w:ascii="Arial" w:hAnsi="Arial" w:cs="Arial"/>
                <w:sz w:val="18"/>
                <w:szCs w:val="18"/>
              </w:rPr>
              <w:t>2010</w:t>
            </w:r>
          </w:p>
        </w:tc>
        <w:tc>
          <w:tcPr>
            <w:tcW w:w="557" w:type="dxa"/>
            <w:vAlign w:val="center"/>
          </w:tcPr>
          <w:p w14:paraId="256725F5"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P</w:t>
            </w:r>
          </w:p>
        </w:tc>
        <w:tc>
          <w:tcPr>
            <w:tcW w:w="667" w:type="dxa"/>
            <w:vAlign w:val="center"/>
          </w:tcPr>
          <w:p w14:paraId="0127EE11"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1</w:t>
            </w:r>
          </w:p>
        </w:tc>
        <w:tc>
          <w:tcPr>
            <w:tcW w:w="4031" w:type="dxa"/>
            <w:vMerge w:val="restart"/>
            <w:vAlign w:val="center"/>
          </w:tcPr>
          <w:p w14:paraId="73E4AF48"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100%</w:t>
            </w:r>
          </w:p>
        </w:tc>
        <w:tc>
          <w:tcPr>
            <w:tcW w:w="617" w:type="dxa"/>
            <w:vMerge w:val="restart"/>
            <w:vAlign w:val="center"/>
          </w:tcPr>
          <w:p w14:paraId="27254456" w14:textId="14F5394A" w:rsidR="00153578" w:rsidRPr="00576180" w:rsidRDefault="00153578" w:rsidP="00153578">
            <w:pPr>
              <w:jc w:val="center"/>
              <w:rPr>
                <w:rFonts w:ascii="Arial" w:hAnsi="Arial" w:cs="Arial"/>
                <w:sz w:val="18"/>
                <w:szCs w:val="18"/>
              </w:rPr>
            </w:pPr>
            <w:r w:rsidRPr="00576180">
              <w:rPr>
                <w:rFonts w:ascii="Arial" w:hAnsi="Arial" w:cs="Arial"/>
                <w:sz w:val="18"/>
                <w:szCs w:val="18"/>
              </w:rPr>
              <w:t>2014</w:t>
            </w:r>
          </w:p>
        </w:tc>
        <w:tc>
          <w:tcPr>
            <w:tcW w:w="1217" w:type="dxa"/>
            <w:vMerge w:val="restart"/>
            <w:vAlign w:val="center"/>
          </w:tcPr>
          <w:p w14:paraId="5BBB5AE7" w14:textId="7B71985E" w:rsidR="00153578" w:rsidRPr="00576180" w:rsidRDefault="00153578" w:rsidP="00153578">
            <w:pPr>
              <w:rPr>
                <w:rFonts w:ascii="Arial" w:hAnsi="Arial" w:cs="Arial"/>
                <w:sz w:val="18"/>
                <w:szCs w:val="18"/>
              </w:rPr>
            </w:pPr>
            <w:r w:rsidRPr="00576180">
              <w:rPr>
                <w:rFonts w:ascii="Arial" w:hAnsi="Arial" w:cs="Arial"/>
                <w:sz w:val="18"/>
                <w:szCs w:val="18"/>
              </w:rPr>
              <w:t>Informe MEF</w:t>
            </w:r>
          </w:p>
        </w:tc>
      </w:tr>
      <w:tr w:rsidR="00153578" w:rsidRPr="00576180" w14:paraId="1AA8B33D" w14:textId="77777777" w:rsidTr="00957319">
        <w:trPr>
          <w:trHeight w:val="147"/>
        </w:trPr>
        <w:tc>
          <w:tcPr>
            <w:tcW w:w="1507" w:type="dxa"/>
            <w:gridSpan w:val="2"/>
            <w:vMerge/>
            <w:vAlign w:val="center"/>
          </w:tcPr>
          <w:p w14:paraId="04BD67BB" w14:textId="77777777" w:rsidR="00153578" w:rsidRPr="00576180" w:rsidRDefault="00153578" w:rsidP="00153578">
            <w:pPr>
              <w:jc w:val="both"/>
              <w:rPr>
                <w:rFonts w:ascii="Arial" w:hAnsi="Arial" w:cs="Arial"/>
                <w:sz w:val="18"/>
                <w:szCs w:val="18"/>
              </w:rPr>
            </w:pPr>
          </w:p>
        </w:tc>
        <w:tc>
          <w:tcPr>
            <w:tcW w:w="1287" w:type="dxa"/>
            <w:vMerge/>
            <w:vAlign w:val="center"/>
          </w:tcPr>
          <w:p w14:paraId="71411CFD" w14:textId="77777777" w:rsidR="00153578" w:rsidRPr="00576180" w:rsidRDefault="00153578" w:rsidP="00153578">
            <w:pPr>
              <w:jc w:val="center"/>
              <w:rPr>
                <w:rFonts w:ascii="Arial" w:hAnsi="Arial" w:cs="Arial"/>
                <w:sz w:val="18"/>
                <w:szCs w:val="18"/>
              </w:rPr>
            </w:pPr>
          </w:p>
        </w:tc>
        <w:tc>
          <w:tcPr>
            <w:tcW w:w="687" w:type="dxa"/>
            <w:vMerge/>
            <w:vAlign w:val="center"/>
          </w:tcPr>
          <w:p w14:paraId="6A020E9E" w14:textId="77777777" w:rsidR="00153578" w:rsidRPr="00576180" w:rsidRDefault="00153578" w:rsidP="00153578">
            <w:pPr>
              <w:jc w:val="center"/>
              <w:rPr>
                <w:rFonts w:ascii="Arial" w:hAnsi="Arial" w:cs="Arial"/>
                <w:sz w:val="18"/>
                <w:szCs w:val="18"/>
              </w:rPr>
            </w:pPr>
          </w:p>
        </w:tc>
        <w:tc>
          <w:tcPr>
            <w:tcW w:w="617" w:type="dxa"/>
            <w:vMerge/>
            <w:vAlign w:val="center"/>
          </w:tcPr>
          <w:p w14:paraId="6BF7B536" w14:textId="77777777" w:rsidR="00153578" w:rsidRPr="00576180" w:rsidRDefault="00153578" w:rsidP="00153578">
            <w:pPr>
              <w:jc w:val="center"/>
              <w:rPr>
                <w:rFonts w:ascii="Arial" w:hAnsi="Arial" w:cs="Arial"/>
                <w:sz w:val="18"/>
                <w:szCs w:val="18"/>
              </w:rPr>
            </w:pPr>
          </w:p>
        </w:tc>
        <w:tc>
          <w:tcPr>
            <w:tcW w:w="557" w:type="dxa"/>
            <w:vAlign w:val="center"/>
          </w:tcPr>
          <w:p w14:paraId="18EFD573"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P(a)</w:t>
            </w:r>
          </w:p>
        </w:tc>
        <w:tc>
          <w:tcPr>
            <w:tcW w:w="667" w:type="dxa"/>
            <w:vAlign w:val="center"/>
          </w:tcPr>
          <w:p w14:paraId="43DC67EE"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1</w:t>
            </w:r>
          </w:p>
        </w:tc>
        <w:tc>
          <w:tcPr>
            <w:tcW w:w="4031" w:type="dxa"/>
            <w:vMerge/>
            <w:vAlign w:val="center"/>
          </w:tcPr>
          <w:p w14:paraId="798BF66A" w14:textId="77777777" w:rsidR="00153578" w:rsidRPr="00576180" w:rsidRDefault="00153578" w:rsidP="00153578">
            <w:pPr>
              <w:jc w:val="center"/>
              <w:rPr>
                <w:rFonts w:ascii="Arial" w:hAnsi="Arial" w:cs="Arial"/>
                <w:sz w:val="18"/>
                <w:szCs w:val="18"/>
              </w:rPr>
            </w:pPr>
          </w:p>
        </w:tc>
        <w:tc>
          <w:tcPr>
            <w:tcW w:w="617" w:type="dxa"/>
            <w:vMerge/>
            <w:vAlign w:val="center"/>
          </w:tcPr>
          <w:p w14:paraId="0979425D" w14:textId="77777777" w:rsidR="00153578" w:rsidRPr="00576180" w:rsidRDefault="00153578" w:rsidP="00153578">
            <w:pPr>
              <w:jc w:val="center"/>
              <w:rPr>
                <w:rFonts w:ascii="Arial" w:hAnsi="Arial" w:cs="Arial"/>
                <w:sz w:val="18"/>
                <w:szCs w:val="18"/>
              </w:rPr>
            </w:pPr>
          </w:p>
        </w:tc>
        <w:tc>
          <w:tcPr>
            <w:tcW w:w="1217" w:type="dxa"/>
            <w:vMerge/>
            <w:vAlign w:val="center"/>
          </w:tcPr>
          <w:p w14:paraId="0BF39506" w14:textId="77777777" w:rsidR="00153578" w:rsidRPr="00576180" w:rsidRDefault="00153578" w:rsidP="00153578">
            <w:pPr>
              <w:rPr>
                <w:rFonts w:ascii="Arial" w:hAnsi="Arial" w:cs="Arial"/>
                <w:sz w:val="18"/>
                <w:szCs w:val="18"/>
              </w:rPr>
            </w:pPr>
          </w:p>
        </w:tc>
      </w:tr>
      <w:tr w:rsidR="00153578" w:rsidRPr="00576180" w14:paraId="3E82868A" w14:textId="77777777" w:rsidTr="00957319">
        <w:trPr>
          <w:trHeight w:val="147"/>
        </w:trPr>
        <w:tc>
          <w:tcPr>
            <w:tcW w:w="1507" w:type="dxa"/>
            <w:gridSpan w:val="2"/>
            <w:vMerge/>
            <w:vAlign w:val="center"/>
          </w:tcPr>
          <w:p w14:paraId="54F0FD81" w14:textId="77777777" w:rsidR="00153578" w:rsidRPr="00576180" w:rsidRDefault="00153578" w:rsidP="00153578">
            <w:pPr>
              <w:jc w:val="both"/>
              <w:rPr>
                <w:rFonts w:ascii="Arial" w:hAnsi="Arial" w:cs="Arial"/>
                <w:sz w:val="18"/>
                <w:szCs w:val="18"/>
              </w:rPr>
            </w:pPr>
          </w:p>
        </w:tc>
        <w:tc>
          <w:tcPr>
            <w:tcW w:w="1287" w:type="dxa"/>
            <w:vMerge/>
            <w:vAlign w:val="center"/>
          </w:tcPr>
          <w:p w14:paraId="3C3A2F9B" w14:textId="77777777" w:rsidR="00153578" w:rsidRPr="00576180" w:rsidRDefault="00153578" w:rsidP="00153578">
            <w:pPr>
              <w:jc w:val="center"/>
              <w:rPr>
                <w:rFonts w:ascii="Arial" w:hAnsi="Arial" w:cs="Arial"/>
                <w:sz w:val="18"/>
                <w:szCs w:val="18"/>
              </w:rPr>
            </w:pPr>
          </w:p>
        </w:tc>
        <w:tc>
          <w:tcPr>
            <w:tcW w:w="687" w:type="dxa"/>
            <w:vMerge/>
            <w:vAlign w:val="center"/>
          </w:tcPr>
          <w:p w14:paraId="1F411CCF" w14:textId="77777777" w:rsidR="00153578" w:rsidRPr="00576180" w:rsidRDefault="00153578" w:rsidP="00153578">
            <w:pPr>
              <w:jc w:val="center"/>
              <w:rPr>
                <w:rFonts w:ascii="Arial" w:hAnsi="Arial" w:cs="Arial"/>
                <w:sz w:val="18"/>
                <w:szCs w:val="18"/>
              </w:rPr>
            </w:pPr>
          </w:p>
        </w:tc>
        <w:tc>
          <w:tcPr>
            <w:tcW w:w="617" w:type="dxa"/>
            <w:vMerge/>
            <w:vAlign w:val="center"/>
          </w:tcPr>
          <w:p w14:paraId="1FFB0053" w14:textId="77777777" w:rsidR="00153578" w:rsidRPr="00576180" w:rsidRDefault="00153578" w:rsidP="00153578">
            <w:pPr>
              <w:jc w:val="center"/>
              <w:rPr>
                <w:rFonts w:ascii="Arial" w:hAnsi="Arial" w:cs="Arial"/>
                <w:sz w:val="18"/>
                <w:szCs w:val="18"/>
              </w:rPr>
            </w:pPr>
          </w:p>
        </w:tc>
        <w:tc>
          <w:tcPr>
            <w:tcW w:w="557" w:type="dxa"/>
            <w:vAlign w:val="center"/>
          </w:tcPr>
          <w:p w14:paraId="7B4842CC"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A</w:t>
            </w:r>
          </w:p>
        </w:tc>
        <w:tc>
          <w:tcPr>
            <w:tcW w:w="667" w:type="dxa"/>
            <w:vAlign w:val="center"/>
          </w:tcPr>
          <w:p w14:paraId="1E37735D"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1</w:t>
            </w:r>
          </w:p>
        </w:tc>
        <w:tc>
          <w:tcPr>
            <w:tcW w:w="4031" w:type="dxa"/>
            <w:vMerge/>
            <w:vAlign w:val="center"/>
          </w:tcPr>
          <w:p w14:paraId="505175F3" w14:textId="77777777" w:rsidR="00153578" w:rsidRPr="00576180" w:rsidRDefault="00153578" w:rsidP="00153578">
            <w:pPr>
              <w:jc w:val="center"/>
              <w:rPr>
                <w:rFonts w:ascii="Arial" w:hAnsi="Arial" w:cs="Arial"/>
                <w:sz w:val="18"/>
                <w:szCs w:val="18"/>
              </w:rPr>
            </w:pPr>
          </w:p>
        </w:tc>
        <w:tc>
          <w:tcPr>
            <w:tcW w:w="617" w:type="dxa"/>
            <w:vMerge/>
            <w:vAlign w:val="center"/>
          </w:tcPr>
          <w:p w14:paraId="6026C9D6" w14:textId="77777777" w:rsidR="00153578" w:rsidRPr="00576180" w:rsidRDefault="00153578" w:rsidP="00153578">
            <w:pPr>
              <w:jc w:val="center"/>
              <w:rPr>
                <w:rFonts w:ascii="Arial" w:hAnsi="Arial" w:cs="Arial"/>
                <w:sz w:val="18"/>
                <w:szCs w:val="18"/>
              </w:rPr>
            </w:pPr>
          </w:p>
        </w:tc>
        <w:tc>
          <w:tcPr>
            <w:tcW w:w="1217" w:type="dxa"/>
            <w:vMerge/>
            <w:vAlign w:val="center"/>
          </w:tcPr>
          <w:p w14:paraId="4B19F96C" w14:textId="77777777" w:rsidR="00153578" w:rsidRPr="00576180" w:rsidRDefault="00153578" w:rsidP="00153578">
            <w:pPr>
              <w:rPr>
                <w:rFonts w:ascii="Arial" w:hAnsi="Arial" w:cs="Arial"/>
                <w:sz w:val="18"/>
                <w:szCs w:val="18"/>
              </w:rPr>
            </w:pPr>
          </w:p>
        </w:tc>
      </w:tr>
      <w:tr w:rsidR="00153578" w:rsidRPr="00576180" w14:paraId="1BC75353" w14:textId="77777777" w:rsidTr="00957319">
        <w:trPr>
          <w:trHeight w:val="101"/>
        </w:trPr>
        <w:tc>
          <w:tcPr>
            <w:tcW w:w="1507" w:type="dxa"/>
            <w:gridSpan w:val="2"/>
            <w:vMerge w:val="restart"/>
            <w:vAlign w:val="center"/>
          </w:tcPr>
          <w:p w14:paraId="307041F6" w14:textId="369C8A03" w:rsidR="00153578" w:rsidRPr="00576180" w:rsidRDefault="00B52DCA" w:rsidP="00153578">
            <w:pPr>
              <w:jc w:val="both"/>
              <w:rPr>
                <w:rFonts w:ascii="Arial" w:hAnsi="Arial" w:cs="Arial"/>
                <w:color w:val="000000" w:themeColor="text1"/>
                <w:sz w:val="18"/>
                <w:szCs w:val="18"/>
              </w:rPr>
            </w:pPr>
            <w:r w:rsidRPr="00576180">
              <w:rPr>
                <w:rFonts w:ascii="Arial" w:hAnsi="Arial" w:cs="Arial"/>
                <w:color w:val="000000" w:themeColor="text1"/>
                <w:sz w:val="18"/>
                <w:szCs w:val="18"/>
              </w:rPr>
              <w:t>1.2</w:t>
            </w:r>
            <w:r w:rsidR="00D1344C" w:rsidRPr="00576180">
              <w:rPr>
                <w:rFonts w:ascii="Arial" w:hAnsi="Arial" w:cs="Arial"/>
                <w:color w:val="000000" w:themeColor="text1"/>
                <w:sz w:val="18"/>
                <w:szCs w:val="18"/>
              </w:rPr>
              <w:t xml:space="preserve"> </w:t>
            </w:r>
            <w:r w:rsidR="00153578" w:rsidRPr="00576180">
              <w:rPr>
                <w:rFonts w:ascii="Arial" w:hAnsi="Arial" w:cs="Arial"/>
                <w:color w:val="000000" w:themeColor="text1"/>
                <w:sz w:val="18"/>
                <w:szCs w:val="18"/>
              </w:rPr>
              <w:t xml:space="preserve">Macroproceso de </w:t>
            </w:r>
            <w:r w:rsidR="00D1344C" w:rsidRPr="00576180">
              <w:rPr>
                <w:rFonts w:ascii="Arial" w:hAnsi="Arial" w:cs="Arial"/>
                <w:color w:val="000000" w:themeColor="text1"/>
                <w:sz w:val="18"/>
                <w:szCs w:val="18"/>
              </w:rPr>
              <w:t>e</w:t>
            </w:r>
            <w:r w:rsidR="00153578" w:rsidRPr="00576180">
              <w:rPr>
                <w:rFonts w:ascii="Arial" w:hAnsi="Arial" w:cs="Arial"/>
                <w:color w:val="000000" w:themeColor="text1"/>
                <w:sz w:val="18"/>
                <w:szCs w:val="18"/>
              </w:rPr>
              <w:t xml:space="preserve">jecución </w:t>
            </w:r>
            <w:r w:rsidR="00D1344C" w:rsidRPr="00576180">
              <w:rPr>
                <w:rFonts w:ascii="Arial" w:hAnsi="Arial" w:cs="Arial"/>
                <w:color w:val="000000" w:themeColor="text1"/>
                <w:sz w:val="18"/>
                <w:szCs w:val="18"/>
              </w:rPr>
              <w:t>f</w:t>
            </w:r>
            <w:r w:rsidR="00153578" w:rsidRPr="00576180">
              <w:rPr>
                <w:rFonts w:ascii="Arial" w:hAnsi="Arial" w:cs="Arial"/>
                <w:color w:val="000000" w:themeColor="text1"/>
                <w:sz w:val="18"/>
                <w:szCs w:val="18"/>
              </w:rPr>
              <w:t xml:space="preserve">inanciera, </w:t>
            </w:r>
            <w:r w:rsidR="00D1344C" w:rsidRPr="00576180">
              <w:rPr>
                <w:rFonts w:ascii="Arial" w:hAnsi="Arial" w:cs="Arial"/>
                <w:color w:val="000000" w:themeColor="text1"/>
                <w:sz w:val="18"/>
                <w:szCs w:val="18"/>
              </w:rPr>
              <w:t>c</w:t>
            </w:r>
            <w:r w:rsidR="00153578" w:rsidRPr="00576180">
              <w:rPr>
                <w:rFonts w:ascii="Arial" w:hAnsi="Arial" w:cs="Arial"/>
                <w:color w:val="000000" w:themeColor="text1"/>
                <w:sz w:val="18"/>
                <w:szCs w:val="18"/>
              </w:rPr>
              <w:t xml:space="preserve">ontabilidad y </w:t>
            </w:r>
            <w:r w:rsidR="00D1344C" w:rsidRPr="00576180">
              <w:rPr>
                <w:rFonts w:ascii="Arial" w:hAnsi="Arial" w:cs="Arial"/>
                <w:color w:val="000000" w:themeColor="text1"/>
                <w:sz w:val="18"/>
                <w:szCs w:val="18"/>
              </w:rPr>
              <w:t>r</w:t>
            </w:r>
            <w:r w:rsidR="00153578" w:rsidRPr="00576180">
              <w:rPr>
                <w:rFonts w:ascii="Arial" w:hAnsi="Arial" w:cs="Arial"/>
                <w:color w:val="000000" w:themeColor="text1"/>
                <w:sz w:val="18"/>
                <w:szCs w:val="18"/>
              </w:rPr>
              <w:t xml:space="preserve">endición de </w:t>
            </w:r>
            <w:r w:rsidR="00D1344C" w:rsidRPr="00576180">
              <w:rPr>
                <w:rFonts w:ascii="Arial" w:hAnsi="Arial" w:cs="Arial"/>
                <w:color w:val="000000" w:themeColor="text1"/>
                <w:sz w:val="18"/>
                <w:szCs w:val="18"/>
              </w:rPr>
              <w:t>c</w:t>
            </w:r>
            <w:r w:rsidR="00153578" w:rsidRPr="00576180">
              <w:rPr>
                <w:rFonts w:ascii="Arial" w:hAnsi="Arial" w:cs="Arial"/>
                <w:color w:val="000000" w:themeColor="text1"/>
                <w:sz w:val="18"/>
                <w:szCs w:val="18"/>
              </w:rPr>
              <w:t>uentas, informatizado e implementado</w:t>
            </w:r>
          </w:p>
        </w:tc>
        <w:tc>
          <w:tcPr>
            <w:tcW w:w="1287" w:type="dxa"/>
            <w:vMerge w:val="restart"/>
            <w:vAlign w:val="center"/>
          </w:tcPr>
          <w:p w14:paraId="5D9F4E6F" w14:textId="3F1A11DF" w:rsidR="00153578" w:rsidRPr="00576180" w:rsidRDefault="00153578" w:rsidP="00153578">
            <w:pPr>
              <w:jc w:val="center"/>
              <w:rPr>
                <w:rFonts w:ascii="Arial" w:hAnsi="Arial" w:cs="Arial"/>
                <w:color w:val="000000" w:themeColor="text1"/>
                <w:sz w:val="18"/>
                <w:szCs w:val="18"/>
              </w:rPr>
            </w:pPr>
            <w:r w:rsidRPr="00576180">
              <w:rPr>
                <w:rFonts w:ascii="Arial" w:hAnsi="Arial" w:cs="Arial"/>
                <w:color w:val="000000" w:themeColor="text1"/>
                <w:sz w:val="18"/>
                <w:szCs w:val="18"/>
              </w:rPr>
              <w:t>Sistemas</w:t>
            </w:r>
          </w:p>
        </w:tc>
        <w:tc>
          <w:tcPr>
            <w:tcW w:w="687" w:type="dxa"/>
            <w:vMerge w:val="restart"/>
            <w:vAlign w:val="center"/>
          </w:tcPr>
          <w:p w14:paraId="4390F0E2"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0</w:t>
            </w:r>
          </w:p>
        </w:tc>
        <w:tc>
          <w:tcPr>
            <w:tcW w:w="617" w:type="dxa"/>
            <w:vMerge w:val="restart"/>
            <w:vAlign w:val="center"/>
          </w:tcPr>
          <w:p w14:paraId="2A75F1E8" w14:textId="039B0233" w:rsidR="00153578" w:rsidRPr="00576180" w:rsidRDefault="00153578" w:rsidP="00153578">
            <w:pPr>
              <w:jc w:val="center"/>
              <w:rPr>
                <w:rFonts w:ascii="Arial" w:hAnsi="Arial" w:cs="Arial"/>
                <w:sz w:val="18"/>
                <w:szCs w:val="18"/>
              </w:rPr>
            </w:pPr>
            <w:r w:rsidRPr="00576180">
              <w:rPr>
                <w:rFonts w:ascii="Arial" w:hAnsi="Arial" w:cs="Arial"/>
                <w:sz w:val="18"/>
                <w:szCs w:val="18"/>
              </w:rPr>
              <w:t>2010</w:t>
            </w:r>
          </w:p>
        </w:tc>
        <w:tc>
          <w:tcPr>
            <w:tcW w:w="557" w:type="dxa"/>
            <w:vAlign w:val="center"/>
          </w:tcPr>
          <w:p w14:paraId="09CE2907"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P</w:t>
            </w:r>
          </w:p>
        </w:tc>
        <w:tc>
          <w:tcPr>
            <w:tcW w:w="667" w:type="dxa"/>
            <w:vAlign w:val="center"/>
          </w:tcPr>
          <w:p w14:paraId="4508998E" w14:textId="77777777" w:rsidR="00153578" w:rsidRPr="00576180" w:rsidRDefault="00153578" w:rsidP="00153578">
            <w:pPr>
              <w:jc w:val="center"/>
              <w:rPr>
                <w:rFonts w:ascii="Arial" w:hAnsi="Arial" w:cs="Arial"/>
                <w:color w:val="000000" w:themeColor="text1"/>
                <w:sz w:val="18"/>
                <w:szCs w:val="18"/>
              </w:rPr>
            </w:pPr>
            <w:r w:rsidRPr="00576180">
              <w:rPr>
                <w:rFonts w:ascii="Arial" w:hAnsi="Arial" w:cs="Arial"/>
                <w:color w:val="000000" w:themeColor="text1"/>
                <w:sz w:val="18"/>
                <w:szCs w:val="18"/>
              </w:rPr>
              <w:t>1</w:t>
            </w:r>
          </w:p>
        </w:tc>
        <w:tc>
          <w:tcPr>
            <w:tcW w:w="4031" w:type="dxa"/>
            <w:vMerge w:val="restart"/>
            <w:vAlign w:val="center"/>
          </w:tcPr>
          <w:p w14:paraId="75F7B646" w14:textId="34E3F4F4" w:rsidR="00153578" w:rsidRPr="00576180" w:rsidRDefault="00DD38BA" w:rsidP="00153578">
            <w:pPr>
              <w:jc w:val="center"/>
              <w:rPr>
                <w:rFonts w:ascii="Arial" w:hAnsi="Arial" w:cs="Arial"/>
                <w:color w:val="000000" w:themeColor="text1"/>
                <w:sz w:val="18"/>
                <w:szCs w:val="18"/>
              </w:rPr>
            </w:pPr>
            <w:r w:rsidRPr="00576180">
              <w:rPr>
                <w:rFonts w:ascii="Arial" w:hAnsi="Arial" w:cs="Arial"/>
                <w:color w:val="000000" w:themeColor="text1"/>
                <w:sz w:val="18"/>
                <w:szCs w:val="18"/>
              </w:rPr>
              <w:t>0</w:t>
            </w:r>
            <w:r w:rsidR="00153578" w:rsidRPr="00576180">
              <w:rPr>
                <w:rFonts w:ascii="Arial" w:hAnsi="Arial" w:cs="Arial"/>
                <w:color w:val="000000" w:themeColor="text1"/>
                <w:sz w:val="18"/>
                <w:szCs w:val="18"/>
              </w:rPr>
              <w:t>%</w:t>
            </w:r>
            <w:r w:rsidR="00345FCD" w:rsidRPr="00576180">
              <w:rPr>
                <w:rStyle w:val="FootnoteReference"/>
                <w:rFonts w:ascii="Arial" w:hAnsi="Arial" w:cs="Arial"/>
                <w:color w:val="000000" w:themeColor="text1"/>
                <w:sz w:val="18"/>
                <w:szCs w:val="18"/>
              </w:rPr>
              <w:footnoteReference w:id="8"/>
            </w:r>
          </w:p>
        </w:tc>
        <w:tc>
          <w:tcPr>
            <w:tcW w:w="617" w:type="dxa"/>
            <w:vMerge w:val="restart"/>
            <w:vAlign w:val="center"/>
          </w:tcPr>
          <w:p w14:paraId="3B188587"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2017</w:t>
            </w:r>
          </w:p>
        </w:tc>
        <w:tc>
          <w:tcPr>
            <w:tcW w:w="1217" w:type="dxa"/>
            <w:vMerge w:val="restart"/>
            <w:vAlign w:val="center"/>
          </w:tcPr>
          <w:p w14:paraId="36C76DAD" w14:textId="599B7AAB" w:rsidR="00153578" w:rsidRPr="00576180" w:rsidRDefault="00153578" w:rsidP="00153578">
            <w:pPr>
              <w:rPr>
                <w:rFonts w:ascii="Arial" w:hAnsi="Arial" w:cs="Arial"/>
                <w:sz w:val="18"/>
                <w:szCs w:val="18"/>
              </w:rPr>
            </w:pPr>
            <w:r w:rsidRPr="00576180">
              <w:rPr>
                <w:rFonts w:ascii="Arial" w:hAnsi="Arial" w:cs="Arial"/>
                <w:sz w:val="18"/>
                <w:szCs w:val="18"/>
              </w:rPr>
              <w:t>Informe MEF</w:t>
            </w:r>
          </w:p>
        </w:tc>
      </w:tr>
      <w:tr w:rsidR="00153578" w:rsidRPr="00576180" w14:paraId="6117B44E" w14:textId="77777777" w:rsidTr="00957319">
        <w:trPr>
          <w:trHeight w:val="100"/>
        </w:trPr>
        <w:tc>
          <w:tcPr>
            <w:tcW w:w="1507" w:type="dxa"/>
            <w:gridSpan w:val="2"/>
            <w:vMerge/>
            <w:vAlign w:val="center"/>
          </w:tcPr>
          <w:p w14:paraId="48D469F3" w14:textId="77777777" w:rsidR="00153578" w:rsidRPr="00576180" w:rsidRDefault="00153578" w:rsidP="00153578">
            <w:pPr>
              <w:jc w:val="both"/>
              <w:rPr>
                <w:rFonts w:ascii="Arial" w:hAnsi="Arial" w:cs="Arial"/>
                <w:sz w:val="18"/>
                <w:szCs w:val="18"/>
              </w:rPr>
            </w:pPr>
          </w:p>
        </w:tc>
        <w:tc>
          <w:tcPr>
            <w:tcW w:w="1287" w:type="dxa"/>
            <w:vMerge/>
            <w:vAlign w:val="center"/>
          </w:tcPr>
          <w:p w14:paraId="17F15E1B" w14:textId="77777777" w:rsidR="00153578" w:rsidRPr="00576180" w:rsidRDefault="00153578" w:rsidP="00153578">
            <w:pPr>
              <w:jc w:val="center"/>
              <w:rPr>
                <w:rFonts w:ascii="Arial" w:hAnsi="Arial" w:cs="Arial"/>
                <w:sz w:val="18"/>
                <w:szCs w:val="18"/>
              </w:rPr>
            </w:pPr>
          </w:p>
        </w:tc>
        <w:tc>
          <w:tcPr>
            <w:tcW w:w="687" w:type="dxa"/>
            <w:vMerge/>
            <w:vAlign w:val="center"/>
          </w:tcPr>
          <w:p w14:paraId="21B3E895" w14:textId="77777777" w:rsidR="00153578" w:rsidRPr="00576180" w:rsidRDefault="00153578" w:rsidP="00153578">
            <w:pPr>
              <w:jc w:val="center"/>
              <w:rPr>
                <w:rFonts w:ascii="Arial" w:hAnsi="Arial" w:cs="Arial"/>
                <w:sz w:val="18"/>
                <w:szCs w:val="18"/>
              </w:rPr>
            </w:pPr>
          </w:p>
        </w:tc>
        <w:tc>
          <w:tcPr>
            <w:tcW w:w="617" w:type="dxa"/>
            <w:vMerge/>
            <w:vAlign w:val="center"/>
          </w:tcPr>
          <w:p w14:paraId="0DEE6D81" w14:textId="77777777" w:rsidR="00153578" w:rsidRPr="00576180" w:rsidRDefault="00153578" w:rsidP="00153578">
            <w:pPr>
              <w:jc w:val="center"/>
              <w:rPr>
                <w:rFonts w:ascii="Arial" w:hAnsi="Arial" w:cs="Arial"/>
                <w:sz w:val="18"/>
                <w:szCs w:val="18"/>
              </w:rPr>
            </w:pPr>
          </w:p>
        </w:tc>
        <w:tc>
          <w:tcPr>
            <w:tcW w:w="557" w:type="dxa"/>
            <w:vAlign w:val="center"/>
          </w:tcPr>
          <w:p w14:paraId="0EEBAB62"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P(a)</w:t>
            </w:r>
          </w:p>
        </w:tc>
        <w:tc>
          <w:tcPr>
            <w:tcW w:w="667" w:type="dxa"/>
            <w:vAlign w:val="center"/>
          </w:tcPr>
          <w:p w14:paraId="021A86F4" w14:textId="77777777" w:rsidR="00153578" w:rsidRPr="00576180" w:rsidRDefault="00153578" w:rsidP="00153578">
            <w:pPr>
              <w:jc w:val="center"/>
              <w:rPr>
                <w:rFonts w:ascii="Arial" w:hAnsi="Arial" w:cs="Arial"/>
                <w:color w:val="000000" w:themeColor="text1"/>
                <w:sz w:val="18"/>
                <w:szCs w:val="18"/>
              </w:rPr>
            </w:pPr>
            <w:r w:rsidRPr="00576180">
              <w:rPr>
                <w:rFonts w:ascii="Arial" w:hAnsi="Arial" w:cs="Arial"/>
                <w:color w:val="000000" w:themeColor="text1"/>
                <w:sz w:val="18"/>
                <w:szCs w:val="18"/>
              </w:rPr>
              <w:t>1</w:t>
            </w:r>
          </w:p>
        </w:tc>
        <w:tc>
          <w:tcPr>
            <w:tcW w:w="4031" w:type="dxa"/>
            <w:vMerge/>
            <w:vAlign w:val="center"/>
          </w:tcPr>
          <w:p w14:paraId="4EB7E288" w14:textId="77777777" w:rsidR="00153578" w:rsidRPr="00576180" w:rsidRDefault="00153578" w:rsidP="00153578">
            <w:pPr>
              <w:jc w:val="center"/>
              <w:rPr>
                <w:rFonts w:ascii="Arial" w:hAnsi="Arial" w:cs="Arial"/>
                <w:color w:val="000000" w:themeColor="text1"/>
                <w:sz w:val="18"/>
                <w:szCs w:val="18"/>
              </w:rPr>
            </w:pPr>
          </w:p>
        </w:tc>
        <w:tc>
          <w:tcPr>
            <w:tcW w:w="617" w:type="dxa"/>
            <w:vMerge/>
            <w:vAlign w:val="center"/>
          </w:tcPr>
          <w:p w14:paraId="7F7A5578" w14:textId="77777777" w:rsidR="00153578" w:rsidRPr="00576180" w:rsidRDefault="00153578" w:rsidP="00153578">
            <w:pPr>
              <w:jc w:val="center"/>
              <w:rPr>
                <w:rFonts w:ascii="Arial" w:hAnsi="Arial" w:cs="Arial"/>
                <w:sz w:val="18"/>
                <w:szCs w:val="18"/>
              </w:rPr>
            </w:pPr>
          </w:p>
        </w:tc>
        <w:tc>
          <w:tcPr>
            <w:tcW w:w="1217" w:type="dxa"/>
            <w:vMerge/>
            <w:vAlign w:val="center"/>
          </w:tcPr>
          <w:p w14:paraId="132DDA2D" w14:textId="77777777" w:rsidR="00153578" w:rsidRPr="00576180" w:rsidRDefault="00153578" w:rsidP="00153578">
            <w:pPr>
              <w:rPr>
                <w:rFonts w:ascii="Arial" w:hAnsi="Arial" w:cs="Arial"/>
                <w:sz w:val="18"/>
                <w:szCs w:val="18"/>
              </w:rPr>
            </w:pPr>
          </w:p>
        </w:tc>
      </w:tr>
      <w:tr w:rsidR="00153578" w:rsidRPr="00576180" w14:paraId="32A585A3" w14:textId="77777777" w:rsidTr="00957319">
        <w:trPr>
          <w:trHeight w:val="100"/>
        </w:trPr>
        <w:tc>
          <w:tcPr>
            <w:tcW w:w="1507" w:type="dxa"/>
            <w:gridSpan w:val="2"/>
            <w:vMerge/>
            <w:vAlign w:val="center"/>
          </w:tcPr>
          <w:p w14:paraId="656D0ADF" w14:textId="77777777" w:rsidR="00153578" w:rsidRPr="00576180" w:rsidRDefault="00153578" w:rsidP="00153578">
            <w:pPr>
              <w:jc w:val="both"/>
              <w:rPr>
                <w:rFonts w:ascii="Arial" w:hAnsi="Arial" w:cs="Arial"/>
                <w:sz w:val="18"/>
                <w:szCs w:val="18"/>
              </w:rPr>
            </w:pPr>
          </w:p>
        </w:tc>
        <w:tc>
          <w:tcPr>
            <w:tcW w:w="1287" w:type="dxa"/>
            <w:vMerge/>
            <w:vAlign w:val="center"/>
          </w:tcPr>
          <w:p w14:paraId="2346F47D" w14:textId="77777777" w:rsidR="00153578" w:rsidRPr="00576180" w:rsidRDefault="00153578" w:rsidP="00153578">
            <w:pPr>
              <w:jc w:val="center"/>
              <w:rPr>
                <w:rFonts w:ascii="Arial" w:hAnsi="Arial" w:cs="Arial"/>
                <w:sz w:val="18"/>
                <w:szCs w:val="18"/>
              </w:rPr>
            </w:pPr>
          </w:p>
        </w:tc>
        <w:tc>
          <w:tcPr>
            <w:tcW w:w="687" w:type="dxa"/>
            <w:vMerge/>
            <w:vAlign w:val="center"/>
          </w:tcPr>
          <w:p w14:paraId="741E3354" w14:textId="77777777" w:rsidR="00153578" w:rsidRPr="00576180" w:rsidRDefault="00153578" w:rsidP="00153578">
            <w:pPr>
              <w:jc w:val="center"/>
              <w:rPr>
                <w:rFonts w:ascii="Arial" w:hAnsi="Arial" w:cs="Arial"/>
                <w:sz w:val="18"/>
                <w:szCs w:val="18"/>
              </w:rPr>
            </w:pPr>
          </w:p>
        </w:tc>
        <w:tc>
          <w:tcPr>
            <w:tcW w:w="617" w:type="dxa"/>
            <w:vMerge/>
            <w:vAlign w:val="center"/>
          </w:tcPr>
          <w:p w14:paraId="45A40823" w14:textId="77777777" w:rsidR="00153578" w:rsidRPr="00576180" w:rsidRDefault="00153578" w:rsidP="00153578">
            <w:pPr>
              <w:jc w:val="center"/>
              <w:rPr>
                <w:rFonts w:ascii="Arial" w:hAnsi="Arial" w:cs="Arial"/>
                <w:sz w:val="18"/>
                <w:szCs w:val="18"/>
              </w:rPr>
            </w:pPr>
          </w:p>
        </w:tc>
        <w:tc>
          <w:tcPr>
            <w:tcW w:w="557" w:type="dxa"/>
            <w:vAlign w:val="center"/>
          </w:tcPr>
          <w:p w14:paraId="40D912D6"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A</w:t>
            </w:r>
          </w:p>
        </w:tc>
        <w:tc>
          <w:tcPr>
            <w:tcW w:w="667" w:type="dxa"/>
            <w:vAlign w:val="center"/>
          </w:tcPr>
          <w:p w14:paraId="62B479B3" w14:textId="28390EC8" w:rsidR="00153578" w:rsidRPr="00576180" w:rsidRDefault="001927B8" w:rsidP="00153578">
            <w:pPr>
              <w:jc w:val="center"/>
              <w:rPr>
                <w:rFonts w:ascii="Arial" w:hAnsi="Arial" w:cs="Arial"/>
                <w:color w:val="000000" w:themeColor="text1"/>
                <w:sz w:val="18"/>
                <w:szCs w:val="18"/>
              </w:rPr>
            </w:pPr>
            <w:r w:rsidRPr="00576180">
              <w:rPr>
                <w:rFonts w:ascii="Arial" w:hAnsi="Arial" w:cs="Arial"/>
                <w:color w:val="000000" w:themeColor="text1"/>
                <w:sz w:val="18"/>
                <w:szCs w:val="18"/>
              </w:rPr>
              <w:t>0.</w:t>
            </w:r>
            <w:r w:rsidR="00DD38BA" w:rsidRPr="00576180">
              <w:rPr>
                <w:rFonts w:ascii="Arial" w:hAnsi="Arial" w:cs="Arial"/>
                <w:color w:val="000000" w:themeColor="text1"/>
                <w:sz w:val="18"/>
                <w:szCs w:val="18"/>
              </w:rPr>
              <w:t>0</w:t>
            </w:r>
          </w:p>
        </w:tc>
        <w:tc>
          <w:tcPr>
            <w:tcW w:w="4031" w:type="dxa"/>
            <w:vMerge/>
            <w:vAlign w:val="center"/>
          </w:tcPr>
          <w:p w14:paraId="40ADBFB0" w14:textId="77777777" w:rsidR="00153578" w:rsidRPr="00576180" w:rsidRDefault="00153578" w:rsidP="00153578">
            <w:pPr>
              <w:jc w:val="center"/>
              <w:rPr>
                <w:rFonts w:ascii="Arial" w:hAnsi="Arial" w:cs="Arial"/>
                <w:color w:val="000000" w:themeColor="text1"/>
                <w:sz w:val="18"/>
                <w:szCs w:val="18"/>
              </w:rPr>
            </w:pPr>
          </w:p>
        </w:tc>
        <w:tc>
          <w:tcPr>
            <w:tcW w:w="617" w:type="dxa"/>
            <w:vMerge/>
            <w:vAlign w:val="center"/>
          </w:tcPr>
          <w:p w14:paraId="649F9FD9" w14:textId="77777777" w:rsidR="00153578" w:rsidRPr="00576180" w:rsidRDefault="00153578" w:rsidP="00153578">
            <w:pPr>
              <w:jc w:val="center"/>
              <w:rPr>
                <w:rFonts w:ascii="Arial" w:hAnsi="Arial" w:cs="Arial"/>
                <w:sz w:val="18"/>
                <w:szCs w:val="18"/>
              </w:rPr>
            </w:pPr>
          </w:p>
        </w:tc>
        <w:tc>
          <w:tcPr>
            <w:tcW w:w="1217" w:type="dxa"/>
            <w:vMerge/>
            <w:vAlign w:val="center"/>
          </w:tcPr>
          <w:p w14:paraId="5AC42AA9" w14:textId="77777777" w:rsidR="00153578" w:rsidRPr="00576180" w:rsidRDefault="00153578" w:rsidP="00153578">
            <w:pPr>
              <w:rPr>
                <w:rFonts w:ascii="Arial" w:hAnsi="Arial" w:cs="Arial"/>
                <w:sz w:val="18"/>
                <w:szCs w:val="18"/>
              </w:rPr>
            </w:pPr>
          </w:p>
        </w:tc>
      </w:tr>
      <w:tr w:rsidR="00153578" w:rsidRPr="00576180" w14:paraId="7B1A3076" w14:textId="77777777" w:rsidTr="00957319">
        <w:tc>
          <w:tcPr>
            <w:tcW w:w="1507" w:type="dxa"/>
            <w:gridSpan w:val="2"/>
            <w:vMerge w:val="restart"/>
            <w:vAlign w:val="center"/>
          </w:tcPr>
          <w:p w14:paraId="13049BCE" w14:textId="4D997A5A" w:rsidR="00153578" w:rsidRPr="00576180" w:rsidRDefault="00B52DCA" w:rsidP="00153578">
            <w:pPr>
              <w:jc w:val="both"/>
              <w:rPr>
                <w:rFonts w:ascii="Arial" w:hAnsi="Arial" w:cs="Arial"/>
                <w:sz w:val="18"/>
                <w:szCs w:val="18"/>
              </w:rPr>
            </w:pPr>
            <w:r w:rsidRPr="00576180">
              <w:rPr>
                <w:rFonts w:ascii="Arial" w:hAnsi="Arial" w:cs="Arial"/>
                <w:sz w:val="18"/>
                <w:szCs w:val="18"/>
              </w:rPr>
              <w:t xml:space="preserve">1.3 </w:t>
            </w:r>
            <w:r w:rsidR="00153578" w:rsidRPr="00576180">
              <w:rPr>
                <w:rFonts w:ascii="Arial" w:hAnsi="Arial" w:cs="Arial"/>
                <w:sz w:val="18"/>
                <w:szCs w:val="18"/>
              </w:rPr>
              <w:t>Servidores adquiridos y/o repotenciados</w:t>
            </w:r>
          </w:p>
        </w:tc>
        <w:tc>
          <w:tcPr>
            <w:tcW w:w="1287" w:type="dxa"/>
            <w:vMerge w:val="restart"/>
            <w:vAlign w:val="center"/>
          </w:tcPr>
          <w:p w14:paraId="32D9DC4B" w14:textId="7082BE74" w:rsidR="00153578" w:rsidRPr="00576180" w:rsidRDefault="00153578" w:rsidP="00153578">
            <w:pPr>
              <w:jc w:val="center"/>
              <w:rPr>
                <w:rFonts w:ascii="Arial" w:hAnsi="Arial" w:cs="Arial"/>
                <w:sz w:val="18"/>
                <w:szCs w:val="18"/>
              </w:rPr>
            </w:pPr>
            <w:r w:rsidRPr="00576180">
              <w:rPr>
                <w:rFonts w:ascii="Arial" w:hAnsi="Arial" w:cs="Arial"/>
                <w:sz w:val="18"/>
                <w:szCs w:val="18"/>
              </w:rPr>
              <w:t>Servidores</w:t>
            </w:r>
          </w:p>
        </w:tc>
        <w:tc>
          <w:tcPr>
            <w:tcW w:w="687" w:type="dxa"/>
            <w:vMerge w:val="restart"/>
            <w:vAlign w:val="center"/>
          </w:tcPr>
          <w:p w14:paraId="6AE4F466"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0</w:t>
            </w:r>
          </w:p>
        </w:tc>
        <w:tc>
          <w:tcPr>
            <w:tcW w:w="617" w:type="dxa"/>
            <w:vMerge w:val="restart"/>
            <w:vAlign w:val="center"/>
          </w:tcPr>
          <w:p w14:paraId="6C80CE02" w14:textId="381FF403" w:rsidR="00153578" w:rsidRPr="00576180" w:rsidRDefault="00153578" w:rsidP="00153578">
            <w:pPr>
              <w:jc w:val="center"/>
              <w:rPr>
                <w:rFonts w:ascii="Arial" w:hAnsi="Arial" w:cs="Arial"/>
                <w:sz w:val="18"/>
                <w:szCs w:val="18"/>
              </w:rPr>
            </w:pPr>
            <w:r w:rsidRPr="00576180">
              <w:rPr>
                <w:rFonts w:ascii="Arial" w:hAnsi="Arial" w:cs="Arial"/>
                <w:sz w:val="18"/>
                <w:szCs w:val="18"/>
              </w:rPr>
              <w:t>2010</w:t>
            </w:r>
          </w:p>
        </w:tc>
        <w:tc>
          <w:tcPr>
            <w:tcW w:w="557" w:type="dxa"/>
            <w:vAlign w:val="center"/>
          </w:tcPr>
          <w:p w14:paraId="246C24BB"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P</w:t>
            </w:r>
          </w:p>
        </w:tc>
        <w:tc>
          <w:tcPr>
            <w:tcW w:w="667" w:type="dxa"/>
            <w:vAlign w:val="center"/>
          </w:tcPr>
          <w:p w14:paraId="63C9D31A" w14:textId="01BE82F5" w:rsidR="00153578" w:rsidRPr="00576180" w:rsidRDefault="00153578" w:rsidP="00153578">
            <w:pPr>
              <w:jc w:val="center"/>
              <w:rPr>
                <w:rFonts w:ascii="Arial" w:hAnsi="Arial" w:cs="Arial"/>
                <w:sz w:val="18"/>
                <w:szCs w:val="18"/>
              </w:rPr>
            </w:pPr>
            <w:r w:rsidRPr="00576180">
              <w:rPr>
                <w:rFonts w:ascii="Arial" w:hAnsi="Arial" w:cs="Arial"/>
                <w:sz w:val="18"/>
                <w:szCs w:val="18"/>
              </w:rPr>
              <w:t>1</w:t>
            </w:r>
            <w:r w:rsidR="00CC275F" w:rsidRPr="00576180">
              <w:rPr>
                <w:rFonts w:ascii="Arial" w:hAnsi="Arial" w:cs="Arial"/>
                <w:sz w:val="18"/>
                <w:szCs w:val="18"/>
              </w:rPr>
              <w:t>2</w:t>
            </w:r>
          </w:p>
        </w:tc>
        <w:tc>
          <w:tcPr>
            <w:tcW w:w="4031" w:type="dxa"/>
            <w:vMerge w:val="restart"/>
            <w:vAlign w:val="center"/>
          </w:tcPr>
          <w:p w14:paraId="50B47CFD" w14:textId="297772AE" w:rsidR="00153578" w:rsidRPr="00576180" w:rsidRDefault="00A54E55" w:rsidP="00153578">
            <w:pPr>
              <w:jc w:val="center"/>
              <w:rPr>
                <w:rFonts w:ascii="Arial" w:hAnsi="Arial" w:cs="Arial"/>
                <w:sz w:val="18"/>
                <w:szCs w:val="18"/>
              </w:rPr>
            </w:pPr>
            <w:r w:rsidRPr="00576180">
              <w:rPr>
                <w:rFonts w:ascii="Arial" w:hAnsi="Arial" w:cs="Arial"/>
                <w:sz w:val="18"/>
                <w:szCs w:val="18"/>
              </w:rPr>
              <w:t>96</w:t>
            </w:r>
            <w:r w:rsidR="00153578" w:rsidRPr="00576180">
              <w:rPr>
                <w:rFonts w:ascii="Arial" w:hAnsi="Arial" w:cs="Arial"/>
                <w:sz w:val="18"/>
                <w:szCs w:val="18"/>
              </w:rPr>
              <w:t>%</w:t>
            </w:r>
          </w:p>
        </w:tc>
        <w:tc>
          <w:tcPr>
            <w:tcW w:w="617" w:type="dxa"/>
            <w:vMerge w:val="restart"/>
            <w:vAlign w:val="center"/>
          </w:tcPr>
          <w:p w14:paraId="372BC902" w14:textId="5D19EC5A" w:rsidR="00153578" w:rsidRPr="00576180" w:rsidRDefault="00153578" w:rsidP="00153578">
            <w:pPr>
              <w:jc w:val="center"/>
              <w:rPr>
                <w:rFonts w:ascii="Arial" w:hAnsi="Arial" w:cs="Arial"/>
                <w:sz w:val="18"/>
                <w:szCs w:val="18"/>
              </w:rPr>
            </w:pPr>
            <w:r w:rsidRPr="00576180">
              <w:rPr>
                <w:rFonts w:ascii="Arial" w:hAnsi="Arial" w:cs="Arial"/>
                <w:sz w:val="18"/>
                <w:szCs w:val="18"/>
              </w:rPr>
              <w:t>201</w:t>
            </w:r>
            <w:r w:rsidR="00CC275F" w:rsidRPr="00576180">
              <w:rPr>
                <w:rFonts w:ascii="Arial" w:hAnsi="Arial" w:cs="Arial"/>
                <w:sz w:val="18"/>
                <w:szCs w:val="18"/>
              </w:rPr>
              <w:t>4</w:t>
            </w:r>
          </w:p>
        </w:tc>
        <w:tc>
          <w:tcPr>
            <w:tcW w:w="1217" w:type="dxa"/>
            <w:vMerge w:val="restart"/>
            <w:vAlign w:val="center"/>
          </w:tcPr>
          <w:p w14:paraId="25CB1610" w14:textId="58888B10" w:rsidR="00153578" w:rsidRPr="00576180" w:rsidRDefault="00153578" w:rsidP="00153578">
            <w:pPr>
              <w:rPr>
                <w:rFonts w:ascii="Arial" w:hAnsi="Arial" w:cs="Arial"/>
                <w:sz w:val="18"/>
                <w:szCs w:val="18"/>
              </w:rPr>
            </w:pPr>
            <w:r w:rsidRPr="00576180">
              <w:rPr>
                <w:rFonts w:ascii="Arial" w:hAnsi="Arial" w:cs="Arial"/>
                <w:sz w:val="18"/>
                <w:szCs w:val="18"/>
              </w:rPr>
              <w:t>Informe MEF</w:t>
            </w:r>
          </w:p>
        </w:tc>
      </w:tr>
      <w:tr w:rsidR="00153578" w:rsidRPr="00576180" w14:paraId="7C80B3D8" w14:textId="77777777" w:rsidTr="00957319">
        <w:trPr>
          <w:trHeight w:val="206"/>
        </w:trPr>
        <w:tc>
          <w:tcPr>
            <w:tcW w:w="1507" w:type="dxa"/>
            <w:gridSpan w:val="2"/>
            <w:vMerge/>
            <w:vAlign w:val="center"/>
          </w:tcPr>
          <w:p w14:paraId="36C2181A" w14:textId="77777777" w:rsidR="00153578" w:rsidRPr="00576180" w:rsidRDefault="00153578" w:rsidP="00153578">
            <w:pPr>
              <w:rPr>
                <w:rFonts w:ascii="Arial" w:hAnsi="Arial" w:cs="Arial"/>
                <w:sz w:val="18"/>
                <w:szCs w:val="18"/>
              </w:rPr>
            </w:pPr>
          </w:p>
        </w:tc>
        <w:tc>
          <w:tcPr>
            <w:tcW w:w="1287" w:type="dxa"/>
            <w:vMerge/>
            <w:vAlign w:val="center"/>
          </w:tcPr>
          <w:p w14:paraId="4F237363" w14:textId="77777777" w:rsidR="00153578" w:rsidRPr="00576180" w:rsidRDefault="00153578" w:rsidP="00153578">
            <w:pPr>
              <w:jc w:val="center"/>
              <w:rPr>
                <w:rFonts w:ascii="Arial" w:hAnsi="Arial" w:cs="Arial"/>
                <w:sz w:val="18"/>
                <w:szCs w:val="18"/>
              </w:rPr>
            </w:pPr>
          </w:p>
        </w:tc>
        <w:tc>
          <w:tcPr>
            <w:tcW w:w="0" w:type="auto"/>
            <w:vMerge/>
            <w:vAlign w:val="center"/>
            <w:hideMark/>
          </w:tcPr>
          <w:p w14:paraId="1E0E83EB" w14:textId="77777777" w:rsidR="00153578" w:rsidRPr="00576180" w:rsidRDefault="00153578" w:rsidP="00153578">
            <w:pPr>
              <w:jc w:val="center"/>
              <w:rPr>
                <w:rFonts w:ascii="Arial" w:hAnsi="Arial" w:cs="Arial"/>
                <w:sz w:val="18"/>
                <w:szCs w:val="18"/>
              </w:rPr>
            </w:pPr>
          </w:p>
        </w:tc>
        <w:tc>
          <w:tcPr>
            <w:tcW w:w="617" w:type="dxa"/>
            <w:vMerge/>
            <w:vAlign w:val="center"/>
            <w:hideMark/>
          </w:tcPr>
          <w:p w14:paraId="2DE797E1" w14:textId="77777777" w:rsidR="00153578" w:rsidRPr="00576180" w:rsidRDefault="00153578" w:rsidP="00153578">
            <w:pPr>
              <w:rPr>
                <w:rFonts w:ascii="Arial" w:hAnsi="Arial" w:cs="Arial"/>
                <w:sz w:val="18"/>
                <w:szCs w:val="18"/>
              </w:rPr>
            </w:pPr>
          </w:p>
        </w:tc>
        <w:tc>
          <w:tcPr>
            <w:tcW w:w="557" w:type="dxa"/>
            <w:vAlign w:val="center"/>
          </w:tcPr>
          <w:p w14:paraId="28BA4D7C"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P(a)</w:t>
            </w:r>
          </w:p>
        </w:tc>
        <w:tc>
          <w:tcPr>
            <w:tcW w:w="667" w:type="dxa"/>
            <w:vAlign w:val="center"/>
          </w:tcPr>
          <w:p w14:paraId="0E3B511C" w14:textId="66774E82" w:rsidR="00153578" w:rsidRPr="00576180" w:rsidRDefault="00A54E55" w:rsidP="00153578">
            <w:pPr>
              <w:jc w:val="center"/>
              <w:rPr>
                <w:rFonts w:ascii="Arial" w:hAnsi="Arial" w:cs="Arial"/>
                <w:sz w:val="18"/>
                <w:szCs w:val="18"/>
              </w:rPr>
            </w:pPr>
            <w:r w:rsidRPr="00576180">
              <w:rPr>
                <w:rFonts w:ascii="Arial" w:hAnsi="Arial" w:cs="Arial"/>
                <w:sz w:val="18"/>
                <w:szCs w:val="18"/>
              </w:rPr>
              <w:t>27</w:t>
            </w:r>
          </w:p>
        </w:tc>
        <w:tc>
          <w:tcPr>
            <w:tcW w:w="4031" w:type="dxa"/>
            <w:vMerge/>
            <w:vAlign w:val="center"/>
            <w:hideMark/>
          </w:tcPr>
          <w:p w14:paraId="14A36874" w14:textId="77777777" w:rsidR="00153578" w:rsidRPr="00576180" w:rsidRDefault="00153578" w:rsidP="00153578">
            <w:pPr>
              <w:jc w:val="center"/>
              <w:rPr>
                <w:rFonts w:ascii="Arial" w:hAnsi="Arial" w:cs="Arial"/>
                <w:sz w:val="18"/>
                <w:szCs w:val="18"/>
              </w:rPr>
            </w:pPr>
          </w:p>
        </w:tc>
        <w:tc>
          <w:tcPr>
            <w:tcW w:w="617" w:type="dxa"/>
            <w:vMerge/>
            <w:vAlign w:val="center"/>
          </w:tcPr>
          <w:p w14:paraId="5BEAF657" w14:textId="77777777" w:rsidR="00153578" w:rsidRPr="00576180" w:rsidRDefault="00153578" w:rsidP="00153578">
            <w:pPr>
              <w:jc w:val="center"/>
              <w:rPr>
                <w:rFonts w:ascii="Arial" w:hAnsi="Arial" w:cs="Arial"/>
                <w:sz w:val="18"/>
                <w:szCs w:val="18"/>
              </w:rPr>
            </w:pPr>
          </w:p>
        </w:tc>
        <w:tc>
          <w:tcPr>
            <w:tcW w:w="1217" w:type="dxa"/>
            <w:vMerge/>
            <w:vAlign w:val="center"/>
          </w:tcPr>
          <w:p w14:paraId="5FF95D64" w14:textId="77777777" w:rsidR="00153578" w:rsidRPr="00576180" w:rsidRDefault="00153578" w:rsidP="00153578">
            <w:pPr>
              <w:rPr>
                <w:rFonts w:ascii="Arial" w:hAnsi="Arial" w:cs="Arial"/>
                <w:sz w:val="18"/>
                <w:szCs w:val="18"/>
              </w:rPr>
            </w:pPr>
          </w:p>
        </w:tc>
      </w:tr>
      <w:tr w:rsidR="00153578" w:rsidRPr="00576180" w14:paraId="0227D2B1" w14:textId="77777777" w:rsidTr="00957319">
        <w:trPr>
          <w:trHeight w:val="56"/>
        </w:trPr>
        <w:tc>
          <w:tcPr>
            <w:tcW w:w="1507" w:type="dxa"/>
            <w:gridSpan w:val="2"/>
            <w:vMerge/>
            <w:vAlign w:val="center"/>
          </w:tcPr>
          <w:p w14:paraId="70806299" w14:textId="77777777" w:rsidR="00153578" w:rsidRPr="00576180" w:rsidRDefault="00153578" w:rsidP="00153578">
            <w:pPr>
              <w:rPr>
                <w:rFonts w:ascii="Arial" w:hAnsi="Arial" w:cs="Arial"/>
                <w:sz w:val="18"/>
                <w:szCs w:val="18"/>
              </w:rPr>
            </w:pPr>
          </w:p>
        </w:tc>
        <w:tc>
          <w:tcPr>
            <w:tcW w:w="1287" w:type="dxa"/>
            <w:vMerge/>
            <w:vAlign w:val="center"/>
          </w:tcPr>
          <w:p w14:paraId="08536E9D" w14:textId="77777777" w:rsidR="00153578" w:rsidRPr="00576180" w:rsidRDefault="00153578" w:rsidP="00153578">
            <w:pPr>
              <w:jc w:val="center"/>
              <w:rPr>
                <w:rFonts w:ascii="Arial" w:hAnsi="Arial" w:cs="Arial"/>
                <w:sz w:val="18"/>
                <w:szCs w:val="18"/>
              </w:rPr>
            </w:pPr>
          </w:p>
        </w:tc>
        <w:tc>
          <w:tcPr>
            <w:tcW w:w="0" w:type="auto"/>
            <w:vMerge/>
            <w:vAlign w:val="center"/>
            <w:hideMark/>
          </w:tcPr>
          <w:p w14:paraId="03C72739" w14:textId="77777777" w:rsidR="00153578" w:rsidRPr="00576180" w:rsidRDefault="00153578" w:rsidP="00153578">
            <w:pPr>
              <w:jc w:val="center"/>
              <w:rPr>
                <w:rFonts w:ascii="Arial" w:hAnsi="Arial" w:cs="Arial"/>
                <w:sz w:val="18"/>
                <w:szCs w:val="18"/>
              </w:rPr>
            </w:pPr>
          </w:p>
        </w:tc>
        <w:tc>
          <w:tcPr>
            <w:tcW w:w="617" w:type="dxa"/>
            <w:vMerge/>
            <w:vAlign w:val="center"/>
            <w:hideMark/>
          </w:tcPr>
          <w:p w14:paraId="0A38734D" w14:textId="77777777" w:rsidR="00153578" w:rsidRPr="00576180" w:rsidRDefault="00153578" w:rsidP="00153578">
            <w:pPr>
              <w:rPr>
                <w:rFonts w:ascii="Arial" w:hAnsi="Arial" w:cs="Arial"/>
                <w:sz w:val="18"/>
                <w:szCs w:val="18"/>
              </w:rPr>
            </w:pPr>
          </w:p>
        </w:tc>
        <w:tc>
          <w:tcPr>
            <w:tcW w:w="557" w:type="dxa"/>
            <w:vAlign w:val="center"/>
          </w:tcPr>
          <w:p w14:paraId="32AC104A"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A</w:t>
            </w:r>
          </w:p>
        </w:tc>
        <w:tc>
          <w:tcPr>
            <w:tcW w:w="667" w:type="dxa"/>
            <w:vAlign w:val="center"/>
          </w:tcPr>
          <w:p w14:paraId="0DF9AD05" w14:textId="11543140" w:rsidR="00153578" w:rsidRPr="00576180" w:rsidRDefault="00CC275F" w:rsidP="00153578">
            <w:pPr>
              <w:jc w:val="center"/>
              <w:rPr>
                <w:rFonts w:ascii="Arial" w:hAnsi="Arial" w:cs="Arial"/>
                <w:sz w:val="18"/>
                <w:szCs w:val="18"/>
              </w:rPr>
            </w:pPr>
            <w:r w:rsidRPr="00576180">
              <w:rPr>
                <w:rFonts w:ascii="Arial" w:hAnsi="Arial" w:cs="Arial"/>
                <w:sz w:val="18"/>
                <w:szCs w:val="18"/>
              </w:rPr>
              <w:t>26</w:t>
            </w:r>
          </w:p>
        </w:tc>
        <w:tc>
          <w:tcPr>
            <w:tcW w:w="4031" w:type="dxa"/>
            <w:vMerge/>
            <w:vAlign w:val="center"/>
            <w:hideMark/>
          </w:tcPr>
          <w:p w14:paraId="3E6F4CE4" w14:textId="77777777" w:rsidR="00153578" w:rsidRPr="00576180" w:rsidRDefault="00153578" w:rsidP="00153578">
            <w:pPr>
              <w:jc w:val="center"/>
              <w:rPr>
                <w:rFonts w:ascii="Arial" w:hAnsi="Arial" w:cs="Arial"/>
                <w:sz w:val="18"/>
                <w:szCs w:val="18"/>
              </w:rPr>
            </w:pPr>
          </w:p>
        </w:tc>
        <w:tc>
          <w:tcPr>
            <w:tcW w:w="617" w:type="dxa"/>
            <w:vMerge/>
            <w:vAlign w:val="center"/>
          </w:tcPr>
          <w:p w14:paraId="4EE5A9E2" w14:textId="77777777" w:rsidR="00153578" w:rsidRPr="00576180" w:rsidRDefault="00153578" w:rsidP="00153578">
            <w:pPr>
              <w:jc w:val="center"/>
              <w:rPr>
                <w:rFonts w:ascii="Arial" w:hAnsi="Arial" w:cs="Arial"/>
                <w:sz w:val="18"/>
                <w:szCs w:val="18"/>
              </w:rPr>
            </w:pPr>
          </w:p>
        </w:tc>
        <w:tc>
          <w:tcPr>
            <w:tcW w:w="1217" w:type="dxa"/>
            <w:vMerge/>
            <w:vAlign w:val="center"/>
          </w:tcPr>
          <w:p w14:paraId="5BB321E2" w14:textId="77777777" w:rsidR="00153578" w:rsidRPr="00576180" w:rsidRDefault="00153578" w:rsidP="00153578">
            <w:pPr>
              <w:rPr>
                <w:rFonts w:ascii="Arial" w:hAnsi="Arial" w:cs="Arial"/>
                <w:sz w:val="18"/>
                <w:szCs w:val="18"/>
              </w:rPr>
            </w:pPr>
          </w:p>
        </w:tc>
      </w:tr>
      <w:tr w:rsidR="00153578" w:rsidRPr="00576180" w14:paraId="3C98EE7F" w14:textId="77777777" w:rsidTr="00957319">
        <w:trPr>
          <w:trHeight w:val="56"/>
        </w:trPr>
        <w:tc>
          <w:tcPr>
            <w:tcW w:w="1507" w:type="dxa"/>
            <w:gridSpan w:val="2"/>
            <w:vMerge w:val="restart"/>
            <w:vAlign w:val="center"/>
          </w:tcPr>
          <w:p w14:paraId="4CCA7FE1" w14:textId="2150E731" w:rsidR="00153578" w:rsidRPr="00576180" w:rsidRDefault="00B52DCA" w:rsidP="00153578">
            <w:pPr>
              <w:rPr>
                <w:rFonts w:ascii="Arial" w:hAnsi="Arial" w:cs="Arial"/>
                <w:sz w:val="18"/>
                <w:szCs w:val="18"/>
              </w:rPr>
            </w:pPr>
            <w:r w:rsidRPr="00576180">
              <w:rPr>
                <w:rFonts w:ascii="Arial" w:hAnsi="Arial" w:cs="Arial"/>
                <w:sz w:val="18"/>
                <w:szCs w:val="18"/>
              </w:rPr>
              <w:t xml:space="preserve">1.4 </w:t>
            </w:r>
            <w:r w:rsidR="00153578" w:rsidRPr="00576180">
              <w:rPr>
                <w:rFonts w:ascii="Arial" w:hAnsi="Arial" w:cs="Arial"/>
                <w:sz w:val="18"/>
                <w:szCs w:val="18"/>
              </w:rPr>
              <w:t>Softwares de producción y de manejo de datos adquiridos</w:t>
            </w:r>
          </w:p>
        </w:tc>
        <w:tc>
          <w:tcPr>
            <w:tcW w:w="1287" w:type="dxa"/>
            <w:vMerge w:val="restart"/>
            <w:vAlign w:val="center"/>
          </w:tcPr>
          <w:p w14:paraId="0F98C1B2" w14:textId="3D492A12" w:rsidR="00153578" w:rsidRPr="00576180" w:rsidRDefault="00153578" w:rsidP="00153578">
            <w:pPr>
              <w:jc w:val="center"/>
              <w:rPr>
                <w:rFonts w:ascii="Arial" w:hAnsi="Arial" w:cs="Arial"/>
                <w:i/>
                <w:sz w:val="18"/>
                <w:szCs w:val="18"/>
              </w:rPr>
            </w:pPr>
            <w:r w:rsidRPr="00576180">
              <w:rPr>
                <w:rFonts w:ascii="Arial" w:hAnsi="Arial" w:cs="Arial"/>
                <w:i/>
                <w:sz w:val="18"/>
                <w:szCs w:val="18"/>
              </w:rPr>
              <w:t>Softwares</w:t>
            </w:r>
          </w:p>
        </w:tc>
        <w:tc>
          <w:tcPr>
            <w:tcW w:w="0" w:type="auto"/>
            <w:vMerge w:val="restart"/>
            <w:vAlign w:val="center"/>
          </w:tcPr>
          <w:p w14:paraId="724B83CE"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0</w:t>
            </w:r>
          </w:p>
        </w:tc>
        <w:tc>
          <w:tcPr>
            <w:tcW w:w="617" w:type="dxa"/>
            <w:vMerge w:val="restart"/>
            <w:vAlign w:val="center"/>
          </w:tcPr>
          <w:p w14:paraId="560C743D" w14:textId="1C14B14F" w:rsidR="00153578" w:rsidRPr="00576180" w:rsidRDefault="00153578" w:rsidP="00153578">
            <w:pPr>
              <w:rPr>
                <w:rFonts w:ascii="Arial" w:hAnsi="Arial" w:cs="Arial"/>
                <w:sz w:val="18"/>
                <w:szCs w:val="18"/>
              </w:rPr>
            </w:pPr>
            <w:r w:rsidRPr="00576180">
              <w:rPr>
                <w:rFonts w:ascii="Arial" w:hAnsi="Arial" w:cs="Arial"/>
                <w:sz w:val="18"/>
                <w:szCs w:val="18"/>
              </w:rPr>
              <w:t>2010</w:t>
            </w:r>
          </w:p>
        </w:tc>
        <w:tc>
          <w:tcPr>
            <w:tcW w:w="557" w:type="dxa"/>
            <w:vAlign w:val="center"/>
          </w:tcPr>
          <w:p w14:paraId="36D4327C"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P</w:t>
            </w:r>
          </w:p>
        </w:tc>
        <w:tc>
          <w:tcPr>
            <w:tcW w:w="667" w:type="dxa"/>
            <w:vAlign w:val="center"/>
          </w:tcPr>
          <w:p w14:paraId="05A18F39" w14:textId="15A43F19" w:rsidR="00153578" w:rsidRPr="00576180" w:rsidRDefault="00CC275F" w:rsidP="00153578">
            <w:pPr>
              <w:jc w:val="center"/>
              <w:rPr>
                <w:rFonts w:ascii="Arial" w:hAnsi="Arial" w:cs="Arial"/>
                <w:sz w:val="18"/>
                <w:szCs w:val="18"/>
              </w:rPr>
            </w:pPr>
            <w:r w:rsidRPr="00576180">
              <w:rPr>
                <w:rFonts w:ascii="Arial" w:hAnsi="Arial" w:cs="Arial"/>
                <w:sz w:val="18"/>
                <w:szCs w:val="18"/>
              </w:rPr>
              <w:t>9</w:t>
            </w:r>
          </w:p>
        </w:tc>
        <w:tc>
          <w:tcPr>
            <w:tcW w:w="4031" w:type="dxa"/>
            <w:vMerge w:val="restart"/>
            <w:vAlign w:val="center"/>
          </w:tcPr>
          <w:p w14:paraId="22003ED2"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100%</w:t>
            </w:r>
          </w:p>
        </w:tc>
        <w:tc>
          <w:tcPr>
            <w:tcW w:w="617" w:type="dxa"/>
            <w:vMerge w:val="restart"/>
            <w:vAlign w:val="center"/>
          </w:tcPr>
          <w:p w14:paraId="7E76D235"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2015</w:t>
            </w:r>
          </w:p>
        </w:tc>
        <w:tc>
          <w:tcPr>
            <w:tcW w:w="1217" w:type="dxa"/>
            <w:vMerge w:val="restart"/>
            <w:vAlign w:val="center"/>
          </w:tcPr>
          <w:p w14:paraId="2F6B25E1" w14:textId="3CD79C12" w:rsidR="00153578" w:rsidRPr="00576180" w:rsidRDefault="00153578" w:rsidP="00153578">
            <w:pPr>
              <w:rPr>
                <w:rFonts w:ascii="Arial" w:hAnsi="Arial" w:cs="Arial"/>
                <w:sz w:val="18"/>
                <w:szCs w:val="18"/>
              </w:rPr>
            </w:pPr>
            <w:r w:rsidRPr="00576180">
              <w:rPr>
                <w:rFonts w:ascii="Arial" w:hAnsi="Arial" w:cs="Arial"/>
                <w:sz w:val="18"/>
                <w:szCs w:val="18"/>
              </w:rPr>
              <w:t>Informe MEF</w:t>
            </w:r>
          </w:p>
        </w:tc>
      </w:tr>
      <w:tr w:rsidR="00153578" w:rsidRPr="00576180" w14:paraId="3EF987D7" w14:textId="77777777" w:rsidTr="00957319">
        <w:trPr>
          <w:trHeight w:val="56"/>
        </w:trPr>
        <w:tc>
          <w:tcPr>
            <w:tcW w:w="1507" w:type="dxa"/>
            <w:gridSpan w:val="2"/>
            <w:vMerge/>
            <w:vAlign w:val="center"/>
          </w:tcPr>
          <w:p w14:paraId="52025C19" w14:textId="77777777" w:rsidR="00153578" w:rsidRPr="00576180" w:rsidRDefault="00153578" w:rsidP="00153578">
            <w:pPr>
              <w:rPr>
                <w:rFonts w:ascii="Arial" w:hAnsi="Arial" w:cs="Arial"/>
                <w:sz w:val="18"/>
                <w:szCs w:val="18"/>
              </w:rPr>
            </w:pPr>
          </w:p>
        </w:tc>
        <w:tc>
          <w:tcPr>
            <w:tcW w:w="1287" w:type="dxa"/>
            <w:vMerge/>
            <w:vAlign w:val="center"/>
          </w:tcPr>
          <w:p w14:paraId="3F93FC61" w14:textId="77777777" w:rsidR="00153578" w:rsidRPr="00576180" w:rsidRDefault="00153578" w:rsidP="00153578">
            <w:pPr>
              <w:jc w:val="center"/>
              <w:rPr>
                <w:rFonts w:ascii="Arial" w:hAnsi="Arial" w:cs="Arial"/>
                <w:sz w:val="18"/>
                <w:szCs w:val="18"/>
              </w:rPr>
            </w:pPr>
          </w:p>
        </w:tc>
        <w:tc>
          <w:tcPr>
            <w:tcW w:w="0" w:type="auto"/>
            <w:vMerge/>
            <w:vAlign w:val="center"/>
          </w:tcPr>
          <w:p w14:paraId="2B45F227" w14:textId="77777777" w:rsidR="00153578" w:rsidRPr="00576180" w:rsidRDefault="00153578" w:rsidP="00153578">
            <w:pPr>
              <w:jc w:val="center"/>
              <w:rPr>
                <w:rFonts w:ascii="Arial" w:hAnsi="Arial" w:cs="Arial"/>
                <w:sz w:val="18"/>
                <w:szCs w:val="18"/>
              </w:rPr>
            </w:pPr>
          </w:p>
        </w:tc>
        <w:tc>
          <w:tcPr>
            <w:tcW w:w="617" w:type="dxa"/>
            <w:vMerge/>
            <w:vAlign w:val="center"/>
          </w:tcPr>
          <w:p w14:paraId="35677EA3" w14:textId="77777777" w:rsidR="00153578" w:rsidRPr="00576180" w:rsidRDefault="00153578" w:rsidP="00153578">
            <w:pPr>
              <w:rPr>
                <w:rFonts w:ascii="Arial" w:hAnsi="Arial" w:cs="Arial"/>
                <w:sz w:val="18"/>
                <w:szCs w:val="18"/>
              </w:rPr>
            </w:pPr>
          </w:p>
        </w:tc>
        <w:tc>
          <w:tcPr>
            <w:tcW w:w="557" w:type="dxa"/>
            <w:vAlign w:val="center"/>
          </w:tcPr>
          <w:p w14:paraId="5E71FD18"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P(a)</w:t>
            </w:r>
          </w:p>
        </w:tc>
        <w:tc>
          <w:tcPr>
            <w:tcW w:w="667" w:type="dxa"/>
            <w:vAlign w:val="center"/>
          </w:tcPr>
          <w:p w14:paraId="56075F4E" w14:textId="0A0BAE24" w:rsidR="00153578" w:rsidRPr="00576180" w:rsidRDefault="00A54E55" w:rsidP="00153578">
            <w:pPr>
              <w:jc w:val="center"/>
              <w:rPr>
                <w:rFonts w:ascii="Arial" w:hAnsi="Arial" w:cs="Arial"/>
                <w:sz w:val="18"/>
                <w:szCs w:val="18"/>
              </w:rPr>
            </w:pPr>
            <w:r w:rsidRPr="00576180">
              <w:rPr>
                <w:rFonts w:ascii="Arial" w:hAnsi="Arial" w:cs="Arial"/>
                <w:sz w:val="18"/>
                <w:szCs w:val="18"/>
              </w:rPr>
              <w:t>38</w:t>
            </w:r>
          </w:p>
        </w:tc>
        <w:tc>
          <w:tcPr>
            <w:tcW w:w="4031" w:type="dxa"/>
            <w:vMerge/>
            <w:vAlign w:val="center"/>
          </w:tcPr>
          <w:p w14:paraId="73E00827" w14:textId="77777777" w:rsidR="00153578" w:rsidRPr="00576180" w:rsidRDefault="00153578" w:rsidP="00153578">
            <w:pPr>
              <w:jc w:val="center"/>
              <w:rPr>
                <w:rFonts w:ascii="Arial" w:hAnsi="Arial" w:cs="Arial"/>
                <w:sz w:val="18"/>
                <w:szCs w:val="18"/>
              </w:rPr>
            </w:pPr>
          </w:p>
        </w:tc>
        <w:tc>
          <w:tcPr>
            <w:tcW w:w="617" w:type="dxa"/>
            <w:vMerge/>
            <w:vAlign w:val="center"/>
          </w:tcPr>
          <w:p w14:paraId="74A5B1AE" w14:textId="77777777" w:rsidR="00153578" w:rsidRPr="00576180" w:rsidRDefault="00153578" w:rsidP="00153578">
            <w:pPr>
              <w:jc w:val="center"/>
              <w:rPr>
                <w:rFonts w:ascii="Arial" w:hAnsi="Arial" w:cs="Arial"/>
                <w:sz w:val="18"/>
                <w:szCs w:val="18"/>
              </w:rPr>
            </w:pPr>
          </w:p>
        </w:tc>
        <w:tc>
          <w:tcPr>
            <w:tcW w:w="1217" w:type="dxa"/>
            <w:vMerge/>
            <w:vAlign w:val="center"/>
          </w:tcPr>
          <w:p w14:paraId="139E679C" w14:textId="77777777" w:rsidR="00153578" w:rsidRPr="00576180" w:rsidRDefault="00153578" w:rsidP="00153578">
            <w:pPr>
              <w:rPr>
                <w:rFonts w:ascii="Arial" w:hAnsi="Arial" w:cs="Arial"/>
                <w:sz w:val="18"/>
                <w:szCs w:val="18"/>
              </w:rPr>
            </w:pPr>
          </w:p>
        </w:tc>
      </w:tr>
      <w:tr w:rsidR="00153578" w:rsidRPr="00576180" w14:paraId="7DBF86DF" w14:textId="77777777" w:rsidTr="00957319">
        <w:trPr>
          <w:trHeight w:val="56"/>
        </w:trPr>
        <w:tc>
          <w:tcPr>
            <w:tcW w:w="1507" w:type="dxa"/>
            <w:gridSpan w:val="2"/>
            <w:vMerge/>
            <w:vAlign w:val="center"/>
          </w:tcPr>
          <w:p w14:paraId="05DD177B" w14:textId="77777777" w:rsidR="00153578" w:rsidRPr="00576180" w:rsidRDefault="00153578" w:rsidP="00153578">
            <w:pPr>
              <w:rPr>
                <w:rFonts w:ascii="Arial" w:hAnsi="Arial" w:cs="Arial"/>
                <w:sz w:val="18"/>
                <w:szCs w:val="18"/>
              </w:rPr>
            </w:pPr>
          </w:p>
        </w:tc>
        <w:tc>
          <w:tcPr>
            <w:tcW w:w="1287" w:type="dxa"/>
            <w:vMerge/>
            <w:vAlign w:val="center"/>
          </w:tcPr>
          <w:p w14:paraId="0DDA6B08" w14:textId="77777777" w:rsidR="00153578" w:rsidRPr="00576180" w:rsidRDefault="00153578" w:rsidP="00153578">
            <w:pPr>
              <w:jc w:val="center"/>
              <w:rPr>
                <w:rFonts w:ascii="Arial" w:hAnsi="Arial" w:cs="Arial"/>
                <w:sz w:val="18"/>
                <w:szCs w:val="18"/>
              </w:rPr>
            </w:pPr>
          </w:p>
        </w:tc>
        <w:tc>
          <w:tcPr>
            <w:tcW w:w="0" w:type="auto"/>
            <w:vMerge/>
            <w:vAlign w:val="center"/>
          </w:tcPr>
          <w:p w14:paraId="0F48BEDE" w14:textId="77777777" w:rsidR="00153578" w:rsidRPr="00576180" w:rsidRDefault="00153578" w:rsidP="00153578">
            <w:pPr>
              <w:jc w:val="center"/>
              <w:rPr>
                <w:rFonts w:ascii="Arial" w:hAnsi="Arial" w:cs="Arial"/>
                <w:sz w:val="18"/>
                <w:szCs w:val="18"/>
              </w:rPr>
            </w:pPr>
          </w:p>
        </w:tc>
        <w:tc>
          <w:tcPr>
            <w:tcW w:w="617" w:type="dxa"/>
            <w:vMerge/>
            <w:vAlign w:val="center"/>
          </w:tcPr>
          <w:p w14:paraId="74CEFD86" w14:textId="77777777" w:rsidR="00153578" w:rsidRPr="00576180" w:rsidRDefault="00153578" w:rsidP="00153578">
            <w:pPr>
              <w:rPr>
                <w:rFonts w:ascii="Arial" w:hAnsi="Arial" w:cs="Arial"/>
                <w:sz w:val="18"/>
                <w:szCs w:val="18"/>
              </w:rPr>
            </w:pPr>
          </w:p>
        </w:tc>
        <w:tc>
          <w:tcPr>
            <w:tcW w:w="557" w:type="dxa"/>
            <w:vAlign w:val="center"/>
          </w:tcPr>
          <w:p w14:paraId="43E0E455"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A</w:t>
            </w:r>
          </w:p>
        </w:tc>
        <w:tc>
          <w:tcPr>
            <w:tcW w:w="667" w:type="dxa"/>
            <w:vAlign w:val="center"/>
          </w:tcPr>
          <w:p w14:paraId="25A46506" w14:textId="7309A5F4" w:rsidR="00153578" w:rsidRPr="00576180" w:rsidRDefault="00CC275F" w:rsidP="00153578">
            <w:pPr>
              <w:jc w:val="center"/>
              <w:rPr>
                <w:rFonts w:ascii="Arial" w:hAnsi="Arial" w:cs="Arial"/>
                <w:sz w:val="18"/>
                <w:szCs w:val="18"/>
              </w:rPr>
            </w:pPr>
            <w:r w:rsidRPr="00576180">
              <w:rPr>
                <w:rFonts w:ascii="Arial" w:hAnsi="Arial" w:cs="Arial"/>
                <w:sz w:val="18"/>
                <w:szCs w:val="18"/>
              </w:rPr>
              <w:t>38</w:t>
            </w:r>
          </w:p>
        </w:tc>
        <w:tc>
          <w:tcPr>
            <w:tcW w:w="4031" w:type="dxa"/>
            <w:vMerge/>
            <w:vAlign w:val="center"/>
          </w:tcPr>
          <w:p w14:paraId="2EC47059" w14:textId="77777777" w:rsidR="00153578" w:rsidRPr="00576180" w:rsidRDefault="00153578" w:rsidP="00153578">
            <w:pPr>
              <w:jc w:val="center"/>
              <w:rPr>
                <w:rFonts w:ascii="Arial" w:hAnsi="Arial" w:cs="Arial"/>
                <w:sz w:val="18"/>
                <w:szCs w:val="18"/>
              </w:rPr>
            </w:pPr>
          </w:p>
        </w:tc>
        <w:tc>
          <w:tcPr>
            <w:tcW w:w="617" w:type="dxa"/>
            <w:vMerge/>
            <w:vAlign w:val="center"/>
          </w:tcPr>
          <w:p w14:paraId="4116BFA7" w14:textId="77777777" w:rsidR="00153578" w:rsidRPr="00576180" w:rsidRDefault="00153578" w:rsidP="00153578">
            <w:pPr>
              <w:jc w:val="center"/>
              <w:rPr>
                <w:rFonts w:ascii="Arial" w:hAnsi="Arial" w:cs="Arial"/>
                <w:sz w:val="18"/>
                <w:szCs w:val="18"/>
              </w:rPr>
            </w:pPr>
          </w:p>
        </w:tc>
        <w:tc>
          <w:tcPr>
            <w:tcW w:w="1217" w:type="dxa"/>
            <w:vMerge/>
            <w:vAlign w:val="center"/>
          </w:tcPr>
          <w:p w14:paraId="20C341C9" w14:textId="77777777" w:rsidR="00153578" w:rsidRPr="00576180" w:rsidRDefault="00153578" w:rsidP="00153578">
            <w:pPr>
              <w:rPr>
                <w:rFonts w:ascii="Arial" w:hAnsi="Arial" w:cs="Arial"/>
                <w:sz w:val="18"/>
                <w:szCs w:val="18"/>
              </w:rPr>
            </w:pPr>
          </w:p>
        </w:tc>
      </w:tr>
      <w:tr w:rsidR="00153578" w:rsidRPr="00576180" w14:paraId="10DD58C0" w14:textId="77777777" w:rsidTr="00957319">
        <w:trPr>
          <w:trHeight w:val="56"/>
        </w:trPr>
        <w:tc>
          <w:tcPr>
            <w:tcW w:w="1507" w:type="dxa"/>
            <w:gridSpan w:val="2"/>
            <w:vMerge w:val="restart"/>
            <w:vAlign w:val="center"/>
          </w:tcPr>
          <w:p w14:paraId="37A60476" w14:textId="281D2770" w:rsidR="00153578" w:rsidRPr="00576180" w:rsidRDefault="00B52DCA" w:rsidP="00153578">
            <w:pPr>
              <w:rPr>
                <w:rFonts w:ascii="Arial" w:hAnsi="Arial" w:cs="Arial"/>
                <w:sz w:val="18"/>
                <w:szCs w:val="18"/>
              </w:rPr>
            </w:pPr>
            <w:r w:rsidRPr="00576180">
              <w:rPr>
                <w:rFonts w:ascii="Arial" w:hAnsi="Arial" w:cs="Arial"/>
                <w:sz w:val="18"/>
                <w:szCs w:val="18"/>
              </w:rPr>
              <w:t xml:space="preserve">1.5 </w:t>
            </w:r>
            <w:r w:rsidR="00153578" w:rsidRPr="00576180">
              <w:rPr>
                <w:rFonts w:ascii="Arial" w:hAnsi="Arial" w:cs="Arial"/>
                <w:sz w:val="18"/>
                <w:szCs w:val="18"/>
              </w:rPr>
              <w:t>Equipos informáticos adquiridos y operativos</w:t>
            </w:r>
          </w:p>
        </w:tc>
        <w:tc>
          <w:tcPr>
            <w:tcW w:w="1287" w:type="dxa"/>
            <w:vMerge w:val="restart"/>
            <w:vAlign w:val="center"/>
          </w:tcPr>
          <w:p w14:paraId="7705E89F" w14:textId="42095A9B" w:rsidR="00153578" w:rsidRPr="00576180" w:rsidRDefault="00153578" w:rsidP="00153578">
            <w:pPr>
              <w:jc w:val="center"/>
              <w:rPr>
                <w:rFonts w:ascii="Arial" w:hAnsi="Arial" w:cs="Arial"/>
                <w:sz w:val="18"/>
                <w:szCs w:val="18"/>
              </w:rPr>
            </w:pPr>
            <w:r w:rsidRPr="00576180">
              <w:rPr>
                <w:rFonts w:ascii="Arial" w:hAnsi="Arial" w:cs="Arial"/>
                <w:sz w:val="18"/>
                <w:szCs w:val="18"/>
              </w:rPr>
              <w:t>Equipos</w:t>
            </w:r>
          </w:p>
        </w:tc>
        <w:tc>
          <w:tcPr>
            <w:tcW w:w="0" w:type="auto"/>
            <w:vMerge w:val="restart"/>
            <w:vAlign w:val="center"/>
          </w:tcPr>
          <w:p w14:paraId="38BA2016"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0</w:t>
            </w:r>
          </w:p>
        </w:tc>
        <w:tc>
          <w:tcPr>
            <w:tcW w:w="617" w:type="dxa"/>
            <w:vMerge w:val="restart"/>
            <w:vAlign w:val="center"/>
          </w:tcPr>
          <w:p w14:paraId="576DBD70" w14:textId="7B095822" w:rsidR="00153578" w:rsidRPr="00576180" w:rsidRDefault="00153578" w:rsidP="00153578">
            <w:pPr>
              <w:rPr>
                <w:rFonts w:ascii="Arial" w:hAnsi="Arial" w:cs="Arial"/>
                <w:sz w:val="18"/>
                <w:szCs w:val="18"/>
              </w:rPr>
            </w:pPr>
            <w:r w:rsidRPr="00576180">
              <w:rPr>
                <w:rFonts w:ascii="Arial" w:hAnsi="Arial" w:cs="Arial"/>
                <w:sz w:val="18"/>
                <w:szCs w:val="18"/>
              </w:rPr>
              <w:t>2010</w:t>
            </w:r>
          </w:p>
        </w:tc>
        <w:tc>
          <w:tcPr>
            <w:tcW w:w="557" w:type="dxa"/>
            <w:vAlign w:val="center"/>
          </w:tcPr>
          <w:p w14:paraId="28095C89"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P</w:t>
            </w:r>
          </w:p>
        </w:tc>
        <w:tc>
          <w:tcPr>
            <w:tcW w:w="667" w:type="dxa"/>
            <w:vAlign w:val="center"/>
          </w:tcPr>
          <w:p w14:paraId="0A2FCE5D" w14:textId="642CCE44" w:rsidR="00153578" w:rsidRPr="00576180" w:rsidRDefault="00CC275F" w:rsidP="00153578">
            <w:pPr>
              <w:jc w:val="center"/>
              <w:rPr>
                <w:rFonts w:ascii="Arial" w:hAnsi="Arial" w:cs="Arial"/>
                <w:sz w:val="18"/>
                <w:szCs w:val="18"/>
              </w:rPr>
            </w:pPr>
            <w:r w:rsidRPr="00576180">
              <w:rPr>
                <w:rFonts w:ascii="Arial" w:hAnsi="Arial" w:cs="Arial"/>
                <w:sz w:val="18"/>
                <w:szCs w:val="18"/>
              </w:rPr>
              <w:t>600</w:t>
            </w:r>
          </w:p>
        </w:tc>
        <w:tc>
          <w:tcPr>
            <w:tcW w:w="4031" w:type="dxa"/>
            <w:vMerge w:val="restart"/>
            <w:vAlign w:val="center"/>
          </w:tcPr>
          <w:p w14:paraId="670C6A0C" w14:textId="7D24578B" w:rsidR="00153578" w:rsidRPr="00576180" w:rsidRDefault="009D27F0" w:rsidP="00153578">
            <w:pPr>
              <w:jc w:val="center"/>
              <w:rPr>
                <w:rFonts w:ascii="Arial" w:hAnsi="Arial" w:cs="Arial"/>
                <w:sz w:val="18"/>
                <w:szCs w:val="18"/>
              </w:rPr>
            </w:pPr>
            <w:r w:rsidRPr="00576180">
              <w:rPr>
                <w:rFonts w:ascii="Arial" w:hAnsi="Arial" w:cs="Arial"/>
                <w:sz w:val="18"/>
                <w:szCs w:val="18"/>
              </w:rPr>
              <w:t>100</w:t>
            </w:r>
            <w:r w:rsidR="00153578" w:rsidRPr="00576180">
              <w:rPr>
                <w:rFonts w:ascii="Arial" w:hAnsi="Arial" w:cs="Arial"/>
                <w:sz w:val="18"/>
                <w:szCs w:val="18"/>
              </w:rPr>
              <w:t>%</w:t>
            </w:r>
          </w:p>
        </w:tc>
        <w:tc>
          <w:tcPr>
            <w:tcW w:w="617" w:type="dxa"/>
            <w:vMerge w:val="restart"/>
            <w:vAlign w:val="center"/>
          </w:tcPr>
          <w:p w14:paraId="624D4B43" w14:textId="7BFB52BB" w:rsidR="00153578" w:rsidRPr="00576180" w:rsidRDefault="00153578" w:rsidP="00153578">
            <w:pPr>
              <w:jc w:val="center"/>
              <w:rPr>
                <w:rFonts w:ascii="Arial" w:hAnsi="Arial" w:cs="Arial"/>
                <w:sz w:val="18"/>
                <w:szCs w:val="18"/>
              </w:rPr>
            </w:pPr>
            <w:r w:rsidRPr="00576180">
              <w:rPr>
                <w:rFonts w:ascii="Arial" w:hAnsi="Arial" w:cs="Arial"/>
                <w:sz w:val="18"/>
                <w:szCs w:val="18"/>
              </w:rPr>
              <w:t>201</w:t>
            </w:r>
            <w:r w:rsidR="00CC275F" w:rsidRPr="00576180">
              <w:rPr>
                <w:rFonts w:ascii="Arial" w:hAnsi="Arial" w:cs="Arial"/>
                <w:sz w:val="18"/>
                <w:szCs w:val="18"/>
              </w:rPr>
              <w:t>4</w:t>
            </w:r>
          </w:p>
        </w:tc>
        <w:tc>
          <w:tcPr>
            <w:tcW w:w="1217" w:type="dxa"/>
            <w:vMerge w:val="restart"/>
            <w:vAlign w:val="center"/>
          </w:tcPr>
          <w:p w14:paraId="4A4D41AD" w14:textId="133E7299" w:rsidR="00153578" w:rsidRPr="00576180" w:rsidRDefault="00153578" w:rsidP="00153578">
            <w:pPr>
              <w:rPr>
                <w:rFonts w:ascii="Arial" w:hAnsi="Arial" w:cs="Arial"/>
                <w:sz w:val="18"/>
                <w:szCs w:val="18"/>
              </w:rPr>
            </w:pPr>
            <w:r w:rsidRPr="00576180">
              <w:rPr>
                <w:rFonts w:ascii="Arial" w:hAnsi="Arial" w:cs="Arial"/>
                <w:sz w:val="18"/>
                <w:szCs w:val="18"/>
              </w:rPr>
              <w:t>Informe MEF</w:t>
            </w:r>
          </w:p>
        </w:tc>
      </w:tr>
      <w:tr w:rsidR="00153578" w:rsidRPr="00576180" w14:paraId="15B3AA2D" w14:textId="77777777" w:rsidTr="00957319">
        <w:trPr>
          <w:trHeight w:val="56"/>
        </w:trPr>
        <w:tc>
          <w:tcPr>
            <w:tcW w:w="1507" w:type="dxa"/>
            <w:gridSpan w:val="2"/>
            <w:vMerge/>
            <w:vAlign w:val="center"/>
          </w:tcPr>
          <w:p w14:paraId="16A27B7E" w14:textId="77777777" w:rsidR="00153578" w:rsidRPr="00576180" w:rsidRDefault="00153578" w:rsidP="00153578">
            <w:pPr>
              <w:rPr>
                <w:rFonts w:ascii="Arial" w:hAnsi="Arial" w:cs="Arial"/>
                <w:sz w:val="18"/>
                <w:szCs w:val="18"/>
              </w:rPr>
            </w:pPr>
          </w:p>
        </w:tc>
        <w:tc>
          <w:tcPr>
            <w:tcW w:w="1287" w:type="dxa"/>
            <w:vMerge/>
            <w:vAlign w:val="center"/>
          </w:tcPr>
          <w:p w14:paraId="72685E06" w14:textId="77777777" w:rsidR="00153578" w:rsidRPr="00576180" w:rsidRDefault="00153578" w:rsidP="00153578">
            <w:pPr>
              <w:jc w:val="center"/>
              <w:rPr>
                <w:rFonts w:ascii="Arial" w:hAnsi="Arial" w:cs="Arial"/>
                <w:sz w:val="18"/>
                <w:szCs w:val="18"/>
              </w:rPr>
            </w:pPr>
          </w:p>
        </w:tc>
        <w:tc>
          <w:tcPr>
            <w:tcW w:w="0" w:type="auto"/>
            <w:vMerge/>
            <w:vAlign w:val="center"/>
          </w:tcPr>
          <w:p w14:paraId="28EBF06F" w14:textId="77777777" w:rsidR="00153578" w:rsidRPr="00576180" w:rsidRDefault="00153578" w:rsidP="00153578">
            <w:pPr>
              <w:jc w:val="center"/>
              <w:rPr>
                <w:rFonts w:ascii="Arial" w:hAnsi="Arial" w:cs="Arial"/>
                <w:sz w:val="18"/>
                <w:szCs w:val="18"/>
              </w:rPr>
            </w:pPr>
          </w:p>
        </w:tc>
        <w:tc>
          <w:tcPr>
            <w:tcW w:w="617" w:type="dxa"/>
            <w:vMerge/>
            <w:vAlign w:val="center"/>
          </w:tcPr>
          <w:p w14:paraId="7E73ADA9" w14:textId="77777777" w:rsidR="00153578" w:rsidRPr="00576180" w:rsidRDefault="00153578" w:rsidP="00153578">
            <w:pPr>
              <w:rPr>
                <w:rFonts w:ascii="Arial" w:hAnsi="Arial" w:cs="Arial"/>
                <w:sz w:val="18"/>
                <w:szCs w:val="18"/>
              </w:rPr>
            </w:pPr>
          </w:p>
        </w:tc>
        <w:tc>
          <w:tcPr>
            <w:tcW w:w="557" w:type="dxa"/>
            <w:vAlign w:val="center"/>
          </w:tcPr>
          <w:p w14:paraId="36DA1658"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P(a)</w:t>
            </w:r>
          </w:p>
        </w:tc>
        <w:tc>
          <w:tcPr>
            <w:tcW w:w="667" w:type="dxa"/>
            <w:vAlign w:val="center"/>
          </w:tcPr>
          <w:p w14:paraId="679801D0" w14:textId="7848B364" w:rsidR="00153578" w:rsidRPr="00576180" w:rsidRDefault="00A54E55" w:rsidP="00153578">
            <w:pPr>
              <w:jc w:val="center"/>
              <w:rPr>
                <w:rFonts w:ascii="Arial" w:hAnsi="Arial" w:cs="Arial"/>
                <w:sz w:val="18"/>
                <w:szCs w:val="18"/>
              </w:rPr>
            </w:pPr>
            <w:r w:rsidRPr="00576180">
              <w:rPr>
                <w:rFonts w:ascii="Arial" w:hAnsi="Arial" w:cs="Arial"/>
                <w:sz w:val="18"/>
                <w:szCs w:val="18"/>
              </w:rPr>
              <w:t>127</w:t>
            </w:r>
          </w:p>
        </w:tc>
        <w:tc>
          <w:tcPr>
            <w:tcW w:w="4031" w:type="dxa"/>
            <w:vMerge/>
            <w:vAlign w:val="center"/>
          </w:tcPr>
          <w:p w14:paraId="4D8A6C37" w14:textId="77777777" w:rsidR="00153578" w:rsidRPr="00576180" w:rsidRDefault="00153578" w:rsidP="00153578">
            <w:pPr>
              <w:jc w:val="center"/>
              <w:rPr>
                <w:rFonts w:ascii="Arial" w:hAnsi="Arial" w:cs="Arial"/>
                <w:sz w:val="18"/>
                <w:szCs w:val="18"/>
              </w:rPr>
            </w:pPr>
          </w:p>
        </w:tc>
        <w:tc>
          <w:tcPr>
            <w:tcW w:w="617" w:type="dxa"/>
            <w:vMerge/>
            <w:vAlign w:val="center"/>
          </w:tcPr>
          <w:p w14:paraId="52666A26" w14:textId="77777777" w:rsidR="00153578" w:rsidRPr="00576180" w:rsidRDefault="00153578" w:rsidP="00153578">
            <w:pPr>
              <w:jc w:val="center"/>
              <w:rPr>
                <w:rFonts w:ascii="Arial" w:hAnsi="Arial" w:cs="Arial"/>
                <w:sz w:val="18"/>
                <w:szCs w:val="18"/>
              </w:rPr>
            </w:pPr>
          </w:p>
        </w:tc>
        <w:tc>
          <w:tcPr>
            <w:tcW w:w="1217" w:type="dxa"/>
            <w:vMerge/>
            <w:vAlign w:val="center"/>
          </w:tcPr>
          <w:p w14:paraId="3E030A6C" w14:textId="77777777" w:rsidR="00153578" w:rsidRPr="00576180" w:rsidRDefault="00153578" w:rsidP="00153578">
            <w:pPr>
              <w:rPr>
                <w:rFonts w:ascii="Arial" w:hAnsi="Arial" w:cs="Arial"/>
                <w:sz w:val="18"/>
                <w:szCs w:val="18"/>
              </w:rPr>
            </w:pPr>
          </w:p>
        </w:tc>
      </w:tr>
      <w:tr w:rsidR="00153578" w:rsidRPr="00576180" w14:paraId="2097528F" w14:textId="77777777" w:rsidTr="00957319">
        <w:trPr>
          <w:trHeight w:val="56"/>
        </w:trPr>
        <w:tc>
          <w:tcPr>
            <w:tcW w:w="1507" w:type="dxa"/>
            <w:gridSpan w:val="2"/>
            <w:vMerge/>
            <w:vAlign w:val="center"/>
          </w:tcPr>
          <w:p w14:paraId="28944B21" w14:textId="77777777" w:rsidR="00153578" w:rsidRPr="00576180" w:rsidRDefault="00153578" w:rsidP="00153578">
            <w:pPr>
              <w:rPr>
                <w:rFonts w:ascii="Arial" w:hAnsi="Arial" w:cs="Arial"/>
                <w:sz w:val="18"/>
                <w:szCs w:val="18"/>
              </w:rPr>
            </w:pPr>
          </w:p>
        </w:tc>
        <w:tc>
          <w:tcPr>
            <w:tcW w:w="1287" w:type="dxa"/>
            <w:vMerge/>
            <w:vAlign w:val="center"/>
          </w:tcPr>
          <w:p w14:paraId="5C12EF1A" w14:textId="77777777" w:rsidR="00153578" w:rsidRPr="00576180" w:rsidRDefault="00153578" w:rsidP="00153578">
            <w:pPr>
              <w:jc w:val="center"/>
              <w:rPr>
                <w:rFonts w:ascii="Arial" w:hAnsi="Arial" w:cs="Arial"/>
                <w:sz w:val="18"/>
                <w:szCs w:val="18"/>
              </w:rPr>
            </w:pPr>
          </w:p>
        </w:tc>
        <w:tc>
          <w:tcPr>
            <w:tcW w:w="0" w:type="auto"/>
            <w:vMerge/>
            <w:vAlign w:val="center"/>
          </w:tcPr>
          <w:p w14:paraId="5D6BA889" w14:textId="77777777" w:rsidR="00153578" w:rsidRPr="00576180" w:rsidRDefault="00153578" w:rsidP="00153578">
            <w:pPr>
              <w:jc w:val="center"/>
              <w:rPr>
                <w:rFonts w:ascii="Arial" w:hAnsi="Arial" w:cs="Arial"/>
                <w:sz w:val="18"/>
                <w:szCs w:val="18"/>
              </w:rPr>
            </w:pPr>
          </w:p>
        </w:tc>
        <w:tc>
          <w:tcPr>
            <w:tcW w:w="617" w:type="dxa"/>
            <w:vMerge/>
            <w:vAlign w:val="center"/>
          </w:tcPr>
          <w:p w14:paraId="062D85C9" w14:textId="77777777" w:rsidR="00153578" w:rsidRPr="00576180" w:rsidRDefault="00153578" w:rsidP="00153578">
            <w:pPr>
              <w:rPr>
                <w:rFonts w:ascii="Arial" w:hAnsi="Arial" w:cs="Arial"/>
                <w:sz w:val="18"/>
                <w:szCs w:val="18"/>
              </w:rPr>
            </w:pPr>
          </w:p>
        </w:tc>
        <w:tc>
          <w:tcPr>
            <w:tcW w:w="557" w:type="dxa"/>
            <w:vAlign w:val="center"/>
          </w:tcPr>
          <w:p w14:paraId="1B7226B8"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A</w:t>
            </w:r>
          </w:p>
        </w:tc>
        <w:tc>
          <w:tcPr>
            <w:tcW w:w="667" w:type="dxa"/>
            <w:vAlign w:val="center"/>
          </w:tcPr>
          <w:p w14:paraId="05442B40" w14:textId="1C9157C9" w:rsidR="00153578" w:rsidRPr="00576180" w:rsidRDefault="00153578" w:rsidP="00153578">
            <w:pPr>
              <w:jc w:val="center"/>
              <w:rPr>
                <w:rFonts w:ascii="Arial" w:hAnsi="Arial" w:cs="Arial"/>
                <w:sz w:val="18"/>
                <w:szCs w:val="18"/>
              </w:rPr>
            </w:pPr>
            <w:r w:rsidRPr="00576180">
              <w:rPr>
                <w:rFonts w:ascii="Arial" w:hAnsi="Arial" w:cs="Arial"/>
                <w:sz w:val="18"/>
                <w:szCs w:val="18"/>
              </w:rPr>
              <w:t>1</w:t>
            </w:r>
            <w:r w:rsidR="00CC275F" w:rsidRPr="00576180">
              <w:rPr>
                <w:rFonts w:ascii="Arial" w:hAnsi="Arial" w:cs="Arial"/>
                <w:sz w:val="18"/>
                <w:szCs w:val="18"/>
              </w:rPr>
              <w:t>44</w:t>
            </w:r>
          </w:p>
        </w:tc>
        <w:tc>
          <w:tcPr>
            <w:tcW w:w="4031" w:type="dxa"/>
            <w:vMerge/>
            <w:vAlign w:val="center"/>
          </w:tcPr>
          <w:p w14:paraId="233BF7E4" w14:textId="77777777" w:rsidR="00153578" w:rsidRPr="00576180" w:rsidRDefault="00153578" w:rsidP="00153578">
            <w:pPr>
              <w:jc w:val="center"/>
              <w:rPr>
                <w:rFonts w:ascii="Arial" w:hAnsi="Arial" w:cs="Arial"/>
                <w:sz w:val="18"/>
                <w:szCs w:val="18"/>
              </w:rPr>
            </w:pPr>
          </w:p>
        </w:tc>
        <w:tc>
          <w:tcPr>
            <w:tcW w:w="617" w:type="dxa"/>
            <w:vMerge/>
            <w:vAlign w:val="center"/>
          </w:tcPr>
          <w:p w14:paraId="4EA19DCD" w14:textId="77777777" w:rsidR="00153578" w:rsidRPr="00576180" w:rsidRDefault="00153578" w:rsidP="00153578">
            <w:pPr>
              <w:jc w:val="center"/>
              <w:rPr>
                <w:rFonts w:ascii="Arial" w:hAnsi="Arial" w:cs="Arial"/>
                <w:sz w:val="18"/>
                <w:szCs w:val="18"/>
              </w:rPr>
            </w:pPr>
          </w:p>
        </w:tc>
        <w:tc>
          <w:tcPr>
            <w:tcW w:w="1217" w:type="dxa"/>
            <w:vMerge/>
            <w:vAlign w:val="center"/>
          </w:tcPr>
          <w:p w14:paraId="292F8F40" w14:textId="77777777" w:rsidR="00153578" w:rsidRPr="00576180" w:rsidRDefault="00153578" w:rsidP="00153578">
            <w:pPr>
              <w:rPr>
                <w:rFonts w:ascii="Arial" w:hAnsi="Arial" w:cs="Arial"/>
                <w:sz w:val="18"/>
                <w:szCs w:val="18"/>
              </w:rPr>
            </w:pPr>
          </w:p>
        </w:tc>
      </w:tr>
      <w:tr w:rsidR="00153578" w:rsidRPr="00576180" w14:paraId="7875D1D4" w14:textId="77777777" w:rsidTr="00957319">
        <w:trPr>
          <w:trHeight w:val="56"/>
        </w:trPr>
        <w:tc>
          <w:tcPr>
            <w:tcW w:w="1507" w:type="dxa"/>
            <w:gridSpan w:val="2"/>
            <w:vMerge w:val="restart"/>
            <w:vAlign w:val="center"/>
          </w:tcPr>
          <w:p w14:paraId="6846F64A" w14:textId="25317293" w:rsidR="00153578" w:rsidRPr="00576180" w:rsidRDefault="00B52DCA" w:rsidP="00153578">
            <w:pPr>
              <w:rPr>
                <w:rFonts w:ascii="Arial" w:hAnsi="Arial" w:cs="Arial"/>
                <w:sz w:val="18"/>
                <w:szCs w:val="18"/>
              </w:rPr>
            </w:pPr>
            <w:r w:rsidRPr="00576180">
              <w:rPr>
                <w:rFonts w:ascii="Arial" w:hAnsi="Arial" w:cs="Arial"/>
                <w:sz w:val="18"/>
                <w:szCs w:val="18"/>
              </w:rPr>
              <w:t xml:space="preserve">1.6 </w:t>
            </w:r>
            <w:r w:rsidR="00153578" w:rsidRPr="00576180">
              <w:rPr>
                <w:rFonts w:ascii="Arial" w:hAnsi="Arial" w:cs="Arial"/>
                <w:sz w:val="18"/>
                <w:szCs w:val="18"/>
              </w:rPr>
              <w:t xml:space="preserve">Plataforma de </w:t>
            </w:r>
            <w:r w:rsidR="00153578" w:rsidRPr="00576180">
              <w:rPr>
                <w:rFonts w:ascii="Arial" w:hAnsi="Arial" w:cs="Arial"/>
                <w:i/>
                <w:sz w:val="18"/>
                <w:szCs w:val="18"/>
              </w:rPr>
              <w:t>e-learning</w:t>
            </w:r>
            <w:r w:rsidR="00153578" w:rsidRPr="00576180">
              <w:rPr>
                <w:rFonts w:ascii="Arial" w:hAnsi="Arial" w:cs="Arial"/>
                <w:sz w:val="18"/>
                <w:szCs w:val="18"/>
              </w:rPr>
              <w:t xml:space="preserve"> implementada</w:t>
            </w:r>
          </w:p>
        </w:tc>
        <w:tc>
          <w:tcPr>
            <w:tcW w:w="1287" w:type="dxa"/>
            <w:vMerge w:val="restart"/>
            <w:vAlign w:val="center"/>
          </w:tcPr>
          <w:p w14:paraId="05635385" w14:textId="207F0DBC" w:rsidR="00153578" w:rsidRPr="00576180" w:rsidRDefault="00153578" w:rsidP="00153578">
            <w:pPr>
              <w:jc w:val="center"/>
              <w:rPr>
                <w:rFonts w:ascii="Arial" w:hAnsi="Arial" w:cs="Arial"/>
                <w:sz w:val="18"/>
                <w:szCs w:val="18"/>
              </w:rPr>
            </w:pPr>
            <w:r w:rsidRPr="00576180">
              <w:rPr>
                <w:rFonts w:ascii="Arial" w:hAnsi="Arial" w:cs="Arial"/>
                <w:sz w:val="18"/>
                <w:szCs w:val="18"/>
              </w:rPr>
              <w:t>Sistema</w:t>
            </w:r>
          </w:p>
        </w:tc>
        <w:tc>
          <w:tcPr>
            <w:tcW w:w="0" w:type="auto"/>
            <w:vMerge w:val="restart"/>
            <w:vAlign w:val="center"/>
          </w:tcPr>
          <w:p w14:paraId="4E87D89A"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0</w:t>
            </w:r>
          </w:p>
        </w:tc>
        <w:tc>
          <w:tcPr>
            <w:tcW w:w="617" w:type="dxa"/>
            <w:vMerge w:val="restart"/>
            <w:vAlign w:val="center"/>
          </w:tcPr>
          <w:p w14:paraId="4C8D6A21" w14:textId="4A535528" w:rsidR="00153578" w:rsidRPr="00576180" w:rsidRDefault="00153578" w:rsidP="00153578">
            <w:pPr>
              <w:rPr>
                <w:rFonts w:ascii="Arial" w:hAnsi="Arial" w:cs="Arial"/>
                <w:sz w:val="18"/>
                <w:szCs w:val="18"/>
              </w:rPr>
            </w:pPr>
            <w:r w:rsidRPr="00576180">
              <w:rPr>
                <w:rFonts w:ascii="Arial" w:hAnsi="Arial" w:cs="Arial"/>
                <w:sz w:val="18"/>
                <w:szCs w:val="18"/>
              </w:rPr>
              <w:t>2010</w:t>
            </w:r>
          </w:p>
        </w:tc>
        <w:tc>
          <w:tcPr>
            <w:tcW w:w="557" w:type="dxa"/>
            <w:vAlign w:val="center"/>
          </w:tcPr>
          <w:p w14:paraId="682D5A30"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P</w:t>
            </w:r>
          </w:p>
        </w:tc>
        <w:tc>
          <w:tcPr>
            <w:tcW w:w="667" w:type="dxa"/>
            <w:vAlign w:val="center"/>
          </w:tcPr>
          <w:p w14:paraId="2EE9DA5A"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1</w:t>
            </w:r>
          </w:p>
        </w:tc>
        <w:tc>
          <w:tcPr>
            <w:tcW w:w="4031" w:type="dxa"/>
            <w:vMerge w:val="restart"/>
            <w:vAlign w:val="center"/>
          </w:tcPr>
          <w:p w14:paraId="5C6A6C49"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100%</w:t>
            </w:r>
          </w:p>
        </w:tc>
        <w:tc>
          <w:tcPr>
            <w:tcW w:w="617" w:type="dxa"/>
            <w:vMerge w:val="restart"/>
            <w:vAlign w:val="center"/>
          </w:tcPr>
          <w:p w14:paraId="79C91232" w14:textId="0D75CA0D" w:rsidR="00153578" w:rsidRPr="00576180" w:rsidRDefault="00CC275F" w:rsidP="00153578">
            <w:pPr>
              <w:jc w:val="center"/>
              <w:rPr>
                <w:rFonts w:ascii="Arial" w:hAnsi="Arial" w:cs="Arial"/>
                <w:sz w:val="18"/>
                <w:szCs w:val="18"/>
              </w:rPr>
            </w:pPr>
            <w:r w:rsidRPr="00576180">
              <w:rPr>
                <w:rFonts w:ascii="Arial" w:hAnsi="Arial" w:cs="Arial"/>
                <w:sz w:val="18"/>
                <w:szCs w:val="18"/>
              </w:rPr>
              <w:t>2016</w:t>
            </w:r>
          </w:p>
        </w:tc>
        <w:tc>
          <w:tcPr>
            <w:tcW w:w="1217" w:type="dxa"/>
            <w:vMerge w:val="restart"/>
            <w:vAlign w:val="center"/>
          </w:tcPr>
          <w:p w14:paraId="31CBF4A9" w14:textId="06DB5BD2" w:rsidR="00153578" w:rsidRPr="00576180" w:rsidRDefault="00153578" w:rsidP="00153578">
            <w:pPr>
              <w:rPr>
                <w:rFonts w:ascii="Arial" w:hAnsi="Arial" w:cs="Arial"/>
                <w:sz w:val="18"/>
                <w:szCs w:val="18"/>
              </w:rPr>
            </w:pPr>
            <w:r w:rsidRPr="00576180">
              <w:rPr>
                <w:rFonts w:ascii="Arial" w:hAnsi="Arial" w:cs="Arial"/>
                <w:sz w:val="18"/>
                <w:szCs w:val="18"/>
              </w:rPr>
              <w:t>Informe MEF</w:t>
            </w:r>
          </w:p>
        </w:tc>
      </w:tr>
      <w:tr w:rsidR="00153578" w:rsidRPr="00576180" w14:paraId="2486A418" w14:textId="77777777" w:rsidTr="00957319">
        <w:trPr>
          <w:trHeight w:val="56"/>
        </w:trPr>
        <w:tc>
          <w:tcPr>
            <w:tcW w:w="1507" w:type="dxa"/>
            <w:gridSpan w:val="2"/>
            <w:vMerge/>
            <w:vAlign w:val="center"/>
          </w:tcPr>
          <w:p w14:paraId="5AFFBB6F" w14:textId="77777777" w:rsidR="00153578" w:rsidRPr="00576180" w:rsidRDefault="00153578" w:rsidP="00153578">
            <w:pPr>
              <w:rPr>
                <w:rFonts w:ascii="Arial" w:hAnsi="Arial" w:cs="Arial"/>
                <w:sz w:val="18"/>
                <w:szCs w:val="18"/>
              </w:rPr>
            </w:pPr>
          </w:p>
        </w:tc>
        <w:tc>
          <w:tcPr>
            <w:tcW w:w="1287" w:type="dxa"/>
            <w:vMerge/>
            <w:vAlign w:val="center"/>
          </w:tcPr>
          <w:p w14:paraId="1FC67043" w14:textId="77777777" w:rsidR="00153578" w:rsidRPr="00576180" w:rsidRDefault="00153578" w:rsidP="00153578">
            <w:pPr>
              <w:jc w:val="center"/>
              <w:rPr>
                <w:rFonts w:ascii="Arial" w:hAnsi="Arial" w:cs="Arial"/>
                <w:sz w:val="18"/>
                <w:szCs w:val="18"/>
              </w:rPr>
            </w:pPr>
          </w:p>
        </w:tc>
        <w:tc>
          <w:tcPr>
            <w:tcW w:w="0" w:type="auto"/>
            <w:vMerge/>
            <w:vAlign w:val="center"/>
          </w:tcPr>
          <w:p w14:paraId="1ACD7323" w14:textId="77777777" w:rsidR="00153578" w:rsidRPr="00576180" w:rsidRDefault="00153578" w:rsidP="00153578">
            <w:pPr>
              <w:jc w:val="center"/>
              <w:rPr>
                <w:rFonts w:ascii="Arial" w:hAnsi="Arial" w:cs="Arial"/>
                <w:sz w:val="18"/>
                <w:szCs w:val="18"/>
              </w:rPr>
            </w:pPr>
          </w:p>
        </w:tc>
        <w:tc>
          <w:tcPr>
            <w:tcW w:w="617" w:type="dxa"/>
            <w:vMerge/>
            <w:vAlign w:val="center"/>
          </w:tcPr>
          <w:p w14:paraId="56C6D36A" w14:textId="77777777" w:rsidR="00153578" w:rsidRPr="00576180" w:rsidRDefault="00153578" w:rsidP="00153578">
            <w:pPr>
              <w:rPr>
                <w:rFonts w:ascii="Arial" w:hAnsi="Arial" w:cs="Arial"/>
                <w:sz w:val="18"/>
                <w:szCs w:val="18"/>
              </w:rPr>
            </w:pPr>
          </w:p>
        </w:tc>
        <w:tc>
          <w:tcPr>
            <w:tcW w:w="557" w:type="dxa"/>
            <w:vAlign w:val="center"/>
          </w:tcPr>
          <w:p w14:paraId="24A97136"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P(a)</w:t>
            </w:r>
          </w:p>
        </w:tc>
        <w:tc>
          <w:tcPr>
            <w:tcW w:w="667" w:type="dxa"/>
            <w:vAlign w:val="center"/>
          </w:tcPr>
          <w:p w14:paraId="1368E715"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1</w:t>
            </w:r>
          </w:p>
        </w:tc>
        <w:tc>
          <w:tcPr>
            <w:tcW w:w="4031" w:type="dxa"/>
            <w:vMerge/>
            <w:vAlign w:val="center"/>
          </w:tcPr>
          <w:p w14:paraId="3A75C887" w14:textId="77777777" w:rsidR="00153578" w:rsidRPr="00576180" w:rsidRDefault="00153578" w:rsidP="00153578">
            <w:pPr>
              <w:jc w:val="center"/>
              <w:rPr>
                <w:rFonts w:ascii="Arial" w:hAnsi="Arial" w:cs="Arial"/>
                <w:sz w:val="18"/>
                <w:szCs w:val="18"/>
              </w:rPr>
            </w:pPr>
          </w:p>
        </w:tc>
        <w:tc>
          <w:tcPr>
            <w:tcW w:w="617" w:type="dxa"/>
            <w:vMerge/>
            <w:vAlign w:val="center"/>
          </w:tcPr>
          <w:p w14:paraId="539AA9D9" w14:textId="77777777" w:rsidR="00153578" w:rsidRPr="00576180" w:rsidRDefault="00153578" w:rsidP="00153578">
            <w:pPr>
              <w:jc w:val="center"/>
              <w:rPr>
                <w:rFonts w:ascii="Arial" w:hAnsi="Arial" w:cs="Arial"/>
                <w:sz w:val="18"/>
                <w:szCs w:val="18"/>
              </w:rPr>
            </w:pPr>
          </w:p>
        </w:tc>
        <w:tc>
          <w:tcPr>
            <w:tcW w:w="1217" w:type="dxa"/>
            <w:vMerge/>
            <w:vAlign w:val="center"/>
          </w:tcPr>
          <w:p w14:paraId="6F72DC9F" w14:textId="77777777" w:rsidR="00153578" w:rsidRPr="00576180" w:rsidRDefault="00153578" w:rsidP="00153578">
            <w:pPr>
              <w:rPr>
                <w:rFonts w:ascii="Arial" w:hAnsi="Arial" w:cs="Arial"/>
                <w:sz w:val="18"/>
                <w:szCs w:val="18"/>
              </w:rPr>
            </w:pPr>
          </w:p>
        </w:tc>
      </w:tr>
      <w:tr w:rsidR="00153578" w:rsidRPr="00576180" w14:paraId="7905F255" w14:textId="77777777" w:rsidTr="00957319">
        <w:trPr>
          <w:trHeight w:val="56"/>
        </w:trPr>
        <w:tc>
          <w:tcPr>
            <w:tcW w:w="1507" w:type="dxa"/>
            <w:gridSpan w:val="2"/>
            <w:vMerge/>
            <w:vAlign w:val="center"/>
          </w:tcPr>
          <w:p w14:paraId="5C51E896" w14:textId="77777777" w:rsidR="00153578" w:rsidRPr="00576180" w:rsidRDefault="00153578" w:rsidP="00153578">
            <w:pPr>
              <w:rPr>
                <w:rFonts w:ascii="Arial" w:hAnsi="Arial" w:cs="Arial"/>
                <w:sz w:val="18"/>
                <w:szCs w:val="18"/>
              </w:rPr>
            </w:pPr>
          </w:p>
        </w:tc>
        <w:tc>
          <w:tcPr>
            <w:tcW w:w="1287" w:type="dxa"/>
            <w:vMerge/>
            <w:vAlign w:val="center"/>
          </w:tcPr>
          <w:p w14:paraId="4D54A15A" w14:textId="77777777" w:rsidR="00153578" w:rsidRPr="00576180" w:rsidRDefault="00153578" w:rsidP="00153578">
            <w:pPr>
              <w:jc w:val="center"/>
              <w:rPr>
                <w:rFonts w:ascii="Arial" w:hAnsi="Arial" w:cs="Arial"/>
                <w:sz w:val="18"/>
                <w:szCs w:val="18"/>
              </w:rPr>
            </w:pPr>
          </w:p>
        </w:tc>
        <w:tc>
          <w:tcPr>
            <w:tcW w:w="0" w:type="auto"/>
            <w:vMerge/>
            <w:vAlign w:val="center"/>
          </w:tcPr>
          <w:p w14:paraId="42BED1E3" w14:textId="77777777" w:rsidR="00153578" w:rsidRPr="00576180" w:rsidRDefault="00153578" w:rsidP="00153578">
            <w:pPr>
              <w:jc w:val="center"/>
              <w:rPr>
                <w:rFonts w:ascii="Arial" w:hAnsi="Arial" w:cs="Arial"/>
                <w:sz w:val="18"/>
                <w:szCs w:val="18"/>
              </w:rPr>
            </w:pPr>
          </w:p>
        </w:tc>
        <w:tc>
          <w:tcPr>
            <w:tcW w:w="617" w:type="dxa"/>
            <w:vMerge/>
            <w:vAlign w:val="center"/>
          </w:tcPr>
          <w:p w14:paraId="2D86C34A" w14:textId="77777777" w:rsidR="00153578" w:rsidRPr="00576180" w:rsidRDefault="00153578" w:rsidP="00153578">
            <w:pPr>
              <w:rPr>
                <w:rFonts w:ascii="Arial" w:hAnsi="Arial" w:cs="Arial"/>
                <w:sz w:val="18"/>
                <w:szCs w:val="18"/>
              </w:rPr>
            </w:pPr>
          </w:p>
        </w:tc>
        <w:tc>
          <w:tcPr>
            <w:tcW w:w="557" w:type="dxa"/>
            <w:vAlign w:val="center"/>
          </w:tcPr>
          <w:p w14:paraId="25FEAED9"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A</w:t>
            </w:r>
          </w:p>
        </w:tc>
        <w:tc>
          <w:tcPr>
            <w:tcW w:w="667" w:type="dxa"/>
            <w:vAlign w:val="center"/>
          </w:tcPr>
          <w:p w14:paraId="368680D1"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1</w:t>
            </w:r>
          </w:p>
        </w:tc>
        <w:tc>
          <w:tcPr>
            <w:tcW w:w="4031" w:type="dxa"/>
            <w:vMerge/>
            <w:vAlign w:val="center"/>
          </w:tcPr>
          <w:p w14:paraId="61089E6D" w14:textId="77777777" w:rsidR="00153578" w:rsidRPr="00576180" w:rsidRDefault="00153578" w:rsidP="00153578">
            <w:pPr>
              <w:jc w:val="center"/>
              <w:rPr>
                <w:rFonts w:ascii="Arial" w:hAnsi="Arial" w:cs="Arial"/>
                <w:sz w:val="18"/>
                <w:szCs w:val="18"/>
              </w:rPr>
            </w:pPr>
          </w:p>
        </w:tc>
        <w:tc>
          <w:tcPr>
            <w:tcW w:w="617" w:type="dxa"/>
            <w:vMerge/>
            <w:vAlign w:val="center"/>
          </w:tcPr>
          <w:p w14:paraId="22B2A6E6" w14:textId="77777777" w:rsidR="00153578" w:rsidRPr="00576180" w:rsidRDefault="00153578" w:rsidP="00153578">
            <w:pPr>
              <w:jc w:val="center"/>
              <w:rPr>
                <w:rFonts w:ascii="Arial" w:hAnsi="Arial" w:cs="Arial"/>
                <w:sz w:val="18"/>
                <w:szCs w:val="18"/>
              </w:rPr>
            </w:pPr>
          </w:p>
        </w:tc>
        <w:tc>
          <w:tcPr>
            <w:tcW w:w="1217" w:type="dxa"/>
            <w:vMerge/>
            <w:vAlign w:val="center"/>
          </w:tcPr>
          <w:p w14:paraId="3AB97D3A" w14:textId="77777777" w:rsidR="00153578" w:rsidRPr="00576180" w:rsidRDefault="00153578" w:rsidP="00153578">
            <w:pPr>
              <w:rPr>
                <w:rFonts w:ascii="Arial" w:hAnsi="Arial" w:cs="Arial"/>
                <w:sz w:val="18"/>
                <w:szCs w:val="18"/>
              </w:rPr>
            </w:pPr>
          </w:p>
        </w:tc>
      </w:tr>
      <w:tr w:rsidR="00153578" w:rsidRPr="00576180" w14:paraId="5199B2CB" w14:textId="77777777" w:rsidTr="00957319">
        <w:trPr>
          <w:trHeight w:val="56"/>
        </w:trPr>
        <w:tc>
          <w:tcPr>
            <w:tcW w:w="1507" w:type="dxa"/>
            <w:gridSpan w:val="2"/>
            <w:vMerge w:val="restart"/>
            <w:vAlign w:val="center"/>
          </w:tcPr>
          <w:p w14:paraId="742EA608" w14:textId="6D38077D" w:rsidR="00153578" w:rsidRPr="00576180" w:rsidRDefault="00B52DCA" w:rsidP="00153578">
            <w:pPr>
              <w:rPr>
                <w:rFonts w:ascii="Arial" w:hAnsi="Arial" w:cs="Arial"/>
                <w:sz w:val="18"/>
                <w:szCs w:val="18"/>
              </w:rPr>
            </w:pPr>
            <w:r w:rsidRPr="00576180">
              <w:rPr>
                <w:rFonts w:ascii="Arial" w:hAnsi="Arial" w:cs="Arial"/>
                <w:sz w:val="18"/>
                <w:szCs w:val="18"/>
              </w:rPr>
              <w:t xml:space="preserve">1.7 </w:t>
            </w:r>
            <w:r w:rsidR="00153578" w:rsidRPr="00576180">
              <w:rPr>
                <w:rFonts w:ascii="Arial" w:hAnsi="Arial" w:cs="Arial"/>
                <w:sz w:val="18"/>
                <w:szCs w:val="18"/>
              </w:rPr>
              <w:t>Metodologías en CMMI y PMMI implementadas</w:t>
            </w:r>
          </w:p>
        </w:tc>
        <w:tc>
          <w:tcPr>
            <w:tcW w:w="1287" w:type="dxa"/>
            <w:vMerge w:val="restart"/>
            <w:vAlign w:val="center"/>
          </w:tcPr>
          <w:p w14:paraId="3CA46430" w14:textId="0B9A3B0C" w:rsidR="00153578" w:rsidRPr="00576180" w:rsidRDefault="00153578" w:rsidP="00153578">
            <w:pPr>
              <w:jc w:val="center"/>
              <w:rPr>
                <w:rFonts w:ascii="Arial" w:hAnsi="Arial" w:cs="Arial"/>
                <w:sz w:val="18"/>
                <w:szCs w:val="18"/>
              </w:rPr>
            </w:pPr>
            <w:r w:rsidRPr="00576180">
              <w:rPr>
                <w:rFonts w:ascii="Arial" w:hAnsi="Arial" w:cs="Arial"/>
                <w:sz w:val="18"/>
                <w:szCs w:val="18"/>
              </w:rPr>
              <w:t>Estudio</w:t>
            </w:r>
          </w:p>
        </w:tc>
        <w:tc>
          <w:tcPr>
            <w:tcW w:w="0" w:type="auto"/>
            <w:vMerge w:val="restart"/>
            <w:vAlign w:val="center"/>
          </w:tcPr>
          <w:p w14:paraId="09A452D8"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0</w:t>
            </w:r>
          </w:p>
        </w:tc>
        <w:tc>
          <w:tcPr>
            <w:tcW w:w="617" w:type="dxa"/>
            <w:vMerge w:val="restart"/>
            <w:vAlign w:val="center"/>
          </w:tcPr>
          <w:p w14:paraId="000ACDF0" w14:textId="0B90C7E6" w:rsidR="00153578" w:rsidRPr="00576180" w:rsidRDefault="00153578" w:rsidP="00153578">
            <w:pPr>
              <w:rPr>
                <w:rFonts w:ascii="Arial" w:hAnsi="Arial" w:cs="Arial"/>
                <w:sz w:val="18"/>
                <w:szCs w:val="18"/>
              </w:rPr>
            </w:pPr>
            <w:r w:rsidRPr="00576180">
              <w:rPr>
                <w:rFonts w:ascii="Arial" w:hAnsi="Arial" w:cs="Arial"/>
                <w:sz w:val="18"/>
                <w:szCs w:val="18"/>
              </w:rPr>
              <w:t>2010</w:t>
            </w:r>
          </w:p>
        </w:tc>
        <w:tc>
          <w:tcPr>
            <w:tcW w:w="557" w:type="dxa"/>
            <w:vAlign w:val="center"/>
          </w:tcPr>
          <w:p w14:paraId="398B1CC5"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P</w:t>
            </w:r>
          </w:p>
        </w:tc>
        <w:tc>
          <w:tcPr>
            <w:tcW w:w="667" w:type="dxa"/>
            <w:vAlign w:val="center"/>
          </w:tcPr>
          <w:p w14:paraId="28DB8E55"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1</w:t>
            </w:r>
          </w:p>
        </w:tc>
        <w:tc>
          <w:tcPr>
            <w:tcW w:w="4031" w:type="dxa"/>
            <w:vMerge w:val="restart"/>
            <w:vAlign w:val="center"/>
          </w:tcPr>
          <w:p w14:paraId="09F00F0D" w14:textId="77777777" w:rsidR="00153578" w:rsidRPr="00576180" w:rsidRDefault="00153578" w:rsidP="00153578">
            <w:pPr>
              <w:jc w:val="center"/>
              <w:rPr>
                <w:rFonts w:ascii="Arial" w:hAnsi="Arial" w:cs="Arial"/>
                <w:sz w:val="18"/>
                <w:szCs w:val="18"/>
              </w:rPr>
            </w:pPr>
            <w:r w:rsidRPr="00576180">
              <w:rPr>
                <w:rFonts w:ascii="Arial" w:hAnsi="Arial" w:cs="Arial"/>
                <w:sz w:val="18"/>
                <w:szCs w:val="18"/>
              </w:rPr>
              <w:t>100%</w:t>
            </w:r>
          </w:p>
        </w:tc>
        <w:tc>
          <w:tcPr>
            <w:tcW w:w="617" w:type="dxa"/>
            <w:vMerge w:val="restart"/>
            <w:vAlign w:val="center"/>
          </w:tcPr>
          <w:p w14:paraId="597E13BA" w14:textId="6AF78A0B" w:rsidR="00153578" w:rsidRPr="00576180" w:rsidRDefault="00153578" w:rsidP="00153578">
            <w:pPr>
              <w:jc w:val="center"/>
              <w:rPr>
                <w:rFonts w:ascii="Arial" w:hAnsi="Arial" w:cs="Arial"/>
                <w:sz w:val="18"/>
                <w:szCs w:val="18"/>
              </w:rPr>
            </w:pPr>
            <w:r w:rsidRPr="00576180">
              <w:rPr>
                <w:rFonts w:ascii="Arial" w:hAnsi="Arial" w:cs="Arial"/>
                <w:sz w:val="18"/>
                <w:szCs w:val="18"/>
              </w:rPr>
              <w:t>201</w:t>
            </w:r>
            <w:r w:rsidR="00B52DCA" w:rsidRPr="00576180">
              <w:rPr>
                <w:rFonts w:ascii="Arial" w:hAnsi="Arial" w:cs="Arial"/>
                <w:sz w:val="18"/>
                <w:szCs w:val="18"/>
              </w:rPr>
              <w:t>7</w:t>
            </w:r>
          </w:p>
          <w:p w14:paraId="54C7B4A4" w14:textId="77777777" w:rsidR="00153578" w:rsidRPr="00576180" w:rsidRDefault="00153578" w:rsidP="00153578">
            <w:pPr>
              <w:jc w:val="center"/>
              <w:rPr>
                <w:rFonts w:ascii="Arial" w:hAnsi="Arial" w:cs="Arial"/>
                <w:sz w:val="18"/>
                <w:szCs w:val="18"/>
              </w:rPr>
            </w:pPr>
          </w:p>
        </w:tc>
        <w:tc>
          <w:tcPr>
            <w:tcW w:w="1217" w:type="dxa"/>
            <w:vMerge w:val="restart"/>
            <w:vAlign w:val="center"/>
          </w:tcPr>
          <w:p w14:paraId="0C69CAE7" w14:textId="42B65ABA" w:rsidR="00153578" w:rsidRPr="00576180" w:rsidRDefault="00153578" w:rsidP="00153578">
            <w:pPr>
              <w:rPr>
                <w:rFonts w:ascii="Arial" w:hAnsi="Arial" w:cs="Arial"/>
                <w:sz w:val="18"/>
                <w:szCs w:val="18"/>
              </w:rPr>
            </w:pPr>
            <w:r w:rsidRPr="00576180">
              <w:rPr>
                <w:rFonts w:ascii="Arial" w:hAnsi="Arial" w:cs="Arial"/>
                <w:sz w:val="18"/>
                <w:szCs w:val="18"/>
              </w:rPr>
              <w:t>Informe MEF</w:t>
            </w:r>
          </w:p>
        </w:tc>
      </w:tr>
      <w:tr w:rsidR="007B01F8" w:rsidRPr="00576180" w14:paraId="2FF59424" w14:textId="77777777" w:rsidTr="00957319">
        <w:trPr>
          <w:trHeight w:val="56"/>
        </w:trPr>
        <w:tc>
          <w:tcPr>
            <w:tcW w:w="1507" w:type="dxa"/>
            <w:gridSpan w:val="2"/>
            <w:vMerge/>
            <w:vAlign w:val="center"/>
          </w:tcPr>
          <w:p w14:paraId="106CFC67" w14:textId="77777777" w:rsidR="007B01F8" w:rsidRPr="00576180" w:rsidRDefault="007B01F8" w:rsidP="007B01F8">
            <w:pPr>
              <w:rPr>
                <w:rFonts w:ascii="Arial" w:hAnsi="Arial" w:cs="Arial"/>
                <w:sz w:val="18"/>
                <w:szCs w:val="18"/>
              </w:rPr>
            </w:pPr>
          </w:p>
        </w:tc>
        <w:tc>
          <w:tcPr>
            <w:tcW w:w="1287" w:type="dxa"/>
            <w:vMerge/>
            <w:vAlign w:val="center"/>
          </w:tcPr>
          <w:p w14:paraId="401BA90D" w14:textId="77777777" w:rsidR="007B01F8" w:rsidRPr="00576180" w:rsidRDefault="007B01F8" w:rsidP="007B01F8">
            <w:pPr>
              <w:rPr>
                <w:rFonts w:ascii="Arial" w:hAnsi="Arial" w:cs="Arial"/>
                <w:sz w:val="18"/>
                <w:szCs w:val="18"/>
              </w:rPr>
            </w:pPr>
          </w:p>
        </w:tc>
        <w:tc>
          <w:tcPr>
            <w:tcW w:w="0" w:type="auto"/>
            <w:vMerge/>
            <w:vAlign w:val="center"/>
          </w:tcPr>
          <w:p w14:paraId="003122F4" w14:textId="77777777" w:rsidR="007B01F8" w:rsidRPr="00576180" w:rsidRDefault="007B01F8" w:rsidP="007B01F8">
            <w:pPr>
              <w:rPr>
                <w:rFonts w:ascii="Arial" w:hAnsi="Arial" w:cs="Arial"/>
                <w:sz w:val="18"/>
                <w:szCs w:val="18"/>
              </w:rPr>
            </w:pPr>
          </w:p>
        </w:tc>
        <w:tc>
          <w:tcPr>
            <w:tcW w:w="617" w:type="dxa"/>
            <w:vMerge/>
            <w:vAlign w:val="center"/>
          </w:tcPr>
          <w:p w14:paraId="7816AC33" w14:textId="77777777" w:rsidR="007B01F8" w:rsidRPr="00576180" w:rsidRDefault="007B01F8" w:rsidP="007B01F8">
            <w:pPr>
              <w:rPr>
                <w:rFonts w:ascii="Arial" w:hAnsi="Arial" w:cs="Arial"/>
                <w:sz w:val="18"/>
                <w:szCs w:val="18"/>
              </w:rPr>
            </w:pPr>
          </w:p>
        </w:tc>
        <w:tc>
          <w:tcPr>
            <w:tcW w:w="557" w:type="dxa"/>
            <w:vAlign w:val="center"/>
          </w:tcPr>
          <w:p w14:paraId="18D91E43" w14:textId="77777777" w:rsidR="007B01F8" w:rsidRPr="00576180" w:rsidRDefault="007B01F8" w:rsidP="007B01F8">
            <w:pPr>
              <w:jc w:val="center"/>
              <w:rPr>
                <w:rFonts w:ascii="Arial" w:hAnsi="Arial" w:cs="Arial"/>
                <w:sz w:val="18"/>
                <w:szCs w:val="18"/>
              </w:rPr>
            </w:pPr>
            <w:r w:rsidRPr="00576180">
              <w:rPr>
                <w:rFonts w:ascii="Arial" w:hAnsi="Arial" w:cs="Arial"/>
                <w:sz w:val="18"/>
                <w:szCs w:val="18"/>
              </w:rPr>
              <w:t>P(a)</w:t>
            </w:r>
          </w:p>
        </w:tc>
        <w:tc>
          <w:tcPr>
            <w:tcW w:w="667" w:type="dxa"/>
            <w:vAlign w:val="center"/>
          </w:tcPr>
          <w:p w14:paraId="5C6AAA42" w14:textId="77777777" w:rsidR="007B01F8" w:rsidRPr="00576180" w:rsidRDefault="007B01F8" w:rsidP="007B01F8">
            <w:pPr>
              <w:jc w:val="center"/>
              <w:rPr>
                <w:rFonts w:ascii="Arial" w:hAnsi="Arial" w:cs="Arial"/>
                <w:sz w:val="18"/>
                <w:szCs w:val="18"/>
              </w:rPr>
            </w:pPr>
            <w:r w:rsidRPr="00576180">
              <w:rPr>
                <w:rFonts w:ascii="Arial" w:hAnsi="Arial" w:cs="Arial"/>
                <w:sz w:val="18"/>
                <w:szCs w:val="18"/>
              </w:rPr>
              <w:t>1</w:t>
            </w:r>
          </w:p>
        </w:tc>
        <w:tc>
          <w:tcPr>
            <w:tcW w:w="4031" w:type="dxa"/>
            <w:vMerge/>
            <w:vAlign w:val="center"/>
          </w:tcPr>
          <w:p w14:paraId="03128F7B" w14:textId="77777777" w:rsidR="007B01F8" w:rsidRPr="00576180" w:rsidRDefault="007B01F8" w:rsidP="007B01F8">
            <w:pPr>
              <w:jc w:val="center"/>
              <w:rPr>
                <w:rFonts w:ascii="Arial" w:hAnsi="Arial" w:cs="Arial"/>
                <w:sz w:val="18"/>
                <w:szCs w:val="18"/>
              </w:rPr>
            </w:pPr>
          </w:p>
        </w:tc>
        <w:tc>
          <w:tcPr>
            <w:tcW w:w="617" w:type="dxa"/>
            <w:vMerge/>
          </w:tcPr>
          <w:p w14:paraId="7A170B91" w14:textId="77777777" w:rsidR="007B01F8" w:rsidRPr="00576180" w:rsidRDefault="007B01F8" w:rsidP="007B01F8">
            <w:pPr>
              <w:rPr>
                <w:rFonts w:ascii="Arial" w:hAnsi="Arial" w:cs="Arial"/>
                <w:sz w:val="18"/>
                <w:szCs w:val="18"/>
              </w:rPr>
            </w:pPr>
          </w:p>
        </w:tc>
        <w:tc>
          <w:tcPr>
            <w:tcW w:w="1217" w:type="dxa"/>
            <w:vMerge/>
            <w:vAlign w:val="center"/>
          </w:tcPr>
          <w:p w14:paraId="6123A81F" w14:textId="77777777" w:rsidR="007B01F8" w:rsidRPr="00576180" w:rsidRDefault="007B01F8" w:rsidP="007B01F8">
            <w:pPr>
              <w:rPr>
                <w:rFonts w:ascii="Arial" w:hAnsi="Arial" w:cs="Arial"/>
                <w:sz w:val="18"/>
                <w:szCs w:val="18"/>
              </w:rPr>
            </w:pPr>
          </w:p>
        </w:tc>
      </w:tr>
      <w:tr w:rsidR="007B01F8" w:rsidRPr="00576180" w14:paraId="5B9C65DC" w14:textId="77777777" w:rsidTr="00957319">
        <w:trPr>
          <w:trHeight w:val="56"/>
        </w:trPr>
        <w:tc>
          <w:tcPr>
            <w:tcW w:w="1507" w:type="dxa"/>
            <w:gridSpan w:val="2"/>
            <w:vMerge/>
            <w:vAlign w:val="center"/>
          </w:tcPr>
          <w:p w14:paraId="7B40EB9C" w14:textId="77777777" w:rsidR="007B01F8" w:rsidRPr="00576180" w:rsidRDefault="007B01F8" w:rsidP="007B01F8">
            <w:pPr>
              <w:rPr>
                <w:rFonts w:ascii="Arial" w:hAnsi="Arial" w:cs="Arial"/>
                <w:sz w:val="18"/>
                <w:szCs w:val="18"/>
              </w:rPr>
            </w:pPr>
          </w:p>
        </w:tc>
        <w:tc>
          <w:tcPr>
            <w:tcW w:w="1287" w:type="dxa"/>
            <w:vMerge/>
            <w:vAlign w:val="center"/>
          </w:tcPr>
          <w:p w14:paraId="049BCB44" w14:textId="77777777" w:rsidR="007B01F8" w:rsidRPr="00576180" w:rsidRDefault="007B01F8" w:rsidP="007B01F8">
            <w:pPr>
              <w:rPr>
                <w:rFonts w:ascii="Arial" w:hAnsi="Arial" w:cs="Arial"/>
                <w:sz w:val="18"/>
                <w:szCs w:val="18"/>
              </w:rPr>
            </w:pPr>
          </w:p>
        </w:tc>
        <w:tc>
          <w:tcPr>
            <w:tcW w:w="0" w:type="auto"/>
            <w:vMerge/>
            <w:vAlign w:val="center"/>
          </w:tcPr>
          <w:p w14:paraId="67D1B276" w14:textId="77777777" w:rsidR="007B01F8" w:rsidRPr="00576180" w:rsidRDefault="007B01F8" w:rsidP="007B01F8">
            <w:pPr>
              <w:rPr>
                <w:rFonts w:ascii="Arial" w:hAnsi="Arial" w:cs="Arial"/>
                <w:sz w:val="18"/>
                <w:szCs w:val="18"/>
              </w:rPr>
            </w:pPr>
          </w:p>
        </w:tc>
        <w:tc>
          <w:tcPr>
            <w:tcW w:w="617" w:type="dxa"/>
            <w:vMerge/>
            <w:vAlign w:val="center"/>
          </w:tcPr>
          <w:p w14:paraId="72B852FF" w14:textId="77777777" w:rsidR="007B01F8" w:rsidRPr="00576180" w:rsidRDefault="007B01F8" w:rsidP="007B01F8">
            <w:pPr>
              <w:rPr>
                <w:rFonts w:ascii="Arial" w:hAnsi="Arial" w:cs="Arial"/>
                <w:sz w:val="18"/>
                <w:szCs w:val="18"/>
              </w:rPr>
            </w:pPr>
          </w:p>
        </w:tc>
        <w:tc>
          <w:tcPr>
            <w:tcW w:w="557" w:type="dxa"/>
            <w:vAlign w:val="center"/>
          </w:tcPr>
          <w:p w14:paraId="245503B0" w14:textId="77777777" w:rsidR="007B01F8" w:rsidRPr="00576180" w:rsidRDefault="007B01F8" w:rsidP="007B01F8">
            <w:pPr>
              <w:jc w:val="center"/>
              <w:rPr>
                <w:rFonts w:ascii="Arial" w:hAnsi="Arial" w:cs="Arial"/>
                <w:sz w:val="18"/>
                <w:szCs w:val="18"/>
              </w:rPr>
            </w:pPr>
            <w:r w:rsidRPr="00576180">
              <w:rPr>
                <w:rFonts w:ascii="Arial" w:hAnsi="Arial" w:cs="Arial"/>
                <w:sz w:val="18"/>
                <w:szCs w:val="18"/>
              </w:rPr>
              <w:t>A</w:t>
            </w:r>
          </w:p>
        </w:tc>
        <w:tc>
          <w:tcPr>
            <w:tcW w:w="667" w:type="dxa"/>
            <w:vAlign w:val="center"/>
          </w:tcPr>
          <w:p w14:paraId="6C7B44EF" w14:textId="77777777" w:rsidR="007B01F8" w:rsidRPr="00576180" w:rsidRDefault="007B01F8" w:rsidP="007B01F8">
            <w:pPr>
              <w:jc w:val="center"/>
              <w:rPr>
                <w:rFonts w:ascii="Arial" w:hAnsi="Arial" w:cs="Arial"/>
                <w:sz w:val="18"/>
                <w:szCs w:val="18"/>
              </w:rPr>
            </w:pPr>
            <w:r w:rsidRPr="00576180">
              <w:rPr>
                <w:rFonts w:ascii="Arial" w:hAnsi="Arial" w:cs="Arial"/>
                <w:sz w:val="18"/>
                <w:szCs w:val="18"/>
              </w:rPr>
              <w:t>1</w:t>
            </w:r>
          </w:p>
        </w:tc>
        <w:tc>
          <w:tcPr>
            <w:tcW w:w="4031" w:type="dxa"/>
            <w:vMerge/>
            <w:vAlign w:val="center"/>
          </w:tcPr>
          <w:p w14:paraId="50108866" w14:textId="77777777" w:rsidR="007B01F8" w:rsidRPr="00576180" w:rsidRDefault="007B01F8" w:rsidP="007B01F8">
            <w:pPr>
              <w:jc w:val="center"/>
              <w:rPr>
                <w:rFonts w:ascii="Arial" w:hAnsi="Arial" w:cs="Arial"/>
                <w:sz w:val="18"/>
                <w:szCs w:val="18"/>
              </w:rPr>
            </w:pPr>
          </w:p>
        </w:tc>
        <w:tc>
          <w:tcPr>
            <w:tcW w:w="617" w:type="dxa"/>
            <w:vMerge/>
          </w:tcPr>
          <w:p w14:paraId="254D8966" w14:textId="77777777" w:rsidR="007B01F8" w:rsidRPr="00576180" w:rsidRDefault="007B01F8" w:rsidP="007B01F8">
            <w:pPr>
              <w:rPr>
                <w:rFonts w:ascii="Arial" w:hAnsi="Arial" w:cs="Arial"/>
                <w:sz w:val="18"/>
                <w:szCs w:val="18"/>
              </w:rPr>
            </w:pPr>
          </w:p>
        </w:tc>
        <w:tc>
          <w:tcPr>
            <w:tcW w:w="1217" w:type="dxa"/>
            <w:vMerge/>
            <w:vAlign w:val="center"/>
          </w:tcPr>
          <w:p w14:paraId="2A9CC774" w14:textId="77777777" w:rsidR="007B01F8" w:rsidRPr="00576180" w:rsidRDefault="007B01F8" w:rsidP="007B01F8">
            <w:pPr>
              <w:rPr>
                <w:rFonts w:ascii="Arial" w:hAnsi="Arial" w:cs="Arial"/>
                <w:sz w:val="18"/>
                <w:szCs w:val="18"/>
              </w:rPr>
            </w:pPr>
          </w:p>
        </w:tc>
      </w:tr>
      <w:tr w:rsidR="007B01F8" w:rsidRPr="00576180" w14:paraId="0A140347" w14:textId="77777777" w:rsidTr="00957319">
        <w:tc>
          <w:tcPr>
            <w:tcW w:w="11187" w:type="dxa"/>
            <w:gridSpan w:val="10"/>
            <w:shd w:val="clear" w:color="auto" w:fill="D9D9D9" w:themeFill="background1" w:themeFillShade="D9"/>
          </w:tcPr>
          <w:p w14:paraId="19FC9605" w14:textId="3EF6CC25" w:rsidR="007B01F8" w:rsidRPr="00576180" w:rsidRDefault="00611C33" w:rsidP="007B01F8">
            <w:pPr>
              <w:autoSpaceDE w:val="0"/>
              <w:autoSpaceDN w:val="0"/>
              <w:adjustRightInd w:val="0"/>
              <w:rPr>
                <w:rFonts w:ascii="Arial" w:hAnsi="Arial" w:cs="Arial"/>
                <w:b/>
                <w:bCs/>
                <w:sz w:val="18"/>
                <w:szCs w:val="18"/>
              </w:rPr>
            </w:pPr>
            <w:r w:rsidRPr="00576180">
              <w:rPr>
                <w:rFonts w:ascii="Arial" w:hAnsi="Arial" w:cs="Arial"/>
                <w:b/>
                <w:bCs/>
                <w:sz w:val="18"/>
                <w:szCs w:val="18"/>
              </w:rPr>
              <w:t>Componente II.</w:t>
            </w:r>
            <w:r w:rsidR="00B52DCA" w:rsidRPr="00576180">
              <w:rPr>
                <w:rFonts w:ascii="Arial" w:hAnsi="Arial" w:cs="Arial"/>
                <w:b/>
                <w:bCs/>
                <w:sz w:val="18"/>
                <w:szCs w:val="18"/>
              </w:rPr>
              <w:t xml:space="preserve"> Fortalecimiento de capacidades institucionales para la gestión financiera pública</w:t>
            </w:r>
          </w:p>
        </w:tc>
      </w:tr>
      <w:tr w:rsidR="005055E1" w:rsidRPr="00576180" w14:paraId="78DB5625" w14:textId="77777777" w:rsidTr="00957319">
        <w:tc>
          <w:tcPr>
            <w:tcW w:w="1507" w:type="dxa"/>
            <w:gridSpan w:val="2"/>
            <w:vMerge w:val="restart"/>
            <w:vAlign w:val="center"/>
            <w:hideMark/>
          </w:tcPr>
          <w:p w14:paraId="3CCE7CE1" w14:textId="46317C79" w:rsidR="005055E1" w:rsidRPr="00576180" w:rsidRDefault="005055E1" w:rsidP="005055E1">
            <w:pPr>
              <w:rPr>
                <w:rFonts w:ascii="Arial" w:hAnsi="Arial" w:cs="Arial"/>
                <w:sz w:val="18"/>
                <w:szCs w:val="18"/>
              </w:rPr>
            </w:pPr>
            <w:r w:rsidRPr="00576180">
              <w:rPr>
                <w:rFonts w:ascii="Arial" w:hAnsi="Arial" w:cs="Arial"/>
                <w:sz w:val="18"/>
                <w:szCs w:val="18"/>
              </w:rPr>
              <w:t>2.1 Estudios y metodologías para fortalecer capacidades en el MEF elaborad</w:t>
            </w:r>
            <w:r w:rsidR="00D1344C" w:rsidRPr="00576180">
              <w:rPr>
                <w:rFonts w:ascii="Arial" w:hAnsi="Arial" w:cs="Arial"/>
                <w:sz w:val="18"/>
                <w:szCs w:val="18"/>
              </w:rPr>
              <w:t>a</w:t>
            </w:r>
            <w:r w:rsidRPr="00576180">
              <w:rPr>
                <w:rFonts w:ascii="Arial" w:hAnsi="Arial" w:cs="Arial"/>
                <w:sz w:val="18"/>
                <w:szCs w:val="18"/>
              </w:rPr>
              <w:t>s y aprobad</w:t>
            </w:r>
            <w:r w:rsidR="00D1344C" w:rsidRPr="00576180">
              <w:rPr>
                <w:rFonts w:ascii="Arial" w:hAnsi="Arial" w:cs="Arial"/>
                <w:sz w:val="18"/>
                <w:szCs w:val="18"/>
              </w:rPr>
              <w:t>as</w:t>
            </w:r>
          </w:p>
        </w:tc>
        <w:tc>
          <w:tcPr>
            <w:tcW w:w="1287" w:type="dxa"/>
            <w:vMerge w:val="restart"/>
            <w:vAlign w:val="center"/>
          </w:tcPr>
          <w:p w14:paraId="5899A585" w14:textId="6DF52BAE" w:rsidR="005055E1" w:rsidRPr="00576180" w:rsidRDefault="005055E1" w:rsidP="005055E1">
            <w:pPr>
              <w:jc w:val="center"/>
              <w:rPr>
                <w:rFonts w:ascii="Arial" w:hAnsi="Arial" w:cs="Arial"/>
                <w:sz w:val="18"/>
                <w:szCs w:val="18"/>
              </w:rPr>
            </w:pPr>
            <w:r w:rsidRPr="00576180">
              <w:rPr>
                <w:rFonts w:ascii="Arial" w:hAnsi="Arial" w:cs="Arial"/>
                <w:sz w:val="18"/>
                <w:szCs w:val="18"/>
              </w:rPr>
              <w:t>Estudios</w:t>
            </w:r>
          </w:p>
        </w:tc>
        <w:tc>
          <w:tcPr>
            <w:tcW w:w="687" w:type="dxa"/>
            <w:vMerge w:val="restart"/>
            <w:vAlign w:val="center"/>
          </w:tcPr>
          <w:p w14:paraId="196FBABB" w14:textId="77777777" w:rsidR="005055E1" w:rsidRPr="00576180" w:rsidRDefault="005055E1" w:rsidP="005055E1">
            <w:pPr>
              <w:jc w:val="center"/>
              <w:rPr>
                <w:rFonts w:ascii="Arial" w:hAnsi="Arial" w:cs="Arial"/>
                <w:sz w:val="18"/>
                <w:szCs w:val="18"/>
              </w:rPr>
            </w:pPr>
            <w:r w:rsidRPr="00576180">
              <w:rPr>
                <w:rFonts w:ascii="Arial" w:hAnsi="Arial" w:cs="Arial"/>
                <w:sz w:val="18"/>
                <w:szCs w:val="18"/>
              </w:rPr>
              <w:t>0</w:t>
            </w:r>
          </w:p>
        </w:tc>
        <w:tc>
          <w:tcPr>
            <w:tcW w:w="617" w:type="dxa"/>
            <w:vMerge w:val="restart"/>
            <w:vAlign w:val="center"/>
          </w:tcPr>
          <w:p w14:paraId="6E5B627C" w14:textId="165B1C93" w:rsidR="005055E1" w:rsidRPr="00576180" w:rsidRDefault="005055E1" w:rsidP="005055E1">
            <w:pPr>
              <w:jc w:val="center"/>
              <w:rPr>
                <w:rFonts w:ascii="Arial" w:hAnsi="Arial" w:cs="Arial"/>
                <w:sz w:val="18"/>
                <w:szCs w:val="18"/>
              </w:rPr>
            </w:pPr>
            <w:r w:rsidRPr="00576180">
              <w:rPr>
                <w:rFonts w:ascii="Arial" w:hAnsi="Arial" w:cs="Arial"/>
                <w:sz w:val="18"/>
                <w:szCs w:val="18"/>
              </w:rPr>
              <w:t>2010</w:t>
            </w:r>
          </w:p>
        </w:tc>
        <w:tc>
          <w:tcPr>
            <w:tcW w:w="557" w:type="dxa"/>
            <w:vAlign w:val="center"/>
          </w:tcPr>
          <w:p w14:paraId="42DE24FC" w14:textId="77777777" w:rsidR="005055E1" w:rsidRPr="00576180" w:rsidRDefault="005055E1" w:rsidP="005055E1">
            <w:pPr>
              <w:jc w:val="center"/>
              <w:rPr>
                <w:rFonts w:ascii="Arial" w:hAnsi="Arial" w:cs="Arial"/>
                <w:sz w:val="18"/>
                <w:szCs w:val="18"/>
              </w:rPr>
            </w:pPr>
            <w:r w:rsidRPr="00576180">
              <w:rPr>
                <w:rFonts w:ascii="Arial" w:hAnsi="Arial" w:cs="Arial"/>
                <w:sz w:val="18"/>
                <w:szCs w:val="18"/>
              </w:rPr>
              <w:t>P</w:t>
            </w:r>
          </w:p>
        </w:tc>
        <w:tc>
          <w:tcPr>
            <w:tcW w:w="667" w:type="dxa"/>
            <w:vAlign w:val="center"/>
          </w:tcPr>
          <w:p w14:paraId="5F3DADCA" w14:textId="0F843BDC" w:rsidR="005055E1" w:rsidRPr="00576180" w:rsidRDefault="005055E1" w:rsidP="005055E1">
            <w:pPr>
              <w:jc w:val="center"/>
              <w:rPr>
                <w:rFonts w:ascii="Arial" w:hAnsi="Arial" w:cs="Arial"/>
                <w:sz w:val="18"/>
                <w:szCs w:val="18"/>
              </w:rPr>
            </w:pPr>
            <w:r w:rsidRPr="00576180">
              <w:rPr>
                <w:rFonts w:ascii="Arial" w:hAnsi="Arial" w:cs="Arial"/>
                <w:sz w:val="18"/>
                <w:szCs w:val="18"/>
              </w:rPr>
              <w:t>11</w:t>
            </w:r>
          </w:p>
        </w:tc>
        <w:tc>
          <w:tcPr>
            <w:tcW w:w="4031" w:type="dxa"/>
            <w:vMerge w:val="restart"/>
            <w:vAlign w:val="center"/>
          </w:tcPr>
          <w:p w14:paraId="5C40FAD8" w14:textId="18170C86" w:rsidR="005055E1" w:rsidRPr="00576180" w:rsidRDefault="009D27F0" w:rsidP="005055E1">
            <w:pPr>
              <w:jc w:val="center"/>
              <w:rPr>
                <w:rFonts w:ascii="Arial" w:hAnsi="Arial" w:cs="Arial"/>
                <w:sz w:val="18"/>
                <w:szCs w:val="18"/>
              </w:rPr>
            </w:pPr>
            <w:r w:rsidRPr="00576180">
              <w:rPr>
                <w:rFonts w:ascii="Arial" w:hAnsi="Arial" w:cs="Arial"/>
                <w:sz w:val="18"/>
                <w:szCs w:val="18"/>
              </w:rPr>
              <w:t>100</w:t>
            </w:r>
            <w:r w:rsidR="005055E1" w:rsidRPr="00576180">
              <w:rPr>
                <w:rFonts w:ascii="Arial" w:hAnsi="Arial" w:cs="Arial"/>
                <w:sz w:val="18"/>
                <w:szCs w:val="18"/>
              </w:rPr>
              <w:t>%</w:t>
            </w:r>
          </w:p>
        </w:tc>
        <w:tc>
          <w:tcPr>
            <w:tcW w:w="617" w:type="dxa"/>
            <w:vMerge w:val="restart"/>
            <w:vAlign w:val="center"/>
          </w:tcPr>
          <w:p w14:paraId="1F4100CE" w14:textId="5CFF743E" w:rsidR="005055E1" w:rsidRPr="00576180" w:rsidRDefault="005055E1" w:rsidP="005055E1">
            <w:pPr>
              <w:jc w:val="center"/>
              <w:rPr>
                <w:rFonts w:ascii="Arial" w:hAnsi="Arial" w:cs="Arial"/>
                <w:sz w:val="18"/>
                <w:szCs w:val="18"/>
              </w:rPr>
            </w:pPr>
            <w:r w:rsidRPr="00576180">
              <w:rPr>
                <w:rFonts w:ascii="Arial" w:hAnsi="Arial" w:cs="Arial"/>
                <w:sz w:val="17"/>
                <w:szCs w:val="17"/>
              </w:rPr>
              <w:t>2015</w:t>
            </w:r>
          </w:p>
        </w:tc>
        <w:tc>
          <w:tcPr>
            <w:tcW w:w="1217" w:type="dxa"/>
            <w:vMerge w:val="restart"/>
            <w:vAlign w:val="center"/>
          </w:tcPr>
          <w:p w14:paraId="1BC893D0" w14:textId="69D97934" w:rsidR="005055E1" w:rsidRPr="00576180" w:rsidRDefault="005055E1" w:rsidP="005055E1">
            <w:pPr>
              <w:rPr>
                <w:rFonts w:ascii="Arial" w:hAnsi="Arial" w:cs="Arial"/>
                <w:sz w:val="18"/>
                <w:szCs w:val="18"/>
              </w:rPr>
            </w:pPr>
            <w:r w:rsidRPr="00576180">
              <w:rPr>
                <w:rFonts w:ascii="Arial" w:hAnsi="Arial" w:cs="Arial"/>
                <w:sz w:val="18"/>
                <w:szCs w:val="18"/>
              </w:rPr>
              <w:t>Informe MEF</w:t>
            </w:r>
          </w:p>
        </w:tc>
      </w:tr>
      <w:tr w:rsidR="005055E1" w:rsidRPr="00576180" w14:paraId="1AE16C0A" w14:textId="77777777" w:rsidTr="00957319">
        <w:trPr>
          <w:trHeight w:val="125"/>
        </w:trPr>
        <w:tc>
          <w:tcPr>
            <w:tcW w:w="1507" w:type="dxa"/>
            <w:gridSpan w:val="2"/>
            <w:vMerge/>
            <w:vAlign w:val="center"/>
            <w:hideMark/>
          </w:tcPr>
          <w:p w14:paraId="1184C381" w14:textId="77777777" w:rsidR="005055E1" w:rsidRPr="00576180" w:rsidRDefault="005055E1" w:rsidP="005055E1">
            <w:pPr>
              <w:rPr>
                <w:rFonts w:ascii="Arial" w:hAnsi="Arial" w:cs="Arial"/>
                <w:sz w:val="18"/>
                <w:szCs w:val="18"/>
              </w:rPr>
            </w:pPr>
          </w:p>
        </w:tc>
        <w:tc>
          <w:tcPr>
            <w:tcW w:w="1287" w:type="dxa"/>
            <w:vMerge/>
            <w:vAlign w:val="center"/>
            <w:hideMark/>
          </w:tcPr>
          <w:p w14:paraId="2D4CDB4B" w14:textId="77777777" w:rsidR="005055E1" w:rsidRPr="00576180" w:rsidRDefault="005055E1" w:rsidP="005055E1">
            <w:pPr>
              <w:rPr>
                <w:rFonts w:ascii="Arial" w:hAnsi="Arial" w:cs="Arial"/>
                <w:sz w:val="18"/>
                <w:szCs w:val="18"/>
              </w:rPr>
            </w:pPr>
          </w:p>
        </w:tc>
        <w:tc>
          <w:tcPr>
            <w:tcW w:w="0" w:type="auto"/>
            <w:vMerge/>
            <w:vAlign w:val="center"/>
            <w:hideMark/>
          </w:tcPr>
          <w:p w14:paraId="7885A542" w14:textId="77777777" w:rsidR="005055E1" w:rsidRPr="00576180" w:rsidRDefault="005055E1" w:rsidP="005055E1">
            <w:pPr>
              <w:rPr>
                <w:rFonts w:ascii="Arial" w:hAnsi="Arial" w:cs="Arial"/>
                <w:sz w:val="18"/>
                <w:szCs w:val="18"/>
              </w:rPr>
            </w:pPr>
          </w:p>
        </w:tc>
        <w:tc>
          <w:tcPr>
            <w:tcW w:w="617" w:type="dxa"/>
            <w:vMerge/>
            <w:vAlign w:val="center"/>
            <w:hideMark/>
          </w:tcPr>
          <w:p w14:paraId="3A21CD16" w14:textId="77777777" w:rsidR="005055E1" w:rsidRPr="00576180" w:rsidRDefault="005055E1" w:rsidP="005055E1">
            <w:pPr>
              <w:rPr>
                <w:rFonts w:ascii="Arial" w:hAnsi="Arial" w:cs="Arial"/>
                <w:sz w:val="18"/>
                <w:szCs w:val="18"/>
              </w:rPr>
            </w:pPr>
          </w:p>
        </w:tc>
        <w:tc>
          <w:tcPr>
            <w:tcW w:w="557" w:type="dxa"/>
            <w:vAlign w:val="center"/>
          </w:tcPr>
          <w:p w14:paraId="3DC5A56D" w14:textId="77777777" w:rsidR="005055E1" w:rsidRPr="00576180" w:rsidRDefault="005055E1" w:rsidP="005055E1">
            <w:pPr>
              <w:jc w:val="center"/>
              <w:rPr>
                <w:rFonts w:ascii="Arial" w:hAnsi="Arial" w:cs="Arial"/>
                <w:sz w:val="18"/>
                <w:szCs w:val="18"/>
              </w:rPr>
            </w:pPr>
            <w:r w:rsidRPr="00576180">
              <w:rPr>
                <w:rFonts w:ascii="Arial" w:hAnsi="Arial" w:cs="Arial"/>
                <w:sz w:val="18"/>
                <w:szCs w:val="18"/>
              </w:rPr>
              <w:t>P(a)</w:t>
            </w:r>
          </w:p>
        </w:tc>
        <w:tc>
          <w:tcPr>
            <w:tcW w:w="667" w:type="dxa"/>
            <w:vAlign w:val="center"/>
          </w:tcPr>
          <w:p w14:paraId="626817AB" w14:textId="47483AA2" w:rsidR="005055E1" w:rsidRPr="00576180" w:rsidRDefault="009D27F0" w:rsidP="005055E1">
            <w:pPr>
              <w:jc w:val="center"/>
              <w:rPr>
                <w:rFonts w:ascii="Arial" w:hAnsi="Arial" w:cs="Arial"/>
                <w:sz w:val="18"/>
                <w:szCs w:val="18"/>
              </w:rPr>
            </w:pPr>
            <w:r w:rsidRPr="00576180">
              <w:rPr>
                <w:rFonts w:ascii="Arial" w:hAnsi="Arial" w:cs="Arial"/>
                <w:sz w:val="18"/>
                <w:szCs w:val="18"/>
              </w:rPr>
              <w:t>3</w:t>
            </w:r>
          </w:p>
        </w:tc>
        <w:tc>
          <w:tcPr>
            <w:tcW w:w="4031" w:type="dxa"/>
            <w:vMerge/>
            <w:vAlign w:val="center"/>
            <w:hideMark/>
          </w:tcPr>
          <w:p w14:paraId="4E60E97D" w14:textId="77777777" w:rsidR="005055E1" w:rsidRPr="00576180" w:rsidRDefault="005055E1" w:rsidP="005055E1">
            <w:pPr>
              <w:jc w:val="center"/>
              <w:rPr>
                <w:rFonts w:ascii="Arial" w:hAnsi="Arial" w:cs="Arial"/>
                <w:sz w:val="18"/>
                <w:szCs w:val="18"/>
              </w:rPr>
            </w:pPr>
          </w:p>
        </w:tc>
        <w:tc>
          <w:tcPr>
            <w:tcW w:w="617" w:type="dxa"/>
            <w:vMerge/>
            <w:vAlign w:val="center"/>
          </w:tcPr>
          <w:p w14:paraId="76EA4F9A" w14:textId="77777777" w:rsidR="005055E1" w:rsidRPr="00576180" w:rsidRDefault="005055E1" w:rsidP="005055E1">
            <w:pPr>
              <w:jc w:val="center"/>
              <w:rPr>
                <w:rFonts w:ascii="Arial" w:hAnsi="Arial" w:cs="Arial"/>
                <w:sz w:val="18"/>
                <w:szCs w:val="18"/>
              </w:rPr>
            </w:pPr>
          </w:p>
        </w:tc>
        <w:tc>
          <w:tcPr>
            <w:tcW w:w="1217" w:type="dxa"/>
            <w:vMerge/>
            <w:vAlign w:val="center"/>
          </w:tcPr>
          <w:p w14:paraId="15FCB611" w14:textId="77777777" w:rsidR="005055E1" w:rsidRPr="00576180" w:rsidRDefault="005055E1" w:rsidP="005055E1">
            <w:pPr>
              <w:rPr>
                <w:rFonts w:ascii="Arial" w:hAnsi="Arial" w:cs="Arial"/>
                <w:sz w:val="18"/>
                <w:szCs w:val="18"/>
              </w:rPr>
            </w:pPr>
          </w:p>
        </w:tc>
      </w:tr>
      <w:tr w:rsidR="005055E1" w:rsidRPr="00576180" w14:paraId="684FA74F" w14:textId="77777777" w:rsidTr="00957319">
        <w:trPr>
          <w:trHeight w:val="56"/>
        </w:trPr>
        <w:tc>
          <w:tcPr>
            <w:tcW w:w="1507" w:type="dxa"/>
            <w:gridSpan w:val="2"/>
            <w:vMerge/>
            <w:vAlign w:val="center"/>
            <w:hideMark/>
          </w:tcPr>
          <w:p w14:paraId="54FA8882" w14:textId="77777777" w:rsidR="005055E1" w:rsidRPr="00576180" w:rsidRDefault="005055E1" w:rsidP="005055E1">
            <w:pPr>
              <w:rPr>
                <w:rFonts w:ascii="Arial" w:hAnsi="Arial" w:cs="Arial"/>
                <w:sz w:val="18"/>
                <w:szCs w:val="18"/>
              </w:rPr>
            </w:pPr>
          </w:p>
        </w:tc>
        <w:tc>
          <w:tcPr>
            <w:tcW w:w="1287" w:type="dxa"/>
            <w:vMerge/>
            <w:vAlign w:val="center"/>
            <w:hideMark/>
          </w:tcPr>
          <w:p w14:paraId="2A53CB01" w14:textId="77777777" w:rsidR="005055E1" w:rsidRPr="00576180" w:rsidRDefault="005055E1" w:rsidP="005055E1">
            <w:pPr>
              <w:rPr>
                <w:rFonts w:ascii="Arial" w:hAnsi="Arial" w:cs="Arial"/>
                <w:sz w:val="18"/>
                <w:szCs w:val="18"/>
              </w:rPr>
            </w:pPr>
          </w:p>
        </w:tc>
        <w:tc>
          <w:tcPr>
            <w:tcW w:w="0" w:type="auto"/>
            <w:vMerge/>
            <w:vAlign w:val="center"/>
            <w:hideMark/>
          </w:tcPr>
          <w:p w14:paraId="6B9FAECA" w14:textId="77777777" w:rsidR="005055E1" w:rsidRPr="00576180" w:rsidRDefault="005055E1" w:rsidP="005055E1">
            <w:pPr>
              <w:rPr>
                <w:rFonts w:ascii="Arial" w:hAnsi="Arial" w:cs="Arial"/>
                <w:sz w:val="18"/>
                <w:szCs w:val="18"/>
              </w:rPr>
            </w:pPr>
          </w:p>
        </w:tc>
        <w:tc>
          <w:tcPr>
            <w:tcW w:w="617" w:type="dxa"/>
            <w:vMerge/>
            <w:vAlign w:val="center"/>
            <w:hideMark/>
          </w:tcPr>
          <w:p w14:paraId="68017BE2" w14:textId="77777777" w:rsidR="005055E1" w:rsidRPr="00576180" w:rsidRDefault="005055E1" w:rsidP="005055E1">
            <w:pPr>
              <w:rPr>
                <w:rFonts w:ascii="Arial" w:hAnsi="Arial" w:cs="Arial"/>
                <w:sz w:val="18"/>
                <w:szCs w:val="18"/>
              </w:rPr>
            </w:pPr>
          </w:p>
        </w:tc>
        <w:tc>
          <w:tcPr>
            <w:tcW w:w="557" w:type="dxa"/>
            <w:vAlign w:val="center"/>
          </w:tcPr>
          <w:p w14:paraId="1BFA7AB9" w14:textId="77777777" w:rsidR="005055E1" w:rsidRPr="00576180" w:rsidRDefault="005055E1" w:rsidP="005055E1">
            <w:pPr>
              <w:jc w:val="center"/>
              <w:rPr>
                <w:rFonts w:ascii="Arial" w:hAnsi="Arial" w:cs="Arial"/>
                <w:sz w:val="18"/>
                <w:szCs w:val="18"/>
              </w:rPr>
            </w:pPr>
            <w:r w:rsidRPr="00576180">
              <w:rPr>
                <w:rFonts w:ascii="Arial" w:hAnsi="Arial" w:cs="Arial"/>
                <w:sz w:val="18"/>
                <w:szCs w:val="18"/>
              </w:rPr>
              <w:t>A</w:t>
            </w:r>
          </w:p>
        </w:tc>
        <w:tc>
          <w:tcPr>
            <w:tcW w:w="667" w:type="dxa"/>
            <w:vAlign w:val="center"/>
          </w:tcPr>
          <w:p w14:paraId="7342DB14" w14:textId="3B22D4EC" w:rsidR="005055E1" w:rsidRPr="00576180" w:rsidRDefault="005055E1" w:rsidP="005055E1">
            <w:pPr>
              <w:jc w:val="center"/>
              <w:rPr>
                <w:rFonts w:ascii="Arial" w:hAnsi="Arial" w:cs="Arial"/>
                <w:sz w:val="18"/>
                <w:szCs w:val="18"/>
              </w:rPr>
            </w:pPr>
            <w:r w:rsidRPr="00576180">
              <w:rPr>
                <w:rFonts w:ascii="Arial" w:hAnsi="Arial" w:cs="Arial"/>
                <w:sz w:val="18"/>
                <w:szCs w:val="18"/>
              </w:rPr>
              <w:t>7</w:t>
            </w:r>
          </w:p>
        </w:tc>
        <w:tc>
          <w:tcPr>
            <w:tcW w:w="4031" w:type="dxa"/>
            <w:vMerge/>
            <w:vAlign w:val="center"/>
            <w:hideMark/>
          </w:tcPr>
          <w:p w14:paraId="66DB803B" w14:textId="77777777" w:rsidR="005055E1" w:rsidRPr="00576180" w:rsidRDefault="005055E1" w:rsidP="005055E1">
            <w:pPr>
              <w:jc w:val="center"/>
              <w:rPr>
                <w:rFonts w:ascii="Arial" w:hAnsi="Arial" w:cs="Arial"/>
                <w:sz w:val="18"/>
                <w:szCs w:val="18"/>
              </w:rPr>
            </w:pPr>
          </w:p>
        </w:tc>
        <w:tc>
          <w:tcPr>
            <w:tcW w:w="617" w:type="dxa"/>
            <w:vMerge/>
            <w:vAlign w:val="center"/>
          </w:tcPr>
          <w:p w14:paraId="0DD33BEA" w14:textId="77777777" w:rsidR="005055E1" w:rsidRPr="00576180" w:rsidRDefault="005055E1" w:rsidP="005055E1">
            <w:pPr>
              <w:jc w:val="center"/>
              <w:rPr>
                <w:rFonts w:ascii="Arial" w:hAnsi="Arial" w:cs="Arial"/>
                <w:sz w:val="18"/>
                <w:szCs w:val="18"/>
              </w:rPr>
            </w:pPr>
          </w:p>
        </w:tc>
        <w:tc>
          <w:tcPr>
            <w:tcW w:w="1217" w:type="dxa"/>
            <w:vMerge/>
            <w:vAlign w:val="center"/>
          </w:tcPr>
          <w:p w14:paraId="7BAE49BC" w14:textId="77777777" w:rsidR="005055E1" w:rsidRPr="00576180" w:rsidRDefault="005055E1" w:rsidP="005055E1">
            <w:pPr>
              <w:rPr>
                <w:rFonts w:ascii="Arial" w:hAnsi="Arial" w:cs="Arial"/>
                <w:sz w:val="18"/>
                <w:szCs w:val="18"/>
              </w:rPr>
            </w:pPr>
          </w:p>
        </w:tc>
      </w:tr>
      <w:tr w:rsidR="005055E1" w:rsidRPr="00576180" w14:paraId="7A78DC21" w14:textId="77777777" w:rsidTr="00957319">
        <w:trPr>
          <w:trHeight w:val="71"/>
        </w:trPr>
        <w:tc>
          <w:tcPr>
            <w:tcW w:w="1507" w:type="dxa"/>
            <w:gridSpan w:val="2"/>
            <w:vMerge w:val="restart"/>
            <w:vAlign w:val="center"/>
          </w:tcPr>
          <w:p w14:paraId="52D25ED6" w14:textId="07E6A053" w:rsidR="00381093" w:rsidRPr="00576180" w:rsidRDefault="005055E1" w:rsidP="005055E1">
            <w:pPr>
              <w:rPr>
                <w:rFonts w:ascii="Arial" w:hAnsi="Arial" w:cs="Arial"/>
                <w:sz w:val="18"/>
                <w:szCs w:val="18"/>
              </w:rPr>
            </w:pPr>
            <w:r w:rsidRPr="00576180">
              <w:rPr>
                <w:rFonts w:ascii="Arial" w:hAnsi="Arial" w:cs="Arial"/>
                <w:sz w:val="18"/>
                <w:szCs w:val="18"/>
              </w:rPr>
              <w:t>2.2 Cursos a funcionarios del MEF en temas específicos de manejo hacendario (tesorería, contabilidad, deuda pública, presupuesto y recursos públicos)</w:t>
            </w:r>
          </w:p>
        </w:tc>
        <w:tc>
          <w:tcPr>
            <w:tcW w:w="1287" w:type="dxa"/>
            <w:vMerge w:val="restart"/>
            <w:vAlign w:val="center"/>
          </w:tcPr>
          <w:p w14:paraId="6B8D091D" w14:textId="515A3966" w:rsidR="005055E1" w:rsidRPr="00576180" w:rsidRDefault="005055E1" w:rsidP="005055E1">
            <w:pPr>
              <w:jc w:val="center"/>
              <w:rPr>
                <w:rFonts w:ascii="Arial" w:hAnsi="Arial" w:cs="Arial"/>
                <w:sz w:val="18"/>
                <w:szCs w:val="18"/>
              </w:rPr>
            </w:pPr>
            <w:r w:rsidRPr="00576180">
              <w:rPr>
                <w:rFonts w:ascii="Arial" w:hAnsi="Arial" w:cs="Arial"/>
                <w:sz w:val="18"/>
                <w:szCs w:val="18"/>
              </w:rPr>
              <w:t>Cursos realizados</w:t>
            </w:r>
          </w:p>
        </w:tc>
        <w:tc>
          <w:tcPr>
            <w:tcW w:w="0" w:type="auto"/>
            <w:vMerge w:val="restart"/>
            <w:vAlign w:val="center"/>
          </w:tcPr>
          <w:p w14:paraId="1CA3816B" w14:textId="77777777" w:rsidR="005055E1" w:rsidRPr="00576180" w:rsidRDefault="005055E1" w:rsidP="005055E1">
            <w:pPr>
              <w:jc w:val="center"/>
              <w:rPr>
                <w:rFonts w:ascii="Arial" w:hAnsi="Arial" w:cs="Arial"/>
                <w:sz w:val="18"/>
                <w:szCs w:val="18"/>
              </w:rPr>
            </w:pPr>
            <w:r w:rsidRPr="00576180">
              <w:rPr>
                <w:rFonts w:ascii="Arial" w:hAnsi="Arial" w:cs="Arial"/>
                <w:sz w:val="18"/>
                <w:szCs w:val="18"/>
              </w:rPr>
              <w:t>0</w:t>
            </w:r>
          </w:p>
        </w:tc>
        <w:tc>
          <w:tcPr>
            <w:tcW w:w="617" w:type="dxa"/>
            <w:vMerge w:val="restart"/>
            <w:vAlign w:val="center"/>
          </w:tcPr>
          <w:p w14:paraId="47A89E4B" w14:textId="5269853F" w:rsidR="005055E1" w:rsidRPr="00576180" w:rsidRDefault="005055E1" w:rsidP="005055E1">
            <w:pPr>
              <w:jc w:val="center"/>
              <w:rPr>
                <w:rFonts w:ascii="Arial" w:hAnsi="Arial" w:cs="Arial"/>
                <w:sz w:val="18"/>
                <w:szCs w:val="18"/>
              </w:rPr>
            </w:pPr>
            <w:r w:rsidRPr="00576180">
              <w:rPr>
                <w:rFonts w:ascii="Arial" w:hAnsi="Arial" w:cs="Arial"/>
                <w:sz w:val="18"/>
                <w:szCs w:val="18"/>
              </w:rPr>
              <w:t>2010</w:t>
            </w:r>
          </w:p>
        </w:tc>
        <w:tc>
          <w:tcPr>
            <w:tcW w:w="557" w:type="dxa"/>
            <w:vAlign w:val="center"/>
          </w:tcPr>
          <w:p w14:paraId="2ACD7478" w14:textId="77777777" w:rsidR="005055E1" w:rsidRPr="00576180" w:rsidRDefault="005055E1" w:rsidP="005055E1">
            <w:pPr>
              <w:jc w:val="center"/>
              <w:rPr>
                <w:rFonts w:ascii="Arial" w:hAnsi="Arial" w:cs="Arial"/>
                <w:sz w:val="18"/>
                <w:szCs w:val="18"/>
              </w:rPr>
            </w:pPr>
            <w:r w:rsidRPr="00576180">
              <w:rPr>
                <w:rFonts w:ascii="Arial" w:hAnsi="Arial" w:cs="Arial"/>
                <w:sz w:val="18"/>
                <w:szCs w:val="18"/>
              </w:rPr>
              <w:t>P</w:t>
            </w:r>
          </w:p>
        </w:tc>
        <w:tc>
          <w:tcPr>
            <w:tcW w:w="667" w:type="dxa"/>
            <w:vAlign w:val="center"/>
          </w:tcPr>
          <w:p w14:paraId="26F9F58A" w14:textId="212E614A" w:rsidR="005055E1" w:rsidRPr="00576180" w:rsidRDefault="005055E1" w:rsidP="005055E1">
            <w:pPr>
              <w:jc w:val="center"/>
              <w:rPr>
                <w:rFonts w:ascii="Arial" w:hAnsi="Arial" w:cs="Arial"/>
                <w:sz w:val="18"/>
                <w:szCs w:val="18"/>
              </w:rPr>
            </w:pPr>
            <w:r w:rsidRPr="00576180">
              <w:rPr>
                <w:rFonts w:ascii="Arial" w:hAnsi="Arial" w:cs="Arial"/>
                <w:sz w:val="18"/>
                <w:szCs w:val="18"/>
              </w:rPr>
              <w:t>290</w:t>
            </w:r>
          </w:p>
        </w:tc>
        <w:tc>
          <w:tcPr>
            <w:tcW w:w="4031" w:type="dxa"/>
            <w:vMerge w:val="restart"/>
            <w:vAlign w:val="center"/>
          </w:tcPr>
          <w:p w14:paraId="5E4D6FB8" w14:textId="38FE3D68" w:rsidR="005055E1" w:rsidRPr="00576180" w:rsidRDefault="009D27F0" w:rsidP="005055E1">
            <w:pPr>
              <w:jc w:val="center"/>
              <w:rPr>
                <w:rFonts w:ascii="Arial" w:hAnsi="Arial" w:cs="Arial"/>
                <w:sz w:val="18"/>
                <w:szCs w:val="18"/>
              </w:rPr>
            </w:pPr>
            <w:r w:rsidRPr="00576180">
              <w:rPr>
                <w:rFonts w:ascii="Arial" w:hAnsi="Arial" w:cs="Arial"/>
                <w:sz w:val="18"/>
                <w:szCs w:val="18"/>
              </w:rPr>
              <w:t>60</w:t>
            </w:r>
            <w:r w:rsidR="005055E1" w:rsidRPr="00576180">
              <w:rPr>
                <w:rFonts w:ascii="Arial" w:hAnsi="Arial" w:cs="Arial"/>
                <w:sz w:val="18"/>
                <w:szCs w:val="18"/>
              </w:rPr>
              <w:t>%</w:t>
            </w:r>
          </w:p>
        </w:tc>
        <w:tc>
          <w:tcPr>
            <w:tcW w:w="617" w:type="dxa"/>
            <w:vMerge w:val="restart"/>
            <w:vAlign w:val="center"/>
          </w:tcPr>
          <w:p w14:paraId="5BC3D5B6" w14:textId="014161B7" w:rsidR="005055E1" w:rsidRPr="00576180" w:rsidRDefault="005055E1" w:rsidP="005055E1">
            <w:pPr>
              <w:jc w:val="center"/>
              <w:rPr>
                <w:rFonts w:ascii="Arial" w:hAnsi="Arial" w:cs="Arial"/>
                <w:sz w:val="18"/>
                <w:szCs w:val="18"/>
              </w:rPr>
            </w:pPr>
            <w:r w:rsidRPr="00576180">
              <w:rPr>
                <w:rFonts w:ascii="Arial" w:hAnsi="Arial" w:cs="Arial"/>
                <w:sz w:val="18"/>
                <w:szCs w:val="18"/>
              </w:rPr>
              <w:t>2015</w:t>
            </w:r>
          </w:p>
        </w:tc>
        <w:tc>
          <w:tcPr>
            <w:tcW w:w="1217" w:type="dxa"/>
            <w:vMerge w:val="restart"/>
            <w:vAlign w:val="center"/>
          </w:tcPr>
          <w:p w14:paraId="02EA883A" w14:textId="77C6F68B" w:rsidR="005055E1" w:rsidRPr="00576180" w:rsidRDefault="005055E1" w:rsidP="005055E1">
            <w:pPr>
              <w:rPr>
                <w:rFonts w:ascii="Arial" w:hAnsi="Arial" w:cs="Arial"/>
                <w:sz w:val="18"/>
                <w:szCs w:val="18"/>
              </w:rPr>
            </w:pPr>
            <w:r w:rsidRPr="00576180">
              <w:rPr>
                <w:rFonts w:ascii="Arial" w:hAnsi="Arial" w:cs="Arial"/>
                <w:sz w:val="18"/>
                <w:szCs w:val="18"/>
              </w:rPr>
              <w:t>Informe MEF</w:t>
            </w:r>
          </w:p>
        </w:tc>
      </w:tr>
      <w:tr w:rsidR="005055E1" w:rsidRPr="00576180" w14:paraId="3B5B222D" w14:textId="77777777" w:rsidTr="00957319">
        <w:trPr>
          <w:trHeight w:val="62"/>
        </w:trPr>
        <w:tc>
          <w:tcPr>
            <w:tcW w:w="1507" w:type="dxa"/>
            <w:gridSpan w:val="2"/>
            <w:vMerge/>
            <w:vAlign w:val="center"/>
          </w:tcPr>
          <w:p w14:paraId="09A1CDA3" w14:textId="77777777" w:rsidR="005055E1" w:rsidRPr="00576180" w:rsidRDefault="005055E1" w:rsidP="005055E1">
            <w:pPr>
              <w:rPr>
                <w:rFonts w:ascii="Arial" w:hAnsi="Arial" w:cs="Arial"/>
                <w:sz w:val="18"/>
                <w:szCs w:val="18"/>
              </w:rPr>
            </w:pPr>
          </w:p>
        </w:tc>
        <w:tc>
          <w:tcPr>
            <w:tcW w:w="1287" w:type="dxa"/>
            <w:vMerge/>
            <w:vAlign w:val="center"/>
          </w:tcPr>
          <w:p w14:paraId="1F5AA322" w14:textId="77777777" w:rsidR="005055E1" w:rsidRPr="00576180" w:rsidRDefault="005055E1" w:rsidP="005055E1">
            <w:pPr>
              <w:jc w:val="center"/>
              <w:rPr>
                <w:rFonts w:ascii="Arial" w:hAnsi="Arial" w:cs="Arial"/>
                <w:color w:val="808080" w:themeColor="background1" w:themeShade="80"/>
                <w:sz w:val="18"/>
                <w:szCs w:val="18"/>
              </w:rPr>
            </w:pPr>
          </w:p>
        </w:tc>
        <w:tc>
          <w:tcPr>
            <w:tcW w:w="0" w:type="auto"/>
            <w:vMerge/>
            <w:vAlign w:val="center"/>
          </w:tcPr>
          <w:p w14:paraId="73311CAD" w14:textId="77777777" w:rsidR="005055E1" w:rsidRPr="00576180" w:rsidRDefault="005055E1" w:rsidP="005055E1">
            <w:pPr>
              <w:jc w:val="center"/>
              <w:rPr>
                <w:rFonts w:ascii="Arial" w:hAnsi="Arial" w:cs="Arial"/>
                <w:color w:val="808080" w:themeColor="background1" w:themeShade="80"/>
                <w:sz w:val="18"/>
                <w:szCs w:val="18"/>
              </w:rPr>
            </w:pPr>
          </w:p>
        </w:tc>
        <w:tc>
          <w:tcPr>
            <w:tcW w:w="617" w:type="dxa"/>
            <w:vMerge/>
            <w:vAlign w:val="center"/>
          </w:tcPr>
          <w:p w14:paraId="3E260412" w14:textId="77777777" w:rsidR="005055E1" w:rsidRPr="00576180" w:rsidRDefault="005055E1" w:rsidP="005055E1">
            <w:pPr>
              <w:jc w:val="center"/>
              <w:rPr>
                <w:rFonts w:ascii="Arial" w:hAnsi="Arial" w:cs="Arial"/>
                <w:color w:val="808080" w:themeColor="background1" w:themeShade="80"/>
                <w:sz w:val="18"/>
                <w:szCs w:val="18"/>
              </w:rPr>
            </w:pPr>
          </w:p>
        </w:tc>
        <w:tc>
          <w:tcPr>
            <w:tcW w:w="557" w:type="dxa"/>
            <w:vAlign w:val="center"/>
          </w:tcPr>
          <w:p w14:paraId="5376FDAE" w14:textId="77777777" w:rsidR="005055E1" w:rsidRPr="00576180" w:rsidRDefault="005055E1" w:rsidP="005055E1">
            <w:pPr>
              <w:jc w:val="center"/>
              <w:rPr>
                <w:rFonts w:ascii="Arial" w:hAnsi="Arial" w:cs="Arial"/>
                <w:sz w:val="18"/>
                <w:szCs w:val="18"/>
              </w:rPr>
            </w:pPr>
            <w:r w:rsidRPr="00576180">
              <w:rPr>
                <w:rFonts w:ascii="Arial" w:hAnsi="Arial" w:cs="Arial"/>
                <w:sz w:val="18"/>
                <w:szCs w:val="18"/>
              </w:rPr>
              <w:t>P(a)</w:t>
            </w:r>
          </w:p>
        </w:tc>
        <w:tc>
          <w:tcPr>
            <w:tcW w:w="667" w:type="dxa"/>
            <w:vAlign w:val="center"/>
          </w:tcPr>
          <w:p w14:paraId="16EEDF92" w14:textId="213B2D37" w:rsidR="005055E1" w:rsidRPr="00576180" w:rsidRDefault="005055E1" w:rsidP="005055E1">
            <w:pPr>
              <w:jc w:val="center"/>
              <w:rPr>
                <w:rFonts w:ascii="Arial" w:hAnsi="Arial" w:cs="Arial"/>
                <w:sz w:val="18"/>
                <w:szCs w:val="18"/>
              </w:rPr>
            </w:pPr>
            <w:r w:rsidRPr="00576180">
              <w:rPr>
                <w:rFonts w:ascii="Arial" w:hAnsi="Arial" w:cs="Arial"/>
                <w:sz w:val="18"/>
                <w:szCs w:val="18"/>
              </w:rPr>
              <w:t>5</w:t>
            </w:r>
          </w:p>
        </w:tc>
        <w:tc>
          <w:tcPr>
            <w:tcW w:w="4031" w:type="dxa"/>
            <w:vMerge/>
            <w:vAlign w:val="center"/>
          </w:tcPr>
          <w:p w14:paraId="650391F8" w14:textId="77777777" w:rsidR="005055E1" w:rsidRPr="00576180" w:rsidRDefault="005055E1" w:rsidP="005055E1">
            <w:pPr>
              <w:rPr>
                <w:rFonts w:ascii="Arial" w:hAnsi="Arial" w:cs="Arial"/>
                <w:color w:val="808080" w:themeColor="background1" w:themeShade="80"/>
                <w:sz w:val="18"/>
                <w:szCs w:val="18"/>
              </w:rPr>
            </w:pPr>
          </w:p>
        </w:tc>
        <w:tc>
          <w:tcPr>
            <w:tcW w:w="617" w:type="dxa"/>
            <w:vMerge/>
            <w:vAlign w:val="center"/>
          </w:tcPr>
          <w:p w14:paraId="5503BE32" w14:textId="77777777" w:rsidR="005055E1" w:rsidRPr="00576180" w:rsidRDefault="005055E1" w:rsidP="005055E1">
            <w:pPr>
              <w:jc w:val="center"/>
              <w:rPr>
                <w:rFonts w:ascii="Arial" w:hAnsi="Arial" w:cs="Arial"/>
                <w:color w:val="808080" w:themeColor="background1" w:themeShade="80"/>
                <w:sz w:val="18"/>
                <w:szCs w:val="18"/>
              </w:rPr>
            </w:pPr>
          </w:p>
        </w:tc>
        <w:tc>
          <w:tcPr>
            <w:tcW w:w="1217" w:type="dxa"/>
            <w:vMerge/>
            <w:vAlign w:val="center"/>
          </w:tcPr>
          <w:p w14:paraId="0BA45B9C" w14:textId="77777777" w:rsidR="005055E1" w:rsidRPr="00576180" w:rsidRDefault="005055E1" w:rsidP="005055E1">
            <w:pPr>
              <w:rPr>
                <w:rFonts w:ascii="Arial" w:hAnsi="Arial" w:cs="Arial"/>
                <w:color w:val="808080" w:themeColor="background1" w:themeShade="80"/>
                <w:sz w:val="18"/>
                <w:szCs w:val="18"/>
              </w:rPr>
            </w:pPr>
          </w:p>
        </w:tc>
      </w:tr>
      <w:tr w:rsidR="005055E1" w:rsidRPr="00576180" w14:paraId="48F719B6" w14:textId="77777777" w:rsidTr="00957319">
        <w:trPr>
          <w:trHeight w:val="89"/>
        </w:trPr>
        <w:tc>
          <w:tcPr>
            <w:tcW w:w="1507" w:type="dxa"/>
            <w:gridSpan w:val="2"/>
            <w:vMerge/>
            <w:vAlign w:val="center"/>
          </w:tcPr>
          <w:p w14:paraId="323ADC29" w14:textId="77777777" w:rsidR="005055E1" w:rsidRPr="00576180" w:rsidRDefault="005055E1" w:rsidP="005055E1">
            <w:pPr>
              <w:rPr>
                <w:rFonts w:ascii="Arial" w:hAnsi="Arial" w:cs="Arial"/>
                <w:sz w:val="18"/>
                <w:szCs w:val="18"/>
              </w:rPr>
            </w:pPr>
          </w:p>
        </w:tc>
        <w:tc>
          <w:tcPr>
            <w:tcW w:w="1287" w:type="dxa"/>
            <w:vMerge/>
            <w:vAlign w:val="center"/>
          </w:tcPr>
          <w:p w14:paraId="171CD322" w14:textId="77777777" w:rsidR="005055E1" w:rsidRPr="00576180" w:rsidRDefault="005055E1" w:rsidP="005055E1">
            <w:pPr>
              <w:jc w:val="center"/>
              <w:rPr>
                <w:rFonts w:ascii="Arial" w:hAnsi="Arial" w:cs="Arial"/>
                <w:color w:val="808080" w:themeColor="background1" w:themeShade="80"/>
                <w:sz w:val="18"/>
                <w:szCs w:val="18"/>
              </w:rPr>
            </w:pPr>
          </w:p>
        </w:tc>
        <w:tc>
          <w:tcPr>
            <w:tcW w:w="0" w:type="auto"/>
            <w:vMerge/>
            <w:vAlign w:val="center"/>
          </w:tcPr>
          <w:p w14:paraId="47DC88B5" w14:textId="77777777" w:rsidR="005055E1" w:rsidRPr="00576180" w:rsidRDefault="005055E1" w:rsidP="005055E1">
            <w:pPr>
              <w:jc w:val="center"/>
              <w:rPr>
                <w:rFonts w:ascii="Arial" w:hAnsi="Arial" w:cs="Arial"/>
                <w:color w:val="808080" w:themeColor="background1" w:themeShade="80"/>
                <w:sz w:val="18"/>
                <w:szCs w:val="18"/>
              </w:rPr>
            </w:pPr>
          </w:p>
        </w:tc>
        <w:tc>
          <w:tcPr>
            <w:tcW w:w="617" w:type="dxa"/>
            <w:vMerge/>
            <w:vAlign w:val="center"/>
          </w:tcPr>
          <w:p w14:paraId="72755AEC" w14:textId="77777777" w:rsidR="005055E1" w:rsidRPr="00576180" w:rsidRDefault="005055E1" w:rsidP="005055E1">
            <w:pPr>
              <w:jc w:val="center"/>
              <w:rPr>
                <w:rFonts w:ascii="Arial" w:hAnsi="Arial" w:cs="Arial"/>
                <w:color w:val="808080" w:themeColor="background1" w:themeShade="80"/>
                <w:sz w:val="18"/>
                <w:szCs w:val="18"/>
              </w:rPr>
            </w:pPr>
          </w:p>
        </w:tc>
        <w:tc>
          <w:tcPr>
            <w:tcW w:w="557" w:type="dxa"/>
            <w:vAlign w:val="center"/>
          </w:tcPr>
          <w:p w14:paraId="1B2E0167" w14:textId="77777777" w:rsidR="005055E1" w:rsidRPr="00576180" w:rsidRDefault="005055E1" w:rsidP="005055E1">
            <w:pPr>
              <w:jc w:val="center"/>
              <w:rPr>
                <w:rFonts w:ascii="Arial" w:hAnsi="Arial" w:cs="Arial"/>
                <w:sz w:val="18"/>
                <w:szCs w:val="18"/>
              </w:rPr>
            </w:pPr>
            <w:r w:rsidRPr="00576180">
              <w:rPr>
                <w:rFonts w:ascii="Arial" w:hAnsi="Arial" w:cs="Arial"/>
                <w:sz w:val="18"/>
                <w:szCs w:val="18"/>
              </w:rPr>
              <w:t>A</w:t>
            </w:r>
          </w:p>
        </w:tc>
        <w:tc>
          <w:tcPr>
            <w:tcW w:w="667" w:type="dxa"/>
            <w:vAlign w:val="center"/>
          </w:tcPr>
          <w:p w14:paraId="4EF89506" w14:textId="419D8487" w:rsidR="005055E1" w:rsidRPr="00576180" w:rsidRDefault="005055E1" w:rsidP="005055E1">
            <w:pPr>
              <w:jc w:val="center"/>
              <w:rPr>
                <w:rFonts w:ascii="Arial" w:hAnsi="Arial" w:cs="Arial"/>
                <w:sz w:val="18"/>
                <w:szCs w:val="18"/>
              </w:rPr>
            </w:pPr>
            <w:r w:rsidRPr="00576180">
              <w:rPr>
                <w:rFonts w:ascii="Arial" w:hAnsi="Arial" w:cs="Arial"/>
                <w:sz w:val="18"/>
                <w:szCs w:val="18"/>
              </w:rPr>
              <w:t>3</w:t>
            </w:r>
          </w:p>
        </w:tc>
        <w:tc>
          <w:tcPr>
            <w:tcW w:w="4031" w:type="dxa"/>
            <w:vMerge/>
            <w:vAlign w:val="center"/>
          </w:tcPr>
          <w:p w14:paraId="3179E165" w14:textId="77777777" w:rsidR="005055E1" w:rsidRPr="00576180" w:rsidRDefault="005055E1" w:rsidP="005055E1">
            <w:pPr>
              <w:rPr>
                <w:rFonts w:ascii="Arial" w:hAnsi="Arial" w:cs="Arial"/>
                <w:color w:val="808080" w:themeColor="background1" w:themeShade="80"/>
                <w:sz w:val="18"/>
                <w:szCs w:val="18"/>
              </w:rPr>
            </w:pPr>
          </w:p>
        </w:tc>
        <w:tc>
          <w:tcPr>
            <w:tcW w:w="617" w:type="dxa"/>
            <w:vMerge/>
            <w:vAlign w:val="center"/>
          </w:tcPr>
          <w:p w14:paraId="2BC8ADD8" w14:textId="77777777" w:rsidR="005055E1" w:rsidRPr="00576180" w:rsidRDefault="005055E1" w:rsidP="005055E1">
            <w:pPr>
              <w:jc w:val="center"/>
              <w:rPr>
                <w:rFonts w:ascii="Arial" w:hAnsi="Arial" w:cs="Arial"/>
                <w:color w:val="808080" w:themeColor="background1" w:themeShade="80"/>
                <w:sz w:val="18"/>
                <w:szCs w:val="18"/>
              </w:rPr>
            </w:pPr>
          </w:p>
        </w:tc>
        <w:tc>
          <w:tcPr>
            <w:tcW w:w="1217" w:type="dxa"/>
            <w:vMerge/>
            <w:vAlign w:val="center"/>
          </w:tcPr>
          <w:p w14:paraId="4CC1FC41" w14:textId="77777777" w:rsidR="005055E1" w:rsidRPr="00576180" w:rsidRDefault="005055E1" w:rsidP="005055E1">
            <w:pPr>
              <w:rPr>
                <w:rFonts w:ascii="Arial" w:hAnsi="Arial" w:cs="Arial"/>
                <w:color w:val="808080" w:themeColor="background1" w:themeShade="80"/>
                <w:sz w:val="18"/>
                <w:szCs w:val="18"/>
              </w:rPr>
            </w:pPr>
          </w:p>
        </w:tc>
      </w:tr>
      <w:tr w:rsidR="005055E1" w:rsidRPr="00576180" w14:paraId="2D5A2447" w14:textId="77777777" w:rsidTr="00957319">
        <w:trPr>
          <w:trHeight w:val="62"/>
        </w:trPr>
        <w:tc>
          <w:tcPr>
            <w:tcW w:w="1507" w:type="dxa"/>
            <w:gridSpan w:val="2"/>
            <w:vMerge w:val="restart"/>
            <w:vAlign w:val="center"/>
          </w:tcPr>
          <w:p w14:paraId="4AA23BA0" w14:textId="73810313" w:rsidR="005055E1" w:rsidRPr="00576180" w:rsidRDefault="005055E1" w:rsidP="005055E1">
            <w:pPr>
              <w:rPr>
                <w:rFonts w:ascii="Arial" w:hAnsi="Arial" w:cs="Arial"/>
                <w:sz w:val="18"/>
                <w:szCs w:val="18"/>
              </w:rPr>
            </w:pPr>
            <w:r w:rsidRPr="00576180">
              <w:rPr>
                <w:rFonts w:ascii="Arial" w:hAnsi="Arial" w:cs="Arial"/>
                <w:sz w:val="18"/>
                <w:szCs w:val="18"/>
              </w:rPr>
              <w:t xml:space="preserve">2.3 Sistema SIGA-MEF con despliegue en versión </w:t>
            </w:r>
            <w:r w:rsidRPr="00576180">
              <w:rPr>
                <w:rFonts w:ascii="Arial" w:hAnsi="Arial" w:cs="Arial"/>
                <w:i/>
                <w:sz w:val="18"/>
                <w:szCs w:val="18"/>
              </w:rPr>
              <w:t>web</w:t>
            </w:r>
            <w:r w:rsidRPr="00576180">
              <w:rPr>
                <w:rFonts w:ascii="Arial" w:hAnsi="Arial" w:cs="Arial"/>
                <w:sz w:val="18"/>
                <w:szCs w:val="18"/>
              </w:rPr>
              <w:t xml:space="preserve"> e interfaces con el nuevo SIAF desarrollado y listo para operar</w:t>
            </w:r>
          </w:p>
        </w:tc>
        <w:tc>
          <w:tcPr>
            <w:tcW w:w="1287" w:type="dxa"/>
            <w:vMerge w:val="restart"/>
            <w:vAlign w:val="center"/>
          </w:tcPr>
          <w:p w14:paraId="4CD6412A" w14:textId="5DCD904A" w:rsidR="005055E1" w:rsidRPr="00576180" w:rsidRDefault="005055E1" w:rsidP="005055E1">
            <w:pPr>
              <w:jc w:val="center"/>
              <w:rPr>
                <w:rFonts w:ascii="Arial" w:hAnsi="Arial" w:cs="Arial"/>
                <w:sz w:val="18"/>
                <w:szCs w:val="18"/>
              </w:rPr>
            </w:pPr>
            <w:r w:rsidRPr="00576180">
              <w:rPr>
                <w:rFonts w:ascii="Arial" w:hAnsi="Arial" w:cs="Arial"/>
                <w:sz w:val="18"/>
                <w:szCs w:val="18"/>
              </w:rPr>
              <w:t>Sistemas</w:t>
            </w:r>
          </w:p>
        </w:tc>
        <w:tc>
          <w:tcPr>
            <w:tcW w:w="0" w:type="auto"/>
            <w:vMerge w:val="restart"/>
            <w:vAlign w:val="center"/>
          </w:tcPr>
          <w:p w14:paraId="528ED281" w14:textId="77777777" w:rsidR="005055E1" w:rsidRPr="00576180" w:rsidRDefault="005055E1" w:rsidP="005055E1">
            <w:pPr>
              <w:jc w:val="center"/>
              <w:rPr>
                <w:rFonts w:ascii="Arial" w:hAnsi="Arial" w:cs="Arial"/>
                <w:sz w:val="18"/>
                <w:szCs w:val="18"/>
              </w:rPr>
            </w:pPr>
            <w:r w:rsidRPr="00576180">
              <w:rPr>
                <w:rFonts w:ascii="Arial" w:hAnsi="Arial" w:cs="Arial"/>
                <w:sz w:val="18"/>
                <w:szCs w:val="18"/>
              </w:rPr>
              <w:t>0</w:t>
            </w:r>
          </w:p>
        </w:tc>
        <w:tc>
          <w:tcPr>
            <w:tcW w:w="617" w:type="dxa"/>
            <w:vMerge w:val="restart"/>
            <w:vAlign w:val="center"/>
          </w:tcPr>
          <w:p w14:paraId="4C2E8E6E" w14:textId="1B0E004D" w:rsidR="005055E1" w:rsidRPr="00576180" w:rsidRDefault="005055E1" w:rsidP="005055E1">
            <w:pPr>
              <w:jc w:val="center"/>
              <w:rPr>
                <w:rFonts w:ascii="Arial" w:hAnsi="Arial" w:cs="Arial"/>
                <w:sz w:val="18"/>
                <w:szCs w:val="18"/>
              </w:rPr>
            </w:pPr>
            <w:r w:rsidRPr="00576180">
              <w:rPr>
                <w:rFonts w:ascii="Arial" w:hAnsi="Arial" w:cs="Arial"/>
                <w:sz w:val="18"/>
                <w:szCs w:val="18"/>
              </w:rPr>
              <w:t>2010</w:t>
            </w:r>
          </w:p>
        </w:tc>
        <w:tc>
          <w:tcPr>
            <w:tcW w:w="557" w:type="dxa"/>
            <w:vAlign w:val="center"/>
          </w:tcPr>
          <w:p w14:paraId="311AFD8F" w14:textId="77777777" w:rsidR="005055E1" w:rsidRPr="00576180" w:rsidRDefault="005055E1" w:rsidP="005055E1">
            <w:pPr>
              <w:jc w:val="center"/>
              <w:rPr>
                <w:rFonts w:ascii="Arial" w:hAnsi="Arial" w:cs="Arial"/>
                <w:sz w:val="18"/>
                <w:szCs w:val="18"/>
              </w:rPr>
            </w:pPr>
            <w:r w:rsidRPr="00576180">
              <w:rPr>
                <w:rFonts w:ascii="Arial" w:hAnsi="Arial" w:cs="Arial"/>
                <w:sz w:val="18"/>
                <w:szCs w:val="18"/>
              </w:rPr>
              <w:t>P</w:t>
            </w:r>
          </w:p>
        </w:tc>
        <w:tc>
          <w:tcPr>
            <w:tcW w:w="667" w:type="dxa"/>
            <w:vAlign w:val="center"/>
          </w:tcPr>
          <w:p w14:paraId="737E2A7E" w14:textId="77777777" w:rsidR="005055E1" w:rsidRPr="00576180" w:rsidRDefault="005055E1" w:rsidP="005055E1">
            <w:pPr>
              <w:jc w:val="center"/>
              <w:rPr>
                <w:rFonts w:ascii="Arial" w:hAnsi="Arial" w:cs="Arial"/>
                <w:sz w:val="18"/>
                <w:szCs w:val="18"/>
              </w:rPr>
            </w:pPr>
            <w:r w:rsidRPr="00576180">
              <w:rPr>
                <w:rFonts w:ascii="Arial" w:hAnsi="Arial" w:cs="Arial"/>
                <w:sz w:val="18"/>
                <w:szCs w:val="18"/>
              </w:rPr>
              <w:t>1</w:t>
            </w:r>
          </w:p>
        </w:tc>
        <w:tc>
          <w:tcPr>
            <w:tcW w:w="4031" w:type="dxa"/>
            <w:vMerge w:val="restart"/>
            <w:vAlign w:val="center"/>
          </w:tcPr>
          <w:p w14:paraId="4A3111EB" w14:textId="0D10320E" w:rsidR="005055E1" w:rsidRPr="00576180" w:rsidRDefault="00DD3EB0" w:rsidP="005055E1">
            <w:pPr>
              <w:jc w:val="center"/>
              <w:rPr>
                <w:rFonts w:ascii="Arial" w:hAnsi="Arial" w:cs="Arial"/>
                <w:sz w:val="18"/>
                <w:szCs w:val="18"/>
              </w:rPr>
            </w:pPr>
            <w:r>
              <w:rPr>
                <w:rFonts w:ascii="Arial" w:hAnsi="Arial" w:cs="Arial"/>
                <w:sz w:val="18"/>
                <w:szCs w:val="18"/>
              </w:rPr>
              <w:t>0</w:t>
            </w:r>
            <w:r w:rsidR="005055E1" w:rsidRPr="00576180">
              <w:rPr>
                <w:rFonts w:ascii="Arial" w:hAnsi="Arial" w:cs="Arial"/>
                <w:sz w:val="18"/>
                <w:szCs w:val="18"/>
              </w:rPr>
              <w:t>%</w:t>
            </w:r>
          </w:p>
        </w:tc>
        <w:tc>
          <w:tcPr>
            <w:tcW w:w="617" w:type="dxa"/>
            <w:vMerge w:val="restart"/>
            <w:vAlign w:val="center"/>
          </w:tcPr>
          <w:p w14:paraId="473B6E41" w14:textId="007D5C38" w:rsidR="005055E1" w:rsidRPr="00576180" w:rsidRDefault="005055E1" w:rsidP="005055E1">
            <w:pPr>
              <w:jc w:val="center"/>
              <w:rPr>
                <w:rFonts w:ascii="Arial" w:hAnsi="Arial" w:cs="Arial"/>
                <w:sz w:val="18"/>
                <w:szCs w:val="18"/>
              </w:rPr>
            </w:pPr>
            <w:r w:rsidRPr="00576180">
              <w:rPr>
                <w:rFonts w:ascii="Arial" w:hAnsi="Arial" w:cs="Arial"/>
                <w:sz w:val="17"/>
                <w:szCs w:val="17"/>
              </w:rPr>
              <w:t>2017</w:t>
            </w:r>
          </w:p>
        </w:tc>
        <w:tc>
          <w:tcPr>
            <w:tcW w:w="1217" w:type="dxa"/>
            <w:vMerge w:val="restart"/>
            <w:vAlign w:val="center"/>
          </w:tcPr>
          <w:p w14:paraId="4E019266" w14:textId="753D4915" w:rsidR="005055E1" w:rsidRPr="00576180" w:rsidRDefault="005055E1" w:rsidP="005055E1">
            <w:pPr>
              <w:rPr>
                <w:rFonts w:ascii="Arial" w:hAnsi="Arial" w:cs="Arial"/>
                <w:sz w:val="18"/>
                <w:szCs w:val="18"/>
              </w:rPr>
            </w:pPr>
            <w:r w:rsidRPr="00576180">
              <w:rPr>
                <w:rFonts w:ascii="Arial" w:hAnsi="Arial" w:cs="Arial"/>
                <w:sz w:val="18"/>
                <w:szCs w:val="18"/>
              </w:rPr>
              <w:t>Informe MEF</w:t>
            </w:r>
          </w:p>
        </w:tc>
      </w:tr>
      <w:tr w:rsidR="005055E1" w:rsidRPr="00576180" w14:paraId="2E5F4C55" w14:textId="77777777" w:rsidTr="00957319">
        <w:trPr>
          <w:trHeight w:val="80"/>
        </w:trPr>
        <w:tc>
          <w:tcPr>
            <w:tcW w:w="1507" w:type="dxa"/>
            <w:gridSpan w:val="2"/>
            <w:vMerge/>
            <w:vAlign w:val="center"/>
          </w:tcPr>
          <w:p w14:paraId="762E8DBC" w14:textId="77777777" w:rsidR="005055E1" w:rsidRPr="00576180" w:rsidRDefault="005055E1" w:rsidP="005055E1">
            <w:pPr>
              <w:rPr>
                <w:rFonts w:ascii="Arial" w:hAnsi="Arial" w:cs="Arial"/>
                <w:sz w:val="18"/>
                <w:szCs w:val="18"/>
              </w:rPr>
            </w:pPr>
          </w:p>
        </w:tc>
        <w:tc>
          <w:tcPr>
            <w:tcW w:w="1287" w:type="dxa"/>
            <w:vMerge/>
            <w:vAlign w:val="center"/>
          </w:tcPr>
          <w:p w14:paraId="73004C3F" w14:textId="77777777" w:rsidR="005055E1" w:rsidRPr="00576180" w:rsidRDefault="005055E1" w:rsidP="005055E1">
            <w:pPr>
              <w:jc w:val="center"/>
              <w:rPr>
                <w:rFonts w:ascii="Arial" w:hAnsi="Arial" w:cs="Arial"/>
                <w:sz w:val="18"/>
                <w:szCs w:val="18"/>
              </w:rPr>
            </w:pPr>
          </w:p>
        </w:tc>
        <w:tc>
          <w:tcPr>
            <w:tcW w:w="0" w:type="auto"/>
            <w:vMerge/>
            <w:vAlign w:val="center"/>
          </w:tcPr>
          <w:p w14:paraId="6D79FCE7" w14:textId="77777777" w:rsidR="005055E1" w:rsidRPr="00576180" w:rsidRDefault="005055E1" w:rsidP="005055E1">
            <w:pPr>
              <w:jc w:val="center"/>
              <w:rPr>
                <w:rFonts w:ascii="Arial" w:hAnsi="Arial" w:cs="Arial"/>
                <w:sz w:val="18"/>
                <w:szCs w:val="18"/>
              </w:rPr>
            </w:pPr>
          </w:p>
        </w:tc>
        <w:tc>
          <w:tcPr>
            <w:tcW w:w="617" w:type="dxa"/>
            <w:vMerge/>
            <w:vAlign w:val="center"/>
          </w:tcPr>
          <w:p w14:paraId="7BE81909" w14:textId="77777777" w:rsidR="005055E1" w:rsidRPr="00576180" w:rsidRDefault="005055E1" w:rsidP="005055E1">
            <w:pPr>
              <w:jc w:val="center"/>
              <w:rPr>
                <w:rFonts w:ascii="Arial" w:hAnsi="Arial" w:cs="Arial"/>
                <w:sz w:val="18"/>
                <w:szCs w:val="18"/>
              </w:rPr>
            </w:pPr>
          </w:p>
        </w:tc>
        <w:tc>
          <w:tcPr>
            <w:tcW w:w="557" w:type="dxa"/>
            <w:vAlign w:val="center"/>
          </w:tcPr>
          <w:p w14:paraId="1215567F" w14:textId="77777777" w:rsidR="005055E1" w:rsidRPr="00576180" w:rsidRDefault="005055E1" w:rsidP="005055E1">
            <w:pPr>
              <w:jc w:val="center"/>
              <w:rPr>
                <w:rFonts w:ascii="Arial" w:hAnsi="Arial" w:cs="Arial"/>
                <w:sz w:val="18"/>
                <w:szCs w:val="18"/>
              </w:rPr>
            </w:pPr>
            <w:r w:rsidRPr="00576180">
              <w:rPr>
                <w:rFonts w:ascii="Arial" w:hAnsi="Arial" w:cs="Arial"/>
                <w:sz w:val="18"/>
                <w:szCs w:val="18"/>
              </w:rPr>
              <w:t>P(a)</w:t>
            </w:r>
          </w:p>
        </w:tc>
        <w:tc>
          <w:tcPr>
            <w:tcW w:w="667" w:type="dxa"/>
            <w:vAlign w:val="center"/>
          </w:tcPr>
          <w:p w14:paraId="57A41316" w14:textId="68B935F7" w:rsidR="005055E1" w:rsidRPr="00576180" w:rsidRDefault="009D27F0" w:rsidP="005055E1">
            <w:pPr>
              <w:jc w:val="center"/>
              <w:rPr>
                <w:rFonts w:ascii="Arial" w:hAnsi="Arial" w:cs="Arial"/>
                <w:sz w:val="18"/>
                <w:szCs w:val="18"/>
              </w:rPr>
            </w:pPr>
            <w:r w:rsidRPr="00576180">
              <w:rPr>
                <w:rFonts w:ascii="Arial" w:hAnsi="Arial" w:cs="Arial"/>
                <w:sz w:val="18"/>
                <w:szCs w:val="18"/>
              </w:rPr>
              <w:t>0</w:t>
            </w:r>
          </w:p>
        </w:tc>
        <w:tc>
          <w:tcPr>
            <w:tcW w:w="4031" w:type="dxa"/>
            <w:vMerge/>
            <w:vAlign w:val="center"/>
          </w:tcPr>
          <w:p w14:paraId="4C7D21BC" w14:textId="77777777" w:rsidR="005055E1" w:rsidRPr="00576180" w:rsidRDefault="005055E1" w:rsidP="005055E1">
            <w:pPr>
              <w:jc w:val="center"/>
              <w:rPr>
                <w:rFonts w:ascii="Arial" w:hAnsi="Arial" w:cs="Arial"/>
                <w:sz w:val="18"/>
                <w:szCs w:val="18"/>
              </w:rPr>
            </w:pPr>
          </w:p>
        </w:tc>
        <w:tc>
          <w:tcPr>
            <w:tcW w:w="617" w:type="dxa"/>
            <w:vMerge/>
          </w:tcPr>
          <w:p w14:paraId="778414F7" w14:textId="77777777" w:rsidR="005055E1" w:rsidRPr="00576180" w:rsidRDefault="005055E1" w:rsidP="005055E1">
            <w:pPr>
              <w:jc w:val="center"/>
              <w:rPr>
                <w:rFonts w:ascii="Arial" w:hAnsi="Arial" w:cs="Arial"/>
                <w:sz w:val="18"/>
                <w:szCs w:val="18"/>
              </w:rPr>
            </w:pPr>
          </w:p>
        </w:tc>
        <w:tc>
          <w:tcPr>
            <w:tcW w:w="1217" w:type="dxa"/>
            <w:vMerge/>
            <w:vAlign w:val="center"/>
          </w:tcPr>
          <w:p w14:paraId="2125489C" w14:textId="77777777" w:rsidR="005055E1" w:rsidRPr="00576180" w:rsidRDefault="005055E1" w:rsidP="005055E1">
            <w:pPr>
              <w:jc w:val="center"/>
              <w:rPr>
                <w:rFonts w:ascii="Arial" w:hAnsi="Arial" w:cs="Arial"/>
                <w:sz w:val="18"/>
                <w:szCs w:val="18"/>
              </w:rPr>
            </w:pPr>
          </w:p>
        </w:tc>
      </w:tr>
      <w:tr w:rsidR="005055E1" w:rsidRPr="00576180" w14:paraId="3BAE21C0" w14:textId="77777777" w:rsidTr="00957319">
        <w:trPr>
          <w:trHeight w:val="305"/>
        </w:trPr>
        <w:tc>
          <w:tcPr>
            <w:tcW w:w="1507" w:type="dxa"/>
            <w:gridSpan w:val="2"/>
            <w:vMerge/>
            <w:vAlign w:val="center"/>
          </w:tcPr>
          <w:p w14:paraId="1900338B" w14:textId="77777777" w:rsidR="005055E1" w:rsidRPr="00576180" w:rsidRDefault="005055E1" w:rsidP="005055E1">
            <w:pPr>
              <w:rPr>
                <w:rFonts w:ascii="Arial" w:hAnsi="Arial" w:cs="Arial"/>
                <w:sz w:val="18"/>
                <w:szCs w:val="18"/>
              </w:rPr>
            </w:pPr>
          </w:p>
        </w:tc>
        <w:tc>
          <w:tcPr>
            <w:tcW w:w="1287" w:type="dxa"/>
            <w:vMerge/>
            <w:vAlign w:val="center"/>
          </w:tcPr>
          <w:p w14:paraId="37C62D18" w14:textId="77777777" w:rsidR="005055E1" w:rsidRPr="00576180" w:rsidRDefault="005055E1" w:rsidP="005055E1">
            <w:pPr>
              <w:jc w:val="center"/>
              <w:rPr>
                <w:rFonts w:ascii="Arial" w:hAnsi="Arial" w:cs="Arial"/>
                <w:sz w:val="18"/>
                <w:szCs w:val="18"/>
              </w:rPr>
            </w:pPr>
          </w:p>
        </w:tc>
        <w:tc>
          <w:tcPr>
            <w:tcW w:w="0" w:type="auto"/>
            <w:vMerge/>
            <w:vAlign w:val="center"/>
          </w:tcPr>
          <w:p w14:paraId="48BCC424" w14:textId="77777777" w:rsidR="005055E1" w:rsidRPr="00576180" w:rsidRDefault="005055E1" w:rsidP="005055E1">
            <w:pPr>
              <w:jc w:val="center"/>
              <w:rPr>
                <w:rFonts w:ascii="Arial" w:hAnsi="Arial" w:cs="Arial"/>
                <w:sz w:val="18"/>
                <w:szCs w:val="18"/>
              </w:rPr>
            </w:pPr>
          </w:p>
        </w:tc>
        <w:tc>
          <w:tcPr>
            <w:tcW w:w="617" w:type="dxa"/>
            <w:vMerge/>
            <w:vAlign w:val="center"/>
          </w:tcPr>
          <w:p w14:paraId="0CBD6B6E" w14:textId="77777777" w:rsidR="005055E1" w:rsidRPr="00576180" w:rsidRDefault="005055E1" w:rsidP="005055E1">
            <w:pPr>
              <w:jc w:val="center"/>
              <w:rPr>
                <w:rFonts w:ascii="Arial" w:hAnsi="Arial" w:cs="Arial"/>
                <w:sz w:val="18"/>
                <w:szCs w:val="18"/>
              </w:rPr>
            </w:pPr>
          </w:p>
        </w:tc>
        <w:tc>
          <w:tcPr>
            <w:tcW w:w="557" w:type="dxa"/>
            <w:vAlign w:val="center"/>
          </w:tcPr>
          <w:p w14:paraId="59CEFFF9" w14:textId="77777777" w:rsidR="005055E1" w:rsidRPr="00576180" w:rsidRDefault="005055E1" w:rsidP="005055E1">
            <w:pPr>
              <w:jc w:val="center"/>
              <w:rPr>
                <w:rFonts w:ascii="Arial" w:hAnsi="Arial" w:cs="Arial"/>
                <w:sz w:val="18"/>
                <w:szCs w:val="18"/>
              </w:rPr>
            </w:pPr>
            <w:r w:rsidRPr="00576180">
              <w:rPr>
                <w:rFonts w:ascii="Arial" w:hAnsi="Arial" w:cs="Arial"/>
                <w:sz w:val="18"/>
                <w:szCs w:val="18"/>
              </w:rPr>
              <w:t>A</w:t>
            </w:r>
          </w:p>
        </w:tc>
        <w:tc>
          <w:tcPr>
            <w:tcW w:w="667" w:type="dxa"/>
            <w:vAlign w:val="center"/>
          </w:tcPr>
          <w:p w14:paraId="753EE951" w14:textId="415CFD28" w:rsidR="005055E1" w:rsidRPr="00576180" w:rsidRDefault="00DD3EB0" w:rsidP="005055E1">
            <w:pPr>
              <w:jc w:val="center"/>
              <w:rPr>
                <w:rFonts w:ascii="Arial" w:hAnsi="Arial" w:cs="Arial"/>
                <w:sz w:val="18"/>
                <w:szCs w:val="18"/>
              </w:rPr>
            </w:pPr>
            <w:r>
              <w:rPr>
                <w:rFonts w:ascii="Arial" w:hAnsi="Arial" w:cs="Arial"/>
                <w:sz w:val="18"/>
                <w:szCs w:val="18"/>
              </w:rPr>
              <w:t>0</w:t>
            </w:r>
          </w:p>
        </w:tc>
        <w:tc>
          <w:tcPr>
            <w:tcW w:w="4031" w:type="dxa"/>
            <w:vMerge/>
            <w:vAlign w:val="center"/>
          </w:tcPr>
          <w:p w14:paraId="0989BDEB" w14:textId="77777777" w:rsidR="005055E1" w:rsidRPr="00576180" w:rsidRDefault="005055E1" w:rsidP="005055E1">
            <w:pPr>
              <w:jc w:val="center"/>
              <w:rPr>
                <w:rFonts w:ascii="Arial" w:hAnsi="Arial" w:cs="Arial"/>
                <w:sz w:val="18"/>
                <w:szCs w:val="18"/>
              </w:rPr>
            </w:pPr>
          </w:p>
        </w:tc>
        <w:tc>
          <w:tcPr>
            <w:tcW w:w="617" w:type="dxa"/>
            <w:vMerge/>
          </w:tcPr>
          <w:p w14:paraId="04478CA8" w14:textId="77777777" w:rsidR="005055E1" w:rsidRPr="00576180" w:rsidRDefault="005055E1" w:rsidP="005055E1">
            <w:pPr>
              <w:jc w:val="center"/>
              <w:rPr>
                <w:rFonts w:ascii="Arial" w:hAnsi="Arial" w:cs="Arial"/>
                <w:sz w:val="18"/>
                <w:szCs w:val="18"/>
              </w:rPr>
            </w:pPr>
          </w:p>
        </w:tc>
        <w:tc>
          <w:tcPr>
            <w:tcW w:w="1217" w:type="dxa"/>
            <w:vMerge/>
            <w:vAlign w:val="center"/>
          </w:tcPr>
          <w:p w14:paraId="47EBC9EB" w14:textId="77777777" w:rsidR="005055E1" w:rsidRPr="00576180" w:rsidRDefault="005055E1" w:rsidP="005055E1">
            <w:pPr>
              <w:jc w:val="center"/>
              <w:rPr>
                <w:rFonts w:ascii="Arial" w:hAnsi="Arial" w:cs="Arial"/>
                <w:sz w:val="18"/>
                <w:szCs w:val="18"/>
              </w:rPr>
            </w:pPr>
          </w:p>
        </w:tc>
      </w:tr>
      <w:tr w:rsidR="005055E1" w:rsidRPr="00576180" w14:paraId="751333EE" w14:textId="77777777" w:rsidTr="00957319">
        <w:trPr>
          <w:trHeight w:val="197"/>
        </w:trPr>
        <w:tc>
          <w:tcPr>
            <w:tcW w:w="1507" w:type="dxa"/>
            <w:gridSpan w:val="2"/>
            <w:vMerge w:val="restart"/>
            <w:vAlign w:val="center"/>
          </w:tcPr>
          <w:p w14:paraId="22519360" w14:textId="375FD6EE" w:rsidR="005055E1" w:rsidRPr="00576180" w:rsidRDefault="005055E1" w:rsidP="005055E1">
            <w:pPr>
              <w:rPr>
                <w:rFonts w:ascii="Arial" w:hAnsi="Arial" w:cs="Arial"/>
                <w:sz w:val="18"/>
                <w:szCs w:val="18"/>
              </w:rPr>
            </w:pPr>
            <w:r w:rsidRPr="00576180">
              <w:rPr>
                <w:rFonts w:ascii="Arial" w:hAnsi="Arial" w:cs="Arial"/>
                <w:sz w:val="18"/>
                <w:szCs w:val="18"/>
              </w:rPr>
              <w:t>2.4 Estrategia para la implantación de un nuevo sistema de gestión de planillas de nómina y de RRHH en los pliegos y entidades públicas elaboradas</w:t>
            </w:r>
          </w:p>
        </w:tc>
        <w:tc>
          <w:tcPr>
            <w:tcW w:w="1287" w:type="dxa"/>
            <w:vMerge w:val="restart"/>
            <w:vAlign w:val="center"/>
          </w:tcPr>
          <w:p w14:paraId="2E8F8E70" w14:textId="0B94E65F" w:rsidR="005055E1" w:rsidRPr="00576180" w:rsidRDefault="005055E1" w:rsidP="005055E1">
            <w:pPr>
              <w:jc w:val="center"/>
              <w:rPr>
                <w:rFonts w:ascii="Arial" w:hAnsi="Arial" w:cs="Arial"/>
                <w:sz w:val="18"/>
                <w:szCs w:val="18"/>
              </w:rPr>
            </w:pPr>
            <w:r w:rsidRPr="00576180">
              <w:rPr>
                <w:rFonts w:ascii="Arial" w:hAnsi="Arial" w:cs="Arial"/>
                <w:sz w:val="18"/>
                <w:szCs w:val="18"/>
              </w:rPr>
              <w:t>Estrategia</w:t>
            </w:r>
          </w:p>
        </w:tc>
        <w:tc>
          <w:tcPr>
            <w:tcW w:w="0" w:type="auto"/>
            <w:vMerge w:val="restart"/>
            <w:vAlign w:val="center"/>
          </w:tcPr>
          <w:p w14:paraId="545819E1" w14:textId="77777777" w:rsidR="005055E1" w:rsidRPr="00576180" w:rsidRDefault="005055E1" w:rsidP="005055E1">
            <w:pPr>
              <w:jc w:val="center"/>
              <w:rPr>
                <w:rFonts w:ascii="Arial" w:hAnsi="Arial" w:cs="Arial"/>
                <w:sz w:val="18"/>
                <w:szCs w:val="18"/>
              </w:rPr>
            </w:pPr>
            <w:r w:rsidRPr="00576180">
              <w:rPr>
                <w:rFonts w:ascii="Arial" w:hAnsi="Arial" w:cs="Arial"/>
                <w:sz w:val="18"/>
                <w:szCs w:val="18"/>
              </w:rPr>
              <w:t>0</w:t>
            </w:r>
          </w:p>
        </w:tc>
        <w:tc>
          <w:tcPr>
            <w:tcW w:w="617" w:type="dxa"/>
            <w:vMerge w:val="restart"/>
            <w:vAlign w:val="center"/>
          </w:tcPr>
          <w:p w14:paraId="52E5B99C" w14:textId="2295F852" w:rsidR="005055E1" w:rsidRPr="00576180" w:rsidRDefault="005055E1" w:rsidP="005055E1">
            <w:pPr>
              <w:jc w:val="center"/>
              <w:rPr>
                <w:rFonts w:ascii="Arial" w:hAnsi="Arial" w:cs="Arial"/>
                <w:sz w:val="18"/>
                <w:szCs w:val="18"/>
              </w:rPr>
            </w:pPr>
            <w:r w:rsidRPr="00576180">
              <w:rPr>
                <w:rFonts w:ascii="Arial" w:hAnsi="Arial" w:cs="Arial"/>
                <w:sz w:val="18"/>
                <w:szCs w:val="18"/>
              </w:rPr>
              <w:t>2010</w:t>
            </w:r>
          </w:p>
        </w:tc>
        <w:tc>
          <w:tcPr>
            <w:tcW w:w="557" w:type="dxa"/>
            <w:vAlign w:val="center"/>
          </w:tcPr>
          <w:p w14:paraId="520E6C97" w14:textId="77777777" w:rsidR="005055E1" w:rsidRPr="00576180" w:rsidRDefault="005055E1" w:rsidP="005055E1">
            <w:pPr>
              <w:jc w:val="center"/>
              <w:rPr>
                <w:rFonts w:ascii="Arial" w:hAnsi="Arial" w:cs="Arial"/>
                <w:sz w:val="18"/>
                <w:szCs w:val="18"/>
              </w:rPr>
            </w:pPr>
            <w:r w:rsidRPr="00576180">
              <w:rPr>
                <w:rFonts w:ascii="Arial" w:hAnsi="Arial" w:cs="Arial"/>
                <w:sz w:val="18"/>
                <w:szCs w:val="18"/>
              </w:rPr>
              <w:t>P</w:t>
            </w:r>
          </w:p>
        </w:tc>
        <w:tc>
          <w:tcPr>
            <w:tcW w:w="667" w:type="dxa"/>
            <w:vAlign w:val="center"/>
          </w:tcPr>
          <w:p w14:paraId="0E68AB4F" w14:textId="77777777" w:rsidR="005055E1" w:rsidRPr="00576180" w:rsidRDefault="005055E1" w:rsidP="005055E1">
            <w:pPr>
              <w:jc w:val="center"/>
              <w:rPr>
                <w:rFonts w:ascii="Arial" w:hAnsi="Arial" w:cs="Arial"/>
                <w:sz w:val="18"/>
                <w:szCs w:val="18"/>
              </w:rPr>
            </w:pPr>
            <w:r w:rsidRPr="00576180">
              <w:rPr>
                <w:rFonts w:ascii="Arial" w:hAnsi="Arial" w:cs="Arial"/>
                <w:sz w:val="18"/>
                <w:szCs w:val="18"/>
              </w:rPr>
              <w:t>1</w:t>
            </w:r>
          </w:p>
        </w:tc>
        <w:tc>
          <w:tcPr>
            <w:tcW w:w="4031" w:type="dxa"/>
            <w:vMerge w:val="restart"/>
            <w:vAlign w:val="center"/>
          </w:tcPr>
          <w:p w14:paraId="6080AFFE" w14:textId="77777777" w:rsidR="005055E1" w:rsidRPr="00576180" w:rsidRDefault="005055E1" w:rsidP="005055E1">
            <w:pPr>
              <w:jc w:val="center"/>
              <w:rPr>
                <w:rFonts w:ascii="Arial" w:hAnsi="Arial" w:cs="Arial"/>
                <w:sz w:val="18"/>
                <w:szCs w:val="18"/>
              </w:rPr>
            </w:pPr>
            <w:r w:rsidRPr="00576180">
              <w:rPr>
                <w:rFonts w:ascii="Arial" w:hAnsi="Arial" w:cs="Arial"/>
                <w:sz w:val="18"/>
                <w:szCs w:val="18"/>
              </w:rPr>
              <w:t>100%</w:t>
            </w:r>
          </w:p>
        </w:tc>
        <w:tc>
          <w:tcPr>
            <w:tcW w:w="617" w:type="dxa"/>
            <w:vMerge w:val="restart"/>
            <w:vAlign w:val="center"/>
          </w:tcPr>
          <w:p w14:paraId="43EC8940" w14:textId="27CF52FF" w:rsidR="005055E1" w:rsidRPr="00576180" w:rsidRDefault="005055E1" w:rsidP="005055E1">
            <w:pPr>
              <w:jc w:val="center"/>
              <w:rPr>
                <w:rFonts w:ascii="Arial" w:hAnsi="Arial" w:cs="Arial"/>
                <w:sz w:val="18"/>
                <w:szCs w:val="18"/>
              </w:rPr>
            </w:pPr>
            <w:r w:rsidRPr="00576180">
              <w:rPr>
                <w:rFonts w:ascii="Arial" w:hAnsi="Arial" w:cs="Arial"/>
                <w:sz w:val="18"/>
                <w:szCs w:val="18"/>
              </w:rPr>
              <w:t>2014</w:t>
            </w:r>
          </w:p>
        </w:tc>
        <w:tc>
          <w:tcPr>
            <w:tcW w:w="1217" w:type="dxa"/>
            <w:vMerge w:val="restart"/>
            <w:vAlign w:val="center"/>
          </w:tcPr>
          <w:p w14:paraId="645A3E41" w14:textId="15584410" w:rsidR="005055E1" w:rsidRPr="00576180" w:rsidRDefault="005055E1" w:rsidP="005055E1">
            <w:pPr>
              <w:rPr>
                <w:rFonts w:ascii="Arial" w:hAnsi="Arial" w:cs="Arial"/>
                <w:sz w:val="18"/>
                <w:szCs w:val="18"/>
              </w:rPr>
            </w:pPr>
            <w:r w:rsidRPr="00576180">
              <w:rPr>
                <w:rFonts w:ascii="Arial" w:hAnsi="Arial" w:cs="Arial"/>
                <w:sz w:val="18"/>
                <w:szCs w:val="18"/>
              </w:rPr>
              <w:t>Informe MEF</w:t>
            </w:r>
          </w:p>
        </w:tc>
      </w:tr>
      <w:tr w:rsidR="00603A17" w:rsidRPr="00576180" w14:paraId="5B4541C6" w14:textId="77777777" w:rsidTr="00957319">
        <w:trPr>
          <w:trHeight w:val="161"/>
        </w:trPr>
        <w:tc>
          <w:tcPr>
            <w:tcW w:w="1507" w:type="dxa"/>
            <w:gridSpan w:val="2"/>
            <w:vMerge/>
            <w:vAlign w:val="center"/>
          </w:tcPr>
          <w:p w14:paraId="7CBC1603" w14:textId="77777777" w:rsidR="00603A17" w:rsidRPr="00576180" w:rsidRDefault="00603A17" w:rsidP="00603A17">
            <w:pPr>
              <w:rPr>
                <w:rFonts w:ascii="Arial" w:hAnsi="Arial" w:cs="Arial"/>
                <w:sz w:val="18"/>
                <w:szCs w:val="18"/>
              </w:rPr>
            </w:pPr>
          </w:p>
        </w:tc>
        <w:tc>
          <w:tcPr>
            <w:tcW w:w="1287" w:type="dxa"/>
            <w:vMerge/>
            <w:vAlign w:val="center"/>
          </w:tcPr>
          <w:p w14:paraId="56A5684D" w14:textId="77777777" w:rsidR="00603A17" w:rsidRPr="00576180" w:rsidRDefault="00603A17" w:rsidP="00603A17">
            <w:pPr>
              <w:jc w:val="center"/>
              <w:rPr>
                <w:rFonts w:ascii="Arial" w:hAnsi="Arial" w:cs="Arial"/>
                <w:sz w:val="18"/>
                <w:szCs w:val="18"/>
              </w:rPr>
            </w:pPr>
          </w:p>
        </w:tc>
        <w:tc>
          <w:tcPr>
            <w:tcW w:w="0" w:type="auto"/>
            <w:vMerge/>
            <w:vAlign w:val="center"/>
          </w:tcPr>
          <w:p w14:paraId="229F2B84" w14:textId="77777777" w:rsidR="00603A17" w:rsidRPr="00576180" w:rsidRDefault="00603A17" w:rsidP="00603A17">
            <w:pPr>
              <w:jc w:val="center"/>
              <w:rPr>
                <w:rFonts w:ascii="Arial" w:hAnsi="Arial" w:cs="Arial"/>
                <w:sz w:val="18"/>
                <w:szCs w:val="18"/>
              </w:rPr>
            </w:pPr>
          </w:p>
        </w:tc>
        <w:tc>
          <w:tcPr>
            <w:tcW w:w="617" w:type="dxa"/>
            <w:vMerge/>
            <w:vAlign w:val="center"/>
          </w:tcPr>
          <w:p w14:paraId="4F551CC0" w14:textId="77777777" w:rsidR="00603A17" w:rsidRPr="00576180" w:rsidRDefault="00603A17" w:rsidP="00603A17">
            <w:pPr>
              <w:jc w:val="center"/>
              <w:rPr>
                <w:rFonts w:ascii="Arial" w:hAnsi="Arial" w:cs="Arial"/>
                <w:sz w:val="18"/>
                <w:szCs w:val="18"/>
              </w:rPr>
            </w:pPr>
          </w:p>
        </w:tc>
        <w:tc>
          <w:tcPr>
            <w:tcW w:w="557" w:type="dxa"/>
            <w:vAlign w:val="center"/>
          </w:tcPr>
          <w:p w14:paraId="0F3CDBA1" w14:textId="77777777" w:rsidR="00603A17" w:rsidRPr="00576180" w:rsidRDefault="00603A17" w:rsidP="00603A17">
            <w:pPr>
              <w:jc w:val="center"/>
              <w:rPr>
                <w:rFonts w:ascii="Arial" w:hAnsi="Arial" w:cs="Arial"/>
                <w:sz w:val="18"/>
                <w:szCs w:val="18"/>
              </w:rPr>
            </w:pPr>
            <w:r w:rsidRPr="00576180">
              <w:rPr>
                <w:rFonts w:ascii="Arial" w:hAnsi="Arial" w:cs="Arial"/>
                <w:sz w:val="18"/>
                <w:szCs w:val="18"/>
              </w:rPr>
              <w:t>P(a)</w:t>
            </w:r>
          </w:p>
        </w:tc>
        <w:tc>
          <w:tcPr>
            <w:tcW w:w="667" w:type="dxa"/>
            <w:vAlign w:val="center"/>
          </w:tcPr>
          <w:p w14:paraId="2CC255DA" w14:textId="24583EA4" w:rsidR="00603A17" w:rsidRPr="00576180" w:rsidRDefault="009D27F0" w:rsidP="00603A17">
            <w:pPr>
              <w:jc w:val="center"/>
              <w:rPr>
                <w:rFonts w:ascii="Arial" w:hAnsi="Arial" w:cs="Arial"/>
                <w:sz w:val="18"/>
                <w:szCs w:val="18"/>
              </w:rPr>
            </w:pPr>
            <w:r w:rsidRPr="00576180">
              <w:rPr>
                <w:rFonts w:ascii="Arial" w:hAnsi="Arial" w:cs="Arial"/>
                <w:sz w:val="18"/>
                <w:szCs w:val="18"/>
              </w:rPr>
              <w:t>1</w:t>
            </w:r>
          </w:p>
        </w:tc>
        <w:tc>
          <w:tcPr>
            <w:tcW w:w="4031" w:type="dxa"/>
            <w:vMerge/>
            <w:vAlign w:val="center"/>
          </w:tcPr>
          <w:p w14:paraId="36646609" w14:textId="77777777" w:rsidR="00603A17" w:rsidRPr="00576180" w:rsidRDefault="00603A17" w:rsidP="00603A17">
            <w:pPr>
              <w:jc w:val="center"/>
              <w:rPr>
                <w:rFonts w:ascii="Arial" w:hAnsi="Arial" w:cs="Arial"/>
                <w:sz w:val="18"/>
                <w:szCs w:val="18"/>
              </w:rPr>
            </w:pPr>
          </w:p>
        </w:tc>
        <w:tc>
          <w:tcPr>
            <w:tcW w:w="617" w:type="dxa"/>
            <w:vMerge/>
            <w:vAlign w:val="center"/>
          </w:tcPr>
          <w:p w14:paraId="44AB38F1" w14:textId="77777777" w:rsidR="00603A17" w:rsidRPr="00576180" w:rsidRDefault="00603A17" w:rsidP="00603A17">
            <w:pPr>
              <w:jc w:val="center"/>
              <w:rPr>
                <w:rFonts w:ascii="Arial" w:hAnsi="Arial" w:cs="Arial"/>
                <w:sz w:val="18"/>
                <w:szCs w:val="18"/>
              </w:rPr>
            </w:pPr>
          </w:p>
        </w:tc>
        <w:tc>
          <w:tcPr>
            <w:tcW w:w="1217" w:type="dxa"/>
            <w:vMerge/>
            <w:vAlign w:val="center"/>
          </w:tcPr>
          <w:p w14:paraId="77B44EF0" w14:textId="77777777" w:rsidR="00603A17" w:rsidRPr="00576180" w:rsidRDefault="00603A17" w:rsidP="00603A17">
            <w:pPr>
              <w:rPr>
                <w:rFonts w:ascii="Arial" w:hAnsi="Arial" w:cs="Arial"/>
                <w:sz w:val="18"/>
                <w:szCs w:val="18"/>
              </w:rPr>
            </w:pPr>
          </w:p>
        </w:tc>
      </w:tr>
      <w:tr w:rsidR="00603A17" w:rsidRPr="00576180" w14:paraId="47CF10E6" w14:textId="77777777" w:rsidTr="00957319">
        <w:trPr>
          <w:trHeight w:val="80"/>
        </w:trPr>
        <w:tc>
          <w:tcPr>
            <w:tcW w:w="1507" w:type="dxa"/>
            <w:gridSpan w:val="2"/>
            <w:vMerge/>
            <w:vAlign w:val="center"/>
          </w:tcPr>
          <w:p w14:paraId="0AF93B0D" w14:textId="77777777" w:rsidR="00603A17" w:rsidRPr="00576180" w:rsidRDefault="00603A17" w:rsidP="00603A17">
            <w:pPr>
              <w:rPr>
                <w:rFonts w:ascii="Arial" w:hAnsi="Arial" w:cs="Arial"/>
                <w:sz w:val="18"/>
                <w:szCs w:val="18"/>
              </w:rPr>
            </w:pPr>
          </w:p>
        </w:tc>
        <w:tc>
          <w:tcPr>
            <w:tcW w:w="1287" w:type="dxa"/>
            <w:vMerge/>
            <w:vAlign w:val="center"/>
          </w:tcPr>
          <w:p w14:paraId="165B0757" w14:textId="77777777" w:rsidR="00603A17" w:rsidRPr="00576180" w:rsidRDefault="00603A17" w:rsidP="00603A17">
            <w:pPr>
              <w:jc w:val="center"/>
              <w:rPr>
                <w:rFonts w:ascii="Arial" w:hAnsi="Arial" w:cs="Arial"/>
                <w:sz w:val="18"/>
                <w:szCs w:val="18"/>
              </w:rPr>
            </w:pPr>
          </w:p>
        </w:tc>
        <w:tc>
          <w:tcPr>
            <w:tcW w:w="0" w:type="auto"/>
            <w:vMerge/>
            <w:vAlign w:val="center"/>
          </w:tcPr>
          <w:p w14:paraId="3D354F20" w14:textId="77777777" w:rsidR="00603A17" w:rsidRPr="00576180" w:rsidRDefault="00603A17" w:rsidP="00603A17">
            <w:pPr>
              <w:jc w:val="center"/>
              <w:rPr>
                <w:rFonts w:ascii="Arial" w:hAnsi="Arial" w:cs="Arial"/>
                <w:sz w:val="18"/>
                <w:szCs w:val="18"/>
              </w:rPr>
            </w:pPr>
          </w:p>
        </w:tc>
        <w:tc>
          <w:tcPr>
            <w:tcW w:w="617" w:type="dxa"/>
            <w:vMerge/>
            <w:vAlign w:val="center"/>
          </w:tcPr>
          <w:p w14:paraId="41295325" w14:textId="77777777" w:rsidR="00603A17" w:rsidRPr="00576180" w:rsidRDefault="00603A17" w:rsidP="00603A17">
            <w:pPr>
              <w:jc w:val="center"/>
              <w:rPr>
                <w:rFonts w:ascii="Arial" w:hAnsi="Arial" w:cs="Arial"/>
                <w:sz w:val="18"/>
                <w:szCs w:val="18"/>
              </w:rPr>
            </w:pPr>
          </w:p>
        </w:tc>
        <w:tc>
          <w:tcPr>
            <w:tcW w:w="557" w:type="dxa"/>
            <w:vAlign w:val="center"/>
          </w:tcPr>
          <w:p w14:paraId="69678815" w14:textId="77777777" w:rsidR="00603A17" w:rsidRPr="00576180" w:rsidRDefault="00603A17" w:rsidP="00603A17">
            <w:pPr>
              <w:jc w:val="center"/>
              <w:rPr>
                <w:rFonts w:ascii="Arial" w:hAnsi="Arial" w:cs="Arial"/>
                <w:sz w:val="18"/>
                <w:szCs w:val="18"/>
              </w:rPr>
            </w:pPr>
            <w:r w:rsidRPr="00576180">
              <w:rPr>
                <w:rFonts w:ascii="Arial" w:hAnsi="Arial" w:cs="Arial"/>
                <w:sz w:val="18"/>
                <w:szCs w:val="18"/>
              </w:rPr>
              <w:t>A</w:t>
            </w:r>
          </w:p>
        </w:tc>
        <w:tc>
          <w:tcPr>
            <w:tcW w:w="667" w:type="dxa"/>
            <w:vAlign w:val="center"/>
          </w:tcPr>
          <w:p w14:paraId="43DC7F12" w14:textId="114B593F" w:rsidR="00603A17" w:rsidRPr="00576180" w:rsidRDefault="005055E1" w:rsidP="00603A17">
            <w:pPr>
              <w:jc w:val="center"/>
              <w:rPr>
                <w:rFonts w:ascii="Arial" w:hAnsi="Arial" w:cs="Arial"/>
                <w:sz w:val="18"/>
                <w:szCs w:val="18"/>
              </w:rPr>
            </w:pPr>
            <w:r w:rsidRPr="00576180">
              <w:rPr>
                <w:rFonts w:ascii="Arial" w:hAnsi="Arial" w:cs="Arial"/>
                <w:sz w:val="18"/>
                <w:szCs w:val="18"/>
              </w:rPr>
              <w:t>2</w:t>
            </w:r>
          </w:p>
        </w:tc>
        <w:tc>
          <w:tcPr>
            <w:tcW w:w="4031" w:type="dxa"/>
            <w:vMerge/>
            <w:vAlign w:val="center"/>
          </w:tcPr>
          <w:p w14:paraId="7D03AF86" w14:textId="77777777" w:rsidR="00603A17" w:rsidRPr="00576180" w:rsidRDefault="00603A17" w:rsidP="00603A17">
            <w:pPr>
              <w:jc w:val="center"/>
              <w:rPr>
                <w:rFonts w:ascii="Arial" w:hAnsi="Arial" w:cs="Arial"/>
                <w:sz w:val="18"/>
                <w:szCs w:val="18"/>
              </w:rPr>
            </w:pPr>
          </w:p>
        </w:tc>
        <w:tc>
          <w:tcPr>
            <w:tcW w:w="617" w:type="dxa"/>
            <w:vMerge/>
            <w:vAlign w:val="center"/>
          </w:tcPr>
          <w:p w14:paraId="1171ADA8" w14:textId="77777777" w:rsidR="00603A17" w:rsidRPr="00576180" w:rsidRDefault="00603A17" w:rsidP="00603A17">
            <w:pPr>
              <w:jc w:val="center"/>
              <w:rPr>
                <w:rFonts w:ascii="Arial" w:hAnsi="Arial" w:cs="Arial"/>
                <w:sz w:val="18"/>
                <w:szCs w:val="18"/>
              </w:rPr>
            </w:pPr>
          </w:p>
        </w:tc>
        <w:tc>
          <w:tcPr>
            <w:tcW w:w="1217" w:type="dxa"/>
            <w:vMerge/>
            <w:vAlign w:val="center"/>
          </w:tcPr>
          <w:p w14:paraId="511FB0D1" w14:textId="77777777" w:rsidR="00603A17" w:rsidRPr="00576180" w:rsidRDefault="00603A17" w:rsidP="00603A17">
            <w:pPr>
              <w:rPr>
                <w:rFonts w:ascii="Arial" w:hAnsi="Arial" w:cs="Arial"/>
                <w:sz w:val="18"/>
                <w:szCs w:val="18"/>
              </w:rPr>
            </w:pPr>
          </w:p>
        </w:tc>
      </w:tr>
      <w:tr w:rsidR="00611C33" w:rsidRPr="00576180" w14:paraId="55ACB1AA" w14:textId="77777777" w:rsidTr="00957319">
        <w:tc>
          <w:tcPr>
            <w:tcW w:w="11187" w:type="dxa"/>
            <w:gridSpan w:val="10"/>
            <w:shd w:val="clear" w:color="auto" w:fill="D9D9D9" w:themeFill="background1" w:themeFillShade="D9"/>
          </w:tcPr>
          <w:p w14:paraId="5B9747DC" w14:textId="40CC58CF" w:rsidR="00611C33" w:rsidRPr="00576180" w:rsidRDefault="00611C33" w:rsidP="00611C33">
            <w:pPr>
              <w:autoSpaceDE w:val="0"/>
              <w:autoSpaceDN w:val="0"/>
              <w:adjustRightInd w:val="0"/>
              <w:rPr>
                <w:rFonts w:ascii="Arial" w:hAnsi="Arial" w:cs="Arial"/>
                <w:b/>
                <w:bCs/>
                <w:sz w:val="18"/>
                <w:szCs w:val="18"/>
              </w:rPr>
            </w:pPr>
            <w:r w:rsidRPr="00576180">
              <w:rPr>
                <w:rFonts w:ascii="Arial" w:hAnsi="Arial" w:cs="Arial"/>
                <w:b/>
                <w:bCs/>
                <w:sz w:val="18"/>
                <w:szCs w:val="18"/>
              </w:rPr>
              <w:t xml:space="preserve">Componente </w:t>
            </w:r>
            <w:r w:rsidR="005055E1" w:rsidRPr="00576180">
              <w:rPr>
                <w:rFonts w:ascii="Arial" w:hAnsi="Arial" w:cs="Arial"/>
                <w:b/>
                <w:bCs/>
                <w:sz w:val="18"/>
                <w:szCs w:val="18"/>
              </w:rPr>
              <w:t>III. Institucionalización de instrumentos de gestión presupuestaria para mejorar la calidad del gasto</w:t>
            </w:r>
          </w:p>
        </w:tc>
      </w:tr>
      <w:tr w:rsidR="00D1344C" w:rsidRPr="00576180" w14:paraId="7EAB5FB4" w14:textId="77777777" w:rsidTr="00957319">
        <w:tc>
          <w:tcPr>
            <w:tcW w:w="1507" w:type="dxa"/>
            <w:gridSpan w:val="2"/>
            <w:vMerge w:val="restart"/>
            <w:vAlign w:val="center"/>
          </w:tcPr>
          <w:p w14:paraId="5D28B26E" w14:textId="72C53902" w:rsidR="00D1344C" w:rsidRPr="00576180" w:rsidRDefault="00D1344C" w:rsidP="00D1344C">
            <w:pPr>
              <w:rPr>
                <w:rFonts w:ascii="Arial" w:hAnsi="Arial" w:cs="Arial"/>
                <w:sz w:val="18"/>
                <w:szCs w:val="18"/>
              </w:rPr>
            </w:pPr>
            <w:r w:rsidRPr="00576180">
              <w:rPr>
                <w:rFonts w:ascii="Arial" w:hAnsi="Arial" w:cs="Arial"/>
                <w:sz w:val="18"/>
                <w:szCs w:val="18"/>
              </w:rPr>
              <w:t xml:space="preserve">3.1 Guía metodológica </w:t>
            </w:r>
            <w:r w:rsidRPr="00576180">
              <w:rPr>
                <w:rFonts w:ascii="Arial" w:hAnsi="Arial" w:cs="Arial"/>
                <w:sz w:val="18"/>
                <w:szCs w:val="18"/>
              </w:rPr>
              <w:lastRenderedPageBreak/>
              <w:t>para promover la reestructuración de los programas presupuestales bajo la lógica del insumo-producto elaborada</w:t>
            </w:r>
          </w:p>
        </w:tc>
        <w:tc>
          <w:tcPr>
            <w:tcW w:w="1287" w:type="dxa"/>
            <w:vMerge w:val="restart"/>
            <w:vAlign w:val="center"/>
          </w:tcPr>
          <w:p w14:paraId="7D520079" w14:textId="7B0B9C24" w:rsidR="00D1344C" w:rsidRPr="00576180" w:rsidRDefault="00D1344C" w:rsidP="00D1344C">
            <w:pPr>
              <w:jc w:val="center"/>
              <w:rPr>
                <w:rFonts w:ascii="Arial" w:hAnsi="Arial" w:cs="Arial"/>
                <w:sz w:val="18"/>
                <w:szCs w:val="18"/>
              </w:rPr>
            </w:pPr>
            <w:r w:rsidRPr="00576180">
              <w:rPr>
                <w:rFonts w:ascii="Arial" w:hAnsi="Arial" w:cs="Arial"/>
                <w:sz w:val="18"/>
                <w:szCs w:val="18"/>
              </w:rPr>
              <w:lastRenderedPageBreak/>
              <w:t>Guía metodológica</w:t>
            </w:r>
          </w:p>
        </w:tc>
        <w:tc>
          <w:tcPr>
            <w:tcW w:w="687" w:type="dxa"/>
            <w:vMerge w:val="restart"/>
            <w:vAlign w:val="center"/>
          </w:tcPr>
          <w:p w14:paraId="4DE90BFB" w14:textId="77777777" w:rsidR="00D1344C" w:rsidRPr="00576180" w:rsidRDefault="00D1344C" w:rsidP="00D1344C">
            <w:pPr>
              <w:jc w:val="center"/>
              <w:rPr>
                <w:rFonts w:ascii="Arial" w:hAnsi="Arial" w:cs="Arial"/>
                <w:sz w:val="18"/>
                <w:szCs w:val="18"/>
              </w:rPr>
            </w:pPr>
            <w:r w:rsidRPr="00576180">
              <w:rPr>
                <w:rFonts w:ascii="Arial" w:hAnsi="Arial" w:cs="Arial"/>
                <w:sz w:val="18"/>
                <w:szCs w:val="18"/>
              </w:rPr>
              <w:t>0</w:t>
            </w:r>
          </w:p>
        </w:tc>
        <w:tc>
          <w:tcPr>
            <w:tcW w:w="617" w:type="dxa"/>
            <w:vMerge w:val="restart"/>
            <w:vAlign w:val="center"/>
          </w:tcPr>
          <w:p w14:paraId="007D76ED" w14:textId="5F14D26E" w:rsidR="00D1344C" w:rsidRPr="00576180" w:rsidRDefault="00D1344C" w:rsidP="00D1344C">
            <w:pPr>
              <w:jc w:val="center"/>
              <w:rPr>
                <w:rFonts w:ascii="Arial" w:hAnsi="Arial" w:cs="Arial"/>
                <w:sz w:val="18"/>
                <w:szCs w:val="18"/>
              </w:rPr>
            </w:pPr>
            <w:r w:rsidRPr="00576180">
              <w:rPr>
                <w:rFonts w:ascii="Arial" w:hAnsi="Arial" w:cs="Arial"/>
                <w:sz w:val="18"/>
                <w:szCs w:val="18"/>
              </w:rPr>
              <w:t>2010</w:t>
            </w:r>
          </w:p>
        </w:tc>
        <w:tc>
          <w:tcPr>
            <w:tcW w:w="557" w:type="dxa"/>
            <w:vAlign w:val="center"/>
          </w:tcPr>
          <w:p w14:paraId="6848144C" w14:textId="77777777" w:rsidR="00D1344C" w:rsidRPr="00576180" w:rsidRDefault="00D1344C" w:rsidP="00D1344C">
            <w:pPr>
              <w:jc w:val="center"/>
              <w:rPr>
                <w:rFonts w:ascii="Arial" w:hAnsi="Arial" w:cs="Arial"/>
                <w:sz w:val="18"/>
                <w:szCs w:val="18"/>
              </w:rPr>
            </w:pPr>
            <w:r w:rsidRPr="00576180">
              <w:rPr>
                <w:rFonts w:ascii="Arial" w:hAnsi="Arial" w:cs="Arial"/>
                <w:sz w:val="18"/>
                <w:szCs w:val="18"/>
              </w:rPr>
              <w:t>P</w:t>
            </w:r>
          </w:p>
        </w:tc>
        <w:tc>
          <w:tcPr>
            <w:tcW w:w="667" w:type="dxa"/>
            <w:vAlign w:val="center"/>
          </w:tcPr>
          <w:p w14:paraId="303F9C46" w14:textId="6E55CAF0" w:rsidR="00D1344C" w:rsidRPr="00576180" w:rsidRDefault="00D1344C" w:rsidP="00D1344C">
            <w:pPr>
              <w:jc w:val="center"/>
              <w:rPr>
                <w:rFonts w:ascii="Arial" w:hAnsi="Arial" w:cs="Arial"/>
                <w:sz w:val="18"/>
                <w:szCs w:val="18"/>
              </w:rPr>
            </w:pPr>
            <w:r w:rsidRPr="00576180">
              <w:rPr>
                <w:rFonts w:ascii="Arial" w:hAnsi="Arial" w:cs="Arial"/>
                <w:sz w:val="18"/>
                <w:szCs w:val="18"/>
              </w:rPr>
              <w:t>3</w:t>
            </w:r>
          </w:p>
        </w:tc>
        <w:tc>
          <w:tcPr>
            <w:tcW w:w="4031" w:type="dxa"/>
            <w:vMerge w:val="restart"/>
            <w:vAlign w:val="center"/>
          </w:tcPr>
          <w:p w14:paraId="135B079E" w14:textId="6867E15B" w:rsidR="00D1344C" w:rsidRPr="00576180" w:rsidRDefault="009D27F0" w:rsidP="00D1344C">
            <w:pPr>
              <w:jc w:val="center"/>
              <w:rPr>
                <w:rFonts w:ascii="Arial" w:hAnsi="Arial" w:cs="Arial"/>
                <w:sz w:val="18"/>
                <w:szCs w:val="18"/>
              </w:rPr>
            </w:pPr>
            <w:r w:rsidRPr="00576180">
              <w:rPr>
                <w:rFonts w:ascii="Arial" w:hAnsi="Arial" w:cs="Arial"/>
                <w:sz w:val="18"/>
                <w:szCs w:val="18"/>
              </w:rPr>
              <w:t>50</w:t>
            </w:r>
            <w:r w:rsidR="00D1344C" w:rsidRPr="00576180">
              <w:rPr>
                <w:rFonts w:ascii="Arial" w:hAnsi="Arial" w:cs="Arial"/>
                <w:sz w:val="18"/>
                <w:szCs w:val="18"/>
              </w:rPr>
              <w:t>%</w:t>
            </w:r>
          </w:p>
        </w:tc>
        <w:tc>
          <w:tcPr>
            <w:tcW w:w="617" w:type="dxa"/>
            <w:vMerge w:val="restart"/>
            <w:vAlign w:val="center"/>
          </w:tcPr>
          <w:p w14:paraId="263FF83D" w14:textId="16552625" w:rsidR="00D1344C" w:rsidRPr="00576180" w:rsidRDefault="00D1344C" w:rsidP="00D1344C">
            <w:pPr>
              <w:jc w:val="center"/>
              <w:rPr>
                <w:rFonts w:ascii="Arial" w:hAnsi="Arial" w:cs="Arial"/>
                <w:sz w:val="18"/>
                <w:szCs w:val="18"/>
              </w:rPr>
            </w:pPr>
            <w:r w:rsidRPr="00576180">
              <w:rPr>
                <w:rFonts w:ascii="Arial" w:hAnsi="Arial" w:cs="Arial"/>
                <w:sz w:val="18"/>
                <w:szCs w:val="18"/>
              </w:rPr>
              <w:t>2014</w:t>
            </w:r>
          </w:p>
        </w:tc>
        <w:tc>
          <w:tcPr>
            <w:tcW w:w="1217" w:type="dxa"/>
            <w:vMerge w:val="restart"/>
            <w:vAlign w:val="center"/>
          </w:tcPr>
          <w:p w14:paraId="7F230CB4" w14:textId="21BFFBCA" w:rsidR="00D1344C" w:rsidRPr="00576180" w:rsidRDefault="00D1344C" w:rsidP="00D1344C">
            <w:pPr>
              <w:rPr>
                <w:rFonts w:ascii="Arial" w:hAnsi="Arial" w:cs="Arial"/>
                <w:sz w:val="18"/>
                <w:szCs w:val="18"/>
              </w:rPr>
            </w:pPr>
            <w:r w:rsidRPr="00576180">
              <w:rPr>
                <w:rFonts w:ascii="Arial" w:hAnsi="Arial" w:cs="Arial"/>
                <w:sz w:val="18"/>
                <w:szCs w:val="18"/>
              </w:rPr>
              <w:t>Informe MEF</w:t>
            </w:r>
          </w:p>
        </w:tc>
      </w:tr>
      <w:tr w:rsidR="00D1344C" w:rsidRPr="00576180" w14:paraId="41F75FAA" w14:textId="77777777" w:rsidTr="00957319">
        <w:trPr>
          <w:trHeight w:val="125"/>
        </w:trPr>
        <w:tc>
          <w:tcPr>
            <w:tcW w:w="1507" w:type="dxa"/>
            <w:gridSpan w:val="2"/>
            <w:vMerge/>
            <w:vAlign w:val="center"/>
          </w:tcPr>
          <w:p w14:paraId="0F838896" w14:textId="77777777" w:rsidR="00D1344C" w:rsidRPr="00576180" w:rsidRDefault="00D1344C" w:rsidP="00D1344C">
            <w:pPr>
              <w:rPr>
                <w:rFonts w:ascii="Arial" w:hAnsi="Arial" w:cs="Arial"/>
                <w:sz w:val="18"/>
                <w:szCs w:val="18"/>
              </w:rPr>
            </w:pPr>
          </w:p>
        </w:tc>
        <w:tc>
          <w:tcPr>
            <w:tcW w:w="1287" w:type="dxa"/>
            <w:vMerge/>
            <w:vAlign w:val="center"/>
            <w:hideMark/>
          </w:tcPr>
          <w:p w14:paraId="441B9046" w14:textId="77777777" w:rsidR="00D1344C" w:rsidRPr="00576180" w:rsidRDefault="00D1344C" w:rsidP="00D1344C">
            <w:pPr>
              <w:jc w:val="center"/>
              <w:rPr>
                <w:rFonts w:ascii="Arial" w:hAnsi="Arial" w:cs="Arial"/>
                <w:sz w:val="18"/>
                <w:szCs w:val="18"/>
              </w:rPr>
            </w:pPr>
          </w:p>
        </w:tc>
        <w:tc>
          <w:tcPr>
            <w:tcW w:w="0" w:type="auto"/>
            <w:vMerge/>
            <w:vAlign w:val="center"/>
            <w:hideMark/>
          </w:tcPr>
          <w:p w14:paraId="707AA697" w14:textId="77777777" w:rsidR="00D1344C" w:rsidRPr="00576180" w:rsidRDefault="00D1344C" w:rsidP="00D1344C">
            <w:pPr>
              <w:rPr>
                <w:rFonts w:ascii="Arial" w:hAnsi="Arial" w:cs="Arial"/>
                <w:sz w:val="18"/>
                <w:szCs w:val="18"/>
              </w:rPr>
            </w:pPr>
          </w:p>
        </w:tc>
        <w:tc>
          <w:tcPr>
            <w:tcW w:w="617" w:type="dxa"/>
            <w:vMerge/>
            <w:vAlign w:val="center"/>
            <w:hideMark/>
          </w:tcPr>
          <w:p w14:paraId="2C55F4E7" w14:textId="77777777" w:rsidR="00D1344C" w:rsidRPr="00576180" w:rsidRDefault="00D1344C" w:rsidP="00D1344C">
            <w:pPr>
              <w:rPr>
                <w:rFonts w:ascii="Arial" w:hAnsi="Arial" w:cs="Arial"/>
                <w:sz w:val="18"/>
                <w:szCs w:val="18"/>
              </w:rPr>
            </w:pPr>
          </w:p>
        </w:tc>
        <w:tc>
          <w:tcPr>
            <w:tcW w:w="557" w:type="dxa"/>
            <w:vAlign w:val="center"/>
          </w:tcPr>
          <w:p w14:paraId="78A11A1B" w14:textId="77777777" w:rsidR="00D1344C" w:rsidRPr="00576180" w:rsidRDefault="00D1344C" w:rsidP="00D1344C">
            <w:pPr>
              <w:jc w:val="center"/>
              <w:rPr>
                <w:rFonts w:ascii="Arial" w:hAnsi="Arial" w:cs="Arial"/>
                <w:sz w:val="18"/>
                <w:szCs w:val="18"/>
              </w:rPr>
            </w:pPr>
            <w:r w:rsidRPr="00576180">
              <w:rPr>
                <w:rFonts w:ascii="Arial" w:hAnsi="Arial" w:cs="Arial"/>
                <w:sz w:val="18"/>
                <w:szCs w:val="18"/>
              </w:rPr>
              <w:t>P(a)</w:t>
            </w:r>
          </w:p>
        </w:tc>
        <w:tc>
          <w:tcPr>
            <w:tcW w:w="667" w:type="dxa"/>
            <w:vAlign w:val="center"/>
          </w:tcPr>
          <w:p w14:paraId="577375FE" w14:textId="743D60B5" w:rsidR="00D1344C" w:rsidRPr="00576180" w:rsidRDefault="009D27F0" w:rsidP="00D1344C">
            <w:pPr>
              <w:jc w:val="center"/>
              <w:rPr>
                <w:rFonts w:ascii="Arial" w:hAnsi="Arial" w:cs="Arial"/>
                <w:sz w:val="18"/>
                <w:szCs w:val="18"/>
              </w:rPr>
            </w:pPr>
            <w:r w:rsidRPr="00576180">
              <w:rPr>
                <w:rFonts w:ascii="Arial" w:hAnsi="Arial" w:cs="Arial"/>
                <w:sz w:val="18"/>
                <w:szCs w:val="18"/>
              </w:rPr>
              <w:t>2</w:t>
            </w:r>
          </w:p>
        </w:tc>
        <w:tc>
          <w:tcPr>
            <w:tcW w:w="4031" w:type="dxa"/>
            <w:vMerge/>
            <w:vAlign w:val="center"/>
            <w:hideMark/>
          </w:tcPr>
          <w:p w14:paraId="0382789B" w14:textId="77777777" w:rsidR="00D1344C" w:rsidRPr="00576180" w:rsidRDefault="00D1344C" w:rsidP="00D1344C">
            <w:pPr>
              <w:jc w:val="center"/>
              <w:rPr>
                <w:rFonts w:ascii="Arial" w:hAnsi="Arial" w:cs="Arial"/>
                <w:sz w:val="18"/>
                <w:szCs w:val="18"/>
              </w:rPr>
            </w:pPr>
          </w:p>
        </w:tc>
        <w:tc>
          <w:tcPr>
            <w:tcW w:w="617" w:type="dxa"/>
            <w:vMerge/>
            <w:vAlign w:val="center"/>
          </w:tcPr>
          <w:p w14:paraId="3F5971EE" w14:textId="77777777" w:rsidR="00D1344C" w:rsidRPr="00576180" w:rsidRDefault="00D1344C" w:rsidP="00D1344C">
            <w:pPr>
              <w:jc w:val="center"/>
              <w:rPr>
                <w:rFonts w:ascii="Arial" w:hAnsi="Arial" w:cs="Arial"/>
                <w:sz w:val="18"/>
                <w:szCs w:val="18"/>
              </w:rPr>
            </w:pPr>
          </w:p>
        </w:tc>
        <w:tc>
          <w:tcPr>
            <w:tcW w:w="1217" w:type="dxa"/>
            <w:vMerge/>
            <w:vAlign w:val="center"/>
          </w:tcPr>
          <w:p w14:paraId="657483F6" w14:textId="77777777" w:rsidR="00D1344C" w:rsidRPr="00576180" w:rsidRDefault="00D1344C" w:rsidP="00D1344C">
            <w:pPr>
              <w:rPr>
                <w:rFonts w:ascii="Arial" w:hAnsi="Arial" w:cs="Arial"/>
                <w:sz w:val="18"/>
                <w:szCs w:val="18"/>
              </w:rPr>
            </w:pPr>
          </w:p>
        </w:tc>
      </w:tr>
      <w:tr w:rsidR="00D1344C" w:rsidRPr="00576180" w14:paraId="25977BA0" w14:textId="77777777" w:rsidTr="00957319">
        <w:trPr>
          <w:trHeight w:val="56"/>
        </w:trPr>
        <w:tc>
          <w:tcPr>
            <w:tcW w:w="1507" w:type="dxa"/>
            <w:gridSpan w:val="2"/>
            <w:vMerge/>
            <w:vAlign w:val="center"/>
          </w:tcPr>
          <w:p w14:paraId="4A1DDACB" w14:textId="77777777" w:rsidR="00D1344C" w:rsidRPr="00576180" w:rsidRDefault="00D1344C" w:rsidP="00D1344C">
            <w:pPr>
              <w:rPr>
                <w:rFonts w:ascii="Arial" w:hAnsi="Arial" w:cs="Arial"/>
                <w:sz w:val="18"/>
                <w:szCs w:val="18"/>
              </w:rPr>
            </w:pPr>
          </w:p>
        </w:tc>
        <w:tc>
          <w:tcPr>
            <w:tcW w:w="1287" w:type="dxa"/>
            <w:vMerge/>
            <w:vAlign w:val="center"/>
            <w:hideMark/>
          </w:tcPr>
          <w:p w14:paraId="765F7602" w14:textId="77777777" w:rsidR="00D1344C" w:rsidRPr="00576180" w:rsidRDefault="00D1344C" w:rsidP="00D1344C">
            <w:pPr>
              <w:jc w:val="center"/>
              <w:rPr>
                <w:rFonts w:ascii="Arial" w:hAnsi="Arial" w:cs="Arial"/>
                <w:sz w:val="18"/>
                <w:szCs w:val="18"/>
              </w:rPr>
            </w:pPr>
          </w:p>
        </w:tc>
        <w:tc>
          <w:tcPr>
            <w:tcW w:w="0" w:type="auto"/>
            <w:vMerge/>
            <w:vAlign w:val="center"/>
            <w:hideMark/>
          </w:tcPr>
          <w:p w14:paraId="473F29E1" w14:textId="77777777" w:rsidR="00D1344C" w:rsidRPr="00576180" w:rsidRDefault="00D1344C" w:rsidP="00D1344C">
            <w:pPr>
              <w:rPr>
                <w:rFonts w:ascii="Arial" w:hAnsi="Arial" w:cs="Arial"/>
                <w:sz w:val="18"/>
                <w:szCs w:val="18"/>
              </w:rPr>
            </w:pPr>
          </w:p>
        </w:tc>
        <w:tc>
          <w:tcPr>
            <w:tcW w:w="617" w:type="dxa"/>
            <w:vMerge/>
            <w:vAlign w:val="center"/>
            <w:hideMark/>
          </w:tcPr>
          <w:p w14:paraId="5D368004" w14:textId="77777777" w:rsidR="00D1344C" w:rsidRPr="00576180" w:rsidRDefault="00D1344C" w:rsidP="00D1344C">
            <w:pPr>
              <w:rPr>
                <w:rFonts w:ascii="Arial" w:hAnsi="Arial" w:cs="Arial"/>
                <w:sz w:val="18"/>
                <w:szCs w:val="18"/>
              </w:rPr>
            </w:pPr>
          </w:p>
        </w:tc>
        <w:tc>
          <w:tcPr>
            <w:tcW w:w="557" w:type="dxa"/>
            <w:vAlign w:val="center"/>
          </w:tcPr>
          <w:p w14:paraId="0EDA0D25" w14:textId="77777777" w:rsidR="00D1344C" w:rsidRPr="00576180" w:rsidRDefault="00D1344C" w:rsidP="00D1344C">
            <w:pPr>
              <w:jc w:val="center"/>
              <w:rPr>
                <w:rFonts w:ascii="Arial" w:hAnsi="Arial" w:cs="Arial"/>
                <w:sz w:val="18"/>
                <w:szCs w:val="18"/>
              </w:rPr>
            </w:pPr>
            <w:r w:rsidRPr="00576180">
              <w:rPr>
                <w:rFonts w:ascii="Arial" w:hAnsi="Arial" w:cs="Arial"/>
                <w:sz w:val="18"/>
                <w:szCs w:val="18"/>
              </w:rPr>
              <w:t>A</w:t>
            </w:r>
          </w:p>
        </w:tc>
        <w:tc>
          <w:tcPr>
            <w:tcW w:w="667" w:type="dxa"/>
            <w:vAlign w:val="center"/>
          </w:tcPr>
          <w:p w14:paraId="5E37094D" w14:textId="5F22C560" w:rsidR="00D1344C" w:rsidRPr="00576180" w:rsidRDefault="00D1344C" w:rsidP="00D1344C">
            <w:pPr>
              <w:jc w:val="center"/>
              <w:rPr>
                <w:rFonts w:ascii="Arial" w:hAnsi="Arial" w:cs="Arial"/>
                <w:sz w:val="18"/>
                <w:szCs w:val="18"/>
              </w:rPr>
            </w:pPr>
            <w:r w:rsidRPr="00576180">
              <w:rPr>
                <w:rFonts w:ascii="Arial" w:hAnsi="Arial" w:cs="Arial"/>
                <w:sz w:val="18"/>
                <w:szCs w:val="18"/>
              </w:rPr>
              <w:t>1</w:t>
            </w:r>
          </w:p>
        </w:tc>
        <w:tc>
          <w:tcPr>
            <w:tcW w:w="4031" w:type="dxa"/>
            <w:vMerge/>
            <w:vAlign w:val="center"/>
            <w:hideMark/>
          </w:tcPr>
          <w:p w14:paraId="006CA60B" w14:textId="77777777" w:rsidR="00D1344C" w:rsidRPr="00576180" w:rsidRDefault="00D1344C" w:rsidP="00D1344C">
            <w:pPr>
              <w:jc w:val="center"/>
              <w:rPr>
                <w:rFonts w:ascii="Arial" w:hAnsi="Arial" w:cs="Arial"/>
                <w:sz w:val="18"/>
                <w:szCs w:val="18"/>
              </w:rPr>
            </w:pPr>
          </w:p>
        </w:tc>
        <w:tc>
          <w:tcPr>
            <w:tcW w:w="617" w:type="dxa"/>
            <w:vMerge/>
            <w:vAlign w:val="center"/>
          </w:tcPr>
          <w:p w14:paraId="632AAA04" w14:textId="77777777" w:rsidR="00D1344C" w:rsidRPr="00576180" w:rsidRDefault="00D1344C" w:rsidP="00D1344C">
            <w:pPr>
              <w:jc w:val="center"/>
              <w:rPr>
                <w:rFonts w:ascii="Arial" w:hAnsi="Arial" w:cs="Arial"/>
                <w:sz w:val="18"/>
                <w:szCs w:val="18"/>
              </w:rPr>
            </w:pPr>
          </w:p>
        </w:tc>
        <w:tc>
          <w:tcPr>
            <w:tcW w:w="1217" w:type="dxa"/>
            <w:vMerge/>
            <w:vAlign w:val="center"/>
          </w:tcPr>
          <w:p w14:paraId="76C95A3B" w14:textId="77777777" w:rsidR="00D1344C" w:rsidRPr="00576180" w:rsidRDefault="00D1344C" w:rsidP="00D1344C">
            <w:pPr>
              <w:rPr>
                <w:rFonts w:ascii="Arial" w:hAnsi="Arial" w:cs="Arial"/>
                <w:sz w:val="18"/>
                <w:szCs w:val="18"/>
              </w:rPr>
            </w:pPr>
          </w:p>
        </w:tc>
      </w:tr>
      <w:tr w:rsidR="00D1344C" w:rsidRPr="00576180" w14:paraId="137CD30F" w14:textId="77777777" w:rsidTr="00957319">
        <w:trPr>
          <w:trHeight w:val="98"/>
        </w:trPr>
        <w:tc>
          <w:tcPr>
            <w:tcW w:w="1507" w:type="dxa"/>
            <w:gridSpan w:val="2"/>
            <w:vMerge w:val="restart"/>
            <w:vAlign w:val="center"/>
          </w:tcPr>
          <w:p w14:paraId="3F6E7C12" w14:textId="0A123D52" w:rsidR="00D1344C" w:rsidRPr="00576180" w:rsidRDefault="00D1344C" w:rsidP="00D1344C">
            <w:pPr>
              <w:rPr>
                <w:rFonts w:ascii="Arial" w:hAnsi="Arial" w:cs="Arial"/>
                <w:sz w:val="18"/>
                <w:szCs w:val="18"/>
              </w:rPr>
            </w:pPr>
            <w:r w:rsidRPr="00576180">
              <w:rPr>
                <w:rFonts w:ascii="Arial" w:hAnsi="Arial" w:cs="Arial"/>
                <w:sz w:val="18"/>
                <w:szCs w:val="18"/>
              </w:rPr>
              <w:t xml:space="preserve">3.2 </w:t>
            </w:r>
            <w:proofErr w:type="gramStart"/>
            <w:r w:rsidRPr="00576180">
              <w:rPr>
                <w:rFonts w:ascii="Arial" w:hAnsi="Arial" w:cs="Arial"/>
                <w:sz w:val="18"/>
                <w:szCs w:val="18"/>
              </w:rPr>
              <w:t>Funcionarios</w:t>
            </w:r>
            <w:proofErr w:type="gramEnd"/>
            <w:r w:rsidRPr="00576180">
              <w:rPr>
                <w:rFonts w:ascii="Arial" w:hAnsi="Arial" w:cs="Arial"/>
                <w:sz w:val="18"/>
                <w:szCs w:val="18"/>
              </w:rPr>
              <w:t xml:space="preserve"> capacitados en gestión presupuestaria y presupuesto por resultados</w:t>
            </w:r>
          </w:p>
        </w:tc>
        <w:tc>
          <w:tcPr>
            <w:tcW w:w="1287" w:type="dxa"/>
            <w:vMerge w:val="restart"/>
            <w:vAlign w:val="center"/>
          </w:tcPr>
          <w:p w14:paraId="0C9A9B4E" w14:textId="7D31EDD7" w:rsidR="00D1344C" w:rsidRPr="00576180" w:rsidRDefault="00D1344C" w:rsidP="00D1344C">
            <w:pPr>
              <w:jc w:val="center"/>
              <w:rPr>
                <w:rFonts w:ascii="Arial" w:hAnsi="Arial" w:cs="Arial"/>
                <w:sz w:val="18"/>
                <w:szCs w:val="18"/>
              </w:rPr>
            </w:pPr>
            <w:r w:rsidRPr="00576180">
              <w:rPr>
                <w:rFonts w:ascii="Arial" w:hAnsi="Arial" w:cs="Arial"/>
                <w:sz w:val="18"/>
                <w:szCs w:val="18"/>
              </w:rPr>
              <w:t>Funcionarios capacitados</w:t>
            </w:r>
          </w:p>
        </w:tc>
        <w:tc>
          <w:tcPr>
            <w:tcW w:w="0" w:type="auto"/>
            <w:vMerge w:val="restart"/>
            <w:vAlign w:val="center"/>
          </w:tcPr>
          <w:p w14:paraId="2244ADDE" w14:textId="77777777" w:rsidR="00D1344C" w:rsidRPr="00576180" w:rsidRDefault="00D1344C" w:rsidP="00D1344C">
            <w:pPr>
              <w:jc w:val="center"/>
              <w:rPr>
                <w:rFonts w:ascii="Arial" w:hAnsi="Arial" w:cs="Arial"/>
                <w:sz w:val="18"/>
                <w:szCs w:val="18"/>
              </w:rPr>
            </w:pPr>
            <w:r w:rsidRPr="00576180">
              <w:rPr>
                <w:rFonts w:ascii="Arial" w:hAnsi="Arial" w:cs="Arial"/>
                <w:sz w:val="18"/>
                <w:szCs w:val="18"/>
              </w:rPr>
              <w:t>0</w:t>
            </w:r>
          </w:p>
        </w:tc>
        <w:tc>
          <w:tcPr>
            <w:tcW w:w="617" w:type="dxa"/>
            <w:vMerge w:val="restart"/>
            <w:vAlign w:val="center"/>
          </w:tcPr>
          <w:p w14:paraId="3FCEEFC5" w14:textId="0857D929" w:rsidR="00D1344C" w:rsidRPr="00576180" w:rsidRDefault="00D1344C" w:rsidP="00D1344C">
            <w:pPr>
              <w:jc w:val="center"/>
              <w:rPr>
                <w:rFonts w:ascii="Arial" w:hAnsi="Arial" w:cs="Arial"/>
                <w:sz w:val="18"/>
                <w:szCs w:val="18"/>
              </w:rPr>
            </w:pPr>
            <w:r w:rsidRPr="00576180">
              <w:rPr>
                <w:rFonts w:ascii="Arial" w:hAnsi="Arial" w:cs="Arial"/>
                <w:sz w:val="18"/>
                <w:szCs w:val="18"/>
              </w:rPr>
              <w:t>2010</w:t>
            </w:r>
          </w:p>
        </w:tc>
        <w:tc>
          <w:tcPr>
            <w:tcW w:w="557" w:type="dxa"/>
            <w:vAlign w:val="center"/>
          </w:tcPr>
          <w:p w14:paraId="00D13568" w14:textId="77777777" w:rsidR="00D1344C" w:rsidRPr="00576180" w:rsidRDefault="00D1344C" w:rsidP="00D1344C">
            <w:pPr>
              <w:jc w:val="center"/>
              <w:rPr>
                <w:rFonts w:ascii="Arial" w:hAnsi="Arial" w:cs="Arial"/>
                <w:sz w:val="18"/>
                <w:szCs w:val="18"/>
              </w:rPr>
            </w:pPr>
            <w:r w:rsidRPr="00576180">
              <w:rPr>
                <w:rFonts w:ascii="Arial" w:hAnsi="Arial" w:cs="Arial"/>
                <w:sz w:val="18"/>
                <w:szCs w:val="18"/>
              </w:rPr>
              <w:t>P</w:t>
            </w:r>
          </w:p>
        </w:tc>
        <w:tc>
          <w:tcPr>
            <w:tcW w:w="667" w:type="dxa"/>
            <w:vAlign w:val="center"/>
          </w:tcPr>
          <w:p w14:paraId="74FA8C47" w14:textId="70059D80" w:rsidR="00D1344C" w:rsidRPr="00576180" w:rsidRDefault="00D1344C" w:rsidP="00D1344C">
            <w:pPr>
              <w:jc w:val="center"/>
              <w:rPr>
                <w:rFonts w:ascii="Arial" w:hAnsi="Arial" w:cs="Arial"/>
                <w:sz w:val="18"/>
                <w:szCs w:val="18"/>
              </w:rPr>
            </w:pPr>
            <w:r w:rsidRPr="00576180">
              <w:rPr>
                <w:rFonts w:ascii="Arial" w:hAnsi="Arial" w:cs="Arial"/>
                <w:sz w:val="18"/>
                <w:szCs w:val="18"/>
              </w:rPr>
              <w:t>390</w:t>
            </w:r>
          </w:p>
        </w:tc>
        <w:tc>
          <w:tcPr>
            <w:tcW w:w="4031" w:type="dxa"/>
            <w:vMerge w:val="restart"/>
            <w:vAlign w:val="center"/>
          </w:tcPr>
          <w:p w14:paraId="4AE47428" w14:textId="71B3FB3C" w:rsidR="00D1344C" w:rsidRPr="00576180" w:rsidRDefault="00511DB0" w:rsidP="00D1344C">
            <w:pPr>
              <w:jc w:val="center"/>
              <w:rPr>
                <w:rFonts w:ascii="Arial" w:hAnsi="Arial" w:cs="Arial"/>
                <w:sz w:val="18"/>
                <w:szCs w:val="18"/>
              </w:rPr>
            </w:pPr>
            <w:r w:rsidRPr="00576180">
              <w:rPr>
                <w:rFonts w:ascii="Arial" w:hAnsi="Arial" w:cs="Arial"/>
                <w:sz w:val="18"/>
                <w:szCs w:val="18"/>
              </w:rPr>
              <w:t>84</w:t>
            </w:r>
            <w:r w:rsidR="00D1344C" w:rsidRPr="00576180">
              <w:rPr>
                <w:rFonts w:ascii="Arial" w:hAnsi="Arial" w:cs="Arial"/>
                <w:sz w:val="18"/>
                <w:szCs w:val="18"/>
              </w:rPr>
              <w:t>%</w:t>
            </w:r>
          </w:p>
        </w:tc>
        <w:tc>
          <w:tcPr>
            <w:tcW w:w="617" w:type="dxa"/>
            <w:vMerge w:val="restart"/>
            <w:vAlign w:val="center"/>
          </w:tcPr>
          <w:p w14:paraId="39490B5B" w14:textId="77777777" w:rsidR="00D1344C" w:rsidRPr="00576180" w:rsidRDefault="00D1344C" w:rsidP="00D1344C">
            <w:pPr>
              <w:jc w:val="center"/>
              <w:rPr>
                <w:rFonts w:ascii="Arial" w:hAnsi="Arial" w:cs="Arial"/>
                <w:sz w:val="18"/>
                <w:szCs w:val="18"/>
              </w:rPr>
            </w:pPr>
            <w:r w:rsidRPr="00576180">
              <w:rPr>
                <w:rFonts w:ascii="Arial" w:hAnsi="Arial" w:cs="Arial"/>
                <w:sz w:val="18"/>
                <w:szCs w:val="18"/>
              </w:rPr>
              <w:t>2015</w:t>
            </w:r>
          </w:p>
        </w:tc>
        <w:tc>
          <w:tcPr>
            <w:tcW w:w="1217" w:type="dxa"/>
            <w:vMerge w:val="restart"/>
            <w:vAlign w:val="center"/>
          </w:tcPr>
          <w:p w14:paraId="03B00A03" w14:textId="5D2B2A8E" w:rsidR="00D1344C" w:rsidRPr="00576180" w:rsidRDefault="00D1344C" w:rsidP="00D1344C">
            <w:pPr>
              <w:rPr>
                <w:rFonts w:ascii="Arial" w:hAnsi="Arial" w:cs="Arial"/>
                <w:sz w:val="18"/>
                <w:szCs w:val="18"/>
              </w:rPr>
            </w:pPr>
            <w:r w:rsidRPr="00576180">
              <w:rPr>
                <w:rFonts w:ascii="Arial" w:hAnsi="Arial" w:cs="Arial"/>
                <w:sz w:val="18"/>
                <w:szCs w:val="18"/>
              </w:rPr>
              <w:t>Informe MEF</w:t>
            </w:r>
          </w:p>
        </w:tc>
      </w:tr>
      <w:tr w:rsidR="00D1344C" w:rsidRPr="00576180" w14:paraId="7A5FF52B" w14:textId="77777777" w:rsidTr="00957319">
        <w:trPr>
          <w:trHeight w:val="56"/>
        </w:trPr>
        <w:tc>
          <w:tcPr>
            <w:tcW w:w="1507" w:type="dxa"/>
            <w:gridSpan w:val="2"/>
            <w:vMerge/>
            <w:vAlign w:val="center"/>
          </w:tcPr>
          <w:p w14:paraId="36B9A23E" w14:textId="77777777" w:rsidR="00D1344C" w:rsidRPr="00576180" w:rsidRDefault="00D1344C" w:rsidP="00D1344C">
            <w:pPr>
              <w:rPr>
                <w:rFonts w:ascii="Arial" w:hAnsi="Arial" w:cs="Arial"/>
                <w:sz w:val="18"/>
                <w:szCs w:val="18"/>
              </w:rPr>
            </w:pPr>
          </w:p>
        </w:tc>
        <w:tc>
          <w:tcPr>
            <w:tcW w:w="1287" w:type="dxa"/>
            <w:vMerge/>
            <w:vAlign w:val="center"/>
          </w:tcPr>
          <w:p w14:paraId="0A91FC6B" w14:textId="77777777" w:rsidR="00D1344C" w:rsidRPr="00576180" w:rsidRDefault="00D1344C" w:rsidP="00D1344C">
            <w:pPr>
              <w:jc w:val="center"/>
              <w:rPr>
                <w:rFonts w:ascii="Arial" w:hAnsi="Arial" w:cs="Arial"/>
                <w:color w:val="808080" w:themeColor="background1" w:themeShade="80"/>
                <w:sz w:val="18"/>
                <w:szCs w:val="18"/>
              </w:rPr>
            </w:pPr>
          </w:p>
        </w:tc>
        <w:tc>
          <w:tcPr>
            <w:tcW w:w="0" w:type="auto"/>
            <w:vMerge/>
            <w:vAlign w:val="center"/>
          </w:tcPr>
          <w:p w14:paraId="1D8D4AD2" w14:textId="77777777" w:rsidR="00D1344C" w:rsidRPr="00576180" w:rsidRDefault="00D1344C" w:rsidP="00D1344C">
            <w:pPr>
              <w:jc w:val="center"/>
              <w:rPr>
                <w:rFonts w:ascii="Arial" w:hAnsi="Arial" w:cs="Arial"/>
                <w:color w:val="808080" w:themeColor="background1" w:themeShade="80"/>
                <w:sz w:val="18"/>
                <w:szCs w:val="18"/>
              </w:rPr>
            </w:pPr>
          </w:p>
        </w:tc>
        <w:tc>
          <w:tcPr>
            <w:tcW w:w="617" w:type="dxa"/>
            <w:vMerge/>
            <w:vAlign w:val="center"/>
          </w:tcPr>
          <w:p w14:paraId="507C2BBC" w14:textId="77777777" w:rsidR="00D1344C" w:rsidRPr="00576180" w:rsidRDefault="00D1344C" w:rsidP="00D1344C">
            <w:pPr>
              <w:jc w:val="center"/>
              <w:rPr>
                <w:rFonts w:ascii="Arial" w:hAnsi="Arial" w:cs="Arial"/>
                <w:color w:val="808080" w:themeColor="background1" w:themeShade="80"/>
                <w:sz w:val="18"/>
                <w:szCs w:val="18"/>
              </w:rPr>
            </w:pPr>
          </w:p>
        </w:tc>
        <w:tc>
          <w:tcPr>
            <w:tcW w:w="557" w:type="dxa"/>
            <w:vAlign w:val="center"/>
          </w:tcPr>
          <w:p w14:paraId="46A6B625" w14:textId="77777777" w:rsidR="00D1344C" w:rsidRPr="00576180" w:rsidRDefault="00D1344C" w:rsidP="00D1344C">
            <w:pPr>
              <w:jc w:val="center"/>
              <w:rPr>
                <w:rFonts w:ascii="Arial" w:hAnsi="Arial" w:cs="Arial"/>
                <w:sz w:val="18"/>
                <w:szCs w:val="18"/>
              </w:rPr>
            </w:pPr>
            <w:r w:rsidRPr="00576180">
              <w:rPr>
                <w:rFonts w:ascii="Arial" w:hAnsi="Arial" w:cs="Arial"/>
                <w:sz w:val="18"/>
                <w:szCs w:val="18"/>
              </w:rPr>
              <w:t>P(a)</w:t>
            </w:r>
          </w:p>
        </w:tc>
        <w:tc>
          <w:tcPr>
            <w:tcW w:w="667" w:type="dxa"/>
            <w:vAlign w:val="center"/>
          </w:tcPr>
          <w:p w14:paraId="04A68409" w14:textId="2A26AE4D" w:rsidR="00D1344C" w:rsidRPr="00576180" w:rsidRDefault="00D1344C" w:rsidP="00D1344C">
            <w:pPr>
              <w:jc w:val="center"/>
              <w:rPr>
                <w:rFonts w:ascii="Arial" w:hAnsi="Arial" w:cs="Arial"/>
                <w:sz w:val="18"/>
                <w:szCs w:val="18"/>
              </w:rPr>
            </w:pPr>
            <w:r w:rsidRPr="00576180">
              <w:rPr>
                <w:rFonts w:ascii="Arial" w:hAnsi="Arial" w:cs="Arial"/>
                <w:sz w:val="18"/>
                <w:szCs w:val="18"/>
              </w:rPr>
              <w:t>1,845</w:t>
            </w:r>
          </w:p>
        </w:tc>
        <w:tc>
          <w:tcPr>
            <w:tcW w:w="4031" w:type="dxa"/>
            <w:vMerge/>
            <w:vAlign w:val="center"/>
          </w:tcPr>
          <w:p w14:paraId="0323F18A" w14:textId="77777777" w:rsidR="00D1344C" w:rsidRPr="00576180" w:rsidRDefault="00D1344C" w:rsidP="00D1344C">
            <w:pPr>
              <w:rPr>
                <w:rFonts w:ascii="Arial" w:hAnsi="Arial" w:cs="Arial"/>
                <w:color w:val="808080" w:themeColor="background1" w:themeShade="80"/>
                <w:sz w:val="18"/>
                <w:szCs w:val="18"/>
              </w:rPr>
            </w:pPr>
          </w:p>
        </w:tc>
        <w:tc>
          <w:tcPr>
            <w:tcW w:w="617" w:type="dxa"/>
            <w:vMerge/>
            <w:vAlign w:val="center"/>
          </w:tcPr>
          <w:p w14:paraId="14F5EB51" w14:textId="77777777" w:rsidR="00D1344C" w:rsidRPr="00576180" w:rsidRDefault="00D1344C" w:rsidP="00D1344C">
            <w:pPr>
              <w:jc w:val="center"/>
              <w:rPr>
                <w:rFonts w:ascii="Arial" w:hAnsi="Arial" w:cs="Arial"/>
                <w:color w:val="808080" w:themeColor="background1" w:themeShade="80"/>
                <w:sz w:val="18"/>
                <w:szCs w:val="18"/>
              </w:rPr>
            </w:pPr>
          </w:p>
        </w:tc>
        <w:tc>
          <w:tcPr>
            <w:tcW w:w="1217" w:type="dxa"/>
            <w:vMerge/>
            <w:vAlign w:val="center"/>
          </w:tcPr>
          <w:p w14:paraId="39512E0A" w14:textId="77777777" w:rsidR="00D1344C" w:rsidRPr="00576180" w:rsidRDefault="00D1344C" w:rsidP="00D1344C">
            <w:pPr>
              <w:rPr>
                <w:rFonts w:ascii="Arial" w:hAnsi="Arial" w:cs="Arial"/>
                <w:color w:val="808080" w:themeColor="background1" w:themeShade="80"/>
                <w:sz w:val="18"/>
                <w:szCs w:val="18"/>
              </w:rPr>
            </w:pPr>
          </w:p>
        </w:tc>
      </w:tr>
      <w:tr w:rsidR="00D1344C" w:rsidRPr="00576180" w14:paraId="44875B1C" w14:textId="77777777" w:rsidTr="00957319">
        <w:trPr>
          <w:trHeight w:val="56"/>
        </w:trPr>
        <w:tc>
          <w:tcPr>
            <w:tcW w:w="1507" w:type="dxa"/>
            <w:gridSpan w:val="2"/>
            <w:vMerge/>
            <w:vAlign w:val="center"/>
          </w:tcPr>
          <w:p w14:paraId="4E4D7406" w14:textId="77777777" w:rsidR="00D1344C" w:rsidRPr="00576180" w:rsidRDefault="00D1344C" w:rsidP="00D1344C">
            <w:pPr>
              <w:rPr>
                <w:rFonts w:ascii="Arial" w:hAnsi="Arial" w:cs="Arial"/>
                <w:sz w:val="18"/>
                <w:szCs w:val="18"/>
              </w:rPr>
            </w:pPr>
          </w:p>
        </w:tc>
        <w:tc>
          <w:tcPr>
            <w:tcW w:w="1287" w:type="dxa"/>
            <w:vMerge/>
            <w:vAlign w:val="center"/>
          </w:tcPr>
          <w:p w14:paraId="0C68D855" w14:textId="77777777" w:rsidR="00D1344C" w:rsidRPr="00576180" w:rsidRDefault="00D1344C" w:rsidP="00D1344C">
            <w:pPr>
              <w:jc w:val="center"/>
              <w:rPr>
                <w:rFonts w:ascii="Arial" w:hAnsi="Arial" w:cs="Arial"/>
                <w:color w:val="808080" w:themeColor="background1" w:themeShade="80"/>
                <w:sz w:val="18"/>
                <w:szCs w:val="18"/>
              </w:rPr>
            </w:pPr>
          </w:p>
        </w:tc>
        <w:tc>
          <w:tcPr>
            <w:tcW w:w="0" w:type="auto"/>
            <w:vMerge/>
            <w:vAlign w:val="center"/>
          </w:tcPr>
          <w:p w14:paraId="2D3FF9AA" w14:textId="77777777" w:rsidR="00D1344C" w:rsidRPr="00576180" w:rsidRDefault="00D1344C" w:rsidP="00D1344C">
            <w:pPr>
              <w:jc w:val="center"/>
              <w:rPr>
                <w:rFonts w:ascii="Arial" w:hAnsi="Arial" w:cs="Arial"/>
                <w:color w:val="808080" w:themeColor="background1" w:themeShade="80"/>
                <w:sz w:val="18"/>
                <w:szCs w:val="18"/>
              </w:rPr>
            </w:pPr>
          </w:p>
        </w:tc>
        <w:tc>
          <w:tcPr>
            <w:tcW w:w="617" w:type="dxa"/>
            <w:vMerge/>
            <w:vAlign w:val="center"/>
          </w:tcPr>
          <w:p w14:paraId="0A59BEDC" w14:textId="77777777" w:rsidR="00D1344C" w:rsidRPr="00576180" w:rsidRDefault="00D1344C" w:rsidP="00D1344C">
            <w:pPr>
              <w:jc w:val="center"/>
              <w:rPr>
                <w:rFonts w:ascii="Arial" w:hAnsi="Arial" w:cs="Arial"/>
                <w:color w:val="808080" w:themeColor="background1" w:themeShade="80"/>
                <w:sz w:val="18"/>
                <w:szCs w:val="18"/>
              </w:rPr>
            </w:pPr>
          </w:p>
        </w:tc>
        <w:tc>
          <w:tcPr>
            <w:tcW w:w="557" w:type="dxa"/>
            <w:vAlign w:val="center"/>
          </w:tcPr>
          <w:p w14:paraId="2FFBB811" w14:textId="77777777" w:rsidR="00D1344C" w:rsidRPr="00576180" w:rsidRDefault="00D1344C" w:rsidP="00D1344C">
            <w:pPr>
              <w:jc w:val="center"/>
              <w:rPr>
                <w:rFonts w:ascii="Arial" w:hAnsi="Arial" w:cs="Arial"/>
                <w:sz w:val="18"/>
                <w:szCs w:val="18"/>
              </w:rPr>
            </w:pPr>
            <w:r w:rsidRPr="00576180">
              <w:rPr>
                <w:rFonts w:ascii="Arial" w:hAnsi="Arial" w:cs="Arial"/>
                <w:sz w:val="18"/>
                <w:szCs w:val="18"/>
              </w:rPr>
              <w:t>A</w:t>
            </w:r>
          </w:p>
        </w:tc>
        <w:tc>
          <w:tcPr>
            <w:tcW w:w="667" w:type="dxa"/>
            <w:vAlign w:val="center"/>
          </w:tcPr>
          <w:p w14:paraId="66D13C37" w14:textId="4C39C502" w:rsidR="00D1344C" w:rsidRPr="00576180" w:rsidRDefault="00D1344C" w:rsidP="00D1344C">
            <w:pPr>
              <w:jc w:val="center"/>
              <w:rPr>
                <w:rFonts w:ascii="Arial" w:hAnsi="Arial" w:cs="Arial"/>
                <w:sz w:val="18"/>
                <w:szCs w:val="18"/>
              </w:rPr>
            </w:pPr>
            <w:r w:rsidRPr="00576180">
              <w:rPr>
                <w:rFonts w:ascii="Arial" w:hAnsi="Arial" w:cs="Arial"/>
                <w:sz w:val="18"/>
                <w:szCs w:val="18"/>
              </w:rPr>
              <w:t>1,541</w:t>
            </w:r>
          </w:p>
        </w:tc>
        <w:tc>
          <w:tcPr>
            <w:tcW w:w="4031" w:type="dxa"/>
            <w:vMerge/>
            <w:vAlign w:val="center"/>
          </w:tcPr>
          <w:p w14:paraId="03FFF43C" w14:textId="77777777" w:rsidR="00D1344C" w:rsidRPr="00576180" w:rsidRDefault="00D1344C" w:rsidP="00D1344C">
            <w:pPr>
              <w:rPr>
                <w:rFonts w:ascii="Arial" w:hAnsi="Arial" w:cs="Arial"/>
                <w:color w:val="808080" w:themeColor="background1" w:themeShade="80"/>
                <w:sz w:val="18"/>
                <w:szCs w:val="18"/>
              </w:rPr>
            </w:pPr>
          </w:p>
        </w:tc>
        <w:tc>
          <w:tcPr>
            <w:tcW w:w="617" w:type="dxa"/>
            <w:vMerge/>
            <w:vAlign w:val="center"/>
          </w:tcPr>
          <w:p w14:paraId="0D4944A4" w14:textId="77777777" w:rsidR="00D1344C" w:rsidRPr="00576180" w:rsidRDefault="00D1344C" w:rsidP="00D1344C">
            <w:pPr>
              <w:jc w:val="center"/>
              <w:rPr>
                <w:rFonts w:ascii="Arial" w:hAnsi="Arial" w:cs="Arial"/>
                <w:color w:val="808080" w:themeColor="background1" w:themeShade="80"/>
                <w:sz w:val="18"/>
                <w:szCs w:val="18"/>
              </w:rPr>
            </w:pPr>
          </w:p>
        </w:tc>
        <w:tc>
          <w:tcPr>
            <w:tcW w:w="1217" w:type="dxa"/>
            <w:vMerge/>
            <w:vAlign w:val="center"/>
          </w:tcPr>
          <w:p w14:paraId="4EDB0CD0" w14:textId="77777777" w:rsidR="00D1344C" w:rsidRPr="00576180" w:rsidRDefault="00D1344C" w:rsidP="00D1344C">
            <w:pPr>
              <w:rPr>
                <w:rFonts w:ascii="Arial" w:hAnsi="Arial" w:cs="Arial"/>
                <w:color w:val="808080" w:themeColor="background1" w:themeShade="80"/>
                <w:sz w:val="18"/>
                <w:szCs w:val="18"/>
              </w:rPr>
            </w:pPr>
          </w:p>
        </w:tc>
      </w:tr>
      <w:tr w:rsidR="00D1344C" w:rsidRPr="00576180" w14:paraId="5B541179" w14:textId="77777777" w:rsidTr="00957319">
        <w:trPr>
          <w:trHeight w:val="56"/>
        </w:trPr>
        <w:tc>
          <w:tcPr>
            <w:tcW w:w="1507" w:type="dxa"/>
            <w:gridSpan w:val="2"/>
            <w:vMerge w:val="restart"/>
            <w:vAlign w:val="center"/>
          </w:tcPr>
          <w:p w14:paraId="17BF08F5" w14:textId="79B38516" w:rsidR="00D1344C" w:rsidRPr="00576180" w:rsidRDefault="00D1344C" w:rsidP="00D1344C">
            <w:pPr>
              <w:rPr>
                <w:rFonts w:ascii="Arial" w:hAnsi="Arial" w:cs="Arial"/>
                <w:sz w:val="18"/>
                <w:szCs w:val="18"/>
              </w:rPr>
            </w:pPr>
            <w:r w:rsidRPr="00576180">
              <w:rPr>
                <w:rFonts w:ascii="Arial" w:hAnsi="Arial" w:cs="Arial"/>
                <w:sz w:val="18"/>
                <w:szCs w:val="18"/>
              </w:rPr>
              <w:t>3.3 Estudio de evaluación de sistemas de gestión administrativa realizado</w:t>
            </w:r>
          </w:p>
        </w:tc>
        <w:tc>
          <w:tcPr>
            <w:tcW w:w="1287" w:type="dxa"/>
            <w:vMerge w:val="restart"/>
            <w:vAlign w:val="center"/>
          </w:tcPr>
          <w:p w14:paraId="16C752EF" w14:textId="2AB869B8" w:rsidR="00D1344C" w:rsidRPr="00576180" w:rsidRDefault="00D1344C" w:rsidP="00D1344C">
            <w:pPr>
              <w:jc w:val="center"/>
              <w:rPr>
                <w:rFonts w:ascii="Arial" w:hAnsi="Arial" w:cs="Arial"/>
                <w:sz w:val="18"/>
                <w:szCs w:val="18"/>
              </w:rPr>
            </w:pPr>
            <w:r w:rsidRPr="00576180">
              <w:rPr>
                <w:rFonts w:ascii="Arial" w:hAnsi="Arial" w:cs="Arial"/>
                <w:sz w:val="18"/>
                <w:szCs w:val="18"/>
              </w:rPr>
              <w:t>Estudio</w:t>
            </w:r>
          </w:p>
        </w:tc>
        <w:tc>
          <w:tcPr>
            <w:tcW w:w="0" w:type="auto"/>
            <w:vMerge w:val="restart"/>
            <w:vAlign w:val="center"/>
          </w:tcPr>
          <w:p w14:paraId="77C54994" w14:textId="77777777" w:rsidR="00D1344C" w:rsidRPr="00576180" w:rsidRDefault="00D1344C" w:rsidP="00D1344C">
            <w:pPr>
              <w:jc w:val="center"/>
              <w:rPr>
                <w:rFonts w:ascii="Arial" w:hAnsi="Arial" w:cs="Arial"/>
                <w:sz w:val="18"/>
                <w:szCs w:val="18"/>
              </w:rPr>
            </w:pPr>
            <w:r w:rsidRPr="00576180">
              <w:rPr>
                <w:rFonts w:ascii="Arial" w:hAnsi="Arial" w:cs="Arial"/>
                <w:sz w:val="18"/>
                <w:szCs w:val="18"/>
              </w:rPr>
              <w:t>0</w:t>
            </w:r>
          </w:p>
        </w:tc>
        <w:tc>
          <w:tcPr>
            <w:tcW w:w="617" w:type="dxa"/>
            <w:vMerge w:val="restart"/>
            <w:vAlign w:val="center"/>
          </w:tcPr>
          <w:p w14:paraId="66A499CA" w14:textId="0B12741F" w:rsidR="00D1344C" w:rsidRPr="00576180" w:rsidRDefault="00D1344C" w:rsidP="00D1344C">
            <w:pPr>
              <w:jc w:val="center"/>
              <w:rPr>
                <w:rFonts w:ascii="Arial" w:hAnsi="Arial" w:cs="Arial"/>
                <w:sz w:val="18"/>
                <w:szCs w:val="18"/>
              </w:rPr>
            </w:pPr>
            <w:r w:rsidRPr="00576180">
              <w:rPr>
                <w:rFonts w:ascii="Arial" w:hAnsi="Arial" w:cs="Arial"/>
                <w:sz w:val="18"/>
                <w:szCs w:val="18"/>
              </w:rPr>
              <w:t>2010</w:t>
            </w:r>
          </w:p>
        </w:tc>
        <w:tc>
          <w:tcPr>
            <w:tcW w:w="557" w:type="dxa"/>
            <w:vAlign w:val="center"/>
          </w:tcPr>
          <w:p w14:paraId="53ACD14B" w14:textId="77777777" w:rsidR="00D1344C" w:rsidRPr="00576180" w:rsidRDefault="00D1344C" w:rsidP="00D1344C">
            <w:pPr>
              <w:jc w:val="center"/>
              <w:rPr>
                <w:rFonts w:ascii="Arial" w:hAnsi="Arial" w:cs="Arial"/>
                <w:sz w:val="18"/>
                <w:szCs w:val="18"/>
              </w:rPr>
            </w:pPr>
            <w:r w:rsidRPr="00576180">
              <w:rPr>
                <w:rFonts w:ascii="Arial" w:hAnsi="Arial" w:cs="Arial"/>
                <w:sz w:val="18"/>
                <w:szCs w:val="18"/>
              </w:rPr>
              <w:t>P</w:t>
            </w:r>
          </w:p>
        </w:tc>
        <w:tc>
          <w:tcPr>
            <w:tcW w:w="667" w:type="dxa"/>
            <w:vAlign w:val="center"/>
          </w:tcPr>
          <w:p w14:paraId="27E60E34" w14:textId="5C04F16C" w:rsidR="00D1344C" w:rsidRPr="00576180" w:rsidRDefault="00D1344C" w:rsidP="00D1344C">
            <w:pPr>
              <w:jc w:val="center"/>
              <w:rPr>
                <w:rFonts w:ascii="Arial" w:hAnsi="Arial" w:cs="Arial"/>
                <w:sz w:val="18"/>
                <w:szCs w:val="18"/>
              </w:rPr>
            </w:pPr>
            <w:r w:rsidRPr="00576180">
              <w:rPr>
                <w:rFonts w:ascii="Arial" w:hAnsi="Arial" w:cs="Arial"/>
                <w:sz w:val="18"/>
                <w:szCs w:val="18"/>
              </w:rPr>
              <w:t>1</w:t>
            </w:r>
          </w:p>
        </w:tc>
        <w:tc>
          <w:tcPr>
            <w:tcW w:w="4031" w:type="dxa"/>
            <w:vMerge w:val="restart"/>
            <w:vAlign w:val="center"/>
          </w:tcPr>
          <w:p w14:paraId="3FBBA035" w14:textId="77777777" w:rsidR="00D1344C" w:rsidRPr="00576180" w:rsidRDefault="00D1344C" w:rsidP="00D1344C">
            <w:pPr>
              <w:jc w:val="center"/>
              <w:rPr>
                <w:rFonts w:ascii="Arial" w:hAnsi="Arial" w:cs="Arial"/>
                <w:sz w:val="18"/>
                <w:szCs w:val="18"/>
              </w:rPr>
            </w:pPr>
            <w:r w:rsidRPr="00576180">
              <w:rPr>
                <w:rFonts w:ascii="Arial" w:hAnsi="Arial" w:cs="Arial"/>
                <w:sz w:val="18"/>
                <w:szCs w:val="18"/>
              </w:rPr>
              <w:t>100%</w:t>
            </w:r>
          </w:p>
        </w:tc>
        <w:tc>
          <w:tcPr>
            <w:tcW w:w="617" w:type="dxa"/>
            <w:vMerge w:val="restart"/>
            <w:vAlign w:val="center"/>
          </w:tcPr>
          <w:p w14:paraId="1BFDD764" w14:textId="691DC050" w:rsidR="00D1344C" w:rsidRPr="00576180" w:rsidRDefault="00D1344C" w:rsidP="00D1344C">
            <w:pPr>
              <w:jc w:val="center"/>
              <w:rPr>
                <w:rFonts w:ascii="Arial" w:hAnsi="Arial" w:cs="Arial"/>
                <w:sz w:val="18"/>
                <w:szCs w:val="18"/>
              </w:rPr>
            </w:pPr>
            <w:r w:rsidRPr="00576180">
              <w:rPr>
                <w:rFonts w:ascii="Arial" w:hAnsi="Arial" w:cs="Arial"/>
                <w:sz w:val="18"/>
                <w:szCs w:val="18"/>
              </w:rPr>
              <w:t>2015</w:t>
            </w:r>
          </w:p>
        </w:tc>
        <w:tc>
          <w:tcPr>
            <w:tcW w:w="1217" w:type="dxa"/>
            <w:vMerge w:val="restart"/>
            <w:vAlign w:val="center"/>
          </w:tcPr>
          <w:p w14:paraId="743CCB67" w14:textId="642F28AC" w:rsidR="00D1344C" w:rsidRPr="00576180" w:rsidRDefault="00D1344C" w:rsidP="00D1344C">
            <w:pPr>
              <w:rPr>
                <w:rFonts w:ascii="Arial" w:hAnsi="Arial" w:cs="Arial"/>
                <w:sz w:val="18"/>
                <w:szCs w:val="18"/>
              </w:rPr>
            </w:pPr>
            <w:r w:rsidRPr="00576180">
              <w:rPr>
                <w:rFonts w:ascii="Arial" w:hAnsi="Arial" w:cs="Arial"/>
                <w:sz w:val="18"/>
                <w:szCs w:val="18"/>
              </w:rPr>
              <w:t>Informe MEF</w:t>
            </w:r>
          </w:p>
        </w:tc>
      </w:tr>
      <w:tr w:rsidR="00D1344C" w:rsidRPr="00576180" w14:paraId="36CB284B" w14:textId="77777777" w:rsidTr="00957319">
        <w:trPr>
          <w:trHeight w:val="260"/>
        </w:trPr>
        <w:tc>
          <w:tcPr>
            <w:tcW w:w="1507" w:type="dxa"/>
            <w:gridSpan w:val="2"/>
            <w:vMerge/>
            <w:vAlign w:val="center"/>
          </w:tcPr>
          <w:p w14:paraId="432F2DE4" w14:textId="77777777" w:rsidR="00D1344C" w:rsidRPr="00576180" w:rsidRDefault="00D1344C" w:rsidP="00D1344C">
            <w:pPr>
              <w:rPr>
                <w:rFonts w:ascii="Arial" w:hAnsi="Arial" w:cs="Arial"/>
                <w:sz w:val="18"/>
                <w:szCs w:val="18"/>
              </w:rPr>
            </w:pPr>
          </w:p>
        </w:tc>
        <w:tc>
          <w:tcPr>
            <w:tcW w:w="1287" w:type="dxa"/>
            <w:vMerge/>
            <w:vAlign w:val="center"/>
          </w:tcPr>
          <w:p w14:paraId="040062FE" w14:textId="77777777" w:rsidR="00D1344C" w:rsidRPr="00576180" w:rsidRDefault="00D1344C" w:rsidP="00D1344C">
            <w:pPr>
              <w:rPr>
                <w:rFonts w:ascii="Arial" w:hAnsi="Arial" w:cs="Arial"/>
                <w:color w:val="808080" w:themeColor="background1" w:themeShade="80"/>
                <w:sz w:val="18"/>
                <w:szCs w:val="18"/>
              </w:rPr>
            </w:pPr>
          </w:p>
        </w:tc>
        <w:tc>
          <w:tcPr>
            <w:tcW w:w="0" w:type="auto"/>
            <w:vMerge/>
            <w:vAlign w:val="center"/>
          </w:tcPr>
          <w:p w14:paraId="1DE2519D" w14:textId="77777777" w:rsidR="00D1344C" w:rsidRPr="00576180" w:rsidRDefault="00D1344C" w:rsidP="00D1344C">
            <w:pPr>
              <w:jc w:val="center"/>
              <w:rPr>
                <w:rFonts w:ascii="Arial" w:hAnsi="Arial" w:cs="Arial"/>
                <w:color w:val="808080" w:themeColor="background1" w:themeShade="80"/>
                <w:sz w:val="18"/>
                <w:szCs w:val="18"/>
              </w:rPr>
            </w:pPr>
          </w:p>
        </w:tc>
        <w:tc>
          <w:tcPr>
            <w:tcW w:w="617" w:type="dxa"/>
            <w:vMerge/>
            <w:vAlign w:val="center"/>
          </w:tcPr>
          <w:p w14:paraId="0E61B560" w14:textId="77777777" w:rsidR="00D1344C" w:rsidRPr="00576180" w:rsidRDefault="00D1344C" w:rsidP="00D1344C">
            <w:pPr>
              <w:jc w:val="center"/>
              <w:rPr>
                <w:rFonts w:ascii="Arial" w:hAnsi="Arial" w:cs="Arial"/>
                <w:color w:val="808080" w:themeColor="background1" w:themeShade="80"/>
                <w:sz w:val="18"/>
                <w:szCs w:val="18"/>
              </w:rPr>
            </w:pPr>
          </w:p>
        </w:tc>
        <w:tc>
          <w:tcPr>
            <w:tcW w:w="557" w:type="dxa"/>
            <w:vAlign w:val="center"/>
          </w:tcPr>
          <w:p w14:paraId="5577E656" w14:textId="77777777" w:rsidR="00D1344C" w:rsidRPr="00576180" w:rsidRDefault="00D1344C" w:rsidP="00D1344C">
            <w:pPr>
              <w:jc w:val="center"/>
              <w:rPr>
                <w:rFonts w:ascii="Arial" w:hAnsi="Arial" w:cs="Arial"/>
                <w:sz w:val="18"/>
                <w:szCs w:val="18"/>
              </w:rPr>
            </w:pPr>
            <w:r w:rsidRPr="00576180">
              <w:rPr>
                <w:rFonts w:ascii="Arial" w:hAnsi="Arial" w:cs="Arial"/>
                <w:sz w:val="18"/>
                <w:szCs w:val="18"/>
              </w:rPr>
              <w:t>P(a)</w:t>
            </w:r>
          </w:p>
        </w:tc>
        <w:tc>
          <w:tcPr>
            <w:tcW w:w="667" w:type="dxa"/>
            <w:vAlign w:val="center"/>
          </w:tcPr>
          <w:p w14:paraId="73CC4F80" w14:textId="20BA13D3" w:rsidR="00D1344C" w:rsidRPr="00576180" w:rsidRDefault="009D27F0" w:rsidP="00D1344C">
            <w:pPr>
              <w:jc w:val="center"/>
              <w:rPr>
                <w:rFonts w:ascii="Arial" w:hAnsi="Arial" w:cs="Arial"/>
                <w:sz w:val="18"/>
                <w:szCs w:val="18"/>
              </w:rPr>
            </w:pPr>
            <w:r w:rsidRPr="00576180">
              <w:rPr>
                <w:rFonts w:ascii="Arial" w:hAnsi="Arial" w:cs="Arial"/>
                <w:sz w:val="18"/>
                <w:szCs w:val="18"/>
              </w:rPr>
              <w:t>1</w:t>
            </w:r>
          </w:p>
        </w:tc>
        <w:tc>
          <w:tcPr>
            <w:tcW w:w="4031" w:type="dxa"/>
            <w:vMerge/>
            <w:vAlign w:val="center"/>
          </w:tcPr>
          <w:p w14:paraId="0012CEAD" w14:textId="77777777" w:rsidR="00D1344C" w:rsidRPr="00576180" w:rsidRDefault="00D1344C" w:rsidP="00D1344C">
            <w:pPr>
              <w:rPr>
                <w:rFonts w:ascii="Arial" w:hAnsi="Arial" w:cs="Arial"/>
                <w:color w:val="808080" w:themeColor="background1" w:themeShade="80"/>
                <w:sz w:val="18"/>
                <w:szCs w:val="18"/>
              </w:rPr>
            </w:pPr>
          </w:p>
        </w:tc>
        <w:tc>
          <w:tcPr>
            <w:tcW w:w="617" w:type="dxa"/>
            <w:vMerge/>
          </w:tcPr>
          <w:p w14:paraId="6C8F68FC" w14:textId="77777777" w:rsidR="00D1344C" w:rsidRPr="00576180" w:rsidRDefault="00D1344C" w:rsidP="00D1344C">
            <w:pPr>
              <w:rPr>
                <w:rFonts w:ascii="Arial" w:hAnsi="Arial" w:cs="Arial"/>
                <w:color w:val="808080" w:themeColor="background1" w:themeShade="80"/>
                <w:sz w:val="18"/>
                <w:szCs w:val="18"/>
              </w:rPr>
            </w:pPr>
          </w:p>
        </w:tc>
        <w:tc>
          <w:tcPr>
            <w:tcW w:w="1217" w:type="dxa"/>
            <w:vMerge/>
            <w:vAlign w:val="center"/>
          </w:tcPr>
          <w:p w14:paraId="54BB76D8" w14:textId="77777777" w:rsidR="00D1344C" w:rsidRPr="00576180" w:rsidRDefault="00D1344C" w:rsidP="00D1344C">
            <w:pPr>
              <w:rPr>
                <w:rFonts w:ascii="Arial" w:hAnsi="Arial" w:cs="Arial"/>
                <w:color w:val="808080" w:themeColor="background1" w:themeShade="80"/>
                <w:sz w:val="18"/>
                <w:szCs w:val="18"/>
              </w:rPr>
            </w:pPr>
          </w:p>
        </w:tc>
      </w:tr>
      <w:tr w:rsidR="00D1344C" w:rsidRPr="00576180" w14:paraId="1427DFB7" w14:textId="77777777" w:rsidTr="00957319">
        <w:trPr>
          <w:trHeight w:val="125"/>
        </w:trPr>
        <w:tc>
          <w:tcPr>
            <w:tcW w:w="1507" w:type="dxa"/>
            <w:gridSpan w:val="2"/>
            <w:vMerge/>
            <w:vAlign w:val="center"/>
          </w:tcPr>
          <w:p w14:paraId="2AD58756" w14:textId="77777777" w:rsidR="00D1344C" w:rsidRPr="00576180" w:rsidRDefault="00D1344C" w:rsidP="00D1344C">
            <w:pPr>
              <w:rPr>
                <w:rFonts w:ascii="Arial" w:hAnsi="Arial" w:cs="Arial"/>
                <w:sz w:val="18"/>
                <w:szCs w:val="18"/>
              </w:rPr>
            </w:pPr>
          </w:p>
        </w:tc>
        <w:tc>
          <w:tcPr>
            <w:tcW w:w="1287" w:type="dxa"/>
            <w:vMerge/>
            <w:vAlign w:val="center"/>
          </w:tcPr>
          <w:p w14:paraId="5CB5A9A9" w14:textId="77777777" w:rsidR="00D1344C" w:rsidRPr="00576180" w:rsidRDefault="00D1344C" w:rsidP="00D1344C">
            <w:pPr>
              <w:rPr>
                <w:rFonts w:ascii="Arial" w:hAnsi="Arial" w:cs="Arial"/>
                <w:color w:val="808080" w:themeColor="background1" w:themeShade="80"/>
                <w:sz w:val="18"/>
                <w:szCs w:val="18"/>
              </w:rPr>
            </w:pPr>
          </w:p>
        </w:tc>
        <w:tc>
          <w:tcPr>
            <w:tcW w:w="0" w:type="auto"/>
            <w:vMerge/>
            <w:vAlign w:val="center"/>
          </w:tcPr>
          <w:p w14:paraId="403A93CF" w14:textId="77777777" w:rsidR="00D1344C" w:rsidRPr="00576180" w:rsidRDefault="00D1344C" w:rsidP="00D1344C">
            <w:pPr>
              <w:jc w:val="center"/>
              <w:rPr>
                <w:rFonts w:ascii="Arial" w:hAnsi="Arial" w:cs="Arial"/>
                <w:color w:val="808080" w:themeColor="background1" w:themeShade="80"/>
                <w:sz w:val="18"/>
                <w:szCs w:val="18"/>
              </w:rPr>
            </w:pPr>
          </w:p>
        </w:tc>
        <w:tc>
          <w:tcPr>
            <w:tcW w:w="617" w:type="dxa"/>
            <w:vMerge/>
            <w:vAlign w:val="center"/>
          </w:tcPr>
          <w:p w14:paraId="224536C1" w14:textId="77777777" w:rsidR="00D1344C" w:rsidRPr="00576180" w:rsidRDefault="00D1344C" w:rsidP="00D1344C">
            <w:pPr>
              <w:jc w:val="center"/>
              <w:rPr>
                <w:rFonts w:ascii="Arial" w:hAnsi="Arial" w:cs="Arial"/>
                <w:color w:val="808080" w:themeColor="background1" w:themeShade="80"/>
                <w:sz w:val="18"/>
                <w:szCs w:val="18"/>
              </w:rPr>
            </w:pPr>
          </w:p>
        </w:tc>
        <w:tc>
          <w:tcPr>
            <w:tcW w:w="557" w:type="dxa"/>
            <w:vAlign w:val="center"/>
          </w:tcPr>
          <w:p w14:paraId="545259B0" w14:textId="77777777" w:rsidR="00D1344C" w:rsidRPr="00576180" w:rsidRDefault="00D1344C" w:rsidP="00D1344C">
            <w:pPr>
              <w:jc w:val="center"/>
              <w:rPr>
                <w:rFonts w:ascii="Arial" w:hAnsi="Arial" w:cs="Arial"/>
                <w:sz w:val="18"/>
                <w:szCs w:val="18"/>
              </w:rPr>
            </w:pPr>
            <w:r w:rsidRPr="00576180">
              <w:rPr>
                <w:rFonts w:ascii="Arial" w:hAnsi="Arial" w:cs="Arial"/>
                <w:sz w:val="18"/>
                <w:szCs w:val="18"/>
              </w:rPr>
              <w:t>A</w:t>
            </w:r>
          </w:p>
        </w:tc>
        <w:tc>
          <w:tcPr>
            <w:tcW w:w="667" w:type="dxa"/>
            <w:vAlign w:val="center"/>
          </w:tcPr>
          <w:p w14:paraId="76478B07" w14:textId="7A585635" w:rsidR="00D1344C" w:rsidRPr="00576180" w:rsidRDefault="00D1344C" w:rsidP="00D1344C">
            <w:pPr>
              <w:jc w:val="center"/>
              <w:rPr>
                <w:rFonts w:ascii="Arial" w:hAnsi="Arial" w:cs="Arial"/>
                <w:sz w:val="18"/>
                <w:szCs w:val="18"/>
              </w:rPr>
            </w:pPr>
            <w:r w:rsidRPr="00576180">
              <w:rPr>
                <w:rFonts w:ascii="Arial" w:hAnsi="Arial" w:cs="Arial"/>
                <w:sz w:val="18"/>
                <w:szCs w:val="18"/>
              </w:rPr>
              <w:t>2</w:t>
            </w:r>
          </w:p>
        </w:tc>
        <w:tc>
          <w:tcPr>
            <w:tcW w:w="4031" w:type="dxa"/>
            <w:vMerge/>
            <w:vAlign w:val="center"/>
          </w:tcPr>
          <w:p w14:paraId="31AD806F" w14:textId="77777777" w:rsidR="00D1344C" w:rsidRPr="00576180" w:rsidRDefault="00D1344C" w:rsidP="00D1344C">
            <w:pPr>
              <w:rPr>
                <w:rFonts w:ascii="Arial" w:hAnsi="Arial" w:cs="Arial"/>
                <w:color w:val="808080" w:themeColor="background1" w:themeShade="80"/>
                <w:sz w:val="18"/>
                <w:szCs w:val="18"/>
              </w:rPr>
            </w:pPr>
          </w:p>
        </w:tc>
        <w:tc>
          <w:tcPr>
            <w:tcW w:w="617" w:type="dxa"/>
            <w:vMerge/>
          </w:tcPr>
          <w:p w14:paraId="6824E396" w14:textId="77777777" w:rsidR="00D1344C" w:rsidRPr="00576180" w:rsidRDefault="00D1344C" w:rsidP="00D1344C">
            <w:pPr>
              <w:rPr>
                <w:rFonts w:ascii="Arial" w:hAnsi="Arial" w:cs="Arial"/>
                <w:color w:val="808080" w:themeColor="background1" w:themeShade="80"/>
                <w:sz w:val="18"/>
                <w:szCs w:val="18"/>
              </w:rPr>
            </w:pPr>
          </w:p>
        </w:tc>
        <w:tc>
          <w:tcPr>
            <w:tcW w:w="1217" w:type="dxa"/>
            <w:vMerge/>
            <w:vAlign w:val="center"/>
          </w:tcPr>
          <w:p w14:paraId="6A3BD359" w14:textId="77777777" w:rsidR="00D1344C" w:rsidRPr="00576180" w:rsidRDefault="00D1344C" w:rsidP="00D1344C">
            <w:pPr>
              <w:rPr>
                <w:rFonts w:ascii="Arial" w:hAnsi="Arial" w:cs="Arial"/>
                <w:color w:val="808080" w:themeColor="background1" w:themeShade="80"/>
                <w:sz w:val="18"/>
                <w:szCs w:val="18"/>
              </w:rPr>
            </w:pPr>
          </w:p>
        </w:tc>
      </w:tr>
      <w:tr w:rsidR="00D1344C" w:rsidRPr="00576180" w14:paraId="208342CA" w14:textId="77777777" w:rsidTr="00957319">
        <w:trPr>
          <w:trHeight w:val="56"/>
        </w:trPr>
        <w:tc>
          <w:tcPr>
            <w:tcW w:w="1507" w:type="dxa"/>
            <w:gridSpan w:val="2"/>
            <w:vMerge w:val="restart"/>
            <w:vAlign w:val="center"/>
          </w:tcPr>
          <w:p w14:paraId="58BE35E9" w14:textId="538FCFC7" w:rsidR="00D1344C" w:rsidRPr="00576180" w:rsidRDefault="00D1344C" w:rsidP="00D1344C">
            <w:pPr>
              <w:rPr>
                <w:rFonts w:ascii="Arial" w:hAnsi="Arial" w:cs="Arial"/>
                <w:sz w:val="18"/>
                <w:szCs w:val="18"/>
              </w:rPr>
            </w:pPr>
            <w:r w:rsidRPr="00576180">
              <w:rPr>
                <w:rFonts w:ascii="Arial" w:hAnsi="Arial" w:cs="Arial"/>
                <w:sz w:val="18"/>
                <w:szCs w:val="18"/>
              </w:rPr>
              <w:t>3.4 Evaluaciones de diseño, impacto y desempeño realizadas y revisiones metodológicas</w:t>
            </w:r>
          </w:p>
        </w:tc>
        <w:tc>
          <w:tcPr>
            <w:tcW w:w="1287" w:type="dxa"/>
            <w:vMerge w:val="restart"/>
            <w:vAlign w:val="center"/>
          </w:tcPr>
          <w:p w14:paraId="142721F6" w14:textId="025C6519" w:rsidR="00D1344C" w:rsidRPr="00576180" w:rsidRDefault="00D1344C" w:rsidP="00D1344C">
            <w:pPr>
              <w:jc w:val="center"/>
              <w:rPr>
                <w:rFonts w:ascii="Arial" w:hAnsi="Arial" w:cs="Arial"/>
                <w:sz w:val="18"/>
                <w:szCs w:val="18"/>
              </w:rPr>
            </w:pPr>
            <w:r w:rsidRPr="00576180">
              <w:rPr>
                <w:rFonts w:ascii="Arial" w:hAnsi="Arial" w:cs="Arial"/>
                <w:sz w:val="18"/>
                <w:szCs w:val="18"/>
              </w:rPr>
              <w:t>Evaluaciones</w:t>
            </w:r>
          </w:p>
        </w:tc>
        <w:tc>
          <w:tcPr>
            <w:tcW w:w="0" w:type="auto"/>
            <w:vMerge w:val="restart"/>
            <w:vAlign w:val="center"/>
          </w:tcPr>
          <w:p w14:paraId="3C4E8693" w14:textId="77777777" w:rsidR="00D1344C" w:rsidRPr="00576180" w:rsidRDefault="00D1344C" w:rsidP="00D1344C">
            <w:pPr>
              <w:jc w:val="center"/>
              <w:rPr>
                <w:rFonts w:ascii="Arial" w:hAnsi="Arial" w:cs="Arial"/>
                <w:sz w:val="18"/>
                <w:szCs w:val="18"/>
              </w:rPr>
            </w:pPr>
            <w:r w:rsidRPr="00576180">
              <w:rPr>
                <w:rFonts w:ascii="Arial" w:hAnsi="Arial" w:cs="Arial"/>
                <w:sz w:val="18"/>
                <w:szCs w:val="18"/>
              </w:rPr>
              <w:t>0</w:t>
            </w:r>
          </w:p>
        </w:tc>
        <w:tc>
          <w:tcPr>
            <w:tcW w:w="617" w:type="dxa"/>
            <w:vMerge w:val="restart"/>
            <w:vAlign w:val="center"/>
          </w:tcPr>
          <w:p w14:paraId="2B8D95B0" w14:textId="5F1A822D" w:rsidR="00D1344C" w:rsidRPr="00576180" w:rsidRDefault="00D1344C" w:rsidP="00D1344C">
            <w:pPr>
              <w:jc w:val="center"/>
              <w:rPr>
                <w:rFonts w:ascii="Arial" w:hAnsi="Arial" w:cs="Arial"/>
                <w:sz w:val="18"/>
                <w:szCs w:val="18"/>
              </w:rPr>
            </w:pPr>
            <w:r w:rsidRPr="00576180">
              <w:rPr>
                <w:rFonts w:ascii="Arial" w:hAnsi="Arial" w:cs="Arial"/>
                <w:sz w:val="18"/>
                <w:szCs w:val="18"/>
              </w:rPr>
              <w:t>2010</w:t>
            </w:r>
          </w:p>
        </w:tc>
        <w:tc>
          <w:tcPr>
            <w:tcW w:w="557" w:type="dxa"/>
            <w:vAlign w:val="center"/>
          </w:tcPr>
          <w:p w14:paraId="71B44412" w14:textId="77777777" w:rsidR="00D1344C" w:rsidRPr="00576180" w:rsidRDefault="00D1344C" w:rsidP="00D1344C">
            <w:pPr>
              <w:jc w:val="center"/>
              <w:rPr>
                <w:rFonts w:ascii="Arial" w:hAnsi="Arial" w:cs="Arial"/>
                <w:sz w:val="18"/>
                <w:szCs w:val="18"/>
              </w:rPr>
            </w:pPr>
            <w:r w:rsidRPr="00576180">
              <w:rPr>
                <w:rFonts w:ascii="Arial" w:hAnsi="Arial" w:cs="Arial"/>
                <w:sz w:val="18"/>
                <w:szCs w:val="18"/>
              </w:rPr>
              <w:t>P</w:t>
            </w:r>
          </w:p>
        </w:tc>
        <w:tc>
          <w:tcPr>
            <w:tcW w:w="667" w:type="dxa"/>
            <w:vAlign w:val="center"/>
          </w:tcPr>
          <w:p w14:paraId="2BA45D27" w14:textId="0B52733E" w:rsidR="00D1344C" w:rsidRPr="00576180" w:rsidRDefault="00D1344C" w:rsidP="00D1344C">
            <w:pPr>
              <w:jc w:val="center"/>
              <w:rPr>
                <w:rFonts w:ascii="Arial" w:hAnsi="Arial" w:cs="Arial"/>
                <w:sz w:val="18"/>
                <w:szCs w:val="18"/>
              </w:rPr>
            </w:pPr>
            <w:r w:rsidRPr="00576180">
              <w:rPr>
                <w:rFonts w:ascii="Arial" w:hAnsi="Arial" w:cs="Arial"/>
                <w:sz w:val="18"/>
                <w:szCs w:val="18"/>
              </w:rPr>
              <w:t>4</w:t>
            </w:r>
          </w:p>
        </w:tc>
        <w:tc>
          <w:tcPr>
            <w:tcW w:w="4031" w:type="dxa"/>
            <w:vMerge w:val="restart"/>
            <w:vAlign w:val="center"/>
          </w:tcPr>
          <w:p w14:paraId="5B966953" w14:textId="77777777" w:rsidR="00D1344C" w:rsidRPr="00576180" w:rsidRDefault="00D1344C" w:rsidP="00D1344C">
            <w:pPr>
              <w:jc w:val="center"/>
              <w:rPr>
                <w:rFonts w:ascii="Arial" w:hAnsi="Arial" w:cs="Arial"/>
                <w:sz w:val="18"/>
                <w:szCs w:val="18"/>
              </w:rPr>
            </w:pPr>
            <w:r w:rsidRPr="00576180">
              <w:rPr>
                <w:rFonts w:ascii="Arial" w:hAnsi="Arial" w:cs="Arial"/>
                <w:sz w:val="18"/>
                <w:szCs w:val="18"/>
              </w:rPr>
              <w:t>100%</w:t>
            </w:r>
          </w:p>
        </w:tc>
        <w:tc>
          <w:tcPr>
            <w:tcW w:w="617" w:type="dxa"/>
            <w:vMerge w:val="restart"/>
            <w:vAlign w:val="center"/>
          </w:tcPr>
          <w:p w14:paraId="34536BEC" w14:textId="64D80DC6" w:rsidR="00D1344C" w:rsidRPr="00576180" w:rsidRDefault="00D1344C" w:rsidP="00D1344C">
            <w:pPr>
              <w:jc w:val="center"/>
              <w:rPr>
                <w:rFonts w:ascii="Arial" w:hAnsi="Arial" w:cs="Arial"/>
                <w:sz w:val="18"/>
                <w:szCs w:val="18"/>
              </w:rPr>
            </w:pPr>
            <w:r w:rsidRPr="00576180">
              <w:rPr>
                <w:rFonts w:ascii="Arial" w:hAnsi="Arial" w:cs="Arial"/>
                <w:sz w:val="18"/>
                <w:szCs w:val="18"/>
              </w:rPr>
              <w:t>2015</w:t>
            </w:r>
          </w:p>
        </w:tc>
        <w:tc>
          <w:tcPr>
            <w:tcW w:w="1217" w:type="dxa"/>
            <w:vMerge w:val="restart"/>
            <w:vAlign w:val="center"/>
          </w:tcPr>
          <w:p w14:paraId="7F5FFD3E" w14:textId="05B7A698" w:rsidR="00D1344C" w:rsidRPr="00576180" w:rsidRDefault="00D1344C" w:rsidP="00D1344C">
            <w:pPr>
              <w:rPr>
                <w:rFonts w:ascii="Arial" w:hAnsi="Arial" w:cs="Arial"/>
                <w:sz w:val="18"/>
                <w:szCs w:val="18"/>
              </w:rPr>
            </w:pPr>
            <w:r w:rsidRPr="00576180">
              <w:rPr>
                <w:rFonts w:ascii="Arial" w:hAnsi="Arial" w:cs="Arial"/>
                <w:sz w:val="18"/>
                <w:szCs w:val="18"/>
              </w:rPr>
              <w:t>Informe MEF</w:t>
            </w:r>
          </w:p>
        </w:tc>
      </w:tr>
      <w:tr w:rsidR="00611C33" w:rsidRPr="00576180" w14:paraId="36EEC9BB" w14:textId="77777777" w:rsidTr="00957319">
        <w:trPr>
          <w:trHeight w:val="345"/>
        </w:trPr>
        <w:tc>
          <w:tcPr>
            <w:tcW w:w="1507" w:type="dxa"/>
            <w:gridSpan w:val="2"/>
            <w:vMerge/>
            <w:vAlign w:val="center"/>
          </w:tcPr>
          <w:p w14:paraId="66A5FE3F" w14:textId="77777777" w:rsidR="00611C33" w:rsidRPr="00576180" w:rsidRDefault="00611C33" w:rsidP="00611C33">
            <w:pPr>
              <w:rPr>
                <w:rFonts w:ascii="Arial" w:hAnsi="Arial" w:cs="Arial"/>
                <w:color w:val="808080" w:themeColor="text1" w:themeTint="7F"/>
                <w:sz w:val="18"/>
                <w:szCs w:val="18"/>
              </w:rPr>
            </w:pPr>
          </w:p>
        </w:tc>
        <w:tc>
          <w:tcPr>
            <w:tcW w:w="1287" w:type="dxa"/>
            <w:vMerge/>
            <w:vAlign w:val="center"/>
          </w:tcPr>
          <w:p w14:paraId="09179FF1" w14:textId="77777777" w:rsidR="00611C33" w:rsidRPr="00576180" w:rsidRDefault="00611C33" w:rsidP="00611C33">
            <w:pPr>
              <w:rPr>
                <w:rFonts w:ascii="Arial" w:hAnsi="Arial" w:cs="Arial"/>
                <w:color w:val="808080" w:themeColor="background1" w:themeShade="80"/>
                <w:sz w:val="18"/>
                <w:szCs w:val="18"/>
              </w:rPr>
            </w:pPr>
          </w:p>
        </w:tc>
        <w:tc>
          <w:tcPr>
            <w:tcW w:w="0" w:type="auto"/>
            <w:vMerge/>
            <w:vAlign w:val="center"/>
          </w:tcPr>
          <w:p w14:paraId="6A5F86FD" w14:textId="77777777" w:rsidR="00611C33" w:rsidRPr="00576180" w:rsidRDefault="00611C33" w:rsidP="00611C33">
            <w:pPr>
              <w:jc w:val="center"/>
              <w:rPr>
                <w:rFonts w:ascii="Arial" w:hAnsi="Arial" w:cs="Arial"/>
                <w:color w:val="808080" w:themeColor="background1" w:themeShade="80"/>
                <w:sz w:val="18"/>
                <w:szCs w:val="18"/>
              </w:rPr>
            </w:pPr>
          </w:p>
        </w:tc>
        <w:tc>
          <w:tcPr>
            <w:tcW w:w="617" w:type="dxa"/>
            <w:vMerge/>
            <w:vAlign w:val="center"/>
          </w:tcPr>
          <w:p w14:paraId="6DCA78B7" w14:textId="77777777" w:rsidR="00611C33" w:rsidRPr="00576180" w:rsidRDefault="00611C33" w:rsidP="00611C33">
            <w:pPr>
              <w:jc w:val="center"/>
              <w:rPr>
                <w:rFonts w:ascii="Arial" w:hAnsi="Arial" w:cs="Arial"/>
                <w:color w:val="808080" w:themeColor="background1" w:themeShade="80"/>
                <w:sz w:val="18"/>
                <w:szCs w:val="18"/>
              </w:rPr>
            </w:pPr>
          </w:p>
        </w:tc>
        <w:tc>
          <w:tcPr>
            <w:tcW w:w="557" w:type="dxa"/>
            <w:vAlign w:val="center"/>
          </w:tcPr>
          <w:p w14:paraId="0B85F866" w14:textId="77777777" w:rsidR="00611C33" w:rsidRPr="00576180" w:rsidRDefault="00611C33" w:rsidP="00611C33">
            <w:pPr>
              <w:jc w:val="center"/>
              <w:rPr>
                <w:rFonts w:ascii="Arial" w:hAnsi="Arial" w:cs="Arial"/>
                <w:sz w:val="18"/>
                <w:szCs w:val="18"/>
              </w:rPr>
            </w:pPr>
            <w:r w:rsidRPr="00576180">
              <w:rPr>
                <w:rFonts w:ascii="Arial" w:hAnsi="Arial" w:cs="Arial"/>
                <w:sz w:val="18"/>
                <w:szCs w:val="18"/>
              </w:rPr>
              <w:t>P(a)</w:t>
            </w:r>
          </w:p>
        </w:tc>
        <w:tc>
          <w:tcPr>
            <w:tcW w:w="667" w:type="dxa"/>
            <w:vAlign w:val="center"/>
          </w:tcPr>
          <w:p w14:paraId="2D971488" w14:textId="1D975634" w:rsidR="00611C33" w:rsidRPr="00576180" w:rsidRDefault="009D27F0" w:rsidP="00611C33">
            <w:pPr>
              <w:jc w:val="center"/>
              <w:rPr>
                <w:rFonts w:ascii="Arial" w:hAnsi="Arial" w:cs="Arial"/>
                <w:sz w:val="18"/>
                <w:szCs w:val="18"/>
              </w:rPr>
            </w:pPr>
            <w:r w:rsidRPr="00576180">
              <w:rPr>
                <w:rFonts w:ascii="Arial" w:hAnsi="Arial" w:cs="Arial"/>
                <w:sz w:val="18"/>
                <w:szCs w:val="18"/>
              </w:rPr>
              <w:t>14</w:t>
            </w:r>
          </w:p>
        </w:tc>
        <w:tc>
          <w:tcPr>
            <w:tcW w:w="4031" w:type="dxa"/>
            <w:vMerge/>
            <w:vAlign w:val="center"/>
          </w:tcPr>
          <w:p w14:paraId="17FB7715" w14:textId="77777777" w:rsidR="00611C33" w:rsidRPr="00576180" w:rsidRDefault="00611C33" w:rsidP="00611C33">
            <w:pPr>
              <w:rPr>
                <w:rFonts w:ascii="Arial" w:hAnsi="Arial" w:cs="Arial"/>
                <w:color w:val="808080" w:themeColor="background1" w:themeShade="80"/>
                <w:sz w:val="18"/>
                <w:szCs w:val="18"/>
              </w:rPr>
            </w:pPr>
          </w:p>
        </w:tc>
        <w:tc>
          <w:tcPr>
            <w:tcW w:w="617" w:type="dxa"/>
            <w:vMerge/>
          </w:tcPr>
          <w:p w14:paraId="251413A8" w14:textId="77777777" w:rsidR="00611C33" w:rsidRPr="00576180" w:rsidRDefault="00611C33" w:rsidP="00611C33">
            <w:pPr>
              <w:rPr>
                <w:rFonts w:ascii="Arial" w:hAnsi="Arial" w:cs="Arial"/>
                <w:color w:val="808080" w:themeColor="background1" w:themeShade="80"/>
                <w:sz w:val="18"/>
                <w:szCs w:val="18"/>
              </w:rPr>
            </w:pPr>
          </w:p>
        </w:tc>
        <w:tc>
          <w:tcPr>
            <w:tcW w:w="1217" w:type="dxa"/>
            <w:vMerge/>
            <w:vAlign w:val="center"/>
          </w:tcPr>
          <w:p w14:paraId="0E42E242" w14:textId="77777777" w:rsidR="00611C33" w:rsidRPr="00576180" w:rsidRDefault="00611C33" w:rsidP="00611C33">
            <w:pPr>
              <w:rPr>
                <w:rFonts w:ascii="Arial" w:hAnsi="Arial" w:cs="Arial"/>
                <w:color w:val="808080" w:themeColor="background1" w:themeShade="80"/>
                <w:sz w:val="18"/>
                <w:szCs w:val="18"/>
              </w:rPr>
            </w:pPr>
          </w:p>
        </w:tc>
      </w:tr>
      <w:tr w:rsidR="00611C33" w:rsidRPr="00576180" w14:paraId="71CF0520" w14:textId="77777777" w:rsidTr="00957319">
        <w:trPr>
          <w:trHeight w:val="125"/>
        </w:trPr>
        <w:tc>
          <w:tcPr>
            <w:tcW w:w="1507" w:type="dxa"/>
            <w:gridSpan w:val="2"/>
            <w:vMerge/>
            <w:vAlign w:val="center"/>
          </w:tcPr>
          <w:p w14:paraId="01BDD6EA" w14:textId="77777777" w:rsidR="00611C33" w:rsidRPr="00576180" w:rsidRDefault="00611C33" w:rsidP="00611C33">
            <w:pPr>
              <w:rPr>
                <w:rFonts w:ascii="Arial" w:hAnsi="Arial" w:cs="Arial"/>
                <w:color w:val="808080" w:themeColor="text1" w:themeTint="7F"/>
                <w:sz w:val="18"/>
                <w:szCs w:val="18"/>
              </w:rPr>
            </w:pPr>
          </w:p>
        </w:tc>
        <w:tc>
          <w:tcPr>
            <w:tcW w:w="1287" w:type="dxa"/>
            <w:vMerge/>
            <w:vAlign w:val="center"/>
          </w:tcPr>
          <w:p w14:paraId="6AEA8986" w14:textId="77777777" w:rsidR="00611C33" w:rsidRPr="00576180" w:rsidRDefault="00611C33" w:rsidP="00611C33">
            <w:pPr>
              <w:rPr>
                <w:rFonts w:ascii="Arial" w:hAnsi="Arial" w:cs="Arial"/>
                <w:color w:val="808080" w:themeColor="background1" w:themeShade="80"/>
                <w:sz w:val="18"/>
                <w:szCs w:val="18"/>
              </w:rPr>
            </w:pPr>
          </w:p>
        </w:tc>
        <w:tc>
          <w:tcPr>
            <w:tcW w:w="0" w:type="auto"/>
            <w:vMerge/>
            <w:vAlign w:val="center"/>
          </w:tcPr>
          <w:p w14:paraId="42AAD491" w14:textId="77777777" w:rsidR="00611C33" w:rsidRPr="00576180" w:rsidRDefault="00611C33" w:rsidP="00611C33">
            <w:pPr>
              <w:jc w:val="center"/>
              <w:rPr>
                <w:rFonts w:ascii="Arial" w:hAnsi="Arial" w:cs="Arial"/>
                <w:color w:val="808080" w:themeColor="background1" w:themeShade="80"/>
                <w:sz w:val="18"/>
                <w:szCs w:val="18"/>
              </w:rPr>
            </w:pPr>
          </w:p>
        </w:tc>
        <w:tc>
          <w:tcPr>
            <w:tcW w:w="617" w:type="dxa"/>
            <w:vMerge/>
            <w:vAlign w:val="center"/>
          </w:tcPr>
          <w:p w14:paraId="2EA98509" w14:textId="77777777" w:rsidR="00611C33" w:rsidRPr="00576180" w:rsidRDefault="00611C33" w:rsidP="00611C33">
            <w:pPr>
              <w:jc w:val="center"/>
              <w:rPr>
                <w:rFonts w:ascii="Arial" w:hAnsi="Arial" w:cs="Arial"/>
                <w:color w:val="808080" w:themeColor="background1" w:themeShade="80"/>
                <w:sz w:val="18"/>
                <w:szCs w:val="18"/>
              </w:rPr>
            </w:pPr>
          </w:p>
        </w:tc>
        <w:tc>
          <w:tcPr>
            <w:tcW w:w="557" w:type="dxa"/>
            <w:vAlign w:val="center"/>
          </w:tcPr>
          <w:p w14:paraId="38617340" w14:textId="77777777" w:rsidR="00611C33" w:rsidRPr="00576180" w:rsidRDefault="00611C33" w:rsidP="00611C33">
            <w:pPr>
              <w:jc w:val="center"/>
              <w:rPr>
                <w:rFonts w:ascii="Arial" w:hAnsi="Arial" w:cs="Arial"/>
                <w:sz w:val="18"/>
                <w:szCs w:val="18"/>
              </w:rPr>
            </w:pPr>
            <w:r w:rsidRPr="00576180">
              <w:rPr>
                <w:rFonts w:ascii="Arial" w:hAnsi="Arial" w:cs="Arial"/>
                <w:sz w:val="18"/>
                <w:szCs w:val="18"/>
              </w:rPr>
              <w:t>A</w:t>
            </w:r>
          </w:p>
        </w:tc>
        <w:tc>
          <w:tcPr>
            <w:tcW w:w="667" w:type="dxa"/>
            <w:vAlign w:val="center"/>
          </w:tcPr>
          <w:p w14:paraId="0D8F34F2" w14:textId="73BF9DC5" w:rsidR="00611C33" w:rsidRPr="00576180" w:rsidRDefault="00D1344C" w:rsidP="00611C33">
            <w:pPr>
              <w:jc w:val="center"/>
              <w:rPr>
                <w:rFonts w:ascii="Arial" w:hAnsi="Arial" w:cs="Arial"/>
                <w:sz w:val="18"/>
                <w:szCs w:val="18"/>
              </w:rPr>
            </w:pPr>
            <w:r w:rsidRPr="00576180">
              <w:rPr>
                <w:rFonts w:ascii="Arial" w:hAnsi="Arial" w:cs="Arial"/>
                <w:sz w:val="18"/>
                <w:szCs w:val="18"/>
              </w:rPr>
              <w:t>14</w:t>
            </w:r>
          </w:p>
        </w:tc>
        <w:tc>
          <w:tcPr>
            <w:tcW w:w="4031" w:type="dxa"/>
            <w:vMerge/>
            <w:vAlign w:val="center"/>
          </w:tcPr>
          <w:p w14:paraId="49EEE175" w14:textId="77777777" w:rsidR="00611C33" w:rsidRPr="00576180" w:rsidRDefault="00611C33" w:rsidP="00611C33">
            <w:pPr>
              <w:rPr>
                <w:rFonts w:ascii="Arial" w:hAnsi="Arial" w:cs="Arial"/>
                <w:color w:val="808080" w:themeColor="background1" w:themeShade="80"/>
                <w:sz w:val="18"/>
                <w:szCs w:val="18"/>
              </w:rPr>
            </w:pPr>
          </w:p>
        </w:tc>
        <w:tc>
          <w:tcPr>
            <w:tcW w:w="617" w:type="dxa"/>
            <w:vMerge/>
          </w:tcPr>
          <w:p w14:paraId="6C4C3286" w14:textId="77777777" w:rsidR="00611C33" w:rsidRPr="00576180" w:rsidRDefault="00611C33" w:rsidP="00611C33">
            <w:pPr>
              <w:rPr>
                <w:rFonts w:ascii="Arial" w:hAnsi="Arial" w:cs="Arial"/>
                <w:color w:val="808080" w:themeColor="background1" w:themeShade="80"/>
                <w:sz w:val="18"/>
                <w:szCs w:val="18"/>
              </w:rPr>
            </w:pPr>
          </w:p>
        </w:tc>
        <w:tc>
          <w:tcPr>
            <w:tcW w:w="1217" w:type="dxa"/>
            <w:vMerge/>
            <w:vAlign w:val="center"/>
          </w:tcPr>
          <w:p w14:paraId="423B2389" w14:textId="77777777" w:rsidR="00611C33" w:rsidRPr="00576180" w:rsidRDefault="00611C33" w:rsidP="00611C33">
            <w:pPr>
              <w:rPr>
                <w:rFonts w:ascii="Arial" w:hAnsi="Arial" w:cs="Arial"/>
                <w:color w:val="808080" w:themeColor="background1" w:themeShade="80"/>
                <w:sz w:val="18"/>
                <w:szCs w:val="18"/>
              </w:rPr>
            </w:pPr>
          </w:p>
        </w:tc>
      </w:tr>
    </w:tbl>
    <w:p w14:paraId="59EDE5EC" w14:textId="2D9F1134" w:rsidR="00572DE5" w:rsidRPr="00576180" w:rsidRDefault="007268B6" w:rsidP="00966384">
      <w:pPr>
        <w:spacing w:after="0"/>
        <w:ind w:left="-540"/>
        <w:rPr>
          <w:rFonts w:ascii="Arial" w:eastAsia="Times New Roman" w:hAnsi="Arial" w:cs="Arial"/>
          <w:color w:val="000000"/>
          <w:sz w:val="16"/>
          <w:szCs w:val="16"/>
          <w:lang w:eastAsia="pt-BR"/>
        </w:rPr>
      </w:pPr>
      <w:r w:rsidRPr="00576180">
        <w:rPr>
          <w:rFonts w:ascii="Arial" w:eastAsia="Times New Roman" w:hAnsi="Arial" w:cs="Arial"/>
          <w:color w:val="000000"/>
          <w:sz w:val="16"/>
          <w:szCs w:val="16"/>
          <w:lang w:eastAsia="pt-BR"/>
        </w:rPr>
        <w:t>Fuente: Convergencia.</w:t>
      </w:r>
    </w:p>
    <w:p w14:paraId="5662AA63" w14:textId="588A1E41" w:rsidR="0079603A" w:rsidRPr="00576180" w:rsidRDefault="00420E04" w:rsidP="00D17FF5">
      <w:pPr>
        <w:pStyle w:val="ListParagraph"/>
        <w:tabs>
          <w:tab w:val="left" w:pos="9000"/>
        </w:tabs>
        <w:spacing w:before="120" w:after="120" w:line="240" w:lineRule="auto"/>
        <w:ind w:left="360"/>
        <w:contextualSpacing w:val="0"/>
        <w:jc w:val="both"/>
        <w:rPr>
          <w:rFonts w:ascii="Arial" w:hAnsi="Arial" w:cs="Arial"/>
        </w:rPr>
      </w:pPr>
      <w:bookmarkStart w:id="144" w:name="_Hlk531338077"/>
      <w:bookmarkEnd w:id="142"/>
      <w:bookmarkEnd w:id="143"/>
      <w:r w:rsidRPr="00576180">
        <w:rPr>
          <w:rFonts w:ascii="Arial" w:hAnsi="Arial" w:cs="Arial"/>
        </w:rPr>
        <w:t>L</w:t>
      </w:r>
      <w:r w:rsidR="00003F13" w:rsidRPr="00576180">
        <w:rPr>
          <w:rFonts w:ascii="Arial" w:hAnsi="Arial" w:cs="Arial"/>
        </w:rPr>
        <w:t xml:space="preserve">a media </w:t>
      </w:r>
      <w:r w:rsidR="000160B3">
        <w:rPr>
          <w:rFonts w:ascii="Arial" w:hAnsi="Arial" w:cs="Arial"/>
        </w:rPr>
        <w:t xml:space="preserve">general </w:t>
      </w:r>
      <w:r w:rsidR="00003F13" w:rsidRPr="00576180">
        <w:rPr>
          <w:rFonts w:ascii="Arial" w:hAnsi="Arial" w:cs="Arial"/>
        </w:rPr>
        <w:t xml:space="preserve">de los </w:t>
      </w:r>
      <w:r w:rsidR="000160B3">
        <w:rPr>
          <w:rFonts w:ascii="Arial" w:hAnsi="Arial" w:cs="Arial"/>
        </w:rPr>
        <w:t>indicadores</w:t>
      </w:r>
      <w:r w:rsidR="00003F13" w:rsidRPr="00576180">
        <w:rPr>
          <w:rFonts w:ascii="Arial" w:hAnsi="Arial" w:cs="Arial"/>
        </w:rPr>
        <w:t xml:space="preserve"> </w:t>
      </w:r>
      <w:r w:rsidR="000160B3">
        <w:rPr>
          <w:rFonts w:ascii="Arial" w:hAnsi="Arial" w:cs="Arial"/>
        </w:rPr>
        <w:t xml:space="preserve">de productos </w:t>
      </w:r>
      <w:r w:rsidR="00003F13" w:rsidRPr="00576180">
        <w:rPr>
          <w:rFonts w:ascii="Arial" w:hAnsi="Arial" w:cs="Arial"/>
        </w:rPr>
        <w:t>de</w:t>
      </w:r>
      <w:r w:rsidR="00C96B4D" w:rsidRPr="00576180">
        <w:rPr>
          <w:rFonts w:ascii="Arial" w:hAnsi="Arial" w:cs="Arial"/>
        </w:rPr>
        <w:t xml:space="preserve"> los</w:t>
      </w:r>
      <w:r w:rsidR="00003F13" w:rsidRPr="00576180">
        <w:rPr>
          <w:rFonts w:ascii="Arial" w:hAnsi="Arial" w:cs="Arial"/>
        </w:rPr>
        <w:t xml:space="preserve"> </w:t>
      </w:r>
      <w:r w:rsidRPr="00576180">
        <w:rPr>
          <w:rFonts w:ascii="Arial" w:hAnsi="Arial" w:cs="Arial"/>
        </w:rPr>
        <w:t>3</w:t>
      </w:r>
      <w:r w:rsidR="00003F13" w:rsidRPr="00576180">
        <w:rPr>
          <w:rFonts w:ascii="Arial" w:hAnsi="Arial" w:cs="Arial"/>
        </w:rPr>
        <w:t xml:space="preserve"> objetivos específicos </w:t>
      </w:r>
      <w:r w:rsidR="007D5F40">
        <w:rPr>
          <w:rFonts w:ascii="Arial" w:hAnsi="Arial" w:cs="Arial"/>
        </w:rPr>
        <w:t>es</w:t>
      </w:r>
      <w:r w:rsidR="007D5F40" w:rsidRPr="00576180">
        <w:rPr>
          <w:rFonts w:ascii="Arial" w:hAnsi="Arial" w:cs="Arial"/>
        </w:rPr>
        <w:t xml:space="preserve"> </w:t>
      </w:r>
      <w:r w:rsidR="006F03A7">
        <w:rPr>
          <w:rFonts w:ascii="Arial" w:hAnsi="Arial" w:cs="Arial"/>
        </w:rPr>
        <w:t>79.3</w:t>
      </w:r>
      <w:r w:rsidR="00003F13" w:rsidRPr="00576180">
        <w:rPr>
          <w:rFonts w:ascii="Arial" w:hAnsi="Arial" w:cs="Arial"/>
        </w:rPr>
        <w:t>%</w:t>
      </w:r>
      <w:r w:rsidR="00C12A07" w:rsidRPr="00576180">
        <w:rPr>
          <w:rFonts w:ascii="Arial" w:hAnsi="Arial" w:cs="Arial"/>
        </w:rPr>
        <w:t xml:space="preserve">, </w:t>
      </w:r>
      <w:r w:rsidR="009B0AB9">
        <w:rPr>
          <w:rFonts w:ascii="Arial" w:hAnsi="Arial" w:cs="Arial"/>
        </w:rPr>
        <w:t xml:space="preserve">que la clasifica como </w:t>
      </w:r>
      <w:r w:rsidR="006F03A7">
        <w:rPr>
          <w:rFonts w:ascii="Arial" w:hAnsi="Arial" w:cs="Arial"/>
        </w:rPr>
        <w:t>parcialmente insatisfactoria</w:t>
      </w:r>
      <w:r w:rsidR="00003F13" w:rsidRPr="00576180">
        <w:rPr>
          <w:rFonts w:ascii="Arial" w:hAnsi="Arial" w:cs="Arial"/>
        </w:rPr>
        <w:t>.</w:t>
      </w:r>
    </w:p>
    <w:p w14:paraId="222F781A" w14:textId="7C70FDD5" w:rsidR="00003F13" w:rsidRPr="00576180" w:rsidRDefault="00003F13" w:rsidP="00D17FF5">
      <w:pPr>
        <w:pStyle w:val="ListParagraph"/>
        <w:tabs>
          <w:tab w:val="left" w:pos="9000"/>
        </w:tabs>
        <w:spacing w:before="120" w:after="120" w:line="240" w:lineRule="auto"/>
        <w:ind w:left="360"/>
        <w:contextualSpacing w:val="0"/>
        <w:jc w:val="both"/>
        <w:rPr>
          <w:rFonts w:ascii="Arial" w:hAnsi="Arial" w:cs="Arial"/>
        </w:rPr>
      </w:pPr>
      <w:bookmarkStart w:id="145" w:name="_Toc511949085"/>
      <w:bookmarkStart w:id="146" w:name="_Toc511409804"/>
      <w:bookmarkStart w:id="147" w:name="_Toc512433749"/>
      <w:bookmarkStart w:id="148" w:name="_Toc514236639"/>
      <w:bookmarkStart w:id="149" w:name="_Toc516767400"/>
      <w:bookmarkStart w:id="150" w:name="_Toc518037202"/>
      <w:r w:rsidRPr="00576180">
        <w:rPr>
          <w:rFonts w:ascii="Arial" w:hAnsi="Arial" w:cs="Arial"/>
          <w:b/>
        </w:rPr>
        <w:t>Conclusión.</w:t>
      </w:r>
      <w:r w:rsidRPr="00576180">
        <w:rPr>
          <w:rFonts w:ascii="Arial" w:hAnsi="Arial" w:cs="Arial"/>
        </w:rPr>
        <w:t xml:space="preserve"> La efectividad</w:t>
      </w:r>
      <w:r w:rsidR="002A2078" w:rsidRPr="00576180">
        <w:rPr>
          <w:rFonts w:ascii="Arial" w:hAnsi="Arial" w:cs="Arial"/>
        </w:rPr>
        <w:t xml:space="preserve"> </w:t>
      </w:r>
      <w:r w:rsidRPr="00576180">
        <w:rPr>
          <w:rFonts w:ascii="Arial" w:hAnsi="Arial" w:cs="Arial"/>
        </w:rPr>
        <w:t xml:space="preserve">fue clasificada como </w:t>
      </w:r>
      <w:r w:rsidR="009B0AB9">
        <w:rPr>
          <w:rFonts w:ascii="Arial" w:hAnsi="Arial" w:cs="Arial"/>
          <w:b/>
        </w:rPr>
        <w:t>I</w:t>
      </w:r>
      <w:r w:rsidR="001577D9" w:rsidRPr="00576180">
        <w:rPr>
          <w:rFonts w:ascii="Arial" w:hAnsi="Arial" w:cs="Arial"/>
          <w:b/>
        </w:rPr>
        <w:t>n</w:t>
      </w:r>
      <w:r w:rsidRPr="00576180">
        <w:rPr>
          <w:rFonts w:ascii="Arial" w:hAnsi="Arial" w:cs="Arial"/>
          <w:b/>
        </w:rPr>
        <w:t>satisfactoria</w:t>
      </w:r>
      <w:r w:rsidR="00C96B4D" w:rsidRPr="00576180">
        <w:rPr>
          <w:rFonts w:ascii="Arial" w:hAnsi="Arial" w:cs="Arial"/>
        </w:rPr>
        <w:t xml:space="preserve">, </w:t>
      </w:r>
      <w:r w:rsidRPr="00576180">
        <w:rPr>
          <w:rFonts w:ascii="Arial" w:hAnsi="Arial" w:cs="Arial"/>
        </w:rPr>
        <w:t>de acuerdo con los resultados de los objetivos específicos a continuación</w:t>
      </w:r>
      <w:r w:rsidR="00C96B4D" w:rsidRPr="00576180">
        <w:rPr>
          <w:rFonts w:ascii="Arial" w:hAnsi="Arial" w:cs="Arial"/>
        </w:rPr>
        <w:t>:</w:t>
      </w:r>
    </w:p>
    <w:p w14:paraId="121F32A6" w14:textId="25444B8E" w:rsidR="00003F13" w:rsidRPr="00576180" w:rsidRDefault="00003F13" w:rsidP="00EB788C">
      <w:pPr>
        <w:pStyle w:val="ListParagraph"/>
        <w:numPr>
          <w:ilvl w:val="0"/>
          <w:numId w:val="33"/>
        </w:numPr>
        <w:tabs>
          <w:tab w:val="left" w:pos="9000"/>
        </w:tabs>
        <w:spacing w:after="0" w:line="240" w:lineRule="auto"/>
        <w:contextualSpacing w:val="0"/>
        <w:jc w:val="both"/>
        <w:rPr>
          <w:rFonts w:ascii="Arial" w:hAnsi="Arial" w:cs="Arial"/>
        </w:rPr>
      </w:pPr>
      <w:r w:rsidRPr="00576180">
        <w:rPr>
          <w:rFonts w:ascii="Arial" w:hAnsi="Arial" w:cs="Arial"/>
        </w:rPr>
        <w:t>Objetivo</w:t>
      </w:r>
      <w:r w:rsidR="00CD420A" w:rsidRPr="00576180">
        <w:rPr>
          <w:rFonts w:ascii="Arial" w:hAnsi="Arial" w:cs="Arial"/>
        </w:rPr>
        <w:t xml:space="preserve"> específico</w:t>
      </w:r>
      <w:r w:rsidRPr="00576180">
        <w:rPr>
          <w:rFonts w:ascii="Arial" w:hAnsi="Arial" w:cs="Arial"/>
        </w:rPr>
        <w:t xml:space="preserve"> 1</w:t>
      </w:r>
      <w:r w:rsidR="00CD420A" w:rsidRPr="00576180">
        <w:rPr>
          <w:rFonts w:ascii="Arial" w:hAnsi="Arial" w:cs="Arial"/>
        </w:rPr>
        <w:t xml:space="preserve">. </w:t>
      </w:r>
      <w:r w:rsidR="00644A4F" w:rsidRPr="00576180">
        <w:rPr>
          <w:rFonts w:ascii="Arial" w:hAnsi="Arial" w:cs="Arial"/>
        </w:rPr>
        <w:t>Aumentar la eficiencia de los procesos e instrumentos de automatización de la preparación y ejecución financiera</w:t>
      </w:r>
      <w:r w:rsidRPr="00576180">
        <w:rPr>
          <w:rFonts w:ascii="Arial" w:hAnsi="Arial" w:cs="Arial"/>
        </w:rPr>
        <w:t xml:space="preserve"> – </w:t>
      </w:r>
      <w:r w:rsidR="009B0AB9">
        <w:rPr>
          <w:rFonts w:ascii="Arial" w:hAnsi="Arial" w:cs="Arial"/>
        </w:rPr>
        <w:t>I</w:t>
      </w:r>
      <w:r w:rsidR="00303A2E" w:rsidRPr="00BC76FE">
        <w:rPr>
          <w:rFonts w:ascii="Arial" w:hAnsi="Arial"/>
          <w:b/>
        </w:rPr>
        <w:t>ns</w:t>
      </w:r>
      <w:r w:rsidR="00CB0DD0" w:rsidRPr="00BC76FE">
        <w:rPr>
          <w:rFonts w:ascii="Arial" w:hAnsi="Arial"/>
          <w:b/>
        </w:rPr>
        <w:t>atisfactorio</w:t>
      </w:r>
      <w:r w:rsidR="00C96B4D" w:rsidRPr="00BC76FE">
        <w:rPr>
          <w:rFonts w:ascii="Arial" w:hAnsi="Arial"/>
          <w:b/>
        </w:rPr>
        <w:t>.</w:t>
      </w:r>
    </w:p>
    <w:p w14:paraId="51E6BC6E" w14:textId="0999810A" w:rsidR="00003F13" w:rsidRPr="00576180" w:rsidRDefault="00003F13" w:rsidP="00EB788C">
      <w:pPr>
        <w:pStyle w:val="ListParagraph"/>
        <w:numPr>
          <w:ilvl w:val="0"/>
          <w:numId w:val="33"/>
        </w:numPr>
        <w:tabs>
          <w:tab w:val="left" w:pos="9000"/>
        </w:tabs>
        <w:spacing w:after="0" w:line="240" w:lineRule="auto"/>
        <w:contextualSpacing w:val="0"/>
        <w:jc w:val="both"/>
        <w:rPr>
          <w:rFonts w:ascii="Arial" w:hAnsi="Arial" w:cs="Arial"/>
        </w:rPr>
      </w:pPr>
      <w:r w:rsidRPr="00576180">
        <w:rPr>
          <w:rFonts w:ascii="Arial" w:hAnsi="Arial" w:cs="Arial"/>
        </w:rPr>
        <w:t>Objetivo</w:t>
      </w:r>
      <w:r w:rsidR="00CD420A" w:rsidRPr="00576180">
        <w:rPr>
          <w:rFonts w:ascii="Arial" w:hAnsi="Arial" w:cs="Arial"/>
        </w:rPr>
        <w:t xml:space="preserve"> específico 2. </w:t>
      </w:r>
      <w:r w:rsidR="00644A4F" w:rsidRPr="00576180">
        <w:rPr>
          <w:rFonts w:ascii="Arial" w:hAnsi="Arial" w:cs="Arial"/>
        </w:rPr>
        <w:t>Fortalecer la capacidad institucional y organizacional del MEF</w:t>
      </w:r>
      <w:r w:rsidRPr="00576180">
        <w:rPr>
          <w:rFonts w:ascii="Arial" w:hAnsi="Arial" w:cs="Arial"/>
        </w:rPr>
        <w:t xml:space="preserve"> –</w:t>
      </w:r>
      <w:r w:rsidR="00F96F68">
        <w:rPr>
          <w:rFonts w:ascii="Arial" w:hAnsi="Arial" w:cs="Arial"/>
        </w:rPr>
        <w:t xml:space="preserve"> </w:t>
      </w:r>
      <w:r w:rsidR="00303A2E" w:rsidRPr="00BC76FE">
        <w:rPr>
          <w:rFonts w:ascii="Arial" w:hAnsi="Arial"/>
          <w:b/>
        </w:rPr>
        <w:t>Insatisfactorio</w:t>
      </w:r>
      <w:r w:rsidR="00CB0DD0" w:rsidRPr="00576180">
        <w:rPr>
          <w:rFonts w:ascii="Arial" w:hAnsi="Arial" w:cs="Arial"/>
        </w:rPr>
        <w:t>.</w:t>
      </w:r>
    </w:p>
    <w:p w14:paraId="1BD7B5A9" w14:textId="67C38FD5" w:rsidR="00003F13" w:rsidRPr="00576180" w:rsidRDefault="00003F13" w:rsidP="00D10713">
      <w:pPr>
        <w:pStyle w:val="ListParagraph"/>
        <w:numPr>
          <w:ilvl w:val="0"/>
          <w:numId w:val="33"/>
        </w:numPr>
        <w:tabs>
          <w:tab w:val="left" w:pos="9000"/>
        </w:tabs>
        <w:spacing w:after="0" w:line="240" w:lineRule="auto"/>
        <w:contextualSpacing w:val="0"/>
        <w:jc w:val="both"/>
        <w:rPr>
          <w:rFonts w:ascii="Arial" w:hAnsi="Arial" w:cs="Arial"/>
        </w:rPr>
      </w:pPr>
      <w:r w:rsidRPr="00576180">
        <w:rPr>
          <w:rFonts w:ascii="Arial" w:hAnsi="Arial" w:cs="Arial"/>
        </w:rPr>
        <w:t>Objetivo</w:t>
      </w:r>
      <w:r w:rsidR="00CD420A" w:rsidRPr="00576180">
        <w:rPr>
          <w:rFonts w:ascii="Arial" w:hAnsi="Arial" w:cs="Arial"/>
        </w:rPr>
        <w:t xml:space="preserve"> específico </w:t>
      </w:r>
      <w:r w:rsidRPr="00576180">
        <w:rPr>
          <w:rFonts w:ascii="Arial" w:hAnsi="Arial" w:cs="Arial"/>
        </w:rPr>
        <w:t>3</w:t>
      </w:r>
      <w:r w:rsidR="00CD420A" w:rsidRPr="00576180">
        <w:rPr>
          <w:rFonts w:ascii="Arial" w:hAnsi="Arial" w:cs="Arial"/>
        </w:rPr>
        <w:t>.</w:t>
      </w:r>
      <w:r w:rsidR="00644A4F" w:rsidRPr="00576180">
        <w:rPr>
          <w:rFonts w:ascii="Arial" w:hAnsi="Arial" w:cs="Arial"/>
        </w:rPr>
        <w:t xml:space="preserve"> Mejorar el proceso decisorio de asignación de los recursos públicos </w:t>
      </w:r>
      <w:bookmarkStart w:id="151" w:name="_GoBack"/>
      <w:bookmarkEnd w:id="151"/>
      <w:r w:rsidRPr="004A5ED2">
        <w:rPr>
          <w:rFonts w:ascii="Arial" w:hAnsi="Arial" w:cs="Arial"/>
        </w:rPr>
        <w:t xml:space="preserve">– </w:t>
      </w:r>
      <w:r w:rsidR="00D87B95" w:rsidRPr="004A5ED2">
        <w:rPr>
          <w:rFonts w:ascii="Arial" w:hAnsi="Arial"/>
          <w:b/>
        </w:rPr>
        <w:t>Satisfactorio</w:t>
      </w:r>
    </w:p>
    <w:p w14:paraId="446D8CDB" w14:textId="0F289730" w:rsidR="005526D6" w:rsidRPr="00576180" w:rsidRDefault="00D7372C" w:rsidP="00D17FF5">
      <w:pPr>
        <w:pStyle w:val="Heading3"/>
        <w:numPr>
          <w:ilvl w:val="0"/>
          <w:numId w:val="43"/>
        </w:numPr>
        <w:spacing w:before="120" w:after="120" w:line="240" w:lineRule="auto"/>
        <w:rPr>
          <w:rFonts w:ascii="Arial" w:hAnsi="Arial" w:cs="Arial"/>
          <w:b/>
          <w:color w:val="000000" w:themeColor="text1"/>
          <w:sz w:val="22"/>
          <w:szCs w:val="22"/>
        </w:rPr>
      </w:pPr>
      <w:bookmarkStart w:id="152" w:name="_Análisis_contrafactual"/>
      <w:bookmarkStart w:id="153" w:name="_Toc533166442"/>
      <w:bookmarkStart w:id="154" w:name="_Toc20432467"/>
      <w:bookmarkStart w:id="155" w:name="_Toc21017061"/>
      <w:bookmarkEnd w:id="144"/>
      <w:bookmarkEnd w:id="152"/>
      <w:r w:rsidRPr="00576180">
        <w:rPr>
          <w:rFonts w:ascii="Arial" w:hAnsi="Arial" w:cs="Arial"/>
          <w:b/>
          <w:color w:val="000000" w:themeColor="text1"/>
          <w:sz w:val="22"/>
          <w:szCs w:val="22"/>
        </w:rPr>
        <w:t xml:space="preserve">Análisis </w:t>
      </w:r>
      <w:r w:rsidR="001E2709" w:rsidRPr="00576180">
        <w:rPr>
          <w:rFonts w:ascii="Arial" w:hAnsi="Arial" w:cs="Arial"/>
          <w:b/>
          <w:color w:val="000000" w:themeColor="text1"/>
          <w:sz w:val="22"/>
          <w:szCs w:val="22"/>
        </w:rPr>
        <w:t>c</w:t>
      </w:r>
      <w:r w:rsidRPr="00576180">
        <w:rPr>
          <w:rFonts w:ascii="Arial" w:hAnsi="Arial" w:cs="Arial"/>
          <w:b/>
          <w:color w:val="000000" w:themeColor="text1"/>
          <w:sz w:val="22"/>
          <w:szCs w:val="22"/>
        </w:rPr>
        <w:t>ontrafactual</w:t>
      </w:r>
      <w:bookmarkEnd w:id="145"/>
      <w:bookmarkEnd w:id="146"/>
      <w:bookmarkEnd w:id="147"/>
      <w:bookmarkEnd w:id="148"/>
      <w:bookmarkEnd w:id="149"/>
      <w:bookmarkEnd w:id="150"/>
      <w:bookmarkEnd w:id="153"/>
      <w:bookmarkEnd w:id="154"/>
      <w:bookmarkEnd w:id="155"/>
    </w:p>
    <w:p w14:paraId="1B973BBF" w14:textId="7D2D8DC9" w:rsidR="00BB6313" w:rsidRPr="00576180" w:rsidRDefault="00BB6313" w:rsidP="00D17FF5">
      <w:pPr>
        <w:pStyle w:val="ListParagraph"/>
        <w:tabs>
          <w:tab w:val="left" w:pos="9000"/>
        </w:tabs>
        <w:spacing w:before="120" w:after="120" w:line="240" w:lineRule="auto"/>
        <w:ind w:left="360"/>
        <w:contextualSpacing w:val="0"/>
        <w:jc w:val="both"/>
        <w:rPr>
          <w:rFonts w:ascii="Arial" w:hAnsi="Arial" w:cs="Arial"/>
        </w:rPr>
      </w:pPr>
      <w:bookmarkStart w:id="156" w:name="_Toc501529201"/>
      <w:bookmarkStart w:id="157" w:name="_Toc506484933"/>
      <w:bookmarkStart w:id="158" w:name="_Toc506974998"/>
      <w:bookmarkStart w:id="159" w:name="_Toc511949086"/>
      <w:bookmarkStart w:id="160" w:name="_Toc511409805"/>
      <w:bookmarkStart w:id="161" w:name="_Toc512433751"/>
      <w:bookmarkStart w:id="162" w:name="_Toc514236640"/>
      <w:bookmarkStart w:id="163" w:name="_Toc516767401"/>
      <w:bookmarkStart w:id="164" w:name="_Toc518037203"/>
      <w:r w:rsidRPr="00576180">
        <w:rPr>
          <w:rFonts w:ascii="Arial" w:hAnsi="Arial" w:cs="Arial"/>
        </w:rPr>
        <w:t>El diseño original del Programa no contempló evaluaciones de impacto ex</w:t>
      </w:r>
      <w:r w:rsidR="00BD229E" w:rsidRPr="00576180">
        <w:rPr>
          <w:rFonts w:ascii="Arial" w:hAnsi="Arial" w:cs="Arial"/>
        </w:rPr>
        <w:t xml:space="preserve"> </w:t>
      </w:r>
      <w:r w:rsidRPr="00576180">
        <w:rPr>
          <w:rFonts w:ascii="Arial" w:hAnsi="Arial" w:cs="Arial"/>
        </w:rPr>
        <w:t>ante o ex</w:t>
      </w:r>
      <w:r w:rsidR="00BD229E" w:rsidRPr="00576180">
        <w:rPr>
          <w:rFonts w:ascii="Arial" w:hAnsi="Arial" w:cs="Arial"/>
        </w:rPr>
        <w:t xml:space="preserve"> </w:t>
      </w:r>
      <w:r w:rsidRPr="00576180">
        <w:rPr>
          <w:rFonts w:ascii="Arial" w:hAnsi="Arial" w:cs="Arial"/>
        </w:rPr>
        <w:t xml:space="preserve">post. </w:t>
      </w:r>
      <w:r w:rsidR="00C908D0" w:rsidRPr="00576180">
        <w:rPr>
          <w:rFonts w:ascii="Arial" w:hAnsi="Arial" w:cs="Arial"/>
        </w:rPr>
        <w:t>Por esa razón, es</w:t>
      </w:r>
      <w:r w:rsidRPr="00576180">
        <w:rPr>
          <w:rFonts w:ascii="Arial" w:hAnsi="Arial" w:cs="Arial"/>
        </w:rPr>
        <w:t xml:space="preserve"> importante </w:t>
      </w:r>
      <w:r w:rsidR="00C908D0" w:rsidRPr="00576180">
        <w:rPr>
          <w:rFonts w:ascii="Arial" w:hAnsi="Arial" w:cs="Arial"/>
        </w:rPr>
        <w:t>destacar</w:t>
      </w:r>
      <w:r w:rsidRPr="00576180">
        <w:rPr>
          <w:rFonts w:ascii="Arial" w:hAnsi="Arial" w:cs="Arial"/>
        </w:rPr>
        <w:t xml:space="preserve"> que no existe</w:t>
      </w:r>
      <w:r w:rsidR="00C908D0" w:rsidRPr="00576180">
        <w:rPr>
          <w:rFonts w:ascii="Arial" w:hAnsi="Arial" w:cs="Arial"/>
        </w:rPr>
        <w:t>n</w:t>
      </w:r>
      <w:r w:rsidRPr="00576180">
        <w:rPr>
          <w:rFonts w:ascii="Arial" w:hAnsi="Arial" w:cs="Arial"/>
        </w:rPr>
        <w:t xml:space="preserve"> en la actualidad evaluaciones de impacto sobre los beneficios del SIAF. </w:t>
      </w:r>
      <w:r w:rsidR="00C908D0" w:rsidRPr="00576180">
        <w:rPr>
          <w:rFonts w:ascii="Arial" w:hAnsi="Arial" w:cs="Arial"/>
        </w:rPr>
        <w:t>Además</w:t>
      </w:r>
      <w:r w:rsidRPr="00576180">
        <w:rPr>
          <w:rFonts w:ascii="Arial" w:hAnsi="Arial" w:cs="Arial"/>
        </w:rPr>
        <w:t xml:space="preserve">, </w:t>
      </w:r>
      <w:r w:rsidR="00C908D0" w:rsidRPr="00576180">
        <w:rPr>
          <w:rFonts w:ascii="Arial" w:hAnsi="Arial" w:cs="Arial"/>
        </w:rPr>
        <w:t>la</w:t>
      </w:r>
      <w:r w:rsidRPr="00576180">
        <w:rPr>
          <w:rFonts w:ascii="Arial" w:hAnsi="Arial" w:cs="Arial"/>
        </w:rPr>
        <w:t xml:space="preserve"> evaluación económica</w:t>
      </w:r>
      <w:r w:rsidR="00C908D0" w:rsidRPr="00576180">
        <w:rPr>
          <w:rFonts w:ascii="Arial" w:hAnsi="Arial" w:cs="Arial"/>
        </w:rPr>
        <w:t xml:space="preserve"> </w:t>
      </w:r>
      <w:r w:rsidRPr="00576180">
        <w:rPr>
          <w:rFonts w:ascii="Arial" w:hAnsi="Arial" w:cs="Arial"/>
        </w:rPr>
        <w:t xml:space="preserve">se refiere </w:t>
      </w:r>
      <w:r w:rsidR="00C908D0" w:rsidRPr="00576180">
        <w:rPr>
          <w:rFonts w:ascii="Arial" w:hAnsi="Arial" w:cs="Arial"/>
        </w:rPr>
        <w:t>principalmente</w:t>
      </w:r>
      <w:r w:rsidRPr="00576180">
        <w:rPr>
          <w:rFonts w:ascii="Arial" w:hAnsi="Arial" w:cs="Arial"/>
        </w:rPr>
        <w:t xml:space="preserve"> a los beneficios de la CUT y la programación de caja. </w:t>
      </w:r>
      <w:r w:rsidR="00C908D0" w:rsidRPr="00576180">
        <w:rPr>
          <w:rFonts w:ascii="Arial" w:hAnsi="Arial" w:cs="Arial"/>
        </w:rPr>
        <w:t>Sin embargo</w:t>
      </w:r>
      <w:r w:rsidRPr="00576180">
        <w:rPr>
          <w:rFonts w:ascii="Arial" w:hAnsi="Arial" w:cs="Arial"/>
        </w:rPr>
        <w:t xml:space="preserve">, existe una amplia bibliografía sobre los beneficios </w:t>
      </w:r>
      <w:r w:rsidR="00C908D0" w:rsidRPr="00576180">
        <w:rPr>
          <w:rFonts w:ascii="Arial" w:hAnsi="Arial" w:cs="Arial"/>
        </w:rPr>
        <w:t>de fortalecer las</w:t>
      </w:r>
      <w:r w:rsidRPr="00576180">
        <w:rPr>
          <w:rFonts w:ascii="Arial" w:hAnsi="Arial" w:cs="Arial"/>
        </w:rPr>
        <w:t xml:space="preserve"> instituciones</w:t>
      </w:r>
      <w:r w:rsidR="00C908D0" w:rsidRPr="00576180">
        <w:rPr>
          <w:rFonts w:ascii="Arial" w:hAnsi="Arial" w:cs="Arial"/>
        </w:rPr>
        <w:t xml:space="preserve"> de finanzas</w:t>
      </w:r>
      <w:r w:rsidRPr="00576180">
        <w:rPr>
          <w:rFonts w:ascii="Arial" w:hAnsi="Arial" w:cs="Arial"/>
        </w:rPr>
        <w:t xml:space="preserve"> públicas, </w:t>
      </w:r>
      <w:r w:rsidR="007D38D3" w:rsidRPr="00576180">
        <w:rPr>
          <w:rFonts w:ascii="Arial" w:hAnsi="Arial" w:cs="Arial"/>
        </w:rPr>
        <w:t xml:space="preserve">entre los </w:t>
      </w:r>
      <w:r w:rsidR="003E5E4B" w:rsidRPr="00576180">
        <w:rPr>
          <w:rFonts w:ascii="Arial" w:hAnsi="Arial" w:cs="Arial"/>
        </w:rPr>
        <w:t>cuales</w:t>
      </w:r>
      <w:r w:rsidR="007D38D3" w:rsidRPr="00576180">
        <w:rPr>
          <w:rFonts w:ascii="Arial" w:hAnsi="Arial" w:cs="Arial"/>
        </w:rPr>
        <w:t xml:space="preserve"> destacan: </w:t>
      </w:r>
      <w:proofErr w:type="spellStart"/>
      <w:r w:rsidRPr="00576180">
        <w:rPr>
          <w:rFonts w:ascii="Arial" w:hAnsi="Arial" w:cs="Arial"/>
          <w:i/>
        </w:rPr>
        <w:t>Reforming</w:t>
      </w:r>
      <w:proofErr w:type="spellEnd"/>
      <w:r w:rsidRPr="00576180">
        <w:rPr>
          <w:rFonts w:ascii="Arial" w:hAnsi="Arial" w:cs="Arial"/>
          <w:i/>
        </w:rPr>
        <w:t xml:space="preserve"> </w:t>
      </w:r>
      <w:proofErr w:type="spellStart"/>
      <w:r w:rsidR="00DF2425" w:rsidRPr="00576180">
        <w:rPr>
          <w:rFonts w:ascii="Arial" w:hAnsi="Arial" w:cs="Arial"/>
          <w:i/>
        </w:rPr>
        <w:t>p</w:t>
      </w:r>
      <w:r w:rsidRPr="00576180">
        <w:rPr>
          <w:rFonts w:ascii="Arial" w:hAnsi="Arial" w:cs="Arial"/>
          <w:i/>
        </w:rPr>
        <w:t>ublic</w:t>
      </w:r>
      <w:proofErr w:type="spellEnd"/>
      <w:r w:rsidRPr="00576180">
        <w:rPr>
          <w:rFonts w:ascii="Arial" w:hAnsi="Arial" w:cs="Arial"/>
          <w:i/>
        </w:rPr>
        <w:t xml:space="preserve"> </w:t>
      </w:r>
      <w:proofErr w:type="spellStart"/>
      <w:r w:rsidR="00DF2425" w:rsidRPr="00576180">
        <w:rPr>
          <w:rFonts w:ascii="Arial" w:hAnsi="Arial" w:cs="Arial"/>
          <w:i/>
        </w:rPr>
        <w:t>i</w:t>
      </w:r>
      <w:r w:rsidRPr="00576180">
        <w:rPr>
          <w:rFonts w:ascii="Arial" w:hAnsi="Arial" w:cs="Arial"/>
          <w:i/>
        </w:rPr>
        <w:t>nstitutions</w:t>
      </w:r>
      <w:proofErr w:type="spellEnd"/>
      <w:r w:rsidRPr="00576180">
        <w:rPr>
          <w:rFonts w:ascii="Arial" w:hAnsi="Arial" w:cs="Arial"/>
          <w:i/>
        </w:rPr>
        <w:t xml:space="preserve"> and </w:t>
      </w:r>
      <w:proofErr w:type="spellStart"/>
      <w:r w:rsidR="00DF2425" w:rsidRPr="00576180">
        <w:rPr>
          <w:rFonts w:ascii="Arial" w:hAnsi="Arial" w:cs="Arial"/>
          <w:i/>
        </w:rPr>
        <w:t>s</w:t>
      </w:r>
      <w:r w:rsidRPr="00576180">
        <w:rPr>
          <w:rFonts w:ascii="Arial" w:hAnsi="Arial" w:cs="Arial"/>
          <w:i/>
        </w:rPr>
        <w:t>trengthening</w:t>
      </w:r>
      <w:proofErr w:type="spellEnd"/>
      <w:r w:rsidRPr="00576180">
        <w:rPr>
          <w:rFonts w:ascii="Arial" w:hAnsi="Arial" w:cs="Arial"/>
          <w:i/>
        </w:rPr>
        <w:t xml:space="preserve"> </w:t>
      </w:r>
      <w:proofErr w:type="spellStart"/>
      <w:r w:rsidR="00DF2425" w:rsidRPr="00576180">
        <w:rPr>
          <w:rFonts w:ascii="Arial" w:hAnsi="Arial" w:cs="Arial"/>
          <w:i/>
        </w:rPr>
        <w:t>g</w:t>
      </w:r>
      <w:r w:rsidRPr="00576180">
        <w:rPr>
          <w:rFonts w:ascii="Arial" w:hAnsi="Arial" w:cs="Arial"/>
          <w:i/>
        </w:rPr>
        <w:t>overnance</w:t>
      </w:r>
      <w:proofErr w:type="spellEnd"/>
      <w:r w:rsidR="00F37E18" w:rsidRPr="00576180">
        <w:rPr>
          <w:rFonts w:ascii="Arial" w:hAnsi="Arial" w:cs="Arial"/>
        </w:rPr>
        <w:t xml:space="preserve"> (Banco Mundial, 2019)</w:t>
      </w:r>
      <w:r w:rsidR="005451A8" w:rsidRPr="00576180">
        <w:rPr>
          <w:rFonts w:ascii="Arial" w:hAnsi="Arial" w:cs="Arial"/>
        </w:rPr>
        <w:t xml:space="preserve">, </w:t>
      </w:r>
      <w:r w:rsidRPr="00576180">
        <w:rPr>
          <w:rFonts w:ascii="Arial" w:hAnsi="Arial" w:cs="Arial"/>
          <w:i/>
        </w:rPr>
        <w:t xml:space="preserve">Fiscal </w:t>
      </w:r>
      <w:proofErr w:type="spellStart"/>
      <w:r w:rsidR="00DF2425" w:rsidRPr="00576180">
        <w:rPr>
          <w:rFonts w:ascii="Arial" w:hAnsi="Arial" w:cs="Arial"/>
          <w:i/>
        </w:rPr>
        <w:t>i</w:t>
      </w:r>
      <w:r w:rsidRPr="00576180">
        <w:rPr>
          <w:rFonts w:ascii="Arial" w:hAnsi="Arial" w:cs="Arial"/>
          <w:i/>
        </w:rPr>
        <w:t>nstitutions</w:t>
      </w:r>
      <w:proofErr w:type="spellEnd"/>
      <w:r w:rsidRPr="00576180">
        <w:rPr>
          <w:rFonts w:ascii="Arial" w:hAnsi="Arial" w:cs="Arial"/>
          <w:i/>
        </w:rPr>
        <w:t xml:space="preserve"> and </w:t>
      </w:r>
      <w:r w:rsidR="00DF2425" w:rsidRPr="00576180">
        <w:rPr>
          <w:rFonts w:ascii="Arial" w:hAnsi="Arial" w:cs="Arial"/>
          <w:i/>
        </w:rPr>
        <w:t>f</w:t>
      </w:r>
      <w:r w:rsidRPr="00576180">
        <w:rPr>
          <w:rFonts w:ascii="Arial" w:hAnsi="Arial" w:cs="Arial"/>
          <w:i/>
        </w:rPr>
        <w:t xml:space="preserve">iscal </w:t>
      </w:r>
      <w:r w:rsidR="00DF2425" w:rsidRPr="00576180">
        <w:rPr>
          <w:rFonts w:ascii="Arial" w:hAnsi="Arial" w:cs="Arial"/>
          <w:i/>
        </w:rPr>
        <w:t>p</w:t>
      </w:r>
      <w:r w:rsidRPr="00576180">
        <w:rPr>
          <w:rFonts w:ascii="Arial" w:hAnsi="Arial" w:cs="Arial"/>
          <w:i/>
        </w:rPr>
        <w:t>erformance</w:t>
      </w:r>
      <w:r w:rsidR="00582580" w:rsidRPr="00576180">
        <w:rPr>
          <w:rFonts w:ascii="Arial" w:hAnsi="Arial" w:cs="Arial"/>
        </w:rPr>
        <w:t xml:space="preserve"> (</w:t>
      </w:r>
      <w:proofErr w:type="spellStart"/>
      <w:r w:rsidR="00F37E18" w:rsidRPr="00576180">
        <w:rPr>
          <w:rFonts w:ascii="Arial" w:hAnsi="Arial" w:cs="Arial"/>
        </w:rPr>
        <w:t>Poterba</w:t>
      </w:r>
      <w:proofErr w:type="spellEnd"/>
      <w:r w:rsidR="00F37E18" w:rsidRPr="00576180">
        <w:rPr>
          <w:rFonts w:ascii="Arial" w:hAnsi="Arial" w:cs="Arial"/>
        </w:rPr>
        <w:t>, James M. y Jürgen von Hagen, 1999</w:t>
      </w:r>
      <w:r w:rsidR="00582580" w:rsidRPr="00576180">
        <w:rPr>
          <w:rFonts w:ascii="Arial" w:hAnsi="Arial" w:cs="Arial"/>
        </w:rPr>
        <w:t>)</w:t>
      </w:r>
      <w:r w:rsidR="00DF2425" w:rsidRPr="00576180">
        <w:rPr>
          <w:rFonts w:ascii="Arial" w:hAnsi="Arial" w:cs="Arial"/>
        </w:rPr>
        <w:t>,</w:t>
      </w:r>
      <w:r w:rsidRPr="00576180">
        <w:rPr>
          <w:rFonts w:ascii="Arial" w:hAnsi="Arial" w:cs="Arial"/>
        </w:rPr>
        <w:t xml:space="preserve"> </w:t>
      </w:r>
      <w:r w:rsidRPr="00576180">
        <w:rPr>
          <w:rFonts w:ascii="Arial" w:hAnsi="Arial" w:cs="Arial"/>
          <w:i/>
        </w:rPr>
        <w:t xml:space="preserve">The </w:t>
      </w:r>
      <w:proofErr w:type="spellStart"/>
      <w:r w:rsidRPr="00576180">
        <w:rPr>
          <w:rFonts w:ascii="Arial" w:hAnsi="Arial" w:cs="Arial"/>
          <w:i/>
        </w:rPr>
        <w:t>devil</w:t>
      </w:r>
      <w:proofErr w:type="spellEnd"/>
      <w:r w:rsidRPr="00576180">
        <w:rPr>
          <w:rFonts w:ascii="Arial" w:hAnsi="Arial" w:cs="Arial"/>
          <w:i/>
        </w:rPr>
        <w:t xml:space="preserve"> </w:t>
      </w:r>
      <w:proofErr w:type="spellStart"/>
      <w:r w:rsidRPr="00576180">
        <w:rPr>
          <w:rFonts w:ascii="Arial" w:hAnsi="Arial" w:cs="Arial"/>
          <w:i/>
        </w:rPr>
        <w:t>is</w:t>
      </w:r>
      <w:proofErr w:type="spellEnd"/>
      <w:r w:rsidRPr="00576180">
        <w:rPr>
          <w:rFonts w:ascii="Arial" w:hAnsi="Arial" w:cs="Arial"/>
          <w:i/>
        </w:rPr>
        <w:t xml:space="preserve"> in the </w:t>
      </w:r>
      <w:proofErr w:type="spellStart"/>
      <w:r w:rsidRPr="00576180">
        <w:rPr>
          <w:rFonts w:ascii="Arial" w:hAnsi="Arial" w:cs="Arial"/>
          <w:i/>
        </w:rPr>
        <w:t>details</w:t>
      </w:r>
      <w:proofErr w:type="spellEnd"/>
      <w:r w:rsidRPr="00576180">
        <w:rPr>
          <w:rFonts w:ascii="Arial" w:hAnsi="Arial" w:cs="Arial"/>
          <w:i/>
        </w:rPr>
        <w:t xml:space="preserve">: The </w:t>
      </w:r>
      <w:proofErr w:type="spellStart"/>
      <w:r w:rsidRPr="00576180">
        <w:rPr>
          <w:rFonts w:ascii="Arial" w:hAnsi="Arial" w:cs="Arial"/>
          <w:i/>
        </w:rPr>
        <w:t>successes</w:t>
      </w:r>
      <w:proofErr w:type="spellEnd"/>
      <w:r w:rsidRPr="00576180">
        <w:rPr>
          <w:rFonts w:ascii="Arial" w:hAnsi="Arial" w:cs="Arial"/>
          <w:i/>
        </w:rPr>
        <w:t xml:space="preserve"> and </w:t>
      </w:r>
      <w:proofErr w:type="spellStart"/>
      <w:r w:rsidRPr="00576180">
        <w:rPr>
          <w:rFonts w:ascii="Arial" w:hAnsi="Arial" w:cs="Arial"/>
          <w:i/>
        </w:rPr>
        <w:t>limitations</w:t>
      </w:r>
      <w:proofErr w:type="spellEnd"/>
      <w:r w:rsidRPr="00576180">
        <w:rPr>
          <w:rFonts w:ascii="Arial" w:hAnsi="Arial" w:cs="Arial"/>
          <w:i/>
        </w:rPr>
        <w:t xml:space="preserve"> of </w:t>
      </w:r>
      <w:proofErr w:type="spellStart"/>
      <w:r w:rsidRPr="00576180">
        <w:rPr>
          <w:rFonts w:ascii="Arial" w:hAnsi="Arial" w:cs="Arial"/>
          <w:i/>
        </w:rPr>
        <w:t>bureaucratic</w:t>
      </w:r>
      <w:proofErr w:type="spellEnd"/>
      <w:r w:rsidRPr="00576180">
        <w:rPr>
          <w:rFonts w:ascii="Arial" w:hAnsi="Arial" w:cs="Arial"/>
          <w:i/>
        </w:rPr>
        <w:t xml:space="preserve"> </w:t>
      </w:r>
      <w:proofErr w:type="spellStart"/>
      <w:r w:rsidRPr="00576180">
        <w:rPr>
          <w:rFonts w:ascii="Arial" w:hAnsi="Arial" w:cs="Arial"/>
          <w:i/>
        </w:rPr>
        <w:t>reform</w:t>
      </w:r>
      <w:proofErr w:type="spellEnd"/>
      <w:r w:rsidRPr="00576180">
        <w:rPr>
          <w:rFonts w:ascii="Arial" w:hAnsi="Arial" w:cs="Arial"/>
          <w:i/>
        </w:rPr>
        <w:t xml:space="preserve"> in India</w:t>
      </w:r>
      <w:r w:rsidR="00F37E18" w:rsidRPr="00576180">
        <w:rPr>
          <w:rFonts w:ascii="Arial" w:hAnsi="Arial" w:cs="Arial"/>
        </w:rPr>
        <w:t xml:space="preserve"> (</w:t>
      </w:r>
      <w:proofErr w:type="spellStart"/>
      <w:r w:rsidR="00F37E18" w:rsidRPr="00576180">
        <w:rPr>
          <w:rFonts w:ascii="Arial" w:hAnsi="Arial" w:cs="Arial"/>
        </w:rPr>
        <w:t>Dhaliwa</w:t>
      </w:r>
      <w:proofErr w:type="spellEnd"/>
      <w:r w:rsidR="00F37E18" w:rsidRPr="00576180">
        <w:rPr>
          <w:rFonts w:ascii="Arial" w:hAnsi="Arial" w:cs="Arial"/>
        </w:rPr>
        <w:t xml:space="preserve">, </w:t>
      </w:r>
      <w:proofErr w:type="spellStart"/>
      <w:r w:rsidR="00F37E18" w:rsidRPr="00576180">
        <w:rPr>
          <w:rFonts w:ascii="Arial" w:hAnsi="Arial" w:cs="Arial"/>
        </w:rPr>
        <w:t>Iqbal</w:t>
      </w:r>
      <w:proofErr w:type="spellEnd"/>
      <w:r w:rsidR="00F37E18" w:rsidRPr="00576180">
        <w:rPr>
          <w:rFonts w:ascii="Arial" w:hAnsi="Arial" w:cs="Arial"/>
        </w:rPr>
        <w:t xml:space="preserve"> l, and Rema Hanna, 2017)</w:t>
      </w:r>
      <w:r w:rsidR="00DF2425" w:rsidRPr="00576180">
        <w:rPr>
          <w:rFonts w:ascii="Arial" w:hAnsi="Arial" w:cs="Arial"/>
        </w:rPr>
        <w:t xml:space="preserve"> y</w:t>
      </w:r>
      <w:r w:rsidRPr="00576180">
        <w:rPr>
          <w:rFonts w:ascii="Arial" w:hAnsi="Arial" w:cs="Arial"/>
        </w:rPr>
        <w:t xml:space="preserve"> </w:t>
      </w:r>
      <w:r w:rsidRPr="00576180">
        <w:rPr>
          <w:rFonts w:ascii="Arial" w:hAnsi="Arial" w:cs="Arial"/>
          <w:i/>
        </w:rPr>
        <w:lastRenderedPageBreak/>
        <w:t xml:space="preserve">Budget </w:t>
      </w:r>
      <w:proofErr w:type="spellStart"/>
      <w:r w:rsidRPr="00576180">
        <w:rPr>
          <w:rFonts w:ascii="Arial" w:hAnsi="Arial" w:cs="Arial"/>
          <w:i/>
        </w:rPr>
        <w:t>institutions</w:t>
      </w:r>
      <w:proofErr w:type="spellEnd"/>
      <w:r w:rsidRPr="00576180">
        <w:rPr>
          <w:rFonts w:ascii="Arial" w:hAnsi="Arial" w:cs="Arial"/>
          <w:i/>
        </w:rPr>
        <w:t xml:space="preserve"> and fiscal performance in </w:t>
      </w:r>
      <w:proofErr w:type="spellStart"/>
      <w:r w:rsidRPr="00576180">
        <w:rPr>
          <w:rFonts w:ascii="Arial" w:hAnsi="Arial" w:cs="Arial"/>
          <w:i/>
        </w:rPr>
        <w:t>Latin</w:t>
      </w:r>
      <w:proofErr w:type="spellEnd"/>
      <w:r w:rsidRPr="00576180">
        <w:rPr>
          <w:rFonts w:ascii="Arial" w:hAnsi="Arial" w:cs="Arial"/>
          <w:i/>
        </w:rPr>
        <w:t xml:space="preserve"> </w:t>
      </w:r>
      <w:proofErr w:type="spellStart"/>
      <w:r w:rsidRPr="00576180">
        <w:rPr>
          <w:rFonts w:ascii="Arial" w:hAnsi="Arial" w:cs="Arial"/>
          <w:i/>
        </w:rPr>
        <w:t>Americ</w:t>
      </w:r>
      <w:r w:rsidR="00F37E18" w:rsidRPr="00576180">
        <w:rPr>
          <w:rFonts w:ascii="Arial" w:hAnsi="Arial" w:cs="Arial"/>
          <w:i/>
        </w:rPr>
        <w:t>a</w:t>
      </w:r>
      <w:proofErr w:type="spellEnd"/>
      <w:r w:rsidR="00F37E18" w:rsidRPr="00576180">
        <w:rPr>
          <w:rFonts w:ascii="Arial" w:hAnsi="Arial" w:cs="Arial"/>
        </w:rPr>
        <w:t xml:space="preserve"> (</w:t>
      </w:r>
      <w:proofErr w:type="spellStart"/>
      <w:r w:rsidR="00F37E18" w:rsidRPr="00576180">
        <w:rPr>
          <w:rFonts w:ascii="Arial" w:hAnsi="Arial" w:cs="Arial"/>
        </w:rPr>
        <w:t>Alesina</w:t>
      </w:r>
      <w:proofErr w:type="spellEnd"/>
      <w:r w:rsidR="00F37E18" w:rsidRPr="00576180">
        <w:rPr>
          <w:rFonts w:ascii="Arial" w:hAnsi="Arial" w:cs="Arial"/>
        </w:rPr>
        <w:t>, A., et al., 1999)</w:t>
      </w:r>
      <w:r w:rsidR="00F37E18" w:rsidRPr="00576180">
        <w:rPr>
          <w:rStyle w:val="FootnoteReference"/>
          <w:rFonts w:ascii="Arial" w:hAnsi="Arial" w:cs="Arial"/>
        </w:rPr>
        <w:footnoteReference w:id="9"/>
      </w:r>
      <w:r w:rsidR="00F37E18" w:rsidRPr="00576180">
        <w:rPr>
          <w:rFonts w:ascii="Arial" w:hAnsi="Arial" w:cs="Arial"/>
        </w:rPr>
        <w:t>. Estos trabajos</w:t>
      </w:r>
      <w:r w:rsidRPr="00576180">
        <w:rPr>
          <w:rFonts w:ascii="Arial" w:hAnsi="Arial" w:cs="Arial"/>
        </w:rPr>
        <w:t xml:space="preserve"> afirman que la efectividad y eficiencia de las instituciones</w:t>
      </w:r>
      <w:r w:rsidR="00F37E18" w:rsidRPr="00576180">
        <w:rPr>
          <w:rFonts w:ascii="Arial" w:hAnsi="Arial" w:cs="Arial"/>
        </w:rPr>
        <w:t xml:space="preserve"> de finanzas</w:t>
      </w:r>
      <w:r w:rsidRPr="00576180">
        <w:rPr>
          <w:rFonts w:ascii="Arial" w:hAnsi="Arial" w:cs="Arial"/>
        </w:rPr>
        <w:t xml:space="preserve"> públicas </w:t>
      </w:r>
      <w:r w:rsidR="004B19F6" w:rsidRPr="00576180">
        <w:rPr>
          <w:rFonts w:ascii="Arial" w:hAnsi="Arial" w:cs="Arial"/>
        </w:rPr>
        <w:t>mejora cuando se eliminan una serie de</w:t>
      </w:r>
      <w:r w:rsidRPr="00576180">
        <w:rPr>
          <w:rFonts w:ascii="Arial" w:hAnsi="Arial" w:cs="Arial"/>
        </w:rPr>
        <w:t xml:space="preserve"> restricciones</w:t>
      </w:r>
      <w:r w:rsidR="004B19F6" w:rsidRPr="00576180">
        <w:rPr>
          <w:rFonts w:ascii="Arial" w:hAnsi="Arial" w:cs="Arial"/>
        </w:rPr>
        <w:t xml:space="preserve"> a través del fortalecimiento de capacidades de</w:t>
      </w:r>
      <w:r w:rsidRPr="00576180">
        <w:rPr>
          <w:rFonts w:ascii="Arial" w:hAnsi="Arial" w:cs="Arial"/>
        </w:rPr>
        <w:t xml:space="preserve"> los empleados públicos</w:t>
      </w:r>
      <w:r w:rsidR="000131BC" w:rsidRPr="00576180">
        <w:rPr>
          <w:rFonts w:ascii="Arial" w:hAnsi="Arial" w:cs="Arial"/>
        </w:rPr>
        <w:t xml:space="preserve"> (</w:t>
      </w:r>
      <w:r w:rsidR="00DA2BF4" w:rsidRPr="00576180">
        <w:rPr>
          <w:rFonts w:ascii="Arial" w:hAnsi="Arial" w:cs="Arial"/>
        </w:rPr>
        <w:t>2.5, 2.6 y 2.9)</w:t>
      </w:r>
      <w:r w:rsidRPr="00576180">
        <w:rPr>
          <w:rFonts w:ascii="Arial" w:hAnsi="Arial" w:cs="Arial"/>
        </w:rPr>
        <w:t>, el acceso a las tecnologías de información</w:t>
      </w:r>
      <w:r w:rsidR="00DA2BF4" w:rsidRPr="00576180">
        <w:rPr>
          <w:rFonts w:ascii="Arial" w:hAnsi="Arial" w:cs="Arial"/>
        </w:rPr>
        <w:t xml:space="preserve"> (resultados 2.2, 2.3)</w:t>
      </w:r>
      <w:r w:rsidRPr="00576180">
        <w:rPr>
          <w:rFonts w:ascii="Arial" w:hAnsi="Arial" w:cs="Arial"/>
        </w:rPr>
        <w:t xml:space="preserve"> </w:t>
      </w:r>
      <w:r w:rsidR="00DA2BF4" w:rsidRPr="00576180">
        <w:rPr>
          <w:rFonts w:ascii="Arial" w:hAnsi="Arial" w:cs="Arial"/>
        </w:rPr>
        <w:t>y el fortalecimiento de los marcos normativos (2.9)</w:t>
      </w:r>
      <w:r w:rsidRPr="00576180">
        <w:rPr>
          <w:rFonts w:ascii="Arial" w:hAnsi="Arial" w:cs="Arial"/>
        </w:rPr>
        <w:t>.</w:t>
      </w:r>
    </w:p>
    <w:p w14:paraId="233EB87D" w14:textId="77777777" w:rsidR="00D7372C" w:rsidRPr="00576180" w:rsidRDefault="00D7372C" w:rsidP="00D17FF5">
      <w:pPr>
        <w:pStyle w:val="Heading3"/>
        <w:numPr>
          <w:ilvl w:val="0"/>
          <w:numId w:val="43"/>
        </w:numPr>
        <w:spacing w:before="120" w:after="120" w:line="240" w:lineRule="auto"/>
        <w:rPr>
          <w:rFonts w:ascii="Arial" w:hAnsi="Arial" w:cs="Arial"/>
          <w:b/>
          <w:color w:val="000000" w:themeColor="text1"/>
          <w:sz w:val="22"/>
          <w:szCs w:val="22"/>
        </w:rPr>
      </w:pPr>
      <w:bookmarkStart w:id="165" w:name="_Toc533166443"/>
      <w:bookmarkStart w:id="166" w:name="_Toc20432468"/>
      <w:bookmarkStart w:id="167" w:name="_Toc21017062"/>
      <w:r w:rsidRPr="00576180">
        <w:rPr>
          <w:rFonts w:ascii="Arial" w:hAnsi="Arial" w:cs="Arial"/>
          <w:b/>
          <w:color w:val="000000" w:themeColor="text1"/>
          <w:sz w:val="22"/>
          <w:szCs w:val="22"/>
        </w:rPr>
        <w:t>Resultados imprevistos</w:t>
      </w:r>
      <w:bookmarkEnd w:id="156"/>
      <w:bookmarkEnd w:id="157"/>
      <w:bookmarkEnd w:id="158"/>
      <w:bookmarkEnd w:id="159"/>
      <w:bookmarkEnd w:id="160"/>
      <w:bookmarkEnd w:id="161"/>
      <w:bookmarkEnd w:id="162"/>
      <w:bookmarkEnd w:id="163"/>
      <w:bookmarkEnd w:id="164"/>
      <w:bookmarkEnd w:id="165"/>
      <w:bookmarkEnd w:id="166"/>
      <w:bookmarkEnd w:id="167"/>
    </w:p>
    <w:p w14:paraId="0CEC12C3" w14:textId="6718BBA7" w:rsidR="00DD0648" w:rsidRPr="00576180" w:rsidRDefault="00DD0648" w:rsidP="00D17FF5">
      <w:pPr>
        <w:pStyle w:val="ListParagraph"/>
        <w:tabs>
          <w:tab w:val="left" w:pos="9000"/>
        </w:tabs>
        <w:spacing w:before="120" w:after="120" w:line="240" w:lineRule="auto"/>
        <w:ind w:left="360"/>
        <w:contextualSpacing w:val="0"/>
        <w:jc w:val="both"/>
        <w:rPr>
          <w:rFonts w:ascii="Arial" w:hAnsi="Arial" w:cs="Arial"/>
        </w:rPr>
      </w:pPr>
      <w:bookmarkStart w:id="168" w:name="_Eficiencia"/>
      <w:bookmarkStart w:id="169" w:name="_Eficiencia_1"/>
      <w:bookmarkStart w:id="170" w:name="_Toc501529202"/>
      <w:bookmarkStart w:id="171" w:name="_Toc500169665"/>
      <w:bookmarkStart w:id="172" w:name="_Toc506484934"/>
      <w:bookmarkStart w:id="173" w:name="_Toc506974999"/>
      <w:bookmarkStart w:id="174" w:name="_Toc512433752"/>
      <w:bookmarkStart w:id="175" w:name="_Toc514236641"/>
      <w:bookmarkStart w:id="176" w:name="_Toc516767402"/>
      <w:bookmarkStart w:id="177" w:name="_Toc518037204"/>
      <w:bookmarkEnd w:id="168"/>
      <w:bookmarkEnd w:id="169"/>
      <w:r w:rsidRPr="00576180">
        <w:rPr>
          <w:rFonts w:ascii="Arial" w:hAnsi="Arial" w:cs="Arial"/>
        </w:rPr>
        <w:t xml:space="preserve">El resultado imprevisto más relevante está asociado </w:t>
      </w:r>
      <w:r w:rsidR="009406A5" w:rsidRPr="00576180">
        <w:rPr>
          <w:rFonts w:ascii="Arial" w:hAnsi="Arial" w:cs="Arial"/>
        </w:rPr>
        <w:t>con</w:t>
      </w:r>
      <w:r w:rsidR="00DC7702" w:rsidRPr="00576180">
        <w:rPr>
          <w:rFonts w:ascii="Arial" w:hAnsi="Arial" w:cs="Arial"/>
        </w:rPr>
        <w:t xml:space="preserve"> el</w:t>
      </w:r>
      <w:r w:rsidRPr="00576180">
        <w:rPr>
          <w:rFonts w:ascii="Arial" w:hAnsi="Arial" w:cs="Arial"/>
        </w:rPr>
        <w:t xml:space="preserve"> </w:t>
      </w:r>
      <w:bookmarkStart w:id="178" w:name="_Hlk531424300"/>
      <w:r w:rsidR="004544FB" w:rsidRPr="00576180">
        <w:rPr>
          <w:rFonts w:ascii="Arial" w:hAnsi="Arial" w:cs="Arial"/>
        </w:rPr>
        <w:t xml:space="preserve">producto </w:t>
      </w:r>
      <w:r w:rsidR="006F03A7">
        <w:rPr>
          <w:rFonts w:ascii="Arial" w:hAnsi="Arial" w:cs="Arial"/>
        </w:rPr>
        <w:t>(P</w:t>
      </w:r>
      <w:r w:rsidR="009406A5" w:rsidRPr="00576180">
        <w:rPr>
          <w:rFonts w:ascii="Arial" w:hAnsi="Arial" w:cs="Arial"/>
        </w:rPr>
        <w:t>1.2</w:t>
      </w:r>
      <w:r w:rsidR="006F03A7">
        <w:rPr>
          <w:rFonts w:ascii="Arial" w:hAnsi="Arial" w:cs="Arial"/>
        </w:rPr>
        <w:t>)</w:t>
      </w:r>
      <w:r w:rsidR="009406A5" w:rsidRPr="00576180">
        <w:rPr>
          <w:rFonts w:ascii="Arial" w:hAnsi="Arial" w:cs="Arial"/>
        </w:rPr>
        <w:t xml:space="preserve">, </w:t>
      </w:r>
      <w:r w:rsidR="004544FB" w:rsidRPr="00576180">
        <w:rPr>
          <w:rFonts w:ascii="Arial" w:hAnsi="Arial" w:cs="Arial"/>
        </w:rPr>
        <w:t>macroprocesos de ejecución financiera, contabilidad y rendición de cuenta</w:t>
      </w:r>
      <w:r w:rsidR="009370B3" w:rsidRPr="00576180">
        <w:rPr>
          <w:rFonts w:ascii="Arial" w:hAnsi="Arial" w:cs="Arial"/>
        </w:rPr>
        <w:t>s</w:t>
      </w:r>
      <w:r w:rsidR="00DC7702" w:rsidRPr="00576180">
        <w:rPr>
          <w:rFonts w:ascii="Arial" w:hAnsi="Arial" w:cs="Arial"/>
        </w:rPr>
        <w:t xml:space="preserve"> (SIAF II), </w:t>
      </w:r>
      <w:r w:rsidR="009406A5" w:rsidRPr="00576180">
        <w:rPr>
          <w:rFonts w:ascii="Arial" w:hAnsi="Arial" w:cs="Arial"/>
        </w:rPr>
        <w:t>el cual permitió el diseño del modelo conceptual y descripción funcional de los procesos</w:t>
      </w:r>
      <w:r w:rsidR="00FC7B16">
        <w:rPr>
          <w:rFonts w:ascii="Arial" w:hAnsi="Arial" w:cs="Arial"/>
        </w:rPr>
        <w:t>. S</w:t>
      </w:r>
      <w:r w:rsidR="009406A5" w:rsidRPr="00576180">
        <w:rPr>
          <w:rFonts w:ascii="Arial" w:hAnsi="Arial" w:cs="Arial"/>
        </w:rPr>
        <w:t>in embargo, estos no llegaron a implementarse en el nuevo SIAF</w:t>
      </w:r>
      <w:r w:rsidR="00672015">
        <w:rPr>
          <w:rFonts w:ascii="Arial" w:hAnsi="Arial" w:cs="Arial"/>
        </w:rPr>
        <w:t xml:space="preserve"> debido a que </w:t>
      </w:r>
      <w:r w:rsidR="005C45C8">
        <w:rPr>
          <w:rFonts w:ascii="Arial" w:hAnsi="Arial" w:cs="Arial"/>
        </w:rPr>
        <w:t>el tiempo y los recursos financieros se agotaron</w:t>
      </w:r>
      <w:r w:rsidR="009406A5" w:rsidRPr="00576180">
        <w:rPr>
          <w:rFonts w:ascii="Arial" w:hAnsi="Arial" w:cs="Arial"/>
        </w:rPr>
        <w:t xml:space="preserve">. </w:t>
      </w:r>
      <w:bookmarkEnd w:id="178"/>
      <w:r w:rsidR="00672015">
        <w:rPr>
          <w:rFonts w:ascii="Arial" w:hAnsi="Arial" w:cs="Arial"/>
        </w:rPr>
        <w:t>El proyecto solicit</w:t>
      </w:r>
      <w:r w:rsidR="00FC7B16">
        <w:rPr>
          <w:rFonts w:ascii="Arial" w:hAnsi="Arial" w:cs="Arial"/>
        </w:rPr>
        <w:t>ó</w:t>
      </w:r>
      <w:r w:rsidR="00672015">
        <w:rPr>
          <w:rFonts w:ascii="Arial" w:hAnsi="Arial" w:cs="Arial"/>
        </w:rPr>
        <w:t xml:space="preserve"> dos extensiones que fueron aprobadas por el Banco, pero dado los problemas de gobernanza no </w:t>
      </w:r>
      <w:r w:rsidR="005C45C8">
        <w:rPr>
          <w:rFonts w:ascii="Arial" w:hAnsi="Arial" w:cs="Arial"/>
        </w:rPr>
        <w:t xml:space="preserve">se </w:t>
      </w:r>
      <w:r w:rsidR="00672015">
        <w:rPr>
          <w:rFonts w:ascii="Arial" w:hAnsi="Arial" w:cs="Arial"/>
        </w:rPr>
        <w:t xml:space="preserve">pudo generar consensos sobre los </w:t>
      </w:r>
      <w:proofErr w:type="spellStart"/>
      <w:r w:rsidR="00672015">
        <w:rPr>
          <w:rFonts w:ascii="Arial" w:hAnsi="Arial" w:cs="Arial"/>
        </w:rPr>
        <w:t>TDRs</w:t>
      </w:r>
      <w:proofErr w:type="spellEnd"/>
      <w:r w:rsidR="00672015">
        <w:rPr>
          <w:rFonts w:ascii="Arial" w:hAnsi="Arial" w:cs="Arial"/>
        </w:rPr>
        <w:t xml:space="preserve"> de este </w:t>
      </w:r>
      <w:r w:rsidR="0022402E">
        <w:rPr>
          <w:rFonts w:ascii="Arial" w:hAnsi="Arial" w:cs="Arial"/>
        </w:rPr>
        <w:t>módulo</w:t>
      </w:r>
      <w:r w:rsidR="00672015">
        <w:rPr>
          <w:rFonts w:ascii="Arial" w:hAnsi="Arial" w:cs="Arial"/>
        </w:rPr>
        <w:t xml:space="preserve"> con los </w:t>
      </w:r>
      <w:proofErr w:type="spellStart"/>
      <w:r w:rsidR="00672015">
        <w:rPr>
          <w:rFonts w:ascii="Arial" w:hAnsi="Arial" w:cs="Arial"/>
        </w:rPr>
        <w:t>OR’s</w:t>
      </w:r>
      <w:proofErr w:type="spellEnd"/>
      <w:r w:rsidR="00672015">
        <w:rPr>
          <w:rFonts w:ascii="Arial" w:hAnsi="Arial" w:cs="Arial"/>
        </w:rPr>
        <w:t xml:space="preserve">. Por otro lado, los problemas de gobernanza y de cambio de modelos de </w:t>
      </w:r>
      <w:r w:rsidR="0022402E">
        <w:rPr>
          <w:rFonts w:ascii="Arial" w:hAnsi="Arial" w:cs="Arial"/>
        </w:rPr>
        <w:t>gestión</w:t>
      </w:r>
      <w:r w:rsidR="00672015">
        <w:rPr>
          <w:rFonts w:ascii="Arial" w:hAnsi="Arial" w:cs="Arial"/>
        </w:rPr>
        <w:t xml:space="preserve"> descritos en este documento</w:t>
      </w:r>
      <w:r w:rsidR="00FC7B16">
        <w:rPr>
          <w:rFonts w:ascii="Arial" w:hAnsi="Arial" w:cs="Arial"/>
        </w:rPr>
        <w:t>,</w:t>
      </w:r>
      <w:r w:rsidR="0022402E">
        <w:rPr>
          <w:rFonts w:ascii="Arial" w:hAnsi="Arial" w:cs="Arial"/>
        </w:rPr>
        <w:t xml:space="preserve"> llev</w:t>
      </w:r>
      <w:r w:rsidR="0095101C">
        <w:rPr>
          <w:rFonts w:ascii="Arial" w:hAnsi="Arial" w:cs="Arial"/>
        </w:rPr>
        <w:t>aron</w:t>
      </w:r>
      <w:r w:rsidR="0022402E">
        <w:rPr>
          <w:rFonts w:ascii="Arial" w:hAnsi="Arial" w:cs="Arial"/>
        </w:rPr>
        <w:t xml:space="preserve"> a la UE a utilizar fondos asignados para financiar otras actividades y productos, y asignarlos a la finalización del módulo de programación </w:t>
      </w:r>
      <w:proofErr w:type="gramStart"/>
      <w:r w:rsidR="0022402E">
        <w:rPr>
          <w:rFonts w:ascii="Arial" w:hAnsi="Arial" w:cs="Arial"/>
        </w:rPr>
        <w:t>presupuestaria .</w:t>
      </w:r>
      <w:proofErr w:type="gramEnd"/>
      <w:r w:rsidR="0022402E">
        <w:rPr>
          <w:rFonts w:ascii="Arial" w:hAnsi="Arial" w:cs="Arial"/>
        </w:rPr>
        <w:t xml:space="preserve"> La utilización de otros fondos, llev</w:t>
      </w:r>
      <w:r w:rsidR="0095101C">
        <w:rPr>
          <w:rFonts w:ascii="Arial" w:hAnsi="Arial" w:cs="Arial"/>
        </w:rPr>
        <w:t>ó</w:t>
      </w:r>
      <w:r w:rsidR="0022402E">
        <w:rPr>
          <w:rFonts w:ascii="Arial" w:hAnsi="Arial" w:cs="Arial"/>
        </w:rPr>
        <w:t xml:space="preserve"> a que el Proyecto para el año 2016, no tuvier</w:t>
      </w:r>
      <w:r w:rsidR="0095101C">
        <w:rPr>
          <w:rFonts w:ascii="Arial" w:hAnsi="Arial" w:cs="Arial"/>
        </w:rPr>
        <w:t>a</w:t>
      </w:r>
      <w:r w:rsidR="0022402E">
        <w:rPr>
          <w:rFonts w:ascii="Arial" w:hAnsi="Arial" w:cs="Arial"/>
        </w:rPr>
        <w:t xml:space="preserve"> suficientes </w:t>
      </w:r>
      <w:r w:rsidR="0095101C">
        <w:rPr>
          <w:rFonts w:ascii="Arial" w:hAnsi="Arial" w:cs="Arial"/>
        </w:rPr>
        <w:t>recursos</w:t>
      </w:r>
      <w:r w:rsidR="0022402E">
        <w:rPr>
          <w:rFonts w:ascii="Arial" w:hAnsi="Arial" w:cs="Arial"/>
        </w:rPr>
        <w:t xml:space="preserve"> para cumplir con la regla del Banco que </w:t>
      </w:r>
      <w:r w:rsidR="0095101C">
        <w:rPr>
          <w:rFonts w:ascii="Arial" w:hAnsi="Arial" w:cs="Arial"/>
        </w:rPr>
        <w:t xml:space="preserve">requiere </w:t>
      </w:r>
      <w:r w:rsidR="0022402E">
        <w:rPr>
          <w:rFonts w:ascii="Arial" w:hAnsi="Arial" w:cs="Arial"/>
        </w:rPr>
        <w:t xml:space="preserve">que todas las </w:t>
      </w:r>
      <w:r w:rsidR="0095101C">
        <w:rPr>
          <w:rFonts w:ascii="Arial" w:hAnsi="Arial" w:cs="Arial"/>
        </w:rPr>
        <w:t xml:space="preserve">adquisiciones programadas </w:t>
      </w:r>
      <w:proofErr w:type="gramStart"/>
      <w:r w:rsidR="0022402E">
        <w:rPr>
          <w:rFonts w:ascii="Arial" w:hAnsi="Arial" w:cs="Arial"/>
        </w:rPr>
        <w:t xml:space="preserve">deben  </w:t>
      </w:r>
      <w:r w:rsidR="0095101C">
        <w:rPr>
          <w:rFonts w:ascii="Arial" w:hAnsi="Arial" w:cs="Arial"/>
        </w:rPr>
        <w:t>contar</w:t>
      </w:r>
      <w:proofErr w:type="gramEnd"/>
      <w:r w:rsidR="0095101C">
        <w:rPr>
          <w:rFonts w:ascii="Arial" w:hAnsi="Arial" w:cs="Arial"/>
        </w:rPr>
        <w:t xml:space="preserve"> con </w:t>
      </w:r>
      <w:r w:rsidR="0022402E">
        <w:rPr>
          <w:rFonts w:ascii="Arial" w:hAnsi="Arial" w:cs="Arial"/>
        </w:rPr>
        <w:t xml:space="preserve">fondos </w:t>
      </w:r>
      <w:r w:rsidR="0095101C">
        <w:rPr>
          <w:rFonts w:ascii="Arial" w:hAnsi="Arial" w:cs="Arial"/>
        </w:rPr>
        <w:t xml:space="preserve">suficientes </w:t>
      </w:r>
      <w:r w:rsidR="0022402E">
        <w:rPr>
          <w:rFonts w:ascii="Arial" w:hAnsi="Arial" w:cs="Arial"/>
        </w:rPr>
        <w:t xml:space="preserve">para cubrir su </w:t>
      </w:r>
      <w:r w:rsidR="005C45C8">
        <w:rPr>
          <w:rFonts w:ascii="Arial" w:hAnsi="Arial" w:cs="Arial"/>
        </w:rPr>
        <w:t>realización</w:t>
      </w:r>
      <w:r w:rsidR="0022402E">
        <w:rPr>
          <w:rFonts w:ascii="Arial" w:hAnsi="Arial" w:cs="Arial"/>
        </w:rPr>
        <w:t xml:space="preserve">. Esta </w:t>
      </w:r>
      <w:r w:rsidR="005C45C8">
        <w:rPr>
          <w:rFonts w:ascii="Arial" w:hAnsi="Arial" w:cs="Arial"/>
        </w:rPr>
        <w:t>decisión</w:t>
      </w:r>
      <w:r w:rsidR="0022402E">
        <w:rPr>
          <w:rFonts w:ascii="Arial" w:hAnsi="Arial" w:cs="Arial"/>
        </w:rPr>
        <w:t xml:space="preserve"> del Banco fue justificada a través de un estudio de costo que el Banco financi</w:t>
      </w:r>
      <w:r w:rsidR="0095101C">
        <w:rPr>
          <w:rFonts w:ascii="Arial" w:hAnsi="Arial" w:cs="Arial"/>
        </w:rPr>
        <w:t>ó</w:t>
      </w:r>
      <w:r w:rsidR="0022402E">
        <w:rPr>
          <w:rFonts w:ascii="Arial" w:hAnsi="Arial" w:cs="Arial"/>
        </w:rPr>
        <w:t xml:space="preserve"> en enero 2016</w:t>
      </w:r>
      <w:r w:rsidR="000B44BA">
        <w:rPr>
          <w:rFonts w:ascii="Arial" w:hAnsi="Arial" w:cs="Arial"/>
        </w:rPr>
        <w:t>.</w:t>
      </w:r>
      <w:r w:rsidR="0022402E">
        <w:rPr>
          <w:rStyle w:val="FootnoteReference"/>
          <w:rFonts w:ascii="Arial" w:hAnsi="Arial" w:cs="Arial"/>
        </w:rPr>
        <w:footnoteReference w:id="10"/>
      </w:r>
      <w:r w:rsidR="00672015">
        <w:rPr>
          <w:rFonts w:ascii="Arial" w:hAnsi="Arial" w:cs="Arial"/>
        </w:rPr>
        <w:t xml:space="preserve"> </w:t>
      </w:r>
      <w:r w:rsidR="00295620" w:rsidRPr="00576180">
        <w:rPr>
          <w:rFonts w:ascii="Arial" w:hAnsi="Arial" w:cs="Arial"/>
        </w:rPr>
        <w:t xml:space="preserve">Debido a las necesidades de mejora existentes en los procedimientos, el </w:t>
      </w:r>
      <w:r w:rsidR="00E6021B" w:rsidRPr="00576180">
        <w:rPr>
          <w:rFonts w:ascii="Arial" w:hAnsi="Arial" w:cs="Arial"/>
        </w:rPr>
        <w:t>MEF aprovechó las recomendaciones propuestas en la</w:t>
      </w:r>
      <w:r w:rsidR="002A1C74" w:rsidRPr="00576180">
        <w:rPr>
          <w:rFonts w:ascii="Arial" w:hAnsi="Arial" w:cs="Arial"/>
        </w:rPr>
        <w:t>s</w:t>
      </w:r>
      <w:r w:rsidR="00E6021B" w:rsidRPr="00576180">
        <w:rPr>
          <w:rFonts w:ascii="Arial" w:hAnsi="Arial" w:cs="Arial"/>
        </w:rPr>
        <w:t xml:space="preserve"> especificaci</w:t>
      </w:r>
      <w:r w:rsidR="002A1C74" w:rsidRPr="00576180">
        <w:rPr>
          <w:rFonts w:ascii="Arial" w:hAnsi="Arial" w:cs="Arial"/>
        </w:rPr>
        <w:t>ones</w:t>
      </w:r>
      <w:r w:rsidR="00E6021B" w:rsidRPr="00576180">
        <w:rPr>
          <w:rFonts w:ascii="Arial" w:hAnsi="Arial" w:cs="Arial"/>
        </w:rPr>
        <w:t xml:space="preserve"> técnica</w:t>
      </w:r>
      <w:r w:rsidR="002A1C74" w:rsidRPr="00576180">
        <w:rPr>
          <w:rFonts w:ascii="Arial" w:hAnsi="Arial" w:cs="Arial"/>
        </w:rPr>
        <w:t>s</w:t>
      </w:r>
      <w:r w:rsidR="00E6021B" w:rsidRPr="00576180">
        <w:rPr>
          <w:rFonts w:ascii="Arial" w:hAnsi="Arial" w:cs="Arial"/>
        </w:rPr>
        <w:t xml:space="preserve"> de los procesos </w:t>
      </w:r>
      <w:r w:rsidR="00D54A0C" w:rsidRPr="00576180">
        <w:rPr>
          <w:rFonts w:ascii="Arial" w:hAnsi="Arial" w:cs="Arial"/>
        </w:rPr>
        <w:t xml:space="preserve">que se elaboraron con el </w:t>
      </w:r>
      <w:r w:rsidR="009406A5" w:rsidRPr="00576180">
        <w:rPr>
          <w:rFonts w:ascii="Arial" w:hAnsi="Arial" w:cs="Arial"/>
        </w:rPr>
        <w:t>Programa</w:t>
      </w:r>
      <w:r w:rsidR="0095101C">
        <w:rPr>
          <w:rFonts w:ascii="Arial" w:hAnsi="Arial" w:cs="Arial"/>
        </w:rPr>
        <w:t>,</w:t>
      </w:r>
      <w:r w:rsidR="00E6021B" w:rsidRPr="00576180">
        <w:rPr>
          <w:rFonts w:ascii="Arial" w:hAnsi="Arial" w:cs="Arial"/>
        </w:rPr>
        <w:t xml:space="preserve"> </w:t>
      </w:r>
      <w:r w:rsidR="009406A5" w:rsidRPr="00576180">
        <w:rPr>
          <w:rFonts w:ascii="Arial" w:hAnsi="Arial" w:cs="Arial"/>
        </w:rPr>
        <w:t>e introdujo mejoras en los</w:t>
      </w:r>
      <w:r w:rsidR="00E6021B" w:rsidRPr="00576180">
        <w:rPr>
          <w:rFonts w:ascii="Arial" w:hAnsi="Arial" w:cs="Arial"/>
        </w:rPr>
        <w:t xml:space="preserve"> procedimientos de registro de la información en el sistema existente</w:t>
      </w:r>
      <w:r w:rsidR="00920C0E" w:rsidRPr="00576180">
        <w:rPr>
          <w:rFonts w:ascii="Arial" w:hAnsi="Arial" w:cs="Arial"/>
        </w:rPr>
        <w:t xml:space="preserve"> (SIAF-SP)</w:t>
      </w:r>
      <w:r w:rsidR="00E6021B" w:rsidRPr="00576180">
        <w:rPr>
          <w:rFonts w:ascii="Arial" w:hAnsi="Arial" w:cs="Arial"/>
        </w:rPr>
        <w:t>.</w:t>
      </w:r>
    </w:p>
    <w:p w14:paraId="5ABFB3C4" w14:textId="3243FEF1" w:rsidR="003670C9" w:rsidRPr="00576180" w:rsidRDefault="003670C9" w:rsidP="00D17FF5">
      <w:pPr>
        <w:pStyle w:val="Heading2"/>
        <w:numPr>
          <w:ilvl w:val="0"/>
          <w:numId w:val="51"/>
        </w:numPr>
        <w:spacing w:before="120" w:after="120" w:line="240" w:lineRule="auto"/>
        <w:ind w:hanging="720"/>
        <w:rPr>
          <w:rFonts w:ascii="Arial" w:hAnsi="Arial"/>
          <w:b/>
          <w:bCs/>
          <w:color w:val="auto"/>
          <w:sz w:val="22"/>
          <w:szCs w:val="22"/>
        </w:rPr>
      </w:pPr>
      <w:bookmarkStart w:id="179" w:name="_Toc533166444"/>
      <w:bookmarkStart w:id="180" w:name="_Toc20432469"/>
      <w:bookmarkStart w:id="181" w:name="_Toc21017063"/>
      <w:r w:rsidRPr="00576180">
        <w:rPr>
          <w:rFonts w:ascii="Arial" w:hAnsi="Arial"/>
          <w:b/>
          <w:bCs/>
          <w:color w:val="auto"/>
          <w:sz w:val="22"/>
          <w:szCs w:val="22"/>
        </w:rPr>
        <w:t>Eficiencia</w:t>
      </w:r>
      <w:bookmarkEnd w:id="179"/>
      <w:bookmarkEnd w:id="180"/>
      <w:bookmarkEnd w:id="181"/>
    </w:p>
    <w:p w14:paraId="1A652A3B" w14:textId="33C7B7D3" w:rsidR="000B4C4C" w:rsidRPr="00576180" w:rsidRDefault="000B4C4C" w:rsidP="00D17FF5">
      <w:pPr>
        <w:pStyle w:val="ListParagraph"/>
        <w:tabs>
          <w:tab w:val="left" w:pos="9000"/>
        </w:tabs>
        <w:spacing w:before="120" w:after="120" w:line="240" w:lineRule="auto"/>
        <w:ind w:left="360"/>
        <w:contextualSpacing w:val="0"/>
        <w:jc w:val="both"/>
        <w:rPr>
          <w:rFonts w:ascii="Arial" w:hAnsi="Arial" w:cs="Arial"/>
        </w:rPr>
      </w:pPr>
      <w:r w:rsidRPr="00576180">
        <w:rPr>
          <w:rFonts w:ascii="Arial" w:hAnsi="Arial" w:cs="Arial"/>
        </w:rPr>
        <w:t xml:space="preserve">En la Tabla 7 se detallan los costos del Programa </w:t>
      </w:r>
      <w:r w:rsidR="002B4BED" w:rsidRPr="00576180">
        <w:rPr>
          <w:rFonts w:ascii="Arial" w:hAnsi="Arial" w:cs="Arial"/>
        </w:rPr>
        <w:t>por componente</w:t>
      </w:r>
      <w:r w:rsidR="007624F4" w:rsidRPr="00576180">
        <w:rPr>
          <w:rFonts w:ascii="Arial" w:hAnsi="Arial" w:cs="Arial"/>
        </w:rPr>
        <w:t xml:space="preserve"> y el aporte del </w:t>
      </w:r>
      <w:r w:rsidR="00762ECB" w:rsidRPr="00576180">
        <w:rPr>
          <w:rFonts w:ascii="Arial" w:hAnsi="Arial" w:cs="Arial"/>
        </w:rPr>
        <w:t>G</w:t>
      </w:r>
      <w:r w:rsidR="007624F4" w:rsidRPr="00576180">
        <w:rPr>
          <w:rFonts w:ascii="Arial" w:hAnsi="Arial" w:cs="Arial"/>
        </w:rPr>
        <w:t>obierno</w:t>
      </w:r>
      <w:r w:rsidRPr="00576180">
        <w:rPr>
          <w:rFonts w:ascii="Arial" w:hAnsi="Arial" w:cs="Arial"/>
        </w:rPr>
        <w:t>.</w:t>
      </w:r>
      <w:r w:rsidR="00740793" w:rsidRPr="00576180">
        <w:rPr>
          <w:rFonts w:ascii="Arial" w:hAnsi="Arial" w:cs="Arial"/>
        </w:rPr>
        <w:t xml:space="preserve"> El </w:t>
      </w:r>
      <w:r w:rsidR="007624F4" w:rsidRPr="00576180">
        <w:rPr>
          <w:rFonts w:ascii="Arial" w:hAnsi="Arial" w:cs="Arial"/>
        </w:rPr>
        <w:t>P</w:t>
      </w:r>
      <w:r w:rsidR="00740793" w:rsidRPr="00576180">
        <w:rPr>
          <w:rFonts w:ascii="Arial" w:hAnsi="Arial" w:cs="Arial"/>
        </w:rPr>
        <w:t>rograma</w:t>
      </w:r>
      <w:r w:rsidR="007624F4" w:rsidRPr="00576180">
        <w:rPr>
          <w:rFonts w:ascii="Arial" w:hAnsi="Arial" w:cs="Arial"/>
        </w:rPr>
        <w:t xml:space="preserve"> tuvo un costo total de US$</w:t>
      </w:r>
      <w:r w:rsidR="00B2158D" w:rsidRPr="00576180">
        <w:rPr>
          <w:rFonts w:ascii="Arial" w:hAnsi="Arial" w:cs="Arial"/>
        </w:rPr>
        <w:t>20</w:t>
      </w:r>
      <w:r w:rsidR="00AE01D7" w:rsidRPr="00576180">
        <w:rPr>
          <w:rFonts w:ascii="Arial" w:hAnsi="Arial" w:cs="Arial"/>
        </w:rPr>
        <w:t>.</w:t>
      </w:r>
      <w:r w:rsidR="00B2158D" w:rsidRPr="00576180">
        <w:rPr>
          <w:rFonts w:ascii="Arial" w:hAnsi="Arial" w:cs="Arial"/>
        </w:rPr>
        <w:t>362</w:t>
      </w:r>
      <w:r w:rsidR="00AE01D7" w:rsidRPr="00576180">
        <w:rPr>
          <w:rFonts w:ascii="Arial" w:hAnsi="Arial" w:cs="Arial"/>
        </w:rPr>
        <w:t>.</w:t>
      </w:r>
      <w:r w:rsidR="00B2158D" w:rsidRPr="00576180">
        <w:rPr>
          <w:rFonts w:ascii="Arial" w:hAnsi="Arial" w:cs="Arial"/>
        </w:rPr>
        <w:t>813</w:t>
      </w:r>
      <w:r w:rsidR="00BD229E" w:rsidRPr="00576180">
        <w:rPr>
          <w:rFonts w:ascii="Arial" w:hAnsi="Arial" w:cs="Arial"/>
        </w:rPr>
        <w:t>,</w:t>
      </w:r>
      <w:r w:rsidR="00B2158D" w:rsidRPr="00576180">
        <w:rPr>
          <w:rFonts w:ascii="Arial" w:hAnsi="Arial" w:cs="Arial"/>
        </w:rPr>
        <w:t>69, de los cuales</w:t>
      </w:r>
      <w:r w:rsidR="00740793" w:rsidRPr="00576180">
        <w:rPr>
          <w:rFonts w:ascii="Arial" w:hAnsi="Arial" w:cs="Arial"/>
        </w:rPr>
        <w:t xml:space="preserve"> </w:t>
      </w:r>
      <w:r w:rsidR="00B2158D" w:rsidRPr="00576180">
        <w:rPr>
          <w:rFonts w:ascii="Arial" w:hAnsi="Arial" w:cs="Arial"/>
        </w:rPr>
        <w:t>81% se cubrió con recursos del préstamo</w:t>
      </w:r>
      <w:r w:rsidR="00740793" w:rsidRPr="00576180">
        <w:rPr>
          <w:rFonts w:ascii="Arial" w:hAnsi="Arial" w:cs="Arial"/>
        </w:rPr>
        <w:t xml:space="preserve"> </w:t>
      </w:r>
      <w:r w:rsidR="00B2158D" w:rsidRPr="00576180">
        <w:rPr>
          <w:rFonts w:ascii="Arial" w:hAnsi="Arial" w:cs="Arial"/>
        </w:rPr>
        <w:t>(</w:t>
      </w:r>
      <w:r w:rsidR="00740793" w:rsidRPr="00576180">
        <w:rPr>
          <w:rFonts w:ascii="Arial" w:hAnsi="Arial" w:cs="Arial"/>
        </w:rPr>
        <w:t>US$ 1</w:t>
      </w:r>
      <w:r w:rsidR="0075347E">
        <w:rPr>
          <w:rFonts w:ascii="Arial" w:hAnsi="Arial" w:cs="Arial"/>
        </w:rPr>
        <w:t>6</w:t>
      </w:r>
      <w:r w:rsidR="00AE01D7" w:rsidRPr="00576180">
        <w:rPr>
          <w:rFonts w:ascii="Arial" w:hAnsi="Arial" w:cs="Arial"/>
        </w:rPr>
        <w:t>.</w:t>
      </w:r>
      <w:r w:rsidR="00740793" w:rsidRPr="00576180">
        <w:rPr>
          <w:rFonts w:ascii="Arial" w:hAnsi="Arial" w:cs="Arial"/>
        </w:rPr>
        <w:t>496</w:t>
      </w:r>
      <w:r w:rsidR="00AE01D7" w:rsidRPr="00576180">
        <w:rPr>
          <w:rFonts w:ascii="Arial" w:hAnsi="Arial" w:cs="Arial"/>
        </w:rPr>
        <w:t>.</w:t>
      </w:r>
      <w:r w:rsidR="00740793" w:rsidRPr="00576180">
        <w:rPr>
          <w:rFonts w:ascii="Arial" w:hAnsi="Arial" w:cs="Arial"/>
        </w:rPr>
        <w:t>807.70</w:t>
      </w:r>
      <w:r w:rsidR="00B2158D" w:rsidRPr="00576180">
        <w:rPr>
          <w:rFonts w:ascii="Arial" w:hAnsi="Arial" w:cs="Arial"/>
        </w:rPr>
        <w:t xml:space="preserve">) y 19% con fondos de contrapartida </w:t>
      </w:r>
      <w:r w:rsidR="00762ECB" w:rsidRPr="00576180">
        <w:rPr>
          <w:rFonts w:ascii="Arial" w:hAnsi="Arial" w:cs="Arial"/>
        </w:rPr>
        <w:t xml:space="preserve">local </w:t>
      </w:r>
      <w:r w:rsidR="007624F4" w:rsidRPr="00576180">
        <w:rPr>
          <w:rFonts w:ascii="Arial" w:hAnsi="Arial" w:cs="Arial"/>
        </w:rPr>
        <w:t>(</w:t>
      </w:r>
      <w:r w:rsidR="00B2158D" w:rsidRPr="00576180">
        <w:rPr>
          <w:rFonts w:ascii="Arial" w:hAnsi="Arial" w:cs="Arial"/>
        </w:rPr>
        <w:t>US$3</w:t>
      </w:r>
      <w:r w:rsidR="00B47017" w:rsidRPr="00576180">
        <w:rPr>
          <w:rFonts w:ascii="Arial" w:hAnsi="Arial" w:cs="Arial"/>
        </w:rPr>
        <w:t>.</w:t>
      </w:r>
      <w:r w:rsidR="00740793" w:rsidRPr="00576180">
        <w:rPr>
          <w:rFonts w:ascii="Arial" w:hAnsi="Arial" w:cs="Arial"/>
        </w:rPr>
        <w:t>866</w:t>
      </w:r>
      <w:r w:rsidR="00B47017" w:rsidRPr="00576180">
        <w:rPr>
          <w:rFonts w:ascii="Arial" w:hAnsi="Arial" w:cs="Arial"/>
        </w:rPr>
        <w:t>.</w:t>
      </w:r>
      <w:r w:rsidR="00740793" w:rsidRPr="00576180">
        <w:rPr>
          <w:rFonts w:ascii="Arial" w:hAnsi="Arial" w:cs="Arial"/>
        </w:rPr>
        <w:t>055</w:t>
      </w:r>
      <w:r w:rsidR="00BD229E" w:rsidRPr="00576180">
        <w:rPr>
          <w:rFonts w:ascii="Arial" w:hAnsi="Arial" w:cs="Arial"/>
        </w:rPr>
        <w:t>,</w:t>
      </w:r>
      <w:r w:rsidR="00740793" w:rsidRPr="00576180">
        <w:rPr>
          <w:rFonts w:ascii="Arial" w:hAnsi="Arial" w:cs="Arial"/>
        </w:rPr>
        <w:t>99</w:t>
      </w:r>
      <w:r w:rsidR="007624F4" w:rsidRPr="00576180">
        <w:rPr>
          <w:rFonts w:ascii="Arial" w:hAnsi="Arial" w:cs="Arial"/>
        </w:rPr>
        <w:t>)</w:t>
      </w:r>
      <w:r w:rsidR="00740793" w:rsidRPr="00576180">
        <w:rPr>
          <w:rFonts w:ascii="Arial" w:hAnsi="Arial" w:cs="Arial"/>
        </w:rPr>
        <w:t>.</w:t>
      </w:r>
      <w:r w:rsidRPr="00576180">
        <w:rPr>
          <w:rFonts w:ascii="Arial" w:hAnsi="Arial" w:cs="Arial"/>
        </w:rPr>
        <w:t xml:space="preserve"> </w:t>
      </w:r>
      <w:r w:rsidR="00662B9F" w:rsidRPr="00576180">
        <w:rPr>
          <w:rFonts w:ascii="Arial" w:hAnsi="Arial" w:cs="Arial"/>
        </w:rPr>
        <w:t>El</w:t>
      </w:r>
      <w:r w:rsidR="00740793" w:rsidRPr="00576180">
        <w:rPr>
          <w:rFonts w:ascii="Arial" w:hAnsi="Arial" w:cs="Arial"/>
        </w:rPr>
        <w:t xml:space="preserve"> componente 1 representó el 69% </w:t>
      </w:r>
      <w:r w:rsidR="00B2158D" w:rsidRPr="00576180">
        <w:rPr>
          <w:rFonts w:ascii="Arial" w:hAnsi="Arial" w:cs="Arial"/>
        </w:rPr>
        <w:t>de los recursos del préstamo</w:t>
      </w:r>
      <w:r w:rsidR="00740793" w:rsidRPr="00576180">
        <w:rPr>
          <w:rFonts w:ascii="Arial" w:hAnsi="Arial" w:cs="Arial"/>
        </w:rPr>
        <w:t xml:space="preserve">, debido </w:t>
      </w:r>
      <w:r w:rsidR="00B2158D" w:rsidRPr="00576180">
        <w:rPr>
          <w:rFonts w:ascii="Arial" w:hAnsi="Arial" w:cs="Arial"/>
        </w:rPr>
        <w:t xml:space="preserve">a que </w:t>
      </w:r>
      <w:r w:rsidR="00220541" w:rsidRPr="00576180">
        <w:rPr>
          <w:rFonts w:ascii="Arial" w:hAnsi="Arial" w:cs="Arial"/>
        </w:rPr>
        <w:t>contempló</w:t>
      </w:r>
      <w:r w:rsidR="00740793" w:rsidRPr="00576180">
        <w:rPr>
          <w:rFonts w:ascii="Arial" w:hAnsi="Arial" w:cs="Arial"/>
        </w:rPr>
        <w:t xml:space="preserve"> la informatización </w:t>
      </w:r>
      <w:r w:rsidR="00220541" w:rsidRPr="00576180">
        <w:rPr>
          <w:rFonts w:ascii="Arial" w:hAnsi="Arial" w:cs="Arial"/>
        </w:rPr>
        <w:t xml:space="preserve">de los 4 </w:t>
      </w:r>
      <w:r w:rsidR="00740793" w:rsidRPr="00576180">
        <w:rPr>
          <w:rFonts w:ascii="Arial" w:hAnsi="Arial" w:cs="Arial"/>
        </w:rPr>
        <w:t>macroprocesos</w:t>
      </w:r>
      <w:r w:rsidR="00220541" w:rsidRPr="00576180">
        <w:rPr>
          <w:rFonts w:ascii="Arial" w:hAnsi="Arial" w:cs="Arial"/>
        </w:rPr>
        <w:t xml:space="preserve"> de gestión financiera </w:t>
      </w:r>
      <w:r w:rsidR="00740793" w:rsidRPr="00576180">
        <w:rPr>
          <w:rFonts w:ascii="Arial" w:hAnsi="Arial" w:cs="Arial"/>
        </w:rPr>
        <w:t>(</w:t>
      </w:r>
      <w:r w:rsidR="00220541" w:rsidRPr="00576180">
        <w:rPr>
          <w:rFonts w:ascii="Arial" w:hAnsi="Arial" w:cs="Arial"/>
        </w:rPr>
        <w:t>programación presupuestaria, ejecución financiera, contabilidad y rendición de cuentas</w:t>
      </w:r>
      <w:r w:rsidR="00740793" w:rsidRPr="00576180">
        <w:rPr>
          <w:rFonts w:ascii="Arial" w:hAnsi="Arial" w:cs="Arial"/>
        </w:rPr>
        <w:t>)</w:t>
      </w:r>
      <w:r w:rsidR="00220541" w:rsidRPr="00576180">
        <w:rPr>
          <w:rFonts w:ascii="Arial" w:hAnsi="Arial" w:cs="Arial"/>
        </w:rPr>
        <w:t xml:space="preserve">, </w:t>
      </w:r>
      <w:r w:rsidR="00740793" w:rsidRPr="00576180">
        <w:rPr>
          <w:rFonts w:ascii="Arial" w:hAnsi="Arial" w:cs="Arial"/>
        </w:rPr>
        <w:t>la implementación del módulo de programación presupuestaria</w:t>
      </w:r>
      <w:r w:rsidR="00C95F03" w:rsidRPr="00576180">
        <w:rPr>
          <w:rFonts w:ascii="Arial" w:hAnsi="Arial" w:cs="Arial"/>
        </w:rPr>
        <w:t xml:space="preserve"> del nuevo SIAF</w:t>
      </w:r>
      <w:r w:rsidR="00220541" w:rsidRPr="00576180">
        <w:rPr>
          <w:rFonts w:ascii="Arial" w:hAnsi="Arial" w:cs="Arial"/>
        </w:rPr>
        <w:t xml:space="preserve"> y </w:t>
      </w:r>
      <w:r w:rsidR="00133212" w:rsidRPr="00576180">
        <w:rPr>
          <w:rFonts w:ascii="Arial" w:hAnsi="Arial" w:cs="Arial"/>
        </w:rPr>
        <w:t xml:space="preserve">el </w:t>
      </w:r>
      <w:r w:rsidR="00220541" w:rsidRPr="00576180">
        <w:rPr>
          <w:rFonts w:ascii="Arial" w:hAnsi="Arial" w:cs="Arial"/>
        </w:rPr>
        <w:t>fortalecimiento de la infraestructura tecnológica del MEF</w:t>
      </w:r>
      <w:r w:rsidR="00740793" w:rsidRPr="00576180">
        <w:rPr>
          <w:rFonts w:ascii="Arial" w:hAnsi="Arial" w:cs="Arial"/>
        </w:rPr>
        <w:t xml:space="preserve">. </w:t>
      </w:r>
      <w:r w:rsidR="00B2158D" w:rsidRPr="00576180">
        <w:rPr>
          <w:rFonts w:ascii="Arial" w:hAnsi="Arial" w:cs="Arial"/>
        </w:rPr>
        <w:t xml:space="preserve">Aunque 3 de los 4 macroprocesos no llegaron a implementarse en el nuevo SIAF, </w:t>
      </w:r>
      <w:r w:rsidR="009110EC" w:rsidRPr="00576180">
        <w:rPr>
          <w:rFonts w:ascii="Arial" w:hAnsi="Arial" w:cs="Arial"/>
        </w:rPr>
        <w:t>se</w:t>
      </w:r>
      <w:r w:rsidR="00B2158D" w:rsidRPr="00576180">
        <w:rPr>
          <w:rFonts w:ascii="Arial" w:hAnsi="Arial" w:cs="Arial"/>
        </w:rPr>
        <w:t xml:space="preserve"> </w:t>
      </w:r>
      <w:r w:rsidR="001B59A6" w:rsidRPr="00576180">
        <w:rPr>
          <w:rFonts w:ascii="Arial" w:hAnsi="Arial" w:cs="Arial"/>
        </w:rPr>
        <w:t>logró aprobar</w:t>
      </w:r>
      <w:r w:rsidR="00B2158D" w:rsidRPr="00576180">
        <w:rPr>
          <w:rFonts w:ascii="Arial" w:hAnsi="Arial" w:cs="Arial"/>
        </w:rPr>
        <w:t xml:space="preserve"> el modelo conceptual y descripción funcional </w:t>
      </w:r>
      <w:r w:rsidR="009110EC" w:rsidRPr="00576180">
        <w:rPr>
          <w:rFonts w:ascii="Arial" w:hAnsi="Arial" w:cs="Arial"/>
        </w:rPr>
        <w:t>de dichos</w:t>
      </w:r>
      <w:r w:rsidR="00B2158D" w:rsidRPr="00576180">
        <w:rPr>
          <w:rFonts w:ascii="Arial" w:hAnsi="Arial" w:cs="Arial"/>
        </w:rPr>
        <w:t xml:space="preserve"> procesos. </w:t>
      </w:r>
    </w:p>
    <w:p w14:paraId="0F6BF2C2" w14:textId="6C63292C" w:rsidR="00F83B70" w:rsidRDefault="00662B9F" w:rsidP="00D17FF5">
      <w:pPr>
        <w:pStyle w:val="ListParagraph"/>
        <w:tabs>
          <w:tab w:val="left" w:pos="9000"/>
        </w:tabs>
        <w:spacing w:before="120" w:after="120" w:line="240" w:lineRule="auto"/>
        <w:ind w:left="360"/>
        <w:contextualSpacing w:val="0"/>
        <w:jc w:val="both"/>
        <w:rPr>
          <w:rFonts w:ascii="Arial" w:hAnsi="Arial" w:cs="Arial"/>
        </w:rPr>
      </w:pPr>
      <w:r w:rsidRPr="00576180">
        <w:rPr>
          <w:rFonts w:ascii="Arial" w:hAnsi="Arial" w:cs="Arial"/>
        </w:rPr>
        <w:t>Es importante destacar que el Programa</w:t>
      </w:r>
      <w:r w:rsidR="009110EC" w:rsidRPr="00576180">
        <w:rPr>
          <w:rFonts w:ascii="Arial" w:hAnsi="Arial" w:cs="Arial"/>
        </w:rPr>
        <w:t xml:space="preserve"> inició su ejecución en abril </w:t>
      </w:r>
      <w:r w:rsidR="001B59A6" w:rsidRPr="00576180">
        <w:rPr>
          <w:rFonts w:ascii="Arial" w:hAnsi="Arial" w:cs="Arial"/>
        </w:rPr>
        <w:t xml:space="preserve">de </w:t>
      </w:r>
      <w:r w:rsidR="009110EC" w:rsidRPr="00576180">
        <w:rPr>
          <w:rFonts w:ascii="Arial" w:hAnsi="Arial" w:cs="Arial"/>
        </w:rPr>
        <w:t>2011 y en septiembre del mismo año</w:t>
      </w:r>
      <w:r w:rsidR="00891F5A">
        <w:rPr>
          <w:rFonts w:ascii="Arial" w:hAnsi="Arial" w:cs="Arial"/>
        </w:rPr>
        <w:t>,</w:t>
      </w:r>
      <w:r w:rsidR="009110EC" w:rsidRPr="00576180">
        <w:rPr>
          <w:rFonts w:ascii="Arial" w:hAnsi="Arial" w:cs="Arial"/>
        </w:rPr>
        <w:t xml:space="preserve"> el Gobierno solicitó un cambio e</w:t>
      </w:r>
      <w:r w:rsidRPr="00576180">
        <w:rPr>
          <w:rFonts w:ascii="Arial" w:hAnsi="Arial" w:cs="Arial"/>
        </w:rPr>
        <w:t>n el mecanismo de ejecución, el cual</w:t>
      </w:r>
      <w:r w:rsidR="00556045" w:rsidRPr="00576180">
        <w:rPr>
          <w:rFonts w:ascii="Arial" w:hAnsi="Arial" w:cs="Arial"/>
        </w:rPr>
        <w:t xml:space="preserve"> afectó </w:t>
      </w:r>
      <w:r w:rsidR="009110EC" w:rsidRPr="00576180">
        <w:rPr>
          <w:rFonts w:ascii="Arial" w:hAnsi="Arial" w:cs="Arial"/>
        </w:rPr>
        <w:t>el alcance, tiempo</w:t>
      </w:r>
      <w:r w:rsidR="00556045" w:rsidRPr="00576180">
        <w:rPr>
          <w:rFonts w:ascii="Arial" w:hAnsi="Arial" w:cs="Arial"/>
        </w:rPr>
        <w:t xml:space="preserve"> y presupuesto originalmente planificado. </w:t>
      </w:r>
      <w:r w:rsidR="009110EC" w:rsidRPr="00576180">
        <w:rPr>
          <w:rFonts w:ascii="Arial" w:hAnsi="Arial" w:cs="Arial"/>
        </w:rPr>
        <w:t>En la aprobación del Programa</w:t>
      </w:r>
      <w:r w:rsidR="00B2158D" w:rsidRPr="00576180">
        <w:rPr>
          <w:rFonts w:ascii="Arial" w:hAnsi="Arial" w:cs="Arial"/>
        </w:rPr>
        <w:t xml:space="preserve">, el Banco y el MEF acordaron un mecanismo de ejecución tradicional, donde la Unidad de Coordinación y Planificación Sectorial (UCPS) sería la entidad responsable de la administración del proyecto ante el Banco. En septiembre de 2011, </w:t>
      </w:r>
      <w:r w:rsidR="00C95F03" w:rsidRPr="00576180">
        <w:rPr>
          <w:rFonts w:ascii="Arial" w:hAnsi="Arial" w:cs="Arial"/>
        </w:rPr>
        <w:t xml:space="preserve">a solicitud del Gobierno y </w:t>
      </w:r>
      <w:r w:rsidR="00B2158D" w:rsidRPr="00576180">
        <w:rPr>
          <w:rFonts w:ascii="Arial" w:hAnsi="Arial" w:cs="Arial"/>
        </w:rPr>
        <w:t xml:space="preserve">en el marco de una misión de administración, se creó el EE compuesto por especialistas externos funcionales, tecnológicos y administrativos, dedicados exclusivamente a la gestión integral del Programa. </w:t>
      </w:r>
      <w:r w:rsidR="00133212" w:rsidRPr="00576180">
        <w:rPr>
          <w:rFonts w:ascii="Arial" w:hAnsi="Arial" w:cs="Arial"/>
        </w:rPr>
        <w:t>Pese a que el</w:t>
      </w:r>
      <w:r w:rsidR="00B2158D" w:rsidRPr="00576180">
        <w:rPr>
          <w:rFonts w:ascii="Arial" w:hAnsi="Arial" w:cs="Arial"/>
        </w:rPr>
        <w:t xml:space="preserve"> EE tomó decisiones importantes</w:t>
      </w:r>
      <w:r w:rsidR="00133212" w:rsidRPr="00576180">
        <w:rPr>
          <w:rFonts w:ascii="Arial" w:hAnsi="Arial" w:cs="Arial"/>
        </w:rPr>
        <w:t xml:space="preserve">, </w:t>
      </w:r>
      <w:r w:rsidR="00B2158D" w:rsidRPr="00576180">
        <w:rPr>
          <w:rFonts w:ascii="Arial" w:hAnsi="Arial" w:cs="Arial"/>
        </w:rPr>
        <w:t xml:space="preserve">no fue capaz de llevar a cabo la ejecución del Programa conforme a lo planificado. </w:t>
      </w:r>
    </w:p>
    <w:p w14:paraId="6F673C39" w14:textId="332F7D90" w:rsidR="00B2158D" w:rsidRPr="00576180" w:rsidRDefault="00B2158D" w:rsidP="00D17FF5">
      <w:pPr>
        <w:pStyle w:val="ListParagraph"/>
        <w:tabs>
          <w:tab w:val="left" w:pos="9000"/>
        </w:tabs>
        <w:spacing w:before="120" w:after="120" w:line="240" w:lineRule="auto"/>
        <w:ind w:left="360"/>
        <w:contextualSpacing w:val="0"/>
        <w:jc w:val="both"/>
        <w:rPr>
          <w:rFonts w:ascii="Arial" w:hAnsi="Arial" w:cs="Arial"/>
        </w:rPr>
      </w:pPr>
      <w:r w:rsidRPr="00576180">
        <w:rPr>
          <w:rFonts w:ascii="Arial" w:hAnsi="Arial" w:cs="Arial"/>
        </w:rPr>
        <w:t>En febrero de 2016, la evaluación intermedia del Programa identificó factores críticos negativos</w:t>
      </w:r>
      <w:r w:rsidR="006C5E85" w:rsidRPr="00576180">
        <w:rPr>
          <w:rFonts w:ascii="Arial" w:hAnsi="Arial" w:cs="Arial"/>
        </w:rPr>
        <w:t xml:space="preserve"> (</w:t>
      </w:r>
      <w:r w:rsidR="00133212" w:rsidRPr="00576180">
        <w:rPr>
          <w:rFonts w:ascii="Arial" w:hAnsi="Arial" w:cs="Arial"/>
        </w:rPr>
        <w:t>se había consumido</w:t>
      </w:r>
      <w:r w:rsidR="006C5E85" w:rsidRPr="00576180">
        <w:rPr>
          <w:rFonts w:ascii="Arial" w:hAnsi="Arial" w:cs="Arial"/>
        </w:rPr>
        <w:t xml:space="preserve"> 81% del tiempo y 65% de los recursos</w:t>
      </w:r>
      <w:r w:rsidR="00133212" w:rsidRPr="00576180">
        <w:rPr>
          <w:rFonts w:ascii="Arial" w:hAnsi="Arial" w:cs="Arial"/>
        </w:rPr>
        <w:t xml:space="preserve"> del Programa</w:t>
      </w:r>
      <w:r w:rsidR="000101EA" w:rsidRPr="00576180">
        <w:rPr>
          <w:rFonts w:ascii="Arial" w:hAnsi="Arial" w:cs="Arial"/>
        </w:rPr>
        <w:t xml:space="preserve">, con </w:t>
      </w:r>
      <w:r w:rsidR="000101EA" w:rsidRPr="00576180">
        <w:rPr>
          <w:rFonts w:ascii="Arial" w:hAnsi="Arial" w:cs="Arial"/>
        </w:rPr>
        <w:lastRenderedPageBreak/>
        <w:t>un valor ganado de apenas 44%</w:t>
      </w:r>
      <w:r w:rsidR="006C5E85" w:rsidRPr="00576180">
        <w:rPr>
          <w:rFonts w:ascii="Arial" w:hAnsi="Arial" w:cs="Arial"/>
        </w:rPr>
        <w:t>)</w:t>
      </w:r>
      <w:r w:rsidRPr="00576180">
        <w:rPr>
          <w:rFonts w:ascii="Arial" w:hAnsi="Arial" w:cs="Arial"/>
        </w:rPr>
        <w:t xml:space="preserve"> e informó </w:t>
      </w:r>
      <w:proofErr w:type="gramStart"/>
      <w:r w:rsidRPr="00576180">
        <w:rPr>
          <w:rFonts w:ascii="Arial" w:hAnsi="Arial" w:cs="Arial"/>
        </w:rPr>
        <w:t>que</w:t>
      </w:r>
      <w:proofErr w:type="gramEnd"/>
      <w:r w:rsidRPr="00576180">
        <w:rPr>
          <w:rFonts w:ascii="Arial" w:hAnsi="Arial" w:cs="Arial"/>
        </w:rPr>
        <w:t xml:space="preserve"> para terminar el proyecto conforme a lo planificado</w:t>
      </w:r>
      <w:r w:rsidR="00891F5A">
        <w:rPr>
          <w:rFonts w:ascii="Arial" w:hAnsi="Arial" w:cs="Arial"/>
        </w:rPr>
        <w:t>,</w:t>
      </w:r>
      <w:r w:rsidRPr="00576180">
        <w:rPr>
          <w:rFonts w:ascii="Arial" w:hAnsi="Arial" w:cs="Arial"/>
        </w:rPr>
        <w:t xml:space="preserve"> era necesario ampliar el tiempo de ejecución y los recursos financieros. Con base en dicha evaluación, el Banco tomó la decisión de no autorizar nuevos compromisos financieros y desembolsar únicamente los recursos ya comprometidos</w:t>
      </w:r>
      <w:r w:rsidR="009110EC" w:rsidRPr="00576180">
        <w:rPr>
          <w:rFonts w:ascii="Arial" w:hAnsi="Arial" w:cs="Arial"/>
        </w:rPr>
        <w:t>.</w:t>
      </w:r>
    </w:p>
    <w:p w14:paraId="75CDA204" w14:textId="01332AE6" w:rsidR="000B4C4C" w:rsidRPr="00576180" w:rsidRDefault="000B4C4C" w:rsidP="007F6ED7">
      <w:pPr>
        <w:tabs>
          <w:tab w:val="left" w:pos="9000"/>
        </w:tabs>
        <w:spacing w:before="120" w:after="0" w:line="240" w:lineRule="auto"/>
        <w:jc w:val="center"/>
        <w:rPr>
          <w:rFonts w:ascii="Arial" w:hAnsi="Arial" w:cs="Arial"/>
          <w:b/>
          <w:sz w:val="20"/>
          <w:szCs w:val="20"/>
        </w:rPr>
      </w:pPr>
      <w:r w:rsidRPr="00576180">
        <w:rPr>
          <w:rFonts w:ascii="Arial" w:hAnsi="Arial" w:cs="Arial"/>
          <w:b/>
          <w:sz w:val="20"/>
          <w:szCs w:val="20"/>
        </w:rPr>
        <w:t>Tabla 7. Costos del Programa</w:t>
      </w:r>
      <w:r w:rsidR="000A08CF">
        <w:rPr>
          <w:rFonts w:ascii="Arial" w:hAnsi="Arial" w:cs="Arial"/>
          <w:b/>
          <w:sz w:val="20"/>
          <w:szCs w:val="20"/>
        </w:rPr>
        <w:t xml:space="preserve"> (US$)</w:t>
      </w:r>
    </w:p>
    <w:tbl>
      <w:tblPr>
        <w:tblW w:w="4841" w:type="pct"/>
        <w:tblInd w:w="445" w:type="dxa"/>
        <w:tblLayout w:type="fixed"/>
        <w:tblLook w:val="04A0" w:firstRow="1" w:lastRow="0" w:firstColumn="1" w:lastColumn="0" w:noHBand="0" w:noVBand="1"/>
      </w:tblPr>
      <w:tblGrid>
        <w:gridCol w:w="5218"/>
        <w:gridCol w:w="1802"/>
        <w:gridCol w:w="1709"/>
      </w:tblGrid>
      <w:tr w:rsidR="00AD66E4" w:rsidRPr="00576180" w14:paraId="13493726" w14:textId="13142F67" w:rsidTr="00957319">
        <w:trPr>
          <w:trHeight w:val="107"/>
        </w:trPr>
        <w:tc>
          <w:tcPr>
            <w:tcW w:w="2989"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8D6E728" w14:textId="77777777" w:rsidR="008A7405" w:rsidRPr="00576180" w:rsidRDefault="008A7405" w:rsidP="00966FE8">
            <w:pPr>
              <w:spacing w:after="0" w:line="240" w:lineRule="auto"/>
              <w:jc w:val="center"/>
              <w:rPr>
                <w:rFonts w:ascii="Arial" w:eastAsia="Times New Roman" w:hAnsi="Arial" w:cs="Arial"/>
                <w:b/>
                <w:bCs/>
                <w:color w:val="000000"/>
                <w:sz w:val="18"/>
                <w:szCs w:val="18"/>
              </w:rPr>
            </w:pPr>
            <w:r w:rsidRPr="00576180">
              <w:rPr>
                <w:rFonts w:ascii="Arial" w:eastAsia="Times New Roman" w:hAnsi="Arial" w:cs="Arial"/>
                <w:b/>
                <w:bCs/>
                <w:color w:val="000000"/>
                <w:sz w:val="18"/>
                <w:szCs w:val="18"/>
              </w:rPr>
              <w:t>Componentes</w:t>
            </w:r>
          </w:p>
        </w:tc>
        <w:tc>
          <w:tcPr>
            <w:tcW w:w="1032" w:type="pct"/>
            <w:tcBorders>
              <w:top w:val="single" w:sz="4" w:space="0" w:color="auto"/>
              <w:left w:val="nil"/>
              <w:bottom w:val="single" w:sz="4" w:space="0" w:color="auto"/>
              <w:right w:val="single" w:sz="4" w:space="0" w:color="auto"/>
            </w:tcBorders>
            <w:shd w:val="clear" w:color="000000" w:fill="BFBFBF"/>
            <w:noWrap/>
            <w:vAlign w:val="center"/>
            <w:hideMark/>
          </w:tcPr>
          <w:p w14:paraId="176EDE0C" w14:textId="45473665" w:rsidR="008A7405" w:rsidRPr="00576180" w:rsidRDefault="000A08CF" w:rsidP="00966FE8">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Aporte del Banco</w:t>
            </w:r>
          </w:p>
        </w:tc>
        <w:tc>
          <w:tcPr>
            <w:tcW w:w="979" w:type="pct"/>
            <w:tcBorders>
              <w:top w:val="single" w:sz="4" w:space="0" w:color="auto"/>
              <w:left w:val="nil"/>
              <w:bottom w:val="single" w:sz="4" w:space="0" w:color="auto"/>
              <w:right w:val="single" w:sz="4" w:space="0" w:color="auto"/>
            </w:tcBorders>
            <w:shd w:val="clear" w:color="000000" w:fill="BFBFBF"/>
          </w:tcPr>
          <w:p w14:paraId="086B43C2" w14:textId="22D2AF6F" w:rsidR="008A7405" w:rsidRPr="00576180" w:rsidRDefault="000A08CF" w:rsidP="00966FE8">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Aporte Local</w:t>
            </w:r>
          </w:p>
        </w:tc>
      </w:tr>
      <w:tr w:rsidR="00AD66E4" w:rsidRPr="00576180" w14:paraId="0D68879F" w14:textId="16132BF1" w:rsidTr="00957319">
        <w:trPr>
          <w:trHeight w:val="341"/>
        </w:trPr>
        <w:tc>
          <w:tcPr>
            <w:tcW w:w="2989" w:type="pct"/>
            <w:tcBorders>
              <w:top w:val="single" w:sz="4" w:space="0" w:color="auto"/>
              <w:left w:val="single" w:sz="4" w:space="0" w:color="auto"/>
              <w:bottom w:val="single" w:sz="4" w:space="0" w:color="auto"/>
              <w:right w:val="single" w:sz="4" w:space="0" w:color="auto"/>
            </w:tcBorders>
            <w:shd w:val="clear" w:color="auto" w:fill="auto"/>
            <w:noWrap/>
            <w:hideMark/>
          </w:tcPr>
          <w:p w14:paraId="7AD55689" w14:textId="77777777" w:rsidR="008A7405" w:rsidRPr="00576180" w:rsidRDefault="008A7405" w:rsidP="00966FE8">
            <w:pPr>
              <w:spacing w:after="0" w:line="240" w:lineRule="auto"/>
              <w:rPr>
                <w:rFonts w:ascii="Arial" w:eastAsia="Times New Roman" w:hAnsi="Arial" w:cs="Arial"/>
                <w:color w:val="000000"/>
                <w:sz w:val="18"/>
                <w:szCs w:val="18"/>
              </w:rPr>
            </w:pPr>
            <w:r w:rsidRPr="00576180">
              <w:rPr>
                <w:rFonts w:ascii="Arial" w:eastAsia="Times New Roman" w:hAnsi="Arial" w:cs="Arial"/>
                <w:color w:val="000000"/>
                <w:sz w:val="18"/>
                <w:szCs w:val="18"/>
              </w:rPr>
              <w:t>Componente 1. Modernización de los procesos y sistemas de gestión financiera pública (A)</w:t>
            </w:r>
          </w:p>
        </w:tc>
        <w:tc>
          <w:tcPr>
            <w:tcW w:w="1032" w:type="pct"/>
            <w:tcBorders>
              <w:top w:val="nil"/>
              <w:left w:val="nil"/>
              <w:bottom w:val="single" w:sz="4" w:space="0" w:color="auto"/>
              <w:right w:val="single" w:sz="4" w:space="0" w:color="auto"/>
            </w:tcBorders>
            <w:shd w:val="clear" w:color="auto" w:fill="auto"/>
            <w:noWrap/>
            <w:hideMark/>
          </w:tcPr>
          <w:p w14:paraId="6565CCA3" w14:textId="625F0E7C" w:rsidR="008A7405" w:rsidRPr="00576180" w:rsidRDefault="008A7405" w:rsidP="00966FE8">
            <w:pPr>
              <w:spacing w:after="0" w:line="240" w:lineRule="auto"/>
              <w:jc w:val="right"/>
              <w:rPr>
                <w:rFonts w:ascii="Arial" w:eastAsia="Times New Roman" w:hAnsi="Arial" w:cs="Arial"/>
                <w:color w:val="000000"/>
                <w:sz w:val="18"/>
                <w:szCs w:val="18"/>
              </w:rPr>
            </w:pPr>
            <w:r w:rsidRPr="00576180">
              <w:rPr>
                <w:rFonts w:ascii="Arial" w:eastAsia="Times New Roman" w:hAnsi="Arial" w:cs="Arial"/>
                <w:color w:val="000000"/>
                <w:sz w:val="18"/>
                <w:szCs w:val="18"/>
              </w:rPr>
              <w:t>11.432.93</w:t>
            </w:r>
            <w:r w:rsidR="000A08CF">
              <w:rPr>
                <w:rFonts w:ascii="Arial" w:eastAsia="Times New Roman" w:hAnsi="Arial" w:cs="Arial"/>
                <w:color w:val="000000"/>
                <w:sz w:val="18"/>
                <w:szCs w:val="18"/>
              </w:rPr>
              <w:t>2</w:t>
            </w:r>
          </w:p>
        </w:tc>
        <w:tc>
          <w:tcPr>
            <w:tcW w:w="979" w:type="pct"/>
            <w:tcBorders>
              <w:top w:val="nil"/>
              <w:left w:val="nil"/>
              <w:bottom w:val="single" w:sz="4" w:space="0" w:color="auto"/>
              <w:right w:val="single" w:sz="4" w:space="0" w:color="auto"/>
            </w:tcBorders>
          </w:tcPr>
          <w:p w14:paraId="78897472" w14:textId="3CC6634D" w:rsidR="008A7405" w:rsidRPr="00576180" w:rsidRDefault="000A08CF" w:rsidP="00966FE8">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2,937,736</w:t>
            </w:r>
          </w:p>
        </w:tc>
      </w:tr>
      <w:tr w:rsidR="00AD66E4" w:rsidRPr="00576180" w14:paraId="3C9CFDE6" w14:textId="4C452696" w:rsidTr="00AD66E4">
        <w:trPr>
          <w:trHeight w:val="288"/>
        </w:trPr>
        <w:tc>
          <w:tcPr>
            <w:tcW w:w="2989" w:type="pct"/>
            <w:tcBorders>
              <w:top w:val="single" w:sz="4" w:space="0" w:color="auto"/>
              <w:left w:val="single" w:sz="4" w:space="0" w:color="auto"/>
              <w:bottom w:val="single" w:sz="4" w:space="0" w:color="auto"/>
              <w:right w:val="single" w:sz="4" w:space="0" w:color="auto"/>
            </w:tcBorders>
            <w:shd w:val="clear" w:color="auto" w:fill="auto"/>
            <w:noWrap/>
            <w:hideMark/>
          </w:tcPr>
          <w:p w14:paraId="7E27A2A5" w14:textId="5F8E359C" w:rsidR="008A7405" w:rsidRPr="00576180" w:rsidRDefault="008A7405" w:rsidP="00966FE8">
            <w:pPr>
              <w:spacing w:after="0" w:line="240" w:lineRule="auto"/>
              <w:rPr>
                <w:rFonts w:ascii="Arial" w:eastAsia="Times New Roman" w:hAnsi="Arial" w:cs="Arial"/>
                <w:color w:val="000000"/>
                <w:sz w:val="18"/>
                <w:szCs w:val="18"/>
              </w:rPr>
            </w:pPr>
            <w:r w:rsidRPr="00576180">
              <w:rPr>
                <w:rFonts w:ascii="Arial" w:eastAsia="Times New Roman" w:hAnsi="Arial" w:cs="Arial"/>
                <w:color w:val="000000"/>
                <w:sz w:val="18"/>
                <w:szCs w:val="18"/>
              </w:rPr>
              <w:t>Componente 2.  Fortalecimiento de capacidades institucionales para la gestión financiera pública (A)</w:t>
            </w:r>
          </w:p>
        </w:tc>
        <w:tc>
          <w:tcPr>
            <w:tcW w:w="1032" w:type="pct"/>
            <w:tcBorders>
              <w:top w:val="nil"/>
              <w:left w:val="nil"/>
              <w:bottom w:val="single" w:sz="4" w:space="0" w:color="auto"/>
              <w:right w:val="single" w:sz="4" w:space="0" w:color="auto"/>
            </w:tcBorders>
            <w:shd w:val="clear" w:color="auto" w:fill="auto"/>
            <w:noWrap/>
            <w:hideMark/>
          </w:tcPr>
          <w:p w14:paraId="51978382" w14:textId="7244CA6B" w:rsidR="008A7405" w:rsidRPr="00576180" w:rsidRDefault="008A7405" w:rsidP="00966FE8">
            <w:pPr>
              <w:spacing w:after="0" w:line="240" w:lineRule="auto"/>
              <w:jc w:val="right"/>
              <w:rPr>
                <w:rFonts w:ascii="Arial" w:eastAsia="Times New Roman" w:hAnsi="Arial" w:cs="Arial"/>
                <w:color w:val="000000"/>
                <w:sz w:val="18"/>
                <w:szCs w:val="18"/>
              </w:rPr>
            </w:pPr>
            <w:r w:rsidRPr="00576180">
              <w:rPr>
                <w:rFonts w:ascii="Arial" w:eastAsia="Times New Roman" w:hAnsi="Arial" w:cs="Arial"/>
                <w:color w:val="000000"/>
                <w:sz w:val="18"/>
                <w:szCs w:val="18"/>
              </w:rPr>
              <w:t>1.458.03</w:t>
            </w:r>
            <w:r w:rsidR="000A08CF">
              <w:rPr>
                <w:rFonts w:ascii="Arial" w:eastAsia="Times New Roman" w:hAnsi="Arial" w:cs="Arial"/>
                <w:color w:val="000000"/>
                <w:sz w:val="18"/>
                <w:szCs w:val="18"/>
              </w:rPr>
              <w:t>5</w:t>
            </w:r>
          </w:p>
        </w:tc>
        <w:tc>
          <w:tcPr>
            <w:tcW w:w="979" w:type="pct"/>
            <w:tcBorders>
              <w:top w:val="nil"/>
              <w:left w:val="nil"/>
              <w:bottom w:val="single" w:sz="4" w:space="0" w:color="auto"/>
              <w:right w:val="single" w:sz="4" w:space="0" w:color="auto"/>
            </w:tcBorders>
          </w:tcPr>
          <w:p w14:paraId="13E614FF" w14:textId="0F98E19E" w:rsidR="008A7405" w:rsidRPr="00576180" w:rsidRDefault="000A08CF" w:rsidP="00966FE8">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137,295</w:t>
            </w:r>
          </w:p>
        </w:tc>
      </w:tr>
      <w:tr w:rsidR="00AD66E4" w:rsidRPr="00576180" w14:paraId="0CA0B045" w14:textId="7CC03F91" w:rsidTr="00957319">
        <w:trPr>
          <w:trHeight w:val="215"/>
        </w:trPr>
        <w:tc>
          <w:tcPr>
            <w:tcW w:w="2989" w:type="pct"/>
            <w:tcBorders>
              <w:top w:val="single" w:sz="4" w:space="0" w:color="auto"/>
              <w:left w:val="single" w:sz="4" w:space="0" w:color="auto"/>
              <w:bottom w:val="single" w:sz="4" w:space="0" w:color="auto"/>
              <w:right w:val="single" w:sz="4" w:space="0" w:color="auto"/>
            </w:tcBorders>
            <w:shd w:val="clear" w:color="auto" w:fill="auto"/>
            <w:noWrap/>
            <w:hideMark/>
          </w:tcPr>
          <w:p w14:paraId="6DC53B11" w14:textId="139009F9" w:rsidR="008A7405" w:rsidRPr="00576180" w:rsidRDefault="008A7405" w:rsidP="00966FE8">
            <w:pPr>
              <w:spacing w:after="0" w:line="240" w:lineRule="auto"/>
              <w:rPr>
                <w:rFonts w:ascii="Arial" w:eastAsia="Times New Roman" w:hAnsi="Arial" w:cs="Arial"/>
                <w:color w:val="000000"/>
                <w:sz w:val="18"/>
                <w:szCs w:val="18"/>
              </w:rPr>
            </w:pPr>
            <w:r w:rsidRPr="00576180">
              <w:rPr>
                <w:rFonts w:ascii="Arial" w:eastAsia="Times New Roman" w:hAnsi="Arial" w:cs="Arial"/>
                <w:color w:val="000000"/>
                <w:sz w:val="18"/>
                <w:szCs w:val="18"/>
              </w:rPr>
              <w:t>Componente 3. Institucionalización de instrumentos de gestión presupuestaria para mejorar la calidad del gasto (A)</w:t>
            </w:r>
          </w:p>
        </w:tc>
        <w:tc>
          <w:tcPr>
            <w:tcW w:w="1032" w:type="pct"/>
            <w:tcBorders>
              <w:top w:val="nil"/>
              <w:left w:val="nil"/>
              <w:bottom w:val="single" w:sz="4" w:space="0" w:color="auto"/>
              <w:right w:val="single" w:sz="4" w:space="0" w:color="auto"/>
            </w:tcBorders>
            <w:shd w:val="clear" w:color="auto" w:fill="auto"/>
            <w:noWrap/>
            <w:hideMark/>
          </w:tcPr>
          <w:p w14:paraId="4277E533" w14:textId="7A13D549" w:rsidR="008A7405" w:rsidRPr="00576180" w:rsidRDefault="008A7405" w:rsidP="00966FE8">
            <w:pPr>
              <w:spacing w:after="0" w:line="240" w:lineRule="auto"/>
              <w:jc w:val="right"/>
              <w:rPr>
                <w:rFonts w:ascii="Arial" w:eastAsia="Times New Roman" w:hAnsi="Arial" w:cs="Arial"/>
                <w:color w:val="000000"/>
                <w:sz w:val="18"/>
                <w:szCs w:val="18"/>
              </w:rPr>
            </w:pPr>
            <w:r w:rsidRPr="00576180">
              <w:rPr>
                <w:rFonts w:ascii="Arial" w:eastAsia="Times New Roman" w:hAnsi="Arial" w:cs="Arial"/>
                <w:color w:val="000000"/>
                <w:sz w:val="18"/>
                <w:szCs w:val="18"/>
              </w:rPr>
              <w:t>2.587.210</w:t>
            </w:r>
          </w:p>
        </w:tc>
        <w:tc>
          <w:tcPr>
            <w:tcW w:w="979" w:type="pct"/>
            <w:tcBorders>
              <w:top w:val="nil"/>
              <w:left w:val="nil"/>
              <w:bottom w:val="single" w:sz="4" w:space="0" w:color="auto"/>
              <w:right w:val="single" w:sz="4" w:space="0" w:color="auto"/>
            </w:tcBorders>
          </w:tcPr>
          <w:p w14:paraId="7653A212" w14:textId="0AB7DE4C" w:rsidR="008A7405" w:rsidRPr="00576180" w:rsidRDefault="000A08CF" w:rsidP="00966FE8">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79,942</w:t>
            </w:r>
          </w:p>
        </w:tc>
      </w:tr>
      <w:tr w:rsidR="00AD66E4" w:rsidRPr="00576180" w14:paraId="385FDADF" w14:textId="017D8B3F" w:rsidTr="00957319">
        <w:trPr>
          <w:trHeight w:val="161"/>
        </w:trPr>
        <w:tc>
          <w:tcPr>
            <w:tcW w:w="2989" w:type="pct"/>
            <w:tcBorders>
              <w:top w:val="single" w:sz="4" w:space="0" w:color="auto"/>
              <w:left w:val="single" w:sz="4" w:space="0" w:color="auto"/>
              <w:bottom w:val="single" w:sz="4" w:space="0" w:color="auto"/>
              <w:right w:val="single" w:sz="4" w:space="0" w:color="auto"/>
            </w:tcBorders>
            <w:shd w:val="clear" w:color="auto" w:fill="auto"/>
            <w:noWrap/>
            <w:hideMark/>
          </w:tcPr>
          <w:p w14:paraId="0B96F946" w14:textId="77777777" w:rsidR="008A7405" w:rsidRPr="00576180" w:rsidRDefault="008A7405" w:rsidP="00966FE8">
            <w:pPr>
              <w:spacing w:after="0" w:line="240" w:lineRule="auto"/>
              <w:rPr>
                <w:rFonts w:ascii="Arial" w:eastAsia="Times New Roman" w:hAnsi="Arial" w:cs="Arial"/>
                <w:color w:val="000000"/>
                <w:sz w:val="18"/>
                <w:szCs w:val="18"/>
              </w:rPr>
            </w:pPr>
            <w:r w:rsidRPr="00576180">
              <w:rPr>
                <w:rFonts w:ascii="Arial" w:eastAsia="Times New Roman" w:hAnsi="Arial" w:cs="Arial"/>
                <w:color w:val="000000"/>
                <w:sz w:val="18"/>
                <w:szCs w:val="18"/>
              </w:rPr>
              <w:t>Ejecución administrativa y financiera del programa (A)</w:t>
            </w:r>
          </w:p>
        </w:tc>
        <w:tc>
          <w:tcPr>
            <w:tcW w:w="1032" w:type="pct"/>
            <w:tcBorders>
              <w:top w:val="nil"/>
              <w:left w:val="nil"/>
              <w:bottom w:val="single" w:sz="4" w:space="0" w:color="auto"/>
              <w:right w:val="single" w:sz="4" w:space="0" w:color="auto"/>
            </w:tcBorders>
            <w:shd w:val="clear" w:color="auto" w:fill="auto"/>
            <w:noWrap/>
            <w:hideMark/>
          </w:tcPr>
          <w:p w14:paraId="39E59A5E" w14:textId="685F629C" w:rsidR="008A7405" w:rsidRPr="00576180" w:rsidRDefault="008A7405" w:rsidP="00966FE8">
            <w:pPr>
              <w:spacing w:after="0" w:line="240" w:lineRule="auto"/>
              <w:jc w:val="right"/>
              <w:rPr>
                <w:rFonts w:ascii="Arial" w:eastAsia="Times New Roman" w:hAnsi="Arial" w:cs="Arial"/>
                <w:color w:val="000000"/>
                <w:sz w:val="18"/>
                <w:szCs w:val="18"/>
              </w:rPr>
            </w:pPr>
            <w:r w:rsidRPr="00576180">
              <w:rPr>
                <w:rFonts w:ascii="Arial" w:eastAsia="Times New Roman" w:hAnsi="Arial" w:cs="Arial"/>
                <w:color w:val="000000"/>
                <w:sz w:val="18"/>
                <w:szCs w:val="18"/>
              </w:rPr>
              <w:t>1.018.631</w:t>
            </w:r>
          </w:p>
        </w:tc>
        <w:tc>
          <w:tcPr>
            <w:tcW w:w="979" w:type="pct"/>
            <w:tcBorders>
              <w:top w:val="nil"/>
              <w:left w:val="nil"/>
              <w:bottom w:val="single" w:sz="4" w:space="0" w:color="auto"/>
              <w:right w:val="single" w:sz="4" w:space="0" w:color="auto"/>
            </w:tcBorders>
          </w:tcPr>
          <w:p w14:paraId="4853A95B" w14:textId="612F306F" w:rsidR="008A7405" w:rsidRPr="00576180" w:rsidRDefault="000A08CF" w:rsidP="00966FE8">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707,760</w:t>
            </w:r>
          </w:p>
        </w:tc>
      </w:tr>
      <w:tr w:rsidR="00AD66E4" w:rsidRPr="00576180" w14:paraId="3ECF8A47" w14:textId="4C94EE1D" w:rsidTr="00957319">
        <w:trPr>
          <w:trHeight w:val="60"/>
        </w:trPr>
        <w:tc>
          <w:tcPr>
            <w:tcW w:w="2989" w:type="pct"/>
            <w:tcBorders>
              <w:top w:val="single" w:sz="4" w:space="0" w:color="auto"/>
              <w:left w:val="single" w:sz="4" w:space="0" w:color="auto"/>
              <w:bottom w:val="single" w:sz="4" w:space="0" w:color="auto"/>
              <w:right w:val="single" w:sz="4" w:space="0" w:color="auto"/>
            </w:tcBorders>
            <w:shd w:val="clear" w:color="000000" w:fill="D9D9D9"/>
            <w:noWrap/>
            <w:hideMark/>
          </w:tcPr>
          <w:p w14:paraId="505C64DE" w14:textId="2E56F734" w:rsidR="008A7405" w:rsidRPr="00576180" w:rsidRDefault="008A7405" w:rsidP="00966FE8">
            <w:pPr>
              <w:spacing w:after="0" w:line="240" w:lineRule="auto"/>
              <w:jc w:val="right"/>
              <w:rPr>
                <w:rFonts w:ascii="Arial" w:eastAsia="Times New Roman" w:hAnsi="Arial" w:cs="Arial"/>
                <w:b/>
                <w:bCs/>
                <w:color w:val="000000"/>
                <w:sz w:val="18"/>
                <w:szCs w:val="18"/>
              </w:rPr>
            </w:pPr>
            <w:r w:rsidRPr="00576180">
              <w:rPr>
                <w:rFonts w:ascii="Arial" w:eastAsia="Times New Roman" w:hAnsi="Arial" w:cs="Arial"/>
                <w:b/>
                <w:bCs/>
                <w:color w:val="000000"/>
                <w:sz w:val="18"/>
                <w:szCs w:val="18"/>
              </w:rPr>
              <w:t>Costo</w:t>
            </w:r>
            <w:r w:rsidR="000A08CF">
              <w:rPr>
                <w:rFonts w:ascii="Arial" w:eastAsia="Times New Roman" w:hAnsi="Arial" w:cs="Arial"/>
                <w:b/>
                <w:bCs/>
                <w:color w:val="000000"/>
                <w:sz w:val="18"/>
                <w:szCs w:val="18"/>
              </w:rPr>
              <w:t>s totales por fuente</w:t>
            </w:r>
            <w:r w:rsidR="00942B0D">
              <w:rPr>
                <w:rFonts w:ascii="Arial" w:eastAsia="Times New Roman" w:hAnsi="Arial" w:cs="Arial"/>
                <w:b/>
                <w:bCs/>
                <w:color w:val="000000"/>
                <w:sz w:val="18"/>
                <w:szCs w:val="18"/>
              </w:rPr>
              <w:t xml:space="preserve"> de financiamiento</w:t>
            </w:r>
          </w:p>
        </w:tc>
        <w:tc>
          <w:tcPr>
            <w:tcW w:w="1032" w:type="pct"/>
            <w:tcBorders>
              <w:top w:val="single" w:sz="4" w:space="0" w:color="auto"/>
              <w:left w:val="nil"/>
              <w:bottom w:val="single" w:sz="4" w:space="0" w:color="auto"/>
              <w:right w:val="single" w:sz="4" w:space="0" w:color="auto"/>
            </w:tcBorders>
            <w:shd w:val="clear" w:color="000000" w:fill="D9D9D9"/>
            <w:noWrap/>
            <w:hideMark/>
          </w:tcPr>
          <w:p w14:paraId="039679E9" w14:textId="56E3C80A" w:rsidR="008A7405" w:rsidRPr="00576180" w:rsidRDefault="008A7405" w:rsidP="00966FE8">
            <w:pPr>
              <w:spacing w:after="0" w:line="240" w:lineRule="auto"/>
              <w:jc w:val="right"/>
              <w:rPr>
                <w:rFonts w:ascii="Arial" w:eastAsia="Times New Roman" w:hAnsi="Arial" w:cs="Arial"/>
                <w:b/>
                <w:bCs/>
                <w:color w:val="000000"/>
                <w:sz w:val="18"/>
                <w:szCs w:val="18"/>
              </w:rPr>
            </w:pPr>
            <w:r w:rsidRPr="00576180">
              <w:rPr>
                <w:rFonts w:ascii="Arial" w:eastAsia="Times New Roman" w:hAnsi="Arial" w:cs="Arial"/>
                <w:b/>
                <w:bCs/>
                <w:color w:val="000000"/>
                <w:sz w:val="18"/>
                <w:szCs w:val="18"/>
              </w:rPr>
              <w:t>16.496.</w:t>
            </w:r>
            <w:r w:rsidR="00942B0D">
              <w:rPr>
                <w:rFonts w:ascii="Arial" w:eastAsia="Times New Roman" w:hAnsi="Arial" w:cs="Arial"/>
                <w:b/>
                <w:bCs/>
                <w:color w:val="000000"/>
                <w:sz w:val="18"/>
                <w:szCs w:val="18"/>
              </w:rPr>
              <w:t>808</w:t>
            </w:r>
          </w:p>
        </w:tc>
        <w:tc>
          <w:tcPr>
            <w:tcW w:w="979" w:type="pct"/>
            <w:tcBorders>
              <w:top w:val="single" w:sz="4" w:space="0" w:color="auto"/>
              <w:left w:val="nil"/>
              <w:bottom w:val="single" w:sz="4" w:space="0" w:color="auto"/>
              <w:right w:val="single" w:sz="4" w:space="0" w:color="auto"/>
            </w:tcBorders>
            <w:shd w:val="clear" w:color="000000" w:fill="D9D9D9"/>
          </w:tcPr>
          <w:p w14:paraId="087F9C9D" w14:textId="5867C64F" w:rsidR="008A7405" w:rsidRPr="00576180" w:rsidRDefault="000A08CF" w:rsidP="00966FE8">
            <w:pPr>
              <w:spacing w:after="0" w:line="240"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3,862,733</w:t>
            </w:r>
          </w:p>
        </w:tc>
      </w:tr>
      <w:tr w:rsidR="00AD66E4" w:rsidRPr="00576180" w14:paraId="39BBB7B3" w14:textId="7D8955A3" w:rsidTr="00957319">
        <w:trPr>
          <w:trHeight w:val="134"/>
        </w:trPr>
        <w:tc>
          <w:tcPr>
            <w:tcW w:w="2989"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9399E9E" w14:textId="77777777" w:rsidR="000A08CF" w:rsidRPr="00576180" w:rsidRDefault="000A08CF" w:rsidP="00966FE8">
            <w:pPr>
              <w:spacing w:after="0" w:line="240" w:lineRule="auto"/>
              <w:jc w:val="right"/>
              <w:rPr>
                <w:rFonts w:ascii="Arial" w:eastAsia="Times New Roman" w:hAnsi="Arial" w:cs="Arial"/>
                <w:b/>
                <w:bCs/>
                <w:color w:val="000000"/>
                <w:sz w:val="18"/>
                <w:szCs w:val="18"/>
              </w:rPr>
            </w:pPr>
            <w:r w:rsidRPr="00576180">
              <w:rPr>
                <w:rFonts w:ascii="Arial" w:eastAsia="Times New Roman" w:hAnsi="Arial" w:cs="Arial"/>
                <w:b/>
                <w:bCs/>
                <w:color w:val="000000"/>
                <w:sz w:val="18"/>
                <w:szCs w:val="18"/>
              </w:rPr>
              <w:t>Costo total del Programa</w:t>
            </w:r>
          </w:p>
        </w:tc>
        <w:tc>
          <w:tcPr>
            <w:tcW w:w="2011" w:type="pct"/>
            <w:gridSpan w:val="2"/>
            <w:tcBorders>
              <w:top w:val="single" w:sz="4" w:space="0" w:color="auto"/>
              <w:left w:val="nil"/>
              <w:bottom w:val="single" w:sz="4" w:space="0" w:color="auto"/>
              <w:right w:val="single" w:sz="4" w:space="0" w:color="auto"/>
            </w:tcBorders>
            <w:shd w:val="clear" w:color="000000" w:fill="A6A6A6"/>
            <w:noWrap/>
            <w:vAlign w:val="bottom"/>
            <w:hideMark/>
          </w:tcPr>
          <w:p w14:paraId="18A75025" w14:textId="12C9F919" w:rsidR="000A08CF" w:rsidRPr="00576180" w:rsidRDefault="000A08CF" w:rsidP="007F6ED7">
            <w:pPr>
              <w:spacing w:after="0" w:line="240" w:lineRule="auto"/>
              <w:jc w:val="right"/>
              <w:rPr>
                <w:rFonts w:ascii="Arial" w:eastAsia="Times New Roman" w:hAnsi="Arial" w:cs="Arial"/>
                <w:b/>
                <w:bCs/>
                <w:color w:val="000000"/>
                <w:sz w:val="18"/>
                <w:szCs w:val="18"/>
              </w:rPr>
            </w:pPr>
            <w:r w:rsidRPr="00576180">
              <w:rPr>
                <w:rFonts w:ascii="Arial" w:eastAsia="Times New Roman" w:hAnsi="Arial" w:cs="Arial"/>
                <w:b/>
                <w:bCs/>
                <w:color w:val="000000"/>
                <w:sz w:val="18"/>
                <w:szCs w:val="18"/>
              </w:rPr>
              <w:t xml:space="preserve">    20.</w:t>
            </w:r>
            <w:r>
              <w:rPr>
                <w:rFonts w:ascii="Arial" w:eastAsia="Times New Roman" w:hAnsi="Arial" w:cs="Arial"/>
                <w:b/>
                <w:bCs/>
                <w:color w:val="000000"/>
                <w:sz w:val="18"/>
                <w:szCs w:val="18"/>
              </w:rPr>
              <w:t>359,541</w:t>
            </w:r>
            <w:r w:rsidRPr="00576180">
              <w:rPr>
                <w:rFonts w:ascii="Arial" w:eastAsia="Times New Roman" w:hAnsi="Arial" w:cs="Arial"/>
                <w:b/>
                <w:bCs/>
                <w:color w:val="000000"/>
                <w:sz w:val="18"/>
                <w:szCs w:val="18"/>
              </w:rPr>
              <w:t xml:space="preserve"> </w:t>
            </w:r>
          </w:p>
        </w:tc>
      </w:tr>
    </w:tbl>
    <w:p w14:paraId="23CF63C9" w14:textId="7D1E96E1" w:rsidR="000B4C4C" w:rsidRDefault="00966FE8" w:rsidP="007F6ED7">
      <w:pPr>
        <w:tabs>
          <w:tab w:val="left" w:pos="9000"/>
        </w:tabs>
        <w:spacing w:after="120" w:line="240" w:lineRule="auto"/>
        <w:rPr>
          <w:rFonts w:ascii="Arial" w:hAnsi="Arial" w:cs="Arial"/>
          <w:sz w:val="16"/>
          <w:szCs w:val="16"/>
        </w:rPr>
      </w:pPr>
      <w:r w:rsidRPr="00576180">
        <w:rPr>
          <w:rFonts w:ascii="Arial" w:hAnsi="Arial" w:cs="Arial"/>
          <w:sz w:val="16"/>
          <w:szCs w:val="16"/>
        </w:rPr>
        <w:t xml:space="preserve">        </w:t>
      </w:r>
      <w:r w:rsidR="009110EC" w:rsidRPr="00576180">
        <w:rPr>
          <w:rFonts w:ascii="Arial" w:hAnsi="Arial" w:cs="Arial"/>
          <w:sz w:val="16"/>
          <w:szCs w:val="16"/>
        </w:rPr>
        <w:t xml:space="preserve"> </w:t>
      </w:r>
      <w:r w:rsidR="00AE0A08" w:rsidRPr="00576180">
        <w:rPr>
          <w:rFonts w:ascii="Arial" w:hAnsi="Arial" w:cs="Arial"/>
          <w:sz w:val="16"/>
          <w:szCs w:val="16"/>
        </w:rPr>
        <w:t xml:space="preserve"> </w:t>
      </w:r>
      <w:r w:rsidRPr="00576180">
        <w:rPr>
          <w:rFonts w:ascii="Arial" w:hAnsi="Arial" w:cs="Arial"/>
          <w:sz w:val="16"/>
          <w:szCs w:val="16"/>
        </w:rPr>
        <w:t>Fuente: WLMS.</w:t>
      </w:r>
    </w:p>
    <w:p w14:paraId="5004BBC8" w14:textId="5E23007F" w:rsidR="00190398" w:rsidRDefault="003670C9" w:rsidP="00190398">
      <w:pPr>
        <w:pStyle w:val="ListParagraph"/>
        <w:tabs>
          <w:tab w:val="left" w:pos="9000"/>
        </w:tabs>
        <w:spacing w:before="120" w:after="120" w:line="240" w:lineRule="auto"/>
        <w:ind w:left="360"/>
        <w:contextualSpacing w:val="0"/>
        <w:jc w:val="both"/>
        <w:rPr>
          <w:rFonts w:ascii="Arial" w:hAnsi="Arial" w:cs="Arial"/>
        </w:rPr>
      </w:pPr>
      <w:r w:rsidRPr="00576180">
        <w:rPr>
          <w:rFonts w:ascii="Arial" w:hAnsi="Arial" w:cs="Arial"/>
        </w:rPr>
        <w:t xml:space="preserve">El </w:t>
      </w:r>
      <w:r w:rsidR="00EE6E8B" w:rsidRPr="00576180">
        <w:rPr>
          <w:rFonts w:ascii="Arial" w:hAnsi="Arial" w:cs="Arial"/>
        </w:rPr>
        <w:t>Programa</w:t>
      </w:r>
      <w:r w:rsidR="00493941" w:rsidRPr="00576180">
        <w:rPr>
          <w:rFonts w:ascii="Arial" w:hAnsi="Arial" w:cs="Arial"/>
        </w:rPr>
        <w:t xml:space="preserve"> </w:t>
      </w:r>
      <w:r w:rsidR="00A82332" w:rsidRPr="00576180">
        <w:rPr>
          <w:rFonts w:ascii="Arial" w:hAnsi="Arial" w:cs="Arial"/>
        </w:rPr>
        <w:t>incluyó</w:t>
      </w:r>
      <w:r w:rsidR="00493941" w:rsidRPr="00576180">
        <w:rPr>
          <w:rFonts w:ascii="Arial" w:hAnsi="Arial" w:cs="Arial"/>
        </w:rPr>
        <w:t xml:space="preserve"> en su diseño original una evaluación económica ex</w:t>
      </w:r>
      <w:r w:rsidR="00BD229E" w:rsidRPr="00576180">
        <w:rPr>
          <w:rFonts w:ascii="Arial" w:hAnsi="Arial" w:cs="Arial"/>
        </w:rPr>
        <w:t xml:space="preserve"> </w:t>
      </w:r>
      <w:r w:rsidR="00493941" w:rsidRPr="00576180">
        <w:rPr>
          <w:rFonts w:ascii="Arial" w:hAnsi="Arial" w:cs="Arial"/>
        </w:rPr>
        <w:t xml:space="preserve">ante, </w:t>
      </w:r>
      <w:r w:rsidR="00A82332" w:rsidRPr="00576180">
        <w:rPr>
          <w:rFonts w:ascii="Arial" w:hAnsi="Arial" w:cs="Arial"/>
        </w:rPr>
        <w:t xml:space="preserve">la cual consideró </w:t>
      </w:r>
      <w:r w:rsidR="004F7433" w:rsidRPr="00576180">
        <w:rPr>
          <w:rFonts w:ascii="Arial" w:hAnsi="Arial" w:cs="Arial"/>
        </w:rPr>
        <w:t xml:space="preserve">en su análisis </w:t>
      </w:r>
      <w:r w:rsidR="00C61ABF">
        <w:rPr>
          <w:rFonts w:ascii="Arial" w:hAnsi="Arial" w:cs="Arial"/>
        </w:rPr>
        <w:t xml:space="preserve">el </w:t>
      </w:r>
      <w:r w:rsidR="00493941" w:rsidRPr="00576180">
        <w:rPr>
          <w:rFonts w:ascii="Arial" w:hAnsi="Arial" w:cs="Arial"/>
        </w:rPr>
        <w:t xml:space="preserve">resultado </w:t>
      </w:r>
      <w:r w:rsidR="006F03A7">
        <w:rPr>
          <w:rFonts w:ascii="Arial" w:hAnsi="Arial" w:cs="Arial"/>
        </w:rPr>
        <w:t>(R</w:t>
      </w:r>
      <w:r w:rsidR="00493941" w:rsidRPr="00576180">
        <w:rPr>
          <w:rFonts w:ascii="Arial" w:hAnsi="Arial" w:cs="Arial"/>
        </w:rPr>
        <w:t>2.</w:t>
      </w:r>
      <w:r w:rsidR="006F03A7">
        <w:rPr>
          <w:rFonts w:ascii="Arial" w:hAnsi="Arial" w:cs="Arial"/>
        </w:rPr>
        <w:t>4)</w:t>
      </w:r>
      <w:r w:rsidR="00EE6E8B" w:rsidRPr="00576180">
        <w:rPr>
          <w:rFonts w:ascii="Arial" w:hAnsi="Arial" w:cs="Arial"/>
        </w:rPr>
        <w:t xml:space="preserve"> - a</w:t>
      </w:r>
      <w:r w:rsidR="00493941" w:rsidRPr="00576180">
        <w:rPr>
          <w:rFonts w:ascii="Arial" w:hAnsi="Arial" w:cs="Arial"/>
        </w:rPr>
        <w:t>horro</w:t>
      </w:r>
      <w:r w:rsidR="00EE6E8B" w:rsidRPr="00576180">
        <w:rPr>
          <w:rFonts w:ascii="Arial" w:hAnsi="Arial" w:cs="Arial"/>
        </w:rPr>
        <w:t xml:space="preserve"> en los</w:t>
      </w:r>
      <w:r w:rsidR="00493941" w:rsidRPr="00576180">
        <w:rPr>
          <w:rFonts w:ascii="Arial" w:hAnsi="Arial" w:cs="Arial"/>
        </w:rPr>
        <w:t xml:space="preserve"> costos de soporte para la operación del SIAF</w:t>
      </w:r>
      <w:r w:rsidR="00EE6E8B" w:rsidRPr="00576180">
        <w:rPr>
          <w:rFonts w:ascii="Arial" w:hAnsi="Arial" w:cs="Arial"/>
        </w:rPr>
        <w:t>.</w:t>
      </w:r>
      <w:r w:rsidR="00493941" w:rsidRPr="00576180">
        <w:rPr>
          <w:rFonts w:ascii="Arial" w:hAnsi="Arial" w:cs="Arial"/>
        </w:rPr>
        <w:t xml:space="preserve"> </w:t>
      </w:r>
      <w:r w:rsidR="000B432D" w:rsidRPr="00576180">
        <w:rPr>
          <w:rFonts w:ascii="Arial" w:hAnsi="Arial" w:cs="Arial"/>
        </w:rPr>
        <w:t>Esta evaluación</w:t>
      </w:r>
      <w:r w:rsidR="00493941" w:rsidRPr="00576180">
        <w:rPr>
          <w:rFonts w:ascii="Arial" w:hAnsi="Arial" w:cs="Arial"/>
        </w:rPr>
        <w:t xml:space="preserve"> ex</w:t>
      </w:r>
      <w:r w:rsidR="00BD229E" w:rsidRPr="00576180">
        <w:rPr>
          <w:rFonts w:ascii="Arial" w:hAnsi="Arial" w:cs="Arial"/>
        </w:rPr>
        <w:t xml:space="preserve"> </w:t>
      </w:r>
      <w:r w:rsidR="00493941" w:rsidRPr="00576180">
        <w:rPr>
          <w:rFonts w:ascii="Arial" w:hAnsi="Arial" w:cs="Arial"/>
        </w:rPr>
        <w:t xml:space="preserve">ante estimó </w:t>
      </w:r>
      <w:r w:rsidR="00BE613B" w:rsidRPr="00576180">
        <w:rPr>
          <w:rFonts w:ascii="Arial" w:hAnsi="Arial" w:cs="Arial"/>
        </w:rPr>
        <w:t>que,</w:t>
      </w:r>
      <w:r w:rsidR="00493941" w:rsidRPr="00576180">
        <w:rPr>
          <w:rFonts w:ascii="Arial" w:hAnsi="Arial" w:cs="Arial"/>
        </w:rPr>
        <w:t xml:space="preserve"> en </w:t>
      </w:r>
      <w:r w:rsidR="002A6340" w:rsidRPr="00576180">
        <w:rPr>
          <w:rFonts w:ascii="Arial" w:hAnsi="Arial" w:cs="Arial"/>
        </w:rPr>
        <w:t xml:space="preserve">el séptimo </w:t>
      </w:r>
      <w:r w:rsidR="00493941" w:rsidRPr="00576180">
        <w:rPr>
          <w:rFonts w:ascii="Arial" w:hAnsi="Arial" w:cs="Arial"/>
        </w:rPr>
        <w:t xml:space="preserve">año a partir del inicio </w:t>
      </w:r>
      <w:r w:rsidR="002A6340" w:rsidRPr="00576180">
        <w:rPr>
          <w:rFonts w:ascii="Arial" w:hAnsi="Arial" w:cs="Arial"/>
        </w:rPr>
        <w:t xml:space="preserve">en la </w:t>
      </w:r>
      <w:r w:rsidR="00493941" w:rsidRPr="00576180">
        <w:rPr>
          <w:rFonts w:ascii="Arial" w:hAnsi="Arial" w:cs="Arial"/>
        </w:rPr>
        <w:t xml:space="preserve">ejecución del </w:t>
      </w:r>
      <w:r w:rsidR="000B432D" w:rsidRPr="00576180">
        <w:rPr>
          <w:rFonts w:ascii="Arial" w:hAnsi="Arial" w:cs="Arial"/>
        </w:rPr>
        <w:t>Programa</w:t>
      </w:r>
      <w:r w:rsidR="00493941" w:rsidRPr="00576180">
        <w:rPr>
          <w:rFonts w:ascii="Arial" w:hAnsi="Arial" w:cs="Arial"/>
        </w:rPr>
        <w:t xml:space="preserve">, los beneficios estarían generando una TIR de 23% con un </w:t>
      </w:r>
      <w:r w:rsidR="002A6340" w:rsidRPr="00576180">
        <w:rPr>
          <w:rFonts w:ascii="Arial" w:hAnsi="Arial" w:cs="Arial"/>
        </w:rPr>
        <w:t>v</w:t>
      </w:r>
      <w:r w:rsidR="00493941" w:rsidRPr="00576180">
        <w:rPr>
          <w:rFonts w:ascii="Arial" w:hAnsi="Arial" w:cs="Arial"/>
        </w:rPr>
        <w:t xml:space="preserve">alor </w:t>
      </w:r>
      <w:r w:rsidR="002A6340" w:rsidRPr="00576180">
        <w:rPr>
          <w:rFonts w:ascii="Arial" w:hAnsi="Arial" w:cs="Arial"/>
        </w:rPr>
        <w:t>p</w:t>
      </w:r>
      <w:r w:rsidR="00493941" w:rsidRPr="00576180">
        <w:rPr>
          <w:rFonts w:ascii="Arial" w:hAnsi="Arial" w:cs="Arial"/>
        </w:rPr>
        <w:t xml:space="preserve">resente </w:t>
      </w:r>
      <w:r w:rsidR="002A6340" w:rsidRPr="00576180">
        <w:rPr>
          <w:rFonts w:ascii="Arial" w:hAnsi="Arial" w:cs="Arial"/>
        </w:rPr>
        <w:t>n</w:t>
      </w:r>
      <w:r w:rsidR="00493941" w:rsidRPr="00576180">
        <w:rPr>
          <w:rFonts w:ascii="Arial" w:hAnsi="Arial" w:cs="Arial"/>
        </w:rPr>
        <w:t>eto</w:t>
      </w:r>
      <w:r w:rsidR="002A6340" w:rsidRPr="00576180">
        <w:rPr>
          <w:rFonts w:ascii="Arial" w:hAnsi="Arial" w:cs="Arial"/>
        </w:rPr>
        <w:t xml:space="preserve"> (VPN)</w:t>
      </w:r>
      <w:r w:rsidR="00493941" w:rsidRPr="00576180">
        <w:rPr>
          <w:rFonts w:ascii="Arial" w:hAnsi="Arial" w:cs="Arial"/>
        </w:rPr>
        <w:t xml:space="preserve"> de aproximadamente U</w:t>
      </w:r>
      <w:r w:rsidR="000B432D" w:rsidRPr="00576180">
        <w:rPr>
          <w:rFonts w:ascii="Arial" w:hAnsi="Arial" w:cs="Arial"/>
        </w:rPr>
        <w:t>S</w:t>
      </w:r>
      <w:r w:rsidR="00493941" w:rsidRPr="00576180">
        <w:rPr>
          <w:rFonts w:ascii="Arial" w:hAnsi="Arial" w:cs="Arial"/>
        </w:rPr>
        <w:t>$</w:t>
      </w:r>
      <w:r w:rsidR="000B432D" w:rsidRPr="00576180">
        <w:rPr>
          <w:rFonts w:ascii="Arial" w:hAnsi="Arial" w:cs="Arial"/>
        </w:rPr>
        <w:t xml:space="preserve"> </w:t>
      </w:r>
      <w:r w:rsidR="00493941" w:rsidRPr="00576180">
        <w:rPr>
          <w:rFonts w:ascii="Arial" w:hAnsi="Arial" w:cs="Arial"/>
        </w:rPr>
        <w:t>6 millones, utilizando una tasa de descuento de 11%.</w:t>
      </w:r>
      <w:r w:rsidR="00113931">
        <w:rPr>
          <w:rFonts w:ascii="Arial" w:hAnsi="Arial" w:cs="Arial"/>
        </w:rPr>
        <w:t xml:space="preserve"> </w:t>
      </w:r>
    </w:p>
    <w:p w14:paraId="3748C245" w14:textId="649C07BA" w:rsidR="00B62054" w:rsidRPr="00194111" w:rsidRDefault="004F7433" w:rsidP="00265302">
      <w:pPr>
        <w:pStyle w:val="ListParagraph"/>
        <w:tabs>
          <w:tab w:val="left" w:pos="9000"/>
        </w:tabs>
        <w:spacing w:before="120" w:after="120" w:line="240" w:lineRule="auto"/>
        <w:ind w:left="360"/>
        <w:contextualSpacing w:val="0"/>
        <w:jc w:val="both"/>
        <w:rPr>
          <w:rFonts w:ascii="Arial" w:hAnsi="Arial" w:cs="Arial"/>
          <w:bCs/>
        </w:rPr>
      </w:pPr>
      <w:r w:rsidRPr="00576180">
        <w:rPr>
          <w:rFonts w:ascii="Arial" w:hAnsi="Arial" w:cs="Arial"/>
        </w:rPr>
        <w:t xml:space="preserve">Debido a que el producto </w:t>
      </w:r>
      <w:r w:rsidR="006F03A7">
        <w:rPr>
          <w:rFonts w:ascii="Arial" w:hAnsi="Arial" w:cs="Arial"/>
        </w:rPr>
        <w:t>(P</w:t>
      </w:r>
      <w:r w:rsidRPr="00576180">
        <w:rPr>
          <w:rFonts w:ascii="Arial" w:hAnsi="Arial" w:cs="Arial"/>
        </w:rPr>
        <w:t>1.2</w:t>
      </w:r>
      <w:r w:rsidR="006F03A7">
        <w:rPr>
          <w:rFonts w:ascii="Arial" w:hAnsi="Arial" w:cs="Arial"/>
        </w:rPr>
        <w:t>)</w:t>
      </w:r>
      <w:r w:rsidRPr="00576180">
        <w:rPr>
          <w:rFonts w:ascii="Arial" w:hAnsi="Arial" w:cs="Arial"/>
        </w:rPr>
        <w:t xml:space="preserve"> - macroprocesos de ejecución financiera, contabilidad y rendición de cuentas - no fue implementado, </w:t>
      </w:r>
      <w:r w:rsidR="002528AA" w:rsidRPr="00194111">
        <w:rPr>
          <w:rFonts w:ascii="Arial" w:hAnsi="Arial" w:cs="Arial"/>
        </w:rPr>
        <w:t xml:space="preserve">el equipo del PCR realizó una </w:t>
      </w:r>
      <w:r w:rsidR="00BF04BE" w:rsidRPr="00194111">
        <w:rPr>
          <w:rFonts w:ascii="Arial" w:hAnsi="Arial" w:cs="Arial"/>
        </w:rPr>
        <w:t xml:space="preserve">nueva </w:t>
      </w:r>
      <w:r w:rsidR="002528AA" w:rsidRPr="00194111">
        <w:rPr>
          <w:rFonts w:ascii="Arial" w:hAnsi="Arial" w:cs="Arial"/>
        </w:rPr>
        <w:t xml:space="preserve">evaluación </w:t>
      </w:r>
      <w:r w:rsidR="000B44BA" w:rsidRPr="00194111">
        <w:rPr>
          <w:rFonts w:ascii="Arial" w:hAnsi="Arial" w:cs="Arial"/>
        </w:rPr>
        <w:t>e</w:t>
      </w:r>
      <w:r w:rsidR="000B44BA">
        <w:rPr>
          <w:rFonts w:ascii="Arial" w:hAnsi="Arial" w:cs="Arial"/>
        </w:rPr>
        <w:t>conómica</w:t>
      </w:r>
      <w:r w:rsidR="000B44BA" w:rsidRPr="00194111">
        <w:rPr>
          <w:rFonts w:ascii="Arial" w:hAnsi="Arial" w:cs="Arial"/>
        </w:rPr>
        <w:t xml:space="preserve"> </w:t>
      </w:r>
      <w:proofErr w:type="spellStart"/>
      <w:r w:rsidR="002528AA" w:rsidRPr="00194111">
        <w:rPr>
          <w:rFonts w:ascii="Arial" w:hAnsi="Arial" w:cs="Arial"/>
        </w:rPr>
        <w:t>expost</w:t>
      </w:r>
      <w:proofErr w:type="spellEnd"/>
      <w:r w:rsidR="00891F5A">
        <w:rPr>
          <w:rFonts w:ascii="Arial" w:hAnsi="Arial" w:cs="Arial"/>
        </w:rPr>
        <w:t>,</w:t>
      </w:r>
      <w:r w:rsidR="002528AA" w:rsidRPr="00194111">
        <w:rPr>
          <w:rFonts w:ascii="Arial" w:hAnsi="Arial" w:cs="Arial"/>
        </w:rPr>
        <w:t xml:space="preserve"> utilizando el indicador </w:t>
      </w:r>
      <w:r w:rsidR="00891F5A">
        <w:rPr>
          <w:rFonts w:ascii="Arial" w:hAnsi="Arial" w:cs="Arial"/>
        </w:rPr>
        <w:t xml:space="preserve">de </w:t>
      </w:r>
      <w:r w:rsidR="002528AA" w:rsidRPr="00194111">
        <w:rPr>
          <w:rFonts w:ascii="Arial" w:hAnsi="Arial" w:cs="Arial"/>
        </w:rPr>
        <w:t>aumento de la cobertura de los pagos electrónico</w:t>
      </w:r>
      <w:r w:rsidR="00265302">
        <w:rPr>
          <w:rFonts w:ascii="Arial" w:hAnsi="Arial" w:cs="Arial"/>
        </w:rPr>
        <w:t>s</w:t>
      </w:r>
      <w:r w:rsidR="006F03A7">
        <w:rPr>
          <w:rFonts w:ascii="Arial" w:hAnsi="Arial" w:cs="Arial"/>
        </w:rPr>
        <w:t xml:space="preserve"> (R2.5)</w:t>
      </w:r>
      <w:r w:rsidR="002528AA" w:rsidRPr="00194111">
        <w:rPr>
          <w:rFonts w:ascii="Arial" w:hAnsi="Arial" w:cs="Arial"/>
        </w:rPr>
        <w:t xml:space="preserve">. Con base en información provista </w:t>
      </w:r>
      <w:r w:rsidR="00113931" w:rsidRPr="00194111">
        <w:rPr>
          <w:rFonts w:ascii="Arial" w:hAnsi="Arial" w:cs="Arial"/>
        </w:rPr>
        <w:t xml:space="preserve">por un artículo publicado en el Wall Street </w:t>
      </w:r>
      <w:proofErr w:type="spellStart"/>
      <w:r w:rsidR="00113931" w:rsidRPr="00194111">
        <w:rPr>
          <w:rFonts w:ascii="Arial" w:hAnsi="Arial" w:cs="Arial"/>
        </w:rPr>
        <w:t>Journal</w:t>
      </w:r>
      <w:proofErr w:type="spellEnd"/>
      <w:r w:rsidR="00113931" w:rsidRPr="00194111">
        <w:rPr>
          <w:rFonts w:ascii="Arial" w:hAnsi="Arial" w:cs="Arial"/>
        </w:rPr>
        <w:t xml:space="preserve">  denominado “</w:t>
      </w:r>
      <w:hyperlink r:id="rId23" w:history="1">
        <w:r w:rsidR="00113931" w:rsidRPr="00194111">
          <w:rPr>
            <w:rStyle w:val="Hyperlink"/>
            <w:rFonts w:ascii="Arial" w:hAnsi="Arial" w:cs="Arial"/>
          </w:rPr>
          <w:t xml:space="preserve">U.S. </w:t>
        </w:r>
        <w:proofErr w:type="spellStart"/>
        <w:r w:rsidR="00113931" w:rsidRPr="00194111">
          <w:rPr>
            <w:rStyle w:val="Hyperlink"/>
            <w:rFonts w:ascii="Arial" w:hAnsi="Arial" w:cs="Arial"/>
          </w:rPr>
          <w:t>Companies</w:t>
        </w:r>
        <w:proofErr w:type="spellEnd"/>
        <w:r w:rsidR="00113931" w:rsidRPr="00194111">
          <w:rPr>
            <w:rStyle w:val="Hyperlink"/>
            <w:rFonts w:ascii="Arial" w:hAnsi="Arial" w:cs="Arial"/>
          </w:rPr>
          <w:t xml:space="preserve"> </w:t>
        </w:r>
        <w:proofErr w:type="spellStart"/>
        <w:r w:rsidR="00113931" w:rsidRPr="00194111">
          <w:rPr>
            <w:rStyle w:val="Hyperlink"/>
            <w:rFonts w:ascii="Arial" w:hAnsi="Arial" w:cs="Arial"/>
          </w:rPr>
          <w:t>Cling</w:t>
        </w:r>
        <w:proofErr w:type="spellEnd"/>
        <w:r w:rsidR="00113931" w:rsidRPr="00194111">
          <w:rPr>
            <w:rStyle w:val="Hyperlink"/>
            <w:rFonts w:ascii="Arial" w:hAnsi="Arial" w:cs="Arial"/>
          </w:rPr>
          <w:t xml:space="preserve"> </w:t>
        </w:r>
        <w:proofErr w:type="spellStart"/>
        <w:r w:rsidR="00113931" w:rsidRPr="00194111">
          <w:rPr>
            <w:rStyle w:val="Hyperlink"/>
            <w:rFonts w:ascii="Arial" w:hAnsi="Arial" w:cs="Arial"/>
          </w:rPr>
          <w:t>to</w:t>
        </w:r>
        <w:proofErr w:type="spellEnd"/>
        <w:r w:rsidR="00113931" w:rsidRPr="00194111">
          <w:rPr>
            <w:rStyle w:val="Hyperlink"/>
            <w:rFonts w:ascii="Arial" w:hAnsi="Arial" w:cs="Arial"/>
          </w:rPr>
          <w:t xml:space="preserve"> </w:t>
        </w:r>
        <w:proofErr w:type="spellStart"/>
        <w:r w:rsidR="00113931" w:rsidRPr="00194111">
          <w:rPr>
            <w:rStyle w:val="Hyperlink"/>
            <w:rFonts w:ascii="Arial" w:hAnsi="Arial" w:cs="Arial"/>
          </w:rPr>
          <w:t>Writing</w:t>
        </w:r>
        <w:proofErr w:type="spellEnd"/>
        <w:r w:rsidR="00113931" w:rsidRPr="00194111">
          <w:rPr>
            <w:rStyle w:val="Hyperlink"/>
            <w:rFonts w:ascii="Arial" w:hAnsi="Arial" w:cs="Arial"/>
          </w:rPr>
          <w:t xml:space="preserve"> </w:t>
        </w:r>
        <w:proofErr w:type="spellStart"/>
        <w:r w:rsidR="00113931" w:rsidRPr="00194111">
          <w:rPr>
            <w:rStyle w:val="Hyperlink"/>
            <w:rFonts w:ascii="Arial" w:hAnsi="Arial" w:cs="Arial"/>
          </w:rPr>
          <w:t>Paper</w:t>
        </w:r>
        <w:proofErr w:type="spellEnd"/>
        <w:r w:rsidR="00113931" w:rsidRPr="00194111">
          <w:rPr>
            <w:rStyle w:val="Hyperlink"/>
            <w:rFonts w:ascii="Arial" w:hAnsi="Arial" w:cs="Arial"/>
          </w:rPr>
          <w:t xml:space="preserve"> </w:t>
        </w:r>
        <w:proofErr w:type="spellStart"/>
        <w:r w:rsidR="00113931" w:rsidRPr="00194111">
          <w:rPr>
            <w:rStyle w:val="Hyperlink"/>
            <w:rFonts w:ascii="Arial" w:hAnsi="Arial" w:cs="Arial"/>
          </w:rPr>
          <w:t>Checks</w:t>
        </w:r>
        <w:proofErr w:type="spellEnd"/>
      </w:hyperlink>
      <w:r w:rsidR="00113931" w:rsidRPr="00194111">
        <w:rPr>
          <w:rFonts w:ascii="Arial" w:hAnsi="Arial" w:cs="Arial"/>
        </w:rPr>
        <w:t xml:space="preserve">”, </w:t>
      </w:r>
      <w:r w:rsidR="0098521E" w:rsidRPr="00194111">
        <w:rPr>
          <w:rFonts w:ascii="Arial" w:hAnsi="Arial" w:cs="Arial"/>
        </w:rPr>
        <w:t xml:space="preserve">se calculó el ahorro </w:t>
      </w:r>
      <w:r w:rsidR="00190398">
        <w:rPr>
          <w:rFonts w:ascii="Arial" w:hAnsi="Arial" w:cs="Arial"/>
        </w:rPr>
        <w:t xml:space="preserve">para el gobierno </w:t>
      </w:r>
      <w:r w:rsidR="0098521E" w:rsidRPr="00194111">
        <w:rPr>
          <w:rFonts w:ascii="Arial" w:hAnsi="Arial" w:cs="Arial"/>
        </w:rPr>
        <w:t>por cada cheque transformado en electrónico</w:t>
      </w:r>
      <w:r w:rsidR="000B44BA">
        <w:rPr>
          <w:rFonts w:ascii="Arial" w:hAnsi="Arial" w:cs="Arial"/>
        </w:rPr>
        <w:t>.</w:t>
      </w:r>
      <w:r w:rsidR="0098521E" w:rsidRPr="00194111">
        <w:rPr>
          <w:rFonts w:ascii="Arial" w:hAnsi="Arial" w:cs="Arial"/>
        </w:rPr>
        <w:t xml:space="preserve"> </w:t>
      </w:r>
      <w:r w:rsidR="000B44BA">
        <w:rPr>
          <w:rFonts w:ascii="Arial" w:hAnsi="Arial" w:cs="Arial"/>
        </w:rPr>
        <w:t>C</w:t>
      </w:r>
      <w:r w:rsidR="0098521E" w:rsidRPr="00194111">
        <w:rPr>
          <w:rFonts w:ascii="Arial" w:hAnsi="Arial" w:cs="Arial"/>
        </w:rPr>
        <w:t>onforme la Tabla 8 a continuación</w:t>
      </w:r>
      <w:r w:rsidR="000B44BA">
        <w:rPr>
          <w:rFonts w:ascii="Arial" w:hAnsi="Arial" w:cs="Arial"/>
        </w:rPr>
        <w:t>,</w:t>
      </w:r>
      <w:r w:rsidR="0098521E">
        <w:rPr>
          <w:rFonts w:ascii="Arial" w:hAnsi="Arial" w:cs="Arial"/>
        </w:rPr>
        <w:t xml:space="preserve"> </w:t>
      </w:r>
      <w:r w:rsidR="000B44BA">
        <w:rPr>
          <w:rFonts w:ascii="Arial" w:hAnsi="Arial" w:cs="Arial"/>
        </w:rPr>
        <w:t>s</w:t>
      </w:r>
      <w:r w:rsidR="0098521E">
        <w:rPr>
          <w:rFonts w:ascii="Arial" w:hAnsi="Arial" w:cs="Arial"/>
        </w:rPr>
        <w:t xml:space="preserve">e estimó que el </w:t>
      </w:r>
      <w:r w:rsidR="00190398">
        <w:rPr>
          <w:rFonts w:ascii="Arial" w:hAnsi="Arial" w:cs="Arial"/>
        </w:rPr>
        <w:t>g</w:t>
      </w:r>
      <w:r w:rsidR="0098521E">
        <w:rPr>
          <w:rFonts w:ascii="Arial" w:hAnsi="Arial" w:cs="Arial"/>
        </w:rPr>
        <w:t xml:space="preserve">obierno </w:t>
      </w:r>
      <w:r w:rsidR="00190398">
        <w:rPr>
          <w:rFonts w:ascii="Arial" w:hAnsi="Arial" w:cs="Arial"/>
        </w:rPr>
        <w:t xml:space="preserve">puede </w:t>
      </w:r>
      <w:r w:rsidR="0098521E">
        <w:rPr>
          <w:rFonts w:ascii="Arial" w:hAnsi="Arial" w:cs="Arial"/>
        </w:rPr>
        <w:t>genera</w:t>
      </w:r>
      <w:r w:rsidR="00190398">
        <w:rPr>
          <w:rFonts w:ascii="Arial" w:hAnsi="Arial" w:cs="Arial"/>
        </w:rPr>
        <w:t>r</w:t>
      </w:r>
      <w:r w:rsidR="0098521E">
        <w:rPr>
          <w:rFonts w:ascii="Arial" w:hAnsi="Arial" w:cs="Arial"/>
        </w:rPr>
        <w:t xml:space="preserve"> un ahorro de US$1.2675 por cheque.</w:t>
      </w:r>
    </w:p>
    <w:tbl>
      <w:tblPr>
        <w:tblW w:w="9932" w:type="dxa"/>
        <w:tblInd w:w="-370" w:type="dxa"/>
        <w:tblLook w:val="04A0" w:firstRow="1" w:lastRow="0" w:firstColumn="1" w:lastColumn="0" w:noHBand="0" w:noVBand="1"/>
      </w:tblPr>
      <w:tblGrid>
        <w:gridCol w:w="3600"/>
        <w:gridCol w:w="988"/>
        <w:gridCol w:w="1379"/>
        <w:gridCol w:w="988"/>
        <w:gridCol w:w="988"/>
        <w:gridCol w:w="988"/>
        <w:gridCol w:w="992"/>
        <w:gridCol w:w="9"/>
      </w:tblGrid>
      <w:tr w:rsidR="0098521E" w:rsidRPr="00194111" w14:paraId="283A3084" w14:textId="77777777" w:rsidTr="00957319">
        <w:trPr>
          <w:trHeight w:val="70"/>
        </w:trPr>
        <w:tc>
          <w:tcPr>
            <w:tcW w:w="9932" w:type="dxa"/>
            <w:gridSpan w:val="8"/>
            <w:tcBorders>
              <w:top w:val="single" w:sz="8" w:space="0" w:color="auto"/>
              <w:left w:val="single" w:sz="8" w:space="0" w:color="auto"/>
              <w:bottom w:val="single" w:sz="8" w:space="0" w:color="auto"/>
              <w:right w:val="single" w:sz="8" w:space="0" w:color="000000"/>
            </w:tcBorders>
            <w:shd w:val="clear" w:color="000000" w:fill="C5D9F1"/>
            <w:vAlign w:val="bottom"/>
            <w:hideMark/>
          </w:tcPr>
          <w:p w14:paraId="2178895B" w14:textId="3E2A60F9" w:rsidR="0098521E" w:rsidRPr="00194111" w:rsidRDefault="0098521E" w:rsidP="0098521E">
            <w:pPr>
              <w:spacing w:after="0" w:line="240" w:lineRule="auto"/>
              <w:jc w:val="center"/>
              <w:rPr>
                <w:rFonts w:ascii="Arial" w:eastAsia="Times New Roman" w:hAnsi="Arial" w:cs="Arial"/>
                <w:b/>
                <w:bCs/>
                <w:color w:val="000000"/>
                <w:sz w:val="18"/>
                <w:szCs w:val="18"/>
              </w:rPr>
            </w:pPr>
            <w:r w:rsidRPr="00194111">
              <w:rPr>
                <w:rFonts w:ascii="Arial" w:eastAsia="Times New Roman" w:hAnsi="Arial" w:cs="Arial"/>
                <w:b/>
                <w:bCs/>
                <w:color w:val="000000"/>
                <w:sz w:val="18"/>
                <w:szCs w:val="18"/>
              </w:rPr>
              <w:t>Tabla 8 - Calculo del Ahorro con el pago electrónico</w:t>
            </w:r>
            <w:r>
              <w:rPr>
                <w:rFonts w:ascii="Arial" w:eastAsia="Times New Roman" w:hAnsi="Arial" w:cs="Arial"/>
                <w:b/>
                <w:bCs/>
                <w:color w:val="000000"/>
                <w:sz w:val="18"/>
                <w:szCs w:val="18"/>
              </w:rPr>
              <w:t xml:space="preserve"> (US$)</w:t>
            </w:r>
          </w:p>
        </w:tc>
      </w:tr>
      <w:tr w:rsidR="0098521E" w:rsidRPr="00194111" w14:paraId="266477DE" w14:textId="77777777" w:rsidTr="00957319">
        <w:trPr>
          <w:gridAfter w:val="1"/>
          <w:wAfter w:w="9" w:type="dxa"/>
          <w:trHeight w:val="46"/>
        </w:trPr>
        <w:tc>
          <w:tcPr>
            <w:tcW w:w="3600" w:type="dxa"/>
            <w:tcBorders>
              <w:top w:val="nil"/>
              <w:left w:val="single" w:sz="8" w:space="0" w:color="auto"/>
              <w:bottom w:val="single" w:sz="8" w:space="0" w:color="auto"/>
              <w:right w:val="single" w:sz="8" w:space="0" w:color="auto"/>
            </w:tcBorders>
            <w:shd w:val="clear" w:color="auto" w:fill="auto"/>
            <w:noWrap/>
            <w:vAlign w:val="center"/>
            <w:hideMark/>
          </w:tcPr>
          <w:p w14:paraId="5B64043B" w14:textId="77777777" w:rsidR="0098521E" w:rsidRPr="00194111" w:rsidRDefault="0098521E" w:rsidP="0098521E">
            <w:pPr>
              <w:spacing w:after="0" w:line="240" w:lineRule="auto"/>
              <w:rPr>
                <w:rFonts w:ascii="Arial" w:eastAsia="Times New Roman" w:hAnsi="Arial" w:cs="Arial"/>
                <w:color w:val="000000"/>
                <w:sz w:val="16"/>
                <w:szCs w:val="16"/>
              </w:rPr>
            </w:pPr>
            <w:r w:rsidRPr="00194111">
              <w:rPr>
                <w:rFonts w:ascii="Arial" w:eastAsia="Times New Roman" w:hAnsi="Arial" w:cs="Arial"/>
                <w:color w:val="000000"/>
                <w:sz w:val="16"/>
                <w:szCs w:val="16"/>
              </w:rPr>
              <w:t> </w:t>
            </w:r>
          </w:p>
        </w:tc>
        <w:tc>
          <w:tcPr>
            <w:tcW w:w="4343" w:type="dxa"/>
            <w:gridSpan w:val="4"/>
            <w:tcBorders>
              <w:top w:val="single" w:sz="8" w:space="0" w:color="auto"/>
              <w:left w:val="nil"/>
              <w:bottom w:val="single" w:sz="8" w:space="0" w:color="auto"/>
              <w:right w:val="single" w:sz="8" w:space="0" w:color="000000"/>
            </w:tcBorders>
            <w:shd w:val="clear" w:color="auto" w:fill="auto"/>
            <w:vAlign w:val="center"/>
            <w:hideMark/>
          </w:tcPr>
          <w:p w14:paraId="270321D4"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Costos de los cheques físicos</w:t>
            </w:r>
          </w:p>
        </w:tc>
        <w:tc>
          <w:tcPr>
            <w:tcW w:w="1980" w:type="dxa"/>
            <w:gridSpan w:val="2"/>
            <w:tcBorders>
              <w:top w:val="single" w:sz="8" w:space="0" w:color="auto"/>
              <w:left w:val="nil"/>
              <w:bottom w:val="single" w:sz="8" w:space="0" w:color="auto"/>
              <w:right w:val="single" w:sz="8" w:space="0" w:color="000000"/>
            </w:tcBorders>
            <w:shd w:val="clear" w:color="auto" w:fill="auto"/>
            <w:vAlign w:val="center"/>
            <w:hideMark/>
          </w:tcPr>
          <w:p w14:paraId="3E35860D"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Costos de pagos electrónico</w:t>
            </w:r>
          </w:p>
        </w:tc>
      </w:tr>
      <w:tr w:rsidR="0098521E" w:rsidRPr="00194111" w14:paraId="420B4B2C" w14:textId="77777777" w:rsidTr="00957319">
        <w:trPr>
          <w:gridAfter w:val="1"/>
          <w:wAfter w:w="9" w:type="dxa"/>
          <w:trHeight w:val="367"/>
        </w:trPr>
        <w:tc>
          <w:tcPr>
            <w:tcW w:w="3600" w:type="dxa"/>
            <w:tcBorders>
              <w:top w:val="nil"/>
              <w:left w:val="single" w:sz="8" w:space="0" w:color="auto"/>
              <w:bottom w:val="nil"/>
              <w:right w:val="single" w:sz="8" w:space="0" w:color="auto"/>
            </w:tcBorders>
            <w:shd w:val="clear" w:color="auto" w:fill="auto"/>
            <w:noWrap/>
            <w:vAlign w:val="center"/>
            <w:hideMark/>
          </w:tcPr>
          <w:p w14:paraId="77573CA3" w14:textId="77777777" w:rsidR="0098521E" w:rsidRPr="00194111" w:rsidRDefault="0098521E" w:rsidP="0098521E">
            <w:pPr>
              <w:spacing w:after="0" w:line="240" w:lineRule="auto"/>
              <w:rPr>
                <w:rFonts w:ascii="Arial" w:eastAsia="Times New Roman" w:hAnsi="Arial" w:cs="Arial"/>
                <w:b/>
                <w:bCs/>
                <w:i/>
                <w:iCs/>
                <w:color w:val="000000"/>
                <w:sz w:val="16"/>
                <w:szCs w:val="16"/>
              </w:rPr>
            </w:pPr>
            <w:r w:rsidRPr="00194111">
              <w:rPr>
                <w:rFonts w:ascii="Arial" w:eastAsia="Times New Roman" w:hAnsi="Arial" w:cs="Arial"/>
                <w:b/>
                <w:bCs/>
                <w:i/>
                <w:iCs/>
                <w:color w:val="000000"/>
                <w:sz w:val="16"/>
                <w:szCs w:val="16"/>
              </w:rPr>
              <w:t>Costos de trabajo</w:t>
            </w:r>
          </w:p>
        </w:tc>
        <w:tc>
          <w:tcPr>
            <w:tcW w:w="988" w:type="dxa"/>
            <w:tcBorders>
              <w:top w:val="nil"/>
              <w:left w:val="nil"/>
              <w:bottom w:val="nil"/>
              <w:right w:val="nil"/>
            </w:tcBorders>
            <w:shd w:val="clear" w:color="auto" w:fill="auto"/>
            <w:vAlign w:val="center"/>
            <w:hideMark/>
          </w:tcPr>
          <w:p w14:paraId="68BE33DF"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N. horas</w:t>
            </w:r>
          </w:p>
        </w:tc>
        <w:tc>
          <w:tcPr>
            <w:tcW w:w="1379" w:type="dxa"/>
            <w:tcBorders>
              <w:top w:val="nil"/>
              <w:left w:val="nil"/>
              <w:bottom w:val="nil"/>
              <w:right w:val="nil"/>
            </w:tcBorders>
            <w:shd w:val="clear" w:color="auto" w:fill="auto"/>
            <w:vAlign w:val="center"/>
            <w:hideMark/>
          </w:tcPr>
          <w:p w14:paraId="63D8D930"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 promedia 1 hora</w:t>
            </w:r>
          </w:p>
        </w:tc>
        <w:tc>
          <w:tcPr>
            <w:tcW w:w="988" w:type="dxa"/>
            <w:tcBorders>
              <w:top w:val="nil"/>
              <w:left w:val="nil"/>
              <w:bottom w:val="nil"/>
              <w:right w:val="nil"/>
            </w:tcBorders>
            <w:shd w:val="clear" w:color="auto" w:fill="auto"/>
            <w:vAlign w:val="center"/>
            <w:hideMark/>
          </w:tcPr>
          <w:p w14:paraId="1110E4DA"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 promedio mensual</w:t>
            </w:r>
          </w:p>
        </w:tc>
        <w:tc>
          <w:tcPr>
            <w:tcW w:w="988" w:type="dxa"/>
            <w:tcBorders>
              <w:top w:val="nil"/>
              <w:left w:val="nil"/>
              <w:bottom w:val="nil"/>
              <w:right w:val="single" w:sz="8" w:space="0" w:color="auto"/>
            </w:tcBorders>
            <w:shd w:val="clear" w:color="auto" w:fill="auto"/>
            <w:vAlign w:val="center"/>
            <w:hideMark/>
          </w:tcPr>
          <w:p w14:paraId="50282D93"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 anual</w:t>
            </w:r>
          </w:p>
        </w:tc>
        <w:tc>
          <w:tcPr>
            <w:tcW w:w="988" w:type="dxa"/>
            <w:tcBorders>
              <w:top w:val="nil"/>
              <w:left w:val="nil"/>
              <w:bottom w:val="nil"/>
              <w:right w:val="nil"/>
            </w:tcBorders>
            <w:shd w:val="clear" w:color="auto" w:fill="auto"/>
            <w:vAlign w:val="center"/>
            <w:hideMark/>
          </w:tcPr>
          <w:p w14:paraId="30694AF4"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N. horas</w:t>
            </w:r>
          </w:p>
        </w:tc>
        <w:tc>
          <w:tcPr>
            <w:tcW w:w="992" w:type="dxa"/>
            <w:tcBorders>
              <w:top w:val="nil"/>
              <w:left w:val="nil"/>
              <w:bottom w:val="nil"/>
              <w:right w:val="single" w:sz="8" w:space="0" w:color="auto"/>
            </w:tcBorders>
            <w:shd w:val="clear" w:color="auto" w:fill="auto"/>
            <w:vAlign w:val="center"/>
            <w:hideMark/>
          </w:tcPr>
          <w:p w14:paraId="526D315B"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 promedio mensual</w:t>
            </w:r>
          </w:p>
        </w:tc>
      </w:tr>
      <w:tr w:rsidR="0098521E" w:rsidRPr="00194111" w14:paraId="2D406802" w14:textId="77777777" w:rsidTr="00957319">
        <w:trPr>
          <w:gridAfter w:val="1"/>
          <w:wAfter w:w="9" w:type="dxa"/>
          <w:trHeight w:val="108"/>
        </w:trPr>
        <w:tc>
          <w:tcPr>
            <w:tcW w:w="3600" w:type="dxa"/>
            <w:tcBorders>
              <w:top w:val="nil"/>
              <w:left w:val="single" w:sz="8" w:space="0" w:color="auto"/>
              <w:bottom w:val="nil"/>
              <w:right w:val="single" w:sz="8" w:space="0" w:color="auto"/>
            </w:tcBorders>
            <w:shd w:val="clear" w:color="auto" w:fill="auto"/>
            <w:noWrap/>
            <w:vAlign w:val="center"/>
            <w:hideMark/>
          </w:tcPr>
          <w:p w14:paraId="464FAC07" w14:textId="77777777" w:rsidR="0098521E" w:rsidRPr="00194111" w:rsidRDefault="0098521E" w:rsidP="0098521E">
            <w:pPr>
              <w:spacing w:after="0" w:line="240" w:lineRule="auto"/>
              <w:rPr>
                <w:rFonts w:ascii="Arial" w:eastAsia="Times New Roman" w:hAnsi="Arial" w:cs="Arial"/>
                <w:color w:val="000000"/>
                <w:sz w:val="16"/>
                <w:szCs w:val="16"/>
              </w:rPr>
            </w:pPr>
            <w:r w:rsidRPr="00194111">
              <w:rPr>
                <w:rFonts w:ascii="Arial" w:eastAsia="Times New Roman" w:hAnsi="Arial" w:cs="Arial"/>
                <w:color w:val="000000"/>
                <w:sz w:val="16"/>
                <w:szCs w:val="16"/>
              </w:rPr>
              <w:t>Producción de cheques (+archivos de copia)</w:t>
            </w:r>
          </w:p>
        </w:tc>
        <w:tc>
          <w:tcPr>
            <w:tcW w:w="988" w:type="dxa"/>
            <w:tcBorders>
              <w:top w:val="nil"/>
              <w:left w:val="nil"/>
              <w:bottom w:val="nil"/>
              <w:right w:val="nil"/>
            </w:tcBorders>
            <w:shd w:val="clear" w:color="auto" w:fill="auto"/>
            <w:vAlign w:val="center"/>
            <w:hideMark/>
          </w:tcPr>
          <w:p w14:paraId="79876899"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41</w:t>
            </w:r>
          </w:p>
        </w:tc>
        <w:tc>
          <w:tcPr>
            <w:tcW w:w="1379" w:type="dxa"/>
            <w:tcBorders>
              <w:top w:val="nil"/>
              <w:left w:val="nil"/>
              <w:bottom w:val="nil"/>
              <w:right w:val="nil"/>
            </w:tcBorders>
            <w:shd w:val="clear" w:color="auto" w:fill="auto"/>
            <w:vAlign w:val="center"/>
            <w:hideMark/>
          </w:tcPr>
          <w:p w14:paraId="5AC4B08A"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15</w:t>
            </w:r>
          </w:p>
        </w:tc>
        <w:tc>
          <w:tcPr>
            <w:tcW w:w="988" w:type="dxa"/>
            <w:tcBorders>
              <w:top w:val="nil"/>
              <w:left w:val="nil"/>
              <w:bottom w:val="nil"/>
              <w:right w:val="nil"/>
            </w:tcBorders>
            <w:shd w:val="clear" w:color="auto" w:fill="auto"/>
            <w:vAlign w:val="center"/>
            <w:hideMark/>
          </w:tcPr>
          <w:p w14:paraId="46B57AD2"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615</w:t>
            </w:r>
          </w:p>
        </w:tc>
        <w:tc>
          <w:tcPr>
            <w:tcW w:w="988" w:type="dxa"/>
            <w:tcBorders>
              <w:top w:val="nil"/>
              <w:left w:val="nil"/>
              <w:bottom w:val="nil"/>
              <w:right w:val="single" w:sz="8" w:space="0" w:color="auto"/>
            </w:tcBorders>
            <w:shd w:val="clear" w:color="auto" w:fill="auto"/>
            <w:vAlign w:val="center"/>
            <w:hideMark/>
          </w:tcPr>
          <w:p w14:paraId="3B359837"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7380</w:t>
            </w:r>
          </w:p>
        </w:tc>
        <w:tc>
          <w:tcPr>
            <w:tcW w:w="988" w:type="dxa"/>
            <w:tcBorders>
              <w:top w:val="nil"/>
              <w:left w:val="nil"/>
              <w:bottom w:val="nil"/>
              <w:right w:val="nil"/>
            </w:tcBorders>
            <w:shd w:val="clear" w:color="auto" w:fill="auto"/>
            <w:vAlign w:val="center"/>
            <w:hideMark/>
          </w:tcPr>
          <w:p w14:paraId="121D4C3A"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20.5</w:t>
            </w:r>
          </w:p>
        </w:tc>
        <w:tc>
          <w:tcPr>
            <w:tcW w:w="992" w:type="dxa"/>
            <w:tcBorders>
              <w:top w:val="nil"/>
              <w:left w:val="nil"/>
              <w:bottom w:val="nil"/>
              <w:right w:val="single" w:sz="8" w:space="0" w:color="auto"/>
            </w:tcBorders>
            <w:shd w:val="clear" w:color="auto" w:fill="auto"/>
            <w:vAlign w:val="center"/>
            <w:hideMark/>
          </w:tcPr>
          <w:p w14:paraId="0902032C"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307.5</w:t>
            </w:r>
          </w:p>
        </w:tc>
      </w:tr>
      <w:tr w:rsidR="0098521E" w:rsidRPr="00194111" w14:paraId="467CADAD" w14:textId="77777777" w:rsidTr="00957319">
        <w:trPr>
          <w:gridAfter w:val="1"/>
          <w:wAfter w:w="9" w:type="dxa"/>
          <w:trHeight w:val="300"/>
        </w:trPr>
        <w:tc>
          <w:tcPr>
            <w:tcW w:w="3600" w:type="dxa"/>
            <w:tcBorders>
              <w:top w:val="nil"/>
              <w:left w:val="single" w:sz="8" w:space="0" w:color="auto"/>
              <w:bottom w:val="nil"/>
              <w:right w:val="single" w:sz="8" w:space="0" w:color="auto"/>
            </w:tcBorders>
            <w:shd w:val="clear" w:color="auto" w:fill="auto"/>
            <w:noWrap/>
            <w:vAlign w:val="center"/>
            <w:hideMark/>
          </w:tcPr>
          <w:p w14:paraId="1AE2D0F9" w14:textId="77777777" w:rsidR="0098521E" w:rsidRPr="00194111" w:rsidRDefault="0098521E" w:rsidP="0098521E">
            <w:pPr>
              <w:spacing w:after="0" w:line="240" w:lineRule="auto"/>
              <w:rPr>
                <w:rFonts w:ascii="Arial" w:eastAsia="Times New Roman" w:hAnsi="Arial" w:cs="Arial"/>
                <w:color w:val="000000"/>
                <w:sz w:val="16"/>
                <w:szCs w:val="16"/>
              </w:rPr>
            </w:pPr>
            <w:r w:rsidRPr="00194111">
              <w:rPr>
                <w:rFonts w:ascii="Arial" w:eastAsia="Times New Roman" w:hAnsi="Arial" w:cs="Arial"/>
                <w:color w:val="000000"/>
                <w:sz w:val="16"/>
                <w:szCs w:val="16"/>
              </w:rPr>
              <w:t>Preparación de correos</w:t>
            </w:r>
          </w:p>
        </w:tc>
        <w:tc>
          <w:tcPr>
            <w:tcW w:w="988" w:type="dxa"/>
            <w:tcBorders>
              <w:top w:val="nil"/>
              <w:left w:val="nil"/>
              <w:bottom w:val="nil"/>
              <w:right w:val="nil"/>
            </w:tcBorders>
            <w:shd w:val="clear" w:color="auto" w:fill="auto"/>
            <w:vAlign w:val="center"/>
            <w:hideMark/>
          </w:tcPr>
          <w:p w14:paraId="0A77956F"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8</w:t>
            </w:r>
          </w:p>
        </w:tc>
        <w:tc>
          <w:tcPr>
            <w:tcW w:w="1379" w:type="dxa"/>
            <w:tcBorders>
              <w:top w:val="nil"/>
              <w:left w:val="nil"/>
              <w:bottom w:val="nil"/>
              <w:right w:val="nil"/>
            </w:tcBorders>
            <w:shd w:val="clear" w:color="auto" w:fill="auto"/>
            <w:vAlign w:val="center"/>
            <w:hideMark/>
          </w:tcPr>
          <w:p w14:paraId="28AC86E9"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15</w:t>
            </w:r>
          </w:p>
        </w:tc>
        <w:tc>
          <w:tcPr>
            <w:tcW w:w="988" w:type="dxa"/>
            <w:tcBorders>
              <w:top w:val="nil"/>
              <w:left w:val="nil"/>
              <w:bottom w:val="nil"/>
              <w:right w:val="nil"/>
            </w:tcBorders>
            <w:shd w:val="clear" w:color="auto" w:fill="auto"/>
            <w:vAlign w:val="center"/>
            <w:hideMark/>
          </w:tcPr>
          <w:p w14:paraId="7DC06C56"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120</w:t>
            </w:r>
          </w:p>
        </w:tc>
        <w:tc>
          <w:tcPr>
            <w:tcW w:w="988" w:type="dxa"/>
            <w:tcBorders>
              <w:top w:val="nil"/>
              <w:left w:val="nil"/>
              <w:bottom w:val="nil"/>
              <w:right w:val="single" w:sz="8" w:space="0" w:color="auto"/>
            </w:tcBorders>
            <w:shd w:val="clear" w:color="auto" w:fill="auto"/>
            <w:vAlign w:val="center"/>
            <w:hideMark/>
          </w:tcPr>
          <w:p w14:paraId="5A091B52"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1440</w:t>
            </w:r>
          </w:p>
        </w:tc>
        <w:tc>
          <w:tcPr>
            <w:tcW w:w="988" w:type="dxa"/>
            <w:tcBorders>
              <w:top w:val="nil"/>
              <w:left w:val="nil"/>
              <w:bottom w:val="nil"/>
              <w:right w:val="nil"/>
            </w:tcBorders>
            <w:shd w:val="clear" w:color="auto" w:fill="auto"/>
            <w:vAlign w:val="center"/>
            <w:hideMark/>
          </w:tcPr>
          <w:p w14:paraId="2A6A1133"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0</w:t>
            </w:r>
          </w:p>
        </w:tc>
        <w:tc>
          <w:tcPr>
            <w:tcW w:w="992" w:type="dxa"/>
            <w:tcBorders>
              <w:top w:val="nil"/>
              <w:left w:val="nil"/>
              <w:bottom w:val="nil"/>
              <w:right w:val="single" w:sz="8" w:space="0" w:color="auto"/>
            </w:tcBorders>
            <w:shd w:val="clear" w:color="auto" w:fill="auto"/>
            <w:vAlign w:val="center"/>
            <w:hideMark/>
          </w:tcPr>
          <w:p w14:paraId="4222A765"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0</w:t>
            </w:r>
          </w:p>
        </w:tc>
      </w:tr>
      <w:tr w:rsidR="0098521E" w:rsidRPr="00194111" w14:paraId="73D47C60" w14:textId="77777777" w:rsidTr="00957319">
        <w:trPr>
          <w:gridAfter w:val="1"/>
          <w:wAfter w:w="9" w:type="dxa"/>
          <w:trHeight w:val="63"/>
        </w:trPr>
        <w:tc>
          <w:tcPr>
            <w:tcW w:w="3600" w:type="dxa"/>
            <w:tcBorders>
              <w:top w:val="nil"/>
              <w:left w:val="single" w:sz="8" w:space="0" w:color="auto"/>
              <w:bottom w:val="nil"/>
              <w:right w:val="single" w:sz="8" w:space="0" w:color="auto"/>
            </w:tcBorders>
            <w:shd w:val="clear" w:color="auto" w:fill="auto"/>
            <w:noWrap/>
            <w:vAlign w:val="center"/>
            <w:hideMark/>
          </w:tcPr>
          <w:p w14:paraId="381F9379" w14:textId="77777777" w:rsidR="0098521E" w:rsidRPr="00194111" w:rsidRDefault="0098521E" w:rsidP="0098521E">
            <w:pPr>
              <w:spacing w:after="0" w:line="240" w:lineRule="auto"/>
              <w:rPr>
                <w:rFonts w:ascii="Arial" w:eastAsia="Times New Roman" w:hAnsi="Arial" w:cs="Arial"/>
                <w:color w:val="000000"/>
                <w:sz w:val="16"/>
                <w:szCs w:val="16"/>
              </w:rPr>
            </w:pPr>
            <w:r w:rsidRPr="00194111">
              <w:rPr>
                <w:rFonts w:ascii="Arial" w:eastAsia="Times New Roman" w:hAnsi="Arial" w:cs="Arial"/>
                <w:color w:val="000000"/>
                <w:sz w:val="16"/>
                <w:szCs w:val="16"/>
              </w:rPr>
              <w:t>Conciliación de cheques</w:t>
            </w:r>
          </w:p>
        </w:tc>
        <w:tc>
          <w:tcPr>
            <w:tcW w:w="988" w:type="dxa"/>
            <w:tcBorders>
              <w:top w:val="nil"/>
              <w:left w:val="nil"/>
              <w:bottom w:val="nil"/>
              <w:right w:val="nil"/>
            </w:tcBorders>
            <w:shd w:val="clear" w:color="auto" w:fill="auto"/>
            <w:vAlign w:val="center"/>
            <w:hideMark/>
          </w:tcPr>
          <w:p w14:paraId="2E6969B1"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4</w:t>
            </w:r>
          </w:p>
        </w:tc>
        <w:tc>
          <w:tcPr>
            <w:tcW w:w="1379" w:type="dxa"/>
            <w:tcBorders>
              <w:top w:val="nil"/>
              <w:left w:val="nil"/>
              <w:bottom w:val="nil"/>
              <w:right w:val="nil"/>
            </w:tcBorders>
            <w:shd w:val="clear" w:color="auto" w:fill="auto"/>
            <w:vAlign w:val="center"/>
            <w:hideMark/>
          </w:tcPr>
          <w:p w14:paraId="1D0871E3"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15</w:t>
            </w:r>
          </w:p>
        </w:tc>
        <w:tc>
          <w:tcPr>
            <w:tcW w:w="988" w:type="dxa"/>
            <w:tcBorders>
              <w:top w:val="nil"/>
              <w:left w:val="nil"/>
              <w:bottom w:val="nil"/>
              <w:right w:val="nil"/>
            </w:tcBorders>
            <w:shd w:val="clear" w:color="auto" w:fill="auto"/>
            <w:vAlign w:val="center"/>
            <w:hideMark/>
          </w:tcPr>
          <w:p w14:paraId="6805C8FC"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60</w:t>
            </w:r>
          </w:p>
        </w:tc>
        <w:tc>
          <w:tcPr>
            <w:tcW w:w="988" w:type="dxa"/>
            <w:tcBorders>
              <w:top w:val="nil"/>
              <w:left w:val="nil"/>
              <w:bottom w:val="nil"/>
              <w:right w:val="single" w:sz="8" w:space="0" w:color="auto"/>
            </w:tcBorders>
            <w:shd w:val="clear" w:color="auto" w:fill="auto"/>
            <w:vAlign w:val="center"/>
            <w:hideMark/>
          </w:tcPr>
          <w:p w14:paraId="40FC5C3D"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720</w:t>
            </w:r>
          </w:p>
        </w:tc>
        <w:tc>
          <w:tcPr>
            <w:tcW w:w="988" w:type="dxa"/>
            <w:tcBorders>
              <w:top w:val="nil"/>
              <w:left w:val="nil"/>
              <w:bottom w:val="nil"/>
              <w:right w:val="nil"/>
            </w:tcBorders>
            <w:shd w:val="clear" w:color="auto" w:fill="auto"/>
            <w:vAlign w:val="center"/>
            <w:hideMark/>
          </w:tcPr>
          <w:p w14:paraId="2C6B7132"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0</w:t>
            </w:r>
          </w:p>
        </w:tc>
        <w:tc>
          <w:tcPr>
            <w:tcW w:w="992" w:type="dxa"/>
            <w:tcBorders>
              <w:top w:val="nil"/>
              <w:left w:val="nil"/>
              <w:bottom w:val="nil"/>
              <w:right w:val="single" w:sz="8" w:space="0" w:color="auto"/>
            </w:tcBorders>
            <w:shd w:val="clear" w:color="auto" w:fill="auto"/>
            <w:vAlign w:val="center"/>
            <w:hideMark/>
          </w:tcPr>
          <w:p w14:paraId="30E24742"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0</w:t>
            </w:r>
          </w:p>
        </w:tc>
      </w:tr>
      <w:tr w:rsidR="0098521E" w:rsidRPr="00194111" w14:paraId="31039DCD" w14:textId="77777777" w:rsidTr="00957319">
        <w:trPr>
          <w:gridAfter w:val="1"/>
          <w:wAfter w:w="9" w:type="dxa"/>
          <w:trHeight w:val="300"/>
        </w:trPr>
        <w:tc>
          <w:tcPr>
            <w:tcW w:w="3600" w:type="dxa"/>
            <w:tcBorders>
              <w:top w:val="nil"/>
              <w:left w:val="single" w:sz="8" w:space="0" w:color="auto"/>
              <w:bottom w:val="nil"/>
              <w:right w:val="single" w:sz="8" w:space="0" w:color="auto"/>
            </w:tcBorders>
            <w:shd w:val="clear" w:color="auto" w:fill="auto"/>
            <w:noWrap/>
            <w:vAlign w:val="center"/>
            <w:hideMark/>
          </w:tcPr>
          <w:p w14:paraId="39B46111" w14:textId="77777777" w:rsidR="0098521E" w:rsidRPr="00371AFE" w:rsidRDefault="0098521E" w:rsidP="0098521E">
            <w:pPr>
              <w:spacing w:after="0" w:line="240" w:lineRule="auto"/>
              <w:rPr>
                <w:rFonts w:ascii="Arial" w:eastAsia="Times New Roman" w:hAnsi="Arial" w:cs="Arial"/>
                <w:color w:val="000000"/>
                <w:sz w:val="16"/>
                <w:szCs w:val="16"/>
                <w:lang w:val="pt-BR"/>
              </w:rPr>
            </w:pPr>
            <w:r w:rsidRPr="00371AFE">
              <w:rPr>
                <w:rFonts w:ascii="Arial" w:eastAsia="Times New Roman" w:hAnsi="Arial" w:cs="Arial"/>
                <w:color w:val="000000"/>
                <w:sz w:val="16"/>
                <w:szCs w:val="16"/>
                <w:lang w:val="pt-BR"/>
              </w:rPr>
              <w:t>Responder a cheques/pagos perdidos</w:t>
            </w:r>
          </w:p>
        </w:tc>
        <w:tc>
          <w:tcPr>
            <w:tcW w:w="988" w:type="dxa"/>
            <w:tcBorders>
              <w:top w:val="nil"/>
              <w:left w:val="nil"/>
              <w:bottom w:val="nil"/>
              <w:right w:val="nil"/>
            </w:tcBorders>
            <w:shd w:val="clear" w:color="auto" w:fill="auto"/>
            <w:vAlign w:val="center"/>
            <w:hideMark/>
          </w:tcPr>
          <w:p w14:paraId="57FC9C1F"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8</w:t>
            </w:r>
          </w:p>
        </w:tc>
        <w:tc>
          <w:tcPr>
            <w:tcW w:w="1379" w:type="dxa"/>
            <w:tcBorders>
              <w:top w:val="nil"/>
              <w:left w:val="nil"/>
              <w:bottom w:val="nil"/>
              <w:right w:val="nil"/>
            </w:tcBorders>
            <w:shd w:val="clear" w:color="auto" w:fill="auto"/>
            <w:vAlign w:val="center"/>
            <w:hideMark/>
          </w:tcPr>
          <w:p w14:paraId="10FE2E07"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15</w:t>
            </w:r>
          </w:p>
        </w:tc>
        <w:tc>
          <w:tcPr>
            <w:tcW w:w="988" w:type="dxa"/>
            <w:tcBorders>
              <w:top w:val="nil"/>
              <w:left w:val="nil"/>
              <w:bottom w:val="nil"/>
              <w:right w:val="nil"/>
            </w:tcBorders>
            <w:shd w:val="clear" w:color="auto" w:fill="auto"/>
            <w:vAlign w:val="center"/>
            <w:hideMark/>
          </w:tcPr>
          <w:p w14:paraId="02387114"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120</w:t>
            </w:r>
          </w:p>
        </w:tc>
        <w:tc>
          <w:tcPr>
            <w:tcW w:w="988" w:type="dxa"/>
            <w:tcBorders>
              <w:top w:val="nil"/>
              <w:left w:val="nil"/>
              <w:bottom w:val="nil"/>
              <w:right w:val="single" w:sz="8" w:space="0" w:color="auto"/>
            </w:tcBorders>
            <w:shd w:val="clear" w:color="auto" w:fill="auto"/>
            <w:vAlign w:val="center"/>
            <w:hideMark/>
          </w:tcPr>
          <w:p w14:paraId="4A56B806"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1440</w:t>
            </w:r>
          </w:p>
        </w:tc>
        <w:tc>
          <w:tcPr>
            <w:tcW w:w="988" w:type="dxa"/>
            <w:tcBorders>
              <w:top w:val="nil"/>
              <w:left w:val="nil"/>
              <w:bottom w:val="nil"/>
              <w:right w:val="nil"/>
            </w:tcBorders>
            <w:shd w:val="clear" w:color="auto" w:fill="auto"/>
            <w:vAlign w:val="center"/>
            <w:hideMark/>
          </w:tcPr>
          <w:p w14:paraId="7BDE9B04"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4</w:t>
            </w:r>
          </w:p>
        </w:tc>
        <w:tc>
          <w:tcPr>
            <w:tcW w:w="992" w:type="dxa"/>
            <w:tcBorders>
              <w:top w:val="nil"/>
              <w:left w:val="nil"/>
              <w:bottom w:val="nil"/>
              <w:right w:val="single" w:sz="8" w:space="0" w:color="auto"/>
            </w:tcBorders>
            <w:shd w:val="clear" w:color="auto" w:fill="auto"/>
            <w:vAlign w:val="center"/>
            <w:hideMark/>
          </w:tcPr>
          <w:p w14:paraId="25EDDB52"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60</w:t>
            </w:r>
          </w:p>
        </w:tc>
      </w:tr>
      <w:tr w:rsidR="0098521E" w:rsidRPr="00194111" w14:paraId="4C93AACA" w14:textId="77777777" w:rsidTr="00957319">
        <w:trPr>
          <w:gridAfter w:val="1"/>
          <w:wAfter w:w="9" w:type="dxa"/>
          <w:trHeight w:val="300"/>
        </w:trPr>
        <w:tc>
          <w:tcPr>
            <w:tcW w:w="3600" w:type="dxa"/>
            <w:tcBorders>
              <w:top w:val="nil"/>
              <w:left w:val="single" w:sz="8" w:space="0" w:color="auto"/>
              <w:bottom w:val="nil"/>
              <w:right w:val="single" w:sz="8" w:space="0" w:color="auto"/>
            </w:tcBorders>
            <w:shd w:val="clear" w:color="auto" w:fill="auto"/>
            <w:noWrap/>
            <w:vAlign w:val="center"/>
            <w:hideMark/>
          </w:tcPr>
          <w:p w14:paraId="72C9801C" w14:textId="1445C25A" w:rsidR="0098521E" w:rsidRPr="00194111" w:rsidRDefault="0098521E" w:rsidP="0098521E">
            <w:pPr>
              <w:spacing w:after="0" w:line="240" w:lineRule="auto"/>
              <w:rPr>
                <w:rFonts w:ascii="Arial" w:eastAsia="Times New Roman" w:hAnsi="Arial" w:cs="Arial"/>
                <w:color w:val="000000"/>
                <w:sz w:val="16"/>
                <w:szCs w:val="16"/>
              </w:rPr>
            </w:pPr>
            <w:r w:rsidRPr="00194111">
              <w:rPr>
                <w:rFonts w:ascii="Arial" w:eastAsia="Times New Roman" w:hAnsi="Arial" w:cs="Arial"/>
                <w:color w:val="000000"/>
                <w:sz w:val="16"/>
                <w:szCs w:val="16"/>
              </w:rPr>
              <w:t>Control / Supervisión CFO</w:t>
            </w:r>
          </w:p>
        </w:tc>
        <w:tc>
          <w:tcPr>
            <w:tcW w:w="988" w:type="dxa"/>
            <w:tcBorders>
              <w:top w:val="nil"/>
              <w:left w:val="nil"/>
              <w:bottom w:val="nil"/>
              <w:right w:val="nil"/>
            </w:tcBorders>
            <w:shd w:val="clear" w:color="auto" w:fill="auto"/>
            <w:vAlign w:val="center"/>
            <w:hideMark/>
          </w:tcPr>
          <w:p w14:paraId="3744ACAE"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8</w:t>
            </w:r>
          </w:p>
        </w:tc>
        <w:tc>
          <w:tcPr>
            <w:tcW w:w="1379" w:type="dxa"/>
            <w:tcBorders>
              <w:top w:val="nil"/>
              <w:left w:val="nil"/>
              <w:bottom w:val="nil"/>
              <w:right w:val="nil"/>
            </w:tcBorders>
            <w:shd w:val="clear" w:color="auto" w:fill="auto"/>
            <w:vAlign w:val="center"/>
            <w:hideMark/>
          </w:tcPr>
          <w:p w14:paraId="60A16873"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15</w:t>
            </w:r>
          </w:p>
        </w:tc>
        <w:tc>
          <w:tcPr>
            <w:tcW w:w="988" w:type="dxa"/>
            <w:tcBorders>
              <w:top w:val="nil"/>
              <w:left w:val="nil"/>
              <w:bottom w:val="nil"/>
              <w:right w:val="nil"/>
            </w:tcBorders>
            <w:shd w:val="clear" w:color="auto" w:fill="auto"/>
            <w:vAlign w:val="center"/>
            <w:hideMark/>
          </w:tcPr>
          <w:p w14:paraId="2B30EA6E"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120</w:t>
            </w:r>
          </w:p>
        </w:tc>
        <w:tc>
          <w:tcPr>
            <w:tcW w:w="988" w:type="dxa"/>
            <w:tcBorders>
              <w:top w:val="nil"/>
              <w:left w:val="nil"/>
              <w:bottom w:val="nil"/>
              <w:right w:val="single" w:sz="8" w:space="0" w:color="auto"/>
            </w:tcBorders>
            <w:shd w:val="clear" w:color="auto" w:fill="auto"/>
            <w:vAlign w:val="center"/>
            <w:hideMark/>
          </w:tcPr>
          <w:p w14:paraId="0E9E51F5"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1440</w:t>
            </w:r>
          </w:p>
        </w:tc>
        <w:tc>
          <w:tcPr>
            <w:tcW w:w="988" w:type="dxa"/>
            <w:tcBorders>
              <w:top w:val="nil"/>
              <w:left w:val="nil"/>
              <w:bottom w:val="nil"/>
              <w:right w:val="nil"/>
            </w:tcBorders>
            <w:shd w:val="clear" w:color="auto" w:fill="auto"/>
            <w:vAlign w:val="center"/>
            <w:hideMark/>
          </w:tcPr>
          <w:p w14:paraId="6ABAEF3B"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4</w:t>
            </w:r>
          </w:p>
        </w:tc>
        <w:tc>
          <w:tcPr>
            <w:tcW w:w="992" w:type="dxa"/>
            <w:tcBorders>
              <w:top w:val="nil"/>
              <w:left w:val="nil"/>
              <w:bottom w:val="nil"/>
              <w:right w:val="single" w:sz="8" w:space="0" w:color="auto"/>
            </w:tcBorders>
            <w:shd w:val="clear" w:color="auto" w:fill="auto"/>
            <w:vAlign w:val="center"/>
            <w:hideMark/>
          </w:tcPr>
          <w:p w14:paraId="2078925D"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60</w:t>
            </w:r>
          </w:p>
        </w:tc>
      </w:tr>
      <w:tr w:rsidR="0098521E" w:rsidRPr="00194111" w14:paraId="666CA43B" w14:textId="77777777" w:rsidTr="00957319">
        <w:trPr>
          <w:gridAfter w:val="1"/>
          <w:wAfter w:w="9" w:type="dxa"/>
          <w:trHeight w:val="66"/>
        </w:trPr>
        <w:tc>
          <w:tcPr>
            <w:tcW w:w="3600" w:type="dxa"/>
            <w:tcBorders>
              <w:top w:val="nil"/>
              <w:left w:val="single" w:sz="8" w:space="0" w:color="auto"/>
              <w:bottom w:val="nil"/>
              <w:right w:val="single" w:sz="8" w:space="0" w:color="auto"/>
            </w:tcBorders>
            <w:shd w:val="clear" w:color="auto" w:fill="auto"/>
            <w:noWrap/>
            <w:vAlign w:val="center"/>
            <w:hideMark/>
          </w:tcPr>
          <w:p w14:paraId="580BD947" w14:textId="77777777" w:rsidR="0098521E" w:rsidRPr="00194111" w:rsidRDefault="0098521E" w:rsidP="0098521E">
            <w:pPr>
              <w:spacing w:after="0" w:line="240" w:lineRule="auto"/>
              <w:rPr>
                <w:rFonts w:ascii="Arial" w:eastAsia="Times New Roman" w:hAnsi="Arial" w:cs="Arial"/>
                <w:color w:val="000000"/>
                <w:sz w:val="16"/>
                <w:szCs w:val="16"/>
              </w:rPr>
            </w:pPr>
            <w:r w:rsidRPr="00194111">
              <w:rPr>
                <w:rFonts w:ascii="Arial" w:eastAsia="Times New Roman" w:hAnsi="Arial" w:cs="Arial"/>
                <w:color w:val="000000"/>
                <w:sz w:val="16"/>
                <w:szCs w:val="16"/>
              </w:rPr>
              <w:t>Otros</w:t>
            </w:r>
          </w:p>
        </w:tc>
        <w:tc>
          <w:tcPr>
            <w:tcW w:w="988" w:type="dxa"/>
            <w:tcBorders>
              <w:top w:val="nil"/>
              <w:left w:val="nil"/>
              <w:bottom w:val="nil"/>
              <w:right w:val="nil"/>
            </w:tcBorders>
            <w:shd w:val="clear" w:color="auto" w:fill="auto"/>
            <w:vAlign w:val="center"/>
            <w:hideMark/>
          </w:tcPr>
          <w:p w14:paraId="599B6716"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4</w:t>
            </w:r>
          </w:p>
        </w:tc>
        <w:tc>
          <w:tcPr>
            <w:tcW w:w="1379" w:type="dxa"/>
            <w:tcBorders>
              <w:top w:val="nil"/>
              <w:left w:val="nil"/>
              <w:bottom w:val="nil"/>
              <w:right w:val="nil"/>
            </w:tcBorders>
            <w:shd w:val="clear" w:color="auto" w:fill="auto"/>
            <w:vAlign w:val="center"/>
            <w:hideMark/>
          </w:tcPr>
          <w:p w14:paraId="39CE9F38"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15</w:t>
            </w:r>
          </w:p>
        </w:tc>
        <w:tc>
          <w:tcPr>
            <w:tcW w:w="988" w:type="dxa"/>
            <w:tcBorders>
              <w:top w:val="nil"/>
              <w:left w:val="nil"/>
              <w:bottom w:val="nil"/>
              <w:right w:val="nil"/>
            </w:tcBorders>
            <w:shd w:val="clear" w:color="auto" w:fill="auto"/>
            <w:vAlign w:val="center"/>
            <w:hideMark/>
          </w:tcPr>
          <w:p w14:paraId="46BEF438"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60</w:t>
            </w:r>
          </w:p>
        </w:tc>
        <w:tc>
          <w:tcPr>
            <w:tcW w:w="988" w:type="dxa"/>
            <w:tcBorders>
              <w:top w:val="nil"/>
              <w:left w:val="nil"/>
              <w:bottom w:val="nil"/>
              <w:right w:val="single" w:sz="8" w:space="0" w:color="auto"/>
            </w:tcBorders>
            <w:shd w:val="clear" w:color="auto" w:fill="auto"/>
            <w:vAlign w:val="center"/>
            <w:hideMark/>
          </w:tcPr>
          <w:p w14:paraId="26ABF01F"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720</w:t>
            </w:r>
          </w:p>
        </w:tc>
        <w:tc>
          <w:tcPr>
            <w:tcW w:w="988" w:type="dxa"/>
            <w:tcBorders>
              <w:top w:val="nil"/>
              <w:left w:val="nil"/>
              <w:bottom w:val="nil"/>
              <w:right w:val="nil"/>
            </w:tcBorders>
            <w:shd w:val="clear" w:color="auto" w:fill="auto"/>
            <w:vAlign w:val="center"/>
            <w:hideMark/>
          </w:tcPr>
          <w:p w14:paraId="2D279EB1"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2</w:t>
            </w:r>
          </w:p>
        </w:tc>
        <w:tc>
          <w:tcPr>
            <w:tcW w:w="992" w:type="dxa"/>
            <w:tcBorders>
              <w:top w:val="nil"/>
              <w:left w:val="nil"/>
              <w:bottom w:val="nil"/>
              <w:right w:val="single" w:sz="8" w:space="0" w:color="auto"/>
            </w:tcBorders>
            <w:shd w:val="clear" w:color="auto" w:fill="auto"/>
            <w:vAlign w:val="center"/>
            <w:hideMark/>
          </w:tcPr>
          <w:p w14:paraId="63FFC670"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30</w:t>
            </w:r>
          </w:p>
        </w:tc>
      </w:tr>
      <w:tr w:rsidR="0098521E" w:rsidRPr="00194111" w14:paraId="183B46A4" w14:textId="77777777" w:rsidTr="00957319">
        <w:trPr>
          <w:gridAfter w:val="1"/>
          <w:wAfter w:w="9" w:type="dxa"/>
          <w:trHeight w:val="162"/>
        </w:trPr>
        <w:tc>
          <w:tcPr>
            <w:tcW w:w="3600" w:type="dxa"/>
            <w:tcBorders>
              <w:top w:val="nil"/>
              <w:left w:val="single" w:sz="8" w:space="0" w:color="auto"/>
              <w:bottom w:val="nil"/>
              <w:right w:val="single" w:sz="8" w:space="0" w:color="auto"/>
            </w:tcBorders>
            <w:shd w:val="clear" w:color="auto" w:fill="auto"/>
            <w:noWrap/>
            <w:vAlign w:val="center"/>
            <w:hideMark/>
          </w:tcPr>
          <w:p w14:paraId="70E55AB3" w14:textId="77777777" w:rsidR="0098521E" w:rsidRPr="00194111" w:rsidRDefault="0098521E" w:rsidP="0098521E">
            <w:pPr>
              <w:spacing w:after="0" w:line="240" w:lineRule="auto"/>
              <w:rPr>
                <w:rFonts w:ascii="Arial" w:eastAsia="Times New Roman" w:hAnsi="Arial" w:cs="Arial"/>
                <w:b/>
                <w:bCs/>
                <w:i/>
                <w:iCs/>
                <w:color w:val="000000"/>
                <w:sz w:val="16"/>
                <w:szCs w:val="16"/>
              </w:rPr>
            </w:pPr>
            <w:r w:rsidRPr="00194111">
              <w:rPr>
                <w:rFonts w:ascii="Arial" w:eastAsia="Times New Roman" w:hAnsi="Arial" w:cs="Arial"/>
                <w:b/>
                <w:bCs/>
                <w:i/>
                <w:iCs/>
                <w:color w:val="000000"/>
                <w:sz w:val="16"/>
                <w:szCs w:val="16"/>
              </w:rPr>
              <w:t>Costos de envío</w:t>
            </w:r>
          </w:p>
        </w:tc>
        <w:tc>
          <w:tcPr>
            <w:tcW w:w="988" w:type="dxa"/>
            <w:tcBorders>
              <w:top w:val="nil"/>
              <w:left w:val="nil"/>
              <w:bottom w:val="nil"/>
              <w:right w:val="nil"/>
            </w:tcBorders>
            <w:shd w:val="clear" w:color="auto" w:fill="auto"/>
            <w:vAlign w:val="center"/>
            <w:hideMark/>
          </w:tcPr>
          <w:p w14:paraId="29D57B1E"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Cantidad</w:t>
            </w:r>
          </w:p>
        </w:tc>
        <w:tc>
          <w:tcPr>
            <w:tcW w:w="1379" w:type="dxa"/>
            <w:tcBorders>
              <w:top w:val="nil"/>
              <w:left w:val="nil"/>
              <w:bottom w:val="nil"/>
              <w:right w:val="nil"/>
            </w:tcBorders>
            <w:shd w:val="clear" w:color="auto" w:fill="auto"/>
            <w:vAlign w:val="center"/>
            <w:hideMark/>
          </w:tcPr>
          <w:p w14:paraId="7DE0EB90"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 unitario</w:t>
            </w:r>
          </w:p>
        </w:tc>
        <w:tc>
          <w:tcPr>
            <w:tcW w:w="988" w:type="dxa"/>
            <w:tcBorders>
              <w:top w:val="nil"/>
              <w:left w:val="nil"/>
              <w:bottom w:val="nil"/>
              <w:right w:val="nil"/>
            </w:tcBorders>
            <w:shd w:val="clear" w:color="auto" w:fill="auto"/>
            <w:vAlign w:val="center"/>
            <w:hideMark/>
          </w:tcPr>
          <w:p w14:paraId="38B9DFF6"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 promedio mensual</w:t>
            </w:r>
          </w:p>
        </w:tc>
        <w:tc>
          <w:tcPr>
            <w:tcW w:w="988" w:type="dxa"/>
            <w:tcBorders>
              <w:top w:val="nil"/>
              <w:left w:val="nil"/>
              <w:bottom w:val="nil"/>
              <w:right w:val="single" w:sz="8" w:space="0" w:color="auto"/>
            </w:tcBorders>
            <w:shd w:val="clear" w:color="auto" w:fill="auto"/>
            <w:vAlign w:val="center"/>
            <w:hideMark/>
          </w:tcPr>
          <w:p w14:paraId="4DD1A287"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 anual</w:t>
            </w:r>
          </w:p>
        </w:tc>
        <w:tc>
          <w:tcPr>
            <w:tcW w:w="988" w:type="dxa"/>
            <w:tcBorders>
              <w:top w:val="nil"/>
              <w:left w:val="nil"/>
              <w:bottom w:val="nil"/>
              <w:right w:val="nil"/>
            </w:tcBorders>
            <w:shd w:val="clear" w:color="auto" w:fill="auto"/>
            <w:vAlign w:val="center"/>
            <w:hideMark/>
          </w:tcPr>
          <w:p w14:paraId="7E54FDCA"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 unitario</w:t>
            </w:r>
          </w:p>
        </w:tc>
        <w:tc>
          <w:tcPr>
            <w:tcW w:w="992" w:type="dxa"/>
            <w:tcBorders>
              <w:top w:val="nil"/>
              <w:left w:val="nil"/>
              <w:bottom w:val="nil"/>
              <w:right w:val="single" w:sz="8" w:space="0" w:color="auto"/>
            </w:tcBorders>
            <w:shd w:val="clear" w:color="auto" w:fill="auto"/>
            <w:vAlign w:val="center"/>
            <w:hideMark/>
          </w:tcPr>
          <w:p w14:paraId="1D992C0A"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 promedio mensual</w:t>
            </w:r>
          </w:p>
        </w:tc>
      </w:tr>
      <w:tr w:rsidR="0098521E" w:rsidRPr="00194111" w14:paraId="247B79B2" w14:textId="77777777" w:rsidTr="00957319">
        <w:trPr>
          <w:gridAfter w:val="1"/>
          <w:wAfter w:w="9" w:type="dxa"/>
          <w:trHeight w:val="63"/>
        </w:trPr>
        <w:tc>
          <w:tcPr>
            <w:tcW w:w="3600" w:type="dxa"/>
            <w:tcBorders>
              <w:top w:val="nil"/>
              <w:left w:val="single" w:sz="8" w:space="0" w:color="auto"/>
              <w:bottom w:val="nil"/>
              <w:right w:val="single" w:sz="8" w:space="0" w:color="auto"/>
            </w:tcBorders>
            <w:shd w:val="clear" w:color="auto" w:fill="auto"/>
            <w:noWrap/>
            <w:vAlign w:val="center"/>
            <w:hideMark/>
          </w:tcPr>
          <w:p w14:paraId="3511AE3D" w14:textId="77777777" w:rsidR="0098521E" w:rsidRPr="00194111" w:rsidRDefault="0098521E" w:rsidP="0098521E">
            <w:pPr>
              <w:spacing w:after="0" w:line="240" w:lineRule="auto"/>
              <w:rPr>
                <w:rFonts w:ascii="Arial" w:eastAsia="Times New Roman" w:hAnsi="Arial" w:cs="Arial"/>
                <w:color w:val="000000"/>
                <w:sz w:val="16"/>
                <w:szCs w:val="16"/>
              </w:rPr>
            </w:pPr>
            <w:r w:rsidRPr="00194111">
              <w:rPr>
                <w:rFonts w:ascii="Arial" w:eastAsia="Times New Roman" w:hAnsi="Arial" w:cs="Arial"/>
                <w:color w:val="000000"/>
                <w:sz w:val="16"/>
                <w:szCs w:val="16"/>
              </w:rPr>
              <w:t>Envío postal</w:t>
            </w:r>
          </w:p>
        </w:tc>
        <w:tc>
          <w:tcPr>
            <w:tcW w:w="988" w:type="dxa"/>
            <w:tcBorders>
              <w:top w:val="nil"/>
              <w:left w:val="nil"/>
              <w:bottom w:val="nil"/>
              <w:right w:val="nil"/>
            </w:tcBorders>
            <w:shd w:val="clear" w:color="auto" w:fill="auto"/>
            <w:vAlign w:val="center"/>
            <w:hideMark/>
          </w:tcPr>
          <w:p w14:paraId="02561788"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1000</w:t>
            </w:r>
          </w:p>
        </w:tc>
        <w:tc>
          <w:tcPr>
            <w:tcW w:w="1379" w:type="dxa"/>
            <w:tcBorders>
              <w:top w:val="nil"/>
              <w:left w:val="nil"/>
              <w:bottom w:val="nil"/>
              <w:right w:val="nil"/>
            </w:tcBorders>
            <w:shd w:val="clear" w:color="auto" w:fill="auto"/>
            <w:vAlign w:val="center"/>
            <w:hideMark/>
          </w:tcPr>
          <w:p w14:paraId="3BD166D1"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0.47</w:t>
            </w:r>
          </w:p>
        </w:tc>
        <w:tc>
          <w:tcPr>
            <w:tcW w:w="988" w:type="dxa"/>
            <w:tcBorders>
              <w:top w:val="nil"/>
              <w:left w:val="nil"/>
              <w:bottom w:val="nil"/>
              <w:right w:val="nil"/>
            </w:tcBorders>
            <w:shd w:val="clear" w:color="auto" w:fill="auto"/>
            <w:vAlign w:val="center"/>
            <w:hideMark/>
          </w:tcPr>
          <w:p w14:paraId="6B62326C"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470</w:t>
            </w:r>
          </w:p>
        </w:tc>
        <w:tc>
          <w:tcPr>
            <w:tcW w:w="988" w:type="dxa"/>
            <w:tcBorders>
              <w:top w:val="nil"/>
              <w:left w:val="nil"/>
              <w:bottom w:val="nil"/>
              <w:right w:val="single" w:sz="8" w:space="0" w:color="auto"/>
            </w:tcBorders>
            <w:shd w:val="clear" w:color="auto" w:fill="auto"/>
            <w:vAlign w:val="center"/>
            <w:hideMark/>
          </w:tcPr>
          <w:p w14:paraId="3135498E"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5640</w:t>
            </w:r>
          </w:p>
        </w:tc>
        <w:tc>
          <w:tcPr>
            <w:tcW w:w="988" w:type="dxa"/>
            <w:tcBorders>
              <w:top w:val="nil"/>
              <w:left w:val="nil"/>
              <w:bottom w:val="nil"/>
              <w:right w:val="nil"/>
            </w:tcBorders>
            <w:shd w:val="clear" w:color="auto" w:fill="auto"/>
            <w:vAlign w:val="center"/>
            <w:hideMark/>
          </w:tcPr>
          <w:p w14:paraId="64538AD9"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0</w:t>
            </w:r>
          </w:p>
        </w:tc>
        <w:tc>
          <w:tcPr>
            <w:tcW w:w="992" w:type="dxa"/>
            <w:tcBorders>
              <w:top w:val="nil"/>
              <w:left w:val="nil"/>
              <w:bottom w:val="nil"/>
              <w:right w:val="single" w:sz="8" w:space="0" w:color="auto"/>
            </w:tcBorders>
            <w:shd w:val="clear" w:color="auto" w:fill="auto"/>
            <w:vAlign w:val="center"/>
            <w:hideMark/>
          </w:tcPr>
          <w:p w14:paraId="7402A4DC"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0</w:t>
            </w:r>
          </w:p>
        </w:tc>
      </w:tr>
      <w:tr w:rsidR="0098521E" w:rsidRPr="00194111" w14:paraId="16E3BF49" w14:textId="77777777" w:rsidTr="00957319">
        <w:trPr>
          <w:gridAfter w:val="1"/>
          <w:wAfter w:w="9" w:type="dxa"/>
          <w:trHeight w:val="225"/>
        </w:trPr>
        <w:tc>
          <w:tcPr>
            <w:tcW w:w="3600" w:type="dxa"/>
            <w:tcBorders>
              <w:top w:val="nil"/>
              <w:left w:val="single" w:sz="8" w:space="0" w:color="auto"/>
              <w:bottom w:val="nil"/>
              <w:right w:val="single" w:sz="8" w:space="0" w:color="auto"/>
            </w:tcBorders>
            <w:shd w:val="clear" w:color="auto" w:fill="auto"/>
            <w:noWrap/>
            <w:vAlign w:val="center"/>
            <w:hideMark/>
          </w:tcPr>
          <w:p w14:paraId="2FF85930" w14:textId="77777777" w:rsidR="0098521E" w:rsidRPr="00194111" w:rsidRDefault="0098521E" w:rsidP="0098521E">
            <w:pPr>
              <w:spacing w:after="0" w:line="240" w:lineRule="auto"/>
              <w:rPr>
                <w:rFonts w:ascii="Arial" w:eastAsia="Times New Roman" w:hAnsi="Arial" w:cs="Arial"/>
                <w:b/>
                <w:bCs/>
                <w:i/>
                <w:iCs/>
                <w:color w:val="000000"/>
                <w:sz w:val="16"/>
                <w:szCs w:val="16"/>
              </w:rPr>
            </w:pPr>
            <w:r w:rsidRPr="00194111">
              <w:rPr>
                <w:rFonts w:ascii="Arial" w:eastAsia="Times New Roman" w:hAnsi="Arial" w:cs="Arial"/>
                <w:b/>
                <w:bCs/>
                <w:i/>
                <w:iCs/>
                <w:color w:val="000000"/>
                <w:sz w:val="16"/>
                <w:szCs w:val="16"/>
              </w:rPr>
              <w:t>Costos de materiales</w:t>
            </w:r>
          </w:p>
        </w:tc>
        <w:tc>
          <w:tcPr>
            <w:tcW w:w="988" w:type="dxa"/>
            <w:tcBorders>
              <w:top w:val="nil"/>
              <w:left w:val="nil"/>
              <w:bottom w:val="nil"/>
              <w:right w:val="nil"/>
            </w:tcBorders>
            <w:shd w:val="clear" w:color="auto" w:fill="auto"/>
            <w:vAlign w:val="center"/>
            <w:hideMark/>
          </w:tcPr>
          <w:p w14:paraId="658250C4"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Cantidad</w:t>
            </w:r>
          </w:p>
        </w:tc>
        <w:tc>
          <w:tcPr>
            <w:tcW w:w="1379" w:type="dxa"/>
            <w:tcBorders>
              <w:top w:val="nil"/>
              <w:left w:val="nil"/>
              <w:bottom w:val="nil"/>
              <w:right w:val="nil"/>
            </w:tcBorders>
            <w:shd w:val="clear" w:color="auto" w:fill="auto"/>
            <w:vAlign w:val="center"/>
            <w:hideMark/>
          </w:tcPr>
          <w:p w14:paraId="5361503C"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 unitario</w:t>
            </w:r>
          </w:p>
        </w:tc>
        <w:tc>
          <w:tcPr>
            <w:tcW w:w="988" w:type="dxa"/>
            <w:tcBorders>
              <w:top w:val="nil"/>
              <w:left w:val="nil"/>
              <w:bottom w:val="nil"/>
              <w:right w:val="nil"/>
            </w:tcBorders>
            <w:shd w:val="clear" w:color="auto" w:fill="auto"/>
            <w:vAlign w:val="center"/>
            <w:hideMark/>
          </w:tcPr>
          <w:p w14:paraId="574FF040"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 promedio mensual</w:t>
            </w:r>
          </w:p>
        </w:tc>
        <w:tc>
          <w:tcPr>
            <w:tcW w:w="988" w:type="dxa"/>
            <w:tcBorders>
              <w:top w:val="nil"/>
              <w:left w:val="nil"/>
              <w:bottom w:val="nil"/>
              <w:right w:val="single" w:sz="8" w:space="0" w:color="auto"/>
            </w:tcBorders>
            <w:shd w:val="clear" w:color="auto" w:fill="auto"/>
            <w:vAlign w:val="center"/>
            <w:hideMark/>
          </w:tcPr>
          <w:p w14:paraId="30C0BB04"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 anual</w:t>
            </w:r>
          </w:p>
        </w:tc>
        <w:tc>
          <w:tcPr>
            <w:tcW w:w="988" w:type="dxa"/>
            <w:tcBorders>
              <w:top w:val="nil"/>
              <w:left w:val="nil"/>
              <w:bottom w:val="nil"/>
              <w:right w:val="nil"/>
            </w:tcBorders>
            <w:shd w:val="clear" w:color="auto" w:fill="auto"/>
            <w:vAlign w:val="center"/>
            <w:hideMark/>
          </w:tcPr>
          <w:p w14:paraId="6CD35447"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 unitario</w:t>
            </w:r>
          </w:p>
        </w:tc>
        <w:tc>
          <w:tcPr>
            <w:tcW w:w="992" w:type="dxa"/>
            <w:tcBorders>
              <w:top w:val="nil"/>
              <w:left w:val="nil"/>
              <w:bottom w:val="nil"/>
              <w:right w:val="single" w:sz="8" w:space="0" w:color="auto"/>
            </w:tcBorders>
            <w:shd w:val="clear" w:color="auto" w:fill="auto"/>
            <w:vAlign w:val="center"/>
            <w:hideMark/>
          </w:tcPr>
          <w:p w14:paraId="0255211B"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 promedio mensual</w:t>
            </w:r>
          </w:p>
        </w:tc>
      </w:tr>
      <w:tr w:rsidR="0098521E" w:rsidRPr="00194111" w14:paraId="2EE91DAB" w14:textId="77777777" w:rsidTr="00957319">
        <w:trPr>
          <w:gridAfter w:val="1"/>
          <w:wAfter w:w="9" w:type="dxa"/>
          <w:trHeight w:val="63"/>
        </w:trPr>
        <w:tc>
          <w:tcPr>
            <w:tcW w:w="3600" w:type="dxa"/>
            <w:tcBorders>
              <w:top w:val="nil"/>
              <w:left w:val="single" w:sz="8" w:space="0" w:color="auto"/>
              <w:bottom w:val="nil"/>
              <w:right w:val="single" w:sz="8" w:space="0" w:color="auto"/>
            </w:tcBorders>
            <w:shd w:val="clear" w:color="auto" w:fill="auto"/>
            <w:noWrap/>
            <w:vAlign w:val="center"/>
            <w:hideMark/>
          </w:tcPr>
          <w:p w14:paraId="3A2E0905" w14:textId="77777777" w:rsidR="0098521E" w:rsidRPr="00194111" w:rsidRDefault="0098521E" w:rsidP="0098521E">
            <w:pPr>
              <w:spacing w:after="0" w:line="240" w:lineRule="auto"/>
              <w:rPr>
                <w:rFonts w:ascii="Arial" w:eastAsia="Times New Roman" w:hAnsi="Arial" w:cs="Arial"/>
                <w:color w:val="000000"/>
                <w:sz w:val="16"/>
                <w:szCs w:val="16"/>
              </w:rPr>
            </w:pPr>
            <w:r w:rsidRPr="00194111">
              <w:rPr>
                <w:rFonts w:ascii="Arial" w:eastAsia="Times New Roman" w:hAnsi="Arial" w:cs="Arial"/>
                <w:color w:val="000000"/>
                <w:sz w:val="16"/>
                <w:szCs w:val="16"/>
              </w:rPr>
              <w:t>Cheques físicos</w:t>
            </w:r>
          </w:p>
        </w:tc>
        <w:tc>
          <w:tcPr>
            <w:tcW w:w="988" w:type="dxa"/>
            <w:tcBorders>
              <w:top w:val="nil"/>
              <w:left w:val="nil"/>
              <w:bottom w:val="nil"/>
              <w:right w:val="nil"/>
            </w:tcBorders>
            <w:shd w:val="clear" w:color="auto" w:fill="auto"/>
            <w:vAlign w:val="center"/>
            <w:hideMark/>
          </w:tcPr>
          <w:p w14:paraId="131CE9D3"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1000</w:t>
            </w:r>
          </w:p>
        </w:tc>
        <w:tc>
          <w:tcPr>
            <w:tcW w:w="1379" w:type="dxa"/>
            <w:tcBorders>
              <w:top w:val="nil"/>
              <w:left w:val="nil"/>
              <w:bottom w:val="nil"/>
              <w:right w:val="nil"/>
            </w:tcBorders>
            <w:shd w:val="clear" w:color="auto" w:fill="auto"/>
            <w:vAlign w:val="center"/>
            <w:hideMark/>
          </w:tcPr>
          <w:p w14:paraId="5742F16F"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0.08</w:t>
            </w:r>
          </w:p>
        </w:tc>
        <w:tc>
          <w:tcPr>
            <w:tcW w:w="988" w:type="dxa"/>
            <w:tcBorders>
              <w:top w:val="nil"/>
              <w:left w:val="nil"/>
              <w:bottom w:val="nil"/>
              <w:right w:val="nil"/>
            </w:tcBorders>
            <w:shd w:val="clear" w:color="auto" w:fill="auto"/>
            <w:vAlign w:val="center"/>
            <w:hideMark/>
          </w:tcPr>
          <w:p w14:paraId="3E35087D"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80</w:t>
            </w:r>
          </w:p>
        </w:tc>
        <w:tc>
          <w:tcPr>
            <w:tcW w:w="988" w:type="dxa"/>
            <w:tcBorders>
              <w:top w:val="nil"/>
              <w:left w:val="nil"/>
              <w:bottom w:val="nil"/>
              <w:right w:val="single" w:sz="8" w:space="0" w:color="auto"/>
            </w:tcBorders>
            <w:shd w:val="clear" w:color="auto" w:fill="auto"/>
            <w:vAlign w:val="center"/>
            <w:hideMark/>
          </w:tcPr>
          <w:p w14:paraId="13938319"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960</w:t>
            </w:r>
          </w:p>
        </w:tc>
        <w:tc>
          <w:tcPr>
            <w:tcW w:w="988" w:type="dxa"/>
            <w:tcBorders>
              <w:top w:val="nil"/>
              <w:left w:val="nil"/>
              <w:bottom w:val="nil"/>
              <w:right w:val="nil"/>
            </w:tcBorders>
            <w:shd w:val="clear" w:color="auto" w:fill="auto"/>
            <w:vAlign w:val="center"/>
            <w:hideMark/>
          </w:tcPr>
          <w:p w14:paraId="1D1907D6"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0</w:t>
            </w:r>
          </w:p>
        </w:tc>
        <w:tc>
          <w:tcPr>
            <w:tcW w:w="992" w:type="dxa"/>
            <w:tcBorders>
              <w:top w:val="nil"/>
              <w:left w:val="nil"/>
              <w:bottom w:val="nil"/>
              <w:right w:val="single" w:sz="8" w:space="0" w:color="auto"/>
            </w:tcBorders>
            <w:shd w:val="clear" w:color="auto" w:fill="auto"/>
            <w:vAlign w:val="center"/>
            <w:hideMark/>
          </w:tcPr>
          <w:p w14:paraId="644E6798"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0</w:t>
            </w:r>
          </w:p>
        </w:tc>
      </w:tr>
      <w:tr w:rsidR="0098521E" w:rsidRPr="00194111" w14:paraId="76DE94C0" w14:textId="77777777" w:rsidTr="00957319">
        <w:trPr>
          <w:gridAfter w:val="1"/>
          <w:wAfter w:w="9" w:type="dxa"/>
          <w:trHeight w:val="300"/>
        </w:trPr>
        <w:tc>
          <w:tcPr>
            <w:tcW w:w="3600" w:type="dxa"/>
            <w:tcBorders>
              <w:top w:val="nil"/>
              <w:left w:val="single" w:sz="8" w:space="0" w:color="auto"/>
              <w:bottom w:val="nil"/>
              <w:right w:val="single" w:sz="8" w:space="0" w:color="auto"/>
            </w:tcBorders>
            <w:shd w:val="clear" w:color="auto" w:fill="auto"/>
            <w:noWrap/>
            <w:vAlign w:val="center"/>
            <w:hideMark/>
          </w:tcPr>
          <w:p w14:paraId="4023EEBB" w14:textId="77777777" w:rsidR="0098521E" w:rsidRPr="00194111" w:rsidRDefault="0098521E" w:rsidP="0098521E">
            <w:pPr>
              <w:spacing w:after="0" w:line="240" w:lineRule="auto"/>
              <w:rPr>
                <w:rFonts w:ascii="Arial" w:eastAsia="Times New Roman" w:hAnsi="Arial" w:cs="Arial"/>
                <w:color w:val="000000"/>
                <w:sz w:val="16"/>
                <w:szCs w:val="16"/>
              </w:rPr>
            </w:pPr>
            <w:r w:rsidRPr="00194111">
              <w:rPr>
                <w:rFonts w:ascii="Arial" w:eastAsia="Times New Roman" w:hAnsi="Arial" w:cs="Arial"/>
                <w:color w:val="000000"/>
                <w:sz w:val="16"/>
                <w:szCs w:val="16"/>
              </w:rPr>
              <w:t>Sobres</w:t>
            </w:r>
          </w:p>
        </w:tc>
        <w:tc>
          <w:tcPr>
            <w:tcW w:w="988" w:type="dxa"/>
            <w:tcBorders>
              <w:top w:val="nil"/>
              <w:left w:val="nil"/>
              <w:bottom w:val="nil"/>
              <w:right w:val="nil"/>
            </w:tcBorders>
            <w:shd w:val="clear" w:color="auto" w:fill="auto"/>
            <w:vAlign w:val="center"/>
            <w:hideMark/>
          </w:tcPr>
          <w:p w14:paraId="3D8A4BF5"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1000</w:t>
            </w:r>
          </w:p>
        </w:tc>
        <w:tc>
          <w:tcPr>
            <w:tcW w:w="1379" w:type="dxa"/>
            <w:tcBorders>
              <w:top w:val="nil"/>
              <w:left w:val="nil"/>
              <w:bottom w:val="nil"/>
              <w:right w:val="nil"/>
            </w:tcBorders>
            <w:shd w:val="clear" w:color="auto" w:fill="auto"/>
            <w:vAlign w:val="center"/>
            <w:hideMark/>
          </w:tcPr>
          <w:p w14:paraId="7D90CF8A"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0.05</w:t>
            </w:r>
          </w:p>
        </w:tc>
        <w:tc>
          <w:tcPr>
            <w:tcW w:w="988" w:type="dxa"/>
            <w:tcBorders>
              <w:top w:val="nil"/>
              <w:left w:val="nil"/>
              <w:bottom w:val="nil"/>
              <w:right w:val="nil"/>
            </w:tcBorders>
            <w:shd w:val="clear" w:color="auto" w:fill="auto"/>
            <w:vAlign w:val="center"/>
            <w:hideMark/>
          </w:tcPr>
          <w:p w14:paraId="3776E3A9"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50</w:t>
            </w:r>
          </w:p>
        </w:tc>
        <w:tc>
          <w:tcPr>
            <w:tcW w:w="988" w:type="dxa"/>
            <w:tcBorders>
              <w:top w:val="nil"/>
              <w:left w:val="nil"/>
              <w:bottom w:val="nil"/>
              <w:right w:val="single" w:sz="8" w:space="0" w:color="auto"/>
            </w:tcBorders>
            <w:shd w:val="clear" w:color="auto" w:fill="auto"/>
            <w:vAlign w:val="center"/>
            <w:hideMark/>
          </w:tcPr>
          <w:p w14:paraId="67088E0D"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600</w:t>
            </w:r>
          </w:p>
        </w:tc>
        <w:tc>
          <w:tcPr>
            <w:tcW w:w="988" w:type="dxa"/>
            <w:tcBorders>
              <w:top w:val="nil"/>
              <w:left w:val="nil"/>
              <w:bottom w:val="nil"/>
              <w:right w:val="nil"/>
            </w:tcBorders>
            <w:shd w:val="clear" w:color="auto" w:fill="auto"/>
            <w:vAlign w:val="center"/>
            <w:hideMark/>
          </w:tcPr>
          <w:p w14:paraId="4E3E89C0"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0</w:t>
            </w:r>
          </w:p>
        </w:tc>
        <w:tc>
          <w:tcPr>
            <w:tcW w:w="992" w:type="dxa"/>
            <w:tcBorders>
              <w:top w:val="nil"/>
              <w:left w:val="nil"/>
              <w:bottom w:val="nil"/>
              <w:right w:val="single" w:sz="8" w:space="0" w:color="auto"/>
            </w:tcBorders>
            <w:shd w:val="clear" w:color="auto" w:fill="auto"/>
            <w:vAlign w:val="center"/>
            <w:hideMark/>
          </w:tcPr>
          <w:p w14:paraId="50375C59"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0</w:t>
            </w:r>
          </w:p>
        </w:tc>
      </w:tr>
      <w:tr w:rsidR="0098521E" w:rsidRPr="00194111" w14:paraId="3243FE44" w14:textId="77777777" w:rsidTr="00957319">
        <w:trPr>
          <w:gridAfter w:val="1"/>
          <w:wAfter w:w="9" w:type="dxa"/>
          <w:trHeight w:val="63"/>
        </w:trPr>
        <w:tc>
          <w:tcPr>
            <w:tcW w:w="3600" w:type="dxa"/>
            <w:tcBorders>
              <w:top w:val="nil"/>
              <w:left w:val="single" w:sz="8" w:space="0" w:color="auto"/>
              <w:bottom w:val="nil"/>
              <w:right w:val="single" w:sz="8" w:space="0" w:color="auto"/>
            </w:tcBorders>
            <w:shd w:val="clear" w:color="auto" w:fill="auto"/>
            <w:noWrap/>
            <w:vAlign w:val="center"/>
            <w:hideMark/>
          </w:tcPr>
          <w:p w14:paraId="53FD8275" w14:textId="77777777" w:rsidR="0098521E" w:rsidRPr="00194111" w:rsidRDefault="0098521E" w:rsidP="0098521E">
            <w:pPr>
              <w:spacing w:after="0" w:line="240" w:lineRule="auto"/>
              <w:rPr>
                <w:rFonts w:ascii="Arial" w:eastAsia="Times New Roman" w:hAnsi="Arial" w:cs="Arial"/>
                <w:color w:val="000000"/>
                <w:sz w:val="16"/>
                <w:szCs w:val="16"/>
              </w:rPr>
            </w:pPr>
            <w:r w:rsidRPr="00194111">
              <w:rPr>
                <w:rFonts w:ascii="Arial" w:eastAsia="Times New Roman" w:hAnsi="Arial" w:cs="Arial"/>
                <w:color w:val="000000"/>
                <w:sz w:val="16"/>
                <w:szCs w:val="16"/>
              </w:rPr>
              <w:t>Fotocopia del cheque</w:t>
            </w:r>
          </w:p>
        </w:tc>
        <w:tc>
          <w:tcPr>
            <w:tcW w:w="988" w:type="dxa"/>
            <w:tcBorders>
              <w:top w:val="nil"/>
              <w:left w:val="nil"/>
              <w:bottom w:val="nil"/>
              <w:right w:val="nil"/>
            </w:tcBorders>
            <w:shd w:val="clear" w:color="auto" w:fill="auto"/>
            <w:vAlign w:val="center"/>
            <w:hideMark/>
          </w:tcPr>
          <w:p w14:paraId="3F82B452"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1000</w:t>
            </w:r>
          </w:p>
        </w:tc>
        <w:tc>
          <w:tcPr>
            <w:tcW w:w="1379" w:type="dxa"/>
            <w:tcBorders>
              <w:top w:val="nil"/>
              <w:left w:val="nil"/>
              <w:bottom w:val="nil"/>
              <w:right w:val="nil"/>
            </w:tcBorders>
            <w:shd w:val="clear" w:color="auto" w:fill="auto"/>
            <w:vAlign w:val="center"/>
            <w:hideMark/>
          </w:tcPr>
          <w:p w14:paraId="144C8442"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0.03</w:t>
            </w:r>
          </w:p>
        </w:tc>
        <w:tc>
          <w:tcPr>
            <w:tcW w:w="988" w:type="dxa"/>
            <w:tcBorders>
              <w:top w:val="nil"/>
              <w:left w:val="nil"/>
              <w:bottom w:val="nil"/>
              <w:right w:val="nil"/>
            </w:tcBorders>
            <w:shd w:val="clear" w:color="auto" w:fill="auto"/>
            <w:vAlign w:val="center"/>
            <w:hideMark/>
          </w:tcPr>
          <w:p w14:paraId="567AA2FB"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30</w:t>
            </w:r>
          </w:p>
        </w:tc>
        <w:tc>
          <w:tcPr>
            <w:tcW w:w="988" w:type="dxa"/>
            <w:tcBorders>
              <w:top w:val="nil"/>
              <w:left w:val="nil"/>
              <w:bottom w:val="nil"/>
              <w:right w:val="single" w:sz="8" w:space="0" w:color="auto"/>
            </w:tcBorders>
            <w:shd w:val="clear" w:color="auto" w:fill="auto"/>
            <w:vAlign w:val="center"/>
            <w:hideMark/>
          </w:tcPr>
          <w:p w14:paraId="39CB4A34"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360</w:t>
            </w:r>
          </w:p>
        </w:tc>
        <w:tc>
          <w:tcPr>
            <w:tcW w:w="988" w:type="dxa"/>
            <w:tcBorders>
              <w:top w:val="nil"/>
              <w:left w:val="nil"/>
              <w:bottom w:val="nil"/>
              <w:right w:val="nil"/>
            </w:tcBorders>
            <w:shd w:val="clear" w:color="auto" w:fill="auto"/>
            <w:vAlign w:val="center"/>
            <w:hideMark/>
          </w:tcPr>
          <w:p w14:paraId="46EA909F"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0</w:t>
            </w:r>
          </w:p>
        </w:tc>
        <w:tc>
          <w:tcPr>
            <w:tcW w:w="992" w:type="dxa"/>
            <w:tcBorders>
              <w:top w:val="nil"/>
              <w:left w:val="nil"/>
              <w:bottom w:val="nil"/>
              <w:right w:val="single" w:sz="8" w:space="0" w:color="auto"/>
            </w:tcBorders>
            <w:shd w:val="clear" w:color="auto" w:fill="auto"/>
            <w:vAlign w:val="center"/>
            <w:hideMark/>
          </w:tcPr>
          <w:p w14:paraId="2FBAF489"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0</w:t>
            </w:r>
          </w:p>
        </w:tc>
      </w:tr>
      <w:tr w:rsidR="0098521E" w:rsidRPr="00194111" w14:paraId="3BA03654" w14:textId="77777777" w:rsidTr="00957319">
        <w:trPr>
          <w:gridAfter w:val="1"/>
          <w:wAfter w:w="9" w:type="dxa"/>
          <w:trHeight w:val="63"/>
        </w:trPr>
        <w:tc>
          <w:tcPr>
            <w:tcW w:w="3600" w:type="dxa"/>
            <w:tcBorders>
              <w:top w:val="nil"/>
              <w:left w:val="single" w:sz="8" w:space="0" w:color="auto"/>
              <w:bottom w:val="nil"/>
              <w:right w:val="single" w:sz="8" w:space="0" w:color="auto"/>
            </w:tcBorders>
            <w:shd w:val="clear" w:color="auto" w:fill="auto"/>
            <w:noWrap/>
            <w:vAlign w:val="center"/>
            <w:hideMark/>
          </w:tcPr>
          <w:p w14:paraId="757E5004" w14:textId="77777777" w:rsidR="0098521E" w:rsidRPr="00194111" w:rsidRDefault="0098521E" w:rsidP="0098521E">
            <w:pPr>
              <w:spacing w:after="0" w:line="240" w:lineRule="auto"/>
              <w:rPr>
                <w:rFonts w:ascii="Arial" w:eastAsia="Times New Roman" w:hAnsi="Arial" w:cs="Arial"/>
                <w:color w:val="000000"/>
                <w:sz w:val="16"/>
                <w:szCs w:val="16"/>
              </w:rPr>
            </w:pPr>
            <w:r w:rsidRPr="00194111">
              <w:rPr>
                <w:rFonts w:ascii="Arial" w:eastAsia="Times New Roman" w:hAnsi="Arial" w:cs="Arial"/>
                <w:color w:val="000000"/>
                <w:sz w:val="16"/>
                <w:szCs w:val="16"/>
              </w:rPr>
              <w:t> </w:t>
            </w:r>
          </w:p>
        </w:tc>
        <w:tc>
          <w:tcPr>
            <w:tcW w:w="988" w:type="dxa"/>
            <w:tcBorders>
              <w:top w:val="nil"/>
              <w:left w:val="nil"/>
              <w:bottom w:val="nil"/>
              <w:right w:val="nil"/>
            </w:tcBorders>
            <w:shd w:val="clear" w:color="auto" w:fill="auto"/>
            <w:vAlign w:val="center"/>
            <w:hideMark/>
          </w:tcPr>
          <w:p w14:paraId="09D09714"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Cantidad</w:t>
            </w:r>
          </w:p>
        </w:tc>
        <w:tc>
          <w:tcPr>
            <w:tcW w:w="1379" w:type="dxa"/>
            <w:tcBorders>
              <w:top w:val="nil"/>
              <w:left w:val="nil"/>
              <w:bottom w:val="nil"/>
              <w:right w:val="nil"/>
            </w:tcBorders>
            <w:shd w:val="clear" w:color="auto" w:fill="auto"/>
            <w:vAlign w:val="center"/>
            <w:hideMark/>
          </w:tcPr>
          <w:p w14:paraId="224083DA" w14:textId="77777777" w:rsidR="0098521E" w:rsidRPr="00194111" w:rsidRDefault="0098521E" w:rsidP="0098521E">
            <w:pPr>
              <w:spacing w:after="0" w:line="240" w:lineRule="auto"/>
              <w:jc w:val="center"/>
              <w:rPr>
                <w:rFonts w:ascii="Arial" w:eastAsia="Times New Roman" w:hAnsi="Arial" w:cs="Arial"/>
                <w:color w:val="000000"/>
                <w:sz w:val="16"/>
                <w:szCs w:val="16"/>
              </w:rPr>
            </w:pPr>
          </w:p>
        </w:tc>
        <w:tc>
          <w:tcPr>
            <w:tcW w:w="988" w:type="dxa"/>
            <w:tcBorders>
              <w:top w:val="nil"/>
              <w:left w:val="nil"/>
              <w:bottom w:val="nil"/>
              <w:right w:val="nil"/>
            </w:tcBorders>
            <w:shd w:val="clear" w:color="auto" w:fill="auto"/>
            <w:vAlign w:val="center"/>
            <w:hideMark/>
          </w:tcPr>
          <w:p w14:paraId="200F14C5"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 promedio mensual</w:t>
            </w:r>
          </w:p>
        </w:tc>
        <w:tc>
          <w:tcPr>
            <w:tcW w:w="988" w:type="dxa"/>
            <w:tcBorders>
              <w:top w:val="nil"/>
              <w:left w:val="nil"/>
              <w:bottom w:val="nil"/>
              <w:right w:val="single" w:sz="8" w:space="0" w:color="auto"/>
            </w:tcBorders>
            <w:shd w:val="clear" w:color="auto" w:fill="auto"/>
            <w:vAlign w:val="center"/>
            <w:hideMark/>
          </w:tcPr>
          <w:p w14:paraId="7D9C837C"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 anual</w:t>
            </w:r>
          </w:p>
        </w:tc>
        <w:tc>
          <w:tcPr>
            <w:tcW w:w="988" w:type="dxa"/>
            <w:tcBorders>
              <w:top w:val="nil"/>
              <w:left w:val="nil"/>
              <w:bottom w:val="nil"/>
              <w:right w:val="nil"/>
            </w:tcBorders>
            <w:shd w:val="clear" w:color="auto" w:fill="auto"/>
            <w:vAlign w:val="center"/>
            <w:hideMark/>
          </w:tcPr>
          <w:p w14:paraId="786D158B"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 </w:t>
            </w:r>
          </w:p>
        </w:tc>
        <w:tc>
          <w:tcPr>
            <w:tcW w:w="992" w:type="dxa"/>
            <w:tcBorders>
              <w:top w:val="nil"/>
              <w:left w:val="nil"/>
              <w:bottom w:val="nil"/>
              <w:right w:val="single" w:sz="8" w:space="0" w:color="auto"/>
            </w:tcBorders>
            <w:shd w:val="clear" w:color="auto" w:fill="auto"/>
            <w:vAlign w:val="center"/>
            <w:hideMark/>
          </w:tcPr>
          <w:p w14:paraId="0BE06C1C"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Costo promedio mensual</w:t>
            </w:r>
          </w:p>
        </w:tc>
      </w:tr>
      <w:tr w:rsidR="0098521E" w:rsidRPr="00194111" w14:paraId="778E91CD" w14:textId="77777777" w:rsidTr="00957319">
        <w:trPr>
          <w:gridAfter w:val="1"/>
          <w:wAfter w:w="9" w:type="dxa"/>
          <w:trHeight w:val="63"/>
        </w:trPr>
        <w:tc>
          <w:tcPr>
            <w:tcW w:w="3600" w:type="dxa"/>
            <w:tcBorders>
              <w:top w:val="nil"/>
              <w:left w:val="single" w:sz="8" w:space="0" w:color="auto"/>
              <w:bottom w:val="nil"/>
              <w:right w:val="single" w:sz="8" w:space="0" w:color="auto"/>
            </w:tcBorders>
            <w:shd w:val="clear" w:color="auto" w:fill="auto"/>
            <w:noWrap/>
            <w:vAlign w:val="center"/>
            <w:hideMark/>
          </w:tcPr>
          <w:p w14:paraId="0C510B49" w14:textId="77777777" w:rsidR="0098521E" w:rsidRPr="00194111" w:rsidRDefault="0098521E" w:rsidP="0098521E">
            <w:pPr>
              <w:spacing w:after="0" w:line="240" w:lineRule="auto"/>
              <w:rPr>
                <w:rFonts w:ascii="Arial" w:eastAsia="Times New Roman" w:hAnsi="Arial" w:cs="Arial"/>
                <w:b/>
                <w:bCs/>
                <w:i/>
                <w:iCs/>
                <w:color w:val="000000"/>
                <w:sz w:val="16"/>
                <w:szCs w:val="16"/>
              </w:rPr>
            </w:pPr>
            <w:r w:rsidRPr="00194111">
              <w:rPr>
                <w:rFonts w:ascii="Arial" w:eastAsia="Times New Roman" w:hAnsi="Arial" w:cs="Arial"/>
                <w:b/>
                <w:bCs/>
                <w:i/>
                <w:iCs/>
                <w:color w:val="000000"/>
                <w:sz w:val="16"/>
                <w:szCs w:val="16"/>
              </w:rPr>
              <w:t>Costos bancarios</w:t>
            </w:r>
          </w:p>
        </w:tc>
        <w:tc>
          <w:tcPr>
            <w:tcW w:w="988" w:type="dxa"/>
            <w:tcBorders>
              <w:top w:val="nil"/>
              <w:left w:val="nil"/>
              <w:bottom w:val="nil"/>
              <w:right w:val="nil"/>
            </w:tcBorders>
            <w:shd w:val="clear" w:color="auto" w:fill="auto"/>
            <w:vAlign w:val="center"/>
            <w:hideMark/>
          </w:tcPr>
          <w:p w14:paraId="1C2AB009"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1000</w:t>
            </w:r>
          </w:p>
        </w:tc>
        <w:tc>
          <w:tcPr>
            <w:tcW w:w="1379" w:type="dxa"/>
            <w:tcBorders>
              <w:top w:val="nil"/>
              <w:left w:val="nil"/>
              <w:bottom w:val="nil"/>
              <w:right w:val="nil"/>
            </w:tcBorders>
            <w:shd w:val="clear" w:color="auto" w:fill="auto"/>
            <w:vAlign w:val="center"/>
            <w:hideMark/>
          </w:tcPr>
          <w:p w14:paraId="2CB00BCF" w14:textId="77777777" w:rsidR="0098521E" w:rsidRPr="00194111" w:rsidRDefault="0098521E" w:rsidP="0098521E">
            <w:pPr>
              <w:spacing w:after="0" w:line="240" w:lineRule="auto"/>
              <w:jc w:val="center"/>
              <w:rPr>
                <w:rFonts w:ascii="Arial" w:eastAsia="Times New Roman" w:hAnsi="Arial" w:cs="Arial"/>
                <w:color w:val="000000"/>
                <w:sz w:val="16"/>
                <w:szCs w:val="16"/>
              </w:rPr>
            </w:pPr>
          </w:p>
        </w:tc>
        <w:tc>
          <w:tcPr>
            <w:tcW w:w="988" w:type="dxa"/>
            <w:tcBorders>
              <w:top w:val="nil"/>
              <w:left w:val="nil"/>
              <w:bottom w:val="nil"/>
              <w:right w:val="nil"/>
            </w:tcBorders>
            <w:shd w:val="clear" w:color="auto" w:fill="auto"/>
            <w:vAlign w:val="center"/>
            <w:hideMark/>
          </w:tcPr>
          <w:p w14:paraId="78C1C310"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810</w:t>
            </w:r>
          </w:p>
        </w:tc>
        <w:tc>
          <w:tcPr>
            <w:tcW w:w="988" w:type="dxa"/>
            <w:tcBorders>
              <w:top w:val="nil"/>
              <w:left w:val="nil"/>
              <w:bottom w:val="nil"/>
              <w:right w:val="single" w:sz="8" w:space="0" w:color="auto"/>
            </w:tcBorders>
            <w:shd w:val="clear" w:color="auto" w:fill="auto"/>
            <w:vAlign w:val="center"/>
            <w:hideMark/>
          </w:tcPr>
          <w:p w14:paraId="3C6525DD"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9720</w:t>
            </w:r>
          </w:p>
        </w:tc>
        <w:tc>
          <w:tcPr>
            <w:tcW w:w="988" w:type="dxa"/>
            <w:tcBorders>
              <w:top w:val="nil"/>
              <w:left w:val="nil"/>
              <w:bottom w:val="nil"/>
              <w:right w:val="nil"/>
            </w:tcBorders>
            <w:shd w:val="clear" w:color="auto" w:fill="auto"/>
            <w:vAlign w:val="center"/>
            <w:hideMark/>
          </w:tcPr>
          <w:p w14:paraId="0F6A5C3D"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 </w:t>
            </w:r>
          </w:p>
        </w:tc>
        <w:tc>
          <w:tcPr>
            <w:tcW w:w="992" w:type="dxa"/>
            <w:tcBorders>
              <w:top w:val="nil"/>
              <w:left w:val="nil"/>
              <w:bottom w:val="nil"/>
              <w:right w:val="single" w:sz="8" w:space="0" w:color="auto"/>
            </w:tcBorders>
            <w:shd w:val="clear" w:color="auto" w:fill="auto"/>
            <w:vAlign w:val="center"/>
            <w:hideMark/>
          </w:tcPr>
          <w:p w14:paraId="7E61588A"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810</w:t>
            </w:r>
          </w:p>
        </w:tc>
      </w:tr>
      <w:tr w:rsidR="0098521E" w:rsidRPr="00194111" w14:paraId="3BBD293A" w14:textId="77777777" w:rsidTr="00957319">
        <w:trPr>
          <w:gridAfter w:val="1"/>
          <w:wAfter w:w="9" w:type="dxa"/>
          <w:trHeight w:val="43"/>
        </w:trPr>
        <w:tc>
          <w:tcPr>
            <w:tcW w:w="3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7EF588" w14:textId="77777777" w:rsidR="0098521E" w:rsidRPr="00194111" w:rsidRDefault="0098521E" w:rsidP="0098521E">
            <w:pPr>
              <w:spacing w:after="0" w:line="240" w:lineRule="auto"/>
              <w:rPr>
                <w:rFonts w:ascii="Arial" w:eastAsia="Times New Roman" w:hAnsi="Arial" w:cs="Arial"/>
                <w:b/>
                <w:bCs/>
                <w:color w:val="000000"/>
                <w:sz w:val="16"/>
                <w:szCs w:val="16"/>
              </w:rPr>
            </w:pPr>
            <w:r w:rsidRPr="00194111">
              <w:rPr>
                <w:rFonts w:ascii="Arial" w:eastAsia="Times New Roman" w:hAnsi="Arial" w:cs="Arial"/>
                <w:b/>
                <w:bCs/>
                <w:color w:val="000000"/>
                <w:sz w:val="16"/>
                <w:szCs w:val="16"/>
              </w:rPr>
              <w:t>Costo Promedio Mensual</w:t>
            </w:r>
          </w:p>
        </w:tc>
        <w:tc>
          <w:tcPr>
            <w:tcW w:w="988" w:type="dxa"/>
            <w:tcBorders>
              <w:top w:val="single" w:sz="8" w:space="0" w:color="auto"/>
              <w:left w:val="nil"/>
              <w:bottom w:val="single" w:sz="8" w:space="0" w:color="auto"/>
              <w:right w:val="nil"/>
            </w:tcBorders>
            <w:shd w:val="clear" w:color="auto" w:fill="auto"/>
            <w:vAlign w:val="center"/>
            <w:hideMark/>
          </w:tcPr>
          <w:p w14:paraId="5F9E4370"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 </w:t>
            </w:r>
          </w:p>
        </w:tc>
        <w:tc>
          <w:tcPr>
            <w:tcW w:w="1379" w:type="dxa"/>
            <w:tcBorders>
              <w:top w:val="single" w:sz="8" w:space="0" w:color="auto"/>
              <w:left w:val="nil"/>
              <w:bottom w:val="single" w:sz="8" w:space="0" w:color="auto"/>
              <w:right w:val="nil"/>
            </w:tcBorders>
            <w:shd w:val="clear" w:color="auto" w:fill="auto"/>
            <w:vAlign w:val="center"/>
            <w:hideMark/>
          </w:tcPr>
          <w:p w14:paraId="558E0224"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 </w:t>
            </w:r>
          </w:p>
        </w:tc>
        <w:tc>
          <w:tcPr>
            <w:tcW w:w="988" w:type="dxa"/>
            <w:tcBorders>
              <w:top w:val="single" w:sz="8" w:space="0" w:color="auto"/>
              <w:left w:val="nil"/>
              <w:bottom w:val="single" w:sz="8" w:space="0" w:color="auto"/>
              <w:right w:val="nil"/>
            </w:tcBorders>
            <w:shd w:val="clear" w:color="auto" w:fill="auto"/>
            <w:vAlign w:val="center"/>
            <w:hideMark/>
          </w:tcPr>
          <w:p w14:paraId="43F512D8"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2.535</w:t>
            </w:r>
          </w:p>
        </w:tc>
        <w:tc>
          <w:tcPr>
            <w:tcW w:w="988" w:type="dxa"/>
            <w:tcBorders>
              <w:top w:val="single" w:sz="8" w:space="0" w:color="auto"/>
              <w:left w:val="nil"/>
              <w:bottom w:val="single" w:sz="8" w:space="0" w:color="auto"/>
              <w:right w:val="single" w:sz="8" w:space="0" w:color="auto"/>
            </w:tcBorders>
            <w:shd w:val="clear" w:color="auto" w:fill="auto"/>
            <w:vAlign w:val="center"/>
            <w:hideMark/>
          </w:tcPr>
          <w:p w14:paraId="2BE0B44C"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 </w:t>
            </w:r>
          </w:p>
        </w:tc>
        <w:tc>
          <w:tcPr>
            <w:tcW w:w="988" w:type="dxa"/>
            <w:tcBorders>
              <w:top w:val="single" w:sz="8" w:space="0" w:color="auto"/>
              <w:left w:val="nil"/>
              <w:bottom w:val="single" w:sz="8" w:space="0" w:color="auto"/>
              <w:right w:val="nil"/>
            </w:tcBorders>
            <w:shd w:val="clear" w:color="auto" w:fill="auto"/>
            <w:vAlign w:val="center"/>
            <w:hideMark/>
          </w:tcPr>
          <w:p w14:paraId="66719A8E"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F431659" w14:textId="77777777" w:rsidR="0098521E" w:rsidRPr="00194111" w:rsidRDefault="0098521E" w:rsidP="0098521E">
            <w:pPr>
              <w:spacing w:after="0" w:line="240" w:lineRule="auto"/>
              <w:jc w:val="center"/>
              <w:rPr>
                <w:rFonts w:ascii="Arial" w:eastAsia="Times New Roman" w:hAnsi="Arial" w:cs="Arial"/>
                <w:color w:val="000000"/>
                <w:sz w:val="16"/>
                <w:szCs w:val="16"/>
              </w:rPr>
            </w:pPr>
            <w:r w:rsidRPr="00194111">
              <w:rPr>
                <w:rFonts w:ascii="Arial" w:eastAsia="Times New Roman" w:hAnsi="Arial" w:cs="Arial"/>
                <w:color w:val="000000"/>
                <w:sz w:val="16"/>
                <w:szCs w:val="16"/>
              </w:rPr>
              <w:t>1.2675</w:t>
            </w:r>
          </w:p>
        </w:tc>
      </w:tr>
      <w:tr w:rsidR="0098521E" w:rsidRPr="00194111" w14:paraId="7433A9AE" w14:textId="77777777" w:rsidTr="00957319">
        <w:trPr>
          <w:trHeight w:val="46"/>
        </w:trPr>
        <w:tc>
          <w:tcPr>
            <w:tcW w:w="9932"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14:paraId="0C7B608D" w14:textId="74435D98" w:rsidR="0098521E" w:rsidRPr="00194111" w:rsidRDefault="0098521E" w:rsidP="0019411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Fuente: Propia</w:t>
            </w:r>
          </w:p>
        </w:tc>
      </w:tr>
    </w:tbl>
    <w:p w14:paraId="2257C1B8" w14:textId="7D62BA38" w:rsidR="00D1194F" w:rsidRDefault="00D1194F" w:rsidP="00D1194F">
      <w:pPr>
        <w:pStyle w:val="ListParagraph"/>
        <w:tabs>
          <w:tab w:val="left" w:pos="9000"/>
        </w:tabs>
        <w:spacing w:before="120" w:after="120" w:line="240" w:lineRule="auto"/>
        <w:ind w:left="-900"/>
        <w:contextualSpacing w:val="0"/>
        <w:jc w:val="both"/>
        <w:rPr>
          <w:rFonts w:ascii="Arial" w:hAnsi="Arial" w:cs="Arial"/>
        </w:rPr>
      </w:pPr>
    </w:p>
    <w:p w14:paraId="4E10F7B5" w14:textId="0CFE717F" w:rsidR="00891F5A" w:rsidRDefault="0098521E" w:rsidP="00265302">
      <w:pPr>
        <w:pStyle w:val="ListParagraph"/>
        <w:tabs>
          <w:tab w:val="left" w:pos="9000"/>
        </w:tabs>
        <w:spacing w:before="120" w:after="120" w:line="240" w:lineRule="auto"/>
        <w:ind w:left="360"/>
        <w:jc w:val="both"/>
        <w:rPr>
          <w:rFonts w:ascii="Arial" w:hAnsi="Arial" w:cs="Arial"/>
        </w:rPr>
      </w:pPr>
      <w:r>
        <w:rPr>
          <w:rFonts w:ascii="Arial" w:hAnsi="Arial" w:cs="Arial"/>
        </w:rPr>
        <w:lastRenderedPageBreak/>
        <w:t>Con base en este ahorro</w:t>
      </w:r>
      <w:r w:rsidR="000B44BA">
        <w:rPr>
          <w:rFonts w:ascii="Arial" w:hAnsi="Arial" w:cs="Arial"/>
        </w:rPr>
        <w:t xml:space="preserve">, </w:t>
      </w:r>
      <w:r>
        <w:rPr>
          <w:rFonts w:ascii="Arial" w:hAnsi="Arial" w:cs="Arial"/>
        </w:rPr>
        <w:t xml:space="preserve">se relevó la </w:t>
      </w:r>
      <w:r w:rsidR="000B44BA">
        <w:rPr>
          <w:rFonts w:ascii="Arial" w:hAnsi="Arial" w:cs="Arial"/>
        </w:rPr>
        <w:t xml:space="preserve">información sobre la </w:t>
      </w:r>
      <w:r>
        <w:rPr>
          <w:rFonts w:ascii="Arial" w:hAnsi="Arial" w:cs="Arial"/>
        </w:rPr>
        <w:t>evolución de los cheques electrónicos emitidos por el SIAF de Perú</w:t>
      </w:r>
      <w:r w:rsidR="000B44BA">
        <w:rPr>
          <w:rFonts w:ascii="Arial" w:hAnsi="Arial" w:cs="Arial"/>
        </w:rPr>
        <w:t xml:space="preserve"> entre 2009-2018</w:t>
      </w:r>
      <w:r>
        <w:rPr>
          <w:rFonts w:ascii="Arial" w:hAnsi="Arial" w:cs="Arial"/>
        </w:rPr>
        <w:t xml:space="preserve"> </w:t>
      </w:r>
      <w:r w:rsidR="00891F5A">
        <w:rPr>
          <w:rFonts w:ascii="Arial" w:hAnsi="Arial" w:cs="Arial"/>
        </w:rPr>
        <w:t>(</w:t>
      </w:r>
      <w:r>
        <w:rPr>
          <w:rFonts w:ascii="Arial" w:hAnsi="Arial" w:cs="Arial"/>
        </w:rPr>
        <w:t>Tabla 9</w:t>
      </w:r>
      <w:proofErr w:type="gramStart"/>
      <w:r w:rsidR="00891F5A">
        <w:rPr>
          <w:rFonts w:ascii="Arial" w:hAnsi="Arial" w:cs="Arial"/>
        </w:rPr>
        <w:t>)</w:t>
      </w:r>
      <w:r>
        <w:rPr>
          <w:rFonts w:ascii="Arial" w:hAnsi="Arial" w:cs="Arial"/>
        </w:rPr>
        <w:t xml:space="preserve">  y</w:t>
      </w:r>
      <w:proofErr w:type="gramEnd"/>
      <w:r>
        <w:rPr>
          <w:rFonts w:ascii="Arial" w:hAnsi="Arial" w:cs="Arial"/>
        </w:rPr>
        <w:t xml:space="preserve"> se estimó el </w:t>
      </w:r>
      <w:r w:rsidR="00190398">
        <w:rPr>
          <w:rFonts w:ascii="Arial" w:hAnsi="Arial" w:cs="Arial"/>
        </w:rPr>
        <w:t>beneficio</w:t>
      </w:r>
      <w:r>
        <w:rPr>
          <w:rFonts w:ascii="Arial" w:hAnsi="Arial" w:cs="Arial"/>
        </w:rPr>
        <w:t xml:space="preserve"> </w:t>
      </w:r>
      <w:r w:rsidR="00194111">
        <w:rPr>
          <w:rFonts w:ascii="Arial" w:hAnsi="Arial" w:cs="Arial"/>
        </w:rPr>
        <w:t xml:space="preserve">económico </w:t>
      </w:r>
      <w:r w:rsidR="00190398">
        <w:rPr>
          <w:rFonts w:ascii="Arial" w:hAnsi="Arial" w:cs="Arial"/>
        </w:rPr>
        <w:t>generado en un horizonte de 20 años</w:t>
      </w:r>
      <w:r w:rsidR="00194111">
        <w:rPr>
          <w:rFonts w:ascii="Arial" w:hAnsi="Arial" w:cs="Arial"/>
        </w:rPr>
        <w:t xml:space="preserve"> a partir del inicio del proyecto</w:t>
      </w:r>
      <w:r w:rsidR="00190398">
        <w:rPr>
          <w:rFonts w:ascii="Arial" w:hAnsi="Arial" w:cs="Arial"/>
        </w:rPr>
        <w:t>. Se consider</w:t>
      </w:r>
      <w:r w:rsidR="00194111">
        <w:rPr>
          <w:rFonts w:ascii="Arial" w:hAnsi="Arial" w:cs="Arial"/>
        </w:rPr>
        <w:t>ó</w:t>
      </w:r>
      <w:r w:rsidR="00190398">
        <w:rPr>
          <w:rFonts w:ascii="Arial" w:hAnsi="Arial" w:cs="Arial"/>
        </w:rPr>
        <w:t xml:space="preserve"> de forma </w:t>
      </w:r>
      <w:r w:rsidR="00194111">
        <w:rPr>
          <w:rFonts w:ascii="Arial" w:hAnsi="Arial" w:cs="Arial"/>
        </w:rPr>
        <w:t xml:space="preserve">bastante </w:t>
      </w:r>
      <w:r w:rsidR="00190398">
        <w:rPr>
          <w:rFonts w:ascii="Arial" w:hAnsi="Arial" w:cs="Arial"/>
        </w:rPr>
        <w:t xml:space="preserve">conservadora que la atribución del </w:t>
      </w:r>
      <w:r w:rsidR="000B44BA">
        <w:rPr>
          <w:rFonts w:ascii="Arial" w:hAnsi="Arial" w:cs="Arial"/>
        </w:rPr>
        <w:t xml:space="preserve">beneficio al </w:t>
      </w:r>
      <w:r w:rsidR="00190398">
        <w:rPr>
          <w:rFonts w:ascii="Arial" w:hAnsi="Arial" w:cs="Arial"/>
        </w:rPr>
        <w:t xml:space="preserve">proyecto fue de apenas 33.3%. </w:t>
      </w:r>
    </w:p>
    <w:p w14:paraId="02D036F2" w14:textId="77777777" w:rsidR="00891F5A" w:rsidRDefault="00891F5A" w:rsidP="00265302">
      <w:pPr>
        <w:pStyle w:val="ListParagraph"/>
        <w:tabs>
          <w:tab w:val="left" w:pos="9000"/>
        </w:tabs>
        <w:spacing w:before="120" w:after="120" w:line="240" w:lineRule="auto"/>
        <w:ind w:left="360"/>
        <w:jc w:val="both"/>
        <w:rPr>
          <w:rFonts w:ascii="Arial" w:hAnsi="Arial" w:cs="Arial"/>
        </w:rPr>
      </w:pPr>
    </w:p>
    <w:p w14:paraId="36931658" w14:textId="1854DE45" w:rsidR="00190398" w:rsidRPr="00D1194F" w:rsidRDefault="000B44BA" w:rsidP="00265302">
      <w:pPr>
        <w:pStyle w:val="ListParagraph"/>
        <w:tabs>
          <w:tab w:val="left" w:pos="9000"/>
        </w:tabs>
        <w:spacing w:before="120" w:after="120" w:line="240" w:lineRule="auto"/>
        <w:ind w:left="360"/>
        <w:jc w:val="both"/>
        <w:rPr>
          <w:rFonts w:ascii="Arial" w:hAnsi="Arial" w:cs="Arial"/>
        </w:rPr>
      </w:pPr>
      <w:r>
        <w:rPr>
          <w:rFonts w:ascii="Arial" w:hAnsi="Arial" w:cs="Arial"/>
        </w:rPr>
        <w:t>Conclusión - c</w:t>
      </w:r>
      <w:r w:rsidR="00194111">
        <w:rPr>
          <w:rFonts w:ascii="Arial" w:hAnsi="Arial" w:cs="Arial"/>
        </w:rPr>
        <w:t>on el aumento de los pagos electrónicos, a</w:t>
      </w:r>
      <w:r w:rsidR="00190398">
        <w:rPr>
          <w:rFonts w:ascii="Arial" w:hAnsi="Arial" w:cs="Arial"/>
        </w:rPr>
        <w:t>l final de 20 años</w:t>
      </w:r>
      <w:r w:rsidR="00194111">
        <w:rPr>
          <w:rFonts w:ascii="Arial" w:hAnsi="Arial" w:cs="Arial"/>
        </w:rPr>
        <w:t>,</w:t>
      </w:r>
      <w:r w:rsidR="00190398">
        <w:rPr>
          <w:rFonts w:ascii="Arial" w:hAnsi="Arial" w:cs="Arial"/>
        </w:rPr>
        <w:t xml:space="preserve"> </w:t>
      </w:r>
      <w:r w:rsidR="00194111">
        <w:rPr>
          <w:rFonts w:ascii="Arial" w:hAnsi="Arial" w:cs="Arial"/>
        </w:rPr>
        <w:t>el proyecto</w:t>
      </w:r>
      <w:r w:rsidR="00190398">
        <w:rPr>
          <w:rFonts w:ascii="Arial" w:hAnsi="Arial" w:cs="Arial"/>
        </w:rPr>
        <w:t xml:space="preserve"> </w:t>
      </w:r>
      <w:r w:rsidR="00194111">
        <w:rPr>
          <w:rFonts w:ascii="Arial" w:hAnsi="Arial" w:cs="Arial"/>
        </w:rPr>
        <w:t>producirá</w:t>
      </w:r>
      <w:r w:rsidR="00190398">
        <w:rPr>
          <w:rFonts w:ascii="Arial" w:hAnsi="Arial" w:cs="Arial"/>
        </w:rPr>
        <w:t xml:space="preserve"> una Tasa Interna de Retorno</w:t>
      </w:r>
      <w:r>
        <w:rPr>
          <w:rFonts w:ascii="Arial" w:hAnsi="Arial" w:cs="Arial"/>
        </w:rPr>
        <w:t xml:space="preserve"> (TIR)</w:t>
      </w:r>
      <w:r w:rsidR="00190398">
        <w:rPr>
          <w:rFonts w:ascii="Arial" w:hAnsi="Arial" w:cs="Arial"/>
        </w:rPr>
        <w:t xml:space="preserve"> de 8%</w:t>
      </w:r>
      <w:r w:rsidR="00194111">
        <w:rPr>
          <w:rFonts w:ascii="Arial" w:hAnsi="Arial" w:cs="Arial"/>
        </w:rPr>
        <w:t xml:space="preserve">, lo que hace la clasificación de la eficiencia </w:t>
      </w:r>
      <w:r w:rsidR="00BD3C08">
        <w:rPr>
          <w:rFonts w:ascii="Arial" w:hAnsi="Arial" w:cs="Arial"/>
        </w:rPr>
        <w:t xml:space="preserve">del proyecto </w:t>
      </w:r>
      <w:r w:rsidR="00891F5A">
        <w:rPr>
          <w:rFonts w:ascii="Arial" w:hAnsi="Arial" w:cs="Arial"/>
        </w:rPr>
        <w:t>sea</w:t>
      </w:r>
      <w:r w:rsidR="00194111">
        <w:rPr>
          <w:rFonts w:ascii="Arial" w:hAnsi="Arial" w:cs="Arial"/>
        </w:rPr>
        <w:t xml:space="preserve"> parcialmente insatisfactoria.</w:t>
      </w:r>
      <w:r w:rsidR="00190398">
        <w:rPr>
          <w:rFonts w:ascii="Arial" w:hAnsi="Arial" w:cs="Arial"/>
        </w:rPr>
        <w:t xml:space="preserve"> </w:t>
      </w:r>
    </w:p>
    <w:p w14:paraId="70354586" w14:textId="77777777" w:rsidR="00D1194F" w:rsidRPr="00194111" w:rsidRDefault="00D1194F" w:rsidP="00265302">
      <w:pPr>
        <w:tabs>
          <w:tab w:val="left" w:pos="9000"/>
        </w:tabs>
        <w:spacing w:after="0" w:line="240" w:lineRule="auto"/>
        <w:rPr>
          <w:rFonts w:ascii="Arial" w:hAnsi="Arial" w:cs="Arial"/>
          <w:b/>
        </w:rPr>
      </w:pPr>
    </w:p>
    <w:p w14:paraId="42414A81" w14:textId="7F9B6612" w:rsidR="00B62054" w:rsidRDefault="00B62054" w:rsidP="00655059">
      <w:pPr>
        <w:pStyle w:val="ListParagraph"/>
        <w:tabs>
          <w:tab w:val="left" w:pos="9000"/>
        </w:tabs>
        <w:spacing w:after="0" w:line="240" w:lineRule="auto"/>
        <w:ind w:left="173"/>
        <w:jc w:val="center"/>
        <w:rPr>
          <w:rFonts w:ascii="Arial" w:hAnsi="Arial" w:cs="Arial"/>
          <w:b/>
        </w:rPr>
      </w:pPr>
    </w:p>
    <w:p w14:paraId="2A8926F6" w14:textId="100008F4" w:rsidR="00B62054" w:rsidRDefault="00194111" w:rsidP="00655059">
      <w:pPr>
        <w:pStyle w:val="ListParagraph"/>
        <w:tabs>
          <w:tab w:val="left" w:pos="9000"/>
        </w:tabs>
        <w:spacing w:after="0" w:line="240" w:lineRule="auto"/>
        <w:ind w:left="173"/>
        <w:jc w:val="center"/>
        <w:rPr>
          <w:rFonts w:ascii="Arial" w:hAnsi="Arial" w:cs="Arial"/>
          <w:b/>
        </w:rPr>
      </w:pPr>
      <w:r w:rsidRPr="00194111">
        <w:rPr>
          <w:noProof/>
        </w:rPr>
        <w:drawing>
          <wp:inline distT="0" distB="0" distL="0" distR="0" wp14:anchorId="5F68E9BA" wp14:editId="2929E722">
            <wp:extent cx="5991367" cy="416052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91702" cy="4160753"/>
                    </a:xfrm>
                    <a:prstGeom prst="rect">
                      <a:avLst/>
                    </a:prstGeom>
                    <a:noFill/>
                    <a:ln>
                      <a:noFill/>
                    </a:ln>
                  </pic:spPr>
                </pic:pic>
              </a:graphicData>
            </a:graphic>
          </wp:inline>
        </w:drawing>
      </w:r>
    </w:p>
    <w:p w14:paraId="759468D6" w14:textId="6881D583" w:rsidR="00190398" w:rsidRPr="00265302" w:rsidRDefault="00190398" w:rsidP="00265302">
      <w:pPr>
        <w:pStyle w:val="Heading2"/>
        <w:spacing w:before="120" w:after="120" w:line="240" w:lineRule="auto"/>
        <w:ind w:left="90"/>
        <w:rPr>
          <w:rFonts w:ascii="Arial" w:hAnsi="Arial"/>
          <w:b/>
          <w:color w:val="auto"/>
          <w:sz w:val="22"/>
        </w:rPr>
      </w:pPr>
      <w:bookmarkStart w:id="182" w:name="_Sostenibilidad"/>
      <w:bookmarkStart w:id="183" w:name="_Toc501529203"/>
      <w:bookmarkStart w:id="184" w:name="_Toc500169666"/>
      <w:bookmarkStart w:id="185" w:name="_Toc506484935"/>
      <w:bookmarkStart w:id="186" w:name="_Toc506975000"/>
      <w:bookmarkStart w:id="187" w:name="_Toc512433753"/>
      <w:bookmarkStart w:id="188" w:name="_Toc514236642"/>
      <w:bookmarkStart w:id="189" w:name="_Toc516767403"/>
      <w:bookmarkStart w:id="190" w:name="_Toc518037206"/>
      <w:bookmarkEnd w:id="170"/>
      <w:bookmarkEnd w:id="171"/>
      <w:bookmarkEnd w:id="172"/>
      <w:bookmarkEnd w:id="173"/>
      <w:bookmarkEnd w:id="174"/>
      <w:bookmarkEnd w:id="175"/>
      <w:bookmarkEnd w:id="176"/>
      <w:bookmarkEnd w:id="177"/>
      <w:bookmarkEnd w:id="182"/>
    </w:p>
    <w:p w14:paraId="778D7F1A" w14:textId="77777777" w:rsidR="00891F5A" w:rsidRDefault="00891F5A">
      <w:pPr>
        <w:rPr>
          <w:rFonts w:ascii="Arial" w:eastAsiaTheme="majorEastAsia" w:hAnsi="Arial" w:cstheme="majorBidi"/>
          <w:b/>
          <w:bCs/>
        </w:rPr>
      </w:pPr>
      <w:bookmarkStart w:id="191" w:name="_Toc533166445"/>
      <w:bookmarkStart w:id="192" w:name="_Toc20432470"/>
      <w:bookmarkStart w:id="193" w:name="_Toc21017064"/>
      <w:r>
        <w:rPr>
          <w:rFonts w:ascii="Arial" w:hAnsi="Arial"/>
          <w:b/>
          <w:bCs/>
        </w:rPr>
        <w:br w:type="page"/>
      </w:r>
    </w:p>
    <w:p w14:paraId="66DE0C44" w14:textId="40EDA2DB" w:rsidR="00D7372C" w:rsidRPr="00576180" w:rsidRDefault="00D7372C" w:rsidP="00D17FF5">
      <w:pPr>
        <w:pStyle w:val="Heading2"/>
        <w:numPr>
          <w:ilvl w:val="0"/>
          <w:numId w:val="53"/>
        </w:numPr>
        <w:spacing w:before="120" w:after="120" w:line="240" w:lineRule="auto"/>
        <w:ind w:hanging="720"/>
        <w:rPr>
          <w:rFonts w:ascii="Arial" w:hAnsi="Arial"/>
          <w:b/>
          <w:bCs/>
          <w:color w:val="auto"/>
          <w:sz w:val="22"/>
          <w:szCs w:val="22"/>
        </w:rPr>
      </w:pPr>
      <w:r w:rsidRPr="00576180">
        <w:rPr>
          <w:rFonts w:ascii="Arial" w:hAnsi="Arial"/>
          <w:b/>
          <w:bCs/>
          <w:color w:val="auto"/>
          <w:sz w:val="22"/>
          <w:szCs w:val="22"/>
        </w:rPr>
        <w:lastRenderedPageBreak/>
        <w:t>Sostenibilidad</w:t>
      </w:r>
      <w:bookmarkEnd w:id="183"/>
      <w:bookmarkEnd w:id="184"/>
      <w:bookmarkEnd w:id="185"/>
      <w:bookmarkEnd w:id="186"/>
      <w:bookmarkEnd w:id="187"/>
      <w:bookmarkEnd w:id="188"/>
      <w:bookmarkEnd w:id="189"/>
      <w:bookmarkEnd w:id="190"/>
      <w:bookmarkEnd w:id="191"/>
      <w:bookmarkEnd w:id="192"/>
      <w:bookmarkEnd w:id="193"/>
    </w:p>
    <w:p w14:paraId="6F897CDE" w14:textId="77777777" w:rsidR="00D7372C" w:rsidRPr="00576180" w:rsidRDefault="00D7372C" w:rsidP="00D17FF5">
      <w:pPr>
        <w:pStyle w:val="Heading3"/>
        <w:numPr>
          <w:ilvl w:val="0"/>
          <w:numId w:val="44"/>
        </w:numPr>
        <w:spacing w:before="120" w:after="120" w:line="240" w:lineRule="auto"/>
        <w:ind w:left="720"/>
        <w:rPr>
          <w:rFonts w:ascii="Arial" w:hAnsi="Arial" w:cs="Arial"/>
          <w:b/>
          <w:color w:val="000000" w:themeColor="text1"/>
          <w:sz w:val="22"/>
          <w:szCs w:val="22"/>
        </w:rPr>
      </w:pPr>
      <w:bookmarkStart w:id="194" w:name="_Toc506975001"/>
      <w:bookmarkStart w:id="195" w:name="_Toc512433754"/>
      <w:bookmarkStart w:id="196" w:name="_Toc514236643"/>
      <w:bookmarkStart w:id="197" w:name="_Toc516767404"/>
      <w:bookmarkStart w:id="198" w:name="_Toc518037207"/>
      <w:bookmarkStart w:id="199" w:name="_Toc533166446"/>
      <w:bookmarkStart w:id="200" w:name="_Toc20432471"/>
      <w:bookmarkStart w:id="201" w:name="_Toc21017065"/>
      <w:r w:rsidRPr="00576180">
        <w:rPr>
          <w:rFonts w:ascii="Arial" w:hAnsi="Arial" w:cs="Arial"/>
          <w:b/>
          <w:color w:val="000000" w:themeColor="text1"/>
          <w:sz w:val="22"/>
          <w:szCs w:val="22"/>
        </w:rPr>
        <w:t xml:space="preserve">Aspectos </w:t>
      </w:r>
      <w:r w:rsidR="00F029BE" w:rsidRPr="00576180">
        <w:rPr>
          <w:rFonts w:ascii="Arial" w:hAnsi="Arial" w:cs="Arial"/>
          <w:b/>
          <w:color w:val="000000" w:themeColor="text1"/>
          <w:sz w:val="22"/>
          <w:szCs w:val="22"/>
        </w:rPr>
        <w:t>g</w:t>
      </w:r>
      <w:r w:rsidRPr="00576180">
        <w:rPr>
          <w:rFonts w:ascii="Arial" w:hAnsi="Arial" w:cs="Arial"/>
          <w:b/>
          <w:color w:val="000000" w:themeColor="text1"/>
          <w:sz w:val="22"/>
          <w:szCs w:val="22"/>
        </w:rPr>
        <w:t xml:space="preserve">enerales de la </w:t>
      </w:r>
      <w:r w:rsidR="00F029BE" w:rsidRPr="00576180">
        <w:rPr>
          <w:rFonts w:ascii="Arial" w:hAnsi="Arial" w:cs="Arial"/>
          <w:b/>
          <w:color w:val="000000" w:themeColor="text1"/>
          <w:sz w:val="22"/>
          <w:szCs w:val="22"/>
        </w:rPr>
        <w:t>s</w:t>
      </w:r>
      <w:r w:rsidRPr="00576180">
        <w:rPr>
          <w:rFonts w:ascii="Arial" w:hAnsi="Arial" w:cs="Arial"/>
          <w:b/>
          <w:color w:val="000000" w:themeColor="text1"/>
          <w:sz w:val="22"/>
          <w:szCs w:val="22"/>
        </w:rPr>
        <w:t>ostenibilidad</w:t>
      </w:r>
      <w:bookmarkEnd w:id="194"/>
      <w:bookmarkEnd w:id="195"/>
      <w:bookmarkEnd w:id="196"/>
      <w:bookmarkEnd w:id="197"/>
      <w:bookmarkEnd w:id="198"/>
      <w:bookmarkEnd w:id="199"/>
      <w:bookmarkEnd w:id="200"/>
      <w:bookmarkEnd w:id="201"/>
    </w:p>
    <w:p w14:paraId="08884DA2" w14:textId="4FB608B3" w:rsidR="00D00AA2" w:rsidRDefault="002C7605" w:rsidP="00D17FF5">
      <w:pPr>
        <w:pStyle w:val="ListParagraph"/>
        <w:tabs>
          <w:tab w:val="left" w:pos="9000"/>
        </w:tabs>
        <w:spacing w:before="120" w:after="120" w:line="240" w:lineRule="auto"/>
        <w:ind w:left="360"/>
        <w:contextualSpacing w:val="0"/>
        <w:jc w:val="both"/>
        <w:rPr>
          <w:rFonts w:ascii="Arial" w:hAnsi="Arial" w:cs="Arial"/>
        </w:rPr>
      </w:pPr>
      <w:r w:rsidRPr="00576180">
        <w:rPr>
          <w:rFonts w:ascii="Arial" w:hAnsi="Arial" w:cs="Arial"/>
        </w:rPr>
        <w:t xml:space="preserve">En la Tabla </w:t>
      </w:r>
      <w:r w:rsidR="001927B8" w:rsidRPr="00576180">
        <w:rPr>
          <w:rFonts w:ascii="Arial" w:hAnsi="Arial" w:cs="Arial"/>
        </w:rPr>
        <w:t>10</w:t>
      </w:r>
      <w:r w:rsidRPr="00576180">
        <w:rPr>
          <w:rFonts w:ascii="Arial" w:hAnsi="Arial" w:cs="Arial"/>
        </w:rPr>
        <w:t xml:space="preserve"> a continuación se analizan los riesgos de sostenibilidad</w:t>
      </w:r>
      <w:r w:rsidR="00BE613B" w:rsidRPr="00576180">
        <w:rPr>
          <w:rFonts w:ascii="Arial" w:hAnsi="Arial" w:cs="Arial"/>
        </w:rPr>
        <w:t xml:space="preserve"> asociados a</w:t>
      </w:r>
      <w:r w:rsidRPr="00576180">
        <w:rPr>
          <w:rFonts w:ascii="Arial" w:hAnsi="Arial" w:cs="Arial"/>
        </w:rPr>
        <w:t xml:space="preserve"> los 9 resultados del Programa.</w:t>
      </w:r>
    </w:p>
    <w:p w14:paraId="157890F9" w14:textId="4D5E610B" w:rsidR="00891F5A" w:rsidRDefault="00891F5A" w:rsidP="00D17FF5">
      <w:pPr>
        <w:pStyle w:val="ListParagraph"/>
        <w:tabs>
          <w:tab w:val="left" w:pos="9000"/>
        </w:tabs>
        <w:spacing w:before="120" w:after="120" w:line="240" w:lineRule="auto"/>
        <w:ind w:left="360"/>
        <w:contextualSpacing w:val="0"/>
        <w:jc w:val="both"/>
        <w:rPr>
          <w:rFonts w:ascii="Arial" w:hAnsi="Arial" w:cs="Arial"/>
        </w:rPr>
      </w:pPr>
    </w:p>
    <w:p w14:paraId="38BDD2DD" w14:textId="100A91E0" w:rsidR="00891F5A" w:rsidRPr="00576180" w:rsidRDefault="00891F5A" w:rsidP="00D87B95">
      <w:pPr>
        <w:pStyle w:val="ListParagraph"/>
        <w:tabs>
          <w:tab w:val="left" w:pos="9000"/>
        </w:tabs>
        <w:spacing w:before="120" w:after="120" w:line="240" w:lineRule="auto"/>
        <w:ind w:left="360"/>
        <w:contextualSpacing w:val="0"/>
        <w:jc w:val="center"/>
        <w:rPr>
          <w:rFonts w:ascii="Arial" w:hAnsi="Arial" w:cs="Arial"/>
        </w:rPr>
      </w:pPr>
      <w:r>
        <w:rPr>
          <w:rFonts w:ascii="Arial" w:hAnsi="Arial" w:cs="Arial"/>
        </w:rPr>
        <w:t>TABLA 10. Resultados de Sostenibilidad del Programa</w:t>
      </w:r>
    </w:p>
    <w:tbl>
      <w:tblPr>
        <w:tblStyle w:val="TableGrid"/>
        <w:tblW w:w="10410" w:type="dxa"/>
        <w:tblInd w:w="-635" w:type="dxa"/>
        <w:tblLook w:val="04A0" w:firstRow="1" w:lastRow="0" w:firstColumn="1" w:lastColumn="0" w:noHBand="0" w:noVBand="1"/>
      </w:tblPr>
      <w:tblGrid>
        <w:gridCol w:w="4767"/>
        <w:gridCol w:w="5643"/>
      </w:tblGrid>
      <w:tr w:rsidR="00265302" w:rsidRPr="00576180" w14:paraId="090B9389" w14:textId="77777777" w:rsidTr="00437FB0">
        <w:trPr>
          <w:trHeight w:val="509"/>
          <w:tblHeader/>
        </w:trPr>
        <w:tc>
          <w:tcPr>
            <w:tcW w:w="4767"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3C42827C" w14:textId="77777777" w:rsidR="00265302" w:rsidRPr="00576180" w:rsidRDefault="00265302" w:rsidP="0081216A">
            <w:pPr>
              <w:jc w:val="center"/>
              <w:rPr>
                <w:rFonts w:ascii="Arial" w:hAnsi="Arial" w:cs="Arial"/>
                <w:b/>
                <w:bCs/>
                <w:sz w:val="18"/>
                <w:szCs w:val="18"/>
              </w:rPr>
            </w:pPr>
            <w:r w:rsidRPr="00576180">
              <w:rPr>
                <w:rFonts w:ascii="Arial" w:hAnsi="Arial" w:cs="Arial"/>
                <w:b/>
                <w:bCs/>
                <w:sz w:val="18"/>
                <w:szCs w:val="18"/>
              </w:rPr>
              <w:t>Resultados alcanzados</w:t>
            </w:r>
          </w:p>
        </w:tc>
        <w:tc>
          <w:tcPr>
            <w:tcW w:w="5643"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5E94AF07" w14:textId="77777777" w:rsidR="00265302" w:rsidRPr="00576180" w:rsidRDefault="00265302" w:rsidP="0081216A">
            <w:pPr>
              <w:jc w:val="center"/>
              <w:rPr>
                <w:rFonts w:ascii="Arial" w:hAnsi="Arial" w:cs="Arial"/>
                <w:b/>
                <w:bCs/>
                <w:sz w:val="18"/>
                <w:szCs w:val="18"/>
              </w:rPr>
            </w:pPr>
            <w:r>
              <w:rPr>
                <w:rFonts w:ascii="Arial" w:hAnsi="Arial" w:cs="Arial"/>
                <w:b/>
                <w:bCs/>
                <w:sz w:val="18"/>
                <w:szCs w:val="18"/>
              </w:rPr>
              <w:t>S</w:t>
            </w:r>
            <w:r w:rsidRPr="00576180">
              <w:rPr>
                <w:rFonts w:ascii="Arial" w:hAnsi="Arial" w:cs="Arial"/>
                <w:b/>
                <w:bCs/>
                <w:sz w:val="18"/>
                <w:szCs w:val="18"/>
              </w:rPr>
              <w:t>ostenibilidad</w:t>
            </w:r>
            <w:r>
              <w:t xml:space="preserve"> y </w:t>
            </w:r>
            <w:r>
              <w:rPr>
                <w:rFonts w:ascii="Arial" w:hAnsi="Arial" w:cs="Arial"/>
                <w:b/>
                <w:bCs/>
                <w:sz w:val="18"/>
                <w:szCs w:val="18"/>
              </w:rPr>
              <w:t>Mitiga</w:t>
            </w:r>
            <w:r w:rsidRPr="00576180">
              <w:rPr>
                <w:rFonts w:ascii="Arial" w:hAnsi="Arial" w:cs="Arial"/>
                <w:b/>
                <w:bCs/>
                <w:sz w:val="18"/>
                <w:szCs w:val="18"/>
              </w:rPr>
              <w:t>ción</w:t>
            </w:r>
          </w:p>
        </w:tc>
      </w:tr>
      <w:tr w:rsidR="00265302" w:rsidRPr="00576180" w14:paraId="5AFFCF87" w14:textId="77777777" w:rsidTr="00437FB0">
        <w:trPr>
          <w:trHeight w:val="207"/>
        </w:trPr>
        <w:tc>
          <w:tcPr>
            <w:tcW w:w="4767" w:type="dxa"/>
            <w:tcBorders>
              <w:left w:val="single" w:sz="4" w:space="0" w:color="auto"/>
              <w:right w:val="single" w:sz="4" w:space="0" w:color="auto"/>
            </w:tcBorders>
            <w:vAlign w:val="center"/>
          </w:tcPr>
          <w:p w14:paraId="5A83A4F0" w14:textId="77777777" w:rsidR="00265302" w:rsidRPr="00576180" w:rsidRDefault="00265302" w:rsidP="00D4622F">
            <w:pPr>
              <w:rPr>
                <w:rFonts w:ascii="Arial" w:hAnsi="Arial" w:cs="Arial"/>
                <w:color w:val="000000" w:themeColor="text1"/>
                <w:sz w:val="18"/>
                <w:szCs w:val="18"/>
              </w:rPr>
            </w:pPr>
          </w:p>
        </w:tc>
        <w:tc>
          <w:tcPr>
            <w:tcW w:w="5643" w:type="dxa"/>
            <w:tcBorders>
              <w:left w:val="single" w:sz="4" w:space="0" w:color="auto"/>
              <w:right w:val="single" w:sz="4" w:space="0" w:color="auto"/>
            </w:tcBorders>
            <w:vAlign w:val="center"/>
          </w:tcPr>
          <w:p w14:paraId="075B7763" w14:textId="77777777" w:rsidR="00265302" w:rsidRPr="00576180" w:rsidRDefault="00265302" w:rsidP="00927150">
            <w:pPr>
              <w:jc w:val="both"/>
              <w:rPr>
                <w:rFonts w:ascii="Arial" w:hAnsi="Arial" w:cs="Arial"/>
                <w:sz w:val="18"/>
                <w:szCs w:val="18"/>
              </w:rPr>
            </w:pPr>
          </w:p>
        </w:tc>
      </w:tr>
      <w:tr w:rsidR="00265302" w:rsidRPr="00576180" w14:paraId="272CEFF1" w14:textId="77777777" w:rsidTr="00437FB0">
        <w:trPr>
          <w:trHeight w:val="20"/>
        </w:trPr>
        <w:tc>
          <w:tcPr>
            <w:tcW w:w="4767" w:type="dxa"/>
            <w:tcBorders>
              <w:top w:val="single" w:sz="4" w:space="0" w:color="auto"/>
            </w:tcBorders>
            <w:hideMark/>
          </w:tcPr>
          <w:p w14:paraId="515E633D" w14:textId="77777777" w:rsidR="00265302" w:rsidRPr="00576180" w:rsidRDefault="00265302" w:rsidP="00201A84">
            <w:pPr>
              <w:rPr>
                <w:rFonts w:ascii="Arial" w:hAnsi="Arial" w:cs="Arial"/>
                <w:sz w:val="18"/>
                <w:szCs w:val="18"/>
              </w:rPr>
            </w:pPr>
            <w:r w:rsidRPr="00576180">
              <w:rPr>
                <w:rFonts w:ascii="Arial" w:hAnsi="Arial" w:cs="Arial"/>
                <w:color w:val="000000" w:themeColor="text1"/>
                <w:sz w:val="18"/>
                <w:szCs w:val="18"/>
              </w:rPr>
              <w:t>1.1 Calidad y puntualidad de los informes presupuestarios del ejercicio en curso (Indicador 24 del PEFA 2009)</w:t>
            </w:r>
          </w:p>
        </w:tc>
        <w:tc>
          <w:tcPr>
            <w:tcW w:w="5643" w:type="dxa"/>
            <w:tcBorders>
              <w:top w:val="single" w:sz="4" w:space="0" w:color="auto"/>
            </w:tcBorders>
          </w:tcPr>
          <w:p w14:paraId="2D1203EA" w14:textId="39723D58" w:rsidR="00265302" w:rsidRPr="00576180" w:rsidRDefault="00265302" w:rsidP="00265302">
            <w:pPr>
              <w:jc w:val="both"/>
              <w:rPr>
                <w:rFonts w:ascii="Arial" w:hAnsi="Arial" w:cs="Arial"/>
                <w:sz w:val="18"/>
                <w:szCs w:val="18"/>
                <w:highlight w:val="yellow"/>
              </w:rPr>
            </w:pPr>
            <w:r w:rsidRPr="00BC76FE">
              <w:rPr>
                <w:rFonts w:ascii="Arial" w:hAnsi="Arial"/>
                <w:sz w:val="18"/>
              </w:rPr>
              <w:t>No alcanzado.</w:t>
            </w:r>
            <w:r w:rsidR="004F4E19" w:rsidRPr="00BC76FE" w:rsidDel="004F4E19">
              <w:rPr>
                <w:rFonts w:ascii="Arial" w:hAnsi="Arial"/>
                <w:sz w:val="18"/>
              </w:rPr>
              <w:t xml:space="preserve"> </w:t>
            </w:r>
          </w:p>
        </w:tc>
      </w:tr>
      <w:tr w:rsidR="00315AB7" w:rsidRPr="00576180" w14:paraId="5905FCA7" w14:textId="77777777" w:rsidTr="00437FB0">
        <w:trPr>
          <w:trHeight w:val="20"/>
        </w:trPr>
        <w:tc>
          <w:tcPr>
            <w:tcW w:w="4767" w:type="dxa"/>
            <w:hideMark/>
          </w:tcPr>
          <w:p w14:paraId="0B3A9C2F" w14:textId="77777777" w:rsidR="00315AB7" w:rsidRPr="00576180" w:rsidRDefault="00315AB7" w:rsidP="00315AB7">
            <w:pPr>
              <w:rPr>
                <w:rFonts w:ascii="Arial" w:eastAsia="Times New Roman" w:hAnsi="Arial" w:cs="Arial"/>
                <w:color w:val="000000"/>
                <w:sz w:val="18"/>
                <w:szCs w:val="18"/>
                <w:lang w:eastAsia="pt-BR"/>
              </w:rPr>
            </w:pPr>
            <w:r w:rsidRPr="00576180">
              <w:rPr>
                <w:rFonts w:ascii="Arial" w:hAnsi="Arial" w:cs="Arial"/>
                <w:color w:val="000000" w:themeColor="text1"/>
                <w:sz w:val="18"/>
                <w:szCs w:val="18"/>
              </w:rPr>
              <w:t>1.2 Disponibilidad de información sobre los recursos recibidos por las unidades de prestación de servicios (Indicador 23 del PEFA 2009)</w:t>
            </w:r>
          </w:p>
        </w:tc>
        <w:tc>
          <w:tcPr>
            <w:tcW w:w="5643" w:type="dxa"/>
          </w:tcPr>
          <w:p w14:paraId="6286660D" w14:textId="704E2E2A" w:rsidR="00315AB7" w:rsidRPr="00576180" w:rsidRDefault="00315AB7" w:rsidP="00315AB7">
            <w:pPr>
              <w:jc w:val="both"/>
              <w:rPr>
                <w:rFonts w:ascii="Arial" w:eastAsia="Times New Roman" w:hAnsi="Arial" w:cs="Arial"/>
                <w:color w:val="000000"/>
                <w:sz w:val="18"/>
                <w:szCs w:val="18"/>
                <w:lang w:eastAsia="pt-BR"/>
              </w:rPr>
            </w:pPr>
            <w:r w:rsidRPr="00BC76FE">
              <w:rPr>
                <w:rFonts w:ascii="Arial" w:hAnsi="Arial"/>
                <w:sz w:val="18"/>
              </w:rPr>
              <w:t>No alcanzado.</w:t>
            </w:r>
            <w:r w:rsidRPr="00BC76FE" w:rsidDel="004F4E19">
              <w:rPr>
                <w:rFonts w:ascii="Arial" w:hAnsi="Arial"/>
                <w:sz w:val="18"/>
              </w:rPr>
              <w:t xml:space="preserve"> </w:t>
            </w:r>
          </w:p>
        </w:tc>
      </w:tr>
      <w:tr w:rsidR="00315AB7" w:rsidRPr="00576180" w14:paraId="1C36146B" w14:textId="77777777" w:rsidTr="00437FB0">
        <w:trPr>
          <w:trHeight w:val="20"/>
        </w:trPr>
        <w:tc>
          <w:tcPr>
            <w:tcW w:w="4767" w:type="dxa"/>
          </w:tcPr>
          <w:p w14:paraId="6C01BEF1" w14:textId="77777777" w:rsidR="00315AB7" w:rsidRPr="00576180" w:rsidRDefault="00315AB7" w:rsidP="00315AB7">
            <w:pPr>
              <w:rPr>
                <w:rFonts w:ascii="Arial" w:eastAsia="Times New Roman" w:hAnsi="Arial" w:cs="Arial"/>
                <w:color w:val="000000"/>
                <w:sz w:val="18"/>
                <w:szCs w:val="18"/>
                <w:lang w:eastAsia="pt-BR"/>
              </w:rPr>
            </w:pPr>
            <w:r w:rsidRPr="00576180">
              <w:rPr>
                <w:rFonts w:ascii="Arial" w:hAnsi="Arial" w:cs="Arial"/>
                <w:sz w:val="18"/>
                <w:szCs w:val="18"/>
              </w:rPr>
              <w:t>1.3 Gestión del saldo y seguimiento de los atrasos de pagos (Indicador 4 del PEFA 2009)</w:t>
            </w:r>
          </w:p>
        </w:tc>
        <w:tc>
          <w:tcPr>
            <w:tcW w:w="5643" w:type="dxa"/>
          </w:tcPr>
          <w:p w14:paraId="1A071179" w14:textId="024DEDD5" w:rsidR="00315AB7" w:rsidRPr="00576180" w:rsidRDefault="00315AB7" w:rsidP="00315AB7">
            <w:pPr>
              <w:jc w:val="both"/>
              <w:rPr>
                <w:rFonts w:ascii="Arial" w:eastAsia="Times New Roman" w:hAnsi="Arial" w:cs="Arial"/>
                <w:color w:val="000000"/>
                <w:sz w:val="18"/>
                <w:szCs w:val="18"/>
                <w:lang w:eastAsia="pt-BR"/>
              </w:rPr>
            </w:pPr>
            <w:r w:rsidRPr="00BC76FE">
              <w:rPr>
                <w:rFonts w:ascii="Arial" w:hAnsi="Arial"/>
                <w:sz w:val="18"/>
              </w:rPr>
              <w:t>No alcanzado.</w:t>
            </w:r>
            <w:r w:rsidRPr="00BC76FE" w:rsidDel="004F4E19">
              <w:rPr>
                <w:rFonts w:ascii="Arial" w:hAnsi="Arial"/>
                <w:sz w:val="18"/>
              </w:rPr>
              <w:t xml:space="preserve"> </w:t>
            </w:r>
          </w:p>
        </w:tc>
      </w:tr>
      <w:tr w:rsidR="00315AB7" w:rsidRPr="00576180" w14:paraId="7106461F" w14:textId="77777777" w:rsidTr="00437FB0">
        <w:trPr>
          <w:trHeight w:val="20"/>
        </w:trPr>
        <w:tc>
          <w:tcPr>
            <w:tcW w:w="4767" w:type="dxa"/>
            <w:hideMark/>
          </w:tcPr>
          <w:p w14:paraId="6ED62395" w14:textId="77777777" w:rsidR="00315AB7" w:rsidRPr="00576180" w:rsidRDefault="00315AB7" w:rsidP="00315AB7">
            <w:pPr>
              <w:rPr>
                <w:rFonts w:ascii="Arial" w:eastAsia="Times New Roman" w:hAnsi="Arial" w:cs="Arial"/>
                <w:color w:val="000000"/>
                <w:sz w:val="18"/>
                <w:szCs w:val="18"/>
                <w:lang w:eastAsia="pt-BR"/>
              </w:rPr>
            </w:pPr>
            <w:r w:rsidRPr="00576180">
              <w:rPr>
                <w:rFonts w:ascii="Arial" w:hAnsi="Arial" w:cs="Arial"/>
                <w:sz w:val="18"/>
                <w:szCs w:val="18"/>
              </w:rPr>
              <w:t>2.1 Ahorro en costos de soporte para la operación del SIAF</w:t>
            </w:r>
          </w:p>
        </w:tc>
        <w:tc>
          <w:tcPr>
            <w:tcW w:w="5643" w:type="dxa"/>
          </w:tcPr>
          <w:p w14:paraId="28200FAE" w14:textId="0EDB9F4A" w:rsidR="00315AB7" w:rsidRPr="00576180" w:rsidRDefault="00315AB7" w:rsidP="00315AB7">
            <w:pPr>
              <w:jc w:val="both"/>
              <w:rPr>
                <w:rFonts w:ascii="Arial" w:eastAsia="Times New Roman" w:hAnsi="Arial" w:cs="Arial"/>
                <w:color w:val="000000"/>
                <w:sz w:val="18"/>
                <w:szCs w:val="18"/>
                <w:lang w:eastAsia="pt-BR"/>
              </w:rPr>
            </w:pPr>
            <w:r w:rsidRPr="00BC76FE">
              <w:rPr>
                <w:rFonts w:ascii="Arial" w:hAnsi="Arial"/>
                <w:color w:val="000000"/>
                <w:sz w:val="18"/>
              </w:rPr>
              <w:t xml:space="preserve">No alcanzado. </w:t>
            </w:r>
          </w:p>
        </w:tc>
      </w:tr>
      <w:tr w:rsidR="00315AB7" w:rsidRPr="00576180" w14:paraId="1B30707C" w14:textId="77777777" w:rsidTr="00437FB0">
        <w:trPr>
          <w:trHeight w:val="20"/>
        </w:trPr>
        <w:tc>
          <w:tcPr>
            <w:tcW w:w="4767" w:type="dxa"/>
          </w:tcPr>
          <w:p w14:paraId="59E18D58" w14:textId="77777777" w:rsidR="00315AB7" w:rsidRPr="00576180" w:rsidRDefault="00315AB7" w:rsidP="00315AB7">
            <w:pPr>
              <w:rPr>
                <w:rFonts w:ascii="Arial" w:eastAsia="Times New Roman" w:hAnsi="Arial" w:cs="Arial"/>
                <w:color w:val="000000"/>
                <w:sz w:val="18"/>
                <w:szCs w:val="18"/>
                <w:lang w:eastAsia="pt-BR"/>
              </w:rPr>
            </w:pPr>
            <w:r w:rsidRPr="00576180">
              <w:rPr>
                <w:rFonts w:ascii="Arial" w:hAnsi="Arial" w:cs="Arial"/>
                <w:sz w:val="18"/>
                <w:szCs w:val="18"/>
              </w:rPr>
              <w:t>2.2 Cobertura de los pagos electrónicos del sector público</w:t>
            </w:r>
          </w:p>
        </w:tc>
        <w:tc>
          <w:tcPr>
            <w:tcW w:w="5643" w:type="dxa"/>
          </w:tcPr>
          <w:p w14:paraId="3CF84308" w14:textId="77777777" w:rsidR="00315AB7" w:rsidRPr="00576180" w:rsidRDefault="00315AB7" w:rsidP="00315AB7">
            <w:pPr>
              <w:jc w:val="both"/>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Este resultado fue parcialmente alcanzado; sin embargo, existe una probabilidad muy alta que continúe mejorando. La OGIP informó que están en discusión alternativas de pagos para substituir los cheques en papel. </w:t>
            </w:r>
          </w:p>
        </w:tc>
      </w:tr>
      <w:tr w:rsidR="00315AB7" w:rsidRPr="00576180" w14:paraId="5F125779" w14:textId="77777777" w:rsidTr="00437FB0">
        <w:trPr>
          <w:trHeight w:val="20"/>
        </w:trPr>
        <w:tc>
          <w:tcPr>
            <w:tcW w:w="4767" w:type="dxa"/>
          </w:tcPr>
          <w:p w14:paraId="64CA8297" w14:textId="77777777" w:rsidR="00315AB7" w:rsidRPr="00576180" w:rsidRDefault="00315AB7" w:rsidP="00315AB7">
            <w:pPr>
              <w:rPr>
                <w:rFonts w:ascii="Arial" w:eastAsia="Times New Roman" w:hAnsi="Arial" w:cs="Arial"/>
                <w:color w:val="000000"/>
                <w:sz w:val="18"/>
                <w:szCs w:val="18"/>
                <w:lang w:eastAsia="pt-BR"/>
              </w:rPr>
            </w:pPr>
            <w:r w:rsidRPr="00576180">
              <w:rPr>
                <w:rFonts w:ascii="Arial" w:hAnsi="Arial" w:cs="Arial"/>
                <w:sz w:val="18"/>
                <w:szCs w:val="18"/>
              </w:rPr>
              <w:t>2.3 Porcentaje del total de cuentas bancarias incorporadas en la CUT</w:t>
            </w:r>
          </w:p>
        </w:tc>
        <w:tc>
          <w:tcPr>
            <w:tcW w:w="5643" w:type="dxa"/>
          </w:tcPr>
          <w:p w14:paraId="4800BAFD" w14:textId="6C9EBC4C" w:rsidR="00315AB7" w:rsidRPr="00576180" w:rsidRDefault="00315AB7" w:rsidP="00315AB7">
            <w:pPr>
              <w:jc w:val="both"/>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Alcanzado parcialmente. 90% de los recursos del presupuesto del gobierno central y subnacional son gestionado a través de la CUT. Los recursos que no se encuentran en la CUT son principalmente de las regalías del canon mineros recibos por los gobiernos subnacionales. Es baja la probabilidad de que ocurra deterioro en los avances de la CUT. </w:t>
            </w:r>
          </w:p>
        </w:tc>
      </w:tr>
      <w:tr w:rsidR="00315AB7" w:rsidRPr="00576180" w14:paraId="5F4E22E9" w14:textId="77777777" w:rsidTr="00437FB0">
        <w:trPr>
          <w:trHeight w:val="20"/>
        </w:trPr>
        <w:tc>
          <w:tcPr>
            <w:tcW w:w="4767" w:type="dxa"/>
            <w:shd w:val="clear" w:color="auto" w:fill="auto"/>
          </w:tcPr>
          <w:p w14:paraId="4EDC1157" w14:textId="77777777" w:rsidR="00315AB7" w:rsidRPr="00576180" w:rsidRDefault="00315AB7" w:rsidP="00315AB7">
            <w:pPr>
              <w:jc w:val="both"/>
              <w:rPr>
                <w:rFonts w:ascii="Arial" w:eastAsia="Times New Roman" w:hAnsi="Arial" w:cs="Arial"/>
                <w:color w:val="000000"/>
                <w:sz w:val="18"/>
                <w:szCs w:val="18"/>
                <w:lang w:eastAsia="pt-BR"/>
              </w:rPr>
            </w:pPr>
            <w:r w:rsidRPr="00576180">
              <w:rPr>
                <w:rFonts w:ascii="Arial" w:hAnsi="Arial" w:cs="Arial"/>
                <w:sz w:val="18"/>
                <w:szCs w:val="18"/>
              </w:rPr>
              <w:t xml:space="preserve">2.4 Porcentaje de asientos contables automatizados </w:t>
            </w:r>
          </w:p>
        </w:tc>
        <w:tc>
          <w:tcPr>
            <w:tcW w:w="5643" w:type="dxa"/>
            <w:shd w:val="clear" w:color="auto" w:fill="auto"/>
          </w:tcPr>
          <w:p w14:paraId="6B921C22" w14:textId="4AAF83C8" w:rsidR="00315AB7" w:rsidRPr="00576180" w:rsidRDefault="00315AB7" w:rsidP="00315AB7">
            <w:pPr>
              <w:jc w:val="both"/>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No alcanzado.</w:t>
            </w:r>
            <w:r w:rsidRPr="00576180">
              <w:rPr>
                <w:rFonts w:ascii="Arial" w:eastAsia="Times New Roman" w:hAnsi="Arial" w:cs="Arial"/>
                <w:color w:val="000000"/>
                <w:sz w:val="18"/>
                <w:szCs w:val="18"/>
                <w:lang w:eastAsia="pt-BR"/>
              </w:rPr>
              <w:t xml:space="preserve"> </w:t>
            </w:r>
          </w:p>
        </w:tc>
      </w:tr>
      <w:tr w:rsidR="00315AB7" w:rsidRPr="00576180" w14:paraId="76AE6991" w14:textId="77777777" w:rsidTr="00437FB0">
        <w:trPr>
          <w:trHeight w:val="20"/>
        </w:trPr>
        <w:tc>
          <w:tcPr>
            <w:tcW w:w="4767" w:type="dxa"/>
            <w:shd w:val="clear" w:color="auto" w:fill="auto"/>
          </w:tcPr>
          <w:p w14:paraId="6848FE3B" w14:textId="77777777" w:rsidR="00315AB7" w:rsidRPr="00576180" w:rsidRDefault="00315AB7" w:rsidP="00315AB7">
            <w:pPr>
              <w:jc w:val="both"/>
              <w:rPr>
                <w:rFonts w:ascii="Arial" w:eastAsia="Times New Roman" w:hAnsi="Arial" w:cs="Arial"/>
                <w:color w:val="000000"/>
                <w:sz w:val="18"/>
                <w:szCs w:val="18"/>
                <w:lang w:eastAsia="pt-BR"/>
              </w:rPr>
            </w:pPr>
            <w:r w:rsidRPr="00576180">
              <w:rPr>
                <w:rFonts w:ascii="Arial" w:hAnsi="Arial" w:cs="Arial"/>
                <w:sz w:val="18"/>
                <w:szCs w:val="18"/>
              </w:rPr>
              <w:t>2.5 Oportunidad de los estados financieros (tiempos de preparación y envío al MEF de los estados financieros intermedios y anuales)</w:t>
            </w:r>
          </w:p>
        </w:tc>
        <w:tc>
          <w:tcPr>
            <w:tcW w:w="5643" w:type="dxa"/>
            <w:shd w:val="clear" w:color="auto" w:fill="auto"/>
          </w:tcPr>
          <w:p w14:paraId="534E1CA9" w14:textId="4524510B" w:rsidR="00315AB7" w:rsidRPr="00576180" w:rsidRDefault="00315AB7" w:rsidP="00315AB7">
            <w:pPr>
              <w:jc w:val="both"/>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No alcanzado</w:t>
            </w:r>
          </w:p>
        </w:tc>
      </w:tr>
      <w:tr w:rsidR="00315AB7" w:rsidRPr="00576180" w14:paraId="38EC7D0F" w14:textId="77777777" w:rsidTr="00437FB0">
        <w:trPr>
          <w:trHeight w:val="20"/>
        </w:trPr>
        <w:tc>
          <w:tcPr>
            <w:tcW w:w="4767" w:type="dxa"/>
            <w:shd w:val="clear" w:color="auto" w:fill="auto"/>
          </w:tcPr>
          <w:p w14:paraId="6248BE64" w14:textId="77777777" w:rsidR="00315AB7" w:rsidRPr="00576180" w:rsidRDefault="00315AB7" w:rsidP="00315AB7">
            <w:pPr>
              <w:jc w:val="both"/>
              <w:rPr>
                <w:rFonts w:ascii="Arial" w:hAnsi="Arial" w:cs="Arial"/>
                <w:sz w:val="18"/>
                <w:szCs w:val="18"/>
              </w:rPr>
            </w:pPr>
            <w:r w:rsidRPr="00576180">
              <w:rPr>
                <w:rFonts w:ascii="Arial" w:hAnsi="Arial" w:cs="Arial"/>
                <w:sz w:val="18"/>
                <w:szCs w:val="18"/>
              </w:rPr>
              <w:t xml:space="preserve">3.1 Cobertura de </w:t>
            </w:r>
            <w:proofErr w:type="spellStart"/>
            <w:r w:rsidRPr="00576180">
              <w:rPr>
                <w:rFonts w:ascii="Arial" w:hAnsi="Arial" w:cs="Arial"/>
                <w:sz w:val="18"/>
                <w:szCs w:val="18"/>
              </w:rPr>
              <w:t>PpR</w:t>
            </w:r>
            <w:proofErr w:type="spellEnd"/>
            <w:r w:rsidRPr="00576180">
              <w:rPr>
                <w:rFonts w:ascii="Arial" w:hAnsi="Arial" w:cs="Arial"/>
                <w:sz w:val="18"/>
                <w:szCs w:val="18"/>
              </w:rPr>
              <w:t xml:space="preserve"> comparado con el total del gasto no financiero ni previsional del presupuesto del gobierno general</w:t>
            </w:r>
          </w:p>
        </w:tc>
        <w:tc>
          <w:tcPr>
            <w:tcW w:w="5643" w:type="dxa"/>
            <w:shd w:val="clear" w:color="auto" w:fill="auto"/>
          </w:tcPr>
          <w:p w14:paraId="1BBCE6BC" w14:textId="77777777" w:rsidR="00315AB7" w:rsidRPr="00576180" w:rsidRDefault="00315AB7" w:rsidP="00315AB7">
            <w:pPr>
              <w:jc w:val="both"/>
              <w:rPr>
                <w:rFonts w:ascii="Arial" w:eastAsia="Times New Roman" w:hAnsi="Arial" w:cs="Arial"/>
                <w:color w:val="000000"/>
                <w:sz w:val="18"/>
                <w:szCs w:val="18"/>
                <w:lang w:eastAsia="pt-BR"/>
              </w:rPr>
            </w:pPr>
            <w:r w:rsidRPr="00576180">
              <w:rPr>
                <w:rFonts w:ascii="Arial" w:eastAsia="Times New Roman" w:hAnsi="Arial" w:cs="Arial"/>
                <w:color w:val="000000"/>
                <w:sz w:val="18"/>
                <w:szCs w:val="18"/>
                <w:lang w:eastAsia="pt-BR"/>
              </w:rPr>
              <w:t>Esta actividad está institucionalizada y la tendencia es que se incremente a nivel de todo el gobierno general.</w:t>
            </w:r>
          </w:p>
        </w:tc>
      </w:tr>
    </w:tbl>
    <w:p w14:paraId="72496447" w14:textId="77777777" w:rsidR="00F14D63" w:rsidRPr="00576180" w:rsidRDefault="00F14D63" w:rsidP="00D17FF5">
      <w:pPr>
        <w:pStyle w:val="Heading3"/>
        <w:numPr>
          <w:ilvl w:val="0"/>
          <w:numId w:val="44"/>
        </w:numPr>
        <w:spacing w:before="120" w:after="120" w:line="240" w:lineRule="auto"/>
        <w:ind w:left="720"/>
        <w:rPr>
          <w:rFonts w:ascii="Arial" w:hAnsi="Arial" w:cs="Arial"/>
          <w:b/>
          <w:color w:val="000000" w:themeColor="text1"/>
          <w:sz w:val="22"/>
          <w:szCs w:val="22"/>
        </w:rPr>
      </w:pPr>
      <w:bookmarkStart w:id="202" w:name="_Toc506975002"/>
      <w:bookmarkStart w:id="203" w:name="_Toc512433755"/>
      <w:bookmarkStart w:id="204" w:name="_Toc514236644"/>
      <w:bookmarkStart w:id="205" w:name="_Toc516767405"/>
      <w:bookmarkStart w:id="206" w:name="_Toc517707182"/>
      <w:bookmarkStart w:id="207" w:name="_Toc533166447"/>
      <w:bookmarkStart w:id="208" w:name="_Toc20432472"/>
      <w:bookmarkStart w:id="209" w:name="_Toc21017066"/>
      <w:r w:rsidRPr="00576180">
        <w:rPr>
          <w:rFonts w:ascii="Arial" w:hAnsi="Arial" w:cs="Arial"/>
          <w:b/>
          <w:color w:val="000000" w:themeColor="text1"/>
          <w:sz w:val="22"/>
          <w:szCs w:val="22"/>
        </w:rPr>
        <w:t xml:space="preserve">Salvaguardias </w:t>
      </w:r>
      <w:r w:rsidR="008B17E7" w:rsidRPr="00576180">
        <w:rPr>
          <w:rFonts w:ascii="Arial" w:hAnsi="Arial" w:cs="Arial"/>
          <w:b/>
          <w:color w:val="000000" w:themeColor="text1"/>
          <w:sz w:val="22"/>
          <w:szCs w:val="22"/>
        </w:rPr>
        <w:t>a</w:t>
      </w:r>
      <w:r w:rsidRPr="00576180">
        <w:rPr>
          <w:rFonts w:ascii="Arial" w:hAnsi="Arial" w:cs="Arial"/>
          <w:b/>
          <w:color w:val="000000" w:themeColor="text1"/>
          <w:sz w:val="22"/>
          <w:szCs w:val="22"/>
        </w:rPr>
        <w:t xml:space="preserve">mbientales y </w:t>
      </w:r>
      <w:r w:rsidR="008B17E7" w:rsidRPr="00576180">
        <w:rPr>
          <w:rFonts w:ascii="Arial" w:hAnsi="Arial" w:cs="Arial"/>
          <w:b/>
          <w:color w:val="000000" w:themeColor="text1"/>
          <w:sz w:val="22"/>
          <w:szCs w:val="22"/>
        </w:rPr>
        <w:t>s</w:t>
      </w:r>
      <w:r w:rsidRPr="00576180">
        <w:rPr>
          <w:rFonts w:ascii="Arial" w:hAnsi="Arial" w:cs="Arial"/>
          <w:b/>
          <w:color w:val="000000" w:themeColor="text1"/>
          <w:sz w:val="22"/>
          <w:szCs w:val="22"/>
        </w:rPr>
        <w:t>ociales</w:t>
      </w:r>
      <w:bookmarkEnd w:id="202"/>
      <w:bookmarkEnd w:id="203"/>
      <w:bookmarkEnd w:id="204"/>
      <w:bookmarkEnd w:id="205"/>
      <w:bookmarkEnd w:id="206"/>
      <w:bookmarkEnd w:id="207"/>
      <w:bookmarkEnd w:id="208"/>
      <w:bookmarkEnd w:id="209"/>
    </w:p>
    <w:p w14:paraId="0498E903" w14:textId="0DD0A750" w:rsidR="00862D37" w:rsidRPr="00576180" w:rsidRDefault="00F14D63" w:rsidP="00D17FF5">
      <w:pPr>
        <w:pStyle w:val="ListParagraph"/>
        <w:tabs>
          <w:tab w:val="left" w:pos="9000"/>
        </w:tabs>
        <w:spacing w:before="120" w:after="120" w:line="240" w:lineRule="auto"/>
        <w:ind w:left="360"/>
        <w:contextualSpacing w:val="0"/>
        <w:jc w:val="both"/>
        <w:rPr>
          <w:rFonts w:ascii="Arial" w:hAnsi="Arial" w:cs="Arial"/>
        </w:rPr>
      </w:pPr>
      <w:r w:rsidRPr="00576180">
        <w:rPr>
          <w:rFonts w:ascii="Arial" w:hAnsi="Arial" w:cs="Arial"/>
        </w:rPr>
        <w:t>Por sus características de</w:t>
      </w:r>
      <w:r w:rsidR="00C12A07" w:rsidRPr="00576180">
        <w:rPr>
          <w:rFonts w:ascii="Arial" w:hAnsi="Arial" w:cs="Arial"/>
        </w:rPr>
        <w:t xml:space="preserve"> desarrollo de sistemas y</w:t>
      </w:r>
      <w:r w:rsidRPr="00576180">
        <w:rPr>
          <w:rFonts w:ascii="Arial" w:hAnsi="Arial" w:cs="Arial"/>
        </w:rPr>
        <w:t xml:space="preserve"> fortalecimiento institucional, </w:t>
      </w:r>
      <w:r w:rsidR="005C23A2" w:rsidRPr="00576180">
        <w:rPr>
          <w:rFonts w:ascii="Arial" w:hAnsi="Arial" w:cs="Arial"/>
        </w:rPr>
        <w:t xml:space="preserve">la </w:t>
      </w:r>
      <w:r w:rsidR="00033BF2" w:rsidRPr="00576180">
        <w:rPr>
          <w:rFonts w:ascii="Arial" w:hAnsi="Arial" w:cs="Arial"/>
        </w:rPr>
        <w:t>operaci</w:t>
      </w:r>
      <w:r w:rsidR="005C23A2" w:rsidRPr="00576180">
        <w:rPr>
          <w:rFonts w:ascii="Arial" w:hAnsi="Arial" w:cs="Arial"/>
        </w:rPr>
        <w:t>ó</w:t>
      </w:r>
      <w:r w:rsidR="00033BF2" w:rsidRPr="00576180">
        <w:rPr>
          <w:rFonts w:ascii="Arial" w:hAnsi="Arial" w:cs="Arial"/>
        </w:rPr>
        <w:t>n</w:t>
      </w:r>
      <w:r w:rsidR="00EE2EE0" w:rsidRPr="00576180">
        <w:rPr>
          <w:rFonts w:ascii="Arial" w:hAnsi="Arial" w:cs="Arial"/>
        </w:rPr>
        <w:t xml:space="preserve"> </w:t>
      </w:r>
      <w:r w:rsidRPr="00576180">
        <w:rPr>
          <w:rFonts w:ascii="Arial" w:hAnsi="Arial" w:cs="Arial"/>
        </w:rPr>
        <w:t>fue calificad</w:t>
      </w:r>
      <w:r w:rsidR="00FF4461" w:rsidRPr="00576180">
        <w:rPr>
          <w:rFonts w:ascii="Arial" w:hAnsi="Arial" w:cs="Arial"/>
        </w:rPr>
        <w:t>a</w:t>
      </w:r>
      <w:r w:rsidRPr="00576180">
        <w:rPr>
          <w:rFonts w:ascii="Arial" w:hAnsi="Arial" w:cs="Arial"/>
        </w:rPr>
        <w:t xml:space="preserve"> como C, de conformidad con </w:t>
      </w:r>
      <w:r w:rsidR="00033BF2" w:rsidRPr="00576180">
        <w:rPr>
          <w:rFonts w:ascii="Arial" w:hAnsi="Arial" w:cs="Arial"/>
        </w:rPr>
        <w:t xml:space="preserve">la </w:t>
      </w:r>
      <w:r w:rsidRPr="00576180">
        <w:rPr>
          <w:rFonts w:ascii="Arial" w:hAnsi="Arial" w:cs="Arial"/>
        </w:rPr>
        <w:t xml:space="preserve">Política OP-703 de Medio Ambiente y de Cumplimiento </w:t>
      </w:r>
      <w:r w:rsidR="00033BF2" w:rsidRPr="00576180">
        <w:rPr>
          <w:rFonts w:ascii="Arial" w:hAnsi="Arial" w:cs="Arial"/>
        </w:rPr>
        <w:t xml:space="preserve">de </w:t>
      </w:r>
      <w:r w:rsidRPr="00576180">
        <w:rPr>
          <w:rFonts w:ascii="Arial" w:hAnsi="Arial" w:cs="Arial"/>
        </w:rPr>
        <w:t xml:space="preserve">Salvaguardias. Por tal razón, no fue necesario elaborar un plan para mitigar y monitorear el impacto ambiental </w:t>
      </w:r>
      <w:r w:rsidR="00C12A07" w:rsidRPr="00576180">
        <w:rPr>
          <w:rFonts w:ascii="Arial" w:hAnsi="Arial" w:cs="Arial"/>
        </w:rPr>
        <w:t>de la operación</w:t>
      </w:r>
      <w:r w:rsidRPr="00576180">
        <w:rPr>
          <w:rFonts w:ascii="Arial" w:hAnsi="Arial" w:cs="Arial"/>
        </w:rPr>
        <w:t xml:space="preserve">. </w:t>
      </w:r>
    </w:p>
    <w:p w14:paraId="792FDD3F" w14:textId="75BF17AD" w:rsidR="002B5DED" w:rsidRPr="00576180" w:rsidRDefault="00FA59AD" w:rsidP="00D17FF5">
      <w:pPr>
        <w:pStyle w:val="ListParagraph"/>
        <w:tabs>
          <w:tab w:val="left" w:pos="9000"/>
        </w:tabs>
        <w:spacing w:before="120" w:after="120" w:line="240" w:lineRule="auto"/>
        <w:ind w:left="360"/>
        <w:contextualSpacing w:val="0"/>
        <w:jc w:val="both"/>
        <w:rPr>
          <w:rFonts w:ascii="Arial" w:hAnsi="Arial" w:cs="Arial"/>
          <w:color w:val="000000" w:themeColor="text1"/>
        </w:rPr>
      </w:pPr>
      <w:r>
        <w:rPr>
          <w:rFonts w:ascii="Arial" w:hAnsi="Arial" w:cs="Arial"/>
          <w:bCs/>
          <w:color w:val="000000" w:themeColor="text1"/>
        </w:rPr>
        <w:t>En cuanto a los riesgos de sostenibilidad de los resultados del proyecto, d</w:t>
      </w:r>
      <w:r>
        <w:rPr>
          <w:rFonts w:ascii="Arial" w:hAnsi="Arial" w:cs="Arial"/>
          <w:color w:val="000000" w:themeColor="text1"/>
        </w:rPr>
        <w:t>e</w:t>
      </w:r>
      <w:r w:rsidR="005479C4">
        <w:rPr>
          <w:rFonts w:ascii="Arial" w:hAnsi="Arial" w:cs="Arial"/>
          <w:color w:val="000000" w:themeColor="text1"/>
        </w:rPr>
        <w:t xml:space="preserve"> acuerdo con </w:t>
      </w:r>
      <w:r>
        <w:rPr>
          <w:rFonts w:ascii="Arial" w:hAnsi="Arial" w:cs="Arial"/>
          <w:color w:val="000000" w:themeColor="text1"/>
        </w:rPr>
        <w:t>la Tabla 10</w:t>
      </w:r>
      <w:r w:rsidR="005479C4">
        <w:rPr>
          <w:rFonts w:ascii="Arial" w:hAnsi="Arial" w:cs="Arial"/>
          <w:color w:val="000000" w:themeColor="text1"/>
        </w:rPr>
        <w:t>, el</w:t>
      </w:r>
      <w:r>
        <w:rPr>
          <w:rFonts w:ascii="Arial" w:hAnsi="Arial" w:cs="Arial"/>
          <w:color w:val="000000" w:themeColor="text1"/>
        </w:rPr>
        <w:t xml:space="preserve"> equipo de proyecto considera que la clasificación es </w:t>
      </w:r>
      <w:r w:rsidR="00C52324">
        <w:rPr>
          <w:rFonts w:ascii="Arial" w:hAnsi="Arial" w:cs="Arial"/>
          <w:color w:val="000000" w:themeColor="text1"/>
        </w:rPr>
        <w:t>excelente</w:t>
      </w:r>
      <w:r>
        <w:rPr>
          <w:rFonts w:ascii="Arial" w:hAnsi="Arial" w:cs="Arial"/>
          <w:color w:val="000000" w:themeColor="text1"/>
        </w:rPr>
        <w:t xml:space="preserve">, debido a </w:t>
      </w:r>
      <w:r w:rsidR="00891F5A">
        <w:rPr>
          <w:rFonts w:ascii="Arial" w:hAnsi="Arial" w:cs="Arial"/>
          <w:color w:val="000000" w:themeColor="text1"/>
        </w:rPr>
        <w:t>que,</w:t>
      </w:r>
      <w:r>
        <w:rPr>
          <w:rFonts w:ascii="Arial" w:hAnsi="Arial" w:cs="Arial"/>
          <w:color w:val="000000" w:themeColor="text1"/>
        </w:rPr>
        <w:t xml:space="preserve"> </w:t>
      </w:r>
      <w:r w:rsidR="00C52324">
        <w:rPr>
          <w:rFonts w:ascii="Arial" w:hAnsi="Arial" w:cs="Arial"/>
          <w:color w:val="000000" w:themeColor="text1"/>
        </w:rPr>
        <w:t>d</w:t>
      </w:r>
      <w:r w:rsidR="00C52324" w:rsidRPr="00C52324">
        <w:rPr>
          <w:rFonts w:ascii="Arial" w:hAnsi="Arial" w:cs="Arial"/>
          <w:color w:val="000000" w:themeColor="text1"/>
        </w:rPr>
        <w:t xml:space="preserve">e los </w:t>
      </w:r>
      <w:r w:rsidR="003D267E">
        <w:rPr>
          <w:rFonts w:ascii="Arial" w:hAnsi="Arial" w:cs="Arial"/>
          <w:color w:val="000000" w:themeColor="text1"/>
        </w:rPr>
        <w:t>3</w:t>
      </w:r>
      <w:r w:rsidR="003D267E" w:rsidRPr="00C52324">
        <w:rPr>
          <w:rFonts w:ascii="Arial" w:hAnsi="Arial" w:cs="Arial"/>
          <w:color w:val="000000" w:themeColor="text1"/>
        </w:rPr>
        <w:t xml:space="preserve"> </w:t>
      </w:r>
      <w:r w:rsidR="00C52324" w:rsidRPr="00C52324">
        <w:rPr>
          <w:rFonts w:ascii="Arial" w:hAnsi="Arial" w:cs="Arial"/>
          <w:color w:val="000000" w:themeColor="text1"/>
        </w:rPr>
        <w:t>resultados alcanzados</w:t>
      </w:r>
      <w:r w:rsidR="00891F5A">
        <w:rPr>
          <w:rFonts w:ascii="Arial" w:hAnsi="Arial" w:cs="Arial"/>
          <w:color w:val="000000" w:themeColor="text1"/>
        </w:rPr>
        <w:t>,</w:t>
      </w:r>
      <w:r w:rsidR="00C52324" w:rsidRPr="00C52324">
        <w:rPr>
          <w:rFonts w:ascii="Arial" w:hAnsi="Arial" w:cs="Arial"/>
          <w:color w:val="000000" w:themeColor="text1"/>
        </w:rPr>
        <w:t xml:space="preserve"> todos tienen baja probabilidad de </w:t>
      </w:r>
      <w:r w:rsidR="00942B0D" w:rsidRPr="00C52324">
        <w:rPr>
          <w:rFonts w:ascii="Arial" w:hAnsi="Arial" w:cs="Arial"/>
          <w:color w:val="000000" w:themeColor="text1"/>
        </w:rPr>
        <w:t>deterioro</w:t>
      </w:r>
      <w:r w:rsidR="00942B0D" w:rsidRPr="00C52324" w:rsidDel="00C52324">
        <w:rPr>
          <w:rFonts w:ascii="Arial" w:hAnsi="Arial" w:cs="Arial"/>
          <w:color w:val="000000" w:themeColor="text1"/>
        </w:rPr>
        <w:t>.</w:t>
      </w:r>
    </w:p>
    <w:tbl>
      <w:tblPr>
        <w:tblStyle w:val="TableGrid"/>
        <w:tblW w:w="8730" w:type="dxa"/>
        <w:tblInd w:w="715" w:type="dxa"/>
        <w:tblLayout w:type="fixed"/>
        <w:tblLook w:val="04A0" w:firstRow="1" w:lastRow="0" w:firstColumn="1" w:lastColumn="0" w:noHBand="0" w:noVBand="1"/>
      </w:tblPr>
      <w:tblGrid>
        <w:gridCol w:w="1715"/>
        <w:gridCol w:w="6205"/>
        <w:gridCol w:w="810"/>
      </w:tblGrid>
      <w:tr w:rsidR="00B95093" w:rsidRPr="00576180" w14:paraId="24BE0D12" w14:textId="77777777" w:rsidTr="00B95093">
        <w:tc>
          <w:tcPr>
            <w:tcW w:w="8730" w:type="dxa"/>
            <w:gridSpan w:val="3"/>
            <w:tcBorders>
              <w:top w:val="nil"/>
              <w:left w:val="nil"/>
              <w:bottom w:val="single" w:sz="4" w:space="0" w:color="auto"/>
              <w:right w:val="nil"/>
            </w:tcBorders>
            <w:vAlign w:val="center"/>
          </w:tcPr>
          <w:p w14:paraId="3C47ACD4" w14:textId="440BFA9A" w:rsidR="00B95093" w:rsidRPr="00576180" w:rsidRDefault="00CD37EB" w:rsidP="00B95093">
            <w:pPr>
              <w:pStyle w:val="ListParagraph"/>
              <w:spacing w:before="120" w:after="40"/>
              <w:ind w:left="360"/>
              <w:jc w:val="center"/>
              <w:rPr>
                <w:rFonts w:ascii="Arial" w:hAnsi="Arial" w:cs="Arial"/>
              </w:rPr>
            </w:pPr>
            <w:r w:rsidRPr="00576180">
              <w:rPr>
                <w:rFonts w:ascii="Arial" w:hAnsi="Arial" w:cs="Arial"/>
                <w:b/>
              </w:rPr>
              <w:t>Tabla 1</w:t>
            </w:r>
            <w:r w:rsidR="001927B8" w:rsidRPr="00576180">
              <w:rPr>
                <w:rFonts w:ascii="Arial" w:hAnsi="Arial" w:cs="Arial"/>
                <w:b/>
              </w:rPr>
              <w:t>1</w:t>
            </w:r>
            <w:r w:rsidR="00AF481A" w:rsidRPr="00576180">
              <w:rPr>
                <w:rFonts w:ascii="Arial" w:hAnsi="Arial" w:cs="Arial"/>
                <w:b/>
              </w:rPr>
              <w:t xml:space="preserve">. </w:t>
            </w:r>
            <w:r w:rsidR="00B95093" w:rsidRPr="00576180">
              <w:rPr>
                <w:rFonts w:ascii="Arial" w:hAnsi="Arial" w:cs="Arial"/>
                <w:b/>
              </w:rPr>
              <w:t xml:space="preserve">Clasificación de la </w:t>
            </w:r>
            <w:r w:rsidR="00F029BE" w:rsidRPr="00576180">
              <w:rPr>
                <w:rFonts w:ascii="Arial" w:hAnsi="Arial" w:cs="Arial"/>
                <w:b/>
              </w:rPr>
              <w:t>s</w:t>
            </w:r>
            <w:r w:rsidR="00B95093" w:rsidRPr="00576180">
              <w:rPr>
                <w:rFonts w:ascii="Arial" w:hAnsi="Arial" w:cs="Arial"/>
                <w:b/>
              </w:rPr>
              <w:t>ostenibilidad (</w:t>
            </w:r>
            <w:r w:rsidR="00F029BE" w:rsidRPr="00576180">
              <w:rPr>
                <w:rFonts w:ascii="Arial" w:hAnsi="Arial" w:cs="Arial"/>
                <w:b/>
              </w:rPr>
              <w:t>p</w:t>
            </w:r>
            <w:r w:rsidR="00B95093" w:rsidRPr="00576180">
              <w:rPr>
                <w:rFonts w:ascii="Arial" w:hAnsi="Arial" w:cs="Arial"/>
                <w:b/>
              </w:rPr>
              <w:t>eso 20%)</w:t>
            </w:r>
          </w:p>
        </w:tc>
      </w:tr>
      <w:tr w:rsidR="00B95093" w:rsidRPr="00576180" w14:paraId="299B8C99" w14:textId="77777777" w:rsidTr="005479C4">
        <w:tc>
          <w:tcPr>
            <w:tcW w:w="1715" w:type="dxa"/>
            <w:tcBorders>
              <w:top w:val="single" w:sz="4" w:space="0" w:color="auto"/>
            </w:tcBorders>
            <w:vAlign w:val="center"/>
          </w:tcPr>
          <w:p w14:paraId="2A082D07" w14:textId="5F14EBF5" w:rsidR="00B95093" w:rsidRPr="00576180" w:rsidRDefault="00954759" w:rsidP="00C41357">
            <w:pPr>
              <w:pStyle w:val="TableParagraph"/>
              <w:spacing w:line="187" w:lineRule="exact"/>
              <w:ind w:left="70" w:right="62" w:firstLine="60"/>
              <w:rPr>
                <w:b/>
                <w:sz w:val="18"/>
                <w:szCs w:val="18"/>
                <w:lang w:val="es-ES_tradnl"/>
              </w:rPr>
            </w:pPr>
            <w:r>
              <w:rPr>
                <w:b/>
                <w:sz w:val="18"/>
                <w:szCs w:val="18"/>
                <w:lang w:val="es-ES_tradnl"/>
              </w:rPr>
              <w:t xml:space="preserve">Parcialmente </w:t>
            </w:r>
            <w:r w:rsidR="005479C4">
              <w:rPr>
                <w:b/>
                <w:sz w:val="18"/>
                <w:szCs w:val="18"/>
                <w:lang w:val="es-ES_tradnl"/>
              </w:rPr>
              <w:t>Insatisfactoria</w:t>
            </w:r>
          </w:p>
        </w:tc>
        <w:tc>
          <w:tcPr>
            <w:tcW w:w="6205" w:type="dxa"/>
            <w:tcBorders>
              <w:top w:val="single" w:sz="4" w:space="0" w:color="auto"/>
            </w:tcBorders>
          </w:tcPr>
          <w:p w14:paraId="16B435F2" w14:textId="7CBB0F48" w:rsidR="00B95093" w:rsidRPr="00576180" w:rsidRDefault="00315AB7" w:rsidP="00C41357">
            <w:pPr>
              <w:pStyle w:val="TableParagraph"/>
              <w:spacing w:line="187" w:lineRule="exact"/>
              <w:ind w:left="70" w:right="62"/>
              <w:jc w:val="both"/>
              <w:rPr>
                <w:sz w:val="18"/>
                <w:szCs w:val="18"/>
                <w:lang w:val="es-ES_tradnl"/>
              </w:rPr>
            </w:pPr>
            <w:r w:rsidRPr="00315AB7">
              <w:rPr>
                <w:sz w:val="18"/>
                <w:szCs w:val="18"/>
                <w:lang w:val="es-ES_tradnl"/>
              </w:rPr>
              <w:t xml:space="preserve">De los 3 resultados alcanzados (1 totalmente y 2 parcialmente) todos tienen baja probabilidad de deterioro. Los 6 otros resultados no fueron alcanzados.   </w:t>
            </w:r>
          </w:p>
        </w:tc>
        <w:tc>
          <w:tcPr>
            <w:tcW w:w="810" w:type="dxa"/>
            <w:tcBorders>
              <w:top w:val="single" w:sz="4" w:space="0" w:color="auto"/>
            </w:tcBorders>
            <w:vAlign w:val="center"/>
          </w:tcPr>
          <w:p w14:paraId="1A863492" w14:textId="52069920" w:rsidR="00B95093" w:rsidRPr="00576180" w:rsidRDefault="008455E8" w:rsidP="00C41357">
            <w:pPr>
              <w:pStyle w:val="TableParagraph"/>
              <w:spacing w:line="187" w:lineRule="exact"/>
              <w:ind w:left="-15" w:right="62" w:firstLine="15"/>
              <w:jc w:val="center"/>
              <w:rPr>
                <w:b/>
                <w:sz w:val="18"/>
                <w:szCs w:val="18"/>
                <w:lang w:val="es-ES_tradnl"/>
              </w:rPr>
            </w:pPr>
            <w:r>
              <w:rPr>
                <w:b/>
                <w:sz w:val="18"/>
                <w:szCs w:val="18"/>
                <w:lang w:val="es-ES_tradnl"/>
              </w:rPr>
              <w:t>4</w:t>
            </w:r>
          </w:p>
        </w:tc>
      </w:tr>
    </w:tbl>
    <w:p w14:paraId="39127B37" w14:textId="77777777" w:rsidR="0012074C" w:rsidRPr="00576180" w:rsidRDefault="0012074C" w:rsidP="00D17FF5">
      <w:pPr>
        <w:pStyle w:val="Heading2"/>
        <w:numPr>
          <w:ilvl w:val="0"/>
          <w:numId w:val="54"/>
        </w:numPr>
        <w:spacing w:before="120" w:after="120" w:line="240" w:lineRule="auto"/>
        <w:ind w:left="720" w:hanging="720"/>
        <w:rPr>
          <w:rFonts w:ascii="Arial" w:hAnsi="Arial"/>
          <w:b/>
          <w:bCs/>
          <w:color w:val="auto"/>
        </w:rPr>
      </w:pPr>
      <w:bookmarkStart w:id="210" w:name="_Toc533166448"/>
      <w:bookmarkStart w:id="211" w:name="_Toc20432473"/>
      <w:bookmarkStart w:id="212" w:name="_Toc21017067"/>
      <w:r w:rsidRPr="00576180">
        <w:rPr>
          <w:rFonts w:ascii="Arial" w:hAnsi="Arial"/>
          <w:b/>
          <w:bCs/>
          <w:color w:val="auto"/>
          <w:sz w:val="22"/>
          <w:szCs w:val="22"/>
        </w:rPr>
        <w:t xml:space="preserve">Clasificación </w:t>
      </w:r>
      <w:r w:rsidR="00F029BE" w:rsidRPr="00576180">
        <w:rPr>
          <w:rFonts w:ascii="Arial" w:hAnsi="Arial"/>
          <w:b/>
          <w:bCs/>
          <w:color w:val="auto"/>
          <w:sz w:val="22"/>
          <w:szCs w:val="22"/>
        </w:rPr>
        <w:t>t</w:t>
      </w:r>
      <w:r w:rsidRPr="00576180">
        <w:rPr>
          <w:rFonts w:ascii="Arial" w:hAnsi="Arial"/>
          <w:b/>
          <w:bCs/>
          <w:color w:val="auto"/>
          <w:sz w:val="22"/>
          <w:szCs w:val="22"/>
        </w:rPr>
        <w:t>otal</w:t>
      </w:r>
      <w:bookmarkEnd w:id="210"/>
      <w:bookmarkEnd w:id="211"/>
      <w:bookmarkEnd w:id="212"/>
    </w:p>
    <w:tbl>
      <w:tblPr>
        <w:tblStyle w:val="TableGrid"/>
        <w:tblW w:w="7920" w:type="dxa"/>
        <w:tblInd w:w="540" w:type="dxa"/>
        <w:tblLayout w:type="fixed"/>
        <w:tblLook w:val="04A0" w:firstRow="1" w:lastRow="0" w:firstColumn="1" w:lastColumn="0" w:noHBand="0" w:noVBand="1"/>
      </w:tblPr>
      <w:tblGrid>
        <w:gridCol w:w="1530"/>
        <w:gridCol w:w="90"/>
        <w:gridCol w:w="1620"/>
        <w:gridCol w:w="1620"/>
        <w:gridCol w:w="1620"/>
        <w:gridCol w:w="1440"/>
      </w:tblGrid>
      <w:tr w:rsidR="00CA0E70" w:rsidRPr="00576180" w14:paraId="48A0455B" w14:textId="77777777" w:rsidTr="00FA59AD">
        <w:trPr>
          <w:tblHeader/>
        </w:trPr>
        <w:tc>
          <w:tcPr>
            <w:tcW w:w="1620" w:type="dxa"/>
            <w:gridSpan w:val="2"/>
            <w:tcBorders>
              <w:top w:val="nil"/>
              <w:left w:val="nil"/>
              <w:bottom w:val="single" w:sz="4" w:space="0" w:color="auto"/>
              <w:right w:val="nil"/>
            </w:tcBorders>
          </w:tcPr>
          <w:p w14:paraId="0C57F502" w14:textId="77777777" w:rsidR="00CA0E70" w:rsidRPr="00576180" w:rsidRDefault="00CA0E70" w:rsidP="0093677F">
            <w:pPr>
              <w:jc w:val="center"/>
              <w:rPr>
                <w:rFonts w:ascii="Arial" w:hAnsi="Arial" w:cs="Arial"/>
                <w:b/>
              </w:rPr>
            </w:pPr>
          </w:p>
        </w:tc>
        <w:tc>
          <w:tcPr>
            <w:tcW w:w="6300" w:type="dxa"/>
            <w:gridSpan w:val="4"/>
            <w:tcBorders>
              <w:top w:val="nil"/>
              <w:left w:val="nil"/>
              <w:bottom w:val="single" w:sz="4" w:space="0" w:color="auto"/>
              <w:right w:val="nil"/>
            </w:tcBorders>
            <w:shd w:val="clear" w:color="auto" w:fill="auto"/>
            <w:vAlign w:val="center"/>
          </w:tcPr>
          <w:p w14:paraId="150DAC86" w14:textId="1A99C0B0" w:rsidR="00CA0E70" w:rsidRPr="00576180" w:rsidRDefault="00CA0E70" w:rsidP="0093677F">
            <w:pPr>
              <w:jc w:val="center"/>
              <w:rPr>
                <w:rFonts w:ascii="Arial" w:hAnsi="Arial" w:cs="Arial"/>
                <w:b/>
              </w:rPr>
            </w:pPr>
            <w:r w:rsidRPr="00576180">
              <w:rPr>
                <w:rFonts w:ascii="Arial" w:hAnsi="Arial" w:cs="Arial"/>
                <w:b/>
              </w:rPr>
              <w:t>Tabla 1</w:t>
            </w:r>
            <w:r w:rsidR="001927B8" w:rsidRPr="00576180">
              <w:rPr>
                <w:rFonts w:ascii="Arial" w:hAnsi="Arial" w:cs="Arial"/>
                <w:b/>
              </w:rPr>
              <w:t>2</w:t>
            </w:r>
            <w:r w:rsidR="00AF481A" w:rsidRPr="00576180">
              <w:rPr>
                <w:rFonts w:ascii="Arial" w:hAnsi="Arial" w:cs="Arial"/>
                <w:b/>
              </w:rPr>
              <w:t xml:space="preserve">. </w:t>
            </w:r>
            <w:r w:rsidRPr="00576180">
              <w:rPr>
                <w:rFonts w:ascii="Arial" w:hAnsi="Arial" w:cs="Arial"/>
                <w:b/>
              </w:rPr>
              <w:t>Clasificación total</w:t>
            </w:r>
          </w:p>
        </w:tc>
      </w:tr>
      <w:tr w:rsidR="00CA0E70" w:rsidRPr="00576180" w14:paraId="384AD3A0" w14:textId="77777777" w:rsidTr="00FA59AD">
        <w:trPr>
          <w:tblHeader/>
        </w:trPr>
        <w:tc>
          <w:tcPr>
            <w:tcW w:w="6480" w:type="dxa"/>
            <w:gridSpan w:val="5"/>
            <w:tcBorders>
              <w:top w:val="single" w:sz="4" w:space="0" w:color="auto"/>
            </w:tcBorders>
            <w:shd w:val="clear" w:color="auto" w:fill="BFBFBF" w:themeFill="background1" w:themeFillShade="BF"/>
          </w:tcPr>
          <w:p w14:paraId="47918222" w14:textId="76A83727" w:rsidR="00CA0E70" w:rsidRPr="00576180" w:rsidRDefault="00CA0E70" w:rsidP="0093677F">
            <w:pPr>
              <w:jc w:val="center"/>
              <w:rPr>
                <w:rFonts w:ascii="Arial" w:hAnsi="Arial" w:cs="Arial"/>
                <w:b/>
                <w:sz w:val="18"/>
                <w:szCs w:val="18"/>
              </w:rPr>
            </w:pPr>
            <w:r w:rsidRPr="00576180">
              <w:rPr>
                <w:rFonts w:ascii="Arial" w:hAnsi="Arial" w:cs="Arial"/>
                <w:b/>
                <w:sz w:val="18"/>
                <w:szCs w:val="18"/>
              </w:rPr>
              <w:t xml:space="preserve">Criterios </w:t>
            </w:r>
            <w:r w:rsidR="00AF481A" w:rsidRPr="00576180">
              <w:rPr>
                <w:rFonts w:ascii="Arial" w:hAnsi="Arial" w:cs="Arial"/>
                <w:b/>
                <w:sz w:val="18"/>
                <w:szCs w:val="18"/>
              </w:rPr>
              <w:t>c</w:t>
            </w:r>
            <w:r w:rsidRPr="00576180">
              <w:rPr>
                <w:rFonts w:ascii="Arial" w:hAnsi="Arial" w:cs="Arial"/>
                <w:b/>
                <w:sz w:val="18"/>
                <w:szCs w:val="18"/>
              </w:rPr>
              <w:t>entrales</w:t>
            </w:r>
          </w:p>
        </w:tc>
        <w:tc>
          <w:tcPr>
            <w:tcW w:w="1440" w:type="dxa"/>
            <w:vMerge w:val="restart"/>
            <w:tcBorders>
              <w:top w:val="single" w:sz="4" w:space="0" w:color="auto"/>
            </w:tcBorders>
            <w:shd w:val="clear" w:color="auto" w:fill="BFBFBF" w:themeFill="background1" w:themeFillShade="BF"/>
            <w:vAlign w:val="center"/>
          </w:tcPr>
          <w:p w14:paraId="343A3688" w14:textId="77777777" w:rsidR="00CA0E70" w:rsidRPr="00576180" w:rsidRDefault="00CA0E70" w:rsidP="0093677F">
            <w:pPr>
              <w:jc w:val="center"/>
              <w:rPr>
                <w:rFonts w:ascii="Arial" w:hAnsi="Arial" w:cs="Arial"/>
                <w:b/>
                <w:sz w:val="18"/>
                <w:szCs w:val="18"/>
              </w:rPr>
            </w:pPr>
            <w:r w:rsidRPr="00576180">
              <w:rPr>
                <w:rFonts w:ascii="Arial" w:hAnsi="Arial" w:cs="Arial"/>
                <w:b/>
                <w:sz w:val="18"/>
                <w:szCs w:val="18"/>
              </w:rPr>
              <w:t>Total</w:t>
            </w:r>
          </w:p>
        </w:tc>
      </w:tr>
      <w:tr w:rsidR="00CA0E70" w:rsidRPr="00576180" w14:paraId="640DBE58" w14:textId="77777777" w:rsidTr="00FA59AD">
        <w:trPr>
          <w:trHeight w:val="70"/>
          <w:tblHeader/>
        </w:trPr>
        <w:tc>
          <w:tcPr>
            <w:tcW w:w="1530" w:type="dxa"/>
            <w:shd w:val="clear" w:color="auto" w:fill="BFBFBF" w:themeFill="background1" w:themeFillShade="BF"/>
            <w:vAlign w:val="center"/>
          </w:tcPr>
          <w:p w14:paraId="29A58142" w14:textId="77777777" w:rsidR="00CA0E70" w:rsidRPr="00576180" w:rsidRDefault="00CA0E70" w:rsidP="0093677F">
            <w:pPr>
              <w:jc w:val="center"/>
              <w:rPr>
                <w:rFonts w:ascii="Arial" w:hAnsi="Arial" w:cs="Arial"/>
                <w:sz w:val="18"/>
                <w:szCs w:val="18"/>
              </w:rPr>
            </w:pPr>
            <w:r w:rsidRPr="00576180">
              <w:rPr>
                <w:rFonts w:ascii="Arial" w:hAnsi="Arial" w:cs="Arial"/>
                <w:b/>
                <w:sz w:val="18"/>
                <w:szCs w:val="18"/>
              </w:rPr>
              <w:t>Relevancia</w:t>
            </w:r>
          </w:p>
        </w:tc>
        <w:tc>
          <w:tcPr>
            <w:tcW w:w="1710" w:type="dxa"/>
            <w:gridSpan w:val="2"/>
            <w:shd w:val="clear" w:color="auto" w:fill="BFBFBF" w:themeFill="background1" w:themeFillShade="BF"/>
            <w:vAlign w:val="center"/>
          </w:tcPr>
          <w:p w14:paraId="4D5C9C8A" w14:textId="77777777" w:rsidR="00CA0E70" w:rsidRPr="00576180" w:rsidRDefault="00CA0E70" w:rsidP="0093677F">
            <w:pPr>
              <w:jc w:val="center"/>
              <w:rPr>
                <w:rFonts w:ascii="Arial" w:hAnsi="Arial" w:cs="Arial"/>
                <w:sz w:val="18"/>
                <w:szCs w:val="18"/>
              </w:rPr>
            </w:pPr>
            <w:r w:rsidRPr="00576180">
              <w:rPr>
                <w:rFonts w:ascii="Arial" w:hAnsi="Arial" w:cs="Arial"/>
                <w:b/>
                <w:sz w:val="18"/>
                <w:szCs w:val="18"/>
              </w:rPr>
              <w:t>Efectividad</w:t>
            </w:r>
          </w:p>
        </w:tc>
        <w:tc>
          <w:tcPr>
            <w:tcW w:w="1620" w:type="dxa"/>
            <w:shd w:val="clear" w:color="auto" w:fill="BFBFBF" w:themeFill="background1" w:themeFillShade="BF"/>
          </w:tcPr>
          <w:p w14:paraId="50F6F36C" w14:textId="3B1660E8" w:rsidR="00CA0E70" w:rsidRPr="00576180" w:rsidRDefault="00CA0E70" w:rsidP="0093677F">
            <w:pPr>
              <w:ind w:left="-108" w:right="-112"/>
              <w:jc w:val="center"/>
              <w:rPr>
                <w:rFonts w:ascii="Arial" w:hAnsi="Arial" w:cs="Arial"/>
                <w:b/>
                <w:sz w:val="18"/>
                <w:szCs w:val="18"/>
              </w:rPr>
            </w:pPr>
            <w:r w:rsidRPr="00576180">
              <w:rPr>
                <w:rFonts w:ascii="Arial" w:hAnsi="Arial" w:cs="Arial"/>
                <w:b/>
                <w:sz w:val="18"/>
                <w:szCs w:val="18"/>
              </w:rPr>
              <w:t>Eficiencia</w:t>
            </w:r>
          </w:p>
        </w:tc>
        <w:tc>
          <w:tcPr>
            <w:tcW w:w="1620" w:type="dxa"/>
            <w:shd w:val="clear" w:color="auto" w:fill="BFBFBF" w:themeFill="background1" w:themeFillShade="BF"/>
            <w:vAlign w:val="center"/>
          </w:tcPr>
          <w:p w14:paraId="74EE329F" w14:textId="13DAEE5C" w:rsidR="00CA0E70" w:rsidRPr="00576180" w:rsidRDefault="00CA0E70" w:rsidP="0093677F">
            <w:pPr>
              <w:ind w:left="-108" w:right="-112"/>
              <w:jc w:val="center"/>
              <w:rPr>
                <w:rFonts w:ascii="Arial" w:hAnsi="Arial" w:cs="Arial"/>
                <w:sz w:val="18"/>
                <w:szCs w:val="18"/>
              </w:rPr>
            </w:pPr>
            <w:r w:rsidRPr="00576180">
              <w:rPr>
                <w:rFonts w:ascii="Arial" w:hAnsi="Arial" w:cs="Arial"/>
                <w:b/>
                <w:sz w:val="18"/>
                <w:szCs w:val="18"/>
              </w:rPr>
              <w:t>Sostenibilidad</w:t>
            </w:r>
          </w:p>
        </w:tc>
        <w:tc>
          <w:tcPr>
            <w:tcW w:w="1440" w:type="dxa"/>
            <w:vMerge/>
            <w:vAlign w:val="center"/>
          </w:tcPr>
          <w:p w14:paraId="7118EB74" w14:textId="77777777" w:rsidR="00CA0E70" w:rsidRPr="00576180" w:rsidRDefault="00CA0E70" w:rsidP="0093677F">
            <w:pPr>
              <w:jc w:val="center"/>
              <w:rPr>
                <w:rFonts w:ascii="Arial" w:hAnsi="Arial" w:cs="Arial"/>
                <w:b/>
                <w:sz w:val="18"/>
                <w:szCs w:val="18"/>
              </w:rPr>
            </w:pPr>
          </w:p>
        </w:tc>
      </w:tr>
      <w:tr w:rsidR="00CA0E70" w:rsidRPr="00576180" w14:paraId="6D17CA83" w14:textId="77777777" w:rsidTr="00FA59AD">
        <w:trPr>
          <w:trHeight w:val="233"/>
        </w:trPr>
        <w:tc>
          <w:tcPr>
            <w:tcW w:w="1530" w:type="dxa"/>
            <w:vAlign w:val="center"/>
          </w:tcPr>
          <w:p w14:paraId="7E4C23E3" w14:textId="0E977FE9" w:rsidR="00CA0E70" w:rsidRPr="00576180" w:rsidRDefault="00F16061" w:rsidP="0093677F">
            <w:pPr>
              <w:jc w:val="center"/>
              <w:rPr>
                <w:rFonts w:ascii="Arial" w:hAnsi="Arial" w:cs="Arial"/>
                <w:sz w:val="18"/>
                <w:szCs w:val="18"/>
              </w:rPr>
            </w:pPr>
            <w:r w:rsidRPr="00576180">
              <w:rPr>
                <w:rFonts w:ascii="Arial" w:hAnsi="Arial" w:cs="Arial"/>
                <w:color w:val="000000"/>
                <w:sz w:val="18"/>
                <w:szCs w:val="18"/>
              </w:rPr>
              <w:t>Satisfactoria</w:t>
            </w:r>
          </w:p>
        </w:tc>
        <w:tc>
          <w:tcPr>
            <w:tcW w:w="1710" w:type="dxa"/>
            <w:gridSpan w:val="2"/>
            <w:vAlign w:val="center"/>
          </w:tcPr>
          <w:p w14:paraId="4A09A736" w14:textId="127C3DB4" w:rsidR="00CA0E70" w:rsidRPr="00576180" w:rsidRDefault="00FA59AD" w:rsidP="0093677F">
            <w:pPr>
              <w:ind w:left="-59" w:right="-104"/>
              <w:jc w:val="center"/>
              <w:rPr>
                <w:rFonts w:ascii="Arial" w:hAnsi="Arial" w:cs="Arial"/>
                <w:sz w:val="18"/>
                <w:szCs w:val="18"/>
              </w:rPr>
            </w:pPr>
            <w:r>
              <w:rPr>
                <w:rFonts w:ascii="Arial" w:hAnsi="Arial" w:cs="Arial"/>
                <w:color w:val="000000"/>
                <w:sz w:val="18"/>
                <w:szCs w:val="18"/>
              </w:rPr>
              <w:t>Insatisfactoria</w:t>
            </w:r>
          </w:p>
        </w:tc>
        <w:tc>
          <w:tcPr>
            <w:tcW w:w="1620" w:type="dxa"/>
            <w:vAlign w:val="center"/>
          </w:tcPr>
          <w:p w14:paraId="7493F6B1" w14:textId="6DC44849" w:rsidR="00CA0E70" w:rsidRPr="00576180" w:rsidRDefault="000160B3" w:rsidP="0093677F">
            <w:pPr>
              <w:jc w:val="center"/>
              <w:rPr>
                <w:rFonts w:ascii="Arial" w:hAnsi="Arial" w:cs="Arial"/>
                <w:sz w:val="18"/>
                <w:szCs w:val="18"/>
              </w:rPr>
            </w:pPr>
            <w:r>
              <w:rPr>
                <w:rFonts w:ascii="Arial" w:hAnsi="Arial" w:cs="Arial"/>
                <w:sz w:val="18"/>
                <w:szCs w:val="18"/>
              </w:rPr>
              <w:t>Parcialmente Insatisfactoria</w:t>
            </w:r>
          </w:p>
        </w:tc>
        <w:tc>
          <w:tcPr>
            <w:tcW w:w="1620" w:type="dxa"/>
            <w:vAlign w:val="center"/>
          </w:tcPr>
          <w:p w14:paraId="6F60A43F" w14:textId="622D52F7" w:rsidR="00CA0E70" w:rsidRPr="00576180" w:rsidRDefault="008455E8" w:rsidP="0093677F">
            <w:pPr>
              <w:jc w:val="center"/>
              <w:rPr>
                <w:rFonts w:ascii="Arial" w:hAnsi="Arial" w:cs="Arial"/>
                <w:sz w:val="18"/>
                <w:szCs w:val="18"/>
              </w:rPr>
            </w:pPr>
            <w:r>
              <w:rPr>
                <w:rFonts w:ascii="Arial" w:hAnsi="Arial" w:cs="Arial"/>
                <w:sz w:val="18"/>
                <w:szCs w:val="18"/>
              </w:rPr>
              <w:t>Excelente</w:t>
            </w:r>
          </w:p>
        </w:tc>
        <w:tc>
          <w:tcPr>
            <w:tcW w:w="1440" w:type="dxa"/>
            <w:vAlign w:val="center"/>
          </w:tcPr>
          <w:p w14:paraId="6989F8B9" w14:textId="61C265B0" w:rsidR="00CA0E70" w:rsidRPr="00576180" w:rsidRDefault="00AF481A" w:rsidP="0093677F">
            <w:pPr>
              <w:jc w:val="center"/>
              <w:rPr>
                <w:rFonts w:ascii="Arial" w:hAnsi="Arial" w:cs="Arial"/>
                <w:sz w:val="18"/>
                <w:szCs w:val="18"/>
              </w:rPr>
            </w:pPr>
            <w:r w:rsidRPr="00576180">
              <w:rPr>
                <w:rFonts w:ascii="Arial" w:hAnsi="Arial" w:cs="Arial"/>
                <w:color w:val="000000"/>
                <w:sz w:val="18"/>
                <w:szCs w:val="18"/>
              </w:rPr>
              <w:t xml:space="preserve">Parcialmente </w:t>
            </w:r>
            <w:r w:rsidR="00E07669">
              <w:rPr>
                <w:rFonts w:ascii="Arial" w:hAnsi="Arial" w:cs="Arial"/>
                <w:color w:val="000000"/>
                <w:sz w:val="18"/>
                <w:szCs w:val="18"/>
              </w:rPr>
              <w:t>no exitosa</w:t>
            </w:r>
          </w:p>
        </w:tc>
      </w:tr>
    </w:tbl>
    <w:p w14:paraId="44C106B7" w14:textId="77777777" w:rsidR="00D7372C" w:rsidRPr="00265302" w:rsidRDefault="00D7372C" w:rsidP="00576180">
      <w:pPr>
        <w:pStyle w:val="Heading1"/>
        <w:numPr>
          <w:ilvl w:val="0"/>
          <w:numId w:val="2"/>
        </w:numPr>
        <w:spacing w:before="240" w:after="240"/>
        <w:rPr>
          <w:smallCaps/>
        </w:rPr>
      </w:pPr>
      <w:bookmarkStart w:id="213" w:name="_Toc501529204"/>
      <w:bookmarkStart w:id="214" w:name="_Toc500169667"/>
      <w:bookmarkStart w:id="215" w:name="_Toc506484937"/>
      <w:bookmarkStart w:id="216" w:name="_Toc506975004"/>
      <w:bookmarkStart w:id="217" w:name="_Toc512433757"/>
      <w:bookmarkStart w:id="218" w:name="_Toc514236646"/>
      <w:bookmarkStart w:id="219" w:name="_Toc516767407"/>
      <w:bookmarkStart w:id="220" w:name="_Toc518037210"/>
      <w:bookmarkStart w:id="221" w:name="_Toc533166449"/>
      <w:bookmarkStart w:id="222" w:name="_Toc20432474"/>
      <w:bookmarkStart w:id="223" w:name="_Toc21017068"/>
      <w:r w:rsidRPr="00265302">
        <w:rPr>
          <w:smallCaps/>
        </w:rPr>
        <w:lastRenderedPageBreak/>
        <w:t xml:space="preserve">Criterios </w:t>
      </w:r>
      <w:r w:rsidR="00351F3E" w:rsidRPr="00265302">
        <w:rPr>
          <w:smallCaps/>
        </w:rPr>
        <w:t>n</w:t>
      </w:r>
      <w:r w:rsidRPr="00265302">
        <w:rPr>
          <w:smallCaps/>
        </w:rPr>
        <w:t xml:space="preserve">o </w:t>
      </w:r>
      <w:r w:rsidR="00351F3E" w:rsidRPr="00265302">
        <w:rPr>
          <w:smallCaps/>
        </w:rPr>
        <w:t>c</w:t>
      </w:r>
      <w:r w:rsidRPr="00265302">
        <w:rPr>
          <w:smallCaps/>
        </w:rPr>
        <w:t>entrales</w:t>
      </w:r>
      <w:bookmarkEnd w:id="213"/>
      <w:bookmarkEnd w:id="214"/>
      <w:bookmarkEnd w:id="215"/>
      <w:bookmarkEnd w:id="216"/>
      <w:bookmarkEnd w:id="217"/>
      <w:bookmarkEnd w:id="218"/>
      <w:bookmarkEnd w:id="219"/>
      <w:bookmarkEnd w:id="220"/>
      <w:bookmarkEnd w:id="221"/>
      <w:bookmarkEnd w:id="222"/>
      <w:bookmarkEnd w:id="223"/>
    </w:p>
    <w:p w14:paraId="3C2B6F86" w14:textId="77777777" w:rsidR="00D7372C" w:rsidRPr="00576180" w:rsidRDefault="00D7372C" w:rsidP="00D17FF5">
      <w:pPr>
        <w:pStyle w:val="Heading2"/>
        <w:numPr>
          <w:ilvl w:val="0"/>
          <w:numId w:val="46"/>
        </w:numPr>
        <w:spacing w:before="120" w:after="120" w:line="240" w:lineRule="auto"/>
        <w:ind w:hanging="720"/>
        <w:rPr>
          <w:rFonts w:ascii="Arial" w:hAnsi="Arial" w:cs="Arial"/>
          <w:b/>
          <w:color w:val="000000" w:themeColor="text1"/>
          <w:sz w:val="22"/>
          <w:szCs w:val="22"/>
        </w:rPr>
      </w:pPr>
      <w:bookmarkStart w:id="224" w:name="_Toc501465843"/>
      <w:bookmarkStart w:id="225" w:name="_Toc501467665"/>
      <w:bookmarkStart w:id="226" w:name="_Toc501467777"/>
      <w:bookmarkStart w:id="227" w:name="_Toc501467851"/>
      <w:bookmarkStart w:id="228" w:name="_Toc501467999"/>
      <w:bookmarkStart w:id="229" w:name="_Toc501468067"/>
      <w:bookmarkStart w:id="230" w:name="_Toc501468246"/>
      <w:bookmarkStart w:id="231" w:name="_Toc501468544"/>
      <w:bookmarkStart w:id="232" w:name="_Toc501468668"/>
      <w:bookmarkStart w:id="233" w:name="_Toc501468726"/>
      <w:bookmarkStart w:id="234" w:name="_Toc501468783"/>
      <w:bookmarkStart w:id="235" w:name="_Toc501468841"/>
      <w:bookmarkStart w:id="236" w:name="_Toc501468933"/>
      <w:bookmarkStart w:id="237" w:name="_Toc501469061"/>
      <w:bookmarkStart w:id="238" w:name="_Toc501469115"/>
      <w:bookmarkStart w:id="239" w:name="_Toc501469268"/>
      <w:bookmarkStart w:id="240" w:name="_Toc501469373"/>
      <w:bookmarkStart w:id="241" w:name="_Toc501469558"/>
      <w:bookmarkStart w:id="242" w:name="_Toc501469684"/>
      <w:bookmarkStart w:id="243" w:name="_Toc501469747"/>
      <w:bookmarkStart w:id="244" w:name="_Toc501469833"/>
      <w:bookmarkStart w:id="245" w:name="_Toc501470176"/>
      <w:bookmarkStart w:id="246" w:name="_Toc501470311"/>
      <w:bookmarkStart w:id="247" w:name="_Toc501470388"/>
      <w:bookmarkStart w:id="248" w:name="_Toc501483598"/>
      <w:bookmarkStart w:id="249" w:name="_Toc501483956"/>
      <w:bookmarkStart w:id="250" w:name="_Desempeño_del_Banco"/>
      <w:bookmarkStart w:id="251" w:name="_Toc506484938"/>
      <w:bookmarkStart w:id="252" w:name="_Toc506975005"/>
      <w:bookmarkStart w:id="253" w:name="_Toc512433758"/>
      <w:bookmarkStart w:id="254" w:name="_Toc514236647"/>
      <w:bookmarkStart w:id="255" w:name="_Toc516767408"/>
      <w:bookmarkStart w:id="256" w:name="_Toc518037211"/>
      <w:bookmarkStart w:id="257" w:name="_Toc533166450"/>
      <w:bookmarkStart w:id="258" w:name="_Toc20432475"/>
      <w:bookmarkStart w:id="259" w:name="_Toc21017069"/>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576180">
        <w:rPr>
          <w:rFonts w:ascii="Arial" w:hAnsi="Arial" w:cs="Arial"/>
          <w:b/>
          <w:color w:val="000000" w:themeColor="text1"/>
          <w:sz w:val="22"/>
          <w:szCs w:val="22"/>
        </w:rPr>
        <w:t>Desempeño del Banco</w:t>
      </w:r>
      <w:bookmarkEnd w:id="251"/>
      <w:bookmarkEnd w:id="252"/>
      <w:bookmarkEnd w:id="253"/>
      <w:bookmarkEnd w:id="254"/>
      <w:bookmarkEnd w:id="255"/>
      <w:bookmarkEnd w:id="256"/>
      <w:bookmarkEnd w:id="257"/>
      <w:bookmarkEnd w:id="258"/>
      <w:bookmarkEnd w:id="259"/>
    </w:p>
    <w:p w14:paraId="0C1EBE72" w14:textId="63DE0907" w:rsidR="00A42093" w:rsidRDefault="00A42093" w:rsidP="007E7693">
      <w:pPr>
        <w:tabs>
          <w:tab w:val="left" w:pos="9000"/>
        </w:tabs>
        <w:spacing w:before="120" w:after="120" w:line="240" w:lineRule="auto"/>
        <w:jc w:val="both"/>
        <w:rPr>
          <w:rFonts w:ascii="Arial" w:hAnsi="Arial" w:cs="Arial"/>
        </w:rPr>
      </w:pPr>
      <w:bookmarkStart w:id="260" w:name="_Toc506484939"/>
      <w:bookmarkStart w:id="261" w:name="_Toc506975006"/>
      <w:bookmarkStart w:id="262" w:name="_Toc512433759"/>
      <w:bookmarkStart w:id="263" w:name="_Toc514236648"/>
      <w:bookmarkStart w:id="264" w:name="_Toc516767409"/>
      <w:bookmarkStart w:id="265" w:name="_Toc518037212"/>
      <w:r>
        <w:rPr>
          <w:rFonts w:ascii="Arial" w:hAnsi="Arial" w:cs="Arial"/>
        </w:rPr>
        <w:t xml:space="preserve">El Banco enfrentó </w:t>
      </w:r>
      <w:r w:rsidR="00B070E6">
        <w:rPr>
          <w:rFonts w:ascii="Arial" w:hAnsi="Arial" w:cs="Arial"/>
        </w:rPr>
        <w:t xml:space="preserve">dos retos importantes para la </w:t>
      </w:r>
      <w:r w:rsidR="007E7693">
        <w:rPr>
          <w:rFonts w:ascii="Arial" w:hAnsi="Arial" w:cs="Arial"/>
        </w:rPr>
        <w:t>gestión</w:t>
      </w:r>
      <w:r w:rsidR="00B070E6">
        <w:rPr>
          <w:rFonts w:ascii="Arial" w:hAnsi="Arial" w:cs="Arial"/>
        </w:rPr>
        <w:t xml:space="preserve"> del </w:t>
      </w:r>
      <w:r>
        <w:rPr>
          <w:rFonts w:ascii="Arial" w:hAnsi="Arial" w:cs="Arial"/>
        </w:rPr>
        <w:t>proyecto</w:t>
      </w:r>
      <w:r w:rsidR="00B070E6">
        <w:rPr>
          <w:rFonts w:ascii="Arial" w:hAnsi="Arial" w:cs="Arial"/>
        </w:rPr>
        <w:t xml:space="preserve">: </w:t>
      </w:r>
      <w:r>
        <w:rPr>
          <w:rFonts w:ascii="Arial" w:hAnsi="Arial" w:cs="Arial"/>
        </w:rPr>
        <w:t>(i)</w:t>
      </w:r>
      <w:r w:rsidR="00B070E6">
        <w:rPr>
          <w:rFonts w:ascii="Arial" w:hAnsi="Arial" w:cs="Arial"/>
        </w:rPr>
        <w:t xml:space="preserve">. </w:t>
      </w:r>
      <w:r w:rsidR="0069588E">
        <w:rPr>
          <w:rFonts w:ascii="Arial" w:hAnsi="Arial" w:cs="Arial"/>
        </w:rPr>
        <w:t>El cambio en el esquema de ejecución</w:t>
      </w:r>
      <w:r w:rsidR="00C61ABF">
        <w:rPr>
          <w:rFonts w:ascii="Arial" w:hAnsi="Arial" w:cs="Arial"/>
        </w:rPr>
        <w:t xml:space="preserve"> </w:t>
      </w:r>
      <w:r w:rsidR="00825F5F">
        <w:rPr>
          <w:rFonts w:ascii="Arial" w:hAnsi="Arial" w:cs="Arial"/>
        </w:rPr>
        <w:t xml:space="preserve">en 2011 </w:t>
      </w:r>
      <w:r w:rsidR="00B070E6">
        <w:rPr>
          <w:rFonts w:ascii="Arial" w:hAnsi="Arial" w:cs="Arial"/>
        </w:rPr>
        <w:t>a</w:t>
      </w:r>
      <w:r w:rsidR="007E7693">
        <w:rPr>
          <w:rFonts w:ascii="Arial" w:hAnsi="Arial" w:cs="Arial"/>
        </w:rPr>
        <w:t>cordad</w:t>
      </w:r>
      <w:r w:rsidR="00EC6417">
        <w:rPr>
          <w:rFonts w:ascii="Arial" w:hAnsi="Arial" w:cs="Arial"/>
        </w:rPr>
        <w:t>o</w:t>
      </w:r>
      <w:r w:rsidR="007E7693">
        <w:rPr>
          <w:rFonts w:ascii="Arial" w:hAnsi="Arial" w:cs="Arial"/>
        </w:rPr>
        <w:t xml:space="preserve"> con</w:t>
      </w:r>
      <w:r w:rsidR="00B070E6">
        <w:rPr>
          <w:rFonts w:ascii="Arial" w:hAnsi="Arial" w:cs="Arial"/>
        </w:rPr>
        <w:t xml:space="preserve"> el Banco, </w:t>
      </w:r>
      <w:r w:rsidR="00891F5A">
        <w:rPr>
          <w:rFonts w:ascii="Arial" w:hAnsi="Arial" w:cs="Arial"/>
        </w:rPr>
        <w:t xml:space="preserve">que implicó </w:t>
      </w:r>
      <w:r w:rsidR="00825F5F">
        <w:rPr>
          <w:rFonts w:ascii="Arial" w:hAnsi="Arial" w:cs="Arial"/>
        </w:rPr>
        <w:t>la sustitución de la Unidad de Coordinación</w:t>
      </w:r>
      <w:r w:rsidR="00E91339">
        <w:rPr>
          <w:rFonts w:ascii="Arial" w:hAnsi="Arial" w:cs="Arial"/>
        </w:rPr>
        <w:t xml:space="preserve"> </w:t>
      </w:r>
      <w:r w:rsidR="00825F5F">
        <w:rPr>
          <w:rFonts w:ascii="Arial" w:hAnsi="Arial" w:cs="Arial"/>
        </w:rPr>
        <w:t>por un Equipo Ejecutor (EE)</w:t>
      </w:r>
      <w:r w:rsidR="00891F5A">
        <w:rPr>
          <w:rFonts w:ascii="Arial" w:hAnsi="Arial" w:cs="Arial"/>
        </w:rPr>
        <w:t xml:space="preserve">, el cual reportaba </w:t>
      </w:r>
      <w:r w:rsidR="00825F5F">
        <w:rPr>
          <w:rFonts w:ascii="Arial" w:hAnsi="Arial" w:cs="Arial"/>
        </w:rPr>
        <w:t xml:space="preserve">directamente al </w:t>
      </w:r>
      <w:r w:rsidR="00C61ABF">
        <w:rPr>
          <w:rFonts w:ascii="Arial" w:hAnsi="Arial" w:cs="Arial"/>
        </w:rPr>
        <w:t>Comité SIAFI</w:t>
      </w:r>
      <w:r w:rsidR="00891F5A">
        <w:rPr>
          <w:rFonts w:ascii="Arial" w:hAnsi="Arial" w:cs="Arial"/>
        </w:rPr>
        <w:t xml:space="preserve">. </w:t>
      </w:r>
      <w:proofErr w:type="spellStart"/>
      <w:r w:rsidR="00605A72">
        <w:rPr>
          <w:rFonts w:ascii="Arial" w:hAnsi="Arial" w:cs="Arial"/>
        </w:rPr>
        <w:t>ii</w:t>
      </w:r>
      <w:proofErr w:type="spellEnd"/>
      <w:r w:rsidR="00605A72">
        <w:rPr>
          <w:rFonts w:ascii="Arial" w:hAnsi="Arial" w:cs="Arial"/>
        </w:rPr>
        <w:t>) La necesidad de buscar apoyo especializado en temas de tecnología debido a la intensificación de los temas referentes al desarrollo e implementación de los productos (P1.1) y (P1.2). En el primer caso, e</w:t>
      </w:r>
      <w:r w:rsidR="00891F5A">
        <w:rPr>
          <w:rFonts w:ascii="Arial" w:hAnsi="Arial" w:cs="Arial"/>
        </w:rPr>
        <w:t xml:space="preserve">sto ocasionó </w:t>
      </w:r>
      <w:r w:rsidR="00E91339">
        <w:rPr>
          <w:rFonts w:ascii="Arial" w:hAnsi="Arial" w:cs="Arial"/>
        </w:rPr>
        <w:t xml:space="preserve">que </w:t>
      </w:r>
      <w:r w:rsidR="00891F5A">
        <w:rPr>
          <w:rFonts w:ascii="Arial" w:hAnsi="Arial" w:cs="Arial"/>
        </w:rPr>
        <w:t xml:space="preserve">el </w:t>
      </w:r>
      <w:r w:rsidR="00E91339">
        <w:rPr>
          <w:rFonts w:ascii="Arial" w:hAnsi="Arial" w:cs="Arial"/>
        </w:rPr>
        <w:t>EE tuviera gran poder de decisión en temas técnicos y en contratación de consultores</w:t>
      </w:r>
      <w:r w:rsidR="0069588E">
        <w:rPr>
          <w:rFonts w:ascii="Arial" w:hAnsi="Arial" w:cs="Arial"/>
        </w:rPr>
        <w:t xml:space="preserve">, </w:t>
      </w:r>
      <w:r w:rsidR="00605A72">
        <w:rPr>
          <w:rFonts w:ascii="Arial" w:hAnsi="Arial" w:cs="Arial"/>
        </w:rPr>
        <w:t xml:space="preserve">dado que el Comité SIAFI </w:t>
      </w:r>
      <w:r w:rsidR="005F74B0">
        <w:rPr>
          <w:rFonts w:ascii="Arial" w:hAnsi="Arial" w:cs="Arial"/>
        </w:rPr>
        <w:t xml:space="preserve">no era </w:t>
      </w:r>
      <w:r w:rsidR="00605A72">
        <w:rPr>
          <w:rFonts w:ascii="Arial" w:hAnsi="Arial" w:cs="Arial"/>
        </w:rPr>
        <w:t xml:space="preserve">de carácter </w:t>
      </w:r>
      <w:r w:rsidR="005F74B0">
        <w:rPr>
          <w:rFonts w:ascii="Arial" w:hAnsi="Arial" w:cs="Arial"/>
        </w:rPr>
        <w:t xml:space="preserve">técnico, </w:t>
      </w:r>
      <w:r w:rsidR="00605A72">
        <w:rPr>
          <w:rFonts w:ascii="Arial" w:hAnsi="Arial" w:cs="Arial"/>
        </w:rPr>
        <w:t xml:space="preserve">y </w:t>
      </w:r>
      <w:r w:rsidR="005F74B0">
        <w:rPr>
          <w:rFonts w:ascii="Arial" w:hAnsi="Arial" w:cs="Arial"/>
        </w:rPr>
        <w:t xml:space="preserve">aprobaba todas las </w:t>
      </w:r>
      <w:r w:rsidR="00605A72">
        <w:rPr>
          <w:rFonts w:ascii="Arial" w:hAnsi="Arial" w:cs="Arial"/>
        </w:rPr>
        <w:t xml:space="preserve">recomendaciones </w:t>
      </w:r>
      <w:r w:rsidR="005F74B0">
        <w:rPr>
          <w:rFonts w:ascii="Arial" w:hAnsi="Arial" w:cs="Arial"/>
        </w:rPr>
        <w:t>del EE.</w:t>
      </w:r>
      <w:r w:rsidR="0069588E">
        <w:rPr>
          <w:rFonts w:ascii="Arial" w:hAnsi="Arial" w:cs="Arial"/>
        </w:rPr>
        <w:t xml:space="preserve"> </w:t>
      </w:r>
      <w:r w:rsidR="005F74B0">
        <w:rPr>
          <w:rFonts w:ascii="Arial" w:hAnsi="Arial" w:cs="Arial"/>
        </w:rPr>
        <w:t xml:space="preserve">Esto </w:t>
      </w:r>
      <w:r w:rsidR="00825F5F">
        <w:rPr>
          <w:rFonts w:ascii="Arial" w:hAnsi="Arial" w:cs="Arial"/>
        </w:rPr>
        <w:t xml:space="preserve">disminuyó considerablemente </w:t>
      </w:r>
      <w:r w:rsidR="00605A72">
        <w:rPr>
          <w:rFonts w:ascii="Arial" w:hAnsi="Arial" w:cs="Arial"/>
        </w:rPr>
        <w:t xml:space="preserve">el apoyo </w:t>
      </w:r>
      <w:r w:rsidR="00C61ABF">
        <w:rPr>
          <w:rFonts w:ascii="Arial" w:hAnsi="Arial" w:cs="Arial"/>
        </w:rPr>
        <w:t>del Banco</w:t>
      </w:r>
      <w:r>
        <w:rPr>
          <w:rFonts w:ascii="Arial" w:hAnsi="Arial" w:cs="Arial"/>
        </w:rPr>
        <w:t xml:space="preserve"> </w:t>
      </w:r>
      <w:r w:rsidR="005F74B0">
        <w:rPr>
          <w:rFonts w:ascii="Arial" w:hAnsi="Arial" w:cs="Arial"/>
        </w:rPr>
        <w:t>en las decisiones técnica</w:t>
      </w:r>
      <w:r w:rsidR="00605A72">
        <w:rPr>
          <w:rFonts w:ascii="Arial" w:hAnsi="Arial" w:cs="Arial"/>
        </w:rPr>
        <w:t>s</w:t>
      </w:r>
      <w:r w:rsidR="005F74B0">
        <w:rPr>
          <w:rFonts w:ascii="Arial" w:hAnsi="Arial" w:cs="Arial"/>
        </w:rPr>
        <w:t xml:space="preserve"> del proyecto</w:t>
      </w:r>
      <w:r w:rsidR="00605A72">
        <w:rPr>
          <w:rFonts w:ascii="Arial" w:hAnsi="Arial" w:cs="Arial"/>
        </w:rPr>
        <w:t>, con la consecuente limitación para poder contribuir con conocimientos y experiencia los procesos implementados. En el segundo caso, esto implicó la necesidad de contar con recursos humanos y financieros adicionales con el fin de garantizar que el diseño y cálculo de los costos de cada producto a ser licitados tenían el sustento debido.</w:t>
      </w:r>
    </w:p>
    <w:p w14:paraId="7074E40D" w14:textId="4234441E" w:rsidR="00F56E2C" w:rsidRDefault="00BF0A3C" w:rsidP="007E7693">
      <w:pPr>
        <w:tabs>
          <w:tab w:val="left" w:pos="9000"/>
        </w:tabs>
        <w:spacing w:before="120" w:after="120" w:line="240" w:lineRule="auto"/>
        <w:jc w:val="both"/>
        <w:rPr>
          <w:rFonts w:ascii="Arial" w:hAnsi="Arial" w:cs="Arial"/>
        </w:rPr>
      </w:pPr>
      <w:r>
        <w:rPr>
          <w:rFonts w:ascii="Arial" w:hAnsi="Arial" w:cs="Arial"/>
        </w:rPr>
        <w:t>En este contexto, en el periodo 2011-20</w:t>
      </w:r>
      <w:r w:rsidR="00605A72">
        <w:rPr>
          <w:rFonts w:ascii="Arial" w:hAnsi="Arial" w:cs="Arial"/>
        </w:rPr>
        <w:t>1</w:t>
      </w:r>
      <w:r>
        <w:rPr>
          <w:rFonts w:ascii="Arial" w:hAnsi="Arial" w:cs="Arial"/>
        </w:rPr>
        <w:t>4</w:t>
      </w:r>
      <w:r w:rsidR="00570623">
        <w:rPr>
          <w:rFonts w:ascii="Arial" w:hAnsi="Arial" w:cs="Arial"/>
        </w:rPr>
        <w:t xml:space="preserve">, </w:t>
      </w:r>
      <w:r>
        <w:rPr>
          <w:rFonts w:ascii="Arial" w:hAnsi="Arial" w:cs="Arial"/>
        </w:rPr>
        <w:t>la</w:t>
      </w:r>
      <w:r w:rsidR="00570623">
        <w:rPr>
          <w:rFonts w:ascii="Arial" w:hAnsi="Arial" w:cs="Arial"/>
        </w:rPr>
        <w:t xml:space="preserve"> supervis</w:t>
      </w:r>
      <w:r>
        <w:rPr>
          <w:rFonts w:ascii="Arial" w:hAnsi="Arial" w:cs="Arial"/>
        </w:rPr>
        <w:t xml:space="preserve">ión del Banco se llevó a cabo </w:t>
      </w:r>
      <w:r w:rsidR="00570623">
        <w:rPr>
          <w:rFonts w:ascii="Arial" w:hAnsi="Arial" w:cs="Arial"/>
        </w:rPr>
        <w:t xml:space="preserve">a través de misiones de </w:t>
      </w:r>
      <w:r w:rsidR="00F56E2C">
        <w:rPr>
          <w:rFonts w:ascii="Arial" w:hAnsi="Arial" w:cs="Arial"/>
        </w:rPr>
        <w:t>administración</w:t>
      </w:r>
      <w:r w:rsidR="00570623">
        <w:rPr>
          <w:rFonts w:ascii="Arial" w:hAnsi="Arial" w:cs="Arial"/>
        </w:rPr>
        <w:t xml:space="preserve"> tradicionales</w:t>
      </w:r>
      <w:r w:rsidR="00605A72">
        <w:rPr>
          <w:rFonts w:ascii="Arial" w:hAnsi="Arial" w:cs="Arial"/>
        </w:rPr>
        <w:t>. E</w:t>
      </w:r>
      <w:r w:rsidR="001E2760">
        <w:rPr>
          <w:rFonts w:ascii="Arial" w:hAnsi="Arial" w:cs="Arial"/>
        </w:rPr>
        <w:t>n</w:t>
      </w:r>
      <w:r w:rsidR="00570623">
        <w:rPr>
          <w:rFonts w:ascii="Arial" w:hAnsi="Arial" w:cs="Arial"/>
        </w:rPr>
        <w:t xml:space="preserve"> 2012 ya </w:t>
      </w:r>
      <w:r>
        <w:rPr>
          <w:rFonts w:ascii="Arial" w:hAnsi="Arial" w:cs="Arial"/>
        </w:rPr>
        <w:t xml:space="preserve">se </w:t>
      </w:r>
      <w:r w:rsidR="00605A72">
        <w:rPr>
          <w:rFonts w:ascii="Arial" w:hAnsi="Arial" w:cs="Arial"/>
        </w:rPr>
        <w:t xml:space="preserve">estableció </w:t>
      </w:r>
      <w:r w:rsidR="00570623">
        <w:rPr>
          <w:rFonts w:ascii="Arial" w:hAnsi="Arial" w:cs="Arial"/>
        </w:rPr>
        <w:t xml:space="preserve">que los problemas de </w:t>
      </w:r>
      <w:r w:rsidR="00F56E2C">
        <w:rPr>
          <w:rFonts w:ascii="Arial" w:hAnsi="Arial" w:cs="Arial"/>
        </w:rPr>
        <w:t>gobernanza</w:t>
      </w:r>
      <w:r w:rsidR="00570623">
        <w:rPr>
          <w:rFonts w:ascii="Arial" w:hAnsi="Arial" w:cs="Arial"/>
        </w:rPr>
        <w:t xml:space="preserve"> y conocimiento </w:t>
      </w:r>
      <w:r w:rsidR="00D87B95">
        <w:rPr>
          <w:rFonts w:ascii="Arial" w:hAnsi="Arial" w:cs="Arial"/>
        </w:rPr>
        <w:t>tecnológico</w:t>
      </w:r>
      <w:r w:rsidR="00570623">
        <w:rPr>
          <w:rFonts w:ascii="Arial" w:hAnsi="Arial" w:cs="Arial"/>
        </w:rPr>
        <w:t xml:space="preserve"> podrían tener impactos en </w:t>
      </w:r>
      <w:r>
        <w:rPr>
          <w:rFonts w:ascii="Arial" w:hAnsi="Arial" w:cs="Arial"/>
        </w:rPr>
        <w:t>el alcance</w:t>
      </w:r>
      <w:r w:rsidR="00570623">
        <w:rPr>
          <w:rFonts w:ascii="Arial" w:hAnsi="Arial" w:cs="Arial"/>
        </w:rPr>
        <w:t xml:space="preserve"> de los objetivos de desarrollo del proyecto. </w:t>
      </w:r>
      <w:r w:rsidR="003E2F86">
        <w:rPr>
          <w:rFonts w:ascii="Arial" w:hAnsi="Arial" w:cs="Arial"/>
        </w:rPr>
        <w:t>A pesar de esto, l</w:t>
      </w:r>
      <w:r>
        <w:rPr>
          <w:rFonts w:ascii="Arial" w:hAnsi="Arial" w:cs="Arial"/>
        </w:rPr>
        <w:t xml:space="preserve">os acuerdos firmados en estas misiones no tuvieron el éxito esperado para mitigar los </w:t>
      </w:r>
      <w:r w:rsidR="00605A72">
        <w:rPr>
          <w:rFonts w:ascii="Arial" w:hAnsi="Arial" w:cs="Arial"/>
        </w:rPr>
        <w:t>riesgos identificados</w:t>
      </w:r>
      <w:r>
        <w:rPr>
          <w:rFonts w:ascii="Arial" w:hAnsi="Arial" w:cs="Arial"/>
        </w:rPr>
        <w:t xml:space="preserve">. </w:t>
      </w:r>
    </w:p>
    <w:p w14:paraId="1A6E8309" w14:textId="4FC3ABD7" w:rsidR="00B46CD9" w:rsidRDefault="00605A72" w:rsidP="007E7693">
      <w:pPr>
        <w:tabs>
          <w:tab w:val="left" w:pos="9000"/>
        </w:tabs>
        <w:spacing w:before="120" w:after="120" w:line="240" w:lineRule="auto"/>
        <w:jc w:val="both"/>
        <w:rPr>
          <w:rFonts w:ascii="Arial" w:hAnsi="Arial" w:cs="Arial"/>
        </w:rPr>
      </w:pPr>
      <w:r>
        <w:rPr>
          <w:rFonts w:ascii="Arial" w:hAnsi="Arial" w:cs="Arial"/>
        </w:rPr>
        <w:t>A</w:t>
      </w:r>
      <w:r w:rsidR="003E2F86">
        <w:rPr>
          <w:rFonts w:ascii="Arial" w:hAnsi="Arial" w:cs="Arial"/>
        </w:rPr>
        <w:t xml:space="preserve"> </w:t>
      </w:r>
      <w:r w:rsidR="00570623">
        <w:rPr>
          <w:rFonts w:ascii="Arial" w:hAnsi="Arial" w:cs="Arial"/>
        </w:rPr>
        <w:t xml:space="preserve">mediados de 2014, </w:t>
      </w:r>
      <w:r w:rsidR="00BF0A3C">
        <w:rPr>
          <w:rFonts w:ascii="Arial" w:hAnsi="Arial" w:cs="Arial"/>
        </w:rPr>
        <w:t>en vista de que ya se tenía</w:t>
      </w:r>
      <w:r>
        <w:rPr>
          <w:rFonts w:ascii="Arial" w:hAnsi="Arial" w:cs="Arial"/>
        </w:rPr>
        <w:t xml:space="preserve"> información </w:t>
      </w:r>
      <w:r w:rsidR="00407925">
        <w:rPr>
          <w:rFonts w:ascii="Arial" w:hAnsi="Arial" w:cs="Arial"/>
        </w:rPr>
        <w:t xml:space="preserve">de </w:t>
      </w:r>
      <w:r w:rsidR="00BF0A3C">
        <w:rPr>
          <w:rFonts w:ascii="Arial" w:hAnsi="Arial" w:cs="Arial"/>
        </w:rPr>
        <w:t xml:space="preserve">que los fondos y tiempos </w:t>
      </w:r>
      <w:r>
        <w:rPr>
          <w:rFonts w:ascii="Arial" w:hAnsi="Arial" w:cs="Arial"/>
        </w:rPr>
        <w:t xml:space="preserve">remanentes </w:t>
      </w:r>
      <w:r w:rsidR="00BF0A3C">
        <w:rPr>
          <w:rFonts w:ascii="Arial" w:hAnsi="Arial" w:cs="Arial"/>
        </w:rPr>
        <w:t xml:space="preserve">serían </w:t>
      </w:r>
      <w:r>
        <w:rPr>
          <w:rFonts w:ascii="Arial" w:hAnsi="Arial" w:cs="Arial"/>
        </w:rPr>
        <w:t>in</w:t>
      </w:r>
      <w:r w:rsidR="00BF0A3C">
        <w:rPr>
          <w:rFonts w:ascii="Arial" w:hAnsi="Arial" w:cs="Arial"/>
        </w:rPr>
        <w:t>suficientes para concluir el proyecto, e</w:t>
      </w:r>
      <w:r w:rsidR="00570623">
        <w:rPr>
          <w:rFonts w:ascii="Arial" w:hAnsi="Arial" w:cs="Arial"/>
        </w:rPr>
        <w:t>l Banco financi</w:t>
      </w:r>
      <w:r>
        <w:rPr>
          <w:rFonts w:ascii="Arial" w:hAnsi="Arial" w:cs="Arial"/>
        </w:rPr>
        <w:t>ó</w:t>
      </w:r>
      <w:r w:rsidR="00570623">
        <w:rPr>
          <w:rFonts w:ascii="Arial" w:hAnsi="Arial" w:cs="Arial"/>
        </w:rPr>
        <w:t xml:space="preserve"> un</w:t>
      </w:r>
      <w:r w:rsidR="00407925">
        <w:rPr>
          <w:rFonts w:ascii="Arial" w:hAnsi="Arial" w:cs="Arial"/>
        </w:rPr>
        <w:t xml:space="preserve">a </w:t>
      </w:r>
      <w:r w:rsidR="00D87B95">
        <w:rPr>
          <w:rFonts w:ascii="Arial" w:hAnsi="Arial" w:cs="Arial"/>
        </w:rPr>
        <w:t>consultoría,</w:t>
      </w:r>
      <w:r w:rsidR="00570623" w:rsidRPr="00194111">
        <w:rPr>
          <w:rFonts w:ascii="Arial" w:hAnsi="Arial" w:cs="Arial"/>
        </w:rPr>
        <w:t xml:space="preserve"> que </w:t>
      </w:r>
      <w:r w:rsidR="003E2F86">
        <w:rPr>
          <w:rFonts w:ascii="Arial" w:hAnsi="Arial" w:cs="Arial"/>
        </w:rPr>
        <w:t>constató</w:t>
      </w:r>
      <w:r w:rsidR="00570623" w:rsidRPr="00194111">
        <w:rPr>
          <w:rFonts w:ascii="Arial" w:hAnsi="Arial" w:cs="Arial"/>
        </w:rPr>
        <w:t xml:space="preserve"> que </w:t>
      </w:r>
      <w:r w:rsidR="00407925">
        <w:rPr>
          <w:rFonts w:ascii="Arial" w:hAnsi="Arial" w:cs="Arial"/>
        </w:rPr>
        <w:t>se</w:t>
      </w:r>
      <w:r w:rsidR="00570623" w:rsidRPr="00194111">
        <w:rPr>
          <w:rFonts w:ascii="Arial" w:hAnsi="Arial" w:cs="Arial"/>
        </w:rPr>
        <w:t xml:space="preserve"> </w:t>
      </w:r>
      <w:r w:rsidR="00407925">
        <w:rPr>
          <w:rFonts w:ascii="Arial" w:hAnsi="Arial" w:cs="Arial"/>
        </w:rPr>
        <w:t xml:space="preserve">habían </w:t>
      </w:r>
      <w:r w:rsidR="00570623" w:rsidRPr="00194111">
        <w:rPr>
          <w:rFonts w:ascii="Arial" w:hAnsi="Arial" w:cs="Arial"/>
        </w:rPr>
        <w:t xml:space="preserve">utilizado fondos de otros </w:t>
      </w:r>
      <w:r w:rsidR="00407925">
        <w:rPr>
          <w:rFonts w:ascii="Arial" w:hAnsi="Arial" w:cs="Arial"/>
        </w:rPr>
        <w:t>productos</w:t>
      </w:r>
      <w:r w:rsidR="00570623" w:rsidRPr="00194111">
        <w:rPr>
          <w:rFonts w:ascii="Arial" w:hAnsi="Arial" w:cs="Arial"/>
        </w:rPr>
        <w:t xml:space="preserve"> para financiar</w:t>
      </w:r>
      <w:r w:rsidR="00631500" w:rsidRPr="00194111">
        <w:rPr>
          <w:rFonts w:ascii="Arial" w:hAnsi="Arial" w:cs="Arial"/>
        </w:rPr>
        <w:t xml:space="preserve"> varias versiones</w:t>
      </w:r>
      <w:r w:rsidR="00570623" w:rsidRPr="00194111">
        <w:rPr>
          <w:rFonts w:ascii="Arial" w:hAnsi="Arial" w:cs="Arial"/>
        </w:rPr>
        <w:t xml:space="preserve"> </w:t>
      </w:r>
      <w:r w:rsidR="00631500" w:rsidRPr="00194111">
        <w:rPr>
          <w:rFonts w:ascii="Arial" w:hAnsi="Arial" w:cs="Arial"/>
        </w:rPr>
        <w:t>d</w:t>
      </w:r>
      <w:r w:rsidR="00570623" w:rsidRPr="00194111">
        <w:rPr>
          <w:rFonts w:ascii="Arial" w:hAnsi="Arial" w:cs="Arial"/>
        </w:rPr>
        <w:t xml:space="preserve">el </w:t>
      </w:r>
      <w:r w:rsidR="00B51F4A" w:rsidRPr="00032E0F">
        <w:rPr>
          <w:rFonts w:ascii="Arial" w:hAnsi="Arial" w:cs="Arial"/>
        </w:rPr>
        <w:t>módulo</w:t>
      </w:r>
      <w:r w:rsidR="00570623" w:rsidRPr="00194111">
        <w:rPr>
          <w:rFonts w:ascii="Arial" w:hAnsi="Arial" w:cs="Arial"/>
        </w:rPr>
        <w:t xml:space="preserve"> de programación presupuestaria</w:t>
      </w:r>
      <w:r w:rsidR="00631500" w:rsidRPr="00194111">
        <w:rPr>
          <w:rFonts w:ascii="Arial" w:hAnsi="Arial" w:cs="Arial"/>
        </w:rPr>
        <w:t xml:space="preserve">, lo </w:t>
      </w:r>
      <w:r w:rsidR="00407925">
        <w:rPr>
          <w:rFonts w:ascii="Arial" w:hAnsi="Arial" w:cs="Arial"/>
        </w:rPr>
        <w:t>que perjudicó, por ejemplo, el</w:t>
      </w:r>
      <w:r w:rsidR="00631500" w:rsidRPr="00194111">
        <w:rPr>
          <w:rFonts w:ascii="Arial" w:hAnsi="Arial" w:cs="Arial"/>
        </w:rPr>
        <w:t xml:space="preserve"> desarrollo e </w:t>
      </w:r>
      <w:r w:rsidR="007E7693" w:rsidRPr="00194111">
        <w:rPr>
          <w:rFonts w:ascii="Arial" w:hAnsi="Arial" w:cs="Arial"/>
        </w:rPr>
        <w:t>implementación</w:t>
      </w:r>
      <w:r w:rsidR="00631500" w:rsidRPr="00194111">
        <w:rPr>
          <w:rFonts w:ascii="Arial" w:hAnsi="Arial" w:cs="Arial"/>
        </w:rPr>
        <w:t xml:space="preserve"> de los macroprocesos presupuestarios. </w:t>
      </w:r>
      <w:r w:rsidR="00407925">
        <w:rPr>
          <w:rFonts w:ascii="Arial" w:hAnsi="Arial" w:cs="Arial"/>
        </w:rPr>
        <w:t>En 2016, el</w:t>
      </w:r>
      <w:r w:rsidR="00631500" w:rsidRPr="00194111">
        <w:rPr>
          <w:rFonts w:ascii="Arial" w:hAnsi="Arial" w:cs="Arial"/>
        </w:rPr>
        <w:t xml:space="preserve"> Banco</w:t>
      </w:r>
      <w:r w:rsidR="00407925">
        <w:rPr>
          <w:rFonts w:ascii="Arial" w:hAnsi="Arial" w:cs="Arial"/>
        </w:rPr>
        <w:t xml:space="preserve"> financió una nueva consultoría </w:t>
      </w:r>
      <w:r w:rsidR="00C52324" w:rsidRPr="00194111">
        <w:rPr>
          <w:rFonts w:ascii="Arial" w:hAnsi="Arial" w:cs="Arial"/>
        </w:rPr>
        <w:t>para</w:t>
      </w:r>
      <w:r w:rsidR="00407925">
        <w:rPr>
          <w:rFonts w:ascii="Arial" w:hAnsi="Arial" w:cs="Arial"/>
        </w:rPr>
        <w:t xml:space="preserve"> llevar a cabo </w:t>
      </w:r>
      <w:r w:rsidR="00631500" w:rsidRPr="00194111">
        <w:rPr>
          <w:rFonts w:ascii="Arial" w:hAnsi="Arial" w:cs="Arial"/>
        </w:rPr>
        <w:t>una</w:t>
      </w:r>
      <w:r w:rsidR="00570623" w:rsidRPr="00194111">
        <w:rPr>
          <w:rFonts w:ascii="Arial" w:hAnsi="Arial" w:cs="Arial"/>
        </w:rPr>
        <w:t xml:space="preserve"> estimación de costos </w:t>
      </w:r>
      <w:r w:rsidR="00407925">
        <w:rPr>
          <w:rFonts w:ascii="Arial" w:hAnsi="Arial" w:cs="Arial"/>
        </w:rPr>
        <w:t>para la</w:t>
      </w:r>
      <w:r w:rsidR="00570623" w:rsidRPr="00194111">
        <w:rPr>
          <w:rFonts w:ascii="Arial" w:hAnsi="Arial" w:cs="Arial"/>
        </w:rPr>
        <w:t xml:space="preserve"> implementación del </w:t>
      </w:r>
      <w:r w:rsidR="007E7693" w:rsidRPr="00194111">
        <w:rPr>
          <w:rFonts w:ascii="Arial" w:hAnsi="Arial" w:cs="Arial"/>
        </w:rPr>
        <w:t>macroproceso</w:t>
      </w:r>
      <w:r w:rsidR="00570623" w:rsidRPr="00194111">
        <w:rPr>
          <w:rFonts w:ascii="Arial" w:hAnsi="Arial" w:cs="Arial"/>
        </w:rPr>
        <w:t xml:space="preserve"> de Ejecución Fiscal y Rendición de Cuentas</w:t>
      </w:r>
      <w:r w:rsidR="00407925">
        <w:rPr>
          <w:rFonts w:ascii="Arial" w:hAnsi="Arial" w:cs="Arial"/>
        </w:rPr>
        <w:t xml:space="preserve">, la cual calculó </w:t>
      </w:r>
      <w:r w:rsidR="00942B0D">
        <w:rPr>
          <w:rFonts w:ascii="Arial" w:hAnsi="Arial" w:cs="Arial"/>
        </w:rPr>
        <w:t xml:space="preserve">que </w:t>
      </w:r>
      <w:r w:rsidR="00942B0D" w:rsidRPr="00194111">
        <w:rPr>
          <w:rFonts w:ascii="Arial" w:hAnsi="Arial" w:cs="Arial"/>
        </w:rPr>
        <w:t>serían</w:t>
      </w:r>
      <w:r w:rsidR="00407925">
        <w:rPr>
          <w:rFonts w:ascii="Arial" w:hAnsi="Arial" w:cs="Arial"/>
        </w:rPr>
        <w:t xml:space="preserve"> </w:t>
      </w:r>
      <w:r w:rsidR="00B46CD9">
        <w:rPr>
          <w:rFonts w:ascii="Arial" w:hAnsi="Arial" w:cs="Arial"/>
        </w:rPr>
        <w:t>necesarios US$</w:t>
      </w:r>
      <w:r w:rsidR="00570623" w:rsidRPr="00194111">
        <w:rPr>
          <w:rFonts w:ascii="Arial" w:hAnsi="Arial" w:cs="Arial"/>
        </w:rPr>
        <w:t xml:space="preserve"> 9.6 millones </w:t>
      </w:r>
      <w:r>
        <w:rPr>
          <w:rFonts w:ascii="Arial" w:hAnsi="Arial" w:cs="Arial"/>
        </w:rPr>
        <w:t xml:space="preserve">adicionales </w:t>
      </w:r>
      <w:r w:rsidR="00570623" w:rsidRPr="00194111">
        <w:rPr>
          <w:rFonts w:ascii="Arial" w:hAnsi="Arial" w:cs="Arial"/>
        </w:rPr>
        <w:t>y un periodo de ejecución de 24 meses.</w:t>
      </w:r>
    </w:p>
    <w:p w14:paraId="50C6F817" w14:textId="0DD9494F" w:rsidR="00570623" w:rsidRPr="00194111" w:rsidRDefault="00B46CD9" w:rsidP="007E7693">
      <w:pPr>
        <w:tabs>
          <w:tab w:val="left" w:pos="9000"/>
        </w:tabs>
        <w:spacing w:before="120" w:after="120" w:line="240" w:lineRule="auto"/>
        <w:jc w:val="both"/>
        <w:rPr>
          <w:rFonts w:ascii="Arial" w:hAnsi="Arial" w:cs="Arial"/>
        </w:rPr>
      </w:pPr>
      <w:r>
        <w:rPr>
          <w:rFonts w:ascii="Arial" w:hAnsi="Arial" w:cs="Arial"/>
        </w:rPr>
        <w:t xml:space="preserve">Adicionalmente, en </w:t>
      </w:r>
      <w:r w:rsidR="00631500" w:rsidRPr="00194111">
        <w:rPr>
          <w:rFonts w:ascii="Arial" w:hAnsi="Arial" w:cs="Arial"/>
        </w:rPr>
        <w:t>el periodo 2014</w:t>
      </w:r>
      <w:r w:rsidR="003E2F86">
        <w:rPr>
          <w:rFonts w:ascii="Arial" w:hAnsi="Arial" w:cs="Arial"/>
        </w:rPr>
        <w:t>-</w:t>
      </w:r>
      <w:r w:rsidR="00631500" w:rsidRPr="00194111">
        <w:rPr>
          <w:rFonts w:ascii="Arial" w:hAnsi="Arial" w:cs="Arial"/>
        </w:rPr>
        <w:t>2016 el Banco</w:t>
      </w:r>
      <w:r w:rsidR="00605A72">
        <w:rPr>
          <w:rFonts w:ascii="Arial" w:hAnsi="Arial" w:cs="Arial"/>
        </w:rPr>
        <w:t>,</w:t>
      </w:r>
      <w:r w:rsidR="00631500" w:rsidRPr="00194111">
        <w:rPr>
          <w:rFonts w:ascii="Arial" w:hAnsi="Arial" w:cs="Arial"/>
        </w:rPr>
        <w:t xml:space="preserve"> con fondos del presupuesto de </w:t>
      </w:r>
      <w:r w:rsidR="007E7693" w:rsidRPr="00194111">
        <w:rPr>
          <w:rFonts w:ascii="Arial" w:hAnsi="Arial" w:cs="Arial"/>
        </w:rPr>
        <w:t>administración</w:t>
      </w:r>
      <w:r w:rsidR="00631500" w:rsidRPr="00194111">
        <w:rPr>
          <w:rFonts w:ascii="Arial" w:hAnsi="Arial" w:cs="Arial"/>
        </w:rPr>
        <w:t xml:space="preserve"> de proyecto y otros fondos de </w:t>
      </w:r>
      <w:r w:rsidR="003C0BE7">
        <w:rPr>
          <w:rFonts w:ascii="Arial" w:hAnsi="Arial" w:cs="Arial"/>
        </w:rPr>
        <w:t>supervisión</w:t>
      </w:r>
      <w:r w:rsidR="00631500" w:rsidRPr="00194111">
        <w:rPr>
          <w:rFonts w:ascii="Arial" w:hAnsi="Arial" w:cs="Arial"/>
        </w:rPr>
        <w:t xml:space="preserve">, </w:t>
      </w:r>
      <w:r>
        <w:rPr>
          <w:rFonts w:ascii="Arial" w:hAnsi="Arial" w:cs="Arial"/>
        </w:rPr>
        <w:t>contrat</w:t>
      </w:r>
      <w:r w:rsidR="003C0BE7">
        <w:rPr>
          <w:rFonts w:ascii="Arial" w:hAnsi="Arial" w:cs="Arial"/>
        </w:rPr>
        <w:t>ó</w:t>
      </w:r>
      <w:r w:rsidR="00631500" w:rsidRPr="00194111">
        <w:rPr>
          <w:rFonts w:ascii="Arial" w:hAnsi="Arial" w:cs="Arial"/>
        </w:rPr>
        <w:t xml:space="preserve"> a un </w:t>
      </w:r>
      <w:r w:rsidR="003C0BE7">
        <w:rPr>
          <w:rFonts w:ascii="Arial" w:hAnsi="Arial" w:cs="Arial"/>
        </w:rPr>
        <w:t xml:space="preserve">experto </w:t>
      </w:r>
      <w:r w:rsidR="00631500" w:rsidRPr="00194111">
        <w:rPr>
          <w:rFonts w:ascii="Arial" w:hAnsi="Arial" w:cs="Arial"/>
        </w:rPr>
        <w:t xml:space="preserve">para </w:t>
      </w:r>
      <w:r>
        <w:rPr>
          <w:rFonts w:ascii="Arial" w:hAnsi="Arial" w:cs="Arial"/>
        </w:rPr>
        <w:t>realizar una</w:t>
      </w:r>
      <w:r w:rsidR="00631500" w:rsidRPr="00194111">
        <w:rPr>
          <w:rFonts w:ascii="Arial" w:hAnsi="Arial" w:cs="Arial"/>
        </w:rPr>
        <w:t xml:space="preserve"> evaluación técnica de todos los productos tecnológicos</w:t>
      </w:r>
      <w:r w:rsidR="003C0BE7">
        <w:rPr>
          <w:rFonts w:ascii="Arial" w:hAnsi="Arial" w:cs="Arial"/>
        </w:rPr>
        <w:t>. S</w:t>
      </w:r>
      <w:r>
        <w:rPr>
          <w:rFonts w:ascii="Arial" w:hAnsi="Arial" w:cs="Arial"/>
        </w:rPr>
        <w:t xml:space="preserve">in </w:t>
      </w:r>
      <w:r w:rsidR="00A909F1">
        <w:rPr>
          <w:rFonts w:ascii="Arial" w:hAnsi="Arial" w:cs="Arial"/>
        </w:rPr>
        <w:t>embargo, debido</w:t>
      </w:r>
      <w:r>
        <w:rPr>
          <w:rFonts w:ascii="Arial" w:hAnsi="Arial" w:cs="Arial"/>
        </w:rPr>
        <w:t xml:space="preserve"> a los problemas de gobernanza que se </w:t>
      </w:r>
      <w:r w:rsidR="003C0BE7">
        <w:rPr>
          <w:rFonts w:ascii="Arial" w:hAnsi="Arial" w:cs="Arial"/>
        </w:rPr>
        <w:t>siguieron agravando</w:t>
      </w:r>
      <w:r>
        <w:rPr>
          <w:rFonts w:ascii="Arial" w:hAnsi="Arial" w:cs="Arial"/>
        </w:rPr>
        <w:t>, el rol del consultor fue limitado</w:t>
      </w:r>
      <w:r w:rsidR="00631500" w:rsidRPr="00194111">
        <w:rPr>
          <w:rFonts w:ascii="Arial" w:hAnsi="Arial" w:cs="Arial"/>
        </w:rPr>
        <w:t xml:space="preserve">. </w:t>
      </w:r>
      <w:r>
        <w:rPr>
          <w:rFonts w:ascii="Arial" w:hAnsi="Arial" w:cs="Arial"/>
        </w:rPr>
        <w:t xml:space="preserve">Asimismo, </w:t>
      </w:r>
      <w:r w:rsidR="00631500" w:rsidRPr="00194111">
        <w:rPr>
          <w:rFonts w:ascii="Arial" w:hAnsi="Arial" w:cs="Arial"/>
        </w:rPr>
        <w:t>a solicitud del MEF el Banco contrat</w:t>
      </w:r>
      <w:r w:rsidR="003C0BE7">
        <w:rPr>
          <w:rFonts w:ascii="Arial" w:hAnsi="Arial" w:cs="Arial"/>
        </w:rPr>
        <w:t>ó</w:t>
      </w:r>
      <w:r w:rsidR="00631500" w:rsidRPr="00194111">
        <w:rPr>
          <w:rFonts w:ascii="Arial" w:hAnsi="Arial" w:cs="Arial"/>
        </w:rPr>
        <w:t xml:space="preserve"> </w:t>
      </w:r>
      <w:r>
        <w:rPr>
          <w:rFonts w:ascii="Arial" w:hAnsi="Arial" w:cs="Arial"/>
        </w:rPr>
        <w:t xml:space="preserve">otro </w:t>
      </w:r>
      <w:r w:rsidR="00631500" w:rsidRPr="00194111">
        <w:rPr>
          <w:rFonts w:ascii="Arial" w:hAnsi="Arial" w:cs="Arial"/>
        </w:rPr>
        <w:t xml:space="preserve">consultor </w:t>
      </w:r>
      <w:r w:rsidR="00D87B95" w:rsidRPr="00194111">
        <w:rPr>
          <w:rFonts w:ascii="Arial" w:hAnsi="Arial" w:cs="Arial"/>
        </w:rPr>
        <w:t>especializado</w:t>
      </w:r>
      <w:r w:rsidR="00D87B95">
        <w:rPr>
          <w:rFonts w:ascii="Arial" w:hAnsi="Arial" w:cs="Arial"/>
        </w:rPr>
        <w:t xml:space="preserve"> </w:t>
      </w:r>
      <w:r w:rsidR="00D87B95" w:rsidRPr="00194111">
        <w:rPr>
          <w:rFonts w:ascii="Arial" w:hAnsi="Arial" w:cs="Arial"/>
        </w:rPr>
        <w:t>que</w:t>
      </w:r>
      <w:r w:rsidR="00631500" w:rsidRPr="00194111">
        <w:rPr>
          <w:rFonts w:ascii="Arial" w:hAnsi="Arial" w:cs="Arial"/>
        </w:rPr>
        <w:t xml:space="preserve"> gener</w:t>
      </w:r>
      <w:r w:rsidR="003C0BE7">
        <w:rPr>
          <w:rFonts w:ascii="Arial" w:hAnsi="Arial" w:cs="Arial"/>
        </w:rPr>
        <w:t>ó</w:t>
      </w:r>
      <w:r w:rsidR="00631500" w:rsidRPr="00194111">
        <w:rPr>
          <w:rFonts w:ascii="Arial" w:hAnsi="Arial" w:cs="Arial"/>
        </w:rPr>
        <w:t xml:space="preserve"> un reporte sobre las diferentes opciones </w:t>
      </w:r>
      <w:r w:rsidR="00B51F4A">
        <w:rPr>
          <w:rFonts w:ascii="Arial" w:hAnsi="Arial" w:cs="Arial"/>
        </w:rPr>
        <w:t xml:space="preserve">para proseguir con </w:t>
      </w:r>
      <w:r w:rsidR="003E2F86">
        <w:rPr>
          <w:rFonts w:ascii="Arial" w:hAnsi="Arial" w:cs="Arial"/>
        </w:rPr>
        <w:t>el</w:t>
      </w:r>
      <w:r w:rsidR="00B51F4A">
        <w:rPr>
          <w:rFonts w:ascii="Arial" w:hAnsi="Arial" w:cs="Arial"/>
        </w:rPr>
        <w:t xml:space="preserve"> proyecto</w:t>
      </w:r>
      <w:r>
        <w:rPr>
          <w:rFonts w:ascii="Arial" w:hAnsi="Arial" w:cs="Arial"/>
        </w:rPr>
        <w:t>.</w:t>
      </w:r>
      <w:r w:rsidR="00B51F4A">
        <w:rPr>
          <w:rStyle w:val="FootnoteReference"/>
          <w:rFonts w:ascii="Arial" w:hAnsi="Arial" w:cs="Arial"/>
        </w:rPr>
        <w:footnoteReference w:id="11"/>
      </w:r>
      <w:r w:rsidR="00B51F4A">
        <w:rPr>
          <w:rFonts w:ascii="Arial" w:hAnsi="Arial" w:cs="Arial"/>
        </w:rPr>
        <w:t xml:space="preserve"> En esta </w:t>
      </w:r>
      <w:r w:rsidR="008610BA">
        <w:rPr>
          <w:rFonts w:ascii="Arial" w:hAnsi="Arial" w:cs="Arial"/>
        </w:rPr>
        <w:t>última</w:t>
      </w:r>
      <w:r w:rsidR="00B51F4A">
        <w:rPr>
          <w:rFonts w:ascii="Arial" w:hAnsi="Arial" w:cs="Arial"/>
        </w:rPr>
        <w:t xml:space="preserve"> etapa del proyecto, el Banco </w:t>
      </w:r>
      <w:r>
        <w:rPr>
          <w:rFonts w:ascii="Arial" w:hAnsi="Arial" w:cs="Arial"/>
        </w:rPr>
        <w:t>logr</w:t>
      </w:r>
      <w:r w:rsidR="003C0BE7">
        <w:rPr>
          <w:rFonts w:ascii="Arial" w:hAnsi="Arial" w:cs="Arial"/>
        </w:rPr>
        <w:t>ó</w:t>
      </w:r>
      <w:r w:rsidR="00B51F4A">
        <w:rPr>
          <w:rFonts w:ascii="Arial" w:hAnsi="Arial" w:cs="Arial"/>
        </w:rPr>
        <w:t xml:space="preserve"> un di</w:t>
      </w:r>
      <w:r w:rsidR="003C0BE7">
        <w:rPr>
          <w:rFonts w:ascii="Arial" w:hAnsi="Arial" w:cs="Arial"/>
        </w:rPr>
        <w:t>á</w:t>
      </w:r>
      <w:r w:rsidR="00B51F4A">
        <w:rPr>
          <w:rFonts w:ascii="Arial" w:hAnsi="Arial" w:cs="Arial"/>
        </w:rPr>
        <w:t xml:space="preserve">logo </w:t>
      </w:r>
      <w:r w:rsidR="003E2F86">
        <w:rPr>
          <w:rFonts w:ascii="Arial" w:hAnsi="Arial" w:cs="Arial"/>
        </w:rPr>
        <w:t xml:space="preserve">fluido </w:t>
      </w:r>
      <w:r w:rsidR="00B51F4A">
        <w:rPr>
          <w:rFonts w:ascii="Arial" w:hAnsi="Arial" w:cs="Arial"/>
        </w:rPr>
        <w:t>a nivel de las autoridades del MEF</w:t>
      </w:r>
      <w:r>
        <w:rPr>
          <w:rFonts w:ascii="Arial" w:hAnsi="Arial" w:cs="Arial"/>
        </w:rPr>
        <w:t xml:space="preserve">, </w:t>
      </w:r>
      <w:r w:rsidR="003E2F86">
        <w:rPr>
          <w:rFonts w:ascii="Arial" w:hAnsi="Arial" w:cs="Arial"/>
        </w:rPr>
        <w:t xml:space="preserve">y </w:t>
      </w:r>
      <w:r>
        <w:rPr>
          <w:rFonts w:ascii="Arial" w:hAnsi="Arial" w:cs="Arial"/>
        </w:rPr>
        <w:t xml:space="preserve">con base </w:t>
      </w:r>
      <w:r w:rsidR="003C0BE7">
        <w:rPr>
          <w:rFonts w:ascii="Arial" w:hAnsi="Arial" w:cs="Arial"/>
        </w:rPr>
        <w:t>a</w:t>
      </w:r>
      <w:r>
        <w:rPr>
          <w:rFonts w:ascii="Arial" w:hAnsi="Arial" w:cs="Arial"/>
        </w:rPr>
        <w:t xml:space="preserve"> este </w:t>
      </w:r>
      <w:r w:rsidR="00B51F4A">
        <w:rPr>
          <w:rFonts w:ascii="Arial" w:hAnsi="Arial" w:cs="Arial"/>
        </w:rPr>
        <w:t>estudio</w:t>
      </w:r>
      <w:r w:rsidR="003C0BE7">
        <w:rPr>
          <w:rFonts w:ascii="Arial" w:hAnsi="Arial" w:cs="Arial"/>
        </w:rPr>
        <w:t>,</w:t>
      </w:r>
      <w:r w:rsidR="00B51F4A">
        <w:rPr>
          <w:rFonts w:ascii="Arial" w:hAnsi="Arial" w:cs="Arial"/>
        </w:rPr>
        <w:t xml:space="preserve"> el </w:t>
      </w:r>
      <w:r w:rsidR="003C0BE7">
        <w:rPr>
          <w:rFonts w:ascii="Arial" w:hAnsi="Arial" w:cs="Arial"/>
        </w:rPr>
        <w:t>MEF</w:t>
      </w:r>
      <w:r w:rsidR="00B51F4A">
        <w:rPr>
          <w:rFonts w:ascii="Arial" w:hAnsi="Arial" w:cs="Arial"/>
        </w:rPr>
        <w:t xml:space="preserve"> </w:t>
      </w:r>
      <w:proofErr w:type="gramStart"/>
      <w:r w:rsidR="00B51F4A">
        <w:rPr>
          <w:rFonts w:ascii="Arial" w:hAnsi="Arial" w:cs="Arial"/>
        </w:rPr>
        <w:t>decid</w:t>
      </w:r>
      <w:r w:rsidR="003C0BE7">
        <w:rPr>
          <w:rFonts w:ascii="Arial" w:hAnsi="Arial" w:cs="Arial"/>
        </w:rPr>
        <w:t xml:space="preserve">ió </w:t>
      </w:r>
      <w:r w:rsidR="00B51F4A">
        <w:rPr>
          <w:rFonts w:ascii="Arial" w:hAnsi="Arial" w:cs="Arial"/>
        </w:rPr>
        <w:t xml:space="preserve"> replantear</w:t>
      </w:r>
      <w:proofErr w:type="gramEnd"/>
      <w:r w:rsidR="00B51F4A">
        <w:rPr>
          <w:rFonts w:ascii="Arial" w:hAnsi="Arial" w:cs="Arial"/>
        </w:rPr>
        <w:t xml:space="preserve"> </w:t>
      </w:r>
      <w:r w:rsidR="008610BA">
        <w:rPr>
          <w:rFonts w:ascii="Arial" w:hAnsi="Arial" w:cs="Arial"/>
        </w:rPr>
        <w:t xml:space="preserve">el modelo conceptual del SIAF en </w:t>
      </w:r>
      <w:r w:rsidR="00032E0F">
        <w:rPr>
          <w:rFonts w:ascii="Arial" w:hAnsi="Arial" w:cs="Arial"/>
        </w:rPr>
        <w:t>Perú</w:t>
      </w:r>
      <w:r w:rsidR="008610BA">
        <w:rPr>
          <w:rFonts w:ascii="Arial" w:hAnsi="Arial" w:cs="Arial"/>
        </w:rPr>
        <w:t xml:space="preserve">. </w:t>
      </w:r>
      <w:r w:rsidR="003E2F86">
        <w:rPr>
          <w:rFonts w:ascii="Arial" w:hAnsi="Arial" w:cs="Arial"/>
        </w:rPr>
        <w:t xml:space="preserve">Con esto, el </w:t>
      </w:r>
      <w:r w:rsidR="008610BA">
        <w:rPr>
          <w:rFonts w:ascii="Arial" w:hAnsi="Arial" w:cs="Arial"/>
        </w:rPr>
        <w:t xml:space="preserve">MEF </w:t>
      </w:r>
      <w:r w:rsidR="003C0BE7">
        <w:rPr>
          <w:rFonts w:ascii="Arial" w:hAnsi="Arial" w:cs="Arial"/>
        </w:rPr>
        <w:t xml:space="preserve">volvió </w:t>
      </w:r>
      <w:r w:rsidR="008610BA">
        <w:rPr>
          <w:rFonts w:ascii="Arial" w:hAnsi="Arial" w:cs="Arial"/>
        </w:rPr>
        <w:t xml:space="preserve">a centrarse en los temas funcionales y </w:t>
      </w:r>
      <w:r w:rsidR="003C0BE7">
        <w:rPr>
          <w:rFonts w:ascii="Arial" w:hAnsi="Arial" w:cs="Arial"/>
        </w:rPr>
        <w:t xml:space="preserve">contemplar así </w:t>
      </w:r>
      <w:r w:rsidR="008610BA">
        <w:rPr>
          <w:rFonts w:ascii="Arial" w:hAnsi="Arial" w:cs="Arial"/>
        </w:rPr>
        <w:t xml:space="preserve">que la tecnología es un </w:t>
      </w:r>
      <w:r w:rsidR="003C0BE7">
        <w:rPr>
          <w:rFonts w:ascii="Arial" w:hAnsi="Arial" w:cs="Arial"/>
        </w:rPr>
        <w:t xml:space="preserve">elemento </w:t>
      </w:r>
      <w:r w:rsidR="008610BA">
        <w:rPr>
          <w:rFonts w:ascii="Arial" w:hAnsi="Arial" w:cs="Arial"/>
        </w:rPr>
        <w:t>complement</w:t>
      </w:r>
      <w:r w:rsidR="003C0BE7">
        <w:rPr>
          <w:rFonts w:ascii="Arial" w:hAnsi="Arial" w:cs="Arial"/>
        </w:rPr>
        <w:t xml:space="preserve">ario dentro del esfuerzo </w:t>
      </w:r>
      <w:r w:rsidR="003E2F86">
        <w:rPr>
          <w:rFonts w:ascii="Arial" w:hAnsi="Arial" w:cs="Arial"/>
        </w:rPr>
        <w:t>de modernización</w:t>
      </w:r>
      <w:r w:rsidR="003C0BE7">
        <w:rPr>
          <w:rFonts w:ascii="Arial" w:hAnsi="Arial" w:cs="Arial"/>
        </w:rPr>
        <w:t xml:space="preserve"> del sistema</w:t>
      </w:r>
      <w:r w:rsidR="003E2F86">
        <w:rPr>
          <w:rFonts w:ascii="Arial" w:hAnsi="Arial" w:cs="Arial"/>
        </w:rPr>
        <w:t xml:space="preserve">. Así, </w:t>
      </w:r>
      <w:r w:rsidR="008610BA">
        <w:rPr>
          <w:rFonts w:ascii="Arial" w:hAnsi="Arial" w:cs="Arial"/>
        </w:rPr>
        <w:t>se logr</w:t>
      </w:r>
      <w:r w:rsidR="003C0BE7">
        <w:rPr>
          <w:rFonts w:ascii="Arial" w:hAnsi="Arial" w:cs="Arial"/>
        </w:rPr>
        <w:t>ó</w:t>
      </w:r>
      <w:r w:rsidR="008610BA">
        <w:rPr>
          <w:rFonts w:ascii="Arial" w:hAnsi="Arial" w:cs="Arial"/>
        </w:rPr>
        <w:t xml:space="preserve"> </w:t>
      </w:r>
      <w:r w:rsidR="003E2F86">
        <w:rPr>
          <w:rFonts w:ascii="Arial" w:hAnsi="Arial" w:cs="Arial"/>
        </w:rPr>
        <w:t>también</w:t>
      </w:r>
      <w:r w:rsidR="008610BA">
        <w:rPr>
          <w:rFonts w:ascii="Arial" w:hAnsi="Arial" w:cs="Arial"/>
        </w:rPr>
        <w:t xml:space="preserve"> incorporar al diseño el tema de modernización organizacional y sus implicaciones </w:t>
      </w:r>
      <w:r w:rsidR="003E2F86">
        <w:rPr>
          <w:rFonts w:ascii="Arial" w:hAnsi="Arial" w:cs="Arial"/>
        </w:rPr>
        <w:t>de interoperabilidad</w:t>
      </w:r>
      <w:r w:rsidR="008610BA">
        <w:rPr>
          <w:rFonts w:ascii="Arial" w:hAnsi="Arial" w:cs="Arial"/>
        </w:rPr>
        <w:t>.</w:t>
      </w:r>
    </w:p>
    <w:p w14:paraId="42A2F085" w14:textId="2C795AE0" w:rsidR="00345999" w:rsidRPr="00576180" w:rsidRDefault="009E0608" w:rsidP="007E7693">
      <w:pPr>
        <w:tabs>
          <w:tab w:val="left" w:pos="9000"/>
        </w:tabs>
        <w:spacing w:before="120" w:after="120" w:line="240" w:lineRule="auto"/>
        <w:jc w:val="both"/>
        <w:rPr>
          <w:rFonts w:ascii="Arial" w:hAnsi="Arial" w:cs="Arial"/>
        </w:rPr>
      </w:pPr>
      <w:bookmarkStart w:id="266" w:name="_Hlk20844057"/>
      <w:r w:rsidRPr="00576180">
        <w:rPr>
          <w:rFonts w:ascii="Arial" w:hAnsi="Arial" w:cs="Arial"/>
        </w:rPr>
        <w:t xml:space="preserve">Con base en consultas realizadas por el equipo a cargo del PCR a los funcionarios públicos </w:t>
      </w:r>
      <w:r w:rsidR="00D829FC" w:rsidRPr="00576180">
        <w:rPr>
          <w:rFonts w:ascii="Arial" w:hAnsi="Arial" w:cs="Arial"/>
        </w:rPr>
        <w:t xml:space="preserve">y funcionarios del Banco </w:t>
      </w:r>
      <w:r w:rsidRPr="00576180">
        <w:rPr>
          <w:rFonts w:ascii="Arial" w:hAnsi="Arial" w:cs="Arial"/>
        </w:rPr>
        <w:t xml:space="preserve">involucrados en la implementación </w:t>
      </w:r>
      <w:r w:rsidR="00D41B81" w:rsidRPr="00576180">
        <w:rPr>
          <w:rFonts w:ascii="Arial" w:hAnsi="Arial" w:cs="Arial"/>
        </w:rPr>
        <w:t>del Programa</w:t>
      </w:r>
      <w:r w:rsidR="00922BB3" w:rsidRPr="00576180">
        <w:rPr>
          <w:rFonts w:ascii="Arial" w:hAnsi="Arial" w:cs="Arial"/>
        </w:rPr>
        <w:t>,</w:t>
      </w:r>
      <w:r w:rsidRPr="00576180">
        <w:rPr>
          <w:rFonts w:ascii="Arial" w:hAnsi="Arial" w:cs="Arial"/>
        </w:rPr>
        <w:t xml:space="preserve"> </w:t>
      </w:r>
      <w:r w:rsidR="005719A7" w:rsidRPr="00576180">
        <w:rPr>
          <w:rFonts w:ascii="Arial" w:hAnsi="Arial" w:cs="Arial"/>
        </w:rPr>
        <w:t>se constató que e</w:t>
      </w:r>
      <w:r w:rsidR="00BD1A96" w:rsidRPr="00576180">
        <w:rPr>
          <w:rFonts w:ascii="Arial" w:hAnsi="Arial" w:cs="Arial"/>
        </w:rPr>
        <w:t xml:space="preserve">l </w:t>
      </w:r>
      <w:r w:rsidR="005719A7" w:rsidRPr="00576180">
        <w:rPr>
          <w:rFonts w:ascii="Arial" w:hAnsi="Arial" w:cs="Arial"/>
        </w:rPr>
        <w:t>desempeño</w:t>
      </w:r>
      <w:r w:rsidR="00BD1A96" w:rsidRPr="00576180">
        <w:rPr>
          <w:rFonts w:ascii="Arial" w:hAnsi="Arial" w:cs="Arial"/>
        </w:rPr>
        <w:t xml:space="preserve"> del Banco</w:t>
      </w:r>
      <w:r w:rsidR="005719A7" w:rsidRPr="00576180">
        <w:rPr>
          <w:rFonts w:ascii="Arial" w:hAnsi="Arial" w:cs="Arial"/>
        </w:rPr>
        <w:t xml:space="preserve"> fue </w:t>
      </w:r>
      <w:r w:rsidR="005719A7" w:rsidRPr="00576180">
        <w:rPr>
          <w:rFonts w:ascii="Arial" w:hAnsi="Arial" w:cs="Arial"/>
          <w:b/>
        </w:rPr>
        <w:t xml:space="preserve">moderadamente </w:t>
      </w:r>
      <w:r w:rsidR="00114032" w:rsidRPr="00576180">
        <w:rPr>
          <w:rFonts w:ascii="Arial" w:hAnsi="Arial" w:cs="Arial"/>
          <w:b/>
        </w:rPr>
        <w:t>insatisfactorio</w:t>
      </w:r>
      <w:r w:rsidR="005719A7" w:rsidRPr="00576180">
        <w:rPr>
          <w:rFonts w:ascii="Arial" w:hAnsi="Arial" w:cs="Arial"/>
        </w:rPr>
        <w:t xml:space="preserve"> por las siguientes razones: (i)</w:t>
      </w:r>
      <w:r w:rsidR="004E4144" w:rsidRPr="00576180">
        <w:rPr>
          <w:rFonts w:ascii="Arial" w:hAnsi="Arial" w:cs="Arial"/>
        </w:rPr>
        <w:t> </w:t>
      </w:r>
      <w:r w:rsidR="005719A7" w:rsidRPr="00576180">
        <w:rPr>
          <w:rFonts w:ascii="Arial" w:hAnsi="Arial" w:cs="Arial"/>
        </w:rPr>
        <w:t>con respecto a la identificación, preparación y aprobación del</w:t>
      </w:r>
      <w:r w:rsidR="00BD1A96" w:rsidRPr="00576180">
        <w:rPr>
          <w:rFonts w:ascii="Arial" w:hAnsi="Arial" w:cs="Arial"/>
        </w:rPr>
        <w:t xml:space="preserve"> Programa</w:t>
      </w:r>
      <w:r w:rsidR="005719A7" w:rsidRPr="00576180">
        <w:rPr>
          <w:rFonts w:ascii="Arial" w:hAnsi="Arial" w:cs="Arial"/>
        </w:rPr>
        <w:t xml:space="preserve">, el desempeño del Banco </w:t>
      </w:r>
      <w:r w:rsidR="00114032" w:rsidRPr="00576180">
        <w:rPr>
          <w:rFonts w:ascii="Arial" w:hAnsi="Arial" w:cs="Arial"/>
        </w:rPr>
        <w:t xml:space="preserve">se clasifica como </w:t>
      </w:r>
      <w:r w:rsidR="00114032" w:rsidRPr="00576180">
        <w:rPr>
          <w:rFonts w:ascii="Arial" w:hAnsi="Arial" w:cs="Arial"/>
          <w:b/>
        </w:rPr>
        <w:t>satisfactorio</w:t>
      </w:r>
      <w:r w:rsidR="00114032" w:rsidRPr="00576180">
        <w:rPr>
          <w:rFonts w:ascii="Arial" w:hAnsi="Arial" w:cs="Arial"/>
        </w:rPr>
        <w:t>,</w:t>
      </w:r>
      <w:r w:rsidR="005719A7" w:rsidRPr="00576180">
        <w:rPr>
          <w:rFonts w:ascii="Arial" w:hAnsi="Arial" w:cs="Arial"/>
        </w:rPr>
        <w:t xml:space="preserve"> debido </w:t>
      </w:r>
      <w:r w:rsidR="00114032" w:rsidRPr="00576180">
        <w:rPr>
          <w:rFonts w:ascii="Arial" w:hAnsi="Arial" w:cs="Arial"/>
        </w:rPr>
        <w:t>a que se cumplió</w:t>
      </w:r>
      <w:r w:rsidR="005719A7" w:rsidRPr="00576180">
        <w:rPr>
          <w:rFonts w:ascii="Arial" w:hAnsi="Arial" w:cs="Arial"/>
        </w:rPr>
        <w:t xml:space="preserve"> sin </w:t>
      </w:r>
      <w:r w:rsidR="00922BB3" w:rsidRPr="00576180">
        <w:rPr>
          <w:rFonts w:ascii="Arial" w:hAnsi="Arial" w:cs="Arial"/>
        </w:rPr>
        <w:t>mayores dificultades</w:t>
      </w:r>
      <w:r w:rsidR="00114032" w:rsidRPr="00576180">
        <w:rPr>
          <w:rFonts w:ascii="Arial" w:hAnsi="Arial" w:cs="Arial"/>
        </w:rPr>
        <w:t xml:space="preserve"> con las diferentes etapas hasta</w:t>
      </w:r>
      <w:r w:rsidR="00CB121D" w:rsidRPr="00576180">
        <w:rPr>
          <w:rFonts w:ascii="Arial" w:hAnsi="Arial" w:cs="Arial"/>
        </w:rPr>
        <w:t xml:space="preserve"> el arranque de la ejecución de la operación</w:t>
      </w:r>
      <w:r w:rsidR="00922BB3" w:rsidRPr="00576180">
        <w:rPr>
          <w:rFonts w:ascii="Arial" w:hAnsi="Arial" w:cs="Arial"/>
        </w:rPr>
        <w:t>; y (</w:t>
      </w:r>
      <w:proofErr w:type="spellStart"/>
      <w:r w:rsidR="00922BB3" w:rsidRPr="00576180">
        <w:rPr>
          <w:rFonts w:ascii="Arial" w:hAnsi="Arial" w:cs="Arial"/>
        </w:rPr>
        <w:t>ii</w:t>
      </w:r>
      <w:proofErr w:type="spellEnd"/>
      <w:r w:rsidR="00922BB3" w:rsidRPr="00576180">
        <w:rPr>
          <w:rFonts w:ascii="Arial" w:hAnsi="Arial" w:cs="Arial"/>
        </w:rPr>
        <w:t xml:space="preserve">) con respecto a la supervisión, el </w:t>
      </w:r>
      <w:r w:rsidR="00E670C0">
        <w:rPr>
          <w:rFonts w:ascii="Arial" w:hAnsi="Arial" w:cs="Arial"/>
        </w:rPr>
        <w:t xml:space="preserve">desempeño del </w:t>
      </w:r>
      <w:r w:rsidR="00922BB3" w:rsidRPr="00576180">
        <w:rPr>
          <w:rFonts w:ascii="Arial" w:hAnsi="Arial" w:cs="Arial"/>
        </w:rPr>
        <w:t xml:space="preserve">Banco </w:t>
      </w:r>
      <w:r w:rsidR="00114032" w:rsidRPr="00576180">
        <w:rPr>
          <w:rFonts w:ascii="Arial" w:hAnsi="Arial" w:cs="Arial"/>
        </w:rPr>
        <w:t>se clasifica como</w:t>
      </w:r>
      <w:r w:rsidR="00922BB3" w:rsidRPr="00576180">
        <w:rPr>
          <w:rFonts w:ascii="Arial" w:hAnsi="Arial" w:cs="Arial"/>
        </w:rPr>
        <w:t xml:space="preserve"> </w:t>
      </w:r>
      <w:r w:rsidR="00922BB3" w:rsidRPr="00576180">
        <w:rPr>
          <w:rFonts w:ascii="Arial" w:hAnsi="Arial" w:cs="Arial"/>
          <w:b/>
        </w:rPr>
        <w:t>moderadamente insatisfactorio</w:t>
      </w:r>
      <w:r w:rsidR="00922BB3" w:rsidRPr="00576180">
        <w:rPr>
          <w:rFonts w:ascii="Arial" w:hAnsi="Arial" w:cs="Arial"/>
        </w:rPr>
        <w:t xml:space="preserve">, </w:t>
      </w:r>
      <w:r w:rsidR="00F40563" w:rsidRPr="00AD66E4">
        <w:rPr>
          <w:rFonts w:ascii="Arial" w:hAnsi="Arial" w:cs="Arial"/>
        </w:rPr>
        <w:lastRenderedPageBreak/>
        <w:t xml:space="preserve">dado que, a pesar de haber señalado oportunamente al ejecutor los riesgos que implicaba el cambio en el mecanismo de ejecución del proyecto que se produjo en 2011, no logró </w:t>
      </w:r>
      <w:r w:rsidR="003C0BE7">
        <w:rPr>
          <w:rFonts w:ascii="Arial" w:hAnsi="Arial" w:cs="Arial"/>
        </w:rPr>
        <w:t xml:space="preserve">influir de forma suficiente </w:t>
      </w:r>
      <w:r w:rsidR="00F40563" w:rsidRPr="00AD66E4">
        <w:rPr>
          <w:rFonts w:ascii="Arial" w:hAnsi="Arial" w:cs="Arial"/>
        </w:rPr>
        <w:t xml:space="preserve">para ayudar a </w:t>
      </w:r>
      <w:r w:rsidR="003C0BE7">
        <w:rPr>
          <w:rFonts w:ascii="Arial" w:hAnsi="Arial" w:cs="Arial"/>
        </w:rPr>
        <w:t xml:space="preserve">mitigar las </w:t>
      </w:r>
      <w:r w:rsidR="00F40563" w:rsidRPr="00AD66E4">
        <w:rPr>
          <w:rFonts w:ascii="Arial" w:hAnsi="Arial" w:cs="Arial"/>
        </w:rPr>
        <w:t>consecuencias</w:t>
      </w:r>
      <w:r w:rsidR="003C0BE7">
        <w:rPr>
          <w:rFonts w:ascii="Arial" w:hAnsi="Arial" w:cs="Arial"/>
        </w:rPr>
        <w:t xml:space="preserve"> de esta decisión</w:t>
      </w:r>
      <w:r w:rsidR="00F40563" w:rsidRPr="00AD66E4">
        <w:rPr>
          <w:rFonts w:ascii="Arial" w:hAnsi="Arial" w:cs="Arial"/>
        </w:rPr>
        <w:t xml:space="preserve">. Sumado a esto, si bien la decisión de fortalecer la supervisión de la ejecución del proyecto a través de la contratación de expertos externos en tecnología y en sistemas informáticos fue acertada, </w:t>
      </w:r>
      <w:r w:rsidR="003C0BE7">
        <w:rPr>
          <w:rFonts w:ascii="Arial" w:hAnsi="Arial" w:cs="Arial"/>
        </w:rPr>
        <w:t xml:space="preserve">esta decisión </w:t>
      </w:r>
      <w:r w:rsidR="00F40563" w:rsidRPr="00AD66E4">
        <w:rPr>
          <w:rFonts w:ascii="Arial" w:hAnsi="Arial" w:cs="Arial"/>
        </w:rPr>
        <w:t xml:space="preserve">se tomó </w:t>
      </w:r>
      <w:r w:rsidR="003C0BE7">
        <w:rPr>
          <w:rFonts w:ascii="Arial" w:hAnsi="Arial" w:cs="Arial"/>
        </w:rPr>
        <w:t xml:space="preserve">solo </w:t>
      </w:r>
      <w:r w:rsidR="00F40563" w:rsidRPr="00AD66E4">
        <w:rPr>
          <w:rFonts w:ascii="Arial" w:hAnsi="Arial" w:cs="Arial"/>
        </w:rPr>
        <w:t xml:space="preserve">en el cuarto </w:t>
      </w:r>
      <w:r w:rsidR="003C0BE7">
        <w:rPr>
          <w:rFonts w:ascii="Arial" w:hAnsi="Arial" w:cs="Arial"/>
        </w:rPr>
        <w:t xml:space="preserve">año </w:t>
      </w:r>
      <w:r w:rsidR="00F40563" w:rsidRPr="00AD66E4">
        <w:rPr>
          <w:rFonts w:ascii="Arial" w:hAnsi="Arial" w:cs="Arial"/>
        </w:rPr>
        <w:t xml:space="preserve">de los cinco previstos </w:t>
      </w:r>
      <w:r w:rsidR="003C0BE7">
        <w:rPr>
          <w:rFonts w:ascii="Arial" w:hAnsi="Arial" w:cs="Arial"/>
        </w:rPr>
        <w:t xml:space="preserve">inicialmente </w:t>
      </w:r>
      <w:r w:rsidR="00F40563" w:rsidRPr="00AD66E4">
        <w:rPr>
          <w:rFonts w:ascii="Arial" w:hAnsi="Arial" w:cs="Arial"/>
        </w:rPr>
        <w:t>para la ejecución de la operación</w:t>
      </w:r>
      <w:r w:rsidR="00345999" w:rsidRPr="00576180">
        <w:rPr>
          <w:rFonts w:ascii="Arial" w:hAnsi="Arial" w:cs="Arial"/>
        </w:rPr>
        <w:t xml:space="preserve">. </w:t>
      </w:r>
    </w:p>
    <w:bookmarkEnd w:id="266"/>
    <w:p w14:paraId="696247BC" w14:textId="5250EB7A" w:rsidR="009E0608" w:rsidRPr="00576180" w:rsidRDefault="00345999" w:rsidP="007E7693">
      <w:pPr>
        <w:tabs>
          <w:tab w:val="left" w:pos="9000"/>
        </w:tabs>
        <w:spacing w:before="120" w:after="120" w:line="240" w:lineRule="auto"/>
        <w:jc w:val="both"/>
        <w:rPr>
          <w:rFonts w:ascii="Arial" w:hAnsi="Arial" w:cs="Arial"/>
        </w:rPr>
      </w:pPr>
      <w:r w:rsidRPr="00576180">
        <w:rPr>
          <w:rFonts w:ascii="Arial" w:hAnsi="Arial" w:cs="Arial"/>
        </w:rPr>
        <w:t>Si bien</w:t>
      </w:r>
      <w:r w:rsidR="001F0FE6" w:rsidRPr="00576180">
        <w:rPr>
          <w:rFonts w:ascii="Arial" w:hAnsi="Arial" w:cs="Arial"/>
        </w:rPr>
        <w:t xml:space="preserve"> en base a </w:t>
      </w:r>
      <w:r w:rsidR="000F48DF" w:rsidRPr="00576180">
        <w:rPr>
          <w:rFonts w:ascii="Arial" w:hAnsi="Arial" w:cs="Arial"/>
        </w:rPr>
        <w:t>la evaluación de medio término</w:t>
      </w:r>
      <w:r w:rsidR="009C5D8F" w:rsidRPr="00576180">
        <w:rPr>
          <w:rFonts w:ascii="Arial" w:hAnsi="Arial" w:cs="Arial"/>
        </w:rPr>
        <w:t xml:space="preserve"> del Programa</w:t>
      </w:r>
      <w:r w:rsidR="000F48DF" w:rsidRPr="00576180">
        <w:rPr>
          <w:rFonts w:ascii="Arial" w:hAnsi="Arial" w:cs="Arial"/>
        </w:rPr>
        <w:t xml:space="preserve">, </w:t>
      </w:r>
      <w:r w:rsidR="001F0FE6" w:rsidRPr="00576180">
        <w:rPr>
          <w:rFonts w:ascii="Arial" w:hAnsi="Arial" w:cs="Arial"/>
        </w:rPr>
        <w:t xml:space="preserve">que demostraba que el Proyecto tenía un alto porcentaje de ejecución financiera </w:t>
      </w:r>
      <w:r w:rsidR="003C0BE7">
        <w:rPr>
          <w:rFonts w:ascii="Arial" w:hAnsi="Arial" w:cs="Arial"/>
        </w:rPr>
        <w:t>(</w:t>
      </w:r>
      <w:r w:rsidR="001F0FE6" w:rsidRPr="00576180">
        <w:rPr>
          <w:rFonts w:ascii="Arial" w:hAnsi="Arial" w:cs="Arial"/>
        </w:rPr>
        <w:t xml:space="preserve">alrededor </w:t>
      </w:r>
      <w:r w:rsidR="003C0BE7">
        <w:rPr>
          <w:rFonts w:ascii="Arial" w:hAnsi="Arial" w:cs="Arial"/>
        </w:rPr>
        <w:t xml:space="preserve">del </w:t>
      </w:r>
      <w:r w:rsidR="001F0FE6" w:rsidRPr="00576180">
        <w:rPr>
          <w:rFonts w:ascii="Arial" w:hAnsi="Arial" w:cs="Arial"/>
        </w:rPr>
        <w:t>70%</w:t>
      </w:r>
      <w:r w:rsidR="003C0BE7">
        <w:rPr>
          <w:rFonts w:ascii="Arial" w:hAnsi="Arial" w:cs="Arial"/>
        </w:rPr>
        <w:t>) y</w:t>
      </w:r>
      <w:r w:rsidR="001F0FE6" w:rsidRPr="00576180">
        <w:rPr>
          <w:rFonts w:ascii="Arial" w:hAnsi="Arial" w:cs="Arial"/>
        </w:rPr>
        <w:t xml:space="preserve"> un valor ganado menor </w:t>
      </w:r>
      <w:r w:rsidR="003C0BE7">
        <w:rPr>
          <w:rFonts w:ascii="Arial" w:hAnsi="Arial" w:cs="Arial"/>
        </w:rPr>
        <w:t>(</w:t>
      </w:r>
      <w:r w:rsidR="001F0FE6" w:rsidRPr="00576180">
        <w:rPr>
          <w:rFonts w:ascii="Arial" w:hAnsi="Arial" w:cs="Arial"/>
        </w:rPr>
        <w:t>alrededor del 40%</w:t>
      </w:r>
      <w:r w:rsidR="003C0BE7">
        <w:rPr>
          <w:rFonts w:ascii="Arial" w:hAnsi="Arial" w:cs="Arial"/>
        </w:rPr>
        <w:t>)</w:t>
      </w:r>
      <w:r w:rsidR="001F0FE6" w:rsidRPr="00576180">
        <w:rPr>
          <w:rFonts w:ascii="Arial" w:hAnsi="Arial" w:cs="Arial"/>
        </w:rPr>
        <w:t xml:space="preserve"> en el penúltimo año de la ejecución del </w:t>
      </w:r>
      <w:r w:rsidR="00D87B95" w:rsidRPr="00576180">
        <w:rPr>
          <w:rFonts w:ascii="Arial" w:hAnsi="Arial" w:cs="Arial"/>
        </w:rPr>
        <w:t>Proyecto, el</w:t>
      </w:r>
      <w:r w:rsidR="000F48DF" w:rsidRPr="00576180">
        <w:rPr>
          <w:rFonts w:ascii="Arial" w:hAnsi="Arial" w:cs="Arial"/>
        </w:rPr>
        <w:t xml:space="preserve"> Banco tomó la decisión de no autorizar nuevos compromisos financieros y desembolsar únicamente los recursos ya comprometidos</w:t>
      </w:r>
      <w:r w:rsidR="003C0BE7">
        <w:rPr>
          <w:rFonts w:ascii="Arial" w:hAnsi="Arial" w:cs="Arial"/>
        </w:rPr>
        <w:t xml:space="preserve">. </w:t>
      </w:r>
      <w:r w:rsidR="00D87B95">
        <w:rPr>
          <w:rFonts w:ascii="Arial" w:hAnsi="Arial" w:cs="Arial"/>
        </w:rPr>
        <w:t xml:space="preserve">Esta </w:t>
      </w:r>
      <w:r w:rsidR="00D87B95" w:rsidRPr="00576180">
        <w:rPr>
          <w:rFonts w:ascii="Arial" w:hAnsi="Arial" w:cs="Arial"/>
        </w:rPr>
        <w:t>decisión</w:t>
      </w:r>
      <w:r w:rsidR="003C0BE7">
        <w:rPr>
          <w:rFonts w:ascii="Arial" w:hAnsi="Arial" w:cs="Arial"/>
        </w:rPr>
        <w:t xml:space="preserve">, si bien acertada, </w:t>
      </w:r>
      <w:r w:rsidR="001F0FE6" w:rsidRPr="00576180">
        <w:rPr>
          <w:rFonts w:ascii="Arial" w:hAnsi="Arial" w:cs="Arial"/>
        </w:rPr>
        <w:t>fue tomada de forma tard</w:t>
      </w:r>
      <w:r w:rsidR="00576180" w:rsidRPr="00576180">
        <w:rPr>
          <w:rFonts w:ascii="Arial" w:hAnsi="Arial" w:cs="Arial"/>
        </w:rPr>
        <w:t xml:space="preserve">ía, </w:t>
      </w:r>
      <w:r w:rsidR="000F48DF" w:rsidRPr="00576180">
        <w:rPr>
          <w:rFonts w:ascii="Arial" w:hAnsi="Arial" w:cs="Arial"/>
        </w:rPr>
        <w:t xml:space="preserve">ya </w:t>
      </w:r>
      <w:r w:rsidR="001F0FE6" w:rsidRPr="00576180">
        <w:rPr>
          <w:rFonts w:ascii="Arial" w:hAnsi="Arial" w:cs="Arial"/>
        </w:rPr>
        <w:t xml:space="preserve">que </w:t>
      </w:r>
      <w:r w:rsidR="003C0BE7">
        <w:rPr>
          <w:rFonts w:ascii="Arial" w:hAnsi="Arial" w:cs="Arial"/>
        </w:rPr>
        <w:t xml:space="preserve">a ese momento ya </w:t>
      </w:r>
      <w:r w:rsidR="000F48DF" w:rsidRPr="00576180">
        <w:rPr>
          <w:rFonts w:ascii="Arial" w:hAnsi="Arial" w:cs="Arial"/>
        </w:rPr>
        <w:t xml:space="preserve">se habían consumido buena parte de los recursos y tiempo </w:t>
      </w:r>
      <w:r w:rsidR="003C0BE7">
        <w:rPr>
          <w:rFonts w:ascii="Arial" w:hAnsi="Arial" w:cs="Arial"/>
        </w:rPr>
        <w:t xml:space="preserve">de ejecución </w:t>
      </w:r>
      <w:r w:rsidR="000F48DF" w:rsidRPr="00576180">
        <w:rPr>
          <w:rFonts w:ascii="Arial" w:hAnsi="Arial" w:cs="Arial"/>
        </w:rPr>
        <w:t xml:space="preserve">del Programa. </w:t>
      </w:r>
      <w:r w:rsidR="00114032" w:rsidRPr="00576180">
        <w:rPr>
          <w:rFonts w:ascii="Arial" w:hAnsi="Arial" w:cs="Arial"/>
        </w:rPr>
        <w:t xml:space="preserve"> </w:t>
      </w:r>
      <w:r w:rsidR="00922BB3" w:rsidRPr="00576180">
        <w:rPr>
          <w:rFonts w:ascii="Arial" w:hAnsi="Arial" w:cs="Arial"/>
        </w:rPr>
        <w:t xml:space="preserve"> </w:t>
      </w:r>
      <w:r w:rsidR="009E0608" w:rsidRPr="00576180">
        <w:rPr>
          <w:rFonts w:ascii="Arial" w:hAnsi="Arial" w:cs="Arial"/>
        </w:rPr>
        <w:t xml:space="preserve"> </w:t>
      </w:r>
    </w:p>
    <w:p w14:paraId="432E22E8" w14:textId="77777777" w:rsidR="00D7372C" w:rsidRPr="00576180" w:rsidRDefault="00D7372C" w:rsidP="00D17FF5">
      <w:pPr>
        <w:pStyle w:val="Heading2"/>
        <w:numPr>
          <w:ilvl w:val="0"/>
          <w:numId w:val="55"/>
        </w:numPr>
        <w:spacing w:before="120" w:after="120" w:line="240" w:lineRule="auto"/>
        <w:ind w:hanging="720"/>
        <w:rPr>
          <w:rFonts w:ascii="Arial" w:hAnsi="Arial" w:cs="Arial"/>
          <w:b/>
          <w:color w:val="000000" w:themeColor="text1"/>
          <w:sz w:val="22"/>
          <w:szCs w:val="22"/>
        </w:rPr>
      </w:pPr>
      <w:bookmarkStart w:id="267" w:name="_Desempeño_del_Organismo"/>
      <w:bookmarkStart w:id="268" w:name="_Toc533166451"/>
      <w:bookmarkStart w:id="269" w:name="_Toc20432476"/>
      <w:bookmarkStart w:id="270" w:name="_Toc21017070"/>
      <w:bookmarkEnd w:id="267"/>
      <w:r w:rsidRPr="00576180">
        <w:rPr>
          <w:rFonts w:ascii="Arial" w:hAnsi="Arial" w:cs="Arial"/>
          <w:b/>
          <w:color w:val="000000" w:themeColor="text1"/>
          <w:sz w:val="22"/>
          <w:szCs w:val="22"/>
        </w:rPr>
        <w:t xml:space="preserve">Desempeño del </w:t>
      </w:r>
      <w:r w:rsidR="00F029BE" w:rsidRPr="00576180">
        <w:rPr>
          <w:rFonts w:ascii="Arial" w:hAnsi="Arial" w:cs="Arial"/>
          <w:b/>
          <w:color w:val="000000" w:themeColor="text1"/>
          <w:sz w:val="22"/>
          <w:szCs w:val="22"/>
        </w:rPr>
        <w:t>Organismo E</w:t>
      </w:r>
      <w:r w:rsidRPr="00576180">
        <w:rPr>
          <w:rFonts w:ascii="Arial" w:hAnsi="Arial" w:cs="Arial"/>
          <w:b/>
          <w:color w:val="000000" w:themeColor="text1"/>
          <w:sz w:val="22"/>
          <w:szCs w:val="22"/>
        </w:rPr>
        <w:t>jecutor</w:t>
      </w:r>
      <w:bookmarkEnd w:id="260"/>
      <w:bookmarkEnd w:id="261"/>
      <w:bookmarkEnd w:id="262"/>
      <w:bookmarkEnd w:id="263"/>
      <w:bookmarkEnd w:id="264"/>
      <w:bookmarkEnd w:id="265"/>
      <w:bookmarkEnd w:id="268"/>
      <w:bookmarkEnd w:id="269"/>
      <w:bookmarkEnd w:id="270"/>
    </w:p>
    <w:p w14:paraId="6B1252B1" w14:textId="4A1C608E" w:rsidR="009E0608" w:rsidRPr="00576180" w:rsidRDefault="000F48DF" w:rsidP="00D87B95">
      <w:pPr>
        <w:pStyle w:val="ListParagraph"/>
        <w:tabs>
          <w:tab w:val="left" w:pos="9000"/>
        </w:tabs>
        <w:spacing w:before="120" w:after="120" w:line="240" w:lineRule="auto"/>
        <w:ind w:left="0"/>
        <w:contextualSpacing w:val="0"/>
        <w:jc w:val="both"/>
        <w:rPr>
          <w:rFonts w:ascii="Arial" w:hAnsi="Arial" w:cs="Arial"/>
        </w:rPr>
      </w:pPr>
      <w:bookmarkStart w:id="271" w:name="_Toc506484940"/>
      <w:bookmarkStart w:id="272" w:name="_Toc506975007"/>
      <w:bookmarkStart w:id="273" w:name="_Toc512433760"/>
      <w:bookmarkStart w:id="274" w:name="_Toc514236649"/>
      <w:bookmarkStart w:id="275" w:name="_Toc516767410"/>
      <w:bookmarkStart w:id="276" w:name="_Toc518037213"/>
      <w:r w:rsidRPr="00576180">
        <w:rPr>
          <w:rFonts w:ascii="Arial" w:hAnsi="Arial" w:cs="Arial"/>
        </w:rPr>
        <w:t xml:space="preserve">Inicialmente, el Banco y el MEF acordaron un mecanismo de ejecución tradicional, donde la Unidad de Coordinación y Planificación Sectorial (UCPS) sería la entidad responsable de la administración del proyecto ante el Banco. Además, el Programa contempló el </w:t>
      </w:r>
      <w:r w:rsidR="00FC58C8" w:rsidRPr="00576180">
        <w:rPr>
          <w:rFonts w:ascii="Arial" w:hAnsi="Arial" w:cs="Arial"/>
        </w:rPr>
        <w:t>Comité de Coordinación de la Administración Financiera del Sector Público (SAFI)</w:t>
      </w:r>
      <w:r w:rsidRPr="00576180">
        <w:rPr>
          <w:rFonts w:ascii="Arial" w:hAnsi="Arial" w:cs="Arial"/>
        </w:rPr>
        <w:t xml:space="preserve"> para integrar las acciones de los </w:t>
      </w:r>
      <w:r w:rsidR="002920C6" w:rsidRPr="00576180">
        <w:rPr>
          <w:rFonts w:ascii="Arial" w:hAnsi="Arial" w:cs="Arial"/>
        </w:rPr>
        <w:t>Ó</w:t>
      </w:r>
      <w:r w:rsidRPr="00576180">
        <w:rPr>
          <w:rFonts w:ascii="Arial" w:hAnsi="Arial" w:cs="Arial"/>
        </w:rPr>
        <w:t xml:space="preserve">rganos </w:t>
      </w:r>
      <w:r w:rsidR="002920C6" w:rsidRPr="00576180">
        <w:rPr>
          <w:rFonts w:ascii="Arial" w:hAnsi="Arial" w:cs="Arial"/>
        </w:rPr>
        <w:t>R</w:t>
      </w:r>
      <w:r w:rsidRPr="00576180">
        <w:rPr>
          <w:rFonts w:ascii="Arial" w:hAnsi="Arial" w:cs="Arial"/>
        </w:rPr>
        <w:t>ectores</w:t>
      </w:r>
      <w:r w:rsidR="002920C6" w:rsidRPr="00576180">
        <w:rPr>
          <w:rFonts w:ascii="Arial" w:hAnsi="Arial" w:cs="Arial"/>
        </w:rPr>
        <w:t xml:space="preserve"> (</w:t>
      </w:r>
      <w:proofErr w:type="spellStart"/>
      <w:r w:rsidR="002920C6" w:rsidRPr="00576180">
        <w:rPr>
          <w:rFonts w:ascii="Arial" w:hAnsi="Arial" w:cs="Arial"/>
        </w:rPr>
        <w:t>ORs</w:t>
      </w:r>
      <w:proofErr w:type="spellEnd"/>
      <w:r w:rsidR="002920C6" w:rsidRPr="00576180">
        <w:rPr>
          <w:rFonts w:ascii="Arial" w:hAnsi="Arial" w:cs="Arial"/>
        </w:rPr>
        <w:t>)</w:t>
      </w:r>
      <w:r w:rsidRPr="00576180">
        <w:rPr>
          <w:rFonts w:ascii="Arial" w:hAnsi="Arial" w:cs="Arial"/>
        </w:rPr>
        <w:t xml:space="preserve"> del MEF, así como para la aprobación de los planes operativos anuales (POA). </w:t>
      </w:r>
      <w:r w:rsidR="008E1858" w:rsidRPr="008E1858">
        <w:rPr>
          <w:rFonts w:ascii="Arial" w:hAnsi="Arial" w:cs="Arial"/>
        </w:rPr>
        <w:t>La ejecución fue llevada a cabo por un Equipo Ejecutor (EE), compuesto 100% por consultores externos,</w:t>
      </w:r>
      <w:r w:rsidR="007E739C" w:rsidRPr="00576180">
        <w:rPr>
          <w:rFonts w:ascii="Arial" w:hAnsi="Arial" w:cs="Arial"/>
        </w:rPr>
        <w:t xml:space="preserve"> al cual se le </w:t>
      </w:r>
      <w:r w:rsidR="002920C6" w:rsidRPr="00576180">
        <w:rPr>
          <w:rFonts w:ascii="Arial" w:hAnsi="Arial" w:cs="Arial"/>
        </w:rPr>
        <w:t>otorgaron responsabilidad</w:t>
      </w:r>
      <w:r w:rsidR="00EF0C97" w:rsidRPr="00576180">
        <w:rPr>
          <w:rFonts w:ascii="Arial" w:hAnsi="Arial" w:cs="Arial"/>
        </w:rPr>
        <w:t>es</w:t>
      </w:r>
      <w:r w:rsidR="002920C6" w:rsidRPr="00576180">
        <w:rPr>
          <w:rFonts w:ascii="Arial" w:hAnsi="Arial" w:cs="Arial"/>
        </w:rPr>
        <w:t xml:space="preserve"> y poder de decisión que </w:t>
      </w:r>
      <w:r w:rsidR="003C0BE7">
        <w:rPr>
          <w:rFonts w:ascii="Arial" w:hAnsi="Arial" w:cs="Arial"/>
        </w:rPr>
        <w:t xml:space="preserve">superaba </w:t>
      </w:r>
      <w:r w:rsidR="009D39B0" w:rsidRPr="00576180">
        <w:rPr>
          <w:rFonts w:ascii="Arial" w:hAnsi="Arial" w:cs="Arial"/>
        </w:rPr>
        <w:t>su</w:t>
      </w:r>
      <w:r w:rsidR="00EF0C97" w:rsidRPr="00576180">
        <w:rPr>
          <w:rFonts w:ascii="Arial" w:hAnsi="Arial" w:cs="Arial"/>
        </w:rPr>
        <w:t xml:space="preserve"> capacidad </w:t>
      </w:r>
      <w:r w:rsidR="009D39B0" w:rsidRPr="00576180">
        <w:rPr>
          <w:rFonts w:ascii="Arial" w:hAnsi="Arial" w:cs="Arial"/>
        </w:rPr>
        <w:t>y alcance</w:t>
      </w:r>
      <w:r w:rsidR="00EF0C97" w:rsidRPr="00576180">
        <w:rPr>
          <w:rFonts w:ascii="Arial" w:hAnsi="Arial" w:cs="Arial"/>
        </w:rPr>
        <w:t xml:space="preserve">, principalmente por la </w:t>
      </w:r>
      <w:r w:rsidR="009D39B0" w:rsidRPr="00576180">
        <w:rPr>
          <w:rFonts w:ascii="Arial" w:hAnsi="Arial" w:cs="Arial"/>
        </w:rPr>
        <w:t xml:space="preserve">ausencia de representantes de los </w:t>
      </w:r>
      <w:proofErr w:type="spellStart"/>
      <w:r w:rsidR="009D39B0" w:rsidRPr="00576180">
        <w:rPr>
          <w:rFonts w:ascii="Arial" w:hAnsi="Arial" w:cs="Arial"/>
        </w:rPr>
        <w:t>ORs</w:t>
      </w:r>
      <w:proofErr w:type="spellEnd"/>
      <w:r w:rsidR="00EF0C97" w:rsidRPr="00576180">
        <w:rPr>
          <w:rFonts w:ascii="Arial" w:hAnsi="Arial" w:cs="Arial"/>
        </w:rPr>
        <w:t xml:space="preserve"> en su conformación para </w:t>
      </w:r>
      <w:r w:rsidRPr="00576180">
        <w:rPr>
          <w:rFonts w:ascii="Arial" w:hAnsi="Arial" w:cs="Arial"/>
        </w:rPr>
        <w:t>llevar a cabo la ejecución del Programa</w:t>
      </w:r>
      <w:r w:rsidR="00EF0C97" w:rsidRPr="00576180">
        <w:rPr>
          <w:rFonts w:ascii="Arial" w:hAnsi="Arial" w:cs="Arial"/>
        </w:rPr>
        <w:t xml:space="preserve"> </w:t>
      </w:r>
      <w:r w:rsidRPr="00576180">
        <w:rPr>
          <w:rFonts w:ascii="Arial" w:hAnsi="Arial" w:cs="Arial"/>
        </w:rPr>
        <w:t>conforme a lo planificado</w:t>
      </w:r>
      <w:r w:rsidR="003C0BE7">
        <w:rPr>
          <w:rFonts w:ascii="Arial" w:hAnsi="Arial" w:cs="Arial"/>
        </w:rPr>
        <w:t>, siendo que e</w:t>
      </w:r>
      <w:r w:rsidR="00FC58C8" w:rsidRPr="00576180">
        <w:rPr>
          <w:rFonts w:ascii="Arial" w:hAnsi="Arial" w:cs="Arial"/>
        </w:rPr>
        <w:t>sta decisión</w:t>
      </w:r>
      <w:r w:rsidR="003C0BE7">
        <w:rPr>
          <w:rFonts w:ascii="Arial" w:hAnsi="Arial" w:cs="Arial"/>
        </w:rPr>
        <w:t xml:space="preserve"> como se ha </w:t>
      </w:r>
      <w:r w:rsidR="00D87B95">
        <w:rPr>
          <w:rFonts w:ascii="Arial" w:hAnsi="Arial" w:cs="Arial"/>
        </w:rPr>
        <w:t>indicado</w:t>
      </w:r>
      <w:r w:rsidR="00FC58C8" w:rsidRPr="00576180">
        <w:rPr>
          <w:rFonts w:ascii="Arial" w:hAnsi="Arial" w:cs="Arial"/>
        </w:rPr>
        <w:t xml:space="preserve"> debilitó la gobernanza del Programa. </w:t>
      </w:r>
      <w:r w:rsidR="00EF0C97" w:rsidRPr="00576180">
        <w:rPr>
          <w:rFonts w:ascii="Arial" w:hAnsi="Arial" w:cs="Arial"/>
        </w:rPr>
        <w:t>Además, el EE no contó con un Plan Estratégico</w:t>
      </w:r>
      <w:r w:rsidR="008E1858">
        <w:rPr>
          <w:rFonts w:ascii="Arial" w:hAnsi="Arial" w:cs="Arial"/>
        </w:rPr>
        <w:t>, ni con</w:t>
      </w:r>
      <w:r w:rsidR="00EF0C97" w:rsidRPr="00576180">
        <w:rPr>
          <w:rFonts w:ascii="Arial" w:hAnsi="Arial" w:cs="Arial"/>
        </w:rPr>
        <w:t xml:space="preserve"> un Plan de Acción Global para la gestión de las actividades, </w:t>
      </w:r>
      <w:r w:rsidR="008E1858" w:rsidRPr="008E1858">
        <w:rPr>
          <w:rFonts w:ascii="Arial" w:hAnsi="Arial" w:cs="Arial"/>
        </w:rPr>
        <w:t>lo que consumió gran parte de los recursos del proyecto en consultorías y no logró implementar el principal producto (SIAF-SP).</w:t>
      </w:r>
      <w:r w:rsidR="008E1858">
        <w:rPr>
          <w:rFonts w:ascii="Arial" w:hAnsi="Arial" w:cs="Arial"/>
        </w:rPr>
        <w:t xml:space="preserve"> Esto</w:t>
      </w:r>
      <w:r w:rsidR="007E739C" w:rsidRPr="00576180">
        <w:rPr>
          <w:rFonts w:ascii="Arial" w:hAnsi="Arial" w:cs="Arial"/>
        </w:rPr>
        <w:t xml:space="preserve"> dificultó el logro de </w:t>
      </w:r>
      <w:r w:rsidR="000F0813">
        <w:rPr>
          <w:rFonts w:ascii="Arial" w:hAnsi="Arial" w:cs="Arial"/>
        </w:rPr>
        <w:t>6</w:t>
      </w:r>
      <w:r w:rsidR="000F0813" w:rsidRPr="00576180">
        <w:rPr>
          <w:rFonts w:ascii="Arial" w:hAnsi="Arial" w:cs="Arial"/>
        </w:rPr>
        <w:t xml:space="preserve"> </w:t>
      </w:r>
      <w:r w:rsidR="007E739C" w:rsidRPr="00576180">
        <w:rPr>
          <w:rFonts w:ascii="Arial" w:hAnsi="Arial" w:cs="Arial"/>
        </w:rPr>
        <w:t xml:space="preserve">de los 9 resultados previstos. </w:t>
      </w:r>
      <w:r w:rsidR="002920C6" w:rsidRPr="00576180">
        <w:rPr>
          <w:rFonts w:ascii="Arial" w:hAnsi="Arial" w:cs="Arial"/>
        </w:rPr>
        <w:t xml:space="preserve">Por estas razones, se </w:t>
      </w:r>
      <w:r w:rsidR="008E1858">
        <w:rPr>
          <w:rFonts w:ascii="Arial" w:hAnsi="Arial" w:cs="Arial"/>
        </w:rPr>
        <w:t>considera</w:t>
      </w:r>
      <w:r w:rsidR="008E1858" w:rsidRPr="00576180">
        <w:rPr>
          <w:rFonts w:ascii="Arial" w:hAnsi="Arial" w:cs="Arial"/>
        </w:rPr>
        <w:t xml:space="preserve"> </w:t>
      </w:r>
      <w:r w:rsidR="002920C6" w:rsidRPr="00576180">
        <w:rPr>
          <w:rFonts w:ascii="Arial" w:hAnsi="Arial" w:cs="Arial"/>
        </w:rPr>
        <w:t>que el desempeño del Organismo Ejecutor</w:t>
      </w:r>
      <w:r w:rsidR="00765D8D" w:rsidRPr="00576180">
        <w:rPr>
          <w:rFonts w:ascii="Arial" w:hAnsi="Arial" w:cs="Arial"/>
        </w:rPr>
        <w:t xml:space="preserve"> (OE)</w:t>
      </w:r>
      <w:r w:rsidR="002920C6" w:rsidRPr="00576180">
        <w:rPr>
          <w:rFonts w:ascii="Arial" w:hAnsi="Arial" w:cs="Arial"/>
        </w:rPr>
        <w:t xml:space="preserve"> fue </w:t>
      </w:r>
      <w:r w:rsidR="003C0BE7">
        <w:rPr>
          <w:rFonts w:ascii="Arial" w:hAnsi="Arial" w:cs="Arial"/>
        </w:rPr>
        <w:t xml:space="preserve">moderadamente </w:t>
      </w:r>
      <w:r w:rsidR="00E91339">
        <w:rPr>
          <w:rFonts w:ascii="Arial" w:hAnsi="Arial" w:cs="Arial"/>
          <w:b/>
        </w:rPr>
        <w:t>in</w:t>
      </w:r>
      <w:r w:rsidR="00A909F1">
        <w:rPr>
          <w:rFonts w:ascii="Arial" w:hAnsi="Arial" w:cs="Arial"/>
          <w:b/>
        </w:rPr>
        <w:t>satisfactorio.</w:t>
      </w:r>
    </w:p>
    <w:p w14:paraId="38FB44D1" w14:textId="77777777" w:rsidR="00D7372C" w:rsidRPr="00576180" w:rsidRDefault="00D7372C" w:rsidP="00576180">
      <w:pPr>
        <w:pStyle w:val="Heading1"/>
        <w:numPr>
          <w:ilvl w:val="0"/>
          <w:numId w:val="2"/>
        </w:numPr>
        <w:spacing w:before="240" w:after="240"/>
        <w:rPr>
          <w:smallCaps/>
        </w:rPr>
      </w:pPr>
      <w:bookmarkStart w:id="277" w:name="_Toc533166452"/>
      <w:bookmarkStart w:id="278" w:name="_Toc20432477"/>
      <w:bookmarkStart w:id="279" w:name="_Toc21017071"/>
      <w:r w:rsidRPr="00576180">
        <w:rPr>
          <w:smallCaps/>
        </w:rPr>
        <w:t xml:space="preserve">Hallazgos y </w:t>
      </w:r>
      <w:bookmarkEnd w:id="271"/>
      <w:bookmarkEnd w:id="272"/>
      <w:r w:rsidR="00351F3E" w:rsidRPr="00576180">
        <w:rPr>
          <w:smallCaps/>
        </w:rPr>
        <w:t>r</w:t>
      </w:r>
      <w:r w:rsidRPr="00576180">
        <w:rPr>
          <w:smallCaps/>
        </w:rPr>
        <w:t>ecomendaciones</w:t>
      </w:r>
      <w:bookmarkEnd w:id="273"/>
      <w:bookmarkEnd w:id="274"/>
      <w:bookmarkEnd w:id="275"/>
      <w:bookmarkEnd w:id="276"/>
      <w:bookmarkEnd w:id="277"/>
      <w:bookmarkEnd w:id="278"/>
      <w:bookmarkEnd w:id="279"/>
    </w:p>
    <w:p w14:paraId="7B332406" w14:textId="77777777" w:rsidR="00B31432" w:rsidRPr="00576180" w:rsidRDefault="00B31432" w:rsidP="00B31432">
      <w:pPr>
        <w:pStyle w:val="ListParagraph"/>
        <w:numPr>
          <w:ilvl w:val="0"/>
          <w:numId w:val="1"/>
        </w:numPr>
        <w:tabs>
          <w:tab w:val="left" w:pos="9000"/>
        </w:tabs>
        <w:spacing w:before="120" w:after="120" w:line="240" w:lineRule="auto"/>
        <w:contextualSpacing w:val="0"/>
        <w:jc w:val="both"/>
        <w:rPr>
          <w:rFonts w:ascii="Arial" w:hAnsi="Arial" w:cs="Arial"/>
          <w:vanish/>
        </w:rPr>
      </w:pPr>
    </w:p>
    <w:p w14:paraId="342C0B1C" w14:textId="77777777" w:rsidR="00FB662C" w:rsidRPr="00576180" w:rsidRDefault="00FB662C" w:rsidP="00D17FF5">
      <w:pPr>
        <w:pStyle w:val="Heading2"/>
        <w:numPr>
          <w:ilvl w:val="0"/>
          <w:numId w:val="55"/>
        </w:numPr>
        <w:spacing w:before="120" w:after="120" w:line="240" w:lineRule="auto"/>
        <w:ind w:hanging="720"/>
        <w:rPr>
          <w:rFonts w:ascii="Arial" w:hAnsi="Arial" w:cs="Arial"/>
          <w:b/>
          <w:color w:val="000000" w:themeColor="text1"/>
        </w:rPr>
      </w:pPr>
      <w:bookmarkStart w:id="280" w:name="_Toc533166453"/>
      <w:bookmarkStart w:id="281" w:name="_Toc20432478"/>
      <w:bookmarkStart w:id="282" w:name="_Toc21017072"/>
      <w:r w:rsidRPr="00576180">
        <w:rPr>
          <w:rFonts w:ascii="Arial" w:hAnsi="Arial" w:cs="Arial"/>
          <w:b/>
          <w:color w:val="000000" w:themeColor="text1"/>
          <w:sz w:val="22"/>
          <w:szCs w:val="22"/>
        </w:rPr>
        <w:t>Dimensiones 1 a 5</w:t>
      </w:r>
      <w:bookmarkEnd w:id="280"/>
      <w:bookmarkEnd w:id="281"/>
      <w:bookmarkEnd w:id="282"/>
    </w:p>
    <w:p w14:paraId="2AA04A1C" w14:textId="3D9D8E22" w:rsidR="00CA0E70" w:rsidRPr="00576180" w:rsidRDefault="006056F3" w:rsidP="00D17FF5">
      <w:pPr>
        <w:pStyle w:val="ListParagraph"/>
        <w:tabs>
          <w:tab w:val="left" w:pos="9000"/>
        </w:tabs>
        <w:spacing w:before="120" w:after="120" w:line="240" w:lineRule="auto"/>
        <w:ind w:left="0"/>
        <w:contextualSpacing w:val="0"/>
        <w:jc w:val="both"/>
        <w:rPr>
          <w:rFonts w:ascii="Arial" w:hAnsi="Arial" w:cs="Arial"/>
        </w:rPr>
      </w:pPr>
      <w:r w:rsidRPr="00576180">
        <w:rPr>
          <w:rFonts w:ascii="Arial" w:hAnsi="Arial" w:cs="Arial"/>
        </w:rPr>
        <w:t xml:space="preserve">La </w:t>
      </w:r>
      <w:r w:rsidR="00CE7A5C" w:rsidRPr="00576180">
        <w:rPr>
          <w:rFonts w:ascii="Arial" w:hAnsi="Arial" w:cs="Arial"/>
        </w:rPr>
        <w:t>T</w:t>
      </w:r>
      <w:r w:rsidRPr="00576180">
        <w:rPr>
          <w:rFonts w:ascii="Arial" w:hAnsi="Arial" w:cs="Arial"/>
        </w:rPr>
        <w:t>abla</w:t>
      </w:r>
      <w:r w:rsidR="00CE7A5C" w:rsidRPr="00576180">
        <w:rPr>
          <w:rFonts w:ascii="Arial" w:hAnsi="Arial" w:cs="Arial"/>
        </w:rPr>
        <w:t xml:space="preserve"> 1</w:t>
      </w:r>
      <w:r w:rsidR="003C0BE7">
        <w:rPr>
          <w:rFonts w:ascii="Arial" w:hAnsi="Arial" w:cs="Arial"/>
        </w:rPr>
        <w:t>3</w:t>
      </w:r>
      <w:r w:rsidRPr="00576180">
        <w:rPr>
          <w:rFonts w:ascii="Arial" w:hAnsi="Arial" w:cs="Arial"/>
        </w:rPr>
        <w:t xml:space="preserve"> a continuación presenta los</w:t>
      </w:r>
      <w:r w:rsidR="00AF7183" w:rsidRPr="00576180">
        <w:rPr>
          <w:rFonts w:ascii="Arial" w:hAnsi="Arial" w:cs="Arial"/>
        </w:rPr>
        <w:t xml:space="preserve"> hallazgos y recomendaciones</w:t>
      </w:r>
      <w:r w:rsidRPr="00576180">
        <w:rPr>
          <w:rFonts w:ascii="Arial" w:hAnsi="Arial" w:cs="Arial"/>
        </w:rPr>
        <w:t xml:space="preserve"> </w:t>
      </w:r>
      <w:r w:rsidR="00AF7183" w:rsidRPr="00576180">
        <w:rPr>
          <w:rFonts w:ascii="Arial" w:hAnsi="Arial" w:cs="Arial"/>
        </w:rPr>
        <w:t xml:space="preserve">referentes al diseño e implementación de la </w:t>
      </w:r>
      <w:r w:rsidR="00AF7183" w:rsidRPr="00576180">
        <w:rPr>
          <w:rFonts w:ascii="Arial" w:hAnsi="Arial" w:cs="Arial"/>
          <w:color w:val="000000" w:themeColor="text1"/>
        </w:rPr>
        <w:t>operación</w:t>
      </w:r>
      <w:r w:rsidR="00AF7183" w:rsidRPr="00576180">
        <w:rPr>
          <w:rFonts w:ascii="Arial" w:hAnsi="Arial" w:cs="Arial"/>
        </w:rPr>
        <w:t xml:space="preserve"> evaluada</w:t>
      </w:r>
      <w:r w:rsidRPr="00576180">
        <w:rPr>
          <w:rFonts w:ascii="Arial" w:hAnsi="Arial" w:cs="Arial"/>
        </w:rPr>
        <w:t xml:space="preserve">. </w:t>
      </w:r>
      <w:r w:rsidR="00AF7183" w:rsidRPr="00576180">
        <w:rPr>
          <w:rFonts w:ascii="Arial" w:hAnsi="Arial" w:cs="Arial"/>
        </w:rPr>
        <w:t>Estos se</w:t>
      </w:r>
      <w:r w:rsidRPr="00576180">
        <w:rPr>
          <w:rFonts w:ascii="Arial" w:hAnsi="Arial" w:cs="Arial"/>
        </w:rPr>
        <w:t xml:space="preserve"> agrupan según las cinco dimensiones especificadas en las </w:t>
      </w:r>
      <w:r w:rsidR="00AF7183" w:rsidRPr="00576180">
        <w:rPr>
          <w:rFonts w:ascii="Arial" w:hAnsi="Arial" w:cs="Arial"/>
        </w:rPr>
        <w:t>d</w:t>
      </w:r>
      <w:r w:rsidRPr="00576180">
        <w:rPr>
          <w:rFonts w:ascii="Arial" w:hAnsi="Arial" w:cs="Arial"/>
        </w:rPr>
        <w:t>irectrices de PCR</w:t>
      </w:r>
      <w:r w:rsidR="00AF7183" w:rsidRPr="00576180">
        <w:rPr>
          <w:rFonts w:ascii="Arial" w:hAnsi="Arial" w:cs="Arial"/>
        </w:rPr>
        <w:t>.</w:t>
      </w:r>
    </w:p>
    <w:p w14:paraId="7C3CC5C4" w14:textId="1781D224" w:rsidR="00CA0E70" w:rsidRPr="00576180" w:rsidRDefault="00CA0E70" w:rsidP="002D2D42">
      <w:pPr>
        <w:spacing w:after="0" w:line="240" w:lineRule="auto"/>
        <w:jc w:val="center"/>
        <w:rPr>
          <w:rFonts w:ascii="Arial" w:hAnsi="Arial" w:cs="Arial"/>
          <w:b/>
          <w:sz w:val="20"/>
          <w:szCs w:val="20"/>
        </w:rPr>
      </w:pPr>
      <w:r w:rsidRPr="00576180">
        <w:rPr>
          <w:rFonts w:ascii="Arial" w:hAnsi="Arial" w:cs="Arial"/>
          <w:b/>
          <w:sz w:val="20"/>
          <w:szCs w:val="20"/>
        </w:rPr>
        <w:t>Tabla 1</w:t>
      </w:r>
      <w:r w:rsidR="001927B8" w:rsidRPr="00576180">
        <w:rPr>
          <w:rFonts w:ascii="Arial" w:hAnsi="Arial" w:cs="Arial"/>
          <w:b/>
          <w:sz w:val="20"/>
          <w:szCs w:val="20"/>
        </w:rPr>
        <w:t>3</w:t>
      </w:r>
      <w:r w:rsidRPr="00576180">
        <w:rPr>
          <w:rFonts w:ascii="Arial" w:hAnsi="Arial" w:cs="Arial"/>
          <w:b/>
          <w:sz w:val="20"/>
          <w:szCs w:val="20"/>
        </w:rPr>
        <w:t>. Hallazgos y recomendaciones</w:t>
      </w:r>
    </w:p>
    <w:tbl>
      <w:tblPr>
        <w:tblStyle w:val="TableGrid"/>
        <w:tblW w:w="10350" w:type="dxa"/>
        <w:tblInd w:w="-720" w:type="dxa"/>
        <w:tblLook w:val="04A0" w:firstRow="1" w:lastRow="0" w:firstColumn="1" w:lastColumn="0" w:noHBand="0" w:noVBand="1"/>
      </w:tblPr>
      <w:tblGrid>
        <w:gridCol w:w="2425"/>
        <w:gridCol w:w="7925"/>
      </w:tblGrid>
      <w:tr w:rsidR="0023105E" w:rsidRPr="0077159D" w14:paraId="48287B24" w14:textId="77777777" w:rsidTr="00295620">
        <w:tc>
          <w:tcPr>
            <w:tcW w:w="2425" w:type="dxa"/>
            <w:tcBorders>
              <w:top w:val="single" w:sz="4" w:space="0" w:color="auto"/>
            </w:tcBorders>
            <w:shd w:val="clear" w:color="auto" w:fill="BFBFBF" w:themeFill="background1" w:themeFillShade="BF"/>
            <w:vAlign w:val="center"/>
          </w:tcPr>
          <w:p w14:paraId="4D4394F3" w14:textId="77777777" w:rsidR="0023105E" w:rsidRPr="0077159D" w:rsidRDefault="0023105E" w:rsidP="00BA5591">
            <w:pPr>
              <w:pStyle w:val="TableParagraph"/>
              <w:jc w:val="center"/>
              <w:rPr>
                <w:rFonts w:eastAsia="Times New Roman"/>
                <w:b/>
                <w:color w:val="000000"/>
                <w:sz w:val="18"/>
                <w:szCs w:val="18"/>
                <w:lang w:val="es-ES_tradnl" w:eastAsia="pt-BR"/>
              </w:rPr>
            </w:pPr>
            <w:r w:rsidRPr="0077159D">
              <w:rPr>
                <w:rFonts w:eastAsia="Times New Roman"/>
                <w:b/>
                <w:color w:val="000000"/>
                <w:sz w:val="18"/>
                <w:szCs w:val="18"/>
                <w:lang w:val="es-ES_tradnl" w:eastAsia="pt-BR"/>
              </w:rPr>
              <w:t>Hallazgos</w:t>
            </w:r>
          </w:p>
        </w:tc>
        <w:tc>
          <w:tcPr>
            <w:tcW w:w="7925" w:type="dxa"/>
            <w:tcBorders>
              <w:top w:val="single" w:sz="4" w:space="0" w:color="auto"/>
            </w:tcBorders>
            <w:shd w:val="clear" w:color="auto" w:fill="BFBFBF" w:themeFill="background1" w:themeFillShade="BF"/>
            <w:vAlign w:val="center"/>
          </w:tcPr>
          <w:p w14:paraId="34B613F5" w14:textId="77777777" w:rsidR="0023105E" w:rsidRPr="0077159D" w:rsidRDefault="0023105E" w:rsidP="00BA5591">
            <w:pPr>
              <w:pStyle w:val="TableParagraph"/>
              <w:jc w:val="center"/>
              <w:rPr>
                <w:rFonts w:eastAsia="Times New Roman"/>
                <w:b/>
                <w:color w:val="000000"/>
                <w:sz w:val="18"/>
                <w:szCs w:val="18"/>
                <w:lang w:val="es-ES_tradnl" w:eastAsia="pt-BR"/>
              </w:rPr>
            </w:pPr>
            <w:r w:rsidRPr="0077159D">
              <w:rPr>
                <w:rFonts w:eastAsia="Times New Roman"/>
                <w:b/>
                <w:color w:val="000000"/>
                <w:sz w:val="18"/>
                <w:szCs w:val="18"/>
                <w:lang w:val="es-ES_tradnl" w:eastAsia="pt-BR"/>
              </w:rPr>
              <w:t>Recomendaciones</w:t>
            </w:r>
          </w:p>
        </w:tc>
      </w:tr>
      <w:tr w:rsidR="0023105E" w:rsidRPr="0077159D" w14:paraId="745750A7" w14:textId="77777777" w:rsidTr="00D70FAF">
        <w:tc>
          <w:tcPr>
            <w:tcW w:w="10350" w:type="dxa"/>
            <w:gridSpan w:val="2"/>
            <w:shd w:val="clear" w:color="auto" w:fill="D9D9D9" w:themeFill="background1" w:themeFillShade="D9"/>
          </w:tcPr>
          <w:p w14:paraId="5408E573" w14:textId="2BC755E1" w:rsidR="0023105E" w:rsidRPr="0077159D" w:rsidRDefault="0023105E" w:rsidP="00BA5591">
            <w:pPr>
              <w:pStyle w:val="TableParagraph"/>
              <w:rPr>
                <w:rFonts w:eastAsia="Times New Roman"/>
                <w:b/>
                <w:color w:val="000000"/>
                <w:sz w:val="18"/>
                <w:szCs w:val="18"/>
                <w:lang w:val="es-ES_tradnl" w:eastAsia="pt-BR"/>
              </w:rPr>
            </w:pPr>
            <w:r w:rsidRPr="0077159D">
              <w:rPr>
                <w:rFonts w:eastAsia="Times New Roman"/>
                <w:b/>
                <w:color w:val="000000"/>
                <w:sz w:val="18"/>
                <w:szCs w:val="18"/>
                <w:lang w:val="es-ES_tradnl" w:eastAsia="pt-BR"/>
              </w:rPr>
              <w:t>Dimensión 1</w:t>
            </w:r>
            <w:r w:rsidR="004C50DB" w:rsidRPr="0077159D">
              <w:rPr>
                <w:rFonts w:eastAsia="Times New Roman"/>
                <w:b/>
                <w:color w:val="000000"/>
                <w:sz w:val="18"/>
                <w:szCs w:val="18"/>
                <w:lang w:val="es-ES_tradnl" w:eastAsia="pt-BR"/>
              </w:rPr>
              <w:t>.</w:t>
            </w:r>
            <w:r w:rsidRPr="0077159D">
              <w:rPr>
                <w:rFonts w:eastAsia="Times New Roman"/>
                <w:b/>
                <w:color w:val="000000"/>
                <w:sz w:val="18"/>
                <w:szCs w:val="18"/>
                <w:lang w:val="es-ES_tradnl" w:eastAsia="pt-BR"/>
              </w:rPr>
              <w:t xml:space="preserve"> Técnic</w:t>
            </w:r>
            <w:r w:rsidR="004C50DB" w:rsidRPr="0077159D">
              <w:rPr>
                <w:rFonts w:eastAsia="Times New Roman"/>
                <w:b/>
                <w:color w:val="000000"/>
                <w:sz w:val="18"/>
                <w:szCs w:val="18"/>
                <w:lang w:val="es-ES_tradnl" w:eastAsia="pt-BR"/>
              </w:rPr>
              <w:t>a y s</w:t>
            </w:r>
            <w:r w:rsidRPr="0077159D">
              <w:rPr>
                <w:rFonts w:eastAsia="Times New Roman"/>
                <w:b/>
                <w:color w:val="000000"/>
                <w:sz w:val="18"/>
                <w:szCs w:val="18"/>
                <w:lang w:val="es-ES_tradnl" w:eastAsia="pt-BR"/>
              </w:rPr>
              <w:t>ectorial</w:t>
            </w:r>
          </w:p>
        </w:tc>
      </w:tr>
      <w:tr w:rsidR="0023105E" w:rsidRPr="0077159D" w14:paraId="213907DC" w14:textId="77777777" w:rsidTr="00295620">
        <w:tc>
          <w:tcPr>
            <w:tcW w:w="2425" w:type="dxa"/>
            <w:vAlign w:val="center"/>
          </w:tcPr>
          <w:p w14:paraId="54BE1BBD" w14:textId="7FC30B4B" w:rsidR="0023105E" w:rsidRPr="0077159D" w:rsidRDefault="00D70FAF" w:rsidP="00E4339D">
            <w:pPr>
              <w:pStyle w:val="TableParagraph"/>
              <w:jc w:val="both"/>
              <w:rPr>
                <w:sz w:val="18"/>
                <w:szCs w:val="18"/>
                <w:lang w:val="es-ES_tradnl"/>
              </w:rPr>
            </w:pPr>
            <w:r w:rsidRPr="0077159D">
              <w:rPr>
                <w:sz w:val="18"/>
                <w:szCs w:val="18"/>
                <w:lang w:val="es-ES_tradnl"/>
              </w:rPr>
              <w:t>El diseño de un</w:t>
            </w:r>
            <w:r w:rsidR="0023105E" w:rsidRPr="0077159D">
              <w:rPr>
                <w:sz w:val="18"/>
                <w:szCs w:val="18"/>
                <w:lang w:val="es-ES_tradnl"/>
              </w:rPr>
              <w:t xml:space="preserve"> </w:t>
            </w:r>
            <w:r w:rsidR="00C92392" w:rsidRPr="0077159D">
              <w:rPr>
                <w:sz w:val="18"/>
                <w:szCs w:val="18"/>
                <w:lang w:val="es-ES_tradnl"/>
              </w:rPr>
              <w:t>proyecto</w:t>
            </w:r>
            <w:r w:rsidRPr="0077159D">
              <w:rPr>
                <w:sz w:val="18"/>
                <w:szCs w:val="18"/>
                <w:lang w:val="es-ES_tradnl"/>
              </w:rPr>
              <w:t xml:space="preserve"> </w:t>
            </w:r>
            <w:r w:rsidR="00C92392" w:rsidRPr="0077159D">
              <w:rPr>
                <w:sz w:val="18"/>
                <w:szCs w:val="18"/>
                <w:lang w:val="es-ES_tradnl"/>
              </w:rPr>
              <w:t xml:space="preserve">de </w:t>
            </w:r>
            <w:r w:rsidRPr="0077159D">
              <w:rPr>
                <w:sz w:val="18"/>
                <w:szCs w:val="18"/>
                <w:lang w:val="es-ES_tradnl"/>
              </w:rPr>
              <w:t>reforma institucional requiere</w:t>
            </w:r>
            <w:r w:rsidR="00C92392" w:rsidRPr="0077159D">
              <w:rPr>
                <w:sz w:val="18"/>
                <w:szCs w:val="18"/>
                <w:lang w:val="es-ES_tradnl"/>
              </w:rPr>
              <w:t xml:space="preserve"> un</w:t>
            </w:r>
            <w:r w:rsidRPr="0077159D">
              <w:rPr>
                <w:sz w:val="18"/>
                <w:szCs w:val="18"/>
                <w:lang w:val="es-ES_tradnl"/>
              </w:rPr>
              <w:t xml:space="preserve"> equilibrio</w:t>
            </w:r>
            <w:r w:rsidR="00C92392" w:rsidRPr="0077159D">
              <w:rPr>
                <w:sz w:val="18"/>
                <w:szCs w:val="18"/>
                <w:lang w:val="es-ES_tradnl"/>
              </w:rPr>
              <w:t xml:space="preserve"> adecuado</w:t>
            </w:r>
            <w:r w:rsidR="0023105E" w:rsidRPr="0077159D">
              <w:rPr>
                <w:sz w:val="18"/>
                <w:szCs w:val="18"/>
                <w:lang w:val="es-ES_tradnl"/>
              </w:rPr>
              <w:t xml:space="preserve"> </w:t>
            </w:r>
            <w:r w:rsidRPr="0077159D">
              <w:rPr>
                <w:sz w:val="18"/>
                <w:szCs w:val="18"/>
                <w:lang w:val="es-ES_tradnl"/>
              </w:rPr>
              <w:t>entre</w:t>
            </w:r>
            <w:r w:rsidR="0023105E" w:rsidRPr="0077159D">
              <w:rPr>
                <w:sz w:val="18"/>
                <w:szCs w:val="18"/>
                <w:lang w:val="es-ES_tradnl"/>
              </w:rPr>
              <w:t xml:space="preserve"> </w:t>
            </w:r>
            <w:r w:rsidRPr="0077159D">
              <w:rPr>
                <w:sz w:val="18"/>
                <w:szCs w:val="18"/>
                <w:lang w:val="es-ES_tradnl"/>
              </w:rPr>
              <w:t xml:space="preserve">las </w:t>
            </w:r>
            <w:r w:rsidR="0023105E" w:rsidRPr="0077159D">
              <w:rPr>
                <w:sz w:val="18"/>
                <w:szCs w:val="18"/>
                <w:lang w:val="es-ES_tradnl"/>
              </w:rPr>
              <w:t xml:space="preserve">acciones </w:t>
            </w:r>
            <w:r w:rsidRPr="0077159D">
              <w:rPr>
                <w:sz w:val="18"/>
                <w:szCs w:val="18"/>
                <w:lang w:val="es-ES_tradnl"/>
              </w:rPr>
              <w:t>de</w:t>
            </w:r>
            <w:r w:rsidR="0023105E" w:rsidRPr="0077159D">
              <w:rPr>
                <w:sz w:val="18"/>
                <w:szCs w:val="18"/>
                <w:lang w:val="es-ES_tradnl"/>
              </w:rPr>
              <w:t xml:space="preserve"> mejora</w:t>
            </w:r>
            <w:r w:rsidRPr="0077159D">
              <w:rPr>
                <w:sz w:val="18"/>
                <w:szCs w:val="18"/>
                <w:lang w:val="es-ES_tradnl"/>
              </w:rPr>
              <w:t xml:space="preserve"> </w:t>
            </w:r>
            <w:r w:rsidR="0023105E" w:rsidRPr="0077159D">
              <w:rPr>
                <w:sz w:val="18"/>
                <w:szCs w:val="18"/>
                <w:lang w:val="es-ES_tradnl"/>
              </w:rPr>
              <w:t>de los procedimientos (negocio) y su automatización</w:t>
            </w:r>
            <w:r w:rsidRPr="0077159D">
              <w:rPr>
                <w:sz w:val="18"/>
                <w:szCs w:val="18"/>
                <w:lang w:val="es-ES_tradnl"/>
              </w:rPr>
              <w:t>.</w:t>
            </w:r>
            <w:r w:rsidR="0023105E" w:rsidRPr="0077159D">
              <w:rPr>
                <w:sz w:val="18"/>
                <w:szCs w:val="18"/>
                <w:lang w:val="es-ES_tradnl"/>
              </w:rPr>
              <w:t xml:space="preserve"> </w:t>
            </w:r>
          </w:p>
        </w:tc>
        <w:tc>
          <w:tcPr>
            <w:tcW w:w="7925" w:type="dxa"/>
            <w:vAlign w:val="center"/>
          </w:tcPr>
          <w:p w14:paraId="1E378BD5" w14:textId="4DD2AFDA" w:rsidR="00F83B70" w:rsidRPr="00265302" w:rsidRDefault="00F83B70" w:rsidP="00265302">
            <w:pPr>
              <w:pStyle w:val="TableParagraph"/>
              <w:jc w:val="both"/>
              <w:rPr>
                <w:sz w:val="18"/>
                <w:lang w:val="es-ES_tradnl"/>
              </w:rPr>
            </w:pPr>
            <w:r w:rsidRPr="00265302">
              <w:rPr>
                <w:sz w:val="18"/>
                <w:lang w:val="es-ES_tradnl"/>
              </w:rPr>
              <w:t xml:space="preserve">Uno de los hallazgos en el ámbito técnico que llaman la atención, corresponden a la falta de claridad en lo que respecta al dimensionamiento del SIAF-II, si bien hay un presupuesto estimado, no es claro cómo se realizó el análisis del tamaño del sistema.  Incluso en las etapas tardías del proyecto se hizo una solicitud de estimación de costos de implementación del </w:t>
            </w:r>
            <w:r w:rsidR="00D9250D" w:rsidRPr="0077159D">
              <w:rPr>
                <w:sz w:val="18"/>
                <w:szCs w:val="18"/>
                <w:lang w:val="es-ES_tradnl"/>
              </w:rPr>
              <w:t>macroproceso</w:t>
            </w:r>
            <w:r w:rsidRPr="00265302">
              <w:rPr>
                <w:sz w:val="18"/>
                <w:lang w:val="es-ES_tradnl"/>
              </w:rPr>
              <w:t xml:space="preserve"> de Ejecución Fiscal y Rendición de Cuentas, la cual fue realizada en mayo de 2016.  Dicha estimación determinó un costo estimado de desarrollo de </w:t>
            </w:r>
            <w:r w:rsidR="0077159D" w:rsidRPr="0077159D">
              <w:rPr>
                <w:sz w:val="18"/>
                <w:szCs w:val="18"/>
                <w:lang w:val="es-ES_tradnl"/>
              </w:rPr>
              <w:t>US$</w:t>
            </w:r>
            <w:r w:rsidRPr="00265302">
              <w:rPr>
                <w:sz w:val="18"/>
                <w:lang w:val="es-ES_tradnl"/>
              </w:rPr>
              <w:t>9.6 millones y un periodo de ejecución de 24 meses.</w:t>
            </w:r>
            <w:r w:rsidRPr="00265302">
              <w:rPr>
                <w:sz w:val="18"/>
                <w:lang w:val="es-ES_tradnl"/>
              </w:rPr>
              <w:footnoteReference w:id="12"/>
            </w:r>
            <w:r w:rsidR="00DE474E">
              <w:rPr>
                <w:sz w:val="18"/>
                <w:lang w:val="es-ES_tradnl"/>
              </w:rPr>
              <w:t xml:space="preserve"> </w:t>
            </w:r>
            <w:r w:rsidRPr="00265302">
              <w:rPr>
                <w:sz w:val="18"/>
                <w:lang w:val="es-ES_tradnl"/>
              </w:rPr>
              <w:t>.</w:t>
            </w:r>
          </w:p>
          <w:p w14:paraId="39D66B76" w14:textId="77777777" w:rsidR="00F83B70" w:rsidRPr="0077159D" w:rsidRDefault="00F83B70" w:rsidP="00265302">
            <w:pPr>
              <w:jc w:val="both"/>
              <w:rPr>
                <w:rFonts w:ascii="Arial" w:eastAsia="Arial" w:hAnsi="Arial" w:cs="Arial"/>
                <w:sz w:val="18"/>
                <w:szCs w:val="18"/>
                <w:lang w:bidi="en-US"/>
              </w:rPr>
            </w:pPr>
            <w:r w:rsidRPr="0077159D">
              <w:rPr>
                <w:rFonts w:ascii="Arial" w:eastAsia="Arial" w:hAnsi="Arial" w:cs="Arial"/>
                <w:sz w:val="18"/>
                <w:szCs w:val="18"/>
                <w:lang w:bidi="en-US"/>
              </w:rPr>
              <w:lastRenderedPageBreak/>
              <w:t>Según lo muestra el estudio Modelo de Análisis Costos-Beneficio para Sistemas Integrados de Administración Financiera (SIAF)</w:t>
            </w:r>
            <w:r w:rsidRPr="0077159D">
              <w:rPr>
                <w:rFonts w:ascii="Arial" w:eastAsia="Arial" w:hAnsi="Arial" w:cs="Arial"/>
                <w:sz w:val="18"/>
                <w:szCs w:val="18"/>
                <w:lang w:bidi="en-US"/>
              </w:rPr>
              <w:footnoteReference w:id="13"/>
            </w:r>
            <w:r w:rsidRPr="0077159D">
              <w:rPr>
                <w:rFonts w:ascii="Arial" w:eastAsia="Arial" w:hAnsi="Arial" w:cs="Arial"/>
                <w:sz w:val="18"/>
                <w:szCs w:val="18"/>
                <w:lang w:bidi="en-US"/>
              </w:rPr>
              <w:t xml:space="preserve">, la varianza de costos de inversión de este tipo de plataformas, expresado en millones de dólares es muy alta, es por ello </w:t>
            </w:r>
            <w:proofErr w:type="gramStart"/>
            <w:r w:rsidRPr="0077159D">
              <w:rPr>
                <w:rFonts w:ascii="Arial" w:eastAsia="Arial" w:hAnsi="Arial" w:cs="Arial"/>
                <w:sz w:val="18"/>
                <w:szCs w:val="18"/>
                <w:lang w:bidi="en-US"/>
              </w:rPr>
              <w:t>que</w:t>
            </w:r>
            <w:proofErr w:type="gramEnd"/>
            <w:r w:rsidRPr="0077159D">
              <w:rPr>
                <w:rFonts w:ascii="Arial" w:eastAsia="Arial" w:hAnsi="Arial" w:cs="Arial"/>
                <w:sz w:val="18"/>
                <w:szCs w:val="18"/>
                <w:lang w:bidi="en-US"/>
              </w:rPr>
              <w:t xml:space="preserve"> resulta muy relevante que exista un proceso de dimensionamiento más preciso, que lo que existió en este caso.</w:t>
            </w:r>
          </w:p>
          <w:p w14:paraId="71E56934" w14:textId="77777777" w:rsidR="00F83B70" w:rsidRPr="00265302" w:rsidRDefault="00F83B70" w:rsidP="00F83B70">
            <w:pPr>
              <w:rPr>
                <w:rFonts w:ascii="Arial" w:hAnsi="Arial"/>
                <w:sz w:val="18"/>
                <w:lang w:val="es-ES"/>
              </w:rPr>
            </w:pPr>
          </w:p>
          <w:p w14:paraId="0901D9D8" w14:textId="77777777" w:rsidR="00F83B70" w:rsidRPr="00265302" w:rsidRDefault="00F83B70" w:rsidP="00F83B70">
            <w:pPr>
              <w:jc w:val="center"/>
              <w:rPr>
                <w:rFonts w:ascii="Arial" w:hAnsi="Arial"/>
                <w:sz w:val="18"/>
                <w:lang w:val="es-ES"/>
              </w:rPr>
            </w:pPr>
            <w:r w:rsidRPr="00265302">
              <w:rPr>
                <w:rFonts w:ascii="Arial" w:hAnsi="Arial"/>
                <w:noProof/>
                <w:sz w:val="18"/>
                <w:lang w:val="es-ES"/>
              </w:rPr>
              <w:drawing>
                <wp:inline distT="0" distB="0" distL="0" distR="0" wp14:anchorId="00D8ADF0" wp14:editId="139573A2">
                  <wp:extent cx="4375908" cy="1976284"/>
                  <wp:effectExtent l="0" t="0" r="18415" b="1778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70EE0F4" w14:textId="77777777" w:rsidR="00F83B70" w:rsidRPr="00265302" w:rsidRDefault="00F83B70" w:rsidP="00F83B70">
            <w:pPr>
              <w:rPr>
                <w:rFonts w:ascii="Arial" w:hAnsi="Arial"/>
                <w:sz w:val="18"/>
                <w:lang w:val="es-ES"/>
              </w:rPr>
            </w:pPr>
            <w:r w:rsidRPr="00265302">
              <w:rPr>
                <w:rFonts w:ascii="Arial" w:hAnsi="Arial"/>
                <w:sz w:val="18"/>
                <w:lang w:val="es-ES"/>
              </w:rPr>
              <w:t>Fuente: Modelo de Análisis Costos-Beneficio para Sistemas Integrados de Administración Financiera (SIAF), BID, 2011</w:t>
            </w:r>
          </w:p>
          <w:p w14:paraId="0F21B8B8" w14:textId="77777777" w:rsidR="00F83B70" w:rsidRPr="0077159D" w:rsidRDefault="00F83B70" w:rsidP="00F83B70">
            <w:pPr>
              <w:rPr>
                <w:rFonts w:ascii="Arial" w:eastAsia="Arial" w:hAnsi="Arial" w:cs="Arial"/>
                <w:sz w:val="18"/>
                <w:szCs w:val="18"/>
                <w:lang w:bidi="en-US"/>
              </w:rPr>
            </w:pPr>
          </w:p>
          <w:p w14:paraId="1C3B1248" w14:textId="2EEECF05" w:rsidR="0023105E" w:rsidRPr="0077159D" w:rsidRDefault="00A31AEA" w:rsidP="00E4339D">
            <w:pPr>
              <w:pStyle w:val="TableParagraph"/>
              <w:jc w:val="both"/>
              <w:rPr>
                <w:sz w:val="18"/>
                <w:szCs w:val="18"/>
                <w:lang w:val="es-ES_tradnl"/>
              </w:rPr>
            </w:pPr>
            <w:r w:rsidRPr="0077159D">
              <w:rPr>
                <w:sz w:val="18"/>
                <w:szCs w:val="18"/>
                <w:lang w:val="es-ES_tradnl"/>
              </w:rPr>
              <w:t>Sin embargo</w:t>
            </w:r>
            <w:r w:rsidR="00DE474E">
              <w:rPr>
                <w:sz w:val="18"/>
                <w:szCs w:val="18"/>
                <w:lang w:val="es-ES_tradnl"/>
              </w:rPr>
              <w:t>,</w:t>
            </w:r>
            <w:r w:rsidRPr="0077159D">
              <w:rPr>
                <w:sz w:val="18"/>
                <w:szCs w:val="18"/>
                <w:lang w:val="es-ES_tradnl"/>
              </w:rPr>
              <w:t xml:space="preserve"> c</w:t>
            </w:r>
            <w:r w:rsidR="0023105E" w:rsidRPr="0077159D">
              <w:rPr>
                <w:sz w:val="18"/>
                <w:szCs w:val="18"/>
                <w:lang w:val="es-ES_tradnl"/>
              </w:rPr>
              <w:t>uando se analiza el Programa completo, se lograron resultados importantes en la mejora de las finanzas públicas, entre los cuales se puede mencionar: (i) la ampliación de la cobertura de la CUT; (</w:t>
            </w:r>
            <w:proofErr w:type="spellStart"/>
            <w:r w:rsidR="0023105E" w:rsidRPr="0077159D">
              <w:rPr>
                <w:sz w:val="18"/>
                <w:szCs w:val="18"/>
                <w:lang w:val="es-ES_tradnl"/>
              </w:rPr>
              <w:t>ii</w:t>
            </w:r>
            <w:proofErr w:type="spellEnd"/>
            <w:r w:rsidR="0023105E" w:rsidRPr="0077159D">
              <w:rPr>
                <w:sz w:val="18"/>
                <w:szCs w:val="18"/>
                <w:lang w:val="es-ES_tradnl"/>
              </w:rPr>
              <w:t>) la adopción de las Normas Internacionales Contables para el Sector Público (NICSP);</w:t>
            </w:r>
            <w:r w:rsidR="00E4339D" w:rsidRPr="0077159D">
              <w:rPr>
                <w:sz w:val="18"/>
                <w:szCs w:val="18"/>
                <w:lang w:val="es-ES_tradnl"/>
              </w:rPr>
              <w:t xml:space="preserve"> </w:t>
            </w:r>
            <w:r w:rsidR="0023105E" w:rsidRPr="0077159D">
              <w:rPr>
                <w:sz w:val="18"/>
                <w:szCs w:val="18"/>
                <w:lang w:val="es-ES_tradnl"/>
              </w:rPr>
              <w:t>(</w:t>
            </w:r>
            <w:proofErr w:type="spellStart"/>
            <w:r w:rsidR="0023105E" w:rsidRPr="0077159D">
              <w:rPr>
                <w:sz w:val="18"/>
                <w:szCs w:val="18"/>
                <w:lang w:val="es-ES_tradnl"/>
              </w:rPr>
              <w:t>iii</w:t>
            </w:r>
            <w:proofErr w:type="spellEnd"/>
            <w:r w:rsidR="0023105E" w:rsidRPr="0077159D">
              <w:rPr>
                <w:sz w:val="18"/>
                <w:szCs w:val="18"/>
                <w:lang w:val="es-ES_tradnl"/>
              </w:rPr>
              <w:t>) la mejora de la calidad y oportunidad de la información necesaria para la rendición de cuentas; (</w:t>
            </w:r>
            <w:proofErr w:type="spellStart"/>
            <w:r w:rsidR="0023105E" w:rsidRPr="0077159D">
              <w:rPr>
                <w:sz w:val="18"/>
                <w:szCs w:val="18"/>
                <w:lang w:val="es-ES_tradnl"/>
              </w:rPr>
              <w:t>iv</w:t>
            </w:r>
            <w:proofErr w:type="spellEnd"/>
            <w:r w:rsidR="0023105E" w:rsidRPr="0077159D">
              <w:rPr>
                <w:sz w:val="18"/>
                <w:szCs w:val="18"/>
                <w:lang w:val="es-ES_tradnl"/>
              </w:rPr>
              <w:t>) el vínculo de la planificación con la ejecución financiera (</w:t>
            </w:r>
            <w:proofErr w:type="spellStart"/>
            <w:r w:rsidR="0023105E" w:rsidRPr="0077159D">
              <w:rPr>
                <w:sz w:val="18"/>
                <w:szCs w:val="18"/>
                <w:lang w:val="es-ES_tradnl"/>
              </w:rPr>
              <w:t>PpR</w:t>
            </w:r>
            <w:proofErr w:type="spellEnd"/>
            <w:r w:rsidR="0023105E" w:rsidRPr="0077159D">
              <w:rPr>
                <w:sz w:val="18"/>
                <w:szCs w:val="18"/>
                <w:lang w:val="es-ES_tradnl"/>
              </w:rPr>
              <w:t xml:space="preserve">); y (v) la mejora de la funcionalidad de las herramientas informatizadas, especialmente en la formulación presupuestaria. Por lo anterior, es recomendable que en caso de que se concrete una nueva operación, se logre equilibrar en la fase de ejecución las actividades referentes al fortalecimiento de los procedimientos con las actividades de automatización. Algunas mejoras de procedimientos no dependen en un primer momento de su automatización, como es el caso de la mejora de la clasificación presupuestaria, del plan de cuentas, de la programación de caja, del alcance de la CUT, las normativas, la capacitación, así como una serie de actividades que pueden ser realizadas previo a la automatización. </w:t>
            </w:r>
            <w:r w:rsidR="0023105E" w:rsidRPr="00265302">
              <w:rPr>
                <w:sz w:val="18"/>
                <w:lang w:val="es-ES_tradnl"/>
              </w:rPr>
              <w:t>La</w:t>
            </w:r>
            <w:r w:rsidRPr="00265302">
              <w:rPr>
                <w:sz w:val="18"/>
                <w:lang w:val="es-ES_tradnl"/>
              </w:rPr>
              <w:t>s</w:t>
            </w:r>
            <w:r w:rsidR="0023105E" w:rsidRPr="00265302">
              <w:rPr>
                <w:sz w:val="18"/>
                <w:lang w:val="es-ES_tradnl"/>
              </w:rPr>
              <w:t xml:space="preserve"> lecci</w:t>
            </w:r>
            <w:r w:rsidRPr="00265302">
              <w:rPr>
                <w:sz w:val="18"/>
                <w:lang w:val="es-ES_tradnl"/>
              </w:rPr>
              <w:t>ones</w:t>
            </w:r>
            <w:r w:rsidR="0023105E" w:rsidRPr="00265302">
              <w:rPr>
                <w:sz w:val="18"/>
                <w:lang w:val="es-ES_tradnl"/>
              </w:rPr>
              <w:t xml:space="preserve"> aprendida</w:t>
            </w:r>
            <w:r w:rsidRPr="00265302">
              <w:rPr>
                <w:sz w:val="18"/>
                <w:lang w:val="es-ES_tradnl"/>
              </w:rPr>
              <w:t xml:space="preserve">s son: </w:t>
            </w:r>
            <w:r w:rsidR="0077159D" w:rsidRPr="0077159D">
              <w:rPr>
                <w:sz w:val="18"/>
                <w:szCs w:val="18"/>
                <w:lang w:val="es-ES_tradnl"/>
              </w:rPr>
              <w:t>(i)</w:t>
            </w:r>
            <w:r w:rsidRPr="0077159D">
              <w:rPr>
                <w:sz w:val="18"/>
                <w:szCs w:val="18"/>
                <w:lang w:val="es-ES_tradnl"/>
              </w:rPr>
              <w:t xml:space="preserve"> </w:t>
            </w:r>
            <w:r w:rsidR="0077159D" w:rsidRPr="0077159D">
              <w:rPr>
                <w:sz w:val="18"/>
                <w:szCs w:val="18"/>
                <w:lang w:val="es-ES_tradnl"/>
              </w:rPr>
              <w:t>es i</w:t>
            </w:r>
            <w:r w:rsidRPr="0077159D">
              <w:rPr>
                <w:sz w:val="18"/>
                <w:szCs w:val="18"/>
                <w:lang w:val="es-ES_tradnl"/>
              </w:rPr>
              <w:t xml:space="preserve">mportante </w:t>
            </w:r>
            <w:r w:rsidR="0077159D" w:rsidRPr="0077159D">
              <w:rPr>
                <w:sz w:val="18"/>
                <w:szCs w:val="18"/>
                <w:lang w:val="es-ES_tradnl"/>
              </w:rPr>
              <w:t>contar con</w:t>
            </w:r>
            <w:r w:rsidR="0077159D" w:rsidRPr="00265302">
              <w:rPr>
                <w:sz w:val="18"/>
                <w:lang w:val="es-ES_tradnl"/>
              </w:rPr>
              <w:t xml:space="preserve"> </w:t>
            </w:r>
            <w:r w:rsidRPr="00265302">
              <w:rPr>
                <w:sz w:val="18"/>
                <w:lang w:val="es-ES_tradnl"/>
              </w:rPr>
              <w:t xml:space="preserve">un dimensionamiento del monto del proyecto basado en mejores </w:t>
            </w:r>
            <w:r w:rsidR="00650341" w:rsidRPr="00265302">
              <w:rPr>
                <w:sz w:val="18"/>
                <w:lang w:val="es-ES_tradnl"/>
              </w:rPr>
              <w:t>prácticas</w:t>
            </w:r>
            <w:r w:rsidRPr="00265302">
              <w:rPr>
                <w:sz w:val="18"/>
                <w:lang w:val="es-ES_tradnl"/>
              </w:rPr>
              <w:t xml:space="preserve"> de </w:t>
            </w:r>
            <w:r w:rsidR="00E22DDE" w:rsidRPr="0077159D">
              <w:rPr>
                <w:sz w:val="18"/>
                <w:szCs w:val="18"/>
                <w:lang w:val="es-ES_tradnl"/>
              </w:rPr>
              <w:t>modernización</w:t>
            </w:r>
            <w:r w:rsidRPr="00265302">
              <w:rPr>
                <w:sz w:val="18"/>
                <w:lang w:val="es-ES_tradnl"/>
              </w:rPr>
              <w:t xml:space="preserve"> integral en las áreas funcionales, desarrollo, </w:t>
            </w:r>
            <w:r w:rsidR="00650341" w:rsidRPr="00265302">
              <w:rPr>
                <w:sz w:val="18"/>
                <w:lang w:val="es-ES_tradnl"/>
              </w:rPr>
              <w:t>implementación</w:t>
            </w:r>
            <w:r w:rsidRPr="00265302">
              <w:rPr>
                <w:sz w:val="18"/>
                <w:lang w:val="es-ES_tradnl"/>
              </w:rPr>
              <w:t xml:space="preserve"> del software que incluya el periodo de tiempo en el cual se va introduciendo el nuevo modelo y que por tanto </w:t>
            </w:r>
            <w:r w:rsidR="00E22DDE" w:rsidRPr="0077159D">
              <w:rPr>
                <w:sz w:val="18"/>
                <w:szCs w:val="18"/>
                <w:lang w:val="es-ES_tradnl"/>
              </w:rPr>
              <w:t>interoper</w:t>
            </w:r>
            <w:r w:rsidR="0077159D" w:rsidRPr="0077159D">
              <w:rPr>
                <w:sz w:val="18"/>
                <w:szCs w:val="18"/>
                <w:lang w:val="es-ES_tradnl"/>
              </w:rPr>
              <w:t>e con</w:t>
            </w:r>
            <w:r w:rsidRPr="00265302">
              <w:rPr>
                <w:sz w:val="18"/>
                <w:lang w:val="es-ES_tradnl"/>
              </w:rPr>
              <w:t xml:space="preserve"> el modelo a ser sustituido para asegurar continuidad en las funciones del Ministerio de Economía y Finanzas</w:t>
            </w:r>
            <w:r w:rsidR="0077159D" w:rsidRPr="0077159D">
              <w:rPr>
                <w:sz w:val="18"/>
                <w:szCs w:val="18"/>
                <w:lang w:val="es-ES_tradnl"/>
              </w:rPr>
              <w:t>; y (</w:t>
            </w:r>
            <w:proofErr w:type="spellStart"/>
            <w:r w:rsidR="0077159D" w:rsidRPr="0077159D">
              <w:rPr>
                <w:sz w:val="18"/>
                <w:szCs w:val="18"/>
                <w:lang w:val="es-ES_tradnl"/>
              </w:rPr>
              <w:t>ii</w:t>
            </w:r>
            <w:proofErr w:type="spellEnd"/>
            <w:r w:rsidR="0077159D" w:rsidRPr="0077159D">
              <w:rPr>
                <w:sz w:val="18"/>
                <w:szCs w:val="18"/>
                <w:lang w:val="es-ES_tradnl"/>
              </w:rPr>
              <w:t>)</w:t>
            </w:r>
            <w:r w:rsidR="00650341" w:rsidRPr="0077159D">
              <w:rPr>
                <w:sz w:val="18"/>
                <w:szCs w:val="18"/>
                <w:lang w:val="es-ES_tradnl"/>
              </w:rPr>
              <w:t>.</w:t>
            </w:r>
            <w:r w:rsidR="00650341" w:rsidRPr="00265302">
              <w:rPr>
                <w:sz w:val="18"/>
                <w:lang w:val="es-ES_tradnl"/>
              </w:rPr>
              <w:t>l</w:t>
            </w:r>
            <w:r w:rsidR="0023105E" w:rsidRPr="00265302">
              <w:rPr>
                <w:sz w:val="18"/>
                <w:lang w:val="es-ES_tradnl"/>
              </w:rPr>
              <w:t>a mejora de los procedimientos es clave para apalancar una reforma. La automatización también es importante, pero no es capaz por si sola de promover una reforma.</w:t>
            </w:r>
            <w:r w:rsidR="0023105E" w:rsidRPr="0077159D">
              <w:rPr>
                <w:sz w:val="18"/>
                <w:szCs w:val="18"/>
                <w:lang w:val="es-ES_tradnl"/>
              </w:rPr>
              <w:t xml:space="preserve"> </w:t>
            </w:r>
            <w:r w:rsidR="0023105E" w:rsidRPr="00265302">
              <w:rPr>
                <w:sz w:val="18"/>
                <w:lang w:val="es-ES_tradnl"/>
              </w:rPr>
              <w:t>Por lo tanto, se recomienda que</w:t>
            </w:r>
            <w:r w:rsidR="0053031B" w:rsidRPr="00265302">
              <w:rPr>
                <w:sz w:val="18"/>
                <w:lang w:val="es-ES_tradnl"/>
              </w:rPr>
              <w:t>,</w:t>
            </w:r>
            <w:r w:rsidR="0023105E" w:rsidRPr="00265302">
              <w:rPr>
                <w:sz w:val="18"/>
                <w:lang w:val="es-ES_tradnl"/>
              </w:rPr>
              <w:t xml:space="preserve"> en </w:t>
            </w:r>
            <w:r w:rsidR="0053031B" w:rsidRPr="00265302">
              <w:rPr>
                <w:sz w:val="18"/>
                <w:lang w:val="es-ES_tradnl"/>
              </w:rPr>
              <w:t xml:space="preserve">proyectos </w:t>
            </w:r>
            <w:r w:rsidR="008E05EF" w:rsidRPr="00265302">
              <w:rPr>
                <w:sz w:val="18"/>
                <w:lang w:val="es-ES_tradnl"/>
              </w:rPr>
              <w:t>de</w:t>
            </w:r>
            <w:r w:rsidR="0053031B" w:rsidRPr="00265302">
              <w:rPr>
                <w:sz w:val="18"/>
                <w:lang w:val="es-ES_tradnl"/>
              </w:rPr>
              <w:t xml:space="preserve"> reforma de esta naturaleza</w:t>
            </w:r>
            <w:r w:rsidR="0023105E" w:rsidRPr="00265302">
              <w:rPr>
                <w:sz w:val="18"/>
                <w:lang w:val="es-ES_tradnl"/>
              </w:rPr>
              <w:t xml:space="preserve"> la estrategia de ejecución </w:t>
            </w:r>
            <w:r w:rsidR="0053031B" w:rsidRPr="00265302">
              <w:rPr>
                <w:sz w:val="18"/>
                <w:lang w:val="es-ES_tradnl"/>
              </w:rPr>
              <w:t>guarde un equilibrio adecuado entre</w:t>
            </w:r>
            <w:r w:rsidR="0023105E" w:rsidRPr="00265302">
              <w:rPr>
                <w:sz w:val="18"/>
                <w:lang w:val="es-ES_tradnl"/>
              </w:rPr>
              <w:t xml:space="preserve"> la mejora de los procedimientos y la automatización</w:t>
            </w:r>
            <w:r w:rsidR="0023105E" w:rsidRPr="0077159D">
              <w:rPr>
                <w:sz w:val="18"/>
                <w:szCs w:val="18"/>
                <w:lang w:val="es-ES_tradnl"/>
              </w:rPr>
              <w:t xml:space="preserve">. </w:t>
            </w:r>
          </w:p>
        </w:tc>
      </w:tr>
      <w:tr w:rsidR="00057E9B" w:rsidRPr="0077159D" w14:paraId="086A276A" w14:textId="77777777" w:rsidTr="00295620">
        <w:tc>
          <w:tcPr>
            <w:tcW w:w="2425" w:type="dxa"/>
            <w:vAlign w:val="center"/>
          </w:tcPr>
          <w:p w14:paraId="04C0C18E" w14:textId="693B09A5" w:rsidR="00057E9B" w:rsidRPr="0077159D" w:rsidRDefault="00057E9B" w:rsidP="00057E9B">
            <w:pPr>
              <w:pStyle w:val="TableParagraph"/>
              <w:jc w:val="both"/>
              <w:rPr>
                <w:sz w:val="18"/>
                <w:szCs w:val="18"/>
                <w:lang w:val="es-ES_tradnl"/>
              </w:rPr>
            </w:pPr>
            <w:r w:rsidRPr="0077159D">
              <w:rPr>
                <w:sz w:val="18"/>
                <w:szCs w:val="18"/>
                <w:lang w:val="es-ES_tradnl"/>
              </w:rPr>
              <w:lastRenderedPageBreak/>
              <w:t xml:space="preserve">Cuando la lógica vertical de un proyecto no está bien planteada puede afectar la clasificación de </w:t>
            </w:r>
            <w:r w:rsidR="00EB326B" w:rsidRPr="0077159D">
              <w:rPr>
                <w:sz w:val="18"/>
                <w:szCs w:val="18"/>
                <w:lang w:val="es-ES_tradnl"/>
              </w:rPr>
              <w:t xml:space="preserve">la </w:t>
            </w:r>
            <w:r w:rsidRPr="0077159D">
              <w:rPr>
                <w:sz w:val="18"/>
                <w:szCs w:val="18"/>
                <w:lang w:val="es-ES_tradnl"/>
              </w:rPr>
              <w:t>efectividad</w:t>
            </w:r>
            <w:r w:rsidR="00CF2F3D" w:rsidRPr="0077159D">
              <w:rPr>
                <w:sz w:val="18"/>
                <w:szCs w:val="18"/>
                <w:lang w:val="es-ES_tradnl"/>
              </w:rPr>
              <w:t>.</w:t>
            </w:r>
            <w:r w:rsidRPr="0077159D">
              <w:rPr>
                <w:sz w:val="18"/>
                <w:szCs w:val="18"/>
                <w:lang w:val="es-ES_tradnl"/>
              </w:rPr>
              <w:t xml:space="preserve"> </w:t>
            </w:r>
          </w:p>
        </w:tc>
        <w:tc>
          <w:tcPr>
            <w:tcW w:w="7925" w:type="dxa"/>
            <w:vAlign w:val="center"/>
          </w:tcPr>
          <w:p w14:paraId="71CE0A32" w14:textId="241EFFC6" w:rsidR="00057E9B" w:rsidRPr="0077159D" w:rsidRDefault="00EB326B" w:rsidP="00057E9B">
            <w:pPr>
              <w:pStyle w:val="TableParagraph"/>
              <w:jc w:val="both"/>
              <w:rPr>
                <w:sz w:val="18"/>
                <w:szCs w:val="18"/>
                <w:lang w:val="es-ES_tradnl"/>
              </w:rPr>
            </w:pPr>
            <w:r w:rsidRPr="0077159D">
              <w:rPr>
                <w:sz w:val="18"/>
                <w:szCs w:val="18"/>
                <w:lang w:val="es-ES_tradnl"/>
              </w:rPr>
              <w:t>El Programa pudo haber</w:t>
            </w:r>
            <w:r w:rsidR="00057E9B" w:rsidRPr="0077159D">
              <w:rPr>
                <w:sz w:val="18"/>
                <w:szCs w:val="18"/>
                <w:lang w:val="es-ES_tradnl"/>
              </w:rPr>
              <w:t xml:space="preserve"> logrado una </w:t>
            </w:r>
            <w:r w:rsidRPr="0077159D">
              <w:rPr>
                <w:sz w:val="18"/>
                <w:szCs w:val="18"/>
                <w:lang w:val="es-ES_tradnl"/>
              </w:rPr>
              <w:t xml:space="preserve">mejor </w:t>
            </w:r>
            <w:r w:rsidR="00057E9B" w:rsidRPr="0077159D">
              <w:rPr>
                <w:sz w:val="18"/>
                <w:szCs w:val="18"/>
                <w:lang w:val="es-ES_tradnl"/>
              </w:rPr>
              <w:t>clasificación</w:t>
            </w:r>
            <w:r w:rsidRPr="0077159D">
              <w:rPr>
                <w:sz w:val="18"/>
                <w:szCs w:val="18"/>
                <w:lang w:val="es-ES_tradnl"/>
              </w:rPr>
              <w:t xml:space="preserve"> de efectividad sino </w:t>
            </w:r>
            <w:r w:rsidR="00057E9B" w:rsidRPr="0077159D">
              <w:rPr>
                <w:sz w:val="18"/>
                <w:szCs w:val="18"/>
                <w:lang w:val="es-ES_tradnl"/>
              </w:rPr>
              <w:t>fuera</w:t>
            </w:r>
            <w:r w:rsidRPr="0077159D">
              <w:rPr>
                <w:sz w:val="18"/>
                <w:szCs w:val="18"/>
                <w:lang w:val="es-ES_tradnl"/>
              </w:rPr>
              <w:t xml:space="preserve"> por</w:t>
            </w:r>
            <w:r w:rsidR="00057E9B" w:rsidRPr="0077159D">
              <w:rPr>
                <w:sz w:val="18"/>
                <w:szCs w:val="18"/>
                <w:lang w:val="es-ES_tradnl"/>
              </w:rPr>
              <w:t xml:space="preserve"> los problemas identificados en </w:t>
            </w:r>
            <w:r w:rsidR="00057E9B" w:rsidRPr="00942B0D">
              <w:rPr>
                <w:sz w:val="18"/>
                <w:szCs w:val="18"/>
                <w:lang w:val="es-ES_tradnl"/>
              </w:rPr>
              <w:t xml:space="preserve">su </w:t>
            </w:r>
            <w:r w:rsidR="00057E9B" w:rsidRPr="00437FB0">
              <w:rPr>
                <w:sz w:val="18"/>
                <w:lang w:val="es-ES_tradnl"/>
              </w:rPr>
              <w:t>lógica vertical</w:t>
            </w:r>
            <w:r w:rsidR="00057E9B" w:rsidRPr="00942B0D">
              <w:rPr>
                <w:sz w:val="18"/>
                <w:szCs w:val="18"/>
                <w:lang w:val="es-ES_tradnl"/>
              </w:rPr>
              <w:t xml:space="preserve"> conforme</w:t>
            </w:r>
            <w:r w:rsidRPr="0077159D">
              <w:rPr>
                <w:sz w:val="18"/>
                <w:szCs w:val="18"/>
                <w:lang w:val="es-ES_tradnl"/>
              </w:rPr>
              <w:t xml:space="preserve"> fue</w:t>
            </w:r>
            <w:r w:rsidR="00057E9B" w:rsidRPr="0077159D">
              <w:rPr>
                <w:sz w:val="18"/>
                <w:szCs w:val="18"/>
                <w:lang w:val="es-ES_tradnl"/>
              </w:rPr>
              <w:t xml:space="preserve"> detallado en </w:t>
            </w:r>
            <w:r w:rsidRPr="0077159D">
              <w:rPr>
                <w:sz w:val="18"/>
                <w:szCs w:val="18"/>
                <w:lang w:val="es-ES_tradnl"/>
              </w:rPr>
              <w:t xml:space="preserve">las secciones </w:t>
            </w:r>
            <w:r w:rsidR="00AF41BF" w:rsidRPr="0077159D">
              <w:rPr>
                <w:sz w:val="18"/>
                <w:szCs w:val="18"/>
                <w:lang w:val="es-ES_tradnl"/>
              </w:rPr>
              <w:t>anteriores</w:t>
            </w:r>
            <w:r w:rsidR="00057E9B" w:rsidRPr="0077159D">
              <w:rPr>
                <w:sz w:val="18"/>
                <w:szCs w:val="18"/>
                <w:lang w:val="es-ES_tradnl"/>
              </w:rPr>
              <w:t>.</w:t>
            </w:r>
            <w:r w:rsidR="00AF41BF" w:rsidRPr="0077159D">
              <w:rPr>
                <w:sz w:val="18"/>
                <w:szCs w:val="18"/>
                <w:lang w:val="es-ES_tradnl"/>
              </w:rPr>
              <w:t xml:space="preserve"> </w:t>
            </w:r>
            <w:r w:rsidR="00AF41BF" w:rsidRPr="00265302">
              <w:rPr>
                <w:sz w:val="18"/>
                <w:lang w:val="es-ES_tradnl"/>
              </w:rPr>
              <w:t xml:space="preserve">Por lo tanto, se recomienda </w:t>
            </w:r>
            <w:r w:rsidR="00B73239" w:rsidRPr="00265302">
              <w:rPr>
                <w:sz w:val="18"/>
                <w:lang w:val="es-ES_tradnl"/>
              </w:rPr>
              <w:t>en</w:t>
            </w:r>
            <w:r w:rsidR="00AF41BF" w:rsidRPr="00265302">
              <w:rPr>
                <w:sz w:val="18"/>
                <w:lang w:val="es-ES_tradnl"/>
              </w:rPr>
              <w:t xml:space="preserve"> proyectos</w:t>
            </w:r>
            <w:r w:rsidR="00B73239" w:rsidRPr="00265302">
              <w:rPr>
                <w:sz w:val="18"/>
                <w:lang w:val="es-ES_tradnl"/>
              </w:rPr>
              <w:t xml:space="preserve"> futuros</w:t>
            </w:r>
            <w:r w:rsidR="00AF41BF" w:rsidRPr="00265302">
              <w:rPr>
                <w:sz w:val="18"/>
                <w:lang w:val="es-ES_tradnl"/>
              </w:rPr>
              <w:t xml:space="preserve"> </w:t>
            </w:r>
            <w:r w:rsidR="00B73239" w:rsidRPr="00265302">
              <w:rPr>
                <w:sz w:val="18"/>
                <w:lang w:val="es-ES_tradnl"/>
              </w:rPr>
              <w:t>plantear</w:t>
            </w:r>
            <w:r w:rsidR="00057E9B" w:rsidRPr="00265302">
              <w:rPr>
                <w:sz w:val="18"/>
                <w:lang w:val="es-ES_tradnl"/>
              </w:rPr>
              <w:t xml:space="preserve"> un </w:t>
            </w:r>
            <w:r w:rsidR="003B58F3" w:rsidRPr="00265302">
              <w:rPr>
                <w:sz w:val="18"/>
                <w:lang w:val="es-ES_tradnl"/>
              </w:rPr>
              <w:t>número</w:t>
            </w:r>
            <w:r w:rsidR="00057E9B" w:rsidRPr="00265302">
              <w:rPr>
                <w:sz w:val="18"/>
                <w:lang w:val="es-ES_tradnl"/>
              </w:rPr>
              <w:t xml:space="preserve"> reducido</w:t>
            </w:r>
            <w:r w:rsidR="003B58F3" w:rsidRPr="00265302">
              <w:rPr>
                <w:sz w:val="18"/>
                <w:lang w:val="es-ES_tradnl"/>
              </w:rPr>
              <w:t xml:space="preserve"> </w:t>
            </w:r>
            <w:r w:rsidR="00057E9B" w:rsidRPr="00265302">
              <w:rPr>
                <w:sz w:val="18"/>
                <w:lang w:val="es-ES_tradnl"/>
              </w:rPr>
              <w:t xml:space="preserve">de resultados por </w:t>
            </w:r>
            <w:r w:rsidR="00AF41BF" w:rsidRPr="00265302">
              <w:rPr>
                <w:sz w:val="18"/>
                <w:lang w:val="es-ES_tradnl"/>
              </w:rPr>
              <w:t xml:space="preserve">cada </w:t>
            </w:r>
            <w:r w:rsidR="00057E9B" w:rsidRPr="00265302">
              <w:rPr>
                <w:sz w:val="18"/>
                <w:lang w:val="es-ES_tradnl"/>
              </w:rPr>
              <w:t>componente,</w:t>
            </w:r>
            <w:r w:rsidR="00AF41BF" w:rsidRPr="00265302">
              <w:rPr>
                <w:sz w:val="18"/>
                <w:lang w:val="es-ES_tradnl"/>
              </w:rPr>
              <w:t xml:space="preserve"> que todos</w:t>
            </w:r>
            <w:r w:rsidR="00057E9B" w:rsidRPr="00265302">
              <w:rPr>
                <w:sz w:val="18"/>
                <w:lang w:val="es-ES_tradnl"/>
              </w:rPr>
              <w:t xml:space="preserve"> </w:t>
            </w:r>
            <w:r w:rsidR="003B58F3" w:rsidRPr="00265302">
              <w:rPr>
                <w:sz w:val="18"/>
                <w:lang w:val="es-ES_tradnl"/>
              </w:rPr>
              <w:t>los</w:t>
            </w:r>
            <w:r w:rsidR="00057E9B" w:rsidRPr="00265302">
              <w:rPr>
                <w:sz w:val="18"/>
                <w:lang w:val="es-ES_tradnl"/>
              </w:rPr>
              <w:t xml:space="preserve"> productos </w:t>
            </w:r>
            <w:r w:rsidR="00AF41BF" w:rsidRPr="00265302">
              <w:rPr>
                <w:sz w:val="18"/>
                <w:lang w:val="es-ES_tradnl"/>
              </w:rPr>
              <w:t xml:space="preserve">que se incluyan estén </w:t>
            </w:r>
            <w:r w:rsidR="00B73239" w:rsidRPr="00265302">
              <w:rPr>
                <w:sz w:val="18"/>
                <w:lang w:val="es-ES_tradnl"/>
              </w:rPr>
              <w:t>debidamente</w:t>
            </w:r>
            <w:r w:rsidR="00AF41BF" w:rsidRPr="00265302">
              <w:rPr>
                <w:sz w:val="18"/>
                <w:lang w:val="es-ES_tradnl"/>
              </w:rPr>
              <w:t xml:space="preserve"> asociados </w:t>
            </w:r>
            <w:r w:rsidR="00B73239" w:rsidRPr="00265302">
              <w:rPr>
                <w:sz w:val="18"/>
                <w:lang w:val="es-ES_tradnl"/>
              </w:rPr>
              <w:t>al alcance de los resultados previstos</w:t>
            </w:r>
            <w:r w:rsidR="00EB05E1" w:rsidRPr="00265302">
              <w:rPr>
                <w:sz w:val="18"/>
                <w:lang w:val="es-ES_tradnl"/>
              </w:rPr>
              <w:t>,</w:t>
            </w:r>
            <w:r w:rsidR="00B73239" w:rsidRPr="00265302">
              <w:rPr>
                <w:sz w:val="18"/>
                <w:lang w:val="es-ES_tradnl"/>
              </w:rPr>
              <w:t xml:space="preserve"> y guardar un equilibrio adecuado entre productos y resultados</w:t>
            </w:r>
            <w:r w:rsidR="00057E9B" w:rsidRPr="00265302">
              <w:rPr>
                <w:sz w:val="18"/>
                <w:lang w:val="es-ES_tradnl"/>
              </w:rPr>
              <w:t>.</w:t>
            </w:r>
            <w:r w:rsidR="00057E9B" w:rsidRPr="0077159D">
              <w:rPr>
                <w:sz w:val="18"/>
                <w:szCs w:val="18"/>
                <w:lang w:val="es-ES_tradnl"/>
              </w:rPr>
              <w:t xml:space="preserve"> Como fue mencionado</w:t>
            </w:r>
            <w:r w:rsidR="003B58F3" w:rsidRPr="0077159D">
              <w:rPr>
                <w:sz w:val="18"/>
                <w:szCs w:val="18"/>
                <w:lang w:val="es-ES_tradnl"/>
              </w:rPr>
              <w:t>,</w:t>
            </w:r>
            <w:r w:rsidR="00057E9B" w:rsidRPr="0077159D">
              <w:rPr>
                <w:sz w:val="18"/>
                <w:szCs w:val="18"/>
                <w:lang w:val="es-ES_tradnl"/>
              </w:rPr>
              <w:t xml:space="preserve"> </w:t>
            </w:r>
            <w:r w:rsidR="000F0813">
              <w:rPr>
                <w:sz w:val="18"/>
                <w:szCs w:val="18"/>
                <w:lang w:val="es-ES_tradnl"/>
              </w:rPr>
              <w:t>6</w:t>
            </w:r>
            <w:r w:rsidR="000F0813" w:rsidRPr="0077159D">
              <w:rPr>
                <w:sz w:val="18"/>
                <w:szCs w:val="18"/>
                <w:lang w:val="es-ES_tradnl"/>
              </w:rPr>
              <w:t xml:space="preserve"> </w:t>
            </w:r>
            <w:r w:rsidR="00057E9B" w:rsidRPr="0077159D">
              <w:rPr>
                <w:sz w:val="18"/>
                <w:szCs w:val="18"/>
                <w:lang w:val="es-ES_tradnl"/>
              </w:rPr>
              <w:t>de los</w:t>
            </w:r>
            <w:r w:rsidR="00EB05E1" w:rsidRPr="0077159D">
              <w:rPr>
                <w:sz w:val="18"/>
                <w:szCs w:val="18"/>
                <w:lang w:val="es-ES_tradnl"/>
              </w:rPr>
              <w:t xml:space="preserve"> 9</w:t>
            </w:r>
            <w:r w:rsidR="00057E9B" w:rsidRPr="0077159D">
              <w:rPr>
                <w:sz w:val="18"/>
                <w:szCs w:val="18"/>
                <w:lang w:val="es-ES_tradnl"/>
              </w:rPr>
              <w:t xml:space="preserve"> resultados</w:t>
            </w:r>
            <w:r w:rsidR="00EB05E1" w:rsidRPr="0077159D">
              <w:rPr>
                <w:sz w:val="18"/>
                <w:szCs w:val="18"/>
                <w:lang w:val="es-ES_tradnl"/>
              </w:rPr>
              <w:t xml:space="preserve"> del Programa no se alcanzaron debido a que </w:t>
            </w:r>
            <w:r w:rsidR="00057E9B" w:rsidRPr="0077159D">
              <w:rPr>
                <w:sz w:val="18"/>
                <w:szCs w:val="18"/>
                <w:lang w:val="es-ES_tradnl"/>
              </w:rPr>
              <w:t>dependían de un único producto, el cual no fue implementado</w:t>
            </w:r>
            <w:r w:rsidR="00E57ADE" w:rsidRPr="0077159D">
              <w:rPr>
                <w:sz w:val="18"/>
                <w:szCs w:val="18"/>
                <w:lang w:val="es-ES_tradnl"/>
              </w:rPr>
              <w:t xml:space="preserve"> en su totalidad</w:t>
            </w:r>
            <w:r w:rsidR="00057E9B" w:rsidRPr="0077159D">
              <w:rPr>
                <w:sz w:val="18"/>
                <w:szCs w:val="18"/>
                <w:lang w:val="es-ES_tradnl"/>
              </w:rPr>
              <w:t xml:space="preserve"> (1.2 </w:t>
            </w:r>
            <w:r w:rsidR="003B58F3" w:rsidRPr="0077159D">
              <w:rPr>
                <w:sz w:val="18"/>
                <w:szCs w:val="18"/>
                <w:lang w:val="es-ES_tradnl"/>
              </w:rPr>
              <w:t>- m</w:t>
            </w:r>
            <w:r w:rsidR="00057E9B" w:rsidRPr="0077159D">
              <w:rPr>
                <w:sz w:val="18"/>
                <w:szCs w:val="18"/>
                <w:lang w:val="es-ES_tradnl"/>
              </w:rPr>
              <w:t>acroproceso</w:t>
            </w:r>
            <w:r w:rsidR="003B58F3" w:rsidRPr="0077159D">
              <w:rPr>
                <w:sz w:val="18"/>
                <w:szCs w:val="18"/>
                <w:lang w:val="es-ES_tradnl"/>
              </w:rPr>
              <w:t>s</w:t>
            </w:r>
            <w:r w:rsidR="00057E9B" w:rsidRPr="0077159D">
              <w:rPr>
                <w:sz w:val="18"/>
                <w:szCs w:val="18"/>
                <w:lang w:val="es-ES_tradnl"/>
              </w:rPr>
              <w:t xml:space="preserve"> de ejecución financiera, contabilidad y rendición de cuentas, informatizado</w:t>
            </w:r>
            <w:r w:rsidR="00336230" w:rsidRPr="0077159D">
              <w:rPr>
                <w:sz w:val="18"/>
                <w:szCs w:val="18"/>
                <w:lang w:val="es-ES_tradnl"/>
              </w:rPr>
              <w:t>s</w:t>
            </w:r>
            <w:r w:rsidR="00057E9B" w:rsidRPr="0077159D">
              <w:rPr>
                <w:sz w:val="18"/>
                <w:szCs w:val="18"/>
                <w:lang w:val="es-ES_tradnl"/>
              </w:rPr>
              <w:t xml:space="preserve"> e implementado</w:t>
            </w:r>
            <w:r w:rsidR="00336230" w:rsidRPr="0077159D">
              <w:rPr>
                <w:sz w:val="18"/>
                <w:szCs w:val="18"/>
                <w:lang w:val="es-ES_tradnl"/>
              </w:rPr>
              <w:t>s</w:t>
            </w:r>
            <w:r w:rsidR="00057E9B" w:rsidRPr="0077159D">
              <w:rPr>
                <w:sz w:val="18"/>
                <w:szCs w:val="18"/>
                <w:lang w:val="es-ES_tradnl"/>
              </w:rPr>
              <w:t>)</w:t>
            </w:r>
            <w:r w:rsidR="00E57ADE" w:rsidRPr="0077159D">
              <w:rPr>
                <w:rStyle w:val="FootnoteReference"/>
                <w:sz w:val="18"/>
                <w:szCs w:val="18"/>
                <w:lang w:val="es-ES_tradnl"/>
              </w:rPr>
              <w:footnoteReference w:id="14"/>
            </w:r>
            <w:r w:rsidR="00057E9B" w:rsidRPr="0077159D">
              <w:rPr>
                <w:sz w:val="18"/>
                <w:szCs w:val="18"/>
                <w:lang w:val="es-ES_tradnl"/>
              </w:rPr>
              <w:t>.</w:t>
            </w:r>
          </w:p>
        </w:tc>
      </w:tr>
      <w:tr w:rsidR="00E07669" w:rsidRPr="0077159D" w14:paraId="55583F40" w14:textId="77777777" w:rsidTr="00295620">
        <w:tc>
          <w:tcPr>
            <w:tcW w:w="2425" w:type="dxa"/>
            <w:vAlign w:val="center"/>
          </w:tcPr>
          <w:p w14:paraId="7C610F58" w14:textId="560CEE9E" w:rsidR="00E07669" w:rsidRPr="0077159D" w:rsidRDefault="00E07669" w:rsidP="00057E9B">
            <w:pPr>
              <w:pStyle w:val="TableParagraph"/>
              <w:jc w:val="both"/>
              <w:rPr>
                <w:sz w:val="18"/>
                <w:szCs w:val="18"/>
                <w:lang w:val="es-ES_tradnl"/>
              </w:rPr>
            </w:pPr>
            <w:r w:rsidRPr="0077159D">
              <w:rPr>
                <w:sz w:val="18"/>
                <w:szCs w:val="18"/>
                <w:lang w:val="es-ES_tradnl"/>
              </w:rPr>
              <w:t>No tener gobernabilidad en la medición de las metas de los indicadores</w:t>
            </w:r>
            <w:r w:rsidR="00B07BED" w:rsidRPr="0077159D">
              <w:rPr>
                <w:sz w:val="18"/>
                <w:szCs w:val="18"/>
                <w:lang w:val="es-ES_tradnl"/>
              </w:rPr>
              <w:t xml:space="preserve"> o no contar con indicadores SMART</w:t>
            </w:r>
            <w:r w:rsidRPr="0077159D">
              <w:rPr>
                <w:sz w:val="18"/>
                <w:szCs w:val="18"/>
                <w:lang w:val="es-ES_tradnl"/>
              </w:rPr>
              <w:t xml:space="preserve"> puede afectar </w:t>
            </w:r>
            <w:r w:rsidRPr="0077159D">
              <w:rPr>
                <w:sz w:val="18"/>
                <w:szCs w:val="18"/>
                <w:lang w:val="es-ES_tradnl"/>
              </w:rPr>
              <w:lastRenderedPageBreak/>
              <w:t xml:space="preserve">negativamente el resultado del proyecto </w:t>
            </w:r>
          </w:p>
        </w:tc>
        <w:tc>
          <w:tcPr>
            <w:tcW w:w="7925" w:type="dxa"/>
            <w:vAlign w:val="center"/>
          </w:tcPr>
          <w:p w14:paraId="3296917D" w14:textId="4AC5D55B" w:rsidR="00E07669" w:rsidRPr="0077159D" w:rsidRDefault="00E07669" w:rsidP="00057E9B">
            <w:pPr>
              <w:pStyle w:val="TableParagraph"/>
              <w:jc w:val="both"/>
              <w:rPr>
                <w:sz w:val="18"/>
                <w:szCs w:val="18"/>
                <w:lang w:val="es-ES_tradnl"/>
              </w:rPr>
            </w:pPr>
            <w:r w:rsidRPr="0077159D">
              <w:rPr>
                <w:sz w:val="18"/>
                <w:szCs w:val="18"/>
                <w:lang w:val="es-ES_tradnl"/>
              </w:rPr>
              <w:lastRenderedPageBreak/>
              <w:t xml:space="preserve">Este fue lo que ocurrió con </w:t>
            </w:r>
            <w:r w:rsidR="00B07BED" w:rsidRPr="0077159D">
              <w:rPr>
                <w:sz w:val="18"/>
                <w:szCs w:val="18"/>
                <w:lang w:val="es-ES_tradnl"/>
              </w:rPr>
              <w:t>la medición de las metas</w:t>
            </w:r>
            <w:r w:rsidRPr="0077159D">
              <w:rPr>
                <w:sz w:val="18"/>
                <w:szCs w:val="18"/>
                <w:lang w:val="es-ES_tradnl"/>
              </w:rPr>
              <w:t xml:space="preserve"> de todos los indicadores del objetivo específico 1</w:t>
            </w:r>
            <w:r w:rsidR="00B07BED" w:rsidRPr="0077159D">
              <w:rPr>
                <w:sz w:val="18"/>
                <w:szCs w:val="18"/>
                <w:lang w:val="es-ES_tradnl"/>
              </w:rPr>
              <w:t xml:space="preserve"> del proyecto</w:t>
            </w:r>
            <w:r w:rsidRPr="0077159D">
              <w:rPr>
                <w:sz w:val="18"/>
                <w:szCs w:val="18"/>
                <w:lang w:val="es-ES_tradnl"/>
              </w:rPr>
              <w:t xml:space="preserve">, el cual se </w:t>
            </w:r>
            <w:r w:rsidR="00B07BED" w:rsidRPr="0077159D">
              <w:rPr>
                <w:sz w:val="18"/>
                <w:szCs w:val="18"/>
                <w:lang w:val="es-ES_tradnl"/>
              </w:rPr>
              <w:t>utilizó</w:t>
            </w:r>
            <w:r w:rsidRPr="0077159D">
              <w:rPr>
                <w:sz w:val="18"/>
                <w:szCs w:val="18"/>
                <w:lang w:val="es-ES_tradnl"/>
              </w:rPr>
              <w:t xml:space="preserve"> 3 indicadores de la metodología PEFA. </w:t>
            </w:r>
            <w:r w:rsidR="0077159D" w:rsidRPr="0077159D">
              <w:rPr>
                <w:sz w:val="18"/>
                <w:szCs w:val="18"/>
                <w:lang w:val="es-ES_tradnl"/>
              </w:rPr>
              <w:t>D</w:t>
            </w:r>
            <w:r w:rsidR="00D67677" w:rsidRPr="0077159D">
              <w:rPr>
                <w:sz w:val="18"/>
                <w:szCs w:val="18"/>
                <w:lang w:val="es-ES_tradnl"/>
              </w:rPr>
              <w:t xml:space="preserve">e acuerdo con la teoría de indicadores SMART (Simples, Medible, Alcanzable, Realístico y Tiempo determinado), los indicadores PEFA no son simples de medirse. Requieren un equipo de especialistas que conozcan la metodología PEFA, así como </w:t>
            </w:r>
            <w:r w:rsidR="00B07BED" w:rsidRPr="0077159D">
              <w:rPr>
                <w:sz w:val="18"/>
                <w:szCs w:val="18"/>
                <w:lang w:val="es-ES_tradnl"/>
              </w:rPr>
              <w:t>tienen que ser especialistas en el</w:t>
            </w:r>
            <w:r w:rsidR="00D67677" w:rsidRPr="0077159D">
              <w:rPr>
                <w:sz w:val="18"/>
                <w:szCs w:val="18"/>
                <w:lang w:val="es-ES_tradnl"/>
              </w:rPr>
              <w:t xml:space="preserve"> </w:t>
            </w:r>
            <w:r w:rsidR="00D67677" w:rsidRPr="0077159D">
              <w:rPr>
                <w:sz w:val="18"/>
                <w:szCs w:val="18"/>
                <w:lang w:val="es-ES_tradnl"/>
              </w:rPr>
              <w:lastRenderedPageBreak/>
              <w:t xml:space="preserve">tema que está siendo evaluado. Además, algunos indicadores son de percepción, por lo tanto, pueden variar </w:t>
            </w:r>
            <w:r w:rsidR="00B07BED" w:rsidRPr="0077159D">
              <w:rPr>
                <w:sz w:val="18"/>
                <w:szCs w:val="18"/>
                <w:lang w:val="es-ES_tradnl"/>
              </w:rPr>
              <w:t>de clasificación entre diferentes evaluadores</w:t>
            </w:r>
            <w:r w:rsidR="00D67677" w:rsidRPr="0077159D">
              <w:rPr>
                <w:sz w:val="18"/>
                <w:szCs w:val="18"/>
                <w:lang w:val="es-ES_tradnl"/>
              </w:rPr>
              <w:t xml:space="preserve">. Aunque el PEFA 2016 fue realizado, el gobierno de Perú nunca lo aprobó, muy probablemente por no estar de acuerdo con </w:t>
            </w:r>
            <w:r w:rsidR="00B07BED" w:rsidRPr="0077159D">
              <w:rPr>
                <w:sz w:val="18"/>
                <w:szCs w:val="18"/>
                <w:lang w:val="es-ES_tradnl"/>
              </w:rPr>
              <w:t xml:space="preserve">los resultados de </w:t>
            </w:r>
            <w:r w:rsidR="00D67677" w:rsidRPr="0077159D">
              <w:rPr>
                <w:sz w:val="18"/>
                <w:szCs w:val="18"/>
                <w:lang w:val="es-ES_tradnl"/>
              </w:rPr>
              <w:t>la evaluación</w:t>
            </w:r>
            <w:r w:rsidR="00B07BED" w:rsidRPr="0077159D">
              <w:rPr>
                <w:sz w:val="18"/>
                <w:szCs w:val="18"/>
                <w:lang w:val="es-ES_tradnl"/>
              </w:rPr>
              <w:t>. Estos factores contribuyen para la afirmación de que la util</w:t>
            </w:r>
            <w:r w:rsidR="00D67677" w:rsidRPr="0077159D">
              <w:rPr>
                <w:sz w:val="18"/>
                <w:szCs w:val="18"/>
                <w:lang w:val="es-ES_tradnl"/>
              </w:rPr>
              <w:t>ización de indicadores no SMART pueden afectar negativamente el resultado d</w:t>
            </w:r>
            <w:r w:rsidR="00B07BED" w:rsidRPr="0077159D">
              <w:rPr>
                <w:sz w:val="18"/>
                <w:szCs w:val="18"/>
                <w:lang w:val="es-ES_tradnl"/>
              </w:rPr>
              <w:t>el proyecto.</w:t>
            </w:r>
          </w:p>
        </w:tc>
      </w:tr>
      <w:tr w:rsidR="00057E9B" w:rsidRPr="0077159D" w14:paraId="2CEF62BE" w14:textId="77777777" w:rsidTr="00D70FAF">
        <w:tc>
          <w:tcPr>
            <w:tcW w:w="10350" w:type="dxa"/>
            <w:gridSpan w:val="2"/>
            <w:shd w:val="clear" w:color="auto" w:fill="D9D9D9" w:themeFill="background1" w:themeFillShade="D9"/>
            <w:vAlign w:val="center"/>
          </w:tcPr>
          <w:p w14:paraId="23EF4323" w14:textId="1F002D8B" w:rsidR="00057E9B" w:rsidRPr="0077159D" w:rsidRDefault="00057E9B" w:rsidP="00057E9B">
            <w:pPr>
              <w:pStyle w:val="TableParagraph"/>
              <w:jc w:val="both"/>
              <w:rPr>
                <w:sz w:val="18"/>
                <w:szCs w:val="18"/>
                <w:lang w:val="es-ES_tradnl"/>
              </w:rPr>
            </w:pPr>
            <w:r w:rsidRPr="0077159D">
              <w:rPr>
                <w:b/>
                <w:sz w:val="18"/>
                <w:szCs w:val="18"/>
                <w:lang w:val="es-ES_tradnl"/>
              </w:rPr>
              <w:lastRenderedPageBreak/>
              <w:t>Dimensión 2.</w:t>
            </w:r>
            <w:r w:rsidRPr="0077159D">
              <w:rPr>
                <w:sz w:val="18"/>
                <w:szCs w:val="18"/>
                <w:lang w:val="es-ES_tradnl"/>
              </w:rPr>
              <w:t xml:space="preserve"> </w:t>
            </w:r>
            <w:r w:rsidRPr="0077159D">
              <w:rPr>
                <w:b/>
                <w:sz w:val="18"/>
                <w:szCs w:val="18"/>
                <w:lang w:val="es-ES_tradnl"/>
              </w:rPr>
              <w:t xml:space="preserve">Organización y </w:t>
            </w:r>
            <w:r w:rsidR="00503A50" w:rsidRPr="0077159D">
              <w:rPr>
                <w:b/>
                <w:sz w:val="18"/>
                <w:szCs w:val="18"/>
                <w:lang w:val="es-ES_tradnl"/>
              </w:rPr>
              <w:t>gesti</w:t>
            </w:r>
            <w:r w:rsidR="004E4144" w:rsidRPr="0077159D">
              <w:rPr>
                <w:b/>
                <w:sz w:val="18"/>
                <w:szCs w:val="18"/>
                <w:lang w:val="es-ES_tradnl"/>
              </w:rPr>
              <w:t>ó</w:t>
            </w:r>
            <w:r w:rsidR="00503A50" w:rsidRPr="0077159D">
              <w:rPr>
                <w:b/>
                <w:sz w:val="18"/>
                <w:szCs w:val="18"/>
                <w:lang w:val="es-ES_tradnl"/>
              </w:rPr>
              <w:t>n</w:t>
            </w:r>
          </w:p>
        </w:tc>
      </w:tr>
      <w:tr w:rsidR="00057E9B" w:rsidRPr="0077159D" w14:paraId="2C11C6DA" w14:textId="77777777" w:rsidTr="00295620">
        <w:trPr>
          <w:trHeight w:val="80"/>
        </w:trPr>
        <w:tc>
          <w:tcPr>
            <w:tcW w:w="2425" w:type="dxa"/>
            <w:vAlign w:val="center"/>
          </w:tcPr>
          <w:p w14:paraId="76ABE25F" w14:textId="1419C1C6" w:rsidR="00057E9B" w:rsidRPr="0077159D" w:rsidRDefault="00057E9B" w:rsidP="00057E9B">
            <w:pPr>
              <w:pStyle w:val="TableParagraph"/>
              <w:jc w:val="both"/>
              <w:rPr>
                <w:sz w:val="18"/>
                <w:szCs w:val="18"/>
                <w:lang w:val="es-ES_tradnl"/>
              </w:rPr>
            </w:pPr>
            <w:r w:rsidRPr="0077159D">
              <w:rPr>
                <w:sz w:val="18"/>
                <w:szCs w:val="18"/>
                <w:lang w:val="es-ES_tradnl"/>
              </w:rPr>
              <w:t xml:space="preserve">Contar con </w:t>
            </w:r>
            <w:proofErr w:type="spellStart"/>
            <w:r w:rsidRPr="0077159D">
              <w:rPr>
                <w:sz w:val="18"/>
                <w:szCs w:val="18"/>
                <w:lang w:val="es-ES_tradnl"/>
              </w:rPr>
              <w:t>ORs</w:t>
            </w:r>
            <w:proofErr w:type="spellEnd"/>
            <w:r w:rsidRPr="0077159D">
              <w:rPr>
                <w:sz w:val="18"/>
                <w:szCs w:val="18"/>
                <w:lang w:val="es-ES_tradnl"/>
              </w:rPr>
              <w:t xml:space="preserve"> comprometidos (</w:t>
            </w:r>
            <w:proofErr w:type="spellStart"/>
            <w:r w:rsidRPr="00265302">
              <w:rPr>
                <w:sz w:val="18"/>
                <w:lang w:val="es-ES_tradnl"/>
              </w:rPr>
              <w:t>ownership</w:t>
            </w:r>
            <w:proofErr w:type="spellEnd"/>
            <w:r w:rsidRPr="0077159D">
              <w:rPr>
                <w:sz w:val="18"/>
                <w:szCs w:val="18"/>
                <w:lang w:val="es-ES_tradnl"/>
              </w:rPr>
              <w:t xml:space="preserve">) con las acciones llevadas a cabo para la modernización de los procedimientos de sus áreas funcionales es clave para que se pueda implementar una reforma institucional. </w:t>
            </w:r>
          </w:p>
        </w:tc>
        <w:tc>
          <w:tcPr>
            <w:tcW w:w="7925" w:type="dxa"/>
            <w:vAlign w:val="center"/>
          </w:tcPr>
          <w:p w14:paraId="3B183E10" w14:textId="736F7D61" w:rsidR="00057E9B" w:rsidRPr="0077159D" w:rsidRDefault="00057E9B" w:rsidP="00057E9B">
            <w:pPr>
              <w:pStyle w:val="TableParagraph"/>
              <w:jc w:val="both"/>
              <w:rPr>
                <w:sz w:val="18"/>
                <w:szCs w:val="18"/>
                <w:lang w:val="es-ES_tradnl"/>
              </w:rPr>
            </w:pPr>
            <w:r w:rsidRPr="0077159D">
              <w:rPr>
                <w:sz w:val="18"/>
                <w:szCs w:val="18"/>
                <w:lang w:val="es-ES_tradnl"/>
              </w:rPr>
              <w:t xml:space="preserve">En la fase de ejecución el Programa asignó alrededor de 12 especialistas para apoyar a cada uno de los </w:t>
            </w:r>
            <w:proofErr w:type="spellStart"/>
            <w:r w:rsidRPr="0077159D">
              <w:rPr>
                <w:sz w:val="18"/>
                <w:szCs w:val="18"/>
                <w:lang w:val="es-ES_tradnl"/>
              </w:rPr>
              <w:t>ORs</w:t>
            </w:r>
            <w:proofErr w:type="spellEnd"/>
            <w:r w:rsidRPr="0077159D">
              <w:rPr>
                <w:sz w:val="18"/>
                <w:szCs w:val="18"/>
                <w:lang w:val="es-ES_tradnl"/>
              </w:rPr>
              <w:t xml:space="preserve"> en la identificación de las mejoras de los procedimientos de sus áreas</w:t>
            </w:r>
            <w:r w:rsidR="00DE474E">
              <w:rPr>
                <w:sz w:val="18"/>
                <w:szCs w:val="18"/>
                <w:lang w:val="es-ES_tradnl"/>
              </w:rPr>
              <w:t>. S</w:t>
            </w:r>
            <w:r w:rsidRPr="0077159D">
              <w:rPr>
                <w:sz w:val="18"/>
                <w:szCs w:val="18"/>
                <w:lang w:val="es-ES_tradnl"/>
              </w:rPr>
              <w:t xml:space="preserve">in embargo, no se logró que los </w:t>
            </w:r>
            <w:proofErr w:type="spellStart"/>
            <w:r w:rsidRPr="0077159D">
              <w:rPr>
                <w:sz w:val="18"/>
                <w:szCs w:val="18"/>
                <w:lang w:val="es-ES_tradnl"/>
              </w:rPr>
              <w:t>ORs</w:t>
            </w:r>
            <w:proofErr w:type="spellEnd"/>
            <w:r w:rsidRPr="0077159D">
              <w:rPr>
                <w:sz w:val="18"/>
                <w:szCs w:val="18"/>
                <w:lang w:val="es-ES_tradnl"/>
              </w:rPr>
              <w:t xml:space="preserve"> se apoderasen de las propuestas realizadas por estos especialistas. </w:t>
            </w:r>
            <w:r w:rsidRPr="00265302">
              <w:rPr>
                <w:sz w:val="18"/>
                <w:lang w:val="es-ES_tradnl"/>
              </w:rPr>
              <w:t xml:space="preserve">La lección aprendida es que las propuestas de mejoras de los procedimientos deben venir principalmente de los </w:t>
            </w:r>
            <w:proofErr w:type="spellStart"/>
            <w:r w:rsidRPr="00265302">
              <w:rPr>
                <w:sz w:val="18"/>
                <w:lang w:val="es-ES_tradnl"/>
              </w:rPr>
              <w:t>ORs</w:t>
            </w:r>
            <w:proofErr w:type="spellEnd"/>
            <w:r w:rsidRPr="00265302">
              <w:rPr>
                <w:sz w:val="18"/>
                <w:lang w:val="es-ES_tradnl"/>
              </w:rPr>
              <w:t>. Los especialistas deben apoyar a desarrollar estas propuestas de acuerdo con las mejores prácticas internacionales.</w:t>
            </w:r>
            <w:r w:rsidRPr="0077159D">
              <w:rPr>
                <w:sz w:val="18"/>
                <w:szCs w:val="18"/>
                <w:lang w:val="es-ES_tradnl"/>
              </w:rPr>
              <w:t xml:space="preserve"> Durante esta evaluación se constató que la experiencia de la mayoría de los especialistas que apoyaron a los </w:t>
            </w:r>
            <w:proofErr w:type="spellStart"/>
            <w:r w:rsidRPr="0077159D">
              <w:rPr>
                <w:sz w:val="18"/>
                <w:szCs w:val="18"/>
                <w:lang w:val="es-ES_tradnl"/>
              </w:rPr>
              <w:t>ORs</w:t>
            </w:r>
            <w:proofErr w:type="spellEnd"/>
            <w:r w:rsidRPr="0077159D">
              <w:rPr>
                <w:sz w:val="18"/>
                <w:szCs w:val="18"/>
                <w:lang w:val="es-ES_tradnl"/>
              </w:rPr>
              <w:t xml:space="preserve"> era en el desarrollo del SIAF-SP, por lo tanto, </w:t>
            </w:r>
            <w:r w:rsidR="005D0BBB" w:rsidRPr="0077159D">
              <w:rPr>
                <w:sz w:val="18"/>
                <w:szCs w:val="18"/>
                <w:lang w:val="es-ES_tradnl"/>
              </w:rPr>
              <w:t xml:space="preserve">existía una carencia </w:t>
            </w:r>
            <w:r w:rsidRPr="0077159D">
              <w:rPr>
                <w:sz w:val="18"/>
                <w:szCs w:val="18"/>
                <w:lang w:val="es-ES_tradnl"/>
              </w:rPr>
              <w:t xml:space="preserve">de conocimiento de otras experiencias internacionales que pudieran orientar a los </w:t>
            </w:r>
            <w:proofErr w:type="spellStart"/>
            <w:r w:rsidRPr="0077159D">
              <w:rPr>
                <w:sz w:val="18"/>
                <w:szCs w:val="18"/>
                <w:lang w:val="es-ES_tradnl"/>
              </w:rPr>
              <w:t>ORs</w:t>
            </w:r>
            <w:proofErr w:type="spellEnd"/>
            <w:r w:rsidRPr="0077159D">
              <w:rPr>
                <w:sz w:val="18"/>
                <w:szCs w:val="18"/>
                <w:lang w:val="es-ES_tradnl"/>
              </w:rPr>
              <w:t xml:space="preserve"> en relación con las mejores prácticas. </w:t>
            </w:r>
            <w:r w:rsidRPr="00265302">
              <w:rPr>
                <w:sz w:val="18"/>
                <w:lang w:val="es-ES_tradnl"/>
              </w:rPr>
              <w:t xml:space="preserve">Por lo tanto, en proyectos de reforma de esta naturaleza se recomienda lo siguiente: contratar especialistas con sólida experiencia internacional, asegurar que los </w:t>
            </w:r>
            <w:proofErr w:type="spellStart"/>
            <w:r w:rsidRPr="00265302">
              <w:rPr>
                <w:sz w:val="18"/>
                <w:lang w:val="es-ES_tradnl"/>
              </w:rPr>
              <w:t>ORs</w:t>
            </w:r>
            <w:proofErr w:type="spellEnd"/>
            <w:r w:rsidRPr="00265302">
              <w:rPr>
                <w:sz w:val="18"/>
                <w:lang w:val="es-ES_tradnl"/>
              </w:rPr>
              <w:t xml:space="preserve"> participen activamente en el proyecto y cuenten con asistencia técnica calificada, y asegurar que el Banco cuente con consultores que apoyen al jefe de equipo en temas clave referentes a la estrategia, procedimientos e informatización de acuerdo con las mejores prácticas internacionales.</w:t>
            </w:r>
            <w:r w:rsidRPr="0077159D">
              <w:rPr>
                <w:sz w:val="18"/>
                <w:szCs w:val="18"/>
                <w:lang w:val="es-ES_tradnl"/>
              </w:rPr>
              <w:t xml:space="preserve">  </w:t>
            </w:r>
          </w:p>
        </w:tc>
      </w:tr>
      <w:tr w:rsidR="00057E9B" w:rsidRPr="0077159D" w14:paraId="065A931C" w14:textId="77777777" w:rsidTr="00295620">
        <w:tc>
          <w:tcPr>
            <w:tcW w:w="2425" w:type="dxa"/>
            <w:vAlign w:val="center"/>
          </w:tcPr>
          <w:p w14:paraId="41066745" w14:textId="06A4391E" w:rsidR="00057E9B" w:rsidRPr="0077159D" w:rsidRDefault="00057E9B" w:rsidP="00057E9B">
            <w:pPr>
              <w:pStyle w:val="TableParagraph"/>
              <w:jc w:val="both"/>
              <w:rPr>
                <w:sz w:val="18"/>
                <w:szCs w:val="18"/>
                <w:lang w:val="es-ES_tradnl"/>
              </w:rPr>
            </w:pPr>
            <w:r w:rsidRPr="0077159D">
              <w:rPr>
                <w:sz w:val="18"/>
                <w:szCs w:val="18"/>
                <w:lang w:val="es-ES_tradnl"/>
              </w:rPr>
              <w:t>Desarrollar instrumentos de planificación previo a la ejecución de una reforma institucional es primordial para asegurar su éxito y el uso eficiente de los recursos invertidos.</w:t>
            </w:r>
          </w:p>
        </w:tc>
        <w:tc>
          <w:tcPr>
            <w:tcW w:w="7925" w:type="dxa"/>
            <w:vAlign w:val="center"/>
          </w:tcPr>
          <w:p w14:paraId="2DB4A63F" w14:textId="01CCA185" w:rsidR="00057E9B" w:rsidRPr="0077159D" w:rsidRDefault="005D0BBB" w:rsidP="00057E9B">
            <w:pPr>
              <w:pStyle w:val="TableParagraph"/>
              <w:jc w:val="both"/>
              <w:rPr>
                <w:sz w:val="18"/>
                <w:szCs w:val="18"/>
                <w:lang w:val="es-ES_tradnl"/>
              </w:rPr>
            </w:pPr>
            <w:r w:rsidRPr="0077159D">
              <w:rPr>
                <w:sz w:val="18"/>
                <w:szCs w:val="18"/>
                <w:lang w:val="es-ES_tradnl"/>
              </w:rPr>
              <w:t xml:space="preserve">El EC </w:t>
            </w:r>
            <w:r w:rsidR="00057E9B" w:rsidRPr="0077159D">
              <w:rPr>
                <w:sz w:val="18"/>
                <w:szCs w:val="18"/>
                <w:lang w:val="es-ES_tradnl"/>
              </w:rPr>
              <w:t>no contó con un Plan Estratégico y un Plan de Acción Global para la gestión de las actividades llevadas a cabo por</w:t>
            </w:r>
            <w:r w:rsidRPr="0077159D">
              <w:rPr>
                <w:sz w:val="18"/>
                <w:szCs w:val="18"/>
                <w:lang w:val="es-ES_tradnl"/>
              </w:rPr>
              <w:t xml:space="preserve"> los 65 consultores externos contratados para alcanzar los productos y resultados claves del Programa</w:t>
            </w:r>
            <w:r w:rsidR="00576180" w:rsidRPr="0077159D">
              <w:rPr>
                <w:sz w:val="18"/>
                <w:szCs w:val="18"/>
                <w:lang w:val="es-ES_tradnl"/>
              </w:rPr>
              <w:t>.</w:t>
            </w:r>
            <w:r w:rsidR="00057E9B" w:rsidRPr="0077159D">
              <w:rPr>
                <w:sz w:val="18"/>
                <w:szCs w:val="18"/>
                <w:lang w:val="es-ES_tradnl"/>
              </w:rPr>
              <w:t xml:space="preserve"> De acuerdo con la Oficina de Gestión de Tecnología de la Información (OGTI), estos consultores estaban asignados exclusivamente al desarrollo del modelo conceptual y de la plataforma tecnológica. Los consultores, para programar las aplicaciones, serían provistos por la empresa que fuera seleccionada para esta tarea. </w:t>
            </w:r>
            <w:r w:rsidR="00057E9B" w:rsidRPr="00265302">
              <w:rPr>
                <w:sz w:val="18"/>
                <w:lang w:val="es-ES_tradnl"/>
              </w:rPr>
              <w:t>La lección aprendida es que una reforma de esta magnitud debe ser precedida de un Plan Estratégico detallado, incluyendo las actividades, cronograma (tiempos) y recursos requeridos (humanos y logísticos).</w:t>
            </w:r>
            <w:r w:rsidR="00057E9B" w:rsidRPr="0077159D">
              <w:rPr>
                <w:sz w:val="18"/>
                <w:szCs w:val="18"/>
                <w:lang w:val="es-ES_tradnl"/>
              </w:rPr>
              <w:t xml:space="preserve"> El elevado número de consultores para desarrollar únicamente el modelo conceptual fue consecuencia de la ausencia de una estrategia clara para alcanzar los resultados y objetivos previstos con el Programa. </w:t>
            </w:r>
            <w:r w:rsidR="00057E9B" w:rsidRPr="00265302">
              <w:rPr>
                <w:sz w:val="18"/>
                <w:lang w:val="es-ES_tradnl"/>
              </w:rPr>
              <w:t xml:space="preserve">La recomendación sigue los mismos principios del hallazgo anterior, orientada a que los </w:t>
            </w:r>
            <w:proofErr w:type="spellStart"/>
            <w:r w:rsidR="00057E9B" w:rsidRPr="00265302">
              <w:rPr>
                <w:sz w:val="18"/>
                <w:lang w:val="es-ES_tradnl"/>
              </w:rPr>
              <w:t>ORs</w:t>
            </w:r>
            <w:proofErr w:type="spellEnd"/>
            <w:r w:rsidR="00057E9B" w:rsidRPr="00265302">
              <w:rPr>
                <w:sz w:val="18"/>
                <w:lang w:val="es-ES_tradnl"/>
              </w:rPr>
              <w:t xml:space="preserve"> y el Banco cuenten con asistencia técnica calificada en temas clave referentes a la estrategia, procedimientos e informatización de acuerdo con las mejores prácticas internacionales.</w:t>
            </w:r>
            <w:r w:rsidR="00057E9B" w:rsidRPr="0077159D">
              <w:rPr>
                <w:sz w:val="18"/>
                <w:szCs w:val="18"/>
                <w:lang w:val="es-ES_tradnl"/>
              </w:rPr>
              <w:t xml:space="preserve">  </w:t>
            </w:r>
          </w:p>
        </w:tc>
      </w:tr>
      <w:tr w:rsidR="00057E9B" w:rsidRPr="0077159D" w14:paraId="7BDCC31C" w14:textId="77777777" w:rsidTr="00D70FAF">
        <w:tc>
          <w:tcPr>
            <w:tcW w:w="10350" w:type="dxa"/>
            <w:gridSpan w:val="2"/>
            <w:shd w:val="clear" w:color="auto" w:fill="D9D9D9" w:themeFill="background1" w:themeFillShade="D9"/>
            <w:vAlign w:val="center"/>
          </w:tcPr>
          <w:p w14:paraId="5BCA52F1" w14:textId="782078EE" w:rsidR="00057E9B" w:rsidRPr="0077159D" w:rsidRDefault="00057E9B" w:rsidP="00057E9B">
            <w:pPr>
              <w:pStyle w:val="TableParagraph"/>
              <w:jc w:val="both"/>
              <w:rPr>
                <w:rFonts w:eastAsia="Times New Roman"/>
                <w:b/>
                <w:color w:val="000000"/>
                <w:sz w:val="18"/>
                <w:szCs w:val="18"/>
                <w:lang w:val="es-ES_tradnl" w:eastAsia="pt-BR"/>
              </w:rPr>
            </w:pPr>
            <w:r w:rsidRPr="0077159D">
              <w:rPr>
                <w:rFonts w:eastAsia="Times New Roman"/>
                <w:b/>
                <w:color w:val="000000"/>
                <w:sz w:val="18"/>
                <w:szCs w:val="18"/>
                <w:lang w:val="es-ES_tradnl" w:eastAsia="pt-BR"/>
              </w:rPr>
              <w:t>Dimensión 3. Procesos públicos y actores</w:t>
            </w:r>
          </w:p>
        </w:tc>
      </w:tr>
      <w:tr w:rsidR="00EB05E1" w:rsidRPr="0077159D" w14:paraId="58296C2C" w14:textId="77777777" w:rsidTr="00295620">
        <w:tc>
          <w:tcPr>
            <w:tcW w:w="2425" w:type="dxa"/>
            <w:vAlign w:val="center"/>
          </w:tcPr>
          <w:p w14:paraId="79D9BFF7" w14:textId="45E1114A" w:rsidR="00EB05E1" w:rsidRPr="0077159D" w:rsidRDefault="00EB05E1" w:rsidP="00EB05E1">
            <w:pPr>
              <w:pStyle w:val="TableParagraph"/>
              <w:jc w:val="both"/>
              <w:rPr>
                <w:sz w:val="18"/>
                <w:szCs w:val="18"/>
                <w:lang w:val="es-ES_tradnl"/>
              </w:rPr>
            </w:pPr>
            <w:r w:rsidRPr="0077159D">
              <w:rPr>
                <w:sz w:val="18"/>
                <w:szCs w:val="18"/>
                <w:lang w:val="es-ES_tradnl"/>
              </w:rPr>
              <w:t>La gobernanza de un proyecto es un punto clave para su éxito.</w:t>
            </w:r>
          </w:p>
        </w:tc>
        <w:tc>
          <w:tcPr>
            <w:tcW w:w="7925" w:type="dxa"/>
            <w:vAlign w:val="center"/>
          </w:tcPr>
          <w:p w14:paraId="31A6697B" w14:textId="7AF4CB98" w:rsidR="00EB05E1" w:rsidRPr="0077159D" w:rsidRDefault="006D016E" w:rsidP="00EB05E1">
            <w:pPr>
              <w:pStyle w:val="TableParagraph"/>
              <w:jc w:val="both"/>
              <w:rPr>
                <w:sz w:val="18"/>
                <w:szCs w:val="18"/>
                <w:lang w:val="es-ES_tradnl"/>
              </w:rPr>
            </w:pPr>
            <w:r w:rsidRPr="00265302">
              <w:rPr>
                <w:sz w:val="18"/>
                <w:lang w:val="es-ES_tradnl"/>
              </w:rPr>
              <w:t>El factor</w:t>
            </w:r>
            <w:r w:rsidR="00EB05E1" w:rsidRPr="00265302">
              <w:rPr>
                <w:sz w:val="18"/>
                <w:lang w:val="es-ES_tradnl"/>
              </w:rPr>
              <w:t xml:space="preserve"> </w:t>
            </w:r>
            <w:r w:rsidR="008B6D39" w:rsidRPr="00265302">
              <w:rPr>
                <w:sz w:val="18"/>
                <w:lang w:val="es-ES_tradnl"/>
              </w:rPr>
              <w:t>crítico</w:t>
            </w:r>
            <w:r w:rsidR="00EB05E1" w:rsidRPr="00265302">
              <w:rPr>
                <w:sz w:val="18"/>
                <w:lang w:val="es-ES_tradnl"/>
              </w:rPr>
              <w:t xml:space="preserve"> negativo más relevante</w:t>
            </w:r>
            <w:r w:rsidRPr="00265302">
              <w:rPr>
                <w:sz w:val="18"/>
                <w:lang w:val="es-ES_tradnl"/>
              </w:rPr>
              <w:t xml:space="preserve"> durante la ejecución del Programa</w:t>
            </w:r>
            <w:r w:rsidR="00EB05E1" w:rsidRPr="00265302">
              <w:rPr>
                <w:sz w:val="18"/>
                <w:lang w:val="es-ES_tradnl"/>
              </w:rPr>
              <w:t xml:space="preserve"> fue la </w:t>
            </w:r>
            <w:r w:rsidR="00062A7C" w:rsidRPr="00265302">
              <w:rPr>
                <w:sz w:val="18"/>
                <w:lang w:val="es-ES_tradnl"/>
              </w:rPr>
              <w:t>débil gobernanza durante la ejecución</w:t>
            </w:r>
            <w:r w:rsidR="00EB05E1" w:rsidRPr="00265302">
              <w:rPr>
                <w:sz w:val="18"/>
                <w:lang w:val="es-ES_tradnl"/>
              </w:rPr>
              <w:t>.</w:t>
            </w:r>
            <w:r w:rsidR="00EB05E1" w:rsidRPr="0077159D">
              <w:rPr>
                <w:sz w:val="18"/>
                <w:szCs w:val="18"/>
                <w:lang w:val="es-ES_tradnl"/>
              </w:rPr>
              <w:t xml:space="preserve"> El </w:t>
            </w:r>
            <w:r w:rsidR="00062A7C" w:rsidRPr="0077159D">
              <w:rPr>
                <w:sz w:val="18"/>
                <w:szCs w:val="18"/>
                <w:lang w:val="es-ES_tradnl"/>
              </w:rPr>
              <w:t xml:space="preserve">Programa </w:t>
            </w:r>
            <w:r w:rsidR="00EB05E1" w:rsidRPr="0077159D">
              <w:rPr>
                <w:sz w:val="18"/>
                <w:szCs w:val="18"/>
                <w:lang w:val="es-ES_tradnl"/>
              </w:rPr>
              <w:t xml:space="preserve">contó con un </w:t>
            </w:r>
            <w:r w:rsidR="00062A7C" w:rsidRPr="0077159D">
              <w:rPr>
                <w:sz w:val="18"/>
                <w:szCs w:val="18"/>
                <w:lang w:val="es-ES_tradnl"/>
              </w:rPr>
              <w:t>EE</w:t>
            </w:r>
            <w:r w:rsidR="00EB05E1" w:rsidRPr="0077159D">
              <w:rPr>
                <w:sz w:val="18"/>
                <w:szCs w:val="18"/>
                <w:lang w:val="es-ES_tradnl"/>
              </w:rPr>
              <w:t xml:space="preserve"> </w:t>
            </w:r>
            <w:r w:rsidRPr="0077159D">
              <w:rPr>
                <w:sz w:val="18"/>
                <w:szCs w:val="18"/>
                <w:lang w:val="es-ES_tradnl"/>
              </w:rPr>
              <w:t xml:space="preserve">conformado por consultores externos, al </w:t>
            </w:r>
            <w:r w:rsidR="00EB05E1" w:rsidRPr="0077159D">
              <w:rPr>
                <w:sz w:val="18"/>
                <w:szCs w:val="18"/>
                <w:lang w:val="es-ES_tradnl"/>
              </w:rPr>
              <w:t>cual</w:t>
            </w:r>
            <w:r w:rsidRPr="0077159D">
              <w:rPr>
                <w:sz w:val="18"/>
                <w:szCs w:val="18"/>
                <w:lang w:val="es-ES_tradnl"/>
              </w:rPr>
              <w:t xml:space="preserve"> le</w:t>
            </w:r>
            <w:r w:rsidR="00EB05E1" w:rsidRPr="0077159D">
              <w:rPr>
                <w:sz w:val="18"/>
                <w:szCs w:val="18"/>
                <w:lang w:val="es-ES_tradnl"/>
              </w:rPr>
              <w:t xml:space="preserve"> fue</w:t>
            </w:r>
            <w:r w:rsidRPr="0077159D">
              <w:rPr>
                <w:sz w:val="18"/>
                <w:szCs w:val="18"/>
                <w:lang w:val="es-ES_tradnl"/>
              </w:rPr>
              <w:t>ron otorgadas responsabilidades y poder de</w:t>
            </w:r>
            <w:r w:rsidR="00EB05E1" w:rsidRPr="0077159D">
              <w:rPr>
                <w:sz w:val="18"/>
                <w:szCs w:val="18"/>
                <w:lang w:val="es-ES_tradnl"/>
              </w:rPr>
              <w:t xml:space="preserve"> decisión </w:t>
            </w:r>
            <w:r w:rsidRPr="0077159D">
              <w:rPr>
                <w:sz w:val="18"/>
                <w:szCs w:val="18"/>
                <w:lang w:val="es-ES_tradnl"/>
              </w:rPr>
              <w:t>pese a que no incluía en su conformación a</w:t>
            </w:r>
            <w:r w:rsidR="00EB05E1" w:rsidRPr="0077159D">
              <w:rPr>
                <w:sz w:val="18"/>
                <w:szCs w:val="18"/>
                <w:lang w:val="es-ES_tradnl"/>
              </w:rPr>
              <w:t xml:space="preserve"> ningún funcionario público de los </w:t>
            </w:r>
            <w:proofErr w:type="spellStart"/>
            <w:r w:rsidR="00EB05E1" w:rsidRPr="0077159D">
              <w:rPr>
                <w:sz w:val="18"/>
                <w:szCs w:val="18"/>
                <w:lang w:val="es-ES_tradnl"/>
              </w:rPr>
              <w:t>ORs</w:t>
            </w:r>
            <w:proofErr w:type="spellEnd"/>
            <w:r w:rsidR="00EB05E1" w:rsidRPr="0077159D">
              <w:rPr>
                <w:sz w:val="18"/>
                <w:szCs w:val="18"/>
                <w:lang w:val="es-ES_tradnl"/>
              </w:rPr>
              <w:t xml:space="preserve"> </w:t>
            </w:r>
            <w:r w:rsidRPr="0077159D">
              <w:rPr>
                <w:sz w:val="18"/>
                <w:szCs w:val="18"/>
                <w:lang w:val="es-ES_tradnl"/>
              </w:rPr>
              <w:t>vinculados a la</w:t>
            </w:r>
            <w:r w:rsidR="00EB05E1" w:rsidRPr="0077159D">
              <w:rPr>
                <w:sz w:val="18"/>
                <w:szCs w:val="18"/>
                <w:lang w:val="es-ES_tradnl"/>
              </w:rPr>
              <w:t xml:space="preserve"> operación. Adicionalmente, el EE </w:t>
            </w:r>
            <w:r w:rsidR="000E6C94" w:rsidRPr="0077159D">
              <w:rPr>
                <w:sz w:val="18"/>
                <w:szCs w:val="18"/>
                <w:lang w:val="es-ES_tradnl"/>
              </w:rPr>
              <w:t xml:space="preserve">y los </w:t>
            </w:r>
            <w:r w:rsidR="00EB05E1" w:rsidRPr="0077159D">
              <w:rPr>
                <w:sz w:val="18"/>
                <w:szCs w:val="18"/>
                <w:lang w:val="es-ES_tradnl"/>
              </w:rPr>
              <w:t xml:space="preserve">especialistas del Banco involucrados directamente en la ejecución de la operación </w:t>
            </w:r>
            <w:r w:rsidR="000E6C94" w:rsidRPr="0077159D">
              <w:rPr>
                <w:sz w:val="18"/>
                <w:szCs w:val="18"/>
                <w:lang w:val="es-ES_tradnl"/>
              </w:rPr>
              <w:t xml:space="preserve">no contaron con asesoría técnica calificada con experiencia internacional relevante </w:t>
            </w:r>
            <w:r w:rsidR="00EB05E1" w:rsidRPr="0077159D">
              <w:rPr>
                <w:sz w:val="18"/>
                <w:szCs w:val="18"/>
                <w:lang w:val="es-ES_tradnl"/>
              </w:rPr>
              <w:t xml:space="preserve">para </w:t>
            </w:r>
            <w:r w:rsidR="000E6C94" w:rsidRPr="0077159D">
              <w:rPr>
                <w:sz w:val="18"/>
                <w:szCs w:val="18"/>
                <w:lang w:val="es-ES_tradnl"/>
              </w:rPr>
              <w:t>implementar una reforma institucional de</w:t>
            </w:r>
            <w:r w:rsidR="00EB05E1" w:rsidRPr="0077159D">
              <w:rPr>
                <w:sz w:val="18"/>
                <w:szCs w:val="18"/>
                <w:lang w:val="es-ES_tradnl"/>
              </w:rPr>
              <w:t xml:space="preserve"> esta magnitud</w:t>
            </w:r>
            <w:r w:rsidR="00EB05E1" w:rsidRPr="0077159D">
              <w:rPr>
                <w:rStyle w:val="FootnoteReference"/>
                <w:sz w:val="18"/>
                <w:szCs w:val="18"/>
                <w:lang w:val="es-ES_tradnl"/>
              </w:rPr>
              <w:footnoteReference w:id="15"/>
            </w:r>
            <w:r w:rsidR="00EB05E1" w:rsidRPr="0077159D">
              <w:rPr>
                <w:sz w:val="18"/>
                <w:szCs w:val="18"/>
                <w:lang w:val="es-ES_tradnl"/>
              </w:rPr>
              <w:t xml:space="preserve">. </w:t>
            </w:r>
            <w:r w:rsidR="00506DE8" w:rsidRPr="00265302">
              <w:rPr>
                <w:sz w:val="18"/>
                <w:lang w:val="es-ES_tradnl"/>
              </w:rPr>
              <w:t xml:space="preserve">Por tal razón, se recomienda </w:t>
            </w:r>
            <w:r w:rsidR="00EB05E1" w:rsidRPr="00265302">
              <w:rPr>
                <w:sz w:val="18"/>
                <w:lang w:val="es-ES_tradnl"/>
              </w:rPr>
              <w:t xml:space="preserve">que el Banco contrate consultores que apoyen de forma más cercana </w:t>
            </w:r>
            <w:r w:rsidR="00506DE8" w:rsidRPr="00265302">
              <w:rPr>
                <w:sz w:val="18"/>
                <w:lang w:val="es-ES_tradnl"/>
              </w:rPr>
              <w:t>a los especialistas</w:t>
            </w:r>
            <w:r w:rsidR="00490A57" w:rsidRPr="00265302">
              <w:rPr>
                <w:sz w:val="18"/>
                <w:lang w:val="es-ES_tradnl"/>
              </w:rPr>
              <w:t>, de preferencia a tiempo completo</w:t>
            </w:r>
            <w:r w:rsidR="00EB05E1" w:rsidRPr="00265302">
              <w:rPr>
                <w:sz w:val="18"/>
                <w:lang w:val="es-ES_tradnl"/>
              </w:rPr>
              <w:t>,</w:t>
            </w:r>
            <w:r w:rsidR="00506DE8" w:rsidRPr="00265302">
              <w:rPr>
                <w:sz w:val="18"/>
                <w:lang w:val="es-ES_tradnl"/>
              </w:rPr>
              <w:t xml:space="preserve"> </w:t>
            </w:r>
            <w:r w:rsidR="00C86C78" w:rsidRPr="00265302">
              <w:rPr>
                <w:sz w:val="18"/>
                <w:lang w:val="es-ES_tradnl"/>
              </w:rPr>
              <w:t xml:space="preserve">y </w:t>
            </w:r>
            <w:r w:rsidR="00506DE8" w:rsidRPr="00265302">
              <w:rPr>
                <w:sz w:val="18"/>
                <w:lang w:val="es-ES_tradnl"/>
              </w:rPr>
              <w:t xml:space="preserve">ser más crítico </w:t>
            </w:r>
            <w:r w:rsidR="004435E9" w:rsidRPr="00265302">
              <w:rPr>
                <w:sz w:val="18"/>
                <w:lang w:val="es-ES_tradnl"/>
              </w:rPr>
              <w:t xml:space="preserve">con respecto a </w:t>
            </w:r>
            <w:r w:rsidR="00EB05E1" w:rsidRPr="00265302">
              <w:rPr>
                <w:sz w:val="18"/>
                <w:lang w:val="es-ES_tradnl"/>
              </w:rPr>
              <w:t>la</w:t>
            </w:r>
            <w:r w:rsidR="004435E9" w:rsidRPr="00265302">
              <w:rPr>
                <w:sz w:val="18"/>
                <w:lang w:val="es-ES_tradnl"/>
              </w:rPr>
              <w:t xml:space="preserve"> institucionalidad requerida para la </w:t>
            </w:r>
            <w:r w:rsidR="00C86C78" w:rsidRPr="00265302">
              <w:rPr>
                <w:sz w:val="18"/>
                <w:lang w:val="es-ES_tradnl"/>
              </w:rPr>
              <w:t>gestión de los proyectos y la implementación de los productos, evaluando la</w:t>
            </w:r>
            <w:r w:rsidR="00EB05E1" w:rsidRPr="00265302">
              <w:rPr>
                <w:sz w:val="18"/>
                <w:lang w:val="es-ES_tradnl"/>
              </w:rPr>
              <w:t xml:space="preserve"> contratación</w:t>
            </w:r>
            <w:r w:rsidR="00C86C78" w:rsidRPr="00265302">
              <w:rPr>
                <w:sz w:val="18"/>
                <w:lang w:val="es-ES_tradnl"/>
              </w:rPr>
              <w:t xml:space="preserve"> de firmas con equipos que cuenten con experiencia calificada sobre la contratación</w:t>
            </w:r>
            <w:r w:rsidR="00EB05E1" w:rsidRPr="00265302">
              <w:rPr>
                <w:sz w:val="18"/>
                <w:lang w:val="es-ES_tradnl"/>
              </w:rPr>
              <w:t xml:space="preserve"> </w:t>
            </w:r>
            <w:r w:rsidR="004435E9" w:rsidRPr="00265302">
              <w:rPr>
                <w:sz w:val="18"/>
                <w:lang w:val="es-ES_tradnl"/>
              </w:rPr>
              <w:t xml:space="preserve">de </w:t>
            </w:r>
            <w:r w:rsidR="00C86C78" w:rsidRPr="00265302">
              <w:rPr>
                <w:sz w:val="18"/>
                <w:lang w:val="es-ES_tradnl"/>
              </w:rPr>
              <w:t>grandes números de consultores</w:t>
            </w:r>
            <w:r w:rsidR="00EB05E1" w:rsidRPr="00265302">
              <w:rPr>
                <w:sz w:val="18"/>
                <w:lang w:val="es-ES_tradnl"/>
              </w:rPr>
              <w:t xml:space="preserve"> individuales.</w:t>
            </w:r>
            <w:r w:rsidR="00EB05E1" w:rsidRPr="0077159D">
              <w:rPr>
                <w:sz w:val="18"/>
                <w:szCs w:val="18"/>
                <w:lang w:val="es-ES_tradnl"/>
              </w:rPr>
              <w:t xml:space="preserve"> En el caso de la actual operación ning</w:t>
            </w:r>
            <w:r w:rsidR="00490A57" w:rsidRPr="0077159D">
              <w:rPr>
                <w:sz w:val="18"/>
                <w:szCs w:val="18"/>
                <w:lang w:val="es-ES_tradnl"/>
              </w:rPr>
              <w:t>uno</w:t>
            </w:r>
            <w:r w:rsidR="00EB05E1" w:rsidRPr="0077159D">
              <w:rPr>
                <w:sz w:val="18"/>
                <w:szCs w:val="18"/>
                <w:lang w:val="es-ES_tradnl"/>
              </w:rPr>
              <w:t xml:space="preserve"> de los dos factores </w:t>
            </w:r>
            <w:r w:rsidR="00490A57" w:rsidRPr="0077159D">
              <w:rPr>
                <w:sz w:val="18"/>
                <w:szCs w:val="18"/>
                <w:lang w:val="es-ES_tradnl"/>
              </w:rPr>
              <w:t>fue considerado</w:t>
            </w:r>
            <w:r w:rsidR="00EB05E1" w:rsidRPr="0077159D">
              <w:rPr>
                <w:sz w:val="18"/>
                <w:szCs w:val="18"/>
                <w:lang w:val="es-ES_tradnl"/>
              </w:rPr>
              <w:t>. Es importante resaltar</w:t>
            </w:r>
            <w:r w:rsidR="00C86C78" w:rsidRPr="0077159D">
              <w:rPr>
                <w:sz w:val="18"/>
                <w:szCs w:val="18"/>
                <w:lang w:val="es-ES_tradnl"/>
              </w:rPr>
              <w:t xml:space="preserve"> </w:t>
            </w:r>
            <w:r w:rsidR="00490A57" w:rsidRPr="0077159D">
              <w:rPr>
                <w:sz w:val="18"/>
                <w:szCs w:val="18"/>
                <w:lang w:val="es-ES_tradnl"/>
              </w:rPr>
              <w:t>que con base en la evaluación de medio término, e</w:t>
            </w:r>
            <w:r w:rsidR="00EB05E1" w:rsidRPr="0077159D">
              <w:rPr>
                <w:sz w:val="18"/>
                <w:szCs w:val="18"/>
                <w:lang w:val="es-ES_tradnl"/>
              </w:rPr>
              <w:t>l Banco</w:t>
            </w:r>
            <w:r w:rsidR="00490A57" w:rsidRPr="0077159D">
              <w:rPr>
                <w:sz w:val="18"/>
                <w:szCs w:val="18"/>
                <w:lang w:val="es-ES_tradnl"/>
              </w:rPr>
              <w:t xml:space="preserve"> </w:t>
            </w:r>
            <w:r w:rsidR="0024040E" w:rsidRPr="0077159D">
              <w:rPr>
                <w:sz w:val="18"/>
                <w:szCs w:val="18"/>
                <w:lang w:val="es-ES_tradnl"/>
              </w:rPr>
              <w:t xml:space="preserve">tomó la decisión de no autorizar nuevos compromisos financieros y desembolsar únicamente los recursos ya comprometidos. </w:t>
            </w:r>
            <w:r w:rsidR="00374970" w:rsidRPr="0077159D">
              <w:rPr>
                <w:sz w:val="18"/>
                <w:szCs w:val="18"/>
                <w:lang w:val="es-ES_tradnl"/>
              </w:rPr>
              <w:t xml:space="preserve">La decisión del Banco fue acertada, aunque </w:t>
            </w:r>
            <w:r w:rsidR="001829E2" w:rsidRPr="0077159D">
              <w:rPr>
                <w:sz w:val="18"/>
                <w:szCs w:val="18"/>
                <w:lang w:val="es-ES_tradnl"/>
              </w:rPr>
              <w:t>s</w:t>
            </w:r>
            <w:r w:rsidR="00374970" w:rsidRPr="0077159D">
              <w:rPr>
                <w:sz w:val="18"/>
                <w:szCs w:val="18"/>
                <w:lang w:val="es-ES_tradnl"/>
              </w:rPr>
              <w:t>e tomó cuando ya se habían consumido buena parte de los recursos y tiempo del Programa.</w:t>
            </w:r>
          </w:p>
        </w:tc>
      </w:tr>
      <w:tr w:rsidR="00EB05E1" w:rsidRPr="0077159D" w14:paraId="19DD3717" w14:textId="77777777" w:rsidTr="00295620">
        <w:tc>
          <w:tcPr>
            <w:tcW w:w="2425" w:type="dxa"/>
            <w:vAlign w:val="center"/>
          </w:tcPr>
          <w:p w14:paraId="5F360806" w14:textId="616B11A7" w:rsidR="00EB05E1" w:rsidRPr="0077159D" w:rsidRDefault="00EB05E1" w:rsidP="00EB05E1">
            <w:pPr>
              <w:pStyle w:val="TableParagraph"/>
              <w:jc w:val="both"/>
              <w:rPr>
                <w:sz w:val="18"/>
                <w:szCs w:val="18"/>
                <w:lang w:val="es-ES_tradnl"/>
              </w:rPr>
            </w:pPr>
            <w:r w:rsidRPr="0077159D">
              <w:rPr>
                <w:sz w:val="18"/>
                <w:szCs w:val="18"/>
                <w:lang w:val="es-ES_tradnl"/>
              </w:rPr>
              <w:t xml:space="preserve">La resistencia al cambio por parte de los </w:t>
            </w:r>
            <w:proofErr w:type="spellStart"/>
            <w:r w:rsidRPr="0077159D">
              <w:rPr>
                <w:sz w:val="18"/>
                <w:szCs w:val="18"/>
                <w:lang w:val="es-ES_tradnl"/>
              </w:rPr>
              <w:t>ORs</w:t>
            </w:r>
            <w:proofErr w:type="spellEnd"/>
            <w:r w:rsidRPr="0077159D">
              <w:rPr>
                <w:sz w:val="18"/>
                <w:szCs w:val="18"/>
                <w:lang w:val="es-ES_tradnl"/>
              </w:rPr>
              <w:t xml:space="preserve"> puede perjudicar y retrasar el logro de los resultados planificados. </w:t>
            </w:r>
          </w:p>
        </w:tc>
        <w:tc>
          <w:tcPr>
            <w:tcW w:w="7925" w:type="dxa"/>
            <w:vAlign w:val="center"/>
          </w:tcPr>
          <w:p w14:paraId="36DEBBF3" w14:textId="17E69305" w:rsidR="00EB05E1" w:rsidRPr="0077159D" w:rsidRDefault="00EB05E1" w:rsidP="00EB05E1">
            <w:pPr>
              <w:pStyle w:val="TableParagraph"/>
              <w:jc w:val="both"/>
              <w:rPr>
                <w:sz w:val="18"/>
                <w:szCs w:val="18"/>
                <w:lang w:val="es-ES_tradnl"/>
              </w:rPr>
            </w:pPr>
            <w:r w:rsidRPr="0077159D">
              <w:rPr>
                <w:sz w:val="18"/>
                <w:szCs w:val="18"/>
                <w:lang w:val="es-ES_tradnl"/>
              </w:rPr>
              <w:t xml:space="preserve">Hubo una reacción negativa por parte de los equipos de los </w:t>
            </w:r>
            <w:proofErr w:type="spellStart"/>
            <w:r w:rsidRPr="0077159D">
              <w:rPr>
                <w:sz w:val="18"/>
                <w:szCs w:val="18"/>
                <w:lang w:val="es-ES_tradnl"/>
              </w:rPr>
              <w:t>ORs</w:t>
            </w:r>
            <w:proofErr w:type="spellEnd"/>
            <w:r w:rsidRPr="0077159D">
              <w:rPr>
                <w:sz w:val="18"/>
                <w:szCs w:val="18"/>
                <w:lang w:val="es-ES_tradnl"/>
              </w:rPr>
              <w:t xml:space="preserve"> a los cambios propuestos por los especialistas del EE. </w:t>
            </w:r>
            <w:r w:rsidRPr="00265302">
              <w:rPr>
                <w:sz w:val="18"/>
                <w:lang w:val="es-ES_tradnl"/>
              </w:rPr>
              <w:t xml:space="preserve">La lección aprendida es que una reforma de esta magnitud debe ser acompañada de un programa de gestión del cambio, para minimizar la reacción de los </w:t>
            </w:r>
            <w:proofErr w:type="spellStart"/>
            <w:r w:rsidRPr="00265302">
              <w:rPr>
                <w:sz w:val="18"/>
                <w:lang w:val="es-ES_tradnl"/>
              </w:rPr>
              <w:t>ORs</w:t>
            </w:r>
            <w:proofErr w:type="spellEnd"/>
            <w:r w:rsidRPr="00265302">
              <w:rPr>
                <w:sz w:val="18"/>
                <w:lang w:val="es-ES_tradnl"/>
              </w:rPr>
              <w:t xml:space="preserve"> a los cambios de procedimientos y sistemas informatizados.</w:t>
            </w:r>
            <w:r w:rsidRPr="0077159D">
              <w:rPr>
                <w:sz w:val="18"/>
                <w:szCs w:val="18"/>
                <w:lang w:val="es-ES_tradnl"/>
              </w:rPr>
              <w:t xml:space="preserve"> Un ejemplo es que en el Programa evaluado hubo 4 propuestas para la modernización de los procedimientos de formulación (preparación) del presupuesto, incluyendo su automatización. La cuarta versión fue aceptada porque no incorporaba cambios en los procedimientos, sin embargo, la aplicación informatizada estaba orientada a </w:t>
            </w:r>
            <w:r w:rsidRPr="00265302">
              <w:rPr>
                <w:sz w:val="18"/>
                <w:lang w:val="es-ES_tradnl"/>
              </w:rPr>
              <w:t>web</w:t>
            </w:r>
            <w:r w:rsidRPr="0077159D">
              <w:rPr>
                <w:sz w:val="18"/>
                <w:szCs w:val="18"/>
                <w:lang w:val="es-ES_tradnl"/>
              </w:rPr>
              <w:t xml:space="preserve">. Adicionalmente, el modelo conceptual para modernizar la ejecución presupuestaria no fue totalmente aprobado por los </w:t>
            </w:r>
            <w:proofErr w:type="spellStart"/>
            <w:r w:rsidRPr="0077159D">
              <w:rPr>
                <w:sz w:val="18"/>
                <w:szCs w:val="18"/>
                <w:lang w:val="es-ES_tradnl"/>
              </w:rPr>
              <w:t>ORs</w:t>
            </w:r>
            <w:proofErr w:type="spellEnd"/>
            <w:r w:rsidRPr="0077159D">
              <w:rPr>
                <w:sz w:val="18"/>
                <w:szCs w:val="18"/>
                <w:lang w:val="es-ES_tradnl"/>
              </w:rPr>
              <w:t xml:space="preserve">. Es importante destacar que, aunque el sistema no fue implementado, algunos aspectos de mejora recomendados en el modelo conceptual se incorporaron en el SIAF-SP, contribuyendo a mejorar la gestión de las finanzas públicas. </w:t>
            </w:r>
            <w:r w:rsidRPr="00265302">
              <w:rPr>
                <w:sz w:val="18"/>
                <w:lang w:val="es-ES_tradnl"/>
              </w:rPr>
              <w:t xml:space="preserve">Por lo tanto, se recomienda que los proyectos de reforma que implican cambios </w:t>
            </w:r>
            <w:r w:rsidRPr="00265302">
              <w:rPr>
                <w:sz w:val="18"/>
                <w:lang w:val="es-ES_tradnl"/>
              </w:rPr>
              <w:lastRenderedPageBreak/>
              <w:t>sustantivos incluyan en su estrategia y plan de ejecución un programa amplio de gestión del cambio.</w:t>
            </w:r>
            <w:r w:rsidR="007E1426" w:rsidRPr="00265302">
              <w:rPr>
                <w:sz w:val="18"/>
                <w:lang w:val="es-ES_tradnl"/>
              </w:rPr>
              <w:t xml:space="preserve"> </w:t>
            </w:r>
          </w:p>
        </w:tc>
      </w:tr>
      <w:tr w:rsidR="00EB05E1" w:rsidRPr="0077159D" w14:paraId="5FF545EE" w14:textId="77777777" w:rsidTr="00295620">
        <w:tc>
          <w:tcPr>
            <w:tcW w:w="2425" w:type="dxa"/>
            <w:vAlign w:val="center"/>
          </w:tcPr>
          <w:p w14:paraId="569730B7" w14:textId="6660264D" w:rsidR="00EB05E1" w:rsidRPr="0077159D" w:rsidRDefault="00EB05E1" w:rsidP="00EB05E1">
            <w:pPr>
              <w:pStyle w:val="TableParagraph"/>
              <w:jc w:val="both"/>
              <w:rPr>
                <w:sz w:val="18"/>
                <w:szCs w:val="18"/>
                <w:lang w:val="es-ES_tradnl"/>
              </w:rPr>
            </w:pPr>
            <w:r w:rsidRPr="0077159D">
              <w:rPr>
                <w:sz w:val="18"/>
                <w:szCs w:val="18"/>
                <w:lang w:val="es-ES_tradnl"/>
              </w:rPr>
              <w:lastRenderedPageBreak/>
              <w:t>Uno de los factores clave para el éxito de una reforma institucional amplia es la participación de un campeón que pueda tomar decisiones oportunas en temas técnicos y políticos.</w:t>
            </w:r>
          </w:p>
        </w:tc>
        <w:tc>
          <w:tcPr>
            <w:tcW w:w="7925" w:type="dxa"/>
            <w:vAlign w:val="center"/>
          </w:tcPr>
          <w:p w14:paraId="0134C1A3" w14:textId="5728B46C" w:rsidR="00EB05E1" w:rsidRPr="0077159D" w:rsidRDefault="00EB05E1" w:rsidP="00EB05E1">
            <w:pPr>
              <w:pStyle w:val="TableParagraph"/>
              <w:jc w:val="both"/>
              <w:rPr>
                <w:sz w:val="18"/>
                <w:szCs w:val="18"/>
                <w:lang w:val="es-ES_tradnl"/>
              </w:rPr>
            </w:pPr>
            <w:r w:rsidRPr="0077159D">
              <w:rPr>
                <w:sz w:val="18"/>
                <w:szCs w:val="18"/>
                <w:lang w:val="es-ES_tradnl"/>
              </w:rPr>
              <w:t xml:space="preserve">Llevar a cabo una reforma institucional que involucre diferentes </w:t>
            </w:r>
            <w:proofErr w:type="spellStart"/>
            <w:r w:rsidRPr="0077159D">
              <w:rPr>
                <w:sz w:val="18"/>
                <w:szCs w:val="18"/>
                <w:lang w:val="es-ES_tradnl"/>
              </w:rPr>
              <w:t>ORs</w:t>
            </w:r>
            <w:proofErr w:type="spellEnd"/>
            <w:r w:rsidRPr="0077159D">
              <w:rPr>
                <w:sz w:val="18"/>
                <w:szCs w:val="18"/>
                <w:lang w:val="es-ES_tradnl"/>
              </w:rPr>
              <w:t xml:space="preserve"> es complejo. En el caso del Programa evaluado, la reforma no tuvo un campeón de peso que tomara decisiones oportunas ante dificultades de orden institucional, técnico y político, especialmente cuando la reforma abarcaba áreas importantes como presupuesto, tesorería, contabilidad, deuda y TI. </w:t>
            </w:r>
            <w:r w:rsidRPr="00265302">
              <w:rPr>
                <w:sz w:val="18"/>
                <w:lang w:val="es-ES_tradnl"/>
              </w:rPr>
              <w:t>La lección aprendida es que los proyectos de reforma de esta naturaleza deben contar con un liderazgo claro desde su inicio. Es decir, un campeón que tome decisiones que permitan cumplir con el alcance de las actividades previstas en los plazos y con los recursos establecidos.</w:t>
            </w:r>
            <w:r w:rsidRPr="0077159D">
              <w:rPr>
                <w:sz w:val="18"/>
                <w:szCs w:val="18"/>
                <w:lang w:val="es-ES_tradnl"/>
              </w:rPr>
              <w:t xml:space="preserve"> </w:t>
            </w:r>
            <w:r w:rsidRPr="00265302">
              <w:rPr>
                <w:sz w:val="18"/>
                <w:lang w:val="es-ES_tradnl"/>
              </w:rPr>
              <w:t>La recomendación es que este tema sea considerado con gran prioridad en el caso de concretarse una nueva operación.</w:t>
            </w:r>
            <w:r w:rsidRPr="0077159D">
              <w:rPr>
                <w:sz w:val="18"/>
                <w:szCs w:val="18"/>
                <w:lang w:val="es-ES_tradnl"/>
              </w:rPr>
              <w:t xml:space="preserve"> Es importante destacar que el SIAF-SP, a pesar de la situación adversa en la cual fue concebido, contó con el liderazgo pleno de uno de los viceministros del MEF en su preparación e implementación.</w:t>
            </w:r>
          </w:p>
        </w:tc>
      </w:tr>
      <w:tr w:rsidR="00EB05E1" w:rsidRPr="0077159D" w14:paraId="5F8EFA93" w14:textId="77777777" w:rsidTr="00295620">
        <w:tc>
          <w:tcPr>
            <w:tcW w:w="2425" w:type="dxa"/>
            <w:vAlign w:val="center"/>
          </w:tcPr>
          <w:p w14:paraId="5F88B2BF" w14:textId="1EB433E2" w:rsidR="00EB05E1" w:rsidRPr="0077159D" w:rsidRDefault="00EB05E1" w:rsidP="00EB05E1">
            <w:pPr>
              <w:pStyle w:val="TableParagraph"/>
              <w:jc w:val="both"/>
              <w:rPr>
                <w:sz w:val="18"/>
                <w:szCs w:val="18"/>
                <w:lang w:val="es-ES_tradnl"/>
              </w:rPr>
            </w:pPr>
            <w:r w:rsidRPr="0077159D">
              <w:rPr>
                <w:sz w:val="18"/>
                <w:szCs w:val="18"/>
                <w:lang w:val="es-ES_tradnl"/>
              </w:rPr>
              <w:t xml:space="preserve">Consultores externos, independientemente de su grado de calificación, pueden ser capaces de desarrollar soluciones para los problemas identificados por los proyectos, pero no son capaces de implementarlas sin la participación de los </w:t>
            </w:r>
            <w:proofErr w:type="spellStart"/>
            <w:r w:rsidRPr="0077159D">
              <w:rPr>
                <w:sz w:val="18"/>
                <w:szCs w:val="18"/>
                <w:lang w:val="es-ES_tradnl"/>
              </w:rPr>
              <w:t>ORs</w:t>
            </w:r>
            <w:proofErr w:type="spellEnd"/>
            <w:r w:rsidRPr="0077159D">
              <w:rPr>
                <w:sz w:val="18"/>
                <w:szCs w:val="18"/>
                <w:lang w:val="es-ES_tradnl"/>
              </w:rPr>
              <w:t>.</w:t>
            </w:r>
          </w:p>
        </w:tc>
        <w:tc>
          <w:tcPr>
            <w:tcW w:w="7925" w:type="dxa"/>
            <w:vAlign w:val="center"/>
          </w:tcPr>
          <w:p w14:paraId="1A3E3549" w14:textId="52635DDC" w:rsidR="00EB05E1" w:rsidRPr="0077159D" w:rsidRDefault="00EB05E1" w:rsidP="00EB05E1">
            <w:pPr>
              <w:pStyle w:val="TableParagraph"/>
              <w:jc w:val="both"/>
              <w:rPr>
                <w:sz w:val="18"/>
                <w:szCs w:val="18"/>
                <w:lang w:val="es-ES_tradnl"/>
              </w:rPr>
            </w:pPr>
            <w:r w:rsidRPr="0077159D">
              <w:rPr>
                <w:sz w:val="18"/>
                <w:szCs w:val="18"/>
                <w:lang w:val="es-ES_tradnl"/>
              </w:rPr>
              <w:t xml:space="preserve">En la experiencia de proyectos del Banco, </w:t>
            </w:r>
            <w:r w:rsidRPr="00265302">
              <w:rPr>
                <w:sz w:val="18"/>
                <w:lang w:val="es-ES_tradnl"/>
              </w:rPr>
              <w:t xml:space="preserve">en la medida en que los integrantes de los </w:t>
            </w:r>
            <w:proofErr w:type="spellStart"/>
            <w:r w:rsidRPr="00265302">
              <w:rPr>
                <w:sz w:val="18"/>
                <w:lang w:val="es-ES_tradnl"/>
              </w:rPr>
              <w:t>EEs</w:t>
            </w:r>
            <w:proofErr w:type="spellEnd"/>
            <w:r w:rsidRPr="00265302">
              <w:rPr>
                <w:sz w:val="18"/>
                <w:lang w:val="es-ES_tradnl"/>
              </w:rPr>
              <w:t xml:space="preserve"> son de planta (o pertenecen a los </w:t>
            </w:r>
            <w:proofErr w:type="spellStart"/>
            <w:r w:rsidRPr="00265302">
              <w:rPr>
                <w:sz w:val="18"/>
                <w:lang w:val="es-ES_tradnl"/>
              </w:rPr>
              <w:t>ORs</w:t>
            </w:r>
            <w:proofErr w:type="spellEnd"/>
            <w:r w:rsidRPr="00265302">
              <w:rPr>
                <w:sz w:val="18"/>
                <w:lang w:val="es-ES_tradnl"/>
              </w:rPr>
              <w:t>), la probabilidad de que las acciones se implementen adecuadamente y en los tiempos planificados es mayor.</w:t>
            </w:r>
            <w:r w:rsidRPr="0077159D">
              <w:rPr>
                <w:sz w:val="18"/>
                <w:szCs w:val="18"/>
                <w:lang w:val="es-ES_tradnl"/>
              </w:rPr>
              <w:t xml:space="preserve"> En el caso del Programa evaluado, con excepción de los integrantes del </w:t>
            </w:r>
            <w:r w:rsidR="00FC58C8" w:rsidRPr="0077159D">
              <w:rPr>
                <w:sz w:val="18"/>
                <w:szCs w:val="18"/>
                <w:lang w:val="es-ES_tradnl"/>
              </w:rPr>
              <w:t>c</w:t>
            </w:r>
            <w:r w:rsidRPr="0077159D">
              <w:rPr>
                <w:sz w:val="18"/>
                <w:szCs w:val="18"/>
                <w:lang w:val="es-ES_tradnl"/>
              </w:rPr>
              <w:t xml:space="preserve">omité SAFI, todos los demás participantes, incluyendo el jefe del EE, eran externos al MEF (contratados con recursos del Programa). A pesar de que el tema ya fue abordado en las lecciones aprendidas anteriores, es importante enfatizarlo a fin de tomar consideraciones oportunas con respecto a la gobernanza y el liderazgo en proyectos de reforma futuros. </w:t>
            </w:r>
            <w:r w:rsidRPr="00265302">
              <w:rPr>
                <w:sz w:val="18"/>
                <w:lang w:val="es-ES_tradnl"/>
              </w:rPr>
              <w:t xml:space="preserve">La recomendación específica es que el jefe del EE debe ser un funcionario de planta seleccionado por los </w:t>
            </w:r>
            <w:proofErr w:type="spellStart"/>
            <w:r w:rsidRPr="00265302">
              <w:rPr>
                <w:sz w:val="18"/>
                <w:lang w:val="es-ES_tradnl"/>
              </w:rPr>
              <w:t>ORs</w:t>
            </w:r>
            <w:proofErr w:type="spellEnd"/>
            <w:r w:rsidRPr="00265302">
              <w:rPr>
                <w:sz w:val="18"/>
                <w:lang w:val="es-ES_tradnl"/>
              </w:rPr>
              <w:t xml:space="preserve">, y los demás integrantes del EE personas de confianza de los </w:t>
            </w:r>
            <w:proofErr w:type="spellStart"/>
            <w:r w:rsidRPr="00265302">
              <w:rPr>
                <w:sz w:val="18"/>
                <w:lang w:val="es-ES_tradnl"/>
              </w:rPr>
              <w:t>ORs</w:t>
            </w:r>
            <w:proofErr w:type="spellEnd"/>
            <w:r w:rsidRPr="00265302">
              <w:rPr>
                <w:sz w:val="18"/>
                <w:lang w:val="es-ES_tradnl"/>
              </w:rPr>
              <w:t xml:space="preserve">.  </w:t>
            </w:r>
          </w:p>
        </w:tc>
      </w:tr>
      <w:tr w:rsidR="00EB05E1" w:rsidRPr="0077159D" w14:paraId="3EE626FA" w14:textId="77777777" w:rsidTr="00D41B81">
        <w:tc>
          <w:tcPr>
            <w:tcW w:w="10350" w:type="dxa"/>
            <w:gridSpan w:val="2"/>
            <w:shd w:val="clear" w:color="auto" w:fill="D9D9D9" w:themeFill="background1" w:themeFillShade="D9"/>
            <w:vAlign w:val="center"/>
          </w:tcPr>
          <w:p w14:paraId="408EBC9A" w14:textId="1FB0AFC1" w:rsidR="00EB05E1" w:rsidRPr="0077159D" w:rsidRDefault="00EB05E1" w:rsidP="00EB05E1">
            <w:pPr>
              <w:pStyle w:val="TableParagraph"/>
              <w:jc w:val="both"/>
              <w:rPr>
                <w:rFonts w:eastAsia="Times New Roman"/>
                <w:b/>
                <w:color w:val="000000"/>
                <w:sz w:val="18"/>
                <w:szCs w:val="18"/>
                <w:lang w:val="es-ES_tradnl" w:eastAsia="pt-BR"/>
              </w:rPr>
            </w:pPr>
            <w:r w:rsidRPr="0077159D">
              <w:rPr>
                <w:rFonts w:eastAsia="Times New Roman"/>
                <w:b/>
                <w:color w:val="000000"/>
                <w:sz w:val="18"/>
                <w:szCs w:val="18"/>
                <w:lang w:val="es-ES_tradnl" w:eastAsia="pt-BR"/>
              </w:rPr>
              <w:t>Dimensión 4. Fiduciaria</w:t>
            </w:r>
          </w:p>
        </w:tc>
      </w:tr>
      <w:tr w:rsidR="00EB05E1" w:rsidRPr="0077159D" w14:paraId="3EA9C1A2" w14:textId="77777777" w:rsidTr="00295620">
        <w:tc>
          <w:tcPr>
            <w:tcW w:w="2425" w:type="dxa"/>
            <w:vAlign w:val="center"/>
          </w:tcPr>
          <w:p w14:paraId="1E722628" w14:textId="66EBEC87" w:rsidR="00EB05E1" w:rsidRPr="0077159D" w:rsidRDefault="00EB05E1" w:rsidP="00EB05E1">
            <w:pPr>
              <w:pStyle w:val="TableParagraph"/>
              <w:jc w:val="both"/>
              <w:rPr>
                <w:sz w:val="18"/>
                <w:szCs w:val="18"/>
                <w:lang w:val="es-ES_tradnl"/>
              </w:rPr>
            </w:pPr>
            <w:r w:rsidRPr="0077159D">
              <w:rPr>
                <w:sz w:val="18"/>
                <w:szCs w:val="18"/>
                <w:lang w:val="es-ES_tradnl"/>
              </w:rPr>
              <w:t xml:space="preserve">Cambios en las reglas de los mecanismos de ejecución de un proyecto pueden derivar en problemas en la ejecución. </w:t>
            </w:r>
          </w:p>
        </w:tc>
        <w:tc>
          <w:tcPr>
            <w:tcW w:w="7925" w:type="dxa"/>
            <w:vAlign w:val="center"/>
          </w:tcPr>
          <w:p w14:paraId="1C2E7E23" w14:textId="036901DF" w:rsidR="00EB05E1" w:rsidRPr="0077159D" w:rsidRDefault="00EB05E1" w:rsidP="00EB05E1">
            <w:pPr>
              <w:pStyle w:val="TableParagraph"/>
              <w:jc w:val="both"/>
              <w:rPr>
                <w:sz w:val="18"/>
                <w:szCs w:val="18"/>
                <w:lang w:val="es-ES_tradnl"/>
              </w:rPr>
            </w:pPr>
            <w:r w:rsidRPr="0077159D">
              <w:rPr>
                <w:sz w:val="18"/>
                <w:szCs w:val="18"/>
                <w:lang w:val="es-ES_tradnl"/>
              </w:rPr>
              <w:t>El Programa inició su ejecución en abril de 2011. Inicialmente, el Banco y el MEF acordaron un mecanismo de ejecución tradicional, donde la Unidad de Coordinación y Planificación Sectorial (UCPS) sería la entidad responsable de la administración del proyecto ante el Banco. Además, el Programa contempló el comité SAFI para integrar las acciones de los órganos rectores del MEF (presupuesto, tesorería, contabilidad, deuda y TI), así como para la aprobación de los planes operativos anuales (POA). En septiembre de 2011, en el marco de una misión de administración, se creó el EE</w:t>
            </w:r>
            <w:r w:rsidR="005B3AC5" w:rsidRPr="0077159D">
              <w:rPr>
                <w:sz w:val="18"/>
                <w:szCs w:val="18"/>
                <w:lang w:val="es-ES_tradnl"/>
              </w:rPr>
              <w:t xml:space="preserve"> </w:t>
            </w:r>
            <w:r w:rsidRPr="0077159D">
              <w:rPr>
                <w:sz w:val="18"/>
                <w:szCs w:val="18"/>
                <w:lang w:val="es-ES_tradnl"/>
              </w:rPr>
              <w:t xml:space="preserve">compuesto por especialistas externos funcionales, tecnológicos y administrativos, dedicados exclusivamente a la gestión integral del Programa. Por esta razón, se procedió a modificar el Anexo Único, numeral II, Descripción del Proyecto, para incluir la figura del EE, que tuvo como objetivo conducir la ejecución y el seguimiento de las actividades del POA 2012 aprobado por el comité SAFI. A pesar de que para la toma de esta decisión el Banco contó con el apoyo de un especialista externo internacional, con base en la experiencia durante la ejecución se puede concluir que se otorgó demasiado poder de decisión a un equipo externo de consultores sin la requerida competencia y mandato para llevar a cabo estas funciones. El EE tomó decisiones importantes, sin embargo, no fue capaz de llevar a cabo la ejecución del Programa conforme a lo planificado. En febrero de 2016, </w:t>
            </w:r>
            <w:r w:rsidR="005040DE" w:rsidRPr="0077159D">
              <w:rPr>
                <w:sz w:val="18"/>
                <w:szCs w:val="18"/>
                <w:lang w:val="es-ES_tradnl"/>
              </w:rPr>
              <w:t>la evaluación intermedia del Programa</w:t>
            </w:r>
            <w:r w:rsidRPr="0077159D">
              <w:rPr>
                <w:sz w:val="18"/>
                <w:szCs w:val="18"/>
                <w:lang w:val="es-ES_tradnl"/>
              </w:rPr>
              <w:t xml:space="preserve"> </w:t>
            </w:r>
            <w:r w:rsidR="005040DE" w:rsidRPr="0077159D">
              <w:rPr>
                <w:sz w:val="18"/>
                <w:szCs w:val="18"/>
                <w:lang w:val="es-ES_tradnl"/>
              </w:rPr>
              <w:t>identificó factores críticos negativ</w:t>
            </w:r>
            <w:r w:rsidR="006D016E" w:rsidRPr="0077159D">
              <w:rPr>
                <w:sz w:val="18"/>
                <w:szCs w:val="18"/>
                <w:lang w:val="es-ES_tradnl"/>
              </w:rPr>
              <w:t>os e</w:t>
            </w:r>
            <w:r w:rsidRPr="0077159D">
              <w:rPr>
                <w:sz w:val="18"/>
                <w:szCs w:val="18"/>
                <w:lang w:val="es-ES_tradnl"/>
              </w:rPr>
              <w:t xml:space="preserve"> informó que para terminar el proyecto conforme a lo planificado era necesario ampliar el tiempo de ejecución y los recursos financieros. Con base en dic</w:t>
            </w:r>
            <w:r w:rsidR="006D016E" w:rsidRPr="0077159D">
              <w:rPr>
                <w:sz w:val="18"/>
                <w:szCs w:val="18"/>
                <w:lang w:val="es-ES_tradnl"/>
              </w:rPr>
              <w:t>ha evaluación</w:t>
            </w:r>
            <w:r w:rsidRPr="0077159D">
              <w:rPr>
                <w:sz w:val="18"/>
                <w:szCs w:val="18"/>
                <w:lang w:val="es-ES_tradnl"/>
              </w:rPr>
              <w:t xml:space="preserve">, el Banco tomó la decisión de no autorizar nuevos compromisos financieros y desembolsar únicamente los recursos ya comprometidos. </w:t>
            </w:r>
            <w:r w:rsidRPr="00265302">
              <w:rPr>
                <w:sz w:val="18"/>
                <w:lang w:val="es-ES_tradnl"/>
              </w:rPr>
              <w:t>La lección aprendida es que el Banco debe analizar con mayor profundidad y cautela cualquier cambio solicitado en las reglas de los mecanismos de ejecución acordados.</w:t>
            </w:r>
            <w:r w:rsidRPr="0077159D">
              <w:rPr>
                <w:sz w:val="18"/>
                <w:szCs w:val="18"/>
                <w:lang w:val="es-ES_tradnl"/>
              </w:rPr>
              <w:t xml:space="preserve"> De haberse seguido el mecanismo de ejecución inicialmente acordado, el Programa pudo haber logrado un mejor desempeño. </w:t>
            </w:r>
            <w:r w:rsidRPr="00265302">
              <w:rPr>
                <w:sz w:val="18"/>
                <w:lang w:val="es-ES_tradnl"/>
              </w:rPr>
              <w:t>La recomendación es que, en proyectos de reforma de esta naturaleza, los líderes a cargo de la toma de decisiones, y los equipos ejecutores deben ser mayoritariamente de planta y tener mandato para implementar reformas.</w:t>
            </w:r>
          </w:p>
        </w:tc>
      </w:tr>
      <w:tr w:rsidR="00EB05E1" w:rsidRPr="0077159D" w14:paraId="7E497691" w14:textId="77777777" w:rsidTr="00D70FAF">
        <w:tc>
          <w:tcPr>
            <w:tcW w:w="10350" w:type="dxa"/>
            <w:gridSpan w:val="2"/>
            <w:shd w:val="clear" w:color="auto" w:fill="D9D9D9" w:themeFill="background1" w:themeFillShade="D9"/>
            <w:vAlign w:val="center"/>
          </w:tcPr>
          <w:p w14:paraId="1176312E" w14:textId="750DAF5F" w:rsidR="00EB05E1" w:rsidRPr="0077159D" w:rsidRDefault="00EB05E1" w:rsidP="00EB05E1">
            <w:pPr>
              <w:pStyle w:val="TableParagraph"/>
              <w:jc w:val="both"/>
              <w:rPr>
                <w:rFonts w:eastAsia="Times New Roman"/>
                <w:b/>
                <w:color w:val="000000"/>
                <w:sz w:val="18"/>
                <w:szCs w:val="18"/>
                <w:lang w:val="es-ES_tradnl" w:eastAsia="pt-BR"/>
              </w:rPr>
            </w:pPr>
            <w:r w:rsidRPr="0077159D">
              <w:rPr>
                <w:rFonts w:eastAsia="Times New Roman"/>
                <w:b/>
                <w:color w:val="000000"/>
                <w:sz w:val="18"/>
                <w:szCs w:val="18"/>
                <w:lang w:val="es-ES_tradnl" w:eastAsia="pt-BR"/>
              </w:rPr>
              <w:t>Dimensión 5. Riesgos en la gestión</w:t>
            </w:r>
          </w:p>
        </w:tc>
      </w:tr>
      <w:tr w:rsidR="00EB05E1" w:rsidRPr="0077159D" w14:paraId="48682452" w14:textId="77777777" w:rsidTr="00295620">
        <w:tc>
          <w:tcPr>
            <w:tcW w:w="2425" w:type="dxa"/>
            <w:vAlign w:val="center"/>
          </w:tcPr>
          <w:p w14:paraId="6356961B" w14:textId="5BA56177" w:rsidR="00EB05E1" w:rsidRPr="0077159D" w:rsidRDefault="00EB05E1" w:rsidP="00EB05E1">
            <w:pPr>
              <w:pStyle w:val="TableParagraph"/>
              <w:jc w:val="both"/>
              <w:rPr>
                <w:sz w:val="18"/>
                <w:szCs w:val="18"/>
                <w:lang w:val="es-ES_tradnl"/>
              </w:rPr>
            </w:pPr>
            <w:r w:rsidRPr="0077159D">
              <w:rPr>
                <w:sz w:val="18"/>
                <w:szCs w:val="18"/>
                <w:lang w:val="es-ES_tradnl"/>
              </w:rPr>
              <w:t xml:space="preserve">No considerar temas de gobernanza, liderazgo, estrategia, planificación, gestión del cambio y asistencia técnica en los proyectos de reforma institucional puede poner en riesgo la sostenibilidad de los resultados alcanzados. </w:t>
            </w:r>
          </w:p>
        </w:tc>
        <w:tc>
          <w:tcPr>
            <w:tcW w:w="7925" w:type="dxa"/>
            <w:vAlign w:val="center"/>
          </w:tcPr>
          <w:p w14:paraId="0BC96659" w14:textId="7806D2EF" w:rsidR="00EB05E1" w:rsidRPr="0077159D" w:rsidRDefault="00EB05E1" w:rsidP="00EB05E1">
            <w:pPr>
              <w:pStyle w:val="TableParagraph"/>
              <w:jc w:val="both"/>
              <w:rPr>
                <w:sz w:val="18"/>
                <w:szCs w:val="18"/>
                <w:lang w:val="es-ES_tradnl"/>
              </w:rPr>
            </w:pPr>
            <w:r w:rsidRPr="00265302">
              <w:rPr>
                <w:sz w:val="18"/>
                <w:lang w:val="es-ES_tradnl"/>
              </w:rPr>
              <w:t>El Programa presentó problemas de falta de gobernanza, liderazgo, estrategia, planificación, apropiación y asistencia técnica calificada, así como de resistencia a los cambios.</w:t>
            </w:r>
            <w:r w:rsidRPr="0077159D">
              <w:rPr>
                <w:sz w:val="18"/>
                <w:szCs w:val="18"/>
                <w:lang w:val="es-ES_tradnl"/>
              </w:rPr>
              <w:t xml:space="preserve"> En consecuencia, el primer problema que surgió estuvo asociado a la no aceptación en los cambios propuestos en los procedimientos y automatización de la formulación presupuestaria (10% del valor ganado del proyecto). El EE cometió el error de dedicar la mayor parte del tiempo (81%) y recursos (65%) a solucionar este problema, restando importancia a las demás actividades prioritarias que contemplaba el Programa. En consecuencia, se obtuvo un valor ganado de apenas 44%. </w:t>
            </w:r>
            <w:r w:rsidRPr="00265302">
              <w:rPr>
                <w:sz w:val="18"/>
                <w:lang w:val="es-ES_tradnl"/>
              </w:rPr>
              <w:t xml:space="preserve">La recomendación es que todas las lecciones aprendidas mencionadas anteriormente deben ser consideradas en el diseño y en la ejecución de programas de reforma futuros.      </w:t>
            </w:r>
          </w:p>
        </w:tc>
      </w:tr>
    </w:tbl>
    <w:p w14:paraId="7F879BFE" w14:textId="77777777" w:rsidR="00703874" w:rsidRPr="00576180" w:rsidRDefault="00703874" w:rsidP="00295620">
      <w:pPr>
        <w:tabs>
          <w:tab w:val="left" w:pos="9000"/>
        </w:tabs>
        <w:spacing w:before="120" w:after="120" w:line="240" w:lineRule="auto"/>
        <w:jc w:val="both"/>
        <w:rPr>
          <w:rFonts w:ascii="Arial" w:hAnsi="Arial" w:cs="Arial"/>
        </w:rPr>
      </w:pPr>
    </w:p>
    <w:sectPr w:rsidR="00703874" w:rsidRPr="00576180" w:rsidSect="00D95F98">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A191B" w14:textId="77777777" w:rsidR="00405D3E" w:rsidRDefault="00405D3E" w:rsidP="00CC75CF">
      <w:pPr>
        <w:spacing w:after="0" w:line="240" w:lineRule="auto"/>
      </w:pPr>
      <w:r>
        <w:separator/>
      </w:r>
    </w:p>
  </w:endnote>
  <w:endnote w:type="continuationSeparator" w:id="0">
    <w:p w14:paraId="225F1222" w14:textId="77777777" w:rsidR="00405D3E" w:rsidRDefault="00405D3E" w:rsidP="00CC75CF">
      <w:pPr>
        <w:spacing w:after="0" w:line="240" w:lineRule="auto"/>
      </w:pPr>
      <w:r>
        <w:continuationSeparator/>
      </w:r>
    </w:p>
  </w:endnote>
  <w:endnote w:type="continuationNotice" w:id="1">
    <w:p w14:paraId="33C24001" w14:textId="77777777" w:rsidR="00405D3E" w:rsidRDefault="00405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129934"/>
      <w:docPartObj>
        <w:docPartGallery w:val="Page Numbers (Bottom of Page)"/>
        <w:docPartUnique/>
      </w:docPartObj>
    </w:sdtPr>
    <w:sdtEndPr>
      <w:rPr>
        <w:noProof/>
      </w:rPr>
    </w:sdtEndPr>
    <w:sdtContent>
      <w:p w14:paraId="513E7FE6" w14:textId="77777777" w:rsidR="00D87B95" w:rsidRDefault="00D87B95">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65BD88FF" w14:textId="77777777" w:rsidR="00D87B95" w:rsidRDefault="00D8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650484"/>
      <w:docPartObj>
        <w:docPartGallery w:val="Page Numbers (Bottom of Page)"/>
        <w:docPartUnique/>
      </w:docPartObj>
    </w:sdtPr>
    <w:sdtEndPr>
      <w:rPr>
        <w:noProof/>
      </w:rPr>
    </w:sdtEndPr>
    <w:sdtContent>
      <w:p w14:paraId="5C82411B" w14:textId="77777777" w:rsidR="00D87B95" w:rsidRDefault="00D87B95">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0C089156" w14:textId="77777777" w:rsidR="00D87B95" w:rsidRDefault="00D8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294B" w14:textId="77777777" w:rsidR="00405D3E" w:rsidRDefault="00405D3E" w:rsidP="00CC75CF">
      <w:pPr>
        <w:spacing w:after="0" w:line="240" w:lineRule="auto"/>
      </w:pPr>
      <w:r>
        <w:separator/>
      </w:r>
    </w:p>
  </w:footnote>
  <w:footnote w:type="continuationSeparator" w:id="0">
    <w:p w14:paraId="483DAFFC" w14:textId="77777777" w:rsidR="00405D3E" w:rsidRDefault="00405D3E" w:rsidP="00CC75CF">
      <w:pPr>
        <w:spacing w:after="0" w:line="240" w:lineRule="auto"/>
      </w:pPr>
      <w:r>
        <w:continuationSeparator/>
      </w:r>
    </w:p>
  </w:footnote>
  <w:footnote w:type="continuationNotice" w:id="1">
    <w:p w14:paraId="53E11276" w14:textId="77777777" w:rsidR="00405D3E" w:rsidRDefault="00405D3E">
      <w:pPr>
        <w:spacing w:after="0" w:line="240" w:lineRule="auto"/>
      </w:pPr>
    </w:p>
  </w:footnote>
  <w:footnote w:id="2">
    <w:p w14:paraId="61238949" w14:textId="02FAC478" w:rsidR="00D87B95" w:rsidRPr="003938F1" w:rsidRDefault="00D87B95">
      <w:pPr>
        <w:pStyle w:val="FootnoteText"/>
      </w:pPr>
      <w:r>
        <w:rPr>
          <w:rStyle w:val="FootnoteReference"/>
        </w:rPr>
        <w:footnoteRef/>
      </w:r>
      <w:r>
        <w:t xml:space="preserve"> El objetivo no coincide exactamente con lo que está presentado en el POD</w:t>
      </w:r>
      <w:r w:rsidRPr="003938F1">
        <w:t xml:space="preserve">, porque en </w:t>
      </w:r>
      <w:r>
        <w:t xml:space="preserve">el </w:t>
      </w:r>
      <w:r w:rsidRPr="003938F1">
        <w:t xml:space="preserve">momento </w:t>
      </w:r>
      <w:r>
        <w:t xml:space="preserve">de la preparación </w:t>
      </w:r>
      <w:r w:rsidRPr="003938F1">
        <w:t>no era obligatorio poner objetivos específicos</w:t>
      </w:r>
      <w:r>
        <w:t>.</w:t>
      </w:r>
    </w:p>
  </w:footnote>
  <w:footnote w:id="3">
    <w:p w14:paraId="0D5408D9" w14:textId="63867C38" w:rsidR="00D87B95" w:rsidRPr="00B07BED" w:rsidRDefault="00D87B95" w:rsidP="00265302">
      <w:pPr>
        <w:pStyle w:val="FootnoteText"/>
        <w:ind w:left="90" w:hanging="180"/>
        <w:rPr>
          <w:rFonts w:ascii="Arial" w:hAnsi="Arial" w:cs="Arial"/>
          <w:sz w:val="18"/>
          <w:szCs w:val="18"/>
        </w:rPr>
      </w:pPr>
      <w:r w:rsidRPr="00B07BED">
        <w:rPr>
          <w:rStyle w:val="FootnoteReference"/>
          <w:rFonts w:ascii="Arial" w:hAnsi="Arial" w:cs="Arial"/>
          <w:sz w:val="18"/>
          <w:szCs w:val="18"/>
        </w:rPr>
        <w:footnoteRef/>
      </w:r>
      <w:r w:rsidRPr="00B07BED">
        <w:rPr>
          <w:rFonts w:ascii="Arial" w:hAnsi="Arial" w:cs="Arial"/>
          <w:sz w:val="18"/>
          <w:szCs w:val="18"/>
        </w:rPr>
        <w:t xml:space="preserve"> </w:t>
      </w:r>
      <w:r>
        <w:rPr>
          <w:rFonts w:ascii="Arial" w:hAnsi="Arial" w:cs="Arial"/>
          <w:sz w:val="18"/>
          <w:szCs w:val="18"/>
        </w:rPr>
        <w:t xml:space="preserve"> Cabe</w:t>
      </w:r>
      <w:r w:rsidRPr="00B07BED">
        <w:rPr>
          <w:rFonts w:ascii="Arial" w:hAnsi="Arial" w:cs="Arial"/>
          <w:sz w:val="18"/>
          <w:szCs w:val="18"/>
        </w:rPr>
        <w:t xml:space="preserve"> que mencionar que este resultado era uno de los 3 que no dependía de la implementación del nuevo sistema SIAF.</w:t>
      </w:r>
    </w:p>
  </w:footnote>
  <w:footnote w:id="4">
    <w:p w14:paraId="16E5D103" w14:textId="07CB6442" w:rsidR="00D87B95" w:rsidRPr="00EC5186" w:rsidRDefault="00D87B95" w:rsidP="00D17FF5">
      <w:pPr>
        <w:pStyle w:val="FootnoteText"/>
        <w:ind w:left="270" w:hanging="270"/>
        <w:rPr>
          <w:rFonts w:ascii="Arial" w:hAnsi="Arial" w:cs="Arial"/>
          <w:sz w:val="18"/>
          <w:szCs w:val="18"/>
        </w:rPr>
      </w:pPr>
      <w:r w:rsidRPr="00EC5186">
        <w:rPr>
          <w:rStyle w:val="FootnoteReference"/>
          <w:rFonts w:ascii="Arial" w:hAnsi="Arial" w:cs="Arial"/>
          <w:sz w:val="18"/>
          <w:szCs w:val="18"/>
        </w:rPr>
        <w:footnoteRef/>
      </w:r>
      <w:r w:rsidRPr="00EC5186">
        <w:rPr>
          <w:rFonts w:ascii="Arial" w:hAnsi="Arial" w:cs="Arial"/>
          <w:sz w:val="18"/>
          <w:szCs w:val="18"/>
        </w:rPr>
        <w:t xml:space="preserve"> </w:t>
      </w:r>
      <w:r>
        <w:rPr>
          <w:rFonts w:ascii="Arial" w:hAnsi="Arial" w:cs="Arial"/>
          <w:sz w:val="18"/>
          <w:szCs w:val="18"/>
        </w:rPr>
        <w:tab/>
      </w:r>
      <w:r w:rsidRPr="00EC5186">
        <w:rPr>
          <w:rFonts w:ascii="Arial" w:hAnsi="Arial" w:cs="Arial"/>
          <w:sz w:val="18"/>
          <w:szCs w:val="18"/>
        </w:rPr>
        <w:t>Valor ganado es el peso (importancia) que cada producto presenta con relación al universo de productos.</w:t>
      </w:r>
    </w:p>
  </w:footnote>
  <w:footnote w:id="5">
    <w:p w14:paraId="7CCF03AC" w14:textId="61EB3BF3" w:rsidR="00D87B95" w:rsidRPr="00F210E8" w:rsidRDefault="00D87B95" w:rsidP="00D17FF5">
      <w:pPr>
        <w:pStyle w:val="FootnoteText"/>
        <w:ind w:left="270" w:hanging="270"/>
        <w:rPr>
          <w:rFonts w:ascii="Arial" w:hAnsi="Arial" w:cs="Arial"/>
          <w:sz w:val="18"/>
          <w:szCs w:val="18"/>
        </w:rPr>
      </w:pPr>
      <w:r w:rsidRPr="00F210E8">
        <w:rPr>
          <w:rStyle w:val="FootnoteReference"/>
          <w:rFonts w:ascii="Arial" w:hAnsi="Arial" w:cs="Arial"/>
          <w:sz w:val="18"/>
          <w:szCs w:val="18"/>
        </w:rPr>
        <w:footnoteRef/>
      </w:r>
      <w:r w:rsidRPr="00F210E8">
        <w:rPr>
          <w:rFonts w:ascii="Arial" w:hAnsi="Arial" w:cs="Arial"/>
          <w:sz w:val="18"/>
          <w:szCs w:val="18"/>
        </w:rPr>
        <w:t xml:space="preserve"> </w:t>
      </w:r>
      <w:r>
        <w:rPr>
          <w:rFonts w:ascii="Arial" w:hAnsi="Arial" w:cs="Arial"/>
          <w:sz w:val="18"/>
          <w:szCs w:val="18"/>
        </w:rPr>
        <w:tab/>
      </w:r>
      <w:r w:rsidRPr="00F210E8">
        <w:rPr>
          <w:rFonts w:ascii="Arial" w:hAnsi="Arial" w:cs="Arial"/>
          <w:sz w:val="18"/>
          <w:szCs w:val="18"/>
        </w:rPr>
        <w:t>WEO, FMI.</w:t>
      </w:r>
    </w:p>
  </w:footnote>
  <w:footnote w:id="6">
    <w:p w14:paraId="1C4FE697" w14:textId="1867B524" w:rsidR="00D87B95" w:rsidRPr="007323CA" w:rsidRDefault="00D87B95" w:rsidP="00D17FF5">
      <w:pPr>
        <w:pStyle w:val="FootnoteText"/>
        <w:ind w:left="270" w:hanging="270"/>
      </w:pPr>
      <w:r w:rsidRPr="00F210E8">
        <w:rPr>
          <w:rStyle w:val="FootnoteReference"/>
          <w:rFonts w:ascii="Arial" w:hAnsi="Arial" w:cs="Arial"/>
          <w:sz w:val="18"/>
          <w:szCs w:val="18"/>
        </w:rPr>
        <w:footnoteRef/>
      </w:r>
      <w:r w:rsidRPr="00F210E8">
        <w:rPr>
          <w:rFonts w:ascii="Arial" w:hAnsi="Arial" w:cs="Arial"/>
          <w:sz w:val="18"/>
          <w:szCs w:val="18"/>
        </w:rPr>
        <w:t xml:space="preserve"> </w:t>
      </w:r>
      <w:r>
        <w:rPr>
          <w:rFonts w:ascii="Arial" w:hAnsi="Arial" w:cs="Arial"/>
          <w:sz w:val="18"/>
          <w:szCs w:val="18"/>
        </w:rPr>
        <w:tab/>
      </w:r>
      <w:r w:rsidRPr="00F210E8">
        <w:rPr>
          <w:rFonts w:ascii="Arial" w:hAnsi="Arial" w:cs="Arial"/>
          <w:sz w:val="18"/>
          <w:szCs w:val="18"/>
        </w:rPr>
        <w:t>Perfiles de pobreza 2001 y 2010, INEI.</w:t>
      </w:r>
      <w:r>
        <w:t xml:space="preserve"> </w:t>
      </w:r>
    </w:p>
  </w:footnote>
  <w:footnote w:id="7">
    <w:p w14:paraId="6D3EC650" w14:textId="1C59E29A" w:rsidR="00D87B95" w:rsidRPr="003938F1" w:rsidRDefault="00D87B95" w:rsidP="003938F1">
      <w:pPr>
        <w:pStyle w:val="FootnoteText"/>
        <w:ind w:left="90" w:hanging="90"/>
        <w:rPr>
          <w:rFonts w:ascii="Arial" w:hAnsi="Arial" w:cs="Arial"/>
          <w:sz w:val="18"/>
          <w:szCs w:val="18"/>
        </w:rPr>
      </w:pPr>
      <w:r w:rsidRPr="003938F1">
        <w:rPr>
          <w:rStyle w:val="FootnoteReference"/>
          <w:rFonts w:ascii="Arial" w:hAnsi="Arial" w:cs="Arial"/>
          <w:sz w:val="18"/>
          <w:szCs w:val="18"/>
        </w:rPr>
        <w:footnoteRef/>
      </w:r>
      <w:r w:rsidRPr="003938F1">
        <w:rPr>
          <w:rFonts w:ascii="Arial" w:hAnsi="Arial" w:cs="Arial"/>
          <w:sz w:val="18"/>
          <w:szCs w:val="18"/>
        </w:rPr>
        <w:t xml:space="preserve"> El Programa en la fase de preparación presentó una </w:t>
      </w:r>
      <w:proofErr w:type="spellStart"/>
      <w:r w:rsidRPr="003938F1">
        <w:rPr>
          <w:rFonts w:ascii="Arial" w:hAnsi="Arial" w:cs="Arial"/>
          <w:sz w:val="18"/>
          <w:szCs w:val="18"/>
        </w:rPr>
        <w:t>evaluabilidad</w:t>
      </w:r>
      <w:proofErr w:type="spellEnd"/>
      <w:r w:rsidRPr="003938F1">
        <w:rPr>
          <w:rFonts w:ascii="Arial" w:hAnsi="Arial" w:cs="Arial"/>
          <w:sz w:val="18"/>
          <w:szCs w:val="18"/>
        </w:rPr>
        <w:t xml:space="preserve"> altamente satisfactoria, conforme a lo presentado en la DEM respectiva (Enlace electrónico I). El Programa recibió un puntaje general de 7,25, con 8,9 en la evaluación basada en pruebas y soluciones; 5,6 en el plan de evaluación y seguimiento; 7,0 en el costo-beneficio o eficacia en función del costo; y 7,7 en la matriz de seguimiento de riesgos y mitigación</w:t>
      </w:r>
      <w:r>
        <w:rPr>
          <w:rFonts w:ascii="Arial" w:hAnsi="Arial" w:cs="Arial"/>
          <w:sz w:val="18"/>
          <w:szCs w:val="18"/>
        </w:rPr>
        <w:t>.</w:t>
      </w:r>
    </w:p>
  </w:footnote>
  <w:footnote w:id="8">
    <w:p w14:paraId="1031F470" w14:textId="1EE9430D" w:rsidR="00D87B95" w:rsidRPr="00345FCD" w:rsidRDefault="00D87B95" w:rsidP="00D17FF5">
      <w:pPr>
        <w:pStyle w:val="FootnoteText"/>
        <w:ind w:left="270" w:hanging="270"/>
        <w:jc w:val="both"/>
        <w:rPr>
          <w:rFonts w:ascii="Arial" w:hAnsi="Arial" w:cs="Arial"/>
          <w:sz w:val="18"/>
          <w:szCs w:val="18"/>
        </w:rPr>
      </w:pPr>
      <w:r w:rsidRPr="00345FCD">
        <w:rPr>
          <w:rStyle w:val="FootnoteReference"/>
          <w:rFonts w:ascii="Arial" w:hAnsi="Arial" w:cs="Arial"/>
          <w:sz w:val="18"/>
          <w:szCs w:val="18"/>
        </w:rPr>
        <w:footnoteRef/>
      </w:r>
      <w:r w:rsidRPr="00345FCD">
        <w:rPr>
          <w:rFonts w:ascii="Arial" w:hAnsi="Arial" w:cs="Arial"/>
          <w:sz w:val="18"/>
          <w:szCs w:val="18"/>
        </w:rPr>
        <w:t xml:space="preserve"> </w:t>
      </w:r>
      <w:r>
        <w:rPr>
          <w:rFonts w:ascii="Arial" w:hAnsi="Arial" w:cs="Arial"/>
          <w:sz w:val="18"/>
          <w:szCs w:val="18"/>
        </w:rPr>
        <w:tab/>
      </w:r>
      <w:r w:rsidRPr="00345FCD">
        <w:rPr>
          <w:rFonts w:ascii="Arial" w:hAnsi="Arial" w:cs="Arial"/>
          <w:sz w:val="18"/>
          <w:szCs w:val="18"/>
        </w:rPr>
        <w:t>Es importante destacar que</w:t>
      </w:r>
      <w:r>
        <w:rPr>
          <w:rFonts w:ascii="Arial" w:hAnsi="Arial" w:cs="Arial"/>
          <w:sz w:val="18"/>
          <w:szCs w:val="18"/>
        </w:rPr>
        <w:t>,</w:t>
      </w:r>
      <w:r w:rsidRPr="00345FCD">
        <w:rPr>
          <w:rFonts w:ascii="Arial" w:hAnsi="Arial" w:cs="Arial"/>
          <w:sz w:val="18"/>
          <w:szCs w:val="18"/>
        </w:rPr>
        <w:t xml:space="preserve"> con el Programa</w:t>
      </w:r>
      <w:r>
        <w:rPr>
          <w:rFonts w:ascii="Arial" w:hAnsi="Arial" w:cs="Arial"/>
          <w:sz w:val="18"/>
          <w:szCs w:val="18"/>
        </w:rPr>
        <w:t>,</w:t>
      </w:r>
      <w:r w:rsidRPr="00345FCD">
        <w:rPr>
          <w:rFonts w:ascii="Arial" w:hAnsi="Arial" w:cs="Arial"/>
          <w:sz w:val="18"/>
          <w:szCs w:val="18"/>
        </w:rPr>
        <w:t xml:space="preserve"> se elab</w:t>
      </w:r>
      <w:r>
        <w:rPr>
          <w:rFonts w:ascii="Arial" w:hAnsi="Arial" w:cs="Arial"/>
          <w:sz w:val="18"/>
          <w:szCs w:val="18"/>
        </w:rPr>
        <w:t xml:space="preserve">oró </w:t>
      </w:r>
      <w:r w:rsidRPr="00345FCD">
        <w:rPr>
          <w:rFonts w:ascii="Arial" w:hAnsi="Arial" w:cs="Arial"/>
          <w:sz w:val="18"/>
          <w:szCs w:val="18"/>
        </w:rPr>
        <w:t>el modelo conceptual y</w:t>
      </w:r>
      <w:r>
        <w:rPr>
          <w:rFonts w:ascii="Arial" w:hAnsi="Arial" w:cs="Arial"/>
          <w:sz w:val="18"/>
          <w:szCs w:val="18"/>
        </w:rPr>
        <w:t xml:space="preserve"> la</w:t>
      </w:r>
      <w:r w:rsidRPr="00345FCD">
        <w:rPr>
          <w:rFonts w:ascii="Arial" w:hAnsi="Arial" w:cs="Arial"/>
          <w:sz w:val="18"/>
          <w:szCs w:val="18"/>
        </w:rPr>
        <w:t xml:space="preserve"> descripción funcional de los procesos de ejecución financiera, contabilidad y rendición de cuentas, pero no llegaron a informatizarse dichos procesos en el nuevo SIAF. Por decisión del Gobierno, algunas de las mejoras identificadas en los procesos fueron implementadas en el</w:t>
      </w:r>
      <w:r>
        <w:rPr>
          <w:rFonts w:ascii="Arial" w:hAnsi="Arial" w:cs="Arial"/>
          <w:sz w:val="18"/>
          <w:szCs w:val="18"/>
        </w:rPr>
        <w:t xml:space="preserve"> sistema existente</w:t>
      </w:r>
      <w:r w:rsidRPr="00345FCD">
        <w:rPr>
          <w:rFonts w:ascii="Arial" w:hAnsi="Arial" w:cs="Arial"/>
          <w:sz w:val="18"/>
          <w:szCs w:val="18"/>
        </w:rPr>
        <w:t xml:space="preserve"> </w:t>
      </w:r>
      <w:r>
        <w:rPr>
          <w:rFonts w:ascii="Arial" w:hAnsi="Arial" w:cs="Arial"/>
          <w:sz w:val="18"/>
          <w:szCs w:val="18"/>
        </w:rPr>
        <w:t>(</w:t>
      </w:r>
      <w:r w:rsidRPr="00345FCD">
        <w:rPr>
          <w:rFonts w:ascii="Arial" w:hAnsi="Arial" w:cs="Arial"/>
          <w:sz w:val="18"/>
          <w:szCs w:val="18"/>
        </w:rPr>
        <w:t>SIAF-SP</w:t>
      </w:r>
      <w:r>
        <w:rPr>
          <w:rFonts w:ascii="Arial" w:hAnsi="Arial" w:cs="Arial"/>
          <w:sz w:val="18"/>
          <w:szCs w:val="18"/>
        </w:rPr>
        <w:t>)</w:t>
      </w:r>
      <w:r w:rsidRPr="00345FCD">
        <w:rPr>
          <w:rFonts w:ascii="Arial" w:hAnsi="Arial" w:cs="Arial"/>
          <w:sz w:val="18"/>
          <w:szCs w:val="18"/>
        </w:rPr>
        <w:t>.</w:t>
      </w:r>
    </w:p>
  </w:footnote>
  <w:footnote w:id="9">
    <w:p w14:paraId="4D601DFD" w14:textId="430F6D65" w:rsidR="00D87B95" w:rsidRPr="00F37E18" w:rsidRDefault="00D87B95" w:rsidP="00D17FF5">
      <w:pPr>
        <w:pStyle w:val="FootnoteText"/>
        <w:ind w:left="270" w:hanging="270"/>
      </w:pPr>
      <w:r>
        <w:rPr>
          <w:rStyle w:val="FootnoteReference"/>
        </w:rPr>
        <w:footnoteRef/>
      </w:r>
      <w:r>
        <w:t xml:space="preserve"> </w:t>
      </w:r>
      <w:r>
        <w:tab/>
      </w:r>
      <w:r w:rsidRPr="00BD0C3A">
        <w:rPr>
          <w:rFonts w:ascii="Arial" w:hAnsi="Arial" w:cs="Arial"/>
          <w:sz w:val="18"/>
          <w:szCs w:val="18"/>
        </w:rPr>
        <w:t>También merecen ser mencionados Arenas de Mesa, 2016 y Finan et al., 2017</w:t>
      </w:r>
      <w:r w:rsidRPr="00F37E18">
        <w:rPr>
          <w:rFonts w:ascii="Arial" w:hAnsi="Arial" w:cs="Arial"/>
          <w:sz w:val="18"/>
          <w:szCs w:val="18"/>
        </w:rPr>
        <w:t>.</w:t>
      </w:r>
    </w:p>
  </w:footnote>
  <w:footnote w:id="10">
    <w:p w14:paraId="63389679" w14:textId="39584D08" w:rsidR="00D87B95" w:rsidRPr="00032E0F" w:rsidRDefault="00D87B95" w:rsidP="00265302">
      <w:pPr>
        <w:pStyle w:val="FootnoteText"/>
        <w:ind w:left="180" w:hanging="180"/>
      </w:pPr>
      <w:r>
        <w:rPr>
          <w:rStyle w:val="FootnoteReference"/>
        </w:rPr>
        <w:footnoteRef/>
      </w:r>
      <w:r>
        <w:t xml:space="preserve"> </w:t>
      </w:r>
      <w:r w:rsidRPr="0075347E">
        <w:rPr>
          <w:rFonts w:ascii="Arial" w:hAnsi="Arial" w:cs="Arial"/>
          <w:sz w:val="18"/>
          <w:szCs w:val="18"/>
        </w:rPr>
        <w:t>“Costos de implementación del macroproceso de Ejecución Fiscal y Rendición de Cuentas, la cual fue realizada en mayo de 2016, por el consultor Marcelo López</w:t>
      </w:r>
    </w:p>
  </w:footnote>
  <w:footnote w:id="11">
    <w:p w14:paraId="4BAD012D" w14:textId="03EE58E3" w:rsidR="00D87B95" w:rsidRPr="00032E0F" w:rsidRDefault="00D87B95" w:rsidP="00265302">
      <w:pPr>
        <w:pStyle w:val="FootnoteText"/>
        <w:ind w:left="90" w:hanging="180"/>
        <w:jc w:val="both"/>
      </w:pPr>
      <w:r>
        <w:rPr>
          <w:rStyle w:val="FootnoteReference"/>
        </w:rPr>
        <w:footnoteRef/>
      </w:r>
      <w:r>
        <w:t xml:space="preserve"> </w:t>
      </w:r>
      <w:r w:rsidRPr="00384D55">
        <w:rPr>
          <w:rFonts w:ascii="Arial" w:hAnsi="Arial" w:cs="Arial"/>
          <w:sz w:val="18"/>
          <w:szCs w:val="18"/>
        </w:rPr>
        <w:t xml:space="preserve">Descripciones definidas en informe del consultor Mauro Fridman - </w:t>
      </w:r>
      <w:r w:rsidRPr="00384D55">
        <w:rPr>
          <w:rFonts w:ascii="Arial" w:hAnsi="Arial" w:cs="Arial"/>
          <w:bCs/>
          <w:iCs/>
          <w:sz w:val="18"/>
          <w:szCs w:val="18"/>
        </w:rPr>
        <w:t>"Evaluación Situacional del Proyecto "Modernización del Sistema de Administración Financiera Pública para Mejorar la Programación, Ejecución y Rendición de Cuentas de los Recursos Públicos"- Contrato de Préstamo N° 2445/0C-PE y la Formulación de una Propuesta de Estrategia que permita la Continuidad del Proyecto - Consultor Funcional</w:t>
      </w:r>
    </w:p>
  </w:footnote>
  <w:footnote w:id="12">
    <w:p w14:paraId="53FC1AC8" w14:textId="77777777" w:rsidR="00D87B95" w:rsidRPr="00E52B1F" w:rsidRDefault="00D87B95" w:rsidP="00265302">
      <w:pPr>
        <w:pStyle w:val="FootnoteText"/>
        <w:ind w:left="180" w:hanging="180"/>
        <w:rPr>
          <w:rFonts w:ascii="Arial" w:hAnsi="Arial" w:cs="Arial"/>
          <w:b/>
          <w:bCs/>
          <w:sz w:val="18"/>
          <w:szCs w:val="18"/>
          <w:lang w:val="es-CL"/>
        </w:rPr>
      </w:pPr>
      <w:r w:rsidRPr="00E52B1F">
        <w:rPr>
          <w:rStyle w:val="FootnoteReference"/>
          <w:rFonts w:ascii="Arial" w:hAnsi="Arial" w:cs="Arial"/>
          <w:sz w:val="18"/>
          <w:szCs w:val="18"/>
        </w:rPr>
        <w:footnoteRef/>
      </w:r>
      <w:r w:rsidRPr="00E52B1F">
        <w:rPr>
          <w:rFonts w:ascii="Arial" w:hAnsi="Arial" w:cs="Arial"/>
          <w:sz w:val="18"/>
          <w:szCs w:val="18"/>
        </w:rPr>
        <w:t xml:space="preserve"> Reporte de Evaluación de Avance de Proyecto</w:t>
      </w:r>
      <w:r w:rsidRPr="00E52B1F">
        <w:rPr>
          <w:rFonts w:ascii="Arial" w:hAnsi="Arial" w:cs="Arial"/>
          <w:b/>
          <w:sz w:val="18"/>
          <w:szCs w:val="18"/>
        </w:rPr>
        <w:t xml:space="preserve">, </w:t>
      </w:r>
      <w:r w:rsidRPr="00E52B1F">
        <w:rPr>
          <w:rFonts w:ascii="Arial" w:hAnsi="Arial" w:cs="Arial"/>
          <w:sz w:val="18"/>
          <w:szCs w:val="18"/>
        </w:rPr>
        <w:t xml:space="preserve">William </w:t>
      </w:r>
      <w:proofErr w:type="spellStart"/>
      <w:r w:rsidRPr="00E52B1F">
        <w:rPr>
          <w:rFonts w:ascii="Arial" w:hAnsi="Arial" w:cs="Arial"/>
          <w:sz w:val="18"/>
          <w:szCs w:val="18"/>
        </w:rPr>
        <w:t>Inafuku</w:t>
      </w:r>
      <w:proofErr w:type="spellEnd"/>
      <w:r w:rsidRPr="00E52B1F">
        <w:rPr>
          <w:rFonts w:ascii="Arial" w:hAnsi="Arial" w:cs="Arial"/>
          <w:sz w:val="18"/>
          <w:szCs w:val="18"/>
        </w:rPr>
        <w:t xml:space="preserve">, Víctor </w:t>
      </w:r>
      <w:proofErr w:type="spellStart"/>
      <w:r w:rsidRPr="00E52B1F">
        <w:rPr>
          <w:rFonts w:ascii="Arial" w:hAnsi="Arial" w:cs="Arial"/>
          <w:sz w:val="18"/>
          <w:szCs w:val="18"/>
        </w:rPr>
        <w:t>Shiguiyama</w:t>
      </w:r>
      <w:proofErr w:type="spellEnd"/>
      <w:r w:rsidRPr="00E52B1F">
        <w:rPr>
          <w:rFonts w:ascii="Arial" w:hAnsi="Arial" w:cs="Arial"/>
          <w:sz w:val="18"/>
          <w:szCs w:val="18"/>
        </w:rPr>
        <w:t xml:space="preserve"> y Jesús Farfán, 2014, el cual utiliza métricas del especialista Steve </w:t>
      </w:r>
      <w:proofErr w:type="spellStart"/>
      <w:r w:rsidRPr="00E52B1F">
        <w:rPr>
          <w:rFonts w:ascii="Arial" w:hAnsi="Arial" w:cs="Arial"/>
          <w:sz w:val="18"/>
          <w:szCs w:val="18"/>
        </w:rPr>
        <w:t>McConnel</w:t>
      </w:r>
      <w:proofErr w:type="spellEnd"/>
      <w:r w:rsidRPr="00E52B1F">
        <w:rPr>
          <w:rFonts w:ascii="Arial" w:hAnsi="Arial" w:cs="Arial"/>
          <w:sz w:val="18"/>
          <w:szCs w:val="18"/>
        </w:rPr>
        <w:t xml:space="preserve">, descritas en su publicación, </w:t>
      </w:r>
      <w:r w:rsidRPr="00E52B1F">
        <w:rPr>
          <w:rFonts w:ascii="Arial" w:eastAsiaTheme="majorEastAsia" w:hAnsi="Arial" w:cs="Arial"/>
          <w:bCs/>
          <w:sz w:val="18"/>
          <w:szCs w:val="18"/>
          <w:lang w:val="es-CL"/>
        </w:rPr>
        <w:t xml:space="preserve">Software </w:t>
      </w:r>
      <w:proofErr w:type="spellStart"/>
      <w:r w:rsidRPr="00E52B1F">
        <w:rPr>
          <w:rFonts w:ascii="Arial" w:eastAsiaTheme="majorEastAsia" w:hAnsi="Arial" w:cs="Arial"/>
          <w:bCs/>
          <w:sz w:val="18"/>
          <w:szCs w:val="18"/>
          <w:lang w:val="es-CL"/>
        </w:rPr>
        <w:t>Estimation</w:t>
      </w:r>
      <w:proofErr w:type="spellEnd"/>
      <w:r w:rsidRPr="00E52B1F">
        <w:rPr>
          <w:rFonts w:ascii="Arial" w:eastAsiaTheme="majorEastAsia" w:hAnsi="Arial" w:cs="Arial"/>
          <w:bCs/>
          <w:sz w:val="18"/>
          <w:szCs w:val="18"/>
          <w:lang w:val="es-CL"/>
        </w:rPr>
        <w:t xml:space="preserve">: </w:t>
      </w:r>
      <w:proofErr w:type="spellStart"/>
      <w:r w:rsidRPr="00E52B1F">
        <w:rPr>
          <w:rFonts w:ascii="Arial" w:eastAsiaTheme="majorEastAsia" w:hAnsi="Arial" w:cs="Arial"/>
          <w:bCs/>
          <w:sz w:val="18"/>
          <w:szCs w:val="18"/>
          <w:lang w:val="es-CL"/>
        </w:rPr>
        <w:t>Demystifying</w:t>
      </w:r>
      <w:proofErr w:type="spellEnd"/>
      <w:r w:rsidRPr="00E52B1F">
        <w:rPr>
          <w:rFonts w:ascii="Arial" w:eastAsiaTheme="majorEastAsia" w:hAnsi="Arial" w:cs="Arial"/>
          <w:bCs/>
          <w:sz w:val="18"/>
          <w:szCs w:val="18"/>
          <w:lang w:val="es-CL"/>
        </w:rPr>
        <w:t xml:space="preserve"> the Black Art: The Black Art </w:t>
      </w:r>
      <w:proofErr w:type="spellStart"/>
      <w:r w:rsidRPr="00E52B1F">
        <w:rPr>
          <w:rFonts w:ascii="Arial" w:eastAsiaTheme="majorEastAsia" w:hAnsi="Arial" w:cs="Arial"/>
          <w:bCs/>
          <w:sz w:val="18"/>
          <w:szCs w:val="18"/>
          <w:lang w:val="es-CL"/>
        </w:rPr>
        <w:t>Demystified</w:t>
      </w:r>
      <w:proofErr w:type="spellEnd"/>
      <w:r w:rsidRPr="00E52B1F">
        <w:rPr>
          <w:rFonts w:ascii="Arial" w:hAnsi="Arial" w:cs="Arial"/>
          <w:bCs/>
          <w:sz w:val="18"/>
          <w:szCs w:val="18"/>
          <w:lang w:val="es-CL"/>
        </w:rPr>
        <w:t xml:space="preserve">, Steve </w:t>
      </w:r>
      <w:proofErr w:type="spellStart"/>
      <w:r w:rsidRPr="00E52B1F">
        <w:rPr>
          <w:rFonts w:ascii="Arial" w:hAnsi="Arial" w:cs="Arial"/>
          <w:bCs/>
          <w:sz w:val="18"/>
          <w:szCs w:val="18"/>
          <w:lang w:val="es-CL"/>
        </w:rPr>
        <w:t>McConnel</w:t>
      </w:r>
      <w:proofErr w:type="spellEnd"/>
      <w:r w:rsidRPr="00E52B1F">
        <w:rPr>
          <w:rFonts w:ascii="Arial" w:hAnsi="Arial" w:cs="Arial"/>
          <w:bCs/>
          <w:sz w:val="18"/>
          <w:szCs w:val="18"/>
          <w:lang w:val="es-CL"/>
        </w:rPr>
        <w:t>, 2006</w:t>
      </w:r>
    </w:p>
  </w:footnote>
  <w:footnote w:id="13">
    <w:p w14:paraId="6781BE1B" w14:textId="77777777" w:rsidR="00D87B95" w:rsidRPr="004F269F" w:rsidRDefault="00D87B95" w:rsidP="00265302">
      <w:pPr>
        <w:pStyle w:val="FootnoteText"/>
        <w:ind w:left="180" w:hanging="180"/>
        <w:rPr>
          <w:bCs/>
          <w:lang w:val="es-CL"/>
        </w:rPr>
      </w:pPr>
      <w:r w:rsidRPr="00E52B1F">
        <w:rPr>
          <w:rStyle w:val="FootnoteReference"/>
          <w:rFonts w:ascii="Arial" w:hAnsi="Arial" w:cs="Arial"/>
          <w:sz w:val="18"/>
          <w:szCs w:val="18"/>
        </w:rPr>
        <w:footnoteRef/>
      </w:r>
      <w:r w:rsidRPr="00E52B1F">
        <w:rPr>
          <w:rFonts w:ascii="Arial" w:hAnsi="Arial" w:cs="Arial"/>
          <w:sz w:val="18"/>
          <w:szCs w:val="18"/>
        </w:rPr>
        <w:t xml:space="preserve"> </w:t>
      </w:r>
      <w:r w:rsidRPr="00E52B1F">
        <w:rPr>
          <w:rFonts w:ascii="Arial" w:hAnsi="Arial" w:cs="Arial"/>
          <w:bCs/>
          <w:sz w:val="18"/>
          <w:szCs w:val="18"/>
          <w:lang w:val="es-CL"/>
        </w:rPr>
        <w:t xml:space="preserve">Modelo de </w:t>
      </w:r>
      <w:proofErr w:type="spellStart"/>
      <w:r w:rsidRPr="00E52B1F">
        <w:rPr>
          <w:rFonts w:ascii="Arial" w:hAnsi="Arial" w:cs="Arial"/>
          <w:bCs/>
          <w:sz w:val="18"/>
          <w:szCs w:val="18"/>
          <w:lang w:val="es-CL"/>
        </w:rPr>
        <w:t>Análisis</w:t>
      </w:r>
      <w:proofErr w:type="spellEnd"/>
      <w:r w:rsidRPr="00E52B1F">
        <w:rPr>
          <w:rFonts w:ascii="Arial" w:hAnsi="Arial" w:cs="Arial"/>
          <w:bCs/>
          <w:sz w:val="18"/>
          <w:szCs w:val="18"/>
          <w:lang w:val="es-CL"/>
        </w:rPr>
        <w:t xml:space="preserve"> Costos-Beneficio para Sistemas Integrados de </w:t>
      </w:r>
      <w:proofErr w:type="spellStart"/>
      <w:r w:rsidRPr="00E52B1F">
        <w:rPr>
          <w:rFonts w:ascii="Arial" w:hAnsi="Arial" w:cs="Arial"/>
          <w:bCs/>
          <w:sz w:val="18"/>
          <w:szCs w:val="18"/>
          <w:lang w:val="es-CL"/>
        </w:rPr>
        <w:t>Administración</w:t>
      </w:r>
      <w:proofErr w:type="spellEnd"/>
      <w:r w:rsidRPr="00E52B1F">
        <w:rPr>
          <w:rFonts w:ascii="Arial" w:hAnsi="Arial" w:cs="Arial"/>
          <w:bCs/>
          <w:sz w:val="18"/>
          <w:szCs w:val="18"/>
          <w:lang w:val="es-CL"/>
        </w:rPr>
        <w:t xml:space="preserve"> Financiera (SIAF) Alejandro Barros, BID # IDB-DP-198, 2011</w:t>
      </w:r>
    </w:p>
  </w:footnote>
  <w:footnote w:id="14">
    <w:p w14:paraId="47258203" w14:textId="74E778E7" w:rsidR="00D87B95" w:rsidRPr="00E12061" w:rsidRDefault="00D87B95" w:rsidP="00D17FF5">
      <w:pPr>
        <w:pStyle w:val="FootnoteText"/>
        <w:ind w:left="270" w:hanging="270"/>
        <w:jc w:val="both"/>
        <w:rPr>
          <w:rFonts w:ascii="Arial" w:hAnsi="Arial" w:cs="Arial"/>
          <w:sz w:val="18"/>
          <w:szCs w:val="18"/>
        </w:rPr>
      </w:pPr>
      <w:r w:rsidRPr="00E12061">
        <w:rPr>
          <w:rStyle w:val="FootnoteReference"/>
          <w:rFonts w:ascii="Arial" w:hAnsi="Arial" w:cs="Arial"/>
          <w:sz w:val="18"/>
          <w:szCs w:val="18"/>
        </w:rPr>
        <w:footnoteRef/>
      </w:r>
      <w:r w:rsidRPr="00E12061">
        <w:rPr>
          <w:rFonts w:ascii="Arial" w:hAnsi="Arial" w:cs="Arial"/>
          <w:sz w:val="18"/>
          <w:szCs w:val="18"/>
        </w:rPr>
        <w:t xml:space="preserve"> </w:t>
      </w:r>
      <w:r>
        <w:rPr>
          <w:rFonts w:ascii="Arial" w:hAnsi="Arial" w:cs="Arial"/>
          <w:sz w:val="18"/>
          <w:szCs w:val="18"/>
        </w:rPr>
        <w:tab/>
      </w:r>
      <w:r w:rsidRPr="00E12061">
        <w:rPr>
          <w:rFonts w:ascii="Arial" w:hAnsi="Arial" w:cs="Arial"/>
          <w:sz w:val="18"/>
          <w:szCs w:val="18"/>
        </w:rPr>
        <w:t xml:space="preserve">Con el Programa se </w:t>
      </w:r>
      <w:r>
        <w:rPr>
          <w:rFonts w:ascii="Arial" w:hAnsi="Arial" w:cs="Arial"/>
          <w:sz w:val="18"/>
          <w:szCs w:val="18"/>
        </w:rPr>
        <w:t>elaboró</w:t>
      </w:r>
      <w:r w:rsidRPr="00E12061">
        <w:rPr>
          <w:rFonts w:ascii="Arial" w:hAnsi="Arial" w:cs="Arial"/>
          <w:sz w:val="18"/>
          <w:szCs w:val="18"/>
        </w:rPr>
        <w:t xml:space="preserve"> el modelo conceptual y</w:t>
      </w:r>
      <w:r>
        <w:rPr>
          <w:rFonts w:ascii="Arial" w:hAnsi="Arial" w:cs="Arial"/>
          <w:sz w:val="18"/>
          <w:szCs w:val="18"/>
        </w:rPr>
        <w:t xml:space="preserve"> la</w:t>
      </w:r>
      <w:r w:rsidRPr="00E12061">
        <w:rPr>
          <w:rFonts w:ascii="Arial" w:hAnsi="Arial" w:cs="Arial"/>
          <w:sz w:val="18"/>
          <w:szCs w:val="18"/>
        </w:rPr>
        <w:t xml:space="preserve"> descripción funcional de los procesos de ejecución financiera, contabilidad y rendición de cuentas, pero no llegaron a informatizarse dichos procesos en el nuevo SIAF. Por decisión del </w:t>
      </w:r>
      <w:r>
        <w:rPr>
          <w:rFonts w:ascii="Arial" w:hAnsi="Arial" w:cs="Arial"/>
          <w:sz w:val="18"/>
          <w:szCs w:val="18"/>
        </w:rPr>
        <w:t>G</w:t>
      </w:r>
      <w:r w:rsidRPr="00E12061">
        <w:rPr>
          <w:rFonts w:ascii="Arial" w:hAnsi="Arial" w:cs="Arial"/>
          <w:sz w:val="18"/>
          <w:szCs w:val="18"/>
        </w:rPr>
        <w:t xml:space="preserve">obierno, algunas de las mejoras </w:t>
      </w:r>
      <w:r>
        <w:rPr>
          <w:rFonts w:ascii="Arial" w:hAnsi="Arial" w:cs="Arial"/>
          <w:sz w:val="18"/>
          <w:szCs w:val="18"/>
        </w:rPr>
        <w:t>identificadas en los</w:t>
      </w:r>
      <w:r w:rsidRPr="00E12061">
        <w:rPr>
          <w:rFonts w:ascii="Arial" w:hAnsi="Arial" w:cs="Arial"/>
          <w:sz w:val="18"/>
          <w:szCs w:val="18"/>
        </w:rPr>
        <w:t xml:space="preserve"> procesos fueron implementadas en el </w:t>
      </w:r>
      <w:r>
        <w:rPr>
          <w:rFonts w:ascii="Arial" w:hAnsi="Arial" w:cs="Arial"/>
          <w:sz w:val="18"/>
          <w:szCs w:val="18"/>
        </w:rPr>
        <w:t>sistema existente (</w:t>
      </w:r>
      <w:r w:rsidRPr="00E12061">
        <w:rPr>
          <w:rFonts w:ascii="Arial" w:hAnsi="Arial" w:cs="Arial"/>
          <w:sz w:val="18"/>
          <w:szCs w:val="18"/>
        </w:rPr>
        <w:t>SIAF-SP</w:t>
      </w:r>
      <w:r>
        <w:rPr>
          <w:rFonts w:ascii="Arial" w:hAnsi="Arial" w:cs="Arial"/>
          <w:sz w:val="18"/>
          <w:szCs w:val="18"/>
        </w:rPr>
        <w:t>)</w:t>
      </w:r>
      <w:r w:rsidRPr="00E12061">
        <w:rPr>
          <w:rFonts w:ascii="Arial" w:hAnsi="Arial" w:cs="Arial"/>
          <w:sz w:val="18"/>
          <w:szCs w:val="18"/>
        </w:rPr>
        <w:t>.</w:t>
      </w:r>
    </w:p>
  </w:footnote>
  <w:footnote w:id="15">
    <w:p w14:paraId="2CD32E49" w14:textId="1BB08F20" w:rsidR="00D87B95" w:rsidRPr="00A51DDE" w:rsidRDefault="00D87B95" w:rsidP="00D17FF5">
      <w:pPr>
        <w:pStyle w:val="FootnoteText"/>
        <w:ind w:left="270" w:hanging="270"/>
        <w:jc w:val="both"/>
        <w:rPr>
          <w:rFonts w:ascii="Arial" w:hAnsi="Arial" w:cs="Arial"/>
          <w:sz w:val="18"/>
          <w:szCs w:val="18"/>
          <w:lang w:val="es-ES"/>
        </w:rPr>
      </w:pPr>
      <w:r w:rsidRPr="00A51DDE">
        <w:rPr>
          <w:rStyle w:val="FootnoteReference"/>
          <w:rFonts w:ascii="Arial" w:hAnsi="Arial" w:cs="Arial"/>
          <w:sz w:val="18"/>
          <w:szCs w:val="18"/>
        </w:rPr>
        <w:footnoteRef/>
      </w:r>
      <w:r w:rsidRPr="00A51DDE">
        <w:rPr>
          <w:rFonts w:ascii="Arial" w:hAnsi="Arial" w:cs="Arial"/>
          <w:sz w:val="18"/>
          <w:szCs w:val="18"/>
        </w:rPr>
        <w:t xml:space="preserve"> </w:t>
      </w:r>
      <w:r>
        <w:rPr>
          <w:rFonts w:ascii="Arial" w:hAnsi="Arial" w:cs="Arial"/>
          <w:sz w:val="18"/>
          <w:szCs w:val="18"/>
        </w:rPr>
        <w:tab/>
      </w:r>
      <w:r w:rsidRPr="00A51DDE">
        <w:rPr>
          <w:rFonts w:ascii="Arial" w:hAnsi="Arial" w:cs="Arial"/>
          <w:sz w:val="18"/>
          <w:szCs w:val="18"/>
          <w:lang w:val="es-ES"/>
        </w:rPr>
        <w:t xml:space="preserve">Por ejemplo, el jefe del EE era un </w:t>
      </w:r>
      <w:r>
        <w:rPr>
          <w:rFonts w:ascii="Arial" w:hAnsi="Arial" w:cs="Arial"/>
          <w:sz w:val="18"/>
          <w:szCs w:val="18"/>
          <w:lang w:val="es-ES"/>
        </w:rPr>
        <w:t>doctor en medicina</w:t>
      </w:r>
      <w:r w:rsidRPr="00A51DDE">
        <w:rPr>
          <w:rFonts w:ascii="Arial" w:hAnsi="Arial" w:cs="Arial"/>
          <w:sz w:val="18"/>
          <w:szCs w:val="18"/>
          <w:lang w:val="es-ES"/>
        </w:rPr>
        <w:t xml:space="preserve"> </w:t>
      </w:r>
      <w:r>
        <w:rPr>
          <w:rFonts w:ascii="Arial" w:hAnsi="Arial" w:cs="Arial"/>
          <w:sz w:val="18"/>
          <w:szCs w:val="18"/>
          <w:lang w:val="es-ES"/>
        </w:rPr>
        <w:t>con experiencia en ejecución de proyectos de salud.</w:t>
      </w:r>
      <w:r w:rsidRPr="00A51DDE">
        <w:rPr>
          <w:rFonts w:ascii="Arial" w:hAnsi="Arial" w:cs="Arial"/>
          <w:sz w:val="18"/>
          <w:szCs w:val="18"/>
          <w:lang w:val="es-ES"/>
        </w:rPr>
        <w:t xml:space="preserve"> </w:t>
      </w:r>
      <w:r>
        <w:rPr>
          <w:rFonts w:ascii="Arial" w:hAnsi="Arial" w:cs="Arial"/>
          <w:sz w:val="18"/>
          <w:szCs w:val="18"/>
          <w:lang w:val="es-ES"/>
        </w:rPr>
        <w:t xml:space="preserve">Los demás miembros del equipo eran todos consultores externos no vinculados a los ORs involucrados.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81D2" w14:textId="77777777" w:rsidR="00D87B95" w:rsidRDefault="00D8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C1C8" w14:textId="77777777" w:rsidR="00D87B95" w:rsidRDefault="00D8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hybridMultilevel"/>
    <w:tmpl w:val="737B8DDC"/>
    <w:lvl w:ilvl="0" w:tplc="FFFFFFFF">
      <w:start w:val="1"/>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6CEAF086"/>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A"/>
    <w:multiLevelType w:val="hybridMultilevel"/>
    <w:tmpl w:val="2463B9EA"/>
    <w:lvl w:ilvl="0" w:tplc="FFFFFFFF">
      <w:start w:val="18"/>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B"/>
    <w:multiLevelType w:val="hybridMultilevel"/>
    <w:tmpl w:val="5E884A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C"/>
    <w:multiLevelType w:val="hybridMultilevel"/>
    <w:tmpl w:val="51EAD36A"/>
    <w:lvl w:ilvl="0" w:tplc="FFFFFFFF">
      <w:start w:val="24"/>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D"/>
    <w:multiLevelType w:val="hybridMultilevel"/>
    <w:tmpl w:val="2D517796"/>
    <w:lvl w:ilvl="0" w:tplc="FFFFFFFF">
      <w:start w:val="27"/>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E"/>
    <w:multiLevelType w:val="hybridMultilevel"/>
    <w:tmpl w:val="580BD78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F"/>
    <w:multiLevelType w:val="hybridMultilevel"/>
    <w:tmpl w:val="153EA438"/>
    <w:lvl w:ilvl="0" w:tplc="FFFFFFFF">
      <w:start w:val="30"/>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0"/>
    <w:multiLevelType w:val="hybridMultilevel"/>
    <w:tmpl w:val="3855585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1"/>
    <w:multiLevelType w:val="hybridMultilevel"/>
    <w:tmpl w:val="70A64E2A"/>
    <w:lvl w:ilvl="0" w:tplc="FFFFFFFF">
      <w:start w:val="35"/>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51E0D4D"/>
    <w:multiLevelType w:val="hybridMultilevel"/>
    <w:tmpl w:val="2FDEA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24170"/>
    <w:multiLevelType w:val="hybridMultilevel"/>
    <w:tmpl w:val="F952449C"/>
    <w:lvl w:ilvl="0" w:tplc="043CBAFC">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BE6FA9"/>
    <w:multiLevelType w:val="hybridMultilevel"/>
    <w:tmpl w:val="7904F156"/>
    <w:lvl w:ilvl="0" w:tplc="074C4D1C">
      <w:start w:val="1"/>
      <w:numFmt w:val="upperLetter"/>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A1B2199"/>
    <w:multiLevelType w:val="multilevel"/>
    <w:tmpl w:val="900CB0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ED2A0A"/>
    <w:multiLevelType w:val="hybridMultilevel"/>
    <w:tmpl w:val="1402D2D8"/>
    <w:lvl w:ilvl="0" w:tplc="B5EA78E4">
      <w:start w:val="3"/>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233FD"/>
    <w:multiLevelType w:val="hybridMultilevel"/>
    <w:tmpl w:val="3A18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5D4DD2"/>
    <w:multiLevelType w:val="multilevel"/>
    <w:tmpl w:val="52B2F5C4"/>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7" w15:restartNumberingAfterBreak="0">
    <w:nsid w:val="23D00F68"/>
    <w:multiLevelType w:val="multilevel"/>
    <w:tmpl w:val="87B49B6C"/>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 w15:restartNumberingAfterBreak="0">
    <w:nsid w:val="269012AC"/>
    <w:multiLevelType w:val="hybridMultilevel"/>
    <w:tmpl w:val="F014C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6540A"/>
    <w:multiLevelType w:val="hybridMultilevel"/>
    <w:tmpl w:val="73BC6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7134E32"/>
    <w:multiLevelType w:val="hybridMultilevel"/>
    <w:tmpl w:val="FAA89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CF6F14"/>
    <w:multiLevelType w:val="multilevel"/>
    <w:tmpl w:val="205CF3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8225455"/>
    <w:multiLevelType w:val="hybridMultilevel"/>
    <w:tmpl w:val="DDF6E8DA"/>
    <w:lvl w:ilvl="0" w:tplc="CD4A43A0">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DE2302"/>
    <w:multiLevelType w:val="multilevel"/>
    <w:tmpl w:val="07DCD83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15:restartNumberingAfterBreak="0">
    <w:nsid w:val="2DF668E0"/>
    <w:multiLevelType w:val="hybridMultilevel"/>
    <w:tmpl w:val="6032B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90E25"/>
    <w:multiLevelType w:val="hybridMultilevel"/>
    <w:tmpl w:val="EAC8939C"/>
    <w:lvl w:ilvl="0" w:tplc="B3A8B3E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15:restartNumberingAfterBreak="0">
    <w:nsid w:val="309E5A1F"/>
    <w:multiLevelType w:val="hybridMultilevel"/>
    <w:tmpl w:val="817CF6E0"/>
    <w:lvl w:ilvl="0" w:tplc="2CFE54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3F030A2"/>
    <w:multiLevelType w:val="hybridMultilevel"/>
    <w:tmpl w:val="EC8EC8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34933981"/>
    <w:multiLevelType w:val="hybridMultilevel"/>
    <w:tmpl w:val="93629D48"/>
    <w:lvl w:ilvl="0" w:tplc="42F87CBA">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393B34"/>
    <w:multiLevelType w:val="hybridMultilevel"/>
    <w:tmpl w:val="0E0068AA"/>
    <w:lvl w:ilvl="0" w:tplc="0A187C14">
      <w:start w:val="3"/>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235990"/>
    <w:multiLevelType w:val="hybridMultilevel"/>
    <w:tmpl w:val="53C29E58"/>
    <w:lvl w:ilvl="0" w:tplc="0DC83298">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6719A"/>
    <w:multiLevelType w:val="hybridMultilevel"/>
    <w:tmpl w:val="2FDEA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A1728D"/>
    <w:multiLevelType w:val="multilevel"/>
    <w:tmpl w:val="52B2F5C4"/>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3" w15:restartNumberingAfterBreak="0">
    <w:nsid w:val="42C96366"/>
    <w:multiLevelType w:val="hybridMultilevel"/>
    <w:tmpl w:val="88F49E78"/>
    <w:lvl w:ilvl="0" w:tplc="7A2415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31D01DE"/>
    <w:multiLevelType w:val="hybridMultilevel"/>
    <w:tmpl w:val="B594901E"/>
    <w:lvl w:ilvl="0" w:tplc="BE3C7EE0">
      <w:start w:val="2"/>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4A3FD8"/>
    <w:multiLevelType w:val="hybridMultilevel"/>
    <w:tmpl w:val="13088B40"/>
    <w:lvl w:ilvl="0" w:tplc="3E886D12">
      <w:start w:val="2"/>
      <w:numFmt w:val="decimal"/>
      <w:lvlText w:val="%1.2"/>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59F2E18"/>
    <w:multiLevelType w:val="hybridMultilevel"/>
    <w:tmpl w:val="3A18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F73A8A"/>
    <w:multiLevelType w:val="hybridMultilevel"/>
    <w:tmpl w:val="1B723002"/>
    <w:lvl w:ilvl="0" w:tplc="3DE004C0">
      <w:start w:val="3"/>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50E5E"/>
    <w:multiLevelType w:val="hybridMultilevel"/>
    <w:tmpl w:val="AAD8BBEE"/>
    <w:lvl w:ilvl="0" w:tplc="3E886D12">
      <w:start w:val="2"/>
      <w:numFmt w:val="decimal"/>
      <w:lvlText w:val="%1.2"/>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B276BF9"/>
    <w:multiLevelType w:val="hybridMultilevel"/>
    <w:tmpl w:val="7988F076"/>
    <w:lvl w:ilvl="0" w:tplc="5A201462">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4BCD4030"/>
    <w:multiLevelType w:val="hybridMultilevel"/>
    <w:tmpl w:val="B6D8FFD4"/>
    <w:lvl w:ilvl="0" w:tplc="57B2A87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1" w15:restartNumberingAfterBreak="0">
    <w:nsid w:val="4D4213BA"/>
    <w:multiLevelType w:val="multilevel"/>
    <w:tmpl w:val="E03638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FB47191"/>
    <w:multiLevelType w:val="multilevel"/>
    <w:tmpl w:val="D9308340"/>
    <w:lvl w:ilvl="0">
      <w:start w:val="1"/>
      <w:numFmt w:val="upperRoman"/>
      <w:lvlText w:val="%1."/>
      <w:lvlJc w:val="left"/>
      <w:pPr>
        <w:ind w:left="810" w:hanging="720"/>
      </w:pPr>
      <w:rPr>
        <w:rFonts w:hint="default"/>
      </w:rPr>
    </w:lvl>
    <w:lvl w:ilvl="1">
      <w:start w:val="1"/>
      <w:numFmt w:val="upperLetter"/>
      <w:isLgl/>
      <w:lvlText w:val="%2."/>
      <w:lvlJc w:val="left"/>
      <w:pPr>
        <w:ind w:left="450" w:hanging="360"/>
      </w:pPr>
      <w:rPr>
        <w:rFonts w:ascii="Arial" w:eastAsiaTheme="majorEastAsia" w:hAnsi="Arial" w:cs="Arial"/>
        <w:b w:val="0"/>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3" w15:restartNumberingAfterBreak="0">
    <w:nsid w:val="54533E73"/>
    <w:multiLevelType w:val="multilevel"/>
    <w:tmpl w:val="251E61FE"/>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4" w15:restartNumberingAfterBreak="0">
    <w:nsid w:val="5AA95096"/>
    <w:multiLevelType w:val="hybridMultilevel"/>
    <w:tmpl w:val="C53E6D92"/>
    <w:lvl w:ilvl="0" w:tplc="CDC24B6E">
      <w:start w:val="2"/>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40305A"/>
    <w:multiLevelType w:val="multilevel"/>
    <w:tmpl w:val="52B2F5C4"/>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6" w15:restartNumberingAfterBreak="0">
    <w:nsid w:val="6045111A"/>
    <w:multiLevelType w:val="hybridMultilevel"/>
    <w:tmpl w:val="8C843438"/>
    <w:lvl w:ilvl="0" w:tplc="3E886D12">
      <w:start w:val="2"/>
      <w:numFmt w:val="decimal"/>
      <w:lvlText w:val="%1.2"/>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3EC13B9"/>
    <w:multiLevelType w:val="hybridMultilevel"/>
    <w:tmpl w:val="8C52C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4014CD4"/>
    <w:multiLevelType w:val="hybridMultilevel"/>
    <w:tmpl w:val="4B5676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C5303E"/>
    <w:multiLevelType w:val="multilevel"/>
    <w:tmpl w:val="E026D5C0"/>
    <w:lvl w:ilvl="0">
      <w:start w:val="1"/>
      <w:numFmt w:val="upperRoman"/>
      <w:lvlRestart w:val="0"/>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296"/>
        </w:tabs>
        <w:ind w:left="1296" w:hanging="1296"/>
      </w:pPr>
      <w:rPr>
        <w:b/>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6825102E"/>
    <w:multiLevelType w:val="hybridMultilevel"/>
    <w:tmpl w:val="BBD6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4A3536"/>
    <w:multiLevelType w:val="hybridMultilevel"/>
    <w:tmpl w:val="4DD07D76"/>
    <w:lvl w:ilvl="0" w:tplc="2F402B76">
      <w:start w:val="3"/>
      <w:numFmt w:val="decimal"/>
      <w:lvlText w:val="%1.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C64DF2"/>
    <w:multiLevelType w:val="hybridMultilevel"/>
    <w:tmpl w:val="1A5EC9C0"/>
    <w:lvl w:ilvl="0" w:tplc="D2A0BD90">
      <w:start w:val="3"/>
      <w:numFmt w:val="decimal"/>
      <w:lvlText w:val="%1.2"/>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035D95"/>
    <w:multiLevelType w:val="hybridMultilevel"/>
    <w:tmpl w:val="33F810AC"/>
    <w:lvl w:ilvl="0" w:tplc="60681252">
      <w:start w:val="3"/>
      <w:numFmt w:val="decimal"/>
      <w:lvlText w:val="%1.5"/>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E71906"/>
    <w:multiLevelType w:val="hybridMultilevel"/>
    <w:tmpl w:val="7610C02A"/>
    <w:lvl w:ilvl="0" w:tplc="42F87CBA">
      <w:start w:val="2"/>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42"/>
  </w:num>
  <w:num w:numId="3">
    <w:abstractNumId w:val="49"/>
  </w:num>
  <w:num w:numId="4">
    <w:abstractNumId w:val="13"/>
  </w:num>
  <w:num w:numId="5">
    <w:abstractNumId w:val="12"/>
  </w:num>
  <w:num w:numId="6">
    <w:abstractNumId w:val="36"/>
  </w:num>
  <w:num w:numId="7">
    <w:abstractNumId w:val="26"/>
  </w:num>
  <w:num w:numId="8">
    <w:abstractNumId w:val="18"/>
  </w:num>
  <w:num w:numId="9">
    <w:abstractNumId w:val="33"/>
  </w:num>
  <w:num w:numId="10">
    <w:abstractNumId w:val="39"/>
  </w:num>
  <w:num w:numId="11">
    <w:abstractNumId w:val="24"/>
  </w:num>
  <w:num w:numId="12">
    <w:abstractNumId w:val="43"/>
  </w:num>
  <w:num w:numId="13">
    <w:abstractNumId w:val="45"/>
  </w:num>
  <w:num w:numId="14">
    <w:abstractNumId w:val="17"/>
  </w:num>
  <w:num w:numId="15">
    <w:abstractNumId w:val="16"/>
  </w:num>
  <w:num w:numId="16">
    <w:abstractNumId w:val="2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2"/>
  </w:num>
  <w:num w:numId="20">
    <w:abstractNumId w:val="15"/>
  </w:num>
  <w:num w:numId="21">
    <w:abstractNumId w:val="1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50"/>
  </w:num>
  <w:num w:numId="33">
    <w:abstractNumId w:val="47"/>
  </w:num>
  <w:num w:numId="34">
    <w:abstractNumId w:val="21"/>
  </w:num>
  <w:num w:numId="35">
    <w:abstractNumId w:val="41"/>
  </w:num>
  <w:num w:numId="36">
    <w:abstractNumId w:val="48"/>
  </w:num>
  <w:num w:numId="37">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52"/>
  </w:num>
  <w:num w:numId="40">
    <w:abstractNumId w:val="54"/>
  </w:num>
  <w:num w:numId="41">
    <w:abstractNumId w:val="51"/>
  </w:num>
  <w:num w:numId="42">
    <w:abstractNumId w:val="10"/>
  </w:num>
  <w:num w:numId="43">
    <w:abstractNumId w:val="31"/>
  </w:num>
  <w:num w:numId="44">
    <w:abstractNumId w:val="19"/>
  </w:num>
  <w:num w:numId="45">
    <w:abstractNumId w:val="28"/>
  </w:num>
  <w:num w:numId="46">
    <w:abstractNumId w:val="30"/>
  </w:num>
  <w:num w:numId="47">
    <w:abstractNumId w:val="46"/>
  </w:num>
  <w:num w:numId="48">
    <w:abstractNumId w:val="35"/>
  </w:num>
  <w:num w:numId="49">
    <w:abstractNumId w:val="29"/>
  </w:num>
  <w:num w:numId="50">
    <w:abstractNumId w:val="44"/>
  </w:num>
  <w:num w:numId="51">
    <w:abstractNumId w:val="14"/>
  </w:num>
  <w:num w:numId="52">
    <w:abstractNumId w:val="34"/>
  </w:num>
  <w:num w:numId="53">
    <w:abstractNumId w:val="37"/>
  </w:num>
  <w:num w:numId="54">
    <w:abstractNumId w:val="53"/>
  </w:num>
  <w:num w:numId="55">
    <w:abstractNumId w:val="22"/>
  </w:num>
  <w:num w:numId="56">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F"/>
    <w:rsid w:val="00001AB2"/>
    <w:rsid w:val="00001DEA"/>
    <w:rsid w:val="00003428"/>
    <w:rsid w:val="00003F13"/>
    <w:rsid w:val="00004522"/>
    <w:rsid w:val="0000461C"/>
    <w:rsid w:val="0000589E"/>
    <w:rsid w:val="00007472"/>
    <w:rsid w:val="000078A2"/>
    <w:rsid w:val="000101EA"/>
    <w:rsid w:val="000113AF"/>
    <w:rsid w:val="0001240D"/>
    <w:rsid w:val="00012B2B"/>
    <w:rsid w:val="000130A2"/>
    <w:rsid w:val="000131BC"/>
    <w:rsid w:val="00014135"/>
    <w:rsid w:val="00014317"/>
    <w:rsid w:val="00014F93"/>
    <w:rsid w:val="0001559A"/>
    <w:rsid w:val="00015F45"/>
    <w:rsid w:val="000160B3"/>
    <w:rsid w:val="000165A6"/>
    <w:rsid w:val="00022003"/>
    <w:rsid w:val="00022DFB"/>
    <w:rsid w:val="00022E26"/>
    <w:rsid w:val="000257C5"/>
    <w:rsid w:val="0002682C"/>
    <w:rsid w:val="00026C47"/>
    <w:rsid w:val="0002715B"/>
    <w:rsid w:val="000272BA"/>
    <w:rsid w:val="000315A1"/>
    <w:rsid w:val="00032E0F"/>
    <w:rsid w:val="00033571"/>
    <w:rsid w:val="00033BF2"/>
    <w:rsid w:val="00034279"/>
    <w:rsid w:val="00034D76"/>
    <w:rsid w:val="000362B6"/>
    <w:rsid w:val="000371A1"/>
    <w:rsid w:val="00041AF7"/>
    <w:rsid w:val="00043BD8"/>
    <w:rsid w:val="00044D9C"/>
    <w:rsid w:val="00044F64"/>
    <w:rsid w:val="00045155"/>
    <w:rsid w:val="00045F87"/>
    <w:rsid w:val="00046575"/>
    <w:rsid w:val="00047C93"/>
    <w:rsid w:val="00047F19"/>
    <w:rsid w:val="0005024C"/>
    <w:rsid w:val="00050C90"/>
    <w:rsid w:val="00050E7E"/>
    <w:rsid w:val="00050F1B"/>
    <w:rsid w:val="00054B1D"/>
    <w:rsid w:val="000570BF"/>
    <w:rsid w:val="00057E9B"/>
    <w:rsid w:val="00060D79"/>
    <w:rsid w:val="00062A7C"/>
    <w:rsid w:val="00062B58"/>
    <w:rsid w:val="0006414E"/>
    <w:rsid w:val="00070E46"/>
    <w:rsid w:val="000713F5"/>
    <w:rsid w:val="0007469C"/>
    <w:rsid w:val="000763D2"/>
    <w:rsid w:val="000767AB"/>
    <w:rsid w:val="00082806"/>
    <w:rsid w:val="000845F0"/>
    <w:rsid w:val="00085040"/>
    <w:rsid w:val="000856A6"/>
    <w:rsid w:val="000857E2"/>
    <w:rsid w:val="00085A23"/>
    <w:rsid w:val="000861AB"/>
    <w:rsid w:val="00086B27"/>
    <w:rsid w:val="000918FE"/>
    <w:rsid w:val="00092F8A"/>
    <w:rsid w:val="0009316C"/>
    <w:rsid w:val="00094525"/>
    <w:rsid w:val="000957D0"/>
    <w:rsid w:val="00095BDF"/>
    <w:rsid w:val="00096711"/>
    <w:rsid w:val="00097153"/>
    <w:rsid w:val="000A08CF"/>
    <w:rsid w:val="000A171D"/>
    <w:rsid w:val="000A5770"/>
    <w:rsid w:val="000A6290"/>
    <w:rsid w:val="000A6EC7"/>
    <w:rsid w:val="000B09CC"/>
    <w:rsid w:val="000B0F36"/>
    <w:rsid w:val="000B1A10"/>
    <w:rsid w:val="000B382E"/>
    <w:rsid w:val="000B432D"/>
    <w:rsid w:val="000B43DA"/>
    <w:rsid w:val="000B44BA"/>
    <w:rsid w:val="000B49F1"/>
    <w:rsid w:val="000B4C4C"/>
    <w:rsid w:val="000B50C9"/>
    <w:rsid w:val="000B7415"/>
    <w:rsid w:val="000B775B"/>
    <w:rsid w:val="000C007A"/>
    <w:rsid w:val="000C0316"/>
    <w:rsid w:val="000C0995"/>
    <w:rsid w:val="000C0A99"/>
    <w:rsid w:val="000C2C62"/>
    <w:rsid w:val="000C7139"/>
    <w:rsid w:val="000D0B3D"/>
    <w:rsid w:val="000D224D"/>
    <w:rsid w:val="000D27CB"/>
    <w:rsid w:val="000D36F7"/>
    <w:rsid w:val="000D3A8F"/>
    <w:rsid w:val="000D3F14"/>
    <w:rsid w:val="000D6E09"/>
    <w:rsid w:val="000D78E4"/>
    <w:rsid w:val="000D796A"/>
    <w:rsid w:val="000D7EBD"/>
    <w:rsid w:val="000E0F28"/>
    <w:rsid w:val="000E16A9"/>
    <w:rsid w:val="000E1991"/>
    <w:rsid w:val="000E271C"/>
    <w:rsid w:val="000E2990"/>
    <w:rsid w:val="000E6C94"/>
    <w:rsid w:val="000E7396"/>
    <w:rsid w:val="000F0431"/>
    <w:rsid w:val="000F05FD"/>
    <w:rsid w:val="000F06DC"/>
    <w:rsid w:val="000F0813"/>
    <w:rsid w:val="000F089B"/>
    <w:rsid w:val="000F12F1"/>
    <w:rsid w:val="000F1D68"/>
    <w:rsid w:val="000F1E78"/>
    <w:rsid w:val="000F29A4"/>
    <w:rsid w:val="000F37B8"/>
    <w:rsid w:val="000F48DF"/>
    <w:rsid w:val="000F713B"/>
    <w:rsid w:val="000F7A2F"/>
    <w:rsid w:val="001011EF"/>
    <w:rsid w:val="00101E13"/>
    <w:rsid w:val="0010352B"/>
    <w:rsid w:val="00106BDF"/>
    <w:rsid w:val="00113931"/>
    <w:rsid w:val="00114032"/>
    <w:rsid w:val="00117491"/>
    <w:rsid w:val="00120627"/>
    <w:rsid w:val="0012074C"/>
    <w:rsid w:val="001207CB"/>
    <w:rsid w:val="00120FCF"/>
    <w:rsid w:val="0012209B"/>
    <w:rsid w:val="00122211"/>
    <w:rsid w:val="00122F77"/>
    <w:rsid w:val="00124C06"/>
    <w:rsid w:val="00125E92"/>
    <w:rsid w:val="00126CF7"/>
    <w:rsid w:val="001270D0"/>
    <w:rsid w:val="00130078"/>
    <w:rsid w:val="00132027"/>
    <w:rsid w:val="00133149"/>
    <w:rsid w:val="00133212"/>
    <w:rsid w:val="001350BC"/>
    <w:rsid w:val="001358B1"/>
    <w:rsid w:val="00136522"/>
    <w:rsid w:val="00136952"/>
    <w:rsid w:val="00142404"/>
    <w:rsid w:val="00145492"/>
    <w:rsid w:val="00145BCD"/>
    <w:rsid w:val="00146BF4"/>
    <w:rsid w:val="00147718"/>
    <w:rsid w:val="00150362"/>
    <w:rsid w:val="00150D35"/>
    <w:rsid w:val="00150D61"/>
    <w:rsid w:val="00153578"/>
    <w:rsid w:val="00153628"/>
    <w:rsid w:val="001577D9"/>
    <w:rsid w:val="00157D20"/>
    <w:rsid w:val="0016021F"/>
    <w:rsid w:val="001620FE"/>
    <w:rsid w:val="00163128"/>
    <w:rsid w:val="00163E3D"/>
    <w:rsid w:val="0016439D"/>
    <w:rsid w:val="0016513A"/>
    <w:rsid w:val="00165DDA"/>
    <w:rsid w:val="00166043"/>
    <w:rsid w:val="00166094"/>
    <w:rsid w:val="0016696D"/>
    <w:rsid w:val="001671E2"/>
    <w:rsid w:val="00172516"/>
    <w:rsid w:val="00173BED"/>
    <w:rsid w:val="00173CE8"/>
    <w:rsid w:val="00176005"/>
    <w:rsid w:val="00176262"/>
    <w:rsid w:val="001825EA"/>
    <w:rsid w:val="001829E2"/>
    <w:rsid w:val="001842B8"/>
    <w:rsid w:val="00184F63"/>
    <w:rsid w:val="001860E6"/>
    <w:rsid w:val="001867CA"/>
    <w:rsid w:val="00187D94"/>
    <w:rsid w:val="00190398"/>
    <w:rsid w:val="0019146B"/>
    <w:rsid w:val="001917E4"/>
    <w:rsid w:val="00191EFF"/>
    <w:rsid w:val="001927B8"/>
    <w:rsid w:val="00193A45"/>
    <w:rsid w:val="00194111"/>
    <w:rsid w:val="0019462D"/>
    <w:rsid w:val="00195454"/>
    <w:rsid w:val="0019691F"/>
    <w:rsid w:val="001973AA"/>
    <w:rsid w:val="00197C4A"/>
    <w:rsid w:val="001A014A"/>
    <w:rsid w:val="001A0819"/>
    <w:rsid w:val="001A1877"/>
    <w:rsid w:val="001A6CC3"/>
    <w:rsid w:val="001B01F5"/>
    <w:rsid w:val="001B35C7"/>
    <w:rsid w:val="001B59A6"/>
    <w:rsid w:val="001B5B42"/>
    <w:rsid w:val="001C02A6"/>
    <w:rsid w:val="001C0BED"/>
    <w:rsid w:val="001C1AA8"/>
    <w:rsid w:val="001C324A"/>
    <w:rsid w:val="001C616C"/>
    <w:rsid w:val="001C628F"/>
    <w:rsid w:val="001D054C"/>
    <w:rsid w:val="001D34B5"/>
    <w:rsid w:val="001D7D7C"/>
    <w:rsid w:val="001E06D1"/>
    <w:rsid w:val="001E2709"/>
    <w:rsid w:val="001E2760"/>
    <w:rsid w:val="001F0FE6"/>
    <w:rsid w:val="001F1A45"/>
    <w:rsid w:val="001F1F26"/>
    <w:rsid w:val="001F25E9"/>
    <w:rsid w:val="001F5A75"/>
    <w:rsid w:val="00200F41"/>
    <w:rsid w:val="00201A84"/>
    <w:rsid w:val="00202AC2"/>
    <w:rsid w:val="00203638"/>
    <w:rsid w:val="0020470D"/>
    <w:rsid w:val="002049E0"/>
    <w:rsid w:val="00205D65"/>
    <w:rsid w:val="002060A3"/>
    <w:rsid w:val="00206F92"/>
    <w:rsid w:val="00210796"/>
    <w:rsid w:val="002127E8"/>
    <w:rsid w:val="002134DA"/>
    <w:rsid w:val="00214F8D"/>
    <w:rsid w:val="002150F2"/>
    <w:rsid w:val="00216092"/>
    <w:rsid w:val="00220541"/>
    <w:rsid w:val="0022057E"/>
    <w:rsid w:val="00220859"/>
    <w:rsid w:val="0022266E"/>
    <w:rsid w:val="002230F2"/>
    <w:rsid w:val="002238D2"/>
    <w:rsid w:val="0022402E"/>
    <w:rsid w:val="00224248"/>
    <w:rsid w:val="0023105E"/>
    <w:rsid w:val="00231AE9"/>
    <w:rsid w:val="002321B7"/>
    <w:rsid w:val="00233143"/>
    <w:rsid w:val="00233225"/>
    <w:rsid w:val="00234BC5"/>
    <w:rsid w:val="0023530B"/>
    <w:rsid w:val="0023646B"/>
    <w:rsid w:val="00237AE2"/>
    <w:rsid w:val="00237DAC"/>
    <w:rsid w:val="0024040E"/>
    <w:rsid w:val="00242B07"/>
    <w:rsid w:val="00242C7C"/>
    <w:rsid w:val="0024406C"/>
    <w:rsid w:val="002477B4"/>
    <w:rsid w:val="00247A1D"/>
    <w:rsid w:val="002518A5"/>
    <w:rsid w:val="002528AA"/>
    <w:rsid w:val="00253957"/>
    <w:rsid w:val="0025525C"/>
    <w:rsid w:val="00257BB6"/>
    <w:rsid w:val="00261245"/>
    <w:rsid w:val="00261437"/>
    <w:rsid w:val="00261A3B"/>
    <w:rsid w:val="00264701"/>
    <w:rsid w:val="00265302"/>
    <w:rsid w:val="00265E8F"/>
    <w:rsid w:val="00267AB7"/>
    <w:rsid w:val="00271488"/>
    <w:rsid w:val="00273541"/>
    <w:rsid w:val="0027523A"/>
    <w:rsid w:val="00277ADF"/>
    <w:rsid w:val="00282D47"/>
    <w:rsid w:val="00290461"/>
    <w:rsid w:val="002920C6"/>
    <w:rsid w:val="002942BF"/>
    <w:rsid w:val="00295403"/>
    <w:rsid w:val="00295620"/>
    <w:rsid w:val="00295B07"/>
    <w:rsid w:val="00297277"/>
    <w:rsid w:val="002A14B7"/>
    <w:rsid w:val="002A1C74"/>
    <w:rsid w:val="002A1D14"/>
    <w:rsid w:val="002A2078"/>
    <w:rsid w:val="002A39A5"/>
    <w:rsid w:val="002A4330"/>
    <w:rsid w:val="002A619C"/>
    <w:rsid w:val="002A6340"/>
    <w:rsid w:val="002A71BE"/>
    <w:rsid w:val="002A75D5"/>
    <w:rsid w:val="002B05F9"/>
    <w:rsid w:val="002B2F11"/>
    <w:rsid w:val="002B4BED"/>
    <w:rsid w:val="002B4EA8"/>
    <w:rsid w:val="002B570C"/>
    <w:rsid w:val="002B5CD3"/>
    <w:rsid w:val="002B5DED"/>
    <w:rsid w:val="002B7619"/>
    <w:rsid w:val="002C0928"/>
    <w:rsid w:val="002C0CC5"/>
    <w:rsid w:val="002C1521"/>
    <w:rsid w:val="002C42C2"/>
    <w:rsid w:val="002C701C"/>
    <w:rsid w:val="002C7153"/>
    <w:rsid w:val="002C7605"/>
    <w:rsid w:val="002D073E"/>
    <w:rsid w:val="002D10BA"/>
    <w:rsid w:val="002D2479"/>
    <w:rsid w:val="002D2D42"/>
    <w:rsid w:val="002D3D5C"/>
    <w:rsid w:val="002D4363"/>
    <w:rsid w:val="002D4A9C"/>
    <w:rsid w:val="002D4CB7"/>
    <w:rsid w:val="002D5311"/>
    <w:rsid w:val="002D726A"/>
    <w:rsid w:val="002D77ED"/>
    <w:rsid w:val="002E0284"/>
    <w:rsid w:val="002E4171"/>
    <w:rsid w:val="002E5597"/>
    <w:rsid w:val="002E568D"/>
    <w:rsid w:val="002E6EC4"/>
    <w:rsid w:val="002F06D2"/>
    <w:rsid w:val="002F1171"/>
    <w:rsid w:val="002F12C0"/>
    <w:rsid w:val="002F1CBC"/>
    <w:rsid w:val="002F2176"/>
    <w:rsid w:val="002F22A1"/>
    <w:rsid w:val="002F32F8"/>
    <w:rsid w:val="002F3D4F"/>
    <w:rsid w:val="002F6968"/>
    <w:rsid w:val="002F6B3C"/>
    <w:rsid w:val="002F79D3"/>
    <w:rsid w:val="002F7E23"/>
    <w:rsid w:val="003033C8"/>
    <w:rsid w:val="00303A2E"/>
    <w:rsid w:val="00304B1E"/>
    <w:rsid w:val="003053B7"/>
    <w:rsid w:val="00306169"/>
    <w:rsid w:val="00306E4D"/>
    <w:rsid w:val="0031043D"/>
    <w:rsid w:val="0031061F"/>
    <w:rsid w:val="00313C3D"/>
    <w:rsid w:val="00314D85"/>
    <w:rsid w:val="00315AB7"/>
    <w:rsid w:val="00315E58"/>
    <w:rsid w:val="0031790B"/>
    <w:rsid w:val="00326C4D"/>
    <w:rsid w:val="0032799D"/>
    <w:rsid w:val="003309AD"/>
    <w:rsid w:val="00331BFD"/>
    <w:rsid w:val="00331F8C"/>
    <w:rsid w:val="00333143"/>
    <w:rsid w:val="00335082"/>
    <w:rsid w:val="00336230"/>
    <w:rsid w:val="0033667F"/>
    <w:rsid w:val="00336804"/>
    <w:rsid w:val="00336899"/>
    <w:rsid w:val="00337FD8"/>
    <w:rsid w:val="0034117D"/>
    <w:rsid w:val="00341EEA"/>
    <w:rsid w:val="00345999"/>
    <w:rsid w:val="00345FCD"/>
    <w:rsid w:val="0034619A"/>
    <w:rsid w:val="0034630B"/>
    <w:rsid w:val="00346EF4"/>
    <w:rsid w:val="00347B95"/>
    <w:rsid w:val="00347DA1"/>
    <w:rsid w:val="00351701"/>
    <w:rsid w:val="00351F3E"/>
    <w:rsid w:val="00352397"/>
    <w:rsid w:val="00352F4A"/>
    <w:rsid w:val="00354EA1"/>
    <w:rsid w:val="00355B99"/>
    <w:rsid w:val="00356A19"/>
    <w:rsid w:val="00357A52"/>
    <w:rsid w:val="00361C2C"/>
    <w:rsid w:val="003632DB"/>
    <w:rsid w:val="003642CB"/>
    <w:rsid w:val="00364D3E"/>
    <w:rsid w:val="003670C9"/>
    <w:rsid w:val="00367510"/>
    <w:rsid w:val="00370CE0"/>
    <w:rsid w:val="00371107"/>
    <w:rsid w:val="00371AFE"/>
    <w:rsid w:val="00372816"/>
    <w:rsid w:val="00373662"/>
    <w:rsid w:val="00373D26"/>
    <w:rsid w:val="00374970"/>
    <w:rsid w:val="00377146"/>
    <w:rsid w:val="003779D3"/>
    <w:rsid w:val="00377A82"/>
    <w:rsid w:val="003805C9"/>
    <w:rsid w:val="00381093"/>
    <w:rsid w:val="003830B0"/>
    <w:rsid w:val="003839E8"/>
    <w:rsid w:val="00383F70"/>
    <w:rsid w:val="003844D8"/>
    <w:rsid w:val="00384B54"/>
    <w:rsid w:val="00386702"/>
    <w:rsid w:val="00387FF4"/>
    <w:rsid w:val="0039161A"/>
    <w:rsid w:val="00391E06"/>
    <w:rsid w:val="003938F1"/>
    <w:rsid w:val="00395FD2"/>
    <w:rsid w:val="003A2174"/>
    <w:rsid w:val="003A31AD"/>
    <w:rsid w:val="003A3345"/>
    <w:rsid w:val="003A37BA"/>
    <w:rsid w:val="003A389C"/>
    <w:rsid w:val="003A38A3"/>
    <w:rsid w:val="003A6B5A"/>
    <w:rsid w:val="003A75C0"/>
    <w:rsid w:val="003A7D8A"/>
    <w:rsid w:val="003B03D1"/>
    <w:rsid w:val="003B2AA5"/>
    <w:rsid w:val="003B3949"/>
    <w:rsid w:val="003B58F3"/>
    <w:rsid w:val="003C0BE7"/>
    <w:rsid w:val="003C113C"/>
    <w:rsid w:val="003C121F"/>
    <w:rsid w:val="003C2D64"/>
    <w:rsid w:val="003D1945"/>
    <w:rsid w:val="003D19B7"/>
    <w:rsid w:val="003D267E"/>
    <w:rsid w:val="003D29E0"/>
    <w:rsid w:val="003D399B"/>
    <w:rsid w:val="003D3DF6"/>
    <w:rsid w:val="003D4599"/>
    <w:rsid w:val="003D4CCD"/>
    <w:rsid w:val="003D5075"/>
    <w:rsid w:val="003D5D0F"/>
    <w:rsid w:val="003D7917"/>
    <w:rsid w:val="003E1A11"/>
    <w:rsid w:val="003E2F86"/>
    <w:rsid w:val="003E5E4B"/>
    <w:rsid w:val="003F2779"/>
    <w:rsid w:val="003F30A9"/>
    <w:rsid w:val="003F3AC8"/>
    <w:rsid w:val="003F70C4"/>
    <w:rsid w:val="003F7C6B"/>
    <w:rsid w:val="003F7DD3"/>
    <w:rsid w:val="00400C34"/>
    <w:rsid w:val="00401A1C"/>
    <w:rsid w:val="0040373B"/>
    <w:rsid w:val="00403E78"/>
    <w:rsid w:val="00405D3E"/>
    <w:rsid w:val="00406F04"/>
    <w:rsid w:val="00407925"/>
    <w:rsid w:val="0041687B"/>
    <w:rsid w:val="004205F8"/>
    <w:rsid w:val="00420976"/>
    <w:rsid w:val="00420DBE"/>
    <w:rsid w:val="00420E04"/>
    <w:rsid w:val="004211E5"/>
    <w:rsid w:val="00421871"/>
    <w:rsid w:val="00425EAE"/>
    <w:rsid w:val="00427400"/>
    <w:rsid w:val="00430309"/>
    <w:rsid w:val="00431188"/>
    <w:rsid w:val="004318F1"/>
    <w:rsid w:val="00432814"/>
    <w:rsid w:val="004347DC"/>
    <w:rsid w:val="00435207"/>
    <w:rsid w:val="00436978"/>
    <w:rsid w:val="00437FB0"/>
    <w:rsid w:val="004415DC"/>
    <w:rsid w:val="00442900"/>
    <w:rsid w:val="00442D5C"/>
    <w:rsid w:val="004435E9"/>
    <w:rsid w:val="0044465B"/>
    <w:rsid w:val="00444D0E"/>
    <w:rsid w:val="00444E6B"/>
    <w:rsid w:val="00447401"/>
    <w:rsid w:val="00447F4C"/>
    <w:rsid w:val="004544FB"/>
    <w:rsid w:val="00455882"/>
    <w:rsid w:val="00455DF6"/>
    <w:rsid w:val="00456625"/>
    <w:rsid w:val="0046029B"/>
    <w:rsid w:val="0046032F"/>
    <w:rsid w:val="0046070E"/>
    <w:rsid w:val="00460936"/>
    <w:rsid w:val="00460F58"/>
    <w:rsid w:val="004620EF"/>
    <w:rsid w:val="004623E7"/>
    <w:rsid w:val="004625EB"/>
    <w:rsid w:val="0046434D"/>
    <w:rsid w:val="0046445E"/>
    <w:rsid w:val="00464BC4"/>
    <w:rsid w:val="00466A26"/>
    <w:rsid w:val="00466C78"/>
    <w:rsid w:val="0046701D"/>
    <w:rsid w:val="00467F9D"/>
    <w:rsid w:val="0047114A"/>
    <w:rsid w:val="0047311C"/>
    <w:rsid w:val="00475682"/>
    <w:rsid w:val="00476E5D"/>
    <w:rsid w:val="00477E8E"/>
    <w:rsid w:val="00480A9C"/>
    <w:rsid w:val="004818C2"/>
    <w:rsid w:val="00481DFB"/>
    <w:rsid w:val="0048407C"/>
    <w:rsid w:val="00484370"/>
    <w:rsid w:val="004845E2"/>
    <w:rsid w:val="00484B44"/>
    <w:rsid w:val="00485A14"/>
    <w:rsid w:val="00485E37"/>
    <w:rsid w:val="004860C7"/>
    <w:rsid w:val="004866AA"/>
    <w:rsid w:val="00490A57"/>
    <w:rsid w:val="00491667"/>
    <w:rsid w:val="004919CF"/>
    <w:rsid w:val="00491F99"/>
    <w:rsid w:val="0049370B"/>
    <w:rsid w:val="0049393A"/>
    <w:rsid w:val="00493941"/>
    <w:rsid w:val="004957D7"/>
    <w:rsid w:val="00496EB8"/>
    <w:rsid w:val="004A0523"/>
    <w:rsid w:val="004A14F6"/>
    <w:rsid w:val="004A217E"/>
    <w:rsid w:val="004A2F31"/>
    <w:rsid w:val="004A2FF5"/>
    <w:rsid w:val="004A35AE"/>
    <w:rsid w:val="004A5ED2"/>
    <w:rsid w:val="004B19F6"/>
    <w:rsid w:val="004B2D18"/>
    <w:rsid w:val="004B31A4"/>
    <w:rsid w:val="004B44D3"/>
    <w:rsid w:val="004B57E0"/>
    <w:rsid w:val="004B6F86"/>
    <w:rsid w:val="004C015F"/>
    <w:rsid w:val="004C3DF6"/>
    <w:rsid w:val="004C50DB"/>
    <w:rsid w:val="004C755F"/>
    <w:rsid w:val="004D1AF0"/>
    <w:rsid w:val="004D1DF7"/>
    <w:rsid w:val="004D3944"/>
    <w:rsid w:val="004D3A80"/>
    <w:rsid w:val="004D620A"/>
    <w:rsid w:val="004D7CCD"/>
    <w:rsid w:val="004E36AD"/>
    <w:rsid w:val="004E4144"/>
    <w:rsid w:val="004E5C31"/>
    <w:rsid w:val="004E6CA9"/>
    <w:rsid w:val="004E6CE3"/>
    <w:rsid w:val="004E76D1"/>
    <w:rsid w:val="004F1405"/>
    <w:rsid w:val="004F22A0"/>
    <w:rsid w:val="004F38B3"/>
    <w:rsid w:val="004F4AA9"/>
    <w:rsid w:val="004F4E19"/>
    <w:rsid w:val="004F51EC"/>
    <w:rsid w:val="004F6C2E"/>
    <w:rsid w:val="004F7433"/>
    <w:rsid w:val="004F7DB6"/>
    <w:rsid w:val="004F7F59"/>
    <w:rsid w:val="005009C0"/>
    <w:rsid w:val="0050244D"/>
    <w:rsid w:val="00502CB2"/>
    <w:rsid w:val="005034FD"/>
    <w:rsid w:val="00503A50"/>
    <w:rsid w:val="00504089"/>
    <w:rsid w:val="005040DE"/>
    <w:rsid w:val="005055E1"/>
    <w:rsid w:val="00505788"/>
    <w:rsid w:val="00505BD0"/>
    <w:rsid w:val="0050687A"/>
    <w:rsid w:val="00506DE8"/>
    <w:rsid w:val="005118CA"/>
    <w:rsid w:val="00511A02"/>
    <w:rsid w:val="00511DB0"/>
    <w:rsid w:val="0051279E"/>
    <w:rsid w:val="0051399F"/>
    <w:rsid w:val="00520CDA"/>
    <w:rsid w:val="00521C93"/>
    <w:rsid w:val="00521E72"/>
    <w:rsid w:val="00522795"/>
    <w:rsid w:val="005251FE"/>
    <w:rsid w:val="005254C6"/>
    <w:rsid w:val="005275CA"/>
    <w:rsid w:val="00527879"/>
    <w:rsid w:val="0053031B"/>
    <w:rsid w:val="0053070E"/>
    <w:rsid w:val="005308E6"/>
    <w:rsid w:val="00530C4C"/>
    <w:rsid w:val="00533CE1"/>
    <w:rsid w:val="00533F9F"/>
    <w:rsid w:val="0054073C"/>
    <w:rsid w:val="00541B86"/>
    <w:rsid w:val="00543BEA"/>
    <w:rsid w:val="00544605"/>
    <w:rsid w:val="0054472C"/>
    <w:rsid w:val="005451A8"/>
    <w:rsid w:val="005479C4"/>
    <w:rsid w:val="00547D39"/>
    <w:rsid w:val="00550E4D"/>
    <w:rsid w:val="005511DD"/>
    <w:rsid w:val="005526D6"/>
    <w:rsid w:val="00555F9E"/>
    <w:rsid w:val="00556045"/>
    <w:rsid w:val="00556C83"/>
    <w:rsid w:val="005572CB"/>
    <w:rsid w:val="0056046E"/>
    <w:rsid w:val="005611FA"/>
    <w:rsid w:val="005629BD"/>
    <w:rsid w:val="005630B2"/>
    <w:rsid w:val="005635A9"/>
    <w:rsid w:val="00570623"/>
    <w:rsid w:val="00571080"/>
    <w:rsid w:val="005710E3"/>
    <w:rsid w:val="00571112"/>
    <w:rsid w:val="0057193C"/>
    <w:rsid w:val="005719A7"/>
    <w:rsid w:val="00572DE5"/>
    <w:rsid w:val="00573011"/>
    <w:rsid w:val="005730E7"/>
    <w:rsid w:val="00574AD5"/>
    <w:rsid w:val="0057580E"/>
    <w:rsid w:val="00576180"/>
    <w:rsid w:val="00576655"/>
    <w:rsid w:val="00576EFF"/>
    <w:rsid w:val="005773C6"/>
    <w:rsid w:val="00577F17"/>
    <w:rsid w:val="00581805"/>
    <w:rsid w:val="00582580"/>
    <w:rsid w:val="0058356E"/>
    <w:rsid w:val="005868D4"/>
    <w:rsid w:val="0059177A"/>
    <w:rsid w:val="00593AFE"/>
    <w:rsid w:val="0059553B"/>
    <w:rsid w:val="00596BC1"/>
    <w:rsid w:val="00596C29"/>
    <w:rsid w:val="005A03E9"/>
    <w:rsid w:val="005A1194"/>
    <w:rsid w:val="005A1A58"/>
    <w:rsid w:val="005A4472"/>
    <w:rsid w:val="005A4FA7"/>
    <w:rsid w:val="005B05B2"/>
    <w:rsid w:val="005B0CCB"/>
    <w:rsid w:val="005B1A92"/>
    <w:rsid w:val="005B25BB"/>
    <w:rsid w:val="005B3AC5"/>
    <w:rsid w:val="005B4666"/>
    <w:rsid w:val="005B5C1A"/>
    <w:rsid w:val="005B7AEB"/>
    <w:rsid w:val="005C0E4F"/>
    <w:rsid w:val="005C2310"/>
    <w:rsid w:val="005C23A2"/>
    <w:rsid w:val="005C29D9"/>
    <w:rsid w:val="005C32D2"/>
    <w:rsid w:val="005C45C8"/>
    <w:rsid w:val="005C4ED7"/>
    <w:rsid w:val="005C507E"/>
    <w:rsid w:val="005C5FA9"/>
    <w:rsid w:val="005C633B"/>
    <w:rsid w:val="005D014F"/>
    <w:rsid w:val="005D0BBB"/>
    <w:rsid w:val="005D0BCC"/>
    <w:rsid w:val="005D1554"/>
    <w:rsid w:val="005D44FF"/>
    <w:rsid w:val="005E2D21"/>
    <w:rsid w:val="005E3A7C"/>
    <w:rsid w:val="005E60FD"/>
    <w:rsid w:val="005F123B"/>
    <w:rsid w:val="005F1256"/>
    <w:rsid w:val="005F194A"/>
    <w:rsid w:val="005F1E1E"/>
    <w:rsid w:val="005F2180"/>
    <w:rsid w:val="005F2B33"/>
    <w:rsid w:val="005F3266"/>
    <w:rsid w:val="005F6D50"/>
    <w:rsid w:val="005F74B0"/>
    <w:rsid w:val="00600A4D"/>
    <w:rsid w:val="0060252F"/>
    <w:rsid w:val="006030D6"/>
    <w:rsid w:val="00603A17"/>
    <w:rsid w:val="00603D30"/>
    <w:rsid w:val="00603FE8"/>
    <w:rsid w:val="00604A4F"/>
    <w:rsid w:val="006056F3"/>
    <w:rsid w:val="00605A72"/>
    <w:rsid w:val="00605F46"/>
    <w:rsid w:val="00611C33"/>
    <w:rsid w:val="0061207E"/>
    <w:rsid w:val="00612355"/>
    <w:rsid w:val="006208D6"/>
    <w:rsid w:val="00621D18"/>
    <w:rsid w:val="00621EF5"/>
    <w:rsid w:val="00623F78"/>
    <w:rsid w:val="00624C74"/>
    <w:rsid w:val="00625062"/>
    <w:rsid w:val="0062684D"/>
    <w:rsid w:val="00631500"/>
    <w:rsid w:val="00635231"/>
    <w:rsid w:val="00636895"/>
    <w:rsid w:val="00637B3A"/>
    <w:rsid w:val="006403E9"/>
    <w:rsid w:val="006412A6"/>
    <w:rsid w:val="00642B26"/>
    <w:rsid w:val="00643287"/>
    <w:rsid w:val="00644A4F"/>
    <w:rsid w:val="00644A5E"/>
    <w:rsid w:val="006451AA"/>
    <w:rsid w:val="00645234"/>
    <w:rsid w:val="00650341"/>
    <w:rsid w:val="00650D29"/>
    <w:rsid w:val="00651ACB"/>
    <w:rsid w:val="00651BE1"/>
    <w:rsid w:val="006525A8"/>
    <w:rsid w:val="006544A9"/>
    <w:rsid w:val="00655059"/>
    <w:rsid w:val="00656947"/>
    <w:rsid w:val="00656E91"/>
    <w:rsid w:val="00656EFD"/>
    <w:rsid w:val="00657635"/>
    <w:rsid w:val="0066002E"/>
    <w:rsid w:val="00660168"/>
    <w:rsid w:val="0066105F"/>
    <w:rsid w:val="00662A1E"/>
    <w:rsid w:val="00662B9F"/>
    <w:rsid w:val="00664933"/>
    <w:rsid w:val="006653C5"/>
    <w:rsid w:val="00670C10"/>
    <w:rsid w:val="00671B56"/>
    <w:rsid w:val="00672015"/>
    <w:rsid w:val="006720F6"/>
    <w:rsid w:val="00673113"/>
    <w:rsid w:val="0067571D"/>
    <w:rsid w:val="00677003"/>
    <w:rsid w:val="00680956"/>
    <w:rsid w:val="00680D7E"/>
    <w:rsid w:val="00680F19"/>
    <w:rsid w:val="00681127"/>
    <w:rsid w:val="0068297B"/>
    <w:rsid w:val="006835C3"/>
    <w:rsid w:val="006836A0"/>
    <w:rsid w:val="00683FE8"/>
    <w:rsid w:val="00684C39"/>
    <w:rsid w:val="00690FD6"/>
    <w:rsid w:val="00691007"/>
    <w:rsid w:val="00693AA3"/>
    <w:rsid w:val="00694E12"/>
    <w:rsid w:val="00695713"/>
    <w:rsid w:val="0069588E"/>
    <w:rsid w:val="00695CCC"/>
    <w:rsid w:val="00697A6F"/>
    <w:rsid w:val="006A0071"/>
    <w:rsid w:val="006A0640"/>
    <w:rsid w:val="006A0BEA"/>
    <w:rsid w:val="006A18DB"/>
    <w:rsid w:val="006A1A32"/>
    <w:rsid w:val="006A1BB9"/>
    <w:rsid w:val="006A3059"/>
    <w:rsid w:val="006A3B7E"/>
    <w:rsid w:val="006A4D44"/>
    <w:rsid w:val="006A5E37"/>
    <w:rsid w:val="006A67E8"/>
    <w:rsid w:val="006A6B42"/>
    <w:rsid w:val="006A70EA"/>
    <w:rsid w:val="006B5471"/>
    <w:rsid w:val="006C13F9"/>
    <w:rsid w:val="006C152B"/>
    <w:rsid w:val="006C3342"/>
    <w:rsid w:val="006C39F1"/>
    <w:rsid w:val="006C450B"/>
    <w:rsid w:val="006C47CA"/>
    <w:rsid w:val="006C4F05"/>
    <w:rsid w:val="006C5E85"/>
    <w:rsid w:val="006C6247"/>
    <w:rsid w:val="006C77E9"/>
    <w:rsid w:val="006C7AA9"/>
    <w:rsid w:val="006D016E"/>
    <w:rsid w:val="006D1A0F"/>
    <w:rsid w:val="006D2A59"/>
    <w:rsid w:val="006D3DEC"/>
    <w:rsid w:val="006D3F5E"/>
    <w:rsid w:val="006D50E3"/>
    <w:rsid w:val="006D511B"/>
    <w:rsid w:val="006D74B7"/>
    <w:rsid w:val="006E05C2"/>
    <w:rsid w:val="006E1592"/>
    <w:rsid w:val="006E29BE"/>
    <w:rsid w:val="006E6A35"/>
    <w:rsid w:val="006E7EC7"/>
    <w:rsid w:val="006F0382"/>
    <w:rsid w:val="006F03A7"/>
    <w:rsid w:val="006F2576"/>
    <w:rsid w:val="006F3B2E"/>
    <w:rsid w:val="006F5DDD"/>
    <w:rsid w:val="0070085F"/>
    <w:rsid w:val="007012F5"/>
    <w:rsid w:val="00701B70"/>
    <w:rsid w:val="00702C38"/>
    <w:rsid w:val="00703874"/>
    <w:rsid w:val="00703C3B"/>
    <w:rsid w:val="00704E71"/>
    <w:rsid w:val="00706E64"/>
    <w:rsid w:val="00711219"/>
    <w:rsid w:val="00711321"/>
    <w:rsid w:val="007116B9"/>
    <w:rsid w:val="007122A3"/>
    <w:rsid w:val="007148A0"/>
    <w:rsid w:val="00715765"/>
    <w:rsid w:val="00715CA9"/>
    <w:rsid w:val="00716300"/>
    <w:rsid w:val="00716F51"/>
    <w:rsid w:val="00717070"/>
    <w:rsid w:val="0071764F"/>
    <w:rsid w:val="007215BB"/>
    <w:rsid w:val="007226B6"/>
    <w:rsid w:val="00723343"/>
    <w:rsid w:val="00724479"/>
    <w:rsid w:val="00726674"/>
    <w:rsid w:val="007268B6"/>
    <w:rsid w:val="00726EE1"/>
    <w:rsid w:val="00731F4F"/>
    <w:rsid w:val="007323CA"/>
    <w:rsid w:val="00732F3A"/>
    <w:rsid w:val="00735578"/>
    <w:rsid w:val="00735712"/>
    <w:rsid w:val="00736791"/>
    <w:rsid w:val="00740793"/>
    <w:rsid w:val="0074135D"/>
    <w:rsid w:val="00741A15"/>
    <w:rsid w:val="007431EB"/>
    <w:rsid w:val="0074525A"/>
    <w:rsid w:val="00745290"/>
    <w:rsid w:val="0074584E"/>
    <w:rsid w:val="00750CDF"/>
    <w:rsid w:val="00752C5A"/>
    <w:rsid w:val="0075347E"/>
    <w:rsid w:val="00754D69"/>
    <w:rsid w:val="00754EE4"/>
    <w:rsid w:val="00755AB6"/>
    <w:rsid w:val="00756EB5"/>
    <w:rsid w:val="007575CC"/>
    <w:rsid w:val="00760085"/>
    <w:rsid w:val="00761A66"/>
    <w:rsid w:val="007624F4"/>
    <w:rsid w:val="00762ECB"/>
    <w:rsid w:val="00765D8D"/>
    <w:rsid w:val="00765E24"/>
    <w:rsid w:val="00765E8E"/>
    <w:rsid w:val="00771573"/>
    <w:rsid w:val="0077159D"/>
    <w:rsid w:val="00773EAE"/>
    <w:rsid w:val="00775873"/>
    <w:rsid w:val="00775F3D"/>
    <w:rsid w:val="007761A7"/>
    <w:rsid w:val="00777C7B"/>
    <w:rsid w:val="0078032D"/>
    <w:rsid w:val="00780366"/>
    <w:rsid w:val="00783A9A"/>
    <w:rsid w:val="00784E04"/>
    <w:rsid w:val="007853E6"/>
    <w:rsid w:val="007867AA"/>
    <w:rsid w:val="00787B66"/>
    <w:rsid w:val="00790DFA"/>
    <w:rsid w:val="007947FE"/>
    <w:rsid w:val="00795C49"/>
    <w:rsid w:val="0079603A"/>
    <w:rsid w:val="007A016C"/>
    <w:rsid w:val="007A145F"/>
    <w:rsid w:val="007A4440"/>
    <w:rsid w:val="007A583E"/>
    <w:rsid w:val="007A6CBB"/>
    <w:rsid w:val="007A7CB4"/>
    <w:rsid w:val="007B01F8"/>
    <w:rsid w:val="007B1CFD"/>
    <w:rsid w:val="007B1D44"/>
    <w:rsid w:val="007B25BA"/>
    <w:rsid w:val="007B4FA5"/>
    <w:rsid w:val="007B77C2"/>
    <w:rsid w:val="007C0100"/>
    <w:rsid w:val="007C4F2C"/>
    <w:rsid w:val="007C56D1"/>
    <w:rsid w:val="007C6EAE"/>
    <w:rsid w:val="007C7123"/>
    <w:rsid w:val="007D1EE6"/>
    <w:rsid w:val="007D38D3"/>
    <w:rsid w:val="007D4614"/>
    <w:rsid w:val="007D5F40"/>
    <w:rsid w:val="007D6A43"/>
    <w:rsid w:val="007D7692"/>
    <w:rsid w:val="007D7B47"/>
    <w:rsid w:val="007E125B"/>
    <w:rsid w:val="007E12AE"/>
    <w:rsid w:val="007E1426"/>
    <w:rsid w:val="007E4A56"/>
    <w:rsid w:val="007E5961"/>
    <w:rsid w:val="007E6ADF"/>
    <w:rsid w:val="007E739C"/>
    <w:rsid w:val="007E7693"/>
    <w:rsid w:val="007F10E1"/>
    <w:rsid w:val="007F2FCC"/>
    <w:rsid w:val="007F4928"/>
    <w:rsid w:val="007F5B57"/>
    <w:rsid w:val="007F6ED7"/>
    <w:rsid w:val="007F7637"/>
    <w:rsid w:val="007F7C60"/>
    <w:rsid w:val="00800562"/>
    <w:rsid w:val="008006E5"/>
    <w:rsid w:val="00802864"/>
    <w:rsid w:val="00803706"/>
    <w:rsid w:val="00803C41"/>
    <w:rsid w:val="00804D18"/>
    <w:rsid w:val="00810916"/>
    <w:rsid w:val="008111B1"/>
    <w:rsid w:val="0081216A"/>
    <w:rsid w:val="00812419"/>
    <w:rsid w:val="00812692"/>
    <w:rsid w:val="008128D0"/>
    <w:rsid w:val="00813084"/>
    <w:rsid w:val="00813649"/>
    <w:rsid w:val="00814606"/>
    <w:rsid w:val="00815374"/>
    <w:rsid w:val="00816F13"/>
    <w:rsid w:val="00817289"/>
    <w:rsid w:val="008173A2"/>
    <w:rsid w:val="00820530"/>
    <w:rsid w:val="00821A33"/>
    <w:rsid w:val="00821ECA"/>
    <w:rsid w:val="00822289"/>
    <w:rsid w:val="00822BCE"/>
    <w:rsid w:val="00822C3E"/>
    <w:rsid w:val="00822FF6"/>
    <w:rsid w:val="00824638"/>
    <w:rsid w:val="008248A4"/>
    <w:rsid w:val="008254ED"/>
    <w:rsid w:val="00825F5F"/>
    <w:rsid w:val="00826E64"/>
    <w:rsid w:val="008316FB"/>
    <w:rsid w:val="00832321"/>
    <w:rsid w:val="00832396"/>
    <w:rsid w:val="008325ED"/>
    <w:rsid w:val="008334FD"/>
    <w:rsid w:val="008336C5"/>
    <w:rsid w:val="00834A3A"/>
    <w:rsid w:val="008401FB"/>
    <w:rsid w:val="0084253B"/>
    <w:rsid w:val="00842DB4"/>
    <w:rsid w:val="00843322"/>
    <w:rsid w:val="00843EE9"/>
    <w:rsid w:val="008455E8"/>
    <w:rsid w:val="00845DB8"/>
    <w:rsid w:val="00847EF1"/>
    <w:rsid w:val="008505AF"/>
    <w:rsid w:val="0085155B"/>
    <w:rsid w:val="00852664"/>
    <w:rsid w:val="00852EB0"/>
    <w:rsid w:val="00854A13"/>
    <w:rsid w:val="00854E82"/>
    <w:rsid w:val="008554FC"/>
    <w:rsid w:val="0085594D"/>
    <w:rsid w:val="00856622"/>
    <w:rsid w:val="00856C26"/>
    <w:rsid w:val="00857AE1"/>
    <w:rsid w:val="0086104C"/>
    <w:rsid w:val="008610BA"/>
    <w:rsid w:val="00861CA5"/>
    <w:rsid w:val="00862A85"/>
    <w:rsid w:val="00862AF0"/>
    <w:rsid w:val="00862D37"/>
    <w:rsid w:val="00870BE1"/>
    <w:rsid w:val="008735A5"/>
    <w:rsid w:val="00873DF5"/>
    <w:rsid w:val="00875D35"/>
    <w:rsid w:val="008760FC"/>
    <w:rsid w:val="00876C04"/>
    <w:rsid w:val="008771B2"/>
    <w:rsid w:val="0087732B"/>
    <w:rsid w:val="00877F81"/>
    <w:rsid w:val="008807F7"/>
    <w:rsid w:val="00881EE9"/>
    <w:rsid w:val="00882F2E"/>
    <w:rsid w:val="00884F66"/>
    <w:rsid w:val="00887139"/>
    <w:rsid w:val="00887B45"/>
    <w:rsid w:val="00887F28"/>
    <w:rsid w:val="00890749"/>
    <w:rsid w:val="008909F3"/>
    <w:rsid w:val="00891409"/>
    <w:rsid w:val="00891F5A"/>
    <w:rsid w:val="00892827"/>
    <w:rsid w:val="00894241"/>
    <w:rsid w:val="008A0D7D"/>
    <w:rsid w:val="008A4064"/>
    <w:rsid w:val="008A5005"/>
    <w:rsid w:val="008A6A9B"/>
    <w:rsid w:val="008A7405"/>
    <w:rsid w:val="008B17E7"/>
    <w:rsid w:val="008B2F72"/>
    <w:rsid w:val="008B30F1"/>
    <w:rsid w:val="008B3358"/>
    <w:rsid w:val="008B46EA"/>
    <w:rsid w:val="008B6D39"/>
    <w:rsid w:val="008B6F9D"/>
    <w:rsid w:val="008B7A49"/>
    <w:rsid w:val="008C0660"/>
    <w:rsid w:val="008C1FE6"/>
    <w:rsid w:val="008C20C2"/>
    <w:rsid w:val="008C21AB"/>
    <w:rsid w:val="008C61F0"/>
    <w:rsid w:val="008C7527"/>
    <w:rsid w:val="008D007A"/>
    <w:rsid w:val="008D13A4"/>
    <w:rsid w:val="008D1BD0"/>
    <w:rsid w:val="008D451B"/>
    <w:rsid w:val="008D5B0E"/>
    <w:rsid w:val="008D6A62"/>
    <w:rsid w:val="008E05EF"/>
    <w:rsid w:val="008E0915"/>
    <w:rsid w:val="008E1130"/>
    <w:rsid w:val="008E1858"/>
    <w:rsid w:val="008E18A3"/>
    <w:rsid w:val="008E2998"/>
    <w:rsid w:val="008E35DF"/>
    <w:rsid w:val="008E5278"/>
    <w:rsid w:val="008F120F"/>
    <w:rsid w:val="008F297C"/>
    <w:rsid w:val="008F4EF1"/>
    <w:rsid w:val="008F5CC7"/>
    <w:rsid w:val="008F71FD"/>
    <w:rsid w:val="00901AEE"/>
    <w:rsid w:val="009025C6"/>
    <w:rsid w:val="0090369D"/>
    <w:rsid w:val="0090384E"/>
    <w:rsid w:val="0090736A"/>
    <w:rsid w:val="0090747B"/>
    <w:rsid w:val="009110EC"/>
    <w:rsid w:val="00911562"/>
    <w:rsid w:val="00912491"/>
    <w:rsid w:val="00917456"/>
    <w:rsid w:val="00920C0E"/>
    <w:rsid w:val="009213B3"/>
    <w:rsid w:val="0092149B"/>
    <w:rsid w:val="00922749"/>
    <w:rsid w:val="00922BB3"/>
    <w:rsid w:val="0092414F"/>
    <w:rsid w:val="009243E9"/>
    <w:rsid w:val="009248B9"/>
    <w:rsid w:val="00925F76"/>
    <w:rsid w:val="00927150"/>
    <w:rsid w:val="0092768A"/>
    <w:rsid w:val="00927A52"/>
    <w:rsid w:val="00930480"/>
    <w:rsid w:val="00933E9A"/>
    <w:rsid w:val="0093677F"/>
    <w:rsid w:val="009370B3"/>
    <w:rsid w:val="009374EA"/>
    <w:rsid w:val="0094059A"/>
    <w:rsid w:val="009406A5"/>
    <w:rsid w:val="00940873"/>
    <w:rsid w:val="00942B0D"/>
    <w:rsid w:val="00943224"/>
    <w:rsid w:val="00945BC4"/>
    <w:rsid w:val="00946404"/>
    <w:rsid w:val="009468B6"/>
    <w:rsid w:val="009474F8"/>
    <w:rsid w:val="009478AF"/>
    <w:rsid w:val="0095101C"/>
    <w:rsid w:val="00952692"/>
    <w:rsid w:val="009541A1"/>
    <w:rsid w:val="00954759"/>
    <w:rsid w:val="00957319"/>
    <w:rsid w:val="0096037C"/>
    <w:rsid w:val="00963580"/>
    <w:rsid w:val="00964060"/>
    <w:rsid w:val="00965868"/>
    <w:rsid w:val="00966384"/>
    <w:rsid w:val="00966450"/>
    <w:rsid w:val="0096694E"/>
    <w:rsid w:val="00966FE8"/>
    <w:rsid w:val="00971B00"/>
    <w:rsid w:val="00971B32"/>
    <w:rsid w:val="00972ECE"/>
    <w:rsid w:val="00974413"/>
    <w:rsid w:val="009750E8"/>
    <w:rsid w:val="00976EB2"/>
    <w:rsid w:val="00981904"/>
    <w:rsid w:val="00981C14"/>
    <w:rsid w:val="0098253F"/>
    <w:rsid w:val="00982A63"/>
    <w:rsid w:val="00984255"/>
    <w:rsid w:val="00984274"/>
    <w:rsid w:val="0098521E"/>
    <w:rsid w:val="00987034"/>
    <w:rsid w:val="009905DE"/>
    <w:rsid w:val="00990A7A"/>
    <w:rsid w:val="00991521"/>
    <w:rsid w:val="00991D4C"/>
    <w:rsid w:val="0099220B"/>
    <w:rsid w:val="00993C71"/>
    <w:rsid w:val="00994619"/>
    <w:rsid w:val="009970E9"/>
    <w:rsid w:val="00997483"/>
    <w:rsid w:val="009A0549"/>
    <w:rsid w:val="009A0BE3"/>
    <w:rsid w:val="009A30A6"/>
    <w:rsid w:val="009B0AB9"/>
    <w:rsid w:val="009B0F97"/>
    <w:rsid w:val="009B1415"/>
    <w:rsid w:val="009B1487"/>
    <w:rsid w:val="009B49E6"/>
    <w:rsid w:val="009B4F36"/>
    <w:rsid w:val="009B52B5"/>
    <w:rsid w:val="009B7080"/>
    <w:rsid w:val="009B7B55"/>
    <w:rsid w:val="009B7E10"/>
    <w:rsid w:val="009C0233"/>
    <w:rsid w:val="009C0B99"/>
    <w:rsid w:val="009C122C"/>
    <w:rsid w:val="009C4477"/>
    <w:rsid w:val="009C4F8D"/>
    <w:rsid w:val="009C5480"/>
    <w:rsid w:val="009C5D8F"/>
    <w:rsid w:val="009C71D1"/>
    <w:rsid w:val="009D07CE"/>
    <w:rsid w:val="009D095B"/>
    <w:rsid w:val="009D0D52"/>
    <w:rsid w:val="009D0D5F"/>
    <w:rsid w:val="009D27F0"/>
    <w:rsid w:val="009D2F02"/>
    <w:rsid w:val="009D335A"/>
    <w:rsid w:val="009D39B0"/>
    <w:rsid w:val="009D3BA3"/>
    <w:rsid w:val="009D4417"/>
    <w:rsid w:val="009D47C2"/>
    <w:rsid w:val="009D55C2"/>
    <w:rsid w:val="009D7501"/>
    <w:rsid w:val="009E0608"/>
    <w:rsid w:val="009E079F"/>
    <w:rsid w:val="009E6873"/>
    <w:rsid w:val="009E7BDC"/>
    <w:rsid w:val="009E7E90"/>
    <w:rsid w:val="009F1577"/>
    <w:rsid w:val="009F27F3"/>
    <w:rsid w:val="009F53EE"/>
    <w:rsid w:val="009F6BF4"/>
    <w:rsid w:val="009F76B6"/>
    <w:rsid w:val="00A0120B"/>
    <w:rsid w:val="00A0196D"/>
    <w:rsid w:val="00A01DBE"/>
    <w:rsid w:val="00A025A6"/>
    <w:rsid w:val="00A032F9"/>
    <w:rsid w:val="00A04AB2"/>
    <w:rsid w:val="00A0590F"/>
    <w:rsid w:val="00A05A5B"/>
    <w:rsid w:val="00A079C9"/>
    <w:rsid w:val="00A07F54"/>
    <w:rsid w:val="00A111F2"/>
    <w:rsid w:val="00A11BD8"/>
    <w:rsid w:val="00A11C35"/>
    <w:rsid w:val="00A12090"/>
    <w:rsid w:val="00A12124"/>
    <w:rsid w:val="00A216C4"/>
    <w:rsid w:val="00A22AAC"/>
    <w:rsid w:val="00A2506C"/>
    <w:rsid w:val="00A2532C"/>
    <w:rsid w:val="00A27374"/>
    <w:rsid w:val="00A2794A"/>
    <w:rsid w:val="00A30182"/>
    <w:rsid w:val="00A304EF"/>
    <w:rsid w:val="00A31AEA"/>
    <w:rsid w:val="00A33092"/>
    <w:rsid w:val="00A36219"/>
    <w:rsid w:val="00A3784B"/>
    <w:rsid w:val="00A403A4"/>
    <w:rsid w:val="00A40AF9"/>
    <w:rsid w:val="00A42093"/>
    <w:rsid w:val="00A424CD"/>
    <w:rsid w:val="00A43179"/>
    <w:rsid w:val="00A434B8"/>
    <w:rsid w:val="00A443BA"/>
    <w:rsid w:val="00A50837"/>
    <w:rsid w:val="00A52BDF"/>
    <w:rsid w:val="00A53E66"/>
    <w:rsid w:val="00A54E55"/>
    <w:rsid w:val="00A55EAB"/>
    <w:rsid w:val="00A55F89"/>
    <w:rsid w:val="00A56727"/>
    <w:rsid w:val="00A578FC"/>
    <w:rsid w:val="00A57BCB"/>
    <w:rsid w:val="00A608C0"/>
    <w:rsid w:val="00A64DD9"/>
    <w:rsid w:val="00A66D1D"/>
    <w:rsid w:val="00A670A2"/>
    <w:rsid w:val="00A71E8F"/>
    <w:rsid w:val="00A71EC9"/>
    <w:rsid w:val="00A721E9"/>
    <w:rsid w:val="00A7221D"/>
    <w:rsid w:val="00A7272F"/>
    <w:rsid w:val="00A72757"/>
    <w:rsid w:val="00A74385"/>
    <w:rsid w:val="00A77905"/>
    <w:rsid w:val="00A80239"/>
    <w:rsid w:val="00A81639"/>
    <w:rsid w:val="00A819D9"/>
    <w:rsid w:val="00A8229A"/>
    <w:rsid w:val="00A82332"/>
    <w:rsid w:val="00A824AE"/>
    <w:rsid w:val="00A83721"/>
    <w:rsid w:val="00A86EA9"/>
    <w:rsid w:val="00A87095"/>
    <w:rsid w:val="00A909F1"/>
    <w:rsid w:val="00A90DFF"/>
    <w:rsid w:val="00A90EBD"/>
    <w:rsid w:val="00A91576"/>
    <w:rsid w:val="00A93A4C"/>
    <w:rsid w:val="00A942B1"/>
    <w:rsid w:val="00A955C9"/>
    <w:rsid w:val="00A960C0"/>
    <w:rsid w:val="00A96A99"/>
    <w:rsid w:val="00AA07A1"/>
    <w:rsid w:val="00AA1553"/>
    <w:rsid w:val="00AA1787"/>
    <w:rsid w:val="00AA3A44"/>
    <w:rsid w:val="00AA41FC"/>
    <w:rsid w:val="00AA604F"/>
    <w:rsid w:val="00AA66CF"/>
    <w:rsid w:val="00AA6E58"/>
    <w:rsid w:val="00AA76E9"/>
    <w:rsid w:val="00AA7FA0"/>
    <w:rsid w:val="00AB0756"/>
    <w:rsid w:val="00AB0A0A"/>
    <w:rsid w:val="00AB15AD"/>
    <w:rsid w:val="00AB18B5"/>
    <w:rsid w:val="00AB1C16"/>
    <w:rsid w:val="00AB1E24"/>
    <w:rsid w:val="00AB3A6C"/>
    <w:rsid w:val="00AB572E"/>
    <w:rsid w:val="00AB73B6"/>
    <w:rsid w:val="00AC232B"/>
    <w:rsid w:val="00AC28FA"/>
    <w:rsid w:val="00AC2C2C"/>
    <w:rsid w:val="00AC4704"/>
    <w:rsid w:val="00AC5539"/>
    <w:rsid w:val="00AD0D53"/>
    <w:rsid w:val="00AD0D84"/>
    <w:rsid w:val="00AD0E02"/>
    <w:rsid w:val="00AD1600"/>
    <w:rsid w:val="00AD1882"/>
    <w:rsid w:val="00AD2DB1"/>
    <w:rsid w:val="00AD2F11"/>
    <w:rsid w:val="00AD366D"/>
    <w:rsid w:val="00AD5137"/>
    <w:rsid w:val="00AD56E7"/>
    <w:rsid w:val="00AD5A3B"/>
    <w:rsid w:val="00AD66E4"/>
    <w:rsid w:val="00AD6C10"/>
    <w:rsid w:val="00AD6CD7"/>
    <w:rsid w:val="00AE01D7"/>
    <w:rsid w:val="00AE0A08"/>
    <w:rsid w:val="00AE1010"/>
    <w:rsid w:val="00AE10F2"/>
    <w:rsid w:val="00AE5167"/>
    <w:rsid w:val="00AE77C9"/>
    <w:rsid w:val="00AE793A"/>
    <w:rsid w:val="00AE796B"/>
    <w:rsid w:val="00AF0D97"/>
    <w:rsid w:val="00AF232F"/>
    <w:rsid w:val="00AF2F75"/>
    <w:rsid w:val="00AF3CF3"/>
    <w:rsid w:val="00AF3D41"/>
    <w:rsid w:val="00AF41BF"/>
    <w:rsid w:val="00AF481A"/>
    <w:rsid w:val="00AF48FC"/>
    <w:rsid w:val="00AF5E6F"/>
    <w:rsid w:val="00AF5F16"/>
    <w:rsid w:val="00AF7183"/>
    <w:rsid w:val="00AF74ED"/>
    <w:rsid w:val="00B01CD9"/>
    <w:rsid w:val="00B02BD2"/>
    <w:rsid w:val="00B05568"/>
    <w:rsid w:val="00B059C8"/>
    <w:rsid w:val="00B070E6"/>
    <w:rsid w:val="00B07BED"/>
    <w:rsid w:val="00B11A62"/>
    <w:rsid w:val="00B11FEB"/>
    <w:rsid w:val="00B12731"/>
    <w:rsid w:val="00B142C1"/>
    <w:rsid w:val="00B16AF6"/>
    <w:rsid w:val="00B20BCA"/>
    <w:rsid w:val="00B2158D"/>
    <w:rsid w:val="00B233DC"/>
    <w:rsid w:val="00B23820"/>
    <w:rsid w:val="00B2440A"/>
    <w:rsid w:val="00B25783"/>
    <w:rsid w:val="00B2593C"/>
    <w:rsid w:val="00B27C43"/>
    <w:rsid w:val="00B31340"/>
    <w:rsid w:val="00B31432"/>
    <w:rsid w:val="00B31BC6"/>
    <w:rsid w:val="00B32B47"/>
    <w:rsid w:val="00B34F1E"/>
    <w:rsid w:val="00B35875"/>
    <w:rsid w:val="00B374E9"/>
    <w:rsid w:val="00B40EEC"/>
    <w:rsid w:val="00B457BA"/>
    <w:rsid w:val="00B46CD9"/>
    <w:rsid w:val="00B47017"/>
    <w:rsid w:val="00B51F4A"/>
    <w:rsid w:val="00B52DCA"/>
    <w:rsid w:val="00B53D93"/>
    <w:rsid w:val="00B55011"/>
    <w:rsid w:val="00B55422"/>
    <w:rsid w:val="00B57AD3"/>
    <w:rsid w:val="00B57C6A"/>
    <w:rsid w:val="00B61C28"/>
    <w:rsid w:val="00B62054"/>
    <w:rsid w:val="00B644F8"/>
    <w:rsid w:val="00B65619"/>
    <w:rsid w:val="00B6671E"/>
    <w:rsid w:val="00B670E9"/>
    <w:rsid w:val="00B67E10"/>
    <w:rsid w:val="00B71440"/>
    <w:rsid w:val="00B73239"/>
    <w:rsid w:val="00B7373B"/>
    <w:rsid w:val="00B73AD0"/>
    <w:rsid w:val="00B755AC"/>
    <w:rsid w:val="00B8491C"/>
    <w:rsid w:val="00B85320"/>
    <w:rsid w:val="00B85392"/>
    <w:rsid w:val="00B85717"/>
    <w:rsid w:val="00B91DF9"/>
    <w:rsid w:val="00B93510"/>
    <w:rsid w:val="00B95093"/>
    <w:rsid w:val="00B95E33"/>
    <w:rsid w:val="00B97954"/>
    <w:rsid w:val="00BA0183"/>
    <w:rsid w:val="00BA33CB"/>
    <w:rsid w:val="00BA3495"/>
    <w:rsid w:val="00BA43D6"/>
    <w:rsid w:val="00BA44B4"/>
    <w:rsid w:val="00BA516B"/>
    <w:rsid w:val="00BA5591"/>
    <w:rsid w:val="00BA70E3"/>
    <w:rsid w:val="00BB1392"/>
    <w:rsid w:val="00BB30B5"/>
    <w:rsid w:val="00BB4C3C"/>
    <w:rsid w:val="00BB507B"/>
    <w:rsid w:val="00BB6313"/>
    <w:rsid w:val="00BC182B"/>
    <w:rsid w:val="00BC33BC"/>
    <w:rsid w:val="00BC5E8F"/>
    <w:rsid w:val="00BC76FE"/>
    <w:rsid w:val="00BD0B46"/>
    <w:rsid w:val="00BD0C3A"/>
    <w:rsid w:val="00BD1A96"/>
    <w:rsid w:val="00BD229E"/>
    <w:rsid w:val="00BD3027"/>
    <w:rsid w:val="00BD3C08"/>
    <w:rsid w:val="00BD4358"/>
    <w:rsid w:val="00BD45E4"/>
    <w:rsid w:val="00BD5295"/>
    <w:rsid w:val="00BD5378"/>
    <w:rsid w:val="00BD6CC2"/>
    <w:rsid w:val="00BD6DE4"/>
    <w:rsid w:val="00BD76FB"/>
    <w:rsid w:val="00BD79C8"/>
    <w:rsid w:val="00BE0386"/>
    <w:rsid w:val="00BE07B7"/>
    <w:rsid w:val="00BE1322"/>
    <w:rsid w:val="00BE27E4"/>
    <w:rsid w:val="00BE5881"/>
    <w:rsid w:val="00BE613B"/>
    <w:rsid w:val="00BF0017"/>
    <w:rsid w:val="00BF008C"/>
    <w:rsid w:val="00BF04BE"/>
    <w:rsid w:val="00BF0A3C"/>
    <w:rsid w:val="00BF4D3E"/>
    <w:rsid w:val="00BF775E"/>
    <w:rsid w:val="00C0003A"/>
    <w:rsid w:val="00C03246"/>
    <w:rsid w:val="00C06B57"/>
    <w:rsid w:val="00C1076E"/>
    <w:rsid w:val="00C11F38"/>
    <w:rsid w:val="00C12517"/>
    <w:rsid w:val="00C12A07"/>
    <w:rsid w:val="00C13FD1"/>
    <w:rsid w:val="00C162D6"/>
    <w:rsid w:val="00C16ECD"/>
    <w:rsid w:val="00C17035"/>
    <w:rsid w:val="00C203FB"/>
    <w:rsid w:val="00C21BB9"/>
    <w:rsid w:val="00C22076"/>
    <w:rsid w:val="00C22B8E"/>
    <w:rsid w:val="00C241A9"/>
    <w:rsid w:val="00C2471A"/>
    <w:rsid w:val="00C24FF9"/>
    <w:rsid w:val="00C273E8"/>
    <w:rsid w:val="00C3000D"/>
    <w:rsid w:val="00C30E41"/>
    <w:rsid w:val="00C41241"/>
    <w:rsid w:val="00C41357"/>
    <w:rsid w:val="00C4191E"/>
    <w:rsid w:val="00C444F3"/>
    <w:rsid w:val="00C45BBF"/>
    <w:rsid w:val="00C46E26"/>
    <w:rsid w:val="00C5076D"/>
    <w:rsid w:val="00C50915"/>
    <w:rsid w:val="00C51C18"/>
    <w:rsid w:val="00C52324"/>
    <w:rsid w:val="00C544F0"/>
    <w:rsid w:val="00C548FB"/>
    <w:rsid w:val="00C568BC"/>
    <w:rsid w:val="00C5700F"/>
    <w:rsid w:val="00C606F7"/>
    <w:rsid w:val="00C61A25"/>
    <w:rsid w:val="00C61ABF"/>
    <w:rsid w:val="00C65487"/>
    <w:rsid w:val="00C67EBB"/>
    <w:rsid w:val="00C704AC"/>
    <w:rsid w:val="00C717F6"/>
    <w:rsid w:val="00C72009"/>
    <w:rsid w:val="00C72118"/>
    <w:rsid w:val="00C73A51"/>
    <w:rsid w:val="00C74D5B"/>
    <w:rsid w:val="00C760DE"/>
    <w:rsid w:val="00C76D1E"/>
    <w:rsid w:val="00C773B1"/>
    <w:rsid w:val="00C77975"/>
    <w:rsid w:val="00C80794"/>
    <w:rsid w:val="00C808ED"/>
    <w:rsid w:val="00C81A86"/>
    <w:rsid w:val="00C83D14"/>
    <w:rsid w:val="00C85379"/>
    <w:rsid w:val="00C8664F"/>
    <w:rsid w:val="00C86A27"/>
    <w:rsid w:val="00C86C78"/>
    <w:rsid w:val="00C87D21"/>
    <w:rsid w:val="00C908D0"/>
    <w:rsid w:val="00C9204C"/>
    <w:rsid w:val="00C92392"/>
    <w:rsid w:val="00C94D71"/>
    <w:rsid w:val="00C95F03"/>
    <w:rsid w:val="00C96B4D"/>
    <w:rsid w:val="00C97C35"/>
    <w:rsid w:val="00CA0045"/>
    <w:rsid w:val="00CA0E70"/>
    <w:rsid w:val="00CA140B"/>
    <w:rsid w:val="00CA576B"/>
    <w:rsid w:val="00CB0DD0"/>
    <w:rsid w:val="00CB121D"/>
    <w:rsid w:val="00CB14C2"/>
    <w:rsid w:val="00CB42D9"/>
    <w:rsid w:val="00CB7E40"/>
    <w:rsid w:val="00CC05AA"/>
    <w:rsid w:val="00CC1907"/>
    <w:rsid w:val="00CC275F"/>
    <w:rsid w:val="00CC2789"/>
    <w:rsid w:val="00CC29AC"/>
    <w:rsid w:val="00CC2E1C"/>
    <w:rsid w:val="00CC3110"/>
    <w:rsid w:val="00CC40CA"/>
    <w:rsid w:val="00CC646B"/>
    <w:rsid w:val="00CC75CF"/>
    <w:rsid w:val="00CC793A"/>
    <w:rsid w:val="00CD09DA"/>
    <w:rsid w:val="00CD16AE"/>
    <w:rsid w:val="00CD245E"/>
    <w:rsid w:val="00CD2754"/>
    <w:rsid w:val="00CD2F46"/>
    <w:rsid w:val="00CD35E8"/>
    <w:rsid w:val="00CD3649"/>
    <w:rsid w:val="00CD37EB"/>
    <w:rsid w:val="00CD420A"/>
    <w:rsid w:val="00CD4A64"/>
    <w:rsid w:val="00CD5233"/>
    <w:rsid w:val="00CD6326"/>
    <w:rsid w:val="00CD7CED"/>
    <w:rsid w:val="00CE1F13"/>
    <w:rsid w:val="00CE25DC"/>
    <w:rsid w:val="00CE3450"/>
    <w:rsid w:val="00CE46B9"/>
    <w:rsid w:val="00CE474E"/>
    <w:rsid w:val="00CE590E"/>
    <w:rsid w:val="00CE5B98"/>
    <w:rsid w:val="00CE6885"/>
    <w:rsid w:val="00CE6F19"/>
    <w:rsid w:val="00CE7A5C"/>
    <w:rsid w:val="00CF0DEA"/>
    <w:rsid w:val="00CF1A5E"/>
    <w:rsid w:val="00CF2434"/>
    <w:rsid w:val="00CF2F3D"/>
    <w:rsid w:val="00CF7F94"/>
    <w:rsid w:val="00D000C1"/>
    <w:rsid w:val="00D00AA2"/>
    <w:rsid w:val="00D00E94"/>
    <w:rsid w:val="00D01531"/>
    <w:rsid w:val="00D020B1"/>
    <w:rsid w:val="00D0218A"/>
    <w:rsid w:val="00D04F4B"/>
    <w:rsid w:val="00D04FF5"/>
    <w:rsid w:val="00D05432"/>
    <w:rsid w:val="00D06D16"/>
    <w:rsid w:val="00D102D4"/>
    <w:rsid w:val="00D10713"/>
    <w:rsid w:val="00D10EEC"/>
    <w:rsid w:val="00D1194F"/>
    <w:rsid w:val="00D12D7B"/>
    <w:rsid w:val="00D1344C"/>
    <w:rsid w:val="00D1399B"/>
    <w:rsid w:val="00D13AF2"/>
    <w:rsid w:val="00D149DC"/>
    <w:rsid w:val="00D17FF5"/>
    <w:rsid w:val="00D20497"/>
    <w:rsid w:val="00D20A37"/>
    <w:rsid w:val="00D20BF3"/>
    <w:rsid w:val="00D212FA"/>
    <w:rsid w:val="00D21486"/>
    <w:rsid w:val="00D24A30"/>
    <w:rsid w:val="00D24A69"/>
    <w:rsid w:val="00D25036"/>
    <w:rsid w:val="00D30EC7"/>
    <w:rsid w:val="00D32EE8"/>
    <w:rsid w:val="00D33ADF"/>
    <w:rsid w:val="00D3428F"/>
    <w:rsid w:val="00D343CF"/>
    <w:rsid w:val="00D40A00"/>
    <w:rsid w:val="00D40A9F"/>
    <w:rsid w:val="00D40B6B"/>
    <w:rsid w:val="00D41B81"/>
    <w:rsid w:val="00D43449"/>
    <w:rsid w:val="00D4622F"/>
    <w:rsid w:val="00D4639D"/>
    <w:rsid w:val="00D4650B"/>
    <w:rsid w:val="00D47C21"/>
    <w:rsid w:val="00D5195B"/>
    <w:rsid w:val="00D51A0D"/>
    <w:rsid w:val="00D53D19"/>
    <w:rsid w:val="00D542CE"/>
    <w:rsid w:val="00D5459C"/>
    <w:rsid w:val="00D54A0C"/>
    <w:rsid w:val="00D55B5F"/>
    <w:rsid w:val="00D579B4"/>
    <w:rsid w:val="00D57BB5"/>
    <w:rsid w:val="00D61B7A"/>
    <w:rsid w:val="00D62586"/>
    <w:rsid w:val="00D638E4"/>
    <w:rsid w:val="00D64491"/>
    <w:rsid w:val="00D655FC"/>
    <w:rsid w:val="00D656DA"/>
    <w:rsid w:val="00D6599D"/>
    <w:rsid w:val="00D664CB"/>
    <w:rsid w:val="00D67677"/>
    <w:rsid w:val="00D67946"/>
    <w:rsid w:val="00D707D5"/>
    <w:rsid w:val="00D70FAF"/>
    <w:rsid w:val="00D71D4F"/>
    <w:rsid w:val="00D7336E"/>
    <w:rsid w:val="00D7372C"/>
    <w:rsid w:val="00D77BF0"/>
    <w:rsid w:val="00D77F7E"/>
    <w:rsid w:val="00D8111C"/>
    <w:rsid w:val="00D8154D"/>
    <w:rsid w:val="00D829FC"/>
    <w:rsid w:val="00D83A35"/>
    <w:rsid w:val="00D83B08"/>
    <w:rsid w:val="00D86778"/>
    <w:rsid w:val="00D87B95"/>
    <w:rsid w:val="00D87CDA"/>
    <w:rsid w:val="00D904EB"/>
    <w:rsid w:val="00D9151B"/>
    <w:rsid w:val="00D9250D"/>
    <w:rsid w:val="00D92DB0"/>
    <w:rsid w:val="00D95F98"/>
    <w:rsid w:val="00D9670C"/>
    <w:rsid w:val="00DA2BF4"/>
    <w:rsid w:val="00DA3033"/>
    <w:rsid w:val="00DA476C"/>
    <w:rsid w:val="00DB04FF"/>
    <w:rsid w:val="00DB09BA"/>
    <w:rsid w:val="00DB106D"/>
    <w:rsid w:val="00DB157E"/>
    <w:rsid w:val="00DB23E2"/>
    <w:rsid w:val="00DB43E5"/>
    <w:rsid w:val="00DB481E"/>
    <w:rsid w:val="00DB65B4"/>
    <w:rsid w:val="00DB7AE8"/>
    <w:rsid w:val="00DB7BD5"/>
    <w:rsid w:val="00DB7F36"/>
    <w:rsid w:val="00DC0784"/>
    <w:rsid w:val="00DC114C"/>
    <w:rsid w:val="00DC1EB6"/>
    <w:rsid w:val="00DC2190"/>
    <w:rsid w:val="00DC22C0"/>
    <w:rsid w:val="00DC242B"/>
    <w:rsid w:val="00DC3633"/>
    <w:rsid w:val="00DC5032"/>
    <w:rsid w:val="00DC63F6"/>
    <w:rsid w:val="00DC70AB"/>
    <w:rsid w:val="00DC7702"/>
    <w:rsid w:val="00DD0523"/>
    <w:rsid w:val="00DD0527"/>
    <w:rsid w:val="00DD0648"/>
    <w:rsid w:val="00DD1997"/>
    <w:rsid w:val="00DD1A6A"/>
    <w:rsid w:val="00DD2511"/>
    <w:rsid w:val="00DD38BA"/>
    <w:rsid w:val="00DD3EB0"/>
    <w:rsid w:val="00DD4585"/>
    <w:rsid w:val="00DD6668"/>
    <w:rsid w:val="00DD7E44"/>
    <w:rsid w:val="00DE2C6C"/>
    <w:rsid w:val="00DE474E"/>
    <w:rsid w:val="00DE4B97"/>
    <w:rsid w:val="00DF146A"/>
    <w:rsid w:val="00DF2425"/>
    <w:rsid w:val="00DF6088"/>
    <w:rsid w:val="00DF6463"/>
    <w:rsid w:val="00DF6CDB"/>
    <w:rsid w:val="00DF7CAB"/>
    <w:rsid w:val="00E00097"/>
    <w:rsid w:val="00E00295"/>
    <w:rsid w:val="00E0172B"/>
    <w:rsid w:val="00E03072"/>
    <w:rsid w:val="00E0315F"/>
    <w:rsid w:val="00E03323"/>
    <w:rsid w:val="00E03560"/>
    <w:rsid w:val="00E04F3B"/>
    <w:rsid w:val="00E05A08"/>
    <w:rsid w:val="00E05D17"/>
    <w:rsid w:val="00E07669"/>
    <w:rsid w:val="00E115FE"/>
    <w:rsid w:val="00E12061"/>
    <w:rsid w:val="00E12D4E"/>
    <w:rsid w:val="00E14BA7"/>
    <w:rsid w:val="00E1537F"/>
    <w:rsid w:val="00E165F0"/>
    <w:rsid w:val="00E16B57"/>
    <w:rsid w:val="00E17A67"/>
    <w:rsid w:val="00E21AD1"/>
    <w:rsid w:val="00E22DDE"/>
    <w:rsid w:val="00E267CD"/>
    <w:rsid w:val="00E3041E"/>
    <w:rsid w:val="00E30CDD"/>
    <w:rsid w:val="00E31052"/>
    <w:rsid w:val="00E323C9"/>
    <w:rsid w:val="00E335DB"/>
    <w:rsid w:val="00E35F22"/>
    <w:rsid w:val="00E36215"/>
    <w:rsid w:val="00E37357"/>
    <w:rsid w:val="00E375AB"/>
    <w:rsid w:val="00E40C3B"/>
    <w:rsid w:val="00E4339D"/>
    <w:rsid w:val="00E43E9D"/>
    <w:rsid w:val="00E44B5C"/>
    <w:rsid w:val="00E452CF"/>
    <w:rsid w:val="00E45FD9"/>
    <w:rsid w:val="00E460BB"/>
    <w:rsid w:val="00E47C73"/>
    <w:rsid w:val="00E510DF"/>
    <w:rsid w:val="00E523FD"/>
    <w:rsid w:val="00E53015"/>
    <w:rsid w:val="00E5382B"/>
    <w:rsid w:val="00E538D1"/>
    <w:rsid w:val="00E54D4F"/>
    <w:rsid w:val="00E561D8"/>
    <w:rsid w:val="00E57ADE"/>
    <w:rsid w:val="00E6021B"/>
    <w:rsid w:val="00E60476"/>
    <w:rsid w:val="00E61213"/>
    <w:rsid w:val="00E626C1"/>
    <w:rsid w:val="00E62BB9"/>
    <w:rsid w:val="00E64037"/>
    <w:rsid w:val="00E65518"/>
    <w:rsid w:val="00E66F25"/>
    <w:rsid w:val="00E670C0"/>
    <w:rsid w:val="00E6796F"/>
    <w:rsid w:val="00E7075A"/>
    <w:rsid w:val="00E70E62"/>
    <w:rsid w:val="00E716E1"/>
    <w:rsid w:val="00E722D1"/>
    <w:rsid w:val="00E72436"/>
    <w:rsid w:val="00E74AFF"/>
    <w:rsid w:val="00E74E7C"/>
    <w:rsid w:val="00E7506C"/>
    <w:rsid w:val="00E8360B"/>
    <w:rsid w:val="00E83617"/>
    <w:rsid w:val="00E8465C"/>
    <w:rsid w:val="00E849A3"/>
    <w:rsid w:val="00E858AD"/>
    <w:rsid w:val="00E86FCE"/>
    <w:rsid w:val="00E91339"/>
    <w:rsid w:val="00E93166"/>
    <w:rsid w:val="00E93E98"/>
    <w:rsid w:val="00E942F5"/>
    <w:rsid w:val="00E95F55"/>
    <w:rsid w:val="00E962E5"/>
    <w:rsid w:val="00E9754A"/>
    <w:rsid w:val="00EA0807"/>
    <w:rsid w:val="00EA0DBF"/>
    <w:rsid w:val="00EA0E0F"/>
    <w:rsid w:val="00EA11A1"/>
    <w:rsid w:val="00EA1DBA"/>
    <w:rsid w:val="00EA2F25"/>
    <w:rsid w:val="00EA345A"/>
    <w:rsid w:val="00EA437E"/>
    <w:rsid w:val="00EB05E1"/>
    <w:rsid w:val="00EB0A8E"/>
    <w:rsid w:val="00EB19EB"/>
    <w:rsid w:val="00EB326B"/>
    <w:rsid w:val="00EB3963"/>
    <w:rsid w:val="00EB509A"/>
    <w:rsid w:val="00EB7655"/>
    <w:rsid w:val="00EB788C"/>
    <w:rsid w:val="00EC1655"/>
    <w:rsid w:val="00EC2C77"/>
    <w:rsid w:val="00EC2D20"/>
    <w:rsid w:val="00EC4F48"/>
    <w:rsid w:val="00EC5186"/>
    <w:rsid w:val="00EC6417"/>
    <w:rsid w:val="00EC643A"/>
    <w:rsid w:val="00ED1F2A"/>
    <w:rsid w:val="00ED232C"/>
    <w:rsid w:val="00ED2EC0"/>
    <w:rsid w:val="00ED3374"/>
    <w:rsid w:val="00ED4B49"/>
    <w:rsid w:val="00EE0C81"/>
    <w:rsid w:val="00EE0D76"/>
    <w:rsid w:val="00EE23DC"/>
    <w:rsid w:val="00EE2489"/>
    <w:rsid w:val="00EE2EE0"/>
    <w:rsid w:val="00EE30BD"/>
    <w:rsid w:val="00EE550C"/>
    <w:rsid w:val="00EE6E8B"/>
    <w:rsid w:val="00EF0566"/>
    <w:rsid w:val="00EF0672"/>
    <w:rsid w:val="00EF077F"/>
    <w:rsid w:val="00EF0C97"/>
    <w:rsid w:val="00EF289A"/>
    <w:rsid w:val="00EF65C4"/>
    <w:rsid w:val="00F00D42"/>
    <w:rsid w:val="00F00F9F"/>
    <w:rsid w:val="00F018BB"/>
    <w:rsid w:val="00F01E6D"/>
    <w:rsid w:val="00F02461"/>
    <w:rsid w:val="00F029BE"/>
    <w:rsid w:val="00F02C6C"/>
    <w:rsid w:val="00F036FC"/>
    <w:rsid w:val="00F03A13"/>
    <w:rsid w:val="00F03C99"/>
    <w:rsid w:val="00F03E28"/>
    <w:rsid w:val="00F04DF0"/>
    <w:rsid w:val="00F0581E"/>
    <w:rsid w:val="00F07820"/>
    <w:rsid w:val="00F104A4"/>
    <w:rsid w:val="00F12BFB"/>
    <w:rsid w:val="00F13A85"/>
    <w:rsid w:val="00F14D63"/>
    <w:rsid w:val="00F16061"/>
    <w:rsid w:val="00F169AB"/>
    <w:rsid w:val="00F201FB"/>
    <w:rsid w:val="00F210E8"/>
    <w:rsid w:val="00F21F64"/>
    <w:rsid w:val="00F22048"/>
    <w:rsid w:val="00F22C9D"/>
    <w:rsid w:val="00F251FF"/>
    <w:rsid w:val="00F2573D"/>
    <w:rsid w:val="00F25818"/>
    <w:rsid w:val="00F267D2"/>
    <w:rsid w:val="00F31E40"/>
    <w:rsid w:val="00F350BA"/>
    <w:rsid w:val="00F3605E"/>
    <w:rsid w:val="00F36A7B"/>
    <w:rsid w:val="00F36ACB"/>
    <w:rsid w:val="00F36D95"/>
    <w:rsid w:val="00F37E18"/>
    <w:rsid w:val="00F4047A"/>
    <w:rsid w:val="00F40563"/>
    <w:rsid w:val="00F41CDE"/>
    <w:rsid w:val="00F424EC"/>
    <w:rsid w:val="00F429D3"/>
    <w:rsid w:val="00F433FC"/>
    <w:rsid w:val="00F43F16"/>
    <w:rsid w:val="00F44976"/>
    <w:rsid w:val="00F453D1"/>
    <w:rsid w:val="00F45F7B"/>
    <w:rsid w:val="00F46373"/>
    <w:rsid w:val="00F504D2"/>
    <w:rsid w:val="00F50809"/>
    <w:rsid w:val="00F50A1B"/>
    <w:rsid w:val="00F52F76"/>
    <w:rsid w:val="00F54490"/>
    <w:rsid w:val="00F55067"/>
    <w:rsid w:val="00F56E2C"/>
    <w:rsid w:val="00F57A60"/>
    <w:rsid w:val="00F57C7E"/>
    <w:rsid w:val="00F6282A"/>
    <w:rsid w:val="00F6333B"/>
    <w:rsid w:val="00F65442"/>
    <w:rsid w:val="00F6766E"/>
    <w:rsid w:val="00F702AD"/>
    <w:rsid w:val="00F72EBF"/>
    <w:rsid w:val="00F73653"/>
    <w:rsid w:val="00F753C7"/>
    <w:rsid w:val="00F7616A"/>
    <w:rsid w:val="00F76642"/>
    <w:rsid w:val="00F81BC7"/>
    <w:rsid w:val="00F81D74"/>
    <w:rsid w:val="00F83B70"/>
    <w:rsid w:val="00F85F3A"/>
    <w:rsid w:val="00F90632"/>
    <w:rsid w:val="00F93178"/>
    <w:rsid w:val="00F954A3"/>
    <w:rsid w:val="00F96873"/>
    <w:rsid w:val="00F9690F"/>
    <w:rsid w:val="00F96E3F"/>
    <w:rsid w:val="00F96F68"/>
    <w:rsid w:val="00F97C1F"/>
    <w:rsid w:val="00FA3715"/>
    <w:rsid w:val="00FA4F08"/>
    <w:rsid w:val="00FA59AD"/>
    <w:rsid w:val="00FA5D63"/>
    <w:rsid w:val="00FA76A5"/>
    <w:rsid w:val="00FB0AD9"/>
    <w:rsid w:val="00FB11D4"/>
    <w:rsid w:val="00FB24EE"/>
    <w:rsid w:val="00FB2803"/>
    <w:rsid w:val="00FB443E"/>
    <w:rsid w:val="00FB662C"/>
    <w:rsid w:val="00FC30A3"/>
    <w:rsid w:val="00FC58C8"/>
    <w:rsid w:val="00FC6952"/>
    <w:rsid w:val="00FC7B16"/>
    <w:rsid w:val="00FC7B46"/>
    <w:rsid w:val="00FD1E8E"/>
    <w:rsid w:val="00FD46EB"/>
    <w:rsid w:val="00FD54A6"/>
    <w:rsid w:val="00FD666D"/>
    <w:rsid w:val="00FD69F0"/>
    <w:rsid w:val="00FD7588"/>
    <w:rsid w:val="00FD7CEE"/>
    <w:rsid w:val="00FE0E54"/>
    <w:rsid w:val="00FE1A16"/>
    <w:rsid w:val="00FE229F"/>
    <w:rsid w:val="00FE57A4"/>
    <w:rsid w:val="00FE591D"/>
    <w:rsid w:val="00FE69C0"/>
    <w:rsid w:val="00FE6ADA"/>
    <w:rsid w:val="00FF00A8"/>
    <w:rsid w:val="00FF05B2"/>
    <w:rsid w:val="00FF0BDA"/>
    <w:rsid w:val="00FF1E99"/>
    <w:rsid w:val="00FF341E"/>
    <w:rsid w:val="00FF4461"/>
    <w:rsid w:val="00FF60D3"/>
    <w:rsid w:val="00FF65FE"/>
    <w:rsid w:val="00FF7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85B6D"/>
  <w15:chartTrackingRefBased/>
  <w15:docId w15:val="{EE741F6A-5D9D-475B-970C-44483BC1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07D5"/>
    <w:rPr>
      <w:lang w:val="es-ES_tradnl"/>
    </w:rPr>
  </w:style>
  <w:style w:type="paragraph" w:styleId="Heading1">
    <w:name w:val="heading 1"/>
    <w:basedOn w:val="Normal"/>
    <w:next w:val="Normal"/>
    <w:link w:val="Heading1Char"/>
    <w:uiPriority w:val="9"/>
    <w:qFormat/>
    <w:rsid w:val="00A608C0"/>
    <w:pPr>
      <w:keepNext/>
      <w:keepLines/>
      <w:spacing w:before="120" w:after="120" w:line="240" w:lineRule="auto"/>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A608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92F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0687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07D5"/>
    <w:pPr>
      <w:ind w:left="720"/>
      <w:contextualSpacing/>
    </w:pPr>
  </w:style>
  <w:style w:type="table" w:styleId="TableGrid">
    <w:name w:val="Table Grid"/>
    <w:basedOn w:val="TableNormal"/>
    <w:uiPriority w:val="59"/>
    <w:rsid w:val="00CC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5CF"/>
    <w:rPr>
      <w:color w:val="0000FF" w:themeColor="hyperlink"/>
      <w:u w:val="single"/>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
    <w:basedOn w:val="Normal"/>
    <w:link w:val="FootnoteTextChar"/>
    <w:uiPriority w:val="99"/>
    <w:unhideWhenUsed/>
    <w:rsid w:val="00CC75CF"/>
    <w:pPr>
      <w:spacing w:after="0" w:line="240" w:lineRule="auto"/>
    </w:pPr>
    <w:rPr>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CC75CF"/>
    <w:rPr>
      <w:sz w:val="20"/>
      <w:szCs w:val="20"/>
      <w:lang w:val="es-ES_tradnl"/>
    </w:rPr>
  </w:style>
  <w:style w:type="character" w:styleId="FootnoteReference">
    <w:name w:val="footnote reference"/>
    <w:aliases w:val="FC,ftref,Ref,de nota al pie,16 Point,Superscript 6 Point,(Ref. de nota al pie),referencia nota al pie,Fußnotenzeichen DISS,Style 24,titulo 2,pie pddes"/>
    <w:basedOn w:val="DefaultParagraphFont"/>
    <w:unhideWhenUsed/>
    <w:rsid w:val="00CC75CF"/>
    <w:rPr>
      <w:vertAlign w:val="superscript"/>
    </w:rPr>
  </w:style>
  <w:style w:type="paragraph" w:styleId="Header">
    <w:name w:val="header"/>
    <w:basedOn w:val="Normal"/>
    <w:link w:val="HeaderChar"/>
    <w:uiPriority w:val="99"/>
    <w:unhideWhenUsed/>
    <w:rsid w:val="00530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70E"/>
    <w:rPr>
      <w:lang w:val="es-ES_tradnl"/>
    </w:rPr>
  </w:style>
  <w:style w:type="paragraph" w:styleId="Footer">
    <w:name w:val="footer"/>
    <w:basedOn w:val="Normal"/>
    <w:link w:val="FooterChar"/>
    <w:uiPriority w:val="99"/>
    <w:unhideWhenUsed/>
    <w:rsid w:val="00530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70E"/>
    <w:rPr>
      <w:lang w:val="es-ES_tradnl"/>
    </w:rPr>
  </w:style>
  <w:style w:type="character" w:customStyle="1" w:styleId="Heading1Char">
    <w:name w:val="Heading 1 Char"/>
    <w:basedOn w:val="DefaultParagraphFont"/>
    <w:link w:val="Heading1"/>
    <w:uiPriority w:val="9"/>
    <w:rsid w:val="00A608C0"/>
    <w:rPr>
      <w:rFonts w:ascii="Arial" w:eastAsiaTheme="majorEastAsia" w:hAnsi="Arial" w:cstheme="majorBidi"/>
      <w:b/>
      <w:bCs/>
      <w:szCs w:val="28"/>
      <w:lang w:val="es-ES_tradnl"/>
    </w:rPr>
  </w:style>
  <w:style w:type="character" w:customStyle="1" w:styleId="Heading2Char">
    <w:name w:val="Heading 2 Char"/>
    <w:basedOn w:val="DefaultParagraphFont"/>
    <w:link w:val="Heading2"/>
    <w:uiPriority w:val="9"/>
    <w:rsid w:val="00A608C0"/>
    <w:rPr>
      <w:rFonts w:asciiTheme="majorHAnsi" w:eastAsiaTheme="majorEastAsia" w:hAnsiTheme="majorHAnsi" w:cstheme="majorBidi"/>
      <w:color w:val="365F91" w:themeColor="accent1" w:themeShade="BF"/>
      <w:sz w:val="26"/>
      <w:szCs w:val="26"/>
      <w:lang w:val="es-ES_tradnl"/>
    </w:rPr>
  </w:style>
  <w:style w:type="paragraph" w:styleId="TOC1">
    <w:name w:val="toc 1"/>
    <w:basedOn w:val="Normal"/>
    <w:next w:val="Normal"/>
    <w:autoRedefine/>
    <w:uiPriority w:val="39"/>
    <w:unhideWhenUsed/>
    <w:rsid w:val="00D53D19"/>
    <w:pPr>
      <w:tabs>
        <w:tab w:val="left" w:pos="440"/>
        <w:tab w:val="right" w:leader="dot" w:pos="9350"/>
      </w:tabs>
      <w:spacing w:after="100" w:line="240" w:lineRule="auto"/>
      <w:jc w:val="right"/>
    </w:pPr>
    <w:rPr>
      <w:rFonts w:ascii="Arial" w:hAnsi="Arial"/>
    </w:rPr>
  </w:style>
  <w:style w:type="paragraph" w:styleId="TOC2">
    <w:name w:val="toc 2"/>
    <w:basedOn w:val="Normal"/>
    <w:next w:val="Normal"/>
    <w:autoRedefine/>
    <w:uiPriority w:val="39"/>
    <w:unhideWhenUsed/>
    <w:rsid w:val="003A3345"/>
    <w:pPr>
      <w:tabs>
        <w:tab w:val="left" w:pos="880"/>
        <w:tab w:val="right" w:leader="dot" w:pos="9350"/>
      </w:tabs>
      <w:spacing w:after="0" w:line="240" w:lineRule="auto"/>
      <w:ind w:left="216"/>
    </w:pPr>
    <w:rPr>
      <w:rFonts w:ascii="Arial" w:hAnsi="Arial" w:cs="Times New Roman"/>
      <w:b/>
      <w:bCs/>
      <w:noProof/>
    </w:rPr>
  </w:style>
  <w:style w:type="paragraph" w:styleId="TOC3">
    <w:name w:val="toc 3"/>
    <w:basedOn w:val="Normal"/>
    <w:next w:val="Normal"/>
    <w:autoRedefine/>
    <w:uiPriority w:val="39"/>
    <w:unhideWhenUsed/>
    <w:rsid w:val="00D53D19"/>
    <w:pPr>
      <w:tabs>
        <w:tab w:val="left" w:pos="1000"/>
        <w:tab w:val="right" w:leader="dot" w:pos="9350"/>
      </w:tabs>
      <w:spacing w:after="100" w:line="240" w:lineRule="auto"/>
      <w:ind w:left="440"/>
    </w:pPr>
    <w:rPr>
      <w:rFonts w:ascii="Arial" w:hAnsi="Arial"/>
    </w:rPr>
  </w:style>
  <w:style w:type="paragraph" w:styleId="TOCHeading">
    <w:name w:val="TOC Heading"/>
    <w:basedOn w:val="Heading1"/>
    <w:next w:val="Normal"/>
    <w:uiPriority w:val="39"/>
    <w:semiHidden/>
    <w:unhideWhenUsed/>
    <w:qFormat/>
    <w:rsid w:val="00D53D19"/>
    <w:pPr>
      <w:outlineLvl w:val="9"/>
    </w:pPr>
    <w:rPr>
      <w:lang w:eastAsia="ja-JP"/>
    </w:rPr>
  </w:style>
  <w:style w:type="character" w:styleId="CommentReference">
    <w:name w:val="annotation reference"/>
    <w:basedOn w:val="DefaultParagraphFont"/>
    <w:semiHidden/>
    <w:unhideWhenUsed/>
    <w:rsid w:val="00D53D19"/>
    <w:rPr>
      <w:sz w:val="16"/>
      <w:szCs w:val="16"/>
    </w:rPr>
  </w:style>
  <w:style w:type="paragraph" w:styleId="CommentText">
    <w:name w:val="annotation text"/>
    <w:basedOn w:val="Normal"/>
    <w:link w:val="CommentTextChar"/>
    <w:uiPriority w:val="99"/>
    <w:unhideWhenUsed/>
    <w:rsid w:val="00D53D19"/>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D53D19"/>
    <w:rPr>
      <w:rFonts w:ascii="Arial" w:hAnsi="Arial"/>
      <w:sz w:val="20"/>
      <w:szCs w:val="20"/>
      <w:lang w:val="es-ES_tradnl"/>
    </w:rPr>
  </w:style>
  <w:style w:type="character" w:customStyle="1" w:styleId="ListParagraphChar">
    <w:name w:val="List Paragraph Char"/>
    <w:link w:val="ListParagraph"/>
    <w:uiPriority w:val="34"/>
    <w:locked/>
    <w:rsid w:val="00D53D19"/>
    <w:rPr>
      <w:lang w:val="es-ES_tradnl"/>
    </w:rPr>
  </w:style>
  <w:style w:type="paragraph" w:styleId="BalloonText">
    <w:name w:val="Balloon Text"/>
    <w:basedOn w:val="Normal"/>
    <w:link w:val="BalloonTextChar"/>
    <w:uiPriority w:val="99"/>
    <w:semiHidden/>
    <w:unhideWhenUsed/>
    <w:rsid w:val="00D53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D19"/>
    <w:rPr>
      <w:rFonts w:ascii="Segoe UI" w:hAnsi="Segoe UI" w:cs="Segoe UI"/>
      <w:sz w:val="18"/>
      <w:szCs w:val="18"/>
      <w:lang w:val="es-ES_tradnl"/>
    </w:rPr>
  </w:style>
  <w:style w:type="character" w:customStyle="1" w:styleId="Heading3Char">
    <w:name w:val="Heading 3 Char"/>
    <w:basedOn w:val="DefaultParagraphFont"/>
    <w:link w:val="Heading3"/>
    <w:uiPriority w:val="9"/>
    <w:rsid w:val="00092F8A"/>
    <w:rPr>
      <w:rFonts w:asciiTheme="majorHAnsi" w:eastAsiaTheme="majorEastAsia" w:hAnsiTheme="majorHAnsi" w:cstheme="majorBidi"/>
      <w:color w:val="243F60" w:themeColor="accent1" w:themeShade="7F"/>
      <w:sz w:val="24"/>
      <w:szCs w:val="24"/>
      <w:lang w:val="es-ES_tradnl"/>
    </w:rPr>
  </w:style>
  <w:style w:type="paragraph" w:customStyle="1" w:styleId="TableParagraph">
    <w:name w:val="Table Paragraph"/>
    <w:basedOn w:val="Normal"/>
    <w:uiPriority w:val="1"/>
    <w:qFormat/>
    <w:rsid w:val="00491F99"/>
    <w:pPr>
      <w:widowControl w:val="0"/>
      <w:autoSpaceDE w:val="0"/>
      <w:autoSpaceDN w:val="0"/>
      <w:spacing w:after="0" w:line="240" w:lineRule="auto"/>
    </w:pPr>
    <w:rPr>
      <w:rFonts w:ascii="Arial" w:eastAsia="Arial" w:hAnsi="Arial" w:cs="Arial"/>
      <w:lang w:val="en-US" w:bidi="en-US"/>
    </w:rPr>
  </w:style>
  <w:style w:type="character" w:styleId="UnresolvedMention">
    <w:name w:val="Unresolved Mention"/>
    <w:basedOn w:val="DefaultParagraphFont"/>
    <w:uiPriority w:val="99"/>
    <w:semiHidden/>
    <w:unhideWhenUsed/>
    <w:rsid w:val="00166094"/>
    <w:rPr>
      <w:color w:val="605E5C"/>
      <w:shd w:val="clear" w:color="auto" w:fill="E1DFDD"/>
    </w:rPr>
  </w:style>
  <w:style w:type="character" w:styleId="FollowedHyperlink">
    <w:name w:val="FollowedHyperlink"/>
    <w:basedOn w:val="DefaultParagraphFont"/>
    <w:uiPriority w:val="99"/>
    <w:semiHidden/>
    <w:unhideWhenUsed/>
    <w:rsid w:val="00166094"/>
    <w:rPr>
      <w:color w:val="800080" w:themeColor="followedHyperlink"/>
      <w:u w:val="single"/>
    </w:rPr>
  </w:style>
  <w:style w:type="paragraph" w:styleId="NormalWeb">
    <w:name w:val="Normal (Web)"/>
    <w:basedOn w:val="Normal"/>
    <w:uiPriority w:val="99"/>
    <w:unhideWhenUsed/>
    <w:rsid w:val="007A016C"/>
    <w:pPr>
      <w:spacing w:after="15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A016C"/>
    <w:rPr>
      <w:b/>
      <w:bCs/>
    </w:rPr>
  </w:style>
  <w:style w:type="paragraph" w:customStyle="1" w:styleId="Chapter">
    <w:name w:val="Chapter"/>
    <w:basedOn w:val="Normal"/>
    <w:next w:val="Normal"/>
    <w:rsid w:val="000845F0"/>
    <w:pPr>
      <w:keepNext/>
      <w:numPr>
        <w:numId w:val="3"/>
      </w:numPr>
      <w:tabs>
        <w:tab w:val="left" w:pos="1440"/>
      </w:tabs>
      <w:spacing w:before="240" w:after="240" w:line="240" w:lineRule="auto"/>
      <w:jc w:val="center"/>
    </w:pPr>
    <w:rPr>
      <w:rFonts w:ascii="Times New Roman" w:hAnsi="Times New Roman" w:cs="Times New Roman"/>
      <w:b/>
      <w:smallCaps/>
      <w:sz w:val="24"/>
      <w:szCs w:val="24"/>
      <w:lang w:val="es-ES"/>
    </w:rPr>
  </w:style>
  <w:style w:type="paragraph" w:customStyle="1" w:styleId="Paragraph">
    <w:name w:val="Paragraph"/>
    <w:aliases w:val="paragraph,p,PARAGRAPH,PG,pa,at"/>
    <w:basedOn w:val="BodyTextIndent"/>
    <w:link w:val="ParagraphChar"/>
    <w:qFormat/>
    <w:rsid w:val="000845F0"/>
    <w:pPr>
      <w:numPr>
        <w:ilvl w:val="1"/>
        <w:numId w:val="3"/>
      </w:numPr>
      <w:spacing w:before="120" w:line="240" w:lineRule="auto"/>
      <w:jc w:val="both"/>
      <w:outlineLvl w:val="1"/>
    </w:pPr>
    <w:rPr>
      <w:rFonts w:ascii="Times New Roman" w:hAnsi="Times New Roman" w:cs="Times New Roman"/>
      <w:sz w:val="24"/>
      <w:szCs w:val="24"/>
      <w:lang w:val="es-ES"/>
    </w:rPr>
  </w:style>
  <w:style w:type="character" w:customStyle="1" w:styleId="ParagraphChar">
    <w:name w:val="Paragraph Char"/>
    <w:aliases w:val="p Char,PARAGRAPH Char,PG Char,pa Char,at Char,paragraph Char"/>
    <w:basedOn w:val="DefaultParagraphFont"/>
    <w:link w:val="Paragraph"/>
    <w:rsid w:val="000845F0"/>
    <w:rPr>
      <w:rFonts w:ascii="Times New Roman" w:hAnsi="Times New Roman" w:cs="Times New Roman"/>
      <w:sz w:val="24"/>
      <w:szCs w:val="24"/>
      <w:lang w:val="es-ES"/>
    </w:rPr>
  </w:style>
  <w:style w:type="paragraph" w:customStyle="1" w:styleId="subpar">
    <w:name w:val="subpar"/>
    <w:basedOn w:val="BodyTextIndent3"/>
    <w:rsid w:val="000845F0"/>
    <w:pPr>
      <w:numPr>
        <w:ilvl w:val="2"/>
        <w:numId w:val="3"/>
      </w:numPr>
      <w:tabs>
        <w:tab w:val="clear" w:pos="1152"/>
      </w:tabs>
      <w:spacing w:before="120" w:line="240" w:lineRule="auto"/>
      <w:ind w:left="2160" w:hanging="180"/>
      <w:jc w:val="both"/>
      <w:outlineLvl w:val="2"/>
    </w:pPr>
    <w:rPr>
      <w:rFonts w:ascii="Times New Roman" w:hAnsi="Times New Roman" w:cs="Times New Roman"/>
      <w:sz w:val="24"/>
      <w:szCs w:val="24"/>
      <w:lang w:val="es-ES"/>
    </w:rPr>
  </w:style>
  <w:style w:type="paragraph" w:customStyle="1" w:styleId="SubSubPar">
    <w:name w:val="SubSubPar"/>
    <w:basedOn w:val="subpar"/>
    <w:uiPriority w:val="99"/>
    <w:rsid w:val="000845F0"/>
    <w:pPr>
      <w:numPr>
        <w:ilvl w:val="3"/>
      </w:numPr>
      <w:tabs>
        <w:tab w:val="clear" w:pos="1584"/>
        <w:tab w:val="left" w:pos="0"/>
        <w:tab w:val="num" w:pos="360"/>
        <w:tab w:val="num" w:pos="1296"/>
      </w:tabs>
      <w:ind w:left="1296" w:hanging="360"/>
    </w:pPr>
  </w:style>
  <w:style w:type="paragraph" w:styleId="BodyTextIndent">
    <w:name w:val="Body Text Indent"/>
    <w:basedOn w:val="Normal"/>
    <w:link w:val="BodyTextIndentChar"/>
    <w:uiPriority w:val="99"/>
    <w:semiHidden/>
    <w:unhideWhenUsed/>
    <w:rsid w:val="000845F0"/>
    <w:pPr>
      <w:spacing w:after="120"/>
      <w:ind w:left="360"/>
    </w:pPr>
  </w:style>
  <w:style w:type="character" w:customStyle="1" w:styleId="BodyTextIndentChar">
    <w:name w:val="Body Text Indent Char"/>
    <w:basedOn w:val="DefaultParagraphFont"/>
    <w:link w:val="BodyTextIndent"/>
    <w:uiPriority w:val="99"/>
    <w:semiHidden/>
    <w:rsid w:val="000845F0"/>
    <w:rPr>
      <w:lang w:val="es-ES_tradnl"/>
    </w:rPr>
  </w:style>
  <w:style w:type="paragraph" w:styleId="BodyTextIndent3">
    <w:name w:val="Body Text Indent 3"/>
    <w:basedOn w:val="Normal"/>
    <w:link w:val="BodyTextIndent3Char"/>
    <w:uiPriority w:val="99"/>
    <w:semiHidden/>
    <w:unhideWhenUsed/>
    <w:rsid w:val="000845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45F0"/>
    <w:rPr>
      <w:sz w:val="16"/>
      <w:szCs w:val="16"/>
      <w:lang w:val="es-ES_tradnl"/>
    </w:rPr>
  </w:style>
  <w:style w:type="paragraph" w:styleId="BodyText">
    <w:name w:val="Body Text"/>
    <w:basedOn w:val="Normal"/>
    <w:link w:val="BodyTextChar"/>
    <w:uiPriority w:val="99"/>
    <w:semiHidden/>
    <w:unhideWhenUsed/>
    <w:rsid w:val="0087732B"/>
    <w:pPr>
      <w:spacing w:after="120"/>
    </w:pPr>
  </w:style>
  <w:style w:type="character" w:customStyle="1" w:styleId="BodyTextChar">
    <w:name w:val="Body Text Char"/>
    <w:basedOn w:val="DefaultParagraphFont"/>
    <w:link w:val="BodyText"/>
    <w:uiPriority w:val="99"/>
    <w:semiHidden/>
    <w:rsid w:val="0087732B"/>
    <w:rPr>
      <w:lang w:val="es-ES_tradnl"/>
    </w:rPr>
  </w:style>
  <w:style w:type="paragraph" w:customStyle="1" w:styleId="Default">
    <w:name w:val="Default"/>
    <w:rsid w:val="009E0608"/>
    <w:pPr>
      <w:autoSpaceDE w:val="0"/>
      <w:autoSpaceDN w:val="0"/>
      <w:adjustRightInd w:val="0"/>
      <w:spacing w:after="0" w:line="240" w:lineRule="auto"/>
    </w:pPr>
    <w:rPr>
      <w:rFonts w:ascii="Arial" w:hAnsi="Arial" w:cs="Arial"/>
      <w:color w:val="000000"/>
      <w:sz w:val="24"/>
      <w:szCs w:val="24"/>
      <w:lang w:val="en-US"/>
    </w:rPr>
  </w:style>
  <w:style w:type="paragraph" w:styleId="CommentSubject">
    <w:name w:val="annotation subject"/>
    <w:basedOn w:val="CommentText"/>
    <w:next w:val="CommentText"/>
    <w:link w:val="CommentSubjectChar"/>
    <w:uiPriority w:val="99"/>
    <w:semiHidden/>
    <w:unhideWhenUsed/>
    <w:rsid w:val="00EB0A8E"/>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EB0A8E"/>
    <w:rPr>
      <w:rFonts w:ascii="Arial" w:hAnsi="Arial"/>
      <w:b/>
      <w:bCs/>
      <w:sz w:val="20"/>
      <w:szCs w:val="20"/>
      <w:lang w:val="es-ES_tradnl"/>
    </w:rPr>
  </w:style>
  <w:style w:type="paragraph" w:styleId="Revision">
    <w:name w:val="Revision"/>
    <w:hidden/>
    <w:uiPriority w:val="99"/>
    <w:semiHidden/>
    <w:rsid w:val="000D6E09"/>
    <w:pPr>
      <w:spacing w:after="0" w:line="240" w:lineRule="auto"/>
    </w:pPr>
    <w:rPr>
      <w:lang w:val="es-ES_tradnl"/>
    </w:rPr>
  </w:style>
  <w:style w:type="character" w:customStyle="1" w:styleId="Heading4Char">
    <w:name w:val="Heading 4 Char"/>
    <w:basedOn w:val="DefaultParagraphFont"/>
    <w:link w:val="Heading4"/>
    <w:uiPriority w:val="9"/>
    <w:semiHidden/>
    <w:rsid w:val="0050687A"/>
    <w:rPr>
      <w:rFonts w:asciiTheme="majorHAnsi" w:eastAsiaTheme="majorEastAsia" w:hAnsiTheme="majorHAnsi" w:cstheme="majorBidi"/>
      <w:i/>
      <w:iCs/>
      <w:color w:val="365F91" w:themeColor="accent1" w:themeShade="BF"/>
      <w:lang w:val="es-ES_tradnl"/>
    </w:rPr>
  </w:style>
  <w:style w:type="character" w:styleId="Emphasis">
    <w:name w:val="Emphasis"/>
    <w:basedOn w:val="DefaultParagraphFont"/>
    <w:uiPriority w:val="20"/>
    <w:qFormat/>
    <w:rsid w:val="00FB44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2623">
      <w:bodyDiv w:val="1"/>
      <w:marLeft w:val="0"/>
      <w:marRight w:val="0"/>
      <w:marTop w:val="0"/>
      <w:marBottom w:val="0"/>
      <w:divBdr>
        <w:top w:val="none" w:sz="0" w:space="0" w:color="auto"/>
        <w:left w:val="none" w:sz="0" w:space="0" w:color="auto"/>
        <w:bottom w:val="none" w:sz="0" w:space="0" w:color="auto"/>
        <w:right w:val="none" w:sz="0" w:space="0" w:color="auto"/>
      </w:divBdr>
    </w:div>
    <w:div w:id="155193433">
      <w:bodyDiv w:val="1"/>
      <w:marLeft w:val="0"/>
      <w:marRight w:val="0"/>
      <w:marTop w:val="0"/>
      <w:marBottom w:val="0"/>
      <w:divBdr>
        <w:top w:val="none" w:sz="0" w:space="0" w:color="auto"/>
        <w:left w:val="none" w:sz="0" w:space="0" w:color="auto"/>
        <w:bottom w:val="none" w:sz="0" w:space="0" w:color="auto"/>
        <w:right w:val="none" w:sz="0" w:space="0" w:color="auto"/>
      </w:divBdr>
      <w:divsChild>
        <w:div w:id="795023392">
          <w:marLeft w:val="0"/>
          <w:marRight w:val="0"/>
          <w:marTop w:val="0"/>
          <w:marBottom w:val="0"/>
          <w:divBdr>
            <w:top w:val="none" w:sz="0" w:space="0" w:color="auto"/>
            <w:left w:val="none" w:sz="0" w:space="0" w:color="auto"/>
            <w:bottom w:val="none" w:sz="0" w:space="0" w:color="auto"/>
            <w:right w:val="none" w:sz="0" w:space="0" w:color="auto"/>
          </w:divBdr>
          <w:divsChild>
            <w:div w:id="300887521">
              <w:marLeft w:val="0"/>
              <w:marRight w:val="0"/>
              <w:marTop w:val="0"/>
              <w:marBottom w:val="0"/>
              <w:divBdr>
                <w:top w:val="none" w:sz="0" w:space="0" w:color="auto"/>
                <w:left w:val="none" w:sz="0" w:space="0" w:color="auto"/>
                <w:bottom w:val="none" w:sz="0" w:space="0" w:color="auto"/>
                <w:right w:val="none" w:sz="0" w:space="0" w:color="auto"/>
              </w:divBdr>
              <w:divsChild>
                <w:div w:id="310410412">
                  <w:marLeft w:val="0"/>
                  <w:marRight w:val="0"/>
                  <w:marTop w:val="0"/>
                  <w:marBottom w:val="0"/>
                  <w:divBdr>
                    <w:top w:val="none" w:sz="0" w:space="0" w:color="auto"/>
                    <w:left w:val="none" w:sz="0" w:space="0" w:color="auto"/>
                    <w:bottom w:val="none" w:sz="0" w:space="0" w:color="auto"/>
                    <w:right w:val="none" w:sz="0" w:space="0" w:color="auto"/>
                  </w:divBdr>
                  <w:divsChild>
                    <w:div w:id="981882990">
                      <w:marLeft w:val="0"/>
                      <w:marRight w:val="0"/>
                      <w:marTop w:val="0"/>
                      <w:marBottom w:val="0"/>
                      <w:divBdr>
                        <w:top w:val="none" w:sz="0" w:space="0" w:color="auto"/>
                        <w:left w:val="none" w:sz="0" w:space="0" w:color="auto"/>
                        <w:bottom w:val="none" w:sz="0" w:space="0" w:color="auto"/>
                        <w:right w:val="none" w:sz="0" w:space="0" w:color="auto"/>
                      </w:divBdr>
                      <w:divsChild>
                        <w:div w:id="1547839108">
                          <w:marLeft w:val="0"/>
                          <w:marRight w:val="0"/>
                          <w:marTop w:val="0"/>
                          <w:marBottom w:val="0"/>
                          <w:divBdr>
                            <w:top w:val="none" w:sz="0" w:space="0" w:color="auto"/>
                            <w:left w:val="none" w:sz="0" w:space="0" w:color="auto"/>
                            <w:bottom w:val="none" w:sz="0" w:space="0" w:color="auto"/>
                            <w:right w:val="none" w:sz="0" w:space="0" w:color="auto"/>
                          </w:divBdr>
                          <w:divsChild>
                            <w:div w:id="1568146151">
                              <w:marLeft w:val="0"/>
                              <w:marRight w:val="0"/>
                              <w:marTop w:val="0"/>
                              <w:marBottom w:val="0"/>
                              <w:divBdr>
                                <w:top w:val="none" w:sz="0" w:space="0" w:color="auto"/>
                                <w:left w:val="none" w:sz="0" w:space="0" w:color="auto"/>
                                <w:bottom w:val="none" w:sz="0" w:space="0" w:color="auto"/>
                                <w:right w:val="none" w:sz="0" w:space="0" w:color="auto"/>
                              </w:divBdr>
                              <w:divsChild>
                                <w:div w:id="1621037270">
                                  <w:marLeft w:val="0"/>
                                  <w:marRight w:val="0"/>
                                  <w:marTop w:val="0"/>
                                  <w:marBottom w:val="0"/>
                                  <w:divBdr>
                                    <w:top w:val="none" w:sz="0" w:space="0" w:color="auto"/>
                                    <w:left w:val="none" w:sz="0" w:space="0" w:color="auto"/>
                                    <w:bottom w:val="none" w:sz="0" w:space="0" w:color="auto"/>
                                    <w:right w:val="none" w:sz="0" w:space="0" w:color="auto"/>
                                  </w:divBdr>
                                  <w:divsChild>
                                    <w:div w:id="1723990175">
                                      <w:marLeft w:val="60"/>
                                      <w:marRight w:val="0"/>
                                      <w:marTop w:val="0"/>
                                      <w:marBottom w:val="0"/>
                                      <w:divBdr>
                                        <w:top w:val="none" w:sz="0" w:space="0" w:color="auto"/>
                                        <w:left w:val="none" w:sz="0" w:space="0" w:color="auto"/>
                                        <w:bottom w:val="none" w:sz="0" w:space="0" w:color="auto"/>
                                        <w:right w:val="none" w:sz="0" w:space="0" w:color="auto"/>
                                      </w:divBdr>
                                      <w:divsChild>
                                        <w:div w:id="142042896">
                                          <w:marLeft w:val="0"/>
                                          <w:marRight w:val="0"/>
                                          <w:marTop w:val="0"/>
                                          <w:marBottom w:val="0"/>
                                          <w:divBdr>
                                            <w:top w:val="none" w:sz="0" w:space="0" w:color="auto"/>
                                            <w:left w:val="none" w:sz="0" w:space="0" w:color="auto"/>
                                            <w:bottom w:val="none" w:sz="0" w:space="0" w:color="auto"/>
                                            <w:right w:val="none" w:sz="0" w:space="0" w:color="auto"/>
                                          </w:divBdr>
                                          <w:divsChild>
                                            <w:div w:id="1825924477">
                                              <w:marLeft w:val="0"/>
                                              <w:marRight w:val="0"/>
                                              <w:marTop w:val="0"/>
                                              <w:marBottom w:val="120"/>
                                              <w:divBdr>
                                                <w:top w:val="single" w:sz="6" w:space="0" w:color="F5F5F5"/>
                                                <w:left w:val="single" w:sz="6" w:space="0" w:color="F5F5F5"/>
                                                <w:bottom w:val="single" w:sz="6" w:space="0" w:color="F5F5F5"/>
                                                <w:right w:val="single" w:sz="6" w:space="0" w:color="F5F5F5"/>
                                              </w:divBdr>
                                              <w:divsChild>
                                                <w:div w:id="1752241637">
                                                  <w:marLeft w:val="0"/>
                                                  <w:marRight w:val="0"/>
                                                  <w:marTop w:val="0"/>
                                                  <w:marBottom w:val="0"/>
                                                  <w:divBdr>
                                                    <w:top w:val="none" w:sz="0" w:space="0" w:color="auto"/>
                                                    <w:left w:val="none" w:sz="0" w:space="0" w:color="auto"/>
                                                    <w:bottom w:val="none" w:sz="0" w:space="0" w:color="auto"/>
                                                    <w:right w:val="none" w:sz="0" w:space="0" w:color="auto"/>
                                                  </w:divBdr>
                                                  <w:divsChild>
                                                    <w:div w:id="1564415574">
                                                      <w:marLeft w:val="0"/>
                                                      <w:marRight w:val="0"/>
                                                      <w:marTop w:val="0"/>
                                                      <w:marBottom w:val="0"/>
                                                      <w:divBdr>
                                                        <w:top w:val="none" w:sz="0" w:space="0" w:color="auto"/>
                                                        <w:left w:val="none" w:sz="0" w:space="0" w:color="auto"/>
                                                        <w:bottom w:val="none" w:sz="0" w:space="0" w:color="auto"/>
                                                        <w:right w:val="none" w:sz="0" w:space="0" w:color="auto"/>
                                                      </w:divBdr>
                                                    </w:div>
                                                  </w:divsChild>
                                                </w:div>
                                                <w:div w:id="2045595523">
                                                  <w:marLeft w:val="0"/>
                                                  <w:marRight w:val="0"/>
                                                  <w:marTop w:val="0"/>
                                                  <w:marBottom w:val="0"/>
                                                  <w:divBdr>
                                                    <w:top w:val="none" w:sz="0" w:space="0" w:color="auto"/>
                                                    <w:left w:val="none" w:sz="0" w:space="0" w:color="auto"/>
                                                    <w:bottom w:val="none" w:sz="0" w:space="0" w:color="auto"/>
                                                    <w:right w:val="none" w:sz="0" w:space="0" w:color="auto"/>
                                                  </w:divBdr>
                                                  <w:divsChild>
                                                    <w:div w:id="2678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504758">
      <w:bodyDiv w:val="1"/>
      <w:marLeft w:val="0"/>
      <w:marRight w:val="0"/>
      <w:marTop w:val="0"/>
      <w:marBottom w:val="0"/>
      <w:divBdr>
        <w:top w:val="none" w:sz="0" w:space="0" w:color="auto"/>
        <w:left w:val="none" w:sz="0" w:space="0" w:color="auto"/>
        <w:bottom w:val="none" w:sz="0" w:space="0" w:color="auto"/>
        <w:right w:val="none" w:sz="0" w:space="0" w:color="auto"/>
      </w:divBdr>
    </w:div>
    <w:div w:id="464588378">
      <w:bodyDiv w:val="1"/>
      <w:marLeft w:val="0"/>
      <w:marRight w:val="0"/>
      <w:marTop w:val="0"/>
      <w:marBottom w:val="0"/>
      <w:divBdr>
        <w:top w:val="none" w:sz="0" w:space="0" w:color="auto"/>
        <w:left w:val="none" w:sz="0" w:space="0" w:color="auto"/>
        <w:bottom w:val="none" w:sz="0" w:space="0" w:color="auto"/>
        <w:right w:val="none" w:sz="0" w:space="0" w:color="auto"/>
      </w:divBdr>
    </w:div>
    <w:div w:id="483862238">
      <w:bodyDiv w:val="1"/>
      <w:marLeft w:val="0"/>
      <w:marRight w:val="0"/>
      <w:marTop w:val="0"/>
      <w:marBottom w:val="0"/>
      <w:divBdr>
        <w:top w:val="none" w:sz="0" w:space="0" w:color="auto"/>
        <w:left w:val="none" w:sz="0" w:space="0" w:color="auto"/>
        <w:bottom w:val="none" w:sz="0" w:space="0" w:color="auto"/>
        <w:right w:val="none" w:sz="0" w:space="0" w:color="auto"/>
      </w:divBdr>
    </w:div>
    <w:div w:id="539628836">
      <w:bodyDiv w:val="1"/>
      <w:marLeft w:val="0"/>
      <w:marRight w:val="0"/>
      <w:marTop w:val="0"/>
      <w:marBottom w:val="0"/>
      <w:divBdr>
        <w:top w:val="none" w:sz="0" w:space="0" w:color="auto"/>
        <w:left w:val="none" w:sz="0" w:space="0" w:color="auto"/>
        <w:bottom w:val="none" w:sz="0" w:space="0" w:color="auto"/>
        <w:right w:val="none" w:sz="0" w:space="0" w:color="auto"/>
      </w:divBdr>
    </w:div>
    <w:div w:id="555748964">
      <w:bodyDiv w:val="1"/>
      <w:marLeft w:val="0"/>
      <w:marRight w:val="0"/>
      <w:marTop w:val="0"/>
      <w:marBottom w:val="0"/>
      <w:divBdr>
        <w:top w:val="none" w:sz="0" w:space="0" w:color="auto"/>
        <w:left w:val="none" w:sz="0" w:space="0" w:color="auto"/>
        <w:bottom w:val="none" w:sz="0" w:space="0" w:color="auto"/>
        <w:right w:val="none" w:sz="0" w:space="0" w:color="auto"/>
      </w:divBdr>
    </w:div>
    <w:div w:id="677005300">
      <w:bodyDiv w:val="1"/>
      <w:marLeft w:val="0"/>
      <w:marRight w:val="0"/>
      <w:marTop w:val="0"/>
      <w:marBottom w:val="0"/>
      <w:divBdr>
        <w:top w:val="none" w:sz="0" w:space="0" w:color="auto"/>
        <w:left w:val="none" w:sz="0" w:space="0" w:color="auto"/>
        <w:bottom w:val="none" w:sz="0" w:space="0" w:color="auto"/>
        <w:right w:val="none" w:sz="0" w:space="0" w:color="auto"/>
      </w:divBdr>
    </w:div>
    <w:div w:id="685790860">
      <w:bodyDiv w:val="1"/>
      <w:marLeft w:val="0"/>
      <w:marRight w:val="0"/>
      <w:marTop w:val="0"/>
      <w:marBottom w:val="0"/>
      <w:divBdr>
        <w:top w:val="none" w:sz="0" w:space="0" w:color="auto"/>
        <w:left w:val="none" w:sz="0" w:space="0" w:color="auto"/>
        <w:bottom w:val="none" w:sz="0" w:space="0" w:color="auto"/>
        <w:right w:val="none" w:sz="0" w:space="0" w:color="auto"/>
      </w:divBdr>
    </w:div>
    <w:div w:id="827403280">
      <w:bodyDiv w:val="1"/>
      <w:marLeft w:val="0"/>
      <w:marRight w:val="0"/>
      <w:marTop w:val="0"/>
      <w:marBottom w:val="0"/>
      <w:divBdr>
        <w:top w:val="none" w:sz="0" w:space="0" w:color="auto"/>
        <w:left w:val="none" w:sz="0" w:space="0" w:color="auto"/>
        <w:bottom w:val="none" w:sz="0" w:space="0" w:color="auto"/>
        <w:right w:val="none" w:sz="0" w:space="0" w:color="auto"/>
      </w:divBdr>
    </w:div>
    <w:div w:id="1170636638">
      <w:bodyDiv w:val="1"/>
      <w:marLeft w:val="0"/>
      <w:marRight w:val="0"/>
      <w:marTop w:val="0"/>
      <w:marBottom w:val="0"/>
      <w:divBdr>
        <w:top w:val="none" w:sz="0" w:space="0" w:color="auto"/>
        <w:left w:val="none" w:sz="0" w:space="0" w:color="auto"/>
        <w:bottom w:val="none" w:sz="0" w:space="0" w:color="auto"/>
        <w:right w:val="none" w:sz="0" w:space="0" w:color="auto"/>
      </w:divBdr>
    </w:div>
    <w:div w:id="1418362140">
      <w:bodyDiv w:val="1"/>
      <w:marLeft w:val="0"/>
      <w:marRight w:val="0"/>
      <w:marTop w:val="0"/>
      <w:marBottom w:val="0"/>
      <w:divBdr>
        <w:top w:val="none" w:sz="0" w:space="0" w:color="auto"/>
        <w:left w:val="none" w:sz="0" w:space="0" w:color="auto"/>
        <w:bottom w:val="none" w:sz="0" w:space="0" w:color="auto"/>
        <w:right w:val="none" w:sz="0" w:space="0" w:color="auto"/>
      </w:divBdr>
    </w:div>
    <w:div w:id="1441417120">
      <w:bodyDiv w:val="1"/>
      <w:marLeft w:val="0"/>
      <w:marRight w:val="0"/>
      <w:marTop w:val="0"/>
      <w:marBottom w:val="0"/>
      <w:divBdr>
        <w:top w:val="none" w:sz="0" w:space="0" w:color="auto"/>
        <w:left w:val="none" w:sz="0" w:space="0" w:color="auto"/>
        <w:bottom w:val="none" w:sz="0" w:space="0" w:color="auto"/>
        <w:right w:val="none" w:sz="0" w:space="0" w:color="auto"/>
      </w:divBdr>
    </w:div>
    <w:div w:id="1619531170">
      <w:bodyDiv w:val="1"/>
      <w:marLeft w:val="0"/>
      <w:marRight w:val="0"/>
      <w:marTop w:val="0"/>
      <w:marBottom w:val="0"/>
      <w:divBdr>
        <w:top w:val="none" w:sz="0" w:space="0" w:color="auto"/>
        <w:left w:val="none" w:sz="0" w:space="0" w:color="auto"/>
        <w:bottom w:val="none" w:sz="0" w:space="0" w:color="auto"/>
        <w:right w:val="none" w:sz="0" w:space="0" w:color="auto"/>
      </w:divBdr>
    </w:div>
    <w:div w:id="1667247698">
      <w:bodyDiv w:val="1"/>
      <w:marLeft w:val="0"/>
      <w:marRight w:val="0"/>
      <w:marTop w:val="0"/>
      <w:marBottom w:val="0"/>
      <w:divBdr>
        <w:top w:val="none" w:sz="0" w:space="0" w:color="auto"/>
        <w:left w:val="none" w:sz="0" w:space="0" w:color="auto"/>
        <w:bottom w:val="none" w:sz="0" w:space="0" w:color="auto"/>
        <w:right w:val="none" w:sz="0" w:space="0" w:color="auto"/>
      </w:divBdr>
    </w:div>
    <w:div w:id="1674184499">
      <w:bodyDiv w:val="1"/>
      <w:marLeft w:val="0"/>
      <w:marRight w:val="0"/>
      <w:marTop w:val="0"/>
      <w:marBottom w:val="0"/>
      <w:divBdr>
        <w:top w:val="none" w:sz="0" w:space="0" w:color="auto"/>
        <w:left w:val="none" w:sz="0" w:space="0" w:color="auto"/>
        <w:bottom w:val="none" w:sz="0" w:space="0" w:color="auto"/>
        <w:right w:val="none" w:sz="0" w:space="0" w:color="auto"/>
      </w:divBdr>
    </w:div>
    <w:div w:id="1676956840">
      <w:bodyDiv w:val="1"/>
      <w:marLeft w:val="0"/>
      <w:marRight w:val="0"/>
      <w:marTop w:val="0"/>
      <w:marBottom w:val="0"/>
      <w:divBdr>
        <w:top w:val="none" w:sz="0" w:space="0" w:color="auto"/>
        <w:left w:val="none" w:sz="0" w:space="0" w:color="auto"/>
        <w:bottom w:val="none" w:sz="0" w:space="0" w:color="auto"/>
        <w:right w:val="none" w:sz="0" w:space="0" w:color="auto"/>
      </w:divBdr>
    </w:div>
    <w:div w:id="1820346310">
      <w:bodyDiv w:val="1"/>
      <w:marLeft w:val="0"/>
      <w:marRight w:val="0"/>
      <w:marTop w:val="0"/>
      <w:marBottom w:val="0"/>
      <w:divBdr>
        <w:top w:val="none" w:sz="0" w:space="0" w:color="auto"/>
        <w:left w:val="none" w:sz="0" w:space="0" w:color="auto"/>
        <w:bottom w:val="none" w:sz="0" w:space="0" w:color="auto"/>
        <w:right w:val="none" w:sz="0" w:space="0" w:color="auto"/>
      </w:divBdr>
      <w:divsChild>
        <w:div w:id="274950391">
          <w:marLeft w:val="0"/>
          <w:marRight w:val="0"/>
          <w:marTop w:val="0"/>
          <w:marBottom w:val="0"/>
          <w:divBdr>
            <w:top w:val="none" w:sz="0" w:space="0" w:color="auto"/>
            <w:left w:val="none" w:sz="0" w:space="0" w:color="auto"/>
            <w:bottom w:val="none" w:sz="0" w:space="0" w:color="auto"/>
            <w:right w:val="none" w:sz="0" w:space="0" w:color="auto"/>
          </w:divBdr>
          <w:divsChild>
            <w:div w:id="1492522226">
              <w:marLeft w:val="0"/>
              <w:marRight w:val="0"/>
              <w:marTop w:val="0"/>
              <w:marBottom w:val="0"/>
              <w:divBdr>
                <w:top w:val="none" w:sz="0" w:space="0" w:color="auto"/>
                <w:left w:val="none" w:sz="0" w:space="0" w:color="auto"/>
                <w:bottom w:val="none" w:sz="0" w:space="0" w:color="auto"/>
                <w:right w:val="none" w:sz="0" w:space="0" w:color="auto"/>
              </w:divBdr>
              <w:divsChild>
                <w:div w:id="39671633">
                  <w:marLeft w:val="0"/>
                  <w:marRight w:val="0"/>
                  <w:marTop w:val="0"/>
                  <w:marBottom w:val="0"/>
                  <w:divBdr>
                    <w:top w:val="none" w:sz="0" w:space="0" w:color="auto"/>
                    <w:left w:val="none" w:sz="0" w:space="0" w:color="auto"/>
                    <w:bottom w:val="none" w:sz="0" w:space="0" w:color="auto"/>
                    <w:right w:val="none" w:sz="0" w:space="0" w:color="auto"/>
                  </w:divBdr>
                  <w:divsChild>
                    <w:div w:id="941108807">
                      <w:marLeft w:val="0"/>
                      <w:marRight w:val="0"/>
                      <w:marTop w:val="0"/>
                      <w:marBottom w:val="0"/>
                      <w:divBdr>
                        <w:top w:val="none" w:sz="0" w:space="0" w:color="auto"/>
                        <w:left w:val="none" w:sz="0" w:space="0" w:color="auto"/>
                        <w:bottom w:val="none" w:sz="0" w:space="0" w:color="auto"/>
                        <w:right w:val="none" w:sz="0" w:space="0" w:color="auto"/>
                      </w:divBdr>
                      <w:divsChild>
                        <w:div w:id="1315111277">
                          <w:marLeft w:val="0"/>
                          <w:marRight w:val="0"/>
                          <w:marTop w:val="0"/>
                          <w:marBottom w:val="0"/>
                          <w:divBdr>
                            <w:top w:val="none" w:sz="0" w:space="0" w:color="auto"/>
                            <w:left w:val="none" w:sz="0" w:space="0" w:color="auto"/>
                            <w:bottom w:val="none" w:sz="0" w:space="0" w:color="auto"/>
                            <w:right w:val="none" w:sz="0" w:space="0" w:color="auto"/>
                          </w:divBdr>
                          <w:divsChild>
                            <w:div w:id="2073582070">
                              <w:marLeft w:val="0"/>
                              <w:marRight w:val="0"/>
                              <w:marTop w:val="0"/>
                              <w:marBottom w:val="0"/>
                              <w:divBdr>
                                <w:top w:val="none" w:sz="0" w:space="0" w:color="auto"/>
                                <w:left w:val="none" w:sz="0" w:space="0" w:color="auto"/>
                                <w:bottom w:val="none" w:sz="0" w:space="0" w:color="auto"/>
                                <w:right w:val="none" w:sz="0" w:space="0" w:color="auto"/>
                              </w:divBdr>
                              <w:divsChild>
                                <w:div w:id="1517957707">
                                  <w:marLeft w:val="0"/>
                                  <w:marRight w:val="0"/>
                                  <w:marTop w:val="0"/>
                                  <w:marBottom w:val="0"/>
                                  <w:divBdr>
                                    <w:top w:val="none" w:sz="0" w:space="0" w:color="auto"/>
                                    <w:left w:val="none" w:sz="0" w:space="0" w:color="auto"/>
                                    <w:bottom w:val="none" w:sz="0" w:space="0" w:color="auto"/>
                                    <w:right w:val="none" w:sz="0" w:space="0" w:color="auto"/>
                                  </w:divBdr>
                                  <w:divsChild>
                                    <w:div w:id="835610617">
                                      <w:marLeft w:val="0"/>
                                      <w:marRight w:val="0"/>
                                      <w:marTop w:val="0"/>
                                      <w:marBottom w:val="0"/>
                                      <w:divBdr>
                                        <w:top w:val="none" w:sz="0" w:space="0" w:color="auto"/>
                                        <w:left w:val="none" w:sz="0" w:space="0" w:color="auto"/>
                                        <w:bottom w:val="none" w:sz="0" w:space="0" w:color="auto"/>
                                        <w:right w:val="none" w:sz="0" w:space="0" w:color="auto"/>
                                      </w:divBdr>
                                      <w:divsChild>
                                        <w:div w:id="1509326825">
                                          <w:marLeft w:val="0"/>
                                          <w:marRight w:val="0"/>
                                          <w:marTop w:val="0"/>
                                          <w:marBottom w:val="0"/>
                                          <w:divBdr>
                                            <w:top w:val="none" w:sz="0" w:space="0" w:color="auto"/>
                                            <w:left w:val="none" w:sz="0" w:space="0" w:color="auto"/>
                                            <w:bottom w:val="none" w:sz="0" w:space="0" w:color="auto"/>
                                            <w:right w:val="none" w:sz="0" w:space="0" w:color="auto"/>
                                          </w:divBdr>
                                          <w:divsChild>
                                            <w:div w:id="1400054715">
                                              <w:marLeft w:val="0"/>
                                              <w:marRight w:val="0"/>
                                              <w:marTop w:val="0"/>
                                              <w:marBottom w:val="0"/>
                                              <w:divBdr>
                                                <w:top w:val="none" w:sz="0" w:space="0" w:color="auto"/>
                                                <w:left w:val="none" w:sz="0" w:space="0" w:color="auto"/>
                                                <w:bottom w:val="none" w:sz="0" w:space="0" w:color="auto"/>
                                                <w:right w:val="none" w:sz="0" w:space="0" w:color="auto"/>
                                              </w:divBdr>
                                              <w:divsChild>
                                                <w:div w:id="2070423387">
                                                  <w:marLeft w:val="0"/>
                                                  <w:marRight w:val="0"/>
                                                  <w:marTop w:val="0"/>
                                                  <w:marBottom w:val="0"/>
                                                  <w:divBdr>
                                                    <w:top w:val="none" w:sz="0" w:space="0" w:color="auto"/>
                                                    <w:left w:val="none" w:sz="0" w:space="0" w:color="auto"/>
                                                    <w:bottom w:val="none" w:sz="0" w:space="0" w:color="auto"/>
                                                    <w:right w:val="none" w:sz="0" w:space="0" w:color="auto"/>
                                                  </w:divBdr>
                                                  <w:divsChild>
                                                    <w:div w:id="4892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951852">
      <w:bodyDiv w:val="1"/>
      <w:marLeft w:val="0"/>
      <w:marRight w:val="0"/>
      <w:marTop w:val="0"/>
      <w:marBottom w:val="0"/>
      <w:divBdr>
        <w:top w:val="none" w:sz="0" w:space="0" w:color="auto"/>
        <w:left w:val="none" w:sz="0" w:space="0" w:color="auto"/>
        <w:bottom w:val="none" w:sz="0" w:space="0" w:color="auto"/>
        <w:right w:val="none" w:sz="0" w:space="0" w:color="auto"/>
      </w:divBdr>
    </w:div>
    <w:div w:id="2005624368">
      <w:bodyDiv w:val="1"/>
      <w:marLeft w:val="0"/>
      <w:marRight w:val="0"/>
      <w:marTop w:val="0"/>
      <w:marBottom w:val="0"/>
      <w:divBdr>
        <w:top w:val="none" w:sz="0" w:space="0" w:color="auto"/>
        <w:left w:val="none" w:sz="0" w:space="0" w:color="auto"/>
        <w:bottom w:val="none" w:sz="0" w:space="0" w:color="auto"/>
        <w:right w:val="none" w:sz="0" w:space="0" w:color="auto"/>
      </w:divBdr>
    </w:div>
    <w:div w:id="2041592065">
      <w:bodyDiv w:val="1"/>
      <w:marLeft w:val="0"/>
      <w:marRight w:val="0"/>
      <w:marTop w:val="0"/>
      <w:marBottom w:val="0"/>
      <w:divBdr>
        <w:top w:val="none" w:sz="0" w:space="0" w:color="auto"/>
        <w:left w:val="none" w:sz="0" w:space="0" w:color="auto"/>
        <w:bottom w:val="none" w:sz="0" w:space="0" w:color="auto"/>
        <w:right w:val="none" w:sz="0" w:space="0" w:color="auto"/>
      </w:divBdr>
    </w:div>
    <w:div w:id="2103135862">
      <w:bodyDiv w:val="1"/>
      <w:marLeft w:val="0"/>
      <w:marRight w:val="0"/>
      <w:marTop w:val="0"/>
      <w:marBottom w:val="0"/>
      <w:divBdr>
        <w:top w:val="none" w:sz="0" w:space="0" w:color="auto"/>
        <w:left w:val="none" w:sz="0" w:space="0" w:color="auto"/>
        <w:bottom w:val="none" w:sz="0" w:space="0" w:color="auto"/>
        <w:right w:val="none" w:sz="0" w:space="0" w:color="auto"/>
      </w:divBdr>
    </w:div>
    <w:div w:id="21408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observatorioplanificacion.cepal.org/sites/default/files/plan/files/Plan%20Peru%20PEDN-2021-15-07-2016-RM-138-2016-PCM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bservatorioplanificacion.cepal.org/sites/default/files/plan/files/Plan%20Peru%20PEDN-2021-15-07-2016-RM-138-2016-PCM2.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mef.gob.pe/contenidos/acerc_mins/doc_gestion/PEI2017_2019.pdf" TargetMode="External"/><Relationship Id="rId25" Type="http://schemas.openxmlformats.org/officeDocument/2006/relationships/chart" Target="charts/chart2.xml"/><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s://www.france24.com/es/20180424-pobreza-en-peru-aumenta-por-primera-vez-en-una-decada-hasta-217" TargetMode="External"/><Relationship Id="rId20" Type="http://schemas.openxmlformats.org/officeDocument/2006/relationships/hyperlink" Target="https://www.mef.gob.pe/contenidos/acerc_mins/doc_gestion/PEI2017_2019.pdf" TargetMode="External"/><Relationship Id="rId29"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acom.com/DS_V_Cost_of_Issuing_Checks_1_17.pdf" TargetMode="External"/><Relationship Id="rId10" Type="http://schemas.openxmlformats.org/officeDocument/2006/relationships/header" Target="header1.xml"/><Relationship Id="rId19" Type="http://schemas.openxmlformats.org/officeDocument/2006/relationships/hyperlink" Target="https://www.mef.gob.pe/contenidos/acerc_mins/doc_gestion/PEI2017_2019.pdf"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header" Target="header2.xml"/><Relationship Id="rId27" Type="http://schemas.openxmlformats.org/officeDocument/2006/relationships/theme" Target="theme/theme1.xml"/><Relationship Id="rId30"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Users\abarros\Desktop\enable\BID-Peru\Informe\we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Hoja2!$B$9</c:f>
              <c:strCache>
                <c:ptCount val="1"/>
                <c:pt idx="0">
                  <c:v>SI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Century Gothic" panose="020B05020202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Hoja2!$A$10:$A$13</c:f>
              <c:strCache>
                <c:ptCount val="4"/>
                <c:pt idx="0">
                  <c:v>Ejecución</c:v>
                </c:pt>
                <c:pt idx="1">
                  <c:v>Programación</c:v>
                </c:pt>
                <c:pt idx="2">
                  <c:v>Rendición de cuentas</c:v>
                </c:pt>
                <c:pt idx="3">
                  <c:v>Total de Procesos</c:v>
                </c:pt>
              </c:strCache>
            </c:strRef>
          </c:cat>
          <c:val>
            <c:numRef>
              <c:f>Hoja2!$B$10:$B$13</c:f>
              <c:numCache>
                <c:formatCode>0%</c:formatCode>
                <c:ptCount val="4"/>
                <c:pt idx="0">
                  <c:v>0.53846153846153844</c:v>
                </c:pt>
                <c:pt idx="1">
                  <c:v>0.2</c:v>
                </c:pt>
                <c:pt idx="2">
                  <c:v>0.77777777777777779</c:v>
                </c:pt>
                <c:pt idx="3">
                  <c:v>0.59183673469387754</c:v>
                </c:pt>
              </c:numCache>
            </c:numRef>
          </c:val>
          <c:extLst>
            <c:ext xmlns:c16="http://schemas.microsoft.com/office/drawing/2014/chart" uri="{C3380CC4-5D6E-409C-BE32-E72D297353CC}">
              <c16:uniqueId val="{00000000-2725-4749-91DC-05C7857960F6}"/>
            </c:ext>
          </c:extLst>
        </c:ser>
        <c:ser>
          <c:idx val="1"/>
          <c:order val="1"/>
          <c:tx>
            <c:strRef>
              <c:f>Hoja2!$C$9</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Century Gothic" panose="020B05020202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Hoja2!$A$10:$A$13</c:f>
              <c:strCache>
                <c:ptCount val="4"/>
                <c:pt idx="0">
                  <c:v>Ejecución</c:v>
                </c:pt>
                <c:pt idx="1">
                  <c:v>Programación</c:v>
                </c:pt>
                <c:pt idx="2">
                  <c:v>Rendición de cuentas</c:v>
                </c:pt>
                <c:pt idx="3">
                  <c:v>Total de Procesos</c:v>
                </c:pt>
              </c:strCache>
            </c:strRef>
          </c:cat>
          <c:val>
            <c:numRef>
              <c:f>Hoja2!$C$10:$C$13</c:f>
              <c:numCache>
                <c:formatCode>0%</c:formatCode>
                <c:ptCount val="4"/>
                <c:pt idx="0">
                  <c:v>0.46153846153846156</c:v>
                </c:pt>
                <c:pt idx="1">
                  <c:v>0.8</c:v>
                </c:pt>
                <c:pt idx="2">
                  <c:v>0.22222222222222221</c:v>
                </c:pt>
                <c:pt idx="3">
                  <c:v>0.40816326530612246</c:v>
                </c:pt>
              </c:numCache>
            </c:numRef>
          </c:val>
          <c:extLst>
            <c:ext xmlns:c16="http://schemas.microsoft.com/office/drawing/2014/chart" uri="{C3380CC4-5D6E-409C-BE32-E72D297353CC}">
              <c16:uniqueId val="{00000001-2725-4749-91DC-05C7857960F6}"/>
            </c:ext>
          </c:extLst>
        </c:ser>
        <c:dLbls>
          <c:dLblPos val="ctr"/>
          <c:showLegendKey val="0"/>
          <c:showVal val="1"/>
          <c:showCatName val="0"/>
          <c:showSerName val="0"/>
          <c:showPercent val="0"/>
          <c:showBubbleSize val="0"/>
        </c:dLbls>
        <c:gapWidth val="79"/>
        <c:overlap val="100"/>
        <c:axId val="806337216"/>
        <c:axId val="809797184"/>
      </c:barChart>
      <c:catAx>
        <c:axId val="80633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all" spc="120" normalizeH="0" baseline="0">
                <a:solidFill>
                  <a:schemeClr val="tx1">
                    <a:lumMod val="65000"/>
                    <a:lumOff val="35000"/>
                  </a:schemeClr>
                </a:solidFill>
                <a:latin typeface="Century Gothic" panose="020B0502020202020204" pitchFamily="34" charset="0"/>
                <a:ea typeface="+mn-ea"/>
                <a:cs typeface="+mn-cs"/>
              </a:defRPr>
            </a:pPr>
            <a:endParaRPr lang="en-US"/>
          </a:p>
        </c:txPr>
        <c:crossAx val="809797184"/>
        <c:crosses val="autoZero"/>
        <c:auto val="1"/>
        <c:lblAlgn val="ctr"/>
        <c:lblOffset val="100"/>
        <c:noMultiLvlLbl val="0"/>
      </c:catAx>
      <c:valAx>
        <c:axId val="809797184"/>
        <c:scaling>
          <c:orientation val="minMax"/>
        </c:scaling>
        <c:delete val="1"/>
        <c:axPos val="l"/>
        <c:numFmt formatCode="0%" sourceLinked="1"/>
        <c:majorTickMark val="none"/>
        <c:minorTickMark val="none"/>
        <c:tickLblPos val="nextTo"/>
        <c:crossAx val="806337216"/>
        <c:crosses val="autoZero"/>
        <c:crossBetween val="between"/>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Hoja1!$B$1</c:f>
              <c:strCache>
                <c:ptCount val="1"/>
                <c:pt idx="0">
                  <c:v>Serie 1</c:v>
                </c:pt>
              </c:strCache>
            </c:strRef>
          </c:tx>
          <c:invertIfNegative val="0"/>
          <c:dLbls>
            <c:spPr>
              <a:noFill/>
              <a:ln>
                <a:noFill/>
              </a:ln>
              <a:effectLst/>
            </c:spPr>
            <c:txPr>
              <a:bodyPr/>
              <a:lstStyle/>
              <a:p>
                <a:pPr>
                  <a:defRPr sz="1400" b="0" i="1">
                    <a:solidFill>
                      <a:srgbClr val="FF0000"/>
                    </a:solidFill>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Hoja1!$A$2:$A$7</c:f>
              <c:strCache>
                <c:ptCount val="6"/>
                <c:pt idx="0">
                  <c:v>&gt; $ 20 MM</c:v>
                </c:pt>
                <c:pt idx="1">
                  <c:v>$ 16 - 20</c:v>
                </c:pt>
                <c:pt idx="2">
                  <c:v>$ 12 - 16</c:v>
                </c:pt>
                <c:pt idx="3">
                  <c:v>$ 8 - 12</c:v>
                </c:pt>
                <c:pt idx="4">
                  <c:v>$ 4 - 8</c:v>
                </c:pt>
                <c:pt idx="5">
                  <c:v>&lt; $ 4</c:v>
                </c:pt>
              </c:strCache>
            </c:strRef>
          </c:cat>
          <c:val>
            <c:numRef>
              <c:f>Hoja1!$B$2:$B$7</c:f>
              <c:numCache>
                <c:formatCode>General</c:formatCode>
                <c:ptCount val="6"/>
                <c:pt idx="0">
                  <c:v>3</c:v>
                </c:pt>
                <c:pt idx="1">
                  <c:v>4</c:v>
                </c:pt>
                <c:pt idx="2">
                  <c:v>3</c:v>
                </c:pt>
                <c:pt idx="3">
                  <c:v>4</c:v>
                </c:pt>
                <c:pt idx="4">
                  <c:v>21</c:v>
                </c:pt>
                <c:pt idx="5">
                  <c:v>14</c:v>
                </c:pt>
              </c:numCache>
            </c:numRef>
          </c:val>
          <c:extLst>
            <c:ext xmlns:c16="http://schemas.microsoft.com/office/drawing/2014/chart" uri="{C3380CC4-5D6E-409C-BE32-E72D297353CC}">
              <c16:uniqueId val="{00000000-658C-4482-B2A0-3815D88B8BCA}"/>
            </c:ext>
          </c:extLst>
        </c:ser>
        <c:dLbls>
          <c:showLegendKey val="0"/>
          <c:showVal val="1"/>
          <c:showCatName val="0"/>
          <c:showSerName val="0"/>
          <c:showPercent val="0"/>
          <c:showBubbleSize val="0"/>
        </c:dLbls>
        <c:gapWidth val="150"/>
        <c:shape val="box"/>
        <c:axId val="-2141972936"/>
        <c:axId val="-2141964936"/>
        <c:axId val="0"/>
      </c:bar3DChart>
      <c:catAx>
        <c:axId val="-2141972936"/>
        <c:scaling>
          <c:orientation val="minMax"/>
        </c:scaling>
        <c:delete val="0"/>
        <c:axPos val="l"/>
        <c:numFmt formatCode="General" sourceLinked="0"/>
        <c:majorTickMark val="none"/>
        <c:minorTickMark val="none"/>
        <c:tickLblPos val="nextTo"/>
        <c:txPr>
          <a:bodyPr/>
          <a:lstStyle/>
          <a:p>
            <a:pPr>
              <a:defRPr sz="1000" b="1">
                <a:solidFill>
                  <a:srgbClr val="FF0000"/>
                </a:solidFill>
                <a:latin typeface="Arial" panose="020B0604020202020204" pitchFamily="34" charset="0"/>
                <a:cs typeface="Arial" panose="020B0604020202020204" pitchFamily="34" charset="0"/>
              </a:defRPr>
            </a:pPr>
            <a:endParaRPr lang="en-US"/>
          </a:p>
        </c:txPr>
        <c:crossAx val="-2141964936"/>
        <c:crosses val="autoZero"/>
        <c:auto val="1"/>
        <c:lblAlgn val="ctr"/>
        <c:lblOffset val="100"/>
        <c:noMultiLvlLbl val="0"/>
      </c:catAx>
      <c:valAx>
        <c:axId val="-2141964936"/>
        <c:scaling>
          <c:orientation val="minMax"/>
        </c:scaling>
        <c:delete val="1"/>
        <c:axPos val="b"/>
        <c:numFmt formatCode="General" sourceLinked="1"/>
        <c:majorTickMark val="out"/>
        <c:minorTickMark val="none"/>
        <c:tickLblPos val="nextTo"/>
        <c:crossAx val="-2141972936"/>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CE990851B27C664EBCD8BDFC0CD8E51A" ma:contentTypeVersion="2843" ma:contentTypeDescription="The base project type from which other project content types inherit their information." ma:contentTypeScope="" ma:versionID="59173847bd448737d40db201bf1c676b">
  <xsd:schema xmlns:xsd="http://www.w3.org/2001/XMLSchema" xmlns:xs="http://www.w3.org/2001/XMLSchema" xmlns:p="http://schemas.microsoft.com/office/2006/metadata/properties" xmlns:ns2="cdc7663a-08f0-4737-9e8c-148ce897a09c" targetNamespace="http://schemas.microsoft.com/office/2006/metadata/properties" ma:root="true" ma:fieldsID="fbe1c8269592e3234e5f4704f155dd7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PE-L1087"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FCA6DDAC40E0B4BBFDE24F49319B024" ma:contentTypeVersion="2843" ma:contentTypeDescription="A content type to manage public (operations) IDB documents" ma:contentTypeScope="" ma:versionID="168608edade83140c72a7e0bf8932449">
  <xsd:schema xmlns:xsd="http://www.w3.org/2001/XMLSchema" xmlns:xs="http://www.w3.org/2001/XMLSchema" xmlns:p="http://schemas.microsoft.com/office/2006/metadata/properties" xmlns:ns2="cdc7663a-08f0-4737-9e8c-148ce897a09c" targetNamespace="http://schemas.microsoft.com/office/2006/metadata/properties" ma:root="true" ma:fieldsID="0f2ca11fee06c377afba8a0a671fc1a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PE-L1087"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Peru</TermName>
          <TermId xmlns="http://schemas.microsoft.com/office/infopath/2007/PartnerControls">c988f60b-81f1-4c24-8da7-d5473741c5b0</TermId>
        </TermInfo>
      </Terms>
    </ic46d7e087fd4a108fb86518ca413cc6>
    <IDBDocs_x0020_Number xmlns="cdc7663a-08f0-4737-9e8c-148ce897a09c" xsi:nil="true"/>
    <Division_x0020_or_x0020_Unit xmlns="cdc7663a-08f0-4737-9e8c-148ce897a09c">IFD/FMM</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2445/OC-PE;</Approval_x0020_Number>
    <Phase xmlns="cdc7663a-08f0-4737-9e8c-148ce897a09c">EXITED</Phase>
    <Document_x0020_Author xmlns="cdc7663a-08f0-4737-9e8c-148ce897a09c">Larios Jose I.</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REFORM AND PUBLIC SECTOR SUPPORT</TermName>
          <TermId xmlns="http://schemas.microsoft.com/office/infopath/2007/PartnerControls">6679f56e-8b55-402b-90a0-8fe4c41c00ba</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34</Value>
      <Value>31</Value>
      <Value>44</Value>
      <Value>1</Value>
      <Value>48</Value>
    </TaxCatchAll>
    <Operation_x0020_Type xmlns="cdc7663a-08f0-4737-9e8c-148ce897a09c">LON</Operation_x0020_Type>
    <Package_x0020_Code xmlns="cdc7663a-08f0-4737-9e8c-148ce897a09c" xsi:nil="true"/>
    <Identifier xmlns="cdc7663a-08f0-4737-9e8c-148ce897a09c" xsi:nil="true"/>
    <Project_x0020_Number xmlns="cdc7663a-08f0-4737-9e8c-148ce897a09c">PE-L1087</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 xsi:nil="true"/>
    <_dlc_DocId xmlns="cdc7663a-08f0-4737-9e8c-148ce897a09c">EZSHARE-1789293040-5</_dlc_DocId>
    <_dlc_DocIdUrl xmlns="cdc7663a-08f0-4737-9e8c-148ce897a09c">
      <Url>https://idbg.sharepoint.com/teams/EZ-PE-LON/PE-L1087/_layouts/15/DocIdRedir.aspx?ID=EZSHARE-1789293040-5</Url>
      <Description>EZSHARE-1789293040-5</Description>
    </_dlc_DocIdUrl>
    <Disclosure_x0020_Activity xmlns="cdc7663a-08f0-4737-9e8c-148ce897a09c">Project Completion Report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E52E0F5A-5A29-4A0E-9668-946EDE7DBF08}"/>
</file>

<file path=customXml/itemProps2.xml><?xml version="1.0" encoding="utf-8"?>
<ds:datastoreItem xmlns:ds="http://schemas.openxmlformats.org/officeDocument/2006/customXml" ds:itemID="{21A5BD0C-3E59-4DBB-A3D7-1D18AD008012}"/>
</file>

<file path=customXml/itemProps3.xml><?xml version="1.0" encoding="utf-8"?>
<ds:datastoreItem xmlns:ds="http://schemas.openxmlformats.org/officeDocument/2006/customXml" ds:itemID="{9DE33390-259E-4662-ABC6-0ED27196A095}"/>
</file>

<file path=customXml/itemProps4.xml><?xml version="1.0" encoding="utf-8"?>
<ds:datastoreItem xmlns:ds="http://schemas.openxmlformats.org/officeDocument/2006/customXml" ds:itemID="{4A50C9F0-2ADF-4151-ADF5-390F7A1E4F3D}"/>
</file>

<file path=customXml/itemProps5.xml><?xml version="1.0" encoding="utf-8"?>
<ds:datastoreItem xmlns:ds="http://schemas.openxmlformats.org/officeDocument/2006/customXml" ds:itemID="{7A39A02F-8723-4033-9E96-67EA76C8F5BF}"/>
</file>

<file path=customXml/itemProps6.xml><?xml version="1.0" encoding="utf-8"?>
<ds:datastoreItem xmlns:ds="http://schemas.openxmlformats.org/officeDocument/2006/customXml" ds:itemID="{32A254C8-5896-41AD-B2EF-87C5305C4A87}"/>
</file>

<file path=docProps/app.xml><?xml version="1.0" encoding="utf-8"?>
<Properties xmlns="http://schemas.openxmlformats.org/officeDocument/2006/extended-properties" xmlns:vt="http://schemas.openxmlformats.org/officeDocument/2006/docPropsVTypes">
  <Template>Normal.dotm</Template>
  <TotalTime>20</TotalTime>
  <Pages>30</Pages>
  <Words>13085</Words>
  <Characters>74587</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Cracel</dc:creator>
  <cp:keywords/>
  <dc:description/>
  <cp:lastModifiedBy>Santiago, Ana</cp:lastModifiedBy>
  <cp:revision>5</cp:revision>
  <cp:lastPrinted>2019-12-16T17:27:00Z</cp:lastPrinted>
  <dcterms:created xsi:type="dcterms:W3CDTF">2019-12-16T17:01:00Z</dcterms:created>
  <dcterms:modified xsi:type="dcterms:W3CDTF">2020-01-10T19:29:00Z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48;#REFORM AND PUBLIC SECTOR SUPPORT|6679f56e-8b55-402b-90a0-8fe4c41c00ba</vt:lpwstr>
  </property>
  <property fmtid="{D5CDD505-2E9C-101B-9397-08002B2CF9AE}" pid="7" name="Fund IDB">
    <vt:lpwstr>34;#ORC|c028a4b2-ad8b-4cf4-9cac-a2ae6a778e23</vt:lpwstr>
  </property>
  <property fmtid="{D5CDD505-2E9C-101B-9397-08002B2CF9AE}" pid="8" name="Country">
    <vt:lpwstr>31;#Peru|c988f60b-81f1-4c24-8da7-d5473741c5b0</vt:lpwstr>
  </property>
  <property fmtid="{D5CDD505-2E9C-101B-9397-08002B2CF9AE}" pid="9" name="Sector IDB">
    <vt:lpwstr>44;#REFORM / MODERNIZATION OF THE STATE|c8fda4a7-691a-4c65-b227-9825197b5cd2</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fff6b603-267f-4707-8d3c-d9e822b6884a</vt:lpwstr>
  </property>
  <property fmtid="{D5CDD505-2E9C-101B-9397-08002B2CF9AE}" pid="12" name="Disclosure Activity">
    <vt:lpwstr>Project Completion Report</vt:lpwstr>
  </property>
  <property fmtid="{D5CDD505-2E9C-101B-9397-08002B2CF9AE}" pid="13" name="ContentTypeId">
    <vt:lpwstr>0x0101001A458A224826124E8B45B1D613300CFC005FCA6DDAC40E0B4BBFDE24F49319B024</vt:lpwstr>
  </property>
</Properties>
</file>