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2A6" w14:textId="77777777" w:rsidR="000F0801" w:rsidRDefault="00907F30" w:rsidP="002B455F">
      <w:pPr>
        <w:spacing w:before="200" w:after="200"/>
        <w:jc w:val="center"/>
      </w:pPr>
      <w:r>
        <w:rPr>
          <w:rFonts w:ascii="Arial" w:hAnsi="Arial" w:cs="Arial"/>
          <w:b/>
        </w:rPr>
        <w:t>TC ABSTRACT</w:t>
      </w:r>
    </w:p>
    <w:p w14:paraId="111DBB15" w14:textId="77777777" w:rsidR="000F0801" w:rsidRDefault="00907F30">
      <w:pPr>
        <w:spacing w:before="120" w:after="120"/>
        <w:ind w:left="579" w:hanging="579"/>
      </w:pPr>
      <w:r>
        <w:rPr>
          <w:rFonts w:ascii="Arial" w:hAnsi="Arial" w:cs="Arial"/>
          <w:b/>
        </w:rPr>
        <w:t>I.</w:t>
      </w:r>
      <w:r>
        <w:rPr>
          <w:rFonts w:ascii="Arial" w:hAnsi="Arial" w:cs="Arial"/>
          <w:b/>
        </w:rPr>
        <w:tab/>
        <w:t>Basic Project Data</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022"/>
        <w:gridCol w:w="4998"/>
      </w:tblGrid>
      <w:tr w:rsidR="000F0801" w14:paraId="446C0FCA" w14:textId="77777777" w:rsidTr="003373A7">
        <w:trPr>
          <w:jc w:val="center"/>
        </w:trPr>
        <w:tc>
          <w:tcPr>
            <w:tcW w:w="4111" w:type="dxa"/>
          </w:tcPr>
          <w:p w14:paraId="3C9EC0C3"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Country/Region:</w:t>
            </w:r>
          </w:p>
        </w:tc>
        <w:tc>
          <w:tcPr>
            <w:tcW w:w="5131" w:type="dxa"/>
          </w:tcPr>
          <w:p w14:paraId="3155D228" w14:textId="77777777" w:rsidR="000F0801" w:rsidRDefault="00907F30">
            <w:pPr>
              <w:spacing w:before="40" w:after="40"/>
            </w:pPr>
            <w:r>
              <w:rPr>
                <w:rFonts w:ascii="Arial" w:hAnsi="Arial" w:cs="Arial"/>
                <w:sz w:val="18"/>
                <w:szCs w:val="18"/>
              </w:rPr>
              <w:t>BRAZIL/CSC - Southern Cone</w:t>
            </w:r>
          </w:p>
        </w:tc>
      </w:tr>
      <w:tr w:rsidR="000F0801" w14:paraId="3D836D2C" w14:textId="77777777" w:rsidTr="003373A7">
        <w:trPr>
          <w:jc w:val="center"/>
        </w:trPr>
        <w:tc>
          <w:tcPr>
            <w:tcW w:w="4111" w:type="dxa"/>
          </w:tcPr>
          <w:p w14:paraId="00A68843"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TC Name:</w:t>
            </w:r>
          </w:p>
        </w:tc>
        <w:tc>
          <w:tcPr>
            <w:tcW w:w="5131" w:type="dxa"/>
          </w:tcPr>
          <w:p w14:paraId="0FC61795" w14:textId="5BDD046B" w:rsidR="000F0801" w:rsidRDefault="00907F30">
            <w:pPr>
              <w:spacing w:before="40" w:after="40"/>
            </w:pPr>
            <w:r>
              <w:rPr>
                <w:rFonts w:ascii="Arial" w:hAnsi="Arial" w:cs="Arial"/>
                <w:sz w:val="18"/>
                <w:szCs w:val="18"/>
              </w:rPr>
              <w:t xml:space="preserve">PPP project preparation facility in water, </w:t>
            </w:r>
            <w:r w:rsidR="00BE2ED6">
              <w:rPr>
                <w:rFonts w:ascii="Arial" w:hAnsi="Arial" w:cs="Arial"/>
                <w:sz w:val="18"/>
                <w:szCs w:val="18"/>
              </w:rPr>
              <w:t>sanitation,</w:t>
            </w:r>
            <w:r>
              <w:rPr>
                <w:rFonts w:ascii="Arial" w:hAnsi="Arial" w:cs="Arial"/>
                <w:sz w:val="18"/>
                <w:szCs w:val="18"/>
              </w:rPr>
              <w:t xml:space="preserve"> and solid waste in Minas Gerais</w:t>
            </w:r>
          </w:p>
        </w:tc>
      </w:tr>
      <w:tr w:rsidR="000F0801" w14:paraId="28CA5B85" w14:textId="77777777" w:rsidTr="003373A7">
        <w:trPr>
          <w:jc w:val="center"/>
        </w:trPr>
        <w:tc>
          <w:tcPr>
            <w:tcW w:w="4111" w:type="dxa"/>
          </w:tcPr>
          <w:p w14:paraId="75FFFF3E"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TC Number:</w:t>
            </w:r>
          </w:p>
        </w:tc>
        <w:tc>
          <w:tcPr>
            <w:tcW w:w="5131" w:type="dxa"/>
          </w:tcPr>
          <w:p w14:paraId="78EFF657" w14:textId="77777777" w:rsidR="000F0801" w:rsidRDefault="00907F30">
            <w:pPr>
              <w:spacing w:before="40" w:after="40"/>
            </w:pPr>
            <w:r>
              <w:rPr>
                <w:rFonts w:ascii="Arial" w:hAnsi="Arial" w:cs="Arial"/>
                <w:sz w:val="18"/>
                <w:szCs w:val="18"/>
              </w:rPr>
              <w:t>BR-T1452</w:t>
            </w:r>
          </w:p>
        </w:tc>
      </w:tr>
      <w:tr w:rsidR="000F0801" w14:paraId="583B036E" w14:textId="77777777" w:rsidTr="003373A7">
        <w:trPr>
          <w:jc w:val="center"/>
        </w:trPr>
        <w:tc>
          <w:tcPr>
            <w:tcW w:w="4111" w:type="dxa"/>
          </w:tcPr>
          <w:p w14:paraId="7625D727"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Team Leader/Members:</w:t>
            </w:r>
          </w:p>
        </w:tc>
        <w:tc>
          <w:tcPr>
            <w:tcW w:w="5131" w:type="dxa"/>
          </w:tcPr>
          <w:p w14:paraId="24BBEB35" w14:textId="0D9D871D" w:rsidR="000F0801" w:rsidRDefault="00BE2ED6" w:rsidP="003373A7">
            <w:pPr>
              <w:spacing w:before="40" w:after="40"/>
              <w:jc w:val="both"/>
            </w:pPr>
            <w:r w:rsidRPr="00BE2ED6">
              <w:rPr>
                <w:rFonts w:ascii="Arial" w:hAnsi="Arial" w:cs="Arial"/>
                <w:sz w:val="18"/>
                <w:szCs w:val="18"/>
              </w:rPr>
              <w:t>Team Leader</w:t>
            </w:r>
            <w:r>
              <w:rPr>
                <w:rFonts w:ascii="Arial" w:hAnsi="Arial" w:cs="Arial"/>
                <w:sz w:val="18"/>
                <w:szCs w:val="18"/>
              </w:rPr>
              <w:t xml:space="preserve">, </w:t>
            </w:r>
            <w:r w:rsidR="00907F30">
              <w:rPr>
                <w:rFonts w:ascii="Arial" w:hAnsi="Arial" w:cs="Arial"/>
                <w:sz w:val="18"/>
                <w:szCs w:val="18"/>
              </w:rPr>
              <w:t xml:space="preserve">GARCIA MERINO, LUCIO </w:t>
            </w:r>
            <w:r w:rsidR="00907F30">
              <w:rPr>
                <w:rFonts w:ascii="Arial" w:hAnsi="Arial" w:cs="Arial"/>
                <w:sz w:val="18"/>
                <w:szCs w:val="18"/>
              </w:rPr>
              <w:t>JAVIER (INE/WSA)</w:t>
            </w:r>
            <w:r w:rsidR="00907F30">
              <w:rPr>
                <w:rFonts w:ascii="Arial" w:hAnsi="Arial" w:cs="Arial"/>
                <w:sz w:val="18"/>
                <w:szCs w:val="18"/>
              </w:rPr>
              <w:t xml:space="preserve">; </w:t>
            </w:r>
            <w:r w:rsidRPr="00BE2ED6">
              <w:rPr>
                <w:rFonts w:ascii="Arial" w:hAnsi="Arial" w:cs="Arial"/>
                <w:sz w:val="18"/>
                <w:szCs w:val="18"/>
              </w:rPr>
              <w:t>Alternate Team Leader</w:t>
            </w:r>
            <w:r>
              <w:rPr>
                <w:rFonts w:ascii="Arial" w:hAnsi="Arial" w:cs="Arial"/>
                <w:sz w:val="18"/>
                <w:szCs w:val="18"/>
              </w:rPr>
              <w:t>,</w:t>
            </w:r>
            <w:r w:rsidRPr="00BE2ED6">
              <w:rPr>
                <w:rFonts w:ascii="Arial" w:hAnsi="Arial" w:cs="Arial"/>
                <w:sz w:val="18"/>
                <w:szCs w:val="18"/>
              </w:rPr>
              <w:t xml:space="preserve"> </w:t>
            </w:r>
            <w:r w:rsidR="00907F30">
              <w:rPr>
                <w:rFonts w:ascii="Arial" w:hAnsi="Arial" w:cs="Arial"/>
                <w:sz w:val="18"/>
                <w:szCs w:val="18"/>
              </w:rPr>
              <w:t>SIQUEIRA MORAES, MARCOS</w:t>
            </w:r>
            <w:r>
              <w:rPr>
                <w:rFonts w:ascii="Arial" w:hAnsi="Arial" w:cs="Arial"/>
                <w:sz w:val="18"/>
                <w:szCs w:val="18"/>
              </w:rPr>
              <w:t xml:space="preserve"> (VPC/VPC)</w:t>
            </w:r>
            <w:r w:rsidR="00907F30">
              <w:rPr>
                <w:rFonts w:ascii="Arial" w:hAnsi="Arial" w:cs="Arial"/>
                <w:sz w:val="18"/>
                <w:szCs w:val="18"/>
              </w:rPr>
              <w:t>; ESCHOYEZ, GUILLERMO ANTONIO (LEG/SGO); MENDEZ TORRICO, E. GUSTAVO (INE/WSA); GUERRERO RIVERA, MARILYN IVETTE (INE/WSA); ROJAS LARA, JULIO ANDRES (VPS/ESG); GOUVEA BERTO, MARIA EDU</w:t>
            </w:r>
            <w:r w:rsidR="00907F30">
              <w:rPr>
                <w:rFonts w:ascii="Arial" w:hAnsi="Arial" w:cs="Arial"/>
                <w:sz w:val="18"/>
                <w:szCs w:val="18"/>
              </w:rPr>
              <w:t>ARDA (INE/WSA); MEIROVICH, HILEN GABRIELA (INO/NFP)</w:t>
            </w:r>
            <w:r>
              <w:rPr>
                <w:rFonts w:ascii="Arial" w:hAnsi="Arial" w:cs="Arial"/>
                <w:sz w:val="18"/>
                <w:szCs w:val="18"/>
              </w:rPr>
              <w:t>.</w:t>
            </w:r>
          </w:p>
        </w:tc>
      </w:tr>
      <w:tr w:rsidR="000F0801" w14:paraId="742E2583" w14:textId="77777777" w:rsidTr="003373A7">
        <w:trPr>
          <w:jc w:val="center"/>
        </w:trPr>
        <w:tc>
          <w:tcPr>
            <w:tcW w:w="4111" w:type="dxa"/>
          </w:tcPr>
          <w:p w14:paraId="6AFF6F1F"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Taxonomy:</w:t>
            </w:r>
          </w:p>
        </w:tc>
        <w:tc>
          <w:tcPr>
            <w:tcW w:w="5131" w:type="dxa"/>
          </w:tcPr>
          <w:p w14:paraId="6456E222" w14:textId="77777777" w:rsidR="000F0801" w:rsidRDefault="00907F30">
            <w:pPr>
              <w:spacing w:before="40" w:after="40"/>
            </w:pPr>
            <w:r>
              <w:rPr>
                <w:rFonts w:ascii="Arial" w:hAnsi="Arial" w:cs="Arial"/>
                <w:sz w:val="18"/>
                <w:szCs w:val="18"/>
              </w:rPr>
              <w:t>Client Support</w:t>
            </w:r>
          </w:p>
        </w:tc>
      </w:tr>
      <w:tr w:rsidR="000F0801" w14:paraId="47BEA518" w14:textId="77777777" w:rsidTr="003373A7">
        <w:trPr>
          <w:jc w:val="center"/>
        </w:trPr>
        <w:tc>
          <w:tcPr>
            <w:tcW w:w="4111" w:type="dxa"/>
          </w:tcPr>
          <w:p w14:paraId="296219C3"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Number and name of operation supported by the TC:</w:t>
            </w:r>
          </w:p>
        </w:tc>
        <w:tc>
          <w:tcPr>
            <w:tcW w:w="5131" w:type="dxa"/>
          </w:tcPr>
          <w:p w14:paraId="33831B64" w14:textId="77777777" w:rsidR="000F0801" w:rsidRDefault="00907F30">
            <w:pPr>
              <w:spacing w:before="40" w:after="40"/>
            </w:pPr>
            <w:r>
              <w:rPr>
                <w:rFonts w:ascii="Arial" w:hAnsi="Arial" w:cs="Arial"/>
                <w:sz w:val="18"/>
                <w:szCs w:val="18"/>
              </w:rPr>
              <w:t>N/A</w:t>
            </w:r>
          </w:p>
        </w:tc>
      </w:tr>
      <w:tr w:rsidR="000F0801" w14:paraId="5114BD3D" w14:textId="77777777" w:rsidTr="003373A7">
        <w:trPr>
          <w:jc w:val="center"/>
        </w:trPr>
        <w:tc>
          <w:tcPr>
            <w:tcW w:w="4111" w:type="dxa"/>
          </w:tcPr>
          <w:p w14:paraId="77D0546B"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Date of TC Abstract:</w:t>
            </w:r>
          </w:p>
        </w:tc>
        <w:tc>
          <w:tcPr>
            <w:tcW w:w="5131" w:type="dxa"/>
          </w:tcPr>
          <w:p w14:paraId="0E4390C0" w14:textId="77777777" w:rsidR="000F0801" w:rsidRDefault="00907F30">
            <w:pPr>
              <w:spacing w:before="40" w:after="40"/>
            </w:pPr>
            <w:r>
              <w:rPr>
                <w:rFonts w:ascii="Arial" w:hAnsi="Arial" w:cs="Arial"/>
                <w:sz w:val="18"/>
                <w:szCs w:val="18"/>
              </w:rPr>
              <w:t>24 Apr 2020</w:t>
            </w:r>
          </w:p>
        </w:tc>
      </w:tr>
      <w:tr w:rsidR="000F0801" w14:paraId="2BE6594B" w14:textId="77777777" w:rsidTr="003373A7">
        <w:trPr>
          <w:jc w:val="center"/>
        </w:trPr>
        <w:tc>
          <w:tcPr>
            <w:tcW w:w="4111" w:type="dxa"/>
          </w:tcPr>
          <w:p w14:paraId="23AC9C70"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Beneficiary:</w:t>
            </w:r>
          </w:p>
        </w:tc>
        <w:tc>
          <w:tcPr>
            <w:tcW w:w="5131" w:type="dxa"/>
          </w:tcPr>
          <w:p w14:paraId="2FFA2EE8" w14:textId="77777777" w:rsidR="000F0801" w:rsidRDefault="00907F30">
            <w:pPr>
              <w:spacing w:before="40" w:after="40"/>
            </w:pPr>
            <w:r>
              <w:rPr>
                <w:rFonts w:ascii="Arial" w:hAnsi="Arial" w:cs="Arial"/>
                <w:sz w:val="18"/>
                <w:szCs w:val="18"/>
              </w:rPr>
              <w:t>BDMG</w:t>
            </w:r>
          </w:p>
        </w:tc>
      </w:tr>
      <w:tr w:rsidR="000F0801" w14:paraId="5083B632" w14:textId="77777777" w:rsidTr="003373A7">
        <w:trPr>
          <w:jc w:val="center"/>
        </w:trPr>
        <w:tc>
          <w:tcPr>
            <w:tcW w:w="4111" w:type="dxa"/>
          </w:tcPr>
          <w:p w14:paraId="3EFC5203"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Executing Agency:</w:t>
            </w:r>
          </w:p>
        </w:tc>
        <w:tc>
          <w:tcPr>
            <w:tcW w:w="5131" w:type="dxa"/>
          </w:tcPr>
          <w:p w14:paraId="70E306AB" w14:textId="77777777" w:rsidR="000F0801" w:rsidRDefault="00907F30">
            <w:pPr>
              <w:spacing w:before="40" w:after="40"/>
            </w:pPr>
            <w:r>
              <w:rPr>
                <w:rFonts w:ascii="Arial" w:hAnsi="Arial" w:cs="Arial"/>
                <w:sz w:val="18"/>
                <w:szCs w:val="18"/>
              </w:rPr>
              <w:t xml:space="preserve">Banco de </w:t>
            </w:r>
            <w:proofErr w:type="spellStart"/>
            <w:r>
              <w:rPr>
                <w:rFonts w:ascii="Arial" w:hAnsi="Arial" w:cs="Arial"/>
                <w:sz w:val="18"/>
                <w:szCs w:val="18"/>
              </w:rPr>
              <w:t>Desenvolvimento</w:t>
            </w:r>
            <w:proofErr w:type="spellEnd"/>
            <w:r>
              <w:rPr>
                <w:rFonts w:ascii="Arial" w:hAnsi="Arial" w:cs="Arial"/>
                <w:sz w:val="18"/>
                <w:szCs w:val="18"/>
              </w:rPr>
              <w:t xml:space="preserve"> de Minas </w:t>
            </w:r>
            <w:r>
              <w:rPr>
                <w:rFonts w:ascii="Arial" w:hAnsi="Arial" w:cs="Arial"/>
                <w:sz w:val="18"/>
                <w:szCs w:val="18"/>
              </w:rPr>
              <w:t>Gerais</w:t>
            </w:r>
          </w:p>
        </w:tc>
      </w:tr>
      <w:tr w:rsidR="000F0801" w14:paraId="1CA3A3D3" w14:textId="77777777" w:rsidTr="003373A7">
        <w:trPr>
          <w:jc w:val="center"/>
        </w:trPr>
        <w:tc>
          <w:tcPr>
            <w:tcW w:w="4111" w:type="dxa"/>
          </w:tcPr>
          <w:p w14:paraId="67F1818A"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IDB funding requested:</w:t>
            </w:r>
          </w:p>
        </w:tc>
        <w:tc>
          <w:tcPr>
            <w:tcW w:w="5131" w:type="dxa"/>
          </w:tcPr>
          <w:p w14:paraId="3703821F" w14:textId="77777777" w:rsidR="000F0801" w:rsidRDefault="00907F30" w:rsidP="003373A7">
            <w:pPr>
              <w:bidi/>
              <w:spacing w:before="40" w:after="40"/>
              <w:jc w:val="right"/>
            </w:pPr>
            <w:r>
              <w:rPr>
                <w:rFonts w:ascii="Arial" w:hAnsi="Arial" w:cs="Arial"/>
                <w:sz w:val="18"/>
                <w:szCs w:val="18"/>
              </w:rPr>
              <w:t>US$300,000.00</w:t>
            </w:r>
          </w:p>
        </w:tc>
      </w:tr>
      <w:tr w:rsidR="000F0801" w14:paraId="6DC12F85" w14:textId="77777777" w:rsidTr="003373A7">
        <w:trPr>
          <w:jc w:val="center"/>
        </w:trPr>
        <w:tc>
          <w:tcPr>
            <w:tcW w:w="4111" w:type="dxa"/>
          </w:tcPr>
          <w:p w14:paraId="4CD090D8"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Local counterpart funding:</w:t>
            </w:r>
          </w:p>
        </w:tc>
        <w:tc>
          <w:tcPr>
            <w:tcW w:w="5131" w:type="dxa"/>
          </w:tcPr>
          <w:p w14:paraId="78519B56" w14:textId="77777777" w:rsidR="000F0801" w:rsidRDefault="00907F30" w:rsidP="003373A7">
            <w:pPr>
              <w:bidi/>
              <w:spacing w:before="40" w:after="40"/>
              <w:jc w:val="right"/>
            </w:pPr>
            <w:r>
              <w:rPr>
                <w:rFonts w:ascii="Arial" w:hAnsi="Arial" w:cs="Arial"/>
                <w:sz w:val="18"/>
                <w:szCs w:val="18"/>
              </w:rPr>
              <w:t>US$0.00</w:t>
            </w:r>
          </w:p>
        </w:tc>
      </w:tr>
      <w:tr w:rsidR="000F0801" w14:paraId="55B4EFCA" w14:textId="77777777" w:rsidTr="003373A7">
        <w:trPr>
          <w:jc w:val="center"/>
        </w:trPr>
        <w:tc>
          <w:tcPr>
            <w:tcW w:w="4111" w:type="dxa"/>
          </w:tcPr>
          <w:p w14:paraId="2748F622"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Disbursement period:</w:t>
            </w:r>
          </w:p>
        </w:tc>
        <w:tc>
          <w:tcPr>
            <w:tcW w:w="5131" w:type="dxa"/>
          </w:tcPr>
          <w:p w14:paraId="351730B9" w14:textId="77777777" w:rsidR="000F0801" w:rsidRDefault="00907F30" w:rsidP="003373A7">
            <w:pPr>
              <w:bidi/>
              <w:spacing w:before="40" w:after="40"/>
              <w:jc w:val="right"/>
            </w:pPr>
            <w:r>
              <w:rPr>
                <w:rFonts w:ascii="Arial" w:hAnsi="Arial" w:cs="Arial"/>
                <w:sz w:val="18"/>
                <w:szCs w:val="18"/>
              </w:rPr>
              <w:t>42 months</w:t>
            </w:r>
          </w:p>
        </w:tc>
      </w:tr>
      <w:tr w:rsidR="000F0801" w14:paraId="305F26BA" w14:textId="77777777" w:rsidTr="003373A7">
        <w:trPr>
          <w:jc w:val="center"/>
        </w:trPr>
        <w:tc>
          <w:tcPr>
            <w:tcW w:w="4111" w:type="dxa"/>
          </w:tcPr>
          <w:p w14:paraId="195FF645"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Types of consultants:</w:t>
            </w:r>
          </w:p>
        </w:tc>
        <w:tc>
          <w:tcPr>
            <w:tcW w:w="5131" w:type="dxa"/>
          </w:tcPr>
          <w:p w14:paraId="11777F66" w14:textId="77777777" w:rsidR="000F0801" w:rsidRDefault="00907F30">
            <w:pPr>
              <w:spacing w:before="40" w:after="40"/>
            </w:pPr>
            <w:r>
              <w:rPr>
                <w:rFonts w:ascii="Arial" w:hAnsi="Arial" w:cs="Arial"/>
                <w:sz w:val="18"/>
                <w:szCs w:val="18"/>
              </w:rPr>
              <w:t>Individuals; Firms</w:t>
            </w:r>
          </w:p>
        </w:tc>
      </w:tr>
      <w:tr w:rsidR="000F0801" w14:paraId="32612CB9" w14:textId="77777777" w:rsidTr="003373A7">
        <w:trPr>
          <w:jc w:val="center"/>
        </w:trPr>
        <w:tc>
          <w:tcPr>
            <w:tcW w:w="4111" w:type="dxa"/>
          </w:tcPr>
          <w:p w14:paraId="4D5D69AA"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Prepared by Unit:</w:t>
            </w:r>
          </w:p>
        </w:tc>
        <w:tc>
          <w:tcPr>
            <w:tcW w:w="5131" w:type="dxa"/>
          </w:tcPr>
          <w:p w14:paraId="13AB6C29" w14:textId="77777777" w:rsidR="000F0801" w:rsidRDefault="00907F30">
            <w:pPr>
              <w:spacing w:before="40" w:after="40"/>
            </w:pPr>
            <w:r>
              <w:rPr>
                <w:rFonts w:ascii="Arial" w:hAnsi="Arial" w:cs="Arial"/>
                <w:sz w:val="18"/>
                <w:szCs w:val="18"/>
              </w:rPr>
              <w:t>INE/WSA - Water &amp; Sanitation</w:t>
            </w:r>
          </w:p>
        </w:tc>
      </w:tr>
      <w:tr w:rsidR="000F0801" w14:paraId="182BAB5C" w14:textId="77777777" w:rsidTr="003373A7">
        <w:trPr>
          <w:jc w:val="center"/>
        </w:trPr>
        <w:tc>
          <w:tcPr>
            <w:tcW w:w="4111" w:type="dxa"/>
          </w:tcPr>
          <w:p w14:paraId="54FD8827"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Unit of Disbursement </w:t>
            </w:r>
            <w:r>
              <w:rPr>
                <w:rFonts w:ascii="Arial" w:hAnsi="Arial" w:cs="Arial"/>
                <w:sz w:val="18"/>
                <w:szCs w:val="18"/>
              </w:rPr>
              <w:t>Responsibility:</w:t>
            </w:r>
          </w:p>
        </w:tc>
        <w:tc>
          <w:tcPr>
            <w:tcW w:w="5131" w:type="dxa"/>
          </w:tcPr>
          <w:p w14:paraId="1D5D1CEE" w14:textId="77777777" w:rsidR="000F0801" w:rsidRDefault="00907F30">
            <w:pPr>
              <w:spacing w:before="40" w:after="40"/>
            </w:pPr>
            <w:r>
              <w:rPr>
                <w:rFonts w:ascii="Arial" w:hAnsi="Arial" w:cs="Arial"/>
                <w:sz w:val="18"/>
                <w:szCs w:val="18"/>
              </w:rPr>
              <w:t>INE - Infrastructure and Energy Sector</w:t>
            </w:r>
          </w:p>
        </w:tc>
      </w:tr>
      <w:tr w:rsidR="000F0801" w14:paraId="028E27BA" w14:textId="77777777" w:rsidTr="003373A7">
        <w:trPr>
          <w:jc w:val="center"/>
        </w:trPr>
        <w:tc>
          <w:tcPr>
            <w:tcW w:w="4111" w:type="dxa"/>
          </w:tcPr>
          <w:p w14:paraId="5E59942E" w14:textId="75E9E6E5" w:rsidR="000F0801" w:rsidRDefault="00907F30">
            <w:pPr>
              <w:spacing w:before="40" w:after="40"/>
            </w:pPr>
            <w:r>
              <w:rPr>
                <w:rFonts w:ascii="Arial" w:hAnsi="Arial" w:cs="Arial"/>
                <w:sz w:val="18"/>
                <w:szCs w:val="18"/>
              </w:rPr>
              <w:t>▪</w:t>
            </w:r>
            <w:r>
              <w:rPr>
                <w:rFonts w:ascii="Arial" w:hAnsi="Arial" w:cs="Arial"/>
                <w:sz w:val="18"/>
                <w:szCs w:val="18"/>
              </w:rPr>
              <w:t xml:space="preserve"> TC included in Country Strategy (y/n):</w:t>
            </w:r>
            <w:r>
              <w:rPr>
                <w:rFonts w:ascii="Arial" w:hAnsi="Arial" w:cs="Arial"/>
                <w:sz w:val="18"/>
                <w:szCs w:val="18"/>
              </w:rPr>
              <w:br/>
              <w:t>▪ TC included in CPD (y/n):</w:t>
            </w:r>
          </w:p>
        </w:tc>
        <w:tc>
          <w:tcPr>
            <w:tcW w:w="5131" w:type="dxa"/>
          </w:tcPr>
          <w:p w14:paraId="2D96858C" w14:textId="294BE8FC" w:rsidR="000F0801" w:rsidRDefault="00907F30">
            <w:pPr>
              <w:spacing w:before="40" w:after="40"/>
            </w:pPr>
            <w:r>
              <w:rPr>
                <w:rFonts w:ascii="Arial" w:hAnsi="Arial" w:cs="Arial"/>
                <w:sz w:val="18"/>
                <w:szCs w:val="18"/>
              </w:rPr>
              <w:t>No</w:t>
            </w:r>
            <w:r>
              <w:rPr>
                <w:rFonts w:ascii="Arial" w:hAnsi="Arial" w:cs="Arial"/>
                <w:sz w:val="18"/>
                <w:szCs w:val="18"/>
              </w:rPr>
              <w:br/>
            </w:r>
            <w:proofErr w:type="spellStart"/>
            <w:r>
              <w:rPr>
                <w:rFonts w:ascii="Arial" w:hAnsi="Arial" w:cs="Arial"/>
                <w:sz w:val="18"/>
                <w:szCs w:val="18"/>
              </w:rPr>
              <w:t>No</w:t>
            </w:r>
            <w:proofErr w:type="spellEnd"/>
          </w:p>
        </w:tc>
      </w:tr>
      <w:tr w:rsidR="000F0801" w14:paraId="3FFD5C93" w14:textId="77777777" w:rsidTr="003373A7">
        <w:trPr>
          <w:jc w:val="center"/>
        </w:trPr>
        <w:tc>
          <w:tcPr>
            <w:tcW w:w="4111" w:type="dxa"/>
          </w:tcPr>
          <w:p w14:paraId="2296B236" w14:textId="77777777" w:rsidR="000F0801" w:rsidRDefault="00907F30">
            <w:pPr>
              <w:spacing w:before="40" w:after="40"/>
              <w:ind w:left="115" w:hanging="115"/>
            </w:pPr>
            <w:r>
              <w:rPr>
                <w:rFonts w:ascii="Arial" w:hAnsi="Arial" w:cs="Arial"/>
                <w:sz w:val="18"/>
                <w:szCs w:val="18"/>
              </w:rPr>
              <w:t>▪</w:t>
            </w:r>
            <w:r>
              <w:rPr>
                <w:rFonts w:ascii="Arial" w:hAnsi="Arial" w:cs="Arial"/>
                <w:sz w:val="18"/>
                <w:szCs w:val="18"/>
              </w:rPr>
              <w:t xml:space="preserve"> Alignment to the Update to the Institutional Strategy 2010-2020:</w:t>
            </w:r>
          </w:p>
        </w:tc>
        <w:tc>
          <w:tcPr>
            <w:tcW w:w="5131" w:type="dxa"/>
          </w:tcPr>
          <w:p w14:paraId="0A3F7878" w14:textId="28033480" w:rsidR="000F0801" w:rsidRDefault="00907F30">
            <w:pPr>
              <w:spacing w:before="40" w:after="40"/>
            </w:pPr>
            <w:r>
              <w:rPr>
                <w:rFonts w:ascii="Arial" w:hAnsi="Arial" w:cs="Arial"/>
                <w:sz w:val="18"/>
                <w:szCs w:val="18"/>
              </w:rPr>
              <w:t>Social inclusion and equality</w:t>
            </w:r>
            <w:r>
              <w:rPr>
                <w:rFonts w:ascii="Arial" w:hAnsi="Arial" w:cs="Arial"/>
                <w:sz w:val="18"/>
                <w:szCs w:val="18"/>
              </w:rPr>
              <w:t xml:space="preserve">; </w:t>
            </w:r>
            <w:r>
              <w:rPr>
                <w:rFonts w:ascii="Arial" w:hAnsi="Arial" w:cs="Arial"/>
                <w:sz w:val="18"/>
                <w:szCs w:val="18"/>
              </w:rPr>
              <w:t>Productivity and innovation</w:t>
            </w:r>
            <w:r>
              <w:rPr>
                <w:rFonts w:ascii="Arial" w:hAnsi="Arial" w:cs="Arial"/>
                <w:sz w:val="18"/>
                <w:szCs w:val="18"/>
              </w:rPr>
              <w:t>; Institutional capacity and rule of law</w:t>
            </w:r>
          </w:p>
        </w:tc>
      </w:tr>
    </w:tbl>
    <w:p w14:paraId="4F45054B" w14:textId="77777777" w:rsidR="000F0801" w:rsidRDefault="00907F30">
      <w:pPr>
        <w:spacing w:before="120" w:after="120"/>
        <w:ind w:left="579" w:hanging="579"/>
      </w:pPr>
      <w:r>
        <w:rPr>
          <w:rFonts w:ascii="Arial" w:hAnsi="Arial" w:cs="Arial"/>
          <w:b/>
        </w:rPr>
        <w:t>II.</w:t>
      </w:r>
      <w:r>
        <w:rPr>
          <w:rFonts w:ascii="Arial" w:hAnsi="Arial" w:cs="Arial"/>
          <w:b/>
        </w:rPr>
        <w:tab/>
        <w:t>Objective and Justification</w:t>
      </w:r>
    </w:p>
    <w:p w14:paraId="25E8FAD2" w14:textId="77777777" w:rsidR="000F0801" w:rsidRDefault="00907F30">
      <w:pPr>
        <w:spacing w:before="120" w:after="120"/>
        <w:ind w:left="579" w:hanging="579"/>
        <w:jc w:val="both"/>
      </w:pPr>
      <w:r>
        <w:rPr>
          <w:rFonts w:ascii="Arial" w:hAnsi="Arial" w:cs="Arial"/>
        </w:rPr>
        <w:t>2.1</w:t>
      </w:r>
      <w:r>
        <w:rPr>
          <w:rFonts w:ascii="Arial" w:hAnsi="Arial" w:cs="Arial"/>
        </w:rPr>
        <w:tab/>
        <w:t xml:space="preserve">The northernmost state of Brazil’s richest Southeast region, Minas Gerais is the fourth largest by area in the country (586.525 km2). </w:t>
      </w:r>
      <w:r>
        <w:rPr>
          <w:rFonts w:ascii="Arial" w:hAnsi="Arial" w:cs="Arial"/>
        </w:rPr>
        <w:t>According to the National Sanitation Information System (2018), in Brazil, 83,6% of the population have access to water supply network, 53,2% are connected to sewage network, and 46,3% of the sewage produced is treated. The same report presents that, in Mi</w:t>
      </w:r>
      <w:r>
        <w:rPr>
          <w:rFonts w:ascii="Arial" w:hAnsi="Arial" w:cs="Arial"/>
        </w:rPr>
        <w:t>nas Gerais, 17 million have access to water supply network (82.1%), 15 million are connected to sewage network (72.1%) and only 39% of the sewage produced is treated. Minas Gerais is planning to increase these coverage levels and improve the services by us</w:t>
      </w:r>
      <w:r>
        <w:rPr>
          <w:rFonts w:ascii="Arial" w:hAnsi="Arial" w:cs="Arial"/>
        </w:rPr>
        <w:t>ing PPP projects. In addition, it is important to register and promote lessons and good practices of PPPs projects in the water, sanitation and solid waste sector to create a body of established knowledge that will be made available to other entities in Br</w:t>
      </w:r>
      <w:r>
        <w:rPr>
          <w:rFonts w:ascii="Arial" w:hAnsi="Arial" w:cs="Arial"/>
        </w:rPr>
        <w:t>azil and in the region.</w:t>
      </w:r>
    </w:p>
    <w:p w14:paraId="75EB0554" w14:textId="66F4295D" w:rsidR="000F0801" w:rsidRDefault="00907F30">
      <w:pPr>
        <w:spacing w:before="120" w:after="120"/>
        <w:ind w:left="579" w:hanging="579"/>
        <w:jc w:val="both"/>
      </w:pPr>
      <w:r>
        <w:rPr>
          <w:rFonts w:ascii="Arial" w:hAnsi="Arial" w:cs="Arial"/>
        </w:rPr>
        <w:t>2.2</w:t>
      </w:r>
      <w:r>
        <w:rPr>
          <w:rFonts w:ascii="Arial" w:hAnsi="Arial" w:cs="Arial"/>
        </w:rPr>
        <w:tab/>
        <w:t xml:space="preserve">Since the early 1990s, Public Partner Partnerships (PPP)s </w:t>
      </w:r>
      <w:r w:rsidR="003373A7">
        <w:rPr>
          <w:rFonts w:ascii="Arial" w:hAnsi="Arial" w:cs="Arial"/>
        </w:rPr>
        <w:t>has</w:t>
      </w:r>
      <w:r>
        <w:rPr>
          <w:rFonts w:ascii="Arial" w:hAnsi="Arial" w:cs="Arial"/>
        </w:rPr>
        <w:t xml:space="preserve"> been an important instrument for the development of the water, </w:t>
      </w:r>
      <w:r w:rsidR="002B455F">
        <w:rPr>
          <w:rFonts w:ascii="Arial" w:hAnsi="Arial" w:cs="Arial"/>
        </w:rPr>
        <w:t>sanitation,</w:t>
      </w:r>
      <w:r>
        <w:rPr>
          <w:rFonts w:ascii="Arial" w:hAnsi="Arial" w:cs="Arial"/>
        </w:rPr>
        <w:t xml:space="preserve"> and solid waste sector in Latin America, particularly in some of the larger countries of La</w:t>
      </w:r>
      <w:r>
        <w:rPr>
          <w:rFonts w:ascii="Arial" w:hAnsi="Arial" w:cs="Arial"/>
        </w:rPr>
        <w:t xml:space="preserve">tin America. PPPs can a play an important role improving the expansion and quality levels of these services. </w:t>
      </w:r>
    </w:p>
    <w:p w14:paraId="54386CD0" w14:textId="77777777" w:rsidR="000F0801" w:rsidRDefault="00907F30">
      <w:pPr>
        <w:spacing w:before="120" w:after="120"/>
        <w:ind w:left="579" w:hanging="579"/>
        <w:jc w:val="both"/>
      </w:pPr>
      <w:r>
        <w:rPr>
          <w:rFonts w:ascii="Arial" w:hAnsi="Arial" w:cs="Arial"/>
        </w:rPr>
        <w:t>2.3</w:t>
      </w:r>
      <w:r>
        <w:rPr>
          <w:rFonts w:ascii="Arial" w:hAnsi="Arial" w:cs="Arial"/>
        </w:rPr>
        <w:tab/>
        <w:t xml:space="preserve">The objective of this TC is  mobilizing private investment in public infrastructure to deliver better services of water, sanitation and solid </w:t>
      </w:r>
      <w:r>
        <w:rPr>
          <w:rFonts w:ascii="Arial" w:hAnsi="Arial" w:cs="Arial"/>
        </w:rPr>
        <w:t xml:space="preserve">waste provision in the State of Minas Gerais (Brazil), when and if the private participation, in any specific investment project, </w:t>
      </w:r>
      <w:r>
        <w:rPr>
          <w:rFonts w:ascii="Arial" w:hAnsi="Arial" w:cs="Arial"/>
        </w:rPr>
        <w:lastRenderedPageBreak/>
        <w:t>demonstrate a capacity to add value to users, governments and investors, and the assessment if the PPP is the most adequate pr</w:t>
      </w:r>
      <w:r>
        <w:rPr>
          <w:rFonts w:ascii="Arial" w:hAnsi="Arial" w:cs="Arial"/>
        </w:rPr>
        <w:t>ocurement route.</w:t>
      </w:r>
    </w:p>
    <w:p w14:paraId="1CC5BB3D" w14:textId="77777777" w:rsidR="003373A7" w:rsidRDefault="00907F30">
      <w:pPr>
        <w:spacing w:before="120" w:after="120"/>
        <w:ind w:left="579" w:hanging="579"/>
        <w:jc w:val="both"/>
        <w:rPr>
          <w:rFonts w:ascii="Arial" w:hAnsi="Arial" w:cs="Arial"/>
        </w:rPr>
      </w:pPr>
      <w:r>
        <w:rPr>
          <w:rFonts w:ascii="Arial" w:hAnsi="Arial" w:cs="Arial"/>
        </w:rPr>
        <w:t>2.4</w:t>
      </w:r>
      <w:r>
        <w:rPr>
          <w:rFonts w:ascii="Arial" w:hAnsi="Arial" w:cs="Arial"/>
        </w:rPr>
        <w:tab/>
        <w:t>This TC meets a clear demand of the Brazilian context of Private Participation in Infrastructure: The need of professional and comprehensive project preparation exercise to guarantee that projects taken to market:</w:t>
      </w:r>
    </w:p>
    <w:p w14:paraId="4AF082FC" w14:textId="2B8B0F6F" w:rsidR="003373A7" w:rsidRDefault="00907F30" w:rsidP="003373A7">
      <w:pPr>
        <w:spacing w:before="120" w:after="120"/>
        <w:ind w:left="720" w:hanging="180"/>
        <w:jc w:val="both"/>
        <w:rPr>
          <w:rFonts w:ascii="Arial" w:hAnsi="Arial" w:cs="Arial"/>
        </w:rPr>
      </w:pPr>
      <w:r>
        <w:rPr>
          <w:rFonts w:ascii="Arial" w:hAnsi="Arial" w:cs="Arial"/>
        </w:rPr>
        <w:t>•</w:t>
      </w:r>
      <w:r>
        <w:rPr>
          <w:rFonts w:ascii="Arial" w:hAnsi="Arial" w:cs="Arial"/>
        </w:rPr>
        <w:tab/>
        <w:t>Reduce the mortalit</w:t>
      </w:r>
      <w:r>
        <w:rPr>
          <w:rFonts w:ascii="Arial" w:hAnsi="Arial" w:cs="Arial"/>
        </w:rPr>
        <w:t>y rate, that is, the number of projects that enter the pipeline and never reach financial close.</w:t>
      </w:r>
    </w:p>
    <w:p w14:paraId="65AAF67A" w14:textId="462C8D9A" w:rsidR="003373A7" w:rsidRDefault="00907F30" w:rsidP="003373A7">
      <w:pPr>
        <w:spacing w:before="120" w:after="120"/>
        <w:ind w:left="720" w:hanging="180"/>
        <w:jc w:val="both"/>
        <w:rPr>
          <w:rFonts w:ascii="Arial" w:hAnsi="Arial" w:cs="Arial"/>
        </w:rPr>
      </w:pPr>
      <w:r>
        <w:rPr>
          <w:rFonts w:ascii="Arial" w:hAnsi="Arial" w:cs="Arial"/>
        </w:rPr>
        <w:t>•</w:t>
      </w:r>
      <w:r>
        <w:rPr>
          <w:rFonts w:ascii="Arial" w:hAnsi="Arial" w:cs="Arial"/>
        </w:rPr>
        <w:tab/>
        <w:t>Enforce users’ requirements as key objectives of project development</w:t>
      </w:r>
      <w:r w:rsidR="00B962BF">
        <w:rPr>
          <w:rFonts w:ascii="Arial" w:hAnsi="Arial" w:cs="Arial"/>
        </w:rPr>
        <w:t>.</w:t>
      </w:r>
    </w:p>
    <w:p w14:paraId="2E663B98" w14:textId="5ED222AE" w:rsidR="003373A7" w:rsidRDefault="00907F30" w:rsidP="003373A7">
      <w:pPr>
        <w:spacing w:before="120" w:after="120"/>
        <w:ind w:left="720" w:hanging="180"/>
        <w:jc w:val="both"/>
        <w:rPr>
          <w:rFonts w:ascii="Arial" w:hAnsi="Arial" w:cs="Arial"/>
        </w:rPr>
      </w:pPr>
      <w:r>
        <w:rPr>
          <w:rFonts w:ascii="Arial" w:hAnsi="Arial" w:cs="Arial"/>
        </w:rPr>
        <w:t>•</w:t>
      </w:r>
      <w:r>
        <w:rPr>
          <w:rFonts w:ascii="Arial" w:hAnsi="Arial" w:cs="Arial"/>
        </w:rPr>
        <w:tab/>
        <w:t>Meet quality standards required to promote environmentally and socially responsible pr</w:t>
      </w:r>
      <w:r>
        <w:rPr>
          <w:rFonts w:ascii="Arial" w:hAnsi="Arial" w:cs="Arial"/>
        </w:rPr>
        <w:t>ojects able to promote a competitive tender as well as fiscally efficient contracts.</w:t>
      </w:r>
      <w:r>
        <w:rPr>
          <w:rFonts w:ascii="Arial" w:hAnsi="Arial" w:cs="Arial"/>
        </w:rPr>
        <w:br/>
        <w:t>Thus, this TC can help the government of Minas Gerais to close the infrastructure and service gap in water, sanitation and solid waste from 2 different directions:</w:t>
      </w:r>
    </w:p>
    <w:p w14:paraId="2DBFA0DD" w14:textId="36411567" w:rsidR="003373A7" w:rsidRDefault="00907F30" w:rsidP="003373A7">
      <w:pPr>
        <w:spacing w:before="120" w:after="120"/>
        <w:ind w:left="720" w:hanging="180"/>
        <w:jc w:val="both"/>
        <w:rPr>
          <w:rFonts w:ascii="Arial" w:hAnsi="Arial" w:cs="Arial"/>
        </w:rPr>
      </w:pPr>
      <w:r>
        <w:rPr>
          <w:rFonts w:ascii="Arial" w:hAnsi="Arial" w:cs="Arial"/>
        </w:rPr>
        <w:t>•</w:t>
      </w:r>
      <w:r>
        <w:rPr>
          <w:rFonts w:ascii="Arial" w:hAnsi="Arial" w:cs="Arial"/>
        </w:rPr>
        <w:tab/>
        <w:t>It wi</w:t>
      </w:r>
      <w:r>
        <w:rPr>
          <w:rFonts w:ascii="Arial" w:hAnsi="Arial" w:cs="Arial"/>
        </w:rPr>
        <w:t>ll contribute to mobilize investment form the private sector in higher levels</w:t>
      </w:r>
      <w:r w:rsidR="00B962BF">
        <w:rPr>
          <w:rFonts w:ascii="Arial" w:hAnsi="Arial" w:cs="Arial"/>
        </w:rPr>
        <w:t>.</w:t>
      </w:r>
    </w:p>
    <w:p w14:paraId="13B346CD" w14:textId="6CC3D7FD" w:rsidR="000F0801" w:rsidRDefault="00907F30" w:rsidP="003373A7">
      <w:pPr>
        <w:spacing w:before="120" w:after="120"/>
        <w:ind w:left="720" w:hanging="180"/>
        <w:jc w:val="both"/>
      </w:pPr>
      <w:r>
        <w:rPr>
          <w:rFonts w:ascii="Arial" w:hAnsi="Arial" w:cs="Arial"/>
        </w:rPr>
        <w:t>•</w:t>
      </w:r>
      <w:r>
        <w:rPr>
          <w:rFonts w:ascii="Arial" w:hAnsi="Arial" w:cs="Arial"/>
        </w:rPr>
        <w:tab/>
        <w:t xml:space="preserve">It will contribute to improve the outcomes of investment directing the efficiencies generated by PPPs to users, </w:t>
      </w:r>
      <w:r w:rsidR="003373A7">
        <w:rPr>
          <w:rFonts w:ascii="Arial" w:hAnsi="Arial" w:cs="Arial"/>
        </w:rPr>
        <w:t>governments,</w:t>
      </w:r>
      <w:r>
        <w:rPr>
          <w:rFonts w:ascii="Arial" w:hAnsi="Arial" w:cs="Arial"/>
        </w:rPr>
        <w:t xml:space="preserve"> and investors.</w:t>
      </w:r>
    </w:p>
    <w:p w14:paraId="5FAFD4C7" w14:textId="77777777" w:rsidR="000F0801" w:rsidRDefault="00907F30">
      <w:pPr>
        <w:spacing w:before="120" w:after="120"/>
        <w:ind w:left="579" w:hanging="579"/>
      </w:pPr>
      <w:r>
        <w:rPr>
          <w:rFonts w:ascii="Arial" w:hAnsi="Arial" w:cs="Arial"/>
          <w:b/>
        </w:rPr>
        <w:t>III.</w:t>
      </w:r>
      <w:r>
        <w:rPr>
          <w:rFonts w:ascii="Arial" w:hAnsi="Arial" w:cs="Arial"/>
          <w:b/>
        </w:rPr>
        <w:tab/>
        <w:t>Description of Activities and Ou</w:t>
      </w:r>
      <w:r>
        <w:rPr>
          <w:rFonts w:ascii="Arial" w:hAnsi="Arial" w:cs="Arial"/>
          <w:b/>
        </w:rPr>
        <w:t>tputs</w:t>
      </w:r>
    </w:p>
    <w:p w14:paraId="7782B9DF" w14:textId="79DEDCB1" w:rsidR="000F0801" w:rsidRDefault="00907F30">
      <w:pPr>
        <w:spacing w:before="120" w:after="120"/>
        <w:ind w:left="579" w:hanging="579"/>
        <w:jc w:val="both"/>
      </w:pPr>
      <w:r>
        <w:rPr>
          <w:rFonts w:ascii="Arial" w:hAnsi="Arial" w:cs="Arial"/>
        </w:rPr>
        <w:t>3.1</w:t>
      </w:r>
      <w:r>
        <w:rPr>
          <w:rFonts w:ascii="Arial" w:hAnsi="Arial" w:cs="Arial"/>
        </w:rPr>
        <w:tab/>
      </w:r>
      <w:r>
        <w:rPr>
          <w:rFonts w:ascii="Arial" w:hAnsi="Arial" w:cs="Arial"/>
          <w:b/>
        </w:rPr>
        <w:t xml:space="preserve">Component I: Preparation of PPP Projects in water, </w:t>
      </w:r>
      <w:r w:rsidR="003373A7">
        <w:rPr>
          <w:rFonts w:ascii="Arial" w:hAnsi="Arial" w:cs="Arial"/>
          <w:b/>
        </w:rPr>
        <w:t>sanitation,</w:t>
      </w:r>
      <w:r>
        <w:rPr>
          <w:rFonts w:ascii="Arial" w:hAnsi="Arial" w:cs="Arial"/>
          <w:b/>
        </w:rPr>
        <w:t xml:space="preserve"> and solid waste. </w:t>
      </w:r>
      <w:r>
        <w:rPr>
          <w:rFonts w:ascii="Arial" w:hAnsi="Arial" w:cs="Arial"/>
        </w:rPr>
        <w:t xml:space="preserve">Studies required for the preparation of specific PPP projects in water, </w:t>
      </w:r>
      <w:r w:rsidR="003373A7">
        <w:rPr>
          <w:rFonts w:ascii="Arial" w:hAnsi="Arial" w:cs="Arial"/>
        </w:rPr>
        <w:t>sanitation,</w:t>
      </w:r>
      <w:r>
        <w:rPr>
          <w:rFonts w:ascii="Arial" w:hAnsi="Arial" w:cs="Arial"/>
        </w:rPr>
        <w:t xml:space="preserve"> and solid waste sector, containing project appraisal exercises, including the </w:t>
      </w:r>
      <w:r>
        <w:rPr>
          <w:rFonts w:ascii="Arial" w:hAnsi="Arial" w:cs="Arial"/>
        </w:rPr>
        <w:t xml:space="preserve">assessment if the PPP is the most adequate procurement route, and document preparation for tendering. These products will enable beneficiary public entities (municipalities and regional entities) to implement PPP initiatives and attract private investment </w:t>
      </w:r>
      <w:r>
        <w:rPr>
          <w:rFonts w:ascii="Arial" w:hAnsi="Arial" w:cs="Arial"/>
        </w:rPr>
        <w:t>in infrastructure</w:t>
      </w:r>
      <w:r w:rsidR="00B962BF">
        <w:rPr>
          <w:rFonts w:ascii="Arial" w:hAnsi="Arial" w:cs="Arial"/>
        </w:rPr>
        <w:t>.</w:t>
      </w:r>
    </w:p>
    <w:p w14:paraId="6D218935" w14:textId="637748DA" w:rsidR="000F0801" w:rsidRDefault="00907F30">
      <w:pPr>
        <w:spacing w:before="120" w:after="120"/>
        <w:ind w:left="579" w:hanging="579"/>
        <w:jc w:val="both"/>
      </w:pPr>
      <w:r>
        <w:rPr>
          <w:rFonts w:ascii="Arial" w:hAnsi="Arial" w:cs="Arial"/>
        </w:rPr>
        <w:t>3.2</w:t>
      </w:r>
      <w:r>
        <w:rPr>
          <w:rFonts w:ascii="Arial" w:hAnsi="Arial" w:cs="Arial"/>
        </w:rPr>
        <w:tab/>
      </w:r>
      <w:r>
        <w:rPr>
          <w:rFonts w:ascii="Arial" w:hAnsi="Arial" w:cs="Arial"/>
          <w:b/>
        </w:rPr>
        <w:t xml:space="preserve">Component II: Identification and promotion of PPP good practices. </w:t>
      </w:r>
      <w:r>
        <w:rPr>
          <w:rFonts w:ascii="Arial" w:hAnsi="Arial" w:cs="Arial"/>
        </w:rPr>
        <w:t xml:space="preserve">Knowledge products including manuals, technical </w:t>
      </w:r>
      <w:r w:rsidR="003373A7">
        <w:rPr>
          <w:rFonts w:ascii="Arial" w:hAnsi="Arial" w:cs="Arial"/>
        </w:rPr>
        <w:t>notes,</w:t>
      </w:r>
      <w:r>
        <w:rPr>
          <w:rFonts w:ascii="Arial" w:hAnsi="Arial" w:cs="Arial"/>
        </w:rPr>
        <w:t xml:space="preserve"> and publications to register and promote lessons and good practices of PPPs projects in water, </w:t>
      </w:r>
      <w:r w:rsidR="00124E18">
        <w:rPr>
          <w:rFonts w:ascii="Arial" w:hAnsi="Arial" w:cs="Arial"/>
        </w:rPr>
        <w:t>sanitation,</w:t>
      </w:r>
      <w:r>
        <w:rPr>
          <w:rFonts w:ascii="Arial" w:hAnsi="Arial" w:cs="Arial"/>
        </w:rPr>
        <w:t xml:space="preserve"> and soli</w:t>
      </w:r>
      <w:r>
        <w:rPr>
          <w:rFonts w:ascii="Arial" w:hAnsi="Arial" w:cs="Arial"/>
        </w:rPr>
        <w:t>d waste sector in Brazil, including dissemination activities (workshops, among others).</w:t>
      </w:r>
    </w:p>
    <w:p w14:paraId="3A99B75B" w14:textId="77777777" w:rsidR="000F0801" w:rsidRDefault="00907F30">
      <w:pPr>
        <w:spacing w:before="120" w:after="120"/>
        <w:ind w:left="579" w:hanging="579"/>
        <w:jc w:val="both"/>
      </w:pPr>
      <w:r>
        <w:rPr>
          <w:rFonts w:ascii="Arial" w:hAnsi="Arial" w:cs="Arial"/>
        </w:rPr>
        <w:t>3.3</w:t>
      </w:r>
      <w:r>
        <w:rPr>
          <w:rFonts w:ascii="Arial" w:hAnsi="Arial" w:cs="Arial"/>
        </w:rPr>
        <w:tab/>
      </w:r>
      <w:r>
        <w:rPr>
          <w:rFonts w:ascii="Arial" w:hAnsi="Arial" w:cs="Arial"/>
          <w:b/>
        </w:rPr>
        <w:t xml:space="preserve">Component III: Audit. </w:t>
      </w:r>
      <w:r>
        <w:rPr>
          <w:rFonts w:ascii="Arial" w:hAnsi="Arial" w:cs="Arial"/>
        </w:rPr>
        <w:t>As the TC will be executed by an external institution (BDMG), an external financial audit of the TC will be needed.</w:t>
      </w:r>
    </w:p>
    <w:p w14:paraId="361BF6B3" w14:textId="77777777" w:rsidR="000F0801" w:rsidRDefault="00907F30">
      <w:pPr>
        <w:spacing w:before="120" w:after="120"/>
        <w:ind w:left="579" w:hanging="579"/>
      </w:pPr>
      <w:r>
        <w:rPr>
          <w:rFonts w:ascii="Arial" w:hAnsi="Arial" w:cs="Arial"/>
          <w:b/>
        </w:rPr>
        <w:t>IV.</w:t>
      </w:r>
      <w:r>
        <w:rPr>
          <w:rFonts w:ascii="Arial" w:hAnsi="Arial" w:cs="Arial"/>
          <w:b/>
        </w:rPr>
        <w:tab/>
        <w:t>Budget</w:t>
      </w:r>
    </w:p>
    <w:p w14:paraId="69D4064B" w14:textId="77777777" w:rsidR="000F0801" w:rsidRDefault="00907F30">
      <w:pPr>
        <w:spacing w:before="240" w:after="120"/>
        <w:jc w:val="center"/>
      </w:pPr>
      <w:r>
        <w:rPr>
          <w:rFonts w:ascii="Arial" w:hAnsi="Arial" w:cs="Arial"/>
          <w:b/>
          <w:sz w:val="18"/>
          <w:szCs w:val="18"/>
        </w:rPr>
        <w:t>Indicative Budg</w:t>
      </w:r>
      <w:r>
        <w:rPr>
          <w:rFonts w:ascii="Arial" w:hAnsi="Arial" w:cs="Arial"/>
          <w:b/>
          <w:sz w:val="18"/>
          <w:szCs w:val="18"/>
        </w:rPr>
        <w:t>et</w:t>
      </w:r>
    </w:p>
    <w:tbl>
      <w:tblPr>
        <w:tblStyle w:val="TableGrid"/>
        <w:tblW w:w="5000" w:type="auto"/>
        <w:tblLook w:val="04A0" w:firstRow="1" w:lastRow="0" w:firstColumn="1" w:lastColumn="0" w:noHBand="0" w:noVBand="1"/>
      </w:tblPr>
      <w:tblGrid>
        <w:gridCol w:w="2282"/>
        <w:gridCol w:w="2250"/>
        <w:gridCol w:w="2234"/>
        <w:gridCol w:w="2250"/>
      </w:tblGrid>
      <w:tr w:rsidR="000F0801" w14:paraId="0F2B1B3D" w14:textId="77777777">
        <w:tc>
          <w:tcPr>
            <w:tcW w:w="2310" w:type="dxa"/>
            <w:vAlign w:val="center"/>
          </w:tcPr>
          <w:p w14:paraId="06026037" w14:textId="77777777" w:rsidR="000F0801" w:rsidRDefault="00907F30">
            <w:pPr>
              <w:spacing w:before="40" w:after="40"/>
              <w:jc w:val="center"/>
            </w:pPr>
            <w:r>
              <w:rPr>
                <w:rFonts w:ascii="Arial" w:hAnsi="Arial" w:cs="Arial"/>
                <w:b/>
                <w:sz w:val="18"/>
                <w:szCs w:val="18"/>
              </w:rPr>
              <w:t>Activity/Component</w:t>
            </w:r>
          </w:p>
        </w:tc>
        <w:tc>
          <w:tcPr>
            <w:tcW w:w="2310" w:type="dxa"/>
          </w:tcPr>
          <w:p w14:paraId="2431BFDA" w14:textId="77777777" w:rsidR="000F0801" w:rsidRDefault="00907F30">
            <w:pPr>
              <w:spacing w:before="40" w:after="40"/>
              <w:jc w:val="center"/>
            </w:pPr>
            <w:r>
              <w:rPr>
                <w:rFonts w:ascii="Arial" w:hAnsi="Arial" w:cs="Arial"/>
                <w:b/>
                <w:sz w:val="18"/>
                <w:szCs w:val="18"/>
              </w:rPr>
              <w:t>IDB/Fund Funding</w:t>
            </w:r>
          </w:p>
        </w:tc>
        <w:tc>
          <w:tcPr>
            <w:tcW w:w="2310" w:type="dxa"/>
          </w:tcPr>
          <w:p w14:paraId="2399C592" w14:textId="77777777" w:rsidR="000F0801" w:rsidRDefault="00907F30">
            <w:pPr>
              <w:spacing w:before="40" w:after="40"/>
              <w:jc w:val="center"/>
            </w:pPr>
            <w:r>
              <w:rPr>
                <w:rFonts w:ascii="Arial" w:hAnsi="Arial" w:cs="Arial"/>
                <w:b/>
                <w:sz w:val="18"/>
                <w:szCs w:val="18"/>
              </w:rPr>
              <w:t>Counterpart Funding</w:t>
            </w:r>
          </w:p>
        </w:tc>
        <w:tc>
          <w:tcPr>
            <w:tcW w:w="2310" w:type="dxa"/>
          </w:tcPr>
          <w:p w14:paraId="5D3D2E6E" w14:textId="77777777" w:rsidR="000F0801" w:rsidRDefault="00907F30">
            <w:pPr>
              <w:spacing w:before="40" w:after="40"/>
              <w:jc w:val="center"/>
            </w:pPr>
            <w:r>
              <w:rPr>
                <w:rFonts w:ascii="Arial" w:hAnsi="Arial" w:cs="Arial"/>
                <w:b/>
                <w:sz w:val="18"/>
                <w:szCs w:val="18"/>
              </w:rPr>
              <w:t>Total Funding</w:t>
            </w:r>
          </w:p>
        </w:tc>
      </w:tr>
      <w:tr w:rsidR="000F0801" w14:paraId="59804484" w14:textId="77777777">
        <w:tc>
          <w:tcPr>
            <w:tcW w:w="2310" w:type="dxa"/>
            <w:vAlign w:val="center"/>
          </w:tcPr>
          <w:p w14:paraId="03C0AE82" w14:textId="16C7DAB4" w:rsidR="000F0801" w:rsidRDefault="00907F30">
            <w:pPr>
              <w:spacing w:before="40" w:after="40"/>
            </w:pPr>
            <w:r>
              <w:rPr>
                <w:rFonts w:ascii="Arial" w:hAnsi="Arial" w:cs="Arial"/>
                <w:sz w:val="18"/>
                <w:szCs w:val="18"/>
              </w:rPr>
              <w:t xml:space="preserve">Preparation of PPP Projects in water, </w:t>
            </w:r>
            <w:r w:rsidR="002B455F">
              <w:rPr>
                <w:rFonts w:ascii="Arial" w:hAnsi="Arial" w:cs="Arial"/>
                <w:sz w:val="18"/>
                <w:szCs w:val="18"/>
              </w:rPr>
              <w:t>sanitation,</w:t>
            </w:r>
            <w:r>
              <w:rPr>
                <w:rFonts w:ascii="Arial" w:hAnsi="Arial" w:cs="Arial"/>
                <w:sz w:val="18"/>
                <w:szCs w:val="18"/>
              </w:rPr>
              <w:t xml:space="preserve"> and solid waste</w:t>
            </w:r>
          </w:p>
        </w:tc>
        <w:tc>
          <w:tcPr>
            <w:tcW w:w="2310" w:type="dxa"/>
            <w:vAlign w:val="center"/>
          </w:tcPr>
          <w:p w14:paraId="11F35F50" w14:textId="77777777" w:rsidR="000F0801" w:rsidRDefault="00907F30">
            <w:pPr>
              <w:spacing w:before="40" w:after="40"/>
              <w:jc w:val="right"/>
            </w:pPr>
            <w:r>
              <w:rPr>
                <w:rFonts w:ascii="Arial" w:hAnsi="Arial" w:cs="Arial"/>
                <w:sz w:val="18"/>
                <w:szCs w:val="18"/>
              </w:rPr>
              <w:t>US$265,000.00</w:t>
            </w:r>
          </w:p>
        </w:tc>
        <w:tc>
          <w:tcPr>
            <w:tcW w:w="2310" w:type="dxa"/>
            <w:vAlign w:val="center"/>
          </w:tcPr>
          <w:p w14:paraId="409C2860" w14:textId="77777777" w:rsidR="000F0801" w:rsidRDefault="00907F30">
            <w:pPr>
              <w:spacing w:before="40" w:after="40"/>
              <w:jc w:val="right"/>
            </w:pPr>
            <w:r>
              <w:rPr>
                <w:rFonts w:ascii="Arial" w:hAnsi="Arial" w:cs="Arial"/>
                <w:sz w:val="18"/>
                <w:szCs w:val="18"/>
              </w:rPr>
              <w:t>US$0.00</w:t>
            </w:r>
          </w:p>
        </w:tc>
        <w:tc>
          <w:tcPr>
            <w:tcW w:w="2310" w:type="dxa"/>
            <w:vAlign w:val="center"/>
          </w:tcPr>
          <w:p w14:paraId="41C5BA13" w14:textId="77777777" w:rsidR="000F0801" w:rsidRDefault="00907F30">
            <w:pPr>
              <w:spacing w:before="40" w:after="40"/>
              <w:jc w:val="right"/>
            </w:pPr>
            <w:r>
              <w:rPr>
                <w:rFonts w:ascii="Arial" w:hAnsi="Arial" w:cs="Arial"/>
                <w:sz w:val="18"/>
                <w:szCs w:val="18"/>
              </w:rPr>
              <w:t>US$265,000.00</w:t>
            </w:r>
          </w:p>
        </w:tc>
      </w:tr>
      <w:tr w:rsidR="000F0801" w14:paraId="09886F31" w14:textId="77777777">
        <w:tc>
          <w:tcPr>
            <w:tcW w:w="2310" w:type="dxa"/>
            <w:vAlign w:val="center"/>
          </w:tcPr>
          <w:p w14:paraId="28D15F16" w14:textId="77777777" w:rsidR="000F0801" w:rsidRDefault="00907F30">
            <w:pPr>
              <w:spacing w:before="40" w:after="40"/>
            </w:pPr>
            <w:r>
              <w:rPr>
                <w:rFonts w:ascii="Arial" w:hAnsi="Arial" w:cs="Arial"/>
                <w:sz w:val="18"/>
                <w:szCs w:val="18"/>
              </w:rPr>
              <w:t>Identification and promotion of PPP good practices</w:t>
            </w:r>
          </w:p>
        </w:tc>
        <w:tc>
          <w:tcPr>
            <w:tcW w:w="2310" w:type="dxa"/>
            <w:vAlign w:val="center"/>
          </w:tcPr>
          <w:p w14:paraId="03398E63" w14:textId="77777777" w:rsidR="000F0801" w:rsidRDefault="00907F30">
            <w:pPr>
              <w:spacing w:before="40" w:after="40"/>
              <w:jc w:val="right"/>
            </w:pPr>
            <w:r>
              <w:rPr>
                <w:rFonts w:ascii="Arial" w:hAnsi="Arial" w:cs="Arial"/>
                <w:sz w:val="18"/>
                <w:szCs w:val="18"/>
              </w:rPr>
              <w:t>US$20,000.00</w:t>
            </w:r>
          </w:p>
        </w:tc>
        <w:tc>
          <w:tcPr>
            <w:tcW w:w="2310" w:type="dxa"/>
            <w:vAlign w:val="center"/>
          </w:tcPr>
          <w:p w14:paraId="521812B4" w14:textId="77777777" w:rsidR="000F0801" w:rsidRDefault="00907F30">
            <w:pPr>
              <w:spacing w:before="40" w:after="40"/>
              <w:jc w:val="right"/>
            </w:pPr>
            <w:r>
              <w:rPr>
                <w:rFonts w:ascii="Arial" w:hAnsi="Arial" w:cs="Arial"/>
                <w:sz w:val="18"/>
                <w:szCs w:val="18"/>
              </w:rPr>
              <w:t>US$0.00</w:t>
            </w:r>
          </w:p>
        </w:tc>
        <w:tc>
          <w:tcPr>
            <w:tcW w:w="2310" w:type="dxa"/>
            <w:vAlign w:val="center"/>
          </w:tcPr>
          <w:p w14:paraId="009259B7" w14:textId="77777777" w:rsidR="000F0801" w:rsidRDefault="00907F30">
            <w:pPr>
              <w:spacing w:before="40" w:after="40"/>
              <w:jc w:val="right"/>
            </w:pPr>
            <w:r>
              <w:rPr>
                <w:rFonts w:ascii="Arial" w:hAnsi="Arial" w:cs="Arial"/>
                <w:sz w:val="18"/>
                <w:szCs w:val="18"/>
              </w:rPr>
              <w:t>US$20,000.00</w:t>
            </w:r>
          </w:p>
        </w:tc>
      </w:tr>
      <w:tr w:rsidR="000F0801" w14:paraId="567CA9F2" w14:textId="77777777">
        <w:tc>
          <w:tcPr>
            <w:tcW w:w="2310" w:type="dxa"/>
            <w:vAlign w:val="center"/>
          </w:tcPr>
          <w:p w14:paraId="521E56A2" w14:textId="77777777" w:rsidR="000F0801" w:rsidRDefault="00907F30">
            <w:pPr>
              <w:spacing w:before="40" w:after="40"/>
            </w:pPr>
            <w:r>
              <w:rPr>
                <w:rFonts w:ascii="Arial" w:hAnsi="Arial" w:cs="Arial"/>
                <w:sz w:val="18"/>
                <w:szCs w:val="18"/>
              </w:rPr>
              <w:t>Audit</w:t>
            </w:r>
          </w:p>
        </w:tc>
        <w:tc>
          <w:tcPr>
            <w:tcW w:w="2310" w:type="dxa"/>
            <w:vAlign w:val="center"/>
          </w:tcPr>
          <w:p w14:paraId="70EE7428" w14:textId="77777777" w:rsidR="000F0801" w:rsidRDefault="00907F30">
            <w:pPr>
              <w:spacing w:before="40" w:after="40"/>
              <w:jc w:val="right"/>
            </w:pPr>
            <w:r>
              <w:rPr>
                <w:rFonts w:ascii="Arial" w:hAnsi="Arial" w:cs="Arial"/>
                <w:sz w:val="18"/>
                <w:szCs w:val="18"/>
              </w:rPr>
              <w:t>US$15,000.00</w:t>
            </w:r>
          </w:p>
        </w:tc>
        <w:tc>
          <w:tcPr>
            <w:tcW w:w="2310" w:type="dxa"/>
            <w:vAlign w:val="center"/>
          </w:tcPr>
          <w:p w14:paraId="06EB08E3" w14:textId="77777777" w:rsidR="000F0801" w:rsidRDefault="00907F30">
            <w:pPr>
              <w:spacing w:before="40" w:after="40"/>
              <w:jc w:val="right"/>
            </w:pPr>
            <w:r>
              <w:rPr>
                <w:rFonts w:ascii="Arial" w:hAnsi="Arial" w:cs="Arial"/>
                <w:sz w:val="18"/>
                <w:szCs w:val="18"/>
              </w:rPr>
              <w:t>US$0.00</w:t>
            </w:r>
          </w:p>
        </w:tc>
        <w:tc>
          <w:tcPr>
            <w:tcW w:w="2310" w:type="dxa"/>
            <w:vAlign w:val="center"/>
          </w:tcPr>
          <w:p w14:paraId="01C0A4BD" w14:textId="77777777" w:rsidR="000F0801" w:rsidRDefault="00907F30">
            <w:pPr>
              <w:spacing w:before="40" w:after="40"/>
              <w:jc w:val="right"/>
            </w:pPr>
            <w:r>
              <w:rPr>
                <w:rFonts w:ascii="Arial" w:hAnsi="Arial" w:cs="Arial"/>
                <w:sz w:val="18"/>
                <w:szCs w:val="18"/>
              </w:rPr>
              <w:t>US$15,000.00</w:t>
            </w:r>
          </w:p>
        </w:tc>
      </w:tr>
      <w:tr w:rsidR="000F0801" w14:paraId="377FAEEB" w14:textId="77777777">
        <w:tc>
          <w:tcPr>
            <w:tcW w:w="2310" w:type="dxa"/>
            <w:vAlign w:val="center"/>
          </w:tcPr>
          <w:p w14:paraId="0790871B" w14:textId="77777777" w:rsidR="000F0801" w:rsidRDefault="00907F30">
            <w:pPr>
              <w:spacing w:before="40" w:after="40"/>
            </w:pPr>
            <w:r>
              <w:rPr>
                <w:rFonts w:ascii="Arial" w:hAnsi="Arial" w:cs="Arial"/>
                <w:b/>
                <w:sz w:val="18"/>
                <w:szCs w:val="18"/>
              </w:rPr>
              <w:t>Total</w:t>
            </w:r>
          </w:p>
        </w:tc>
        <w:tc>
          <w:tcPr>
            <w:tcW w:w="2310" w:type="dxa"/>
            <w:vAlign w:val="center"/>
          </w:tcPr>
          <w:p w14:paraId="4E9BC749" w14:textId="77777777" w:rsidR="000F0801" w:rsidRDefault="00907F30">
            <w:pPr>
              <w:spacing w:before="40" w:after="40"/>
              <w:jc w:val="right"/>
            </w:pPr>
            <w:r>
              <w:rPr>
                <w:rFonts w:ascii="Arial" w:hAnsi="Arial" w:cs="Arial"/>
                <w:b/>
                <w:sz w:val="18"/>
                <w:szCs w:val="18"/>
              </w:rPr>
              <w:t>US$300,000.00</w:t>
            </w:r>
          </w:p>
        </w:tc>
        <w:tc>
          <w:tcPr>
            <w:tcW w:w="2310" w:type="dxa"/>
            <w:vAlign w:val="center"/>
          </w:tcPr>
          <w:p w14:paraId="4939295D" w14:textId="77777777" w:rsidR="000F0801" w:rsidRDefault="00907F30">
            <w:pPr>
              <w:spacing w:before="40" w:after="40"/>
              <w:jc w:val="right"/>
            </w:pPr>
            <w:r>
              <w:rPr>
                <w:rFonts w:ascii="Arial" w:hAnsi="Arial" w:cs="Arial"/>
                <w:b/>
                <w:sz w:val="18"/>
                <w:szCs w:val="18"/>
              </w:rPr>
              <w:t>US$0.00</w:t>
            </w:r>
          </w:p>
        </w:tc>
        <w:tc>
          <w:tcPr>
            <w:tcW w:w="2310" w:type="dxa"/>
            <w:vAlign w:val="center"/>
          </w:tcPr>
          <w:p w14:paraId="30F4B991" w14:textId="77777777" w:rsidR="000F0801" w:rsidRDefault="00907F30">
            <w:pPr>
              <w:spacing w:before="40" w:after="40"/>
              <w:jc w:val="right"/>
            </w:pPr>
            <w:r>
              <w:rPr>
                <w:rFonts w:ascii="Arial" w:hAnsi="Arial" w:cs="Arial"/>
                <w:b/>
                <w:sz w:val="18"/>
                <w:szCs w:val="18"/>
              </w:rPr>
              <w:t>US$300,000.00</w:t>
            </w:r>
          </w:p>
        </w:tc>
      </w:tr>
    </w:tbl>
    <w:p w14:paraId="38662C89" w14:textId="77777777" w:rsidR="000F0801" w:rsidRDefault="00907F30">
      <w:pPr>
        <w:spacing w:before="120" w:after="120"/>
        <w:ind w:left="579" w:hanging="579"/>
      </w:pPr>
      <w:r>
        <w:rPr>
          <w:rFonts w:ascii="Arial" w:hAnsi="Arial" w:cs="Arial"/>
          <w:b/>
        </w:rPr>
        <w:t>V.</w:t>
      </w:r>
      <w:r>
        <w:rPr>
          <w:rFonts w:ascii="Arial" w:hAnsi="Arial" w:cs="Arial"/>
          <w:b/>
        </w:rPr>
        <w:tab/>
        <w:t>Executing Agency and Execution Structure</w:t>
      </w:r>
    </w:p>
    <w:p w14:paraId="42C76254" w14:textId="3D2732EA" w:rsidR="000F0801" w:rsidRDefault="00907F30">
      <w:pPr>
        <w:spacing w:before="200" w:after="200"/>
        <w:ind w:left="579" w:hanging="579"/>
        <w:jc w:val="both"/>
      </w:pPr>
      <w:r>
        <w:rPr>
          <w:rFonts w:ascii="Arial" w:hAnsi="Arial" w:cs="Arial"/>
        </w:rPr>
        <w:t>5.1</w:t>
      </w:r>
      <w:r>
        <w:rPr>
          <w:rFonts w:ascii="Arial" w:hAnsi="Arial" w:cs="Arial"/>
        </w:rPr>
        <w:tab/>
        <w:t xml:space="preserve">Banco de </w:t>
      </w:r>
      <w:proofErr w:type="spellStart"/>
      <w:r>
        <w:rPr>
          <w:rFonts w:ascii="Arial" w:hAnsi="Arial" w:cs="Arial"/>
        </w:rPr>
        <w:t>Desenvolvimento</w:t>
      </w:r>
      <w:proofErr w:type="spellEnd"/>
      <w:r>
        <w:rPr>
          <w:rFonts w:ascii="Arial" w:hAnsi="Arial" w:cs="Arial"/>
        </w:rPr>
        <w:t xml:space="preserve"> de Minas Gerais - BDMG (Minas Gerais Development Bank) will be the executing </w:t>
      </w:r>
      <w:r>
        <w:rPr>
          <w:rFonts w:ascii="Arial" w:hAnsi="Arial" w:cs="Arial"/>
        </w:rPr>
        <w:t xml:space="preserve">agency of this TC. BDMG is a financial institution established in 1962 and controlled by the State of Minas Gerais, with the purpose of promoting the state's economic, </w:t>
      </w:r>
      <w:r w:rsidR="003373A7">
        <w:rPr>
          <w:rFonts w:ascii="Arial" w:hAnsi="Arial" w:cs="Arial"/>
        </w:rPr>
        <w:t>financial,</w:t>
      </w:r>
      <w:r>
        <w:rPr>
          <w:rFonts w:ascii="Arial" w:hAnsi="Arial" w:cs="Arial"/>
        </w:rPr>
        <w:t xml:space="preserve"> and social development. For more than 58 years BDMG has actively participated </w:t>
      </w:r>
      <w:r>
        <w:rPr>
          <w:rFonts w:ascii="Arial" w:hAnsi="Arial" w:cs="Arial"/>
        </w:rPr>
        <w:t xml:space="preserve">in the development of Minas Gerais. In its history, it has focused on </w:t>
      </w:r>
      <w:r>
        <w:rPr>
          <w:rFonts w:ascii="Arial" w:hAnsi="Arial" w:cs="Arial"/>
        </w:rPr>
        <w:lastRenderedPageBreak/>
        <w:t>generating opportunities and sustainable regional growth. Its actions are distributed throughout the territory of the state and it supports various sectors of the economy: industry, agri</w:t>
      </w:r>
      <w:r>
        <w:rPr>
          <w:rFonts w:ascii="Arial" w:hAnsi="Arial" w:cs="Arial"/>
        </w:rPr>
        <w:t xml:space="preserve">culture, agribusiness, </w:t>
      </w:r>
      <w:r w:rsidR="003373A7">
        <w:rPr>
          <w:rFonts w:ascii="Arial" w:hAnsi="Arial" w:cs="Arial"/>
        </w:rPr>
        <w:t>commerce,</w:t>
      </w:r>
      <w:r>
        <w:rPr>
          <w:rFonts w:ascii="Arial" w:hAnsi="Arial" w:cs="Arial"/>
        </w:rPr>
        <w:t xml:space="preserve"> and services. In addition to these sectors, BDMG finances infrastructure and urbanization projects in the cities of Minas Gerais. It operates with its own resources </w:t>
      </w:r>
      <w:proofErr w:type="gramStart"/>
      <w:r>
        <w:rPr>
          <w:rFonts w:ascii="Arial" w:hAnsi="Arial" w:cs="Arial"/>
        </w:rPr>
        <w:t>and also</w:t>
      </w:r>
      <w:proofErr w:type="gramEnd"/>
      <w:r>
        <w:rPr>
          <w:rFonts w:ascii="Arial" w:hAnsi="Arial" w:cs="Arial"/>
        </w:rPr>
        <w:t xml:space="preserve"> utilizes credit lines from the Banco Nacional de </w:t>
      </w:r>
      <w:proofErr w:type="spellStart"/>
      <w:r>
        <w:rPr>
          <w:rFonts w:ascii="Arial" w:hAnsi="Arial" w:cs="Arial"/>
        </w:rPr>
        <w:t>D</w:t>
      </w:r>
      <w:r>
        <w:rPr>
          <w:rFonts w:ascii="Arial" w:hAnsi="Arial" w:cs="Arial"/>
        </w:rPr>
        <w:t>esenvolvimento</w:t>
      </w:r>
      <w:proofErr w:type="spellEnd"/>
      <w:r>
        <w:rPr>
          <w:rFonts w:ascii="Arial" w:hAnsi="Arial" w:cs="Arial"/>
        </w:rPr>
        <w:t xml:space="preserve"> </w:t>
      </w:r>
      <w:proofErr w:type="spellStart"/>
      <w:r>
        <w:rPr>
          <w:rFonts w:ascii="Arial" w:hAnsi="Arial" w:cs="Arial"/>
        </w:rPr>
        <w:t>Economico</w:t>
      </w:r>
      <w:proofErr w:type="spellEnd"/>
      <w:r>
        <w:rPr>
          <w:rFonts w:ascii="Arial" w:hAnsi="Arial" w:cs="Arial"/>
        </w:rPr>
        <w:t xml:space="preserve"> e Social (BNDES), as well as other sources of capital. Furthermore, it is also the financial agent of the Development Funds of the State of Minas Gerais.</w:t>
      </w:r>
    </w:p>
    <w:p w14:paraId="76141331" w14:textId="77777777" w:rsidR="000F0801" w:rsidRDefault="00907F30">
      <w:pPr>
        <w:spacing w:before="200" w:after="200"/>
        <w:ind w:left="579" w:hanging="579"/>
        <w:jc w:val="both"/>
      </w:pPr>
      <w:r>
        <w:rPr>
          <w:rFonts w:ascii="Arial" w:hAnsi="Arial" w:cs="Arial"/>
        </w:rPr>
        <w:t>5.2</w:t>
      </w:r>
      <w:r>
        <w:rPr>
          <w:rFonts w:ascii="Arial" w:hAnsi="Arial" w:cs="Arial"/>
        </w:rPr>
        <w:tab/>
        <w:t>In this context, BDMG stablished within its structure a Project Preparati</w:t>
      </w:r>
      <w:r>
        <w:rPr>
          <w:rFonts w:ascii="Arial" w:hAnsi="Arial" w:cs="Arial"/>
        </w:rPr>
        <w:t>on Unit (</w:t>
      </w:r>
      <w:proofErr w:type="spellStart"/>
      <w:r>
        <w:rPr>
          <w:rFonts w:ascii="Arial" w:hAnsi="Arial" w:cs="Arial"/>
        </w:rPr>
        <w:t>Superintendência</w:t>
      </w:r>
      <w:proofErr w:type="spellEnd"/>
      <w:r>
        <w:rPr>
          <w:rFonts w:ascii="Arial" w:hAnsi="Arial" w:cs="Arial"/>
        </w:rPr>
        <w:t xml:space="preserve"> de </w:t>
      </w:r>
      <w:proofErr w:type="spellStart"/>
      <w:r>
        <w:rPr>
          <w:rFonts w:ascii="Arial" w:hAnsi="Arial" w:cs="Arial"/>
        </w:rPr>
        <w:t>Preparação</w:t>
      </w:r>
      <w:proofErr w:type="spellEnd"/>
      <w:r>
        <w:rPr>
          <w:rFonts w:ascii="Arial" w:hAnsi="Arial" w:cs="Arial"/>
        </w:rPr>
        <w:t xml:space="preserve"> de </w:t>
      </w:r>
      <w:proofErr w:type="spellStart"/>
      <w:r>
        <w:rPr>
          <w:rFonts w:ascii="Arial" w:hAnsi="Arial" w:cs="Arial"/>
        </w:rPr>
        <w:t>Projetos</w:t>
      </w:r>
      <w:proofErr w:type="spellEnd"/>
      <w:r>
        <w:rPr>
          <w:rFonts w:ascii="Arial" w:hAnsi="Arial" w:cs="Arial"/>
        </w:rPr>
        <w:t xml:space="preserve"> – SEP) composed of fulltime staff, responding directly to the vice presidency of the BDMG. This Unit will be responsible for the execution of the TC.</w:t>
      </w:r>
    </w:p>
    <w:p w14:paraId="7B314777" w14:textId="7232B9EB" w:rsidR="000F0801" w:rsidRDefault="00907F30">
      <w:pPr>
        <w:spacing w:before="200" w:after="200"/>
        <w:ind w:left="579" w:hanging="579"/>
        <w:jc w:val="both"/>
      </w:pPr>
      <w:r>
        <w:rPr>
          <w:rFonts w:ascii="Arial" w:hAnsi="Arial" w:cs="Arial"/>
        </w:rPr>
        <w:t>5.3</w:t>
      </w:r>
      <w:r>
        <w:rPr>
          <w:rFonts w:ascii="Arial" w:hAnsi="Arial" w:cs="Arial"/>
        </w:rPr>
        <w:tab/>
        <w:t xml:space="preserve">Monitoring and supervision will be carried out by </w:t>
      </w:r>
      <w:r>
        <w:rPr>
          <w:rFonts w:ascii="Arial" w:hAnsi="Arial" w:cs="Arial"/>
        </w:rPr>
        <w:t>INE/WSA (</w:t>
      </w:r>
      <w:r>
        <w:rPr>
          <w:rFonts w:ascii="Arial" w:hAnsi="Arial" w:cs="Arial"/>
        </w:rPr>
        <w:t>UDR will be in headquarters) in coordination with VPC/PPP and IDB Invest who will provide additional financing for other activities related to this TC (</w:t>
      </w:r>
      <w:r>
        <w:rPr>
          <w:rFonts w:ascii="Arial" w:hAnsi="Arial" w:cs="Arial"/>
        </w:rPr>
        <w:t>other non-reimbursable resources from VPC/PPP and IDB Invest will be committed to support the</w:t>
      </w:r>
      <w:r>
        <w:rPr>
          <w:rFonts w:ascii="Arial" w:hAnsi="Arial" w:cs="Arial"/>
        </w:rPr>
        <w:t xml:space="preserve"> BDMG in the preparation of PPP Projects in water, sanitation and solid waste in Minas Gerais). The project team will make sure that the scope of the studies to be conducted are in line with the best practices for project preparation as well as the risk st</w:t>
      </w:r>
      <w:r>
        <w:rPr>
          <w:rFonts w:ascii="Arial" w:hAnsi="Arial" w:cs="Arial"/>
        </w:rPr>
        <w:t xml:space="preserve">ructure proposed leads to a bankable project. This assessment will consider IDB </w:t>
      </w:r>
      <w:proofErr w:type="spellStart"/>
      <w:r>
        <w:rPr>
          <w:rFonts w:ascii="Arial" w:hAnsi="Arial" w:cs="Arial"/>
        </w:rPr>
        <w:t>invest’s</w:t>
      </w:r>
      <w:proofErr w:type="spellEnd"/>
      <w:r>
        <w:rPr>
          <w:rFonts w:ascii="Arial" w:hAnsi="Arial" w:cs="Arial"/>
        </w:rPr>
        <w:t xml:space="preserve"> knowledge and expertise</w:t>
      </w:r>
      <w:r w:rsidR="00124E18">
        <w:rPr>
          <w:rFonts w:ascii="Arial" w:hAnsi="Arial" w:cs="Arial"/>
        </w:rPr>
        <w:t>.</w:t>
      </w:r>
    </w:p>
    <w:p w14:paraId="2C8FAC6C" w14:textId="77777777" w:rsidR="000F0801" w:rsidRDefault="00907F30">
      <w:pPr>
        <w:spacing w:before="120" w:after="120"/>
        <w:ind w:left="579" w:hanging="579"/>
      </w:pPr>
      <w:r>
        <w:rPr>
          <w:rFonts w:ascii="Arial" w:hAnsi="Arial" w:cs="Arial"/>
          <w:b/>
        </w:rPr>
        <w:t>VI.</w:t>
      </w:r>
      <w:r>
        <w:rPr>
          <w:rFonts w:ascii="Arial" w:hAnsi="Arial" w:cs="Arial"/>
          <w:b/>
        </w:rPr>
        <w:tab/>
        <w:t>Project Risks and Issues</w:t>
      </w:r>
    </w:p>
    <w:p w14:paraId="2EE17BCC" w14:textId="77777777" w:rsidR="003373A7" w:rsidRDefault="00907F30">
      <w:pPr>
        <w:spacing w:before="200" w:after="200"/>
        <w:ind w:left="579" w:hanging="579"/>
        <w:jc w:val="both"/>
        <w:rPr>
          <w:rFonts w:ascii="Arial" w:hAnsi="Arial" w:cs="Arial"/>
        </w:rPr>
      </w:pPr>
      <w:r>
        <w:rPr>
          <w:rFonts w:ascii="Arial" w:hAnsi="Arial" w:cs="Arial"/>
        </w:rPr>
        <w:t>6.1</w:t>
      </w:r>
      <w:r>
        <w:rPr>
          <w:rFonts w:ascii="Arial" w:hAnsi="Arial" w:cs="Arial"/>
        </w:rPr>
        <w:tab/>
        <w:t>Some of the key risks of the project are:</w:t>
      </w:r>
      <w:r w:rsidR="003373A7">
        <w:rPr>
          <w:rFonts w:ascii="Arial" w:hAnsi="Arial" w:cs="Arial"/>
        </w:rPr>
        <w:t xml:space="preserve"> </w:t>
      </w:r>
    </w:p>
    <w:p w14:paraId="4D860F11" w14:textId="77777777" w:rsidR="003373A7" w:rsidRDefault="00907F30" w:rsidP="003373A7">
      <w:pPr>
        <w:spacing w:before="120" w:after="120"/>
        <w:ind w:left="720" w:hanging="180"/>
        <w:jc w:val="both"/>
        <w:rPr>
          <w:rFonts w:ascii="Arial" w:hAnsi="Arial" w:cs="Arial"/>
        </w:rPr>
      </w:pPr>
      <w:r>
        <w:rPr>
          <w:rFonts w:ascii="Arial" w:hAnsi="Arial" w:cs="Arial"/>
        </w:rPr>
        <w:t>•</w:t>
      </w:r>
      <w:r>
        <w:rPr>
          <w:rFonts w:ascii="Arial" w:hAnsi="Arial" w:cs="Arial"/>
        </w:rPr>
        <w:tab/>
        <w:t>Demand Risk: As projects will be proposed by final beneficiary pub</w:t>
      </w:r>
      <w:r>
        <w:rPr>
          <w:rFonts w:ascii="Arial" w:hAnsi="Arial" w:cs="Arial"/>
        </w:rPr>
        <w:t>lic entities such as municipalities, there might be a lack of interest from contracting agencies. A communication strategy will be implemented to promote widespread success to information regarding the fund and mitigate this risk.</w:t>
      </w:r>
      <w:r w:rsidR="003373A7">
        <w:rPr>
          <w:rFonts w:ascii="Arial" w:hAnsi="Arial" w:cs="Arial"/>
        </w:rPr>
        <w:t xml:space="preserve"> </w:t>
      </w:r>
    </w:p>
    <w:p w14:paraId="1ED67F62" w14:textId="5703F2CA" w:rsidR="000F0801" w:rsidRDefault="00907F30" w:rsidP="003373A7">
      <w:pPr>
        <w:spacing w:before="120" w:after="120"/>
        <w:ind w:left="720" w:hanging="180"/>
        <w:jc w:val="both"/>
      </w:pPr>
      <w:r>
        <w:rPr>
          <w:rFonts w:ascii="Arial" w:hAnsi="Arial" w:cs="Arial"/>
        </w:rPr>
        <w:t>•</w:t>
      </w:r>
      <w:r>
        <w:rPr>
          <w:rFonts w:ascii="Arial" w:hAnsi="Arial" w:cs="Arial"/>
        </w:rPr>
        <w:tab/>
        <w:t>Policy Continuity Risks</w:t>
      </w:r>
      <w:r>
        <w:rPr>
          <w:rFonts w:ascii="Arial" w:hAnsi="Arial" w:cs="Arial"/>
        </w:rPr>
        <w:t>. Brazil will hold municipal elections in October 2020. Thus, projects that start in the current political cycle might face the challenge of continuity, particularly if there is a governing party change in the beneficiary entities. This risk will be mitiga</w:t>
      </w:r>
      <w:r>
        <w:rPr>
          <w:rFonts w:ascii="Arial" w:hAnsi="Arial" w:cs="Arial"/>
        </w:rPr>
        <w:t>ted by starting project screening and selection during the first 4 months of the TC implementation and begin project preparation once the following electoral cycle begins.</w:t>
      </w:r>
    </w:p>
    <w:p w14:paraId="25E18568" w14:textId="0DDB4CB3" w:rsidR="000F0801" w:rsidRDefault="00907F30">
      <w:pPr>
        <w:spacing w:before="200" w:after="200"/>
        <w:ind w:left="579" w:hanging="579"/>
        <w:jc w:val="both"/>
      </w:pPr>
      <w:r>
        <w:rPr>
          <w:rFonts w:ascii="Arial" w:hAnsi="Arial" w:cs="Arial"/>
        </w:rPr>
        <w:t>6.2</w:t>
      </w:r>
      <w:r>
        <w:rPr>
          <w:rFonts w:ascii="Arial" w:hAnsi="Arial" w:cs="Arial"/>
        </w:rPr>
        <w:tab/>
        <w:t>Impact of COVID-19. The sanitary crisis could diverge the political attention of</w:t>
      </w:r>
      <w:r>
        <w:rPr>
          <w:rFonts w:ascii="Arial" w:hAnsi="Arial" w:cs="Arial"/>
        </w:rPr>
        <w:t xml:space="preserve"> the beneficiary public entities to more immediate public health policy goals, from long term investments in water, </w:t>
      </w:r>
      <w:r w:rsidR="003373A7">
        <w:rPr>
          <w:rFonts w:ascii="Arial" w:hAnsi="Arial" w:cs="Arial"/>
        </w:rPr>
        <w:t>sanitation,</w:t>
      </w:r>
      <w:r>
        <w:rPr>
          <w:rFonts w:ascii="Arial" w:hAnsi="Arial" w:cs="Arial"/>
        </w:rPr>
        <w:t xml:space="preserve"> and solid waste projects. However, as investments in water, sanitation  and solid waste sector are directly related to positive h</w:t>
      </w:r>
      <w:r>
        <w:rPr>
          <w:rFonts w:ascii="Arial" w:hAnsi="Arial" w:cs="Arial"/>
        </w:rPr>
        <w:t xml:space="preserve">ealth outcomes, the increased attention to public health issues, due to COVID-19 might increase the political priority of long-term water, sanitation  and solid waste initiatives, aligning local authorities’ priorities to the objectives of this operation. </w:t>
      </w:r>
      <w:r>
        <w:rPr>
          <w:rFonts w:ascii="Arial" w:hAnsi="Arial" w:cs="Arial"/>
        </w:rPr>
        <w:t xml:space="preserve">To mitigate the potential negative impact of the COVID-19 pandemic, the project will design specific communication strategy with beneficiary entities that link long term investments in water, </w:t>
      </w:r>
      <w:r w:rsidR="003373A7">
        <w:rPr>
          <w:rFonts w:ascii="Arial" w:hAnsi="Arial" w:cs="Arial"/>
        </w:rPr>
        <w:t>sanitation,</w:t>
      </w:r>
      <w:r>
        <w:rPr>
          <w:rFonts w:ascii="Arial" w:hAnsi="Arial" w:cs="Arial"/>
        </w:rPr>
        <w:t xml:space="preserve"> and solid waste treatment to positive public health o</w:t>
      </w:r>
      <w:r>
        <w:rPr>
          <w:rFonts w:ascii="Arial" w:hAnsi="Arial" w:cs="Arial"/>
        </w:rPr>
        <w:t>utcomes.</w:t>
      </w:r>
    </w:p>
    <w:p w14:paraId="57C7A01A" w14:textId="77777777" w:rsidR="000F0801" w:rsidRDefault="00907F30">
      <w:pPr>
        <w:spacing w:before="120" w:after="120"/>
        <w:ind w:left="579" w:hanging="579"/>
      </w:pPr>
      <w:r>
        <w:rPr>
          <w:rFonts w:ascii="Arial" w:hAnsi="Arial" w:cs="Arial"/>
          <w:b/>
        </w:rPr>
        <w:t>VII.</w:t>
      </w:r>
      <w:r>
        <w:rPr>
          <w:rFonts w:ascii="Arial" w:hAnsi="Arial" w:cs="Arial"/>
          <w:b/>
        </w:rPr>
        <w:tab/>
        <w:t>Environmental and Social Classification</w:t>
      </w:r>
    </w:p>
    <w:p w14:paraId="2055DD90" w14:textId="72C16E8D" w:rsidR="000F0801" w:rsidRDefault="00907F30">
      <w:pPr>
        <w:spacing w:before="240" w:after="120"/>
        <w:ind w:left="579" w:hanging="579"/>
        <w:jc w:val="both"/>
      </w:pPr>
      <w:r>
        <w:rPr>
          <w:rFonts w:ascii="Arial" w:hAnsi="Arial" w:cs="Arial"/>
        </w:rPr>
        <w:t>7.1</w:t>
      </w:r>
      <w:r>
        <w:rPr>
          <w:rFonts w:ascii="Arial" w:hAnsi="Arial" w:cs="Arial"/>
        </w:rPr>
        <w:tab/>
      </w:r>
      <w:r w:rsidR="00124E18" w:rsidRPr="00124E18">
        <w:rPr>
          <w:rFonts w:ascii="Arial" w:hAnsi="Arial" w:cs="Arial"/>
        </w:rPr>
        <w:t xml:space="preserve">Given that the scope of this technical cooperation is exclusively the hiring of specialized consultants, this operation will not have negative social and environmental impact. </w:t>
      </w:r>
      <w:r w:rsidR="00124E18">
        <w:rPr>
          <w:rFonts w:ascii="Arial" w:hAnsi="Arial" w:cs="Arial"/>
        </w:rPr>
        <w:t xml:space="preserve">The </w:t>
      </w:r>
      <w:r>
        <w:rPr>
          <w:rFonts w:ascii="Arial" w:hAnsi="Arial" w:cs="Arial"/>
        </w:rPr>
        <w:t>ESG classification for this operation is "C".</w:t>
      </w:r>
    </w:p>
    <w:sectPr w:rsidR="000F0801" w:rsidSect="00FC30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8DFE" w14:textId="77777777" w:rsidR="00907F30" w:rsidRDefault="00907F30">
      <w:r>
        <w:separator/>
      </w:r>
    </w:p>
  </w:endnote>
  <w:endnote w:type="continuationSeparator" w:id="0">
    <w:p w14:paraId="1E43C318" w14:textId="77777777" w:rsidR="00907F30" w:rsidRDefault="009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5464" w14:textId="77777777" w:rsidR="000F0801" w:rsidRDefault="00907F30">
    <w:pPr>
      <w:pStyle w:val="FooterStyle"/>
      <w:jc w:val="center"/>
    </w:pPr>
    <w:r>
      <w:t xml:space="preserve"> - </w:t>
    </w:r>
    <w:r>
      <w:fldChar w:fldCharType="begin"/>
    </w:r>
    <w:r>
      <w:instrText xml:space="preserve"> PAGE </w:instrText>
    </w:r>
    <w:r w:rsidR="003373A7">
      <w:fldChar w:fldCharType="separate"/>
    </w:r>
    <w:r w:rsidR="003373A7">
      <w:rPr>
        <w:noProof/>
      </w:rP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BDB9" w14:textId="77777777" w:rsidR="00907F30" w:rsidRDefault="00907F30">
      <w:r>
        <w:separator/>
      </w:r>
    </w:p>
  </w:footnote>
  <w:footnote w:type="continuationSeparator" w:id="0">
    <w:p w14:paraId="5AD50EC2" w14:textId="77777777" w:rsidR="00907F30" w:rsidRDefault="00907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F0801"/>
    <w:rsid w:val="00124E18"/>
    <w:rsid w:val="001915A3"/>
    <w:rsid w:val="00217F62"/>
    <w:rsid w:val="002B455F"/>
    <w:rsid w:val="003373A7"/>
    <w:rsid w:val="00907F30"/>
    <w:rsid w:val="00A906D8"/>
    <w:rsid w:val="00AB5A74"/>
    <w:rsid w:val="00B962BF"/>
    <w:rsid w:val="00BE2ED6"/>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58B9"/>
  <w15:docId w15:val="{047562D2-AA58-4ABC-894E-34C5A14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Style">
    <w:name w:val="FooterStyle"/>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4319028889B4B7489098114001FB02FC" ma:contentTypeVersion="0" ma:contentTypeDescription="The base project type from which other project content types inherit their information." ma:contentTypeScope="" ma:versionID="84af3f29711b82775cd2928bb759f2e6">
  <xsd:schema xmlns:xsd="http://www.w3.org/2001/XMLSchema" xmlns:xs="http://www.w3.org/2001/XMLSchema" xmlns:p="http://schemas.microsoft.com/office/2006/metadata/properties" xmlns:ns2="cdc7663a-08f0-4737-9e8c-148ce897a09c" targetNamespace="http://schemas.microsoft.com/office/2006/metadata/properties" ma:root="true" ma:fieldsID="527546eacc6106aecb050316cd8b23d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R-T145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E948774BD04084AB08F5A48E66C08B0" ma:contentTypeVersion="0" ma:contentTypeDescription="A content type to manage public (operations) IDB documents" ma:contentTypeScope="" ma:versionID="0d5017bd9d5f3993d2f1f581d2cfbf8e">
  <xsd:schema xmlns:xsd="http://www.w3.org/2001/XMLSchema" xmlns:xs="http://www.w3.org/2001/XMLSchema" xmlns:p="http://schemas.microsoft.com/office/2006/metadata/properties" xmlns:ns2="cdc7663a-08f0-4737-9e8c-148ce897a09c" targetNamespace="http://schemas.microsoft.com/office/2006/metadata/properties" ma:root="true" ma:fieldsID="b515c14cc55bd360f957176554b3e0a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R-T145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AS-GRH</TermName>
          <TermId xmlns="http://schemas.microsoft.com/office/infopath/2007/PartnerControls">b6095696-0808-4ea4-b0d5-c9646be8689e</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Related_x0020_SisCor_x0020_Number xmlns="cdc7663a-08f0-4737-9e8c-148ce897a09c" xsi:nil="true"/>
    <TaxCatchAll xmlns="cdc7663a-08f0-4737-9e8c-148ce897a09c">
      <Value>94</Value>
      <Value>33</Value>
      <Value>32</Value>
      <Value>192</Value>
      <Value>1</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BR-T1452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ba6b63cd-e402-47cb-9357-08149f7ce046</TermId>
        </TermInfo>
      </Terms>
    </nddeef1749674d76abdbe4b239a70bc6>
    <Record_x0020_Number xmlns="cdc7663a-08f0-4737-9e8c-148ce897a09c" xsi:nil="true"/>
    <_dlc_DocId xmlns="cdc7663a-08f0-4737-9e8c-148ce897a09c">EZSHARE-178885192-5</_dlc_DocId>
    <_dlc_DocIdUrl xmlns="cdc7663a-08f0-4737-9e8c-148ce897a09c">
      <Url>https://idbg.sharepoint.com/teams/EZ-BR-TCP/BR-T1452/_layouts/15/DocIdRedir.aspx?ID=EZSHARE-178885192-5</Url>
      <Description>EZSHARE-178885192-5</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15B126C6-9D59-489A-8787-14BDCAFAAAA8}"/>
</file>

<file path=customXml/itemProps2.xml><?xml version="1.0" encoding="utf-8"?>
<ds:datastoreItem xmlns:ds="http://schemas.openxmlformats.org/officeDocument/2006/customXml" ds:itemID="{DF84EFE6-FEF3-4282-A4CF-111ADDC563B3}"/>
</file>

<file path=customXml/itemProps3.xml><?xml version="1.0" encoding="utf-8"?>
<ds:datastoreItem xmlns:ds="http://schemas.openxmlformats.org/officeDocument/2006/customXml" ds:itemID="{4359E9D6-14D0-401F-B0F7-428AF90F4C13}"/>
</file>

<file path=customXml/itemProps4.xml><?xml version="1.0" encoding="utf-8"?>
<ds:datastoreItem xmlns:ds="http://schemas.openxmlformats.org/officeDocument/2006/customXml" ds:itemID="{309ED6F7-724D-479A-84BB-3EC380B28D3C}"/>
</file>

<file path=customXml/itemProps5.xml><?xml version="1.0" encoding="utf-8"?>
<ds:datastoreItem xmlns:ds="http://schemas.openxmlformats.org/officeDocument/2006/customXml" ds:itemID="{CF1DF8AD-DE59-47D3-B7BD-C80BA95A044E}"/>
</file>

<file path=customXml/itemProps6.xml><?xml version="1.0" encoding="utf-8"?>
<ds:datastoreItem xmlns:ds="http://schemas.openxmlformats.org/officeDocument/2006/customXml" ds:itemID="{8539F891-B9DE-4F1B-8B1C-7427CF234A2C}"/>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Rivera, Marilyn Ivette</dc:creator>
  <cp:keywords/>
  <cp:lastModifiedBy>Guerrero Rivera, Marilyn Ivette</cp:lastModifiedBy>
  <cp:revision>3</cp:revision>
  <dcterms:created xsi:type="dcterms:W3CDTF">2020-06-19T14:28:00Z</dcterms:created>
  <dcterms:modified xsi:type="dcterms:W3CDTF">2020-06-19T14:29:00Z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94;#AS-GRH|b6095696-0808-4ea4-b0d5-c9646be8689e</vt:lpwstr>
  </property>
  <property fmtid="{D5CDD505-2E9C-101B-9397-08002B2CF9AE}" pid="7" name="Fund IDB">
    <vt:lpwstr>192;#INF|474aab72-0205-4196-bca7-4b288939fcb3</vt:lpwstr>
  </property>
  <property fmtid="{D5CDD505-2E9C-101B-9397-08002B2CF9AE}" pid="8" name="Country">
    <vt:lpwstr>32;#BR|7deb27ec-6837-4974-9aa8-6cfbac841ef8</vt:lpwstr>
  </property>
  <property fmtid="{D5CDD505-2E9C-101B-9397-08002B2CF9AE}" pid="9" name="Sector IDB">
    <vt:lpwstr>33;#AS|ba6b63cd-e402-47cb-9357-08149f7ce046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92058a8f-df15-42c1-a17b-55be5fb278c3</vt:lpwstr>
  </property>
  <property fmtid="{D5CDD505-2E9C-101B-9397-08002B2CF9AE}" pid="12" name="Disclosure Activity">
    <vt:lpwstr>TC Abstract</vt:lpwstr>
  </property>
  <property fmtid="{D5CDD505-2E9C-101B-9397-08002B2CF9AE}" pid="13" name="ContentTypeId">
    <vt:lpwstr>0x0101001A458A224826124E8B45B1D613300CFC00FE948774BD04084AB08F5A48E66C08B0</vt:lpwstr>
  </property>
</Properties>
</file>